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DF79A" w14:textId="77777777" w:rsidR="00496B9D" w:rsidRPr="00C6052E" w:rsidRDefault="00496B9D" w:rsidP="00496B9D">
      <w:pPr>
        <w:pStyle w:val="Heading1"/>
      </w:pPr>
      <w:bookmarkStart w:id="0" w:name="_Toc213852176"/>
      <w:bookmarkStart w:id="1" w:name="_Toc214375514"/>
      <w:bookmarkStart w:id="2" w:name="_Toc214618227"/>
      <w:bookmarkStart w:id="3" w:name="_Toc163565800"/>
      <w:bookmarkStart w:id="4" w:name="_Toc163565932"/>
      <w:bookmarkStart w:id="5" w:name="_Toc163566539"/>
      <w:bookmarkStart w:id="6" w:name="_Toc174009460"/>
      <w:bookmarkStart w:id="7" w:name="_Toc175734926"/>
      <w:bookmarkStart w:id="8" w:name="_Toc207622397"/>
      <w:r w:rsidRPr="00C6052E">
        <w:t>03 Financial performance</w:t>
      </w:r>
      <w:bookmarkEnd w:id="0"/>
      <w:bookmarkEnd w:id="1"/>
      <w:bookmarkEnd w:id="2"/>
    </w:p>
    <w:bookmarkEnd w:id="3"/>
    <w:bookmarkEnd w:id="4"/>
    <w:bookmarkEnd w:id="5"/>
    <w:bookmarkEnd w:id="6"/>
    <w:bookmarkEnd w:id="7"/>
    <w:bookmarkEnd w:id="8"/>
    <w:p w14:paraId="47E460A8" w14:textId="5B8C2328" w:rsidR="00496B9D" w:rsidRDefault="00496B9D">
      <w:pPr>
        <w:autoSpaceDE/>
        <w:autoSpaceDN/>
        <w:spacing w:after="160" w:line="278" w:lineRule="auto"/>
      </w:pPr>
    </w:p>
    <w:p w14:paraId="0CCFD976" w14:textId="0EC57349" w:rsidR="00EE5BB8" w:rsidRDefault="00EE5BB8" w:rsidP="007D3D95">
      <w:pPr>
        <w:spacing w:line="240" w:lineRule="auto"/>
      </w:pPr>
      <w:r w:rsidRPr="00C6052E">
        <w:rPr>
          <w:noProof/>
        </w:rPr>
        <w:drawing>
          <wp:inline distT="0" distB="0" distL="0" distR="0" wp14:anchorId="389588A3" wp14:editId="0FC89BE5">
            <wp:extent cx="3627247" cy="5129212"/>
            <wp:effectExtent l="0" t="0" r="0" b="0"/>
            <wp:docPr id="1474614184" name="Picture 84" descr="Independent Auditor's Report from VAGO (page 1). Transcript of letter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14184" name="Picture 84" descr="Independent Auditor's Report from VAGO (page 1). Transcript of letter below."/>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39546" cy="5146603"/>
                    </a:xfrm>
                    <a:prstGeom prst="rect">
                      <a:avLst/>
                    </a:prstGeom>
                  </pic:spPr>
                </pic:pic>
              </a:graphicData>
            </a:graphic>
          </wp:inline>
        </w:drawing>
      </w:r>
    </w:p>
    <w:p w14:paraId="3963D3AB" w14:textId="35455B4B" w:rsidR="000B7BBB" w:rsidRPr="007D3D95" w:rsidRDefault="007D3D95" w:rsidP="000B7BBB">
      <w:pPr>
        <w:rPr>
          <w:b/>
          <w:bCs/>
        </w:rPr>
      </w:pPr>
      <w:r w:rsidRPr="007D3D95">
        <w:rPr>
          <w:b/>
          <w:bCs/>
        </w:rPr>
        <w:t>VAGO</w:t>
      </w:r>
      <w:r w:rsidRPr="007D3D95">
        <w:rPr>
          <w:b/>
          <w:bCs/>
        </w:rPr>
        <w:br/>
        <w:t>Victorian Auditor-General’s Office</w:t>
      </w:r>
    </w:p>
    <w:p w14:paraId="6FE42DEF" w14:textId="0C48DABD" w:rsidR="007D3D95" w:rsidRPr="007D3D95" w:rsidRDefault="007D3D95" w:rsidP="000B7BBB">
      <w:pPr>
        <w:rPr>
          <w:b/>
          <w:bCs/>
        </w:rPr>
      </w:pPr>
      <w:r w:rsidRPr="007D3D95">
        <w:rPr>
          <w:b/>
          <w:bCs/>
        </w:rPr>
        <w:t>Independent Auditor’s Report</w:t>
      </w:r>
    </w:p>
    <w:p w14:paraId="23F1292A" w14:textId="0576AA53" w:rsidR="007D3D95" w:rsidRDefault="007D3D95" w:rsidP="000B7BBB">
      <w:pPr>
        <w:rPr>
          <w:b/>
          <w:bCs/>
          <w:i/>
          <w:iCs/>
        </w:rPr>
      </w:pPr>
      <w:r>
        <w:rPr>
          <w:b/>
          <w:bCs/>
          <w:i/>
          <w:iCs/>
        </w:rPr>
        <w:t>To the Secretary of the Department of Jobs, Skills, Industry and Regions</w:t>
      </w:r>
    </w:p>
    <w:tbl>
      <w:tblPr>
        <w:tblStyle w:val="TableGrid"/>
        <w:tblW w:w="0" w:type="auto"/>
        <w:tblLook w:val="04A0" w:firstRow="1" w:lastRow="0" w:firstColumn="1" w:lastColumn="0" w:noHBand="0" w:noVBand="1"/>
      </w:tblPr>
      <w:tblGrid>
        <w:gridCol w:w="1555"/>
        <w:gridCol w:w="8074"/>
      </w:tblGrid>
      <w:tr w:rsidR="007D3D95" w14:paraId="774076A6" w14:textId="77777777" w:rsidTr="007D3D95">
        <w:tc>
          <w:tcPr>
            <w:tcW w:w="1555" w:type="dxa"/>
          </w:tcPr>
          <w:p w14:paraId="3C1EC4F4" w14:textId="5087D285" w:rsidR="007D3D95" w:rsidRPr="007D3D95" w:rsidRDefault="007D3D95" w:rsidP="007D3D95">
            <w:pPr>
              <w:rPr>
                <w:b/>
                <w:bCs/>
              </w:rPr>
            </w:pPr>
            <w:r w:rsidRPr="007D3D95">
              <w:rPr>
                <w:b/>
                <w:bCs/>
              </w:rPr>
              <w:t>Opinion</w:t>
            </w:r>
          </w:p>
        </w:tc>
        <w:tc>
          <w:tcPr>
            <w:tcW w:w="8074" w:type="dxa"/>
          </w:tcPr>
          <w:p w14:paraId="0BCE6A7A" w14:textId="77777777" w:rsidR="007D3D95" w:rsidRDefault="007D3D95" w:rsidP="007D3D95">
            <w:pPr>
              <w:pStyle w:val="Normalbeforebullets"/>
            </w:pPr>
            <w:r>
              <w:rPr>
                <w:w w:val="110"/>
              </w:rPr>
              <w:t>I</w:t>
            </w:r>
            <w:r>
              <w:rPr>
                <w:spacing w:val="-7"/>
                <w:w w:val="110"/>
              </w:rPr>
              <w:t xml:space="preserve"> </w:t>
            </w:r>
            <w:r>
              <w:rPr>
                <w:w w:val="110"/>
              </w:rPr>
              <w:t>have</w:t>
            </w:r>
            <w:r>
              <w:rPr>
                <w:spacing w:val="-25"/>
                <w:w w:val="110"/>
              </w:rPr>
              <w:t xml:space="preserve"> </w:t>
            </w:r>
            <w:r>
              <w:rPr>
                <w:w w:val="110"/>
              </w:rPr>
              <w:t>audited</w:t>
            </w:r>
            <w:r>
              <w:rPr>
                <w:spacing w:val="-11"/>
                <w:w w:val="110"/>
              </w:rPr>
              <w:t xml:space="preserve"> </w:t>
            </w:r>
            <w:r>
              <w:rPr>
                <w:w w:val="110"/>
              </w:rPr>
              <w:t>the</w:t>
            </w:r>
            <w:r>
              <w:rPr>
                <w:spacing w:val="-4"/>
                <w:w w:val="110"/>
              </w:rPr>
              <w:t xml:space="preserve"> </w:t>
            </w:r>
            <w:r>
              <w:rPr>
                <w:w w:val="110"/>
              </w:rPr>
              <w:t>financial</w:t>
            </w:r>
            <w:r>
              <w:rPr>
                <w:spacing w:val="-8"/>
                <w:w w:val="110"/>
              </w:rPr>
              <w:t xml:space="preserve"> </w:t>
            </w:r>
            <w:r>
              <w:rPr>
                <w:w w:val="110"/>
              </w:rPr>
              <w:t>report</w:t>
            </w:r>
            <w:r>
              <w:rPr>
                <w:spacing w:val="-8"/>
                <w:w w:val="110"/>
              </w:rPr>
              <w:t xml:space="preserve"> </w:t>
            </w:r>
            <w:r>
              <w:rPr>
                <w:w w:val="110"/>
              </w:rPr>
              <w:t>of</w:t>
            </w:r>
            <w:r>
              <w:rPr>
                <w:spacing w:val="-6"/>
                <w:w w:val="110"/>
              </w:rPr>
              <w:t xml:space="preserve"> </w:t>
            </w:r>
            <w:r>
              <w:rPr>
                <w:w w:val="110"/>
              </w:rPr>
              <w:t>the</w:t>
            </w:r>
            <w:r>
              <w:rPr>
                <w:spacing w:val="-7"/>
                <w:w w:val="110"/>
              </w:rPr>
              <w:t xml:space="preserve"> </w:t>
            </w:r>
            <w:r>
              <w:rPr>
                <w:w w:val="110"/>
              </w:rPr>
              <w:t>Department</w:t>
            </w:r>
            <w:r>
              <w:rPr>
                <w:spacing w:val="7"/>
                <w:w w:val="110"/>
              </w:rPr>
              <w:t xml:space="preserve"> </w:t>
            </w:r>
            <w:r>
              <w:rPr>
                <w:w w:val="110"/>
              </w:rPr>
              <w:t>of</w:t>
            </w:r>
            <w:r>
              <w:rPr>
                <w:spacing w:val="-7"/>
                <w:w w:val="110"/>
              </w:rPr>
              <w:t xml:space="preserve"> </w:t>
            </w:r>
            <w:r>
              <w:rPr>
                <w:w w:val="110"/>
              </w:rPr>
              <w:t>Jobs,</w:t>
            </w:r>
            <w:r>
              <w:rPr>
                <w:spacing w:val="-10"/>
                <w:w w:val="110"/>
              </w:rPr>
              <w:t xml:space="preserve"> </w:t>
            </w:r>
            <w:r>
              <w:rPr>
                <w:w w:val="110"/>
              </w:rPr>
              <w:t>Skills,</w:t>
            </w:r>
            <w:r>
              <w:rPr>
                <w:spacing w:val="-16"/>
                <w:w w:val="110"/>
              </w:rPr>
              <w:t xml:space="preserve"> </w:t>
            </w:r>
            <w:r>
              <w:rPr>
                <w:w w:val="110"/>
              </w:rPr>
              <w:t>Industry</w:t>
            </w:r>
            <w:r>
              <w:rPr>
                <w:spacing w:val="-8"/>
                <w:w w:val="110"/>
              </w:rPr>
              <w:t xml:space="preserve"> </w:t>
            </w:r>
            <w:r>
              <w:rPr>
                <w:w w:val="110"/>
              </w:rPr>
              <w:t>and</w:t>
            </w:r>
            <w:r>
              <w:rPr>
                <w:spacing w:val="-25"/>
                <w:w w:val="110"/>
              </w:rPr>
              <w:t xml:space="preserve"> </w:t>
            </w:r>
            <w:r>
              <w:rPr>
                <w:w w:val="110"/>
              </w:rPr>
              <w:t>Regions</w:t>
            </w:r>
            <w:r>
              <w:rPr>
                <w:spacing w:val="-9"/>
                <w:w w:val="110"/>
              </w:rPr>
              <w:t xml:space="preserve"> </w:t>
            </w:r>
            <w:r>
              <w:rPr>
                <w:w w:val="110"/>
              </w:rPr>
              <w:t>(the department) which comprises the:</w:t>
            </w:r>
          </w:p>
          <w:p w14:paraId="08D78E82" w14:textId="77777777" w:rsidR="007D3D95" w:rsidRDefault="007D3D95" w:rsidP="007D3D95">
            <w:pPr>
              <w:pStyle w:val="Bullet"/>
            </w:pPr>
            <w:r>
              <w:rPr>
                <w:w w:val="105"/>
              </w:rPr>
              <w:t>balance</w:t>
            </w:r>
            <w:r>
              <w:rPr>
                <w:spacing w:val="-18"/>
                <w:w w:val="105"/>
              </w:rPr>
              <w:t xml:space="preserve"> </w:t>
            </w:r>
            <w:r>
              <w:rPr>
                <w:w w:val="105"/>
              </w:rPr>
              <w:t>sheet</w:t>
            </w:r>
            <w:r>
              <w:rPr>
                <w:spacing w:val="1"/>
                <w:w w:val="105"/>
              </w:rPr>
              <w:t xml:space="preserve"> </w:t>
            </w:r>
            <w:r>
              <w:rPr>
                <w:w w:val="105"/>
              </w:rPr>
              <w:t>as</w:t>
            </w:r>
            <w:r>
              <w:rPr>
                <w:spacing w:val="-11"/>
                <w:w w:val="105"/>
              </w:rPr>
              <w:t xml:space="preserve"> </w:t>
            </w:r>
            <w:r>
              <w:rPr>
                <w:w w:val="105"/>
              </w:rPr>
              <w:t>at</w:t>
            </w:r>
            <w:r>
              <w:rPr>
                <w:spacing w:val="12"/>
                <w:w w:val="105"/>
              </w:rPr>
              <w:t xml:space="preserve"> </w:t>
            </w:r>
            <w:r>
              <w:rPr>
                <w:w w:val="105"/>
              </w:rPr>
              <w:t>30</w:t>
            </w:r>
            <w:r>
              <w:rPr>
                <w:spacing w:val="-3"/>
                <w:w w:val="105"/>
              </w:rPr>
              <w:t xml:space="preserve"> </w:t>
            </w:r>
            <w:r>
              <w:rPr>
                <w:w w:val="105"/>
              </w:rPr>
              <w:t>June</w:t>
            </w:r>
            <w:r>
              <w:rPr>
                <w:spacing w:val="-6"/>
                <w:w w:val="105"/>
              </w:rPr>
              <w:t xml:space="preserve"> </w:t>
            </w:r>
            <w:r>
              <w:rPr>
                <w:spacing w:val="-4"/>
                <w:w w:val="105"/>
              </w:rPr>
              <w:t>2025</w:t>
            </w:r>
          </w:p>
          <w:p w14:paraId="5082CFF1" w14:textId="77777777" w:rsidR="007D3D95" w:rsidRDefault="007D3D95" w:rsidP="007D3D95">
            <w:pPr>
              <w:pStyle w:val="Bullet"/>
            </w:pPr>
            <w:r>
              <w:rPr>
                <w:w w:val="110"/>
              </w:rPr>
              <w:t>comprehensive</w:t>
            </w:r>
            <w:r>
              <w:rPr>
                <w:spacing w:val="1"/>
                <w:w w:val="110"/>
              </w:rPr>
              <w:t xml:space="preserve"> </w:t>
            </w:r>
            <w:r>
              <w:rPr>
                <w:w w:val="110"/>
              </w:rPr>
              <w:t>operating</w:t>
            </w:r>
            <w:r>
              <w:rPr>
                <w:spacing w:val="-18"/>
                <w:w w:val="110"/>
              </w:rPr>
              <w:t xml:space="preserve"> </w:t>
            </w:r>
            <w:r>
              <w:rPr>
                <w:w w:val="110"/>
              </w:rPr>
              <w:t>statement</w:t>
            </w:r>
            <w:r>
              <w:rPr>
                <w:spacing w:val="8"/>
                <w:w w:val="110"/>
              </w:rPr>
              <w:t xml:space="preserve"> </w:t>
            </w:r>
            <w:r>
              <w:rPr>
                <w:w w:val="110"/>
              </w:rPr>
              <w:t>for</w:t>
            </w:r>
            <w:r>
              <w:rPr>
                <w:spacing w:val="-1"/>
                <w:w w:val="110"/>
              </w:rPr>
              <w:t xml:space="preserve"> </w:t>
            </w:r>
            <w:r>
              <w:rPr>
                <w:w w:val="110"/>
              </w:rPr>
              <w:t>the</w:t>
            </w:r>
            <w:r>
              <w:rPr>
                <w:spacing w:val="1"/>
                <w:w w:val="110"/>
              </w:rPr>
              <w:t xml:space="preserve"> </w:t>
            </w:r>
            <w:r>
              <w:rPr>
                <w:w w:val="110"/>
              </w:rPr>
              <w:t>year</w:t>
            </w:r>
            <w:r>
              <w:rPr>
                <w:spacing w:val="-11"/>
                <w:w w:val="110"/>
              </w:rPr>
              <w:t xml:space="preserve"> </w:t>
            </w:r>
            <w:r>
              <w:rPr>
                <w:w w:val="110"/>
              </w:rPr>
              <w:t>then</w:t>
            </w:r>
            <w:r>
              <w:rPr>
                <w:spacing w:val="-25"/>
                <w:w w:val="110"/>
              </w:rPr>
              <w:t xml:space="preserve"> </w:t>
            </w:r>
            <w:r>
              <w:rPr>
                <w:spacing w:val="-2"/>
                <w:w w:val="110"/>
              </w:rPr>
              <w:t>ended</w:t>
            </w:r>
          </w:p>
          <w:p w14:paraId="45702BAA" w14:textId="77777777" w:rsidR="007D3D95" w:rsidRDefault="007D3D95" w:rsidP="007D3D95">
            <w:pPr>
              <w:pStyle w:val="Bullet"/>
            </w:pPr>
            <w:r>
              <w:rPr>
                <w:w w:val="110"/>
              </w:rPr>
              <w:t>statement</w:t>
            </w:r>
            <w:r>
              <w:rPr>
                <w:spacing w:val="2"/>
                <w:w w:val="110"/>
              </w:rPr>
              <w:t xml:space="preserve"> </w:t>
            </w:r>
            <w:r>
              <w:rPr>
                <w:w w:val="110"/>
              </w:rPr>
              <w:t>of</w:t>
            </w:r>
            <w:r>
              <w:rPr>
                <w:spacing w:val="-3"/>
                <w:w w:val="110"/>
              </w:rPr>
              <w:t xml:space="preserve"> </w:t>
            </w:r>
            <w:r>
              <w:rPr>
                <w:w w:val="110"/>
              </w:rPr>
              <w:t>changes</w:t>
            </w:r>
            <w:r>
              <w:rPr>
                <w:spacing w:val="-7"/>
                <w:w w:val="110"/>
              </w:rPr>
              <w:t xml:space="preserve"> </w:t>
            </w:r>
            <w:r>
              <w:rPr>
                <w:w w:val="110"/>
              </w:rPr>
              <w:t>in</w:t>
            </w:r>
            <w:r>
              <w:rPr>
                <w:spacing w:val="8"/>
                <w:w w:val="110"/>
              </w:rPr>
              <w:t xml:space="preserve"> </w:t>
            </w:r>
            <w:r>
              <w:rPr>
                <w:w w:val="110"/>
              </w:rPr>
              <w:t>equity for</w:t>
            </w:r>
            <w:r>
              <w:rPr>
                <w:spacing w:val="-6"/>
                <w:w w:val="110"/>
              </w:rPr>
              <w:t xml:space="preserve"> </w:t>
            </w:r>
            <w:r>
              <w:rPr>
                <w:w w:val="110"/>
              </w:rPr>
              <w:t>the</w:t>
            </w:r>
            <w:r>
              <w:rPr>
                <w:spacing w:val="-4"/>
                <w:w w:val="110"/>
              </w:rPr>
              <w:t xml:space="preserve"> </w:t>
            </w:r>
            <w:r>
              <w:rPr>
                <w:w w:val="110"/>
              </w:rPr>
              <w:t>year</w:t>
            </w:r>
            <w:r>
              <w:rPr>
                <w:spacing w:val="-4"/>
                <w:w w:val="110"/>
              </w:rPr>
              <w:t xml:space="preserve"> </w:t>
            </w:r>
            <w:r>
              <w:rPr>
                <w:w w:val="110"/>
              </w:rPr>
              <w:t>then</w:t>
            </w:r>
            <w:r>
              <w:rPr>
                <w:spacing w:val="-18"/>
                <w:w w:val="110"/>
              </w:rPr>
              <w:t xml:space="preserve"> </w:t>
            </w:r>
            <w:r>
              <w:rPr>
                <w:spacing w:val="-2"/>
                <w:w w:val="110"/>
              </w:rPr>
              <w:t>ended</w:t>
            </w:r>
          </w:p>
          <w:p w14:paraId="7B47EDCC" w14:textId="77777777" w:rsidR="007D3D95" w:rsidRDefault="007D3D95" w:rsidP="007D3D95">
            <w:pPr>
              <w:pStyle w:val="Bullet"/>
            </w:pPr>
            <w:r>
              <w:rPr>
                <w:w w:val="110"/>
              </w:rPr>
              <w:t>cash</w:t>
            </w:r>
            <w:r>
              <w:rPr>
                <w:spacing w:val="-16"/>
                <w:w w:val="110"/>
              </w:rPr>
              <w:t xml:space="preserve"> </w:t>
            </w:r>
            <w:r>
              <w:rPr>
                <w:w w:val="110"/>
              </w:rPr>
              <w:t>flow</w:t>
            </w:r>
            <w:r>
              <w:rPr>
                <w:spacing w:val="-14"/>
                <w:w w:val="110"/>
              </w:rPr>
              <w:t xml:space="preserve"> </w:t>
            </w:r>
            <w:r>
              <w:rPr>
                <w:w w:val="110"/>
              </w:rPr>
              <w:t>statement</w:t>
            </w:r>
            <w:r>
              <w:rPr>
                <w:spacing w:val="22"/>
                <w:w w:val="110"/>
              </w:rPr>
              <w:t xml:space="preserve"> </w:t>
            </w:r>
            <w:r>
              <w:rPr>
                <w:w w:val="110"/>
              </w:rPr>
              <w:t>for</w:t>
            </w:r>
            <w:r>
              <w:rPr>
                <w:spacing w:val="4"/>
                <w:w w:val="110"/>
              </w:rPr>
              <w:t xml:space="preserve"> </w:t>
            </w:r>
            <w:r>
              <w:rPr>
                <w:w w:val="110"/>
              </w:rPr>
              <w:t>the</w:t>
            </w:r>
            <w:r>
              <w:rPr>
                <w:spacing w:val="6"/>
                <w:w w:val="110"/>
              </w:rPr>
              <w:t xml:space="preserve"> </w:t>
            </w:r>
            <w:r>
              <w:rPr>
                <w:w w:val="110"/>
              </w:rPr>
              <w:t>year then</w:t>
            </w:r>
            <w:r>
              <w:rPr>
                <w:spacing w:val="-15"/>
                <w:w w:val="110"/>
              </w:rPr>
              <w:t xml:space="preserve"> </w:t>
            </w:r>
            <w:r>
              <w:rPr>
                <w:spacing w:val="-2"/>
                <w:w w:val="110"/>
              </w:rPr>
              <w:t>ended</w:t>
            </w:r>
          </w:p>
          <w:p w14:paraId="117AB189" w14:textId="77777777" w:rsidR="007D3D95" w:rsidRDefault="007D3D95" w:rsidP="007D3D95">
            <w:pPr>
              <w:pStyle w:val="Bullet"/>
            </w:pPr>
            <w:r>
              <w:rPr>
                <w:w w:val="110"/>
              </w:rPr>
              <w:lastRenderedPageBreak/>
              <w:t>notes</w:t>
            </w:r>
            <w:r>
              <w:rPr>
                <w:spacing w:val="-13"/>
                <w:w w:val="110"/>
              </w:rPr>
              <w:t xml:space="preserve"> </w:t>
            </w:r>
            <w:r>
              <w:rPr>
                <w:w w:val="110"/>
              </w:rPr>
              <w:t>to</w:t>
            </w:r>
            <w:r>
              <w:rPr>
                <w:spacing w:val="-12"/>
                <w:w w:val="110"/>
              </w:rPr>
              <w:t xml:space="preserve"> </w:t>
            </w:r>
            <w:r>
              <w:rPr>
                <w:w w:val="110"/>
              </w:rPr>
              <w:t>the</w:t>
            </w:r>
            <w:r>
              <w:rPr>
                <w:spacing w:val="13"/>
                <w:w w:val="110"/>
              </w:rPr>
              <w:t xml:space="preserve"> </w:t>
            </w:r>
            <w:r>
              <w:rPr>
                <w:w w:val="110"/>
              </w:rPr>
              <w:t>financial</w:t>
            </w:r>
            <w:r>
              <w:rPr>
                <w:spacing w:val="-13"/>
                <w:w w:val="110"/>
              </w:rPr>
              <w:t xml:space="preserve"> </w:t>
            </w:r>
            <w:r>
              <w:rPr>
                <w:w w:val="110"/>
              </w:rPr>
              <w:t>statements,</w:t>
            </w:r>
            <w:r>
              <w:rPr>
                <w:spacing w:val="-6"/>
                <w:w w:val="110"/>
              </w:rPr>
              <w:t xml:space="preserve"> </w:t>
            </w:r>
            <w:r>
              <w:rPr>
                <w:w w:val="110"/>
              </w:rPr>
              <w:t>including</w:t>
            </w:r>
            <w:r>
              <w:rPr>
                <w:spacing w:val="-19"/>
                <w:w w:val="110"/>
              </w:rPr>
              <w:t xml:space="preserve"> </w:t>
            </w:r>
            <w:r>
              <w:rPr>
                <w:w w:val="110"/>
              </w:rPr>
              <w:t>material</w:t>
            </w:r>
            <w:r>
              <w:rPr>
                <w:spacing w:val="-9"/>
                <w:w w:val="110"/>
              </w:rPr>
              <w:t xml:space="preserve"> </w:t>
            </w:r>
            <w:r>
              <w:rPr>
                <w:w w:val="110"/>
              </w:rPr>
              <w:t>accounting</w:t>
            </w:r>
            <w:r>
              <w:rPr>
                <w:spacing w:val="-13"/>
                <w:w w:val="110"/>
              </w:rPr>
              <w:t xml:space="preserve"> </w:t>
            </w:r>
            <w:r>
              <w:rPr>
                <w:w w:val="110"/>
              </w:rPr>
              <w:t>policy</w:t>
            </w:r>
            <w:r>
              <w:rPr>
                <w:spacing w:val="-17"/>
                <w:w w:val="110"/>
              </w:rPr>
              <w:t xml:space="preserve"> </w:t>
            </w:r>
            <w:r>
              <w:rPr>
                <w:spacing w:val="-2"/>
                <w:w w:val="110"/>
              </w:rPr>
              <w:t>information</w:t>
            </w:r>
          </w:p>
          <w:p w14:paraId="2AF98327" w14:textId="595070C1" w:rsidR="007D3D95" w:rsidRDefault="007D3D95" w:rsidP="007D3D95">
            <w:pPr>
              <w:pStyle w:val="Bulletlast"/>
            </w:pPr>
            <w:r>
              <w:rPr>
                <w:w w:val="110"/>
              </w:rPr>
              <w:t>accountable</w:t>
            </w:r>
            <w:r>
              <w:rPr>
                <w:spacing w:val="16"/>
                <w:w w:val="110"/>
              </w:rPr>
              <w:t xml:space="preserve"> </w:t>
            </w:r>
            <w:r>
              <w:rPr>
                <w:w w:val="110"/>
              </w:rPr>
              <w:t>officer's</w:t>
            </w:r>
            <w:r>
              <w:rPr>
                <w:spacing w:val="6"/>
                <w:w w:val="110"/>
              </w:rPr>
              <w:t xml:space="preserve"> </w:t>
            </w:r>
            <w:r>
              <w:rPr>
                <w:w w:val="110"/>
              </w:rPr>
              <w:t>and</w:t>
            </w:r>
            <w:r>
              <w:rPr>
                <w:spacing w:val="-15"/>
                <w:w w:val="110"/>
              </w:rPr>
              <w:t xml:space="preserve"> </w:t>
            </w:r>
            <w:r>
              <w:rPr>
                <w:w w:val="110"/>
              </w:rPr>
              <w:t>chief financial</w:t>
            </w:r>
            <w:r>
              <w:rPr>
                <w:spacing w:val="-20"/>
                <w:w w:val="110"/>
              </w:rPr>
              <w:t xml:space="preserve"> </w:t>
            </w:r>
            <w:r>
              <w:rPr>
                <w:w w:val="110"/>
              </w:rPr>
              <w:t>officer's</w:t>
            </w:r>
            <w:r>
              <w:rPr>
                <w:spacing w:val="1"/>
                <w:w w:val="110"/>
              </w:rPr>
              <w:t xml:space="preserve"> </w:t>
            </w:r>
            <w:r>
              <w:rPr>
                <w:spacing w:val="-2"/>
                <w:w w:val="110"/>
              </w:rPr>
              <w:t>declaration.</w:t>
            </w:r>
          </w:p>
          <w:p w14:paraId="0376950B" w14:textId="6149345F" w:rsidR="007D3D95" w:rsidRDefault="007D3D95" w:rsidP="007D3D95">
            <w:r>
              <w:rPr>
                <w:w w:val="110"/>
              </w:rPr>
              <w:t>In my</w:t>
            </w:r>
            <w:r>
              <w:rPr>
                <w:spacing w:val="-5"/>
                <w:w w:val="110"/>
              </w:rPr>
              <w:t xml:space="preserve"> </w:t>
            </w:r>
            <w:r>
              <w:rPr>
                <w:w w:val="110"/>
              </w:rPr>
              <w:t>opinion</w:t>
            </w:r>
            <w:r>
              <w:rPr>
                <w:spacing w:val="-12"/>
                <w:w w:val="110"/>
              </w:rPr>
              <w:t xml:space="preserve"> </w:t>
            </w:r>
            <w:r>
              <w:rPr>
                <w:w w:val="110"/>
              </w:rPr>
              <w:t>the financial</w:t>
            </w:r>
            <w:r>
              <w:rPr>
                <w:spacing w:val="-12"/>
                <w:w w:val="110"/>
              </w:rPr>
              <w:t xml:space="preserve"> </w:t>
            </w:r>
            <w:r>
              <w:rPr>
                <w:w w:val="110"/>
              </w:rPr>
              <w:t>report presents fairly,</w:t>
            </w:r>
            <w:r>
              <w:rPr>
                <w:spacing w:val="-15"/>
                <w:w w:val="110"/>
              </w:rPr>
              <w:t xml:space="preserve"> </w:t>
            </w:r>
            <w:r>
              <w:rPr>
                <w:w w:val="110"/>
              </w:rPr>
              <w:t>in</w:t>
            </w:r>
            <w:r>
              <w:rPr>
                <w:spacing w:val="-10"/>
                <w:w w:val="110"/>
              </w:rPr>
              <w:t xml:space="preserve"> </w:t>
            </w:r>
            <w:r>
              <w:rPr>
                <w:w w:val="110"/>
              </w:rPr>
              <w:t>all</w:t>
            </w:r>
            <w:r>
              <w:rPr>
                <w:spacing w:val="-14"/>
                <w:w w:val="110"/>
              </w:rPr>
              <w:t xml:space="preserve"> </w:t>
            </w:r>
            <w:r>
              <w:rPr>
                <w:w w:val="110"/>
              </w:rPr>
              <w:t>material</w:t>
            </w:r>
            <w:r>
              <w:rPr>
                <w:spacing w:val="-7"/>
                <w:w w:val="110"/>
              </w:rPr>
              <w:t xml:space="preserve"> </w:t>
            </w:r>
            <w:r>
              <w:rPr>
                <w:w w:val="110"/>
              </w:rPr>
              <w:t>respects, the</w:t>
            </w:r>
            <w:r>
              <w:rPr>
                <w:spacing w:val="17"/>
                <w:w w:val="110"/>
              </w:rPr>
              <w:t xml:space="preserve"> </w:t>
            </w:r>
            <w:r>
              <w:rPr>
                <w:w w:val="110"/>
              </w:rPr>
              <w:t>financial position</w:t>
            </w:r>
            <w:r>
              <w:rPr>
                <w:spacing w:val="-9"/>
                <w:w w:val="110"/>
              </w:rPr>
              <w:t xml:space="preserve"> </w:t>
            </w:r>
            <w:r>
              <w:rPr>
                <w:w w:val="110"/>
              </w:rPr>
              <w:t>of the department as</w:t>
            </w:r>
            <w:r>
              <w:rPr>
                <w:spacing w:val="-19"/>
                <w:w w:val="110"/>
              </w:rPr>
              <w:t xml:space="preserve"> </w:t>
            </w:r>
            <w:r>
              <w:rPr>
                <w:w w:val="110"/>
              </w:rPr>
              <w:t>at 30 June</w:t>
            </w:r>
            <w:r>
              <w:rPr>
                <w:spacing w:val="-7"/>
                <w:w w:val="110"/>
              </w:rPr>
              <w:t xml:space="preserve"> </w:t>
            </w:r>
            <w:r>
              <w:rPr>
                <w:w w:val="110"/>
              </w:rPr>
              <w:t>2025</w:t>
            </w:r>
            <w:r>
              <w:rPr>
                <w:spacing w:val="-15"/>
                <w:w w:val="110"/>
              </w:rPr>
              <w:t xml:space="preserve"> </w:t>
            </w:r>
            <w:r>
              <w:rPr>
                <w:w w:val="110"/>
              </w:rPr>
              <w:t>and its financial performance</w:t>
            </w:r>
            <w:r>
              <w:rPr>
                <w:spacing w:val="-2"/>
                <w:w w:val="110"/>
              </w:rPr>
              <w:t xml:space="preserve"> </w:t>
            </w:r>
            <w:r>
              <w:rPr>
                <w:w w:val="110"/>
              </w:rPr>
              <w:t>and</w:t>
            </w:r>
            <w:r>
              <w:rPr>
                <w:spacing w:val="-11"/>
                <w:w w:val="110"/>
              </w:rPr>
              <w:t xml:space="preserve"> </w:t>
            </w:r>
            <w:r>
              <w:rPr>
                <w:w w:val="110"/>
              </w:rPr>
              <w:t>cash</w:t>
            </w:r>
            <w:r>
              <w:rPr>
                <w:spacing w:val="-9"/>
                <w:w w:val="110"/>
              </w:rPr>
              <w:t xml:space="preserve"> </w:t>
            </w:r>
            <w:r>
              <w:rPr>
                <w:w w:val="110"/>
              </w:rPr>
              <w:t>flows</w:t>
            </w:r>
            <w:r>
              <w:rPr>
                <w:spacing w:val="-10"/>
                <w:w w:val="110"/>
              </w:rPr>
              <w:t xml:space="preserve"> </w:t>
            </w:r>
            <w:r>
              <w:rPr>
                <w:w w:val="110"/>
              </w:rPr>
              <w:t>for</w:t>
            </w:r>
            <w:r>
              <w:rPr>
                <w:spacing w:val="-1"/>
                <w:w w:val="110"/>
              </w:rPr>
              <w:t xml:space="preserve"> </w:t>
            </w:r>
            <w:r>
              <w:rPr>
                <w:w w:val="110"/>
              </w:rPr>
              <w:t>the year then</w:t>
            </w:r>
            <w:r>
              <w:rPr>
                <w:spacing w:val="-6"/>
                <w:w w:val="110"/>
              </w:rPr>
              <w:t xml:space="preserve"> </w:t>
            </w:r>
            <w:r>
              <w:rPr>
                <w:w w:val="110"/>
              </w:rPr>
              <w:t>ended</w:t>
            </w:r>
            <w:r>
              <w:rPr>
                <w:spacing w:val="-1"/>
                <w:w w:val="110"/>
              </w:rPr>
              <w:t xml:space="preserve"> </w:t>
            </w:r>
            <w:r>
              <w:rPr>
                <w:w w:val="110"/>
              </w:rPr>
              <w:t>in accordance with</w:t>
            </w:r>
            <w:r>
              <w:rPr>
                <w:spacing w:val="-22"/>
                <w:w w:val="110"/>
              </w:rPr>
              <w:t xml:space="preserve"> </w:t>
            </w:r>
            <w:r>
              <w:rPr>
                <w:w w:val="110"/>
              </w:rPr>
              <w:t>the</w:t>
            </w:r>
            <w:r>
              <w:rPr>
                <w:spacing w:val="-7"/>
                <w:w w:val="110"/>
              </w:rPr>
              <w:t xml:space="preserve"> </w:t>
            </w:r>
            <w:r>
              <w:rPr>
                <w:w w:val="110"/>
              </w:rPr>
              <w:t>financial reporting</w:t>
            </w:r>
            <w:r>
              <w:rPr>
                <w:spacing w:val="-10"/>
                <w:w w:val="110"/>
              </w:rPr>
              <w:t xml:space="preserve"> </w:t>
            </w:r>
            <w:r>
              <w:rPr>
                <w:w w:val="110"/>
              </w:rPr>
              <w:t>requirements</w:t>
            </w:r>
            <w:r>
              <w:rPr>
                <w:spacing w:val="-1"/>
                <w:w w:val="110"/>
              </w:rPr>
              <w:t xml:space="preserve"> </w:t>
            </w:r>
            <w:r>
              <w:rPr>
                <w:w w:val="110"/>
              </w:rPr>
              <w:t xml:space="preserve">of Part 7 of the </w:t>
            </w:r>
            <w:r>
              <w:rPr>
                <w:i/>
                <w:w w:val="110"/>
              </w:rPr>
              <w:t>Financial Management Act</w:t>
            </w:r>
            <w:r>
              <w:rPr>
                <w:i/>
                <w:spacing w:val="-30"/>
                <w:w w:val="110"/>
              </w:rPr>
              <w:t xml:space="preserve"> </w:t>
            </w:r>
            <w:r>
              <w:rPr>
                <w:i/>
                <w:w w:val="110"/>
              </w:rPr>
              <w:t>1994</w:t>
            </w:r>
            <w:r>
              <w:rPr>
                <w:i/>
                <w:spacing w:val="-6"/>
                <w:w w:val="110"/>
              </w:rPr>
              <w:t xml:space="preserve"> </w:t>
            </w:r>
            <w:r>
              <w:rPr>
                <w:w w:val="110"/>
              </w:rPr>
              <w:t>and</w:t>
            </w:r>
            <w:r>
              <w:rPr>
                <w:spacing w:val="-20"/>
                <w:w w:val="110"/>
              </w:rPr>
              <w:t xml:space="preserve"> </w:t>
            </w:r>
            <w:r>
              <w:rPr>
                <w:w w:val="110"/>
              </w:rPr>
              <w:t>applicable Australian Accounting</w:t>
            </w:r>
            <w:r>
              <w:rPr>
                <w:spacing w:val="-1"/>
                <w:w w:val="110"/>
              </w:rPr>
              <w:t xml:space="preserve"> </w:t>
            </w:r>
            <w:r>
              <w:rPr>
                <w:w w:val="110"/>
              </w:rPr>
              <w:t>Standards.</w:t>
            </w:r>
          </w:p>
        </w:tc>
      </w:tr>
      <w:tr w:rsidR="007D3D95" w14:paraId="7FA80D90" w14:textId="77777777" w:rsidTr="007D3D95">
        <w:tc>
          <w:tcPr>
            <w:tcW w:w="1555" w:type="dxa"/>
          </w:tcPr>
          <w:p w14:paraId="7F14AC39" w14:textId="5D72D322" w:rsidR="007D3D95" w:rsidRPr="007D3D95" w:rsidRDefault="007D3D95" w:rsidP="007D3D95">
            <w:pPr>
              <w:rPr>
                <w:b/>
                <w:bCs/>
              </w:rPr>
            </w:pPr>
            <w:r w:rsidRPr="007D3D95">
              <w:rPr>
                <w:b/>
                <w:bCs/>
                <w:w w:val="90"/>
              </w:rPr>
              <w:lastRenderedPageBreak/>
              <w:t>Basis</w:t>
            </w:r>
            <w:r w:rsidRPr="007D3D95">
              <w:rPr>
                <w:b/>
                <w:bCs/>
                <w:spacing w:val="-9"/>
                <w:w w:val="90"/>
              </w:rPr>
              <w:t xml:space="preserve"> </w:t>
            </w:r>
            <w:r w:rsidRPr="007D3D95">
              <w:rPr>
                <w:b/>
                <w:bCs/>
                <w:w w:val="90"/>
              </w:rPr>
              <w:t xml:space="preserve">for </w:t>
            </w:r>
            <w:r w:rsidRPr="007D3D95">
              <w:rPr>
                <w:b/>
                <w:bCs/>
                <w:spacing w:val="-2"/>
              </w:rPr>
              <w:t>opinion</w:t>
            </w:r>
          </w:p>
        </w:tc>
        <w:tc>
          <w:tcPr>
            <w:tcW w:w="8074" w:type="dxa"/>
          </w:tcPr>
          <w:p w14:paraId="092E11F2" w14:textId="77777777" w:rsidR="007D3D95" w:rsidRDefault="007D3D95" w:rsidP="007D3D95">
            <w:r>
              <w:rPr>
                <w:w w:val="110"/>
              </w:rPr>
              <w:t>I have</w:t>
            </w:r>
            <w:r>
              <w:rPr>
                <w:spacing w:val="-15"/>
                <w:w w:val="110"/>
              </w:rPr>
              <w:t xml:space="preserve"> </w:t>
            </w:r>
            <w:r>
              <w:rPr>
                <w:w w:val="110"/>
              </w:rPr>
              <w:t>conducted my audit in accordance with</w:t>
            </w:r>
            <w:r>
              <w:rPr>
                <w:spacing w:val="-19"/>
                <w:w w:val="110"/>
              </w:rPr>
              <w:t xml:space="preserve"> </w:t>
            </w:r>
            <w:r>
              <w:rPr>
                <w:w w:val="110"/>
              </w:rPr>
              <w:t>the</w:t>
            </w:r>
            <w:r>
              <w:rPr>
                <w:spacing w:val="-6"/>
                <w:w w:val="110"/>
              </w:rPr>
              <w:t xml:space="preserve"> </w:t>
            </w:r>
            <w:r>
              <w:rPr>
                <w:i/>
                <w:w w:val="110"/>
              </w:rPr>
              <w:t>Audit Act</w:t>
            </w:r>
            <w:r>
              <w:rPr>
                <w:i/>
                <w:spacing w:val="-18"/>
                <w:w w:val="110"/>
              </w:rPr>
              <w:t xml:space="preserve"> </w:t>
            </w:r>
            <w:r>
              <w:rPr>
                <w:i/>
                <w:w w:val="110"/>
              </w:rPr>
              <w:t xml:space="preserve">1994 </w:t>
            </w:r>
            <w:r>
              <w:rPr>
                <w:w w:val="110"/>
              </w:rPr>
              <w:t>which incorporates the Australian</w:t>
            </w:r>
            <w:r>
              <w:rPr>
                <w:spacing w:val="-8"/>
                <w:w w:val="110"/>
              </w:rPr>
              <w:t xml:space="preserve"> </w:t>
            </w:r>
            <w:r>
              <w:rPr>
                <w:w w:val="110"/>
              </w:rPr>
              <w:t>Auditing</w:t>
            </w:r>
            <w:r>
              <w:rPr>
                <w:spacing w:val="-15"/>
                <w:w w:val="110"/>
              </w:rPr>
              <w:t xml:space="preserve"> </w:t>
            </w:r>
            <w:r>
              <w:rPr>
                <w:w w:val="110"/>
              </w:rPr>
              <w:t>Standards.</w:t>
            </w:r>
            <w:r>
              <w:rPr>
                <w:spacing w:val="-11"/>
                <w:w w:val="110"/>
              </w:rPr>
              <w:t xml:space="preserve"> </w:t>
            </w:r>
            <w:r>
              <w:rPr>
                <w:w w:val="110"/>
              </w:rPr>
              <w:t>I</w:t>
            </w:r>
            <w:r>
              <w:rPr>
                <w:spacing w:val="-6"/>
                <w:w w:val="110"/>
              </w:rPr>
              <w:t xml:space="preserve"> </w:t>
            </w:r>
            <w:r>
              <w:rPr>
                <w:w w:val="110"/>
              </w:rPr>
              <w:t>further</w:t>
            </w:r>
            <w:r>
              <w:rPr>
                <w:spacing w:val="-9"/>
                <w:w w:val="110"/>
              </w:rPr>
              <w:t xml:space="preserve"> </w:t>
            </w:r>
            <w:r>
              <w:rPr>
                <w:w w:val="110"/>
              </w:rPr>
              <w:t>describe</w:t>
            </w:r>
            <w:r>
              <w:rPr>
                <w:spacing w:val="-13"/>
                <w:w w:val="110"/>
              </w:rPr>
              <w:t xml:space="preserve"> </w:t>
            </w:r>
            <w:r>
              <w:rPr>
                <w:w w:val="110"/>
              </w:rPr>
              <w:t>my</w:t>
            </w:r>
            <w:r>
              <w:rPr>
                <w:spacing w:val="-4"/>
                <w:w w:val="110"/>
              </w:rPr>
              <w:t xml:space="preserve"> </w:t>
            </w:r>
            <w:r>
              <w:rPr>
                <w:w w:val="110"/>
              </w:rPr>
              <w:t>responsibilities</w:t>
            </w:r>
            <w:r>
              <w:rPr>
                <w:spacing w:val="-23"/>
                <w:w w:val="110"/>
              </w:rPr>
              <w:t xml:space="preserve"> </w:t>
            </w:r>
            <w:r>
              <w:rPr>
                <w:w w:val="110"/>
              </w:rPr>
              <w:t>under</w:t>
            </w:r>
            <w:r>
              <w:rPr>
                <w:spacing w:val="-12"/>
                <w:w w:val="110"/>
              </w:rPr>
              <w:t xml:space="preserve"> </w:t>
            </w:r>
            <w:r>
              <w:rPr>
                <w:w w:val="110"/>
              </w:rPr>
              <w:t>that</w:t>
            </w:r>
            <w:r>
              <w:rPr>
                <w:spacing w:val="-2"/>
                <w:w w:val="110"/>
              </w:rPr>
              <w:t xml:space="preserve"> </w:t>
            </w:r>
            <w:r>
              <w:rPr>
                <w:w w:val="110"/>
              </w:rPr>
              <w:t>Act</w:t>
            </w:r>
            <w:r>
              <w:rPr>
                <w:spacing w:val="-9"/>
                <w:w w:val="110"/>
              </w:rPr>
              <w:t xml:space="preserve"> </w:t>
            </w:r>
            <w:r>
              <w:rPr>
                <w:w w:val="110"/>
              </w:rPr>
              <w:t xml:space="preserve">and those standards in the </w:t>
            </w:r>
            <w:r>
              <w:rPr>
                <w:i/>
                <w:w w:val="110"/>
              </w:rPr>
              <w:t>Auditor's responsibilities for</w:t>
            </w:r>
            <w:r>
              <w:rPr>
                <w:i/>
                <w:spacing w:val="40"/>
                <w:w w:val="110"/>
              </w:rPr>
              <w:t xml:space="preserve"> </w:t>
            </w:r>
            <w:r>
              <w:rPr>
                <w:i/>
                <w:w w:val="110"/>
              </w:rPr>
              <w:t>the audit</w:t>
            </w:r>
            <w:r>
              <w:rPr>
                <w:i/>
                <w:spacing w:val="-4"/>
                <w:w w:val="110"/>
              </w:rPr>
              <w:t xml:space="preserve"> </w:t>
            </w:r>
            <w:r>
              <w:rPr>
                <w:i/>
                <w:w w:val="110"/>
              </w:rPr>
              <w:t xml:space="preserve">of the financial report </w:t>
            </w:r>
            <w:r>
              <w:rPr>
                <w:w w:val="110"/>
              </w:rPr>
              <w:t xml:space="preserve">section of my </w:t>
            </w:r>
            <w:r>
              <w:rPr>
                <w:spacing w:val="-2"/>
                <w:w w:val="110"/>
              </w:rPr>
              <w:t>report.</w:t>
            </w:r>
          </w:p>
          <w:p w14:paraId="477328A9" w14:textId="77777777" w:rsidR="007D3D95" w:rsidRDefault="007D3D95" w:rsidP="007D3D95">
            <w:r>
              <w:rPr>
                <w:w w:val="110"/>
              </w:rPr>
              <w:t>My independence is</w:t>
            </w:r>
            <w:r>
              <w:rPr>
                <w:spacing w:val="-8"/>
                <w:w w:val="110"/>
              </w:rPr>
              <w:t xml:space="preserve"> </w:t>
            </w:r>
            <w:r>
              <w:rPr>
                <w:w w:val="110"/>
              </w:rPr>
              <w:t>established by</w:t>
            </w:r>
            <w:r>
              <w:rPr>
                <w:spacing w:val="-13"/>
                <w:w w:val="110"/>
              </w:rPr>
              <w:t xml:space="preserve"> </w:t>
            </w:r>
            <w:r>
              <w:rPr>
                <w:w w:val="110"/>
              </w:rPr>
              <w:t>the</w:t>
            </w:r>
            <w:r>
              <w:rPr>
                <w:spacing w:val="25"/>
                <w:w w:val="110"/>
              </w:rPr>
              <w:t xml:space="preserve"> </w:t>
            </w:r>
            <w:r>
              <w:rPr>
                <w:i/>
                <w:w w:val="110"/>
              </w:rPr>
              <w:t>Constitution</w:t>
            </w:r>
            <w:r>
              <w:rPr>
                <w:i/>
                <w:spacing w:val="-6"/>
                <w:w w:val="110"/>
              </w:rPr>
              <w:t xml:space="preserve"> </w:t>
            </w:r>
            <w:r>
              <w:rPr>
                <w:i/>
                <w:w w:val="110"/>
              </w:rPr>
              <w:t>Act</w:t>
            </w:r>
            <w:r>
              <w:rPr>
                <w:i/>
                <w:spacing w:val="-6"/>
                <w:w w:val="110"/>
              </w:rPr>
              <w:t xml:space="preserve"> </w:t>
            </w:r>
            <w:r>
              <w:rPr>
                <w:i/>
                <w:w w:val="110"/>
              </w:rPr>
              <w:t>1975.</w:t>
            </w:r>
            <w:r>
              <w:rPr>
                <w:i/>
                <w:spacing w:val="-19"/>
                <w:w w:val="110"/>
              </w:rPr>
              <w:t xml:space="preserve"> </w:t>
            </w:r>
            <w:r>
              <w:rPr>
                <w:w w:val="110"/>
              </w:rPr>
              <w:t>My staff</w:t>
            </w:r>
            <w:r>
              <w:rPr>
                <w:spacing w:val="-9"/>
                <w:w w:val="110"/>
              </w:rPr>
              <w:t xml:space="preserve"> </w:t>
            </w:r>
            <w:r>
              <w:rPr>
                <w:w w:val="110"/>
              </w:rPr>
              <w:t>and</w:t>
            </w:r>
            <w:r>
              <w:rPr>
                <w:spacing w:val="-21"/>
                <w:w w:val="110"/>
              </w:rPr>
              <w:t xml:space="preserve"> </w:t>
            </w:r>
            <w:r>
              <w:rPr>
                <w:w w:val="110"/>
              </w:rPr>
              <w:t>I</w:t>
            </w:r>
            <w:r>
              <w:rPr>
                <w:spacing w:val="-2"/>
                <w:w w:val="110"/>
              </w:rPr>
              <w:t xml:space="preserve"> </w:t>
            </w:r>
            <w:r>
              <w:rPr>
                <w:w w:val="110"/>
              </w:rPr>
              <w:t>are</w:t>
            </w:r>
            <w:r>
              <w:rPr>
                <w:spacing w:val="-15"/>
                <w:w w:val="110"/>
              </w:rPr>
              <w:t xml:space="preserve"> </w:t>
            </w:r>
            <w:r>
              <w:rPr>
                <w:w w:val="110"/>
              </w:rPr>
              <w:t>independent of the department in accordance with</w:t>
            </w:r>
            <w:r>
              <w:rPr>
                <w:spacing w:val="-26"/>
                <w:w w:val="110"/>
              </w:rPr>
              <w:t xml:space="preserve"> </w:t>
            </w:r>
            <w:r>
              <w:rPr>
                <w:w w:val="110"/>
              </w:rPr>
              <w:t>the</w:t>
            </w:r>
            <w:r>
              <w:rPr>
                <w:spacing w:val="-18"/>
                <w:w w:val="110"/>
              </w:rPr>
              <w:t xml:space="preserve"> </w:t>
            </w:r>
            <w:r>
              <w:rPr>
                <w:w w:val="110"/>
              </w:rPr>
              <w:t>ethical</w:t>
            </w:r>
            <w:r>
              <w:rPr>
                <w:spacing w:val="-1"/>
                <w:w w:val="110"/>
              </w:rPr>
              <w:t xml:space="preserve"> </w:t>
            </w:r>
            <w:r>
              <w:rPr>
                <w:w w:val="110"/>
              </w:rPr>
              <w:t>requirements of</w:t>
            </w:r>
            <w:r>
              <w:rPr>
                <w:spacing w:val="-1"/>
                <w:w w:val="110"/>
              </w:rPr>
              <w:t xml:space="preserve"> </w:t>
            </w:r>
            <w:r>
              <w:rPr>
                <w:w w:val="110"/>
              </w:rPr>
              <w:t>the Accounting</w:t>
            </w:r>
            <w:r>
              <w:rPr>
                <w:spacing w:val="-6"/>
                <w:w w:val="110"/>
              </w:rPr>
              <w:t xml:space="preserve"> </w:t>
            </w:r>
            <w:r>
              <w:rPr>
                <w:w w:val="110"/>
              </w:rPr>
              <w:t xml:space="preserve">Professional and </w:t>
            </w:r>
            <w:r>
              <w:t xml:space="preserve">Ethical Standards Board's APES </w:t>
            </w:r>
            <w:r w:rsidRPr="007D3D95">
              <w:t xml:space="preserve">110 </w:t>
            </w:r>
            <w:r>
              <w:rPr>
                <w:i/>
              </w:rPr>
              <w:t>Code of</w:t>
            </w:r>
            <w:r>
              <w:rPr>
                <w:i/>
                <w:spacing w:val="40"/>
              </w:rPr>
              <w:t xml:space="preserve"> </w:t>
            </w:r>
            <w:r>
              <w:rPr>
                <w:i/>
              </w:rPr>
              <w:t>Ethics</w:t>
            </w:r>
            <w:r>
              <w:rPr>
                <w:i/>
                <w:spacing w:val="-10"/>
              </w:rPr>
              <w:t xml:space="preserve"> </w:t>
            </w:r>
            <w:r>
              <w:rPr>
                <w:i/>
              </w:rPr>
              <w:t>for</w:t>
            </w:r>
            <w:r>
              <w:rPr>
                <w:i/>
                <w:spacing w:val="40"/>
              </w:rPr>
              <w:t xml:space="preserve"> </w:t>
            </w:r>
            <w:r>
              <w:rPr>
                <w:i/>
              </w:rPr>
              <w:t>Professional</w:t>
            </w:r>
            <w:r>
              <w:rPr>
                <w:i/>
                <w:spacing w:val="39"/>
              </w:rPr>
              <w:t xml:space="preserve"> </w:t>
            </w:r>
            <w:r>
              <w:rPr>
                <w:i/>
              </w:rPr>
              <w:t>Accountants</w:t>
            </w:r>
            <w:r>
              <w:rPr>
                <w:i/>
                <w:spacing w:val="40"/>
              </w:rPr>
              <w:t xml:space="preserve"> </w:t>
            </w:r>
            <w:r>
              <w:rPr>
                <w:i/>
              </w:rPr>
              <w:t xml:space="preserve">(including </w:t>
            </w:r>
            <w:r>
              <w:rPr>
                <w:i/>
                <w:w w:val="110"/>
              </w:rPr>
              <w:t>Independence</w:t>
            </w:r>
            <w:r>
              <w:rPr>
                <w:i/>
                <w:spacing w:val="-4"/>
                <w:w w:val="110"/>
              </w:rPr>
              <w:t xml:space="preserve"> </w:t>
            </w:r>
            <w:r>
              <w:rPr>
                <w:i/>
                <w:w w:val="110"/>
              </w:rPr>
              <w:t xml:space="preserve">Standards) </w:t>
            </w:r>
            <w:r>
              <w:rPr>
                <w:w w:val="110"/>
              </w:rPr>
              <w:t>(the</w:t>
            </w:r>
            <w:r>
              <w:rPr>
                <w:spacing w:val="-16"/>
                <w:w w:val="110"/>
              </w:rPr>
              <w:t xml:space="preserve"> </w:t>
            </w:r>
            <w:r>
              <w:rPr>
                <w:w w:val="110"/>
              </w:rPr>
              <w:t>Code)</w:t>
            </w:r>
            <w:r>
              <w:rPr>
                <w:spacing w:val="-10"/>
                <w:w w:val="110"/>
              </w:rPr>
              <w:t xml:space="preserve"> </w:t>
            </w:r>
            <w:r>
              <w:rPr>
                <w:w w:val="110"/>
              </w:rPr>
              <w:t>that are</w:t>
            </w:r>
            <w:r>
              <w:rPr>
                <w:spacing w:val="-29"/>
                <w:w w:val="110"/>
              </w:rPr>
              <w:t xml:space="preserve"> </w:t>
            </w:r>
            <w:r>
              <w:rPr>
                <w:w w:val="110"/>
              </w:rPr>
              <w:t>relevant</w:t>
            </w:r>
            <w:r>
              <w:rPr>
                <w:spacing w:val="-8"/>
                <w:w w:val="110"/>
              </w:rPr>
              <w:t xml:space="preserve"> </w:t>
            </w:r>
            <w:r>
              <w:rPr>
                <w:w w:val="110"/>
              </w:rPr>
              <w:t>to</w:t>
            </w:r>
            <w:r>
              <w:rPr>
                <w:spacing w:val="34"/>
                <w:w w:val="110"/>
              </w:rPr>
              <w:t xml:space="preserve"> </w:t>
            </w:r>
            <w:r>
              <w:rPr>
                <w:w w:val="110"/>
              </w:rPr>
              <w:t>my audit</w:t>
            </w:r>
            <w:r>
              <w:rPr>
                <w:spacing w:val="-2"/>
                <w:w w:val="110"/>
              </w:rPr>
              <w:t xml:space="preserve"> </w:t>
            </w:r>
            <w:r>
              <w:rPr>
                <w:w w:val="110"/>
              </w:rPr>
              <w:t>of the financial report in Victoria.</w:t>
            </w:r>
            <w:r>
              <w:rPr>
                <w:spacing w:val="-5"/>
                <w:w w:val="110"/>
              </w:rPr>
              <w:t xml:space="preserve"> </w:t>
            </w:r>
            <w:r>
              <w:rPr>
                <w:w w:val="110"/>
              </w:rPr>
              <w:t>My</w:t>
            </w:r>
            <w:r>
              <w:rPr>
                <w:spacing w:val="19"/>
                <w:w w:val="110"/>
              </w:rPr>
              <w:t xml:space="preserve"> </w:t>
            </w:r>
            <w:r>
              <w:rPr>
                <w:w w:val="110"/>
              </w:rPr>
              <w:t>staff</w:t>
            </w:r>
            <w:r>
              <w:rPr>
                <w:spacing w:val="-1"/>
                <w:w w:val="110"/>
              </w:rPr>
              <w:t xml:space="preserve"> </w:t>
            </w:r>
            <w:r>
              <w:rPr>
                <w:w w:val="110"/>
              </w:rPr>
              <w:t>and</w:t>
            </w:r>
            <w:r>
              <w:rPr>
                <w:spacing w:val="-30"/>
                <w:w w:val="110"/>
              </w:rPr>
              <w:t xml:space="preserve"> </w:t>
            </w:r>
            <w:r>
              <w:rPr>
                <w:w w:val="110"/>
              </w:rPr>
              <w:t>I have</w:t>
            </w:r>
            <w:r>
              <w:rPr>
                <w:spacing w:val="-28"/>
                <w:w w:val="110"/>
              </w:rPr>
              <w:t xml:space="preserve"> </w:t>
            </w:r>
            <w:r>
              <w:rPr>
                <w:w w:val="110"/>
              </w:rPr>
              <w:t>also</w:t>
            </w:r>
            <w:r>
              <w:rPr>
                <w:spacing w:val="-6"/>
                <w:w w:val="110"/>
              </w:rPr>
              <w:t xml:space="preserve"> </w:t>
            </w:r>
            <w:r>
              <w:rPr>
                <w:w w:val="110"/>
              </w:rPr>
              <w:t>fulfilled</w:t>
            </w:r>
            <w:r>
              <w:rPr>
                <w:spacing w:val="-2"/>
                <w:w w:val="110"/>
              </w:rPr>
              <w:t xml:space="preserve"> </w:t>
            </w:r>
            <w:r>
              <w:rPr>
                <w:w w:val="110"/>
              </w:rPr>
              <w:t>our</w:t>
            </w:r>
            <w:r>
              <w:rPr>
                <w:spacing w:val="-4"/>
                <w:w w:val="110"/>
              </w:rPr>
              <w:t xml:space="preserve"> </w:t>
            </w:r>
            <w:r>
              <w:rPr>
                <w:w w:val="110"/>
              </w:rPr>
              <w:t>other ethical</w:t>
            </w:r>
            <w:r>
              <w:rPr>
                <w:spacing w:val="-5"/>
                <w:w w:val="110"/>
              </w:rPr>
              <w:t xml:space="preserve"> </w:t>
            </w:r>
            <w:r>
              <w:rPr>
                <w:w w:val="110"/>
              </w:rPr>
              <w:t>responsibilities</w:t>
            </w:r>
            <w:r>
              <w:rPr>
                <w:spacing w:val="-18"/>
                <w:w w:val="110"/>
              </w:rPr>
              <w:t xml:space="preserve"> </w:t>
            </w:r>
            <w:r>
              <w:rPr>
                <w:w w:val="110"/>
              </w:rPr>
              <w:t>in accordance with</w:t>
            </w:r>
            <w:r>
              <w:rPr>
                <w:spacing w:val="-17"/>
                <w:w w:val="110"/>
              </w:rPr>
              <w:t xml:space="preserve"> </w:t>
            </w:r>
            <w:r>
              <w:rPr>
                <w:w w:val="110"/>
              </w:rPr>
              <w:t xml:space="preserve">the </w:t>
            </w:r>
            <w:r>
              <w:rPr>
                <w:spacing w:val="-2"/>
                <w:w w:val="110"/>
              </w:rPr>
              <w:t>Code.</w:t>
            </w:r>
          </w:p>
          <w:p w14:paraId="571FF287" w14:textId="27EBBAA1" w:rsidR="007D3D95" w:rsidRDefault="007D3D95" w:rsidP="007D3D95">
            <w:r>
              <w:rPr>
                <w:w w:val="110"/>
              </w:rPr>
              <w:t>I believe</w:t>
            </w:r>
            <w:r>
              <w:rPr>
                <w:spacing w:val="-16"/>
                <w:w w:val="110"/>
              </w:rPr>
              <w:t xml:space="preserve"> </w:t>
            </w:r>
            <w:r>
              <w:rPr>
                <w:w w:val="110"/>
              </w:rPr>
              <w:t>that the</w:t>
            </w:r>
            <w:r>
              <w:rPr>
                <w:spacing w:val="-18"/>
                <w:w w:val="110"/>
              </w:rPr>
              <w:t xml:space="preserve"> </w:t>
            </w:r>
            <w:r>
              <w:rPr>
                <w:w w:val="110"/>
              </w:rPr>
              <w:t>audit</w:t>
            </w:r>
            <w:r>
              <w:rPr>
                <w:spacing w:val="-9"/>
                <w:w w:val="110"/>
              </w:rPr>
              <w:t xml:space="preserve"> </w:t>
            </w:r>
            <w:r>
              <w:rPr>
                <w:w w:val="110"/>
              </w:rPr>
              <w:t>evidence</w:t>
            </w:r>
            <w:r>
              <w:rPr>
                <w:spacing w:val="-9"/>
                <w:w w:val="110"/>
              </w:rPr>
              <w:t xml:space="preserve"> </w:t>
            </w:r>
            <w:r>
              <w:rPr>
                <w:w w:val="110"/>
              </w:rPr>
              <w:t>I have</w:t>
            </w:r>
            <w:r>
              <w:rPr>
                <w:spacing w:val="-22"/>
                <w:w w:val="110"/>
              </w:rPr>
              <w:t xml:space="preserve"> </w:t>
            </w:r>
            <w:r>
              <w:rPr>
                <w:w w:val="110"/>
              </w:rPr>
              <w:t>obtained</w:t>
            </w:r>
            <w:r>
              <w:rPr>
                <w:spacing w:val="-7"/>
                <w:w w:val="110"/>
              </w:rPr>
              <w:t xml:space="preserve"> </w:t>
            </w:r>
            <w:r>
              <w:rPr>
                <w:w w:val="110"/>
              </w:rPr>
              <w:t>is</w:t>
            </w:r>
            <w:r>
              <w:rPr>
                <w:spacing w:val="-25"/>
                <w:w w:val="110"/>
              </w:rPr>
              <w:t xml:space="preserve"> </w:t>
            </w:r>
            <w:r>
              <w:rPr>
                <w:w w:val="110"/>
              </w:rPr>
              <w:t>sufficient and</w:t>
            </w:r>
            <w:r>
              <w:rPr>
                <w:spacing w:val="-12"/>
                <w:w w:val="110"/>
              </w:rPr>
              <w:t xml:space="preserve"> </w:t>
            </w:r>
            <w:r>
              <w:rPr>
                <w:w w:val="110"/>
              </w:rPr>
              <w:t>appropriate to provide</w:t>
            </w:r>
            <w:r>
              <w:rPr>
                <w:spacing w:val="-12"/>
                <w:w w:val="110"/>
              </w:rPr>
              <w:t xml:space="preserve"> </w:t>
            </w:r>
            <w:r>
              <w:rPr>
                <w:w w:val="110"/>
              </w:rPr>
              <w:t>a</w:t>
            </w:r>
            <w:r>
              <w:rPr>
                <w:spacing w:val="-9"/>
                <w:w w:val="110"/>
              </w:rPr>
              <w:t xml:space="preserve"> </w:t>
            </w:r>
            <w:r>
              <w:rPr>
                <w:w w:val="110"/>
              </w:rPr>
              <w:t>basis for my opinion.</w:t>
            </w:r>
          </w:p>
        </w:tc>
      </w:tr>
      <w:tr w:rsidR="007D3D95" w14:paraId="464EED93" w14:textId="77777777" w:rsidTr="007D3D95">
        <w:tc>
          <w:tcPr>
            <w:tcW w:w="1555" w:type="dxa"/>
          </w:tcPr>
          <w:p w14:paraId="6D1D5C6C" w14:textId="468C4693" w:rsidR="007D3D95" w:rsidRPr="007D3D95" w:rsidRDefault="007D3D95" w:rsidP="007D3D95">
            <w:pPr>
              <w:rPr>
                <w:b/>
                <w:bCs/>
              </w:rPr>
            </w:pPr>
            <w:r w:rsidRPr="007D3D95">
              <w:rPr>
                <w:b/>
                <w:bCs/>
              </w:rPr>
              <w:t>Key audit matters</w:t>
            </w:r>
          </w:p>
        </w:tc>
        <w:tc>
          <w:tcPr>
            <w:tcW w:w="8074" w:type="dxa"/>
          </w:tcPr>
          <w:p w14:paraId="1A6F990B" w14:textId="4A8EA49A" w:rsidR="007D3D95" w:rsidRDefault="007D3D95" w:rsidP="007D3D95">
            <w:r w:rsidRPr="007D3D95">
              <w:t>Key audit matters are those matters that, in my professional judgement, were of most significance in my audit of the financial report of the current period. This matter was addressed in the context of my audit of the financial report as a whole, and in forming my opinion thereon, and I do not provide a separate opinion on this matter.</w:t>
            </w:r>
          </w:p>
        </w:tc>
      </w:tr>
    </w:tbl>
    <w:p w14:paraId="695A0C57" w14:textId="77777777" w:rsidR="007D3D95" w:rsidRPr="007D3D95" w:rsidRDefault="007D3D95" w:rsidP="007D3D95"/>
    <w:p w14:paraId="1CD647AE" w14:textId="21BF7F1E" w:rsidR="00EE5BB8" w:rsidRDefault="00EE5BB8" w:rsidP="007D3D95">
      <w:r w:rsidRPr="00C6052E">
        <w:rPr>
          <w:noProof/>
        </w:rPr>
        <w:lastRenderedPageBreak/>
        <w:drawing>
          <wp:inline distT="0" distB="0" distL="0" distR="0" wp14:anchorId="4BEAB2A3" wp14:editId="2BAC65C2">
            <wp:extent cx="3623702" cy="5124450"/>
            <wp:effectExtent l="19050" t="19050" r="15240" b="19050"/>
            <wp:docPr id="233604556" name="Picture 1" descr="Independent Auditor's Report from VAGO (page 2). Transcript of letter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604556" name="Picture 1" descr="Independent Auditor's Report from VAGO (page 2). Transcript of letter below."/>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36725" cy="5142867"/>
                    </a:xfrm>
                    <a:prstGeom prst="rect">
                      <a:avLst/>
                    </a:prstGeom>
                    <a:ln>
                      <a:solidFill>
                        <a:schemeClr val="tx1"/>
                      </a:solidFill>
                    </a:ln>
                  </pic:spPr>
                </pic:pic>
              </a:graphicData>
            </a:graphic>
          </wp:inline>
        </w:drawing>
      </w:r>
    </w:p>
    <w:tbl>
      <w:tblPr>
        <w:tblStyle w:val="TableGrid"/>
        <w:tblW w:w="0" w:type="auto"/>
        <w:tblLook w:val="04A0" w:firstRow="1" w:lastRow="0" w:firstColumn="1" w:lastColumn="0" w:noHBand="0" w:noVBand="1"/>
      </w:tblPr>
      <w:tblGrid>
        <w:gridCol w:w="4814"/>
        <w:gridCol w:w="4815"/>
      </w:tblGrid>
      <w:tr w:rsidR="00494786" w:rsidRPr="00494786" w14:paraId="4C3E993B" w14:textId="77777777" w:rsidTr="00494786">
        <w:tc>
          <w:tcPr>
            <w:tcW w:w="4814" w:type="dxa"/>
          </w:tcPr>
          <w:p w14:paraId="2A40B020" w14:textId="7AA635ED" w:rsidR="00494786" w:rsidRPr="00494786" w:rsidRDefault="00494786" w:rsidP="00494786">
            <w:pPr>
              <w:pStyle w:val="TableColumnHeading"/>
            </w:pPr>
            <w:r w:rsidRPr="00494786">
              <w:t>Key audit matter</w:t>
            </w:r>
          </w:p>
        </w:tc>
        <w:tc>
          <w:tcPr>
            <w:tcW w:w="4815" w:type="dxa"/>
          </w:tcPr>
          <w:p w14:paraId="0EB18B6D" w14:textId="6892768E" w:rsidR="00494786" w:rsidRPr="00494786" w:rsidRDefault="00494786" w:rsidP="00494786">
            <w:pPr>
              <w:pStyle w:val="TableColumnHeading"/>
            </w:pPr>
            <w:r w:rsidRPr="00494786">
              <w:t>How I addressed the matter</w:t>
            </w:r>
          </w:p>
        </w:tc>
      </w:tr>
      <w:tr w:rsidR="00494786" w14:paraId="2CA17A68" w14:textId="77777777" w:rsidTr="00494786">
        <w:tc>
          <w:tcPr>
            <w:tcW w:w="4814" w:type="dxa"/>
          </w:tcPr>
          <w:p w14:paraId="4694A48E" w14:textId="77777777" w:rsidR="00494786" w:rsidRPr="00494786" w:rsidRDefault="00494786" w:rsidP="00494786">
            <w:pPr>
              <w:rPr>
                <w:b/>
                <w:bCs/>
              </w:rPr>
            </w:pPr>
            <w:r w:rsidRPr="00494786">
              <w:rPr>
                <w:b/>
                <w:bCs/>
              </w:rPr>
              <w:t>Accounting</w:t>
            </w:r>
            <w:r w:rsidRPr="00494786">
              <w:rPr>
                <w:b/>
                <w:bCs/>
                <w:spacing w:val="-11"/>
              </w:rPr>
              <w:t xml:space="preserve"> </w:t>
            </w:r>
            <w:r w:rsidRPr="00494786">
              <w:rPr>
                <w:b/>
                <w:bCs/>
              </w:rPr>
              <w:t>for</w:t>
            </w:r>
            <w:r w:rsidRPr="00494786">
              <w:rPr>
                <w:b/>
                <w:bCs/>
                <w:spacing w:val="7"/>
              </w:rPr>
              <w:t xml:space="preserve"> </w:t>
            </w:r>
            <w:r w:rsidRPr="00494786">
              <w:rPr>
                <w:b/>
                <w:bCs/>
              </w:rPr>
              <w:t>service</w:t>
            </w:r>
            <w:r w:rsidRPr="00494786">
              <w:rPr>
                <w:b/>
                <w:bCs/>
                <w:spacing w:val="-7"/>
              </w:rPr>
              <w:t xml:space="preserve"> </w:t>
            </w:r>
            <w:r w:rsidRPr="00494786">
              <w:rPr>
                <w:b/>
                <w:bCs/>
              </w:rPr>
              <w:t>concession</w:t>
            </w:r>
            <w:r w:rsidRPr="00494786">
              <w:rPr>
                <w:b/>
                <w:bCs/>
                <w:spacing w:val="4"/>
              </w:rPr>
              <w:t xml:space="preserve"> </w:t>
            </w:r>
            <w:r w:rsidRPr="00494786">
              <w:rPr>
                <w:b/>
                <w:bCs/>
              </w:rPr>
              <w:t>arrangements</w:t>
            </w:r>
          </w:p>
          <w:p w14:paraId="188954F6" w14:textId="67D8CAD4" w:rsidR="00494786" w:rsidRPr="00494786" w:rsidRDefault="00494786" w:rsidP="00494786">
            <w:pPr>
              <w:rPr>
                <w:i/>
                <w:iCs/>
              </w:rPr>
            </w:pPr>
            <w:r w:rsidRPr="00494786">
              <w:rPr>
                <w:i/>
                <w:iCs/>
              </w:rPr>
              <w:t>Refer</w:t>
            </w:r>
            <w:r w:rsidRPr="00494786">
              <w:rPr>
                <w:i/>
                <w:iCs/>
                <w:spacing w:val="36"/>
              </w:rPr>
              <w:t xml:space="preserve"> </w:t>
            </w:r>
            <w:r w:rsidRPr="00494786">
              <w:rPr>
                <w:i/>
                <w:iCs/>
              </w:rPr>
              <w:t>to</w:t>
            </w:r>
            <w:r w:rsidRPr="00494786">
              <w:rPr>
                <w:i/>
                <w:iCs/>
                <w:spacing w:val="50"/>
              </w:rPr>
              <w:t xml:space="preserve"> </w:t>
            </w:r>
            <w:r w:rsidRPr="00494786">
              <w:rPr>
                <w:i/>
                <w:iCs/>
              </w:rPr>
              <w:t>Note</w:t>
            </w:r>
            <w:r w:rsidRPr="00494786">
              <w:rPr>
                <w:i/>
                <w:iCs/>
                <w:spacing w:val="17"/>
              </w:rPr>
              <w:t xml:space="preserve"> </w:t>
            </w:r>
            <w:r w:rsidRPr="00494786">
              <w:rPr>
                <w:i/>
                <w:iCs/>
              </w:rPr>
              <w:t>6.3</w:t>
            </w:r>
            <w:r w:rsidRPr="00494786">
              <w:rPr>
                <w:i/>
                <w:iCs/>
                <w:spacing w:val="7"/>
              </w:rPr>
              <w:t xml:space="preserve"> </w:t>
            </w:r>
            <w:r w:rsidRPr="00494786">
              <w:rPr>
                <w:i/>
                <w:iCs/>
              </w:rPr>
              <w:t>Other</w:t>
            </w:r>
            <w:r w:rsidRPr="00494786">
              <w:rPr>
                <w:i/>
                <w:iCs/>
                <w:spacing w:val="41"/>
              </w:rPr>
              <w:t xml:space="preserve"> </w:t>
            </w:r>
            <w:r w:rsidRPr="00494786">
              <w:rPr>
                <w:i/>
                <w:iCs/>
              </w:rPr>
              <w:t>non-financial</w:t>
            </w:r>
            <w:r w:rsidRPr="00494786">
              <w:rPr>
                <w:i/>
                <w:iCs/>
                <w:spacing w:val="17"/>
              </w:rPr>
              <w:t xml:space="preserve"> </w:t>
            </w:r>
            <w:r w:rsidRPr="00494786">
              <w:rPr>
                <w:i/>
                <w:iCs/>
              </w:rPr>
              <w:t>assets</w:t>
            </w:r>
            <w:r w:rsidRPr="00494786">
              <w:rPr>
                <w:i/>
                <w:iCs/>
                <w:spacing w:val="31"/>
              </w:rPr>
              <w:t xml:space="preserve"> </w:t>
            </w:r>
            <w:r w:rsidRPr="00494786">
              <w:rPr>
                <w:i/>
                <w:iCs/>
              </w:rPr>
              <w:t>and</w:t>
            </w:r>
            <w:r w:rsidRPr="00494786">
              <w:rPr>
                <w:i/>
                <w:iCs/>
                <w:spacing w:val="36"/>
              </w:rPr>
              <w:t xml:space="preserve"> </w:t>
            </w:r>
            <w:r w:rsidRPr="00494786">
              <w:rPr>
                <w:i/>
                <w:iCs/>
              </w:rPr>
              <w:t>Note</w:t>
            </w:r>
            <w:r w:rsidRPr="00494786">
              <w:rPr>
                <w:i/>
                <w:iCs/>
                <w:spacing w:val="5"/>
              </w:rPr>
              <w:t xml:space="preserve"> </w:t>
            </w:r>
            <w:r w:rsidRPr="00494786">
              <w:rPr>
                <w:i/>
                <w:iCs/>
              </w:rPr>
              <w:t>7.5</w:t>
            </w:r>
            <w:r w:rsidRPr="00494786">
              <w:rPr>
                <w:i/>
                <w:iCs/>
                <w:spacing w:val="23"/>
              </w:rPr>
              <w:t xml:space="preserve"> </w:t>
            </w:r>
            <w:r w:rsidRPr="00494786">
              <w:rPr>
                <w:i/>
                <w:iCs/>
              </w:rPr>
              <w:t>Commitments</w:t>
            </w:r>
            <w:r w:rsidRPr="00494786">
              <w:rPr>
                <w:i/>
                <w:iCs/>
                <w:spacing w:val="5"/>
              </w:rPr>
              <w:t xml:space="preserve"> </w:t>
            </w:r>
            <w:r w:rsidRPr="00494786">
              <w:rPr>
                <w:i/>
                <w:iCs/>
              </w:rPr>
              <w:t>for</w:t>
            </w:r>
            <w:r w:rsidRPr="00494786">
              <w:rPr>
                <w:i/>
                <w:iCs/>
                <w:spacing w:val="35"/>
              </w:rPr>
              <w:t xml:space="preserve"> </w:t>
            </w:r>
            <w:r w:rsidRPr="00494786">
              <w:rPr>
                <w:i/>
                <w:iCs/>
                <w:spacing w:val="-2"/>
              </w:rPr>
              <w:t>expenditure</w:t>
            </w:r>
          </w:p>
        </w:tc>
        <w:tc>
          <w:tcPr>
            <w:tcW w:w="4815" w:type="dxa"/>
          </w:tcPr>
          <w:p w14:paraId="678D23C0" w14:textId="77777777" w:rsidR="00494786" w:rsidRDefault="00494786" w:rsidP="007D3D95"/>
        </w:tc>
      </w:tr>
      <w:tr w:rsidR="00494786" w14:paraId="5BECA578" w14:textId="77777777" w:rsidTr="00494786">
        <w:tc>
          <w:tcPr>
            <w:tcW w:w="4814" w:type="dxa"/>
          </w:tcPr>
          <w:p w14:paraId="1BD08917" w14:textId="77777777" w:rsidR="00494786" w:rsidRDefault="00494786" w:rsidP="007D3D95">
            <w:r w:rsidRPr="00494786">
              <w:t>The department has an arrangement with BioNTech Australia Pty</w:t>
            </w:r>
            <w:r>
              <w:t xml:space="preserve"> </w:t>
            </w:r>
            <w:r w:rsidRPr="00494786">
              <w:t>Ltd to design, construct and operate a clinical-scale mRNA manufacturing facility.</w:t>
            </w:r>
          </w:p>
          <w:p w14:paraId="20BFD043" w14:textId="77777777" w:rsidR="00494786" w:rsidRDefault="00494786" w:rsidP="00494786">
            <w:r>
              <w:rPr>
                <w:w w:val="110"/>
              </w:rPr>
              <w:t>The</w:t>
            </w:r>
            <w:r>
              <w:rPr>
                <w:spacing w:val="-13"/>
                <w:w w:val="110"/>
              </w:rPr>
              <w:t xml:space="preserve"> </w:t>
            </w:r>
            <w:r>
              <w:rPr>
                <w:w w:val="110"/>
              </w:rPr>
              <w:t>facility</w:t>
            </w:r>
            <w:r>
              <w:rPr>
                <w:spacing w:val="-13"/>
                <w:w w:val="110"/>
              </w:rPr>
              <w:t xml:space="preserve"> </w:t>
            </w:r>
            <w:r>
              <w:rPr>
                <w:w w:val="110"/>
              </w:rPr>
              <w:t>will</w:t>
            </w:r>
            <w:r>
              <w:rPr>
                <w:spacing w:val="-13"/>
                <w:w w:val="110"/>
              </w:rPr>
              <w:t xml:space="preserve"> </w:t>
            </w:r>
            <w:r>
              <w:rPr>
                <w:w w:val="110"/>
              </w:rPr>
              <w:t>support</w:t>
            </w:r>
            <w:r>
              <w:rPr>
                <w:spacing w:val="-9"/>
                <w:w w:val="110"/>
              </w:rPr>
              <w:t xml:space="preserve"> </w:t>
            </w:r>
            <w:r>
              <w:rPr>
                <w:w w:val="110"/>
              </w:rPr>
              <w:t>research</w:t>
            </w:r>
            <w:r>
              <w:rPr>
                <w:spacing w:val="-13"/>
                <w:w w:val="110"/>
              </w:rPr>
              <w:t xml:space="preserve"> </w:t>
            </w:r>
            <w:r>
              <w:rPr>
                <w:w w:val="110"/>
              </w:rPr>
              <w:t>and</w:t>
            </w:r>
            <w:r>
              <w:rPr>
                <w:spacing w:val="-3"/>
                <w:w w:val="110"/>
              </w:rPr>
              <w:t xml:space="preserve"> </w:t>
            </w:r>
            <w:r>
              <w:rPr>
                <w:w w:val="110"/>
              </w:rPr>
              <w:t>development by</w:t>
            </w:r>
            <w:r>
              <w:rPr>
                <w:spacing w:val="-13"/>
                <w:w w:val="110"/>
              </w:rPr>
              <w:t xml:space="preserve"> </w:t>
            </w:r>
            <w:r>
              <w:rPr>
                <w:w w:val="110"/>
              </w:rPr>
              <w:t>producing investigational</w:t>
            </w:r>
            <w:r>
              <w:rPr>
                <w:spacing w:val="-8"/>
                <w:w w:val="110"/>
              </w:rPr>
              <w:t xml:space="preserve"> </w:t>
            </w:r>
            <w:r>
              <w:rPr>
                <w:w w:val="110"/>
              </w:rPr>
              <w:t>mRNA-based medicines.</w:t>
            </w:r>
            <w:r>
              <w:rPr>
                <w:spacing w:val="-4"/>
                <w:w w:val="110"/>
              </w:rPr>
              <w:t xml:space="preserve"> </w:t>
            </w:r>
            <w:r>
              <w:rPr>
                <w:w w:val="110"/>
              </w:rPr>
              <w:t>The</w:t>
            </w:r>
            <w:r>
              <w:rPr>
                <w:spacing w:val="-9"/>
                <w:w w:val="110"/>
              </w:rPr>
              <w:t xml:space="preserve"> </w:t>
            </w:r>
            <w:r>
              <w:rPr>
                <w:w w:val="110"/>
              </w:rPr>
              <w:t>state</w:t>
            </w:r>
            <w:r>
              <w:rPr>
                <w:spacing w:val="-4"/>
                <w:w w:val="110"/>
              </w:rPr>
              <w:t xml:space="preserve"> </w:t>
            </w:r>
            <w:r>
              <w:rPr>
                <w:w w:val="110"/>
              </w:rPr>
              <w:t>is</w:t>
            </w:r>
            <w:r>
              <w:rPr>
                <w:spacing w:val="-6"/>
                <w:w w:val="110"/>
              </w:rPr>
              <w:t xml:space="preserve"> </w:t>
            </w:r>
            <w:r>
              <w:rPr>
                <w:w w:val="110"/>
              </w:rPr>
              <w:t>funding BioNTech</w:t>
            </w:r>
            <w:r>
              <w:rPr>
                <w:spacing w:val="-2"/>
                <w:w w:val="110"/>
              </w:rPr>
              <w:t xml:space="preserve"> </w:t>
            </w:r>
            <w:r>
              <w:rPr>
                <w:w w:val="110"/>
              </w:rPr>
              <w:t>to</w:t>
            </w:r>
            <w:r>
              <w:rPr>
                <w:spacing w:val="40"/>
                <w:w w:val="110"/>
              </w:rPr>
              <w:t xml:space="preserve"> </w:t>
            </w:r>
            <w:r>
              <w:rPr>
                <w:w w:val="110"/>
              </w:rPr>
              <w:t>set up and operate</w:t>
            </w:r>
            <w:r>
              <w:rPr>
                <w:spacing w:val="-10"/>
                <w:w w:val="110"/>
              </w:rPr>
              <w:t xml:space="preserve"> </w:t>
            </w:r>
            <w:r>
              <w:rPr>
                <w:w w:val="110"/>
              </w:rPr>
              <w:t>the</w:t>
            </w:r>
            <w:r>
              <w:rPr>
                <w:spacing w:val="34"/>
                <w:w w:val="110"/>
              </w:rPr>
              <w:t xml:space="preserve"> </w:t>
            </w:r>
            <w:r>
              <w:rPr>
                <w:w w:val="110"/>
              </w:rPr>
              <w:t>facility and</w:t>
            </w:r>
            <w:r>
              <w:rPr>
                <w:spacing w:val="-4"/>
                <w:w w:val="110"/>
              </w:rPr>
              <w:t xml:space="preserve"> </w:t>
            </w:r>
            <w:r>
              <w:rPr>
                <w:w w:val="110"/>
              </w:rPr>
              <w:t>in return, will have</w:t>
            </w:r>
            <w:r>
              <w:rPr>
                <w:spacing w:val="-15"/>
                <w:w w:val="110"/>
              </w:rPr>
              <w:t xml:space="preserve"> </w:t>
            </w:r>
            <w:r>
              <w:rPr>
                <w:w w:val="110"/>
              </w:rPr>
              <w:t>access</w:t>
            </w:r>
            <w:r>
              <w:rPr>
                <w:spacing w:val="-10"/>
                <w:w w:val="110"/>
              </w:rPr>
              <w:t xml:space="preserve"> </w:t>
            </w:r>
            <w:r>
              <w:rPr>
                <w:w w:val="110"/>
              </w:rPr>
              <w:t>to</w:t>
            </w:r>
            <w:r>
              <w:rPr>
                <w:spacing w:val="36"/>
                <w:w w:val="110"/>
              </w:rPr>
              <w:t xml:space="preserve"> </w:t>
            </w:r>
            <w:r>
              <w:rPr>
                <w:w w:val="110"/>
              </w:rPr>
              <w:t>its</w:t>
            </w:r>
            <w:r>
              <w:rPr>
                <w:spacing w:val="23"/>
                <w:w w:val="110"/>
              </w:rPr>
              <w:t xml:space="preserve"> </w:t>
            </w:r>
            <w:r>
              <w:rPr>
                <w:w w:val="110"/>
              </w:rPr>
              <w:t>manufacturing</w:t>
            </w:r>
            <w:r>
              <w:rPr>
                <w:spacing w:val="-9"/>
                <w:w w:val="110"/>
              </w:rPr>
              <w:t xml:space="preserve"> </w:t>
            </w:r>
            <w:r>
              <w:rPr>
                <w:w w:val="110"/>
              </w:rPr>
              <w:t>capacity for investigational mRNA-based medicines.</w:t>
            </w:r>
          </w:p>
          <w:p w14:paraId="79A54B91" w14:textId="77777777" w:rsidR="00494786" w:rsidRDefault="00494786" w:rsidP="00494786">
            <w:pPr>
              <w:pStyle w:val="Normalbeforebullets"/>
            </w:pPr>
            <w:r>
              <w:rPr>
                <w:w w:val="110"/>
              </w:rPr>
              <w:lastRenderedPageBreak/>
              <w:t>I</w:t>
            </w:r>
            <w:r>
              <w:rPr>
                <w:spacing w:val="-4"/>
                <w:w w:val="110"/>
              </w:rPr>
              <w:t xml:space="preserve"> </w:t>
            </w:r>
            <w:r>
              <w:rPr>
                <w:w w:val="110"/>
              </w:rPr>
              <w:t>considered</w:t>
            </w:r>
            <w:r>
              <w:rPr>
                <w:spacing w:val="1"/>
                <w:w w:val="110"/>
              </w:rPr>
              <w:t xml:space="preserve"> </w:t>
            </w:r>
            <w:r>
              <w:rPr>
                <w:w w:val="110"/>
              </w:rPr>
              <w:t>this</w:t>
            </w:r>
            <w:r>
              <w:rPr>
                <w:spacing w:val="-21"/>
                <w:w w:val="110"/>
              </w:rPr>
              <w:t xml:space="preserve"> </w:t>
            </w:r>
            <w:r>
              <w:rPr>
                <w:w w:val="110"/>
              </w:rPr>
              <w:t>to</w:t>
            </w:r>
            <w:r>
              <w:rPr>
                <w:spacing w:val="9"/>
                <w:w w:val="110"/>
              </w:rPr>
              <w:t xml:space="preserve"> </w:t>
            </w:r>
            <w:r>
              <w:rPr>
                <w:w w:val="110"/>
              </w:rPr>
              <w:t>be</w:t>
            </w:r>
            <w:r>
              <w:rPr>
                <w:spacing w:val="-14"/>
                <w:w w:val="110"/>
              </w:rPr>
              <w:t xml:space="preserve"> </w:t>
            </w:r>
            <w:r>
              <w:rPr>
                <w:w w:val="110"/>
              </w:rPr>
              <w:t>a</w:t>
            </w:r>
            <w:r>
              <w:rPr>
                <w:spacing w:val="-7"/>
                <w:w w:val="110"/>
              </w:rPr>
              <w:t xml:space="preserve"> </w:t>
            </w:r>
            <w:r>
              <w:rPr>
                <w:w w:val="110"/>
              </w:rPr>
              <w:t>key</w:t>
            </w:r>
            <w:r>
              <w:rPr>
                <w:spacing w:val="-10"/>
                <w:w w:val="110"/>
              </w:rPr>
              <w:t xml:space="preserve"> </w:t>
            </w:r>
            <w:r>
              <w:rPr>
                <w:w w:val="110"/>
              </w:rPr>
              <w:t>audit</w:t>
            </w:r>
            <w:r>
              <w:rPr>
                <w:spacing w:val="-5"/>
                <w:w w:val="110"/>
              </w:rPr>
              <w:t xml:space="preserve"> </w:t>
            </w:r>
            <w:r>
              <w:rPr>
                <w:w w:val="110"/>
              </w:rPr>
              <w:t>matter</w:t>
            </w:r>
            <w:r>
              <w:rPr>
                <w:spacing w:val="2"/>
                <w:w w:val="110"/>
              </w:rPr>
              <w:t xml:space="preserve"> </w:t>
            </w:r>
            <w:r>
              <w:rPr>
                <w:spacing w:val="-2"/>
                <w:w w:val="110"/>
              </w:rPr>
              <w:t>because:</w:t>
            </w:r>
          </w:p>
          <w:p w14:paraId="1AC08A41" w14:textId="77777777" w:rsidR="00494786" w:rsidRDefault="00494786" w:rsidP="00494786">
            <w:pPr>
              <w:pStyle w:val="Bullet"/>
            </w:pPr>
            <w:r>
              <w:rPr>
                <w:w w:val="110"/>
              </w:rPr>
              <w:t>the</w:t>
            </w:r>
            <w:r>
              <w:rPr>
                <w:spacing w:val="4"/>
                <w:w w:val="110"/>
              </w:rPr>
              <w:t xml:space="preserve"> </w:t>
            </w:r>
            <w:r>
              <w:rPr>
                <w:w w:val="110"/>
              </w:rPr>
              <w:t>arrangement</w:t>
            </w:r>
            <w:r>
              <w:rPr>
                <w:spacing w:val="-3"/>
                <w:w w:val="110"/>
              </w:rPr>
              <w:t xml:space="preserve"> </w:t>
            </w:r>
            <w:r>
              <w:rPr>
                <w:w w:val="110"/>
              </w:rPr>
              <w:t>is</w:t>
            </w:r>
            <w:r>
              <w:rPr>
                <w:spacing w:val="-17"/>
                <w:w w:val="110"/>
              </w:rPr>
              <w:t xml:space="preserve"> </w:t>
            </w:r>
            <w:r>
              <w:rPr>
                <w:w w:val="110"/>
              </w:rPr>
              <w:t>financially</w:t>
            </w:r>
            <w:r>
              <w:rPr>
                <w:spacing w:val="-6"/>
                <w:w w:val="110"/>
              </w:rPr>
              <w:t xml:space="preserve"> </w:t>
            </w:r>
            <w:r>
              <w:rPr>
                <w:spacing w:val="-2"/>
                <w:w w:val="110"/>
              </w:rPr>
              <w:t>significant</w:t>
            </w:r>
          </w:p>
          <w:p w14:paraId="6784A299" w14:textId="77777777" w:rsidR="00494786" w:rsidRDefault="00494786" w:rsidP="00494786">
            <w:pPr>
              <w:pStyle w:val="Bullet"/>
            </w:pPr>
            <w:r>
              <w:rPr>
                <w:w w:val="110"/>
              </w:rPr>
              <w:t>the contractual</w:t>
            </w:r>
            <w:r>
              <w:rPr>
                <w:spacing w:val="-11"/>
                <w:w w:val="110"/>
              </w:rPr>
              <w:t xml:space="preserve"> </w:t>
            </w:r>
            <w:r>
              <w:rPr>
                <w:w w:val="110"/>
              </w:rPr>
              <w:t>agreement is</w:t>
            </w:r>
            <w:r>
              <w:rPr>
                <w:spacing w:val="-9"/>
                <w:w w:val="110"/>
              </w:rPr>
              <w:t xml:space="preserve"> </w:t>
            </w:r>
            <w:r>
              <w:rPr>
                <w:w w:val="110"/>
              </w:rPr>
              <w:t>complex.</w:t>
            </w:r>
            <w:r>
              <w:rPr>
                <w:spacing w:val="-5"/>
                <w:w w:val="110"/>
              </w:rPr>
              <w:t xml:space="preserve"> </w:t>
            </w:r>
            <w:r>
              <w:rPr>
                <w:w w:val="110"/>
              </w:rPr>
              <w:t>It involves</w:t>
            </w:r>
            <w:r>
              <w:rPr>
                <w:spacing w:val="-11"/>
                <w:w w:val="110"/>
              </w:rPr>
              <w:t xml:space="preserve"> </w:t>
            </w:r>
            <w:r>
              <w:rPr>
                <w:w w:val="110"/>
              </w:rPr>
              <w:t xml:space="preserve">multiple </w:t>
            </w:r>
            <w:r>
              <w:rPr>
                <w:spacing w:val="-2"/>
                <w:w w:val="110"/>
              </w:rPr>
              <w:t>parties,</w:t>
            </w:r>
            <w:r>
              <w:rPr>
                <w:spacing w:val="-6"/>
                <w:w w:val="110"/>
              </w:rPr>
              <w:t xml:space="preserve"> </w:t>
            </w:r>
            <w:r>
              <w:rPr>
                <w:spacing w:val="-2"/>
                <w:w w:val="110"/>
              </w:rPr>
              <w:t>includes several</w:t>
            </w:r>
            <w:r>
              <w:rPr>
                <w:spacing w:val="-5"/>
                <w:w w:val="110"/>
              </w:rPr>
              <w:t xml:space="preserve"> </w:t>
            </w:r>
            <w:r>
              <w:rPr>
                <w:spacing w:val="-2"/>
                <w:w w:val="110"/>
              </w:rPr>
              <w:t>milestones,</w:t>
            </w:r>
            <w:r>
              <w:rPr>
                <w:spacing w:val="-5"/>
                <w:w w:val="110"/>
              </w:rPr>
              <w:t xml:space="preserve"> </w:t>
            </w:r>
            <w:r>
              <w:rPr>
                <w:spacing w:val="-2"/>
                <w:w w:val="110"/>
              </w:rPr>
              <w:t>and is</w:t>
            </w:r>
            <w:r>
              <w:rPr>
                <w:spacing w:val="-11"/>
                <w:w w:val="110"/>
              </w:rPr>
              <w:t xml:space="preserve"> </w:t>
            </w:r>
            <w:r>
              <w:rPr>
                <w:spacing w:val="-2"/>
                <w:w w:val="110"/>
              </w:rPr>
              <w:t>being</w:t>
            </w:r>
            <w:r>
              <w:rPr>
                <w:spacing w:val="-11"/>
                <w:w w:val="110"/>
              </w:rPr>
              <w:t xml:space="preserve"> </w:t>
            </w:r>
            <w:r>
              <w:rPr>
                <w:spacing w:val="-2"/>
                <w:w w:val="110"/>
              </w:rPr>
              <w:t xml:space="preserve">delivered </w:t>
            </w:r>
            <w:r>
              <w:rPr>
                <w:w w:val="110"/>
              </w:rPr>
              <w:t>in multiple stages</w:t>
            </w:r>
          </w:p>
          <w:p w14:paraId="665EB041" w14:textId="77777777" w:rsidR="00494786" w:rsidRPr="00494786" w:rsidRDefault="00494786" w:rsidP="00494786">
            <w:pPr>
              <w:pStyle w:val="Bulletlast"/>
            </w:pPr>
            <w:r>
              <w:rPr>
                <w:w w:val="110"/>
              </w:rPr>
              <w:t>the</w:t>
            </w:r>
            <w:r>
              <w:rPr>
                <w:spacing w:val="40"/>
                <w:w w:val="110"/>
              </w:rPr>
              <w:t xml:space="preserve"> </w:t>
            </w:r>
            <w:r>
              <w:rPr>
                <w:w w:val="110"/>
              </w:rPr>
              <w:t>arrangement required scope consideration under several accounting standards and ultimately</w:t>
            </w:r>
            <w:r>
              <w:rPr>
                <w:spacing w:val="40"/>
                <w:w w:val="110"/>
              </w:rPr>
              <w:t xml:space="preserve"> </w:t>
            </w:r>
            <w:r>
              <w:rPr>
                <w:w w:val="110"/>
              </w:rPr>
              <w:t xml:space="preserve">fell within </w:t>
            </w:r>
            <w:r>
              <w:t>AASB 1059</w:t>
            </w:r>
            <w:r>
              <w:rPr>
                <w:spacing w:val="-7"/>
              </w:rPr>
              <w:t xml:space="preserve"> </w:t>
            </w:r>
            <w:r>
              <w:rPr>
                <w:i/>
              </w:rPr>
              <w:t>Service Concession Arrangements: Granto</w:t>
            </w:r>
            <w:r>
              <w:t xml:space="preserve">rs and </w:t>
            </w:r>
            <w:r>
              <w:rPr>
                <w:w w:val="110"/>
              </w:rPr>
              <w:t>AASB</w:t>
            </w:r>
            <w:r>
              <w:rPr>
                <w:spacing w:val="-19"/>
                <w:w w:val="110"/>
              </w:rPr>
              <w:t xml:space="preserve"> </w:t>
            </w:r>
            <w:r>
              <w:rPr>
                <w:w w:val="110"/>
              </w:rPr>
              <w:t>16</w:t>
            </w:r>
            <w:r>
              <w:rPr>
                <w:spacing w:val="2"/>
                <w:w w:val="110"/>
              </w:rPr>
              <w:t xml:space="preserve"> </w:t>
            </w:r>
            <w:r>
              <w:rPr>
                <w:i/>
                <w:w w:val="110"/>
              </w:rPr>
              <w:t>Leases.</w:t>
            </w:r>
            <w:r>
              <w:rPr>
                <w:i/>
                <w:spacing w:val="-13"/>
                <w:w w:val="110"/>
              </w:rPr>
              <w:t xml:space="preserve"> </w:t>
            </w:r>
            <w:r>
              <w:rPr>
                <w:w w:val="110"/>
              </w:rPr>
              <w:t>Applying</w:t>
            </w:r>
            <w:r>
              <w:rPr>
                <w:spacing w:val="-17"/>
                <w:w w:val="110"/>
              </w:rPr>
              <w:t xml:space="preserve"> </w:t>
            </w:r>
            <w:r>
              <w:rPr>
                <w:w w:val="110"/>
              </w:rPr>
              <w:t>these</w:t>
            </w:r>
            <w:r>
              <w:rPr>
                <w:spacing w:val="-13"/>
                <w:w w:val="110"/>
              </w:rPr>
              <w:t xml:space="preserve"> </w:t>
            </w:r>
            <w:r>
              <w:rPr>
                <w:w w:val="110"/>
              </w:rPr>
              <w:t>standards</w:t>
            </w:r>
            <w:r>
              <w:rPr>
                <w:spacing w:val="-12"/>
                <w:w w:val="110"/>
              </w:rPr>
              <w:t xml:space="preserve"> </w:t>
            </w:r>
            <w:r>
              <w:rPr>
                <w:w w:val="110"/>
              </w:rPr>
              <w:t>required significant management judgment</w:t>
            </w:r>
          </w:p>
          <w:p w14:paraId="49E1B2B6" w14:textId="01E88B1F" w:rsidR="00494786" w:rsidRPr="00494786" w:rsidRDefault="00494786" w:rsidP="00494786">
            <w:pPr>
              <w:pStyle w:val="Bulletlast"/>
            </w:pPr>
            <w:r>
              <w:rPr>
                <w:w w:val="110"/>
              </w:rPr>
              <w:t>professional accounting</w:t>
            </w:r>
            <w:r>
              <w:rPr>
                <w:spacing w:val="-13"/>
                <w:w w:val="110"/>
              </w:rPr>
              <w:t xml:space="preserve"> </w:t>
            </w:r>
            <w:r>
              <w:rPr>
                <w:w w:val="110"/>
              </w:rPr>
              <w:t>advice</w:t>
            </w:r>
            <w:r>
              <w:rPr>
                <w:spacing w:val="-14"/>
                <w:w w:val="110"/>
              </w:rPr>
              <w:t xml:space="preserve"> </w:t>
            </w:r>
            <w:r>
              <w:rPr>
                <w:w w:val="110"/>
              </w:rPr>
              <w:t>on</w:t>
            </w:r>
            <w:r>
              <w:rPr>
                <w:spacing w:val="-9"/>
                <w:w w:val="110"/>
              </w:rPr>
              <w:t xml:space="preserve"> </w:t>
            </w:r>
            <w:r>
              <w:rPr>
                <w:w w:val="110"/>
              </w:rPr>
              <w:t>the</w:t>
            </w:r>
            <w:r>
              <w:rPr>
                <w:spacing w:val="19"/>
                <w:w w:val="110"/>
              </w:rPr>
              <w:t xml:space="preserve"> </w:t>
            </w:r>
            <w:r>
              <w:rPr>
                <w:w w:val="110"/>
              </w:rPr>
              <w:t>arrangement informed management's judgements.</w:t>
            </w:r>
          </w:p>
        </w:tc>
        <w:tc>
          <w:tcPr>
            <w:tcW w:w="4815" w:type="dxa"/>
          </w:tcPr>
          <w:p w14:paraId="557A5B10" w14:textId="77777777" w:rsidR="00494786" w:rsidRDefault="00494786" w:rsidP="007D3D95">
            <w:r w:rsidRPr="00494786">
              <w:lastRenderedPageBreak/>
              <w:t>My key audit procedures included:</w:t>
            </w:r>
          </w:p>
          <w:p w14:paraId="08EE5DFE" w14:textId="55B691C7" w:rsidR="00494786" w:rsidRDefault="00494786" w:rsidP="00494786">
            <w:pPr>
              <w:pStyle w:val="Bullet"/>
            </w:pPr>
            <w:r>
              <w:t>reviewing</w:t>
            </w:r>
            <w:r w:rsidRPr="00494786">
              <w:rPr>
                <w:spacing w:val="22"/>
              </w:rPr>
              <w:t xml:space="preserve"> </w:t>
            </w:r>
            <w:r>
              <w:t>key</w:t>
            </w:r>
            <w:r w:rsidRPr="00494786">
              <w:rPr>
                <w:spacing w:val="24"/>
              </w:rPr>
              <w:t xml:space="preserve"> </w:t>
            </w:r>
            <w:r>
              <w:t>agreements,</w:t>
            </w:r>
            <w:r w:rsidRPr="00494786">
              <w:rPr>
                <w:spacing w:val="44"/>
              </w:rPr>
              <w:t xml:space="preserve"> </w:t>
            </w:r>
            <w:r w:rsidRPr="00494786">
              <w:rPr>
                <w:spacing w:val="-2"/>
              </w:rPr>
              <w:t xml:space="preserve">other </w:t>
            </w:r>
            <w:r w:rsidRPr="00494786">
              <w:rPr>
                <w:w w:val="110"/>
              </w:rPr>
              <w:t xml:space="preserve">supporting documents, and the </w:t>
            </w:r>
            <w:r w:rsidRPr="00494786">
              <w:rPr>
                <w:spacing w:val="-2"/>
                <w:w w:val="110"/>
              </w:rPr>
              <w:t>professional accounting</w:t>
            </w:r>
            <w:r w:rsidRPr="00494786">
              <w:rPr>
                <w:spacing w:val="-10"/>
                <w:w w:val="110"/>
              </w:rPr>
              <w:t xml:space="preserve"> </w:t>
            </w:r>
            <w:r w:rsidRPr="00494786">
              <w:rPr>
                <w:spacing w:val="-2"/>
                <w:w w:val="110"/>
              </w:rPr>
              <w:t xml:space="preserve">advice obtained </w:t>
            </w:r>
            <w:r w:rsidRPr="00494786">
              <w:rPr>
                <w:w w:val="110"/>
              </w:rPr>
              <w:t>by the department</w:t>
            </w:r>
          </w:p>
          <w:p w14:paraId="3B988C3A" w14:textId="77777777" w:rsidR="00494786" w:rsidRDefault="00494786" w:rsidP="00494786">
            <w:pPr>
              <w:pStyle w:val="Bullet"/>
            </w:pPr>
            <w:r>
              <w:rPr>
                <w:w w:val="105"/>
              </w:rPr>
              <w:t>assessing the</w:t>
            </w:r>
            <w:r>
              <w:rPr>
                <w:spacing w:val="40"/>
                <w:w w:val="105"/>
              </w:rPr>
              <w:t xml:space="preserve"> </w:t>
            </w:r>
            <w:r>
              <w:rPr>
                <w:w w:val="105"/>
              </w:rPr>
              <w:t>reasonableness</w:t>
            </w:r>
            <w:r>
              <w:rPr>
                <w:spacing w:val="-1"/>
                <w:w w:val="105"/>
              </w:rPr>
              <w:t xml:space="preserve"> </w:t>
            </w:r>
            <w:r>
              <w:rPr>
                <w:w w:val="105"/>
              </w:rPr>
              <w:t>of significant judgements and assumptions made by management</w:t>
            </w:r>
          </w:p>
          <w:p w14:paraId="66485453" w14:textId="77777777" w:rsidR="00494786" w:rsidRDefault="00494786" w:rsidP="00494786">
            <w:pPr>
              <w:pStyle w:val="Bullet"/>
            </w:pPr>
            <w:r>
              <w:rPr>
                <w:w w:val="110"/>
              </w:rPr>
              <w:t>evaluating</w:t>
            </w:r>
            <w:r>
              <w:rPr>
                <w:spacing w:val="-5"/>
                <w:w w:val="110"/>
              </w:rPr>
              <w:t xml:space="preserve"> </w:t>
            </w:r>
            <w:r>
              <w:rPr>
                <w:w w:val="110"/>
              </w:rPr>
              <w:t xml:space="preserve">the accounting treatment </w:t>
            </w:r>
            <w:r>
              <w:rPr>
                <w:spacing w:val="-2"/>
                <w:w w:val="110"/>
              </w:rPr>
              <w:t>against</w:t>
            </w:r>
            <w:r>
              <w:rPr>
                <w:spacing w:val="-9"/>
                <w:w w:val="110"/>
              </w:rPr>
              <w:t xml:space="preserve"> </w:t>
            </w:r>
            <w:r>
              <w:rPr>
                <w:spacing w:val="-2"/>
                <w:w w:val="110"/>
              </w:rPr>
              <w:t>the requirements</w:t>
            </w:r>
            <w:r>
              <w:rPr>
                <w:spacing w:val="-9"/>
                <w:w w:val="110"/>
              </w:rPr>
              <w:t xml:space="preserve"> </w:t>
            </w:r>
            <w:r>
              <w:rPr>
                <w:spacing w:val="-2"/>
                <w:w w:val="110"/>
              </w:rPr>
              <w:t>of</w:t>
            </w:r>
            <w:r>
              <w:rPr>
                <w:spacing w:val="-3"/>
                <w:w w:val="110"/>
              </w:rPr>
              <w:t xml:space="preserve"> </w:t>
            </w:r>
            <w:r>
              <w:rPr>
                <w:spacing w:val="-2"/>
                <w:w w:val="110"/>
              </w:rPr>
              <w:t>AASB</w:t>
            </w:r>
            <w:r>
              <w:rPr>
                <w:spacing w:val="-19"/>
                <w:w w:val="110"/>
              </w:rPr>
              <w:t xml:space="preserve"> </w:t>
            </w:r>
            <w:r>
              <w:rPr>
                <w:spacing w:val="-2"/>
                <w:w w:val="110"/>
              </w:rPr>
              <w:t xml:space="preserve">1059, </w:t>
            </w:r>
            <w:r>
              <w:t>AASB</w:t>
            </w:r>
            <w:r>
              <w:rPr>
                <w:spacing w:val="-3"/>
              </w:rPr>
              <w:t xml:space="preserve"> </w:t>
            </w:r>
            <w:r>
              <w:t>16</w:t>
            </w:r>
            <w:r>
              <w:rPr>
                <w:spacing w:val="40"/>
              </w:rPr>
              <w:t xml:space="preserve"> </w:t>
            </w:r>
            <w:r>
              <w:t>and</w:t>
            </w:r>
            <w:r>
              <w:rPr>
                <w:spacing w:val="40"/>
              </w:rPr>
              <w:t xml:space="preserve"> </w:t>
            </w:r>
            <w:r>
              <w:t xml:space="preserve">other applicable Australian </w:t>
            </w:r>
            <w:r>
              <w:rPr>
                <w:w w:val="110"/>
              </w:rPr>
              <w:t>Accounting</w:t>
            </w:r>
            <w:r>
              <w:rPr>
                <w:spacing w:val="-20"/>
                <w:w w:val="110"/>
              </w:rPr>
              <w:t xml:space="preserve"> </w:t>
            </w:r>
            <w:r>
              <w:rPr>
                <w:w w:val="110"/>
              </w:rPr>
              <w:t>Standards</w:t>
            </w:r>
          </w:p>
          <w:p w14:paraId="7291BC2B" w14:textId="7FD7EA63" w:rsidR="00494786" w:rsidRDefault="00494786" w:rsidP="00494786">
            <w:pPr>
              <w:pStyle w:val="Bullet"/>
            </w:pPr>
            <w:r>
              <w:rPr>
                <w:w w:val="110"/>
              </w:rPr>
              <w:lastRenderedPageBreak/>
              <w:t>verifying</w:t>
            </w:r>
            <w:r>
              <w:rPr>
                <w:spacing w:val="-26"/>
                <w:w w:val="110"/>
              </w:rPr>
              <w:t xml:space="preserve"> </w:t>
            </w:r>
            <w:r>
              <w:rPr>
                <w:w w:val="110"/>
              </w:rPr>
              <w:t>the</w:t>
            </w:r>
            <w:r>
              <w:rPr>
                <w:spacing w:val="-13"/>
                <w:w w:val="110"/>
              </w:rPr>
              <w:t xml:space="preserve"> </w:t>
            </w:r>
            <w:r>
              <w:rPr>
                <w:w w:val="110"/>
              </w:rPr>
              <w:t>completeness</w:t>
            </w:r>
            <w:r>
              <w:rPr>
                <w:spacing w:val="-13"/>
                <w:w w:val="110"/>
              </w:rPr>
              <w:t xml:space="preserve"> </w:t>
            </w:r>
            <w:r>
              <w:rPr>
                <w:w w:val="110"/>
              </w:rPr>
              <w:t>and</w:t>
            </w:r>
            <w:r>
              <w:rPr>
                <w:spacing w:val="-13"/>
                <w:w w:val="110"/>
              </w:rPr>
              <w:t xml:space="preserve"> </w:t>
            </w:r>
            <w:r>
              <w:rPr>
                <w:w w:val="110"/>
              </w:rPr>
              <w:t>accuracy of reported prepayments and commitment values,</w:t>
            </w:r>
            <w:r>
              <w:rPr>
                <w:spacing w:val="-5"/>
                <w:w w:val="110"/>
              </w:rPr>
              <w:t xml:space="preserve"> </w:t>
            </w:r>
            <w:r>
              <w:rPr>
                <w:w w:val="110"/>
              </w:rPr>
              <w:t>by</w:t>
            </w:r>
            <w:r>
              <w:rPr>
                <w:spacing w:val="-13"/>
                <w:w w:val="110"/>
              </w:rPr>
              <w:t xml:space="preserve"> </w:t>
            </w:r>
            <w:r>
              <w:rPr>
                <w:w w:val="110"/>
              </w:rPr>
              <w:t>reconciling</w:t>
            </w:r>
            <w:r>
              <w:rPr>
                <w:spacing w:val="-15"/>
                <w:w w:val="110"/>
              </w:rPr>
              <w:t xml:space="preserve"> </w:t>
            </w:r>
            <w:r>
              <w:rPr>
                <w:w w:val="110"/>
              </w:rPr>
              <w:t>them to</w:t>
            </w:r>
            <w:r>
              <w:rPr>
                <w:spacing w:val="40"/>
                <w:w w:val="110"/>
              </w:rPr>
              <w:t xml:space="preserve"> </w:t>
            </w:r>
            <w:r>
              <w:rPr>
                <w:w w:val="110"/>
              </w:rPr>
              <w:t>payments made during the year and the underlying agreements.</w:t>
            </w:r>
          </w:p>
        </w:tc>
      </w:tr>
    </w:tbl>
    <w:p w14:paraId="08B609E4" w14:textId="77777777" w:rsidR="006D5FE0" w:rsidRDefault="006D5FE0" w:rsidP="006D5FE0">
      <w:pPr>
        <w:spacing w:after="0"/>
      </w:pPr>
    </w:p>
    <w:tbl>
      <w:tblPr>
        <w:tblStyle w:val="TableGrid"/>
        <w:tblW w:w="9634" w:type="dxa"/>
        <w:tblLook w:val="04A0" w:firstRow="1" w:lastRow="0" w:firstColumn="1" w:lastColumn="0" w:noHBand="0" w:noVBand="1"/>
      </w:tblPr>
      <w:tblGrid>
        <w:gridCol w:w="2122"/>
        <w:gridCol w:w="7512"/>
      </w:tblGrid>
      <w:tr w:rsidR="006D5FE0" w14:paraId="2A31C6CA" w14:textId="77777777" w:rsidTr="006D5FE0">
        <w:tc>
          <w:tcPr>
            <w:tcW w:w="2122" w:type="dxa"/>
          </w:tcPr>
          <w:p w14:paraId="70D4EF78" w14:textId="78ACB29E" w:rsidR="006D5FE0" w:rsidRPr="00494786" w:rsidRDefault="006D5FE0" w:rsidP="007D3D95">
            <w:pPr>
              <w:rPr>
                <w:b/>
                <w:bCs/>
              </w:rPr>
            </w:pPr>
            <w:r w:rsidRPr="00494786">
              <w:rPr>
                <w:b/>
                <w:bCs/>
              </w:rPr>
              <w:t>Other information</w:t>
            </w:r>
          </w:p>
        </w:tc>
        <w:tc>
          <w:tcPr>
            <w:tcW w:w="7512" w:type="dxa"/>
          </w:tcPr>
          <w:p w14:paraId="27B51CDF" w14:textId="77777777" w:rsidR="006D5FE0" w:rsidRDefault="006D5FE0" w:rsidP="007D3D95">
            <w:r w:rsidRPr="00494786">
              <w:t xml:space="preserve">The Secretary is responsible for the </w:t>
            </w:r>
            <w:r>
              <w:t>“</w:t>
            </w:r>
            <w:r w:rsidRPr="00494786">
              <w:t>other information</w:t>
            </w:r>
            <w:r>
              <w:t>”</w:t>
            </w:r>
            <w:r w:rsidRPr="00494786">
              <w:t xml:space="preserve"> included in the department's annual report for the year ended 30 June 2025. The other information in the annual report does not include the financial report and my auditor report thereon. My opinion on the financial report does not cover the other information included in the annual report. Accordingly, I do not express any form of assurance conclusion thereon. In connection with my audit of the financial report, my responsibility is to read the other information when it becomes available and, in doing so, consider whether the other information is materially inconsistent with the financial report or my knowledge obtained in the audit, or otherwise appears to be materially misstated. If, based on the work I have performed, I conclude that there is a materially misstatement of this other information, I am required to report that fact. I have nothing to report in this regard.</w:t>
            </w:r>
          </w:p>
        </w:tc>
      </w:tr>
      <w:tr w:rsidR="006D5FE0" w14:paraId="62CF2916" w14:textId="77777777" w:rsidTr="006D5FE0">
        <w:tc>
          <w:tcPr>
            <w:tcW w:w="2122" w:type="dxa"/>
          </w:tcPr>
          <w:p w14:paraId="2FFE91BD" w14:textId="13A569C8" w:rsidR="006D5FE0" w:rsidRPr="00494786" w:rsidRDefault="006D5FE0" w:rsidP="007D3D95">
            <w:pPr>
              <w:rPr>
                <w:b/>
                <w:bCs/>
              </w:rPr>
            </w:pPr>
            <w:r>
              <w:rPr>
                <w:b/>
                <w:bCs/>
              </w:rPr>
              <w:t>Secretary’s responsibilities for the financial report</w:t>
            </w:r>
          </w:p>
        </w:tc>
        <w:tc>
          <w:tcPr>
            <w:tcW w:w="7512" w:type="dxa"/>
          </w:tcPr>
          <w:p w14:paraId="3A22AF32" w14:textId="77777777" w:rsidR="006D5FE0" w:rsidRDefault="006D5FE0" w:rsidP="006D5FE0">
            <w:pPr>
              <w:rPr>
                <w:color w:val="010101"/>
                <w:spacing w:val="-2"/>
                <w:w w:val="115"/>
              </w:rPr>
            </w:pPr>
            <w:r w:rsidRPr="00FD7B75">
              <w:t>The Secretary is responsible for the preparation and fair presentation of the financial report in</w:t>
            </w:r>
            <w:r>
              <w:t xml:space="preserve"> </w:t>
            </w:r>
            <w:r>
              <w:rPr>
                <w:color w:val="010101"/>
                <w:w w:val="110"/>
              </w:rPr>
              <w:t>accordance</w:t>
            </w:r>
            <w:r>
              <w:rPr>
                <w:color w:val="010101"/>
                <w:spacing w:val="-13"/>
                <w:w w:val="110"/>
              </w:rPr>
              <w:t xml:space="preserve"> </w:t>
            </w:r>
            <w:r>
              <w:rPr>
                <w:color w:val="010101"/>
                <w:w w:val="110"/>
              </w:rPr>
              <w:t>with</w:t>
            </w:r>
            <w:r>
              <w:rPr>
                <w:color w:val="010101"/>
                <w:spacing w:val="-13"/>
                <w:w w:val="110"/>
              </w:rPr>
              <w:t xml:space="preserve"> </w:t>
            </w:r>
            <w:r>
              <w:rPr>
                <w:color w:val="010101"/>
                <w:w w:val="110"/>
              </w:rPr>
              <w:t>Australian</w:t>
            </w:r>
            <w:r>
              <w:rPr>
                <w:color w:val="010101"/>
                <w:spacing w:val="-13"/>
                <w:w w:val="110"/>
              </w:rPr>
              <w:t xml:space="preserve"> </w:t>
            </w:r>
            <w:r>
              <w:rPr>
                <w:color w:val="010101"/>
                <w:w w:val="110"/>
              </w:rPr>
              <w:t>Accounting</w:t>
            </w:r>
            <w:r>
              <w:rPr>
                <w:color w:val="010101"/>
                <w:spacing w:val="-20"/>
                <w:w w:val="110"/>
              </w:rPr>
              <w:t xml:space="preserve"> </w:t>
            </w:r>
            <w:r>
              <w:rPr>
                <w:color w:val="010101"/>
                <w:w w:val="110"/>
              </w:rPr>
              <w:t>Standards</w:t>
            </w:r>
            <w:r>
              <w:rPr>
                <w:color w:val="010101"/>
                <w:spacing w:val="-13"/>
                <w:w w:val="110"/>
              </w:rPr>
              <w:t xml:space="preserve"> </w:t>
            </w:r>
            <w:r>
              <w:rPr>
                <w:color w:val="010101"/>
                <w:w w:val="110"/>
              </w:rPr>
              <w:t>and</w:t>
            </w:r>
            <w:r>
              <w:rPr>
                <w:color w:val="010101"/>
                <w:spacing w:val="-13"/>
                <w:w w:val="110"/>
              </w:rPr>
              <w:t xml:space="preserve"> </w:t>
            </w:r>
            <w:r>
              <w:rPr>
                <w:color w:val="010101"/>
                <w:w w:val="110"/>
              </w:rPr>
              <w:t>the</w:t>
            </w:r>
            <w:r>
              <w:rPr>
                <w:color w:val="010101"/>
                <w:spacing w:val="13"/>
                <w:w w:val="110"/>
              </w:rPr>
              <w:t xml:space="preserve"> </w:t>
            </w:r>
            <w:r>
              <w:rPr>
                <w:i/>
                <w:color w:val="010101"/>
                <w:w w:val="110"/>
              </w:rPr>
              <w:t>Financial</w:t>
            </w:r>
            <w:r>
              <w:rPr>
                <w:i/>
                <w:color w:val="010101"/>
                <w:spacing w:val="-12"/>
                <w:w w:val="110"/>
              </w:rPr>
              <w:t xml:space="preserve"> </w:t>
            </w:r>
            <w:r>
              <w:rPr>
                <w:i/>
                <w:color w:val="010101"/>
                <w:w w:val="110"/>
              </w:rPr>
              <w:t>Management</w:t>
            </w:r>
            <w:r>
              <w:rPr>
                <w:i/>
                <w:color w:val="010101"/>
                <w:spacing w:val="-13"/>
                <w:w w:val="110"/>
              </w:rPr>
              <w:t xml:space="preserve"> </w:t>
            </w:r>
            <w:r>
              <w:rPr>
                <w:i/>
                <w:color w:val="010101"/>
                <w:w w:val="110"/>
              </w:rPr>
              <w:t>Act</w:t>
            </w:r>
            <w:r>
              <w:rPr>
                <w:i/>
                <w:color w:val="010101"/>
                <w:spacing w:val="-20"/>
                <w:w w:val="110"/>
              </w:rPr>
              <w:t xml:space="preserve"> </w:t>
            </w:r>
            <w:r>
              <w:rPr>
                <w:i/>
                <w:color w:val="010101"/>
                <w:w w:val="110"/>
              </w:rPr>
              <w:t>1994,</w:t>
            </w:r>
            <w:r>
              <w:rPr>
                <w:i/>
                <w:color w:val="010101"/>
                <w:spacing w:val="-25"/>
                <w:w w:val="110"/>
              </w:rPr>
              <w:t xml:space="preserve"> </w:t>
            </w:r>
            <w:r>
              <w:rPr>
                <w:color w:val="010101"/>
                <w:w w:val="110"/>
              </w:rPr>
              <w:t>and for</w:t>
            </w:r>
            <w:r>
              <w:rPr>
                <w:color w:val="010101"/>
                <w:spacing w:val="-6"/>
                <w:w w:val="110"/>
              </w:rPr>
              <w:t xml:space="preserve"> </w:t>
            </w:r>
            <w:r>
              <w:rPr>
                <w:color w:val="010101"/>
                <w:w w:val="110"/>
              </w:rPr>
              <w:t>such</w:t>
            </w:r>
            <w:r>
              <w:rPr>
                <w:color w:val="010101"/>
                <w:spacing w:val="-22"/>
                <w:w w:val="110"/>
              </w:rPr>
              <w:t xml:space="preserve"> </w:t>
            </w:r>
            <w:r>
              <w:rPr>
                <w:color w:val="010101"/>
                <w:w w:val="110"/>
              </w:rPr>
              <w:t>internal</w:t>
            </w:r>
            <w:r>
              <w:rPr>
                <w:color w:val="010101"/>
                <w:spacing w:val="-14"/>
                <w:w w:val="110"/>
              </w:rPr>
              <w:t xml:space="preserve"> </w:t>
            </w:r>
            <w:r>
              <w:rPr>
                <w:color w:val="010101"/>
                <w:w w:val="110"/>
              </w:rPr>
              <w:t>control</w:t>
            </w:r>
            <w:r>
              <w:rPr>
                <w:color w:val="010101"/>
                <w:spacing w:val="-13"/>
                <w:w w:val="110"/>
              </w:rPr>
              <w:t xml:space="preserve"> </w:t>
            </w:r>
            <w:r>
              <w:rPr>
                <w:color w:val="010101"/>
                <w:w w:val="110"/>
              </w:rPr>
              <w:t>as</w:t>
            </w:r>
            <w:r>
              <w:rPr>
                <w:color w:val="010101"/>
                <w:spacing w:val="-15"/>
                <w:w w:val="110"/>
              </w:rPr>
              <w:t xml:space="preserve"> </w:t>
            </w:r>
            <w:r>
              <w:rPr>
                <w:color w:val="010101"/>
                <w:w w:val="110"/>
              </w:rPr>
              <w:t>the</w:t>
            </w:r>
            <w:r>
              <w:rPr>
                <w:color w:val="010101"/>
                <w:spacing w:val="-4"/>
                <w:w w:val="110"/>
              </w:rPr>
              <w:t xml:space="preserve"> </w:t>
            </w:r>
            <w:r>
              <w:rPr>
                <w:color w:val="010101"/>
                <w:w w:val="110"/>
              </w:rPr>
              <w:t>Secretary</w:t>
            </w:r>
            <w:r>
              <w:rPr>
                <w:color w:val="010101"/>
                <w:spacing w:val="-7"/>
                <w:w w:val="110"/>
              </w:rPr>
              <w:t xml:space="preserve"> </w:t>
            </w:r>
            <w:r>
              <w:rPr>
                <w:color w:val="010101"/>
                <w:w w:val="110"/>
              </w:rPr>
              <w:t>determines</w:t>
            </w:r>
            <w:r>
              <w:rPr>
                <w:color w:val="010101"/>
                <w:spacing w:val="-10"/>
                <w:w w:val="110"/>
              </w:rPr>
              <w:t xml:space="preserve"> </w:t>
            </w:r>
            <w:r>
              <w:rPr>
                <w:color w:val="010101"/>
                <w:w w:val="110"/>
              </w:rPr>
              <w:t>is</w:t>
            </w:r>
            <w:r>
              <w:rPr>
                <w:color w:val="010101"/>
                <w:spacing w:val="-13"/>
                <w:w w:val="110"/>
              </w:rPr>
              <w:t xml:space="preserve"> </w:t>
            </w:r>
            <w:r>
              <w:rPr>
                <w:color w:val="010101"/>
                <w:w w:val="110"/>
              </w:rPr>
              <w:t>necessary</w:t>
            </w:r>
            <w:r>
              <w:rPr>
                <w:color w:val="010101"/>
                <w:spacing w:val="-12"/>
                <w:w w:val="110"/>
              </w:rPr>
              <w:t xml:space="preserve"> </w:t>
            </w:r>
            <w:r>
              <w:rPr>
                <w:color w:val="010101"/>
                <w:w w:val="110"/>
              </w:rPr>
              <w:t>to</w:t>
            </w:r>
            <w:r>
              <w:rPr>
                <w:color w:val="010101"/>
                <w:spacing w:val="12"/>
                <w:w w:val="110"/>
              </w:rPr>
              <w:t xml:space="preserve"> </w:t>
            </w:r>
            <w:r>
              <w:rPr>
                <w:color w:val="010101"/>
                <w:w w:val="110"/>
              </w:rPr>
              <w:t>enable</w:t>
            </w:r>
            <w:r>
              <w:rPr>
                <w:color w:val="010101"/>
                <w:spacing w:val="-20"/>
                <w:w w:val="110"/>
              </w:rPr>
              <w:t xml:space="preserve"> </w:t>
            </w:r>
            <w:r>
              <w:rPr>
                <w:color w:val="010101"/>
                <w:w w:val="110"/>
              </w:rPr>
              <w:t>the preparation</w:t>
            </w:r>
            <w:r>
              <w:rPr>
                <w:color w:val="010101"/>
                <w:spacing w:val="-9"/>
                <w:w w:val="110"/>
              </w:rPr>
              <w:t xml:space="preserve"> </w:t>
            </w:r>
            <w:r>
              <w:rPr>
                <w:color w:val="010101"/>
                <w:w w:val="110"/>
              </w:rPr>
              <w:t>and fair presentation</w:t>
            </w:r>
            <w:r>
              <w:rPr>
                <w:color w:val="010101"/>
                <w:spacing w:val="-1"/>
                <w:w w:val="110"/>
              </w:rPr>
              <w:t xml:space="preserve"> </w:t>
            </w:r>
            <w:r>
              <w:rPr>
                <w:color w:val="010101"/>
                <w:w w:val="110"/>
              </w:rPr>
              <w:t>of a financial report that is free from material</w:t>
            </w:r>
            <w:r>
              <w:rPr>
                <w:color w:val="010101"/>
                <w:spacing w:val="-2"/>
                <w:w w:val="110"/>
              </w:rPr>
              <w:t xml:space="preserve"> </w:t>
            </w:r>
            <w:r>
              <w:rPr>
                <w:color w:val="010101"/>
                <w:w w:val="110"/>
              </w:rPr>
              <w:t>misstatement, whether due</w:t>
            </w:r>
            <w:r>
              <w:rPr>
                <w:color w:val="010101"/>
                <w:spacing w:val="-11"/>
                <w:w w:val="110"/>
              </w:rPr>
              <w:t xml:space="preserve"> </w:t>
            </w:r>
            <w:r>
              <w:rPr>
                <w:color w:val="010101"/>
                <w:w w:val="110"/>
              </w:rPr>
              <w:t xml:space="preserve">to </w:t>
            </w:r>
            <w:r>
              <w:rPr>
                <w:color w:val="010101"/>
                <w:w w:val="115"/>
              </w:rPr>
              <w:t>fraud</w:t>
            </w:r>
            <w:r>
              <w:rPr>
                <w:color w:val="010101"/>
                <w:spacing w:val="-26"/>
                <w:w w:val="115"/>
              </w:rPr>
              <w:t xml:space="preserve"> </w:t>
            </w:r>
            <w:r>
              <w:rPr>
                <w:color w:val="010101"/>
                <w:w w:val="115"/>
              </w:rPr>
              <w:t>or</w:t>
            </w:r>
            <w:r>
              <w:rPr>
                <w:color w:val="010101"/>
                <w:spacing w:val="-6"/>
                <w:w w:val="115"/>
              </w:rPr>
              <w:t xml:space="preserve"> </w:t>
            </w:r>
            <w:r>
              <w:rPr>
                <w:color w:val="010101"/>
                <w:spacing w:val="-2"/>
                <w:w w:val="115"/>
              </w:rPr>
              <w:t>error.</w:t>
            </w:r>
          </w:p>
          <w:p w14:paraId="4470CD58" w14:textId="5FA7D9EB" w:rsidR="006D5FE0" w:rsidRPr="00494786" w:rsidRDefault="006D5FE0" w:rsidP="006D5FE0">
            <w:r>
              <w:rPr>
                <w:color w:val="010101"/>
                <w:w w:val="110"/>
              </w:rPr>
              <w:t>In</w:t>
            </w:r>
            <w:r>
              <w:rPr>
                <w:color w:val="010101"/>
                <w:spacing w:val="-6"/>
                <w:w w:val="110"/>
              </w:rPr>
              <w:t xml:space="preserve"> </w:t>
            </w:r>
            <w:r>
              <w:rPr>
                <w:color w:val="010101"/>
                <w:w w:val="110"/>
              </w:rPr>
              <w:t>preparing</w:t>
            </w:r>
            <w:r>
              <w:rPr>
                <w:color w:val="010101"/>
                <w:spacing w:val="-25"/>
                <w:w w:val="110"/>
              </w:rPr>
              <w:t xml:space="preserve"> </w:t>
            </w:r>
            <w:r>
              <w:rPr>
                <w:color w:val="010101"/>
                <w:w w:val="110"/>
              </w:rPr>
              <w:t>the financial</w:t>
            </w:r>
            <w:r>
              <w:rPr>
                <w:color w:val="010101"/>
                <w:spacing w:val="-9"/>
                <w:w w:val="110"/>
              </w:rPr>
              <w:t xml:space="preserve"> </w:t>
            </w:r>
            <w:r>
              <w:rPr>
                <w:color w:val="010101"/>
                <w:w w:val="110"/>
              </w:rPr>
              <w:t>report,</w:t>
            </w:r>
            <w:r>
              <w:rPr>
                <w:color w:val="010101"/>
                <w:spacing w:val="-27"/>
                <w:w w:val="110"/>
              </w:rPr>
              <w:t xml:space="preserve"> </w:t>
            </w:r>
            <w:r>
              <w:rPr>
                <w:color w:val="010101"/>
                <w:w w:val="110"/>
              </w:rPr>
              <w:t>the</w:t>
            </w:r>
            <w:r>
              <w:rPr>
                <w:color w:val="010101"/>
                <w:spacing w:val="-2"/>
                <w:w w:val="110"/>
              </w:rPr>
              <w:t xml:space="preserve"> </w:t>
            </w:r>
            <w:r>
              <w:rPr>
                <w:color w:val="010101"/>
                <w:w w:val="110"/>
              </w:rPr>
              <w:t>Secretary is</w:t>
            </w:r>
            <w:r>
              <w:rPr>
                <w:color w:val="010101"/>
                <w:spacing w:val="-11"/>
                <w:w w:val="110"/>
              </w:rPr>
              <w:t xml:space="preserve"> </w:t>
            </w:r>
            <w:r>
              <w:rPr>
                <w:color w:val="010101"/>
                <w:w w:val="110"/>
              </w:rPr>
              <w:t>responsible for assessing</w:t>
            </w:r>
            <w:r>
              <w:rPr>
                <w:color w:val="010101"/>
                <w:spacing w:val="-8"/>
                <w:w w:val="110"/>
              </w:rPr>
              <w:t xml:space="preserve"> </w:t>
            </w:r>
            <w:r>
              <w:rPr>
                <w:color w:val="010101"/>
                <w:w w:val="110"/>
              </w:rPr>
              <w:t>the</w:t>
            </w:r>
            <w:r>
              <w:rPr>
                <w:color w:val="010101"/>
                <w:spacing w:val="40"/>
                <w:w w:val="110"/>
              </w:rPr>
              <w:t xml:space="preserve"> </w:t>
            </w:r>
            <w:r>
              <w:rPr>
                <w:color w:val="010101"/>
                <w:w w:val="110"/>
              </w:rPr>
              <w:t>department's ability</w:t>
            </w:r>
            <w:r>
              <w:rPr>
                <w:color w:val="010101"/>
                <w:spacing w:val="-13"/>
                <w:w w:val="110"/>
              </w:rPr>
              <w:t xml:space="preserve"> </w:t>
            </w:r>
            <w:r>
              <w:rPr>
                <w:color w:val="010101"/>
                <w:w w:val="110"/>
              </w:rPr>
              <w:t>to</w:t>
            </w:r>
            <w:r>
              <w:rPr>
                <w:color w:val="010101"/>
                <w:spacing w:val="-13"/>
                <w:w w:val="110"/>
              </w:rPr>
              <w:t xml:space="preserve"> </w:t>
            </w:r>
            <w:r>
              <w:rPr>
                <w:color w:val="010101"/>
                <w:w w:val="110"/>
              </w:rPr>
              <w:t>continue</w:t>
            </w:r>
            <w:r>
              <w:rPr>
                <w:color w:val="010101"/>
                <w:spacing w:val="-15"/>
                <w:w w:val="110"/>
              </w:rPr>
              <w:t xml:space="preserve"> </w:t>
            </w:r>
            <w:r>
              <w:rPr>
                <w:color w:val="010101"/>
                <w:w w:val="110"/>
              </w:rPr>
              <w:t>as</w:t>
            </w:r>
            <w:r>
              <w:rPr>
                <w:color w:val="010101"/>
                <w:spacing w:val="-20"/>
                <w:w w:val="110"/>
              </w:rPr>
              <w:t xml:space="preserve"> </w:t>
            </w:r>
            <w:r>
              <w:rPr>
                <w:color w:val="010101"/>
                <w:w w:val="110"/>
              </w:rPr>
              <w:t>a</w:t>
            </w:r>
            <w:r>
              <w:rPr>
                <w:color w:val="010101"/>
                <w:spacing w:val="-7"/>
                <w:w w:val="110"/>
              </w:rPr>
              <w:t xml:space="preserve"> </w:t>
            </w:r>
            <w:r>
              <w:rPr>
                <w:color w:val="010101"/>
                <w:w w:val="110"/>
              </w:rPr>
              <w:t>going</w:t>
            </w:r>
            <w:r>
              <w:rPr>
                <w:color w:val="010101"/>
                <w:spacing w:val="-22"/>
                <w:w w:val="110"/>
              </w:rPr>
              <w:t xml:space="preserve"> </w:t>
            </w:r>
            <w:r>
              <w:rPr>
                <w:color w:val="010101"/>
                <w:w w:val="110"/>
              </w:rPr>
              <w:t>concern,</w:t>
            </w:r>
            <w:r>
              <w:rPr>
                <w:color w:val="010101"/>
                <w:spacing w:val="-13"/>
                <w:w w:val="110"/>
              </w:rPr>
              <w:t xml:space="preserve"> </w:t>
            </w:r>
            <w:r>
              <w:rPr>
                <w:color w:val="010101"/>
                <w:w w:val="110"/>
              </w:rPr>
              <w:t>disclosing,</w:t>
            </w:r>
            <w:r>
              <w:rPr>
                <w:color w:val="010101"/>
                <w:spacing w:val="-15"/>
                <w:w w:val="110"/>
              </w:rPr>
              <w:t xml:space="preserve"> </w:t>
            </w:r>
            <w:r>
              <w:rPr>
                <w:color w:val="010101"/>
                <w:w w:val="110"/>
              </w:rPr>
              <w:t>as</w:t>
            </w:r>
            <w:r>
              <w:rPr>
                <w:color w:val="010101"/>
                <w:spacing w:val="-20"/>
                <w:w w:val="110"/>
              </w:rPr>
              <w:t xml:space="preserve"> </w:t>
            </w:r>
            <w:r>
              <w:rPr>
                <w:color w:val="010101"/>
                <w:w w:val="110"/>
              </w:rPr>
              <w:t>applicable,</w:t>
            </w:r>
            <w:r>
              <w:rPr>
                <w:color w:val="010101"/>
                <w:spacing w:val="-6"/>
                <w:w w:val="110"/>
              </w:rPr>
              <w:t xml:space="preserve"> </w:t>
            </w:r>
            <w:r>
              <w:rPr>
                <w:color w:val="010101"/>
                <w:w w:val="110"/>
              </w:rPr>
              <w:t>matters</w:t>
            </w:r>
            <w:r>
              <w:rPr>
                <w:color w:val="010101"/>
                <w:spacing w:val="-5"/>
                <w:w w:val="110"/>
              </w:rPr>
              <w:t xml:space="preserve"> </w:t>
            </w:r>
            <w:r>
              <w:rPr>
                <w:color w:val="010101"/>
                <w:w w:val="110"/>
              </w:rPr>
              <w:t>related</w:t>
            </w:r>
            <w:r>
              <w:rPr>
                <w:color w:val="010101"/>
                <w:spacing w:val="-27"/>
                <w:w w:val="110"/>
              </w:rPr>
              <w:t xml:space="preserve"> </w:t>
            </w:r>
            <w:r>
              <w:rPr>
                <w:color w:val="010101"/>
                <w:w w:val="110"/>
              </w:rPr>
              <w:t>to</w:t>
            </w:r>
            <w:r>
              <w:rPr>
                <w:color w:val="010101"/>
                <w:spacing w:val="12"/>
                <w:w w:val="110"/>
              </w:rPr>
              <w:t xml:space="preserve"> </w:t>
            </w:r>
            <w:r>
              <w:rPr>
                <w:color w:val="010101"/>
                <w:w w:val="110"/>
              </w:rPr>
              <w:t>going</w:t>
            </w:r>
            <w:r>
              <w:rPr>
                <w:color w:val="010101"/>
                <w:spacing w:val="-14"/>
                <w:w w:val="110"/>
              </w:rPr>
              <w:t xml:space="preserve"> </w:t>
            </w:r>
            <w:r>
              <w:rPr>
                <w:color w:val="010101"/>
                <w:w w:val="110"/>
              </w:rPr>
              <w:t>concern and</w:t>
            </w:r>
            <w:r>
              <w:rPr>
                <w:color w:val="010101"/>
                <w:spacing w:val="-1"/>
                <w:w w:val="110"/>
              </w:rPr>
              <w:t xml:space="preserve"> </w:t>
            </w:r>
            <w:r>
              <w:rPr>
                <w:color w:val="010101"/>
                <w:w w:val="110"/>
              </w:rPr>
              <w:t>using</w:t>
            </w:r>
            <w:r>
              <w:rPr>
                <w:color w:val="010101"/>
                <w:spacing w:val="-26"/>
                <w:w w:val="110"/>
              </w:rPr>
              <w:t xml:space="preserve"> </w:t>
            </w:r>
            <w:r>
              <w:rPr>
                <w:color w:val="010101"/>
                <w:w w:val="110"/>
              </w:rPr>
              <w:t>the going</w:t>
            </w:r>
            <w:r>
              <w:rPr>
                <w:color w:val="010101"/>
                <w:spacing w:val="-19"/>
                <w:w w:val="110"/>
              </w:rPr>
              <w:t xml:space="preserve"> </w:t>
            </w:r>
            <w:r>
              <w:rPr>
                <w:color w:val="010101"/>
                <w:w w:val="110"/>
              </w:rPr>
              <w:t>concern</w:t>
            </w:r>
            <w:r>
              <w:rPr>
                <w:color w:val="010101"/>
                <w:spacing w:val="-6"/>
                <w:w w:val="110"/>
              </w:rPr>
              <w:t xml:space="preserve"> </w:t>
            </w:r>
            <w:r>
              <w:rPr>
                <w:color w:val="010101"/>
                <w:w w:val="110"/>
              </w:rPr>
              <w:t>basis</w:t>
            </w:r>
            <w:r>
              <w:rPr>
                <w:color w:val="010101"/>
                <w:spacing w:val="-9"/>
                <w:w w:val="110"/>
              </w:rPr>
              <w:t xml:space="preserve"> </w:t>
            </w:r>
            <w:r>
              <w:rPr>
                <w:color w:val="010101"/>
                <w:w w:val="110"/>
              </w:rPr>
              <w:t>of</w:t>
            </w:r>
            <w:r>
              <w:rPr>
                <w:color w:val="010101"/>
                <w:spacing w:val="25"/>
                <w:w w:val="110"/>
              </w:rPr>
              <w:t xml:space="preserve"> </w:t>
            </w:r>
            <w:r>
              <w:rPr>
                <w:color w:val="010101"/>
                <w:w w:val="110"/>
              </w:rPr>
              <w:t>accounting</w:t>
            </w:r>
            <w:r>
              <w:rPr>
                <w:color w:val="010101"/>
                <w:spacing w:val="-15"/>
                <w:w w:val="110"/>
              </w:rPr>
              <w:t xml:space="preserve"> </w:t>
            </w:r>
            <w:r>
              <w:rPr>
                <w:color w:val="010101"/>
                <w:w w:val="110"/>
              </w:rPr>
              <w:t>unless</w:t>
            </w:r>
            <w:r>
              <w:rPr>
                <w:color w:val="010101"/>
                <w:spacing w:val="-6"/>
                <w:w w:val="110"/>
              </w:rPr>
              <w:t xml:space="preserve"> </w:t>
            </w:r>
            <w:r>
              <w:rPr>
                <w:color w:val="010101"/>
                <w:w w:val="110"/>
              </w:rPr>
              <w:t>it</w:t>
            </w:r>
            <w:r>
              <w:rPr>
                <w:color w:val="010101"/>
                <w:spacing w:val="25"/>
                <w:w w:val="110"/>
              </w:rPr>
              <w:t xml:space="preserve"> </w:t>
            </w:r>
            <w:r>
              <w:rPr>
                <w:color w:val="010101"/>
                <w:w w:val="110"/>
              </w:rPr>
              <w:t>is</w:t>
            </w:r>
            <w:r>
              <w:rPr>
                <w:color w:val="010101"/>
                <w:spacing w:val="-4"/>
                <w:w w:val="110"/>
              </w:rPr>
              <w:t xml:space="preserve"> </w:t>
            </w:r>
            <w:r>
              <w:rPr>
                <w:color w:val="010101"/>
                <w:w w:val="110"/>
              </w:rPr>
              <w:t>inappropriate</w:t>
            </w:r>
            <w:r>
              <w:rPr>
                <w:color w:val="010101"/>
                <w:spacing w:val="-6"/>
                <w:w w:val="110"/>
              </w:rPr>
              <w:t xml:space="preserve"> </w:t>
            </w:r>
            <w:r>
              <w:rPr>
                <w:color w:val="010101"/>
                <w:w w:val="110"/>
              </w:rPr>
              <w:t>to do</w:t>
            </w:r>
            <w:r>
              <w:rPr>
                <w:color w:val="010101"/>
                <w:spacing w:val="-8"/>
                <w:w w:val="110"/>
              </w:rPr>
              <w:t xml:space="preserve"> </w:t>
            </w:r>
            <w:r>
              <w:rPr>
                <w:color w:val="010101"/>
                <w:w w:val="110"/>
              </w:rPr>
              <w:t>so.</w:t>
            </w:r>
          </w:p>
        </w:tc>
      </w:tr>
    </w:tbl>
    <w:p w14:paraId="77CC6A14" w14:textId="77777777" w:rsidR="007D3D95" w:rsidRPr="00C6052E" w:rsidRDefault="007D3D95" w:rsidP="007D3D95"/>
    <w:p w14:paraId="6388A072" w14:textId="77777777" w:rsidR="00EE5BB8" w:rsidRDefault="00EE5BB8" w:rsidP="00FD7B75">
      <w:r w:rsidRPr="00C6052E">
        <w:rPr>
          <w:noProof/>
        </w:rPr>
        <w:lastRenderedPageBreak/>
        <w:drawing>
          <wp:inline distT="0" distB="0" distL="0" distR="0" wp14:anchorId="2D638850" wp14:editId="2BC47AEB">
            <wp:extent cx="3628126" cy="5129212"/>
            <wp:effectExtent l="19050" t="19050" r="10795" b="14605"/>
            <wp:docPr id="1692585253" name="Picture 1" descr="Independent Auditor's Report from VAGO (page 3). Transcript of letter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585253" name="Picture 1" descr="Independent Auditor's Report from VAGO (page 3). Transcript of letter below."/>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43848" cy="5151438"/>
                    </a:xfrm>
                    <a:prstGeom prst="rect">
                      <a:avLst/>
                    </a:prstGeom>
                    <a:ln>
                      <a:solidFill>
                        <a:schemeClr val="tx1"/>
                      </a:solidFill>
                    </a:ln>
                  </pic:spPr>
                </pic:pic>
              </a:graphicData>
            </a:graphic>
          </wp:inline>
        </w:drawing>
      </w:r>
    </w:p>
    <w:tbl>
      <w:tblPr>
        <w:tblStyle w:val="TableGrid"/>
        <w:tblW w:w="0" w:type="auto"/>
        <w:tblLook w:val="04A0" w:firstRow="1" w:lastRow="0" w:firstColumn="1" w:lastColumn="0" w:noHBand="0" w:noVBand="1"/>
      </w:tblPr>
      <w:tblGrid>
        <w:gridCol w:w="1980"/>
        <w:gridCol w:w="7649"/>
      </w:tblGrid>
      <w:tr w:rsidR="00590BC1" w14:paraId="28E0F5FF" w14:textId="77777777" w:rsidTr="00590BC1">
        <w:tc>
          <w:tcPr>
            <w:tcW w:w="1980" w:type="dxa"/>
          </w:tcPr>
          <w:p w14:paraId="0ED060D3" w14:textId="017B69FE" w:rsidR="00590BC1" w:rsidRPr="00590BC1" w:rsidRDefault="00590BC1" w:rsidP="00590BC1">
            <w:pPr>
              <w:rPr>
                <w:b/>
                <w:bCs/>
              </w:rPr>
            </w:pPr>
            <w:r w:rsidRPr="00590BC1">
              <w:rPr>
                <w:b/>
                <w:bCs/>
                <w:w w:val="105"/>
              </w:rPr>
              <w:t xml:space="preserve">Auditor's </w:t>
            </w:r>
            <w:r w:rsidRPr="00590BC1">
              <w:rPr>
                <w:b/>
                <w:bCs/>
              </w:rPr>
              <w:t xml:space="preserve">responsibilities </w:t>
            </w:r>
            <w:r w:rsidRPr="00590BC1">
              <w:rPr>
                <w:b/>
                <w:bCs/>
                <w:w w:val="105"/>
              </w:rPr>
              <w:t>for</w:t>
            </w:r>
            <w:r w:rsidRPr="00590BC1">
              <w:rPr>
                <w:b/>
                <w:bCs/>
                <w:spacing w:val="-8"/>
                <w:w w:val="105"/>
              </w:rPr>
              <w:t xml:space="preserve"> </w:t>
            </w:r>
            <w:r w:rsidRPr="00590BC1">
              <w:rPr>
                <w:b/>
                <w:bCs/>
                <w:w w:val="105"/>
              </w:rPr>
              <w:t>the audit</w:t>
            </w:r>
            <w:r w:rsidRPr="00590BC1">
              <w:rPr>
                <w:b/>
                <w:bCs/>
                <w:spacing w:val="-12"/>
                <w:w w:val="105"/>
              </w:rPr>
              <w:t xml:space="preserve"> </w:t>
            </w:r>
            <w:r w:rsidRPr="00590BC1">
              <w:rPr>
                <w:b/>
                <w:bCs/>
                <w:w w:val="105"/>
              </w:rPr>
              <w:t>of the financial report</w:t>
            </w:r>
          </w:p>
        </w:tc>
        <w:tc>
          <w:tcPr>
            <w:tcW w:w="7649" w:type="dxa"/>
          </w:tcPr>
          <w:p w14:paraId="457E1C75" w14:textId="77777777" w:rsidR="00590BC1" w:rsidRDefault="00590BC1" w:rsidP="00590BC1">
            <w:r>
              <w:rPr>
                <w:w w:val="110"/>
              </w:rPr>
              <w:t>As</w:t>
            </w:r>
            <w:r>
              <w:rPr>
                <w:spacing w:val="-11"/>
                <w:w w:val="110"/>
              </w:rPr>
              <w:t xml:space="preserve"> </w:t>
            </w:r>
            <w:r>
              <w:rPr>
                <w:w w:val="110"/>
              </w:rPr>
              <w:t>required by</w:t>
            </w:r>
            <w:r>
              <w:rPr>
                <w:spacing w:val="-6"/>
                <w:w w:val="110"/>
              </w:rPr>
              <w:t xml:space="preserve"> </w:t>
            </w:r>
            <w:r>
              <w:rPr>
                <w:w w:val="110"/>
              </w:rPr>
              <w:t xml:space="preserve">the </w:t>
            </w:r>
            <w:r>
              <w:rPr>
                <w:i/>
                <w:w w:val="110"/>
              </w:rPr>
              <w:t>Audit Act</w:t>
            </w:r>
            <w:r>
              <w:rPr>
                <w:i/>
                <w:spacing w:val="-16"/>
                <w:w w:val="110"/>
              </w:rPr>
              <w:t xml:space="preserve"> </w:t>
            </w:r>
            <w:r>
              <w:rPr>
                <w:i/>
                <w:w w:val="110"/>
              </w:rPr>
              <w:t>1994,</w:t>
            </w:r>
            <w:r>
              <w:rPr>
                <w:i/>
                <w:spacing w:val="-4"/>
                <w:w w:val="110"/>
              </w:rPr>
              <w:t xml:space="preserve"> </w:t>
            </w:r>
            <w:r>
              <w:rPr>
                <w:w w:val="110"/>
              </w:rPr>
              <w:t>my</w:t>
            </w:r>
            <w:r>
              <w:rPr>
                <w:spacing w:val="-6"/>
                <w:w w:val="110"/>
              </w:rPr>
              <w:t xml:space="preserve"> </w:t>
            </w:r>
            <w:r>
              <w:rPr>
                <w:w w:val="110"/>
              </w:rPr>
              <w:t>responsibility</w:t>
            </w:r>
            <w:r>
              <w:rPr>
                <w:spacing w:val="-15"/>
                <w:w w:val="110"/>
              </w:rPr>
              <w:t xml:space="preserve"> </w:t>
            </w:r>
            <w:r>
              <w:rPr>
                <w:w w:val="110"/>
              </w:rPr>
              <w:t>is</w:t>
            </w:r>
            <w:r>
              <w:rPr>
                <w:spacing w:val="-6"/>
                <w:w w:val="110"/>
              </w:rPr>
              <w:t xml:space="preserve"> </w:t>
            </w:r>
            <w:r>
              <w:rPr>
                <w:w w:val="110"/>
              </w:rPr>
              <w:t>to express an opinion</w:t>
            </w:r>
            <w:r>
              <w:rPr>
                <w:spacing w:val="-8"/>
                <w:w w:val="110"/>
              </w:rPr>
              <w:t xml:space="preserve"> </w:t>
            </w:r>
            <w:r>
              <w:rPr>
                <w:w w:val="110"/>
              </w:rPr>
              <w:t>on the financial report based</w:t>
            </w:r>
            <w:r>
              <w:rPr>
                <w:spacing w:val="-18"/>
                <w:w w:val="110"/>
              </w:rPr>
              <w:t xml:space="preserve"> </w:t>
            </w:r>
            <w:r>
              <w:rPr>
                <w:w w:val="110"/>
              </w:rPr>
              <w:t>on the</w:t>
            </w:r>
            <w:r>
              <w:rPr>
                <w:spacing w:val="17"/>
                <w:w w:val="110"/>
              </w:rPr>
              <w:t xml:space="preserve"> </w:t>
            </w:r>
            <w:r>
              <w:rPr>
                <w:w w:val="110"/>
              </w:rPr>
              <w:t>audit.</w:t>
            </w:r>
            <w:r>
              <w:rPr>
                <w:spacing w:val="-17"/>
                <w:w w:val="110"/>
              </w:rPr>
              <w:t xml:space="preserve"> </w:t>
            </w:r>
            <w:r>
              <w:rPr>
                <w:w w:val="110"/>
              </w:rPr>
              <w:t>My</w:t>
            </w:r>
            <w:r>
              <w:rPr>
                <w:spacing w:val="-8"/>
                <w:w w:val="110"/>
              </w:rPr>
              <w:t xml:space="preserve"> </w:t>
            </w:r>
            <w:r>
              <w:rPr>
                <w:w w:val="110"/>
              </w:rPr>
              <w:t>objectives for the audit</w:t>
            </w:r>
            <w:r>
              <w:rPr>
                <w:spacing w:val="-8"/>
                <w:w w:val="110"/>
              </w:rPr>
              <w:t xml:space="preserve"> </w:t>
            </w:r>
            <w:r>
              <w:rPr>
                <w:w w:val="110"/>
              </w:rPr>
              <w:t>are</w:t>
            </w:r>
            <w:r>
              <w:rPr>
                <w:spacing w:val="-8"/>
                <w:w w:val="110"/>
              </w:rPr>
              <w:t xml:space="preserve"> </w:t>
            </w:r>
            <w:r>
              <w:rPr>
                <w:w w:val="110"/>
              </w:rPr>
              <w:t>to obtain</w:t>
            </w:r>
            <w:r>
              <w:rPr>
                <w:spacing w:val="-10"/>
                <w:w w:val="110"/>
              </w:rPr>
              <w:t xml:space="preserve"> </w:t>
            </w:r>
            <w:r>
              <w:rPr>
                <w:w w:val="110"/>
              </w:rPr>
              <w:t>reasonable assurance about whether</w:t>
            </w:r>
            <w:r>
              <w:rPr>
                <w:spacing w:val="16"/>
                <w:w w:val="110"/>
              </w:rPr>
              <w:t xml:space="preserve"> </w:t>
            </w:r>
            <w:r>
              <w:rPr>
                <w:w w:val="110"/>
              </w:rPr>
              <w:t>the</w:t>
            </w:r>
            <w:r>
              <w:rPr>
                <w:spacing w:val="-4"/>
                <w:w w:val="110"/>
              </w:rPr>
              <w:t xml:space="preserve"> </w:t>
            </w:r>
            <w:r>
              <w:rPr>
                <w:w w:val="110"/>
              </w:rPr>
              <w:t>financial</w:t>
            </w:r>
            <w:r>
              <w:rPr>
                <w:spacing w:val="-6"/>
                <w:w w:val="110"/>
              </w:rPr>
              <w:t xml:space="preserve"> </w:t>
            </w:r>
            <w:r>
              <w:rPr>
                <w:w w:val="110"/>
              </w:rPr>
              <w:t>report</w:t>
            </w:r>
            <w:r>
              <w:rPr>
                <w:spacing w:val="-4"/>
                <w:w w:val="110"/>
              </w:rPr>
              <w:t xml:space="preserve"> </w:t>
            </w:r>
            <w:r>
              <w:rPr>
                <w:w w:val="110"/>
              </w:rPr>
              <w:t>as</w:t>
            </w:r>
            <w:r>
              <w:rPr>
                <w:spacing w:val="-7"/>
                <w:w w:val="110"/>
              </w:rPr>
              <w:t xml:space="preserve"> </w:t>
            </w:r>
            <w:r>
              <w:rPr>
                <w:w w:val="110"/>
              </w:rPr>
              <w:t>a</w:t>
            </w:r>
            <w:r>
              <w:rPr>
                <w:spacing w:val="-5"/>
                <w:w w:val="110"/>
              </w:rPr>
              <w:t xml:space="preserve"> </w:t>
            </w:r>
            <w:r>
              <w:rPr>
                <w:w w:val="110"/>
              </w:rPr>
              <w:t>whole is</w:t>
            </w:r>
            <w:r>
              <w:rPr>
                <w:spacing w:val="-6"/>
                <w:w w:val="110"/>
              </w:rPr>
              <w:t xml:space="preserve"> </w:t>
            </w:r>
            <w:r>
              <w:rPr>
                <w:w w:val="110"/>
              </w:rPr>
              <w:t>free</w:t>
            </w:r>
            <w:r>
              <w:rPr>
                <w:spacing w:val="-9"/>
                <w:w w:val="110"/>
              </w:rPr>
              <w:t xml:space="preserve"> </w:t>
            </w:r>
            <w:r>
              <w:rPr>
                <w:w w:val="110"/>
              </w:rPr>
              <w:t>from</w:t>
            </w:r>
            <w:r>
              <w:rPr>
                <w:spacing w:val="-10"/>
                <w:w w:val="110"/>
              </w:rPr>
              <w:t xml:space="preserve"> </w:t>
            </w:r>
            <w:r>
              <w:rPr>
                <w:w w:val="110"/>
              </w:rPr>
              <w:t>material</w:t>
            </w:r>
            <w:r>
              <w:rPr>
                <w:spacing w:val="-8"/>
                <w:w w:val="110"/>
              </w:rPr>
              <w:t xml:space="preserve"> </w:t>
            </w:r>
            <w:r>
              <w:rPr>
                <w:w w:val="110"/>
              </w:rPr>
              <w:t>misstatement, whether</w:t>
            </w:r>
            <w:r>
              <w:rPr>
                <w:spacing w:val="-1"/>
                <w:w w:val="110"/>
              </w:rPr>
              <w:t xml:space="preserve"> </w:t>
            </w:r>
            <w:r>
              <w:rPr>
                <w:w w:val="110"/>
              </w:rPr>
              <w:t>due</w:t>
            </w:r>
            <w:r>
              <w:rPr>
                <w:spacing w:val="-3"/>
                <w:w w:val="110"/>
              </w:rPr>
              <w:t xml:space="preserve"> </w:t>
            </w:r>
            <w:r>
              <w:rPr>
                <w:w w:val="110"/>
              </w:rPr>
              <w:t>to fraud or</w:t>
            </w:r>
            <w:r>
              <w:rPr>
                <w:spacing w:val="-6"/>
                <w:w w:val="110"/>
              </w:rPr>
              <w:t xml:space="preserve"> </w:t>
            </w:r>
            <w:r>
              <w:rPr>
                <w:w w:val="110"/>
              </w:rPr>
              <w:t>error,</w:t>
            </w:r>
            <w:r>
              <w:rPr>
                <w:spacing w:val="-6"/>
                <w:w w:val="110"/>
              </w:rPr>
              <w:t xml:space="preserve"> </w:t>
            </w:r>
            <w:r>
              <w:rPr>
                <w:w w:val="110"/>
              </w:rPr>
              <w:t>and</w:t>
            </w:r>
            <w:r>
              <w:rPr>
                <w:spacing w:val="-10"/>
                <w:w w:val="110"/>
              </w:rPr>
              <w:t xml:space="preserve"> </w:t>
            </w:r>
            <w:r>
              <w:rPr>
                <w:w w:val="110"/>
              </w:rPr>
              <w:t>to</w:t>
            </w:r>
            <w:r>
              <w:rPr>
                <w:spacing w:val="-2"/>
                <w:w w:val="110"/>
              </w:rPr>
              <w:t xml:space="preserve"> </w:t>
            </w:r>
            <w:r>
              <w:rPr>
                <w:w w:val="110"/>
              </w:rPr>
              <w:t>issue</w:t>
            </w:r>
            <w:r>
              <w:rPr>
                <w:spacing w:val="-11"/>
                <w:w w:val="110"/>
              </w:rPr>
              <w:t xml:space="preserve"> </w:t>
            </w:r>
            <w:r>
              <w:rPr>
                <w:w w:val="110"/>
              </w:rPr>
              <w:t>an</w:t>
            </w:r>
            <w:r>
              <w:rPr>
                <w:spacing w:val="-2"/>
                <w:w w:val="110"/>
              </w:rPr>
              <w:t xml:space="preserve"> </w:t>
            </w:r>
            <w:r>
              <w:rPr>
                <w:w w:val="110"/>
              </w:rPr>
              <w:t>auditor's</w:t>
            </w:r>
            <w:r>
              <w:rPr>
                <w:spacing w:val="-4"/>
                <w:w w:val="110"/>
              </w:rPr>
              <w:t xml:space="preserve"> </w:t>
            </w:r>
            <w:r>
              <w:rPr>
                <w:w w:val="110"/>
              </w:rPr>
              <w:t>report</w:t>
            </w:r>
            <w:r>
              <w:rPr>
                <w:spacing w:val="-9"/>
                <w:w w:val="110"/>
              </w:rPr>
              <w:t xml:space="preserve"> </w:t>
            </w:r>
            <w:r>
              <w:rPr>
                <w:w w:val="110"/>
              </w:rPr>
              <w:t>that</w:t>
            </w:r>
            <w:r>
              <w:rPr>
                <w:spacing w:val="-15"/>
                <w:w w:val="110"/>
              </w:rPr>
              <w:t xml:space="preserve"> </w:t>
            </w:r>
            <w:r>
              <w:rPr>
                <w:w w:val="110"/>
              </w:rPr>
              <w:t>includes</w:t>
            </w:r>
            <w:r>
              <w:rPr>
                <w:spacing w:val="-5"/>
                <w:w w:val="110"/>
              </w:rPr>
              <w:t xml:space="preserve"> </w:t>
            </w:r>
            <w:r>
              <w:rPr>
                <w:w w:val="110"/>
              </w:rPr>
              <w:t>my</w:t>
            </w:r>
            <w:r>
              <w:rPr>
                <w:spacing w:val="-4"/>
                <w:w w:val="110"/>
              </w:rPr>
              <w:t xml:space="preserve"> </w:t>
            </w:r>
            <w:r>
              <w:rPr>
                <w:w w:val="110"/>
              </w:rPr>
              <w:t>opinion.</w:t>
            </w:r>
            <w:r>
              <w:rPr>
                <w:spacing w:val="-10"/>
                <w:w w:val="110"/>
              </w:rPr>
              <w:t xml:space="preserve"> </w:t>
            </w:r>
            <w:r>
              <w:rPr>
                <w:w w:val="110"/>
              </w:rPr>
              <w:t>Reasonable</w:t>
            </w:r>
            <w:r>
              <w:rPr>
                <w:spacing w:val="-7"/>
                <w:w w:val="110"/>
              </w:rPr>
              <w:t xml:space="preserve"> </w:t>
            </w:r>
            <w:r>
              <w:rPr>
                <w:w w:val="110"/>
              </w:rPr>
              <w:t>assurance is</w:t>
            </w:r>
            <w:r>
              <w:rPr>
                <w:spacing w:val="-9"/>
                <w:w w:val="110"/>
              </w:rPr>
              <w:t xml:space="preserve"> </w:t>
            </w:r>
            <w:r>
              <w:rPr>
                <w:w w:val="110"/>
              </w:rPr>
              <w:t>a high</w:t>
            </w:r>
            <w:r>
              <w:rPr>
                <w:spacing w:val="-7"/>
                <w:w w:val="110"/>
              </w:rPr>
              <w:t xml:space="preserve"> </w:t>
            </w:r>
            <w:r>
              <w:rPr>
                <w:w w:val="110"/>
              </w:rPr>
              <w:t>level</w:t>
            </w:r>
            <w:r>
              <w:rPr>
                <w:spacing w:val="-13"/>
                <w:w w:val="110"/>
              </w:rPr>
              <w:t xml:space="preserve"> </w:t>
            </w:r>
            <w:r>
              <w:rPr>
                <w:w w:val="110"/>
              </w:rPr>
              <w:t>of</w:t>
            </w:r>
            <w:r>
              <w:rPr>
                <w:spacing w:val="-4"/>
                <w:w w:val="110"/>
              </w:rPr>
              <w:t xml:space="preserve"> </w:t>
            </w:r>
            <w:r>
              <w:rPr>
                <w:w w:val="110"/>
              </w:rPr>
              <w:t>assurance</w:t>
            </w:r>
            <w:r>
              <w:rPr>
                <w:spacing w:val="-2"/>
                <w:w w:val="110"/>
              </w:rPr>
              <w:t xml:space="preserve"> </w:t>
            </w:r>
            <w:r>
              <w:rPr>
                <w:w w:val="110"/>
              </w:rPr>
              <w:t>but</w:t>
            </w:r>
            <w:r>
              <w:rPr>
                <w:spacing w:val="24"/>
                <w:w w:val="110"/>
              </w:rPr>
              <w:t xml:space="preserve"> </w:t>
            </w:r>
            <w:r>
              <w:rPr>
                <w:w w:val="110"/>
              </w:rPr>
              <w:t>is</w:t>
            </w:r>
            <w:r>
              <w:rPr>
                <w:spacing w:val="-11"/>
                <w:w w:val="110"/>
              </w:rPr>
              <w:t xml:space="preserve"> </w:t>
            </w:r>
            <w:r>
              <w:rPr>
                <w:w w:val="110"/>
              </w:rPr>
              <w:t>not</w:t>
            </w:r>
            <w:r>
              <w:rPr>
                <w:spacing w:val="20"/>
                <w:w w:val="110"/>
              </w:rPr>
              <w:t xml:space="preserve"> </w:t>
            </w:r>
            <w:r>
              <w:rPr>
                <w:w w:val="110"/>
              </w:rPr>
              <w:t>a</w:t>
            </w:r>
            <w:r>
              <w:rPr>
                <w:spacing w:val="-7"/>
                <w:w w:val="110"/>
              </w:rPr>
              <w:t xml:space="preserve"> </w:t>
            </w:r>
            <w:r>
              <w:rPr>
                <w:w w:val="110"/>
              </w:rPr>
              <w:t>guarantee that</w:t>
            </w:r>
            <w:r>
              <w:rPr>
                <w:spacing w:val="-11"/>
                <w:w w:val="110"/>
              </w:rPr>
              <w:t xml:space="preserve"> </w:t>
            </w:r>
            <w:r>
              <w:rPr>
                <w:w w:val="110"/>
              </w:rPr>
              <w:t>an</w:t>
            </w:r>
            <w:r>
              <w:rPr>
                <w:spacing w:val="-11"/>
                <w:w w:val="110"/>
              </w:rPr>
              <w:t xml:space="preserve"> </w:t>
            </w:r>
            <w:r>
              <w:rPr>
                <w:w w:val="110"/>
              </w:rPr>
              <w:t>audit</w:t>
            </w:r>
            <w:r>
              <w:rPr>
                <w:spacing w:val="-8"/>
                <w:w w:val="110"/>
              </w:rPr>
              <w:t xml:space="preserve"> </w:t>
            </w:r>
            <w:r>
              <w:rPr>
                <w:w w:val="110"/>
              </w:rPr>
              <w:t>conducted</w:t>
            </w:r>
            <w:r>
              <w:rPr>
                <w:spacing w:val="-10"/>
                <w:w w:val="110"/>
              </w:rPr>
              <w:t xml:space="preserve"> </w:t>
            </w:r>
            <w:r>
              <w:rPr>
                <w:w w:val="110"/>
              </w:rPr>
              <w:t>in</w:t>
            </w:r>
            <w:r>
              <w:rPr>
                <w:spacing w:val="-3"/>
                <w:w w:val="110"/>
              </w:rPr>
              <w:t xml:space="preserve"> </w:t>
            </w:r>
            <w:r>
              <w:rPr>
                <w:w w:val="110"/>
              </w:rPr>
              <w:t>accordance with</w:t>
            </w:r>
            <w:r>
              <w:rPr>
                <w:spacing w:val="-7"/>
                <w:w w:val="110"/>
              </w:rPr>
              <w:t xml:space="preserve"> </w:t>
            </w:r>
            <w:r>
              <w:rPr>
                <w:w w:val="110"/>
              </w:rPr>
              <w:t>the Australian Auditing</w:t>
            </w:r>
            <w:r>
              <w:rPr>
                <w:spacing w:val="-21"/>
                <w:w w:val="110"/>
              </w:rPr>
              <w:t xml:space="preserve"> </w:t>
            </w:r>
            <w:r>
              <w:rPr>
                <w:w w:val="110"/>
              </w:rPr>
              <w:t>Standards will</w:t>
            </w:r>
            <w:r>
              <w:rPr>
                <w:spacing w:val="-16"/>
                <w:w w:val="110"/>
              </w:rPr>
              <w:t xml:space="preserve"> </w:t>
            </w:r>
            <w:r>
              <w:rPr>
                <w:w w:val="110"/>
              </w:rPr>
              <w:t>always</w:t>
            </w:r>
            <w:r>
              <w:rPr>
                <w:spacing w:val="-4"/>
                <w:w w:val="110"/>
              </w:rPr>
              <w:t xml:space="preserve"> </w:t>
            </w:r>
            <w:r>
              <w:rPr>
                <w:w w:val="110"/>
              </w:rPr>
              <w:t>detect</w:t>
            </w:r>
            <w:r>
              <w:rPr>
                <w:spacing w:val="-5"/>
                <w:w w:val="110"/>
              </w:rPr>
              <w:t xml:space="preserve"> </w:t>
            </w:r>
            <w:r>
              <w:rPr>
                <w:w w:val="110"/>
              </w:rPr>
              <w:t>a</w:t>
            </w:r>
            <w:r>
              <w:rPr>
                <w:spacing w:val="-10"/>
                <w:w w:val="110"/>
              </w:rPr>
              <w:t xml:space="preserve"> </w:t>
            </w:r>
            <w:r>
              <w:rPr>
                <w:w w:val="110"/>
              </w:rPr>
              <w:t>material</w:t>
            </w:r>
            <w:r>
              <w:rPr>
                <w:spacing w:val="-8"/>
                <w:w w:val="110"/>
              </w:rPr>
              <w:t xml:space="preserve"> </w:t>
            </w:r>
            <w:r>
              <w:rPr>
                <w:w w:val="110"/>
              </w:rPr>
              <w:t>misstatement</w:t>
            </w:r>
            <w:r>
              <w:rPr>
                <w:spacing w:val="16"/>
                <w:w w:val="110"/>
              </w:rPr>
              <w:t xml:space="preserve"> </w:t>
            </w:r>
            <w:r>
              <w:rPr>
                <w:w w:val="110"/>
              </w:rPr>
              <w:t>when</w:t>
            </w:r>
            <w:r>
              <w:rPr>
                <w:spacing w:val="-9"/>
                <w:w w:val="110"/>
              </w:rPr>
              <w:t xml:space="preserve"> </w:t>
            </w:r>
            <w:r>
              <w:rPr>
                <w:w w:val="110"/>
              </w:rPr>
              <w:t>it</w:t>
            </w:r>
            <w:r>
              <w:rPr>
                <w:spacing w:val="17"/>
                <w:w w:val="110"/>
              </w:rPr>
              <w:t xml:space="preserve"> </w:t>
            </w:r>
            <w:r>
              <w:rPr>
                <w:w w:val="110"/>
              </w:rPr>
              <w:t>exists.</w:t>
            </w:r>
          </w:p>
          <w:p w14:paraId="121685F4" w14:textId="77777777" w:rsidR="00590BC1" w:rsidRDefault="00590BC1" w:rsidP="00590BC1">
            <w:r>
              <w:rPr>
                <w:w w:val="110"/>
              </w:rPr>
              <w:t>Misstatements can arise from fraud</w:t>
            </w:r>
            <w:r>
              <w:rPr>
                <w:spacing w:val="-4"/>
                <w:w w:val="110"/>
              </w:rPr>
              <w:t xml:space="preserve"> </w:t>
            </w:r>
            <w:r>
              <w:rPr>
                <w:w w:val="110"/>
              </w:rPr>
              <w:t>or error and</w:t>
            </w:r>
            <w:r>
              <w:rPr>
                <w:spacing w:val="-16"/>
                <w:w w:val="110"/>
              </w:rPr>
              <w:t xml:space="preserve"> </w:t>
            </w:r>
            <w:r>
              <w:rPr>
                <w:w w:val="110"/>
              </w:rPr>
              <w:t>are</w:t>
            </w:r>
            <w:r>
              <w:rPr>
                <w:spacing w:val="-2"/>
                <w:w w:val="110"/>
              </w:rPr>
              <w:t xml:space="preserve"> </w:t>
            </w:r>
            <w:r>
              <w:rPr>
                <w:w w:val="110"/>
              </w:rPr>
              <w:t>considered</w:t>
            </w:r>
            <w:r>
              <w:rPr>
                <w:spacing w:val="-3"/>
                <w:w w:val="110"/>
              </w:rPr>
              <w:t xml:space="preserve"> </w:t>
            </w:r>
            <w:r>
              <w:rPr>
                <w:w w:val="110"/>
              </w:rPr>
              <w:t>material</w:t>
            </w:r>
            <w:r>
              <w:rPr>
                <w:spacing w:val="-8"/>
                <w:w w:val="110"/>
              </w:rPr>
              <w:t xml:space="preserve"> </w:t>
            </w:r>
            <w:r>
              <w:rPr>
                <w:w w:val="110"/>
              </w:rPr>
              <w:t>if,</w:t>
            </w:r>
            <w:r>
              <w:rPr>
                <w:spacing w:val="-3"/>
                <w:w w:val="110"/>
              </w:rPr>
              <w:t xml:space="preserve"> </w:t>
            </w:r>
            <w:r>
              <w:rPr>
                <w:w w:val="110"/>
              </w:rPr>
              <w:t xml:space="preserve">individually or in </w:t>
            </w:r>
            <w:r>
              <w:rPr>
                <w:spacing w:val="-2"/>
                <w:w w:val="110"/>
              </w:rPr>
              <w:t>aggregate,</w:t>
            </w:r>
            <w:r>
              <w:rPr>
                <w:spacing w:val="-5"/>
                <w:w w:val="110"/>
              </w:rPr>
              <w:t xml:space="preserve"> </w:t>
            </w:r>
            <w:r>
              <w:rPr>
                <w:spacing w:val="-2"/>
                <w:w w:val="110"/>
              </w:rPr>
              <w:t>they</w:t>
            </w:r>
            <w:r>
              <w:rPr>
                <w:spacing w:val="-17"/>
                <w:w w:val="110"/>
              </w:rPr>
              <w:t xml:space="preserve"> </w:t>
            </w:r>
            <w:r>
              <w:rPr>
                <w:spacing w:val="-2"/>
                <w:w w:val="110"/>
              </w:rPr>
              <w:t>could</w:t>
            </w:r>
            <w:r>
              <w:rPr>
                <w:spacing w:val="-11"/>
                <w:w w:val="110"/>
              </w:rPr>
              <w:t xml:space="preserve"> </w:t>
            </w:r>
            <w:r>
              <w:rPr>
                <w:spacing w:val="-2"/>
                <w:w w:val="110"/>
              </w:rPr>
              <w:t>reasonably</w:t>
            </w:r>
            <w:r>
              <w:rPr>
                <w:spacing w:val="-3"/>
                <w:w w:val="110"/>
              </w:rPr>
              <w:t xml:space="preserve"> </w:t>
            </w:r>
            <w:r>
              <w:rPr>
                <w:spacing w:val="-2"/>
                <w:w w:val="110"/>
              </w:rPr>
              <w:t>be</w:t>
            </w:r>
            <w:r>
              <w:rPr>
                <w:spacing w:val="-5"/>
                <w:w w:val="110"/>
              </w:rPr>
              <w:t xml:space="preserve"> </w:t>
            </w:r>
            <w:r>
              <w:rPr>
                <w:spacing w:val="-2"/>
                <w:w w:val="110"/>
              </w:rPr>
              <w:t>expected</w:t>
            </w:r>
            <w:r>
              <w:rPr>
                <w:spacing w:val="-6"/>
                <w:w w:val="110"/>
              </w:rPr>
              <w:t xml:space="preserve"> </w:t>
            </w:r>
            <w:r>
              <w:rPr>
                <w:spacing w:val="-2"/>
                <w:w w:val="110"/>
              </w:rPr>
              <w:t>to influence</w:t>
            </w:r>
            <w:r>
              <w:rPr>
                <w:spacing w:val="-5"/>
                <w:w w:val="110"/>
              </w:rPr>
              <w:t xml:space="preserve"> </w:t>
            </w:r>
            <w:r>
              <w:rPr>
                <w:spacing w:val="-2"/>
                <w:w w:val="110"/>
              </w:rPr>
              <w:t>the economic</w:t>
            </w:r>
            <w:r>
              <w:rPr>
                <w:spacing w:val="-4"/>
                <w:w w:val="110"/>
              </w:rPr>
              <w:t xml:space="preserve"> </w:t>
            </w:r>
            <w:r>
              <w:rPr>
                <w:spacing w:val="-2"/>
                <w:w w:val="110"/>
              </w:rPr>
              <w:t>decisions</w:t>
            </w:r>
            <w:r>
              <w:rPr>
                <w:spacing w:val="-3"/>
                <w:w w:val="110"/>
              </w:rPr>
              <w:t xml:space="preserve"> </w:t>
            </w:r>
            <w:r>
              <w:rPr>
                <w:spacing w:val="-2"/>
                <w:w w:val="110"/>
              </w:rPr>
              <w:t>of users</w:t>
            </w:r>
            <w:r>
              <w:rPr>
                <w:spacing w:val="-11"/>
                <w:w w:val="110"/>
              </w:rPr>
              <w:t xml:space="preserve"> </w:t>
            </w:r>
            <w:r>
              <w:rPr>
                <w:spacing w:val="-2"/>
                <w:w w:val="110"/>
              </w:rPr>
              <w:t xml:space="preserve">taken </w:t>
            </w:r>
            <w:r>
              <w:rPr>
                <w:w w:val="110"/>
              </w:rPr>
              <w:t>on the basis of this</w:t>
            </w:r>
            <w:r>
              <w:rPr>
                <w:spacing w:val="-3"/>
                <w:w w:val="110"/>
              </w:rPr>
              <w:t xml:space="preserve"> </w:t>
            </w:r>
            <w:r>
              <w:rPr>
                <w:w w:val="110"/>
              </w:rPr>
              <w:t>financial report.</w:t>
            </w:r>
          </w:p>
          <w:p w14:paraId="051DA621" w14:textId="77777777" w:rsidR="00590BC1" w:rsidRDefault="00590BC1" w:rsidP="00590BC1">
            <w:pPr>
              <w:pStyle w:val="Normalbeforebullets"/>
            </w:pPr>
            <w:r>
              <w:rPr>
                <w:w w:val="110"/>
              </w:rPr>
              <w:t>As</w:t>
            </w:r>
            <w:r>
              <w:rPr>
                <w:spacing w:val="-14"/>
                <w:w w:val="110"/>
              </w:rPr>
              <w:t xml:space="preserve"> </w:t>
            </w:r>
            <w:r>
              <w:rPr>
                <w:w w:val="110"/>
              </w:rPr>
              <w:t>part</w:t>
            </w:r>
            <w:r>
              <w:rPr>
                <w:spacing w:val="-10"/>
                <w:w w:val="110"/>
              </w:rPr>
              <w:t xml:space="preserve"> </w:t>
            </w:r>
            <w:r>
              <w:rPr>
                <w:w w:val="110"/>
              </w:rPr>
              <w:t>of</w:t>
            </w:r>
            <w:r>
              <w:rPr>
                <w:spacing w:val="-7"/>
                <w:w w:val="110"/>
              </w:rPr>
              <w:t xml:space="preserve"> </w:t>
            </w:r>
            <w:r>
              <w:rPr>
                <w:w w:val="110"/>
              </w:rPr>
              <w:t>an</w:t>
            </w:r>
            <w:r>
              <w:rPr>
                <w:spacing w:val="-15"/>
                <w:w w:val="110"/>
              </w:rPr>
              <w:t xml:space="preserve"> </w:t>
            </w:r>
            <w:r>
              <w:rPr>
                <w:w w:val="110"/>
              </w:rPr>
              <w:t>audit</w:t>
            </w:r>
            <w:r>
              <w:rPr>
                <w:spacing w:val="-5"/>
                <w:w w:val="110"/>
              </w:rPr>
              <w:t xml:space="preserve"> </w:t>
            </w:r>
            <w:r>
              <w:rPr>
                <w:w w:val="110"/>
              </w:rPr>
              <w:t>in accordance</w:t>
            </w:r>
            <w:r>
              <w:rPr>
                <w:spacing w:val="8"/>
                <w:w w:val="110"/>
              </w:rPr>
              <w:t xml:space="preserve"> </w:t>
            </w:r>
            <w:r>
              <w:rPr>
                <w:w w:val="110"/>
              </w:rPr>
              <w:t>with</w:t>
            </w:r>
            <w:r>
              <w:rPr>
                <w:spacing w:val="-6"/>
                <w:w w:val="110"/>
              </w:rPr>
              <w:t xml:space="preserve"> </w:t>
            </w:r>
            <w:r>
              <w:rPr>
                <w:w w:val="110"/>
              </w:rPr>
              <w:t>the</w:t>
            </w:r>
            <w:r>
              <w:rPr>
                <w:spacing w:val="-14"/>
                <w:w w:val="110"/>
              </w:rPr>
              <w:t xml:space="preserve"> </w:t>
            </w:r>
            <w:r>
              <w:rPr>
                <w:w w:val="110"/>
              </w:rPr>
              <w:t>Australian Auditing</w:t>
            </w:r>
            <w:r>
              <w:rPr>
                <w:spacing w:val="-16"/>
                <w:w w:val="110"/>
              </w:rPr>
              <w:t xml:space="preserve"> </w:t>
            </w:r>
            <w:r>
              <w:rPr>
                <w:w w:val="110"/>
              </w:rPr>
              <w:t>Standards, I</w:t>
            </w:r>
            <w:r>
              <w:rPr>
                <w:spacing w:val="-8"/>
                <w:w w:val="110"/>
              </w:rPr>
              <w:t xml:space="preserve"> </w:t>
            </w:r>
            <w:r>
              <w:rPr>
                <w:w w:val="110"/>
              </w:rPr>
              <w:t>exercise</w:t>
            </w:r>
            <w:r>
              <w:rPr>
                <w:spacing w:val="10"/>
                <w:w w:val="110"/>
              </w:rPr>
              <w:t xml:space="preserve"> </w:t>
            </w:r>
            <w:r>
              <w:rPr>
                <w:w w:val="110"/>
              </w:rPr>
              <w:t>professional judgement and maintain professional scepticism throughout the audit. I</w:t>
            </w:r>
            <w:r>
              <w:rPr>
                <w:spacing w:val="-6"/>
                <w:w w:val="110"/>
              </w:rPr>
              <w:t xml:space="preserve"> </w:t>
            </w:r>
            <w:r>
              <w:rPr>
                <w:w w:val="110"/>
              </w:rPr>
              <w:t>also:</w:t>
            </w:r>
          </w:p>
          <w:p w14:paraId="5D7AF436" w14:textId="77777777" w:rsidR="00590BC1" w:rsidRDefault="00590BC1" w:rsidP="00590BC1">
            <w:pPr>
              <w:pStyle w:val="Bullet"/>
            </w:pPr>
            <w:r>
              <w:rPr>
                <w:w w:val="110"/>
              </w:rPr>
              <w:t>identify</w:t>
            </w:r>
            <w:r>
              <w:rPr>
                <w:spacing w:val="-2"/>
                <w:w w:val="110"/>
              </w:rPr>
              <w:t xml:space="preserve"> </w:t>
            </w:r>
            <w:r>
              <w:rPr>
                <w:w w:val="110"/>
              </w:rPr>
              <w:t>and</w:t>
            </w:r>
            <w:r>
              <w:rPr>
                <w:spacing w:val="-27"/>
                <w:w w:val="110"/>
              </w:rPr>
              <w:t xml:space="preserve"> </w:t>
            </w:r>
            <w:r>
              <w:rPr>
                <w:w w:val="110"/>
              </w:rPr>
              <w:t>assess the</w:t>
            </w:r>
            <w:r>
              <w:rPr>
                <w:spacing w:val="40"/>
                <w:w w:val="110"/>
              </w:rPr>
              <w:t xml:space="preserve"> </w:t>
            </w:r>
            <w:r>
              <w:rPr>
                <w:w w:val="110"/>
              </w:rPr>
              <w:t>risks</w:t>
            </w:r>
            <w:r>
              <w:rPr>
                <w:spacing w:val="-6"/>
                <w:w w:val="110"/>
              </w:rPr>
              <w:t xml:space="preserve"> </w:t>
            </w:r>
            <w:r>
              <w:rPr>
                <w:w w:val="110"/>
              </w:rPr>
              <w:t>of</w:t>
            </w:r>
            <w:r>
              <w:rPr>
                <w:spacing w:val="21"/>
                <w:w w:val="110"/>
              </w:rPr>
              <w:t xml:space="preserve"> </w:t>
            </w:r>
            <w:r>
              <w:rPr>
                <w:w w:val="110"/>
              </w:rPr>
              <w:t>material</w:t>
            </w:r>
            <w:r>
              <w:rPr>
                <w:spacing w:val="-15"/>
                <w:w w:val="110"/>
              </w:rPr>
              <w:t xml:space="preserve"> </w:t>
            </w:r>
            <w:r>
              <w:rPr>
                <w:w w:val="110"/>
              </w:rPr>
              <w:t>misstatement of the financial</w:t>
            </w:r>
            <w:r>
              <w:rPr>
                <w:spacing w:val="-7"/>
                <w:w w:val="110"/>
              </w:rPr>
              <w:t xml:space="preserve"> </w:t>
            </w:r>
            <w:r>
              <w:rPr>
                <w:w w:val="110"/>
              </w:rPr>
              <w:t>report,</w:t>
            </w:r>
            <w:r>
              <w:rPr>
                <w:spacing w:val="-2"/>
                <w:w w:val="110"/>
              </w:rPr>
              <w:t xml:space="preserve"> </w:t>
            </w:r>
            <w:r>
              <w:rPr>
                <w:w w:val="110"/>
              </w:rPr>
              <w:t>whether due</w:t>
            </w:r>
            <w:r>
              <w:rPr>
                <w:spacing w:val="-7"/>
                <w:w w:val="110"/>
              </w:rPr>
              <w:t xml:space="preserve"> </w:t>
            </w:r>
            <w:r>
              <w:rPr>
                <w:w w:val="110"/>
              </w:rPr>
              <w:t>to</w:t>
            </w:r>
            <w:r>
              <w:rPr>
                <w:spacing w:val="16"/>
                <w:w w:val="110"/>
              </w:rPr>
              <w:t xml:space="preserve"> </w:t>
            </w:r>
            <w:r>
              <w:rPr>
                <w:w w:val="110"/>
              </w:rPr>
              <w:t>fraud</w:t>
            </w:r>
            <w:r>
              <w:rPr>
                <w:spacing w:val="-19"/>
                <w:w w:val="110"/>
              </w:rPr>
              <w:t xml:space="preserve"> </w:t>
            </w:r>
            <w:r>
              <w:rPr>
                <w:w w:val="110"/>
              </w:rPr>
              <w:t>or error,</w:t>
            </w:r>
            <w:r>
              <w:rPr>
                <w:spacing w:val="-4"/>
                <w:w w:val="110"/>
              </w:rPr>
              <w:t xml:space="preserve"> </w:t>
            </w:r>
            <w:r>
              <w:rPr>
                <w:w w:val="110"/>
              </w:rPr>
              <w:t>design</w:t>
            </w:r>
            <w:r>
              <w:rPr>
                <w:spacing w:val="-12"/>
                <w:w w:val="110"/>
              </w:rPr>
              <w:t xml:space="preserve"> </w:t>
            </w:r>
            <w:r>
              <w:rPr>
                <w:w w:val="110"/>
              </w:rPr>
              <w:t>and perform</w:t>
            </w:r>
            <w:r>
              <w:rPr>
                <w:spacing w:val="-16"/>
                <w:w w:val="110"/>
              </w:rPr>
              <w:t xml:space="preserve"> </w:t>
            </w:r>
            <w:r>
              <w:rPr>
                <w:w w:val="110"/>
              </w:rPr>
              <w:t>audit</w:t>
            </w:r>
            <w:r>
              <w:rPr>
                <w:spacing w:val="-8"/>
                <w:w w:val="110"/>
              </w:rPr>
              <w:t xml:space="preserve"> </w:t>
            </w:r>
            <w:r>
              <w:rPr>
                <w:w w:val="110"/>
              </w:rPr>
              <w:t>procedures responsive to those risks, and obtain</w:t>
            </w:r>
            <w:r>
              <w:rPr>
                <w:spacing w:val="-10"/>
                <w:w w:val="110"/>
              </w:rPr>
              <w:t xml:space="preserve"> </w:t>
            </w:r>
            <w:r>
              <w:rPr>
                <w:w w:val="110"/>
              </w:rPr>
              <w:t>audit evidence that</w:t>
            </w:r>
            <w:r>
              <w:rPr>
                <w:spacing w:val="-4"/>
                <w:w w:val="110"/>
              </w:rPr>
              <w:t xml:space="preserve"> </w:t>
            </w:r>
            <w:r>
              <w:rPr>
                <w:w w:val="110"/>
              </w:rPr>
              <w:t>is</w:t>
            </w:r>
            <w:r>
              <w:rPr>
                <w:spacing w:val="-9"/>
                <w:w w:val="110"/>
              </w:rPr>
              <w:t xml:space="preserve"> </w:t>
            </w:r>
            <w:r>
              <w:rPr>
                <w:w w:val="110"/>
              </w:rPr>
              <w:t>sufficient and</w:t>
            </w:r>
            <w:r>
              <w:rPr>
                <w:spacing w:val="-9"/>
                <w:w w:val="110"/>
              </w:rPr>
              <w:t xml:space="preserve"> </w:t>
            </w:r>
            <w:r>
              <w:rPr>
                <w:w w:val="110"/>
              </w:rPr>
              <w:t>appropriate to provide</w:t>
            </w:r>
            <w:r>
              <w:rPr>
                <w:spacing w:val="-3"/>
                <w:w w:val="110"/>
              </w:rPr>
              <w:t xml:space="preserve"> </w:t>
            </w:r>
            <w:r>
              <w:rPr>
                <w:w w:val="110"/>
              </w:rPr>
              <w:t>a</w:t>
            </w:r>
            <w:r>
              <w:rPr>
                <w:spacing w:val="-9"/>
                <w:w w:val="110"/>
              </w:rPr>
              <w:t xml:space="preserve"> </w:t>
            </w:r>
            <w:r>
              <w:rPr>
                <w:w w:val="110"/>
              </w:rPr>
              <w:t>basis for</w:t>
            </w:r>
            <w:r>
              <w:rPr>
                <w:spacing w:val="27"/>
                <w:w w:val="110"/>
              </w:rPr>
              <w:t xml:space="preserve"> </w:t>
            </w:r>
            <w:r>
              <w:rPr>
                <w:w w:val="110"/>
              </w:rPr>
              <w:t>my opinion.</w:t>
            </w:r>
            <w:r>
              <w:rPr>
                <w:spacing w:val="-21"/>
                <w:w w:val="110"/>
              </w:rPr>
              <w:t xml:space="preserve"> </w:t>
            </w:r>
            <w:r>
              <w:rPr>
                <w:w w:val="110"/>
              </w:rPr>
              <w:t>The</w:t>
            </w:r>
            <w:r>
              <w:rPr>
                <w:spacing w:val="-6"/>
                <w:w w:val="110"/>
              </w:rPr>
              <w:t xml:space="preserve"> </w:t>
            </w:r>
            <w:r>
              <w:rPr>
                <w:w w:val="110"/>
              </w:rPr>
              <w:t>risk</w:t>
            </w:r>
            <w:r>
              <w:rPr>
                <w:spacing w:val="-14"/>
                <w:w w:val="110"/>
              </w:rPr>
              <w:t xml:space="preserve"> </w:t>
            </w:r>
            <w:r>
              <w:rPr>
                <w:w w:val="110"/>
              </w:rPr>
              <w:t>of</w:t>
            </w:r>
            <w:r>
              <w:rPr>
                <w:spacing w:val="11"/>
                <w:w w:val="110"/>
              </w:rPr>
              <w:t xml:space="preserve"> </w:t>
            </w:r>
            <w:r>
              <w:rPr>
                <w:w w:val="110"/>
              </w:rPr>
              <w:t>not</w:t>
            </w:r>
            <w:r>
              <w:rPr>
                <w:spacing w:val="18"/>
                <w:w w:val="110"/>
              </w:rPr>
              <w:t xml:space="preserve"> </w:t>
            </w:r>
            <w:r>
              <w:rPr>
                <w:w w:val="110"/>
              </w:rPr>
              <w:t>detecting</w:t>
            </w:r>
            <w:r>
              <w:rPr>
                <w:spacing w:val="-13"/>
                <w:w w:val="110"/>
              </w:rPr>
              <w:t xml:space="preserve"> </w:t>
            </w:r>
            <w:r>
              <w:rPr>
                <w:w w:val="110"/>
              </w:rPr>
              <w:t>a</w:t>
            </w:r>
            <w:r>
              <w:rPr>
                <w:spacing w:val="-18"/>
                <w:w w:val="110"/>
              </w:rPr>
              <w:t xml:space="preserve"> </w:t>
            </w:r>
            <w:r>
              <w:rPr>
                <w:w w:val="110"/>
              </w:rPr>
              <w:t>material</w:t>
            </w:r>
            <w:r>
              <w:rPr>
                <w:spacing w:val="-8"/>
                <w:w w:val="110"/>
              </w:rPr>
              <w:t xml:space="preserve"> </w:t>
            </w:r>
            <w:r>
              <w:rPr>
                <w:w w:val="110"/>
              </w:rPr>
              <w:t>misstatement resulting</w:t>
            </w:r>
            <w:r>
              <w:rPr>
                <w:spacing w:val="-9"/>
                <w:w w:val="110"/>
              </w:rPr>
              <w:t xml:space="preserve"> </w:t>
            </w:r>
            <w:r>
              <w:rPr>
                <w:w w:val="110"/>
              </w:rPr>
              <w:t>from</w:t>
            </w:r>
            <w:r>
              <w:rPr>
                <w:spacing w:val="-14"/>
                <w:w w:val="110"/>
              </w:rPr>
              <w:t xml:space="preserve"> </w:t>
            </w:r>
            <w:r>
              <w:rPr>
                <w:w w:val="110"/>
              </w:rPr>
              <w:t>fraud</w:t>
            </w:r>
            <w:r>
              <w:rPr>
                <w:spacing w:val="-11"/>
                <w:w w:val="110"/>
              </w:rPr>
              <w:t xml:space="preserve"> </w:t>
            </w:r>
            <w:r>
              <w:rPr>
                <w:w w:val="110"/>
              </w:rPr>
              <w:t>is</w:t>
            </w:r>
            <w:r>
              <w:rPr>
                <w:spacing w:val="-3"/>
                <w:w w:val="110"/>
              </w:rPr>
              <w:t xml:space="preserve"> </w:t>
            </w:r>
            <w:r>
              <w:rPr>
                <w:w w:val="110"/>
              </w:rPr>
              <w:t xml:space="preserve">higher than for one resulting </w:t>
            </w:r>
            <w:r>
              <w:rPr>
                <w:w w:val="110"/>
              </w:rPr>
              <w:lastRenderedPageBreak/>
              <w:t>from</w:t>
            </w:r>
            <w:r>
              <w:rPr>
                <w:spacing w:val="-11"/>
                <w:w w:val="110"/>
              </w:rPr>
              <w:t xml:space="preserve"> </w:t>
            </w:r>
            <w:r>
              <w:rPr>
                <w:w w:val="110"/>
              </w:rPr>
              <w:t>error,</w:t>
            </w:r>
            <w:r>
              <w:rPr>
                <w:spacing w:val="-7"/>
                <w:w w:val="110"/>
              </w:rPr>
              <w:t xml:space="preserve"> </w:t>
            </w:r>
            <w:r>
              <w:rPr>
                <w:w w:val="110"/>
              </w:rPr>
              <w:t>as fraud</w:t>
            </w:r>
            <w:r>
              <w:rPr>
                <w:spacing w:val="-8"/>
                <w:w w:val="110"/>
              </w:rPr>
              <w:t xml:space="preserve"> </w:t>
            </w:r>
            <w:r>
              <w:rPr>
                <w:w w:val="110"/>
              </w:rPr>
              <w:t>may</w:t>
            </w:r>
            <w:r>
              <w:rPr>
                <w:spacing w:val="-2"/>
                <w:w w:val="110"/>
              </w:rPr>
              <w:t xml:space="preserve"> </w:t>
            </w:r>
            <w:r>
              <w:rPr>
                <w:w w:val="110"/>
              </w:rPr>
              <w:t>involve</w:t>
            </w:r>
            <w:r>
              <w:rPr>
                <w:spacing w:val="-12"/>
                <w:w w:val="110"/>
              </w:rPr>
              <w:t xml:space="preserve"> </w:t>
            </w:r>
            <w:r>
              <w:rPr>
                <w:w w:val="110"/>
              </w:rPr>
              <w:t>collusion, forgery, intentional omissions, misrepresentations,</w:t>
            </w:r>
            <w:r>
              <w:rPr>
                <w:spacing w:val="-10"/>
                <w:w w:val="110"/>
              </w:rPr>
              <w:t xml:space="preserve"> </w:t>
            </w:r>
            <w:r>
              <w:rPr>
                <w:w w:val="110"/>
              </w:rPr>
              <w:t>or the override of internal control.</w:t>
            </w:r>
          </w:p>
          <w:p w14:paraId="50F7AC9C" w14:textId="77777777" w:rsidR="00590BC1" w:rsidRDefault="00590BC1" w:rsidP="00590BC1">
            <w:pPr>
              <w:pStyle w:val="Bullet"/>
            </w:pPr>
            <w:r>
              <w:rPr>
                <w:w w:val="110"/>
              </w:rPr>
              <w:t>obtain</w:t>
            </w:r>
            <w:r>
              <w:rPr>
                <w:spacing w:val="-12"/>
                <w:w w:val="110"/>
              </w:rPr>
              <w:t xml:space="preserve"> </w:t>
            </w:r>
            <w:r>
              <w:rPr>
                <w:w w:val="110"/>
              </w:rPr>
              <w:t>an</w:t>
            </w:r>
            <w:r>
              <w:rPr>
                <w:spacing w:val="-5"/>
                <w:w w:val="110"/>
              </w:rPr>
              <w:t xml:space="preserve"> </w:t>
            </w:r>
            <w:r>
              <w:rPr>
                <w:w w:val="110"/>
              </w:rPr>
              <w:t>understanding of internal</w:t>
            </w:r>
            <w:r>
              <w:rPr>
                <w:spacing w:val="-8"/>
                <w:w w:val="110"/>
              </w:rPr>
              <w:t xml:space="preserve"> </w:t>
            </w:r>
            <w:r>
              <w:rPr>
                <w:w w:val="110"/>
              </w:rPr>
              <w:t>control</w:t>
            </w:r>
            <w:r>
              <w:rPr>
                <w:spacing w:val="-16"/>
                <w:w w:val="110"/>
              </w:rPr>
              <w:t xml:space="preserve"> </w:t>
            </w:r>
            <w:r>
              <w:rPr>
                <w:w w:val="110"/>
              </w:rPr>
              <w:t>relevant to the audit</w:t>
            </w:r>
            <w:r>
              <w:rPr>
                <w:spacing w:val="-4"/>
                <w:w w:val="110"/>
              </w:rPr>
              <w:t xml:space="preserve"> </w:t>
            </w:r>
            <w:r>
              <w:rPr>
                <w:w w:val="110"/>
              </w:rPr>
              <w:t>in</w:t>
            </w:r>
            <w:r>
              <w:rPr>
                <w:spacing w:val="-6"/>
                <w:w w:val="110"/>
              </w:rPr>
              <w:t xml:space="preserve"> </w:t>
            </w:r>
            <w:r>
              <w:rPr>
                <w:w w:val="110"/>
              </w:rPr>
              <w:t>order to</w:t>
            </w:r>
            <w:r>
              <w:rPr>
                <w:spacing w:val="-6"/>
                <w:w w:val="110"/>
              </w:rPr>
              <w:t xml:space="preserve"> </w:t>
            </w:r>
            <w:r>
              <w:rPr>
                <w:w w:val="110"/>
              </w:rPr>
              <w:t>design</w:t>
            </w:r>
            <w:r>
              <w:rPr>
                <w:spacing w:val="-6"/>
                <w:w w:val="110"/>
              </w:rPr>
              <w:t xml:space="preserve"> </w:t>
            </w:r>
            <w:r>
              <w:rPr>
                <w:w w:val="110"/>
              </w:rPr>
              <w:t>audit procedures that</w:t>
            </w:r>
            <w:r>
              <w:rPr>
                <w:spacing w:val="-1"/>
                <w:w w:val="110"/>
              </w:rPr>
              <w:t xml:space="preserve"> </w:t>
            </w:r>
            <w:r>
              <w:rPr>
                <w:w w:val="110"/>
              </w:rPr>
              <w:t>are</w:t>
            </w:r>
            <w:r>
              <w:rPr>
                <w:spacing w:val="-8"/>
                <w:w w:val="110"/>
              </w:rPr>
              <w:t xml:space="preserve"> </w:t>
            </w:r>
            <w:r>
              <w:rPr>
                <w:w w:val="110"/>
              </w:rPr>
              <w:t>appropriate</w:t>
            </w:r>
            <w:r>
              <w:rPr>
                <w:spacing w:val="-2"/>
                <w:w w:val="110"/>
              </w:rPr>
              <w:t xml:space="preserve"> </w:t>
            </w:r>
            <w:r>
              <w:rPr>
                <w:w w:val="110"/>
              </w:rPr>
              <w:t>in the circumstances,</w:t>
            </w:r>
            <w:r>
              <w:rPr>
                <w:spacing w:val="-23"/>
                <w:w w:val="110"/>
              </w:rPr>
              <w:t xml:space="preserve"> </w:t>
            </w:r>
            <w:r>
              <w:rPr>
                <w:w w:val="110"/>
              </w:rPr>
              <w:t>but</w:t>
            </w:r>
            <w:r>
              <w:rPr>
                <w:spacing w:val="25"/>
                <w:w w:val="110"/>
              </w:rPr>
              <w:t xml:space="preserve"> </w:t>
            </w:r>
            <w:r>
              <w:rPr>
                <w:w w:val="110"/>
              </w:rPr>
              <w:t>not</w:t>
            </w:r>
            <w:r>
              <w:rPr>
                <w:spacing w:val="28"/>
                <w:w w:val="110"/>
              </w:rPr>
              <w:t xml:space="preserve"> </w:t>
            </w:r>
            <w:r>
              <w:rPr>
                <w:w w:val="110"/>
              </w:rPr>
              <w:t>for the purpose</w:t>
            </w:r>
            <w:r>
              <w:rPr>
                <w:spacing w:val="-1"/>
                <w:w w:val="110"/>
              </w:rPr>
              <w:t xml:space="preserve"> </w:t>
            </w:r>
            <w:r>
              <w:rPr>
                <w:w w:val="110"/>
              </w:rPr>
              <w:t>of expressing</w:t>
            </w:r>
            <w:r>
              <w:rPr>
                <w:spacing w:val="-4"/>
                <w:w w:val="110"/>
              </w:rPr>
              <w:t xml:space="preserve"> </w:t>
            </w:r>
            <w:r>
              <w:rPr>
                <w:w w:val="110"/>
              </w:rPr>
              <w:t>an opinion</w:t>
            </w:r>
            <w:r>
              <w:rPr>
                <w:spacing w:val="-2"/>
                <w:w w:val="110"/>
              </w:rPr>
              <w:t xml:space="preserve"> </w:t>
            </w:r>
            <w:r>
              <w:rPr>
                <w:w w:val="110"/>
              </w:rPr>
              <w:t>on the</w:t>
            </w:r>
            <w:r>
              <w:rPr>
                <w:spacing w:val="-8"/>
                <w:w w:val="110"/>
              </w:rPr>
              <w:t xml:space="preserve"> </w:t>
            </w:r>
            <w:r>
              <w:rPr>
                <w:w w:val="110"/>
              </w:rPr>
              <w:t>effectiveness of</w:t>
            </w:r>
            <w:r>
              <w:rPr>
                <w:spacing w:val="38"/>
                <w:w w:val="110"/>
              </w:rPr>
              <w:t xml:space="preserve"> </w:t>
            </w:r>
            <w:r>
              <w:rPr>
                <w:w w:val="110"/>
              </w:rPr>
              <w:t>the department's internal</w:t>
            </w:r>
            <w:r>
              <w:rPr>
                <w:spacing w:val="-8"/>
                <w:w w:val="110"/>
              </w:rPr>
              <w:t xml:space="preserve"> </w:t>
            </w:r>
            <w:r>
              <w:rPr>
                <w:w w:val="110"/>
              </w:rPr>
              <w:t>control</w:t>
            </w:r>
          </w:p>
          <w:p w14:paraId="48A5B337" w14:textId="77777777" w:rsidR="00590BC1" w:rsidRDefault="00590BC1" w:rsidP="00590BC1">
            <w:pPr>
              <w:pStyle w:val="Bullet"/>
            </w:pPr>
            <w:r>
              <w:t>evaluate</w:t>
            </w:r>
            <w:r>
              <w:rPr>
                <w:spacing w:val="40"/>
              </w:rPr>
              <w:t xml:space="preserve"> </w:t>
            </w:r>
            <w:r>
              <w:t>the</w:t>
            </w:r>
            <w:r>
              <w:rPr>
                <w:spacing w:val="40"/>
              </w:rPr>
              <w:t xml:space="preserve"> </w:t>
            </w:r>
            <w:r>
              <w:t>appropriateness of</w:t>
            </w:r>
            <w:r>
              <w:rPr>
                <w:spacing w:val="40"/>
              </w:rPr>
              <w:t xml:space="preserve"> </w:t>
            </w:r>
            <w:r>
              <w:t>accounting</w:t>
            </w:r>
            <w:r>
              <w:rPr>
                <w:spacing w:val="31"/>
              </w:rPr>
              <w:t xml:space="preserve"> </w:t>
            </w:r>
            <w:r>
              <w:t>policies</w:t>
            </w:r>
            <w:r>
              <w:rPr>
                <w:spacing w:val="31"/>
              </w:rPr>
              <w:t xml:space="preserve"> </w:t>
            </w:r>
            <w:r>
              <w:t>used and</w:t>
            </w:r>
            <w:r>
              <w:rPr>
                <w:spacing w:val="40"/>
              </w:rPr>
              <w:t xml:space="preserve"> </w:t>
            </w:r>
            <w:r>
              <w:t>the</w:t>
            </w:r>
            <w:r>
              <w:rPr>
                <w:spacing w:val="40"/>
              </w:rPr>
              <w:t xml:space="preserve"> </w:t>
            </w:r>
            <w:r>
              <w:t>reasonableness</w:t>
            </w:r>
            <w:r>
              <w:rPr>
                <w:spacing w:val="28"/>
              </w:rPr>
              <w:t xml:space="preserve"> </w:t>
            </w:r>
            <w:r>
              <w:t xml:space="preserve">of </w:t>
            </w:r>
            <w:r>
              <w:rPr>
                <w:w w:val="110"/>
              </w:rPr>
              <w:t>accounting</w:t>
            </w:r>
            <w:r>
              <w:rPr>
                <w:spacing w:val="-13"/>
                <w:w w:val="110"/>
              </w:rPr>
              <w:t xml:space="preserve"> </w:t>
            </w:r>
            <w:r>
              <w:rPr>
                <w:w w:val="110"/>
              </w:rPr>
              <w:t>estimates</w:t>
            </w:r>
            <w:r>
              <w:rPr>
                <w:spacing w:val="-9"/>
                <w:w w:val="110"/>
              </w:rPr>
              <w:t xml:space="preserve"> </w:t>
            </w:r>
            <w:r>
              <w:rPr>
                <w:w w:val="110"/>
              </w:rPr>
              <w:t>and</w:t>
            </w:r>
            <w:r>
              <w:rPr>
                <w:spacing w:val="-11"/>
                <w:w w:val="110"/>
              </w:rPr>
              <w:t xml:space="preserve"> </w:t>
            </w:r>
            <w:r>
              <w:rPr>
                <w:w w:val="110"/>
              </w:rPr>
              <w:t>related</w:t>
            </w:r>
            <w:r>
              <w:rPr>
                <w:spacing w:val="-10"/>
                <w:w w:val="110"/>
              </w:rPr>
              <w:t xml:space="preserve"> </w:t>
            </w:r>
            <w:r>
              <w:rPr>
                <w:w w:val="110"/>
              </w:rPr>
              <w:t>disclosures made</w:t>
            </w:r>
            <w:r>
              <w:rPr>
                <w:spacing w:val="-4"/>
                <w:w w:val="110"/>
              </w:rPr>
              <w:t xml:space="preserve"> </w:t>
            </w:r>
            <w:r>
              <w:rPr>
                <w:w w:val="110"/>
              </w:rPr>
              <w:t>by the Secretary</w:t>
            </w:r>
          </w:p>
          <w:p w14:paraId="17D916F4" w14:textId="77777777" w:rsidR="00590BC1" w:rsidRDefault="00590BC1" w:rsidP="00590BC1">
            <w:pPr>
              <w:pStyle w:val="Bullet"/>
            </w:pPr>
            <w:r>
              <w:rPr>
                <w:w w:val="110"/>
              </w:rPr>
              <w:t>conclude</w:t>
            </w:r>
            <w:r>
              <w:rPr>
                <w:spacing w:val="-13"/>
                <w:w w:val="110"/>
              </w:rPr>
              <w:t xml:space="preserve"> </w:t>
            </w:r>
            <w:r>
              <w:rPr>
                <w:w w:val="110"/>
              </w:rPr>
              <w:t>on</w:t>
            </w:r>
            <w:r>
              <w:rPr>
                <w:spacing w:val="-12"/>
                <w:w w:val="110"/>
              </w:rPr>
              <w:t xml:space="preserve"> </w:t>
            </w:r>
            <w:r>
              <w:rPr>
                <w:w w:val="110"/>
              </w:rPr>
              <w:t>the appropriateness</w:t>
            </w:r>
            <w:r>
              <w:rPr>
                <w:spacing w:val="-20"/>
                <w:w w:val="110"/>
              </w:rPr>
              <w:t xml:space="preserve"> </w:t>
            </w:r>
            <w:r>
              <w:rPr>
                <w:w w:val="110"/>
              </w:rPr>
              <w:t>of the Secretary's</w:t>
            </w:r>
            <w:r>
              <w:rPr>
                <w:spacing w:val="-3"/>
                <w:w w:val="110"/>
              </w:rPr>
              <w:t xml:space="preserve"> </w:t>
            </w:r>
            <w:r>
              <w:rPr>
                <w:w w:val="110"/>
              </w:rPr>
              <w:t>use</w:t>
            </w:r>
            <w:r>
              <w:rPr>
                <w:spacing w:val="-14"/>
                <w:w w:val="110"/>
              </w:rPr>
              <w:t xml:space="preserve"> </w:t>
            </w:r>
            <w:r>
              <w:rPr>
                <w:w w:val="110"/>
              </w:rPr>
              <w:t>of the</w:t>
            </w:r>
            <w:r>
              <w:rPr>
                <w:spacing w:val="18"/>
                <w:w w:val="110"/>
              </w:rPr>
              <w:t xml:space="preserve"> </w:t>
            </w:r>
            <w:r>
              <w:rPr>
                <w:w w:val="110"/>
              </w:rPr>
              <w:t>going</w:t>
            </w:r>
            <w:r>
              <w:rPr>
                <w:spacing w:val="-27"/>
                <w:w w:val="110"/>
              </w:rPr>
              <w:t xml:space="preserve"> </w:t>
            </w:r>
            <w:r>
              <w:rPr>
                <w:w w:val="110"/>
              </w:rPr>
              <w:t>concern</w:t>
            </w:r>
            <w:r>
              <w:rPr>
                <w:spacing w:val="-7"/>
                <w:w w:val="110"/>
              </w:rPr>
              <w:t xml:space="preserve"> </w:t>
            </w:r>
            <w:r>
              <w:rPr>
                <w:w w:val="110"/>
              </w:rPr>
              <w:t>basis</w:t>
            </w:r>
            <w:r>
              <w:rPr>
                <w:spacing w:val="-13"/>
                <w:w w:val="110"/>
              </w:rPr>
              <w:t xml:space="preserve"> </w:t>
            </w:r>
            <w:r>
              <w:rPr>
                <w:w w:val="110"/>
              </w:rPr>
              <w:t>of accounting</w:t>
            </w:r>
            <w:r>
              <w:rPr>
                <w:spacing w:val="-1"/>
                <w:w w:val="110"/>
              </w:rPr>
              <w:t xml:space="preserve"> </w:t>
            </w:r>
            <w:r>
              <w:rPr>
                <w:w w:val="110"/>
              </w:rPr>
              <w:t>and,</w:t>
            </w:r>
            <w:r>
              <w:rPr>
                <w:spacing w:val="-19"/>
                <w:w w:val="110"/>
              </w:rPr>
              <w:t xml:space="preserve"> </w:t>
            </w:r>
            <w:r>
              <w:rPr>
                <w:w w:val="110"/>
              </w:rPr>
              <w:t>based</w:t>
            </w:r>
            <w:r>
              <w:rPr>
                <w:spacing w:val="-9"/>
                <w:w w:val="110"/>
              </w:rPr>
              <w:t xml:space="preserve"> </w:t>
            </w:r>
            <w:r>
              <w:rPr>
                <w:w w:val="110"/>
              </w:rPr>
              <w:t>on the audit</w:t>
            </w:r>
            <w:r>
              <w:rPr>
                <w:spacing w:val="-3"/>
                <w:w w:val="110"/>
              </w:rPr>
              <w:t xml:space="preserve"> </w:t>
            </w:r>
            <w:r>
              <w:rPr>
                <w:w w:val="110"/>
              </w:rPr>
              <w:t>evidence obtained, whether a</w:t>
            </w:r>
            <w:r>
              <w:rPr>
                <w:spacing w:val="-9"/>
                <w:w w:val="110"/>
              </w:rPr>
              <w:t xml:space="preserve"> </w:t>
            </w:r>
            <w:r>
              <w:rPr>
                <w:w w:val="110"/>
              </w:rPr>
              <w:t>material</w:t>
            </w:r>
            <w:r>
              <w:rPr>
                <w:spacing w:val="-11"/>
                <w:w w:val="110"/>
              </w:rPr>
              <w:t xml:space="preserve"> </w:t>
            </w:r>
            <w:r>
              <w:rPr>
                <w:w w:val="110"/>
              </w:rPr>
              <w:t>uncertainty exists related to events</w:t>
            </w:r>
            <w:r>
              <w:rPr>
                <w:spacing w:val="-5"/>
                <w:w w:val="110"/>
              </w:rPr>
              <w:t xml:space="preserve"> </w:t>
            </w:r>
            <w:r>
              <w:rPr>
                <w:w w:val="110"/>
              </w:rPr>
              <w:t>or</w:t>
            </w:r>
            <w:r>
              <w:rPr>
                <w:spacing w:val="25"/>
                <w:w w:val="110"/>
              </w:rPr>
              <w:t xml:space="preserve"> </w:t>
            </w:r>
            <w:r>
              <w:rPr>
                <w:w w:val="110"/>
              </w:rPr>
              <w:t>conditions that</w:t>
            </w:r>
            <w:r>
              <w:rPr>
                <w:spacing w:val="-1"/>
                <w:w w:val="110"/>
              </w:rPr>
              <w:t xml:space="preserve"> </w:t>
            </w:r>
            <w:r>
              <w:rPr>
                <w:w w:val="110"/>
              </w:rPr>
              <w:t>may</w:t>
            </w:r>
            <w:r>
              <w:rPr>
                <w:spacing w:val="-2"/>
                <w:w w:val="110"/>
              </w:rPr>
              <w:t xml:space="preserve"> </w:t>
            </w:r>
            <w:r>
              <w:rPr>
                <w:w w:val="110"/>
              </w:rPr>
              <w:t>cast</w:t>
            </w:r>
            <w:r>
              <w:rPr>
                <w:spacing w:val="-1"/>
                <w:w w:val="110"/>
              </w:rPr>
              <w:t xml:space="preserve"> </w:t>
            </w:r>
            <w:r>
              <w:rPr>
                <w:w w:val="110"/>
              </w:rPr>
              <w:t>significant doubt on</w:t>
            </w:r>
            <w:r>
              <w:rPr>
                <w:spacing w:val="-3"/>
                <w:w w:val="110"/>
              </w:rPr>
              <w:t xml:space="preserve"> </w:t>
            </w:r>
            <w:r>
              <w:rPr>
                <w:w w:val="110"/>
              </w:rPr>
              <w:t>the department's ability to</w:t>
            </w:r>
            <w:r>
              <w:rPr>
                <w:spacing w:val="-2"/>
                <w:w w:val="110"/>
              </w:rPr>
              <w:t xml:space="preserve"> </w:t>
            </w:r>
            <w:r>
              <w:rPr>
                <w:w w:val="110"/>
              </w:rPr>
              <w:t>continue as</w:t>
            </w:r>
            <w:r>
              <w:rPr>
                <w:spacing w:val="-2"/>
                <w:w w:val="110"/>
              </w:rPr>
              <w:t xml:space="preserve"> </w:t>
            </w:r>
            <w:r>
              <w:rPr>
                <w:w w:val="110"/>
              </w:rPr>
              <w:t>a going</w:t>
            </w:r>
            <w:r>
              <w:rPr>
                <w:spacing w:val="-22"/>
                <w:w w:val="110"/>
              </w:rPr>
              <w:t xml:space="preserve"> </w:t>
            </w:r>
            <w:r>
              <w:rPr>
                <w:w w:val="110"/>
              </w:rPr>
              <w:t>concern. If I</w:t>
            </w:r>
            <w:r>
              <w:rPr>
                <w:spacing w:val="-9"/>
                <w:w w:val="110"/>
              </w:rPr>
              <w:t xml:space="preserve"> </w:t>
            </w:r>
            <w:r>
              <w:rPr>
                <w:w w:val="110"/>
              </w:rPr>
              <w:t>conclude that</w:t>
            </w:r>
            <w:r>
              <w:rPr>
                <w:spacing w:val="-1"/>
                <w:w w:val="110"/>
              </w:rPr>
              <w:t xml:space="preserve"> </w:t>
            </w:r>
            <w:r>
              <w:rPr>
                <w:w w:val="110"/>
              </w:rPr>
              <w:t>a</w:t>
            </w:r>
            <w:r>
              <w:rPr>
                <w:spacing w:val="-9"/>
                <w:w w:val="110"/>
              </w:rPr>
              <w:t xml:space="preserve"> </w:t>
            </w:r>
            <w:r>
              <w:rPr>
                <w:w w:val="110"/>
              </w:rPr>
              <w:t>material uncertainty</w:t>
            </w:r>
            <w:r>
              <w:rPr>
                <w:spacing w:val="-4"/>
                <w:w w:val="110"/>
              </w:rPr>
              <w:t xml:space="preserve"> </w:t>
            </w:r>
            <w:r>
              <w:rPr>
                <w:w w:val="110"/>
              </w:rPr>
              <w:t>exists, I</w:t>
            </w:r>
            <w:r>
              <w:rPr>
                <w:spacing w:val="-7"/>
                <w:w w:val="110"/>
              </w:rPr>
              <w:t xml:space="preserve"> </w:t>
            </w:r>
            <w:r>
              <w:rPr>
                <w:w w:val="110"/>
              </w:rPr>
              <w:t>am</w:t>
            </w:r>
            <w:r>
              <w:rPr>
                <w:spacing w:val="-5"/>
                <w:w w:val="110"/>
              </w:rPr>
              <w:t xml:space="preserve"> </w:t>
            </w:r>
            <w:r>
              <w:rPr>
                <w:w w:val="110"/>
              </w:rPr>
              <w:t>required to draw attention</w:t>
            </w:r>
            <w:r>
              <w:rPr>
                <w:spacing w:val="-1"/>
                <w:w w:val="110"/>
              </w:rPr>
              <w:t xml:space="preserve"> </w:t>
            </w:r>
            <w:r>
              <w:rPr>
                <w:w w:val="110"/>
              </w:rPr>
              <w:t>in my</w:t>
            </w:r>
            <w:r>
              <w:rPr>
                <w:spacing w:val="-12"/>
                <w:w w:val="110"/>
              </w:rPr>
              <w:t xml:space="preserve"> </w:t>
            </w:r>
            <w:r>
              <w:rPr>
                <w:w w:val="110"/>
              </w:rPr>
              <w:t>auditor's report to the</w:t>
            </w:r>
            <w:r>
              <w:rPr>
                <w:spacing w:val="-13"/>
                <w:w w:val="110"/>
              </w:rPr>
              <w:t xml:space="preserve"> </w:t>
            </w:r>
            <w:r>
              <w:rPr>
                <w:w w:val="110"/>
              </w:rPr>
              <w:t>related disclosures in the</w:t>
            </w:r>
            <w:r>
              <w:rPr>
                <w:spacing w:val="33"/>
                <w:w w:val="110"/>
              </w:rPr>
              <w:t xml:space="preserve"> </w:t>
            </w:r>
            <w:r>
              <w:rPr>
                <w:w w:val="110"/>
              </w:rPr>
              <w:t>financial</w:t>
            </w:r>
            <w:r>
              <w:rPr>
                <w:spacing w:val="-3"/>
                <w:w w:val="110"/>
              </w:rPr>
              <w:t xml:space="preserve"> </w:t>
            </w:r>
            <w:r>
              <w:rPr>
                <w:w w:val="110"/>
              </w:rPr>
              <w:t>report</w:t>
            </w:r>
            <w:r>
              <w:rPr>
                <w:spacing w:val="-5"/>
                <w:w w:val="110"/>
              </w:rPr>
              <w:t xml:space="preserve"> </w:t>
            </w:r>
            <w:r>
              <w:rPr>
                <w:w w:val="110"/>
              </w:rPr>
              <w:t>or,</w:t>
            </w:r>
            <w:r>
              <w:rPr>
                <w:spacing w:val="-12"/>
                <w:w w:val="110"/>
              </w:rPr>
              <w:t xml:space="preserve"> </w:t>
            </w:r>
            <w:r>
              <w:rPr>
                <w:w w:val="110"/>
              </w:rPr>
              <w:t>if such</w:t>
            </w:r>
            <w:r>
              <w:rPr>
                <w:spacing w:val="-10"/>
                <w:w w:val="110"/>
              </w:rPr>
              <w:t xml:space="preserve"> </w:t>
            </w:r>
            <w:r>
              <w:rPr>
                <w:w w:val="110"/>
              </w:rPr>
              <w:t>disclosures</w:t>
            </w:r>
            <w:r>
              <w:rPr>
                <w:spacing w:val="-3"/>
                <w:w w:val="110"/>
              </w:rPr>
              <w:t xml:space="preserve"> </w:t>
            </w:r>
            <w:r>
              <w:rPr>
                <w:w w:val="110"/>
              </w:rPr>
              <w:t>are</w:t>
            </w:r>
            <w:r>
              <w:rPr>
                <w:spacing w:val="-15"/>
                <w:w w:val="110"/>
              </w:rPr>
              <w:t xml:space="preserve"> </w:t>
            </w:r>
            <w:r>
              <w:rPr>
                <w:w w:val="110"/>
              </w:rPr>
              <w:t>inadequate,</w:t>
            </w:r>
            <w:r>
              <w:rPr>
                <w:spacing w:val="-5"/>
                <w:w w:val="110"/>
              </w:rPr>
              <w:t xml:space="preserve"> </w:t>
            </w:r>
            <w:r>
              <w:rPr>
                <w:w w:val="110"/>
              </w:rPr>
              <w:t>to modify</w:t>
            </w:r>
            <w:r>
              <w:rPr>
                <w:spacing w:val="-20"/>
                <w:w w:val="110"/>
              </w:rPr>
              <w:t xml:space="preserve"> </w:t>
            </w:r>
            <w:r>
              <w:rPr>
                <w:w w:val="110"/>
              </w:rPr>
              <w:t>my opinion.</w:t>
            </w:r>
            <w:r>
              <w:rPr>
                <w:spacing w:val="-13"/>
                <w:w w:val="110"/>
              </w:rPr>
              <w:t xml:space="preserve"> </w:t>
            </w:r>
            <w:r>
              <w:rPr>
                <w:w w:val="110"/>
              </w:rPr>
              <w:t>My</w:t>
            </w:r>
            <w:r>
              <w:rPr>
                <w:spacing w:val="-13"/>
                <w:w w:val="110"/>
              </w:rPr>
              <w:t xml:space="preserve"> </w:t>
            </w:r>
            <w:r>
              <w:rPr>
                <w:w w:val="110"/>
              </w:rPr>
              <w:t>conclusions</w:t>
            </w:r>
            <w:r>
              <w:rPr>
                <w:spacing w:val="-9"/>
                <w:w w:val="110"/>
              </w:rPr>
              <w:t xml:space="preserve"> </w:t>
            </w:r>
            <w:r>
              <w:rPr>
                <w:w w:val="110"/>
              </w:rPr>
              <w:t>are</w:t>
            </w:r>
            <w:r>
              <w:rPr>
                <w:spacing w:val="-15"/>
                <w:w w:val="110"/>
              </w:rPr>
              <w:t xml:space="preserve"> </w:t>
            </w:r>
            <w:r>
              <w:rPr>
                <w:w w:val="110"/>
              </w:rPr>
              <w:t>based</w:t>
            </w:r>
            <w:r>
              <w:rPr>
                <w:spacing w:val="-13"/>
                <w:w w:val="110"/>
              </w:rPr>
              <w:t xml:space="preserve"> </w:t>
            </w:r>
            <w:r>
              <w:rPr>
                <w:w w:val="110"/>
              </w:rPr>
              <w:t>on</w:t>
            </w:r>
            <w:r>
              <w:rPr>
                <w:spacing w:val="9"/>
                <w:w w:val="110"/>
              </w:rPr>
              <w:t xml:space="preserve"> </w:t>
            </w:r>
            <w:r>
              <w:rPr>
                <w:w w:val="110"/>
              </w:rPr>
              <w:t>the audit</w:t>
            </w:r>
            <w:r>
              <w:rPr>
                <w:spacing w:val="-6"/>
                <w:w w:val="110"/>
              </w:rPr>
              <w:t xml:space="preserve"> </w:t>
            </w:r>
            <w:r>
              <w:rPr>
                <w:w w:val="110"/>
              </w:rPr>
              <w:t>evidence</w:t>
            </w:r>
            <w:r>
              <w:rPr>
                <w:spacing w:val="-5"/>
                <w:w w:val="110"/>
              </w:rPr>
              <w:t xml:space="preserve"> </w:t>
            </w:r>
            <w:r>
              <w:rPr>
                <w:w w:val="110"/>
              </w:rPr>
              <w:t>obtained</w:t>
            </w:r>
            <w:r>
              <w:rPr>
                <w:spacing w:val="-16"/>
                <w:w w:val="110"/>
              </w:rPr>
              <w:t xml:space="preserve"> </w:t>
            </w:r>
            <w:r>
              <w:rPr>
                <w:w w:val="110"/>
              </w:rPr>
              <w:t>up</w:t>
            </w:r>
            <w:r>
              <w:rPr>
                <w:spacing w:val="-13"/>
                <w:w w:val="110"/>
              </w:rPr>
              <w:t xml:space="preserve"> </w:t>
            </w:r>
            <w:r>
              <w:rPr>
                <w:w w:val="110"/>
              </w:rPr>
              <w:t>to the</w:t>
            </w:r>
            <w:r>
              <w:rPr>
                <w:spacing w:val="-15"/>
                <w:w w:val="110"/>
              </w:rPr>
              <w:t xml:space="preserve"> </w:t>
            </w:r>
            <w:r>
              <w:rPr>
                <w:w w:val="110"/>
              </w:rPr>
              <w:t>date</w:t>
            </w:r>
            <w:r>
              <w:rPr>
                <w:spacing w:val="-11"/>
                <w:w w:val="110"/>
              </w:rPr>
              <w:t xml:space="preserve"> </w:t>
            </w:r>
            <w:r>
              <w:rPr>
                <w:w w:val="110"/>
              </w:rPr>
              <w:t>of</w:t>
            </w:r>
            <w:r>
              <w:rPr>
                <w:spacing w:val="-4"/>
                <w:w w:val="110"/>
              </w:rPr>
              <w:t xml:space="preserve"> </w:t>
            </w:r>
            <w:r>
              <w:rPr>
                <w:w w:val="110"/>
              </w:rPr>
              <w:t>my auditor's report. However, future events or conditions may</w:t>
            </w:r>
            <w:r>
              <w:rPr>
                <w:spacing w:val="-11"/>
                <w:w w:val="110"/>
              </w:rPr>
              <w:t xml:space="preserve"> </w:t>
            </w:r>
            <w:r>
              <w:rPr>
                <w:w w:val="110"/>
              </w:rPr>
              <w:t>cause the</w:t>
            </w:r>
            <w:r>
              <w:rPr>
                <w:spacing w:val="40"/>
                <w:w w:val="110"/>
              </w:rPr>
              <w:t xml:space="preserve"> </w:t>
            </w:r>
            <w:r>
              <w:rPr>
                <w:w w:val="110"/>
              </w:rPr>
              <w:t>department to cease to continue</w:t>
            </w:r>
            <w:r>
              <w:rPr>
                <w:spacing w:val="-7"/>
                <w:w w:val="110"/>
              </w:rPr>
              <w:t xml:space="preserve"> </w:t>
            </w:r>
            <w:r>
              <w:rPr>
                <w:w w:val="110"/>
              </w:rPr>
              <w:t>as</w:t>
            </w:r>
            <w:r>
              <w:rPr>
                <w:spacing w:val="-3"/>
                <w:w w:val="110"/>
              </w:rPr>
              <w:t xml:space="preserve"> </w:t>
            </w:r>
            <w:r>
              <w:rPr>
                <w:w w:val="110"/>
              </w:rPr>
              <w:t>a going</w:t>
            </w:r>
            <w:r>
              <w:rPr>
                <w:spacing w:val="-15"/>
                <w:w w:val="110"/>
              </w:rPr>
              <w:t xml:space="preserve"> </w:t>
            </w:r>
            <w:r>
              <w:rPr>
                <w:w w:val="110"/>
              </w:rPr>
              <w:t>concern.</w:t>
            </w:r>
          </w:p>
          <w:p w14:paraId="7E525D89" w14:textId="77777777" w:rsidR="00590BC1" w:rsidRDefault="00590BC1" w:rsidP="00590BC1">
            <w:pPr>
              <w:pStyle w:val="Bullet"/>
            </w:pPr>
            <w:r>
              <w:rPr>
                <w:w w:val="110"/>
              </w:rPr>
              <w:t>evaluate the</w:t>
            </w:r>
            <w:r>
              <w:rPr>
                <w:spacing w:val="33"/>
                <w:w w:val="110"/>
              </w:rPr>
              <w:t xml:space="preserve"> </w:t>
            </w:r>
            <w:r>
              <w:rPr>
                <w:w w:val="110"/>
              </w:rPr>
              <w:t>overall</w:t>
            </w:r>
            <w:r>
              <w:rPr>
                <w:spacing w:val="-4"/>
                <w:w w:val="110"/>
              </w:rPr>
              <w:t xml:space="preserve"> </w:t>
            </w:r>
            <w:r>
              <w:rPr>
                <w:w w:val="110"/>
              </w:rPr>
              <w:t>presentation, structure and</w:t>
            </w:r>
            <w:r>
              <w:rPr>
                <w:spacing w:val="-8"/>
                <w:w w:val="110"/>
              </w:rPr>
              <w:t xml:space="preserve"> </w:t>
            </w:r>
            <w:r>
              <w:rPr>
                <w:w w:val="110"/>
              </w:rPr>
              <w:t>content of the financial</w:t>
            </w:r>
            <w:r>
              <w:rPr>
                <w:spacing w:val="-7"/>
                <w:w w:val="110"/>
              </w:rPr>
              <w:t xml:space="preserve"> </w:t>
            </w:r>
            <w:r>
              <w:rPr>
                <w:w w:val="110"/>
              </w:rPr>
              <w:t>report, including</w:t>
            </w:r>
            <w:r>
              <w:rPr>
                <w:spacing w:val="-13"/>
                <w:w w:val="110"/>
              </w:rPr>
              <w:t xml:space="preserve"> </w:t>
            </w:r>
            <w:r>
              <w:rPr>
                <w:w w:val="110"/>
              </w:rPr>
              <w:t>the</w:t>
            </w:r>
            <w:r>
              <w:rPr>
                <w:spacing w:val="-13"/>
                <w:w w:val="110"/>
              </w:rPr>
              <w:t xml:space="preserve"> </w:t>
            </w:r>
            <w:r>
              <w:rPr>
                <w:w w:val="110"/>
              </w:rPr>
              <w:t>disclosures,</w:t>
            </w:r>
            <w:r>
              <w:rPr>
                <w:spacing w:val="-12"/>
                <w:w w:val="110"/>
              </w:rPr>
              <w:t xml:space="preserve"> </w:t>
            </w:r>
            <w:r>
              <w:rPr>
                <w:w w:val="110"/>
              </w:rPr>
              <w:t>and</w:t>
            </w:r>
            <w:r>
              <w:rPr>
                <w:spacing w:val="-13"/>
                <w:w w:val="110"/>
              </w:rPr>
              <w:t xml:space="preserve"> </w:t>
            </w:r>
            <w:r>
              <w:rPr>
                <w:w w:val="110"/>
              </w:rPr>
              <w:t>whether the</w:t>
            </w:r>
            <w:r>
              <w:rPr>
                <w:spacing w:val="-7"/>
                <w:w w:val="110"/>
              </w:rPr>
              <w:t xml:space="preserve"> </w:t>
            </w:r>
            <w:r>
              <w:rPr>
                <w:w w:val="110"/>
              </w:rPr>
              <w:t>financial</w:t>
            </w:r>
            <w:r>
              <w:rPr>
                <w:spacing w:val="-15"/>
                <w:w w:val="110"/>
              </w:rPr>
              <w:t xml:space="preserve"> </w:t>
            </w:r>
            <w:r>
              <w:rPr>
                <w:w w:val="110"/>
              </w:rPr>
              <w:t>report</w:t>
            </w:r>
            <w:r>
              <w:rPr>
                <w:spacing w:val="-11"/>
                <w:w w:val="110"/>
              </w:rPr>
              <w:t xml:space="preserve"> </w:t>
            </w:r>
            <w:r>
              <w:rPr>
                <w:w w:val="110"/>
              </w:rPr>
              <w:t>represents</w:t>
            </w:r>
            <w:r>
              <w:rPr>
                <w:spacing w:val="-6"/>
                <w:w w:val="110"/>
              </w:rPr>
              <w:t xml:space="preserve"> </w:t>
            </w:r>
            <w:r>
              <w:rPr>
                <w:w w:val="110"/>
              </w:rPr>
              <w:t>the</w:t>
            </w:r>
            <w:r>
              <w:rPr>
                <w:spacing w:val="12"/>
                <w:w w:val="110"/>
              </w:rPr>
              <w:t xml:space="preserve"> </w:t>
            </w:r>
            <w:r>
              <w:rPr>
                <w:w w:val="110"/>
              </w:rPr>
              <w:t>underlying transactions and events in</w:t>
            </w:r>
            <w:r>
              <w:rPr>
                <w:spacing w:val="-3"/>
                <w:w w:val="110"/>
              </w:rPr>
              <w:t xml:space="preserve"> </w:t>
            </w:r>
            <w:r>
              <w:rPr>
                <w:w w:val="110"/>
              </w:rPr>
              <w:t>a</w:t>
            </w:r>
            <w:r>
              <w:rPr>
                <w:spacing w:val="-5"/>
                <w:w w:val="110"/>
              </w:rPr>
              <w:t xml:space="preserve"> </w:t>
            </w:r>
            <w:r>
              <w:rPr>
                <w:w w:val="110"/>
              </w:rPr>
              <w:t>manner that</w:t>
            </w:r>
            <w:r>
              <w:rPr>
                <w:spacing w:val="-6"/>
                <w:w w:val="110"/>
              </w:rPr>
              <w:t xml:space="preserve"> </w:t>
            </w:r>
            <w:r>
              <w:rPr>
                <w:w w:val="110"/>
              </w:rPr>
              <w:t>achieves fair</w:t>
            </w:r>
            <w:r>
              <w:rPr>
                <w:spacing w:val="-1"/>
                <w:w w:val="110"/>
              </w:rPr>
              <w:t xml:space="preserve"> </w:t>
            </w:r>
            <w:r>
              <w:rPr>
                <w:w w:val="110"/>
              </w:rPr>
              <w:t>presentation.</w:t>
            </w:r>
          </w:p>
          <w:p w14:paraId="6B1F3FD6" w14:textId="73B6ECFF" w:rsidR="00590BC1" w:rsidRDefault="00590BC1" w:rsidP="00590BC1">
            <w:r>
              <w:rPr>
                <w:w w:val="110"/>
              </w:rPr>
              <w:t>I</w:t>
            </w:r>
            <w:r>
              <w:rPr>
                <w:spacing w:val="-13"/>
                <w:w w:val="110"/>
              </w:rPr>
              <w:t xml:space="preserve"> </w:t>
            </w:r>
            <w:r>
              <w:rPr>
                <w:w w:val="110"/>
              </w:rPr>
              <w:t>communicate</w:t>
            </w:r>
            <w:r>
              <w:rPr>
                <w:spacing w:val="-13"/>
                <w:w w:val="110"/>
              </w:rPr>
              <w:t xml:space="preserve"> </w:t>
            </w:r>
            <w:r>
              <w:rPr>
                <w:w w:val="110"/>
              </w:rPr>
              <w:t>with</w:t>
            </w:r>
            <w:r>
              <w:rPr>
                <w:spacing w:val="-13"/>
                <w:w w:val="110"/>
              </w:rPr>
              <w:t xml:space="preserve"> </w:t>
            </w:r>
            <w:r>
              <w:rPr>
                <w:w w:val="110"/>
              </w:rPr>
              <w:t>the</w:t>
            </w:r>
            <w:r>
              <w:rPr>
                <w:spacing w:val="-13"/>
                <w:w w:val="110"/>
              </w:rPr>
              <w:t xml:space="preserve"> </w:t>
            </w:r>
            <w:r>
              <w:rPr>
                <w:w w:val="110"/>
              </w:rPr>
              <w:t>Secretary</w:t>
            </w:r>
            <w:r>
              <w:rPr>
                <w:spacing w:val="-13"/>
                <w:w w:val="110"/>
              </w:rPr>
              <w:t xml:space="preserve"> </w:t>
            </w:r>
            <w:r>
              <w:rPr>
                <w:w w:val="110"/>
              </w:rPr>
              <w:t>regarding,</w:t>
            </w:r>
            <w:r>
              <w:rPr>
                <w:spacing w:val="-13"/>
                <w:w w:val="110"/>
              </w:rPr>
              <w:t xml:space="preserve"> </w:t>
            </w:r>
            <w:r>
              <w:rPr>
                <w:w w:val="110"/>
              </w:rPr>
              <w:t>among</w:t>
            </w:r>
            <w:r>
              <w:rPr>
                <w:spacing w:val="-13"/>
                <w:w w:val="110"/>
              </w:rPr>
              <w:t xml:space="preserve"> </w:t>
            </w:r>
            <w:r>
              <w:rPr>
                <w:w w:val="110"/>
              </w:rPr>
              <w:t>other</w:t>
            </w:r>
            <w:r>
              <w:rPr>
                <w:spacing w:val="-13"/>
                <w:w w:val="110"/>
              </w:rPr>
              <w:t xml:space="preserve"> </w:t>
            </w:r>
            <w:r>
              <w:rPr>
                <w:w w:val="110"/>
              </w:rPr>
              <w:t>matters,</w:t>
            </w:r>
            <w:r>
              <w:rPr>
                <w:spacing w:val="-3"/>
                <w:w w:val="110"/>
              </w:rPr>
              <w:t xml:space="preserve"> </w:t>
            </w:r>
            <w:r>
              <w:rPr>
                <w:w w:val="110"/>
              </w:rPr>
              <w:t>the</w:t>
            </w:r>
            <w:r>
              <w:rPr>
                <w:spacing w:val="-12"/>
                <w:w w:val="110"/>
              </w:rPr>
              <w:t xml:space="preserve"> </w:t>
            </w:r>
            <w:r>
              <w:rPr>
                <w:w w:val="110"/>
              </w:rPr>
              <w:t>planned</w:t>
            </w:r>
            <w:r>
              <w:rPr>
                <w:spacing w:val="-13"/>
                <w:w w:val="110"/>
              </w:rPr>
              <w:t xml:space="preserve"> </w:t>
            </w:r>
            <w:r>
              <w:rPr>
                <w:w w:val="110"/>
              </w:rPr>
              <w:t>scope</w:t>
            </w:r>
            <w:r>
              <w:rPr>
                <w:spacing w:val="-12"/>
                <w:w w:val="110"/>
              </w:rPr>
              <w:t xml:space="preserve"> </w:t>
            </w:r>
            <w:r>
              <w:rPr>
                <w:w w:val="110"/>
              </w:rPr>
              <w:t>and</w:t>
            </w:r>
            <w:r>
              <w:rPr>
                <w:spacing w:val="7"/>
                <w:w w:val="110"/>
              </w:rPr>
              <w:t xml:space="preserve"> </w:t>
            </w:r>
            <w:r>
              <w:rPr>
                <w:w w:val="110"/>
              </w:rPr>
              <w:t>timing of</w:t>
            </w:r>
            <w:r>
              <w:rPr>
                <w:spacing w:val="-10"/>
                <w:w w:val="110"/>
              </w:rPr>
              <w:t xml:space="preserve"> </w:t>
            </w:r>
            <w:r>
              <w:rPr>
                <w:w w:val="110"/>
              </w:rPr>
              <w:t>the audit</w:t>
            </w:r>
            <w:r>
              <w:rPr>
                <w:spacing w:val="-13"/>
                <w:w w:val="110"/>
              </w:rPr>
              <w:t xml:space="preserve"> </w:t>
            </w:r>
            <w:r>
              <w:rPr>
                <w:w w:val="110"/>
              </w:rPr>
              <w:t>and</w:t>
            </w:r>
            <w:r>
              <w:rPr>
                <w:spacing w:val="-13"/>
                <w:w w:val="110"/>
              </w:rPr>
              <w:t xml:space="preserve"> </w:t>
            </w:r>
            <w:r>
              <w:rPr>
                <w:w w:val="110"/>
              </w:rPr>
              <w:t>significant audit</w:t>
            </w:r>
            <w:r>
              <w:rPr>
                <w:spacing w:val="-1"/>
                <w:w w:val="110"/>
              </w:rPr>
              <w:t xml:space="preserve"> </w:t>
            </w:r>
            <w:r>
              <w:rPr>
                <w:w w:val="110"/>
              </w:rPr>
              <w:t>findings,</w:t>
            </w:r>
            <w:r>
              <w:rPr>
                <w:spacing w:val="-13"/>
                <w:w w:val="110"/>
              </w:rPr>
              <w:t xml:space="preserve"> </w:t>
            </w:r>
            <w:r>
              <w:rPr>
                <w:w w:val="110"/>
              </w:rPr>
              <w:t>including</w:t>
            </w:r>
            <w:r>
              <w:rPr>
                <w:spacing w:val="-6"/>
                <w:w w:val="110"/>
              </w:rPr>
              <w:t xml:space="preserve"> </w:t>
            </w:r>
            <w:r>
              <w:rPr>
                <w:w w:val="110"/>
              </w:rPr>
              <w:t>any</w:t>
            </w:r>
            <w:r>
              <w:rPr>
                <w:spacing w:val="-8"/>
                <w:w w:val="110"/>
              </w:rPr>
              <w:t xml:space="preserve"> </w:t>
            </w:r>
            <w:r>
              <w:rPr>
                <w:w w:val="110"/>
              </w:rPr>
              <w:t>significant deficiencies</w:t>
            </w:r>
            <w:r>
              <w:rPr>
                <w:spacing w:val="-6"/>
                <w:w w:val="110"/>
              </w:rPr>
              <w:t xml:space="preserve"> </w:t>
            </w:r>
            <w:r>
              <w:rPr>
                <w:w w:val="110"/>
              </w:rPr>
              <w:t>in internal</w:t>
            </w:r>
            <w:r>
              <w:rPr>
                <w:spacing w:val="-8"/>
                <w:w w:val="110"/>
              </w:rPr>
              <w:t xml:space="preserve"> </w:t>
            </w:r>
            <w:r>
              <w:rPr>
                <w:w w:val="110"/>
              </w:rPr>
              <w:t>control that I identify during my audit.</w:t>
            </w:r>
          </w:p>
        </w:tc>
      </w:tr>
      <w:tr w:rsidR="00590BC1" w14:paraId="43C6D151" w14:textId="77777777" w:rsidTr="00590BC1">
        <w:tc>
          <w:tcPr>
            <w:tcW w:w="1980" w:type="dxa"/>
          </w:tcPr>
          <w:p w14:paraId="00DB92A7" w14:textId="3EF773FE" w:rsidR="00590BC1" w:rsidRDefault="00590BC1" w:rsidP="00FD7B75">
            <w:r>
              <w:lastRenderedPageBreak/>
              <w:t>MELBOURNE</w:t>
            </w:r>
            <w:r>
              <w:br/>
              <w:t>23 October 2025</w:t>
            </w:r>
          </w:p>
        </w:tc>
        <w:tc>
          <w:tcPr>
            <w:tcW w:w="7649" w:type="dxa"/>
          </w:tcPr>
          <w:p w14:paraId="0295B17E" w14:textId="47094CEB" w:rsidR="00590BC1" w:rsidRPr="00590BC1" w:rsidRDefault="00590BC1" w:rsidP="00590BC1">
            <w:pPr>
              <w:jc w:val="right"/>
              <w:rPr>
                <w:i/>
                <w:iCs/>
              </w:rPr>
            </w:pPr>
            <w:r>
              <w:t>Andrew Greaves</w:t>
            </w:r>
            <w:r>
              <w:br/>
            </w:r>
            <w:r>
              <w:rPr>
                <w:i/>
                <w:iCs/>
              </w:rPr>
              <w:t>Auditor-General of Victoria</w:t>
            </w:r>
          </w:p>
        </w:tc>
      </w:tr>
    </w:tbl>
    <w:p w14:paraId="01207C51" w14:textId="0EA27176" w:rsidR="00FD7B75" w:rsidRPr="00C6052E" w:rsidRDefault="00FD7B75" w:rsidP="00FD7B75"/>
    <w:p w14:paraId="4E1D5C85" w14:textId="2C29798A" w:rsidR="00EE5BB8" w:rsidRPr="00C6052E" w:rsidRDefault="00EE5BB8" w:rsidP="00EE5BB8">
      <w:pPr>
        <w:pStyle w:val="Contentsheading"/>
      </w:pPr>
      <w:bookmarkStart w:id="9" w:name="_Toc163565801"/>
      <w:bookmarkStart w:id="10" w:name="_Toc163565933"/>
      <w:bookmarkStart w:id="11" w:name="_Toc163566540"/>
      <w:bookmarkStart w:id="12" w:name="_Toc174009461"/>
      <w:bookmarkStart w:id="13" w:name="_Toc175734927"/>
      <w:bookmarkStart w:id="14" w:name="_Toc207622398"/>
      <w:r w:rsidRPr="00C6052E">
        <w:t>Contents</w:t>
      </w:r>
      <w:bookmarkEnd w:id="9"/>
      <w:bookmarkEnd w:id="10"/>
      <w:bookmarkEnd w:id="11"/>
      <w:bookmarkEnd w:id="12"/>
      <w:bookmarkEnd w:id="13"/>
      <w:bookmarkEnd w:id="14"/>
      <w:r w:rsidR="00177848" w:rsidRPr="00C6052E">
        <w:t xml:space="preserve"> </w:t>
      </w:r>
    </w:p>
    <w:p w14:paraId="57734BFB" w14:textId="1C82DFA8" w:rsidR="00EE5BB8" w:rsidRPr="00C6052E" w:rsidRDefault="00EE5BB8" w:rsidP="00EE5BB8">
      <w:r w:rsidRPr="00C6052E">
        <w:t>The</w:t>
      </w:r>
      <w:r w:rsidR="00177848" w:rsidRPr="00C6052E">
        <w:t xml:space="preserve"> </w:t>
      </w:r>
      <w:fldSimple w:instr=" DOCPROPERTY  longName  \* MERGEFORMAT ">
        <w:r w:rsidRPr="00C6052E">
          <w:t>Department</w:t>
        </w:r>
        <w:r w:rsidR="00177848" w:rsidRPr="00C6052E">
          <w:t xml:space="preserve"> </w:t>
        </w:r>
        <w:r w:rsidRPr="00C6052E">
          <w:t>of</w:t>
        </w:r>
        <w:r w:rsidR="00177848" w:rsidRPr="00C6052E">
          <w:t xml:space="preserve"> </w:t>
        </w:r>
        <w:r w:rsidRPr="00C6052E">
          <w:t>Jobs,</w:t>
        </w:r>
        <w:r w:rsidR="00177848" w:rsidRPr="00C6052E">
          <w:t xml:space="preserve"> </w:t>
        </w:r>
        <w:r w:rsidRPr="00C6052E">
          <w:t>Skills,</w:t>
        </w:r>
        <w:r w:rsidR="00177848" w:rsidRPr="00C6052E">
          <w:t xml:space="preserve"> </w:t>
        </w:r>
        <w:r w:rsidRPr="00C6052E">
          <w:t>Industry</w:t>
        </w:r>
        <w:r w:rsidR="00177848" w:rsidRPr="00C6052E">
          <w:t xml:space="preserve"> </w:t>
        </w:r>
        <w:r w:rsidRPr="00C6052E">
          <w:t>and</w:t>
        </w:r>
        <w:r w:rsidR="00177848" w:rsidRPr="00C6052E">
          <w:t xml:space="preserve"> </w:t>
        </w:r>
        <w:r w:rsidRPr="00C6052E">
          <w:t>Regions</w:t>
        </w:r>
      </w:fldSimple>
      <w:r w:rsidR="00177848" w:rsidRPr="00C6052E">
        <w:t xml:space="preserve"> </w:t>
      </w:r>
      <w:r w:rsidRPr="00C6052E">
        <w:t>(</w:t>
      </w:r>
      <w:fldSimple w:instr=" DOCPROPERTY  shortName  \* MERGEFORMAT ">
        <w:r w:rsidRPr="00C6052E">
          <w:t>DJSIR</w:t>
        </w:r>
      </w:fldSimple>
      <w:r w:rsidRPr="00C6052E">
        <w:t>)</w:t>
      </w:r>
      <w:r w:rsidR="00177848" w:rsidRPr="00C6052E">
        <w:t xml:space="preserve"> </w:t>
      </w:r>
      <w:r w:rsidRPr="00C6052E">
        <w:t>has</w:t>
      </w:r>
      <w:r w:rsidR="00177848" w:rsidRPr="00C6052E">
        <w:t xml:space="preserve"> </w:t>
      </w:r>
      <w:r w:rsidRPr="00C6052E">
        <w:t>presented</w:t>
      </w:r>
      <w:r w:rsidR="00177848" w:rsidRPr="00C6052E">
        <w:t xml:space="preserve"> </w:t>
      </w:r>
      <w:r w:rsidRPr="00C6052E">
        <w:t>its</w:t>
      </w:r>
      <w:r w:rsidR="00177848" w:rsidRPr="00C6052E">
        <w:t xml:space="preserve"> </w:t>
      </w:r>
      <w:r w:rsidRPr="00C6052E">
        <w:t>audited</w:t>
      </w:r>
      <w:r w:rsidR="00177848" w:rsidRPr="00C6052E">
        <w:t xml:space="preserve"> </w:t>
      </w:r>
      <w:r w:rsidRPr="00C6052E">
        <w:t>general-purpose</w:t>
      </w:r>
      <w:r w:rsidR="00177848" w:rsidRPr="00C6052E">
        <w:t xml:space="preserve"> </w:t>
      </w:r>
      <w:r w:rsidRPr="00C6052E">
        <w:t>financial</w:t>
      </w:r>
      <w:r w:rsidR="00177848" w:rsidRPr="00C6052E">
        <w:t xml:space="preserve"> </w:t>
      </w:r>
      <w:r w:rsidRPr="00C6052E">
        <w:t>statements</w:t>
      </w:r>
      <w:r w:rsidR="00177848" w:rsidRPr="00C6052E">
        <w:t xml:space="preserve"> </w:t>
      </w:r>
      <w:r w:rsidRPr="00C6052E">
        <w:t>for</w:t>
      </w:r>
      <w:r w:rsidR="00177848" w:rsidRPr="00C6052E">
        <w:t xml:space="preserve"> </w:t>
      </w:r>
      <w:r w:rsidRPr="00C6052E">
        <w:t>the</w:t>
      </w:r>
      <w:r w:rsidR="00177848" w:rsidRPr="00C6052E">
        <w:t xml:space="preserve"> </w:t>
      </w:r>
      <w:r w:rsidRPr="00C6052E">
        <w:t>financial</w:t>
      </w:r>
      <w:r w:rsidR="00177848" w:rsidRPr="00C6052E">
        <w:t xml:space="preserve"> </w:t>
      </w:r>
      <w:r w:rsidRPr="00C6052E">
        <w:t>year</w:t>
      </w:r>
      <w:r w:rsidR="00177848" w:rsidRPr="00C6052E">
        <w:t xml:space="preserve"> </w:t>
      </w:r>
      <w:r w:rsidRPr="00C6052E">
        <w:t>ended</w:t>
      </w:r>
      <w:r w:rsidR="00177848" w:rsidRPr="00C6052E">
        <w:t xml:space="preserve"> </w:t>
      </w:r>
      <w:fldSimple w:instr=" DOCPROPERTY  pEnd_A  \* MERGEFORMAT ">
        <w:r w:rsidRPr="00C6052E">
          <w:t>30</w:t>
        </w:r>
        <w:r w:rsidR="00177848" w:rsidRPr="00C6052E">
          <w:t xml:space="preserve"> </w:t>
        </w:r>
        <w:r w:rsidRPr="00C6052E">
          <w:t>June</w:t>
        </w:r>
      </w:fldSimple>
      <w:r w:rsidR="00177848" w:rsidRPr="00C6052E">
        <w:t xml:space="preserve"> </w:t>
      </w:r>
      <w:fldSimple w:instr=" DOCPROPERTY  crYear_A  \* MERGEFORMAT ">
        <w:r w:rsidRPr="00C6052E">
          <w:t>2025</w:t>
        </w:r>
      </w:fldSimple>
      <w:r w:rsidR="00177848" w:rsidRPr="00C6052E">
        <w:t xml:space="preserve"> </w:t>
      </w:r>
      <w:r w:rsidRPr="00C6052E">
        <w:t>in</w:t>
      </w:r>
      <w:r w:rsidR="00177848" w:rsidRPr="00C6052E">
        <w:t xml:space="preserve"> </w:t>
      </w:r>
      <w:r w:rsidRPr="00C6052E">
        <w:t>the</w:t>
      </w:r>
      <w:r w:rsidR="00177848" w:rsidRPr="00C6052E">
        <w:t xml:space="preserve"> </w:t>
      </w:r>
      <w:r w:rsidRPr="00C6052E">
        <w:t>following</w:t>
      </w:r>
      <w:r w:rsidR="00177848" w:rsidRPr="00C6052E">
        <w:t xml:space="preserve"> </w:t>
      </w:r>
      <w:r w:rsidRPr="00C6052E">
        <w:t>structure</w:t>
      </w:r>
      <w:r w:rsidR="00177848" w:rsidRPr="00C6052E">
        <w:t xml:space="preserve"> </w:t>
      </w:r>
      <w:r w:rsidRPr="00C6052E">
        <w:t>to</w:t>
      </w:r>
      <w:r w:rsidR="00177848" w:rsidRPr="00C6052E">
        <w:t xml:space="preserve"> </w:t>
      </w:r>
      <w:r w:rsidRPr="00C6052E">
        <w:t>provide</w:t>
      </w:r>
      <w:r w:rsidR="00177848" w:rsidRPr="00C6052E">
        <w:t xml:space="preserve"> </w:t>
      </w:r>
      <w:r w:rsidRPr="00C6052E">
        <w:t>users</w:t>
      </w:r>
      <w:r w:rsidR="00177848" w:rsidRPr="00C6052E">
        <w:t xml:space="preserve"> </w:t>
      </w:r>
      <w:r w:rsidRPr="00C6052E">
        <w:t>with</w:t>
      </w:r>
      <w:r w:rsidR="00177848" w:rsidRPr="00C6052E">
        <w:t xml:space="preserve"> </w:t>
      </w:r>
      <w:r w:rsidRPr="00C6052E">
        <w:t>information</w:t>
      </w:r>
      <w:r w:rsidR="00177848" w:rsidRPr="00C6052E">
        <w:t xml:space="preserve"> </w:t>
      </w:r>
      <w:r w:rsidRPr="00C6052E">
        <w:t>about</w:t>
      </w:r>
      <w:r w:rsidR="00177848" w:rsidRPr="00C6052E">
        <w:t xml:space="preserve"> </w:t>
      </w:r>
      <w:r w:rsidRPr="00C6052E">
        <w:t>DJSIR’s</w:t>
      </w:r>
      <w:r w:rsidR="00177848" w:rsidRPr="00C6052E">
        <w:t xml:space="preserve"> </w:t>
      </w:r>
      <w:r w:rsidRPr="00C6052E">
        <w:t>stewardship</w:t>
      </w:r>
      <w:r w:rsidR="00177848" w:rsidRPr="00C6052E">
        <w:t xml:space="preserve"> </w:t>
      </w:r>
      <w:r w:rsidRPr="00C6052E">
        <w:t>of</w:t>
      </w:r>
      <w:r w:rsidR="00177848" w:rsidRPr="00C6052E">
        <w:t xml:space="preserve"> </w:t>
      </w:r>
      <w:r w:rsidRPr="00C6052E">
        <w:t>resources</w:t>
      </w:r>
      <w:r w:rsidR="00177848" w:rsidRPr="00C6052E">
        <w:t xml:space="preserve"> </w:t>
      </w:r>
      <w:r w:rsidRPr="00C6052E">
        <w:t>entrusted</w:t>
      </w:r>
      <w:r w:rsidR="00177848" w:rsidRPr="00C6052E">
        <w:t xml:space="preserve"> </w:t>
      </w:r>
      <w:r w:rsidRPr="00C6052E">
        <w:t>to</w:t>
      </w:r>
      <w:r w:rsidR="00177848" w:rsidRPr="00C6052E">
        <w:t xml:space="preserve"> </w:t>
      </w:r>
      <w:r w:rsidRPr="00C6052E">
        <w:t>it.</w:t>
      </w:r>
    </w:p>
    <w:p w14:paraId="7D36CB13" w14:textId="7CE5341A" w:rsidR="00EE5BB8" w:rsidRPr="00C6052E" w:rsidRDefault="00EE5BB8" w:rsidP="00D52474">
      <w:pPr>
        <w:pStyle w:val="Heading2"/>
      </w:pPr>
      <w:bookmarkStart w:id="15" w:name="_Toc213852177"/>
      <w:bookmarkStart w:id="16" w:name="_Toc214375515"/>
      <w:bookmarkStart w:id="17" w:name="_Toc214618228"/>
      <w:r w:rsidRPr="00C6052E">
        <w:t>Financial</w:t>
      </w:r>
      <w:r w:rsidR="00177848" w:rsidRPr="00C6052E">
        <w:t xml:space="preserve"> </w:t>
      </w:r>
      <w:r w:rsidRPr="00C6052E">
        <w:t>statements</w:t>
      </w:r>
      <w:bookmarkEnd w:id="15"/>
      <w:bookmarkEnd w:id="16"/>
      <w:bookmarkEnd w:id="17"/>
    </w:p>
    <w:p w14:paraId="3A199183" w14:textId="52E4BB39" w:rsidR="00EE5BB8" w:rsidRPr="00C6052E" w:rsidRDefault="00EE5BB8" w:rsidP="00EE5BB8">
      <w:pPr>
        <w:pStyle w:val="FinancialstatementsTOC"/>
      </w:pPr>
      <w:r w:rsidRPr="00C6052E">
        <w:fldChar w:fldCharType="begin"/>
      </w:r>
      <w:r w:rsidRPr="00C6052E">
        <w:instrText xml:space="preserve"> REF Cash_flow_statement \h </w:instrText>
      </w:r>
      <w:r w:rsidRPr="00C6052E">
        <w:fldChar w:fldCharType="separate"/>
      </w:r>
      <w:r w:rsidRPr="00C6052E">
        <w:t>Cash</w:t>
      </w:r>
      <w:r w:rsidR="00177848" w:rsidRPr="00C6052E">
        <w:t xml:space="preserve"> </w:t>
      </w:r>
      <w:r w:rsidRPr="00C6052E">
        <w:t>flow</w:t>
      </w:r>
      <w:r w:rsidR="00177848" w:rsidRPr="00C6052E">
        <w:t xml:space="preserve"> </w:t>
      </w:r>
      <w:r w:rsidRPr="00C6052E">
        <w:t>statement</w:t>
      </w:r>
      <w:r w:rsidR="00177848" w:rsidRPr="00C6052E">
        <w:t xml:space="preserve"> </w:t>
      </w:r>
      <w:r w:rsidRPr="00C6052E">
        <w:t>for</w:t>
      </w:r>
      <w:r w:rsidR="00177848" w:rsidRPr="00C6052E">
        <w:t xml:space="preserve"> </w:t>
      </w:r>
      <w:r w:rsidRPr="00C6052E">
        <w:t>the</w:t>
      </w:r>
      <w:r w:rsidR="00177848" w:rsidRPr="00C6052E">
        <w:t xml:space="preserve"> </w:t>
      </w:r>
      <w:r w:rsidRPr="00C6052E">
        <w:t>financial</w:t>
      </w:r>
      <w:r w:rsidR="00177848" w:rsidRPr="00C6052E">
        <w:t xml:space="preserve"> </w:t>
      </w:r>
      <w:r w:rsidRPr="00C6052E">
        <w:t>year</w:t>
      </w:r>
      <w:r w:rsidR="00177848" w:rsidRPr="00C6052E">
        <w:t xml:space="preserve"> </w:t>
      </w:r>
      <w:r w:rsidRPr="00C6052E">
        <w:t>ended</w:t>
      </w:r>
      <w:r w:rsidR="00177848" w:rsidRPr="00C6052E">
        <w:t xml:space="preserve"> </w:t>
      </w:r>
      <w:r w:rsidRPr="00C6052E">
        <w:t>30</w:t>
      </w:r>
      <w:r w:rsidR="00177848" w:rsidRPr="00C6052E">
        <w:t xml:space="preserve"> </w:t>
      </w:r>
      <w:r w:rsidRPr="00C6052E">
        <w:t>June</w:t>
      </w:r>
      <w:r w:rsidR="00177848" w:rsidRPr="00C6052E">
        <w:t xml:space="preserve"> </w:t>
      </w:r>
      <w:r w:rsidRPr="00C6052E">
        <w:t>2025</w:t>
      </w:r>
      <w:r w:rsidRPr="00C6052E">
        <w:fldChar w:fldCharType="end"/>
      </w:r>
      <w:r w:rsidRPr="00C6052E">
        <w:tab/>
      </w:r>
      <w:r w:rsidRPr="00C6052E">
        <w:fldChar w:fldCharType="begin"/>
      </w:r>
      <w:r w:rsidRPr="00C6052E">
        <w:instrText xml:space="preserve"> PAGEREF _Ref209092441 \h </w:instrText>
      </w:r>
      <w:r w:rsidRPr="00C6052E">
        <w:fldChar w:fldCharType="separate"/>
      </w:r>
      <w:r w:rsidR="00F64935">
        <w:rPr>
          <w:noProof/>
        </w:rPr>
        <w:t>10</w:t>
      </w:r>
      <w:r w:rsidRPr="00C6052E">
        <w:fldChar w:fldCharType="end"/>
      </w:r>
    </w:p>
    <w:p w14:paraId="01F020F1" w14:textId="17BE0F86" w:rsidR="00EE5BB8" w:rsidRPr="00C6052E" w:rsidRDefault="00EE5BB8" w:rsidP="00EE5BB8">
      <w:pPr>
        <w:pStyle w:val="FinancialstatementsTOC"/>
      </w:pPr>
      <w:r w:rsidRPr="00C6052E">
        <w:fldChar w:fldCharType="begin"/>
      </w:r>
      <w:r w:rsidRPr="00C6052E">
        <w:instrText xml:space="preserve"> REF Balance_Sheet \h </w:instrText>
      </w:r>
      <w:r w:rsidRPr="00C6052E">
        <w:fldChar w:fldCharType="separate"/>
      </w:r>
      <w:r w:rsidRPr="00C6052E">
        <w:t>Balance</w:t>
      </w:r>
      <w:r w:rsidR="00177848" w:rsidRPr="00C6052E">
        <w:t xml:space="preserve"> </w:t>
      </w:r>
      <w:r w:rsidRPr="00C6052E">
        <w:t>sheet</w:t>
      </w:r>
      <w:r w:rsidR="00177848" w:rsidRPr="00C6052E">
        <w:t xml:space="preserve"> </w:t>
      </w:r>
      <w:r w:rsidRPr="00C6052E">
        <w:t>as</w:t>
      </w:r>
      <w:r w:rsidR="00177848" w:rsidRPr="00C6052E">
        <w:t xml:space="preserve"> </w:t>
      </w:r>
      <w:r w:rsidRPr="00C6052E">
        <w:t>at</w:t>
      </w:r>
      <w:r w:rsidR="00177848" w:rsidRPr="00C6052E">
        <w:t xml:space="preserve"> </w:t>
      </w:r>
      <w:r w:rsidRPr="00C6052E">
        <w:t>30</w:t>
      </w:r>
      <w:r w:rsidR="00177848" w:rsidRPr="00C6052E">
        <w:t xml:space="preserve"> </w:t>
      </w:r>
      <w:r w:rsidRPr="00C6052E">
        <w:t>June</w:t>
      </w:r>
      <w:r w:rsidR="00177848" w:rsidRPr="00C6052E">
        <w:t xml:space="preserve"> </w:t>
      </w:r>
      <w:r w:rsidRPr="00C6052E">
        <w:t>2025</w:t>
      </w:r>
      <w:r w:rsidRPr="00C6052E">
        <w:fldChar w:fldCharType="end"/>
      </w:r>
      <w:r w:rsidRPr="00C6052E">
        <w:tab/>
      </w:r>
      <w:r w:rsidRPr="00C6052E">
        <w:fldChar w:fldCharType="begin"/>
      </w:r>
      <w:r w:rsidRPr="00C6052E">
        <w:instrText xml:space="preserve"> PAGEREF _Ref209625845 \h </w:instrText>
      </w:r>
      <w:r w:rsidRPr="00C6052E">
        <w:fldChar w:fldCharType="separate"/>
      </w:r>
      <w:r w:rsidR="00F64935">
        <w:rPr>
          <w:noProof/>
        </w:rPr>
        <w:t>12</w:t>
      </w:r>
      <w:r w:rsidRPr="00C6052E">
        <w:fldChar w:fldCharType="end"/>
      </w:r>
    </w:p>
    <w:p w14:paraId="742C6290" w14:textId="7DC0F39E" w:rsidR="00EE5BB8" w:rsidRPr="00C6052E" w:rsidRDefault="00EE5BB8" w:rsidP="00EE5BB8">
      <w:pPr>
        <w:pStyle w:val="FinancialstatementsTOC"/>
      </w:pPr>
      <w:r w:rsidRPr="00C6052E">
        <w:fldChar w:fldCharType="begin"/>
      </w:r>
      <w:r w:rsidRPr="00C6052E">
        <w:instrText xml:space="preserve"> REF Cash_flow_statement \h </w:instrText>
      </w:r>
      <w:r w:rsidRPr="00C6052E">
        <w:fldChar w:fldCharType="separate"/>
      </w:r>
      <w:r w:rsidRPr="00C6052E">
        <w:t>Cash</w:t>
      </w:r>
      <w:r w:rsidR="00177848" w:rsidRPr="00C6052E">
        <w:t xml:space="preserve"> </w:t>
      </w:r>
      <w:r w:rsidRPr="00C6052E">
        <w:t>flow</w:t>
      </w:r>
      <w:r w:rsidR="00177848" w:rsidRPr="00C6052E">
        <w:t xml:space="preserve"> </w:t>
      </w:r>
      <w:r w:rsidRPr="00C6052E">
        <w:t>statement</w:t>
      </w:r>
      <w:r w:rsidR="00177848" w:rsidRPr="00C6052E">
        <w:t xml:space="preserve"> </w:t>
      </w:r>
      <w:r w:rsidRPr="00C6052E">
        <w:t>for</w:t>
      </w:r>
      <w:r w:rsidR="00177848" w:rsidRPr="00C6052E">
        <w:t xml:space="preserve"> </w:t>
      </w:r>
      <w:r w:rsidRPr="00C6052E">
        <w:t>the</w:t>
      </w:r>
      <w:r w:rsidR="00177848" w:rsidRPr="00C6052E">
        <w:t xml:space="preserve"> </w:t>
      </w:r>
      <w:r w:rsidRPr="00C6052E">
        <w:t>financial</w:t>
      </w:r>
      <w:r w:rsidR="00177848" w:rsidRPr="00C6052E">
        <w:t xml:space="preserve"> </w:t>
      </w:r>
      <w:r w:rsidRPr="00C6052E">
        <w:t>year</w:t>
      </w:r>
      <w:r w:rsidR="00177848" w:rsidRPr="00C6052E">
        <w:t xml:space="preserve"> </w:t>
      </w:r>
      <w:r w:rsidRPr="00C6052E">
        <w:t>ended</w:t>
      </w:r>
      <w:r w:rsidR="00177848" w:rsidRPr="00C6052E">
        <w:t xml:space="preserve"> </w:t>
      </w:r>
      <w:r w:rsidRPr="00C6052E">
        <w:t>30</w:t>
      </w:r>
      <w:r w:rsidR="00177848" w:rsidRPr="00C6052E">
        <w:t xml:space="preserve"> </w:t>
      </w:r>
      <w:r w:rsidRPr="00C6052E">
        <w:t>June</w:t>
      </w:r>
      <w:r w:rsidR="00177848" w:rsidRPr="00C6052E">
        <w:t xml:space="preserve"> </w:t>
      </w:r>
      <w:r w:rsidRPr="00C6052E">
        <w:t>2025</w:t>
      </w:r>
      <w:r w:rsidRPr="00C6052E">
        <w:fldChar w:fldCharType="end"/>
      </w:r>
      <w:r w:rsidRPr="00C6052E">
        <w:tab/>
      </w:r>
      <w:r w:rsidRPr="00C6052E">
        <w:fldChar w:fldCharType="begin"/>
      </w:r>
      <w:r w:rsidRPr="00C6052E">
        <w:instrText xml:space="preserve"> PAGEREF _Ref209625899 \h </w:instrText>
      </w:r>
      <w:r w:rsidRPr="00C6052E">
        <w:fldChar w:fldCharType="separate"/>
      </w:r>
      <w:r w:rsidR="00F64935">
        <w:rPr>
          <w:noProof/>
        </w:rPr>
        <w:t>13</w:t>
      </w:r>
      <w:r w:rsidRPr="00C6052E">
        <w:fldChar w:fldCharType="end"/>
      </w:r>
    </w:p>
    <w:p w14:paraId="65CE242D" w14:textId="64D417A8" w:rsidR="00EE5BB8" w:rsidRPr="00C6052E" w:rsidRDefault="00EE5BB8" w:rsidP="00EE5BB8">
      <w:pPr>
        <w:pStyle w:val="FinancialstatementsTOC"/>
      </w:pPr>
      <w:r w:rsidRPr="00C6052E">
        <w:fldChar w:fldCharType="begin"/>
      </w:r>
      <w:r w:rsidRPr="00C6052E">
        <w:instrText xml:space="preserve"> REF Statement_of_changes \h </w:instrText>
      </w:r>
      <w:r w:rsidRPr="00C6052E">
        <w:fldChar w:fldCharType="separate"/>
      </w:r>
      <w:r w:rsidRPr="00C6052E">
        <w:t>Statement</w:t>
      </w:r>
      <w:r w:rsidR="00177848" w:rsidRPr="00C6052E">
        <w:t xml:space="preserve"> </w:t>
      </w:r>
      <w:r w:rsidRPr="00C6052E">
        <w:t>of</w:t>
      </w:r>
      <w:r w:rsidR="00177848" w:rsidRPr="00C6052E">
        <w:t xml:space="preserve"> </w:t>
      </w:r>
      <w:r w:rsidRPr="00C6052E">
        <w:t>changes</w:t>
      </w:r>
      <w:r w:rsidR="00177848" w:rsidRPr="00C6052E">
        <w:t xml:space="preserve"> </w:t>
      </w:r>
      <w:r w:rsidRPr="00C6052E">
        <w:t>in</w:t>
      </w:r>
      <w:r w:rsidR="00177848" w:rsidRPr="00C6052E">
        <w:t xml:space="preserve"> </w:t>
      </w:r>
      <w:r w:rsidRPr="00C6052E">
        <w:t>equity</w:t>
      </w:r>
      <w:r w:rsidR="00177848" w:rsidRPr="00C6052E">
        <w:t xml:space="preserve"> </w:t>
      </w:r>
      <w:r w:rsidRPr="00C6052E">
        <w:t>for</w:t>
      </w:r>
      <w:r w:rsidR="00177848" w:rsidRPr="00C6052E">
        <w:t xml:space="preserve"> </w:t>
      </w:r>
      <w:r w:rsidRPr="00C6052E">
        <w:t>the</w:t>
      </w:r>
      <w:r w:rsidR="00177848" w:rsidRPr="00C6052E">
        <w:t xml:space="preserve"> </w:t>
      </w:r>
      <w:r w:rsidRPr="00C6052E">
        <w:t>financial</w:t>
      </w:r>
      <w:r w:rsidR="00177848" w:rsidRPr="00C6052E">
        <w:t xml:space="preserve"> </w:t>
      </w:r>
      <w:r w:rsidRPr="00C6052E">
        <w:t>year</w:t>
      </w:r>
      <w:r w:rsidR="00177848" w:rsidRPr="00C6052E">
        <w:t xml:space="preserve"> </w:t>
      </w:r>
      <w:r w:rsidRPr="00C6052E">
        <w:t>ended</w:t>
      </w:r>
      <w:r w:rsidR="00177848" w:rsidRPr="00C6052E">
        <w:t xml:space="preserve"> </w:t>
      </w:r>
      <w:r w:rsidRPr="00C6052E">
        <w:t>30</w:t>
      </w:r>
      <w:r w:rsidR="00177848" w:rsidRPr="00C6052E">
        <w:t xml:space="preserve"> </w:t>
      </w:r>
      <w:r w:rsidRPr="00C6052E">
        <w:t>June</w:t>
      </w:r>
      <w:r w:rsidR="00177848" w:rsidRPr="00C6052E">
        <w:t xml:space="preserve"> </w:t>
      </w:r>
      <w:r w:rsidRPr="00C6052E">
        <w:t>2025</w:t>
      </w:r>
      <w:r w:rsidRPr="00C6052E">
        <w:fldChar w:fldCharType="end"/>
      </w:r>
      <w:r w:rsidRPr="00C6052E">
        <w:tab/>
      </w:r>
      <w:r w:rsidRPr="00C6052E">
        <w:fldChar w:fldCharType="begin"/>
      </w:r>
      <w:r w:rsidRPr="00C6052E">
        <w:instrText xml:space="preserve"> PAGEREF _Ref209625933 \h </w:instrText>
      </w:r>
      <w:r w:rsidRPr="00C6052E">
        <w:fldChar w:fldCharType="separate"/>
      </w:r>
      <w:r w:rsidR="00F64935">
        <w:rPr>
          <w:noProof/>
        </w:rPr>
        <w:t>14</w:t>
      </w:r>
      <w:r w:rsidRPr="00C6052E">
        <w:fldChar w:fldCharType="end"/>
      </w:r>
    </w:p>
    <w:p w14:paraId="304EB87A" w14:textId="5EC190B4" w:rsidR="00EE5BB8" w:rsidRPr="00C6052E" w:rsidRDefault="00EE5BB8" w:rsidP="00D52474">
      <w:pPr>
        <w:pStyle w:val="Heading2"/>
      </w:pPr>
      <w:bookmarkStart w:id="18" w:name="_Toc213852178"/>
      <w:bookmarkStart w:id="19" w:name="_Toc214375516"/>
      <w:bookmarkStart w:id="20" w:name="_Toc214618229"/>
      <w:r w:rsidRPr="00C6052E">
        <w:lastRenderedPageBreak/>
        <w:t>Notes</w:t>
      </w:r>
      <w:r w:rsidR="00177848" w:rsidRPr="00C6052E">
        <w:t xml:space="preserve"> </w:t>
      </w:r>
      <w:r w:rsidRPr="00C6052E">
        <w:t>to</w:t>
      </w:r>
      <w:r w:rsidR="00177848" w:rsidRPr="00C6052E">
        <w:t xml:space="preserve"> </w:t>
      </w:r>
      <w:r w:rsidRPr="00C6052E">
        <w:t>the</w:t>
      </w:r>
      <w:r w:rsidR="00177848" w:rsidRPr="00C6052E">
        <w:t xml:space="preserve"> </w:t>
      </w:r>
      <w:r w:rsidRPr="00C6052E">
        <w:t>financial</w:t>
      </w:r>
      <w:r w:rsidR="00177848" w:rsidRPr="00C6052E">
        <w:t xml:space="preserve"> </w:t>
      </w:r>
      <w:r w:rsidRPr="00C6052E">
        <w:t>statements</w:t>
      </w:r>
      <w:bookmarkEnd w:id="18"/>
      <w:bookmarkEnd w:id="19"/>
      <w:bookmarkEnd w:id="20"/>
    </w:p>
    <w:p w14:paraId="5707E9E6" w14:textId="09D5C679" w:rsidR="00EE5BB8" w:rsidRPr="00C6052E" w:rsidRDefault="00EE5BB8" w:rsidP="00EE5BB8">
      <w:pPr>
        <w:pStyle w:val="FinancialstatementsTOC"/>
      </w:pPr>
      <w:r w:rsidRPr="00C6052E">
        <w:t>1.</w:t>
      </w:r>
      <w:r w:rsidRPr="00C6052E">
        <w:tab/>
      </w:r>
      <w:r w:rsidRPr="00C6052E">
        <w:fldChar w:fldCharType="begin"/>
      </w:r>
      <w:r w:rsidRPr="00C6052E">
        <w:instrText xml:space="preserve"> REF _Ref209626186 \h </w:instrText>
      </w:r>
      <w:r w:rsidRPr="00C6052E">
        <w:fldChar w:fldCharType="separate"/>
      </w:r>
      <w:r w:rsidRPr="00C6052E">
        <w:t>About</w:t>
      </w:r>
      <w:r w:rsidR="00177848" w:rsidRPr="00C6052E">
        <w:t xml:space="preserve"> </w:t>
      </w:r>
      <w:r w:rsidRPr="00C6052E">
        <w:t>This</w:t>
      </w:r>
      <w:r w:rsidR="00177848" w:rsidRPr="00C6052E">
        <w:t xml:space="preserve"> </w:t>
      </w:r>
      <w:r w:rsidRPr="00C6052E">
        <w:t>Report</w:t>
      </w:r>
      <w:r w:rsidRPr="00C6052E">
        <w:fldChar w:fldCharType="end"/>
      </w:r>
      <w:r w:rsidRPr="00C6052E">
        <w:tab/>
      </w:r>
      <w:r w:rsidRPr="00C6052E">
        <w:fldChar w:fldCharType="begin"/>
      </w:r>
      <w:r w:rsidRPr="00C6052E">
        <w:instrText xml:space="preserve"> PAGEREF _Ref209626250 \h </w:instrText>
      </w:r>
      <w:r w:rsidRPr="00C6052E">
        <w:fldChar w:fldCharType="separate"/>
      </w:r>
      <w:r w:rsidR="00F64935">
        <w:rPr>
          <w:noProof/>
        </w:rPr>
        <w:t>15</w:t>
      </w:r>
      <w:r w:rsidRPr="00C6052E">
        <w:fldChar w:fldCharType="end"/>
      </w:r>
    </w:p>
    <w:p w14:paraId="65A504A1" w14:textId="6A3B4617" w:rsidR="00EE5BB8" w:rsidRPr="00C6052E" w:rsidRDefault="00EE5BB8" w:rsidP="00D52474">
      <w:pPr>
        <w:ind w:left="567"/>
        <w:rPr>
          <w:i/>
          <w:iCs/>
        </w:rPr>
      </w:pPr>
      <w:r w:rsidRPr="00C6052E">
        <w:rPr>
          <w:i/>
          <w:iCs/>
        </w:rPr>
        <w:t>The</w:t>
      </w:r>
      <w:r w:rsidR="00177848" w:rsidRPr="00C6052E">
        <w:rPr>
          <w:i/>
          <w:iCs/>
        </w:rPr>
        <w:t xml:space="preserve"> </w:t>
      </w:r>
      <w:r w:rsidRPr="00C6052E">
        <w:rPr>
          <w:i/>
          <w:iCs/>
        </w:rPr>
        <w:t>basis</w:t>
      </w:r>
      <w:r w:rsidR="00177848" w:rsidRPr="00C6052E">
        <w:rPr>
          <w:i/>
          <w:iCs/>
        </w:rPr>
        <w:t xml:space="preserve"> </w:t>
      </w:r>
      <w:r w:rsidRPr="00C6052E">
        <w:rPr>
          <w:i/>
          <w:iCs/>
        </w:rPr>
        <w:t>on</w:t>
      </w:r>
      <w:r w:rsidR="00177848" w:rsidRPr="00C6052E">
        <w:rPr>
          <w:i/>
          <w:iCs/>
        </w:rPr>
        <w:t xml:space="preserve"> </w:t>
      </w:r>
      <w:r w:rsidRPr="00C6052E">
        <w:rPr>
          <w:i/>
          <w:iCs/>
        </w:rPr>
        <w:t>which</w:t>
      </w:r>
      <w:r w:rsidR="00177848" w:rsidRPr="00C6052E">
        <w:rPr>
          <w:i/>
          <w:iCs/>
        </w:rPr>
        <w:t xml:space="preserve"> </w:t>
      </w:r>
      <w:r w:rsidRPr="00C6052E">
        <w:rPr>
          <w:i/>
          <w:iCs/>
        </w:rPr>
        <w:t>the</w:t>
      </w:r>
      <w:r w:rsidR="00177848" w:rsidRPr="00C6052E">
        <w:rPr>
          <w:i/>
          <w:iCs/>
        </w:rPr>
        <w:t xml:space="preserve"> </w:t>
      </w:r>
      <w:r w:rsidRPr="00C6052E">
        <w:rPr>
          <w:i/>
          <w:iCs/>
        </w:rPr>
        <w:t>financial</w:t>
      </w:r>
      <w:r w:rsidR="00177848" w:rsidRPr="00C6052E">
        <w:rPr>
          <w:i/>
          <w:iCs/>
        </w:rPr>
        <w:t xml:space="preserve"> </w:t>
      </w:r>
      <w:r w:rsidRPr="00C6052E">
        <w:rPr>
          <w:i/>
          <w:iCs/>
        </w:rPr>
        <w:t>statements</w:t>
      </w:r>
      <w:r w:rsidR="00177848" w:rsidRPr="00C6052E">
        <w:rPr>
          <w:i/>
          <w:iCs/>
        </w:rPr>
        <w:t xml:space="preserve"> </w:t>
      </w:r>
      <w:r w:rsidRPr="00C6052E">
        <w:rPr>
          <w:i/>
          <w:iCs/>
        </w:rPr>
        <w:t>have</w:t>
      </w:r>
      <w:r w:rsidR="00177848" w:rsidRPr="00C6052E">
        <w:rPr>
          <w:i/>
          <w:iCs/>
        </w:rPr>
        <w:t xml:space="preserve"> </w:t>
      </w:r>
      <w:r w:rsidRPr="00C6052E">
        <w:rPr>
          <w:i/>
          <w:iCs/>
        </w:rPr>
        <w:t>been</w:t>
      </w:r>
      <w:r w:rsidR="00177848" w:rsidRPr="00C6052E">
        <w:rPr>
          <w:i/>
          <w:iCs/>
        </w:rPr>
        <w:t xml:space="preserve"> </w:t>
      </w:r>
      <w:r w:rsidRPr="00C6052E">
        <w:rPr>
          <w:i/>
          <w:iCs/>
        </w:rPr>
        <w:t>prepared</w:t>
      </w:r>
      <w:r w:rsidR="00177848" w:rsidRPr="00C6052E">
        <w:rPr>
          <w:i/>
          <w:iCs/>
        </w:rPr>
        <w:t xml:space="preserve"> </w:t>
      </w:r>
      <w:r w:rsidRPr="00C6052E">
        <w:rPr>
          <w:i/>
          <w:iCs/>
        </w:rPr>
        <w:t>and</w:t>
      </w:r>
      <w:r w:rsidR="00177848" w:rsidRPr="00C6052E">
        <w:rPr>
          <w:i/>
          <w:iCs/>
        </w:rPr>
        <w:t xml:space="preserve"> </w:t>
      </w:r>
      <w:r w:rsidR="00C34F64">
        <w:rPr>
          <w:i/>
          <w:iCs/>
        </w:rPr>
        <w:br/>
      </w:r>
      <w:r w:rsidRPr="00C6052E">
        <w:rPr>
          <w:i/>
          <w:iCs/>
        </w:rPr>
        <w:t>compliance</w:t>
      </w:r>
      <w:r w:rsidR="00177848" w:rsidRPr="00C6052E">
        <w:rPr>
          <w:i/>
          <w:iCs/>
        </w:rPr>
        <w:t xml:space="preserve"> </w:t>
      </w:r>
      <w:r w:rsidRPr="00C6052E">
        <w:rPr>
          <w:i/>
          <w:iCs/>
        </w:rPr>
        <w:t>with</w:t>
      </w:r>
      <w:r w:rsidR="00177848" w:rsidRPr="00C6052E">
        <w:rPr>
          <w:i/>
          <w:iCs/>
        </w:rPr>
        <w:t xml:space="preserve"> </w:t>
      </w:r>
      <w:r w:rsidRPr="00C6052E">
        <w:rPr>
          <w:i/>
          <w:iCs/>
        </w:rPr>
        <w:t>reporting</w:t>
      </w:r>
      <w:r w:rsidR="00177848" w:rsidRPr="00C6052E">
        <w:rPr>
          <w:i/>
          <w:iCs/>
        </w:rPr>
        <w:t xml:space="preserve"> </w:t>
      </w:r>
      <w:r w:rsidRPr="00C6052E">
        <w:rPr>
          <w:i/>
          <w:iCs/>
        </w:rPr>
        <w:t>regulations</w:t>
      </w:r>
    </w:p>
    <w:p w14:paraId="14025078" w14:textId="62D5CC54" w:rsidR="00F64935" w:rsidRDefault="00EE5BB8" w:rsidP="004846AB">
      <w:pPr>
        <w:pStyle w:val="TOC1"/>
        <w:rPr>
          <w:rFonts w:eastAsiaTheme="minorEastAsia"/>
          <w:noProof/>
          <w:kern w:val="2"/>
          <w:lang w:eastAsia="en-AU"/>
          <w14:ligatures w14:val="standardContextual"/>
        </w:rPr>
      </w:pPr>
      <w:r w:rsidRPr="00C6052E">
        <w:rPr>
          <w:rFonts w:ascii="VIC Medium" w:hAnsi="VIC Medium"/>
        </w:rPr>
        <w:fldChar w:fldCharType="begin"/>
      </w:r>
      <w:r w:rsidRPr="00C6052E">
        <w:instrText xml:space="preserve"> TOC \o "1-2" \h \z \u </w:instrText>
      </w:r>
      <w:r w:rsidRPr="00C6052E">
        <w:rPr>
          <w:rFonts w:ascii="VIC Medium" w:hAnsi="VIC Medium"/>
        </w:rPr>
        <w:fldChar w:fldCharType="separate"/>
      </w:r>
    </w:p>
    <w:p w14:paraId="37D5C211" w14:textId="74B8DA3E" w:rsidR="00F64935" w:rsidRDefault="00F64935">
      <w:pPr>
        <w:pStyle w:val="TOC2"/>
        <w:tabs>
          <w:tab w:val="left" w:pos="800"/>
          <w:tab w:val="right" w:pos="9629"/>
        </w:tabs>
        <w:rPr>
          <w:rFonts w:eastAsiaTheme="minorEastAsia"/>
          <w:noProof/>
          <w:kern w:val="2"/>
          <w:szCs w:val="24"/>
          <w:lang w:eastAsia="en-AU"/>
          <w14:ligatures w14:val="standardContextual"/>
        </w:rPr>
      </w:pPr>
      <w:hyperlink w:anchor="_Toc214618236" w:history="1">
        <w:r w:rsidRPr="00ED477E">
          <w:rPr>
            <w:rStyle w:val="Hyperlink"/>
            <w:noProof/>
          </w:rPr>
          <w:t>2.</w:t>
        </w:r>
        <w:r>
          <w:rPr>
            <w:rFonts w:eastAsiaTheme="minorEastAsia"/>
            <w:noProof/>
            <w:kern w:val="2"/>
            <w:szCs w:val="24"/>
            <w:lang w:eastAsia="en-AU"/>
            <w14:ligatures w14:val="standardContextual"/>
          </w:rPr>
          <w:tab/>
        </w:r>
        <w:r w:rsidRPr="00ED477E">
          <w:rPr>
            <w:rStyle w:val="Hyperlink"/>
            <w:noProof/>
          </w:rPr>
          <w:t>Funding Delivery of Our Services</w:t>
        </w:r>
        <w:r>
          <w:rPr>
            <w:noProof/>
            <w:webHidden/>
          </w:rPr>
          <w:tab/>
        </w:r>
        <w:r>
          <w:rPr>
            <w:noProof/>
            <w:webHidden/>
          </w:rPr>
          <w:fldChar w:fldCharType="begin"/>
        </w:r>
        <w:r>
          <w:rPr>
            <w:noProof/>
            <w:webHidden/>
          </w:rPr>
          <w:instrText xml:space="preserve"> PAGEREF _Toc214618236 \h </w:instrText>
        </w:r>
        <w:r>
          <w:rPr>
            <w:noProof/>
            <w:webHidden/>
          </w:rPr>
        </w:r>
        <w:r>
          <w:rPr>
            <w:noProof/>
            <w:webHidden/>
          </w:rPr>
          <w:fldChar w:fldCharType="separate"/>
        </w:r>
        <w:r>
          <w:rPr>
            <w:noProof/>
            <w:webHidden/>
          </w:rPr>
          <w:t>15</w:t>
        </w:r>
        <w:r>
          <w:rPr>
            <w:noProof/>
            <w:webHidden/>
          </w:rPr>
          <w:fldChar w:fldCharType="end"/>
        </w:r>
      </w:hyperlink>
    </w:p>
    <w:p w14:paraId="1E82E20A" w14:textId="01FD03CE" w:rsidR="00F64935" w:rsidRDefault="00F64935">
      <w:pPr>
        <w:pStyle w:val="TOC2"/>
        <w:tabs>
          <w:tab w:val="left" w:pos="800"/>
          <w:tab w:val="right" w:pos="9629"/>
        </w:tabs>
        <w:rPr>
          <w:rFonts w:eastAsiaTheme="minorEastAsia"/>
          <w:noProof/>
          <w:kern w:val="2"/>
          <w:szCs w:val="24"/>
          <w:lang w:eastAsia="en-AU"/>
          <w14:ligatures w14:val="standardContextual"/>
        </w:rPr>
      </w:pPr>
      <w:hyperlink w:anchor="_Toc214618237" w:history="1">
        <w:r w:rsidRPr="00ED477E">
          <w:rPr>
            <w:rStyle w:val="Hyperlink"/>
            <w:noProof/>
          </w:rPr>
          <w:t>3.</w:t>
        </w:r>
        <w:r>
          <w:rPr>
            <w:rFonts w:eastAsiaTheme="minorEastAsia"/>
            <w:noProof/>
            <w:kern w:val="2"/>
            <w:szCs w:val="24"/>
            <w:lang w:eastAsia="en-AU"/>
            <w14:ligatures w14:val="standardContextual"/>
          </w:rPr>
          <w:tab/>
        </w:r>
        <w:r w:rsidRPr="00ED477E">
          <w:rPr>
            <w:rStyle w:val="Hyperlink"/>
            <w:noProof/>
          </w:rPr>
          <w:t>The Cost of Delivering Services</w:t>
        </w:r>
        <w:r>
          <w:rPr>
            <w:noProof/>
            <w:webHidden/>
          </w:rPr>
          <w:tab/>
        </w:r>
        <w:r>
          <w:rPr>
            <w:noProof/>
            <w:webHidden/>
          </w:rPr>
          <w:fldChar w:fldCharType="begin"/>
        </w:r>
        <w:r>
          <w:rPr>
            <w:noProof/>
            <w:webHidden/>
          </w:rPr>
          <w:instrText xml:space="preserve"> PAGEREF _Toc214618237 \h </w:instrText>
        </w:r>
        <w:r>
          <w:rPr>
            <w:noProof/>
            <w:webHidden/>
          </w:rPr>
        </w:r>
        <w:r>
          <w:rPr>
            <w:noProof/>
            <w:webHidden/>
          </w:rPr>
          <w:fldChar w:fldCharType="separate"/>
        </w:r>
        <w:r>
          <w:rPr>
            <w:noProof/>
            <w:webHidden/>
          </w:rPr>
          <w:t>23</w:t>
        </w:r>
        <w:r>
          <w:rPr>
            <w:noProof/>
            <w:webHidden/>
          </w:rPr>
          <w:fldChar w:fldCharType="end"/>
        </w:r>
      </w:hyperlink>
    </w:p>
    <w:p w14:paraId="1E2667A3" w14:textId="0AF2A2AB" w:rsidR="00F64935" w:rsidRDefault="00F64935">
      <w:pPr>
        <w:pStyle w:val="TOC2"/>
        <w:tabs>
          <w:tab w:val="left" w:pos="800"/>
          <w:tab w:val="right" w:pos="9629"/>
        </w:tabs>
        <w:rPr>
          <w:rFonts w:eastAsiaTheme="minorEastAsia"/>
          <w:noProof/>
          <w:kern w:val="2"/>
          <w:szCs w:val="24"/>
          <w:lang w:eastAsia="en-AU"/>
          <w14:ligatures w14:val="standardContextual"/>
        </w:rPr>
      </w:pPr>
      <w:hyperlink w:anchor="_Toc214618238" w:history="1">
        <w:r w:rsidRPr="00ED477E">
          <w:rPr>
            <w:rStyle w:val="Hyperlink"/>
            <w:noProof/>
          </w:rPr>
          <w:t>4.</w:t>
        </w:r>
        <w:r>
          <w:rPr>
            <w:rFonts w:eastAsiaTheme="minorEastAsia"/>
            <w:noProof/>
            <w:kern w:val="2"/>
            <w:szCs w:val="24"/>
            <w:lang w:eastAsia="en-AU"/>
            <w14:ligatures w14:val="standardContextual"/>
          </w:rPr>
          <w:tab/>
        </w:r>
        <w:r w:rsidRPr="00ED477E">
          <w:rPr>
            <w:rStyle w:val="Hyperlink"/>
            <w:noProof/>
          </w:rPr>
          <w:t>Disaggregated Financial Information by Output</w:t>
        </w:r>
        <w:r>
          <w:rPr>
            <w:noProof/>
            <w:webHidden/>
          </w:rPr>
          <w:tab/>
        </w:r>
        <w:r>
          <w:rPr>
            <w:noProof/>
            <w:webHidden/>
          </w:rPr>
          <w:fldChar w:fldCharType="begin"/>
        </w:r>
        <w:r>
          <w:rPr>
            <w:noProof/>
            <w:webHidden/>
          </w:rPr>
          <w:instrText xml:space="preserve"> PAGEREF _Toc214618238 \h </w:instrText>
        </w:r>
        <w:r>
          <w:rPr>
            <w:noProof/>
            <w:webHidden/>
          </w:rPr>
        </w:r>
        <w:r>
          <w:rPr>
            <w:noProof/>
            <w:webHidden/>
          </w:rPr>
          <w:fldChar w:fldCharType="separate"/>
        </w:r>
        <w:r>
          <w:rPr>
            <w:noProof/>
            <w:webHidden/>
          </w:rPr>
          <w:t>29</w:t>
        </w:r>
        <w:r>
          <w:rPr>
            <w:noProof/>
            <w:webHidden/>
          </w:rPr>
          <w:fldChar w:fldCharType="end"/>
        </w:r>
      </w:hyperlink>
    </w:p>
    <w:p w14:paraId="42628F10" w14:textId="42D5DD3A" w:rsidR="00F64935" w:rsidRDefault="00F64935">
      <w:pPr>
        <w:pStyle w:val="TOC2"/>
        <w:tabs>
          <w:tab w:val="left" w:pos="800"/>
          <w:tab w:val="right" w:pos="9629"/>
        </w:tabs>
        <w:rPr>
          <w:rFonts w:eastAsiaTheme="minorEastAsia"/>
          <w:noProof/>
          <w:kern w:val="2"/>
          <w:szCs w:val="24"/>
          <w:lang w:eastAsia="en-AU"/>
          <w14:ligatures w14:val="standardContextual"/>
        </w:rPr>
      </w:pPr>
      <w:hyperlink w:anchor="_Toc214618239" w:history="1">
        <w:r w:rsidRPr="00ED477E">
          <w:rPr>
            <w:rStyle w:val="Hyperlink"/>
            <w:noProof/>
          </w:rPr>
          <w:t>5.</w:t>
        </w:r>
        <w:r>
          <w:rPr>
            <w:rFonts w:eastAsiaTheme="minorEastAsia"/>
            <w:noProof/>
            <w:kern w:val="2"/>
            <w:szCs w:val="24"/>
            <w:lang w:eastAsia="en-AU"/>
            <w14:ligatures w14:val="standardContextual"/>
          </w:rPr>
          <w:tab/>
        </w:r>
        <w:r w:rsidRPr="00ED477E">
          <w:rPr>
            <w:rStyle w:val="Hyperlink"/>
            <w:noProof/>
          </w:rPr>
          <w:t>Key Assets Available to Support Output Delivery</w:t>
        </w:r>
        <w:r>
          <w:rPr>
            <w:noProof/>
            <w:webHidden/>
          </w:rPr>
          <w:tab/>
        </w:r>
        <w:r>
          <w:rPr>
            <w:noProof/>
            <w:webHidden/>
          </w:rPr>
          <w:fldChar w:fldCharType="begin"/>
        </w:r>
        <w:r>
          <w:rPr>
            <w:noProof/>
            <w:webHidden/>
          </w:rPr>
          <w:instrText xml:space="preserve"> PAGEREF _Toc214618239 \h </w:instrText>
        </w:r>
        <w:r>
          <w:rPr>
            <w:noProof/>
            <w:webHidden/>
          </w:rPr>
        </w:r>
        <w:r>
          <w:rPr>
            <w:noProof/>
            <w:webHidden/>
          </w:rPr>
          <w:fldChar w:fldCharType="separate"/>
        </w:r>
        <w:r>
          <w:rPr>
            <w:noProof/>
            <w:webHidden/>
          </w:rPr>
          <w:t>48</w:t>
        </w:r>
        <w:r>
          <w:rPr>
            <w:noProof/>
            <w:webHidden/>
          </w:rPr>
          <w:fldChar w:fldCharType="end"/>
        </w:r>
      </w:hyperlink>
    </w:p>
    <w:p w14:paraId="5A173127" w14:textId="62E921F7" w:rsidR="00F64935" w:rsidRDefault="00F64935">
      <w:pPr>
        <w:pStyle w:val="TOC2"/>
        <w:tabs>
          <w:tab w:val="left" w:pos="800"/>
          <w:tab w:val="right" w:pos="9629"/>
        </w:tabs>
        <w:rPr>
          <w:rFonts w:eastAsiaTheme="minorEastAsia"/>
          <w:noProof/>
          <w:kern w:val="2"/>
          <w:szCs w:val="24"/>
          <w:lang w:eastAsia="en-AU"/>
          <w14:ligatures w14:val="standardContextual"/>
        </w:rPr>
      </w:pPr>
      <w:hyperlink w:anchor="_Toc214618240" w:history="1">
        <w:r w:rsidRPr="00ED477E">
          <w:rPr>
            <w:rStyle w:val="Hyperlink"/>
            <w:noProof/>
          </w:rPr>
          <w:t>6.</w:t>
        </w:r>
        <w:r>
          <w:rPr>
            <w:rFonts w:eastAsiaTheme="minorEastAsia"/>
            <w:noProof/>
            <w:kern w:val="2"/>
            <w:szCs w:val="24"/>
            <w:lang w:eastAsia="en-AU"/>
            <w14:ligatures w14:val="standardContextual"/>
          </w:rPr>
          <w:tab/>
        </w:r>
        <w:r w:rsidRPr="00ED477E">
          <w:rPr>
            <w:rStyle w:val="Hyperlink"/>
            <w:noProof/>
          </w:rPr>
          <w:t>Other Assets and Liabilities</w:t>
        </w:r>
        <w:r>
          <w:rPr>
            <w:noProof/>
            <w:webHidden/>
          </w:rPr>
          <w:tab/>
        </w:r>
        <w:r>
          <w:rPr>
            <w:noProof/>
            <w:webHidden/>
          </w:rPr>
          <w:fldChar w:fldCharType="begin"/>
        </w:r>
        <w:r>
          <w:rPr>
            <w:noProof/>
            <w:webHidden/>
          </w:rPr>
          <w:instrText xml:space="preserve"> PAGEREF _Toc214618240 \h </w:instrText>
        </w:r>
        <w:r>
          <w:rPr>
            <w:noProof/>
            <w:webHidden/>
          </w:rPr>
        </w:r>
        <w:r>
          <w:rPr>
            <w:noProof/>
            <w:webHidden/>
          </w:rPr>
          <w:fldChar w:fldCharType="separate"/>
        </w:r>
        <w:r>
          <w:rPr>
            <w:noProof/>
            <w:webHidden/>
          </w:rPr>
          <w:t>56</w:t>
        </w:r>
        <w:r>
          <w:rPr>
            <w:noProof/>
            <w:webHidden/>
          </w:rPr>
          <w:fldChar w:fldCharType="end"/>
        </w:r>
      </w:hyperlink>
    </w:p>
    <w:p w14:paraId="46C584ED" w14:textId="4B082718" w:rsidR="00F64935" w:rsidRDefault="00F64935">
      <w:pPr>
        <w:pStyle w:val="TOC2"/>
        <w:tabs>
          <w:tab w:val="left" w:pos="800"/>
          <w:tab w:val="right" w:pos="9629"/>
        </w:tabs>
        <w:rPr>
          <w:rFonts w:eastAsiaTheme="minorEastAsia"/>
          <w:noProof/>
          <w:kern w:val="2"/>
          <w:szCs w:val="24"/>
          <w:lang w:eastAsia="en-AU"/>
          <w14:ligatures w14:val="standardContextual"/>
        </w:rPr>
      </w:pPr>
      <w:hyperlink w:anchor="_Toc214618241" w:history="1">
        <w:r w:rsidRPr="00ED477E">
          <w:rPr>
            <w:rStyle w:val="Hyperlink"/>
            <w:noProof/>
          </w:rPr>
          <w:t>7.</w:t>
        </w:r>
        <w:r>
          <w:rPr>
            <w:rFonts w:eastAsiaTheme="minorEastAsia"/>
            <w:noProof/>
            <w:kern w:val="2"/>
            <w:szCs w:val="24"/>
            <w:lang w:eastAsia="en-AU"/>
            <w14:ligatures w14:val="standardContextual"/>
          </w:rPr>
          <w:tab/>
        </w:r>
        <w:r w:rsidRPr="00ED477E">
          <w:rPr>
            <w:rStyle w:val="Hyperlink"/>
            <w:noProof/>
          </w:rPr>
          <w:t>Financing Our Operations</w:t>
        </w:r>
        <w:r>
          <w:rPr>
            <w:noProof/>
            <w:webHidden/>
          </w:rPr>
          <w:tab/>
        </w:r>
        <w:r>
          <w:rPr>
            <w:noProof/>
            <w:webHidden/>
          </w:rPr>
          <w:fldChar w:fldCharType="begin"/>
        </w:r>
        <w:r>
          <w:rPr>
            <w:noProof/>
            <w:webHidden/>
          </w:rPr>
          <w:instrText xml:space="preserve"> PAGEREF _Toc214618241 \h </w:instrText>
        </w:r>
        <w:r>
          <w:rPr>
            <w:noProof/>
            <w:webHidden/>
          </w:rPr>
        </w:r>
        <w:r>
          <w:rPr>
            <w:noProof/>
            <w:webHidden/>
          </w:rPr>
          <w:fldChar w:fldCharType="separate"/>
        </w:r>
        <w:r>
          <w:rPr>
            <w:noProof/>
            <w:webHidden/>
          </w:rPr>
          <w:t>60</w:t>
        </w:r>
        <w:r>
          <w:rPr>
            <w:noProof/>
            <w:webHidden/>
          </w:rPr>
          <w:fldChar w:fldCharType="end"/>
        </w:r>
      </w:hyperlink>
    </w:p>
    <w:p w14:paraId="2289572F" w14:textId="6A754EE2" w:rsidR="00F64935" w:rsidRDefault="00F64935">
      <w:pPr>
        <w:pStyle w:val="TOC2"/>
        <w:tabs>
          <w:tab w:val="left" w:pos="800"/>
          <w:tab w:val="right" w:pos="9629"/>
        </w:tabs>
        <w:rPr>
          <w:rFonts w:eastAsiaTheme="minorEastAsia"/>
          <w:noProof/>
          <w:kern w:val="2"/>
          <w:szCs w:val="24"/>
          <w:lang w:eastAsia="en-AU"/>
          <w14:ligatures w14:val="standardContextual"/>
        </w:rPr>
      </w:pPr>
      <w:hyperlink w:anchor="_Toc214618242" w:history="1">
        <w:r w:rsidRPr="00ED477E">
          <w:rPr>
            <w:rStyle w:val="Hyperlink"/>
            <w:noProof/>
          </w:rPr>
          <w:t>8.</w:t>
        </w:r>
        <w:r>
          <w:rPr>
            <w:rFonts w:eastAsiaTheme="minorEastAsia"/>
            <w:noProof/>
            <w:kern w:val="2"/>
            <w:szCs w:val="24"/>
            <w:lang w:eastAsia="en-AU"/>
            <w14:ligatures w14:val="standardContextual"/>
          </w:rPr>
          <w:tab/>
        </w:r>
        <w:r w:rsidRPr="00ED477E">
          <w:rPr>
            <w:rStyle w:val="Hyperlink"/>
            <w:noProof/>
          </w:rPr>
          <w:t>Risks, Contingencies and Valuation Judgements</w:t>
        </w:r>
        <w:r>
          <w:rPr>
            <w:noProof/>
            <w:webHidden/>
          </w:rPr>
          <w:tab/>
        </w:r>
        <w:r>
          <w:rPr>
            <w:noProof/>
            <w:webHidden/>
          </w:rPr>
          <w:fldChar w:fldCharType="begin"/>
        </w:r>
        <w:r>
          <w:rPr>
            <w:noProof/>
            <w:webHidden/>
          </w:rPr>
          <w:instrText xml:space="preserve"> PAGEREF _Toc214618242 \h </w:instrText>
        </w:r>
        <w:r>
          <w:rPr>
            <w:noProof/>
            <w:webHidden/>
          </w:rPr>
        </w:r>
        <w:r>
          <w:rPr>
            <w:noProof/>
            <w:webHidden/>
          </w:rPr>
          <w:fldChar w:fldCharType="separate"/>
        </w:r>
        <w:r>
          <w:rPr>
            <w:noProof/>
            <w:webHidden/>
          </w:rPr>
          <w:t>74</w:t>
        </w:r>
        <w:r>
          <w:rPr>
            <w:noProof/>
            <w:webHidden/>
          </w:rPr>
          <w:fldChar w:fldCharType="end"/>
        </w:r>
      </w:hyperlink>
    </w:p>
    <w:p w14:paraId="09E26CCF" w14:textId="50875FBE" w:rsidR="00F64935" w:rsidRDefault="00F64935">
      <w:pPr>
        <w:pStyle w:val="TOC2"/>
        <w:tabs>
          <w:tab w:val="left" w:pos="800"/>
          <w:tab w:val="right" w:pos="9629"/>
        </w:tabs>
        <w:rPr>
          <w:rFonts w:eastAsiaTheme="minorEastAsia"/>
          <w:noProof/>
          <w:kern w:val="2"/>
          <w:szCs w:val="24"/>
          <w:lang w:eastAsia="en-AU"/>
          <w14:ligatures w14:val="standardContextual"/>
        </w:rPr>
      </w:pPr>
      <w:hyperlink w:anchor="_Toc214618243" w:history="1">
        <w:r w:rsidRPr="00ED477E">
          <w:rPr>
            <w:rStyle w:val="Hyperlink"/>
            <w:noProof/>
          </w:rPr>
          <w:t>9.</w:t>
        </w:r>
        <w:r>
          <w:rPr>
            <w:rFonts w:eastAsiaTheme="minorEastAsia"/>
            <w:noProof/>
            <w:kern w:val="2"/>
            <w:szCs w:val="24"/>
            <w:lang w:eastAsia="en-AU"/>
            <w14:ligatures w14:val="standardContextual"/>
          </w:rPr>
          <w:tab/>
        </w:r>
        <w:r w:rsidRPr="00ED477E">
          <w:rPr>
            <w:rStyle w:val="Hyperlink"/>
            <w:noProof/>
          </w:rPr>
          <w:t>Other Disclosures</w:t>
        </w:r>
        <w:r>
          <w:rPr>
            <w:noProof/>
            <w:webHidden/>
          </w:rPr>
          <w:tab/>
        </w:r>
        <w:r>
          <w:rPr>
            <w:noProof/>
            <w:webHidden/>
          </w:rPr>
          <w:fldChar w:fldCharType="begin"/>
        </w:r>
        <w:r>
          <w:rPr>
            <w:noProof/>
            <w:webHidden/>
          </w:rPr>
          <w:instrText xml:space="preserve"> PAGEREF _Toc214618243 \h </w:instrText>
        </w:r>
        <w:r>
          <w:rPr>
            <w:noProof/>
            <w:webHidden/>
          </w:rPr>
        </w:r>
        <w:r>
          <w:rPr>
            <w:noProof/>
            <w:webHidden/>
          </w:rPr>
          <w:fldChar w:fldCharType="separate"/>
        </w:r>
        <w:r>
          <w:rPr>
            <w:noProof/>
            <w:webHidden/>
          </w:rPr>
          <w:t>96</w:t>
        </w:r>
        <w:r>
          <w:rPr>
            <w:noProof/>
            <w:webHidden/>
          </w:rPr>
          <w:fldChar w:fldCharType="end"/>
        </w:r>
      </w:hyperlink>
    </w:p>
    <w:p w14:paraId="39B2FBB4" w14:textId="4E7506A8" w:rsidR="00EE5BB8" w:rsidRPr="00C6052E" w:rsidRDefault="00EE5BB8" w:rsidP="00EE5BB8">
      <w:r w:rsidRPr="00C6052E">
        <w:fldChar w:fldCharType="end"/>
      </w:r>
      <w:bookmarkStart w:id="21" w:name="_Toc174009462"/>
      <w:bookmarkStart w:id="22" w:name="_Toc175734928"/>
      <w:bookmarkStart w:id="23" w:name="_Toc207622399"/>
      <w:r w:rsidRPr="00C6052E">
        <w:br w:type="page"/>
      </w:r>
    </w:p>
    <w:p w14:paraId="226EF86B" w14:textId="43D82DB1" w:rsidR="00EE5BB8" w:rsidRPr="00C6052E" w:rsidRDefault="00EE5BB8" w:rsidP="00EE5BB8">
      <w:pPr>
        <w:pStyle w:val="Heading2"/>
        <w:spacing w:before="0"/>
      </w:pPr>
      <w:bookmarkStart w:id="24" w:name="_Toc213852179"/>
      <w:bookmarkStart w:id="25" w:name="_Toc214375517"/>
      <w:bookmarkStart w:id="26" w:name="_Toc214618230"/>
      <w:r w:rsidRPr="00C6052E">
        <w:lastRenderedPageBreak/>
        <w:t>Accountable</w:t>
      </w:r>
      <w:r w:rsidR="00177848" w:rsidRPr="00C6052E">
        <w:t xml:space="preserve"> </w:t>
      </w:r>
      <w:r w:rsidRPr="00C6052E">
        <w:t>Officer’s</w:t>
      </w:r>
      <w:r w:rsidR="00177848" w:rsidRPr="00C6052E">
        <w:t xml:space="preserve"> </w:t>
      </w:r>
      <w:r w:rsidRPr="00C6052E">
        <w:t>and</w:t>
      </w:r>
      <w:r w:rsidR="00177848" w:rsidRPr="00C6052E">
        <w:t xml:space="preserve"> </w:t>
      </w:r>
      <w:r w:rsidRPr="00C6052E">
        <w:t>Chief</w:t>
      </w:r>
      <w:r w:rsidR="00177848" w:rsidRPr="00C6052E">
        <w:t xml:space="preserve"> </w:t>
      </w:r>
      <w:r w:rsidRPr="00C6052E">
        <w:t>Financial</w:t>
      </w:r>
      <w:r w:rsidR="00177848" w:rsidRPr="00C6052E">
        <w:t xml:space="preserve"> </w:t>
      </w:r>
      <w:r w:rsidRPr="00C6052E">
        <w:t>Officer’s</w:t>
      </w:r>
      <w:r w:rsidR="00177848" w:rsidRPr="00C6052E">
        <w:t xml:space="preserve"> </w:t>
      </w:r>
      <w:r w:rsidRPr="00C6052E">
        <w:t>declaration</w:t>
      </w:r>
      <w:bookmarkEnd w:id="21"/>
      <w:bookmarkEnd w:id="22"/>
      <w:bookmarkEnd w:id="23"/>
      <w:bookmarkEnd w:id="24"/>
      <w:bookmarkEnd w:id="25"/>
      <w:bookmarkEnd w:id="26"/>
    </w:p>
    <w:p w14:paraId="163CD40D" w14:textId="748CD84F" w:rsidR="00EE5BB8" w:rsidRPr="00C6052E" w:rsidRDefault="00EE5BB8" w:rsidP="00EE5BB8">
      <w:r w:rsidRPr="00C6052E">
        <w:t>The</w:t>
      </w:r>
      <w:r w:rsidR="00177848" w:rsidRPr="00C6052E">
        <w:t xml:space="preserve"> </w:t>
      </w:r>
      <w:r w:rsidRPr="00C6052E">
        <w:t>attached</w:t>
      </w:r>
      <w:r w:rsidR="00177848" w:rsidRPr="00C6052E">
        <w:t xml:space="preserve"> </w:t>
      </w:r>
      <w:r w:rsidRPr="00C6052E">
        <w:t>financial</w:t>
      </w:r>
      <w:r w:rsidR="00177848" w:rsidRPr="00C6052E">
        <w:t xml:space="preserve"> </w:t>
      </w:r>
      <w:r w:rsidRPr="00C6052E">
        <w:t>statements</w:t>
      </w:r>
      <w:r w:rsidR="00177848" w:rsidRPr="00C6052E">
        <w:t xml:space="preserve"> </w:t>
      </w:r>
      <w:r w:rsidRPr="00C6052E">
        <w:t>for</w:t>
      </w:r>
      <w:r w:rsidR="00177848" w:rsidRPr="00C6052E">
        <w:t xml:space="preserve"> </w:t>
      </w:r>
      <w:r w:rsidRPr="00C6052E">
        <w:t>the</w:t>
      </w:r>
      <w:r w:rsidR="00177848" w:rsidRPr="00C6052E">
        <w:t xml:space="preserve"> </w:t>
      </w:r>
      <w:r w:rsidRPr="00C6052E">
        <w:t>Department</w:t>
      </w:r>
      <w:r w:rsidR="00177848" w:rsidRPr="00C6052E">
        <w:t xml:space="preserve"> </w:t>
      </w:r>
      <w:r w:rsidRPr="00C6052E">
        <w:t>of</w:t>
      </w:r>
      <w:r w:rsidR="00177848" w:rsidRPr="00C6052E">
        <w:t xml:space="preserve"> </w:t>
      </w:r>
      <w:r w:rsidRPr="00C6052E">
        <w:t>Jobs,</w:t>
      </w:r>
      <w:r w:rsidR="00177848" w:rsidRPr="00C6052E">
        <w:t xml:space="preserve"> </w:t>
      </w:r>
      <w:r w:rsidRPr="00C6052E">
        <w:t>Skills,</w:t>
      </w:r>
      <w:r w:rsidR="00177848" w:rsidRPr="00C6052E">
        <w:t xml:space="preserve"> </w:t>
      </w:r>
      <w:r w:rsidRPr="00C6052E">
        <w:t>Industry</w:t>
      </w:r>
      <w:r w:rsidR="00177848" w:rsidRPr="00C6052E">
        <w:t xml:space="preserve"> </w:t>
      </w:r>
      <w:r w:rsidRPr="00C6052E">
        <w:t>and</w:t>
      </w:r>
      <w:r w:rsidR="00177848" w:rsidRPr="00C6052E">
        <w:t xml:space="preserve"> </w:t>
      </w:r>
      <w:r w:rsidRPr="00C6052E">
        <w:t>Regions</w:t>
      </w:r>
      <w:r w:rsidR="00177848" w:rsidRPr="00C6052E">
        <w:t xml:space="preserve"> </w:t>
      </w:r>
      <w:r w:rsidRPr="00C6052E">
        <w:t>have</w:t>
      </w:r>
      <w:r w:rsidR="00177848" w:rsidRPr="00C6052E">
        <w:t xml:space="preserve"> </w:t>
      </w:r>
      <w:r w:rsidRPr="00C6052E">
        <w:t>been</w:t>
      </w:r>
      <w:r w:rsidR="00177848" w:rsidRPr="00C6052E">
        <w:t xml:space="preserve"> </w:t>
      </w:r>
      <w:r w:rsidRPr="00C6052E">
        <w:t>prepared</w:t>
      </w:r>
      <w:r w:rsidR="00177848" w:rsidRPr="00C6052E">
        <w:t xml:space="preserve"> </w:t>
      </w:r>
      <w:r w:rsidRPr="00C6052E">
        <w:t>in</w:t>
      </w:r>
      <w:r w:rsidR="00177848" w:rsidRPr="00C6052E">
        <w:t xml:space="preserve"> </w:t>
      </w:r>
      <w:r w:rsidRPr="00C6052E">
        <w:t>accordance</w:t>
      </w:r>
      <w:r w:rsidR="00177848" w:rsidRPr="00C6052E">
        <w:t xml:space="preserve"> </w:t>
      </w:r>
      <w:r w:rsidRPr="00C6052E">
        <w:t>with</w:t>
      </w:r>
      <w:r w:rsidR="00177848" w:rsidRPr="00C6052E">
        <w:t xml:space="preserve"> </w:t>
      </w:r>
      <w:r w:rsidRPr="00C6052E">
        <w:t>Direction</w:t>
      </w:r>
      <w:r w:rsidR="00177848" w:rsidRPr="00C6052E">
        <w:t xml:space="preserve"> </w:t>
      </w:r>
      <w:r w:rsidRPr="00C6052E">
        <w:t>5.2</w:t>
      </w:r>
      <w:r w:rsidR="00177848" w:rsidRPr="00C6052E">
        <w:t xml:space="preserve"> </w:t>
      </w:r>
      <w:r w:rsidRPr="00C6052E">
        <w:t>of</w:t>
      </w:r>
      <w:r w:rsidR="00177848" w:rsidRPr="00C6052E">
        <w:t xml:space="preserve"> </w:t>
      </w:r>
      <w:r w:rsidRPr="00C6052E">
        <w:t>the</w:t>
      </w:r>
      <w:r w:rsidR="00177848" w:rsidRPr="00C6052E">
        <w:t xml:space="preserve"> </w:t>
      </w:r>
      <w:r w:rsidRPr="00C6052E">
        <w:t>Standing</w:t>
      </w:r>
      <w:r w:rsidR="00177848" w:rsidRPr="00C6052E">
        <w:t xml:space="preserve"> </w:t>
      </w:r>
      <w:r w:rsidRPr="00C6052E">
        <w:t>Directions</w:t>
      </w:r>
      <w:r w:rsidR="00177848" w:rsidRPr="00C6052E">
        <w:t xml:space="preserve"> </w:t>
      </w:r>
      <w:r w:rsidRPr="00C6052E">
        <w:t>of</w:t>
      </w:r>
      <w:r w:rsidR="00177848" w:rsidRPr="00C6052E">
        <w:t xml:space="preserve"> </w:t>
      </w:r>
      <w:r w:rsidRPr="00C6052E">
        <w:t>the</w:t>
      </w:r>
      <w:r w:rsidR="00177848" w:rsidRPr="00C6052E">
        <w:t xml:space="preserve"> </w:t>
      </w:r>
      <w:r w:rsidRPr="00C6052E">
        <w:t>Minister</w:t>
      </w:r>
      <w:r w:rsidR="00177848" w:rsidRPr="00C6052E">
        <w:t xml:space="preserve"> </w:t>
      </w:r>
      <w:r w:rsidRPr="00C6052E">
        <w:t>of</w:t>
      </w:r>
      <w:r w:rsidR="00177848" w:rsidRPr="00C6052E">
        <w:t xml:space="preserve"> </w:t>
      </w:r>
      <w:r w:rsidRPr="00C6052E">
        <w:t>Finance</w:t>
      </w:r>
      <w:r w:rsidR="00177848" w:rsidRPr="00C6052E">
        <w:t xml:space="preserve"> </w:t>
      </w:r>
      <w:r w:rsidRPr="00C6052E">
        <w:t>under</w:t>
      </w:r>
      <w:r w:rsidR="00177848" w:rsidRPr="00C6052E">
        <w:t xml:space="preserve"> </w:t>
      </w:r>
      <w:r w:rsidRPr="00C6052E">
        <w:t>the</w:t>
      </w:r>
      <w:r w:rsidR="00177848" w:rsidRPr="00C6052E">
        <w:t xml:space="preserve"> </w:t>
      </w:r>
      <w:r w:rsidRPr="00C6052E">
        <w:rPr>
          <w:i/>
          <w:iCs/>
        </w:rPr>
        <w:t>Financial</w:t>
      </w:r>
      <w:r w:rsidR="00177848" w:rsidRPr="00C6052E">
        <w:rPr>
          <w:i/>
          <w:iCs/>
        </w:rPr>
        <w:t xml:space="preserve"> </w:t>
      </w:r>
      <w:r w:rsidRPr="00C6052E">
        <w:rPr>
          <w:i/>
          <w:iCs/>
        </w:rPr>
        <w:t>Management</w:t>
      </w:r>
      <w:r w:rsidR="00177848" w:rsidRPr="00C6052E">
        <w:rPr>
          <w:i/>
          <w:iCs/>
        </w:rPr>
        <w:t xml:space="preserve"> </w:t>
      </w:r>
      <w:r w:rsidRPr="00C6052E">
        <w:rPr>
          <w:i/>
          <w:iCs/>
        </w:rPr>
        <w:t>Act</w:t>
      </w:r>
      <w:r w:rsidR="00177848" w:rsidRPr="00C6052E">
        <w:rPr>
          <w:i/>
          <w:iCs/>
        </w:rPr>
        <w:t xml:space="preserve"> </w:t>
      </w:r>
      <w:r w:rsidRPr="00C6052E">
        <w:rPr>
          <w:i/>
          <w:iCs/>
        </w:rPr>
        <w:t>1994</w:t>
      </w:r>
      <w:r w:rsidRPr="00C6052E">
        <w:t>,</w:t>
      </w:r>
      <w:r w:rsidR="00177848" w:rsidRPr="00C6052E">
        <w:t xml:space="preserve"> </w:t>
      </w:r>
      <w:r w:rsidRPr="00C6052E">
        <w:t>applicable</w:t>
      </w:r>
      <w:r w:rsidR="00177848" w:rsidRPr="00C6052E">
        <w:t xml:space="preserve"> </w:t>
      </w:r>
      <w:r w:rsidRPr="00C6052E">
        <w:t>Financial</w:t>
      </w:r>
      <w:r w:rsidR="00177848" w:rsidRPr="00C6052E">
        <w:t xml:space="preserve"> </w:t>
      </w:r>
      <w:r w:rsidRPr="00C6052E">
        <w:t>Reporting</w:t>
      </w:r>
      <w:r w:rsidR="00177848" w:rsidRPr="00C6052E">
        <w:t xml:space="preserve"> </w:t>
      </w:r>
      <w:r w:rsidRPr="00C6052E">
        <w:t>Directions,</w:t>
      </w:r>
      <w:r w:rsidR="00177848" w:rsidRPr="00C6052E">
        <w:t xml:space="preserve"> </w:t>
      </w:r>
      <w:r w:rsidRPr="00C6052E">
        <w:t>Australian</w:t>
      </w:r>
      <w:r w:rsidR="00177848" w:rsidRPr="00C6052E">
        <w:t xml:space="preserve"> </w:t>
      </w:r>
      <w:r w:rsidRPr="00C6052E">
        <w:t>Accounting</w:t>
      </w:r>
      <w:r w:rsidR="00177848" w:rsidRPr="00C6052E">
        <w:t xml:space="preserve"> </w:t>
      </w:r>
      <w:r w:rsidRPr="00C6052E">
        <w:t>Standards</w:t>
      </w:r>
      <w:r w:rsidR="00177848" w:rsidRPr="00C6052E">
        <w:t xml:space="preserve"> </w:t>
      </w:r>
      <w:r w:rsidRPr="00C6052E">
        <w:t>including</w:t>
      </w:r>
      <w:r w:rsidR="00177848" w:rsidRPr="00C6052E">
        <w:t xml:space="preserve"> </w:t>
      </w:r>
      <w:r w:rsidRPr="00C6052E">
        <w:t>interpretations,</w:t>
      </w:r>
      <w:r w:rsidR="00177848" w:rsidRPr="00C6052E">
        <w:t xml:space="preserve"> </w:t>
      </w:r>
      <w:r w:rsidRPr="00C6052E">
        <w:t>and</w:t>
      </w:r>
      <w:r w:rsidR="00177848" w:rsidRPr="00C6052E">
        <w:t xml:space="preserve"> </w:t>
      </w:r>
      <w:r w:rsidRPr="00C6052E">
        <w:t>other</w:t>
      </w:r>
      <w:r w:rsidR="00177848" w:rsidRPr="00C6052E">
        <w:t xml:space="preserve"> </w:t>
      </w:r>
      <w:r w:rsidRPr="00C6052E">
        <w:t>mandatory</w:t>
      </w:r>
      <w:r w:rsidR="00177848" w:rsidRPr="00C6052E">
        <w:t xml:space="preserve"> </w:t>
      </w:r>
      <w:r w:rsidRPr="00C6052E">
        <w:t>professional</w:t>
      </w:r>
      <w:r w:rsidR="00177848" w:rsidRPr="00C6052E">
        <w:t xml:space="preserve"> </w:t>
      </w:r>
      <w:r w:rsidRPr="00C6052E">
        <w:t>reporting</w:t>
      </w:r>
      <w:r w:rsidR="00177848" w:rsidRPr="00C6052E">
        <w:t xml:space="preserve"> </w:t>
      </w:r>
      <w:r w:rsidRPr="00C6052E">
        <w:t>requirements.</w:t>
      </w:r>
      <w:r w:rsidR="00177848" w:rsidRPr="00C6052E">
        <w:t xml:space="preserve"> </w:t>
      </w:r>
    </w:p>
    <w:p w14:paraId="369FAC86" w14:textId="2D3A6A15" w:rsidR="00EE5BB8" w:rsidRPr="00C6052E" w:rsidRDefault="00EE5BB8" w:rsidP="00EE5BB8">
      <w:r w:rsidRPr="00C6052E">
        <w:t>We</w:t>
      </w:r>
      <w:r w:rsidR="00177848" w:rsidRPr="00C6052E">
        <w:t xml:space="preserve"> </w:t>
      </w:r>
      <w:r w:rsidRPr="00C6052E">
        <w:t>further</w:t>
      </w:r>
      <w:r w:rsidR="00177848" w:rsidRPr="00C6052E">
        <w:t xml:space="preserve"> </w:t>
      </w:r>
      <w:r w:rsidRPr="00C6052E">
        <w:t>state</w:t>
      </w:r>
      <w:r w:rsidR="00177848" w:rsidRPr="00C6052E">
        <w:t xml:space="preserve"> </w:t>
      </w:r>
      <w:r w:rsidRPr="00C6052E">
        <w:t>that,</w:t>
      </w:r>
      <w:r w:rsidR="00177848" w:rsidRPr="00C6052E">
        <w:t xml:space="preserve"> </w:t>
      </w:r>
      <w:r w:rsidRPr="00C6052E">
        <w:t>in</w:t>
      </w:r>
      <w:r w:rsidR="00177848" w:rsidRPr="00C6052E">
        <w:t xml:space="preserve"> </w:t>
      </w:r>
      <w:r w:rsidRPr="00C6052E">
        <w:t>our</w:t>
      </w:r>
      <w:r w:rsidR="00177848" w:rsidRPr="00C6052E">
        <w:t xml:space="preserve"> </w:t>
      </w:r>
      <w:r w:rsidRPr="00C6052E">
        <w:t>opinion,</w:t>
      </w:r>
      <w:r w:rsidR="00177848" w:rsidRPr="00C6052E">
        <w:t xml:space="preserve"> </w:t>
      </w:r>
      <w:r w:rsidRPr="00C6052E">
        <w:t>the</w:t>
      </w:r>
      <w:r w:rsidR="00177848" w:rsidRPr="00C6052E">
        <w:t xml:space="preserve"> </w:t>
      </w:r>
      <w:r w:rsidRPr="00C6052E">
        <w:t>information</w:t>
      </w:r>
      <w:r w:rsidR="00177848" w:rsidRPr="00C6052E">
        <w:t xml:space="preserve"> </w:t>
      </w:r>
      <w:r w:rsidRPr="00C6052E">
        <w:t>set</w:t>
      </w:r>
      <w:r w:rsidR="00177848" w:rsidRPr="00C6052E">
        <w:t xml:space="preserve"> </w:t>
      </w:r>
      <w:r w:rsidRPr="00C6052E">
        <w:t>out</w:t>
      </w:r>
      <w:r w:rsidR="00177848" w:rsidRPr="00C6052E">
        <w:t xml:space="preserve"> </w:t>
      </w:r>
      <w:r w:rsidRPr="00C6052E">
        <w:t>in</w:t>
      </w:r>
      <w:r w:rsidR="00177848" w:rsidRPr="00C6052E">
        <w:t xml:space="preserve"> </w:t>
      </w:r>
      <w:r w:rsidRPr="00C6052E">
        <w:t>the</w:t>
      </w:r>
      <w:r w:rsidR="00177848" w:rsidRPr="00C6052E">
        <w:t xml:space="preserve"> </w:t>
      </w:r>
      <w:r w:rsidRPr="00C6052E">
        <w:t>comprehensive</w:t>
      </w:r>
      <w:r w:rsidR="00177848" w:rsidRPr="00C6052E">
        <w:t xml:space="preserve"> </w:t>
      </w:r>
      <w:r w:rsidRPr="00C6052E">
        <w:t>operating</w:t>
      </w:r>
      <w:r w:rsidR="00177848" w:rsidRPr="00C6052E">
        <w:t xml:space="preserve"> </w:t>
      </w:r>
      <w:r w:rsidRPr="00C6052E">
        <w:t>statement,</w:t>
      </w:r>
      <w:r w:rsidR="00177848" w:rsidRPr="00C6052E">
        <w:t xml:space="preserve"> </w:t>
      </w:r>
      <w:r w:rsidRPr="00C6052E">
        <w:t>balance</w:t>
      </w:r>
      <w:r w:rsidR="00177848" w:rsidRPr="00C6052E">
        <w:t xml:space="preserve"> </w:t>
      </w:r>
      <w:r w:rsidRPr="00C6052E">
        <w:t>sheet,</w:t>
      </w:r>
      <w:r w:rsidR="00177848" w:rsidRPr="00C6052E">
        <w:t xml:space="preserve"> </w:t>
      </w:r>
      <w:r w:rsidRPr="00C6052E">
        <w:t>statement</w:t>
      </w:r>
      <w:r w:rsidR="00177848" w:rsidRPr="00C6052E">
        <w:t xml:space="preserve"> </w:t>
      </w:r>
      <w:r w:rsidRPr="00C6052E">
        <w:t>of</w:t>
      </w:r>
      <w:r w:rsidR="00177848" w:rsidRPr="00C6052E">
        <w:t xml:space="preserve"> </w:t>
      </w:r>
      <w:r w:rsidRPr="00C6052E">
        <w:t>changes</w:t>
      </w:r>
      <w:r w:rsidR="00177848" w:rsidRPr="00C6052E">
        <w:t xml:space="preserve"> </w:t>
      </w:r>
      <w:r w:rsidRPr="00C6052E">
        <w:t>in</w:t>
      </w:r>
      <w:r w:rsidR="00177848" w:rsidRPr="00C6052E">
        <w:t xml:space="preserve"> </w:t>
      </w:r>
      <w:r w:rsidRPr="00C6052E">
        <w:t>equity,</w:t>
      </w:r>
      <w:r w:rsidR="00177848" w:rsidRPr="00C6052E">
        <w:t xml:space="preserve"> </w:t>
      </w:r>
      <w:r w:rsidRPr="00C6052E">
        <w:t>cash</w:t>
      </w:r>
      <w:r w:rsidR="00177848" w:rsidRPr="00C6052E">
        <w:t xml:space="preserve"> </w:t>
      </w:r>
      <w:r w:rsidRPr="00C6052E">
        <w:t>flow</w:t>
      </w:r>
      <w:r w:rsidR="00177848" w:rsidRPr="00C6052E">
        <w:t xml:space="preserve"> </w:t>
      </w:r>
      <w:r w:rsidRPr="00C6052E">
        <w:t>statement</w:t>
      </w:r>
      <w:r w:rsidR="00177848" w:rsidRPr="00C6052E">
        <w:t xml:space="preserve"> </w:t>
      </w:r>
      <w:r w:rsidRPr="00C6052E">
        <w:t>and</w:t>
      </w:r>
      <w:r w:rsidR="00177848" w:rsidRPr="00C6052E">
        <w:t xml:space="preserve"> </w:t>
      </w:r>
      <w:r w:rsidRPr="00C6052E">
        <w:t>accompanying</w:t>
      </w:r>
      <w:r w:rsidR="00177848" w:rsidRPr="00C6052E">
        <w:t xml:space="preserve"> </w:t>
      </w:r>
      <w:r w:rsidRPr="00C6052E">
        <w:t>notes,</w:t>
      </w:r>
      <w:r w:rsidR="00177848" w:rsidRPr="00C6052E">
        <w:t xml:space="preserve"> </w:t>
      </w:r>
      <w:r w:rsidRPr="00C6052E">
        <w:t>presents</w:t>
      </w:r>
      <w:r w:rsidR="00177848" w:rsidRPr="00C6052E">
        <w:t xml:space="preserve"> </w:t>
      </w:r>
      <w:r w:rsidRPr="00C6052E">
        <w:t>fairly</w:t>
      </w:r>
      <w:r w:rsidR="00177848" w:rsidRPr="00C6052E">
        <w:t xml:space="preserve"> </w:t>
      </w:r>
      <w:r w:rsidRPr="00C6052E">
        <w:t>the</w:t>
      </w:r>
      <w:r w:rsidR="00177848" w:rsidRPr="00C6052E">
        <w:t xml:space="preserve"> </w:t>
      </w:r>
      <w:r w:rsidRPr="00C6052E">
        <w:t>financial</w:t>
      </w:r>
      <w:r w:rsidR="00177848" w:rsidRPr="00C6052E">
        <w:t xml:space="preserve"> </w:t>
      </w:r>
      <w:r w:rsidRPr="00C6052E">
        <w:t>transactions</w:t>
      </w:r>
      <w:r w:rsidR="00177848" w:rsidRPr="00C6052E">
        <w:t xml:space="preserve"> </w:t>
      </w:r>
      <w:r w:rsidRPr="00C6052E">
        <w:t>during</w:t>
      </w:r>
      <w:r w:rsidR="00177848" w:rsidRPr="00C6052E">
        <w:t xml:space="preserve"> </w:t>
      </w:r>
      <w:r w:rsidRPr="00C6052E">
        <w:t>the</w:t>
      </w:r>
      <w:r w:rsidR="00177848" w:rsidRPr="00C6052E">
        <w:t xml:space="preserve"> </w:t>
      </w:r>
      <w:r w:rsidRPr="00C6052E">
        <w:t>year</w:t>
      </w:r>
      <w:r w:rsidR="00177848" w:rsidRPr="00C6052E">
        <w:t xml:space="preserve"> </w:t>
      </w:r>
      <w:r w:rsidRPr="00C6052E">
        <w:t>ended</w:t>
      </w:r>
      <w:r w:rsidR="00177848" w:rsidRPr="00C6052E">
        <w:t xml:space="preserve"> </w:t>
      </w:r>
      <w:r w:rsidRPr="00C6052E">
        <w:t>30</w:t>
      </w:r>
      <w:r w:rsidR="00177848" w:rsidRPr="00C6052E">
        <w:t xml:space="preserve"> </w:t>
      </w:r>
      <w:r w:rsidRPr="00C6052E">
        <w:t>June</w:t>
      </w:r>
      <w:r w:rsidR="00177848" w:rsidRPr="00C6052E">
        <w:t xml:space="preserve"> </w:t>
      </w:r>
      <w:fldSimple w:instr=" DOCPROPERTY  crYear  \* MERGEFORMAT ">
        <w:r w:rsidRPr="00C6052E">
          <w:t>2025</w:t>
        </w:r>
      </w:fldSimple>
      <w:r w:rsidR="00177848" w:rsidRPr="00C6052E">
        <w:t xml:space="preserve"> </w:t>
      </w:r>
      <w:r w:rsidRPr="00C6052E">
        <w:t>and</w:t>
      </w:r>
      <w:r w:rsidR="00177848" w:rsidRPr="00C6052E">
        <w:t xml:space="preserve"> </w:t>
      </w:r>
      <w:r w:rsidRPr="00C6052E">
        <w:t>the</w:t>
      </w:r>
      <w:r w:rsidR="00177848" w:rsidRPr="00C6052E">
        <w:t xml:space="preserve"> </w:t>
      </w:r>
      <w:r w:rsidRPr="00C6052E">
        <w:t>financial</w:t>
      </w:r>
      <w:r w:rsidR="00177848" w:rsidRPr="00C6052E">
        <w:t xml:space="preserve"> </w:t>
      </w:r>
      <w:r w:rsidRPr="00C6052E">
        <w:t>position</w:t>
      </w:r>
      <w:r w:rsidR="00177848" w:rsidRPr="00C6052E">
        <w:t xml:space="preserve"> </w:t>
      </w:r>
      <w:r w:rsidRPr="00C6052E">
        <w:t>of</w:t>
      </w:r>
      <w:r w:rsidR="00177848" w:rsidRPr="00C6052E">
        <w:t xml:space="preserve"> </w:t>
      </w:r>
      <w:r w:rsidRPr="00C6052E">
        <w:t>DJSIR</w:t>
      </w:r>
      <w:r w:rsidR="00177848" w:rsidRPr="00C6052E">
        <w:t xml:space="preserve"> </w:t>
      </w:r>
      <w:r w:rsidRPr="00C6052E">
        <w:t>as</w:t>
      </w:r>
      <w:r w:rsidR="00177848" w:rsidRPr="00C6052E">
        <w:t xml:space="preserve"> </w:t>
      </w:r>
      <w:r w:rsidRPr="00C6052E">
        <w:t>at</w:t>
      </w:r>
      <w:r w:rsidR="00177848" w:rsidRPr="00C6052E">
        <w:t xml:space="preserve"> </w:t>
      </w:r>
      <w:r w:rsidRPr="00C6052E">
        <w:t>30</w:t>
      </w:r>
      <w:r w:rsidR="00177848" w:rsidRPr="00C6052E">
        <w:t xml:space="preserve"> </w:t>
      </w:r>
      <w:r w:rsidRPr="00C6052E">
        <w:t>June</w:t>
      </w:r>
      <w:r w:rsidR="00177848" w:rsidRPr="00C6052E">
        <w:t xml:space="preserve"> </w:t>
      </w:r>
      <w:fldSimple w:instr=" DOCPROPERTY  crYear  \* MERGEFORMAT ">
        <w:r w:rsidRPr="00C6052E">
          <w:t>2025</w:t>
        </w:r>
      </w:fldSimple>
      <w:r w:rsidRPr="00C6052E">
        <w:t>.</w:t>
      </w:r>
      <w:r w:rsidR="00177848" w:rsidRPr="00C6052E">
        <w:t xml:space="preserve"> </w:t>
      </w:r>
    </w:p>
    <w:p w14:paraId="26AA5431" w14:textId="533A8F90" w:rsidR="00EE5BB8" w:rsidRPr="00C6052E" w:rsidRDefault="00EE5BB8" w:rsidP="00EE5BB8">
      <w:r w:rsidRPr="00C6052E">
        <w:t>At</w:t>
      </w:r>
      <w:r w:rsidR="00177848" w:rsidRPr="00C6052E">
        <w:t xml:space="preserve"> </w:t>
      </w:r>
      <w:r w:rsidRPr="00C6052E">
        <w:t>the</w:t>
      </w:r>
      <w:r w:rsidR="00177848" w:rsidRPr="00C6052E">
        <w:t xml:space="preserve"> </w:t>
      </w:r>
      <w:r w:rsidRPr="00C6052E">
        <w:t>time</w:t>
      </w:r>
      <w:r w:rsidR="00177848" w:rsidRPr="00C6052E">
        <w:t xml:space="preserve"> </w:t>
      </w:r>
      <w:r w:rsidRPr="00C6052E">
        <w:t>of</w:t>
      </w:r>
      <w:r w:rsidR="00177848" w:rsidRPr="00C6052E">
        <w:t xml:space="preserve"> </w:t>
      </w:r>
      <w:r w:rsidRPr="00C6052E">
        <w:t>signing,</w:t>
      </w:r>
      <w:r w:rsidR="00177848" w:rsidRPr="00C6052E">
        <w:t xml:space="preserve"> </w:t>
      </w:r>
      <w:r w:rsidRPr="00C6052E">
        <w:t>we</w:t>
      </w:r>
      <w:r w:rsidR="00177848" w:rsidRPr="00C6052E">
        <w:t xml:space="preserve"> </w:t>
      </w:r>
      <w:r w:rsidRPr="00C6052E">
        <w:t>are</w:t>
      </w:r>
      <w:r w:rsidR="00177848" w:rsidRPr="00C6052E">
        <w:t xml:space="preserve"> </w:t>
      </w:r>
      <w:r w:rsidRPr="00C6052E">
        <w:t>not</w:t>
      </w:r>
      <w:r w:rsidR="00177848" w:rsidRPr="00C6052E">
        <w:t xml:space="preserve"> </w:t>
      </w:r>
      <w:r w:rsidRPr="00C6052E">
        <w:t>aware</w:t>
      </w:r>
      <w:r w:rsidR="00177848" w:rsidRPr="00C6052E">
        <w:t xml:space="preserve"> </w:t>
      </w:r>
      <w:r w:rsidRPr="00C6052E">
        <w:t>of</w:t>
      </w:r>
      <w:r w:rsidR="00177848" w:rsidRPr="00C6052E">
        <w:t xml:space="preserve"> </w:t>
      </w:r>
      <w:r w:rsidRPr="00C6052E">
        <w:t>any</w:t>
      </w:r>
      <w:r w:rsidR="00177848" w:rsidRPr="00C6052E">
        <w:t xml:space="preserve"> </w:t>
      </w:r>
      <w:r w:rsidRPr="00C6052E">
        <w:t>circumstance</w:t>
      </w:r>
      <w:r w:rsidR="00177848" w:rsidRPr="00C6052E">
        <w:t xml:space="preserve"> </w:t>
      </w:r>
      <w:r w:rsidRPr="00C6052E">
        <w:t>which</w:t>
      </w:r>
      <w:r w:rsidR="00177848" w:rsidRPr="00C6052E">
        <w:t xml:space="preserve"> </w:t>
      </w:r>
      <w:r w:rsidRPr="00C6052E">
        <w:t>would</w:t>
      </w:r>
      <w:r w:rsidR="00177848" w:rsidRPr="00C6052E">
        <w:t xml:space="preserve"> </w:t>
      </w:r>
      <w:r w:rsidRPr="00C6052E">
        <w:t>render</w:t>
      </w:r>
      <w:r w:rsidR="00177848" w:rsidRPr="00C6052E">
        <w:t xml:space="preserve"> </w:t>
      </w:r>
      <w:r w:rsidRPr="00C6052E">
        <w:t>any</w:t>
      </w:r>
      <w:r w:rsidR="00177848" w:rsidRPr="00C6052E">
        <w:t xml:space="preserve"> </w:t>
      </w:r>
      <w:r w:rsidRPr="00C6052E">
        <w:t>particulars</w:t>
      </w:r>
      <w:r w:rsidR="00177848" w:rsidRPr="00C6052E">
        <w:t xml:space="preserve"> </w:t>
      </w:r>
      <w:r w:rsidRPr="00C6052E">
        <w:t>included</w:t>
      </w:r>
      <w:r w:rsidR="00177848" w:rsidRPr="00C6052E">
        <w:t xml:space="preserve"> </w:t>
      </w:r>
      <w:r w:rsidRPr="00C6052E">
        <w:t>in</w:t>
      </w:r>
      <w:r w:rsidR="00177848" w:rsidRPr="00C6052E">
        <w:t xml:space="preserve"> </w:t>
      </w:r>
      <w:r w:rsidRPr="00C6052E">
        <w:t>the</w:t>
      </w:r>
      <w:r w:rsidR="00177848" w:rsidRPr="00C6052E">
        <w:t xml:space="preserve"> </w:t>
      </w:r>
      <w:r w:rsidRPr="00C6052E">
        <w:t>financial</w:t>
      </w:r>
      <w:r w:rsidR="00177848" w:rsidRPr="00C6052E">
        <w:t xml:space="preserve"> </w:t>
      </w:r>
      <w:r w:rsidRPr="00C6052E">
        <w:t>statements</w:t>
      </w:r>
      <w:r w:rsidR="00177848" w:rsidRPr="00C6052E">
        <w:t xml:space="preserve"> </w:t>
      </w:r>
      <w:r w:rsidRPr="00C6052E">
        <w:t>to</w:t>
      </w:r>
      <w:r w:rsidR="00177848" w:rsidRPr="00C6052E">
        <w:t xml:space="preserve"> </w:t>
      </w:r>
      <w:r w:rsidRPr="00C6052E">
        <w:t>be</w:t>
      </w:r>
      <w:r w:rsidR="00177848" w:rsidRPr="00C6052E">
        <w:t xml:space="preserve"> </w:t>
      </w:r>
      <w:r w:rsidRPr="00C6052E">
        <w:t>misleading</w:t>
      </w:r>
      <w:r w:rsidR="00177848" w:rsidRPr="00C6052E">
        <w:t xml:space="preserve"> </w:t>
      </w:r>
      <w:r w:rsidRPr="00C6052E">
        <w:t>or</w:t>
      </w:r>
      <w:r w:rsidR="00177848" w:rsidRPr="00C6052E">
        <w:t xml:space="preserve"> </w:t>
      </w:r>
      <w:r w:rsidRPr="00C6052E">
        <w:t>inaccurate.</w:t>
      </w:r>
      <w:r w:rsidR="00177848" w:rsidRPr="00C6052E">
        <w:t xml:space="preserve"> </w:t>
      </w:r>
    </w:p>
    <w:p w14:paraId="6F6CA886" w14:textId="6F992939" w:rsidR="00EE5BB8" w:rsidRPr="00C6052E" w:rsidRDefault="00EE5BB8" w:rsidP="00EE5BB8">
      <w:r w:rsidRPr="00C6052E">
        <w:t>We</w:t>
      </w:r>
      <w:r w:rsidR="00177848" w:rsidRPr="00C6052E">
        <w:t xml:space="preserve"> </w:t>
      </w:r>
      <w:r w:rsidRPr="00C6052E">
        <w:t>authorise</w:t>
      </w:r>
      <w:r w:rsidR="00177848" w:rsidRPr="00C6052E">
        <w:t xml:space="preserve"> </w:t>
      </w:r>
      <w:r w:rsidRPr="00C6052E">
        <w:t>the</w:t>
      </w:r>
      <w:r w:rsidR="00177848" w:rsidRPr="00C6052E">
        <w:t xml:space="preserve"> </w:t>
      </w:r>
      <w:r w:rsidRPr="00C6052E">
        <w:t>attached</w:t>
      </w:r>
      <w:r w:rsidR="00177848" w:rsidRPr="00C6052E">
        <w:t xml:space="preserve"> </w:t>
      </w:r>
      <w:r w:rsidRPr="00C6052E">
        <w:t>financial</w:t>
      </w:r>
      <w:r w:rsidR="00177848" w:rsidRPr="00C6052E">
        <w:t xml:space="preserve"> </w:t>
      </w:r>
      <w:r w:rsidRPr="00C6052E">
        <w:t>statements</w:t>
      </w:r>
      <w:r w:rsidR="00177848" w:rsidRPr="00C6052E">
        <w:t xml:space="preserve"> </w:t>
      </w:r>
      <w:r w:rsidRPr="00C6052E">
        <w:t>for</w:t>
      </w:r>
      <w:r w:rsidR="00177848" w:rsidRPr="00C6052E">
        <w:t xml:space="preserve"> </w:t>
      </w:r>
      <w:r w:rsidRPr="00C6052E">
        <w:t>issue</w:t>
      </w:r>
      <w:r w:rsidR="00177848" w:rsidRPr="00C6052E">
        <w:t xml:space="preserve"> </w:t>
      </w:r>
      <w:r w:rsidRPr="00C6052E">
        <w:t>on</w:t>
      </w:r>
      <w:r w:rsidR="00177848" w:rsidRPr="00C6052E">
        <w:t xml:space="preserve"> </w:t>
      </w:r>
      <w:r w:rsidRPr="00C6052E">
        <w:t>22</w:t>
      </w:r>
      <w:r w:rsidR="00177848" w:rsidRPr="00C6052E">
        <w:t xml:space="preserve"> </w:t>
      </w:r>
      <w:r w:rsidRPr="00C6052E">
        <w:t>October</w:t>
      </w:r>
      <w:r w:rsidR="00177848" w:rsidRPr="00C6052E">
        <w:t xml:space="preserve"> </w:t>
      </w:r>
      <w:r w:rsidRPr="00C6052E">
        <w:t>2025.</w:t>
      </w:r>
      <w:r w:rsidR="00177848" w:rsidRPr="00C6052E">
        <w:t xml:space="preserve"> </w:t>
      </w:r>
    </w:p>
    <w:tbl>
      <w:tblPr>
        <w:tblW w:w="0" w:type="auto"/>
        <w:tblCellMar>
          <w:left w:w="0" w:type="dxa"/>
          <w:right w:w="0" w:type="dxa"/>
        </w:tblCellMar>
        <w:tblLook w:val="04A0" w:firstRow="1" w:lastRow="0" w:firstColumn="1" w:lastColumn="0" w:noHBand="0" w:noVBand="1"/>
      </w:tblPr>
      <w:tblGrid>
        <w:gridCol w:w="4792"/>
        <w:gridCol w:w="4847"/>
      </w:tblGrid>
      <w:tr w:rsidR="00EE5BB8" w:rsidRPr="00C6052E" w14:paraId="2F385562" w14:textId="77777777" w:rsidTr="00C34F64">
        <w:tc>
          <w:tcPr>
            <w:tcW w:w="4792" w:type="dxa"/>
          </w:tcPr>
          <w:p w14:paraId="21FCC60F" w14:textId="6B75ACE0" w:rsidR="00EE5BB8" w:rsidRPr="00C6052E" w:rsidRDefault="00EE5BB8" w:rsidP="0063097D">
            <w:pPr>
              <w:rPr>
                <w:rStyle w:val="Medium"/>
                <w:highlight w:val="yellow"/>
              </w:rPr>
            </w:pPr>
            <w:r w:rsidRPr="00C6052E">
              <w:rPr>
                <w:rStyle w:val="Medium"/>
              </w:rPr>
              <w:t>Matt</w:t>
            </w:r>
            <w:r w:rsidR="00177848" w:rsidRPr="00C6052E">
              <w:rPr>
                <w:rStyle w:val="Medium"/>
              </w:rPr>
              <w:t xml:space="preserve"> </w:t>
            </w:r>
            <w:r w:rsidRPr="00C6052E">
              <w:rPr>
                <w:rStyle w:val="Medium"/>
              </w:rPr>
              <w:t>Carrick</w:t>
            </w:r>
            <w:r w:rsidRPr="00C6052E">
              <w:rPr>
                <w:rStyle w:val="Medium"/>
              </w:rPr>
              <w:br/>
            </w:r>
            <w:r w:rsidRPr="00C6052E">
              <w:t>Secretary</w:t>
            </w:r>
          </w:p>
        </w:tc>
        <w:tc>
          <w:tcPr>
            <w:tcW w:w="4847" w:type="dxa"/>
          </w:tcPr>
          <w:p w14:paraId="7946E126" w14:textId="33EA82BA" w:rsidR="00EE5BB8" w:rsidRPr="00C6052E" w:rsidRDefault="00EE5BB8" w:rsidP="0063097D">
            <w:pPr>
              <w:rPr>
                <w:rStyle w:val="Medium"/>
                <w:highlight w:val="yellow"/>
              </w:rPr>
            </w:pPr>
            <w:r w:rsidRPr="00C6052E">
              <w:rPr>
                <w:rStyle w:val="Medium"/>
              </w:rPr>
              <w:t>Daniel</w:t>
            </w:r>
            <w:r w:rsidR="00177848" w:rsidRPr="00C6052E">
              <w:rPr>
                <w:rStyle w:val="Medium"/>
              </w:rPr>
              <w:t xml:space="preserve"> </w:t>
            </w:r>
            <w:r w:rsidRPr="00C6052E">
              <w:rPr>
                <w:rStyle w:val="Medium"/>
              </w:rPr>
              <w:t>Rodger</w:t>
            </w:r>
            <w:r w:rsidRPr="00C6052E">
              <w:rPr>
                <w:rStyle w:val="Medium"/>
              </w:rPr>
              <w:br/>
            </w:r>
            <w:r w:rsidRPr="00C6052E">
              <w:t>Chief</w:t>
            </w:r>
            <w:r w:rsidR="00177848" w:rsidRPr="00C6052E">
              <w:t xml:space="preserve"> </w:t>
            </w:r>
            <w:r w:rsidRPr="00C6052E">
              <w:t>Financial</w:t>
            </w:r>
            <w:r w:rsidR="00177848" w:rsidRPr="00C6052E">
              <w:t xml:space="preserve"> </w:t>
            </w:r>
            <w:r w:rsidRPr="00C6052E">
              <w:t>Officer</w:t>
            </w:r>
          </w:p>
        </w:tc>
      </w:tr>
      <w:tr w:rsidR="00EE5BB8" w:rsidRPr="00C6052E" w14:paraId="75FA3B2E" w14:textId="77777777" w:rsidTr="00C34F64">
        <w:tc>
          <w:tcPr>
            <w:tcW w:w="4792" w:type="dxa"/>
          </w:tcPr>
          <w:p w14:paraId="1F305DB5" w14:textId="1B3FB5D0" w:rsidR="00EE5BB8" w:rsidRPr="00C6052E" w:rsidRDefault="00EE5BB8" w:rsidP="0063097D">
            <w:fldSimple w:instr=" DOCPROPERTY  longName  \* MERGEFORMAT ">
              <w:r w:rsidRPr="00C6052E">
                <w:t>Department</w:t>
              </w:r>
              <w:r w:rsidR="00177848" w:rsidRPr="00C6052E">
                <w:t xml:space="preserve"> </w:t>
              </w:r>
              <w:r w:rsidRPr="00C6052E">
                <w:t>of</w:t>
              </w:r>
              <w:r w:rsidR="00177848" w:rsidRPr="00C6052E">
                <w:t xml:space="preserve"> </w:t>
              </w:r>
              <w:r w:rsidRPr="00C6052E">
                <w:t>Jobs,</w:t>
              </w:r>
              <w:r w:rsidR="00177848" w:rsidRPr="00C6052E">
                <w:t xml:space="preserve"> </w:t>
              </w:r>
              <w:r w:rsidRPr="00C6052E">
                <w:t>Skills,</w:t>
              </w:r>
              <w:r w:rsidR="00177848" w:rsidRPr="00C6052E">
                <w:t xml:space="preserve"> </w:t>
              </w:r>
              <w:r w:rsidRPr="00C6052E">
                <w:t>Industry</w:t>
              </w:r>
              <w:r w:rsidR="00177848" w:rsidRPr="00C6052E">
                <w:t xml:space="preserve"> </w:t>
              </w:r>
              <w:r w:rsidRPr="00C6052E">
                <w:t>and</w:t>
              </w:r>
              <w:r w:rsidR="00177848" w:rsidRPr="00C6052E">
                <w:t xml:space="preserve"> </w:t>
              </w:r>
              <w:r w:rsidRPr="00C6052E">
                <w:t>Regions</w:t>
              </w:r>
            </w:fldSimple>
          </w:p>
        </w:tc>
        <w:tc>
          <w:tcPr>
            <w:tcW w:w="4847" w:type="dxa"/>
          </w:tcPr>
          <w:p w14:paraId="1D8798B6" w14:textId="7EA9F794" w:rsidR="00EE5BB8" w:rsidRPr="00C6052E" w:rsidRDefault="00EE5BB8" w:rsidP="0063097D">
            <w:fldSimple w:instr=" DOCPROPERTY  longName  \* MERGEFORMAT ">
              <w:r w:rsidRPr="00C6052E">
                <w:t>Department</w:t>
              </w:r>
              <w:r w:rsidR="00177848" w:rsidRPr="00C6052E">
                <w:t xml:space="preserve"> </w:t>
              </w:r>
              <w:r w:rsidRPr="00C6052E">
                <w:t>of</w:t>
              </w:r>
              <w:r w:rsidR="00177848" w:rsidRPr="00C6052E">
                <w:t xml:space="preserve"> </w:t>
              </w:r>
              <w:r w:rsidRPr="00C6052E">
                <w:t>Jobs,</w:t>
              </w:r>
              <w:r w:rsidR="00177848" w:rsidRPr="00C6052E">
                <w:t xml:space="preserve"> </w:t>
              </w:r>
              <w:r w:rsidRPr="00C6052E">
                <w:t>Skills,</w:t>
              </w:r>
              <w:r w:rsidR="00177848" w:rsidRPr="00C6052E">
                <w:t xml:space="preserve"> </w:t>
              </w:r>
              <w:r w:rsidRPr="00C6052E">
                <w:t>Industry</w:t>
              </w:r>
              <w:r w:rsidR="00177848" w:rsidRPr="00C6052E">
                <w:t xml:space="preserve"> </w:t>
              </w:r>
              <w:r w:rsidRPr="00C6052E">
                <w:t>and</w:t>
              </w:r>
              <w:r w:rsidR="00177848" w:rsidRPr="00C6052E">
                <w:t xml:space="preserve"> </w:t>
              </w:r>
              <w:r w:rsidRPr="00C6052E">
                <w:t>Regions</w:t>
              </w:r>
            </w:fldSimple>
          </w:p>
        </w:tc>
      </w:tr>
      <w:tr w:rsidR="00EE5BB8" w:rsidRPr="00C6052E" w14:paraId="4144CD44" w14:textId="77777777" w:rsidTr="00C34F64">
        <w:tc>
          <w:tcPr>
            <w:tcW w:w="4792" w:type="dxa"/>
          </w:tcPr>
          <w:p w14:paraId="1BBD5557" w14:textId="06A1841C" w:rsidR="00EE5BB8" w:rsidRPr="00C6052E" w:rsidRDefault="00EE5BB8" w:rsidP="0063097D">
            <w:r w:rsidRPr="00C6052E">
              <w:t>22</w:t>
            </w:r>
            <w:r w:rsidR="00177848" w:rsidRPr="00C6052E">
              <w:t xml:space="preserve"> </w:t>
            </w:r>
            <w:r w:rsidRPr="00C6052E">
              <w:t>October</w:t>
            </w:r>
            <w:r w:rsidR="00177848" w:rsidRPr="00C6052E">
              <w:t xml:space="preserve"> </w:t>
            </w:r>
            <w:r w:rsidRPr="00C6052E">
              <w:t>2025</w:t>
            </w:r>
            <w:r w:rsidRPr="00C6052E">
              <w:br/>
              <w:t>Melbourne</w:t>
            </w:r>
          </w:p>
        </w:tc>
        <w:tc>
          <w:tcPr>
            <w:tcW w:w="4847" w:type="dxa"/>
          </w:tcPr>
          <w:p w14:paraId="497FA75F" w14:textId="34706F4F" w:rsidR="00EE5BB8" w:rsidRPr="00C6052E" w:rsidRDefault="00EE5BB8" w:rsidP="0063097D">
            <w:r w:rsidRPr="00C6052E">
              <w:t>22</w:t>
            </w:r>
            <w:r w:rsidR="00177848" w:rsidRPr="00C6052E">
              <w:t xml:space="preserve"> </w:t>
            </w:r>
            <w:r w:rsidRPr="00C6052E">
              <w:t>October</w:t>
            </w:r>
            <w:r w:rsidR="00177848" w:rsidRPr="00C6052E">
              <w:t xml:space="preserve"> </w:t>
            </w:r>
            <w:r w:rsidRPr="00C6052E">
              <w:t>2025</w:t>
            </w:r>
            <w:r w:rsidRPr="00C6052E">
              <w:br/>
              <w:t>Melbourne</w:t>
            </w:r>
          </w:p>
        </w:tc>
      </w:tr>
    </w:tbl>
    <w:p w14:paraId="078376CF" w14:textId="77777777" w:rsidR="00EE5BB8" w:rsidRPr="00C6052E" w:rsidRDefault="00EE5BB8" w:rsidP="00E02B91">
      <w:pPr>
        <w:spacing w:after="120"/>
      </w:pPr>
    </w:p>
    <w:p w14:paraId="302CA077" w14:textId="77777777" w:rsidR="00E02B91" w:rsidRDefault="00EE5BB8" w:rsidP="00E02B91">
      <w:pPr>
        <w:pStyle w:val="Heading2"/>
        <w:spacing w:before="240" w:after="120"/>
      </w:pPr>
      <w:bookmarkStart w:id="27" w:name="_Toc163565934"/>
      <w:bookmarkStart w:id="28" w:name="_Toc207622400"/>
      <w:bookmarkStart w:id="29" w:name="_Ref209092428"/>
      <w:bookmarkStart w:id="30" w:name="_Ref209092441"/>
      <w:bookmarkStart w:id="31" w:name="_Toc213852180"/>
      <w:bookmarkStart w:id="32" w:name="_Toc214375518"/>
      <w:bookmarkStart w:id="33" w:name="_Toc214618231"/>
      <w:r w:rsidRPr="00C6052E">
        <w:t>Comprehensive</w:t>
      </w:r>
      <w:r w:rsidR="00177848" w:rsidRPr="00C6052E">
        <w:t xml:space="preserve"> </w:t>
      </w:r>
      <w:r w:rsidRPr="00C6052E">
        <w:t>operating</w:t>
      </w:r>
      <w:r w:rsidR="00177848" w:rsidRPr="00C6052E">
        <w:t xml:space="preserve"> </w:t>
      </w:r>
      <w:r w:rsidRPr="00C6052E">
        <w:t>statement</w:t>
      </w:r>
      <w:r w:rsidR="00177848" w:rsidRPr="00C6052E">
        <w:t xml:space="preserve"> </w:t>
      </w:r>
      <w:r w:rsidRPr="00C6052E">
        <w:t>for</w:t>
      </w:r>
      <w:r w:rsidR="00177848" w:rsidRPr="00C6052E">
        <w:t xml:space="preserve"> </w:t>
      </w:r>
      <w:r w:rsidRPr="00C6052E">
        <w:t>the</w:t>
      </w:r>
      <w:r w:rsidR="00177848" w:rsidRPr="00C6052E">
        <w:t xml:space="preserve"> </w:t>
      </w:r>
      <w:r w:rsidRPr="00C6052E">
        <w:t>financial</w:t>
      </w:r>
      <w:r w:rsidR="00177848" w:rsidRPr="00C6052E">
        <w:t xml:space="preserve"> </w:t>
      </w:r>
      <w:r w:rsidRPr="00C6052E">
        <w:t>year</w:t>
      </w:r>
      <w:r w:rsidR="00177848" w:rsidRPr="00C6052E">
        <w:t xml:space="preserve"> </w:t>
      </w:r>
      <w:r w:rsidRPr="00C6052E">
        <w:t>ended</w:t>
      </w:r>
      <w:r w:rsidR="00177848" w:rsidRPr="00C6052E">
        <w:t xml:space="preserve"> </w:t>
      </w:r>
      <w:fldSimple w:instr=" DOCPROPERTY  pEnd_A  \* MERGEFORMAT ">
        <w:r w:rsidRPr="00C6052E">
          <w:t>30</w:t>
        </w:r>
        <w:r w:rsidR="00177848" w:rsidRPr="00C6052E">
          <w:t xml:space="preserve"> </w:t>
        </w:r>
        <w:r w:rsidRPr="00C6052E">
          <w:t>June</w:t>
        </w:r>
      </w:fldSimple>
      <w:r w:rsidR="00177848" w:rsidRPr="00C6052E">
        <w:t xml:space="preserve"> </w:t>
      </w:r>
      <w:fldSimple w:instr=" DOCPROPERTY  crYear_A  \* MERGEFORMAT ">
        <w:r w:rsidRPr="00C6052E">
          <w:t>2025</w:t>
        </w:r>
      </w:fldSimple>
      <w:r w:rsidRPr="00C6052E">
        <w:rPr>
          <w:vertAlign w:val="superscript"/>
        </w:rPr>
        <w:t>(i)</w:t>
      </w:r>
      <w:bookmarkEnd w:id="27"/>
      <w:bookmarkEnd w:id="28"/>
      <w:bookmarkEnd w:id="29"/>
      <w:bookmarkEnd w:id="30"/>
      <w:bookmarkEnd w:id="31"/>
      <w:bookmarkEnd w:id="32"/>
      <w:bookmarkEnd w:id="33"/>
      <w:r w:rsidR="00445EF8" w:rsidRPr="00445EF8">
        <w:t xml:space="preserve"> </w:t>
      </w:r>
    </w:p>
    <w:p w14:paraId="59719327" w14:textId="4F8EB117" w:rsidR="00EE5BB8" w:rsidRPr="00E02B91" w:rsidRDefault="00445EF8" w:rsidP="00E02B91">
      <w:pPr>
        <w:pStyle w:val="Normalbeforebullets"/>
        <w:rPr>
          <w:b/>
          <w:bCs/>
        </w:rPr>
      </w:pPr>
      <w:bookmarkStart w:id="34" w:name="_Hlk213850927"/>
      <w:r w:rsidRPr="00E02B91">
        <w:rPr>
          <w:b/>
          <w:bCs/>
        </w:rPr>
        <w:t>($ thousand)</w:t>
      </w:r>
    </w:p>
    <w:tbl>
      <w:tblPr>
        <w:tblStyle w:val="TableGrid"/>
        <w:tblW w:w="9639" w:type="dxa"/>
        <w:tblInd w:w="-5" w:type="dxa"/>
        <w:tblLayout w:type="fixed"/>
        <w:tblLook w:val="04A0" w:firstRow="1" w:lastRow="0" w:firstColumn="1" w:lastColumn="0" w:noHBand="0" w:noVBand="1"/>
      </w:tblPr>
      <w:tblGrid>
        <w:gridCol w:w="5954"/>
        <w:gridCol w:w="1077"/>
        <w:gridCol w:w="1304"/>
        <w:gridCol w:w="1304"/>
      </w:tblGrid>
      <w:tr w:rsidR="00EE5BB8" w:rsidRPr="00C6052E" w14:paraId="63B641E9" w14:textId="77777777" w:rsidTr="00BE3C43">
        <w:trPr>
          <w:tblHeader/>
        </w:trPr>
        <w:tc>
          <w:tcPr>
            <w:tcW w:w="5954" w:type="dxa"/>
            <w:noWrap/>
            <w:hideMark/>
          </w:tcPr>
          <w:p w14:paraId="7E8AEA36" w14:textId="77777777" w:rsidR="00EE5BB8" w:rsidRPr="00C6052E" w:rsidRDefault="00EE5BB8" w:rsidP="00D52474">
            <w:pPr>
              <w:pStyle w:val="TableColumnHeading"/>
              <w:rPr>
                <w:lang w:val="en-AU"/>
              </w:rPr>
            </w:pPr>
            <w:bookmarkStart w:id="35" w:name="TableColumnHeadings_39"/>
            <w:bookmarkEnd w:id="34"/>
            <w:bookmarkEnd w:id="35"/>
          </w:p>
        </w:tc>
        <w:tc>
          <w:tcPr>
            <w:tcW w:w="1077" w:type="dxa"/>
            <w:hideMark/>
          </w:tcPr>
          <w:p w14:paraId="3248122E" w14:textId="77777777" w:rsidR="00EE5BB8" w:rsidRPr="00C6052E" w:rsidRDefault="00EE5BB8" w:rsidP="00BE3C43">
            <w:pPr>
              <w:pStyle w:val="TableColumnHeading"/>
              <w:jc w:val="right"/>
              <w:rPr>
                <w:lang w:val="en-AU"/>
              </w:rPr>
            </w:pPr>
            <w:r w:rsidRPr="00C6052E">
              <w:rPr>
                <w:lang w:val="en-AU"/>
              </w:rPr>
              <w:t>Note</w:t>
            </w:r>
          </w:p>
        </w:tc>
        <w:tc>
          <w:tcPr>
            <w:tcW w:w="1304" w:type="dxa"/>
            <w:hideMark/>
          </w:tcPr>
          <w:p w14:paraId="11EE2C3B" w14:textId="77777777" w:rsidR="00EE5BB8" w:rsidRPr="00C6052E" w:rsidRDefault="00EE5BB8" w:rsidP="00BE3C43">
            <w:pPr>
              <w:pStyle w:val="TableColumnHeading"/>
              <w:jc w:val="right"/>
              <w:rPr>
                <w:lang w:val="en-AU"/>
              </w:rPr>
            </w:pPr>
            <w:r w:rsidRPr="00C6052E">
              <w:rPr>
                <w:lang w:val="en-AU"/>
              </w:rPr>
              <w:t>2025</w:t>
            </w:r>
          </w:p>
        </w:tc>
        <w:tc>
          <w:tcPr>
            <w:tcW w:w="1304" w:type="dxa"/>
            <w:hideMark/>
          </w:tcPr>
          <w:p w14:paraId="79238BC7" w14:textId="77777777" w:rsidR="00EE5BB8" w:rsidRPr="00C6052E" w:rsidRDefault="00EE5BB8" w:rsidP="00BE3C43">
            <w:pPr>
              <w:pStyle w:val="TableColumnHeading"/>
              <w:jc w:val="right"/>
              <w:rPr>
                <w:lang w:val="en-AU"/>
              </w:rPr>
            </w:pPr>
            <w:r w:rsidRPr="00C6052E">
              <w:rPr>
                <w:lang w:val="en-AU"/>
              </w:rPr>
              <w:t>2024</w:t>
            </w:r>
          </w:p>
        </w:tc>
      </w:tr>
      <w:tr w:rsidR="00C80666" w:rsidRPr="00C6052E" w14:paraId="593C3F39" w14:textId="77777777" w:rsidTr="00BE3C43">
        <w:tc>
          <w:tcPr>
            <w:tcW w:w="5954" w:type="dxa"/>
          </w:tcPr>
          <w:p w14:paraId="5F92BBA6" w14:textId="4F6243B7" w:rsidR="00C80666" w:rsidRPr="00C6052E" w:rsidRDefault="00C80666" w:rsidP="00C80666">
            <w:pPr>
              <w:pStyle w:val="TableHeading"/>
              <w:rPr>
                <w:lang w:val="en-AU"/>
              </w:rPr>
            </w:pPr>
            <w:r w:rsidRPr="00C6052E">
              <w:rPr>
                <w:lang w:val="en-AU"/>
              </w:rPr>
              <w:t>Continuing operations</w:t>
            </w:r>
          </w:p>
        </w:tc>
        <w:tc>
          <w:tcPr>
            <w:tcW w:w="1077" w:type="dxa"/>
            <w:noWrap/>
          </w:tcPr>
          <w:p w14:paraId="1B35BA14" w14:textId="77777777" w:rsidR="00C80666" w:rsidRPr="00C6052E" w:rsidRDefault="00C80666" w:rsidP="00BE3C43">
            <w:pPr>
              <w:pStyle w:val="TableHeading"/>
              <w:jc w:val="right"/>
              <w:rPr>
                <w:lang w:val="en-AU"/>
              </w:rPr>
            </w:pPr>
          </w:p>
        </w:tc>
        <w:tc>
          <w:tcPr>
            <w:tcW w:w="1304" w:type="dxa"/>
            <w:noWrap/>
          </w:tcPr>
          <w:p w14:paraId="773064E2" w14:textId="77777777" w:rsidR="00C80666" w:rsidRPr="00C6052E" w:rsidRDefault="00C80666" w:rsidP="00BE3C43">
            <w:pPr>
              <w:pStyle w:val="TableHeading"/>
              <w:jc w:val="right"/>
              <w:rPr>
                <w:lang w:val="en-AU"/>
              </w:rPr>
            </w:pPr>
          </w:p>
        </w:tc>
        <w:tc>
          <w:tcPr>
            <w:tcW w:w="1304" w:type="dxa"/>
            <w:noWrap/>
          </w:tcPr>
          <w:p w14:paraId="169B2738" w14:textId="77777777" w:rsidR="00C80666" w:rsidRPr="00C6052E" w:rsidRDefault="00C80666" w:rsidP="00BE3C43">
            <w:pPr>
              <w:pStyle w:val="TableHeading"/>
              <w:jc w:val="right"/>
              <w:rPr>
                <w:lang w:val="en-AU"/>
              </w:rPr>
            </w:pPr>
          </w:p>
        </w:tc>
      </w:tr>
      <w:tr w:rsidR="00C80666" w:rsidRPr="00C6052E" w14:paraId="4F06C061" w14:textId="77777777" w:rsidTr="00BE3C43">
        <w:tc>
          <w:tcPr>
            <w:tcW w:w="5954" w:type="dxa"/>
          </w:tcPr>
          <w:p w14:paraId="4025E6A8" w14:textId="3B5DD183" w:rsidR="00C80666" w:rsidRPr="00C6052E" w:rsidRDefault="00C80666" w:rsidP="00895D0E">
            <w:pPr>
              <w:pStyle w:val="TableHeading"/>
              <w:rPr>
                <w:lang w:val="en-AU"/>
              </w:rPr>
            </w:pPr>
            <w:r w:rsidRPr="00C6052E">
              <w:rPr>
                <w:lang w:val="en-AU"/>
              </w:rPr>
              <w:t>Revenue and income from transactions</w:t>
            </w:r>
          </w:p>
        </w:tc>
        <w:tc>
          <w:tcPr>
            <w:tcW w:w="1077" w:type="dxa"/>
            <w:noWrap/>
          </w:tcPr>
          <w:p w14:paraId="090E8AAF" w14:textId="77777777" w:rsidR="00C80666" w:rsidRPr="00C6052E" w:rsidRDefault="00C80666" w:rsidP="00BE3C43">
            <w:pPr>
              <w:pStyle w:val="TableHeading"/>
              <w:jc w:val="right"/>
              <w:rPr>
                <w:lang w:val="en-AU"/>
              </w:rPr>
            </w:pPr>
          </w:p>
        </w:tc>
        <w:tc>
          <w:tcPr>
            <w:tcW w:w="1304" w:type="dxa"/>
            <w:noWrap/>
          </w:tcPr>
          <w:p w14:paraId="0DEB1246" w14:textId="77777777" w:rsidR="00C80666" w:rsidRPr="00C6052E" w:rsidRDefault="00C80666" w:rsidP="00BE3C43">
            <w:pPr>
              <w:pStyle w:val="TableHeading"/>
              <w:jc w:val="right"/>
              <w:rPr>
                <w:lang w:val="en-AU"/>
              </w:rPr>
            </w:pPr>
          </w:p>
        </w:tc>
        <w:tc>
          <w:tcPr>
            <w:tcW w:w="1304" w:type="dxa"/>
            <w:noWrap/>
          </w:tcPr>
          <w:p w14:paraId="0E28D1D6" w14:textId="77777777" w:rsidR="00C80666" w:rsidRPr="00C6052E" w:rsidRDefault="00C80666" w:rsidP="00BE3C43">
            <w:pPr>
              <w:pStyle w:val="TableHeading"/>
              <w:jc w:val="right"/>
              <w:rPr>
                <w:lang w:val="en-AU"/>
              </w:rPr>
            </w:pPr>
          </w:p>
        </w:tc>
      </w:tr>
      <w:tr w:rsidR="00EE5BB8" w:rsidRPr="00C6052E" w14:paraId="7B034A99" w14:textId="77777777" w:rsidTr="00BE3C43">
        <w:tc>
          <w:tcPr>
            <w:tcW w:w="5954" w:type="dxa"/>
            <w:hideMark/>
          </w:tcPr>
          <w:p w14:paraId="67DB2668" w14:textId="2C138BBD" w:rsidR="00EE5BB8" w:rsidRPr="00C6052E" w:rsidRDefault="00EE5BB8" w:rsidP="0063097D">
            <w:pPr>
              <w:pStyle w:val="TableCopy"/>
              <w:rPr>
                <w:lang w:val="en-AU"/>
              </w:rPr>
            </w:pPr>
            <w:r w:rsidRPr="00C6052E">
              <w:rPr>
                <w:lang w:val="en-AU"/>
              </w:rPr>
              <w:t>Output</w:t>
            </w:r>
            <w:r w:rsidR="00177848" w:rsidRPr="00C6052E">
              <w:rPr>
                <w:lang w:val="en-AU"/>
              </w:rPr>
              <w:t xml:space="preserve"> </w:t>
            </w:r>
            <w:r w:rsidRPr="00C6052E">
              <w:rPr>
                <w:lang w:val="en-AU"/>
              </w:rPr>
              <w:t>appropriations</w:t>
            </w:r>
            <w:r w:rsidR="00177848" w:rsidRPr="00C6052E">
              <w:rPr>
                <w:lang w:val="en-AU"/>
              </w:rPr>
              <w:t xml:space="preserve"> </w:t>
            </w:r>
          </w:p>
        </w:tc>
        <w:tc>
          <w:tcPr>
            <w:tcW w:w="1077" w:type="dxa"/>
            <w:noWrap/>
            <w:hideMark/>
          </w:tcPr>
          <w:p w14:paraId="5D5D506D" w14:textId="77777777" w:rsidR="00EE5BB8" w:rsidRPr="00C6052E" w:rsidRDefault="00EE5BB8" w:rsidP="00BE3C43">
            <w:pPr>
              <w:pStyle w:val="TableCopy"/>
              <w:jc w:val="right"/>
              <w:rPr>
                <w:lang w:val="en-AU"/>
              </w:rPr>
            </w:pPr>
            <w:r w:rsidRPr="00C6052E">
              <w:rPr>
                <w:lang w:val="en-AU"/>
              </w:rPr>
              <w:t>2.3</w:t>
            </w:r>
          </w:p>
        </w:tc>
        <w:tc>
          <w:tcPr>
            <w:tcW w:w="1304" w:type="dxa"/>
            <w:noWrap/>
            <w:hideMark/>
          </w:tcPr>
          <w:p w14:paraId="5FE34DF9" w14:textId="77777777" w:rsidR="00EE5BB8" w:rsidRPr="00C6052E" w:rsidRDefault="00EE5BB8" w:rsidP="00BE3C43">
            <w:pPr>
              <w:pStyle w:val="TableCopy"/>
              <w:jc w:val="right"/>
              <w:rPr>
                <w:lang w:val="en-AU"/>
              </w:rPr>
            </w:pPr>
            <w:r w:rsidRPr="00C6052E">
              <w:rPr>
                <w:lang w:val="en-AU"/>
              </w:rPr>
              <w:t>3,306,926</w:t>
            </w:r>
          </w:p>
        </w:tc>
        <w:tc>
          <w:tcPr>
            <w:tcW w:w="1304" w:type="dxa"/>
            <w:noWrap/>
            <w:hideMark/>
          </w:tcPr>
          <w:p w14:paraId="2E332446" w14:textId="77777777" w:rsidR="00EE5BB8" w:rsidRPr="00C6052E" w:rsidRDefault="00EE5BB8" w:rsidP="00BE3C43">
            <w:pPr>
              <w:pStyle w:val="TableCopy"/>
              <w:jc w:val="right"/>
              <w:rPr>
                <w:lang w:val="en-AU"/>
              </w:rPr>
            </w:pPr>
            <w:r w:rsidRPr="00C6052E">
              <w:rPr>
                <w:lang w:val="en-AU"/>
              </w:rPr>
              <w:t>3,337,248</w:t>
            </w:r>
          </w:p>
        </w:tc>
      </w:tr>
      <w:tr w:rsidR="00EE5BB8" w:rsidRPr="00C6052E" w14:paraId="68A1B415" w14:textId="77777777" w:rsidTr="00BE3C43">
        <w:tc>
          <w:tcPr>
            <w:tcW w:w="5954" w:type="dxa"/>
            <w:hideMark/>
          </w:tcPr>
          <w:p w14:paraId="4851C020" w14:textId="6C747CCE" w:rsidR="00EE5BB8" w:rsidRPr="00C6052E" w:rsidRDefault="00EE5BB8" w:rsidP="0063097D">
            <w:pPr>
              <w:pStyle w:val="TableCopy"/>
              <w:rPr>
                <w:lang w:val="en-AU"/>
              </w:rPr>
            </w:pPr>
            <w:r w:rsidRPr="00C6052E">
              <w:rPr>
                <w:lang w:val="en-AU"/>
              </w:rPr>
              <w:t>Special</w:t>
            </w:r>
            <w:r w:rsidR="00177848" w:rsidRPr="00C6052E">
              <w:rPr>
                <w:lang w:val="en-AU"/>
              </w:rPr>
              <w:t xml:space="preserve"> </w:t>
            </w:r>
            <w:r w:rsidRPr="00C6052E">
              <w:rPr>
                <w:lang w:val="en-AU"/>
              </w:rPr>
              <w:t>appropriations</w:t>
            </w:r>
            <w:r w:rsidR="00177848" w:rsidRPr="00C6052E">
              <w:rPr>
                <w:lang w:val="en-AU"/>
              </w:rPr>
              <w:t xml:space="preserve"> </w:t>
            </w:r>
          </w:p>
        </w:tc>
        <w:tc>
          <w:tcPr>
            <w:tcW w:w="1077" w:type="dxa"/>
            <w:noWrap/>
            <w:hideMark/>
          </w:tcPr>
          <w:p w14:paraId="03445EE0" w14:textId="77777777" w:rsidR="00EE5BB8" w:rsidRPr="00C6052E" w:rsidRDefault="00EE5BB8" w:rsidP="00BE3C43">
            <w:pPr>
              <w:pStyle w:val="TableCopy"/>
              <w:jc w:val="right"/>
              <w:rPr>
                <w:lang w:val="en-AU"/>
              </w:rPr>
            </w:pPr>
            <w:r w:rsidRPr="00C6052E">
              <w:rPr>
                <w:lang w:val="en-AU"/>
              </w:rPr>
              <w:t>2.3</w:t>
            </w:r>
          </w:p>
        </w:tc>
        <w:tc>
          <w:tcPr>
            <w:tcW w:w="1304" w:type="dxa"/>
            <w:noWrap/>
            <w:hideMark/>
          </w:tcPr>
          <w:p w14:paraId="70F86348" w14:textId="77777777" w:rsidR="00EE5BB8" w:rsidRPr="00C6052E" w:rsidRDefault="00EE5BB8" w:rsidP="00BE3C43">
            <w:pPr>
              <w:pStyle w:val="TableCopy"/>
              <w:jc w:val="right"/>
              <w:rPr>
                <w:lang w:val="en-AU"/>
              </w:rPr>
            </w:pPr>
            <w:r w:rsidRPr="00C6052E">
              <w:rPr>
                <w:lang w:val="en-AU"/>
              </w:rPr>
              <w:t>96,272</w:t>
            </w:r>
          </w:p>
        </w:tc>
        <w:tc>
          <w:tcPr>
            <w:tcW w:w="1304" w:type="dxa"/>
            <w:noWrap/>
            <w:hideMark/>
          </w:tcPr>
          <w:p w14:paraId="0405ABEF" w14:textId="77777777" w:rsidR="00EE5BB8" w:rsidRPr="00C6052E" w:rsidRDefault="00EE5BB8" w:rsidP="00BE3C43">
            <w:pPr>
              <w:pStyle w:val="TableCopy"/>
              <w:jc w:val="right"/>
              <w:rPr>
                <w:lang w:val="en-AU"/>
              </w:rPr>
            </w:pPr>
            <w:r w:rsidRPr="00C6052E">
              <w:rPr>
                <w:lang w:val="en-AU"/>
              </w:rPr>
              <w:t>–</w:t>
            </w:r>
          </w:p>
        </w:tc>
      </w:tr>
      <w:tr w:rsidR="00EE5BB8" w:rsidRPr="00C6052E" w14:paraId="53BD3A55" w14:textId="77777777" w:rsidTr="00BE3C43">
        <w:tc>
          <w:tcPr>
            <w:tcW w:w="5954" w:type="dxa"/>
            <w:hideMark/>
          </w:tcPr>
          <w:p w14:paraId="1E8675AE" w14:textId="232EA907" w:rsidR="00EE5BB8" w:rsidRPr="00C6052E" w:rsidRDefault="00EE5BB8" w:rsidP="0063097D">
            <w:pPr>
              <w:pStyle w:val="TableCopy"/>
              <w:rPr>
                <w:lang w:val="en-AU"/>
              </w:rPr>
            </w:pPr>
            <w:r w:rsidRPr="00C6052E">
              <w:rPr>
                <w:lang w:val="en-AU"/>
              </w:rPr>
              <w:t>Grant</w:t>
            </w:r>
            <w:r w:rsidR="00177848" w:rsidRPr="00C6052E">
              <w:rPr>
                <w:lang w:val="en-AU"/>
              </w:rPr>
              <w:t xml:space="preserve"> </w:t>
            </w:r>
            <w:r w:rsidRPr="00C6052E">
              <w:rPr>
                <w:lang w:val="en-AU"/>
              </w:rPr>
              <w:t>income</w:t>
            </w:r>
          </w:p>
        </w:tc>
        <w:tc>
          <w:tcPr>
            <w:tcW w:w="1077" w:type="dxa"/>
            <w:noWrap/>
            <w:hideMark/>
          </w:tcPr>
          <w:p w14:paraId="275D44D7" w14:textId="77777777" w:rsidR="00EE5BB8" w:rsidRPr="00C6052E" w:rsidRDefault="00EE5BB8" w:rsidP="00BE3C43">
            <w:pPr>
              <w:pStyle w:val="TableCopy"/>
              <w:jc w:val="right"/>
              <w:rPr>
                <w:lang w:val="en-AU"/>
              </w:rPr>
            </w:pPr>
            <w:r w:rsidRPr="00C6052E">
              <w:rPr>
                <w:lang w:val="en-AU"/>
              </w:rPr>
              <w:t>2.5.1</w:t>
            </w:r>
          </w:p>
        </w:tc>
        <w:tc>
          <w:tcPr>
            <w:tcW w:w="1304" w:type="dxa"/>
            <w:noWrap/>
            <w:hideMark/>
          </w:tcPr>
          <w:p w14:paraId="4026C186" w14:textId="77777777" w:rsidR="00EE5BB8" w:rsidRPr="00C6052E" w:rsidRDefault="00EE5BB8" w:rsidP="00BE3C43">
            <w:pPr>
              <w:pStyle w:val="TableCopy"/>
              <w:jc w:val="right"/>
              <w:rPr>
                <w:lang w:val="en-AU"/>
              </w:rPr>
            </w:pPr>
            <w:r w:rsidRPr="00C6052E">
              <w:rPr>
                <w:lang w:val="en-AU"/>
              </w:rPr>
              <w:t>277,457</w:t>
            </w:r>
          </w:p>
        </w:tc>
        <w:tc>
          <w:tcPr>
            <w:tcW w:w="1304" w:type="dxa"/>
            <w:noWrap/>
            <w:hideMark/>
          </w:tcPr>
          <w:p w14:paraId="29DB0E38" w14:textId="77777777" w:rsidR="00EE5BB8" w:rsidRPr="00C6052E" w:rsidRDefault="00EE5BB8" w:rsidP="00BE3C43">
            <w:pPr>
              <w:pStyle w:val="TableCopy"/>
              <w:jc w:val="right"/>
              <w:rPr>
                <w:lang w:val="en-AU"/>
              </w:rPr>
            </w:pPr>
            <w:r w:rsidRPr="00C6052E">
              <w:rPr>
                <w:lang w:val="en-AU"/>
              </w:rPr>
              <w:t>256,686</w:t>
            </w:r>
          </w:p>
        </w:tc>
      </w:tr>
      <w:tr w:rsidR="00EE5BB8" w:rsidRPr="00C6052E" w14:paraId="029A1DAB" w14:textId="77777777" w:rsidTr="00BE3C43">
        <w:tc>
          <w:tcPr>
            <w:tcW w:w="5954" w:type="dxa"/>
            <w:hideMark/>
          </w:tcPr>
          <w:p w14:paraId="1D73AD5E" w14:textId="01AE1621" w:rsidR="00EE5BB8" w:rsidRPr="00C6052E" w:rsidRDefault="00EE5BB8" w:rsidP="0063097D">
            <w:pPr>
              <w:pStyle w:val="TableCopy"/>
              <w:rPr>
                <w:lang w:val="en-AU"/>
              </w:rPr>
            </w:pPr>
            <w:r w:rsidRPr="00C6052E">
              <w:rPr>
                <w:lang w:val="en-AU"/>
              </w:rPr>
              <w:t>Sale</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goods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services</w:t>
            </w:r>
          </w:p>
        </w:tc>
        <w:tc>
          <w:tcPr>
            <w:tcW w:w="1077" w:type="dxa"/>
            <w:noWrap/>
            <w:hideMark/>
          </w:tcPr>
          <w:p w14:paraId="79CEA47F" w14:textId="77777777" w:rsidR="00EE5BB8" w:rsidRPr="00C6052E" w:rsidRDefault="00EE5BB8" w:rsidP="00BE3C43">
            <w:pPr>
              <w:pStyle w:val="TableCopy"/>
              <w:jc w:val="right"/>
              <w:rPr>
                <w:lang w:val="en-AU"/>
              </w:rPr>
            </w:pPr>
            <w:r w:rsidRPr="00C6052E">
              <w:rPr>
                <w:lang w:val="en-AU"/>
              </w:rPr>
              <w:t>2.5.2</w:t>
            </w:r>
          </w:p>
        </w:tc>
        <w:tc>
          <w:tcPr>
            <w:tcW w:w="1304" w:type="dxa"/>
            <w:noWrap/>
            <w:hideMark/>
          </w:tcPr>
          <w:p w14:paraId="07898291" w14:textId="77777777" w:rsidR="00EE5BB8" w:rsidRPr="00C6052E" w:rsidRDefault="00EE5BB8" w:rsidP="00BE3C43">
            <w:pPr>
              <w:pStyle w:val="TableCopy"/>
              <w:jc w:val="right"/>
              <w:rPr>
                <w:lang w:val="en-AU"/>
              </w:rPr>
            </w:pPr>
            <w:r w:rsidRPr="00C6052E">
              <w:rPr>
                <w:lang w:val="en-AU"/>
              </w:rPr>
              <w:t>601</w:t>
            </w:r>
          </w:p>
        </w:tc>
        <w:tc>
          <w:tcPr>
            <w:tcW w:w="1304" w:type="dxa"/>
            <w:noWrap/>
            <w:hideMark/>
          </w:tcPr>
          <w:p w14:paraId="4162B3D7" w14:textId="77777777" w:rsidR="00EE5BB8" w:rsidRPr="00C6052E" w:rsidRDefault="00EE5BB8" w:rsidP="00BE3C43">
            <w:pPr>
              <w:pStyle w:val="TableCopy"/>
              <w:jc w:val="right"/>
              <w:rPr>
                <w:lang w:val="en-AU"/>
              </w:rPr>
            </w:pPr>
            <w:r w:rsidRPr="00C6052E">
              <w:rPr>
                <w:lang w:val="en-AU"/>
              </w:rPr>
              <w:t>358</w:t>
            </w:r>
          </w:p>
        </w:tc>
      </w:tr>
      <w:tr w:rsidR="00EE5BB8" w:rsidRPr="00C6052E" w14:paraId="54B4A29F" w14:textId="77777777" w:rsidTr="00BE3C43">
        <w:tc>
          <w:tcPr>
            <w:tcW w:w="5954" w:type="dxa"/>
            <w:hideMark/>
          </w:tcPr>
          <w:p w14:paraId="6D70E570" w14:textId="5362A1D7" w:rsidR="00EE5BB8" w:rsidRPr="00C6052E" w:rsidRDefault="00EE5BB8" w:rsidP="0063097D">
            <w:pPr>
              <w:pStyle w:val="TableCopy"/>
              <w:rPr>
                <w:lang w:val="en-AU"/>
              </w:rPr>
            </w:pPr>
            <w:r w:rsidRPr="00C6052E">
              <w:rPr>
                <w:lang w:val="en-AU"/>
              </w:rPr>
              <w:t>Other</w:t>
            </w:r>
            <w:r w:rsidR="00177848" w:rsidRPr="00C6052E">
              <w:rPr>
                <w:lang w:val="en-AU"/>
              </w:rPr>
              <w:t xml:space="preserve"> </w:t>
            </w:r>
            <w:r w:rsidRPr="00C6052E">
              <w:rPr>
                <w:lang w:val="en-AU"/>
              </w:rPr>
              <w:t>income</w:t>
            </w:r>
          </w:p>
        </w:tc>
        <w:tc>
          <w:tcPr>
            <w:tcW w:w="1077" w:type="dxa"/>
            <w:noWrap/>
            <w:hideMark/>
          </w:tcPr>
          <w:p w14:paraId="1F1EDC00" w14:textId="77777777" w:rsidR="00EE5BB8" w:rsidRPr="00C6052E" w:rsidRDefault="00EE5BB8" w:rsidP="00BE3C43">
            <w:pPr>
              <w:pStyle w:val="TableCopy"/>
              <w:jc w:val="right"/>
              <w:rPr>
                <w:lang w:val="en-AU"/>
              </w:rPr>
            </w:pPr>
            <w:r w:rsidRPr="00C6052E">
              <w:rPr>
                <w:lang w:val="en-AU"/>
              </w:rPr>
              <w:t>2.5.3</w:t>
            </w:r>
          </w:p>
        </w:tc>
        <w:tc>
          <w:tcPr>
            <w:tcW w:w="1304" w:type="dxa"/>
            <w:noWrap/>
            <w:hideMark/>
          </w:tcPr>
          <w:p w14:paraId="7DEA9C2D" w14:textId="77777777" w:rsidR="00EE5BB8" w:rsidRPr="00C6052E" w:rsidRDefault="00EE5BB8" w:rsidP="00BE3C43">
            <w:pPr>
              <w:pStyle w:val="TableCopy"/>
              <w:jc w:val="right"/>
              <w:rPr>
                <w:lang w:val="en-AU"/>
              </w:rPr>
            </w:pPr>
            <w:r w:rsidRPr="00C6052E">
              <w:rPr>
                <w:lang w:val="en-AU"/>
              </w:rPr>
              <w:t>46,610</w:t>
            </w:r>
          </w:p>
        </w:tc>
        <w:tc>
          <w:tcPr>
            <w:tcW w:w="1304" w:type="dxa"/>
            <w:noWrap/>
            <w:hideMark/>
          </w:tcPr>
          <w:p w14:paraId="2C7662AF" w14:textId="77777777" w:rsidR="00EE5BB8" w:rsidRPr="00C6052E" w:rsidRDefault="00EE5BB8" w:rsidP="00BE3C43">
            <w:pPr>
              <w:pStyle w:val="TableCopy"/>
              <w:jc w:val="right"/>
              <w:rPr>
                <w:lang w:val="en-AU"/>
              </w:rPr>
            </w:pPr>
            <w:r w:rsidRPr="00C6052E">
              <w:rPr>
                <w:lang w:val="en-AU"/>
              </w:rPr>
              <w:t>22,819</w:t>
            </w:r>
          </w:p>
        </w:tc>
      </w:tr>
      <w:tr w:rsidR="00EE5BB8" w:rsidRPr="00C6052E" w14:paraId="0680B59D" w14:textId="77777777" w:rsidTr="00BE3C43">
        <w:tc>
          <w:tcPr>
            <w:tcW w:w="5954" w:type="dxa"/>
            <w:hideMark/>
          </w:tcPr>
          <w:p w14:paraId="30CF9FCE" w14:textId="6B03EA3A" w:rsidR="00EE5BB8" w:rsidRPr="00C6052E" w:rsidRDefault="00EE5BB8" w:rsidP="0063097D">
            <w:pPr>
              <w:pStyle w:val="TableCopy"/>
              <w:rPr>
                <w:lang w:val="en-AU"/>
              </w:rPr>
            </w:pPr>
            <w:r w:rsidRPr="00C6052E">
              <w:rPr>
                <w:lang w:val="en-AU"/>
              </w:rPr>
              <w:t>Assets</w:t>
            </w:r>
            <w:r w:rsidR="00177848" w:rsidRPr="00C6052E">
              <w:rPr>
                <w:lang w:val="en-AU"/>
              </w:rPr>
              <w:t xml:space="preserve"> </w:t>
            </w:r>
            <w:r w:rsidRPr="00C6052E">
              <w:rPr>
                <w:lang w:val="en-AU"/>
              </w:rPr>
              <w:t>received</w:t>
            </w:r>
            <w:r w:rsidR="00177848" w:rsidRPr="00C6052E">
              <w:rPr>
                <w:lang w:val="en-AU"/>
              </w:rPr>
              <w:t xml:space="preserve"> </w:t>
            </w:r>
            <w:r w:rsidRPr="00C6052E">
              <w:rPr>
                <w:lang w:val="en-AU"/>
              </w:rPr>
              <w:t>free</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charge</w:t>
            </w:r>
          </w:p>
        </w:tc>
        <w:tc>
          <w:tcPr>
            <w:tcW w:w="1077" w:type="dxa"/>
            <w:noWrap/>
            <w:hideMark/>
          </w:tcPr>
          <w:p w14:paraId="283266D9" w14:textId="77777777" w:rsidR="00EE5BB8" w:rsidRPr="00C6052E" w:rsidRDefault="00EE5BB8" w:rsidP="00BE3C43">
            <w:pPr>
              <w:pStyle w:val="TableCopy"/>
              <w:jc w:val="right"/>
              <w:rPr>
                <w:lang w:val="en-AU"/>
              </w:rPr>
            </w:pPr>
            <w:r w:rsidRPr="00C6052E">
              <w:rPr>
                <w:lang w:val="en-AU"/>
              </w:rPr>
              <w:t>2.5.4</w:t>
            </w:r>
          </w:p>
        </w:tc>
        <w:tc>
          <w:tcPr>
            <w:tcW w:w="1304" w:type="dxa"/>
            <w:noWrap/>
            <w:hideMark/>
          </w:tcPr>
          <w:p w14:paraId="30A05179" w14:textId="77777777" w:rsidR="00EE5BB8" w:rsidRPr="00C6052E" w:rsidRDefault="00EE5BB8" w:rsidP="00BE3C43">
            <w:pPr>
              <w:pStyle w:val="TableCopy"/>
              <w:jc w:val="right"/>
              <w:rPr>
                <w:lang w:val="en-AU"/>
              </w:rPr>
            </w:pPr>
            <w:r w:rsidRPr="00C6052E">
              <w:rPr>
                <w:lang w:val="en-AU"/>
              </w:rPr>
              <w:t>36,440</w:t>
            </w:r>
          </w:p>
        </w:tc>
        <w:tc>
          <w:tcPr>
            <w:tcW w:w="1304" w:type="dxa"/>
            <w:noWrap/>
            <w:hideMark/>
          </w:tcPr>
          <w:p w14:paraId="1162631B" w14:textId="77777777" w:rsidR="00EE5BB8" w:rsidRPr="00C6052E" w:rsidRDefault="00EE5BB8" w:rsidP="00BE3C43">
            <w:pPr>
              <w:pStyle w:val="TableCopy"/>
              <w:jc w:val="right"/>
              <w:rPr>
                <w:lang w:val="en-AU"/>
              </w:rPr>
            </w:pPr>
            <w:r w:rsidRPr="00C6052E">
              <w:rPr>
                <w:lang w:val="en-AU"/>
              </w:rPr>
              <w:t>–</w:t>
            </w:r>
          </w:p>
        </w:tc>
      </w:tr>
      <w:tr w:rsidR="00EE5BB8" w:rsidRPr="00C6052E" w14:paraId="4B67F86E" w14:textId="77777777" w:rsidTr="00BE3C43">
        <w:tc>
          <w:tcPr>
            <w:tcW w:w="5954" w:type="dxa"/>
            <w:hideMark/>
          </w:tcPr>
          <w:p w14:paraId="12C4015C" w14:textId="1A4E5096" w:rsidR="00EE5BB8" w:rsidRPr="00C6052E" w:rsidRDefault="00EE5BB8" w:rsidP="00B53837">
            <w:pPr>
              <w:pStyle w:val="Tabletotal"/>
              <w:rPr>
                <w:lang w:val="en-AU"/>
              </w:rPr>
            </w:pPr>
            <w:r w:rsidRPr="00C6052E">
              <w:rPr>
                <w:lang w:val="en-AU"/>
              </w:rPr>
              <w:lastRenderedPageBreak/>
              <w:t>Total</w:t>
            </w:r>
            <w:r w:rsidR="00177848" w:rsidRPr="00C6052E">
              <w:rPr>
                <w:lang w:val="en-AU"/>
              </w:rPr>
              <w:t xml:space="preserve"> </w:t>
            </w:r>
            <w:r w:rsidRPr="00C6052E">
              <w:rPr>
                <w:lang w:val="en-AU"/>
              </w:rPr>
              <w:t>revenue</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income</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transactions</w:t>
            </w:r>
          </w:p>
        </w:tc>
        <w:tc>
          <w:tcPr>
            <w:tcW w:w="1077" w:type="dxa"/>
            <w:hideMark/>
          </w:tcPr>
          <w:p w14:paraId="0474D82E" w14:textId="77777777" w:rsidR="00EE5BB8" w:rsidRPr="00C6052E" w:rsidRDefault="00EE5BB8" w:rsidP="00B53837">
            <w:pPr>
              <w:pStyle w:val="Tabletotal"/>
              <w:jc w:val="right"/>
              <w:rPr>
                <w:lang w:val="en-AU"/>
              </w:rPr>
            </w:pPr>
          </w:p>
        </w:tc>
        <w:tc>
          <w:tcPr>
            <w:tcW w:w="1304" w:type="dxa"/>
            <w:noWrap/>
            <w:hideMark/>
          </w:tcPr>
          <w:p w14:paraId="11960134" w14:textId="77777777" w:rsidR="00EE5BB8" w:rsidRPr="00C6052E" w:rsidRDefault="00EE5BB8" w:rsidP="00B53837">
            <w:pPr>
              <w:pStyle w:val="Tabletotal"/>
              <w:jc w:val="right"/>
              <w:rPr>
                <w:lang w:val="en-AU"/>
              </w:rPr>
            </w:pPr>
            <w:r w:rsidRPr="00C6052E">
              <w:rPr>
                <w:lang w:val="en-AU"/>
              </w:rPr>
              <w:t>3,764,306</w:t>
            </w:r>
          </w:p>
        </w:tc>
        <w:tc>
          <w:tcPr>
            <w:tcW w:w="1304" w:type="dxa"/>
            <w:noWrap/>
            <w:hideMark/>
          </w:tcPr>
          <w:p w14:paraId="42B8ECFA" w14:textId="77777777" w:rsidR="00EE5BB8" w:rsidRPr="00C6052E" w:rsidRDefault="00EE5BB8" w:rsidP="00B53837">
            <w:pPr>
              <w:pStyle w:val="Tabletotal"/>
              <w:jc w:val="right"/>
              <w:rPr>
                <w:lang w:val="en-AU"/>
              </w:rPr>
            </w:pPr>
            <w:r w:rsidRPr="00C6052E">
              <w:rPr>
                <w:lang w:val="en-AU"/>
              </w:rPr>
              <w:t>3,617,111</w:t>
            </w:r>
          </w:p>
        </w:tc>
      </w:tr>
      <w:tr w:rsidR="00D051D2" w:rsidRPr="00C6052E" w14:paraId="470D9BC8" w14:textId="77777777" w:rsidTr="00BE3C43">
        <w:tc>
          <w:tcPr>
            <w:tcW w:w="5954" w:type="dxa"/>
          </w:tcPr>
          <w:p w14:paraId="7CCB4196" w14:textId="0180690D" w:rsidR="00D051D2" w:rsidRPr="00C6052E" w:rsidRDefault="00D051D2" w:rsidP="0063097D">
            <w:pPr>
              <w:pStyle w:val="TableHeading"/>
              <w:rPr>
                <w:lang w:val="en-AU"/>
              </w:rPr>
            </w:pPr>
            <w:r w:rsidRPr="00C6052E">
              <w:rPr>
                <w:lang w:val="en-AU"/>
              </w:rPr>
              <w:t>Expenses from transactions</w:t>
            </w:r>
          </w:p>
        </w:tc>
        <w:tc>
          <w:tcPr>
            <w:tcW w:w="1077" w:type="dxa"/>
            <w:noWrap/>
          </w:tcPr>
          <w:p w14:paraId="1CA01D8B" w14:textId="77777777" w:rsidR="00D051D2" w:rsidRPr="00C6052E" w:rsidRDefault="00D051D2" w:rsidP="00BE3C43">
            <w:pPr>
              <w:pStyle w:val="TableHeading"/>
              <w:jc w:val="right"/>
              <w:rPr>
                <w:lang w:val="en-AU"/>
              </w:rPr>
            </w:pPr>
          </w:p>
        </w:tc>
        <w:tc>
          <w:tcPr>
            <w:tcW w:w="1304" w:type="dxa"/>
            <w:noWrap/>
          </w:tcPr>
          <w:p w14:paraId="459A0F53" w14:textId="77777777" w:rsidR="00D051D2" w:rsidRPr="00C6052E" w:rsidRDefault="00D051D2" w:rsidP="00BE3C43">
            <w:pPr>
              <w:pStyle w:val="TableHeading"/>
              <w:jc w:val="right"/>
              <w:rPr>
                <w:lang w:val="en-AU"/>
              </w:rPr>
            </w:pPr>
          </w:p>
        </w:tc>
        <w:tc>
          <w:tcPr>
            <w:tcW w:w="1304" w:type="dxa"/>
            <w:noWrap/>
          </w:tcPr>
          <w:p w14:paraId="424AB4F9" w14:textId="77777777" w:rsidR="00D051D2" w:rsidRPr="00C6052E" w:rsidRDefault="00D051D2" w:rsidP="00BE3C43">
            <w:pPr>
              <w:pStyle w:val="TableHeading"/>
              <w:jc w:val="right"/>
              <w:rPr>
                <w:lang w:val="en-AU"/>
              </w:rPr>
            </w:pPr>
          </w:p>
        </w:tc>
      </w:tr>
      <w:tr w:rsidR="00EE5BB8" w:rsidRPr="00C6052E" w14:paraId="4386A82F" w14:textId="77777777" w:rsidTr="00BE3C43">
        <w:tc>
          <w:tcPr>
            <w:tcW w:w="5954" w:type="dxa"/>
            <w:hideMark/>
          </w:tcPr>
          <w:p w14:paraId="79E7EC3A" w14:textId="09E35F33" w:rsidR="00EE5BB8" w:rsidRPr="00C6052E" w:rsidRDefault="00EE5BB8" w:rsidP="0063097D">
            <w:pPr>
              <w:pStyle w:val="TableCopy"/>
              <w:rPr>
                <w:lang w:val="en-AU"/>
              </w:rPr>
            </w:pPr>
            <w:r w:rsidRPr="00C6052E">
              <w:rPr>
                <w:lang w:val="en-AU"/>
              </w:rPr>
              <w:t>Grant</w:t>
            </w:r>
            <w:r w:rsidR="00177848" w:rsidRPr="00C6052E">
              <w:rPr>
                <w:lang w:val="en-AU"/>
              </w:rPr>
              <w:t xml:space="preserve"> </w:t>
            </w:r>
            <w:r w:rsidRPr="00C6052E">
              <w:rPr>
                <w:lang w:val="en-AU"/>
              </w:rPr>
              <w:t>expenses</w:t>
            </w:r>
          </w:p>
        </w:tc>
        <w:tc>
          <w:tcPr>
            <w:tcW w:w="1077" w:type="dxa"/>
            <w:noWrap/>
            <w:hideMark/>
          </w:tcPr>
          <w:p w14:paraId="515E5DE9" w14:textId="77777777" w:rsidR="00EE5BB8" w:rsidRPr="00C6052E" w:rsidRDefault="00EE5BB8" w:rsidP="00BE3C43">
            <w:pPr>
              <w:pStyle w:val="TableCopy"/>
              <w:jc w:val="right"/>
              <w:rPr>
                <w:lang w:val="en-AU"/>
              </w:rPr>
            </w:pPr>
            <w:r w:rsidRPr="00C6052E">
              <w:rPr>
                <w:lang w:val="en-AU"/>
              </w:rPr>
              <w:t>3.2</w:t>
            </w:r>
          </w:p>
        </w:tc>
        <w:tc>
          <w:tcPr>
            <w:tcW w:w="1304" w:type="dxa"/>
            <w:noWrap/>
            <w:hideMark/>
          </w:tcPr>
          <w:p w14:paraId="2C45A2C4" w14:textId="77777777" w:rsidR="00EE5BB8" w:rsidRPr="00C6052E" w:rsidRDefault="00EE5BB8" w:rsidP="00BE3C43">
            <w:pPr>
              <w:pStyle w:val="TableCopy"/>
              <w:jc w:val="right"/>
              <w:rPr>
                <w:lang w:val="en-AU"/>
              </w:rPr>
            </w:pPr>
            <w:r w:rsidRPr="00C6052E">
              <w:rPr>
                <w:lang w:val="en-AU"/>
              </w:rPr>
              <w:t>(3,000,737)</w:t>
            </w:r>
          </w:p>
        </w:tc>
        <w:tc>
          <w:tcPr>
            <w:tcW w:w="1304" w:type="dxa"/>
            <w:noWrap/>
            <w:hideMark/>
          </w:tcPr>
          <w:p w14:paraId="0681FAFE" w14:textId="77777777" w:rsidR="00EE5BB8" w:rsidRPr="00C6052E" w:rsidRDefault="00EE5BB8" w:rsidP="00BE3C43">
            <w:pPr>
              <w:pStyle w:val="TableCopy"/>
              <w:jc w:val="right"/>
              <w:rPr>
                <w:lang w:val="en-AU"/>
              </w:rPr>
            </w:pPr>
            <w:r w:rsidRPr="00C6052E">
              <w:rPr>
                <w:lang w:val="en-AU"/>
              </w:rPr>
              <w:t>(2,892,568)</w:t>
            </w:r>
          </w:p>
        </w:tc>
      </w:tr>
      <w:tr w:rsidR="00EE5BB8" w:rsidRPr="00C6052E" w14:paraId="51B1E2BD" w14:textId="77777777" w:rsidTr="00BE3C43">
        <w:tc>
          <w:tcPr>
            <w:tcW w:w="5954" w:type="dxa"/>
            <w:hideMark/>
          </w:tcPr>
          <w:p w14:paraId="1FEED89C" w14:textId="77ADEC98" w:rsidR="00EE5BB8" w:rsidRPr="00C6052E" w:rsidRDefault="00EE5BB8" w:rsidP="0063097D">
            <w:pPr>
              <w:pStyle w:val="TableCopy"/>
              <w:rPr>
                <w:lang w:val="en-AU"/>
              </w:rPr>
            </w:pPr>
            <w:r w:rsidRPr="00C6052E">
              <w:rPr>
                <w:lang w:val="en-AU"/>
              </w:rPr>
              <w:t>Employee</w:t>
            </w:r>
            <w:r w:rsidR="00177848" w:rsidRPr="00C6052E">
              <w:rPr>
                <w:lang w:val="en-AU"/>
              </w:rPr>
              <w:t xml:space="preserve"> </w:t>
            </w:r>
            <w:r w:rsidRPr="00C6052E">
              <w:rPr>
                <w:lang w:val="en-AU"/>
              </w:rPr>
              <w:t>benefits</w:t>
            </w:r>
          </w:p>
        </w:tc>
        <w:tc>
          <w:tcPr>
            <w:tcW w:w="1077" w:type="dxa"/>
            <w:noWrap/>
            <w:hideMark/>
          </w:tcPr>
          <w:p w14:paraId="28F8A1BB" w14:textId="77777777" w:rsidR="00EE5BB8" w:rsidRPr="00C6052E" w:rsidRDefault="00EE5BB8" w:rsidP="00BE3C43">
            <w:pPr>
              <w:pStyle w:val="TableCopy"/>
              <w:jc w:val="right"/>
              <w:rPr>
                <w:lang w:val="en-AU"/>
              </w:rPr>
            </w:pPr>
            <w:r w:rsidRPr="00C6052E">
              <w:rPr>
                <w:lang w:val="en-AU"/>
              </w:rPr>
              <w:t>3.3.1</w:t>
            </w:r>
          </w:p>
        </w:tc>
        <w:tc>
          <w:tcPr>
            <w:tcW w:w="1304" w:type="dxa"/>
            <w:noWrap/>
            <w:hideMark/>
          </w:tcPr>
          <w:p w14:paraId="65613A3B" w14:textId="77777777" w:rsidR="00EE5BB8" w:rsidRPr="00C6052E" w:rsidRDefault="00EE5BB8" w:rsidP="00BE3C43">
            <w:pPr>
              <w:pStyle w:val="TableCopy"/>
              <w:jc w:val="right"/>
              <w:rPr>
                <w:lang w:val="en-AU"/>
              </w:rPr>
            </w:pPr>
            <w:r w:rsidRPr="00C6052E">
              <w:rPr>
                <w:lang w:val="en-AU"/>
              </w:rPr>
              <w:t>(349,007)</w:t>
            </w:r>
          </w:p>
        </w:tc>
        <w:tc>
          <w:tcPr>
            <w:tcW w:w="1304" w:type="dxa"/>
            <w:noWrap/>
            <w:hideMark/>
          </w:tcPr>
          <w:p w14:paraId="5E03C538" w14:textId="77777777" w:rsidR="00EE5BB8" w:rsidRPr="00C6052E" w:rsidRDefault="00EE5BB8" w:rsidP="00BE3C43">
            <w:pPr>
              <w:pStyle w:val="TableCopy"/>
              <w:jc w:val="right"/>
              <w:rPr>
                <w:lang w:val="en-AU"/>
              </w:rPr>
            </w:pPr>
            <w:r w:rsidRPr="00C6052E">
              <w:rPr>
                <w:lang w:val="en-AU"/>
              </w:rPr>
              <w:t>(372,118)</w:t>
            </w:r>
          </w:p>
        </w:tc>
      </w:tr>
      <w:tr w:rsidR="00EE5BB8" w:rsidRPr="00C6052E" w14:paraId="24537E19" w14:textId="77777777" w:rsidTr="00BE3C43">
        <w:tc>
          <w:tcPr>
            <w:tcW w:w="5954" w:type="dxa"/>
            <w:hideMark/>
          </w:tcPr>
          <w:p w14:paraId="30544DFE" w14:textId="4949EE0C" w:rsidR="00EE5BB8" w:rsidRPr="00C6052E" w:rsidRDefault="00EE5BB8" w:rsidP="0063097D">
            <w:pPr>
              <w:pStyle w:val="TableCopy"/>
              <w:rPr>
                <w:lang w:val="en-AU"/>
              </w:rPr>
            </w:pPr>
            <w:r w:rsidRPr="00C6052E">
              <w:rPr>
                <w:lang w:val="en-AU"/>
              </w:rPr>
              <w:t>Other</w:t>
            </w:r>
            <w:r w:rsidR="00177848" w:rsidRPr="00C6052E">
              <w:rPr>
                <w:lang w:val="en-AU"/>
              </w:rPr>
              <w:t xml:space="preserve"> </w:t>
            </w:r>
            <w:r w:rsidRPr="00C6052E">
              <w:rPr>
                <w:lang w:val="en-AU"/>
              </w:rPr>
              <w:t>operating</w:t>
            </w:r>
            <w:r w:rsidR="00177848" w:rsidRPr="00C6052E">
              <w:rPr>
                <w:lang w:val="en-AU"/>
              </w:rPr>
              <w:t xml:space="preserve"> </w:t>
            </w:r>
            <w:r w:rsidRPr="00C6052E">
              <w:rPr>
                <w:lang w:val="en-AU"/>
              </w:rPr>
              <w:t>expenses</w:t>
            </w:r>
          </w:p>
        </w:tc>
        <w:tc>
          <w:tcPr>
            <w:tcW w:w="1077" w:type="dxa"/>
            <w:noWrap/>
            <w:hideMark/>
          </w:tcPr>
          <w:p w14:paraId="2D40E13E" w14:textId="77777777" w:rsidR="00EE5BB8" w:rsidRPr="00C6052E" w:rsidRDefault="00EE5BB8" w:rsidP="00BE3C43">
            <w:pPr>
              <w:pStyle w:val="TableCopy"/>
              <w:jc w:val="right"/>
              <w:rPr>
                <w:lang w:val="en-AU"/>
              </w:rPr>
            </w:pPr>
            <w:r w:rsidRPr="00C6052E">
              <w:rPr>
                <w:lang w:val="en-AU"/>
              </w:rPr>
              <w:t>3.4</w:t>
            </w:r>
          </w:p>
        </w:tc>
        <w:tc>
          <w:tcPr>
            <w:tcW w:w="1304" w:type="dxa"/>
            <w:noWrap/>
            <w:hideMark/>
          </w:tcPr>
          <w:p w14:paraId="2D0DC471" w14:textId="77777777" w:rsidR="00EE5BB8" w:rsidRPr="00C6052E" w:rsidRDefault="00EE5BB8" w:rsidP="00BE3C43">
            <w:pPr>
              <w:pStyle w:val="TableCopy"/>
              <w:jc w:val="right"/>
              <w:rPr>
                <w:lang w:val="en-AU"/>
              </w:rPr>
            </w:pPr>
            <w:r w:rsidRPr="00C6052E">
              <w:rPr>
                <w:lang w:val="en-AU"/>
              </w:rPr>
              <w:t>(231,103)</w:t>
            </w:r>
          </w:p>
        </w:tc>
        <w:tc>
          <w:tcPr>
            <w:tcW w:w="1304" w:type="dxa"/>
            <w:noWrap/>
            <w:hideMark/>
          </w:tcPr>
          <w:p w14:paraId="0435F061" w14:textId="77777777" w:rsidR="00EE5BB8" w:rsidRPr="00C6052E" w:rsidRDefault="00EE5BB8" w:rsidP="00BE3C43">
            <w:pPr>
              <w:pStyle w:val="TableCopy"/>
              <w:jc w:val="right"/>
              <w:rPr>
                <w:lang w:val="en-AU"/>
              </w:rPr>
            </w:pPr>
            <w:r w:rsidRPr="00C6052E">
              <w:rPr>
                <w:lang w:val="en-AU"/>
              </w:rPr>
              <w:t>(226,835)</w:t>
            </w:r>
          </w:p>
        </w:tc>
      </w:tr>
      <w:tr w:rsidR="00EE5BB8" w:rsidRPr="00C6052E" w14:paraId="3A7CA0B8" w14:textId="77777777" w:rsidTr="00BE3C43">
        <w:tc>
          <w:tcPr>
            <w:tcW w:w="5954" w:type="dxa"/>
            <w:hideMark/>
          </w:tcPr>
          <w:p w14:paraId="32195C26" w14:textId="06C0F0CE" w:rsidR="00EE5BB8" w:rsidRPr="00C6052E" w:rsidRDefault="00EE5BB8" w:rsidP="0063097D">
            <w:pPr>
              <w:pStyle w:val="TableCopy"/>
              <w:rPr>
                <w:lang w:val="en-AU"/>
              </w:rPr>
            </w:pPr>
            <w:r w:rsidRPr="00C6052E">
              <w:rPr>
                <w:lang w:val="en-AU"/>
              </w:rPr>
              <w:t>Depreciation</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amortisation</w:t>
            </w:r>
          </w:p>
        </w:tc>
        <w:tc>
          <w:tcPr>
            <w:tcW w:w="1077" w:type="dxa"/>
            <w:noWrap/>
            <w:hideMark/>
          </w:tcPr>
          <w:p w14:paraId="11F0FA32" w14:textId="77777777" w:rsidR="00EE5BB8" w:rsidRPr="00C6052E" w:rsidRDefault="00EE5BB8" w:rsidP="00BE3C43">
            <w:pPr>
              <w:pStyle w:val="TableCopy"/>
              <w:jc w:val="right"/>
              <w:rPr>
                <w:lang w:val="en-AU"/>
              </w:rPr>
            </w:pPr>
            <w:r w:rsidRPr="00C6052E">
              <w:rPr>
                <w:lang w:val="en-AU"/>
              </w:rPr>
              <w:t>5.1.2</w:t>
            </w:r>
          </w:p>
        </w:tc>
        <w:tc>
          <w:tcPr>
            <w:tcW w:w="1304" w:type="dxa"/>
            <w:noWrap/>
            <w:hideMark/>
          </w:tcPr>
          <w:p w14:paraId="64BB0237" w14:textId="77777777" w:rsidR="00EE5BB8" w:rsidRPr="00C6052E" w:rsidRDefault="00EE5BB8" w:rsidP="00BE3C43">
            <w:pPr>
              <w:pStyle w:val="TableCopy"/>
              <w:jc w:val="right"/>
              <w:rPr>
                <w:lang w:val="en-AU"/>
              </w:rPr>
            </w:pPr>
            <w:r w:rsidRPr="00C6052E">
              <w:rPr>
                <w:lang w:val="en-AU"/>
              </w:rPr>
              <w:t>(14,152)</w:t>
            </w:r>
          </w:p>
        </w:tc>
        <w:tc>
          <w:tcPr>
            <w:tcW w:w="1304" w:type="dxa"/>
            <w:noWrap/>
            <w:hideMark/>
          </w:tcPr>
          <w:p w14:paraId="7550DEB4" w14:textId="77777777" w:rsidR="00EE5BB8" w:rsidRPr="00C6052E" w:rsidRDefault="00EE5BB8" w:rsidP="00BE3C43">
            <w:pPr>
              <w:pStyle w:val="TableCopy"/>
              <w:jc w:val="right"/>
              <w:rPr>
                <w:lang w:val="en-AU"/>
              </w:rPr>
            </w:pPr>
            <w:r w:rsidRPr="00C6052E">
              <w:rPr>
                <w:lang w:val="en-AU"/>
              </w:rPr>
              <w:t>(13,372)</w:t>
            </w:r>
          </w:p>
        </w:tc>
      </w:tr>
      <w:tr w:rsidR="00EE5BB8" w:rsidRPr="00C6052E" w14:paraId="647EEF0E" w14:textId="77777777" w:rsidTr="00BE3C43">
        <w:tc>
          <w:tcPr>
            <w:tcW w:w="5954" w:type="dxa"/>
            <w:hideMark/>
          </w:tcPr>
          <w:p w14:paraId="5A2E7A19" w14:textId="6C7D450E" w:rsidR="00EE5BB8" w:rsidRPr="00C6052E" w:rsidRDefault="00EE5BB8" w:rsidP="00B53837">
            <w:pPr>
              <w:pStyle w:val="Tabletotal"/>
              <w:rPr>
                <w:lang w:val="en-AU"/>
              </w:rPr>
            </w:pPr>
            <w:r w:rsidRPr="00C6052E">
              <w:rPr>
                <w:lang w:val="en-AU"/>
              </w:rPr>
              <w:t>Total</w:t>
            </w:r>
            <w:r w:rsidR="00177848" w:rsidRPr="00C6052E">
              <w:rPr>
                <w:lang w:val="en-AU"/>
              </w:rPr>
              <w:t xml:space="preserve"> </w:t>
            </w:r>
            <w:r w:rsidRPr="00C6052E">
              <w:rPr>
                <w:lang w:val="en-AU"/>
              </w:rPr>
              <w:t>expenses</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transactions</w:t>
            </w:r>
          </w:p>
        </w:tc>
        <w:tc>
          <w:tcPr>
            <w:tcW w:w="1077" w:type="dxa"/>
            <w:hideMark/>
          </w:tcPr>
          <w:p w14:paraId="440F0752" w14:textId="77777777" w:rsidR="00EE5BB8" w:rsidRPr="00C6052E" w:rsidRDefault="00EE5BB8" w:rsidP="00B53837">
            <w:pPr>
              <w:pStyle w:val="Tabletotal"/>
              <w:jc w:val="right"/>
              <w:rPr>
                <w:lang w:val="en-AU"/>
              </w:rPr>
            </w:pPr>
          </w:p>
        </w:tc>
        <w:tc>
          <w:tcPr>
            <w:tcW w:w="1304" w:type="dxa"/>
            <w:noWrap/>
            <w:hideMark/>
          </w:tcPr>
          <w:p w14:paraId="0F98A065" w14:textId="77777777" w:rsidR="00EE5BB8" w:rsidRPr="00C6052E" w:rsidRDefault="00EE5BB8" w:rsidP="00B53837">
            <w:pPr>
              <w:pStyle w:val="Tabletotal"/>
              <w:jc w:val="right"/>
              <w:rPr>
                <w:lang w:val="en-AU"/>
              </w:rPr>
            </w:pPr>
            <w:r w:rsidRPr="00C6052E">
              <w:rPr>
                <w:lang w:val="en-AU"/>
              </w:rPr>
              <w:t>(3,594,999)</w:t>
            </w:r>
          </w:p>
        </w:tc>
        <w:tc>
          <w:tcPr>
            <w:tcW w:w="1304" w:type="dxa"/>
            <w:noWrap/>
            <w:hideMark/>
          </w:tcPr>
          <w:p w14:paraId="6D4E00BB" w14:textId="77777777" w:rsidR="00EE5BB8" w:rsidRPr="00C6052E" w:rsidRDefault="00EE5BB8" w:rsidP="00B53837">
            <w:pPr>
              <w:pStyle w:val="Tabletotal"/>
              <w:jc w:val="right"/>
              <w:rPr>
                <w:lang w:val="en-AU"/>
              </w:rPr>
            </w:pPr>
            <w:r w:rsidRPr="00C6052E">
              <w:rPr>
                <w:lang w:val="en-AU"/>
              </w:rPr>
              <w:t>(3,504,893)</w:t>
            </w:r>
          </w:p>
        </w:tc>
      </w:tr>
      <w:tr w:rsidR="00EE5BB8" w:rsidRPr="00C6052E" w14:paraId="313DBDBA" w14:textId="77777777" w:rsidTr="00BE3C43">
        <w:tc>
          <w:tcPr>
            <w:tcW w:w="5954" w:type="dxa"/>
            <w:hideMark/>
          </w:tcPr>
          <w:p w14:paraId="32C29DE0" w14:textId="5F46BA24" w:rsidR="00EE5BB8" w:rsidRPr="00C6052E" w:rsidRDefault="00EE5BB8" w:rsidP="00B53837">
            <w:pPr>
              <w:pStyle w:val="Tabletotal"/>
              <w:rPr>
                <w:lang w:val="en-AU"/>
              </w:rPr>
            </w:pPr>
            <w:r w:rsidRPr="00C6052E">
              <w:rPr>
                <w:lang w:val="en-AU"/>
              </w:rPr>
              <w:t>Net</w:t>
            </w:r>
            <w:r w:rsidR="00177848" w:rsidRPr="00C6052E">
              <w:rPr>
                <w:lang w:val="en-AU"/>
              </w:rPr>
              <w:t xml:space="preserve"> </w:t>
            </w:r>
            <w:r w:rsidRPr="00C6052E">
              <w:rPr>
                <w:lang w:val="en-AU"/>
              </w:rPr>
              <w:t>result</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transactions</w:t>
            </w:r>
          </w:p>
        </w:tc>
        <w:tc>
          <w:tcPr>
            <w:tcW w:w="1077" w:type="dxa"/>
            <w:hideMark/>
          </w:tcPr>
          <w:p w14:paraId="6F2F5890" w14:textId="77777777" w:rsidR="00EE5BB8" w:rsidRPr="00C6052E" w:rsidRDefault="00EE5BB8" w:rsidP="00B53837">
            <w:pPr>
              <w:pStyle w:val="Tabletotal"/>
              <w:jc w:val="right"/>
              <w:rPr>
                <w:lang w:val="en-AU"/>
              </w:rPr>
            </w:pPr>
          </w:p>
        </w:tc>
        <w:tc>
          <w:tcPr>
            <w:tcW w:w="1304" w:type="dxa"/>
            <w:noWrap/>
            <w:hideMark/>
          </w:tcPr>
          <w:p w14:paraId="06658361" w14:textId="77777777" w:rsidR="00EE5BB8" w:rsidRPr="00C6052E" w:rsidRDefault="00EE5BB8" w:rsidP="00B53837">
            <w:pPr>
              <w:pStyle w:val="Tabletotal"/>
              <w:jc w:val="right"/>
              <w:rPr>
                <w:lang w:val="en-AU"/>
              </w:rPr>
            </w:pPr>
            <w:r w:rsidRPr="00C6052E">
              <w:rPr>
                <w:lang w:val="en-AU"/>
              </w:rPr>
              <w:t>169,307</w:t>
            </w:r>
          </w:p>
        </w:tc>
        <w:tc>
          <w:tcPr>
            <w:tcW w:w="1304" w:type="dxa"/>
            <w:noWrap/>
            <w:hideMark/>
          </w:tcPr>
          <w:p w14:paraId="7F6DC579" w14:textId="77777777" w:rsidR="00EE5BB8" w:rsidRPr="00C6052E" w:rsidRDefault="00EE5BB8" w:rsidP="00B53837">
            <w:pPr>
              <w:pStyle w:val="Tabletotal"/>
              <w:jc w:val="right"/>
              <w:rPr>
                <w:lang w:val="en-AU"/>
              </w:rPr>
            </w:pPr>
            <w:r w:rsidRPr="00C6052E">
              <w:rPr>
                <w:lang w:val="en-AU"/>
              </w:rPr>
              <w:t>112,218</w:t>
            </w:r>
          </w:p>
        </w:tc>
      </w:tr>
      <w:tr w:rsidR="00BE3C43" w:rsidRPr="00C6052E" w14:paraId="0C2372F1" w14:textId="77777777" w:rsidTr="00FC479A">
        <w:tc>
          <w:tcPr>
            <w:tcW w:w="5954" w:type="dxa"/>
          </w:tcPr>
          <w:p w14:paraId="02D5E049" w14:textId="25B76C41" w:rsidR="00BE3C43" w:rsidRPr="00C6052E" w:rsidRDefault="00BE3C43" w:rsidP="00FC479A">
            <w:pPr>
              <w:pStyle w:val="TableHeading"/>
              <w:rPr>
                <w:lang w:val="en-AU"/>
              </w:rPr>
            </w:pPr>
            <w:r w:rsidRPr="00C6052E">
              <w:rPr>
                <w:lang w:val="en-AU"/>
              </w:rPr>
              <w:t>Other economic flows included in net result</w:t>
            </w:r>
          </w:p>
        </w:tc>
        <w:tc>
          <w:tcPr>
            <w:tcW w:w="1077" w:type="dxa"/>
            <w:noWrap/>
          </w:tcPr>
          <w:p w14:paraId="620A0B09" w14:textId="77777777" w:rsidR="00BE3C43" w:rsidRPr="00C6052E" w:rsidRDefault="00BE3C43" w:rsidP="00BE3C43">
            <w:pPr>
              <w:pStyle w:val="TableHeading"/>
              <w:jc w:val="right"/>
              <w:rPr>
                <w:lang w:val="en-AU"/>
              </w:rPr>
            </w:pPr>
          </w:p>
        </w:tc>
        <w:tc>
          <w:tcPr>
            <w:tcW w:w="1304" w:type="dxa"/>
            <w:noWrap/>
          </w:tcPr>
          <w:p w14:paraId="36565328" w14:textId="77777777" w:rsidR="00BE3C43" w:rsidRPr="00C6052E" w:rsidRDefault="00BE3C43" w:rsidP="00BE3C43">
            <w:pPr>
              <w:pStyle w:val="TableHeading"/>
              <w:jc w:val="right"/>
              <w:rPr>
                <w:lang w:val="en-AU"/>
              </w:rPr>
            </w:pPr>
          </w:p>
        </w:tc>
        <w:tc>
          <w:tcPr>
            <w:tcW w:w="1304" w:type="dxa"/>
            <w:noWrap/>
          </w:tcPr>
          <w:p w14:paraId="28C0EBD1" w14:textId="77777777" w:rsidR="00BE3C43" w:rsidRPr="00C6052E" w:rsidRDefault="00BE3C43" w:rsidP="00BE3C43">
            <w:pPr>
              <w:pStyle w:val="TableHeading"/>
              <w:jc w:val="right"/>
              <w:rPr>
                <w:lang w:val="en-AU"/>
              </w:rPr>
            </w:pPr>
          </w:p>
        </w:tc>
      </w:tr>
      <w:tr w:rsidR="00EE5BB8" w:rsidRPr="00C6052E" w14:paraId="4E31C6BA" w14:textId="77777777" w:rsidTr="00BE3C43">
        <w:tc>
          <w:tcPr>
            <w:tcW w:w="5954" w:type="dxa"/>
            <w:hideMark/>
          </w:tcPr>
          <w:p w14:paraId="523DC7C5" w14:textId="737EFCF0" w:rsidR="00EE5BB8" w:rsidRPr="00C6052E" w:rsidRDefault="00EE5BB8" w:rsidP="0063097D">
            <w:pPr>
              <w:pStyle w:val="TableCopy"/>
              <w:rPr>
                <w:lang w:val="en-AU"/>
              </w:rPr>
            </w:pPr>
            <w:r w:rsidRPr="00C6052E">
              <w:rPr>
                <w:lang w:val="en-AU"/>
              </w:rPr>
              <w:t>Net</w:t>
            </w:r>
            <w:r w:rsidR="00177848" w:rsidRPr="00C6052E">
              <w:rPr>
                <w:lang w:val="en-AU"/>
              </w:rPr>
              <w:t xml:space="preserve"> </w:t>
            </w:r>
            <w:r w:rsidRPr="00C6052E">
              <w:rPr>
                <w:lang w:val="en-AU"/>
              </w:rPr>
              <w:t>loss</w:t>
            </w:r>
            <w:r w:rsidR="00177848" w:rsidRPr="00C6052E">
              <w:rPr>
                <w:lang w:val="en-AU"/>
              </w:rPr>
              <w:t xml:space="preserve"> </w:t>
            </w:r>
            <w:r w:rsidRPr="00C6052E">
              <w:rPr>
                <w:lang w:val="en-AU"/>
              </w:rPr>
              <w:t>on</w:t>
            </w:r>
            <w:r w:rsidR="00177848" w:rsidRPr="00C6052E">
              <w:rPr>
                <w:lang w:val="en-AU"/>
              </w:rPr>
              <w:t xml:space="preserve"> </w:t>
            </w:r>
            <w:r w:rsidRPr="00C6052E">
              <w:rPr>
                <w:lang w:val="en-AU"/>
              </w:rPr>
              <w:t>non-financial</w:t>
            </w:r>
            <w:r w:rsidR="00177848" w:rsidRPr="00C6052E">
              <w:rPr>
                <w:lang w:val="en-AU"/>
              </w:rPr>
              <w:t xml:space="preserve"> </w:t>
            </w:r>
            <w:r w:rsidRPr="00C6052E">
              <w:rPr>
                <w:lang w:val="en-AU"/>
              </w:rPr>
              <w:t>assets</w:t>
            </w:r>
          </w:p>
        </w:tc>
        <w:tc>
          <w:tcPr>
            <w:tcW w:w="1077" w:type="dxa"/>
            <w:noWrap/>
            <w:hideMark/>
          </w:tcPr>
          <w:p w14:paraId="2725AD08" w14:textId="77777777" w:rsidR="00EE5BB8" w:rsidRPr="00C6052E" w:rsidRDefault="00EE5BB8" w:rsidP="00BE3C43">
            <w:pPr>
              <w:pStyle w:val="TableCopy"/>
              <w:jc w:val="right"/>
              <w:rPr>
                <w:lang w:val="en-AU"/>
              </w:rPr>
            </w:pPr>
            <w:r w:rsidRPr="00C6052E">
              <w:rPr>
                <w:lang w:val="en-AU"/>
              </w:rPr>
              <w:t>9.2</w:t>
            </w:r>
          </w:p>
        </w:tc>
        <w:tc>
          <w:tcPr>
            <w:tcW w:w="1304" w:type="dxa"/>
            <w:noWrap/>
            <w:hideMark/>
          </w:tcPr>
          <w:p w14:paraId="6B6BC4ED" w14:textId="77777777" w:rsidR="00EE5BB8" w:rsidRPr="00C6052E" w:rsidRDefault="00EE5BB8" w:rsidP="00BE3C43">
            <w:pPr>
              <w:pStyle w:val="TableCopy"/>
              <w:jc w:val="right"/>
              <w:rPr>
                <w:lang w:val="en-AU"/>
              </w:rPr>
            </w:pPr>
            <w:r w:rsidRPr="00C6052E">
              <w:rPr>
                <w:lang w:val="en-AU"/>
              </w:rPr>
              <w:t>(715)</w:t>
            </w:r>
          </w:p>
        </w:tc>
        <w:tc>
          <w:tcPr>
            <w:tcW w:w="1304" w:type="dxa"/>
            <w:noWrap/>
            <w:hideMark/>
          </w:tcPr>
          <w:p w14:paraId="206E9AB5" w14:textId="77777777" w:rsidR="00EE5BB8" w:rsidRPr="00C6052E" w:rsidRDefault="00EE5BB8" w:rsidP="00BE3C43">
            <w:pPr>
              <w:pStyle w:val="TableCopy"/>
              <w:jc w:val="right"/>
              <w:rPr>
                <w:lang w:val="en-AU"/>
              </w:rPr>
            </w:pPr>
            <w:r w:rsidRPr="00C6052E">
              <w:rPr>
                <w:lang w:val="en-AU"/>
              </w:rPr>
              <w:t>(36)</w:t>
            </w:r>
          </w:p>
        </w:tc>
      </w:tr>
      <w:tr w:rsidR="00EE5BB8" w:rsidRPr="00C6052E" w14:paraId="7F5E1AC0" w14:textId="77777777" w:rsidTr="00BE3C43">
        <w:tc>
          <w:tcPr>
            <w:tcW w:w="5954" w:type="dxa"/>
            <w:hideMark/>
          </w:tcPr>
          <w:p w14:paraId="66A1B784" w14:textId="60CD9824" w:rsidR="00EE5BB8" w:rsidRPr="00C6052E" w:rsidRDefault="00EE5BB8" w:rsidP="0063097D">
            <w:pPr>
              <w:pStyle w:val="TableCopy"/>
              <w:rPr>
                <w:lang w:val="en-AU"/>
              </w:rPr>
            </w:pPr>
            <w:r w:rsidRPr="00C6052E">
              <w:rPr>
                <w:lang w:val="en-AU"/>
              </w:rPr>
              <w:t>Net</w:t>
            </w:r>
            <w:r w:rsidR="00177848" w:rsidRPr="00C6052E">
              <w:rPr>
                <w:lang w:val="en-AU"/>
              </w:rPr>
              <w:t xml:space="preserve"> </w:t>
            </w:r>
            <w:r w:rsidRPr="00C6052E">
              <w:rPr>
                <w:lang w:val="en-AU"/>
              </w:rPr>
              <w:t>gain/(loss)</w:t>
            </w:r>
            <w:r w:rsidR="00177848" w:rsidRPr="00C6052E">
              <w:rPr>
                <w:lang w:val="en-AU"/>
              </w:rPr>
              <w:t xml:space="preserve"> </w:t>
            </w:r>
            <w:r w:rsidRPr="00C6052E">
              <w:rPr>
                <w:lang w:val="en-AU"/>
              </w:rPr>
              <w:t>on</w:t>
            </w:r>
            <w:r w:rsidR="00177848" w:rsidRPr="00C6052E">
              <w:rPr>
                <w:lang w:val="en-AU"/>
              </w:rPr>
              <w:t xml:space="preserve"> </w:t>
            </w:r>
            <w:r w:rsidRPr="00C6052E">
              <w:rPr>
                <w:lang w:val="en-AU"/>
              </w:rPr>
              <w:t>financial</w:t>
            </w:r>
            <w:r w:rsidR="00177848" w:rsidRPr="00C6052E">
              <w:rPr>
                <w:lang w:val="en-AU"/>
              </w:rPr>
              <w:t xml:space="preserve"> </w:t>
            </w:r>
            <w:r w:rsidRPr="00C6052E">
              <w:rPr>
                <w:lang w:val="en-AU"/>
              </w:rPr>
              <w:t>instruments</w:t>
            </w:r>
          </w:p>
        </w:tc>
        <w:tc>
          <w:tcPr>
            <w:tcW w:w="1077" w:type="dxa"/>
            <w:noWrap/>
            <w:hideMark/>
          </w:tcPr>
          <w:p w14:paraId="650A3D02" w14:textId="77777777" w:rsidR="00EE5BB8" w:rsidRPr="00C6052E" w:rsidRDefault="00EE5BB8" w:rsidP="00BE3C43">
            <w:pPr>
              <w:pStyle w:val="TableCopy"/>
              <w:jc w:val="right"/>
              <w:rPr>
                <w:lang w:val="en-AU"/>
              </w:rPr>
            </w:pPr>
            <w:r w:rsidRPr="00C6052E">
              <w:rPr>
                <w:lang w:val="en-AU"/>
              </w:rPr>
              <w:t>9.2</w:t>
            </w:r>
          </w:p>
        </w:tc>
        <w:tc>
          <w:tcPr>
            <w:tcW w:w="1304" w:type="dxa"/>
            <w:noWrap/>
            <w:hideMark/>
          </w:tcPr>
          <w:p w14:paraId="54D371CF" w14:textId="77777777" w:rsidR="00EE5BB8" w:rsidRPr="00C6052E" w:rsidRDefault="00EE5BB8" w:rsidP="00BE3C43">
            <w:pPr>
              <w:pStyle w:val="TableCopy"/>
              <w:jc w:val="right"/>
              <w:rPr>
                <w:lang w:val="en-AU"/>
              </w:rPr>
            </w:pPr>
            <w:r w:rsidRPr="00C6052E">
              <w:rPr>
                <w:lang w:val="en-AU"/>
              </w:rPr>
              <w:t>28,296</w:t>
            </w:r>
          </w:p>
        </w:tc>
        <w:tc>
          <w:tcPr>
            <w:tcW w:w="1304" w:type="dxa"/>
            <w:noWrap/>
            <w:hideMark/>
          </w:tcPr>
          <w:p w14:paraId="4EC1E43F" w14:textId="77777777" w:rsidR="00EE5BB8" w:rsidRPr="00C6052E" w:rsidRDefault="00EE5BB8" w:rsidP="00BE3C43">
            <w:pPr>
              <w:pStyle w:val="TableCopy"/>
              <w:jc w:val="right"/>
              <w:rPr>
                <w:lang w:val="en-AU"/>
              </w:rPr>
            </w:pPr>
            <w:r w:rsidRPr="00C6052E">
              <w:rPr>
                <w:lang w:val="en-AU"/>
              </w:rPr>
              <w:t>(22,614)</w:t>
            </w:r>
          </w:p>
        </w:tc>
      </w:tr>
      <w:tr w:rsidR="00EE5BB8" w:rsidRPr="00C6052E" w14:paraId="089B755D" w14:textId="77777777" w:rsidTr="00BE3C43">
        <w:tc>
          <w:tcPr>
            <w:tcW w:w="5954" w:type="dxa"/>
            <w:hideMark/>
          </w:tcPr>
          <w:p w14:paraId="58353E18" w14:textId="3787B0FA" w:rsidR="00EE5BB8" w:rsidRPr="00C6052E" w:rsidRDefault="00EE5BB8" w:rsidP="0063097D">
            <w:pPr>
              <w:pStyle w:val="TableCopy"/>
              <w:rPr>
                <w:lang w:val="en-AU"/>
              </w:rPr>
            </w:pPr>
            <w:r w:rsidRPr="00C6052E">
              <w:rPr>
                <w:lang w:val="en-AU"/>
              </w:rPr>
              <w:t>Other</w:t>
            </w:r>
            <w:r w:rsidR="00177848" w:rsidRPr="00C6052E">
              <w:rPr>
                <w:lang w:val="en-AU"/>
              </w:rPr>
              <w:t xml:space="preserve"> </w:t>
            </w:r>
            <w:r w:rsidRPr="00C6052E">
              <w:rPr>
                <w:lang w:val="en-AU"/>
              </w:rPr>
              <w:t>gain/(loss)</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other</w:t>
            </w:r>
            <w:r w:rsidR="00177848" w:rsidRPr="00C6052E">
              <w:rPr>
                <w:lang w:val="en-AU"/>
              </w:rPr>
              <w:t xml:space="preserve"> </w:t>
            </w:r>
            <w:r w:rsidRPr="00C6052E">
              <w:rPr>
                <w:lang w:val="en-AU"/>
              </w:rPr>
              <w:t>economic</w:t>
            </w:r>
            <w:r w:rsidR="00177848" w:rsidRPr="00C6052E">
              <w:rPr>
                <w:lang w:val="en-AU"/>
              </w:rPr>
              <w:t xml:space="preserve"> </w:t>
            </w:r>
            <w:r w:rsidRPr="00C6052E">
              <w:rPr>
                <w:lang w:val="en-AU"/>
              </w:rPr>
              <w:t>flows</w:t>
            </w:r>
            <w:r w:rsidR="00177848" w:rsidRPr="00C6052E">
              <w:rPr>
                <w:lang w:val="en-AU"/>
              </w:rPr>
              <w:t xml:space="preserve"> </w:t>
            </w:r>
          </w:p>
        </w:tc>
        <w:tc>
          <w:tcPr>
            <w:tcW w:w="1077" w:type="dxa"/>
            <w:noWrap/>
            <w:hideMark/>
          </w:tcPr>
          <w:p w14:paraId="0D9C12C9" w14:textId="77777777" w:rsidR="00EE5BB8" w:rsidRPr="00C6052E" w:rsidRDefault="00EE5BB8" w:rsidP="00BE3C43">
            <w:pPr>
              <w:pStyle w:val="TableCopy"/>
              <w:jc w:val="right"/>
              <w:rPr>
                <w:lang w:val="en-AU"/>
              </w:rPr>
            </w:pPr>
            <w:r w:rsidRPr="00C6052E">
              <w:rPr>
                <w:lang w:val="en-AU"/>
              </w:rPr>
              <w:t>9.2</w:t>
            </w:r>
          </w:p>
        </w:tc>
        <w:tc>
          <w:tcPr>
            <w:tcW w:w="1304" w:type="dxa"/>
            <w:noWrap/>
            <w:hideMark/>
          </w:tcPr>
          <w:p w14:paraId="37896A5C" w14:textId="77777777" w:rsidR="00EE5BB8" w:rsidRPr="00C6052E" w:rsidRDefault="00EE5BB8" w:rsidP="00BE3C43">
            <w:pPr>
              <w:pStyle w:val="TableCopy"/>
              <w:jc w:val="right"/>
              <w:rPr>
                <w:lang w:val="en-AU"/>
              </w:rPr>
            </w:pPr>
            <w:r w:rsidRPr="00C6052E">
              <w:rPr>
                <w:lang w:val="en-AU"/>
              </w:rPr>
              <w:t>(255)</w:t>
            </w:r>
          </w:p>
        </w:tc>
        <w:tc>
          <w:tcPr>
            <w:tcW w:w="1304" w:type="dxa"/>
            <w:noWrap/>
            <w:hideMark/>
          </w:tcPr>
          <w:p w14:paraId="2DC20DE2" w14:textId="77777777" w:rsidR="00EE5BB8" w:rsidRPr="00C6052E" w:rsidRDefault="00EE5BB8" w:rsidP="00BE3C43">
            <w:pPr>
              <w:pStyle w:val="TableCopy"/>
              <w:jc w:val="right"/>
              <w:rPr>
                <w:lang w:val="en-AU"/>
              </w:rPr>
            </w:pPr>
            <w:r w:rsidRPr="00C6052E">
              <w:rPr>
                <w:lang w:val="en-AU"/>
              </w:rPr>
              <w:t>333</w:t>
            </w:r>
          </w:p>
        </w:tc>
      </w:tr>
      <w:tr w:rsidR="00EE5BB8" w:rsidRPr="00C6052E" w14:paraId="2093EB9A" w14:textId="77777777" w:rsidTr="00BE3C43">
        <w:tc>
          <w:tcPr>
            <w:tcW w:w="5954" w:type="dxa"/>
            <w:hideMark/>
          </w:tcPr>
          <w:p w14:paraId="4EF23798" w14:textId="0CD44238" w:rsidR="00EE5BB8" w:rsidRPr="00C6052E" w:rsidRDefault="00EE5BB8" w:rsidP="00814D77">
            <w:pPr>
              <w:pStyle w:val="Tabletotal"/>
              <w:rPr>
                <w:lang w:val="en-AU"/>
              </w:rPr>
            </w:pPr>
            <w:r w:rsidRPr="00C6052E">
              <w:rPr>
                <w:lang w:val="en-AU"/>
              </w:rPr>
              <w:t>Total</w:t>
            </w:r>
            <w:r w:rsidR="00177848" w:rsidRPr="00C6052E">
              <w:rPr>
                <w:lang w:val="en-AU"/>
              </w:rPr>
              <w:t xml:space="preserve"> </w:t>
            </w:r>
            <w:r w:rsidRPr="00C6052E">
              <w:rPr>
                <w:lang w:val="en-AU"/>
              </w:rPr>
              <w:t>other</w:t>
            </w:r>
            <w:r w:rsidR="00177848" w:rsidRPr="00C6052E">
              <w:rPr>
                <w:lang w:val="en-AU"/>
              </w:rPr>
              <w:t xml:space="preserve"> </w:t>
            </w:r>
            <w:r w:rsidRPr="00C6052E">
              <w:rPr>
                <w:lang w:val="en-AU"/>
              </w:rPr>
              <w:t>economic</w:t>
            </w:r>
            <w:r w:rsidR="00177848" w:rsidRPr="00C6052E">
              <w:rPr>
                <w:lang w:val="en-AU"/>
              </w:rPr>
              <w:t xml:space="preserve"> </w:t>
            </w:r>
            <w:r w:rsidRPr="00C6052E">
              <w:rPr>
                <w:lang w:val="en-AU"/>
              </w:rPr>
              <w:t>flows</w:t>
            </w:r>
            <w:r w:rsidR="00177848" w:rsidRPr="00C6052E">
              <w:rPr>
                <w:lang w:val="en-AU"/>
              </w:rPr>
              <w:t xml:space="preserve"> </w:t>
            </w:r>
            <w:r w:rsidRPr="00C6052E">
              <w:rPr>
                <w:lang w:val="en-AU"/>
              </w:rPr>
              <w:t>included</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net</w:t>
            </w:r>
            <w:r w:rsidR="00177848" w:rsidRPr="00C6052E">
              <w:rPr>
                <w:lang w:val="en-AU"/>
              </w:rPr>
              <w:t xml:space="preserve"> </w:t>
            </w:r>
            <w:r w:rsidRPr="00C6052E">
              <w:rPr>
                <w:lang w:val="en-AU"/>
              </w:rPr>
              <w:t>result</w:t>
            </w:r>
          </w:p>
        </w:tc>
        <w:tc>
          <w:tcPr>
            <w:tcW w:w="1077" w:type="dxa"/>
            <w:hideMark/>
          </w:tcPr>
          <w:p w14:paraId="3D4B8EA5" w14:textId="77777777" w:rsidR="00EE5BB8" w:rsidRPr="00C6052E" w:rsidRDefault="00EE5BB8" w:rsidP="00814D77">
            <w:pPr>
              <w:pStyle w:val="Tabletotal"/>
              <w:jc w:val="right"/>
              <w:rPr>
                <w:lang w:val="en-AU"/>
              </w:rPr>
            </w:pPr>
          </w:p>
        </w:tc>
        <w:tc>
          <w:tcPr>
            <w:tcW w:w="1304" w:type="dxa"/>
            <w:noWrap/>
            <w:hideMark/>
          </w:tcPr>
          <w:p w14:paraId="16AC3446" w14:textId="77777777" w:rsidR="00EE5BB8" w:rsidRPr="00C6052E" w:rsidRDefault="00EE5BB8" w:rsidP="00814D77">
            <w:pPr>
              <w:pStyle w:val="Tabletotal"/>
              <w:jc w:val="right"/>
              <w:rPr>
                <w:lang w:val="en-AU"/>
              </w:rPr>
            </w:pPr>
            <w:r w:rsidRPr="00C6052E">
              <w:rPr>
                <w:lang w:val="en-AU"/>
              </w:rPr>
              <w:t>27,326</w:t>
            </w:r>
          </w:p>
        </w:tc>
        <w:tc>
          <w:tcPr>
            <w:tcW w:w="1304" w:type="dxa"/>
            <w:noWrap/>
            <w:hideMark/>
          </w:tcPr>
          <w:p w14:paraId="675E1D38" w14:textId="77777777" w:rsidR="00EE5BB8" w:rsidRPr="00C6052E" w:rsidRDefault="00EE5BB8" w:rsidP="00814D77">
            <w:pPr>
              <w:pStyle w:val="Tabletotal"/>
              <w:jc w:val="right"/>
              <w:rPr>
                <w:lang w:val="en-AU"/>
              </w:rPr>
            </w:pPr>
            <w:r w:rsidRPr="00C6052E">
              <w:rPr>
                <w:lang w:val="en-AU"/>
              </w:rPr>
              <w:t>(22,317)</w:t>
            </w:r>
          </w:p>
        </w:tc>
      </w:tr>
      <w:tr w:rsidR="00EE5BB8" w:rsidRPr="00C6052E" w14:paraId="3EC94DE4" w14:textId="77777777" w:rsidTr="00BE3C43">
        <w:tc>
          <w:tcPr>
            <w:tcW w:w="5954" w:type="dxa"/>
            <w:hideMark/>
          </w:tcPr>
          <w:p w14:paraId="0F4A1A11" w14:textId="771E11B6" w:rsidR="00EE5BB8" w:rsidRPr="00C6052E" w:rsidRDefault="00EE5BB8" w:rsidP="00814D77">
            <w:pPr>
              <w:pStyle w:val="Tabletotal"/>
              <w:rPr>
                <w:lang w:val="en-AU"/>
              </w:rPr>
            </w:pPr>
            <w:r w:rsidRPr="00C6052E">
              <w:rPr>
                <w:lang w:val="en-AU"/>
              </w:rPr>
              <w:t>Net</w:t>
            </w:r>
            <w:r w:rsidR="00177848" w:rsidRPr="00C6052E">
              <w:rPr>
                <w:lang w:val="en-AU"/>
              </w:rPr>
              <w:t xml:space="preserve"> </w:t>
            </w:r>
            <w:r w:rsidRPr="00C6052E">
              <w:rPr>
                <w:lang w:val="en-AU"/>
              </w:rPr>
              <w:t>result</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continuing</w:t>
            </w:r>
            <w:r w:rsidR="00177848" w:rsidRPr="00C6052E">
              <w:rPr>
                <w:lang w:val="en-AU"/>
              </w:rPr>
              <w:t xml:space="preserve"> </w:t>
            </w:r>
            <w:r w:rsidRPr="00C6052E">
              <w:rPr>
                <w:lang w:val="en-AU"/>
              </w:rPr>
              <w:t>operations</w:t>
            </w:r>
          </w:p>
        </w:tc>
        <w:tc>
          <w:tcPr>
            <w:tcW w:w="1077" w:type="dxa"/>
            <w:noWrap/>
            <w:hideMark/>
          </w:tcPr>
          <w:p w14:paraId="28D6B267" w14:textId="77777777" w:rsidR="00EE5BB8" w:rsidRPr="00C6052E" w:rsidRDefault="00EE5BB8" w:rsidP="00814D77">
            <w:pPr>
              <w:pStyle w:val="Tabletotal"/>
              <w:jc w:val="right"/>
              <w:rPr>
                <w:lang w:val="en-AU"/>
              </w:rPr>
            </w:pPr>
          </w:p>
        </w:tc>
        <w:tc>
          <w:tcPr>
            <w:tcW w:w="1304" w:type="dxa"/>
            <w:noWrap/>
            <w:hideMark/>
          </w:tcPr>
          <w:p w14:paraId="4F86E40C" w14:textId="77777777" w:rsidR="00EE5BB8" w:rsidRPr="00C6052E" w:rsidRDefault="00EE5BB8" w:rsidP="00814D77">
            <w:pPr>
              <w:pStyle w:val="Tabletotal"/>
              <w:jc w:val="right"/>
              <w:rPr>
                <w:lang w:val="en-AU"/>
              </w:rPr>
            </w:pPr>
            <w:r w:rsidRPr="00C6052E">
              <w:rPr>
                <w:lang w:val="en-AU"/>
              </w:rPr>
              <w:t>196,633</w:t>
            </w:r>
          </w:p>
        </w:tc>
        <w:tc>
          <w:tcPr>
            <w:tcW w:w="1304" w:type="dxa"/>
            <w:noWrap/>
            <w:hideMark/>
          </w:tcPr>
          <w:p w14:paraId="04E776E8" w14:textId="77777777" w:rsidR="00EE5BB8" w:rsidRPr="00C6052E" w:rsidRDefault="00EE5BB8" w:rsidP="00814D77">
            <w:pPr>
              <w:pStyle w:val="Tabletotal"/>
              <w:jc w:val="right"/>
              <w:rPr>
                <w:lang w:val="en-AU"/>
              </w:rPr>
            </w:pPr>
            <w:r w:rsidRPr="00C6052E">
              <w:rPr>
                <w:lang w:val="en-AU"/>
              </w:rPr>
              <w:t>89,901</w:t>
            </w:r>
          </w:p>
        </w:tc>
      </w:tr>
      <w:tr w:rsidR="00BE3C43" w:rsidRPr="00C6052E" w14:paraId="096696E1" w14:textId="77777777" w:rsidTr="004E2A13">
        <w:tc>
          <w:tcPr>
            <w:tcW w:w="5954" w:type="dxa"/>
          </w:tcPr>
          <w:p w14:paraId="40BCEAB4" w14:textId="68103A8D" w:rsidR="00BE3C43" w:rsidRPr="00C6052E" w:rsidRDefault="00BE3C43" w:rsidP="004E2A13">
            <w:pPr>
              <w:pStyle w:val="TableHeading"/>
              <w:rPr>
                <w:lang w:val="en-AU"/>
              </w:rPr>
            </w:pPr>
            <w:r w:rsidRPr="00C6052E">
              <w:rPr>
                <w:lang w:val="en-AU"/>
              </w:rPr>
              <w:t xml:space="preserve">Other economic flows – other comprehensive income: </w:t>
            </w:r>
            <w:r w:rsidRPr="00C6052E">
              <w:rPr>
                <w:lang w:val="en-AU"/>
              </w:rPr>
              <w:br/>
              <w:t>Items that will not be reclassified to net result</w:t>
            </w:r>
          </w:p>
        </w:tc>
        <w:tc>
          <w:tcPr>
            <w:tcW w:w="1077" w:type="dxa"/>
            <w:noWrap/>
          </w:tcPr>
          <w:p w14:paraId="2A84D89A" w14:textId="77777777" w:rsidR="00BE3C43" w:rsidRPr="00C6052E" w:rsidRDefault="00BE3C43" w:rsidP="00BE3C43">
            <w:pPr>
              <w:pStyle w:val="TableHeading"/>
              <w:jc w:val="right"/>
              <w:rPr>
                <w:lang w:val="en-AU"/>
              </w:rPr>
            </w:pPr>
          </w:p>
        </w:tc>
        <w:tc>
          <w:tcPr>
            <w:tcW w:w="1304" w:type="dxa"/>
            <w:noWrap/>
          </w:tcPr>
          <w:p w14:paraId="45766449" w14:textId="77777777" w:rsidR="00BE3C43" w:rsidRPr="00C6052E" w:rsidRDefault="00BE3C43" w:rsidP="00BE3C43">
            <w:pPr>
              <w:pStyle w:val="TableHeading"/>
              <w:jc w:val="right"/>
              <w:rPr>
                <w:lang w:val="en-AU"/>
              </w:rPr>
            </w:pPr>
          </w:p>
        </w:tc>
        <w:tc>
          <w:tcPr>
            <w:tcW w:w="1304" w:type="dxa"/>
            <w:noWrap/>
          </w:tcPr>
          <w:p w14:paraId="69F22447" w14:textId="77777777" w:rsidR="00BE3C43" w:rsidRPr="00C6052E" w:rsidRDefault="00BE3C43" w:rsidP="00BE3C43">
            <w:pPr>
              <w:pStyle w:val="TableHeading"/>
              <w:jc w:val="right"/>
              <w:rPr>
                <w:lang w:val="en-AU"/>
              </w:rPr>
            </w:pPr>
          </w:p>
        </w:tc>
      </w:tr>
      <w:tr w:rsidR="00EE5BB8" w:rsidRPr="00C6052E" w14:paraId="6253D6AF" w14:textId="77777777" w:rsidTr="00BE3C43">
        <w:tc>
          <w:tcPr>
            <w:tcW w:w="5954" w:type="dxa"/>
            <w:hideMark/>
          </w:tcPr>
          <w:p w14:paraId="32A5606E" w14:textId="1F9E23E8" w:rsidR="00EE5BB8" w:rsidRPr="00C6052E" w:rsidRDefault="00EE5BB8" w:rsidP="0063097D">
            <w:pPr>
              <w:pStyle w:val="TableCopy"/>
              <w:rPr>
                <w:lang w:val="en-AU"/>
              </w:rPr>
            </w:pPr>
            <w:r w:rsidRPr="00C6052E">
              <w:rPr>
                <w:lang w:val="en-AU"/>
              </w:rPr>
              <w:t>Changes</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physical</w:t>
            </w:r>
            <w:r w:rsidR="00177848" w:rsidRPr="00C6052E">
              <w:rPr>
                <w:lang w:val="en-AU"/>
              </w:rPr>
              <w:t xml:space="preserve"> </w:t>
            </w:r>
            <w:r w:rsidRPr="00C6052E">
              <w:rPr>
                <w:lang w:val="en-AU"/>
              </w:rPr>
              <w:t>asset</w:t>
            </w:r>
            <w:r w:rsidR="00177848" w:rsidRPr="00C6052E">
              <w:rPr>
                <w:lang w:val="en-AU"/>
              </w:rPr>
              <w:t xml:space="preserve"> </w:t>
            </w:r>
            <w:r w:rsidRPr="00C6052E">
              <w:rPr>
                <w:lang w:val="en-AU"/>
              </w:rPr>
              <w:t>revaluation</w:t>
            </w:r>
            <w:r w:rsidR="00177848" w:rsidRPr="00C6052E">
              <w:rPr>
                <w:lang w:val="en-AU"/>
              </w:rPr>
              <w:t xml:space="preserve"> </w:t>
            </w:r>
            <w:r w:rsidRPr="00C6052E">
              <w:rPr>
                <w:lang w:val="en-AU"/>
              </w:rPr>
              <w:t>surplus</w:t>
            </w:r>
          </w:p>
        </w:tc>
        <w:tc>
          <w:tcPr>
            <w:tcW w:w="1077" w:type="dxa"/>
            <w:noWrap/>
            <w:hideMark/>
          </w:tcPr>
          <w:p w14:paraId="0D71380D" w14:textId="77777777" w:rsidR="00EE5BB8" w:rsidRPr="00C6052E" w:rsidRDefault="00EE5BB8" w:rsidP="00BE3C43">
            <w:pPr>
              <w:pStyle w:val="Tabletext"/>
              <w:jc w:val="right"/>
              <w:rPr>
                <w:lang w:val="en-AU"/>
              </w:rPr>
            </w:pPr>
          </w:p>
        </w:tc>
        <w:tc>
          <w:tcPr>
            <w:tcW w:w="1304" w:type="dxa"/>
            <w:noWrap/>
            <w:hideMark/>
          </w:tcPr>
          <w:p w14:paraId="4B800744" w14:textId="77777777" w:rsidR="00EE5BB8" w:rsidRPr="00C6052E" w:rsidRDefault="00EE5BB8" w:rsidP="00BE3C43">
            <w:pPr>
              <w:pStyle w:val="TableCopy"/>
              <w:jc w:val="right"/>
              <w:rPr>
                <w:lang w:val="en-AU"/>
              </w:rPr>
            </w:pPr>
            <w:r w:rsidRPr="00C6052E">
              <w:rPr>
                <w:lang w:val="en-AU"/>
              </w:rPr>
              <w:t>(42,673)</w:t>
            </w:r>
          </w:p>
        </w:tc>
        <w:tc>
          <w:tcPr>
            <w:tcW w:w="1304" w:type="dxa"/>
            <w:noWrap/>
            <w:hideMark/>
          </w:tcPr>
          <w:p w14:paraId="09A38C8E" w14:textId="77777777" w:rsidR="00EE5BB8" w:rsidRPr="00C6052E" w:rsidRDefault="00EE5BB8" w:rsidP="00BE3C43">
            <w:pPr>
              <w:pStyle w:val="TableCopy"/>
              <w:jc w:val="right"/>
              <w:rPr>
                <w:lang w:val="en-AU"/>
              </w:rPr>
            </w:pPr>
            <w:r w:rsidRPr="00C6052E">
              <w:rPr>
                <w:lang w:val="en-AU"/>
              </w:rPr>
              <w:t>–</w:t>
            </w:r>
          </w:p>
        </w:tc>
      </w:tr>
      <w:tr w:rsidR="00EE5BB8" w:rsidRPr="00C6052E" w14:paraId="49CA8049" w14:textId="77777777" w:rsidTr="00BE3C43">
        <w:tc>
          <w:tcPr>
            <w:tcW w:w="5954" w:type="dxa"/>
            <w:hideMark/>
          </w:tcPr>
          <w:p w14:paraId="455FF322" w14:textId="445D5C7B" w:rsidR="00EE5BB8" w:rsidRPr="00C6052E" w:rsidRDefault="00EE5BB8" w:rsidP="00814D77">
            <w:pPr>
              <w:pStyle w:val="Tabletotal"/>
              <w:rPr>
                <w:lang w:val="en-AU"/>
              </w:rPr>
            </w:pPr>
            <w:r w:rsidRPr="00C6052E">
              <w:rPr>
                <w:lang w:val="en-AU"/>
              </w:rPr>
              <w:t>Total</w:t>
            </w:r>
            <w:r w:rsidR="00177848" w:rsidRPr="00C6052E">
              <w:rPr>
                <w:lang w:val="en-AU"/>
              </w:rPr>
              <w:t xml:space="preserve"> </w:t>
            </w:r>
            <w:r w:rsidRPr="00C6052E">
              <w:rPr>
                <w:lang w:val="en-AU"/>
              </w:rPr>
              <w:t>other</w:t>
            </w:r>
            <w:r w:rsidR="00177848" w:rsidRPr="00C6052E">
              <w:rPr>
                <w:lang w:val="en-AU"/>
              </w:rPr>
              <w:t xml:space="preserve"> </w:t>
            </w:r>
            <w:r w:rsidRPr="00C6052E">
              <w:rPr>
                <w:lang w:val="en-AU"/>
              </w:rPr>
              <w:t>economic</w:t>
            </w:r>
            <w:r w:rsidR="00177848" w:rsidRPr="00C6052E">
              <w:rPr>
                <w:lang w:val="en-AU"/>
              </w:rPr>
              <w:t xml:space="preserve"> </w:t>
            </w:r>
            <w:r w:rsidRPr="00C6052E">
              <w:rPr>
                <w:lang w:val="en-AU"/>
              </w:rPr>
              <w:t>flow</w:t>
            </w:r>
            <w:r w:rsidR="00177848" w:rsidRPr="00C6052E">
              <w:rPr>
                <w:lang w:val="en-AU"/>
              </w:rPr>
              <w:t xml:space="preserve"> </w:t>
            </w:r>
            <w:r w:rsidRPr="00C6052E">
              <w:rPr>
                <w:lang w:val="en-AU"/>
              </w:rPr>
              <w:t>–</w:t>
            </w:r>
            <w:r w:rsidR="00177848" w:rsidRPr="00C6052E">
              <w:rPr>
                <w:lang w:val="en-AU"/>
              </w:rPr>
              <w:t xml:space="preserve"> </w:t>
            </w:r>
            <w:r w:rsidRPr="00C6052E">
              <w:rPr>
                <w:lang w:val="en-AU"/>
              </w:rPr>
              <w:t>other</w:t>
            </w:r>
            <w:r w:rsidR="00177848" w:rsidRPr="00C6052E">
              <w:rPr>
                <w:lang w:val="en-AU"/>
              </w:rPr>
              <w:t xml:space="preserve"> </w:t>
            </w:r>
            <w:r w:rsidRPr="00C6052E">
              <w:rPr>
                <w:lang w:val="en-AU"/>
              </w:rPr>
              <w:t>comprehensive</w:t>
            </w:r>
            <w:r w:rsidR="00177848" w:rsidRPr="00C6052E">
              <w:rPr>
                <w:lang w:val="en-AU"/>
              </w:rPr>
              <w:t xml:space="preserve"> </w:t>
            </w:r>
            <w:r w:rsidRPr="00C6052E">
              <w:rPr>
                <w:lang w:val="en-AU"/>
              </w:rPr>
              <w:t>income</w:t>
            </w:r>
          </w:p>
        </w:tc>
        <w:tc>
          <w:tcPr>
            <w:tcW w:w="1077" w:type="dxa"/>
            <w:hideMark/>
          </w:tcPr>
          <w:p w14:paraId="0CFF26FD" w14:textId="77777777" w:rsidR="00EE5BB8" w:rsidRPr="00C6052E" w:rsidRDefault="00EE5BB8" w:rsidP="00814D77">
            <w:pPr>
              <w:pStyle w:val="Tabletotal"/>
              <w:jc w:val="right"/>
              <w:rPr>
                <w:lang w:val="en-AU"/>
              </w:rPr>
            </w:pPr>
            <w:r w:rsidRPr="00C6052E">
              <w:rPr>
                <w:lang w:val="en-AU"/>
              </w:rPr>
              <w:t>9.4</w:t>
            </w:r>
          </w:p>
        </w:tc>
        <w:tc>
          <w:tcPr>
            <w:tcW w:w="1304" w:type="dxa"/>
            <w:noWrap/>
            <w:hideMark/>
          </w:tcPr>
          <w:p w14:paraId="33875DE6" w14:textId="77777777" w:rsidR="00EE5BB8" w:rsidRPr="00C6052E" w:rsidRDefault="00EE5BB8" w:rsidP="00814D77">
            <w:pPr>
              <w:pStyle w:val="Tabletotal"/>
              <w:jc w:val="right"/>
              <w:rPr>
                <w:lang w:val="en-AU"/>
              </w:rPr>
            </w:pPr>
            <w:r w:rsidRPr="00C6052E">
              <w:rPr>
                <w:lang w:val="en-AU"/>
              </w:rPr>
              <w:t>(42,673)</w:t>
            </w:r>
          </w:p>
        </w:tc>
        <w:tc>
          <w:tcPr>
            <w:tcW w:w="1304" w:type="dxa"/>
            <w:noWrap/>
            <w:hideMark/>
          </w:tcPr>
          <w:p w14:paraId="6B2A1DEA" w14:textId="77777777" w:rsidR="00EE5BB8" w:rsidRPr="00C6052E" w:rsidRDefault="00EE5BB8" w:rsidP="00814D77">
            <w:pPr>
              <w:pStyle w:val="Tabletotal"/>
              <w:jc w:val="right"/>
              <w:rPr>
                <w:lang w:val="en-AU"/>
              </w:rPr>
            </w:pPr>
            <w:r w:rsidRPr="00C6052E">
              <w:rPr>
                <w:lang w:val="en-AU"/>
              </w:rPr>
              <w:t>–</w:t>
            </w:r>
          </w:p>
        </w:tc>
      </w:tr>
      <w:tr w:rsidR="00EE5BB8" w:rsidRPr="00C6052E" w14:paraId="2A4DAA9C" w14:textId="77777777" w:rsidTr="00BE3C43">
        <w:tc>
          <w:tcPr>
            <w:tcW w:w="5954" w:type="dxa"/>
            <w:hideMark/>
          </w:tcPr>
          <w:p w14:paraId="78A8481C" w14:textId="56E61BAE" w:rsidR="00EE5BB8" w:rsidRPr="00C6052E" w:rsidRDefault="00EE5BB8" w:rsidP="00814D77">
            <w:pPr>
              <w:pStyle w:val="Tabletotal"/>
              <w:rPr>
                <w:lang w:val="en-AU"/>
              </w:rPr>
            </w:pPr>
            <w:r w:rsidRPr="00C6052E">
              <w:rPr>
                <w:lang w:val="en-AU"/>
              </w:rPr>
              <w:t>Comprehensive</w:t>
            </w:r>
            <w:r w:rsidR="00177848" w:rsidRPr="00C6052E">
              <w:rPr>
                <w:lang w:val="en-AU"/>
              </w:rPr>
              <w:t xml:space="preserve"> </w:t>
            </w:r>
            <w:r w:rsidRPr="00C6052E">
              <w:rPr>
                <w:lang w:val="en-AU"/>
              </w:rPr>
              <w:t>result</w:t>
            </w:r>
          </w:p>
        </w:tc>
        <w:tc>
          <w:tcPr>
            <w:tcW w:w="1077" w:type="dxa"/>
            <w:hideMark/>
          </w:tcPr>
          <w:p w14:paraId="6AE340F9" w14:textId="77777777" w:rsidR="00EE5BB8" w:rsidRPr="00C6052E" w:rsidRDefault="00EE5BB8" w:rsidP="00814D77">
            <w:pPr>
              <w:pStyle w:val="Tabletotal"/>
              <w:jc w:val="right"/>
              <w:rPr>
                <w:lang w:val="en-AU"/>
              </w:rPr>
            </w:pPr>
          </w:p>
        </w:tc>
        <w:tc>
          <w:tcPr>
            <w:tcW w:w="1304" w:type="dxa"/>
            <w:noWrap/>
            <w:hideMark/>
          </w:tcPr>
          <w:p w14:paraId="2B407264" w14:textId="77777777" w:rsidR="00EE5BB8" w:rsidRPr="00C6052E" w:rsidRDefault="00EE5BB8" w:rsidP="00814D77">
            <w:pPr>
              <w:pStyle w:val="Tabletotal"/>
              <w:jc w:val="right"/>
              <w:rPr>
                <w:lang w:val="en-AU"/>
              </w:rPr>
            </w:pPr>
            <w:r w:rsidRPr="00C6052E">
              <w:rPr>
                <w:lang w:val="en-AU"/>
              </w:rPr>
              <w:t>153,960</w:t>
            </w:r>
          </w:p>
        </w:tc>
        <w:tc>
          <w:tcPr>
            <w:tcW w:w="1304" w:type="dxa"/>
            <w:noWrap/>
            <w:hideMark/>
          </w:tcPr>
          <w:p w14:paraId="62712963" w14:textId="77777777" w:rsidR="00EE5BB8" w:rsidRPr="00C6052E" w:rsidRDefault="00EE5BB8" w:rsidP="00814D77">
            <w:pPr>
              <w:pStyle w:val="Tabletotal"/>
              <w:jc w:val="right"/>
              <w:rPr>
                <w:lang w:val="en-AU"/>
              </w:rPr>
            </w:pPr>
            <w:r w:rsidRPr="00C6052E">
              <w:rPr>
                <w:lang w:val="en-AU"/>
              </w:rPr>
              <w:t>89,901</w:t>
            </w:r>
          </w:p>
        </w:tc>
      </w:tr>
    </w:tbl>
    <w:p w14:paraId="0096EEE1" w14:textId="0CA57324" w:rsidR="00EE5BB8" w:rsidRPr="00C6052E" w:rsidRDefault="00EE5BB8" w:rsidP="00814D77">
      <w:pPr>
        <w:pStyle w:val="Tablenotes"/>
        <w:ind w:left="0" w:firstLine="0"/>
      </w:pPr>
      <w:r w:rsidRPr="00C6052E">
        <w:t>The</w:t>
      </w:r>
      <w:r w:rsidR="00177848" w:rsidRPr="00C6052E">
        <w:t xml:space="preserve"> </w:t>
      </w:r>
      <w:r w:rsidRPr="00C6052E">
        <w:t>accompanying</w:t>
      </w:r>
      <w:r w:rsidR="00177848" w:rsidRPr="00C6052E">
        <w:t xml:space="preserve"> </w:t>
      </w:r>
      <w:r w:rsidRPr="00C6052E">
        <w:t>notes</w:t>
      </w:r>
      <w:r w:rsidR="00177848" w:rsidRPr="00C6052E">
        <w:t xml:space="preserve"> </w:t>
      </w:r>
      <w:r w:rsidRPr="00C6052E">
        <w:t>form</w:t>
      </w:r>
      <w:r w:rsidR="00177848" w:rsidRPr="00C6052E">
        <w:t xml:space="preserve"> </w:t>
      </w:r>
      <w:r w:rsidRPr="00C6052E">
        <w:t>part</w:t>
      </w:r>
      <w:r w:rsidR="00177848" w:rsidRPr="00C6052E">
        <w:t xml:space="preserve"> </w:t>
      </w:r>
      <w:r w:rsidRPr="00C6052E">
        <w:t>of</w:t>
      </w:r>
      <w:r w:rsidR="00177848" w:rsidRPr="00C6052E">
        <w:t xml:space="preserve"> </w:t>
      </w:r>
      <w:r w:rsidRPr="00C6052E">
        <w:t>these</w:t>
      </w:r>
      <w:r w:rsidR="00177848" w:rsidRPr="00C6052E">
        <w:t xml:space="preserve"> </w:t>
      </w:r>
      <w:r w:rsidRPr="00C6052E">
        <w:t>financial</w:t>
      </w:r>
      <w:r w:rsidR="00177848" w:rsidRPr="00C6052E">
        <w:t xml:space="preserve"> </w:t>
      </w:r>
      <w:r w:rsidRPr="00C6052E">
        <w:t>statements.</w:t>
      </w:r>
    </w:p>
    <w:p w14:paraId="3956D6CD" w14:textId="643F1C21" w:rsidR="00EE5BB8" w:rsidRPr="00C6052E" w:rsidRDefault="00EE5BB8" w:rsidP="00EE5BB8">
      <w:pPr>
        <w:pStyle w:val="Tablenotes-numbered"/>
        <w:numPr>
          <w:ilvl w:val="0"/>
          <w:numId w:val="15"/>
        </w:numPr>
      </w:pPr>
      <w:r w:rsidRPr="00C6052E">
        <w:t>This</w:t>
      </w:r>
      <w:r w:rsidR="00177848" w:rsidRPr="00C6052E">
        <w:t xml:space="preserve"> </w:t>
      </w:r>
      <w:r w:rsidRPr="00C6052E">
        <w:t>format</w:t>
      </w:r>
      <w:r w:rsidR="00177848" w:rsidRPr="00C6052E">
        <w:t xml:space="preserve"> </w:t>
      </w:r>
      <w:r w:rsidRPr="00C6052E">
        <w:t>is</w:t>
      </w:r>
      <w:r w:rsidR="00177848" w:rsidRPr="00C6052E">
        <w:t xml:space="preserve"> </w:t>
      </w:r>
      <w:r w:rsidRPr="00C6052E">
        <w:t>aligned</w:t>
      </w:r>
      <w:r w:rsidR="00177848" w:rsidRPr="00C6052E">
        <w:t xml:space="preserve"> </w:t>
      </w:r>
      <w:r w:rsidRPr="00C6052E">
        <w:t>to</w:t>
      </w:r>
      <w:r w:rsidR="00177848" w:rsidRPr="00C6052E">
        <w:t xml:space="preserve"> </w:t>
      </w:r>
      <w:r w:rsidRPr="00C6052E">
        <w:t>AASB</w:t>
      </w:r>
      <w:r w:rsidR="00177848" w:rsidRPr="00C6052E">
        <w:t xml:space="preserve"> </w:t>
      </w:r>
      <w:r w:rsidRPr="00C6052E">
        <w:t>1049</w:t>
      </w:r>
      <w:r w:rsidR="00177848" w:rsidRPr="00C6052E">
        <w:t xml:space="preserve"> </w:t>
      </w:r>
      <w:r w:rsidRPr="00C6052E">
        <w:t>Whole</w:t>
      </w:r>
      <w:r w:rsidR="00177848" w:rsidRPr="00C6052E">
        <w:t xml:space="preserve"> </w:t>
      </w:r>
      <w:r w:rsidRPr="00C6052E">
        <w:t>of</w:t>
      </w:r>
      <w:r w:rsidR="00177848" w:rsidRPr="00C6052E">
        <w:t xml:space="preserve"> </w:t>
      </w:r>
      <w:r w:rsidRPr="00C6052E">
        <w:t>Government</w:t>
      </w:r>
      <w:r w:rsidR="00177848" w:rsidRPr="00C6052E">
        <w:t xml:space="preserve"> </w:t>
      </w:r>
      <w:r w:rsidRPr="00C6052E">
        <w:t>and</w:t>
      </w:r>
      <w:r w:rsidR="00177848" w:rsidRPr="00C6052E">
        <w:t xml:space="preserve"> </w:t>
      </w:r>
      <w:r w:rsidRPr="00C6052E">
        <w:t>General</w:t>
      </w:r>
      <w:r w:rsidR="00177848" w:rsidRPr="00C6052E">
        <w:t xml:space="preserve"> </w:t>
      </w:r>
      <w:r w:rsidRPr="00C6052E">
        <w:t>Government</w:t>
      </w:r>
      <w:r w:rsidR="00177848" w:rsidRPr="00C6052E">
        <w:t xml:space="preserve"> </w:t>
      </w:r>
      <w:r w:rsidRPr="00C6052E">
        <w:t>Sector</w:t>
      </w:r>
      <w:r w:rsidR="00177848" w:rsidRPr="00C6052E">
        <w:t xml:space="preserve"> </w:t>
      </w:r>
      <w:r w:rsidRPr="00C6052E">
        <w:t>Financial</w:t>
      </w:r>
      <w:r w:rsidR="00177848" w:rsidRPr="00C6052E">
        <w:t xml:space="preserve"> </w:t>
      </w:r>
      <w:r w:rsidRPr="00C6052E">
        <w:t>Reporting.</w:t>
      </w:r>
    </w:p>
    <w:p w14:paraId="537B3EA1" w14:textId="77777777" w:rsidR="00EE5BB8" w:rsidRPr="00C6052E" w:rsidRDefault="00EE5BB8" w:rsidP="00EE5BB8">
      <w:bookmarkStart w:id="36" w:name="_Toc163565935"/>
      <w:bookmarkStart w:id="37" w:name="_Toc207622401"/>
      <w:bookmarkStart w:id="38" w:name="_Ref209092482"/>
      <w:bookmarkStart w:id="39" w:name="_Ref209092509"/>
      <w:r w:rsidRPr="00C6052E">
        <w:br w:type="page"/>
      </w:r>
    </w:p>
    <w:p w14:paraId="3A1E88B8" w14:textId="553F77A1" w:rsidR="00EE5BB8" w:rsidRDefault="00EE5BB8" w:rsidP="00E02B91">
      <w:pPr>
        <w:pStyle w:val="Heading2"/>
        <w:spacing w:after="120"/>
      </w:pPr>
      <w:bookmarkStart w:id="40" w:name="Balance_Sheet"/>
      <w:bookmarkStart w:id="41" w:name="_Ref209625845"/>
      <w:bookmarkStart w:id="42" w:name="_Toc213852181"/>
      <w:bookmarkStart w:id="43" w:name="_Toc214375519"/>
      <w:bookmarkStart w:id="44" w:name="_Toc214618232"/>
      <w:r w:rsidRPr="00C6052E">
        <w:lastRenderedPageBreak/>
        <w:t>Balance</w:t>
      </w:r>
      <w:r w:rsidR="00177848" w:rsidRPr="00C6052E">
        <w:t xml:space="preserve"> </w:t>
      </w:r>
      <w:r w:rsidRPr="00C6052E">
        <w:t>sheet</w:t>
      </w:r>
      <w:r w:rsidR="00177848" w:rsidRPr="00C6052E">
        <w:t xml:space="preserve"> </w:t>
      </w:r>
      <w:r w:rsidRPr="00C6052E">
        <w:t>as</w:t>
      </w:r>
      <w:r w:rsidR="00177848" w:rsidRPr="00C6052E">
        <w:t xml:space="preserve"> </w:t>
      </w:r>
      <w:r w:rsidRPr="00C6052E">
        <w:t>at</w:t>
      </w:r>
      <w:r w:rsidR="00177848" w:rsidRPr="00C6052E">
        <w:t xml:space="preserve"> </w:t>
      </w:r>
      <w:fldSimple w:instr=" DOCPROPERTY  pEnd_A  \* MERGEFORMAT ">
        <w:r w:rsidRPr="00C6052E">
          <w:t>30</w:t>
        </w:r>
        <w:r w:rsidR="00177848" w:rsidRPr="00C6052E">
          <w:t xml:space="preserve"> </w:t>
        </w:r>
        <w:r w:rsidRPr="00C6052E">
          <w:t>June</w:t>
        </w:r>
      </w:fldSimple>
      <w:r w:rsidR="00177848" w:rsidRPr="00C6052E">
        <w:t xml:space="preserve"> </w:t>
      </w:r>
      <w:fldSimple w:instr=" DOCPROPERTY  crYear  \* MERGEFORMAT ">
        <w:r w:rsidRPr="00C6052E">
          <w:t>2025</w:t>
        </w:r>
      </w:fldSimple>
      <w:bookmarkEnd w:id="40"/>
      <w:r w:rsidRPr="00C6052E">
        <w:rPr>
          <w:vertAlign w:val="superscript"/>
        </w:rPr>
        <w:t>(i)</w:t>
      </w:r>
      <w:bookmarkEnd w:id="36"/>
      <w:bookmarkEnd w:id="37"/>
      <w:bookmarkEnd w:id="38"/>
      <w:bookmarkEnd w:id="39"/>
      <w:bookmarkEnd w:id="41"/>
      <w:bookmarkEnd w:id="42"/>
      <w:bookmarkEnd w:id="43"/>
      <w:bookmarkEnd w:id="44"/>
    </w:p>
    <w:p w14:paraId="0BFC8244" w14:textId="77777777" w:rsidR="00E02B91" w:rsidRPr="00E02B91" w:rsidRDefault="00E02B91" w:rsidP="00E02B91">
      <w:pPr>
        <w:pStyle w:val="Normalbeforebullets"/>
        <w:rPr>
          <w:b/>
          <w:bCs/>
        </w:rPr>
      </w:pPr>
      <w:r w:rsidRPr="00E02B91">
        <w:rPr>
          <w:b/>
          <w:bCs/>
        </w:rPr>
        <w:t>($ thousand)</w:t>
      </w:r>
    </w:p>
    <w:tbl>
      <w:tblPr>
        <w:tblStyle w:val="TableGrid"/>
        <w:tblW w:w="9639" w:type="dxa"/>
        <w:tblInd w:w="-5" w:type="dxa"/>
        <w:tblLayout w:type="fixed"/>
        <w:tblLook w:val="04E0" w:firstRow="1" w:lastRow="1" w:firstColumn="1" w:lastColumn="0" w:noHBand="0" w:noVBand="1"/>
      </w:tblPr>
      <w:tblGrid>
        <w:gridCol w:w="5812"/>
        <w:gridCol w:w="1077"/>
        <w:gridCol w:w="1375"/>
        <w:gridCol w:w="1375"/>
      </w:tblGrid>
      <w:tr w:rsidR="00EE5BB8" w:rsidRPr="00C6052E" w14:paraId="589B2A4E" w14:textId="77777777" w:rsidTr="00A05778">
        <w:trPr>
          <w:tblHeader/>
        </w:trPr>
        <w:tc>
          <w:tcPr>
            <w:tcW w:w="5812" w:type="dxa"/>
            <w:noWrap/>
          </w:tcPr>
          <w:p w14:paraId="4BABB85E" w14:textId="77777777" w:rsidR="00EE5BB8" w:rsidRPr="00C6052E" w:rsidRDefault="00EE5BB8" w:rsidP="00A05778">
            <w:pPr>
              <w:pStyle w:val="TableColumnHeading"/>
              <w:rPr>
                <w:lang w:val="en-AU"/>
              </w:rPr>
            </w:pPr>
            <w:bookmarkStart w:id="45" w:name="TableColumnHeadings_40"/>
            <w:bookmarkEnd w:id="45"/>
          </w:p>
        </w:tc>
        <w:tc>
          <w:tcPr>
            <w:tcW w:w="1077" w:type="dxa"/>
            <w:hideMark/>
          </w:tcPr>
          <w:p w14:paraId="15CCC19F" w14:textId="77777777" w:rsidR="00EE5BB8" w:rsidRPr="00C6052E" w:rsidRDefault="00EE5BB8" w:rsidP="00A05778">
            <w:pPr>
              <w:pStyle w:val="TableColumnHeading"/>
              <w:jc w:val="right"/>
              <w:rPr>
                <w:lang w:val="en-AU"/>
              </w:rPr>
            </w:pPr>
            <w:r w:rsidRPr="00C6052E">
              <w:rPr>
                <w:lang w:val="en-AU"/>
              </w:rPr>
              <w:t>Note</w:t>
            </w:r>
          </w:p>
        </w:tc>
        <w:tc>
          <w:tcPr>
            <w:tcW w:w="1375" w:type="dxa"/>
            <w:hideMark/>
          </w:tcPr>
          <w:p w14:paraId="6B2CB193" w14:textId="77777777" w:rsidR="00EE5BB8" w:rsidRPr="00C6052E" w:rsidRDefault="00EE5BB8" w:rsidP="00A05778">
            <w:pPr>
              <w:pStyle w:val="TableColumnHeading"/>
              <w:jc w:val="right"/>
              <w:rPr>
                <w:lang w:val="en-AU"/>
              </w:rPr>
            </w:pPr>
            <w:r w:rsidRPr="00C6052E">
              <w:rPr>
                <w:lang w:val="en-AU"/>
              </w:rPr>
              <w:t>2025</w:t>
            </w:r>
          </w:p>
        </w:tc>
        <w:tc>
          <w:tcPr>
            <w:tcW w:w="1375" w:type="dxa"/>
            <w:hideMark/>
          </w:tcPr>
          <w:p w14:paraId="2CA532D0" w14:textId="77777777" w:rsidR="00EE5BB8" w:rsidRPr="00C6052E" w:rsidRDefault="00EE5BB8" w:rsidP="00A05778">
            <w:pPr>
              <w:pStyle w:val="TableColumnHeading"/>
              <w:jc w:val="right"/>
              <w:rPr>
                <w:lang w:val="en-AU"/>
              </w:rPr>
            </w:pPr>
            <w:r w:rsidRPr="00C6052E">
              <w:rPr>
                <w:lang w:val="en-AU"/>
              </w:rPr>
              <w:t>2024</w:t>
            </w:r>
          </w:p>
        </w:tc>
      </w:tr>
      <w:tr w:rsidR="00A05778" w:rsidRPr="00C6052E" w14:paraId="352E7DE7" w14:textId="77777777" w:rsidTr="00A05778">
        <w:tc>
          <w:tcPr>
            <w:tcW w:w="5812" w:type="dxa"/>
          </w:tcPr>
          <w:p w14:paraId="0608BBB1" w14:textId="54256B30" w:rsidR="00A05778" w:rsidRPr="00C6052E" w:rsidRDefault="00A05778" w:rsidP="0035674B">
            <w:pPr>
              <w:pStyle w:val="TableHeading"/>
              <w:rPr>
                <w:lang w:val="en-AU"/>
              </w:rPr>
            </w:pPr>
            <w:r w:rsidRPr="00C6052E">
              <w:rPr>
                <w:lang w:val="en-AU"/>
              </w:rPr>
              <w:t>Assets</w:t>
            </w:r>
          </w:p>
        </w:tc>
        <w:tc>
          <w:tcPr>
            <w:tcW w:w="1077" w:type="dxa"/>
            <w:noWrap/>
          </w:tcPr>
          <w:p w14:paraId="18153405" w14:textId="77777777" w:rsidR="00A05778" w:rsidRPr="00C6052E" w:rsidRDefault="00A05778" w:rsidP="00A05778">
            <w:pPr>
              <w:pStyle w:val="TableHeading"/>
              <w:jc w:val="right"/>
              <w:rPr>
                <w:lang w:val="en-AU"/>
              </w:rPr>
            </w:pPr>
          </w:p>
        </w:tc>
        <w:tc>
          <w:tcPr>
            <w:tcW w:w="1375" w:type="dxa"/>
            <w:noWrap/>
          </w:tcPr>
          <w:p w14:paraId="00795892" w14:textId="77777777" w:rsidR="00A05778" w:rsidRPr="00C6052E" w:rsidRDefault="00A05778" w:rsidP="00A05778">
            <w:pPr>
              <w:pStyle w:val="TableHeading"/>
              <w:jc w:val="right"/>
              <w:rPr>
                <w:lang w:val="en-AU"/>
              </w:rPr>
            </w:pPr>
          </w:p>
        </w:tc>
        <w:tc>
          <w:tcPr>
            <w:tcW w:w="1375" w:type="dxa"/>
            <w:noWrap/>
          </w:tcPr>
          <w:p w14:paraId="4A4787B8" w14:textId="77777777" w:rsidR="00A05778" w:rsidRPr="00C6052E" w:rsidRDefault="00A05778" w:rsidP="00A05778">
            <w:pPr>
              <w:pStyle w:val="TableHeading"/>
              <w:jc w:val="right"/>
              <w:rPr>
                <w:lang w:val="en-AU"/>
              </w:rPr>
            </w:pPr>
          </w:p>
        </w:tc>
      </w:tr>
      <w:tr w:rsidR="00A05778" w:rsidRPr="00C6052E" w14:paraId="379ED853" w14:textId="77777777" w:rsidTr="00A05778">
        <w:tc>
          <w:tcPr>
            <w:tcW w:w="5812" w:type="dxa"/>
          </w:tcPr>
          <w:p w14:paraId="609942A5" w14:textId="06868D1E" w:rsidR="00A05778" w:rsidRPr="00C6052E" w:rsidRDefault="00A05778" w:rsidP="00A05778">
            <w:pPr>
              <w:pStyle w:val="TableHeading"/>
              <w:rPr>
                <w:lang w:val="en-AU"/>
              </w:rPr>
            </w:pPr>
            <w:r w:rsidRPr="00C6052E">
              <w:rPr>
                <w:lang w:val="en-AU"/>
              </w:rPr>
              <w:t>Financial assets</w:t>
            </w:r>
          </w:p>
        </w:tc>
        <w:tc>
          <w:tcPr>
            <w:tcW w:w="1077" w:type="dxa"/>
            <w:noWrap/>
          </w:tcPr>
          <w:p w14:paraId="729E9C8A" w14:textId="77777777" w:rsidR="00A05778" w:rsidRPr="00C6052E" w:rsidRDefault="00A05778" w:rsidP="00A05778">
            <w:pPr>
              <w:pStyle w:val="TableHeading"/>
              <w:jc w:val="right"/>
              <w:rPr>
                <w:lang w:val="en-AU"/>
              </w:rPr>
            </w:pPr>
          </w:p>
        </w:tc>
        <w:tc>
          <w:tcPr>
            <w:tcW w:w="1375" w:type="dxa"/>
            <w:noWrap/>
          </w:tcPr>
          <w:p w14:paraId="49E849DA" w14:textId="77777777" w:rsidR="00A05778" w:rsidRPr="00C6052E" w:rsidRDefault="00A05778" w:rsidP="00A05778">
            <w:pPr>
              <w:pStyle w:val="TableHeading"/>
              <w:jc w:val="right"/>
              <w:rPr>
                <w:lang w:val="en-AU"/>
              </w:rPr>
            </w:pPr>
          </w:p>
        </w:tc>
        <w:tc>
          <w:tcPr>
            <w:tcW w:w="1375" w:type="dxa"/>
            <w:noWrap/>
          </w:tcPr>
          <w:p w14:paraId="6F660370" w14:textId="77777777" w:rsidR="00A05778" w:rsidRPr="00C6052E" w:rsidRDefault="00A05778" w:rsidP="00A05778">
            <w:pPr>
              <w:pStyle w:val="TableHeading"/>
              <w:jc w:val="right"/>
              <w:rPr>
                <w:lang w:val="en-AU"/>
              </w:rPr>
            </w:pPr>
          </w:p>
        </w:tc>
      </w:tr>
      <w:tr w:rsidR="00EE5BB8" w:rsidRPr="00C6052E" w14:paraId="0A363BD0" w14:textId="77777777" w:rsidTr="00A05778">
        <w:tc>
          <w:tcPr>
            <w:tcW w:w="5812" w:type="dxa"/>
            <w:hideMark/>
          </w:tcPr>
          <w:p w14:paraId="7FAEB5B8" w14:textId="543EEA8D" w:rsidR="00EE5BB8" w:rsidRPr="00C6052E" w:rsidRDefault="00EE5BB8" w:rsidP="0063097D">
            <w:pPr>
              <w:pStyle w:val="TableCopy"/>
              <w:rPr>
                <w:lang w:val="en-AU"/>
              </w:rPr>
            </w:pPr>
            <w:r w:rsidRPr="00C6052E">
              <w:rPr>
                <w:lang w:val="en-AU"/>
              </w:rPr>
              <w:t>Cash</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cash</w:t>
            </w:r>
            <w:r w:rsidR="00177848" w:rsidRPr="00C6052E">
              <w:rPr>
                <w:lang w:val="en-AU"/>
              </w:rPr>
              <w:t xml:space="preserve"> </w:t>
            </w:r>
            <w:r w:rsidRPr="00C6052E">
              <w:rPr>
                <w:lang w:val="en-AU"/>
              </w:rPr>
              <w:t>equivalents</w:t>
            </w:r>
            <w:r w:rsidR="00177848" w:rsidRPr="00C6052E">
              <w:rPr>
                <w:lang w:val="en-AU"/>
              </w:rPr>
              <w:t xml:space="preserve"> </w:t>
            </w:r>
          </w:p>
        </w:tc>
        <w:tc>
          <w:tcPr>
            <w:tcW w:w="1077" w:type="dxa"/>
            <w:noWrap/>
            <w:hideMark/>
          </w:tcPr>
          <w:p w14:paraId="6C7E4EF3" w14:textId="77777777" w:rsidR="00EE5BB8" w:rsidRPr="00C6052E" w:rsidRDefault="00EE5BB8" w:rsidP="00A05778">
            <w:pPr>
              <w:pStyle w:val="TableCopy"/>
              <w:jc w:val="right"/>
              <w:rPr>
                <w:lang w:val="en-AU"/>
              </w:rPr>
            </w:pPr>
            <w:r w:rsidRPr="00C6052E">
              <w:rPr>
                <w:lang w:val="en-AU"/>
              </w:rPr>
              <w:t>7.3.1</w:t>
            </w:r>
          </w:p>
        </w:tc>
        <w:tc>
          <w:tcPr>
            <w:tcW w:w="1375" w:type="dxa"/>
            <w:noWrap/>
            <w:hideMark/>
          </w:tcPr>
          <w:p w14:paraId="44A7AAE6" w14:textId="77777777" w:rsidR="00EE5BB8" w:rsidRPr="00C6052E" w:rsidRDefault="00EE5BB8" w:rsidP="00A05778">
            <w:pPr>
              <w:pStyle w:val="TableCopy"/>
              <w:jc w:val="right"/>
              <w:rPr>
                <w:lang w:val="en-AU"/>
              </w:rPr>
            </w:pPr>
            <w:r w:rsidRPr="00C6052E">
              <w:rPr>
                <w:lang w:val="en-AU"/>
              </w:rPr>
              <w:t>229,565</w:t>
            </w:r>
          </w:p>
        </w:tc>
        <w:tc>
          <w:tcPr>
            <w:tcW w:w="1375" w:type="dxa"/>
            <w:noWrap/>
            <w:hideMark/>
          </w:tcPr>
          <w:p w14:paraId="6F5425AC" w14:textId="77777777" w:rsidR="00EE5BB8" w:rsidRPr="00C6052E" w:rsidRDefault="00EE5BB8" w:rsidP="00A05778">
            <w:pPr>
              <w:pStyle w:val="TableCopy"/>
              <w:jc w:val="right"/>
              <w:rPr>
                <w:lang w:val="en-AU"/>
              </w:rPr>
            </w:pPr>
            <w:r w:rsidRPr="00C6052E">
              <w:rPr>
                <w:lang w:val="en-AU"/>
              </w:rPr>
              <w:t>271,311</w:t>
            </w:r>
          </w:p>
        </w:tc>
      </w:tr>
      <w:tr w:rsidR="00EE5BB8" w:rsidRPr="00C6052E" w14:paraId="474CD189" w14:textId="77777777" w:rsidTr="00A05778">
        <w:tc>
          <w:tcPr>
            <w:tcW w:w="5812" w:type="dxa"/>
            <w:hideMark/>
          </w:tcPr>
          <w:p w14:paraId="5DA145A5" w14:textId="32D37DD3" w:rsidR="00EE5BB8" w:rsidRPr="00C6052E" w:rsidRDefault="00EE5BB8" w:rsidP="0063097D">
            <w:pPr>
              <w:pStyle w:val="TableCopy"/>
              <w:rPr>
                <w:lang w:val="en-AU"/>
              </w:rPr>
            </w:pPr>
            <w:r w:rsidRPr="00C6052E">
              <w:rPr>
                <w:lang w:val="en-AU"/>
              </w:rPr>
              <w:t>Receivables</w:t>
            </w:r>
            <w:r w:rsidR="00177848" w:rsidRPr="00C6052E">
              <w:rPr>
                <w:lang w:val="en-AU"/>
              </w:rPr>
              <w:t xml:space="preserve"> </w:t>
            </w:r>
          </w:p>
        </w:tc>
        <w:tc>
          <w:tcPr>
            <w:tcW w:w="1077" w:type="dxa"/>
            <w:noWrap/>
            <w:hideMark/>
          </w:tcPr>
          <w:p w14:paraId="0EF9B5CB" w14:textId="77777777" w:rsidR="00EE5BB8" w:rsidRPr="00C6052E" w:rsidRDefault="00EE5BB8" w:rsidP="00A05778">
            <w:pPr>
              <w:pStyle w:val="TableCopy"/>
              <w:jc w:val="right"/>
              <w:rPr>
                <w:lang w:val="en-AU"/>
              </w:rPr>
            </w:pPr>
            <w:r w:rsidRPr="00C6052E">
              <w:rPr>
                <w:lang w:val="en-AU"/>
              </w:rPr>
              <w:t>6.1</w:t>
            </w:r>
          </w:p>
        </w:tc>
        <w:tc>
          <w:tcPr>
            <w:tcW w:w="1375" w:type="dxa"/>
            <w:noWrap/>
            <w:hideMark/>
          </w:tcPr>
          <w:p w14:paraId="1CBFE0F9" w14:textId="77777777" w:rsidR="00EE5BB8" w:rsidRPr="00C6052E" w:rsidRDefault="00EE5BB8" w:rsidP="00A05778">
            <w:pPr>
              <w:pStyle w:val="TableCopy"/>
              <w:jc w:val="right"/>
              <w:rPr>
                <w:lang w:val="en-AU"/>
              </w:rPr>
            </w:pPr>
            <w:r w:rsidRPr="00C6052E">
              <w:rPr>
                <w:lang w:val="en-AU"/>
              </w:rPr>
              <w:t>562,018</w:t>
            </w:r>
          </w:p>
        </w:tc>
        <w:tc>
          <w:tcPr>
            <w:tcW w:w="1375" w:type="dxa"/>
            <w:noWrap/>
            <w:hideMark/>
          </w:tcPr>
          <w:p w14:paraId="08267B17" w14:textId="77777777" w:rsidR="00EE5BB8" w:rsidRPr="00C6052E" w:rsidRDefault="00EE5BB8" w:rsidP="00A05778">
            <w:pPr>
              <w:pStyle w:val="TableCopy"/>
              <w:jc w:val="right"/>
              <w:rPr>
                <w:lang w:val="en-AU"/>
              </w:rPr>
            </w:pPr>
            <w:r w:rsidRPr="00C6052E">
              <w:rPr>
                <w:lang w:val="en-AU"/>
              </w:rPr>
              <w:t>778,357</w:t>
            </w:r>
          </w:p>
        </w:tc>
      </w:tr>
      <w:tr w:rsidR="00EE5BB8" w:rsidRPr="00C6052E" w14:paraId="17FBEA51" w14:textId="77777777" w:rsidTr="00A05778">
        <w:tc>
          <w:tcPr>
            <w:tcW w:w="5812" w:type="dxa"/>
            <w:hideMark/>
          </w:tcPr>
          <w:p w14:paraId="690F46BD" w14:textId="6392A341" w:rsidR="00EE5BB8" w:rsidRPr="00C6052E" w:rsidRDefault="00EE5BB8" w:rsidP="0063097D">
            <w:pPr>
              <w:pStyle w:val="TableCopy"/>
              <w:rPr>
                <w:lang w:val="en-AU"/>
              </w:rPr>
            </w:pPr>
            <w:r w:rsidRPr="00C6052E">
              <w:rPr>
                <w:lang w:val="en-AU"/>
              </w:rPr>
              <w:t>Investments</w:t>
            </w:r>
            <w:r w:rsidR="00177848" w:rsidRPr="00C6052E">
              <w:rPr>
                <w:lang w:val="en-AU"/>
              </w:rPr>
              <w:t xml:space="preserve"> </w:t>
            </w:r>
          </w:p>
        </w:tc>
        <w:tc>
          <w:tcPr>
            <w:tcW w:w="1077" w:type="dxa"/>
            <w:noWrap/>
            <w:hideMark/>
          </w:tcPr>
          <w:p w14:paraId="0A19B5ED" w14:textId="77777777" w:rsidR="00EE5BB8" w:rsidRPr="00C6052E" w:rsidRDefault="00EE5BB8" w:rsidP="00A05778">
            <w:pPr>
              <w:pStyle w:val="Tabletext"/>
              <w:jc w:val="right"/>
              <w:rPr>
                <w:lang w:val="en-AU"/>
              </w:rPr>
            </w:pPr>
          </w:p>
        </w:tc>
        <w:tc>
          <w:tcPr>
            <w:tcW w:w="1375" w:type="dxa"/>
            <w:noWrap/>
            <w:hideMark/>
          </w:tcPr>
          <w:p w14:paraId="176502D7" w14:textId="77777777" w:rsidR="00EE5BB8" w:rsidRPr="00C6052E" w:rsidRDefault="00EE5BB8" w:rsidP="00A05778">
            <w:pPr>
              <w:pStyle w:val="TableCopy"/>
              <w:jc w:val="right"/>
              <w:rPr>
                <w:lang w:val="en-AU"/>
              </w:rPr>
            </w:pPr>
            <w:r w:rsidRPr="00C6052E">
              <w:rPr>
                <w:lang w:val="en-AU"/>
              </w:rPr>
              <w:t>6,261</w:t>
            </w:r>
          </w:p>
        </w:tc>
        <w:tc>
          <w:tcPr>
            <w:tcW w:w="1375" w:type="dxa"/>
            <w:noWrap/>
            <w:hideMark/>
          </w:tcPr>
          <w:p w14:paraId="192ABF5C" w14:textId="77777777" w:rsidR="00EE5BB8" w:rsidRPr="00C6052E" w:rsidRDefault="00EE5BB8" w:rsidP="00A05778">
            <w:pPr>
              <w:pStyle w:val="TableCopy"/>
              <w:jc w:val="right"/>
              <w:rPr>
                <w:lang w:val="en-AU"/>
              </w:rPr>
            </w:pPr>
            <w:r w:rsidRPr="00C6052E">
              <w:rPr>
                <w:lang w:val="en-AU"/>
              </w:rPr>
              <w:t>4,761</w:t>
            </w:r>
          </w:p>
        </w:tc>
      </w:tr>
      <w:tr w:rsidR="00EE5BB8" w:rsidRPr="00C6052E" w14:paraId="6DD178ED" w14:textId="77777777" w:rsidTr="00A05778">
        <w:tc>
          <w:tcPr>
            <w:tcW w:w="5812" w:type="dxa"/>
            <w:hideMark/>
          </w:tcPr>
          <w:p w14:paraId="3658DA40" w14:textId="279DE71D" w:rsidR="00EE5BB8" w:rsidRPr="00C6052E" w:rsidRDefault="00EE5BB8" w:rsidP="00814D77">
            <w:pPr>
              <w:pStyle w:val="Tabletotal"/>
              <w:rPr>
                <w:lang w:val="en-AU"/>
              </w:rPr>
            </w:pPr>
            <w:r w:rsidRPr="00C6052E">
              <w:rPr>
                <w:lang w:val="en-AU"/>
              </w:rPr>
              <w:t>Total</w:t>
            </w:r>
            <w:r w:rsidR="00177848" w:rsidRPr="00C6052E">
              <w:rPr>
                <w:lang w:val="en-AU"/>
              </w:rPr>
              <w:t xml:space="preserve"> </w:t>
            </w:r>
            <w:r w:rsidRPr="00C6052E">
              <w:rPr>
                <w:lang w:val="en-AU"/>
              </w:rPr>
              <w:t>financial</w:t>
            </w:r>
            <w:r w:rsidR="00177848" w:rsidRPr="00C6052E">
              <w:rPr>
                <w:lang w:val="en-AU"/>
              </w:rPr>
              <w:t xml:space="preserve"> </w:t>
            </w:r>
            <w:r w:rsidRPr="00C6052E">
              <w:rPr>
                <w:lang w:val="en-AU"/>
              </w:rPr>
              <w:t>assets</w:t>
            </w:r>
          </w:p>
        </w:tc>
        <w:tc>
          <w:tcPr>
            <w:tcW w:w="1077" w:type="dxa"/>
            <w:hideMark/>
          </w:tcPr>
          <w:p w14:paraId="09B9A544" w14:textId="77777777" w:rsidR="00EE5BB8" w:rsidRPr="00C6052E" w:rsidRDefault="00EE5BB8" w:rsidP="00814D77">
            <w:pPr>
              <w:pStyle w:val="Tabletotal"/>
              <w:jc w:val="right"/>
              <w:rPr>
                <w:lang w:val="en-AU"/>
              </w:rPr>
            </w:pPr>
          </w:p>
        </w:tc>
        <w:tc>
          <w:tcPr>
            <w:tcW w:w="1375" w:type="dxa"/>
            <w:noWrap/>
            <w:hideMark/>
          </w:tcPr>
          <w:p w14:paraId="3205D747" w14:textId="77777777" w:rsidR="00EE5BB8" w:rsidRPr="00C6052E" w:rsidRDefault="00EE5BB8" w:rsidP="00814D77">
            <w:pPr>
              <w:pStyle w:val="Tabletotal"/>
              <w:jc w:val="right"/>
              <w:rPr>
                <w:lang w:val="en-AU"/>
              </w:rPr>
            </w:pPr>
            <w:r w:rsidRPr="00C6052E">
              <w:rPr>
                <w:lang w:val="en-AU"/>
              </w:rPr>
              <w:t>797,844</w:t>
            </w:r>
          </w:p>
        </w:tc>
        <w:tc>
          <w:tcPr>
            <w:tcW w:w="1375" w:type="dxa"/>
            <w:noWrap/>
            <w:hideMark/>
          </w:tcPr>
          <w:p w14:paraId="252093C3" w14:textId="77777777" w:rsidR="00EE5BB8" w:rsidRPr="00C6052E" w:rsidRDefault="00EE5BB8" w:rsidP="00814D77">
            <w:pPr>
              <w:pStyle w:val="Tabletotal"/>
              <w:jc w:val="right"/>
              <w:rPr>
                <w:lang w:val="en-AU"/>
              </w:rPr>
            </w:pPr>
            <w:r w:rsidRPr="00C6052E">
              <w:rPr>
                <w:lang w:val="en-AU"/>
              </w:rPr>
              <w:t>1,054,429</w:t>
            </w:r>
          </w:p>
        </w:tc>
      </w:tr>
      <w:tr w:rsidR="00A05778" w:rsidRPr="00C6052E" w14:paraId="58D57FE7" w14:textId="77777777" w:rsidTr="00A05778">
        <w:tc>
          <w:tcPr>
            <w:tcW w:w="5812" w:type="dxa"/>
          </w:tcPr>
          <w:p w14:paraId="5AB379B3" w14:textId="08F5957B" w:rsidR="00A05778" w:rsidRPr="00C6052E" w:rsidRDefault="00A05778" w:rsidP="0002684E">
            <w:pPr>
              <w:pStyle w:val="TableHeading"/>
              <w:rPr>
                <w:lang w:val="en-AU"/>
              </w:rPr>
            </w:pPr>
            <w:r w:rsidRPr="00C6052E">
              <w:rPr>
                <w:lang w:val="en-AU"/>
              </w:rPr>
              <w:t>Non-financial assets</w:t>
            </w:r>
          </w:p>
        </w:tc>
        <w:tc>
          <w:tcPr>
            <w:tcW w:w="1077" w:type="dxa"/>
            <w:noWrap/>
          </w:tcPr>
          <w:p w14:paraId="3250ABD5" w14:textId="77777777" w:rsidR="00A05778" w:rsidRPr="00C6052E" w:rsidRDefault="00A05778" w:rsidP="00A05778">
            <w:pPr>
              <w:pStyle w:val="TableHeading"/>
              <w:jc w:val="right"/>
              <w:rPr>
                <w:lang w:val="en-AU"/>
              </w:rPr>
            </w:pPr>
          </w:p>
        </w:tc>
        <w:tc>
          <w:tcPr>
            <w:tcW w:w="1375" w:type="dxa"/>
            <w:noWrap/>
          </w:tcPr>
          <w:p w14:paraId="5BDCE21E" w14:textId="77777777" w:rsidR="00A05778" w:rsidRPr="00C6052E" w:rsidRDefault="00A05778" w:rsidP="00A05778">
            <w:pPr>
              <w:pStyle w:val="TableHeading"/>
              <w:jc w:val="right"/>
              <w:rPr>
                <w:lang w:val="en-AU"/>
              </w:rPr>
            </w:pPr>
          </w:p>
        </w:tc>
        <w:tc>
          <w:tcPr>
            <w:tcW w:w="1375" w:type="dxa"/>
            <w:noWrap/>
          </w:tcPr>
          <w:p w14:paraId="43DB8DA3" w14:textId="77777777" w:rsidR="00A05778" w:rsidRPr="00C6052E" w:rsidRDefault="00A05778" w:rsidP="00A05778">
            <w:pPr>
              <w:pStyle w:val="TableHeading"/>
              <w:jc w:val="right"/>
              <w:rPr>
                <w:lang w:val="en-AU"/>
              </w:rPr>
            </w:pPr>
          </w:p>
        </w:tc>
      </w:tr>
      <w:tr w:rsidR="00EE5BB8" w:rsidRPr="00C6052E" w14:paraId="35558357" w14:textId="77777777" w:rsidTr="00A05778">
        <w:tc>
          <w:tcPr>
            <w:tcW w:w="5812" w:type="dxa"/>
            <w:hideMark/>
          </w:tcPr>
          <w:p w14:paraId="73C369F8" w14:textId="54FA378A" w:rsidR="00EE5BB8" w:rsidRPr="00C6052E" w:rsidRDefault="00EE5BB8" w:rsidP="0063097D">
            <w:pPr>
              <w:pStyle w:val="TableCopy"/>
              <w:rPr>
                <w:lang w:val="en-AU"/>
              </w:rPr>
            </w:pPr>
            <w:r w:rsidRPr="00C6052E">
              <w:rPr>
                <w:lang w:val="en-AU"/>
              </w:rPr>
              <w:t>Other</w:t>
            </w:r>
            <w:r w:rsidR="00177848" w:rsidRPr="00C6052E">
              <w:rPr>
                <w:lang w:val="en-AU"/>
              </w:rPr>
              <w:t xml:space="preserve"> </w:t>
            </w:r>
            <w:r w:rsidRPr="00C6052E">
              <w:rPr>
                <w:lang w:val="en-AU"/>
              </w:rPr>
              <w:t>non-financial</w:t>
            </w:r>
            <w:r w:rsidR="00177848" w:rsidRPr="00C6052E">
              <w:rPr>
                <w:lang w:val="en-AU"/>
              </w:rPr>
              <w:t xml:space="preserve"> </w:t>
            </w:r>
            <w:r w:rsidRPr="00C6052E">
              <w:rPr>
                <w:lang w:val="en-AU"/>
              </w:rPr>
              <w:t>assets</w:t>
            </w:r>
          </w:p>
        </w:tc>
        <w:tc>
          <w:tcPr>
            <w:tcW w:w="1077" w:type="dxa"/>
            <w:noWrap/>
            <w:hideMark/>
          </w:tcPr>
          <w:p w14:paraId="2AC53E10" w14:textId="77777777" w:rsidR="00EE5BB8" w:rsidRPr="00C6052E" w:rsidRDefault="00EE5BB8" w:rsidP="00A05778">
            <w:pPr>
              <w:pStyle w:val="TableCopy"/>
              <w:jc w:val="right"/>
              <w:rPr>
                <w:lang w:val="en-AU"/>
              </w:rPr>
            </w:pPr>
            <w:r w:rsidRPr="00C6052E">
              <w:rPr>
                <w:lang w:val="en-AU"/>
              </w:rPr>
              <w:t>6.3</w:t>
            </w:r>
          </w:p>
        </w:tc>
        <w:tc>
          <w:tcPr>
            <w:tcW w:w="1375" w:type="dxa"/>
            <w:noWrap/>
            <w:hideMark/>
          </w:tcPr>
          <w:p w14:paraId="6BEAC619" w14:textId="77777777" w:rsidR="00EE5BB8" w:rsidRPr="00C6052E" w:rsidRDefault="00EE5BB8" w:rsidP="00A05778">
            <w:pPr>
              <w:pStyle w:val="TableCopy"/>
              <w:jc w:val="right"/>
              <w:rPr>
                <w:lang w:val="en-AU"/>
              </w:rPr>
            </w:pPr>
            <w:r w:rsidRPr="00C6052E">
              <w:rPr>
                <w:lang w:val="en-AU"/>
              </w:rPr>
              <w:t>82,389</w:t>
            </w:r>
          </w:p>
        </w:tc>
        <w:tc>
          <w:tcPr>
            <w:tcW w:w="1375" w:type="dxa"/>
            <w:noWrap/>
            <w:hideMark/>
          </w:tcPr>
          <w:p w14:paraId="28BEA891" w14:textId="77777777" w:rsidR="00EE5BB8" w:rsidRPr="00C6052E" w:rsidRDefault="00EE5BB8" w:rsidP="00A05778">
            <w:pPr>
              <w:pStyle w:val="TableCopy"/>
              <w:jc w:val="right"/>
              <w:rPr>
                <w:lang w:val="en-AU"/>
              </w:rPr>
            </w:pPr>
            <w:r w:rsidRPr="00C6052E">
              <w:rPr>
                <w:lang w:val="en-AU"/>
              </w:rPr>
              <w:t>1,538</w:t>
            </w:r>
          </w:p>
        </w:tc>
      </w:tr>
      <w:tr w:rsidR="00EE5BB8" w:rsidRPr="00C6052E" w14:paraId="7C0EFAA4" w14:textId="77777777" w:rsidTr="00A05778">
        <w:tc>
          <w:tcPr>
            <w:tcW w:w="5812" w:type="dxa"/>
            <w:hideMark/>
          </w:tcPr>
          <w:p w14:paraId="2C9C7114" w14:textId="38630467" w:rsidR="00EE5BB8" w:rsidRPr="00C6052E" w:rsidRDefault="00EE5BB8" w:rsidP="0063097D">
            <w:pPr>
              <w:pStyle w:val="TableCopy"/>
              <w:rPr>
                <w:lang w:val="en-AU"/>
              </w:rPr>
            </w:pPr>
            <w:r w:rsidRPr="00C6052E">
              <w:rPr>
                <w:lang w:val="en-AU"/>
              </w:rPr>
              <w:t>Property,</w:t>
            </w:r>
            <w:r w:rsidR="00177848" w:rsidRPr="00C6052E">
              <w:rPr>
                <w:lang w:val="en-AU"/>
              </w:rPr>
              <w:t xml:space="preserve"> </w:t>
            </w:r>
            <w:r w:rsidRPr="00C6052E">
              <w:rPr>
                <w:lang w:val="en-AU"/>
              </w:rPr>
              <w:t>plant</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equipment</w:t>
            </w:r>
          </w:p>
        </w:tc>
        <w:tc>
          <w:tcPr>
            <w:tcW w:w="1077" w:type="dxa"/>
            <w:noWrap/>
            <w:hideMark/>
          </w:tcPr>
          <w:p w14:paraId="08AAE941" w14:textId="77777777" w:rsidR="00EE5BB8" w:rsidRPr="00C6052E" w:rsidRDefault="00EE5BB8" w:rsidP="00A05778">
            <w:pPr>
              <w:pStyle w:val="TableCopy"/>
              <w:jc w:val="right"/>
              <w:rPr>
                <w:lang w:val="en-AU"/>
              </w:rPr>
            </w:pPr>
            <w:r w:rsidRPr="00C6052E">
              <w:rPr>
                <w:lang w:val="en-AU"/>
              </w:rPr>
              <w:t>5.1</w:t>
            </w:r>
          </w:p>
        </w:tc>
        <w:tc>
          <w:tcPr>
            <w:tcW w:w="1375" w:type="dxa"/>
            <w:noWrap/>
            <w:hideMark/>
          </w:tcPr>
          <w:p w14:paraId="1FC3260D" w14:textId="77777777" w:rsidR="00EE5BB8" w:rsidRPr="00C6052E" w:rsidRDefault="00EE5BB8" w:rsidP="00A05778">
            <w:pPr>
              <w:pStyle w:val="TableCopy"/>
              <w:jc w:val="right"/>
              <w:rPr>
                <w:lang w:val="en-AU"/>
              </w:rPr>
            </w:pPr>
            <w:r w:rsidRPr="00C6052E">
              <w:rPr>
                <w:lang w:val="en-AU"/>
              </w:rPr>
              <w:t>497,847</w:t>
            </w:r>
          </w:p>
        </w:tc>
        <w:tc>
          <w:tcPr>
            <w:tcW w:w="1375" w:type="dxa"/>
            <w:noWrap/>
            <w:hideMark/>
          </w:tcPr>
          <w:p w14:paraId="1C97867C" w14:textId="77777777" w:rsidR="00EE5BB8" w:rsidRPr="00C6052E" w:rsidRDefault="00EE5BB8" w:rsidP="00A05778">
            <w:pPr>
              <w:pStyle w:val="TableCopy"/>
              <w:jc w:val="right"/>
              <w:rPr>
                <w:lang w:val="en-AU"/>
              </w:rPr>
            </w:pPr>
            <w:r w:rsidRPr="00C6052E">
              <w:rPr>
                <w:lang w:val="en-AU"/>
              </w:rPr>
              <w:t>569,452</w:t>
            </w:r>
          </w:p>
        </w:tc>
      </w:tr>
      <w:tr w:rsidR="00EE5BB8" w:rsidRPr="00C6052E" w14:paraId="5A99471D" w14:textId="77777777" w:rsidTr="00A05778">
        <w:tc>
          <w:tcPr>
            <w:tcW w:w="5812" w:type="dxa"/>
            <w:hideMark/>
          </w:tcPr>
          <w:p w14:paraId="65B25D3D" w14:textId="5872FEAF" w:rsidR="00EE5BB8" w:rsidRPr="00C6052E" w:rsidRDefault="00EE5BB8" w:rsidP="00814D77">
            <w:pPr>
              <w:pStyle w:val="Tabletotal"/>
              <w:rPr>
                <w:lang w:val="en-AU"/>
              </w:rPr>
            </w:pPr>
            <w:r w:rsidRPr="00C6052E">
              <w:rPr>
                <w:lang w:val="en-AU"/>
              </w:rPr>
              <w:t>Total</w:t>
            </w:r>
            <w:r w:rsidR="00177848" w:rsidRPr="00C6052E">
              <w:rPr>
                <w:lang w:val="en-AU"/>
              </w:rPr>
              <w:t xml:space="preserve"> </w:t>
            </w:r>
            <w:r w:rsidRPr="00C6052E">
              <w:rPr>
                <w:lang w:val="en-AU"/>
              </w:rPr>
              <w:t>non-financial</w:t>
            </w:r>
            <w:r w:rsidR="00177848" w:rsidRPr="00C6052E">
              <w:rPr>
                <w:lang w:val="en-AU"/>
              </w:rPr>
              <w:t xml:space="preserve"> </w:t>
            </w:r>
            <w:r w:rsidRPr="00C6052E">
              <w:rPr>
                <w:lang w:val="en-AU"/>
              </w:rPr>
              <w:t>assets</w:t>
            </w:r>
          </w:p>
        </w:tc>
        <w:tc>
          <w:tcPr>
            <w:tcW w:w="1077" w:type="dxa"/>
            <w:hideMark/>
          </w:tcPr>
          <w:p w14:paraId="06AFCA26" w14:textId="77777777" w:rsidR="00EE5BB8" w:rsidRPr="00C6052E" w:rsidRDefault="00EE5BB8" w:rsidP="00814D77">
            <w:pPr>
              <w:pStyle w:val="Tabletotal"/>
              <w:jc w:val="right"/>
              <w:rPr>
                <w:lang w:val="en-AU"/>
              </w:rPr>
            </w:pPr>
          </w:p>
        </w:tc>
        <w:tc>
          <w:tcPr>
            <w:tcW w:w="1375" w:type="dxa"/>
            <w:noWrap/>
            <w:hideMark/>
          </w:tcPr>
          <w:p w14:paraId="20EAD73E" w14:textId="77777777" w:rsidR="00EE5BB8" w:rsidRPr="00C6052E" w:rsidRDefault="00EE5BB8" w:rsidP="00814D77">
            <w:pPr>
              <w:pStyle w:val="Tabletotal"/>
              <w:jc w:val="right"/>
              <w:rPr>
                <w:lang w:val="en-AU"/>
              </w:rPr>
            </w:pPr>
            <w:r w:rsidRPr="00C6052E">
              <w:rPr>
                <w:lang w:val="en-AU"/>
              </w:rPr>
              <w:t>580,236</w:t>
            </w:r>
          </w:p>
        </w:tc>
        <w:tc>
          <w:tcPr>
            <w:tcW w:w="1375" w:type="dxa"/>
            <w:noWrap/>
            <w:hideMark/>
          </w:tcPr>
          <w:p w14:paraId="6C502B48" w14:textId="77777777" w:rsidR="00EE5BB8" w:rsidRPr="00C6052E" w:rsidRDefault="00EE5BB8" w:rsidP="00814D77">
            <w:pPr>
              <w:pStyle w:val="Tabletotal"/>
              <w:jc w:val="right"/>
              <w:rPr>
                <w:lang w:val="en-AU"/>
              </w:rPr>
            </w:pPr>
            <w:r w:rsidRPr="00C6052E">
              <w:rPr>
                <w:lang w:val="en-AU"/>
              </w:rPr>
              <w:t>570,990</w:t>
            </w:r>
          </w:p>
        </w:tc>
      </w:tr>
      <w:tr w:rsidR="00EE5BB8" w:rsidRPr="00C6052E" w14:paraId="2DFE4DAC" w14:textId="77777777" w:rsidTr="00A05778">
        <w:tc>
          <w:tcPr>
            <w:tcW w:w="5812" w:type="dxa"/>
            <w:hideMark/>
          </w:tcPr>
          <w:p w14:paraId="454A1B58" w14:textId="1F9C816C" w:rsidR="00EE5BB8" w:rsidRPr="00C6052E" w:rsidRDefault="00EE5BB8" w:rsidP="00814D77">
            <w:pPr>
              <w:pStyle w:val="Tabletotal"/>
              <w:rPr>
                <w:lang w:val="en-AU"/>
              </w:rPr>
            </w:pPr>
            <w:r w:rsidRPr="00C6052E">
              <w:rPr>
                <w:lang w:val="en-AU"/>
              </w:rPr>
              <w:t>Total</w:t>
            </w:r>
            <w:r w:rsidR="00177848" w:rsidRPr="00C6052E">
              <w:rPr>
                <w:lang w:val="en-AU"/>
              </w:rPr>
              <w:t xml:space="preserve"> </w:t>
            </w:r>
            <w:r w:rsidRPr="00C6052E">
              <w:rPr>
                <w:lang w:val="en-AU"/>
              </w:rPr>
              <w:t>assets</w:t>
            </w:r>
          </w:p>
        </w:tc>
        <w:tc>
          <w:tcPr>
            <w:tcW w:w="1077" w:type="dxa"/>
            <w:hideMark/>
          </w:tcPr>
          <w:p w14:paraId="4707E9D1" w14:textId="77777777" w:rsidR="00EE5BB8" w:rsidRPr="00C6052E" w:rsidRDefault="00EE5BB8" w:rsidP="00814D77">
            <w:pPr>
              <w:pStyle w:val="Tabletotal"/>
              <w:jc w:val="right"/>
              <w:rPr>
                <w:lang w:val="en-AU"/>
              </w:rPr>
            </w:pPr>
          </w:p>
        </w:tc>
        <w:tc>
          <w:tcPr>
            <w:tcW w:w="1375" w:type="dxa"/>
            <w:noWrap/>
            <w:hideMark/>
          </w:tcPr>
          <w:p w14:paraId="15A1D184" w14:textId="77777777" w:rsidR="00EE5BB8" w:rsidRPr="00C6052E" w:rsidRDefault="00EE5BB8" w:rsidP="00814D77">
            <w:pPr>
              <w:pStyle w:val="Tabletotal"/>
              <w:jc w:val="right"/>
              <w:rPr>
                <w:lang w:val="en-AU"/>
              </w:rPr>
            </w:pPr>
            <w:r w:rsidRPr="00C6052E">
              <w:rPr>
                <w:lang w:val="en-AU"/>
              </w:rPr>
              <w:t>1,378,080</w:t>
            </w:r>
          </w:p>
        </w:tc>
        <w:tc>
          <w:tcPr>
            <w:tcW w:w="1375" w:type="dxa"/>
            <w:noWrap/>
            <w:hideMark/>
          </w:tcPr>
          <w:p w14:paraId="7BEF7F94" w14:textId="77777777" w:rsidR="00EE5BB8" w:rsidRPr="00C6052E" w:rsidRDefault="00EE5BB8" w:rsidP="00814D77">
            <w:pPr>
              <w:pStyle w:val="Tabletotal"/>
              <w:jc w:val="right"/>
              <w:rPr>
                <w:lang w:val="en-AU"/>
              </w:rPr>
            </w:pPr>
            <w:r w:rsidRPr="00C6052E">
              <w:rPr>
                <w:lang w:val="en-AU"/>
              </w:rPr>
              <w:t>1,625,419</w:t>
            </w:r>
          </w:p>
        </w:tc>
      </w:tr>
      <w:tr w:rsidR="00A05778" w:rsidRPr="00C6052E" w14:paraId="40C24229" w14:textId="77777777" w:rsidTr="00A05778">
        <w:tc>
          <w:tcPr>
            <w:tcW w:w="5812" w:type="dxa"/>
          </w:tcPr>
          <w:p w14:paraId="41EC5013" w14:textId="1148DF50" w:rsidR="00A05778" w:rsidRPr="00C6052E" w:rsidRDefault="00A05778" w:rsidP="000B3FEC">
            <w:pPr>
              <w:pStyle w:val="TableHeading"/>
              <w:rPr>
                <w:lang w:val="en-AU"/>
              </w:rPr>
            </w:pPr>
            <w:r w:rsidRPr="00C6052E">
              <w:rPr>
                <w:lang w:val="en-AU"/>
              </w:rPr>
              <w:t>Liabilities</w:t>
            </w:r>
          </w:p>
        </w:tc>
        <w:tc>
          <w:tcPr>
            <w:tcW w:w="1077" w:type="dxa"/>
            <w:noWrap/>
          </w:tcPr>
          <w:p w14:paraId="21C8AE5D" w14:textId="77777777" w:rsidR="00A05778" w:rsidRPr="00C6052E" w:rsidRDefault="00A05778" w:rsidP="00A05778">
            <w:pPr>
              <w:pStyle w:val="TableHeading"/>
              <w:jc w:val="right"/>
              <w:rPr>
                <w:lang w:val="en-AU"/>
              </w:rPr>
            </w:pPr>
          </w:p>
        </w:tc>
        <w:tc>
          <w:tcPr>
            <w:tcW w:w="1375" w:type="dxa"/>
            <w:noWrap/>
          </w:tcPr>
          <w:p w14:paraId="2AD5E7E0" w14:textId="77777777" w:rsidR="00A05778" w:rsidRPr="00C6052E" w:rsidRDefault="00A05778" w:rsidP="00A05778">
            <w:pPr>
              <w:pStyle w:val="TableHeading"/>
              <w:jc w:val="right"/>
              <w:rPr>
                <w:lang w:val="en-AU"/>
              </w:rPr>
            </w:pPr>
          </w:p>
        </w:tc>
        <w:tc>
          <w:tcPr>
            <w:tcW w:w="1375" w:type="dxa"/>
            <w:noWrap/>
          </w:tcPr>
          <w:p w14:paraId="6B2D37CA" w14:textId="77777777" w:rsidR="00A05778" w:rsidRPr="00C6052E" w:rsidRDefault="00A05778" w:rsidP="00A05778">
            <w:pPr>
              <w:pStyle w:val="TableHeading"/>
              <w:jc w:val="right"/>
              <w:rPr>
                <w:lang w:val="en-AU"/>
              </w:rPr>
            </w:pPr>
          </w:p>
        </w:tc>
      </w:tr>
      <w:tr w:rsidR="00EE5BB8" w:rsidRPr="00C6052E" w14:paraId="02664F72" w14:textId="77777777" w:rsidTr="00A05778">
        <w:tc>
          <w:tcPr>
            <w:tcW w:w="5812" w:type="dxa"/>
            <w:hideMark/>
          </w:tcPr>
          <w:p w14:paraId="24F7316A" w14:textId="77777777" w:rsidR="00EE5BB8" w:rsidRPr="00C6052E" w:rsidRDefault="00EE5BB8" w:rsidP="0063097D">
            <w:pPr>
              <w:pStyle w:val="TableCopy"/>
              <w:rPr>
                <w:lang w:val="en-AU"/>
              </w:rPr>
            </w:pPr>
            <w:r w:rsidRPr="00C6052E">
              <w:rPr>
                <w:lang w:val="en-AU"/>
              </w:rPr>
              <w:t>Payables</w:t>
            </w:r>
          </w:p>
        </w:tc>
        <w:tc>
          <w:tcPr>
            <w:tcW w:w="1077" w:type="dxa"/>
            <w:noWrap/>
            <w:hideMark/>
          </w:tcPr>
          <w:p w14:paraId="3A2F7D23" w14:textId="77777777" w:rsidR="00EE5BB8" w:rsidRPr="00C6052E" w:rsidRDefault="00EE5BB8" w:rsidP="00A05778">
            <w:pPr>
              <w:pStyle w:val="TableCopy"/>
              <w:jc w:val="right"/>
              <w:rPr>
                <w:lang w:val="en-AU"/>
              </w:rPr>
            </w:pPr>
            <w:r w:rsidRPr="00C6052E">
              <w:rPr>
                <w:lang w:val="en-AU"/>
              </w:rPr>
              <w:t>6.2</w:t>
            </w:r>
          </w:p>
        </w:tc>
        <w:tc>
          <w:tcPr>
            <w:tcW w:w="1375" w:type="dxa"/>
            <w:noWrap/>
            <w:hideMark/>
          </w:tcPr>
          <w:p w14:paraId="4AE06D96" w14:textId="77777777" w:rsidR="00EE5BB8" w:rsidRPr="00C6052E" w:rsidRDefault="00EE5BB8" w:rsidP="00A05778">
            <w:pPr>
              <w:pStyle w:val="TableCopy"/>
              <w:jc w:val="right"/>
              <w:rPr>
                <w:lang w:val="en-AU"/>
              </w:rPr>
            </w:pPr>
            <w:r w:rsidRPr="00C6052E">
              <w:rPr>
                <w:lang w:val="en-AU"/>
              </w:rPr>
              <w:t>384,558</w:t>
            </w:r>
          </w:p>
        </w:tc>
        <w:tc>
          <w:tcPr>
            <w:tcW w:w="1375" w:type="dxa"/>
            <w:noWrap/>
            <w:hideMark/>
          </w:tcPr>
          <w:p w14:paraId="1ED8E8C3" w14:textId="77777777" w:rsidR="00EE5BB8" w:rsidRPr="00C6052E" w:rsidRDefault="00EE5BB8" w:rsidP="00A05778">
            <w:pPr>
              <w:pStyle w:val="TableCopy"/>
              <w:jc w:val="right"/>
              <w:rPr>
                <w:lang w:val="en-AU"/>
              </w:rPr>
            </w:pPr>
            <w:r w:rsidRPr="00C6052E">
              <w:rPr>
                <w:lang w:val="en-AU"/>
              </w:rPr>
              <w:t>637,632</w:t>
            </w:r>
          </w:p>
        </w:tc>
      </w:tr>
      <w:tr w:rsidR="00EE5BB8" w:rsidRPr="00C6052E" w14:paraId="637F788E" w14:textId="77777777" w:rsidTr="00A05778">
        <w:tc>
          <w:tcPr>
            <w:tcW w:w="5812" w:type="dxa"/>
            <w:hideMark/>
          </w:tcPr>
          <w:p w14:paraId="2A026A49" w14:textId="5D6F96D6" w:rsidR="00EE5BB8" w:rsidRPr="00C6052E" w:rsidRDefault="00EE5BB8" w:rsidP="0063097D">
            <w:pPr>
              <w:pStyle w:val="TableCopy"/>
              <w:rPr>
                <w:lang w:val="en-AU"/>
              </w:rPr>
            </w:pPr>
            <w:r w:rsidRPr="00C6052E">
              <w:rPr>
                <w:lang w:val="en-AU"/>
              </w:rPr>
              <w:t>Borrowings</w:t>
            </w:r>
            <w:r w:rsidR="00177848" w:rsidRPr="00C6052E">
              <w:rPr>
                <w:lang w:val="en-AU"/>
              </w:rPr>
              <w:t xml:space="preserve"> </w:t>
            </w:r>
          </w:p>
        </w:tc>
        <w:tc>
          <w:tcPr>
            <w:tcW w:w="1077" w:type="dxa"/>
            <w:noWrap/>
            <w:hideMark/>
          </w:tcPr>
          <w:p w14:paraId="39B429E5" w14:textId="77777777" w:rsidR="00EE5BB8" w:rsidRPr="00C6052E" w:rsidRDefault="00EE5BB8" w:rsidP="00A05778">
            <w:pPr>
              <w:pStyle w:val="TableCopy"/>
              <w:jc w:val="right"/>
              <w:rPr>
                <w:lang w:val="en-AU"/>
              </w:rPr>
            </w:pPr>
            <w:r w:rsidRPr="00C6052E">
              <w:rPr>
                <w:lang w:val="en-AU"/>
              </w:rPr>
              <w:t>7.1</w:t>
            </w:r>
          </w:p>
        </w:tc>
        <w:tc>
          <w:tcPr>
            <w:tcW w:w="1375" w:type="dxa"/>
            <w:noWrap/>
            <w:hideMark/>
          </w:tcPr>
          <w:p w14:paraId="4FB80996" w14:textId="77777777" w:rsidR="00EE5BB8" w:rsidRPr="00C6052E" w:rsidRDefault="00EE5BB8" w:rsidP="00A05778">
            <w:pPr>
              <w:pStyle w:val="TableCopy"/>
              <w:jc w:val="right"/>
              <w:rPr>
                <w:lang w:val="en-AU"/>
              </w:rPr>
            </w:pPr>
            <w:r w:rsidRPr="00C6052E">
              <w:rPr>
                <w:lang w:val="en-AU"/>
              </w:rPr>
              <w:t>64,837</w:t>
            </w:r>
          </w:p>
        </w:tc>
        <w:tc>
          <w:tcPr>
            <w:tcW w:w="1375" w:type="dxa"/>
            <w:noWrap/>
            <w:hideMark/>
          </w:tcPr>
          <w:p w14:paraId="62549FB3" w14:textId="77777777" w:rsidR="00EE5BB8" w:rsidRPr="00C6052E" w:rsidRDefault="00EE5BB8" w:rsidP="00A05778">
            <w:pPr>
              <w:pStyle w:val="TableCopy"/>
              <w:jc w:val="right"/>
              <w:rPr>
                <w:lang w:val="en-AU"/>
              </w:rPr>
            </w:pPr>
            <w:r w:rsidRPr="00C6052E">
              <w:rPr>
                <w:lang w:val="en-AU"/>
              </w:rPr>
              <w:t>56,414</w:t>
            </w:r>
          </w:p>
        </w:tc>
      </w:tr>
      <w:tr w:rsidR="00EE5BB8" w:rsidRPr="00C6052E" w14:paraId="45B7DEC0" w14:textId="77777777" w:rsidTr="00A05778">
        <w:tc>
          <w:tcPr>
            <w:tcW w:w="5812" w:type="dxa"/>
            <w:hideMark/>
          </w:tcPr>
          <w:p w14:paraId="2C40DA52" w14:textId="4E694286" w:rsidR="00EE5BB8" w:rsidRPr="00C6052E" w:rsidRDefault="00EE5BB8" w:rsidP="0063097D">
            <w:pPr>
              <w:pStyle w:val="TableCopy"/>
              <w:rPr>
                <w:lang w:val="en-AU"/>
              </w:rPr>
            </w:pPr>
            <w:r w:rsidRPr="00C6052E">
              <w:rPr>
                <w:lang w:val="en-AU"/>
              </w:rPr>
              <w:t>Employee</w:t>
            </w:r>
            <w:r w:rsidR="00177848" w:rsidRPr="00C6052E">
              <w:rPr>
                <w:lang w:val="en-AU"/>
              </w:rPr>
              <w:t xml:space="preserve"> </w:t>
            </w:r>
            <w:r w:rsidRPr="00C6052E">
              <w:rPr>
                <w:lang w:val="en-AU"/>
              </w:rPr>
              <w:t>provisions</w:t>
            </w:r>
          </w:p>
        </w:tc>
        <w:tc>
          <w:tcPr>
            <w:tcW w:w="1077" w:type="dxa"/>
            <w:noWrap/>
            <w:hideMark/>
          </w:tcPr>
          <w:p w14:paraId="4F04437F" w14:textId="77777777" w:rsidR="00EE5BB8" w:rsidRPr="00C6052E" w:rsidRDefault="00EE5BB8" w:rsidP="00A05778">
            <w:pPr>
              <w:pStyle w:val="TableCopy"/>
              <w:jc w:val="right"/>
              <w:rPr>
                <w:lang w:val="en-AU"/>
              </w:rPr>
            </w:pPr>
            <w:r w:rsidRPr="00C6052E">
              <w:rPr>
                <w:lang w:val="en-AU"/>
              </w:rPr>
              <w:t>3.3.2</w:t>
            </w:r>
          </w:p>
        </w:tc>
        <w:tc>
          <w:tcPr>
            <w:tcW w:w="1375" w:type="dxa"/>
            <w:noWrap/>
            <w:hideMark/>
          </w:tcPr>
          <w:p w14:paraId="719E3274" w14:textId="77777777" w:rsidR="00EE5BB8" w:rsidRPr="00C6052E" w:rsidRDefault="00EE5BB8" w:rsidP="00A05778">
            <w:pPr>
              <w:pStyle w:val="TableCopy"/>
              <w:jc w:val="right"/>
              <w:rPr>
                <w:lang w:val="en-AU"/>
              </w:rPr>
            </w:pPr>
            <w:r w:rsidRPr="00C6052E">
              <w:rPr>
                <w:lang w:val="en-AU"/>
              </w:rPr>
              <w:t>78,935</w:t>
            </w:r>
          </w:p>
        </w:tc>
        <w:tc>
          <w:tcPr>
            <w:tcW w:w="1375" w:type="dxa"/>
            <w:noWrap/>
            <w:hideMark/>
          </w:tcPr>
          <w:p w14:paraId="5D028BBE" w14:textId="77777777" w:rsidR="00EE5BB8" w:rsidRPr="00C6052E" w:rsidRDefault="00EE5BB8" w:rsidP="00A05778">
            <w:pPr>
              <w:pStyle w:val="TableCopy"/>
              <w:jc w:val="right"/>
              <w:rPr>
                <w:lang w:val="en-AU"/>
              </w:rPr>
            </w:pPr>
            <w:r w:rsidRPr="00C6052E">
              <w:rPr>
                <w:lang w:val="en-AU"/>
              </w:rPr>
              <w:t>74,337</w:t>
            </w:r>
          </w:p>
        </w:tc>
      </w:tr>
      <w:tr w:rsidR="00EE5BB8" w:rsidRPr="00C6052E" w14:paraId="4C927E82" w14:textId="77777777" w:rsidTr="00A05778">
        <w:tc>
          <w:tcPr>
            <w:tcW w:w="5812" w:type="dxa"/>
            <w:hideMark/>
          </w:tcPr>
          <w:p w14:paraId="39E946B7" w14:textId="5E70C07C" w:rsidR="00EE5BB8" w:rsidRPr="00C6052E" w:rsidRDefault="00EE5BB8" w:rsidP="0063097D">
            <w:pPr>
              <w:pStyle w:val="TableCopy"/>
              <w:rPr>
                <w:lang w:val="en-AU"/>
              </w:rPr>
            </w:pPr>
            <w:r w:rsidRPr="00C6052E">
              <w:rPr>
                <w:lang w:val="en-AU"/>
              </w:rPr>
              <w:t>Other</w:t>
            </w:r>
            <w:r w:rsidR="00177848" w:rsidRPr="00C6052E">
              <w:rPr>
                <w:lang w:val="en-AU"/>
              </w:rPr>
              <w:t xml:space="preserve"> </w:t>
            </w:r>
            <w:r w:rsidRPr="00C6052E">
              <w:rPr>
                <w:lang w:val="en-AU"/>
              </w:rPr>
              <w:t>provisions</w:t>
            </w:r>
          </w:p>
        </w:tc>
        <w:tc>
          <w:tcPr>
            <w:tcW w:w="1077" w:type="dxa"/>
            <w:noWrap/>
            <w:hideMark/>
          </w:tcPr>
          <w:p w14:paraId="454AA196" w14:textId="77777777" w:rsidR="00EE5BB8" w:rsidRPr="00C6052E" w:rsidRDefault="00EE5BB8" w:rsidP="00A05778">
            <w:pPr>
              <w:pStyle w:val="TableCopy"/>
              <w:jc w:val="right"/>
              <w:rPr>
                <w:lang w:val="en-AU"/>
              </w:rPr>
            </w:pPr>
            <w:r w:rsidRPr="00C6052E">
              <w:rPr>
                <w:lang w:val="en-AU"/>
              </w:rPr>
              <w:t>6.4</w:t>
            </w:r>
          </w:p>
        </w:tc>
        <w:tc>
          <w:tcPr>
            <w:tcW w:w="1375" w:type="dxa"/>
            <w:noWrap/>
            <w:hideMark/>
          </w:tcPr>
          <w:p w14:paraId="5B25DFCB" w14:textId="77777777" w:rsidR="00EE5BB8" w:rsidRPr="00C6052E" w:rsidRDefault="00EE5BB8" w:rsidP="00A05778">
            <w:pPr>
              <w:pStyle w:val="TableCopy"/>
              <w:jc w:val="right"/>
              <w:rPr>
                <w:lang w:val="en-AU"/>
              </w:rPr>
            </w:pPr>
            <w:r w:rsidRPr="00C6052E">
              <w:rPr>
                <w:lang w:val="en-AU"/>
              </w:rPr>
              <w:t>196</w:t>
            </w:r>
          </w:p>
        </w:tc>
        <w:tc>
          <w:tcPr>
            <w:tcW w:w="1375" w:type="dxa"/>
            <w:noWrap/>
            <w:hideMark/>
          </w:tcPr>
          <w:p w14:paraId="57074297" w14:textId="77777777" w:rsidR="00EE5BB8" w:rsidRPr="00C6052E" w:rsidRDefault="00EE5BB8" w:rsidP="00A05778">
            <w:pPr>
              <w:pStyle w:val="TableCopy"/>
              <w:jc w:val="right"/>
              <w:rPr>
                <w:lang w:val="en-AU"/>
              </w:rPr>
            </w:pPr>
            <w:r w:rsidRPr="00C6052E">
              <w:rPr>
                <w:lang w:val="en-AU"/>
              </w:rPr>
              <w:t>3,266</w:t>
            </w:r>
          </w:p>
        </w:tc>
      </w:tr>
      <w:tr w:rsidR="00EE5BB8" w:rsidRPr="00C6052E" w14:paraId="5DF4F2B0" w14:textId="77777777" w:rsidTr="00A05778">
        <w:tc>
          <w:tcPr>
            <w:tcW w:w="5812" w:type="dxa"/>
            <w:noWrap/>
            <w:hideMark/>
          </w:tcPr>
          <w:p w14:paraId="2B0C3165" w14:textId="488FD9F5" w:rsidR="00EE5BB8" w:rsidRPr="00C6052E" w:rsidRDefault="00EE5BB8" w:rsidP="00814D77">
            <w:pPr>
              <w:pStyle w:val="Tabletotal"/>
              <w:rPr>
                <w:lang w:val="en-AU"/>
              </w:rPr>
            </w:pPr>
            <w:r w:rsidRPr="00C6052E">
              <w:rPr>
                <w:lang w:val="en-AU"/>
              </w:rPr>
              <w:t>Total</w:t>
            </w:r>
            <w:r w:rsidR="00177848" w:rsidRPr="00C6052E">
              <w:rPr>
                <w:lang w:val="en-AU"/>
              </w:rPr>
              <w:t xml:space="preserve"> </w:t>
            </w:r>
            <w:r w:rsidRPr="00C6052E">
              <w:rPr>
                <w:lang w:val="en-AU"/>
              </w:rPr>
              <w:t>liabilities</w:t>
            </w:r>
          </w:p>
        </w:tc>
        <w:tc>
          <w:tcPr>
            <w:tcW w:w="1077" w:type="dxa"/>
            <w:hideMark/>
          </w:tcPr>
          <w:p w14:paraId="0DCFC650" w14:textId="77777777" w:rsidR="00EE5BB8" w:rsidRPr="00C6052E" w:rsidRDefault="00EE5BB8" w:rsidP="00814D77">
            <w:pPr>
              <w:pStyle w:val="Tabletotal"/>
              <w:jc w:val="right"/>
              <w:rPr>
                <w:lang w:val="en-AU"/>
              </w:rPr>
            </w:pPr>
          </w:p>
        </w:tc>
        <w:tc>
          <w:tcPr>
            <w:tcW w:w="1375" w:type="dxa"/>
            <w:noWrap/>
            <w:hideMark/>
          </w:tcPr>
          <w:p w14:paraId="76F79DA3" w14:textId="77777777" w:rsidR="00EE5BB8" w:rsidRPr="00C6052E" w:rsidRDefault="00EE5BB8" w:rsidP="00814D77">
            <w:pPr>
              <w:pStyle w:val="Tabletotal"/>
              <w:jc w:val="right"/>
              <w:rPr>
                <w:lang w:val="en-AU"/>
              </w:rPr>
            </w:pPr>
            <w:r w:rsidRPr="00C6052E">
              <w:rPr>
                <w:lang w:val="en-AU"/>
              </w:rPr>
              <w:t>528,526</w:t>
            </w:r>
          </w:p>
        </w:tc>
        <w:tc>
          <w:tcPr>
            <w:tcW w:w="1375" w:type="dxa"/>
            <w:noWrap/>
            <w:hideMark/>
          </w:tcPr>
          <w:p w14:paraId="1467675C" w14:textId="77777777" w:rsidR="00EE5BB8" w:rsidRPr="00C6052E" w:rsidRDefault="00EE5BB8" w:rsidP="00814D77">
            <w:pPr>
              <w:pStyle w:val="Tabletotal"/>
              <w:jc w:val="right"/>
              <w:rPr>
                <w:lang w:val="en-AU"/>
              </w:rPr>
            </w:pPr>
            <w:r w:rsidRPr="00C6052E">
              <w:rPr>
                <w:lang w:val="en-AU"/>
              </w:rPr>
              <w:t>771,649</w:t>
            </w:r>
          </w:p>
        </w:tc>
      </w:tr>
      <w:tr w:rsidR="00EE5BB8" w:rsidRPr="00C6052E" w14:paraId="713D2F76" w14:textId="77777777" w:rsidTr="00A05778">
        <w:tc>
          <w:tcPr>
            <w:tcW w:w="5812" w:type="dxa"/>
            <w:noWrap/>
            <w:hideMark/>
          </w:tcPr>
          <w:p w14:paraId="190F219B" w14:textId="6C7B0CB4" w:rsidR="00EE5BB8" w:rsidRPr="00C6052E" w:rsidRDefault="00EE5BB8" w:rsidP="00814D77">
            <w:pPr>
              <w:pStyle w:val="Tabletotal"/>
              <w:rPr>
                <w:lang w:val="en-AU"/>
              </w:rPr>
            </w:pPr>
            <w:r w:rsidRPr="00C6052E">
              <w:rPr>
                <w:lang w:val="en-AU"/>
              </w:rPr>
              <w:t>Net</w:t>
            </w:r>
            <w:r w:rsidR="00177848" w:rsidRPr="00C6052E">
              <w:rPr>
                <w:lang w:val="en-AU"/>
              </w:rPr>
              <w:t xml:space="preserve"> </w:t>
            </w:r>
            <w:r w:rsidRPr="00C6052E">
              <w:rPr>
                <w:lang w:val="en-AU"/>
              </w:rPr>
              <w:t>assets</w:t>
            </w:r>
          </w:p>
        </w:tc>
        <w:tc>
          <w:tcPr>
            <w:tcW w:w="1077" w:type="dxa"/>
            <w:hideMark/>
          </w:tcPr>
          <w:p w14:paraId="7488FEB6" w14:textId="77777777" w:rsidR="00EE5BB8" w:rsidRPr="00C6052E" w:rsidRDefault="00EE5BB8" w:rsidP="00814D77">
            <w:pPr>
              <w:pStyle w:val="Tabletotal"/>
              <w:jc w:val="right"/>
              <w:rPr>
                <w:lang w:val="en-AU"/>
              </w:rPr>
            </w:pPr>
          </w:p>
        </w:tc>
        <w:tc>
          <w:tcPr>
            <w:tcW w:w="1375" w:type="dxa"/>
            <w:noWrap/>
            <w:hideMark/>
          </w:tcPr>
          <w:p w14:paraId="46A0904A" w14:textId="77777777" w:rsidR="00EE5BB8" w:rsidRPr="00C6052E" w:rsidRDefault="00EE5BB8" w:rsidP="00814D77">
            <w:pPr>
              <w:pStyle w:val="Tabletotal"/>
              <w:jc w:val="right"/>
              <w:rPr>
                <w:lang w:val="en-AU"/>
              </w:rPr>
            </w:pPr>
            <w:r w:rsidRPr="00C6052E">
              <w:rPr>
                <w:lang w:val="en-AU"/>
              </w:rPr>
              <w:t>849,554</w:t>
            </w:r>
          </w:p>
        </w:tc>
        <w:tc>
          <w:tcPr>
            <w:tcW w:w="1375" w:type="dxa"/>
            <w:noWrap/>
            <w:hideMark/>
          </w:tcPr>
          <w:p w14:paraId="18CC509C" w14:textId="77777777" w:rsidR="00EE5BB8" w:rsidRPr="00C6052E" w:rsidRDefault="00EE5BB8" w:rsidP="00814D77">
            <w:pPr>
              <w:pStyle w:val="Tabletotal"/>
              <w:jc w:val="right"/>
              <w:rPr>
                <w:lang w:val="en-AU"/>
              </w:rPr>
            </w:pPr>
            <w:r w:rsidRPr="00C6052E">
              <w:rPr>
                <w:lang w:val="en-AU"/>
              </w:rPr>
              <w:t>853,770</w:t>
            </w:r>
          </w:p>
        </w:tc>
      </w:tr>
      <w:tr w:rsidR="00A05778" w:rsidRPr="00C6052E" w14:paraId="20C98EAC" w14:textId="77777777" w:rsidTr="00A05778">
        <w:tc>
          <w:tcPr>
            <w:tcW w:w="5812" w:type="dxa"/>
          </w:tcPr>
          <w:p w14:paraId="2C4A253A" w14:textId="24109A55" w:rsidR="00A05778" w:rsidRPr="00C6052E" w:rsidRDefault="00A05778" w:rsidP="00605FB3">
            <w:pPr>
              <w:pStyle w:val="TableHeading"/>
              <w:rPr>
                <w:lang w:val="en-AU"/>
              </w:rPr>
            </w:pPr>
            <w:r w:rsidRPr="00C6052E">
              <w:rPr>
                <w:lang w:val="en-AU"/>
              </w:rPr>
              <w:t>Equity</w:t>
            </w:r>
          </w:p>
        </w:tc>
        <w:tc>
          <w:tcPr>
            <w:tcW w:w="1077" w:type="dxa"/>
            <w:noWrap/>
          </w:tcPr>
          <w:p w14:paraId="3382E415" w14:textId="77777777" w:rsidR="00A05778" w:rsidRPr="00C6052E" w:rsidRDefault="00A05778" w:rsidP="00A05778">
            <w:pPr>
              <w:pStyle w:val="TableHeading"/>
              <w:jc w:val="right"/>
              <w:rPr>
                <w:lang w:val="en-AU"/>
              </w:rPr>
            </w:pPr>
          </w:p>
        </w:tc>
        <w:tc>
          <w:tcPr>
            <w:tcW w:w="1375" w:type="dxa"/>
            <w:noWrap/>
          </w:tcPr>
          <w:p w14:paraId="3F74D471" w14:textId="77777777" w:rsidR="00A05778" w:rsidRPr="00C6052E" w:rsidRDefault="00A05778" w:rsidP="00A05778">
            <w:pPr>
              <w:pStyle w:val="TableHeading"/>
              <w:jc w:val="right"/>
              <w:rPr>
                <w:lang w:val="en-AU"/>
              </w:rPr>
            </w:pPr>
          </w:p>
        </w:tc>
        <w:tc>
          <w:tcPr>
            <w:tcW w:w="1375" w:type="dxa"/>
            <w:noWrap/>
          </w:tcPr>
          <w:p w14:paraId="0006D297" w14:textId="77777777" w:rsidR="00A05778" w:rsidRPr="00C6052E" w:rsidRDefault="00A05778" w:rsidP="00A05778">
            <w:pPr>
              <w:pStyle w:val="TableHeading"/>
              <w:jc w:val="right"/>
              <w:rPr>
                <w:lang w:val="en-AU"/>
              </w:rPr>
            </w:pPr>
          </w:p>
        </w:tc>
      </w:tr>
      <w:tr w:rsidR="00EE5BB8" w:rsidRPr="00C6052E" w14:paraId="39C120D2" w14:textId="77777777" w:rsidTr="00A05778">
        <w:tc>
          <w:tcPr>
            <w:tcW w:w="5812" w:type="dxa"/>
            <w:hideMark/>
          </w:tcPr>
          <w:p w14:paraId="55F4CED4" w14:textId="602E78EE" w:rsidR="00EE5BB8" w:rsidRPr="00C6052E" w:rsidRDefault="00EE5BB8" w:rsidP="0063097D">
            <w:pPr>
              <w:pStyle w:val="TableCopy"/>
              <w:rPr>
                <w:lang w:val="en-AU"/>
              </w:rPr>
            </w:pPr>
            <w:r w:rsidRPr="00C6052E">
              <w:rPr>
                <w:lang w:val="en-AU"/>
              </w:rPr>
              <w:t>Contributed</w:t>
            </w:r>
            <w:r w:rsidR="00177848" w:rsidRPr="00C6052E">
              <w:rPr>
                <w:lang w:val="en-AU"/>
              </w:rPr>
              <w:t xml:space="preserve"> </w:t>
            </w:r>
            <w:r w:rsidRPr="00C6052E">
              <w:rPr>
                <w:lang w:val="en-AU"/>
              </w:rPr>
              <w:t>equity</w:t>
            </w:r>
          </w:p>
        </w:tc>
        <w:tc>
          <w:tcPr>
            <w:tcW w:w="1077" w:type="dxa"/>
            <w:noWrap/>
            <w:hideMark/>
          </w:tcPr>
          <w:p w14:paraId="2BAF8E55" w14:textId="77777777" w:rsidR="00EE5BB8" w:rsidRPr="00C6052E" w:rsidRDefault="00EE5BB8" w:rsidP="00A05778">
            <w:pPr>
              <w:pStyle w:val="TableCopy"/>
              <w:jc w:val="right"/>
              <w:rPr>
                <w:lang w:val="en-AU"/>
              </w:rPr>
            </w:pPr>
            <w:r w:rsidRPr="00C6052E">
              <w:rPr>
                <w:lang w:val="en-AU"/>
              </w:rPr>
              <w:t>9.4</w:t>
            </w:r>
          </w:p>
        </w:tc>
        <w:tc>
          <w:tcPr>
            <w:tcW w:w="1375" w:type="dxa"/>
            <w:noWrap/>
            <w:hideMark/>
          </w:tcPr>
          <w:p w14:paraId="08F41B43" w14:textId="77777777" w:rsidR="00EE5BB8" w:rsidRPr="00C6052E" w:rsidRDefault="00EE5BB8" w:rsidP="00A05778">
            <w:pPr>
              <w:pStyle w:val="TableCopy"/>
              <w:jc w:val="right"/>
              <w:rPr>
                <w:lang w:val="en-AU"/>
              </w:rPr>
            </w:pPr>
            <w:r w:rsidRPr="00C6052E">
              <w:rPr>
                <w:lang w:val="en-AU"/>
              </w:rPr>
              <w:t>104,793</w:t>
            </w:r>
          </w:p>
        </w:tc>
        <w:tc>
          <w:tcPr>
            <w:tcW w:w="1375" w:type="dxa"/>
            <w:noWrap/>
            <w:hideMark/>
          </w:tcPr>
          <w:p w14:paraId="17C69EA7" w14:textId="77777777" w:rsidR="00EE5BB8" w:rsidRPr="00C6052E" w:rsidRDefault="00EE5BB8" w:rsidP="00A05778">
            <w:pPr>
              <w:pStyle w:val="TableCopy"/>
              <w:jc w:val="right"/>
              <w:rPr>
                <w:lang w:val="en-AU"/>
              </w:rPr>
            </w:pPr>
            <w:r w:rsidRPr="00C6052E">
              <w:rPr>
                <w:lang w:val="en-AU"/>
              </w:rPr>
              <w:t>263,088</w:t>
            </w:r>
          </w:p>
        </w:tc>
      </w:tr>
      <w:tr w:rsidR="00EE5BB8" w:rsidRPr="00C6052E" w14:paraId="72803D6A" w14:textId="77777777" w:rsidTr="00A05778">
        <w:tc>
          <w:tcPr>
            <w:tcW w:w="5812" w:type="dxa"/>
            <w:hideMark/>
          </w:tcPr>
          <w:p w14:paraId="4114DBF3" w14:textId="0C2D9316" w:rsidR="00EE5BB8" w:rsidRPr="00C6052E" w:rsidRDefault="00EE5BB8" w:rsidP="0063097D">
            <w:pPr>
              <w:pStyle w:val="TableCopy"/>
              <w:rPr>
                <w:lang w:val="en-AU"/>
              </w:rPr>
            </w:pPr>
            <w:r w:rsidRPr="00C6052E">
              <w:rPr>
                <w:lang w:val="en-AU"/>
              </w:rPr>
              <w:t>Accumulated</w:t>
            </w:r>
            <w:r w:rsidR="00177848" w:rsidRPr="00C6052E">
              <w:rPr>
                <w:lang w:val="en-AU"/>
              </w:rPr>
              <w:t xml:space="preserve"> </w:t>
            </w:r>
            <w:r w:rsidRPr="00C6052E">
              <w:rPr>
                <w:lang w:val="en-AU"/>
              </w:rPr>
              <w:t>surplus</w:t>
            </w:r>
          </w:p>
        </w:tc>
        <w:tc>
          <w:tcPr>
            <w:tcW w:w="1077" w:type="dxa"/>
            <w:noWrap/>
            <w:hideMark/>
          </w:tcPr>
          <w:p w14:paraId="5846D3F0" w14:textId="77777777" w:rsidR="00EE5BB8" w:rsidRPr="00C6052E" w:rsidRDefault="00EE5BB8" w:rsidP="00A05778">
            <w:pPr>
              <w:pStyle w:val="Tabletext"/>
              <w:jc w:val="right"/>
              <w:rPr>
                <w:lang w:val="en-AU"/>
              </w:rPr>
            </w:pPr>
          </w:p>
        </w:tc>
        <w:tc>
          <w:tcPr>
            <w:tcW w:w="1375" w:type="dxa"/>
            <w:noWrap/>
            <w:hideMark/>
          </w:tcPr>
          <w:p w14:paraId="303D9626" w14:textId="77777777" w:rsidR="00EE5BB8" w:rsidRPr="00C6052E" w:rsidRDefault="00EE5BB8" w:rsidP="00A05778">
            <w:pPr>
              <w:pStyle w:val="TableCopy"/>
              <w:jc w:val="right"/>
              <w:rPr>
                <w:lang w:val="en-AU"/>
              </w:rPr>
            </w:pPr>
            <w:r w:rsidRPr="00C6052E">
              <w:rPr>
                <w:lang w:val="en-AU"/>
              </w:rPr>
              <w:t>704,122</w:t>
            </w:r>
          </w:p>
        </w:tc>
        <w:tc>
          <w:tcPr>
            <w:tcW w:w="1375" w:type="dxa"/>
            <w:noWrap/>
            <w:hideMark/>
          </w:tcPr>
          <w:p w14:paraId="45B6023A" w14:textId="77777777" w:rsidR="00EE5BB8" w:rsidRPr="00C6052E" w:rsidRDefault="00EE5BB8" w:rsidP="00A05778">
            <w:pPr>
              <w:pStyle w:val="TableCopy"/>
              <w:jc w:val="right"/>
              <w:rPr>
                <w:lang w:val="en-AU"/>
              </w:rPr>
            </w:pPr>
            <w:r w:rsidRPr="00C6052E">
              <w:rPr>
                <w:lang w:val="en-AU"/>
              </w:rPr>
              <w:t>493,666</w:t>
            </w:r>
          </w:p>
        </w:tc>
      </w:tr>
      <w:tr w:rsidR="00EE5BB8" w:rsidRPr="00C6052E" w14:paraId="4EBB5A79" w14:textId="77777777" w:rsidTr="00A05778">
        <w:tc>
          <w:tcPr>
            <w:tcW w:w="5812" w:type="dxa"/>
            <w:hideMark/>
          </w:tcPr>
          <w:p w14:paraId="3CC0FD40" w14:textId="5ADAEC67" w:rsidR="00EE5BB8" w:rsidRPr="00C6052E" w:rsidRDefault="00EE5BB8" w:rsidP="0063097D">
            <w:pPr>
              <w:pStyle w:val="TableCopy"/>
              <w:rPr>
                <w:lang w:val="en-AU"/>
              </w:rPr>
            </w:pPr>
            <w:r w:rsidRPr="00C6052E">
              <w:rPr>
                <w:lang w:val="en-AU"/>
              </w:rPr>
              <w:t>Physical</w:t>
            </w:r>
            <w:r w:rsidR="00177848" w:rsidRPr="00C6052E">
              <w:rPr>
                <w:lang w:val="en-AU"/>
              </w:rPr>
              <w:t xml:space="preserve"> </w:t>
            </w:r>
            <w:r w:rsidRPr="00C6052E">
              <w:rPr>
                <w:lang w:val="en-AU"/>
              </w:rPr>
              <w:t>asset</w:t>
            </w:r>
            <w:r w:rsidR="00177848" w:rsidRPr="00C6052E">
              <w:rPr>
                <w:lang w:val="en-AU"/>
              </w:rPr>
              <w:t xml:space="preserve"> </w:t>
            </w:r>
            <w:r w:rsidRPr="00C6052E">
              <w:rPr>
                <w:lang w:val="en-AU"/>
              </w:rPr>
              <w:t>revaluation</w:t>
            </w:r>
            <w:r w:rsidR="00177848" w:rsidRPr="00C6052E">
              <w:rPr>
                <w:lang w:val="en-AU"/>
              </w:rPr>
              <w:t xml:space="preserve"> </w:t>
            </w:r>
            <w:r w:rsidRPr="00C6052E">
              <w:rPr>
                <w:lang w:val="en-AU"/>
              </w:rPr>
              <w:t>surplus</w:t>
            </w:r>
          </w:p>
        </w:tc>
        <w:tc>
          <w:tcPr>
            <w:tcW w:w="1077" w:type="dxa"/>
            <w:noWrap/>
            <w:hideMark/>
          </w:tcPr>
          <w:p w14:paraId="52C04FE6" w14:textId="77777777" w:rsidR="00EE5BB8" w:rsidRPr="00C6052E" w:rsidRDefault="00EE5BB8" w:rsidP="00A05778">
            <w:pPr>
              <w:pStyle w:val="TableCopy"/>
              <w:jc w:val="right"/>
              <w:rPr>
                <w:lang w:val="en-AU"/>
              </w:rPr>
            </w:pPr>
            <w:r w:rsidRPr="00C6052E">
              <w:rPr>
                <w:lang w:val="en-AU"/>
              </w:rPr>
              <w:t>9.4</w:t>
            </w:r>
          </w:p>
        </w:tc>
        <w:tc>
          <w:tcPr>
            <w:tcW w:w="1375" w:type="dxa"/>
            <w:noWrap/>
            <w:hideMark/>
          </w:tcPr>
          <w:p w14:paraId="36C6079E" w14:textId="77777777" w:rsidR="00EE5BB8" w:rsidRPr="00C6052E" w:rsidRDefault="00EE5BB8" w:rsidP="00A05778">
            <w:pPr>
              <w:pStyle w:val="TableCopy"/>
              <w:jc w:val="right"/>
              <w:rPr>
                <w:lang w:val="en-AU"/>
              </w:rPr>
            </w:pPr>
            <w:r w:rsidRPr="00C6052E">
              <w:rPr>
                <w:lang w:val="en-AU"/>
              </w:rPr>
              <w:t>40,639</w:t>
            </w:r>
          </w:p>
        </w:tc>
        <w:tc>
          <w:tcPr>
            <w:tcW w:w="1375" w:type="dxa"/>
            <w:noWrap/>
            <w:hideMark/>
          </w:tcPr>
          <w:p w14:paraId="661F02CD" w14:textId="77777777" w:rsidR="00EE5BB8" w:rsidRPr="00C6052E" w:rsidRDefault="00EE5BB8" w:rsidP="00A05778">
            <w:pPr>
              <w:pStyle w:val="TableCopy"/>
              <w:jc w:val="right"/>
              <w:rPr>
                <w:lang w:val="en-AU"/>
              </w:rPr>
            </w:pPr>
            <w:r w:rsidRPr="00C6052E">
              <w:rPr>
                <w:lang w:val="en-AU"/>
              </w:rPr>
              <w:t>97,016</w:t>
            </w:r>
          </w:p>
        </w:tc>
      </w:tr>
      <w:tr w:rsidR="00EE5BB8" w:rsidRPr="00C6052E" w14:paraId="6EABC062" w14:textId="77777777" w:rsidTr="00A05778">
        <w:tc>
          <w:tcPr>
            <w:tcW w:w="5812" w:type="dxa"/>
            <w:hideMark/>
          </w:tcPr>
          <w:p w14:paraId="048AB24C" w14:textId="4880DF67" w:rsidR="00EE5BB8" w:rsidRPr="00C6052E" w:rsidRDefault="00EE5BB8" w:rsidP="00814D77">
            <w:pPr>
              <w:pStyle w:val="Tabletotal"/>
              <w:rPr>
                <w:lang w:val="en-AU"/>
              </w:rPr>
            </w:pPr>
            <w:r w:rsidRPr="00C6052E">
              <w:rPr>
                <w:lang w:val="en-AU"/>
              </w:rPr>
              <w:t>Net</w:t>
            </w:r>
            <w:r w:rsidR="00177848" w:rsidRPr="00C6052E">
              <w:rPr>
                <w:lang w:val="en-AU"/>
              </w:rPr>
              <w:t xml:space="preserve"> </w:t>
            </w:r>
            <w:r w:rsidRPr="00C6052E">
              <w:rPr>
                <w:lang w:val="en-AU"/>
              </w:rPr>
              <w:t>worth</w:t>
            </w:r>
            <w:r w:rsidR="00177848" w:rsidRPr="00C6052E">
              <w:rPr>
                <w:lang w:val="en-AU"/>
              </w:rPr>
              <w:t xml:space="preserve"> </w:t>
            </w:r>
          </w:p>
        </w:tc>
        <w:tc>
          <w:tcPr>
            <w:tcW w:w="1077" w:type="dxa"/>
            <w:hideMark/>
          </w:tcPr>
          <w:p w14:paraId="57E6B505" w14:textId="77777777" w:rsidR="00EE5BB8" w:rsidRPr="00C6052E" w:rsidRDefault="00EE5BB8" w:rsidP="00814D77">
            <w:pPr>
              <w:pStyle w:val="Tabletotal"/>
              <w:jc w:val="right"/>
              <w:rPr>
                <w:lang w:val="en-AU"/>
              </w:rPr>
            </w:pPr>
          </w:p>
        </w:tc>
        <w:tc>
          <w:tcPr>
            <w:tcW w:w="1375" w:type="dxa"/>
            <w:noWrap/>
            <w:hideMark/>
          </w:tcPr>
          <w:p w14:paraId="48BB6F7C" w14:textId="77777777" w:rsidR="00EE5BB8" w:rsidRPr="00C6052E" w:rsidRDefault="00EE5BB8" w:rsidP="00814D77">
            <w:pPr>
              <w:pStyle w:val="Tabletotal"/>
              <w:jc w:val="right"/>
              <w:rPr>
                <w:lang w:val="en-AU"/>
              </w:rPr>
            </w:pPr>
            <w:r w:rsidRPr="00C6052E">
              <w:rPr>
                <w:lang w:val="en-AU"/>
              </w:rPr>
              <w:t>849,554</w:t>
            </w:r>
          </w:p>
        </w:tc>
        <w:tc>
          <w:tcPr>
            <w:tcW w:w="1375" w:type="dxa"/>
            <w:noWrap/>
            <w:hideMark/>
          </w:tcPr>
          <w:p w14:paraId="59B0CCC0" w14:textId="77777777" w:rsidR="00EE5BB8" w:rsidRPr="00C6052E" w:rsidRDefault="00EE5BB8" w:rsidP="00814D77">
            <w:pPr>
              <w:pStyle w:val="Tabletotal"/>
              <w:jc w:val="right"/>
              <w:rPr>
                <w:lang w:val="en-AU"/>
              </w:rPr>
            </w:pPr>
            <w:r w:rsidRPr="00C6052E">
              <w:rPr>
                <w:lang w:val="en-AU"/>
              </w:rPr>
              <w:t>853,770</w:t>
            </w:r>
          </w:p>
        </w:tc>
      </w:tr>
    </w:tbl>
    <w:p w14:paraId="4E005940" w14:textId="0565CBF9" w:rsidR="00EE5BB8" w:rsidRPr="00C6052E" w:rsidRDefault="00EE5BB8" w:rsidP="00814D77">
      <w:pPr>
        <w:pStyle w:val="Tablenotes"/>
        <w:ind w:left="0" w:firstLine="0"/>
      </w:pPr>
      <w:r w:rsidRPr="00C6052E">
        <w:t>The</w:t>
      </w:r>
      <w:r w:rsidR="00177848" w:rsidRPr="00C6052E">
        <w:t xml:space="preserve"> </w:t>
      </w:r>
      <w:r w:rsidRPr="00C6052E">
        <w:t>accompanying</w:t>
      </w:r>
      <w:r w:rsidR="00177848" w:rsidRPr="00C6052E">
        <w:t xml:space="preserve"> </w:t>
      </w:r>
      <w:r w:rsidRPr="00C6052E">
        <w:t>notes</w:t>
      </w:r>
      <w:r w:rsidR="00177848" w:rsidRPr="00C6052E">
        <w:t xml:space="preserve"> </w:t>
      </w:r>
      <w:r w:rsidRPr="00C6052E">
        <w:t>form</w:t>
      </w:r>
      <w:r w:rsidR="00177848" w:rsidRPr="00C6052E">
        <w:t xml:space="preserve"> </w:t>
      </w:r>
      <w:r w:rsidRPr="00C6052E">
        <w:t>part</w:t>
      </w:r>
      <w:r w:rsidR="00177848" w:rsidRPr="00C6052E">
        <w:t xml:space="preserve"> </w:t>
      </w:r>
      <w:r w:rsidRPr="00C6052E">
        <w:t>of</w:t>
      </w:r>
      <w:r w:rsidR="00177848" w:rsidRPr="00C6052E">
        <w:t xml:space="preserve"> </w:t>
      </w:r>
      <w:r w:rsidRPr="00C6052E">
        <w:t>these</w:t>
      </w:r>
      <w:r w:rsidR="00177848" w:rsidRPr="00C6052E">
        <w:t xml:space="preserve"> </w:t>
      </w:r>
      <w:r w:rsidRPr="00C6052E">
        <w:t>financial</w:t>
      </w:r>
      <w:r w:rsidR="00177848" w:rsidRPr="00C6052E">
        <w:t xml:space="preserve"> </w:t>
      </w:r>
      <w:r w:rsidRPr="00C6052E">
        <w:t>statements.</w:t>
      </w:r>
    </w:p>
    <w:p w14:paraId="7E6CCA95" w14:textId="49267FDA" w:rsidR="00EE5BB8" w:rsidRPr="00C6052E" w:rsidRDefault="00EE5BB8" w:rsidP="00EE5BB8">
      <w:pPr>
        <w:pStyle w:val="Tablenotes-numbered"/>
        <w:numPr>
          <w:ilvl w:val="0"/>
          <w:numId w:val="16"/>
        </w:numPr>
      </w:pPr>
      <w:r w:rsidRPr="00C6052E">
        <w:t>This</w:t>
      </w:r>
      <w:r w:rsidR="00177848" w:rsidRPr="00C6052E">
        <w:t xml:space="preserve"> </w:t>
      </w:r>
      <w:r w:rsidRPr="00C6052E">
        <w:t>format</w:t>
      </w:r>
      <w:r w:rsidR="00177848" w:rsidRPr="00C6052E">
        <w:t xml:space="preserve"> </w:t>
      </w:r>
      <w:r w:rsidRPr="00C6052E">
        <w:t>is</w:t>
      </w:r>
      <w:r w:rsidR="00177848" w:rsidRPr="00C6052E">
        <w:t xml:space="preserve"> </w:t>
      </w:r>
      <w:r w:rsidRPr="00C6052E">
        <w:t>aligned</w:t>
      </w:r>
      <w:r w:rsidR="00177848" w:rsidRPr="00C6052E">
        <w:t xml:space="preserve"> </w:t>
      </w:r>
      <w:r w:rsidRPr="00C6052E">
        <w:t>to</w:t>
      </w:r>
      <w:r w:rsidR="00177848" w:rsidRPr="00C6052E">
        <w:t xml:space="preserve"> </w:t>
      </w:r>
      <w:r w:rsidRPr="00C6052E">
        <w:t>AASB</w:t>
      </w:r>
      <w:r w:rsidR="00177848" w:rsidRPr="00C6052E">
        <w:t xml:space="preserve"> </w:t>
      </w:r>
      <w:r w:rsidRPr="00C6052E">
        <w:t>1049</w:t>
      </w:r>
      <w:r w:rsidR="00177848" w:rsidRPr="00C6052E">
        <w:t xml:space="preserve"> </w:t>
      </w:r>
      <w:r w:rsidRPr="00C6052E">
        <w:t>Whole</w:t>
      </w:r>
      <w:r w:rsidR="00177848" w:rsidRPr="00C6052E">
        <w:t xml:space="preserve"> </w:t>
      </w:r>
      <w:r w:rsidRPr="00C6052E">
        <w:t>of</w:t>
      </w:r>
      <w:r w:rsidR="00177848" w:rsidRPr="00C6052E">
        <w:t xml:space="preserve"> </w:t>
      </w:r>
      <w:r w:rsidRPr="00C6052E">
        <w:t>Government</w:t>
      </w:r>
      <w:r w:rsidR="00177848" w:rsidRPr="00C6052E">
        <w:t xml:space="preserve"> </w:t>
      </w:r>
      <w:r w:rsidRPr="00C6052E">
        <w:t>and</w:t>
      </w:r>
      <w:r w:rsidR="00177848" w:rsidRPr="00C6052E">
        <w:t xml:space="preserve"> </w:t>
      </w:r>
      <w:r w:rsidRPr="00C6052E">
        <w:t>General</w:t>
      </w:r>
      <w:r w:rsidR="00177848" w:rsidRPr="00C6052E">
        <w:t xml:space="preserve"> </w:t>
      </w:r>
      <w:r w:rsidRPr="00C6052E">
        <w:t>Government</w:t>
      </w:r>
      <w:r w:rsidR="00177848" w:rsidRPr="00C6052E">
        <w:t xml:space="preserve"> </w:t>
      </w:r>
      <w:r w:rsidRPr="00C6052E">
        <w:t>Sector</w:t>
      </w:r>
      <w:r w:rsidR="00177848" w:rsidRPr="00C6052E">
        <w:t xml:space="preserve"> </w:t>
      </w:r>
      <w:r w:rsidRPr="00C6052E">
        <w:t>Financial</w:t>
      </w:r>
      <w:r w:rsidR="00177848" w:rsidRPr="00C6052E">
        <w:t xml:space="preserve"> </w:t>
      </w:r>
      <w:r w:rsidRPr="00C6052E">
        <w:t>Reporting.</w:t>
      </w:r>
    </w:p>
    <w:p w14:paraId="67EC9DF4" w14:textId="2F979921" w:rsidR="00EE5BB8" w:rsidRDefault="00EE5BB8" w:rsidP="00E02B91">
      <w:pPr>
        <w:pStyle w:val="Heading2"/>
        <w:spacing w:after="120"/>
      </w:pPr>
      <w:bookmarkStart w:id="46" w:name="Cash_flow_statement"/>
      <w:bookmarkStart w:id="47" w:name="_Toc163565936"/>
      <w:bookmarkStart w:id="48" w:name="_Toc207622402"/>
      <w:bookmarkStart w:id="49" w:name="_Ref209625874"/>
      <w:bookmarkStart w:id="50" w:name="_Ref209625899"/>
      <w:bookmarkStart w:id="51" w:name="_Toc213852182"/>
      <w:bookmarkStart w:id="52" w:name="_Toc214375520"/>
      <w:bookmarkStart w:id="53" w:name="_Toc214618233"/>
      <w:r w:rsidRPr="00C6052E">
        <w:lastRenderedPageBreak/>
        <w:t>Cash</w:t>
      </w:r>
      <w:r w:rsidR="00177848" w:rsidRPr="00C6052E">
        <w:t xml:space="preserve"> </w:t>
      </w:r>
      <w:r w:rsidRPr="00C6052E">
        <w:t>flow</w:t>
      </w:r>
      <w:r w:rsidR="00177848" w:rsidRPr="00C6052E">
        <w:t xml:space="preserve"> </w:t>
      </w:r>
      <w:r w:rsidRPr="00C6052E">
        <w:t>statement</w:t>
      </w:r>
      <w:r w:rsidR="00177848" w:rsidRPr="00C6052E">
        <w:t xml:space="preserve"> </w:t>
      </w:r>
      <w:r w:rsidRPr="00C6052E">
        <w:t>for</w:t>
      </w:r>
      <w:r w:rsidR="00177848" w:rsidRPr="00C6052E">
        <w:t xml:space="preserve"> </w:t>
      </w:r>
      <w:r w:rsidRPr="00C6052E">
        <w:t>the</w:t>
      </w:r>
      <w:r w:rsidR="00177848" w:rsidRPr="00C6052E">
        <w:t xml:space="preserve"> </w:t>
      </w:r>
      <w:r w:rsidRPr="00C6052E">
        <w:t>financial</w:t>
      </w:r>
      <w:r w:rsidR="00177848" w:rsidRPr="00C6052E">
        <w:t xml:space="preserve"> </w:t>
      </w:r>
      <w:r w:rsidRPr="00C6052E">
        <w:t>year</w:t>
      </w:r>
      <w:r w:rsidR="00177848" w:rsidRPr="00C6052E">
        <w:t xml:space="preserve"> </w:t>
      </w:r>
      <w:r w:rsidRPr="00C6052E">
        <w:t>ended</w:t>
      </w:r>
      <w:r w:rsidR="00177848" w:rsidRPr="00C6052E">
        <w:t xml:space="preserve"> </w:t>
      </w:r>
      <w:fldSimple w:instr=" DOCPROPERTY  pEnd_A  \* MERGEFORMAT ">
        <w:r w:rsidRPr="00C6052E">
          <w:t>30</w:t>
        </w:r>
        <w:r w:rsidR="00177848" w:rsidRPr="00C6052E">
          <w:t xml:space="preserve"> </w:t>
        </w:r>
        <w:r w:rsidRPr="00C6052E">
          <w:t>June</w:t>
        </w:r>
      </w:fldSimple>
      <w:r w:rsidR="00177848" w:rsidRPr="00C6052E">
        <w:t xml:space="preserve"> </w:t>
      </w:r>
      <w:fldSimple w:instr=" DOCPROPERTY  crYear  \* MERGEFORMAT ">
        <w:r w:rsidRPr="00C6052E">
          <w:t>2025</w:t>
        </w:r>
      </w:fldSimple>
      <w:bookmarkEnd w:id="46"/>
      <w:r w:rsidRPr="00C6052E">
        <w:rPr>
          <w:vertAlign w:val="superscript"/>
        </w:rPr>
        <w:t>(i)</w:t>
      </w:r>
      <w:bookmarkEnd w:id="47"/>
      <w:bookmarkEnd w:id="48"/>
      <w:bookmarkEnd w:id="49"/>
      <w:bookmarkEnd w:id="50"/>
      <w:bookmarkEnd w:id="51"/>
      <w:bookmarkEnd w:id="52"/>
      <w:bookmarkEnd w:id="53"/>
    </w:p>
    <w:p w14:paraId="7A04562D" w14:textId="77777777" w:rsidR="00E02B91" w:rsidRPr="00E02B91" w:rsidRDefault="00E02B91" w:rsidP="00E02B91">
      <w:pPr>
        <w:pStyle w:val="Normalbeforebullets"/>
        <w:rPr>
          <w:b/>
          <w:bCs/>
        </w:rPr>
      </w:pPr>
      <w:r w:rsidRPr="00E02B91">
        <w:rPr>
          <w:b/>
          <w:bCs/>
        </w:rPr>
        <w:t>($ thousand)</w:t>
      </w:r>
    </w:p>
    <w:tbl>
      <w:tblPr>
        <w:tblStyle w:val="TableGrid"/>
        <w:tblW w:w="9634" w:type="dxa"/>
        <w:tblLayout w:type="fixed"/>
        <w:tblLook w:val="04E0" w:firstRow="1" w:lastRow="1" w:firstColumn="1" w:lastColumn="0" w:noHBand="0" w:noVBand="1"/>
      </w:tblPr>
      <w:tblGrid>
        <w:gridCol w:w="6516"/>
        <w:gridCol w:w="709"/>
        <w:gridCol w:w="1204"/>
        <w:gridCol w:w="1205"/>
      </w:tblGrid>
      <w:tr w:rsidR="00EE5BB8" w:rsidRPr="00C6052E" w14:paraId="5E77C679" w14:textId="77777777" w:rsidTr="00E02B91">
        <w:trPr>
          <w:tblHeader/>
        </w:trPr>
        <w:tc>
          <w:tcPr>
            <w:tcW w:w="6516" w:type="dxa"/>
            <w:noWrap/>
            <w:hideMark/>
          </w:tcPr>
          <w:p w14:paraId="74539F96" w14:textId="77777777" w:rsidR="00EE5BB8" w:rsidRPr="00C6052E" w:rsidRDefault="00EE5BB8" w:rsidP="000F5B20">
            <w:pPr>
              <w:pStyle w:val="TableColumnHeading"/>
            </w:pPr>
            <w:bookmarkStart w:id="54" w:name="TableColumnHeadings_41"/>
            <w:bookmarkEnd w:id="54"/>
          </w:p>
        </w:tc>
        <w:tc>
          <w:tcPr>
            <w:tcW w:w="709" w:type="dxa"/>
            <w:hideMark/>
          </w:tcPr>
          <w:p w14:paraId="471E227F" w14:textId="77777777" w:rsidR="00EE5BB8" w:rsidRPr="00C6052E" w:rsidRDefault="00EE5BB8" w:rsidP="000F5B20">
            <w:pPr>
              <w:pStyle w:val="TableColumnHeading"/>
              <w:jc w:val="right"/>
            </w:pPr>
            <w:r w:rsidRPr="00C6052E">
              <w:t>Note</w:t>
            </w:r>
          </w:p>
        </w:tc>
        <w:tc>
          <w:tcPr>
            <w:tcW w:w="1204" w:type="dxa"/>
            <w:hideMark/>
          </w:tcPr>
          <w:p w14:paraId="6A1E3647" w14:textId="77777777" w:rsidR="00EE5BB8" w:rsidRPr="00C6052E" w:rsidRDefault="00EE5BB8" w:rsidP="000F5B20">
            <w:pPr>
              <w:pStyle w:val="TableColumnHeading"/>
              <w:jc w:val="right"/>
            </w:pPr>
            <w:r w:rsidRPr="00C6052E">
              <w:t>2025</w:t>
            </w:r>
          </w:p>
        </w:tc>
        <w:tc>
          <w:tcPr>
            <w:tcW w:w="1205" w:type="dxa"/>
            <w:hideMark/>
          </w:tcPr>
          <w:p w14:paraId="24154153" w14:textId="77777777" w:rsidR="00EE5BB8" w:rsidRPr="00C6052E" w:rsidRDefault="00EE5BB8" w:rsidP="000F5B20">
            <w:pPr>
              <w:pStyle w:val="TableColumnHeading"/>
              <w:jc w:val="right"/>
            </w:pPr>
            <w:r w:rsidRPr="00C6052E">
              <w:t>2024</w:t>
            </w:r>
          </w:p>
        </w:tc>
      </w:tr>
      <w:tr w:rsidR="000F5B20" w:rsidRPr="000F5B20" w14:paraId="4A2404B0" w14:textId="77777777" w:rsidTr="00E02B91">
        <w:tc>
          <w:tcPr>
            <w:tcW w:w="6516" w:type="dxa"/>
          </w:tcPr>
          <w:p w14:paraId="53E11259" w14:textId="60F91AA3" w:rsidR="000F5B20" w:rsidRPr="000F5B20" w:rsidRDefault="000F5B20" w:rsidP="000F5B20">
            <w:pPr>
              <w:pStyle w:val="TableHeading"/>
            </w:pPr>
            <w:r w:rsidRPr="00C6052E">
              <w:t>Cash flows from operating activities</w:t>
            </w:r>
          </w:p>
        </w:tc>
        <w:tc>
          <w:tcPr>
            <w:tcW w:w="709" w:type="dxa"/>
            <w:noWrap/>
          </w:tcPr>
          <w:p w14:paraId="7C89BC91" w14:textId="77777777" w:rsidR="000F5B20" w:rsidRPr="000F5B20" w:rsidRDefault="000F5B20" w:rsidP="000F5B20">
            <w:pPr>
              <w:pStyle w:val="TableHeading"/>
              <w:jc w:val="right"/>
            </w:pPr>
          </w:p>
        </w:tc>
        <w:tc>
          <w:tcPr>
            <w:tcW w:w="1204" w:type="dxa"/>
            <w:noWrap/>
          </w:tcPr>
          <w:p w14:paraId="4B13F784" w14:textId="77777777" w:rsidR="000F5B20" w:rsidRPr="000F5B20" w:rsidRDefault="000F5B20" w:rsidP="000F5B20">
            <w:pPr>
              <w:pStyle w:val="TableHeading"/>
              <w:jc w:val="right"/>
            </w:pPr>
          </w:p>
        </w:tc>
        <w:tc>
          <w:tcPr>
            <w:tcW w:w="1205" w:type="dxa"/>
            <w:noWrap/>
          </w:tcPr>
          <w:p w14:paraId="580B7212" w14:textId="77777777" w:rsidR="000F5B20" w:rsidRPr="000F5B20" w:rsidRDefault="000F5B20" w:rsidP="000F5B20">
            <w:pPr>
              <w:pStyle w:val="TableHeading"/>
              <w:jc w:val="right"/>
            </w:pPr>
          </w:p>
        </w:tc>
      </w:tr>
      <w:tr w:rsidR="000F5B20" w:rsidRPr="000F5B20" w14:paraId="39DD9639" w14:textId="77777777" w:rsidTr="00E02B91">
        <w:tc>
          <w:tcPr>
            <w:tcW w:w="6516" w:type="dxa"/>
          </w:tcPr>
          <w:p w14:paraId="036DEED9" w14:textId="0F191C71" w:rsidR="000F5B20" w:rsidRPr="000F5B20" w:rsidRDefault="000F5B20" w:rsidP="0074303D">
            <w:pPr>
              <w:pStyle w:val="TableHeading"/>
            </w:pPr>
            <w:r w:rsidRPr="00C6052E">
              <w:t>Receipts</w:t>
            </w:r>
          </w:p>
        </w:tc>
        <w:tc>
          <w:tcPr>
            <w:tcW w:w="709" w:type="dxa"/>
            <w:noWrap/>
          </w:tcPr>
          <w:p w14:paraId="2B709AC1" w14:textId="77777777" w:rsidR="000F5B20" w:rsidRPr="000F5B20" w:rsidRDefault="000F5B20" w:rsidP="000F5B20">
            <w:pPr>
              <w:pStyle w:val="TableHeading"/>
              <w:jc w:val="right"/>
            </w:pPr>
          </w:p>
        </w:tc>
        <w:tc>
          <w:tcPr>
            <w:tcW w:w="1204" w:type="dxa"/>
            <w:noWrap/>
          </w:tcPr>
          <w:p w14:paraId="19EDA021" w14:textId="77777777" w:rsidR="000F5B20" w:rsidRPr="000F5B20" w:rsidRDefault="000F5B20" w:rsidP="000F5B20">
            <w:pPr>
              <w:pStyle w:val="TableHeading"/>
              <w:jc w:val="right"/>
            </w:pPr>
          </w:p>
        </w:tc>
        <w:tc>
          <w:tcPr>
            <w:tcW w:w="1205" w:type="dxa"/>
            <w:noWrap/>
          </w:tcPr>
          <w:p w14:paraId="4C24C670" w14:textId="77777777" w:rsidR="000F5B20" w:rsidRPr="000F5B20" w:rsidRDefault="000F5B20" w:rsidP="000F5B20">
            <w:pPr>
              <w:pStyle w:val="TableHeading"/>
              <w:jc w:val="right"/>
            </w:pPr>
          </w:p>
        </w:tc>
      </w:tr>
      <w:tr w:rsidR="00EE5BB8" w:rsidRPr="000F5B20" w14:paraId="6E9A485E" w14:textId="77777777" w:rsidTr="00E02B91">
        <w:tc>
          <w:tcPr>
            <w:tcW w:w="6516" w:type="dxa"/>
            <w:hideMark/>
          </w:tcPr>
          <w:p w14:paraId="2145E8C3" w14:textId="4A53D97F" w:rsidR="00EE5BB8" w:rsidRPr="000F5B20" w:rsidRDefault="00EE5BB8" w:rsidP="000F5B20">
            <w:pPr>
              <w:pStyle w:val="TableCopy"/>
            </w:pPr>
            <w:r w:rsidRPr="000F5B20">
              <w:t>Receipts</w:t>
            </w:r>
            <w:r w:rsidR="00177848" w:rsidRPr="000F5B20">
              <w:t xml:space="preserve"> </w:t>
            </w:r>
            <w:r w:rsidRPr="000F5B20">
              <w:t>from</w:t>
            </w:r>
            <w:r w:rsidR="00177848" w:rsidRPr="000F5B20">
              <w:t xml:space="preserve"> </w:t>
            </w:r>
            <w:r w:rsidRPr="000F5B20">
              <w:t>Victorian</w:t>
            </w:r>
            <w:r w:rsidR="00177848" w:rsidRPr="000F5B20">
              <w:t xml:space="preserve"> </w:t>
            </w:r>
            <w:r w:rsidRPr="000F5B20">
              <w:t>Government</w:t>
            </w:r>
          </w:p>
        </w:tc>
        <w:tc>
          <w:tcPr>
            <w:tcW w:w="709" w:type="dxa"/>
            <w:noWrap/>
          </w:tcPr>
          <w:p w14:paraId="11FF3405" w14:textId="77777777" w:rsidR="00EE5BB8" w:rsidRPr="000F5B20" w:rsidRDefault="00EE5BB8" w:rsidP="000F5B20">
            <w:pPr>
              <w:pStyle w:val="TableCopy"/>
              <w:jc w:val="right"/>
            </w:pPr>
          </w:p>
        </w:tc>
        <w:tc>
          <w:tcPr>
            <w:tcW w:w="1204" w:type="dxa"/>
            <w:noWrap/>
            <w:hideMark/>
          </w:tcPr>
          <w:p w14:paraId="067B599E" w14:textId="77777777" w:rsidR="00EE5BB8" w:rsidRPr="000F5B20" w:rsidRDefault="00EE5BB8" w:rsidP="000F5B20">
            <w:pPr>
              <w:pStyle w:val="TableCopy"/>
              <w:jc w:val="right"/>
            </w:pPr>
            <w:r w:rsidRPr="000F5B20">
              <w:t>3,406,936</w:t>
            </w:r>
          </w:p>
        </w:tc>
        <w:tc>
          <w:tcPr>
            <w:tcW w:w="1205" w:type="dxa"/>
            <w:noWrap/>
            <w:hideMark/>
          </w:tcPr>
          <w:p w14:paraId="4529C5E9" w14:textId="77777777" w:rsidR="00EE5BB8" w:rsidRPr="000F5B20" w:rsidRDefault="00EE5BB8" w:rsidP="000F5B20">
            <w:pPr>
              <w:pStyle w:val="TableCopy"/>
              <w:jc w:val="right"/>
            </w:pPr>
            <w:r w:rsidRPr="000F5B20">
              <w:t>3,134,723</w:t>
            </w:r>
          </w:p>
        </w:tc>
      </w:tr>
      <w:tr w:rsidR="00EE5BB8" w:rsidRPr="000F5B20" w14:paraId="34B67C1F" w14:textId="77777777" w:rsidTr="00E02B91">
        <w:tc>
          <w:tcPr>
            <w:tcW w:w="6516" w:type="dxa"/>
            <w:hideMark/>
          </w:tcPr>
          <w:p w14:paraId="2FD73E5A" w14:textId="26F4B8CA" w:rsidR="00EE5BB8" w:rsidRPr="000F5B20" w:rsidRDefault="00EE5BB8" w:rsidP="000F5B20">
            <w:pPr>
              <w:pStyle w:val="TableCopy"/>
            </w:pPr>
            <w:r w:rsidRPr="000F5B20">
              <w:t>Receipts</w:t>
            </w:r>
            <w:r w:rsidR="00177848" w:rsidRPr="000F5B20">
              <w:t xml:space="preserve"> </w:t>
            </w:r>
            <w:r w:rsidRPr="000F5B20">
              <w:t>from</w:t>
            </w:r>
            <w:r w:rsidR="00177848" w:rsidRPr="000F5B20">
              <w:t xml:space="preserve"> </w:t>
            </w:r>
            <w:r w:rsidRPr="000F5B20">
              <w:t>other</w:t>
            </w:r>
            <w:r w:rsidR="00177848" w:rsidRPr="000F5B20">
              <w:t xml:space="preserve"> </w:t>
            </w:r>
            <w:r w:rsidRPr="000F5B20">
              <w:t>entities</w:t>
            </w:r>
          </w:p>
        </w:tc>
        <w:tc>
          <w:tcPr>
            <w:tcW w:w="709" w:type="dxa"/>
            <w:noWrap/>
          </w:tcPr>
          <w:p w14:paraId="6F7FD471" w14:textId="77777777" w:rsidR="00EE5BB8" w:rsidRPr="000F5B20" w:rsidRDefault="00EE5BB8" w:rsidP="000F5B20">
            <w:pPr>
              <w:pStyle w:val="TableCopy"/>
              <w:jc w:val="right"/>
            </w:pPr>
          </w:p>
        </w:tc>
        <w:tc>
          <w:tcPr>
            <w:tcW w:w="1204" w:type="dxa"/>
            <w:noWrap/>
            <w:hideMark/>
          </w:tcPr>
          <w:p w14:paraId="1605D369" w14:textId="77777777" w:rsidR="00EE5BB8" w:rsidRPr="000F5B20" w:rsidRDefault="00EE5BB8" w:rsidP="000F5B20">
            <w:pPr>
              <w:pStyle w:val="TableCopy"/>
              <w:jc w:val="right"/>
            </w:pPr>
            <w:r w:rsidRPr="000F5B20">
              <w:t>294,258</w:t>
            </w:r>
          </w:p>
        </w:tc>
        <w:tc>
          <w:tcPr>
            <w:tcW w:w="1205" w:type="dxa"/>
            <w:noWrap/>
            <w:hideMark/>
          </w:tcPr>
          <w:p w14:paraId="788C2D65" w14:textId="77777777" w:rsidR="00EE5BB8" w:rsidRPr="000F5B20" w:rsidRDefault="00EE5BB8" w:rsidP="000F5B20">
            <w:pPr>
              <w:pStyle w:val="TableCopy"/>
              <w:jc w:val="right"/>
            </w:pPr>
            <w:r w:rsidRPr="000F5B20">
              <w:t>269,758</w:t>
            </w:r>
          </w:p>
        </w:tc>
      </w:tr>
      <w:tr w:rsidR="00EE5BB8" w:rsidRPr="000F5B20" w14:paraId="6E634B77" w14:textId="77777777" w:rsidTr="00E02B91">
        <w:tc>
          <w:tcPr>
            <w:tcW w:w="6516" w:type="dxa"/>
            <w:hideMark/>
          </w:tcPr>
          <w:p w14:paraId="57C471A0" w14:textId="6D5E9989" w:rsidR="00EE5BB8" w:rsidRPr="000F5B20" w:rsidRDefault="00EE5BB8" w:rsidP="000F5B20">
            <w:pPr>
              <w:pStyle w:val="TableCopy"/>
            </w:pPr>
            <w:r w:rsidRPr="000F5B20">
              <w:t>Goods</w:t>
            </w:r>
            <w:r w:rsidR="00177848" w:rsidRPr="000F5B20">
              <w:t xml:space="preserve"> </w:t>
            </w:r>
            <w:r w:rsidRPr="000F5B20">
              <w:t>and</w:t>
            </w:r>
            <w:r w:rsidR="00177848" w:rsidRPr="000F5B20">
              <w:t xml:space="preserve"> </w:t>
            </w:r>
            <w:r w:rsidRPr="000F5B20">
              <w:t>Services</w:t>
            </w:r>
            <w:r w:rsidR="00177848" w:rsidRPr="000F5B20">
              <w:t xml:space="preserve"> </w:t>
            </w:r>
            <w:r w:rsidRPr="000F5B20">
              <w:t>Tax</w:t>
            </w:r>
            <w:r w:rsidR="00177848" w:rsidRPr="000F5B20">
              <w:t xml:space="preserve"> </w:t>
            </w:r>
            <w:r w:rsidRPr="000F5B20">
              <w:t>recovered</w:t>
            </w:r>
            <w:r w:rsidR="00177848" w:rsidRPr="000F5B20">
              <w:t xml:space="preserve"> </w:t>
            </w:r>
            <w:r w:rsidRPr="000F5B20">
              <w:t>from</w:t>
            </w:r>
            <w:r w:rsidR="00177848" w:rsidRPr="000F5B20">
              <w:t xml:space="preserve"> </w:t>
            </w:r>
            <w:r w:rsidRPr="000F5B20">
              <w:t>the</w:t>
            </w:r>
            <w:r w:rsidR="00177848" w:rsidRPr="000F5B20">
              <w:t xml:space="preserve"> </w:t>
            </w:r>
            <w:r w:rsidRPr="000F5B20">
              <w:t>ATO</w:t>
            </w:r>
            <w:r w:rsidRPr="000F5B20">
              <w:rPr>
                <w:vertAlign w:val="superscript"/>
              </w:rPr>
              <w:t>(ii)</w:t>
            </w:r>
          </w:p>
        </w:tc>
        <w:tc>
          <w:tcPr>
            <w:tcW w:w="709" w:type="dxa"/>
            <w:noWrap/>
          </w:tcPr>
          <w:p w14:paraId="2647E217" w14:textId="77777777" w:rsidR="00EE5BB8" w:rsidRPr="000F5B20" w:rsidRDefault="00EE5BB8" w:rsidP="000F5B20">
            <w:pPr>
              <w:pStyle w:val="TableCopy"/>
              <w:jc w:val="right"/>
            </w:pPr>
          </w:p>
        </w:tc>
        <w:tc>
          <w:tcPr>
            <w:tcW w:w="1204" w:type="dxa"/>
            <w:noWrap/>
            <w:hideMark/>
          </w:tcPr>
          <w:p w14:paraId="2EB95377" w14:textId="77777777" w:rsidR="00EE5BB8" w:rsidRPr="000F5B20" w:rsidRDefault="00EE5BB8" w:rsidP="000F5B20">
            <w:pPr>
              <w:pStyle w:val="TableCopy"/>
              <w:jc w:val="right"/>
            </w:pPr>
            <w:r w:rsidRPr="000F5B20">
              <w:t>242,143</w:t>
            </w:r>
          </w:p>
        </w:tc>
        <w:tc>
          <w:tcPr>
            <w:tcW w:w="1205" w:type="dxa"/>
            <w:noWrap/>
            <w:hideMark/>
          </w:tcPr>
          <w:p w14:paraId="16C3BE2C" w14:textId="77777777" w:rsidR="00EE5BB8" w:rsidRPr="000F5B20" w:rsidRDefault="00EE5BB8" w:rsidP="000F5B20">
            <w:pPr>
              <w:pStyle w:val="TableCopy"/>
              <w:jc w:val="right"/>
            </w:pPr>
            <w:r w:rsidRPr="000F5B20">
              <w:t>161,857</w:t>
            </w:r>
          </w:p>
        </w:tc>
      </w:tr>
      <w:tr w:rsidR="00EE5BB8" w:rsidRPr="000F5B20" w14:paraId="284208E6" w14:textId="77777777" w:rsidTr="00E02B91">
        <w:tc>
          <w:tcPr>
            <w:tcW w:w="6516" w:type="dxa"/>
            <w:hideMark/>
          </w:tcPr>
          <w:p w14:paraId="7252F7E2" w14:textId="7CE0B8AC" w:rsidR="00EE5BB8" w:rsidRPr="000F5B20" w:rsidRDefault="00EE5BB8" w:rsidP="000F5B20">
            <w:pPr>
              <w:pStyle w:val="TableCopy"/>
            </w:pPr>
            <w:r w:rsidRPr="000F5B20">
              <w:t>Receipts</w:t>
            </w:r>
            <w:r w:rsidR="00177848" w:rsidRPr="000F5B20">
              <w:t xml:space="preserve"> </w:t>
            </w:r>
            <w:r w:rsidRPr="000F5B20">
              <w:t>from</w:t>
            </w:r>
            <w:r w:rsidR="00177848" w:rsidRPr="000F5B20">
              <w:t xml:space="preserve"> </w:t>
            </w:r>
            <w:r w:rsidRPr="000F5B20">
              <w:t>sales</w:t>
            </w:r>
            <w:r w:rsidR="00177848" w:rsidRPr="000F5B20">
              <w:t xml:space="preserve"> </w:t>
            </w:r>
            <w:r w:rsidRPr="000F5B20">
              <w:t>of</w:t>
            </w:r>
            <w:r w:rsidR="00177848" w:rsidRPr="000F5B20">
              <w:t xml:space="preserve"> </w:t>
            </w:r>
            <w:r w:rsidRPr="000F5B20">
              <w:t>services</w:t>
            </w:r>
          </w:p>
        </w:tc>
        <w:tc>
          <w:tcPr>
            <w:tcW w:w="709" w:type="dxa"/>
            <w:noWrap/>
          </w:tcPr>
          <w:p w14:paraId="73FC896B" w14:textId="77777777" w:rsidR="00EE5BB8" w:rsidRPr="000F5B20" w:rsidRDefault="00EE5BB8" w:rsidP="000F5B20">
            <w:pPr>
              <w:pStyle w:val="TableCopy"/>
              <w:jc w:val="right"/>
            </w:pPr>
          </w:p>
        </w:tc>
        <w:tc>
          <w:tcPr>
            <w:tcW w:w="1204" w:type="dxa"/>
            <w:noWrap/>
            <w:hideMark/>
          </w:tcPr>
          <w:p w14:paraId="3A30B280" w14:textId="77777777" w:rsidR="00EE5BB8" w:rsidRPr="000F5B20" w:rsidRDefault="00EE5BB8" w:rsidP="000F5B20">
            <w:pPr>
              <w:pStyle w:val="TableCopy"/>
              <w:jc w:val="right"/>
            </w:pPr>
            <w:r w:rsidRPr="000F5B20">
              <w:t>601</w:t>
            </w:r>
          </w:p>
        </w:tc>
        <w:tc>
          <w:tcPr>
            <w:tcW w:w="1205" w:type="dxa"/>
            <w:noWrap/>
            <w:hideMark/>
          </w:tcPr>
          <w:p w14:paraId="793CB03D" w14:textId="77777777" w:rsidR="00EE5BB8" w:rsidRPr="000F5B20" w:rsidRDefault="00EE5BB8" w:rsidP="000F5B20">
            <w:pPr>
              <w:pStyle w:val="TableCopy"/>
              <w:jc w:val="right"/>
            </w:pPr>
            <w:r w:rsidRPr="000F5B20">
              <w:t>358</w:t>
            </w:r>
          </w:p>
        </w:tc>
      </w:tr>
      <w:tr w:rsidR="00EE5BB8" w:rsidRPr="000F5B20" w14:paraId="65D6CD27" w14:textId="77777777" w:rsidTr="00E02B91">
        <w:tc>
          <w:tcPr>
            <w:tcW w:w="6516" w:type="dxa"/>
            <w:hideMark/>
          </w:tcPr>
          <w:p w14:paraId="085C3966" w14:textId="77DDC12E" w:rsidR="00EE5BB8" w:rsidRPr="000F5B20" w:rsidRDefault="00EE5BB8" w:rsidP="000F5B20">
            <w:pPr>
              <w:pStyle w:val="TableCopy"/>
            </w:pPr>
            <w:r w:rsidRPr="000F5B20">
              <w:t>Interest</w:t>
            </w:r>
            <w:r w:rsidR="00177848" w:rsidRPr="000F5B20">
              <w:t xml:space="preserve"> </w:t>
            </w:r>
            <w:r w:rsidRPr="000F5B20">
              <w:t>received</w:t>
            </w:r>
          </w:p>
        </w:tc>
        <w:tc>
          <w:tcPr>
            <w:tcW w:w="709" w:type="dxa"/>
            <w:noWrap/>
          </w:tcPr>
          <w:p w14:paraId="5512A95D" w14:textId="77777777" w:rsidR="00EE5BB8" w:rsidRPr="000F5B20" w:rsidRDefault="00EE5BB8" w:rsidP="000F5B20">
            <w:pPr>
              <w:pStyle w:val="TableCopy"/>
              <w:jc w:val="right"/>
            </w:pPr>
          </w:p>
        </w:tc>
        <w:tc>
          <w:tcPr>
            <w:tcW w:w="1204" w:type="dxa"/>
            <w:noWrap/>
            <w:hideMark/>
          </w:tcPr>
          <w:p w14:paraId="47F82E2D" w14:textId="77777777" w:rsidR="00EE5BB8" w:rsidRPr="000F5B20" w:rsidRDefault="00EE5BB8" w:rsidP="000F5B20">
            <w:pPr>
              <w:pStyle w:val="TableCopy"/>
              <w:jc w:val="right"/>
            </w:pPr>
            <w:r w:rsidRPr="000F5B20">
              <w:t>6,174</w:t>
            </w:r>
          </w:p>
        </w:tc>
        <w:tc>
          <w:tcPr>
            <w:tcW w:w="1205" w:type="dxa"/>
            <w:noWrap/>
            <w:hideMark/>
          </w:tcPr>
          <w:p w14:paraId="17104293" w14:textId="77777777" w:rsidR="00EE5BB8" w:rsidRPr="000F5B20" w:rsidRDefault="00EE5BB8" w:rsidP="000F5B20">
            <w:pPr>
              <w:pStyle w:val="TableCopy"/>
              <w:jc w:val="right"/>
            </w:pPr>
            <w:r w:rsidRPr="000F5B20">
              <w:t>6,278</w:t>
            </w:r>
          </w:p>
        </w:tc>
      </w:tr>
      <w:tr w:rsidR="00EE5BB8" w:rsidRPr="000F5B20" w14:paraId="7397BCE1" w14:textId="77777777" w:rsidTr="00E02B91">
        <w:tc>
          <w:tcPr>
            <w:tcW w:w="6516" w:type="dxa"/>
            <w:hideMark/>
          </w:tcPr>
          <w:p w14:paraId="7C894381" w14:textId="35DBC236" w:rsidR="00EE5BB8" w:rsidRPr="000F5B20" w:rsidRDefault="00EE5BB8" w:rsidP="00814D77">
            <w:pPr>
              <w:pStyle w:val="Tabletotal"/>
            </w:pPr>
            <w:r w:rsidRPr="000F5B20">
              <w:t>Total</w:t>
            </w:r>
            <w:r w:rsidR="00177848" w:rsidRPr="000F5B20">
              <w:t xml:space="preserve"> </w:t>
            </w:r>
            <w:r w:rsidRPr="000F5B20">
              <w:t>receipts</w:t>
            </w:r>
          </w:p>
        </w:tc>
        <w:tc>
          <w:tcPr>
            <w:tcW w:w="709" w:type="dxa"/>
            <w:hideMark/>
          </w:tcPr>
          <w:p w14:paraId="38EFB31C" w14:textId="77777777" w:rsidR="00EE5BB8" w:rsidRPr="000F5B20" w:rsidRDefault="00EE5BB8" w:rsidP="00814D77">
            <w:pPr>
              <w:pStyle w:val="Tabletotal"/>
              <w:jc w:val="right"/>
            </w:pPr>
          </w:p>
        </w:tc>
        <w:tc>
          <w:tcPr>
            <w:tcW w:w="1204" w:type="dxa"/>
            <w:noWrap/>
            <w:hideMark/>
          </w:tcPr>
          <w:p w14:paraId="5EB70DC4" w14:textId="77777777" w:rsidR="00EE5BB8" w:rsidRPr="000F5B20" w:rsidRDefault="00EE5BB8" w:rsidP="00814D77">
            <w:pPr>
              <w:pStyle w:val="Tabletotal"/>
              <w:jc w:val="right"/>
            </w:pPr>
            <w:r w:rsidRPr="000F5B20">
              <w:t>3,950,112</w:t>
            </w:r>
          </w:p>
        </w:tc>
        <w:tc>
          <w:tcPr>
            <w:tcW w:w="1205" w:type="dxa"/>
            <w:noWrap/>
            <w:hideMark/>
          </w:tcPr>
          <w:p w14:paraId="2F97F4D1" w14:textId="77777777" w:rsidR="00EE5BB8" w:rsidRPr="000F5B20" w:rsidRDefault="00EE5BB8" w:rsidP="00814D77">
            <w:pPr>
              <w:pStyle w:val="Tabletotal"/>
              <w:jc w:val="right"/>
            </w:pPr>
            <w:r w:rsidRPr="000F5B20">
              <w:t>3,572,974</w:t>
            </w:r>
          </w:p>
        </w:tc>
      </w:tr>
      <w:tr w:rsidR="000F5B20" w:rsidRPr="000F5B20" w14:paraId="49DDC53B" w14:textId="77777777" w:rsidTr="00E02B91">
        <w:tc>
          <w:tcPr>
            <w:tcW w:w="6516" w:type="dxa"/>
          </w:tcPr>
          <w:p w14:paraId="6EC61AAA" w14:textId="1BF73EBA" w:rsidR="000F5B20" w:rsidRPr="000F5B20" w:rsidRDefault="000F5B20" w:rsidP="00FB2219">
            <w:pPr>
              <w:pStyle w:val="TableHeading"/>
            </w:pPr>
            <w:r w:rsidRPr="00C6052E">
              <w:t>Payments</w:t>
            </w:r>
          </w:p>
        </w:tc>
        <w:tc>
          <w:tcPr>
            <w:tcW w:w="709" w:type="dxa"/>
            <w:noWrap/>
          </w:tcPr>
          <w:p w14:paraId="40F9D21C" w14:textId="77777777" w:rsidR="000F5B20" w:rsidRPr="000F5B20" w:rsidRDefault="000F5B20" w:rsidP="000F5B20">
            <w:pPr>
              <w:pStyle w:val="TableHeading"/>
              <w:jc w:val="right"/>
            </w:pPr>
          </w:p>
        </w:tc>
        <w:tc>
          <w:tcPr>
            <w:tcW w:w="1204" w:type="dxa"/>
            <w:noWrap/>
          </w:tcPr>
          <w:p w14:paraId="4AFE5ACE" w14:textId="77777777" w:rsidR="000F5B20" w:rsidRPr="000F5B20" w:rsidRDefault="000F5B20" w:rsidP="000F5B20">
            <w:pPr>
              <w:pStyle w:val="TableHeading"/>
              <w:jc w:val="right"/>
            </w:pPr>
          </w:p>
        </w:tc>
        <w:tc>
          <w:tcPr>
            <w:tcW w:w="1205" w:type="dxa"/>
            <w:noWrap/>
          </w:tcPr>
          <w:p w14:paraId="1AEE7A7D" w14:textId="77777777" w:rsidR="000F5B20" w:rsidRPr="000F5B20" w:rsidRDefault="000F5B20" w:rsidP="000F5B20">
            <w:pPr>
              <w:pStyle w:val="TableHeading"/>
              <w:jc w:val="right"/>
            </w:pPr>
          </w:p>
        </w:tc>
      </w:tr>
      <w:tr w:rsidR="00EE5BB8" w:rsidRPr="000F5B20" w14:paraId="0195BF3D" w14:textId="77777777" w:rsidTr="00E02B91">
        <w:tc>
          <w:tcPr>
            <w:tcW w:w="6516" w:type="dxa"/>
            <w:hideMark/>
          </w:tcPr>
          <w:p w14:paraId="1AA7C12F" w14:textId="797C1BD8" w:rsidR="00EE5BB8" w:rsidRPr="000F5B20" w:rsidRDefault="00EE5BB8" w:rsidP="000F5B20">
            <w:pPr>
              <w:pStyle w:val="TableCopy"/>
            </w:pPr>
            <w:r w:rsidRPr="000F5B20">
              <w:t>Payments</w:t>
            </w:r>
            <w:r w:rsidR="00177848" w:rsidRPr="000F5B20">
              <w:t xml:space="preserve"> </w:t>
            </w:r>
            <w:r w:rsidRPr="000F5B20">
              <w:t>of</w:t>
            </w:r>
            <w:r w:rsidR="00177848" w:rsidRPr="000F5B20">
              <w:t xml:space="preserve"> </w:t>
            </w:r>
            <w:r w:rsidRPr="000F5B20">
              <w:t>grants</w:t>
            </w:r>
            <w:r w:rsidR="00177848" w:rsidRPr="000F5B20">
              <w:t xml:space="preserve"> </w:t>
            </w:r>
            <w:r w:rsidRPr="000F5B20">
              <w:t>and</w:t>
            </w:r>
            <w:r w:rsidR="00177848" w:rsidRPr="000F5B20">
              <w:t xml:space="preserve"> </w:t>
            </w:r>
            <w:r w:rsidRPr="000F5B20">
              <w:t>other</w:t>
            </w:r>
            <w:r w:rsidR="00177848" w:rsidRPr="000F5B20">
              <w:t xml:space="preserve"> </w:t>
            </w:r>
            <w:r w:rsidRPr="000F5B20">
              <w:t>transfers</w:t>
            </w:r>
            <w:r w:rsidR="00177848" w:rsidRPr="000F5B20">
              <w:t xml:space="preserve"> </w:t>
            </w:r>
          </w:p>
        </w:tc>
        <w:tc>
          <w:tcPr>
            <w:tcW w:w="709" w:type="dxa"/>
            <w:noWrap/>
          </w:tcPr>
          <w:p w14:paraId="30AAEDFC" w14:textId="77777777" w:rsidR="00EE5BB8" w:rsidRPr="000F5B20" w:rsidRDefault="00EE5BB8" w:rsidP="000F5B20">
            <w:pPr>
              <w:pStyle w:val="TableCopy"/>
              <w:jc w:val="right"/>
            </w:pPr>
          </w:p>
        </w:tc>
        <w:tc>
          <w:tcPr>
            <w:tcW w:w="1204" w:type="dxa"/>
            <w:noWrap/>
            <w:hideMark/>
          </w:tcPr>
          <w:p w14:paraId="2878A215" w14:textId="77777777" w:rsidR="00EE5BB8" w:rsidRPr="000F5B20" w:rsidRDefault="00EE5BB8" w:rsidP="000F5B20">
            <w:pPr>
              <w:pStyle w:val="TableCopy"/>
              <w:jc w:val="right"/>
            </w:pPr>
            <w:r w:rsidRPr="000F5B20">
              <w:t>(3,107,994)</w:t>
            </w:r>
          </w:p>
        </w:tc>
        <w:tc>
          <w:tcPr>
            <w:tcW w:w="1205" w:type="dxa"/>
            <w:noWrap/>
            <w:hideMark/>
          </w:tcPr>
          <w:p w14:paraId="36EEC8AF" w14:textId="77777777" w:rsidR="00EE5BB8" w:rsidRPr="000F5B20" w:rsidRDefault="00EE5BB8" w:rsidP="000F5B20">
            <w:pPr>
              <w:pStyle w:val="TableCopy"/>
              <w:jc w:val="right"/>
            </w:pPr>
            <w:r w:rsidRPr="000F5B20">
              <w:t>(2,846,360)</w:t>
            </w:r>
          </w:p>
        </w:tc>
      </w:tr>
      <w:tr w:rsidR="00EE5BB8" w:rsidRPr="000F5B20" w14:paraId="6B1CEBB6" w14:textId="77777777" w:rsidTr="00E02B91">
        <w:tc>
          <w:tcPr>
            <w:tcW w:w="6516" w:type="dxa"/>
            <w:hideMark/>
          </w:tcPr>
          <w:p w14:paraId="68D63C95" w14:textId="4B704CF8" w:rsidR="00EE5BB8" w:rsidRPr="000F5B20" w:rsidRDefault="00EE5BB8" w:rsidP="000F5B20">
            <w:pPr>
              <w:pStyle w:val="TableCopy"/>
            </w:pPr>
            <w:r w:rsidRPr="000F5B20">
              <w:t>Payments</w:t>
            </w:r>
            <w:r w:rsidR="00177848" w:rsidRPr="000F5B20">
              <w:t xml:space="preserve"> </w:t>
            </w:r>
            <w:r w:rsidRPr="000F5B20">
              <w:t>to</w:t>
            </w:r>
            <w:r w:rsidR="00177848" w:rsidRPr="000F5B20">
              <w:t xml:space="preserve"> </w:t>
            </w:r>
            <w:r w:rsidRPr="000F5B20">
              <w:t>suppliers</w:t>
            </w:r>
            <w:r w:rsidR="00177848" w:rsidRPr="000F5B20">
              <w:t xml:space="preserve"> </w:t>
            </w:r>
            <w:r w:rsidRPr="000F5B20">
              <w:t>and</w:t>
            </w:r>
            <w:r w:rsidR="00177848" w:rsidRPr="000F5B20">
              <w:t xml:space="preserve"> </w:t>
            </w:r>
            <w:r w:rsidRPr="000F5B20">
              <w:t>employees</w:t>
            </w:r>
          </w:p>
        </w:tc>
        <w:tc>
          <w:tcPr>
            <w:tcW w:w="709" w:type="dxa"/>
            <w:noWrap/>
          </w:tcPr>
          <w:p w14:paraId="7DDF0D86" w14:textId="77777777" w:rsidR="00EE5BB8" w:rsidRPr="000F5B20" w:rsidRDefault="00EE5BB8" w:rsidP="000F5B20">
            <w:pPr>
              <w:pStyle w:val="TableCopy"/>
              <w:jc w:val="right"/>
            </w:pPr>
          </w:p>
        </w:tc>
        <w:tc>
          <w:tcPr>
            <w:tcW w:w="1204" w:type="dxa"/>
            <w:noWrap/>
            <w:hideMark/>
          </w:tcPr>
          <w:p w14:paraId="7116BA79" w14:textId="77777777" w:rsidR="00EE5BB8" w:rsidRPr="000F5B20" w:rsidRDefault="00EE5BB8" w:rsidP="000F5B20">
            <w:pPr>
              <w:pStyle w:val="TableCopy"/>
              <w:jc w:val="right"/>
            </w:pPr>
            <w:r w:rsidRPr="000F5B20">
              <w:t>(818,839)</w:t>
            </w:r>
          </w:p>
        </w:tc>
        <w:tc>
          <w:tcPr>
            <w:tcW w:w="1205" w:type="dxa"/>
            <w:noWrap/>
            <w:hideMark/>
          </w:tcPr>
          <w:p w14:paraId="0FFCAA46" w14:textId="77777777" w:rsidR="00EE5BB8" w:rsidRPr="000F5B20" w:rsidRDefault="00EE5BB8" w:rsidP="000F5B20">
            <w:pPr>
              <w:pStyle w:val="TableCopy"/>
              <w:jc w:val="right"/>
            </w:pPr>
            <w:r w:rsidRPr="000F5B20">
              <w:t>(591,995)</w:t>
            </w:r>
          </w:p>
        </w:tc>
      </w:tr>
      <w:tr w:rsidR="00EE5BB8" w:rsidRPr="000F5B20" w14:paraId="2B7ABF2D" w14:textId="77777777" w:rsidTr="00E02B91">
        <w:tc>
          <w:tcPr>
            <w:tcW w:w="6516" w:type="dxa"/>
            <w:hideMark/>
          </w:tcPr>
          <w:p w14:paraId="4F8B8C5E" w14:textId="4074413B" w:rsidR="00EE5BB8" w:rsidRPr="000F5B20" w:rsidRDefault="00EE5BB8" w:rsidP="000F5B20">
            <w:pPr>
              <w:pStyle w:val="TableCopy"/>
            </w:pPr>
            <w:r w:rsidRPr="000F5B20">
              <w:t>Interest</w:t>
            </w:r>
            <w:r w:rsidR="00177848" w:rsidRPr="000F5B20">
              <w:t xml:space="preserve"> </w:t>
            </w:r>
            <w:r w:rsidRPr="000F5B20">
              <w:t>expense</w:t>
            </w:r>
          </w:p>
        </w:tc>
        <w:tc>
          <w:tcPr>
            <w:tcW w:w="709" w:type="dxa"/>
            <w:noWrap/>
          </w:tcPr>
          <w:p w14:paraId="3794D7AD" w14:textId="77777777" w:rsidR="00EE5BB8" w:rsidRPr="000F5B20" w:rsidRDefault="00EE5BB8" w:rsidP="000F5B20">
            <w:pPr>
              <w:pStyle w:val="TableCopy"/>
              <w:jc w:val="right"/>
            </w:pPr>
          </w:p>
        </w:tc>
        <w:tc>
          <w:tcPr>
            <w:tcW w:w="1204" w:type="dxa"/>
            <w:noWrap/>
            <w:hideMark/>
          </w:tcPr>
          <w:p w14:paraId="6422E668" w14:textId="77777777" w:rsidR="00EE5BB8" w:rsidRPr="000F5B20" w:rsidRDefault="00EE5BB8" w:rsidP="000F5B20">
            <w:pPr>
              <w:pStyle w:val="TableCopy"/>
              <w:jc w:val="right"/>
            </w:pPr>
            <w:r w:rsidRPr="000F5B20">
              <w:t>(1,945)</w:t>
            </w:r>
          </w:p>
        </w:tc>
        <w:tc>
          <w:tcPr>
            <w:tcW w:w="1205" w:type="dxa"/>
            <w:noWrap/>
            <w:hideMark/>
          </w:tcPr>
          <w:p w14:paraId="29EE0677" w14:textId="77777777" w:rsidR="00EE5BB8" w:rsidRPr="000F5B20" w:rsidRDefault="00EE5BB8" w:rsidP="000F5B20">
            <w:pPr>
              <w:pStyle w:val="TableCopy"/>
              <w:jc w:val="right"/>
            </w:pPr>
            <w:r w:rsidRPr="000F5B20">
              <w:t>(1,131)</w:t>
            </w:r>
          </w:p>
        </w:tc>
      </w:tr>
      <w:tr w:rsidR="00EE5BB8" w:rsidRPr="000F5B20" w14:paraId="554D8EFF" w14:textId="77777777" w:rsidTr="00E02B91">
        <w:tc>
          <w:tcPr>
            <w:tcW w:w="6516" w:type="dxa"/>
            <w:hideMark/>
          </w:tcPr>
          <w:p w14:paraId="1F04E0D0" w14:textId="154F69F6" w:rsidR="00EE5BB8" w:rsidRPr="000F5B20" w:rsidRDefault="00EE5BB8" w:rsidP="00814D77">
            <w:pPr>
              <w:pStyle w:val="Tabletotal"/>
            </w:pPr>
            <w:r w:rsidRPr="000F5B20">
              <w:t>Total</w:t>
            </w:r>
            <w:r w:rsidR="00177848" w:rsidRPr="000F5B20">
              <w:t xml:space="preserve"> </w:t>
            </w:r>
            <w:r w:rsidRPr="000F5B20">
              <w:t>payments</w:t>
            </w:r>
          </w:p>
        </w:tc>
        <w:tc>
          <w:tcPr>
            <w:tcW w:w="709" w:type="dxa"/>
            <w:hideMark/>
          </w:tcPr>
          <w:p w14:paraId="19315FA2" w14:textId="77777777" w:rsidR="00EE5BB8" w:rsidRPr="000F5B20" w:rsidRDefault="00EE5BB8" w:rsidP="00814D77">
            <w:pPr>
              <w:pStyle w:val="Tabletotal"/>
              <w:jc w:val="right"/>
            </w:pPr>
          </w:p>
        </w:tc>
        <w:tc>
          <w:tcPr>
            <w:tcW w:w="1204" w:type="dxa"/>
            <w:noWrap/>
            <w:hideMark/>
          </w:tcPr>
          <w:p w14:paraId="162E9C0D" w14:textId="77777777" w:rsidR="00EE5BB8" w:rsidRPr="000F5B20" w:rsidRDefault="00EE5BB8" w:rsidP="00814D77">
            <w:pPr>
              <w:pStyle w:val="Tabletotal"/>
              <w:jc w:val="right"/>
            </w:pPr>
            <w:r w:rsidRPr="000F5B20">
              <w:t>(3,928,778)</w:t>
            </w:r>
          </w:p>
        </w:tc>
        <w:tc>
          <w:tcPr>
            <w:tcW w:w="1205" w:type="dxa"/>
            <w:noWrap/>
            <w:hideMark/>
          </w:tcPr>
          <w:p w14:paraId="15255C2B" w14:textId="77777777" w:rsidR="00EE5BB8" w:rsidRPr="000F5B20" w:rsidRDefault="00EE5BB8" w:rsidP="00814D77">
            <w:pPr>
              <w:pStyle w:val="Tabletotal"/>
              <w:jc w:val="right"/>
            </w:pPr>
            <w:r w:rsidRPr="000F5B20">
              <w:t>(3,439,486)</w:t>
            </w:r>
          </w:p>
        </w:tc>
      </w:tr>
      <w:tr w:rsidR="00EE5BB8" w:rsidRPr="000F5B20" w14:paraId="2294ADD3" w14:textId="77777777" w:rsidTr="00E02B91">
        <w:tc>
          <w:tcPr>
            <w:tcW w:w="6516" w:type="dxa"/>
            <w:hideMark/>
          </w:tcPr>
          <w:p w14:paraId="014ED36A" w14:textId="18717E40" w:rsidR="00EE5BB8" w:rsidRPr="000F5B20" w:rsidRDefault="00EE5BB8" w:rsidP="00814D77">
            <w:pPr>
              <w:pStyle w:val="Tabletotal"/>
            </w:pPr>
            <w:r w:rsidRPr="000F5B20">
              <w:t>Net</w:t>
            </w:r>
            <w:r w:rsidR="00177848" w:rsidRPr="000F5B20">
              <w:t xml:space="preserve"> </w:t>
            </w:r>
            <w:r w:rsidRPr="000F5B20">
              <w:t>cash</w:t>
            </w:r>
            <w:r w:rsidR="00177848" w:rsidRPr="000F5B20">
              <w:t xml:space="preserve"> </w:t>
            </w:r>
            <w:r w:rsidRPr="000F5B20">
              <w:t>flows</w:t>
            </w:r>
            <w:r w:rsidR="00177848" w:rsidRPr="000F5B20">
              <w:t xml:space="preserve"> </w:t>
            </w:r>
            <w:r w:rsidRPr="000F5B20">
              <w:t>from</w:t>
            </w:r>
            <w:r w:rsidR="00177848" w:rsidRPr="000F5B20">
              <w:t xml:space="preserve"> </w:t>
            </w:r>
            <w:r w:rsidRPr="000F5B20">
              <w:t>operating</w:t>
            </w:r>
            <w:r w:rsidR="00177848" w:rsidRPr="000F5B20">
              <w:t xml:space="preserve"> </w:t>
            </w:r>
            <w:r w:rsidRPr="000F5B20">
              <w:t>activities</w:t>
            </w:r>
          </w:p>
        </w:tc>
        <w:tc>
          <w:tcPr>
            <w:tcW w:w="709" w:type="dxa"/>
            <w:hideMark/>
          </w:tcPr>
          <w:p w14:paraId="481144C7" w14:textId="77777777" w:rsidR="00EE5BB8" w:rsidRPr="000F5B20" w:rsidRDefault="00EE5BB8" w:rsidP="00814D77">
            <w:pPr>
              <w:pStyle w:val="Tabletotal"/>
              <w:jc w:val="right"/>
            </w:pPr>
            <w:r w:rsidRPr="000F5B20">
              <w:t>7.3.2</w:t>
            </w:r>
          </w:p>
        </w:tc>
        <w:tc>
          <w:tcPr>
            <w:tcW w:w="1204" w:type="dxa"/>
            <w:noWrap/>
            <w:hideMark/>
          </w:tcPr>
          <w:p w14:paraId="598853C5" w14:textId="77777777" w:rsidR="00EE5BB8" w:rsidRPr="000F5B20" w:rsidRDefault="00EE5BB8" w:rsidP="00814D77">
            <w:pPr>
              <w:pStyle w:val="Tabletotal"/>
              <w:jc w:val="right"/>
            </w:pPr>
            <w:r w:rsidRPr="000F5B20">
              <w:t>21,334</w:t>
            </w:r>
          </w:p>
        </w:tc>
        <w:tc>
          <w:tcPr>
            <w:tcW w:w="1205" w:type="dxa"/>
            <w:noWrap/>
            <w:hideMark/>
          </w:tcPr>
          <w:p w14:paraId="5E028AD3" w14:textId="77777777" w:rsidR="00EE5BB8" w:rsidRPr="000F5B20" w:rsidRDefault="00EE5BB8" w:rsidP="00814D77">
            <w:pPr>
              <w:pStyle w:val="Tabletotal"/>
              <w:jc w:val="right"/>
            </w:pPr>
            <w:r w:rsidRPr="000F5B20">
              <w:t>133,488</w:t>
            </w:r>
          </w:p>
        </w:tc>
      </w:tr>
      <w:tr w:rsidR="000F5B20" w:rsidRPr="000F5B20" w14:paraId="45D8E8FB" w14:textId="77777777" w:rsidTr="00E02B91">
        <w:tc>
          <w:tcPr>
            <w:tcW w:w="6516" w:type="dxa"/>
          </w:tcPr>
          <w:p w14:paraId="5C4A4461" w14:textId="52863309" w:rsidR="000F5B20" w:rsidRPr="000F5B20" w:rsidRDefault="000F5B20" w:rsidP="00C26E44">
            <w:pPr>
              <w:pStyle w:val="TableHeading"/>
            </w:pPr>
            <w:r w:rsidRPr="00C6052E">
              <w:t>Cash flows from investing activities</w:t>
            </w:r>
          </w:p>
        </w:tc>
        <w:tc>
          <w:tcPr>
            <w:tcW w:w="709" w:type="dxa"/>
            <w:noWrap/>
          </w:tcPr>
          <w:p w14:paraId="282E2C82" w14:textId="77777777" w:rsidR="000F5B20" w:rsidRPr="000F5B20" w:rsidRDefault="000F5B20" w:rsidP="000F5B20">
            <w:pPr>
              <w:pStyle w:val="TableHeading"/>
              <w:jc w:val="right"/>
            </w:pPr>
          </w:p>
        </w:tc>
        <w:tc>
          <w:tcPr>
            <w:tcW w:w="1204" w:type="dxa"/>
            <w:noWrap/>
          </w:tcPr>
          <w:p w14:paraId="0E6E46F4" w14:textId="77777777" w:rsidR="000F5B20" w:rsidRPr="000F5B20" w:rsidRDefault="000F5B20" w:rsidP="000F5B20">
            <w:pPr>
              <w:pStyle w:val="TableHeading"/>
              <w:jc w:val="right"/>
            </w:pPr>
          </w:p>
        </w:tc>
        <w:tc>
          <w:tcPr>
            <w:tcW w:w="1205" w:type="dxa"/>
            <w:noWrap/>
          </w:tcPr>
          <w:p w14:paraId="37A4BC4F" w14:textId="77777777" w:rsidR="000F5B20" w:rsidRPr="000F5B20" w:rsidRDefault="000F5B20" w:rsidP="000F5B20">
            <w:pPr>
              <w:pStyle w:val="TableHeading"/>
              <w:jc w:val="right"/>
            </w:pPr>
          </w:p>
        </w:tc>
      </w:tr>
      <w:tr w:rsidR="00EE5BB8" w:rsidRPr="000F5B20" w14:paraId="6E1D1F21" w14:textId="77777777" w:rsidTr="00E02B91">
        <w:tc>
          <w:tcPr>
            <w:tcW w:w="6516" w:type="dxa"/>
            <w:noWrap/>
            <w:hideMark/>
          </w:tcPr>
          <w:p w14:paraId="7916F183" w14:textId="68590636" w:rsidR="00EE5BB8" w:rsidRPr="000F5B20" w:rsidRDefault="00EE5BB8" w:rsidP="000F5B20">
            <w:pPr>
              <w:pStyle w:val="TableCopy"/>
            </w:pPr>
            <w:r w:rsidRPr="000F5B20">
              <w:t>Proceeds</w:t>
            </w:r>
            <w:r w:rsidR="00177848" w:rsidRPr="000F5B20">
              <w:t xml:space="preserve"> </w:t>
            </w:r>
            <w:r w:rsidRPr="000F5B20">
              <w:t>from</w:t>
            </w:r>
            <w:r w:rsidR="00177848" w:rsidRPr="000F5B20">
              <w:t xml:space="preserve"> </w:t>
            </w:r>
            <w:r w:rsidRPr="000F5B20">
              <w:t>sale</w:t>
            </w:r>
            <w:r w:rsidR="00177848" w:rsidRPr="000F5B20">
              <w:t xml:space="preserve"> </w:t>
            </w:r>
            <w:r w:rsidRPr="000F5B20">
              <w:t>of</w:t>
            </w:r>
            <w:r w:rsidR="00177848" w:rsidRPr="000F5B20">
              <w:t xml:space="preserve"> </w:t>
            </w:r>
            <w:r w:rsidRPr="000F5B20">
              <w:t>property,</w:t>
            </w:r>
            <w:r w:rsidR="00177848" w:rsidRPr="000F5B20">
              <w:t xml:space="preserve"> </w:t>
            </w:r>
            <w:r w:rsidRPr="000F5B20">
              <w:t>plant</w:t>
            </w:r>
            <w:r w:rsidR="00177848" w:rsidRPr="000F5B20">
              <w:t xml:space="preserve"> </w:t>
            </w:r>
            <w:r w:rsidRPr="000F5B20">
              <w:t>and</w:t>
            </w:r>
            <w:r w:rsidR="00177848" w:rsidRPr="000F5B20">
              <w:t xml:space="preserve"> </w:t>
            </w:r>
            <w:r w:rsidRPr="000F5B20">
              <w:t>equipment</w:t>
            </w:r>
          </w:p>
        </w:tc>
        <w:tc>
          <w:tcPr>
            <w:tcW w:w="709" w:type="dxa"/>
            <w:noWrap/>
          </w:tcPr>
          <w:p w14:paraId="003C2668" w14:textId="77777777" w:rsidR="00EE5BB8" w:rsidRPr="000F5B20" w:rsidRDefault="00EE5BB8" w:rsidP="000F5B20">
            <w:pPr>
              <w:pStyle w:val="TableCopy"/>
              <w:jc w:val="right"/>
            </w:pPr>
          </w:p>
        </w:tc>
        <w:tc>
          <w:tcPr>
            <w:tcW w:w="1204" w:type="dxa"/>
            <w:noWrap/>
            <w:hideMark/>
          </w:tcPr>
          <w:p w14:paraId="1E9A01FB" w14:textId="77777777" w:rsidR="00EE5BB8" w:rsidRPr="000F5B20" w:rsidRDefault="00EE5BB8" w:rsidP="000F5B20">
            <w:pPr>
              <w:pStyle w:val="TableCopy"/>
              <w:jc w:val="right"/>
            </w:pPr>
            <w:r w:rsidRPr="000F5B20">
              <w:t>1,814</w:t>
            </w:r>
          </w:p>
        </w:tc>
        <w:tc>
          <w:tcPr>
            <w:tcW w:w="1205" w:type="dxa"/>
            <w:noWrap/>
            <w:hideMark/>
          </w:tcPr>
          <w:p w14:paraId="154AB562" w14:textId="77777777" w:rsidR="00EE5BB8" w:rsidRPr="000F5B20" w:rsidRDefault="00EE5BB8" w:rsidP="000F5B20">
            <w:pPr>
              <w:pStyle w:val="TableCopy"/>
              <w:jc w:val="right"/>
            </w:pPr>
            <w:r w:rsidRPr="000F5B20">
              <w:t>1,698</w:t>
            </w:r>
          </w:p>
        </w:tc>
      </w:tr>
      <w:tr w:rsidR="00EE5BB8" w:rsidRPr="000F5B20" w14:paraId="12563597" w14:textId="77777777" w:rsidTr="00E02B91">
        <w:tc>
          <w:tcPr>
            <w:tcW w:w="6516" w:type="dxa"/>
            <w:hideMark/>
          </w:tcPr>
          <w:p w14:paraId="6E402D78" w14:textId="1A1DCA24" w:rsidR="00EE5BB8" w:rsidRPr="000F5B20" w:rsidRDefault="00EE5BB8" w:rsidP="000F5B20">
            <w:pPr>
              <w:pStyle w:val="TableCopy"/>
            </w:pPr>
            <w:r w:rsidRPr="000F5B20">
              <w:t>Payments</w:t>
            </w:r>
            <w:r w:rsidR="00177848" w:rsidRPr="000F5B20">
              <w:t xml:space="preserve"> </w:t>
            </w:r>
            <w:r w:rsidRPr="000F5B20">
              <w:t>for</w:t>
            </w:r>
            <w:r w:rsidR="00177848" w:rsidRPr="000F5B20">
              <w:t xml:space="preserve"> </w:t>
            </w:r>
            <w:r w:rsidRPr="000F5B20">
              <w:t>property,</w:t>
            </w:r>
            <w:r w:rsidR="00177848" w:rsidRPr="000F5B20">
              <w:t xml:space="preserve"> </w:t>
            </w:r>
            <w:r w:rsidRPr="000F5B20">
              <w:t>plant</w:t>
            </w:r>
            <w:r w:rsidR="00177848" w:rsidRPr="000F5B20">
              <w:t xml:space="preserve"> </w:t>
            </w:r>
            <w:r w:rsidRPr="000F5B20">
              <w:t>and</w:t>
            </w:r>
            <w:r w:rsidR="00177848" w:rsidRPr="000F5B20">
              <w:t xml:space="preserve"> </w:t>
            </w:r>
            <w:r w:rsidRPr="000F5B20">
              <w:t>equipment</w:t>
            </w:r>
          </w:p>
        </w:tc>
        <w:tc>
          <w:tcPr>
            <w:tcW w:w="709" w:type="dxa"/>
            <w:noWrap/>
          </w:tcPr>
          <w:p w14:paraId="2F1D57CB" w14:textId="77777777" w:rsidR="00EE5BB8" w:rsidRPr="000F5B20" w:rsidRDefault="00EE5BB8" w:rsidP="000F5B20">
            <w:pPr>
              <w:pStyle w:val="TableCopy"/>
              <w:jc w:val="right"/>
            </w:pPr>
          </w:p>
        </w:tc>
        <w:tc>
          <w:tcPr>
            <w:tcW w:w="1204" w:type="dxa"/>
            <w:noWrap/>
            <w:hideMark/>
          </w:tcPr>
          <w:p w14:paraId="13BDE2B0" w14:textId="77777777" w:rsidR="00EE5BB8" w:rsidRPr="000F5B20" w:rsidRDefault="00EE5BB8" w:rsidP="000F5B20">
            <w:pPr>
              <w:pStyle w:val="TableCopy"/>
              <w:jc w:val="right"/>
            </w:pPr>
            <w:r w:rsidRPr="000F5B20">
              <w:t>(8,942)</w:t>
            </w:r>
          </w:p>
        </w:tc>
        <w:tc>
          <w:tcPr>
            <w:tcW w:w="1205" w:type="dxa"/>
            <w:noWrap/>
            <w:hideMark/>
          </w:tcPr>
          <w:p w14:paraId="76AE288A" w14:textId="77777777" w:rsidR="00EE5BB8" w:rsidRPr="000F5B20" w:rsidRDefault="00EE5BB8" w:rsidP="000F5B20">
            <w:pPr>
              <w:pStyle w:val="TableCopy"/>
              <w:jc w:val="right"/>
            </w:pPr>
            <w:r w:rsidRPr="000F5B20">
              <w:t>(5,521)</w:t>
            </w:r>
          </w:p>
        </w:tc>
      </w:tr>
      <w:tr w:rsidR="00EE5BB8" w:rsidRPr="000F5B20" w14:paraId="1E29A4EE" w14:textId="77777777" w:rsidTr="00E02B91">
        <w:tc>
          <w:tcPr>
            <w:tcW w:w="6516" w:type="dxa"/>
            <w:hideMark/>
          </w:tcPr>
          <w:p w14:paraId="10529449" w14:textId="066162AE" w:rsidR="00EE5BB8" w:rsidRPr="000F5B20" w:rsidRDefault="00EE5BB8" w:rsidP="00814D77">
            <w:pPr>
              <w:pStyle w:val="Tabletotal"/>
            </w:pPr>
            <w:r w:rsidRPr="000F5B20">
              <w:t>Net</w:t>
            </w:r>
            <w:r w:rsidR="00177848" w:rsidRPr="000F5B20">
              <w:t xml:space="preserve"> </w:t>
            </w:r>
            <w:r w:rsidRPr="000F5B20">
              <w:t>cash</w:t>
            </w:r>
            <w:r w:rsidR="00177848" w:rsidRPr="000F5B20">
              <w:t xml:space="preserve"> </w:t>
            </w:r>
            <w:r w:rsidRPr="000F5B20">
              <w:t>flows</w:t>
            </w:r>
            <w:r w:rsidR="00177848" w:rsidRPr="000F5B20">
              <w:t xml:space="preserve"> </w:t>
            </w:r>
            <w:r w:rsidRPr="000F5B20">
              <w:t>used</w:t>
            </w:r>
            <w:r w:rsidR="00177848" w:rsidRPr="000F5B20">
              <w:t xml:space="preserve"> </w:t>
            </w:r>
            <w:r w:rsidRPr="000F5B20">
              <w:t>in</w:t>
            </w:r>
            <w:r w:rsidR="00177848" w:rsidRPr="000F5B20">
              <w:t xml:space="preserve"> </w:t>
            </w:r>
            <w:r w:rsidRPr="000F5B20">
              <w:t>investing</w:t>
            </w:r>
            <w:r w:rsidR="00177848" w:rsidRPr="000F5B20">
              <w:t xml:space="preserve"> </w:t>
            </w:r>
            <w:r w:rsidRPr="000F5B20">
              <w:t>activities</w:t>
            </w:r>
          </w:p>
        </w:tc>
        <w:tc>
          <w:tcPr>
            <w:tcW w:w="709" w:type="dxa"/>
          </w:tcPr>
          <w:p w14:paraId="4B0F715C" w14:textId="77777777" w:rsidR="00EE5BB8" w:rsidRPr="000F5B20" w:rsidRDefault="00EE5BB8" w:rsidP="00814D77">
            <w:pPr>
              <w:pStyle w:val="Tabletotal"/>
              <w:jc w:val="right"/>
            </w:pPr>
          </w:p>
        </w:tc>
        <w:tc>
          <w:tcPr>
            <w:tcW w:w="1204" w:type="dxa"/>
            <w:noWrap/>
            <w:hideMark/>
          </w:tcPr>
          <w:p w14:paraId="2A7CC325" w14:textId="77777777" w:rsidR="00EE5BB8" w:rsidRPr="000F5B20" w:rsidRDefault="00EE5BB8" w:rsidP="00814D77">
            <w:pPr>
              <w:pStyle w:val="Tabletotal"/>
              <w:jc w:val="right"/>
            </w:pPr>
            <w:r w:rsidRPr="000F5B20">
              <w:t>(7,128)</w:t>
            </w:r>
          </w:p>
        </w:tc>
        <w:tc>
          <w:tcPr>
            <w:tcW w:w="1205" w:type="dxa"/>
            <w:noWrap/>
            <w:hideMark/>
          </w:tcPr>
          <w:p w14:paraId="0F572B6D" w14:textId="77777777" w:rsidR="00EE5BB8" w:rsidRPr="000F5B20" w:rsidRDefault="00EE5BB8" w:rsidP="00814D77">
            <w:pPr>
              <w:pStyle w:val="Tabletotal"/>
              <w:jc w:val="right"/>
            </w:pPr>
            <w:r w:rsidRPr="000F5B20">
              <w:t>(3,823)</w:t>
            </w:r>
          </w:p>
        </w:tc>
      </w:tr>
      <w:tr w:rsidR="000F5B20" w:rsidRPr="000F5B20" w14:paraId="1F61ABA0" w14:textId="77777777" w:rsidTr="00E02B91">
        <w:tc>
          <w:tcPr>
            <w:tcW w:w="6516" w:type="dxa"/>
          </w:tcPr>
          <w:p w14:paraId="7E4234FC" w14:textId="69A852FC" w:rsidR="000F5B20" w:rsidRPr="000F5B20" w:rsidRDefault="000F5B20" w:rsidP="00671846">
            <w:pPr>
              <w:pStyle w:val="TableHeading"/>
            </w:pPr>
            <w:r w:rsidRPr="00C6052E">
              <w:t>Cash flows from financing activities</w:t>
            </w:r>
          </w:p>
        </w:tc>
        <w:tc>
          <w:tcPr>
            <w:tcW w:w="709" w:type="dxa"/>
            <w:noWrap/>
          </w:tcPr>
          <w:p w14:paraId="4CF79970" w14:textId="77777777" w:rsidR="000F5B20" w:rsidRPr="000F5B20" w:rsidRDefault="000F5B20" w:rsidP="000F5B20">
            <w:pPr>
              <w:pStyle w:val="TableHeading"/>
              <w:jc w:val="right"/>
            </w:pPr>
          </w:p>
        </w:tc>
        <w:tc>
          <w:tcPr>
            <w:tcW w:w="1204" w:type="dxa"/>
            <w:noWrap/>
          </w:tcPr>
          <w:p w14:paraId="51C63B1F" w14:textId="77777777" w:rsidR="000F5B20" w:rsidRPr="000F5B20" w:rsidRDefault="000F5B20" w:rsidP="000F5B20">
            <w:pPr>
              <w:pStyle w:val="TableHeading"/>
              <w:jc w:val="right"/>
            </w:pPr>
          </w:p>
        </w:tc>
        <w:tc>
          <w:tcPr>
            <w:tcW w:w="1205" w:type="dxa"/>
            <w:noWrap/>
          </w:tcPr>
          <w:p w14:paraId="3CD70182" w14:textId="77777777" w:rsidR="000F5B20" w:rsidRPr="000F5B20" w:rsidRDefault="000F5B20" w:rsidP="000F5B20">
            <w:pPr>
              <w:pStyle w:val="TableHeading"/>
              <w:jc w:val="right"/>
            </w:pPr>
          </w:p>
        </w:tc>
      </w:tr>
      <w:tr w:rsidR="00EE5BB8" w:rsidRPr="000F5B20" w14:paraId="550EA7DF" w14:textId="77777777" w:rsidTr="00E02B91">
        <w:tc>
          <w:tcPr>
            <w:tcW w:w="6516" w:type="dxa"/>
            <w:noWrap/>
            <w:hideMark/>
          </w:tcPr>
          <w:p w14:paraId="10834845" w14:textId="7C314DF1" w:rsidR="00EE5BB8" w:rsidRPr="000F5B20" w:rsidRDefault="00EE5BB8" w:rsidP="000F5B20">
            <w:pPr>
              <w:pStyle w:val="TableCopy"/>
            </w:pPr>
            <w:r w:rsidRPr="000F5B20">
              <w:t>Owner</w:t>
            </w:r>
            <w:r w:rsidR="00177848" w:rsidRPr="000F5B20">
              <w:t xml:space="preserve"> </w:t>
            </w:r>
            <w:r w:rsidRPr="000F5B20">
              <w:t>contributions</w:t>
            </w:r>
            <w:r w:rsidR="00177848" w:rsidRPr="000F5B20">
              <w:t xml:space="preserve"> </w:t>
            </w:r>
            <w:r w:rsidRPr="000F5B20">
              <w:t>by</w:t>
            </w:r>
            <w:r w:rsidR="00177848" w:rsidRPr="000F5B20">
              <w:t xml:space="preserve"> </w:t>
            </w:r>
            <w:r w:rsidRPr="000F5B20">
              <w:t>State</w:t>
            </w:r>
            <w:r w:rsidR="00177848" w:rsidRPr="000F5B20">
              <w:t xml:space="preserve"> </w:t>
            </w:r>
            <w:r w:rsidRPr="000F5B20">
              <w:t>Government</w:t>
            </w:r>
          </w:p>
        </w:tc>
        <w:tc>
          <w:tcPr>
            <w:tcW w:w="709" w:type="dxa"/>
            <w:noWrap/>
          </w:tcPr>
          <w:p w14:paraId="17782F66" w14:textId="77777777" w:rsidR="00EE5BB8" w:rsidRPr="000F5B20" w:rsidRDefault="00EE5BB8" w:rsidP="000F5B20">
            <w:pPr>
              <w:pStyle w:val="TableCopy"/>
              <w:jc w:val="right"/>
            </w:pPr>
          </w:p>
        </w:tc>
        <w:tc>
          <w:tcPr>
            <w:tcW w:w="1204" w:type="dxa"/>
            <w:noWrap/>
            <w:hideMark/>
          </w:tcPr>
          <w:p w14:paraId="78BF1599" w14:textId="77777777" w:rsidR="00EE5BB8" w:rsidRPr="000F5B20" w:rsidRDefault="00EE5BB8" w:rsidP="000F5B20">
            <w:pPr>
              <w:pStyle w:val="TableCopy"/>
              <w:jc w:val="right"/>
            </w:pPr>
            <w:r w:rsidRPr="000F5B20">
              <w:t>386,558</w:t>
            </w:r>
          </w:p>
        </w:tc>
        <w:tc>
          <w:tcPr>
            <w:tcW w:w="1205" w:type="dxa"/>
            <w:noWrap/>
            <w:hideMark/>
          </w:tcPr>
          <w:p w14:paraId="55AC7B9A" w14:textId="77777777" w:rsidR="00EE5BB8" w:rsidRPr="000F5B20" w:rsidRDefault="00EE5BB8" w:rsidP="000F5B20">
            <w:pPr>
              <w:pStyle w:val="TableCopy"/>
              <w:jc w:val="right"/>
            </w:pPr>
            <w:r w:rsidRPr="000F5B20">
              <w:t>171,405</w:t>
            </w:r>
          </w:p>
        </w:tc>
      </w:tr>
      <w:tr w:rsidR="00EE5BB8" w:rsidRPr="000F5B20" w14:paraId="4BC36550" w14:textId="77777777" w:rsidTr="00E02B91">
        <w:tc>
          <w:tcPr>
            <w:tcW w:w="6516" w:type="dxa"/>
            <w:hideMark/>
          </w:tcPr>
          <w:p w14:paraId="2E4B098D" w14:textId="3293A0CB" w:rsidR="00EE5BB8" w:rsidRPr="000F5B20" w:rsidRDefault="00EE5BB8" w:rsidP="000F5B20">
            <w:pPr>
              <w:pStyle w:val="TableCopy"/>
            </w:pPr>
            <w:r w:rsidRPr="000F5B20">
              <w:t>Capital</w:t>
            </w:r>
            <w:r w:rsidR="00177848" w:rsidRPr="000F5B20">
              <w:t xml:space="preserve"> </w:t>
            </w:r>
            <w:r w:rsidRPr="000F5B20">
              <w:t>funding</w:t>
            </w:r>
            <w:r w:rsidR="00177848" w:rsidRPr="000F5B20">
              <w:t xml:space="preserve"> </w:t>
            </w:r>
            <w:r w:rsidRPr="000F5B20">
              <w:t>to</w:t>
            </w:r>
            <w:r w:rsidR="00177848" w:rsidRPr="000F5B20">
              <w:t xml:space="preserve"> </w:t>
            </w:r>
            <w:r w:rsidRPr="000F5B20">
              <w:t>agencies</w:t>
            </w:r>
            <w:r w:rsidR="00177848" w:rsidRPr="000F5B20">
              <w:t xml:space="preserve"> </w:t>
            </w:r>
            <w:r w:rsidRPr="000F5B20">
              <w:t>within</w:t>
            </w:r>
            <w:r w:rsidR="00177848" w:rsidRPr="000F5B20">
              <w:t xml:space="preserve"> </w:t>
            </w:r>
            <w:r w:rsidRPr="000F5B20">
              <w:t>portfolio</w:t>
            </w:r>
          </w:p>
        </w:tc>
        <w:tc>
          <w:tcPr>
            <w:tcW w:w="709" w:type="dxa"/>
            <w:noWrap/>
          </w:tcPr>
          <w:p w14:paraId="0FBA4383" w14:textId="77777777" w:rsidR="00EE5BB8" w:rsidRPr="000F5B20" w:rsidRDefault="00EE5BB8" w:rsidP="000F5B20">
            <w:pPr>
              <w:pStyle w:val="TableCopy"/>
              <w:jc w:val="right"/>
            </w:pPr>
          </w:p>
        </w:tc>
        <w:tc>
          <w:tcPr>
            <w:tcW w:w="1204" w:type="dxa"/>
            <w:noWrap/>
            <w:hideMark/>
          </w:tcPr>
          <w:p w14:paraId="77BCB188" w14:textId="77777777" w:rsidR="00EE5BB8" w:rsidRPr="000F5B20" w:rsidRDefault="00EE5BB8" w:rsidP="000F5B20">
            <w:pPr>
              <w:pStyle w:val="TableCopy"/>
              <w:jc w:val="right"/>
            </w:pPr>
            <w:r w:rsidRPr="000F5B20">
              <w:t>(450,881)</w:t>
            </w:r>
          </w:p>
        </w:tc>
        <w:tc>
          <w:tcPr>
            <w:tcW w:w="1205" w:type="dxa"/>
            <w:noWrap/>
            <w:hideMark/>
          </w:tcPr>
          <w:p w14:paraId="1CF3B069" w14:textId="77777777" w:rsidR="00EE5BB8" w:rsidRPr="000F5B20" w:rsidRDefault="00EE5BB8" w:rsidP="000F5B20">
            <w:pPr>
              <w:pStyle w:val="TableCopy"/>
              <w:jc w:val="right"/>
            </w:pPr>
            <w:r w:rsidRPr="000F5B20">
              <w:t>(323,308)</w:t>
            </w:r>
          </w:p>
        </w:tc>
      </w:tr>
      <w:tr w:rsidR="00EE5BB8" w:rsidRPr="000F5B20" w14:paraId="56E21C18" w14:textId="77777777" w:rsidTr="00E02B91">
        <w:tc>
          <w:tcPr>
            <w:tcW w:w="6516" w:type="dxa"/>
            <w:hideMark/>
          </w:tcPr>
          <w:p w14:paraId="22129E9B" w14:textId="1EEE855A" w:rsidR="00EE5BB8" w:rsidRPr="000F5B20" w:rsidRDefault="00EE5BB8" w:rsidP="000F5B20">
            <w:pPr>
              <w:pStyle w:val="TableCopy"/>
            </w:pPr>
            <w:r w:rsidRPr="000F5B20">
              <w:t>Cash</w:t>
            </w:r>
            <w:r w:rsidR="00177848" w:rsidRPr="000F5B20">
              <w:t xml:space="preserve"> </w:t>
            </w:r>
            <w:r w:rsidRPr="000F5B20">
              <w:t>from</w:t>
            </w:r>
            <w:r w:rsidR="00177848" w:rsidRPr="000F5B20">
              <w:t xml:space="preserve"> </w:t>
            </w:r>
            <w:r w:rsidRPr="000F5B20">
              <w:t>activities</w:t>
            </w:r>
            <w:r w:rsidR="00177848" w:rsidRPr="000F5B20">
              <w:t xml:space="preserve"> </w:t>
            </w:r>
            <w:r w:rsidRPr="000F5B20">
              <w:t>transferred</w:t>
            </w:r>
            <w:r w:rsidR="00177848" w:rsidRPr="000F5B20">
              <w:t xml:space="preserve"> </w:t>
            </w:r>
            <w:r w:rsidRPr="000F5B20">
              <w:t>out</w:t>
            </w:r>
            <w:r w:rsidR="00177848" w:rsidRPr="000F5B20">
              <w:t xml:space="preserve"> </w:t>
            </w:r>
            <w:r w:rsidRPr="000F5B20">
              <w:t>–</w:t>
            </w:r>
            <w:r w:rsidR="00177848" w:rsidRPr="000F5B20">
              <w:t xml:space="preserve"> </w:t>
            </w:r>
            <w:r w:rsidRPr="000F5B20">
              <w:t>machinery</w:t>
            </w:r>
            <w:r w:rsidR="00177848" w:rsidRPr="000F5B20">
              <w:t xml:space="preserve"> </w:t>
            </w:r>
            <w:r w:rsidRPr="000F5B20">
              <w:t>of</w:t>
            </w:r>
            <w:r w:rsidR="00177848" w:rsidRPr="000F5B20">
              <w:t xml:space="preserve"> </w:t>
            </w:r>
            <w:r w:rsidRPr="000F5B20">
              <w:t>government</w:t>
            </w:r>
            <w:r w:rsidR="00177848" w:rsidRPr="000F5B20">
              <w:t xml:space="preserve"> </w:t>
            </w:r>
            <w:r w:rsidRPr="000F5B20">
              <w:t>changes</w:t>
            </w:r>
          </w:p>
        </w:tc>
        <w:tc>
          <w:tcPr>
            <w:tcW w:w="709" w:type="dxa"/>
            <w:noWrap/>
          </w:tcPr>
          <w:p w14:paraId="3F5B7368" w14:textId="77777777" w:rsidR="00EE5BB8" w:rsidRPr="000F5B20" w:rsidRDefault="00EE5BB8" w:rsidP="000F5B20">
            <w:pPr>
              <w:pStyle w:val="TableCopy"/>
              <w:jc w:val="right"/>
            </w:pPr>
          </w:p>
        </w:tc>
        <w:tc>
          <w:tcPr>
            <w:tcW w:w="1204" w:type="dxa"/>
            <w:noWrap/>
            <w:hideMark/>
          </w:tcPr>
          <w:p w14:paraId="3267211E" w14:textId="77777777" w:rsidR="00EE5BB8" w:rsidRPr="000F5B20" w:rsidRDefault="00EE5BB8" w:rsidP="000F5B20">
            <w:pPr>
              <w:pStyle w:val="TableCopy"/>
              <w:jc w:val="right"/>
            </w:pPr>
            <w:r w:rsidRPr="000F5B20">
              <w:t>–</w:t>
            </w:r>
          </w:p>
        </w:tc>
        <w:tc>
          <w:tcPr>
            <w:tcW w:w="1205" w:type="dxa"/>
            <w:noWrap/>
            <w:hideMark/>
          </w:tcPr>
          <w:p w14:paraId="396E488D" w14:textId="77777777" w:rsidR="00EE5BB8" w:rsidRPr="000F5B20" w:rsidRDefault="00EE5BB8" w:rsidP="000F5B20">
            <w:pPr>
              <w:pStyle w:val="TableCopy"/>
              <w:jc w:val="right"/>
            </w:pPr>
            <w:r w:rsidRPr="000F5B20">
              <w:t>(10,968)</w:t>
            </w:r>
          </w:p>
        </w:tc>
      </w:tr>
      <w:tr w:rsidR="00EE5BB8" w:rsidRPr="000F5B20" w14:paraId="762FDC84" w14:textId="77777777" w:rsidTr="00E02B91">
        <w:tc>
          <w:tcPr>
            <w:tcW w:w="6516" w:type="dxa"/>
            <w:noWrap/>
            <w:hideMark/>
          </w:tcPr>
          <w:p w14:paraId="3B5C9A83" w14:textId="6E0122D3" w:rsidR="00EE5BB8" w:rsidRPr="000F5B20" w:rsidRDefault="00EE5BB8" w:rsidP="000F5B20">
            <w:pPr>
              <w:pStyle w:val="TableCopy"/>
            </w:pPr>
            <w:r w:rsidRPr="000F5B20">
              <w:t>Proceeds</w:t>
            </w:r>
            <w:r w:rsidR="00177848" w:rsidRPr="000F5B20">
              <w:t xml:space="preserve"> </w:t>
            </w:r>
            <w:r w:rsidRPr="000F5B20">
              <w:t>or</w:t>
            </w:r>
            <w:r w:rsidR="00177848" w:rsidRPr="000F5B20">
              <w:t xml:space="preserve"> </w:t>
            </w:r>
            <w:r w:rsidRPr="000F5B20">
              <w:t>drawdowns</w:t>
            </w:r>
            <w:r w:rsidR="00177848" w:rsidRPr="000F5B20">
              <w:t xml:space="preserve"> </w:t>
            </w:r>
            <w:r w:rsidRPr="000F5B20">
              <w:t>from</w:t>
            </w:r>
            <w:r w:rsidR="00177848" w:rsidRPr="000F5B20">
              <w:t xml:space="preserve"> </w:t>
            </w:r>
            <w:r w:rsidRPr="000F5B20">
              <w:t>borrowings</w:t>
            </w:r>
          </w:p>
        </w:tc>
        <w:tc>
          <w:tcPr>
            <w:tcW w:w="709" w:type="dxa"/>
            <w:noWrap/>
          </w:tcPr>
          <w:p w14:paraId="6AA06C9A" w14:textId="77777777" w:rsidR="00EE5BB8" w:rsidRPr="000F5B20" w:rsidRDefault="00EE5BB8" w:rsidP="000F5B20">
            <w:pPr>
              <w:pStyle w:val="TableCopy"/>
              <w:jc w:val="right"/>
            </w:pPr>
          </w:p>
        </w:tc>
        <w:tc>
          <w:tcPr>
            <w:tcW w:w="1204" w:type="dxa"/>
            <w:noWrap/>
            <w:hideMark/>
          </w:tcPr>
          <w:p w14:paraId="2773480F" w14:textId="77777777" w:rsidR="00EE5BB8" w:rsidRPr="000F5B20" w:rsidRDefault="00EE5BB8" w:rsidP="000F5B20">
            <w:pPr>
              <w:pStyle w:val="TableCopy"/>
              <w:jc w:val="right"/>
            </w:pPr>
            <w:r w:rsidRPr="000F5B20">
              <w:t>8,371</w:t>
            </w:r>
          </w:p>
        </w:tc>
        <w:tc>
          <w:tcPr>
            <w:tcW w:w="1205" w:type="dxa"/>
            <w:noWrap/>
            <w:hideMark/>
          </w:tcPr>
          <w:p w14:paraId="0CA02172" w14:textId="77777777" w:rsidR="00EE5BB8" w:rsidRPr="000F5B20" w:rsidRDefault="00EE5BB8" w:rsidP="000F5B20">
            <w:pPr>
              <w:pStyle w:val="TableCopy"/>
              <w:jc w:val="right"/>
            </w:pPr>
            <w:r w:rsidRPr="000F5B20">
              <w:t>(17,616)</w:t>
            </w:r>
          </w:p>
        </w:tc>
      </w:tr>
      <w:tr w:rsidR="00EE5BB8" w:rsidRPr="000F5B20" w14:paraId="2A8486D4" w14:textId="77777777" w:rsidTr="00E02B91">
        <w:tc>
          <w:tcPr>
            <w:tcW w:w="6516" w:type="dxa"/>
            <w:hideMark/>
          </w:tcPr>
          <w:p w14:paraId="252BA672" w14:textId="7CAECA2B" w:rsidR="00EE5BB8" w:rsidRPr="000F5B20" w:rsidRDefault="00EE5BB8" w:rsidP="000F5B20">
            <w:pPr>
              <w:pStyle w:val="TableCopy"/>
            </w:pPr>
            <w:r w:rsidRPr="000F5B20">
              <w:t>Net</w:t>
            </w:r>
            <w:r w:rsidR="00177848" w:rsidRPr="000F5B20">
              <w:t xml:space="preserve"> </w:t>
            </w:r>
            <w:r w:rsidRPr="000F5B20">
              <w:t>cash</w:t>
            </w:r>
            <w:r w:rsidR="00177848" w:rsidRPr="000F5B20">
              <w:t xml:space="preserve"> </w:t>
            </w:r>
            <w:r w:rsidRPr="000F5B20">
              <w:t>flows</w:t>
            </w:r>
            <w:r w:rsidR="00177848" w:rsidRPr="000F5B20">
              <w:t xml:space="preserve"> </w:t>
            </w:r>
            <w:r w:rsidRPr="000F5B20">
              <w:t>from/(used</w:t>
            </w:r>
            <w:r w:rsidR="00177848" w:rsidRPr="000F5B20">
              <w:t xml:space="preserve"> </w:t>
            </w:r>
            <w:r w:rsidRPr="000F5B20">
              <w:t>in)</w:t>
            </w:r>
            <w:r w:rsidR="00177848" w:rsidRPr="000F5B20">
              <w:t xml:space="preserve"> </w:t>
            </w:r>
            <w:r w:rsidRPr="000F5B20">
              <w:t>financing</w:t>
            </w:r>
            <w:r w:rsidR="00177848" w:rsidRPr="000F5B20">
              <w:t xml:space="preserve"> </w:t>
            </w:r>
            <w:r w:rsidRPr="000F5B20">
              <w:t>activities</w:t>
            </w:r>
          </w:p>
        </w:tc>
        <w:tc>
          <w:tcPr>
            <w:tcW w:w="709" w:type="dxa"/>
          </w:tcPr>
          <w:p w14:paraId="169D2BDF" w14:textId="77777777" w:rsidR="00EE5BB8" w:rsidRPr="000F5B20" w:rsidRDefault="00EE5BB8" w:rsidP="000F5B20">
            <w:pPr>
              <w:pStyle w:val="TableCopy"/>
              <w:jc w:val="right"/>
            </w:pPr>
          </w:p>
        </w:tc>
        <w:tc>
          <w:tcPr>
            <w:tcW w:w="1204" w:type="dxa"/>
            <w:noWrap/>
            <w:hideMark/>
          </w:tcPr>
          <w:p w14:paraId="26A8D64A" w14:textId="77777777" w:rsidR="00EE5BB8" w:rsidRPr="000F5B20" w:rsidRDefault="00EE5BB8" w:rsidP="000F5B20">
            <w:pPr>
              <w:pStyle w:val="TableCopy"/>
              <w:jc w:val="right"/>
            </w:pPr>
            <w:r w:rsidRPr="000F5B20">
              <w:t>(55,952)</w:t>
            </w:r>
          </w:p>
        </w:tc>
        <w:tc>
          <w:tcPr>
            <w:tcW w:w="1205" w:type="dxa"/>
            <w:noWrap/>
            <w:hideMark/>
          </w:tcPr>
          <w:p w14:paraId="3631AB47" w14:textId="77777777" w:rsidR="00EE5BB8" w:rsidRPr="000F5B20" w:rsidRDefault="00EE5BB8" w:rsidP="000F5B20">
            <w:pPr>
              <w:pStyle w:val="TableCopy"/>
              <w:jc w:val="right"/>
            </w:pPr>
            <w:r w:rsidRPr="000F5B20">
              <w:t>(180,487)</w:t>
            </w:r>
          </w:p>
        </w:tc>
      </w:tr>
      <w:tr w:rsidR="00EE5BB8" w:rsidRPr="000F5B20" w14:paraId="33557413" w14:textId="77777777" w:rsidTr="00E02B91">
        <w:tc>
          <w:tcPr>
            <w:tcW w:w="6516" w:type="dxa"/>
            <w:hideMark/>
          </w:tcPr>
          <w:p w14:paraId="36E9AFC3" w14:textId="27D5DD12" w:rsidR="00EE5BB8" w:rsidRPr="000F5B20" w:rsidRDefault="00EE5BB8" w:rsidP="000F5B20">
            <w:pPr>
              <w:pStyle w:val="TableCopy"/>
            </w:pPr>
            <w:r w:rsidRPr="000F5B20">
              <w:t>Net</w:t>
            </w:r>
            <w:r w:rsidR="00177848" w:rsidRPr="000F5B20">
              <w:t xml:space="preserve"> </w:t>
            </w:r>
            <w:r w:rsidRPr="000F5B20">
              <w:t>increase/(decrease)</w:t>
            </w:r>
            <w:r w:rsidR="00177848" w:rsidRPr="000F5B20">
              <w:t xml:space="preserve"> </w:t>
            </w:r>
            <w:r w:rsidRPr="000F5B20">
              <w:t>in</w:t>
            </w:r>
            <w:r w:rsidR="00177848" w:rsidRPr="000F5B20">
              <w:t xml:space="preserve"> </w:t>
            </w:r>
            <w:r w:rsidRPr="000F5B20">
              <w:t>cash</w:t>
            </w:r>
            <w:r w:rsidR="00177848" w:rsidRPr="000F5B20">
              <w:t xml:space="preserve"> </w:t>
            </w:r>
            <w:r w:rsidRPr="000F5B20">
              <w:t>and</w:t>
            </w:r>
            <w:r w:rsidR="00177848" w:rsidRPr="000F5B20">
              <w:t xml:space="preserve"> </w:t>
            </w:r>
            <w:r w:rsidRPr="000F5B20">
              <w:t>cash</w:t>
            </w:r>
            <w:r w:rsidR="00177848" w:rsidRPr="000F5B20">
              <w:t xml:space="preserve"> </w:t>
            </w:r>
            <w:r w:rsidRPr="000F5B20">
              <w:t>equivalents</w:t>
            </w:r>
          </w:p>
        </w:tc>
        <w:tc>
          <w:tcPr>
            <w:tcW w:w="709" w:type="dxa"/>
          </w:tcPr>
          <w:p w14:paraId="3E088C94" w14:textId="77777777" w:rsidR="00EE5BB8" w:rsidRPr="000F5B20" w:rsidRDefault="00EE5BB8" w:rsidP="000F5B20">
            <w:pPr>
              <w:pStyle w:val="TableCopy"/>
              <w:jc w:val="right"/>
            </w:pPr>
          </w:p>
        </w:tc>
        <w:tc>
          <w:tcPr>
            <w:tcW w:w="1204" w:type="dxa"/>
            <w:noWrap/>
            <w:hideMark/>
          </w:tcPr>
          <w:p w14:paraId="6905E134" w14:textId="77777777" w:rsidR="00EE5BB8" w:rsidRPr="000F5B20" w:rsidRDefault="00EE5BB8" w:rsidP="000F5B20">
            <w:pPr>
              <w:pStyle w:val="TableCopy"/>
              <w:jc w:val="right"/>
            </w:pPr>
            <w:r w:rsidRPr="000F5B20">
              <w:t>(41,746)</w:t>
            </w:r>
          </w:p>
        </w:tc>
        <w:tc>
          <w:tcPr>
            <w:tcW w:w="1205" w:type="dxa"/>
            <w:noWrap/>
            <w:hideMark/>
          </w:tcPr>
          <w:p w14:paraId="219D871F" w14:textId="77777777" w:rsidR="00EE5BB8" w:rsidRPr="000F5B20" w:rsidRDefault="00EE5BB8" w:rsidP="000F5B20">
            <w:pPr>
              <w:pStyle w:val="TableCopy"/>
              <w:jc w:val="right"/>
            </w:pPr>
            <w:r w:rsidRPr="000F5B20">
              <w:t>(50,822)</w:t>
            </w:r>
          </w:p>
        </w:tc>
      </w:tr>
      <w:tr w:rsidR="00EE5BB8" w:rsidRPr="00C6052E" w14:paraId="5BBF9B72" w14:textId="77777777" w:rsidTr="00E02B91">
        <w:tc>
          <w:tcPr>
            <w:tcW w:w="6516" w:type="dxa"/>
            <w:noWrap/>
            <w:hideMark/>
          </w:tcPr>
          <w:p w14:paraId="6C872291" w14:textId="50A2B8F0" w:rsidR="00EE5BB8" w:rsidRPr="00C6052E" w:rsidRDefault="00EE5BB8" w:rsidP="000F5B20">
            <w:pPr>
              <w:pStyle w:val="TableCopy"/>
            </w:pPr>
            <w:r w:rsidRPr="00C6052E">
              <w:lastRenderedPageBreak/>
              <w:t>Cash</w:t>
            </w:r>
            <w:r w:rsidR="00177848" w:rsidRPr="00C6052E">
              <w:t xml:space="preserve"> </w:t>
            </w:r>
            <w:r w:rsidRPr="00C6052E">
              <w:t>and</w:t>
            </w:r>
            <w:r w:rsidR="00177848" w:rsidRPr="00C6052E">
              <w:t xml:space="preserve"> </w:t>
            </w:r>
            <w:r w:rsidRPr="00C6052E">
              <w:t>cash</w:t>
            </w:r>
            <w:r w:rsidR="00177848" w:rsidRPr="00C6052E">
              <w:t xml:space="preserve"> </w:t>
            </w:r>
            <w:r w:rsidRPr="00C6052E">
              <w:t>equivalents</w:t>
            </w:r>
            <w:r w:rsidR="00177848" w:rsidRPr="00C6052E">
              <w:t xml:space="preserve"> </w:t>
            </w:r>
            <w:r w:rsidRPr="00C6052E">
              <w:t>at</w:t>
            </w:r>
            <w:r w:rsidR="00177848" w:rsidRPr="00C6052E">
              <w:t xml:space="preserve"> </w:t>
            </w:r>
            <w:r w:rsidRPr="00C6052E">
              <w:t>the</w:t>
            </w:r>
            <w:r w:rsidR="00177848" w:rsidRPr="00C6052E">
              <w:t xml:space="preserve"> </w:t>
            </w:r>
            <w:r w:rsidRPr="00C6052E">
              <w:t>beginning</w:t>
            </w:r>
            <w:r w:rsidR="00177848" w:rsidRPr="00C6052E">
              <w:t xml:space="preserve"> </w:t>
            </w:r>
            <w:r w:rsidRPr="00C6052E">
              <w:t>of</w:t>
            </w:r>
            <w:r w:rsidR="00177848" w:rsidRPr="00C6052E">
              <w:t xml:space="preserve"> </w:t>
            </w:r>
            <w:r w:rsidRPr="00C6052E">
              <w:t>the</w:t>
            </w:r>
            <w:r w:rsidR="00177848" w:rsidRPr="00C6052E">
              <w:t xml:space="preserve"> </w:t>
            </w:r>
            <w:r w:rsidRPr="00C6052E">
              <w:t>financial</w:t>
            </w:r>
            <w:r w:rsidR="00177848" w:rsidRPr="00C6052E">
              <w:t xml:space="preserve"> </w:t>
            </w:r>
            <w:r w:rsidRPr="00C6052E">
              <w:t>year</w:t>
            </w:r>
          </w:p>
        </w:tc>
        <w:tc>
          <w:tcPr>
            <w:tcW w:w="709" w:type="dxa"/>
            <w:noWrap/>
          </w:tcPr>
          <w:p w14:paraId="17460D50" w14:textId="77777777" w:rsidR="00EE5BB8" w:rsidRPr="00C6052E" w:rsidRDefault="00EE5BB8" w:rsidP="000F5B20">
            <w:pPr>
              <w:pStyle w:val="TableCopy"/>
              <w:jc w:val="right"/>
            </w:pPr>
          </w:p>
        </w:tc>
        <w:tc>
          <w:tcPr>
            <w:tcW w:w="1204" w:type="dxa"/>
            <w:noWrap/>
            <w:hideMark/>
          </w:tcPr>
          <w:p w14:paraId="75797A9E" w14:textId="77777777" w:rsidR="00EE5BB8" w:rsidRPr="00C6052E" w:rsidRDefault="00EE5BB8" w:rsidP="000F5B20">
            <w:pPr>
              <w:pStyle w:val="TableCopy"/>
              <w:jc w:val="right"/>
            </w:pPr>
            <w:r w:rsidRPr="00C6052E">
              <w:t>271,311</w:t>
            </w:r>
          </w:p>
        </w:tc>
        <w:tc>
          <w:tcPr>
            <w:tcW w:w="1205" w:type="dxa"/>
            <w:noWrap/>
            <w:hideMark/>
          </w:tcPr>
          <w:p w14:paraId="50620751" w14:textId="77777777" w:rsidR="00EE5BB8" w:rsidRPr="00C6052E" w:rsidRDefault="00EE5BB8" w:rsidP="000F5B20">
            <w:pPr>
              <w:pStyle w:val="TableCopy"/>
              <w:jc w:val="right"/>
            </w:pPr>
            <w:r w:rsidRPr="00C6052E">
              <w:t>322,133</w:t>
            </w:r>
          </w:p>
        </w:tc>
      </w:tr>
      <w:tr w:rsidR="00EE5BB8" w:rsidRPr="000F5B20" w14:paraId="1160434D" w14:textId="77777777" w:rsidTr="00E02B91">
        <w:tc>
          <w:tcPr>
            <w:tcW w:w="6516" w:type="dxa"/>
            <w:hideMark/>
          </w:tcPr>
          <w:p w14:paraId="0FBC38D7" w14:textId="1C78F8D1" w:rsidR="00EE5BB8" w:rsidRPr="000F5B20" w:rsidRDefault="00EE5BB8" w:rsidP="00814D77">
            <w:pPr>
              <w:pStyle w:val="Tabletotal"/>
            </w:pPr>
            <w:r w:rsidRPr="000F5B20">
              <w:t>Cash</w:t>
            </w:r>
            <w:r w:rsidR="00177848" w:rsidRPr="000F5B20">
              <w:t xml:space="preserve"> </w:t>
            </w:r>
            <w:r w:rsidRPr="000F5B20">
              <w:t>and</w:t>
            </w:r>
            <w:r w:rsidR="00177848" w:rsidRPr="000F5B20">
              <w:t xml:space="preserve"> </w:t>
            </w:r>
            <w:r w:rsidRPr="000F5B20">
              <w:t>cash</w:t>
            </w:r>
            <w:r w:rsidR="00177848" w:rsidRPr="000F5B20">
              <w:t xml:space="preserve"> </w:t>
            </w:r>
            <w:r w:rsidRPr="000F5B20">
              <w:t>equivalents</w:t>
            </w:r>
            <w:r w:rsidR="00177848" w:rsidRPr="000F5B20">
              <w:t xml:space="preserve"> </w:t>
            </w:r>
            <w:r w:rsidRPr="000F5B20">
              <w:t>at</w:t>
            </w:r>
            <w:r w:rsidR="00177848" w:rsidRPr="000F5B20">
              <w:t xml:space="preserve"> </w:t>
            </w:r>
            <w:r w:rsidRPr="000F5B20">
              <w:t>the</w:t>
            </w:r>
            <w:r w:rsidR="00177848" w:rsidRPr="000F5B20">
              <w:t xml:space="preserve"> </w:t>
            </w:r>
            <w:r w:rsidRPr="000F5B20">
              <w:t>end</w:t>
            </w:r>
            <w:r w:rsidR="00177848" w:rsidRPr="000F5B20">
              <w:t xml:space="preserve"> </w:t>
            </w:r>
            <w:r w:rsidRPr="000F5B20">
              <w:t>of</w:t>
            </w:r>
            <w:r w:rsidR="00177848" w:rsidRPr="000F5B20">
              <w:t xml:space="preserve"> </w:t>
            </w:r>
            <w:r w:rsidRPr="000F5B20">
              <w:t>the</w:t>
            </w:r>
            <w:r w:rsidR="00177848" w:rsidRPr="000F5B20">
              <w:t xml:space="preserve"> </w:t>
            </w:r>
            <w:r w:rsidRPr="000F5B20">
              <w:t>financial</w:t>
            </w:r>
            <w:r w:rsidR="00177848" w:rsidRPr="000F5B20">
              <w:t xml:space="preserve"> </w:t>
            </w:r>
            <w:r w:rsidRPr="000F5B20">
              <w:t>year</w:t>
            </w:r>
          </w:p>
        </w:tc>
        <w:tc>
          <w:tcPr>
            <w:tcW w:w="709" w:type="dxa"/>
            <w:hideMark/>
          </w:tcPr>
          <w:p w14:paraId="42DD48AD" w14:textId="77777777" w:rsidR="00EE5BB8" w:rsidRPr="000F5B20" w:rsidRDefault="00EE5BB8" w:rsidP="00814D77">
            <w:pPr>
              <w:pStyle w:val="Tabletotal"/>
              <w:jc w:val="right"/>
            </w:pPr>
            <w:r w:rsidRPr="000F5B20">
              <w:t>7.3.1</w:t>
            </w:r>
          </w:p>
        </w:tc>
        <w:tc>
          <w:tcPr>
            <w:tcW w:w="1204" w:type="dxa"/>
            <w:noWrap/>
            <w:hideMark/>
          </w:tcPr>
          <w:p w14:paraId="3E39F402" w14:textId="77777777" w:rsidR="00EE5BB8" w:rsidRPr="000F5B20" w:rsidRDefault="00EE5BB8" w:rsidP="00814D77">
            <w:pPr>
              <w:pStyle w:val="Tabletotal"/>
              <w:jc w:val="right"/>
            </w:pPr>
            <w:r w:rsidRPr="000F5B20">
              <w:t>229,565</w:t>
            </w:r>
          </w:p>
        </w:tc>
        <w:tc>
          <w:tcPr>
            <w:tcW w:w="1205" w:type="dxa"/>
            <w:noWrap/>
            <w:hideMark/>
          </w:tcPr>
          <w:p w14:paraId="5052BE6D" w14:textId="77777777" w:rsidR="00EE5BB8" w:rsidRPr="000F5B20" w:rsidRDefault="00EE5BB8" w:rsidP="00814D77">
            <w:pPr>
              <w:pStyle w:val="Tabletotal"/>
              <w:jc w:val="right"/>
            </w:pPr>
            <w:r w:rsidRPr="000F5B20">
              <w:t>271,311</w:t>
            </w:r>
          </w:p>
        </w:tc>
      </w:tr>
    </w:tbl>
    <w:p w14:paraId="3502A36F" w14:textId="7F20B8B5" w:rsidR="00EE5BB8" w:rsidRPr="00C6052E" w:rsidRDefault="00EE5BB8" w:rsidP="00814D77">
      <w:pPr>
        <w:pStyle w:val="Tablenotes"/>
        <w:ind w:left="0" w:firstLine="0"/>
      </w:pPr>
      <w:r w:rsidRPr="00C6052E">
        <w:t>The</w:t>
      </w:r>
      <w:r w:rsidR="00177848" w:rsidRPr="00C6052E">
        <w:t xml:space="preserve"> </w:t>
      </w:r>
      <w:r w:rsidRPr="00C6052E">
        <w:t>accompanying</w:t>
      </w:r>
      <w:r w:rsidR="00177848" w:rsidRPr="00C6052E">
        <w:t xml:space="preserve"> </w:t>
      </w:r>
      <w:r w:rsidRPr="00C6052E">
        <w:t>notes</w:t>
      </w:r>
      <w:r w:rsidR="00177848" w:rsidRPr="00C6052E">
        <w:t xml:space="preserve"> </w:t>
      </w:r>
      <w:r w:rsidRPr="00C6052E">
        <w:t>form</w:t>
      </w:r>
      <w:r w:rsidR="00177848" w:rsidRPr="00C6052E">
        <w:t xml:space="preserve"> </w:t>
      </w:r>
      <w:r w:rsidRPr="00C6052E">
        <w:t>part</w:t>
      </w:r>
      <w:r w:rsidR="00177848" w:rsidRPr="00C6052E">
        <w:t xml:space="preserve"> </w:t>
      </w:r>
      <w:r w:rsidRPr="00C6052E">
        <w:t>of</w:t>
      </w:r>
      <w:r w:rsidR="00177848" w:rsidRPr="00C6052E">
        <w:t xml:space="preserve"> </w:t>
      </w:r>
      <w:r w:rsidRPr="00C6052E">
        <w:t>these</w:t>
      </w:r>
      <w:r w:rsidR="00177848" w:rsidRPr="00C6052E">
        <w:t xml:space="preserve"> </w:t>
      </w:r>
      <w:r w:rsidRPr="00C6052E">
        <w:t>financial</w:t>
      </w:r>
      <w:r w:rsidR="00177848" w:rsidRPr="00C6052E">
        <w:t xml:space="preserve"> </w:t>
      </w:r>
      <w:r w:rsidRPr="00C6052E">
        <w:t>statements.</w:t>
      </w:r>
    </w:p>
    <w:p w14:paraId="4144B796" w14:textId="10D6A77D" w:rsidR="00EE5BB8" w:rsidRPr="00C6052E" w:rsidRDefault="00EE5BB8" w:rsidP="00EE5BB8">
      <w:pPr>
        <w:pStyle w:val="Tablenotes-numbered"/>
        <w:numPr>
          <w:ilvl w:val="0"/>
          <w:numId w:val="17"/>
        </w:numPr>
      </w:pPr>
      <w:r w:rsidRPr="00C6052E">
        <w:t>This</w:t>
      </w:r>
      <w:r w:rsidR="00177848" w:rsidRPr="00C6052E">
        <w:t xml:space="preserve"> </w:t>
      </w:r>
      <w:r w:rsidRPr="00C6052E">
        <w:t>format</w:t>
      </w:r>
      <w:r w:rsidR="00177848" w:rsidRPr="00C6052E">
        <w:t xml:space="preserve"> </w:t>
      </w:r>
      <w:r w:rsidRPr="00C6052E">
        <w:t>is</w:t>
      </w:r>
      <w:r w:rsidR="00177848" w:rsidRPr="00C6052E">
        <w:t xml:space="preserve"> </w:t>
      </w:r>
      <w:r w:rsidRPr="00C6052E">
        <w:t>aligned</w:t>
      </w:r>
      <w:r w:rsidR="00177848" w:rsidRPr="00C6052E">
        <w:t xml:space="preserve"> </w:t>
      </w:r>
      <w:r w:rsidRPr="00C6052E">
        <w:t>to</w:t>
      </w:r>
      <w:r w:rsidR="00177848" w:rsidRPr="00C6052E">
        <w:t xml:space="preserve"> </w:t>
      </w:r>
      <w:r w:rsidRPr="00C6052E">
        <w:t>AASB</w:t>
      </w:r>
      <w:r w:rsidR="00177848" w:rsidRPr="00C6052E">
        <w:t xml:space="preserve"> </w:t>
      </w:r>
      <w:r w:rsidRPr="00C6052E">
        <w:t>1049</w:t>
      </w:r>
      <w:r w:rsidR="00177848" w:rsidRPr="00C6052E">
        <w:t xml:space="preserve"> </w:t>
      </w:r>
      <w:r w:rsidRPr="00C6052E">
        <w:t>Whole</w:t>
      </w:r>
      <w:r w:rsidR="00177848" w:rsidRPr="00C6052E">
        <w:t xml:space="preserve"> </w:t>
      </w:r>
      <w:r w:rsidRPr="00C6052E">
        <w:t>of</w:t>
      </w:r>
      <w:r w:rsidR="00177848" w:rsidRPr="00C6052E">
        <w:t xml:space="preserve"> </w:t>
      </w:r>
      <w:r w:rsidRPr="00C6052E">
        <w:t>Government</w:t>
      </w:r>
      <w:r w:rsidR="00177848" w:rsidRPr="00C6052E">
        <w:t xml:space="preserve"> </w:t>
      </w:r>
      <w:r w:rsidRPr="00C6052E">
        <w:t>and</w:t>
      </w:r>
      <w:r w:rsidR="00177848" w:rsidRPr="00C6052E">
        <w:t xml:space="preserve"> </w:t>
      </w:r>
      <w:r w:rsidRPr="00C6052E">
        <w:t>General</w:t>
      </w:r>
      <w:r w:rsidR="00177848" w:rsidRPr="00C6052E">
        <w:t xml:space="preserve"> </w:t>
      </w:r>
      <w:r w:rsidRPr="00C6052E">
        <w:t>Government</w:t>
      </w:r>
      <w:r w:rsidR="00177848" w:rsidRPr="00C6052E">
        <w:t xml:space="preserve"> </w:t>
      </w:r>
      <w:r w:rsidRPr="00C6052E">
        <w:t>Sector</w:t>
      </w:r>
      <w:r w:rsidR="00177848" w:rsidRPr="00C6052E">
        <w:t xml:space="preserve"> </w:t>
      </w:r>
      <w:r w:rsidRPr="00C6052E">
        <w:t>Financial</w:t>
      </w:r>
      <w:r w:rsidR="00177848" w:rsidRPr="00C6052E">
        <w:t xml:space="preserve"> </w:t>
      </w:r>
      <w:r w:rsidRPr="00C6052E">
        <w:t>Reporting.</w:t>
      </w:r>
    </w:p>
    <w:p w14:paraId="0443BC4E" w14:textId="46585A0D" w:rsidR="00EE5BB8" w:rsidRPr="00C6052E" w:rsidRDefault="00EE5BB8" w:rsidP="000F5B20">
      <w:pPr>
        <w:pStyle w:val="Tablenotes-numbered"/>
        <w:numPr>
          <w:ilvl w:val="0"/>
          <w:numId w:val="17"/>
        </w:numPr>
        <w:spacing w:after="240"/>
      </w:pPr>
      <w:r w:rsidRPr="00C6052E">
        <w:t>Goods</w:t>
      </w:r>
      <w:r w:rsidR="00177848" w:rsidRPr="00C6052E">
        <w:t xml:space="preserve"> </w:t>
      </w:r>
      <w:r w:rsidRPr="00C6052E">
        <w:t>and</w:t>
      </w:r>
      <w:r w:rsidR="00177848" w:rsidRPr="00C6052E">
        <w:t xml:space="preserve"> </w:t>
      </w:r>
      <w:r w:rsidRPr="00C6052E">
        <w:t>Services</w:t>
      </w:r>
      <w:r w:rsidR="00177848" w:rsidRPr="00C6052E">
        <w:t xml:space="preserve"> </w:t>
      </w:r>
      <w:r w:rsidRPr="00C6052E">
        <w:t>Tax</w:t>
      </w:r>
      <w:r w:rsidR="00177848" w:rsidRPr="00C6052E">
        <w:t xml:space="preserve"> </w:t>
      </w:r>
      <w:r w:rsidRPr="00C6052E">
        <w:t>(GST)</w:t>
      </w:r>
      <w:r w:rsidR="00177848" w:rsidRPr="00C6052E">
        <w:t xml:space="preserve"> </w:t>
      </w:r>
      <w:r w:rsidRPr="00C6052E">
        <w:t>recovered/(paid)</w:t>
      </w:r>
      <w:r w:rsidR="00177848" w:rsidRPr="00C6052E">
        <w:t xml:space="preserve"> </w:t>
      </w:r>
      <w:r w:rsidRPr="00C6052E">
        <w:t>to</w:t>
      </w:r>
      <w:r w:rsidR="00177848" w:rsidRPr="00C6052E">
        <w:t xml:space="preserve"> </w:t>
      </w:r>
      <w:r w:rsidRPr="00C6052E">
        <w:t>the</w:t>
      </w:r>
      <w:r w:rsidR="00177848" w:rsidRPr="00C6052E">
        <w:t xml:space="preserve"> </w:t>
      </w:r>
      <w:r w:rsidRPr="00C6052E">
        <w:t>ATO</w:t>
      </w:r>
      <w:r w:rsidR="00177848" w:rsidRPr="00C6052E">
        <w:t xml:space="preserve"> </w:t>
      </w:r>
      <w:r w:rsidRPr="00C6052E">
        <w:t>is</w:t>
      </w:r>
      <w:r w:rsidR="00177848" w:rsidRPr="00C6052E">
        <w:t xml:space="preserve"> </w:t>
      </w:r>
      <w:r w:rsidRPr="00C6052E">
        <w:t>presented</w:t>
      </w:r>
      <w:r w:rsidR="00177848" w:rsidRPr="00C6052E">
        <w:t xml:space="preserve"> </w:t>
      </w:r>
      <w:r w:rsidRPr="00C6052E">
        <w:t>on</w:t>
      </w:r>
      <w:r w:rsidR="00177848" w:rsidRPr="00C6052E">
        <w:t xml:space="preserve"> </w:t>
      </w:r>
      <w:r w:rsidRPr="00C6052E">
        <w:t>a</w:t>
      </w:r>
      <w:r w:rsidR="00177848" w:rsidRPr="00C6052E">
        <w:t xml:space="preserve"> </w:t>
      </w:r>
      <w:r w:rsidRPr="00C6052E">
        <w:t>net</w:t>
      </w:r>
      <w:r w:rsidR="00177848" w:rsidRPr="00C6052E">
        <w:t xml:space="preserve"> </w:t>
      </w:r>
      <w:r w:rsidRPr="00C6052E">
        <w:t>basis.</w:t>
      </w:r>
    </w:p>
    <w:p w14:paraId="2A848E90" w14:textId="77777777" w:rsidR="00E02B91" w:rsidRDefault="00EE5BB8" w:rsidP="00E02B91">
      <w:pPr>
        <w:pStyle w:val="Heading2"/>
        <w:spacing w:after="120"/>
      </w:pPr>
      <w:bookmarkStart w:id="55" w:name="Statement_of_changes"/>
      <w:bookmarkStart w:id="56" w:name="_Toc163565937"/>
      <w:bookmarkStart w:id="57" w:name="_Toc207622403"/>
      <w:bookmarkStart w:id="58" w:name="_Ref209625914"/>
      <w:bookmarkStart w:id="59" w:name="_Ref209625933"/>
      <w:bookmarkStart w:id="60" w:name="_Toc213852183"/>
      <w:bookmarkStart w:id="61" w:name="_Toc214375521"/>
      <w:bookmarkStart w:id="62" w:name="_Toc214618234"/>
      <w:r w:rsidRPr="00C6052E">
        <w:t>Statement</w:t>
      </w:r>
      <w:r w:rsidR="00177848" w:rsidRPr="00C6052E">
        <w:t xml:space="preserve"> </w:t>
      </w:r>
      <w:r w:rsidRPr="00C6052E">
        <w:t>of</w:t>
      </w:r>
      <w:r w:rsidR="00177848" w:rsidRPr="00C6052E">
        <w:t xml:space="preserve"> </w:t>
      </w:r>
      <w:r w:rsidRPr="00C6052E">
        <w:t>changes</w:t>
      </w:r>
      <w:r w:rsidR="00177848" w:rsidRPr="00C6052E">
        <w:t xml:space="preserve"> </w:t>
      </w:r>
      <w:r w:rsidRPr="00C6052E">
        <w:t>in</w:t>
      </w:r>
      <w:r w:rsidR="00177848" w:rsidRPr="00C6052E">
        <w:t xml:space="preserve"> </w:t>
      </w:r>
      <w:r w:rsidRPr="00C6052E">
        <w:t>equity</w:t>
      </w:r>
      <w:r w:rsidR="00177848" w:rsidRPr="00C6052E">
        <w:t xml:space="preserve"> </w:t>
      </w:r>
      <w:r w:rsidRPr="00C6052E">
        <w:t>for</w:t>
      </w:r>
      <w:r w:rsidR="00177848" w:rsidRPr="00C6052E">
        <w:t xml:space="preserve"> </w:t>
      </w:r>
      <w:r w:rsidRPr="00C6052E">
        <w:t>the</w:t>
      </w:r>
      <w:r w:rsidR="00177848" w:rsidRPr="00C6052E">
        <w:t xml:space="preserve"> </w:t>
      </w:r>
      <w:r w:rsidRPr="00C6052E">
        <w:t>financial</w:t>
      </w:r>
      <w:r w:rsidR="00177848" w:rsidRPr="00C6052E">
        <w:t xml:space="preserve"> </w:t>
      </w:r>
      <w:r w:rsidRPr="00C6052E">
        <w:t>year</w:t>
      </w:r>
      <w:r w:rsidR="00177848" w:rsidRPr="00C6052E">
        <w:t xml:space="preserve"> </w:t>
      </w:r>
      <w:r w:rsidRPr="00C6052E">
        <w:t>ended</w:t>
      </w:r>
      <w:r w:rsidR="00177848" w:rsidRPr="00C6052E">
        <w:t xml:space="preserve"> </w:t>
      </w:r>
      <w:fldSimple w:instr=" DOCPROPERTY  pEnd_A  \* MERGEFORMAT ">
        <w:r w:rsidRPr="00C6052E">
          <w:t>30</w:t>
        </w:r>
        <w:r w:rsidR="00177848" w:rsidRPr="00C6052E">
          <w:t xml:space="preserve"> </w:t>
        </w:r>
        <w:r w:rsidRPr="00C6052E">
          <w:t>June</w:t>
        </w:r>
      </w:fldSimple>
      <w:r w:rsidR="00177848" w:rsidRPr="00C6052E">
        <w:t xml:space="preserve"> </w:t>
      </w:r>
      <w:fldSimple w:instr=" DOCPROPERTY  crYear  \* MERGEFORMAT ">
        <w:r w:rsidRPr="00C6052E">
          <w:t>2025</w:t>
        </w:r>
      </w:fldSimple>
      <w:bookmarkEnd w:id="55"/>
      <w:r w:rsidRPr="00C6052E">
        <w:rPr>
          <w:vertAlign w:val="superscript"/>
        </w:rPr>
        <w:t>(i)</w:t>
      </w:r>
      <w:bookmarkEnd w:id="56"/>
      <w:bookmarkEnd w:id="57"/>
      <w:bookmarkEnd w:id="58"/>
      <w:bookmarkEnd w:id="59"/>
      <w:bookmarkEnd w:id="60"/>
      <w:bookmarkEnd w:id="61"/>
      <w:bookmarkEnd w:id="62"/>
      <w:r w:rsidR="00445EF8" w:rsidRPr="00445EF8">
        <w:t xml:space="preserve"> </w:t>
      </w:r>
    </w:p>
    <w:p w14:paraId="5B73707C" w14:textId="77777777" w:rsidR="00E02B91" w:rsidRPr="00E02B91" w:rsidRDefault="00E02B91" w:rsidP="00E02B91">
      <w:pPr>
        <w:pStyle w:val="Normalbeforebullets"/>
        <w:rPr>
          <w:b/>
          <w:bCs/>
        </w:rPr>
      </w:pPr>
      <w:r w:rsidRPr="00E02B91">
        <w:rPr>
          <w:b/>
          <w:bCs/>
        </w:rPr>
        <w:t>($ thousand)</w:t>
      </w:r>
    </w:p>
    <w:tbl>
      <w:tblPr>
        <w:tblStyle w:val="TableGrid"/>
        <w:tblW w:w="9668" w:type="dxa"/>
        <w:tblLayout w:type="fixed"/>
        <w:tblLook w:val="04E0" w:firstRow="1" w:lastRow="1" w:firstColumn="1" w:lastColumn="0" w:noHBand="0" w:noVBand="1"/>
      </w:tblPr>
      <w:tblGrid>
        <w:gridCol w:w="4025"/>
        <w:gridCol w:w="709"/>
        <w:gridCol w:w="1191"/>
        <w:gridCol w:w="1276"/>
        <w:gridCol w:w="1360"/>
        <w:gridCol w:w="1107"/>
      </w:tblGrid>
      <w:tr w:rsidR="00EE5BB8" w:rsidRPr="00C6052E" w14:paraId="0CCDBD8C" w14:textId="77777777" w:rsidTr="00DA7266">
        <w:trPr>
          <w:tblHeader/>
        </w:trPr>
        <w:tc>
          <w:tcPr>
            <w:tcW w:w="4025" w:type="dxa"/>
            <w:noWrap/>
            <w:hideMark/>
          </w:tcPr>
          <w:p w14:paraId="037C9030" w14:textId="77777777" w:rsidR="00EE5BB8" w:rsidRPr="000F5B20" w:rsidRDefault="00EE5BB8" w:rsidP="000F5B20">
            <w:pPr>
              <w:pStyle w:val="TableColumnHeading"/>
            </w:pPr>
            <w:bookmarkStart w:id="63" w:name="TableColumnHeadings_42"/>
            <w:bookmarkEnd w:id="63"/>
          </w:p>
        </w:tc>
        <w:tc>
          <w:tcPr>
            <w:tcW w:w="709" w:type="dxa"/>
            <w:hideMark/>
          </w:tcPr>
          <w:p w14:paraId="5CB441CD" w14:textId="77777777" w:rsidR="00EE5BB8" w:rsidRPr="00C6052E" w:rsidRDefault="00EE5BB8" w:rsidP="00DA7266">
            <w:pPr>
              <w:pStyle w:val="TableColumnHeading"/>
              <w:jc w:val="right"/>
            </w:pPr>
            <w:r w:rsidRPr="00C6052E">
              <w:t>Note</w:t>
            </w:r>
          </w:p>
        </w:tc>
        <w:tc>
          <w:tcPr>
            <w:tcW w:w="1191" w:type="dxa"/>
            <w:hideMark/>
          </w:tcPr>
          <w:p w14:paraId="0A4D3070" w14:textId="61B9DCFC" w:rsidR="00EE5BB8" w:rsidRPr="00C6052E" w:rsidRDefault="00EE5BB8" w:rsidP="00DA7266">
            <w:pPr>
              <w:pStyle w:val="TableColumnHeading"/>
              <w:jc w:val="right"/>
              <w:rPr>
                <w:lang w:val="en-AU"/>
              </w:rPr>
            </w:pPr>
            <w:r w:rsidRPr="00C6052E">
              <w:rPr>
                <w:lang w:val="en-AU"/>
              </w:rPr>
              <w:t>Physical</w:t>
            </w:r>
            <w:r w:rsidR="00B1545C" w:rsidRPr="00C6052E">
              <w:rPr>
                <w:lang w:val="en-AU"/>
              </w:rPr>
              <w:t xml:space="preserve"> </w:t>
            </w:r>
            <w:r w:rsidRPr="00C6052E">
              <w:rPr>
                <w:lang w:val="en-AU"/>
              </w:rPr>
              <w:t>asset</w:t>
            </w:r>
            <w:r w:rsidR="00177848" w:rsidRPr="00C6052E">
              <w:rPr>
                <w:lang w:val="en-AU"/>
              </w:rPr>
              <w:t xml:space="preserve"> </w:t>
            </w:r>
            <w:r w:rsidRPr="00C6052E">
              <w:rPr>
                <w:lang w:val="en-AU"/>
              </w:rPr>
              <w:t>revaluation</w:t>
            </w:r>
            <w:r w:rsidR="00177848" w:rsidRPr="00C6052E">
              <w:rPr>
                <w:lang w:val="en-AU"/>
              </w:rPr>
              <w:t xml:space="preserve"> </w:t>
            </w:r>
            <w:r w:rsidRPr="00C6052E">
              <w:rPr>
                <w:lang w:val="en-AU"/>
              </w:rPr>
              <w:t>surplus</w:t>
            </w:r>
            <w:r w:rsidR="00177848" w:rsidRPr="00C6052E">
              <w:rPr>
                <w:lang w:val="en-AU"/>
              </w:rPr>
              <w:t xml:space="preserve"> </w:t>
            </w:r>
          </w:p>
        </w:tc>
        <w:tc>
          <w:tcPr>
            <w:tcW w:w="1276" w:type="dxa"/>
            <w:hideMark/>
          </w:tcPr>
          <w:p w14:paraId="4E47FFCB" w14:textId="15EFCF19" w:rsidR="00EE5BB8" w:rsidRPr="00C6052E" w:rsidRDefault="00EE5BB8" w:rsidP="00DA7266">
            <w:pPr>
              <w:pStyle w:val="TableColumnHeading"/>
              <w:jc w:val="right"/>
              <w:rPr>
                <w:lang w:val="en-AU"/>
              </w:rPr>
            </w:pPr>
            <w:r w:rsidRPr="00C6052E">
              <w:rPr>
                <w:lang w:val="en-AU"/>
              </w:rPr>
              <w:t>Contributed</w:t>
            </w:r>
            <w:r w:rsidR="00B1545C" w:rsidRPr="00C6052E">
              <w:rPr>
                <w:lang w:val="en-AU"/>
              </w:rPr>
              <w:t xml:space="preserve"> </w:t>
            </w:r>
            <w:r w:rsidRPr="00C6052E">
              <w:rPr>
                <w:lang w:val="en-AU"/>
              </w:rPr>
              <w:t>capital</w:t>
            </w:r>
            <w:r w:rsidR="00177848" w:rsidRPr="00C6052E">
              <w:rPr>
                <w:lang w:val="en-AU"/>
              </w:rPr>
              <w:t xml:space="preserve"> </w:t>
            </w:r>
          </w:p>
        </w:tc>
        <w:tc>
          <w:tcPr>
            <w:tcW w:w="1360" w:type="dxa"/>
            <w:hideMark/>
          </w:tcPr>
          <w:p w14:paraId="3B2CF70C" w14:textId="174F4EAF" w:rsidR="00EE5BB8" w:rsidRPr="00C6052E" w:rsidRDefault="00EE5BB8" w:rsidP="00DA7266">
            <w:pPr>
              <w:pStyle w:val="TableColumnHeading"/>
              <w:jc w:val="right"/>
              <w:rPr>
                <w:lang w:val="en-AU"/>
              </w:rPr>
            </w:pPr>
            <w:r w:rsidRPr="00C6052E">
              <w:rPr>
                <w:spacing w:val="-2"/>
                <w:lang w:val="en-AU"/>
              </w:rPr>
              <w:t>Accumulated</w:t>
            </w:r>
            <w:r w:rsidR="00B1545C" w:rsidRPr="00C6052E">
              <w:rPr>
                <w:spacing w:val="-2"/>
                <w:lang w:val="en-AU"/>
              </w:rPr>
              <w:t xml:space="preserve"> </w:t>
            </w:r>
            <w:r w:rsidRPr="00C6052E">
              <w:rPr>
                <w:spacing w:val="-2"/>
                <w:lang w:val="en-AU"/>
              </w:rPr>
              <w:t>surplus</w:t>
            </w:r>
          </w:p>
        </w:tc>
        <w:tc>
          <w:tcPr>
            <w:tcW w:w="1107" w:type="dxa"/>
            <w:hideMark/>
          </w:tcPr>
          <w:p w14:paraId="470E5B34" w14:textId="77777777" w:rsidR="00EE5BB8" w:rsidRPr="00C6052E" w:rsidRDefault="00EE5BB8" w:rsidP="00DA7266">
            <w:pPr>
              <w:pStyle w:val="TableColumnHeading"/>
              <w:jc w:val="right"/>
            </w:pPr>
            <w:r w:rsidRPr="00C6052E">
              <w:t>Total</w:t>
            </w:r>
          </w:p>
        </w:tc>
      </w:tr>
      <w:tr w:rsidR="00EE5BB8" w:rsidRPr="00C6052E" w14:paraId="1E186DF4" w14:textId="77777777" w:rsidTr="00DA7266">
        <w:tc>
          <w:tcPr>
            <w:tcW w:w="4025" w:type="dxa"/>
            <w:noWrap/>
            <w:hideMark/>
          </w:tcPr>
          <w:p w14:paraId="4BED6DAA" w14:textId="3E2EE4F9" w:rsidR="00EE5BB8" w:rsidRPr="00C6052E" w:rsidRDefault="00EE5BB8" w:rsidP="00814D77">
            <w:pPr>
              <w:pStyle w:val="Tabletotal"/>
            </w:pPr>
            <w:r w:rsidRPr="00C6052E">
              <w:t>Balance</w:t>
            </w:r>
            <w:r w:rsidR="00177848" w:rsidRPr="00C6052E">
              <w:t xml:space="preserve"> </w:t>
            </w:r>
            <w:r w:rsidRPr="00C6052E">
              <w:t>at</w:t>
            </w:r>
            <w:r w:rsidR="00177848" w:rsidRPr="00C6052E">
              <w:t xml:space="preserve"> </w:t>
            </w:r>
            <w:r w:rsidRPr="00C6052E">
              <w:t>1</w:t>
            </w:r>
            <w:r w:rsidR="00177848" w:rsidRPr="00C6052E">
              <w:t xml:space="preserve"> </w:t>
            </w:r>
            <w:r w:rsidRPr="00C6052E">
              <w:t>July</w:t>
            </w:r>
            <w:r w:rsidR="00177848" w:rsidRPr="00C6052E">
              <w:t xml:space="preserve"> </w:t>
            </w:r>
            <w:r w:rsidRPr="00C6052E">
              <w:t>2023</w:t>
            </w:r>
          </w:p>
        </w:tc>
        <w:tc>
          <w:tcPr>
            <w:tcW w:w="709" w:type="dxa"/>
            <w:noWrap/>
            <w:hideMark/>
          </w:tcPr>
          <w:p w14:paraId="6E94E95F" w14:textId="77777777" w:rsidR="00EE5BB8" w:rsidRPr="00C6052E" w:rsidRDefault="00EE5BB8" w:rsidP="00814D77">
            <w:pPr>
              <w:pStyle w:val="Tabletotal"/>
              <w:jc w:val="right"/>
            </w:pPr>
          </w:p>
        </w:tc>
        <w:tc>
          <w:tcPr>
            <w:tcW w:w="1191" w:type="dxa"/>
            <w:noWrap/>
            <w:hideMark/>
          </w:tcPr>
          <w:p w14:paraId="61C9E0D0" w14:textId="77777777" w:rsidR="00EE5BB8" w:rsidRPr="00C6052E" w:rsidRDefault="00EE5BB8" w:rsidP="00814D77">
            <w:pPr>
              <w:pStyle w:val="Tabletotal"/>
              <w:jc w:val="right"/>
            </w:pPr>
            <w:r w:rsidRPr="00C6052E">
              <w:t>97,016</w:t>
            </w:r>
          </w:p>
        </w:tc>
        <w:tc>
          <w:tcPr>
            <w:tcW w:w="1276" w:type="dxa"/>
            <w:noWrap/>
            <w:hideMark/>
          </w:tcPr>
          <w:p w14:paraId="18C27CC8" w14:textId="77777777" w:rsidR="00EE5BB8" w:rsidRPr="00C6052E" w:rsidRDefault="00EE5BB8" w:rsidP="00814D77">
            <w:pPr>
              <w:pStyle w:val="Tabletotal"/>
              <w:jc w:val="right"/>
            </w:pPr>
            <w:r w:rsidRPr="00C6052E">
              <w:t>895,410</w:t>
            </w:r>
          </w:p>
        </w:tc>
        <w:tc>
          <w:tcPr>
            <w:tcW w:w="1360" w:type="dxa"/>
            <w:noWrap/>
            <w:hideMark/>
          </w:tcPr>
          <w:p w14:paraId="7839C9BD" w14:textId="77777777" w:rsidR="00EE5BB8" w:rsidRPr="00C6052E" w:rsidRDefault="00EE5BB8" w:rsidP="00814D77">
            <w:pPr>
              <w:pStyle w:val="Tabletotal"/>
              <w:jc w:val="right"/>
            </w:pPr>
            <w:r w:rsidRPr="00C6052E">
              <w:t>403,766</w:t>
            </w:r>
          </w:p>
        </w:tc>
        <w:tc>
          <w:tcPr>
            <w:tcW w:w="1107" w:type="dxa"/>
            <w:noWrap/>
            <w:hideMark/>
          </w:tcPr>
          <w:p w14:paraId="5BFD43A1" w14:textId="77777777" w:rsidR="00EE5BB8" w:rsidRPr="00C6052E" w:rsidRDefault="00EE5BB8" w:rsidP="00814D77">
            <w:pPr>
              <w:pStyle w:val="Tabletotal"/>
              <w:jc w:val="right"/>
            </w:pPr>
            <w:r w:rsidRPr="00C6052E">
              <w:t>1,396,192</w:t>
            </w:r>
          </w:p>
        </w:tc>
      </w:tr>
      <w:tr w:rsidR="00EE5BB8" w:rsidRPr="00C6052E" w14:paraId="726BCDEB" w14:textId="77777777" w:rsidTr="00DA7266">
        <w:tc>
          <w:tcPr>
            <w:tcW w:w="4025" w:type="dxa"/>
            <w:hideMark/>
          </w:tcPr>
          <w:p w14:paraId="2A3EE3C9" w14:textId="542498A9" w:rsidR="00EE5BB8" w:rsidRPr="00C6052E" w:rsidRDefault="00EE5BB8" w:rsidP="000F5B20">
            <w:pPr>
              <w:pStyle w:val="TableCopy"/>
            </w:pPr>
            <w:r w:rsidRPr="00C6052E">
              <w:t>Net</w:t>
            </w:r>
            <w:r w:rsidR="00177848" w:rsidRPr="00C6052E">
              <w:t xml:space="preserve"> </w:t>
            </w:r>
            <w:r w:rsidRPr="00C6052E">
              <w:t>result</w:t>
            </w:r>
            <w:r w:rsidR="00177848" w:rsidRPr="00C6052E">
              <w:t xml:space="preserve"> </w:t>
            </w:r>
            <w:r w:rsidRPr="00C6052E">
              <w:t>for</w:t>
            </w:r>
            <w:r w:rsidR="00177848" w:rsidRPr="00C6052E">
              <w:t xml:space="preserve"> </w:t>
            </w:r>
            <w:r w:rsidRPr="00C6052E">
              <w:t>the</w:t>
            </w:r>
            <w:r w:rsidR="00177848" w:rsidRPr="00C6052E">
              <w:t xml:space="preserve"> </w:t>
            </w:r>
            <w:r w:rsidRPr="00C6052E">
              <w:t>year</w:t>
            </w:r>
            <w:r w:rsidR="00177848" w:rsidRPr="00C6052E">
              <w:t xml:space="preserve"> </w:t>
            </w:r>
          </w:p>
        </w:tc>
        <w:tc>
          <w:tcPr>
            <w:tcW w:w="709" w:type="dxa"/>
            <w:noWrap/>
            <w:hideMark/>
          </w:tcPr>
          <w:p w14:paraId="49B56E0F" w14:textId="77777777" w:rsidR="00EE5BB8" w:rsidRPr="00C6052E" w:rsidRDefault="00EE5BB8" w:rsidP="00DA7266">
            <w:pPr>
              <w:pStyle w:val="TableCopy"/>
              <w:jc w:val="right"/>
            </w:pPr>
          </w:p>
        </w:tc>
        <w:tc>
          <w:tcPr>
            <w:tcW w:w="1191" w:type="dxa"/>
            <w:noWrap/>
            <w:hideMark/>
          </w:tcPr>
          <w:p w14:paraId="504C1FB2" w14:textId="77777777" w:rsidR="00EE5BB8" w:rsidRPr="00C6052E" w:rsidRDefault="00EE5BB8" w:rsidP="00DA7266">
            <w:pPr>
              <w:pStyle w:val="TableCopy"/>
              <w:jc w:val="right"/>
            </w:pPr>
            <w:r w:rsidRPr="00C6052E">
              <w:t>–</w:t>
            </w:r>
          </w:p>
        </w:tc>
        <w:tc>
          <w:tcPr>
            <w:tcW w:w="1276" w:type="dxa"/>
            <w:noWrap/>
            <w:hideMark/>
          </w:tcPr>
          <w:p w14:paraId="1368DF3C" w14:textId="77777777" w:rsidR="00EE5BB8" w:rsidRPr="00C6052E" w:rsidRDefault="00EE5BB8" w:rsidP="00DA7266">
            <w:pPr>
              <w:pStyle w:val="TableCopy"/>
              <w:jc w:val="right"/>
            </w:pPr>
            <w:r w:rsidRPr="00C6052E">
              <w:t>–</w:t>
            </w:r>
          </w:p>
        </w:tc>
        <w:tc>
          <w:tcPr>
            <w:tcW w:w="1360" w:type="dxa"/>
            <w:noWrap/>
            <w:hideMark/>
          </w:tcPr>
          <w:p w14:paraId="3948C608" w14:textId="77777777" w:rsidR="00EE5BB8" w:rsidRPr="00C6052E" w:rsidRDefault="00EE5BB8" w:rsidP="00DA7266">
            <w:pPr>
              <w:pStyle w:val="TableCopy"/>
              <w:jc w:val="right"/>
            </w:pPr>
            <w:r w:rsidRPr="00C6052E">
              <w:t>89,901</w:t>
            </w:r>
          </w:p>
        </w:tc>
        <w:tc>
          <w:tcPr>
            <w:tcW w:w="1107" w:type="dxa"/>
            <w:noWrap/>
            <w:hideMark/>
          </w:tcPr>
          <w:p w14:paraId="37E1F474" w14:textId="77777777" w:rsidR="00EE5BB8" w:rsidRPr="00C6052E" w:rsidRDefault="00EE5BB8" w:rsidP="00DA7266">
            <w:pPr>
              <w:pStyle w:val="TableCopy"/>
              <w:jc w:val="right"/>
            </w:pPr>
            <w:r w:rsidRPr="00C6052E">
              <w:t>89,901</w:t>
            </w:r>
          </w:p>
        </w:tc>
      </w:tr>
      <w:tr w:rsidR="00EE5BB8" w:rsidRPr="00C6052E" w14:paraId="560C7A6F" w14:textId="77777777" w:rsidTr="00DA7266">
        <w:tc>
          <w:tcPr>
            <w:tcW w:w="4025" w:type="dxa"/>
            <w:noWrap/>
            <w:hideMark/>
          </w:tcPr>
          <w:p w14:paraId="2CC7B106" w14:textId="2A7C7A2D" w:rsidR="00EE5BB8" w:rsidRPr="00C6052E" w:rsidRDefault="00EE5BB8" w:rsidP="000F5B20">
            <w:pPr>
              <w:pStyle w:val="TableCopy"/>
            </w:pPr>
            <w:r w:rsidRPr="00C6052E">
              <w:t>Sec</w:t>
            </w:r>
            <w:r w:rsidR="00177848" w:rsidRPr="00C6052E">
              <w:t xml:space="preserve"> </w:t>
            </w:r>
            <w:r w:rsidRPr="00C6052E">
              <w:t>53</w:t>
            </w:r>
            <w:r w:rsidR="00177848" w:rsidRPr="00C6052E">
              <w:t xml:space="preserve"> </w:t>
            </w:r>
            <w:r w:rsidRPr="00C6052E">
              <w:t>(1)(b)</w:t>
            </w:r>
            <w:r w:rsidR="00177848" w:rsidRPr="00C6052E">
              <w:t xml:space="preserve"> </w:t>
            </w:r>
            <w:r w:rsidRPr="00C6052E">
              <w:t>entity</w:t>
            </w:r>
            <w:r w:rsidR="00177848" w:rsidRPr="00C6052E">
              <w:t xml:space="preserve"> </w:t>
            </w:r>
            <w:r w:rsidRPr="00C6052E">
              <w:t>no</w:t>
            </w:r>
            <w:r w:rsidR="00177848" w:rsidRPr="00C6052E">
              <w:t xml:space="preserve"> </w:t>
            </w:r>
            <w:r w:rsidRPr="00C6052E">
              <w:t>longer</w:t>
            </w:r>
            <w:r w:rsidR="00177848" w:rsidRPr="00C6052E">
              <w:t xml:space="preserve"> </w:t>
            </w:r>
            <w:r w:rsidRPr="00C6052E">
              <w:t>consolidated</w:t>
            </w:r>
            <w:r w:rsidR="00177848" w:rsidRPr="00C6052E">
              <w:t xml:space="preserve"> </w:t>
            </w:r>
          </w:p>
        </w:tc>
        <w:tc>
          <w:tcPr>
            <w:tcW w:w="709" w:type="dxa"/>
            <w:noWrap/>
            <w:hideMark/>
          </w:tcPr>
          <w:p w14:paraId="03DF0861" w14:textId="77777777" w:rsidR="00EE5BB8" w:rsidRPr="00C6052E" w:rsidRDefault="00EE5BB8" w:rsidP="00DA7266">
            <w:pPr>
              <w:pStyle w:val="TableCopy"/>
              <w:jc w:val="right"/>
            </w:pPr>
            <w:r w:rsidRPr="00C6052E">
              <w:t>9.4</w:t>
            </w:r>
          </w:p>
        </w:tc>
        <w:tc>
          <w:tcPr>
            <w:tcW w:w="1191" w:type="dxa"/>
            <w:noWrap/>
            <w:hideMark/>
          </w:tcPr>
          <w:p w14:paraId="1E511282" w14:textId="77777777" w:rsidR="00EE5BB8" w:rsidRPr="00C6052E" w:rsidRDefault="00EE5BB8" w:rsidP="00DA7266">
            <w:pPr>
              <w:pStyle w:val="TableCopy"/>
              <w:jc w:val="right"/>
            </w:pPr>
            <w:r w:rsidRPr="00C6052E">
              <w:t>–</w:t>
            </w:r>
          </w:p>
        </w:tc>
        <w:tc>
          <w:tcPr>
            <w:tcW w:w="1276" w:type="dxa"/>
            <w:noWrap/>
            <w:hideMark/>
          </w:tcPr>
          <w:p w14:paraId="273FD195" w14:textId="77777777" w:rsidR="00EE5BB8" w:rsidRPr="00C6052E" w:rsidRDefault="00EE5BB8" w:rsidP="00DA7266">
            <w:pPr>
              <w:pStyle w:val="TableCopy"/>
              <w:jc w:val="right"/>
            </w:pPr>
            <w:r w:rsidRPr="00C6052E">
              <w:t>113</w:t>
            </w:r>
          </w:p>
        </w:tc>
        <w:tc>
          <w:tcPr>
            <w:tcW w:w="1360" w:type="dxa"/>
            <w:noWrap/>
            <w:hideMark/>
          </w:tcPr>
          <w:p w14:paraId="5657F820" w14:textId="77777777" w:rsidR="00EE5BB8" w:rsidRPr="00C6052E" w:rsidRDefault="00EE5BB8" w:rsidP="00DA7266">
            <w:pPr>
              <w:pStyle w:val="TableCopy"/>
              <w:jc w:val="right"/>
            </w:pPr>
            <w:r w:rsidRPr="00C6052E">
              <w:t>–</w:t>
            </w:r>
          </w:p>
        </w:tc>
        <w:tc>
          <w:tcPr>
            <w:tcW w:w="1107" w:type="dxa"/>
            <w:noWrap/>
            <w:hideMark/>
          </w:tcPr>
          <w:p w14:paraId="07D6C9E8" w14:textId="77777777" w:rsidR="00EE5BB8" w:rsidRPr="00C6052E" w:rsidRDefault="00EE5BB8" w:rsidP="00DA7266">
            <w:pPr>
              <w:pStyle w:val="TableCopy"/>
              <w:jc w:val="right"/>
            </w:pPr>
            <w:r w:rsidRPr="00C6052E">
              <w:t>113</w:t>
            </w:r>
          </w:p>
        </w:tc>
      </w:tr>
      <w:tr w:rsidR="00EE5BB8" w:rsidRPr="00C6052E" w14:paraId="1F9056DB" w14:textId="77777777" w:rsidTr="00DA7266">
        <w:tc>
          <w:tcPr>
            <w:tcW w:w="4025" w:type="dxa"/>
            <w:hideMark/>
          </w:tcPr>
          <w:p w14:paraId="37C1D429" w14:textId="489EE287" w:rsidR="00EE5BB8" w:rsidRPr="00C6052E" w:rsidRDefault="00EE5BB8" w:rsidP="000F5B20">
            <w:pPr>
              <w:pStyle w:val="TableCopy"/>
            </w:pPr>
            <w:r w:rsidRPr="00C6052E">
              <w:t>Capital</w:t>
            </w:r>
            <w:r w:rsidR="00177848" w:rsidRPr="00C6052E">
              <w:t xml:space="preserve"> </w:t>
            </w:r>
            <w:r w:rsidRPr="00C6052E">
              <w:t>funding</w:t>
            </w:r>
            <w:r w:rsidR="00177848" w:rsidRPr="00C6052E">
              <w:t xml:space="preserve"> </w:t>
            </w:r>
            <w:r w:rsidRPr="00C6052E">
              <w:t>to</w:t>
            </w:r>
            <w:r w:rsidR="00177848" w:rsidRPr="00C6052E">
              <w:t xml:space="preserve"> </w:t>
            </w:r>
            <w:r w:rsidRPr="00C6052E">
              <w:t>agencies</w:t>
            </w:r>
            <w:r w:rsidR="00177848" w:rsidRPr="00C6052E">
              <w:t xml:space="preserve"> </w:t>
            </w:r>
            <w:r w:rsidRPr="00C6052E">
              <w:t>within</w:t>
            </w:r>
            <w:r w:rsidR="00177848" w:rsidRPr="00C6052E">
              <w:t xml:space="preserve"> </w:t>
            </w:r>
            <w:r w:rsidRPr="00C6052E">
              <w:t>portfolio</w:t>
            </w:r>
          </w:p>
        </w:tc>
        <w:tc>
          <w:tcPr>
            <w:tcW w:w="709" w:type="dxa"/>
            <w:noWrap/>
            <w:hideMark/>
          </w:tcPr>
          <w:p w14:paraId="21F4E896" w14:textId="77777777" w:rsidR="00EE5BB8" w:rsidRPr="00C6052E" w:rsidRDefault="00EE5BB8" w:rsidP="00DA7266">
            <w:pPr>
              <w:pStyle w:val="TableCopy"/>
              <w:jc w:val="right"/>
            </w:pPr>
            <w:r w:rsidRPr="00C6052E">
              <w:t>9.4</w:t>
            </w:r>
          </w:p>
        </w:tc>
        <w:tc>
          <w:tcPr>
            <w:tcW w:w="1191" w:type="dxa"/>
            <w:noWrap/>
            <w:hideMark/>
          </w:tcPr>
          <w:p w14:paraId="4B8B851A" w14:textId="77777777" w:rsidR="00EE5BB8" w:rsidRPr="00C6052E" w:rsidRDefault="00EE5BB8" w:rsidP="00DA7266">
            <w:pPr>
              <w:pStyle w:val="TableCopy"/>
              <w:jc w:val="right"/>
            </w:pPr>
            <w:r w:rsidRPr="00C6052E">
              <w:t>–</w:t>
            </w:r>
          </w:p>
        </w:tc>
        <w:tc>
          <w:tcPr>
            <w:tcW w:w="1276" w:type="dxa"/>
            <w:noWrap/>
            <w:hideMark/>
          </w:tcPr>
          <w:p w14:paraId="427E22A4" w14:textId="77777777" w:rsidR="00EE5BB8" w:rsidRPr="00C6052E" w:rsidRDefault="00EE5BB8" w:rsidP="00DA7266">
            <w:pPr>
              <w:pStyle w:val="TableCopy"/>
              <w:jc w:val="right"/>
            </w:pPr>
            <w:r w:rsidRPr="00C6052E">
              <w:t>(323,308)</w:t>
            </w:r>
          </w:p>
        </w:tc>
        <w:tc>
          <w:tcPr>
            <w:tcW w:w="1360" w:type="dxa"/>
            <w:noWrap/>
            <w:hideMark/>
          </w:tcPr>
          <w:p w14:paraId="7C03D281" w14:textId="77777777" w:rsidR="00EE5BB8" w:rsidRPr="00C6052E" w:rsidRDefault="00EE5BB8" w:rsidP="00DA7266">
            <w:pPr>
              <w:pStyle w:val="TableCopy"/>
              <w:jc w:val="right"/>
            </w:pPr>
            <w:r w:rsidRPr="00C6052E">
              <w:t>–</w:t>
            </w:r>
          </w:p>
        </w:tc>
        <w:tc>
          <w:tcPr>
            <w:tcW w:w="1107" w:type="dxa"/>
            <w:noWrap/>
            <w:hideMark/>
          </w:tcPr>
          <w:p w14:paraId="39AF9267" w14:textId="77777777" w:rsidR="00EE5BB8" w:rsidRPr="00C6052E" w:rsidRDefault="00EE5BB8" w:rsidP="00DA7266">
            <w:pPr>
              <w:pStyle w:val="TableCopy"/>
              <w:jc w:val="right"/>
            </w:pPr>
            <w:r w:rsidRPr="00C6052E">
              <w:t>(323,308)</w:t>
            </w:r>
          </w:p>
        </w:tc>
      </w:tr>
      <w:tr w:rsidR="00EE5BB8" w:rsidRPr="00C6052E" w14:paraId="470C8371" w14:textId="77777777" w:rsidTr="00DA7266">
        <w:tc>
          <w:tcPr>
            <w:tcW w:w="4025" w:type="dxa"/>
            <w:hideMark/>
          </w:tcPr>
          <w:p w14:paraId="7F60D670" w14:textId="5153C849" w:rsidR="00EE5BB8" w:rsidRPr="00C6052E" w:rsidRDefault="00EE5BB8" w:rsidP="000F5B20">
            <w:pPr>
              <w:pStyle w:val="TableCopy"/>
            </w:pPr>
            <w:r w:rsidRPr="00C6052E">
              <w:t>Capital</w:t>
            </w:r>
            <w:r w:rsidR="00177848" w:rsidRPr="00C6052E">
              <w:t xml:space="preserve"> </w:t>
            </w:r>
            <w:r w:rsidRPr="00C6052E">
              <w:t>appropriations</w:t>
            </w:r>
          </w:p>
        </w:tc>
        <w:tc>
          <w:tcPr>
            <w:tcW w:w="709" w:type="dxa"/>
            <w:noWrap/>
            <w:hideMark/>
          </w:tcPr>
          <w:p w14:paraId="410F8072" w14:textId="77777777" w:rsidR="00EE5BB8" w:rsidRPr="00C6052E" w:rsidRDefault="00EE5BB8" w:rsidP="00DA7266">
            <w:pPr>
              <w:pStyle w:val="TableCopy"/>
              <w:jc w:val="right"/>
            </w:pPr>
            <w:r w:rsidRPr="00C6052E">
              <w:t>2.3</w:t>
            </w:r>
          </w:p>
        </w:tc>
        <w:tc>
          <w:tcPr>
            <w:tcW w:w="1191" w:type="dxa"/>
            <w:noWrap/>
            <w:hideMark/>
          </w:tcPr>
          <w:p w14:paraId="0ABF75B3" w14:textId="77777777" w:rsidR="00EE5BB8" w:rsidRPr="00C6052E" w:rsidRDefault="00EE5BB8" w:rsidP="00DA7266">
            <w:pPr>
              <w:pStyle w:val="TableCopy"/>
              <w:jc w:val="right"/>
            </w:pPr>
            <w:r w:rsidRPr="00C6052E">
              <w:t>–</w:t>
            </w:r>
          </w:p>
        </w:tc>
        <w:tc>
          <w:tcPr>
            <w:tcW w:w="1276" w:type="dxa"/>
            <w:noWrap/>
            <w:hideMark/>
          </w:tcPr>
          <w:p w14:paraId="6E131729" w14:textId="77777777" w:rsidR="00EE5BB8" w:rsidRPr="00C6052E" w:rsidRDefault="00EE5BB8" w:rsidP="00DA7266">
            <w:pPr>
              <w:pStyle w:val="TableCopy"/>
              <w:jc w:val="right"/>
            </w:pPr>
            <w:r w:rsidRPr="00C6052E">
              <w:t>171,405</w:t>
            </w:r>
          </w:p>
        </w:tc>
        <w:tc>
          <w:tcPr>
            <w:tcW w:w="1360" w:type="dxa"/>
            <w:noWrap/>
            <w:hideMark/>
          </w:tcPr>
          <w:p w14:paraId="6D6C7681" w14:textId="77777777" w:rsidR="00EE5BB8" w:rsidRPr="00C6052E" w:rsidRDefault="00EE5BB8" w:rsidP="00DA7266">
            <w:pPr>
              <w:pStyle w:val="TableCopy"/>
              <w:jc w:val="right"/>
            </w:pPr>
            <w:r w:rsidRPr="00C6052E">
              <w:t>–</w:t>
            </w:r>
          </w:p>
        </w:tc>
        <w:tc>
          <w:tcPr>
            <w:tcW w:w="1107" w:type="dxa"/>
            <w:noWrap/>
            <w:hideMark/>
          </w:tcPr>
          <w:p w14:paraId="750B2161" w14:textId="77777777" w:rsidR="00EE5BB8" w:rsidRPr="00C6052E" w:rsidRDefault="00EE5BB8" w:rsidP="00DA7266">
            <w:pPr>
              <w:pStyle w:val="TableCopy"/>
              <w:jc w:val="right"/>
            </w:pPr>
            <w:r w:rsidRPr="00C6052E">
              <w:t>171,405</w:t>
            </w:r>
          </w:p>
        </w:tc>
      </w:tr>
      <w:tr w:rsidR="00EE5BB8" w:rsidRPr="00C6052E" w14:paraId="1D95CEE8" w14:textId="77777777" w:rsidTr="00DA7266">
        <w:tc>
          <w:tcPr>
            <w:tcW w:w="4025" w:type="dxa"/>
            <w:noWrap/>
            <w:hideMark/>
          </w:tcPr>
          <w:p w14:paraId="461B73F8" w14:textId="32C5F25D" w:rsidR="00EE5BB8" w:rsidRPr="00C6052E" w:rsidRDefault="00EE5BB8" w:rsidP="000F5B20">
            <w:pPr>
              <w:pStyle w:val="TableCopy"/>
            </w:pPr>
            <w:r w:rsidRPr="00C6052E">
              <w:t>Administrative</w:t>
            </w:r>
            <w:r w:rsidR="00177848" w:rsidRPr="00C6052E">
              <w:t xml:space="preserve"> </w:t>
            </w:r>
            <w:r w:rsidRPr="00C6052E">
              <w:t>restructure</w:t>
            </w:r>
            <w:r w:rsidR="00177848" w:rsidRPr="00C6052E">
              <w:t xml:space="preserve"> </w:t>
            </w:r>
            <w:r w:rsidRPr="00C6052E">
              <w:t>–</w:t>
            </w:r>
            <w:r w:rsidR="00177848" w:rsidRPr="00C6052E">
              <w:t xml:space="preserve"> </w:t>
            </w:r>
            <w:r w:rsidRPr="00C6052E">
              <w:t>net</w:t>
            </w:r>
            <w:r w:rsidR="00177848" w:rsidRPr="00C6052E">
              <w:t xml:space="preserve"> </w:t>
            </w:r>
            <w:r w:rsidRPr="00C6052E">
              <w:t>assets</w:t>
            </w:r>
            <w:r w:rsidR="00177848" w:rsidRPr="00C6052E">
              <w:t xml:space="preserve"> </w:t>
            </w:r>
            <w:r w:rsidRPr="00C6052E">
              <w:t>transferred</w:t>
            </w:r>
            <w:r w:rsidR="00177848" w:rsidRPr="00C6052E">
              <w:t xml:space="preserve"> </w:t>
            </w:r>
          </w:p>
        </w:tc>
        <w:tc>
          <w:tcPr>
            <w:tcW w:w="709" w:type="dxa"/>
            <w:noWrap/>
            <w:hideMark/>
          </w:tcPr>
          <w:p w14:paraId="263CDCD8" w14:textId="77777777" w:rsidR="00EE5BB8" w:rsidRPr="00C6052E" w:rsidRDefault="00EE5BB8" w:rsidP="00DA7266">
            <w:pPr>
              <w:pStyle w:val="TableCopy"/>
              <w:jc w:val="right"/>
            </w:pPr>
            <w:r w:rsidRPr="00C6052E">
              <w:t>9.4</w:t>
            </w:r>
          </w:p>
        </w:tc>
        <w:tc>
          <w:tcPr>
            <w:tcW w:w="1191" w:type="dxa"/>
            <w:noWrap/>
            <w:hideMark/>
          </w:tcPr>
          <w:p w14:paraId="07F10597" w14:textId="77777777" w:rsidR="00EE5BB8" w:rsidRPr="00C6052E" w:rsidRDefault="00EE5BB8" w:rsidP="00DA7266">
            <w:pPr>
              <w:pStyle w:val="TableCopy"/>
              <w:jc w:val="right"/>
            </w:pPr>
            <w:r w:rsidRPr="00C6052E">
              <w:t>–</w:t>
            </w:r>
          </w:p>
        </w:tc>
        <w:tc>
          <w:tcPr>
            <w:tcW w:w="1276" w:type="dxa"/>
            <w:noWrap/>
            <w:hideMark/>
          </w:tcPr>
          <w:p w14:paraId="44703165" w14:textId="77777777" w:rsidR="00EE5BB8" w:rsidRPr="00C6052E" w:rsidRDefault="00EE5BB8" w:rsidP="00DA7266">
            <w:pPr>
              <w:pStyle w:val="TableCopy"/>
              <w:jc w:val="right"/>
            </w:pPr>
            <w:r w:rsidRPr="00C6052E">
              <w:t>(480,532)</w:t>
            </w:r>
          </w:p>
        </w:tc>
        <w:tc>
          <w:tcPr>
            <w:tcW w:w="1360" w:type="dxa"/>
            <w:noWrap/>
            <w:hideMark/>
          </w:tcPr>
          <w:p w14:paraId="1F23CABB" w14:textId="77777777" w:rsidR="00EE5BB8" w:rsidRPr="00C6052E" w:rsidRDefault="00EE5BB8" w:rsidP="00DA7266">
            <w:pPr>
              <w:pStyle w:val="TableCopy"/>
              <w:jc w:val="right"/>
            </w:pPr>
            <w:r w:rsidRPr="00C6052E">
              <w:t>–</w:t>
            </w:r>
          </w:p>
        </w:tc>
        <w:tc>
          <w:tcPr>
            <w:tcW w:w="1107" w:type="dxa"/>
            <w:noWrap/>
            <w:hideMark/>
          </w:tcPr>
          <w:p w14:paraId="3B253602" w14:textId="77777777" w:rsidR="00EE5BB8" w:rsidRPr="00C6052E" w:rsidRDefault="00EE5BB8" w:rsidP="00DA7266">
            <w:pPr>
              <w:pStyle w:val="TableCopy"/>
              <w:jc w:val="right"/>
            </w:pPr>
            <w:r w:rsidRPr="00C6052E">
              <w:t>(480,532)</w:t>
            </w:r>
          </w:p>
        </w:tc>
      </w:tr>
      <w:tr w:rsidR="00EE5BB8" w:rsidRPr="00C6052E" w14:paraId="7A47BBFB" w14:textId="77777777" w:rsidTr="00DA7266">
        <w:tc>
          <w:tcPr>
            <w:tcW w:w="4025" w:type="dxa"/>
            <w:noWrap/>
            <w:hideMark/>
          </w:tcPr>
          <w:p w14:paraId="172F6E81" w14:textId="0B222E1A" w:rsidR="00EE5BB8" w:rsidRPr="00C6052E" w:rsidRDefault="00EE5BB8" w:rsidP="00814D77">
            <w:pPr>
              <w:pStyle w:val="Tabletotal"/>
            </w:pPr>
            <w:r w:rsidRPr="00C6052E">
              <w:t>Balance</w:t>
            </w:r>
            <w:r w:rsidR="00177848" w:rsidRPr="00C6052E">
              <w:t xml:space="preserve"> </w:t>
            </w:r>
            <w:r w:rsidRPr="00C6052E">
              <w:t>at</w:t>
            </w:r>
            <w:r w:rsidR="00177848" w:rsidRPr="00C6052E">
              <w:t xml:space="preserve"> </w:t>
            </w:r>
            <w:r w:rsidRPr="00C6052E">
              <w:t>30</w:t>
            </w:r>
            <w:r w:rsidR="00177848" w:rsidRPr="00C6052E">
              <w:t xml:space="preserve"> </w:t>
            </w:r>
            <w:r w:rsidRPr="00C6052E">
              <w:t>June</w:t>
            </w:r>
            <w:r w:rsidR="00177848" w:rsidRPr="00C6052E">
              <w:t xml:space="preserve"> </w:t>
            </w:r>
            <w:r w:rsidRPr="00C6052E">
              <w:t>2024</w:t>
            </w:r>
          </w:p>
        </w:tc>
        <w:tc>
          <w:tcPr>
            <w:tcW w:w="709" w:type="dxa"/>
            <w:hideMark/>
          </w:tcPr>
          <w:p w14:paraId="11AF04A3" w14:textId="77777777" w:rsidR="00EE5BB8" w:rsidRPr="00C6052E" w:rsidRDefault="00EE5BB8" w:rsidP="00814D77">
            <w:pPr>
              <w:pStyle w:val="Tabletotal"/>
              <w:jc w:val="right"/>
            </w:pPr>
          </w:p>
        </w:tc>
        <w:tc>
          <w:tcPr>
            <w:tcW w:w="1191" w:type="dxa"/>
            <w:noWrap/>
            <w:hideMark/>
          </w:tcPr>
          <w:p w14:paraId="0251966B" w14:textId="77777777" w:rsidR="00EE5BB8" w:rsidRPr="00C6052E" w:rsidRDefault="00EE5BB8" w:rsidP="00814D77">
            <w:pPr>
              <w:pStyle w:val="Tabletotal"/>
              <w:jc w:val="right"/>
            </w:pPr>
            <w:r w:rsidRPr="00C6052E">
              <w:t>97,016</w:t>
            </w:r>
          </w:p>
        </w:tc>
        <w:tc>
          <w:tcPr>
            <w:tcW w:w="1276" w:type="dxa"/>
            <w:noWrap/>
            <w:hideMark/>
          </w:tcPr>
          <w:p w14:paraId="0F043900" w14:textId="77777777" w:rsidR="00EE5BB8" w:rsidRPr="00C6052E" w:rsidRDefault="00EE5BB8" w:rsidP="00814D77">
            <w:pPr>
              <w:pStyle w:val="Tabletotal"/>
              <w:jc w:val="right"/>
            </w:pPr>
            <w:r w:rsidRPr="00C6052E">
              <w:t>263,088</w:t>
            </w:r>
          </w:p>
        </w:tc>
        <w:tc>
          <w:tcPr>
            <w:tcW w:w="1360" w:type="dxa"/>
            <w:noWrap/>
            <w:hideMark/>
          </w:tcPr>
          <w:p w14:paraId="300B7C56" w14:textId="77777777" w:rsidR="00EE5BB8" w:rsidRPr="00C6052E" w:rsidRDefault="00EE5BB8" w:rsidP="00814D77">
            <w:pPr>
              <w:pStyle w:val="Tabletotal"/>
              <w:jc w:val="right"/>
            </w:pPr>
            <w:r w:rsidRPr="00C6052E">
              <w:t>493,666</w:t>
            </w:r>
          </w:p>
        </w:tc>
        <w:tc>
          <w:tcPr>
            <w:tcW w:w="1107" w:type="dxa"/>
            <w:noWrap/>
            <w:hideMark/>
          </w:tcPr>
          <w:p w14:paraId="43ADB6B9" w14:textId="77777777" w:rsidR="00EE5BB8" w:rsidRPr="00C6052E" w:rsidRDefault="00EE5BB8" w:rsidP="00814D77">
            <w:pPr>
              <w:pStyle w:val="Tabletotal"/>
              <w:jc w:val="right"/>
            </w:pPr>
            <w:r w:rsidRPr="00C6052E">
              <w:t>853,770</w:t>
            </w:r>
          </w:p>
        </w:tc>
      </w:tr>
      <w:tr w:rsidR="00EE5BB8" w:rsidRPr="00C6052E" w14:paraId="48FDA692" w14:textId="77777777" w:rsidTr="00DA7266">
        <w:tc>
          <w:tcPr>
            <w:tcW w:w="4025" w:type="dxa"/>
            <w:hideMark/>
          </w:tcPr>
          <w:p w14:paraId="2D039827" w14:textId="5AA6FBE0" w:rsidR="00EE5BB8" w:rsidRPr="00C6052E" w:rsidRDefault="00EE5BB8" w:rsidP="000F5B20">
            <w:pPr>
              <w:pStyle w:val="TableCopy"/>
            </w:pPr>
            <w:r w:rsidRPr="00C6052E">
              <w:t>Net</w:t>
            </w:r>
            <w:r w:rsidR="00177848" w:rsidRPr="00C6052E">
              <w:t xml:space="preserve"> </w:t>
            </w:r>
            <w:r w:rsidRPr="00C6052E">
              <w:t>result</w:t>
            </w:r>
            <w:r w:rsidR="00177848" w:rsidRPr="00C6052E">
              <w:t xml:space="preserve"> </w:t>
            </w:r>
            <w:r w:rsidRPr="00C6052E">
              <w:t>for</w:t>
            </w:r>
            <w:r w:rsidR="00177848" w:rsidRPr="00C6052E">
              <w:t xml:space="preserve"> </w:t>
            </w:r>
            <w:r w:rsidRPr="00C6052E">
              <w:t>the</w:t>
            </w:r>
            <w:r w:rsidR="00177848" w:rsidRPr="00C6052E">
              <w:t xml:space="preserve"> </w:t>
            </w:r>
            <w:r w:rsidRPr="00C6052E">
              <w:t>year</w:t>
            </w:r>
            <w:r w:rsidR="00177848" w:rsidRPr="00C6052E">
              <w:t xml:space="preserve"> </w:t>
            </w:r>
          </w:p>
        </w:tc>
        <w:tc>
          <w:tcPr>
            <w:tcW w:w="709" w:type="dxa"/>
            <w:noWrap/>
            <w:hideMark/>
          </w:tcPr>
          <w:p w14:paraId="7DF0CF54" w14:textId="77777777" w:rsidR="00EE5BB8" w:rsidRPr="00C6052E" w:rsidRDefault="00EE5BB8" w:rsidP="00DA7266">
            <w:pPr>
              <w:pStyle w:val="TableCopy"/>
              <w:jc w:val="right"/>
            </w:pPr>
          </w:p>
        </w:tc>
        <w:tc>
          <w:tcPr>
            <w:tcW w:w="1191" w:type="dxa"/>
            <w:noWrap/>
            <w:hideMark/>
          </w:tcPr>
          <w:p w14:paraId="1A4ECE71" w14:textId="77777777" w:rsidR="00EE5BB8" w:rsidRPr="00C6052E" w:rsidRDefault="00EE5BB8" w:rsidP="00DA7266">
            <w:pPr>
              <w:pStyle w:val="TableCopy"/>
              <w:jc w:val="right"/>
            </w:pPr>
            <w:r w:rsidRPr="00C6052E">
              <w:t>–</w:t>
            </w:r>
          </w:p>
        </w:tc>
        <w:tc>
          <w:tcPr>
            <w:tcW w:w="1276" w:type="dxa"/>
            <w:noWrap/>
            <w:hideMark/>
          </w:tcPr>
          <w:p w14:paraId="5C528184" w14:textId="77777777" w:rsidR="00EE5BB8" w:rsidRPr="00C6052E" w:rsidRDefault="00EE5BB8" w:rsidP="00DA7266">
            <w:pPr>
              <w:pStyle w:val="TableCopy"/>
              <w:jc w:val="right"/>
            </w:pPr>
            <w:r w:rsidRPr="00C6052E">
              <w:t>–</w:t>
            </w:r>
          </w:p>
        </w:tc>
        <w:tc>
          <w:tcPr>
            <w:tcW w:w="1360" w:type="dxa"/>
            <w:noWrap/>
            <w:hideMark/>
          </w:tcPr>
          <w:p w14:paraId="643F9532" w14:textId="77777777" w:rsidR="00EE5BB8" w:rsidRPr="00C6052E" w:rsidRDefault="00EE5BB8" w:rsidP="00DA7266">
            <w:pPr>
              <w:pStyle w:val="TableCopy"/>
              <w:jc w:val="right"/>
            </w:pPr>
            <w:r w:rsidRPr="00C6052E">
              <w:t>196,633</w:t>
            </w:r>
          </w:p>
        </w:tc>
        <w:tc>
          <w:tcPr>
            <w:tcW w:w="1107" w:type="dxa"/>
            <w:noWrap/>
            <w:hideMark/>
          </w:tcPr>
          <w:p w14:paraId="764B7CBF" w14:textId="77777777" w:rsidR="00EE5BB8" w:rsidRPr="00C6052E" w:rsidRDefault="00EE5BB8" w:rsidP="00DA7266">
            <w:pPr>
              <w:pStyle w:val="TableCopy"/>
              <w:jc w:val="right"/>
            </w:pPr>
            <w:r w:rsidRPr="00C6052E">
              <w:t>196,633</w:t>
            </w:r>
          </w:p>
        </w:tc>
      </w:tr>
      <w:tr w:rsidR="00EE5BB8" w:rsidRPr="00C6052E" w14:paraId="741B77D0" w14:textId="77777777" w:rsidTr="00DA7266">
        <w:tc>
          <w:tcPr>
            <w:tcW w:w="4025" w:type="dxa"/>
            <w:noWrap/>
            <w:hideMark/>
          </w:tcPr>
          <w:p w14:paraId="45EBFA31" w14:textId="0C24F405" w:rsidR="00EE5BB8" w:rsidRPr="00C6052E" w:rsidRDefault="00EE5BB8" w:rsidP="000F5B20">
            <w:pPr>
              <w:pStyle w:val="TableCopy"/>
            </w:pPr>
            <w:r w:rsidRPr="00C6052E">
              <w:t>Sec</w:t>
            </w:r>
            <w:r w:rsidR="00177848" w:rsidRPr="00C6052E">
              <w:t xml:space="preserve"> </w:t>
            </w:r>
            <w:r w:rsidRPr="00C6052E">
              <w:t>53</w:t>
            </w:r>
            <w:r w:rsidR="00177848" w:rsidRPr="00C6052E">
              <w:t xml:space="preserve"> </w:t>
            </w:r>
            <w:r w:rsidRPr="00C6052E">
              <w:t>(1)(b)</w:t>
            </w:r>
            <w:r w:rsidR="00177848" w:rsidRPr="00C6052E">
              <w:t xml:space="preserve"> </w:t>
            </w:r>
            <w:r w:rsidRPr="00C6052E">
              <w:t>entity</w:t>
            </w:r>
            <w:r w:rsidR="00177848" w:rsidRPr="00C6052E">
              <w:t xml:space="preserve"> </w:t>
            </w:r>
            <w:r w:rsidRPr="00C6052E">
              <w:t>no</w:t>
            </w:r>
            <w:r w:rsidR="00177848" w:rsidRPr="00C6052E">
              <w:t xml:space="preserve"> </w:t>
            </w:r>
            <w:r w:rsidRPr="00C6052E">
              <w:t>longer</w:t>
            </w:r>
            <w:r w:rsidR="00177848" w:rsidRPr="00C6052E">
              <w:t xml:space="preserve"> </w:t>
            </w:r>
            <w:r w:rsidRPr="00C6052E">
              <w:t>consolidated</w:t>
            </w:r>
            <w:r w:rsidR="00177848" w:rsidRPr="00C6052E">
              <w:t xml:space="preserve"> </w:t>
            </w:r>
          </w:p>
        </w:tc>
        <w:tc>
          <w:tcPr>
            <w:tcW w:w="709" w:type="dxa"/>
            <w:noWrap/>
            <w:hideMark/>
          </w:tcPr>
          <w:p w14:paraId="08EA0AC3" w14:textId="77777777" w:rsidR="00EE5BB8" w:rsidRPr="00C6052E" w:rsidRDefault="00EE5BB8" w:rsidP="00DA7266">
            <w:pPr>
              <w:pStyle w:val="TableCopy"/>
              <w:jc w:val="right"/>
            </w:pPr>
            <w:r w:rsidRPr="00C6052E">
              <w:t>9.4</w:t>
            </w:r>
          </w:p>
        </w:tc>
        <w:tc>
          <w:tcPr>
            <w:tcW w:w="1191" w:type="dxa"/>
            <w:noWrap/>
            <w:hideMark/>
          </w:tcPr>
          <w:p w14:paraId="15AB8FF8" w14:textId="77777777" w:rsidR="00EE5BB8" w:rsidRPr="00C6052E" w:rsidRDefault="00EE5BB8" w:rsidP="00DA7266">
            <w:pPr>
              <w:pStyle w:val="TableCopy"/>
              <w:jc w:val="right"/>
            </w:pPr>
            <w:r w:rsidRPr="00C6052E">
              <w:t>–</w:t>
            </w:r>
          </w:p>
        </w:tc>
        <w:tc>
          <w:tcPr>
            <w:tcW w:w="1276" w:type="dxa"/>
            <w:noWrap/>
            <w:hideMark/>
          </w:tcPr>
          <w:p w14:paraId="71BEC840" w14:textId="77777777" w:rsidR="00EE5BB8" w:rsidRPr="00C6052E" w:rsidRDefault="00EE5BB8" w:rsidP="00DA7266">
            <w:pPr>
              <w:pStyle w:val="TableCopy"/>
              <w:jc w:val="right"/>
            </w:pPr>
            <w:r w:rsidRPr="00C6052E">
              <w:t>(112)</w:t>
            </w:r>
          </w:p>
        </w:tc>
        <w:tc>
          <w:tcPr>
            <w:tcW w:w="1360" w:type="dxa"/>
            <w:noWrap/>
            <w:hideMark/>
          </w:tcPr>
          <w:p w14:paraId="3F153111" w14:textId="77777777" w:rsidR="00EE5BB8" w:rsidRPr="00C6052E" w:rsidRDefault="00EE5BB8" w:rsidP="00DA7266">
            <w:pPr>
              <w:pStyle w:val="TableCopy"/>
              <w:jc w:val="right"/>
            </w:pPr>
            <w:r w:rsidRPr="00C6052E">
              <w:t>119</w:t>
            </w:r>
          </w:p>
        </w:tc>
        <w:tc>
          <w:tcPr>
            <w:tcW w:w="1107" w:type="dxa"/>
            <w:noWrap/>
            <w:hideMark/>
          </w:tcPr>
          <w:p w14:paraId="2B082FB8" w14:textId="77777777" w:rsidR="00EE5BB8" w:rsidRPr="00C6052E" w:rsidRDefault="00EE5BB8" w:rsidP="00DA7266">
            <w:pPr>
              <w:pStyle w:val="TableCopy"/>
              <w:jc w:val="right"/>
            </w:pPr>
            <w:r w:rsidRPr="00C6052E">
              <w:t>7</w:t>
            </w:r>
          </w:p>
        </w:tc>
      </w:tr>
      <w:tr w:rsidR="00EE5BB8" w:rsidRPr="00C6052E" w14:paraId="3A10FDBE" w14:textId="77777777" w:rsidTr="00DA7266">
        <w:tc>
          <w:tcPr>
            <w:tcW w:w="4025" w:type="dxa"/>
            <w:hideMark/>
          </w:tcPr>
          <w:p w14:paraId="5CD05BD3" w14:textId="02E4BAAC" w:rsidR="00EE5BB8" w:rsidRPr="00C6052E" w:rsidRDefault="00EE5BB8" w:rsidP="000F5B20">
            <w:pPr>
              <w:pStyle w:val="TableCopy"/>
            </w:pPr>
            <w:r w:rsidRPr="00C6052E">
              <w:t>Capital</w:t>
            </w:r>
            <w:r w:rsidR="00177848" w:rsidRPr="00C6052E">
              <w:t xml:space="preserve"> </w:t>
            </w:r>
            <w:r w:rsidRPr="00C6052E">
              <w:t>funding</w:t>
            </w:r>
            <w:r w:rsidR="00177848" w:rsidRPr="00C6052E">
              <w:t xml:space="preserve"> </w:t>
            </w:r>
            <w:r w:rsidRPr="00C6052E">
              <w:t>to</w:t>
            </w:r>
            <w:r w:rsidR="00177848" w:rsidRPr="00C6052E">
              <w:t xml:space="preserve"> </w:t>
            </w:r>
            <w:r w:rsidRPr="00C6052E">
              <w:t>agencies</w:t>
            </w:r>
            <w:r w:rsidR="00177848" w:rsidRPr="00C6052E">
              <w:t xml:space="preserve"> </w:t>
            </w:r>
            <w:r w:rsidRPr="00C6052E">
              <w:t>within</w:t>
            </w:r>
            <w:r w:rsidR="00177848" w:rsidRPr="00C6052E">
              <w:t xml:space="preserve"> </w:t>
            </w:r>
            <w:r w:rsidRPr="00C6052E">
              <w:t>portfolio</w:t>
            </w:r>
          </w:p>
        </w:tc>
        <w:tc>
          <w:tcPr>
            <w:tcW w:w="709" w:type="dxa"/>
            <w:noWrap/>
            <w:hideMark/>
          </w:tcPr>
          <w:p w14:paraId="405F91D5" w14:textId="77777777" w:rsidR="00EE5BB8" w:rsidRPr="00C6052E" w:rsidRDefault="00EE5BB8" w:rsidP="00DA7266">
            <w:pPr>
              <w:pStyle w:val="TableCopy"/>
              <w:jc w:val="right"/>
            </w:pPr>
            <w:r w:rsidRPr="00C6052E">
              <w:t>9.4</w:t>
            </w:r>
          </w:p>
        </w:tc>
        <w:tc>
          <w:tcPr>
            <w:tcW w:w="1191" w:type="dxa"/>
            <w:noWrap/>
            <w:hideMark/>
          </w:tcPr>
          <w:p w14:paraId="2D6A6C9A" w14:textId="77777777" w:rsidR="00EE5BB8" w:rsidRPr="00C6052E" w:rsidRDefault="00EE5BB8" w:rsidP="00DA7266">
            <w:pPr>
              <w:pStyle w:val="TableCopy"/>
              <w:jc w:val="right"/>
            </w:pPr>
            <w:r w:rsidRPr="00C6052E">
              <w:t>–</w:t>
            </w:r>
          </w:p>
        </w:tc>
        <w:tc>
          <w:tcPr>
            <w:tcW w:w="1276" w:type="dxa"/>
            <w:noWrap/>
            <w:hideMark/>
          </w:tcPr>
          <w:p w14:paraId="66D509B7" w14:textId="77777777" w:rsidR="00EE5BB8" w:rsidRPr="00C6052E" w:rsidRDefault="00EE5BB8" w:rsidP="00DA7266">
            <w:pPr>
              <w:pStyle w:val="TableCopy"/>
              <w:jc w:val="right"/>
            </w:pPr>
            <w:r w:rsidRPr="00C6052E">
              <w:t>(450,881)</w:t>
            </w:r>
          </w:p>
        </w:tc>
        <w:tc>
          <w:tcPr>
            <w:tcW w:w="1360" w:type="dxa"/>
            <w:noWrap/>
            <w:hideMark/>
          </w:tcPr>
          <w:p w14:paraId="15E28D0C" w14:textId="77777777" w:rsidR="00EE5BB8" w:rsidRPr="00C6052E" w:rsidRDefault="00EE5BB8" w:rsidP="00DA7266">
            <w:pPr>
              <w:pStyle w:val="TableCopy"/>
              <w:jc w:val="right"/>
            </w:pPr>
            <w:r w:rsidRPr="00C6052E">
              <w:t>–</w:t>
            </w:r>
          </w:p>
        </w:tc>
        <w:tc>
          <w:tcPr>
            <w:tcW w:w="1107" w:type="dxa"/>
            <w:noWrap/>
            <w:hideMark/>
          </w:tcPr>
          <w:p w14:paraId="2F49B77D" w14:textId="77777777" w:rsidR="00EE5BB8" w:rsidRPr="00C6052E" w:rsidRDefault="00EE5BB8" w:rsidP="00DA7266">
            <w:pPr>
              <w:pStyle w:val="TableCopy"/>
              <w:jc w:val="right"/>
            </w:pPr>
            <w:r w:rsidRPr="00C6052E">
              <w:t>(450,881)</w:t>
            </w:r>
          </w:p>
        </w:tc>
      </w:tr>
      <w:tr w:rsidR="00EE5BB8" w:rsidRPr="00C6052E" w14:paraId="56DA9541" w14:textId="77777777" w:rsidTr="00DA7266">
        <w:tc>
          <w:tcPr>
            <w:tcW w:w="4025" w:type="dxa"/>
            <w:hideMark/>
          </w:tcPr>
          <w:p w14:paraId="38E338DE" w14:textId="152C8383" w:rsidR="00EE5BB8" w:rsidRPr="00C6052E" w:rsidRDefault="00EE5BB8" w:rsidP="000F5B20">
            <w:pPr>
              <w:pStyle w:val="TableCopy"/>
            </w:pPr>
            <w:r w:rsidRPr="00C6052E">
              <w:t>Capital</w:t>
            </w:r>
            <w:r w:rsidR="00177848" w:rsidRPr="00C6052E">
              <w:t xml:space="preserve"> </w:t>
            </w:r>
            <w:r w:rsidRPr="00C6052E">
              <w:t>appropriations</w:t>
            </w:r>
          </w:p>
        </w:tc>
        <w:tc>
          <w:tcPr>
            <w:tcW w:w="709" w:type="dxa"/>
            <w:noWrap/>
            <w:hideMark/>
          </w:tcPr>
          <w:p w14:paraId="00096422" w14:textId="77777777" w:rsidR="00EE5BB8" w:rsidRPr="00C6052E" w:rsidRDefault="00EE5BB8" w:rsidP="00DA7266">
            <w:pPr>
              <w:pStyle w:val="TableCopy"/>
              <w:jc w:val="right"/>
            </w:pPr>
            <w:r w:rsidRPr="00C6052E">
              <w:t>2.3</w:t>
            </w:r>
          </w:p>
        </w:tc>
        <w:tc>
          <w:tcPr>
            <w:tcW w:w="1191" w:type="dxa"/>
            <w:noWrap/>
            <w:hideMark/>
          </w:tcPr>
          <w:p w14:paraId="03532AC5" w14:textId="77777777" w:rsidR="00EE5BB8" w:rsidRPr="00C6052E" w:rsidRDefault="00EE5BB8" w:rsidP="00DA7266">
            <w:pPr>
              <w:pStyle w:val="TableCopy"/>
              <w:jc w:val="right"/>
            </w:pPr>
            <w:r w:rsidRPr="00C6052E">
              <w:t>–</w:t>
            </w:r>
          </w:p>
        </w:tc>
        <w:tc>
          <w:tcPr>
            <w:tcW w:w="1276" w:type="dxa"/>
            <w:noWrap/>
            <w:hideMark/>
          </w:tcPr>
          <w:p w14:paraId="289C86CF" w14:textId="77777777" w:rsidR="00EE5BB8" w:rsidRPr="00C6052E" w:rsidRDefault="00EE5BB8" w:rsidP="00DA7266">
            <w:pPr>
              <w:pStyle w:val="TableCopy"/>
              <w:jc w:val="right"/>
            </w:pPr>
            <w:r w:rsidRPr="00C6052E">
              <w:t>386,558</w:t>
            </w:r>
          </w:p>
        </w:tc>
        <w:tc>
          <w:tcPr>
            <w:tcW w:w="1360" w:type="dxa"/>
            <w:noWrap/>
            <w:hideMark/>
          </w:tcPr>
          <w:p w14:paraId="17EC8006" w14:textId="77777777" w:rsidR="00EE5BB8" w:rsidRPr="00C6052E" w:rsidRDefault="00EE5BB8" w:rsidP="00DA7266">
            <w:pPr>
              <w:pStyle w:val="TableCopy"/>
              <w:jc w:val="right"/>
            </w:pPr>
            <w:r w:rsidRPr="00C6052E">
              <w:t>–</w:t>
            </w:r>
          </w:p>
        </w:tc>
        <w:tc>
          <w:tcPr>
            <w:tcW w:w="1107" w:type="dxa"/>
            <w:noWrap/>
            <w:hideMark/>
          </w:tcPr>
          <w:p w14:paraId="66F818C1" w14:textId="77777777" w:rsidR="00EE5BB8" w:rsidRPr="00C6052E" w:rsidRDefault="00EE5BB8" w:rsidP="00DA7266">
            <w:pPr>
              <w:pStyle w:val="TableCopy"/>
              <w:jc w:val="right"/>
            </w:pPr>
            <w:r w:rsidRPr="00C6052E">
              <w:t>386,558</w:t>
            </w:r>
          </w:p>
        </w:tc>
      </w:tr>
      <w:tr w:rsidR="00EE5BB8" w:rsidRPr="00C6052E" w14:paraId="0152B54B" w14:textId="77777777" w:rsidTr="00DA7266">
        <w:tc>
          <w:tcPr>
            <w:tcW w:w="4025" w:type="dxa"/>
            <w:noWrap/>
            <w:hideMark/>
          </w:tcPr>
          <w:p w14:paraId="1A9CC318" w14:textId="73FC2DA0" w:rsidR="00EE5BB8" w:rsidRPr="00C6052E" w:rsidRDefault="00EE5BB8" w:rsidP="000F5B20">
            <w:pPr>
              <w:pStyle w:val="TableCopy"/>
            </w:pPr>
            <w:r w:rsidRPr="00C6052E">
              <w:t>Recognition</w:t>
            </w:r>
            <w:r w:rsidR="00177848" w:rsidRPr="00C6052E">
              <w:t xml:space="preserve"> </w:t>
            </w:r>
            <w:r w:rsidRPr="00C6052E">
              <w:t>of</w:t>
            </w:r>
            <w:r w:rsidR="00177848" w:rsidRPr="00C6052E">
              <w:t xml:space="preserve"> </w:t>
            </w:r>
            <w:r w:rsidRPr="00C6052E">
              <w:t>revaluation</w:t>
            </w:r>
            <w:r w:rsidR="00177848" w:rsidRPr="00C6052E">
              <w:t xml:space="preserve"> </w:t>
            </w:r>
            <w:r w:rsidRPr="00C6052E">
              <w:t>surplus</w:t>
            </w:r>
          </w:p>
        </w:tc>
        <w:tc>
          <w:tcPr>
            <w:tcW w:w="709" w:type="dxa"/>
            <w:noWrap/>
            <w:hideMark/>
          </w:tcPr>
          <w:p w14:paraId="0AF53974" w14:textId="77777777" w:rsidR="00EE5BB8" w:rsidRPr="00C6052E" w:rsidRDefault="00EE5BB8" w:rsidP="00DA7266">
            <w:pPr>
              <w:pStyle w:val="TableCopy"/>
              <w:jc w:val="right"/>
            </w:pPr>
            <w:r w:rsidRPr="00C6052E">
              <w:t>9.4</w:t>
            </w:r>
          </w:p>
        </w:tc>
        <w:tc>
          <w:tcPr>
            <w:tcW w:w="1191" w:type="dxa"/>
            <w:noWrap/>
            <w:hideMark/>
          </w:tcPr>
          <w:p w14:paraId="7CA9C06C" w14:textId="77777777" w:rsidR="00EE5BB8" w:rsidRPr="00C6052E" w:rsidRDefault="00EE5BB8" w:rsidP="00DA7266">
            <w:pPr>
              <w:pStyle w:val="TableCopy"/>
              <w:jc w:val="right"/>
            </w:pPr>
            <w:r w:rsidRPr="00C6052E">
              <w:t>(56,377)</w:t>
            </w:r>
          </w:p>
        </w:tc>
        <w:tc>
          <w:tcPr>
            <w:tcW w:w="1276" w:type="dxa"/>
            <w:noWrap/>
            <w:hideMark/>
          </w:tcPr>
          <w:p w14:paraId="1747F2A9" w14:textId="77777777" w:rsidR="00EE5BB8" w:rsidRPr="00C6052E" w:rsidRDefault="00EE5BB8" w:rsidP="00DA7266">
            <w:pPr>
              <w:pStyle w:val="TableCopy"/>
              <w:jc w:val="right"/>
            </w:pPr>
            <w:r w:rsidRPr="00C6052E">
              <w:t>–</w:t>
            </w:r>
          </w:p>
        </w:tc>
        <w:tc>
          <w:tcPr>
            <w:tcW w:w="1360" w:type="dxa"/>
            <w:noWrap/>
            <w:hideMark/>
          </w:tcPr>
          <w:p w14:paraId="3E3507F3" w14:textId="77777777" w:rsidR="00EE5BB8" w:rsidRPr="00C6052E" w:rsidRDefault="00EE5BB8" w:rsidP="00DA7266">
            <w:pPr>
              <w:pStyle w:val="TableCopy"/>
              <w:jc w:val="right"/>
            </w:pPr>
            <w:r w:rsidRPr="00C6052E">
              <w:t>13,704</w:t>
            </w:r>
          </w:p>
        </w:tc>
        <w:tc>
          <w:tcPr>
            <w:tcW w:w="1107" w:type="dxa"/>
            <w:noWrap/>
            <w:hideMark/>
          </w:tcPr>
          <w:p w14:paraId="137EC4DB" w14:textId="77777777" w:rsidR="00EE5BB8" w:rsidRPr="00C6052E" w:rsidRDefault="00EE5BB8" w:rsidP="00DA7266">
            <w:pPr>
              <w:pStyle w:val="TableCopy"/>
              <w:jc w:val="right"/>
            </w:pPr>
            <w:r w:rsidRPr="00C6052E">
              <w:t>(42,673)</w:t>
            </w:r>
          </w:p>
        </w:tc>
      </w:tr>
      <w:tr w:rsidR="00EE5BB8" w:rsidRPr="00C6052E" w14:paraId="3F641372" w14:textId="77777777" w:rsidTr="00DA7266">
        <w:tc>
          <w:tcPr>
            <w:tcW w:w="4025" w:type="dxa"/>
            <w:hideMark/>
          </w:tcPr>
          <w:p w14:paraId="5D01A668" w14:textId="6EA32A2A" w:rsidR="00EE5BB8" w:rsidRPr="00C6052E" w:rsidRDefault="00EE5BB8" w:rsidP="000F5B20">
            <w:pPr>
              <w:pStyle w:val="TableCopy"/>
            </w:pPr>
            <w:r w:rsidRPr="00C6052E">
              <w:t>Return</w:t>
            </w:r>
            <w:r w:rsidR="00177848" w:rsidRPr="00C6052E">
              <w:t xml:space="preserve"> </w:t>
            </w:r>
            <w:r w:rsidRPr="00C6052E">
              <w:t>of</w:t>
            </w:r>
            <w:r w:rsidR="00177848" w:rsidRPr="00C6052E">
              <w:t xml:space="preserve"> </w:t>
            </w:r>
            <w:r w:rsidRPr="00C6052E">
              <w:t>capital</w:t>
            </w:r>
            <w:r w:rsidR="00177848" w:rsidRPr="00C6052E">
              <w:t xml:space="preserve"> </w:t>
            </w:r>
          </w:p>
        </w:tc>
        <w:tc>
          <w:tcPr>
            <w:tcW w:w="709" w:type="dxa"/>
            <w:noWrap/>
            <w:hideMark/>
          </w:tcPr>
          <w:p w14:paraId="2359CB69" w14:textId="77777777" w:rsidR="00EE5BB8" w:rsidRPr="00C6052E" w:rsidRDefault="00EE5BB8" w:rsidP="00DA7266">
            <w:pPr>
              <w:pStyle w:val="TableCopy"/>
              <w:jc w:val="right"/>
            </w:pPr>
            <w:r w:rsidRPr="00C6052E">
              <w:t>9.4</w:t>
            </w:r>
          </w:p>
        </w:tc>
        <w:tc>
          <w:tcPr>
            <w:tcW w:w="1191" w:type="dxa"/>
            <w:noWrap/>
            <w:hideMark/>
          </w:tcPr>
          <w:p w14:paraId="46DD421A" w14:textId="77777777" w:rsidR="00EE5BB8" w:rsidRPr="00C6052E" w:rsidRDefault="00EE5BB8" w:rsidP="00DA7266">
            <w:pPr>
              <w:pStyle w:val="TableCopy"/>
              <w:jc w:val="right"/>
            </w:pPr>
            <w:r w:rsidRPr="00C6052E">
              <w:t>–</w:t>
            </w:r>
          </w:p>
        </w:tc>
        <w:tc>
          <w:tcPr>
            <w:tcW w:w="1276" w:type="dxa"/>
            <w:noWrap/>
            <w:hideMark/>
          </w:tcPr>
          <w:p w14:paraId="313DB9CF" w14:textId="77777777" w:rsidR="00EE5BB8" w:rsidRPr="00C6052E" w:rsidRDefault="00EE5BB8" w:rsidP="00DA7266">
            <w:pPr>
              <w:pStyle w:val="TableCopy"/>
              <w:jc w:val="right"/>
            </w:pPr>
            <w:r w:rsidRPr="00C6052E">
              <w:t>(48,360)</w:t>
            </w:r>
          </w:p>
        </w:tc>
        <w:tc>
          <w:tcPr>
            <w:tcW w:w="1360" w:type="dxa"/>
            <w:noWrap/>
            <w:hideMark/>
          </w:tcPr>
          <w:p w14:paraId="280E164A" w14:textId="77777777" w:rsidR="00EE5BB8" w:rsidRPr="00C6052E" w:rsidRDefault="00EE5BB8" w:rsidP="00DA7266">
            <w:pPr>
              <w:pStyle w:val="TableCopy"/>
              <w:jc w:val="right"/>
            </w:pPr>
            <w:r w:rsidRPr="00C6052E">
              <w:t>–</w:t>
            </w:r>
          </w:p>
        </w:tc>
        <w:tc>
          <w:tcPr>
            <w:tcW w:w="1107" w:type="dxa"/>
            <w:noWrap/>
            <w:hideMark/>
          </w:tcPr>
          <w:p w14:paraId="3F79D16D" w14:textId="77777777" w:rsidR="00EE5BB8" w:rsidRPr="00C6052E" w:rsidRDefault="00EE5BB8" w:rsidP="00DA7266">
            <w:pPr>
              <w:pStyle w:val="TableCopy"/>
              <w:jc w:val="right"/>
            </w:pPr>
            <w:r w:rsidRPr="00C6052E">
              <w:t>(48,360)</w:t>
            </w:r>
          </w:p>
        </w:tc>
      </w:tr>
      <w:tr w:rsidR="00EE5BB8" w:rsidRPr="00C6052E" w14:paraId="7134DB30" w14:textId="77777777" w:rsidTr="00DA7266">
        <w:tc>
          <w:tcPr>
            <w:tcW w:w="4025" w:type="dxa"/>
            <w:hideMark/>
          </w:tcPr>
          <w:p w14:paraId="7D4AD5E0" w14:textId="6AAFA36F" w:rsidR="00EE5BB8" w:rsidRPr="00C6052E" w:rsidRDefault="00EE5BB8" w:rsidP="0063097D">
            <w:pPr>
              <w:pStyle w:val="TableCopy"/>
            </w:pPr>
            <w:r w:rsidRPr="00C6052E">
              <w:t>Capital</w:t>
            </w:r>
            <w:r w:rsidR="00177848" w:rsidRPr="00C6052E">
              <w:t xml:space="preserve"> </w:t>
            </w:r>
            <w:r w:rsidRPr="00C6052E">
              <w:t>funding</w:t>
            </w:r>
            <w:r w:rsidR="00177848" w:rsidRPr="00C6052E">
              <w:t xml:space="preserve"> </w:t>
            </w:r>
            <w:r w:rsidRPr="00C6052E">
              <w:t>from</w:t>
            </w:r>
            <w:r w:rsidR="00177848" w:rsidRPr="00C6052E">
              <w:t xml:space="preserve"> </w:t>
            </w:r>
            <w:r w:rsidRPr="00C6052E">
              <w:t>outside</w:t>
            </w:r>
            <w:r w:rsidR="00177848" w:rsidRPr="00C6052E">
              <w:t xml:space="preserve"> </w:t>
            </w:r>
            <w:r w:rsidRPr="00C6052E">
              <w:t>portfolio</w:t>
            </w:r>
          </w:p>
        </w:tc>
        <w:tc>
          <w:tcPr>
            <w:tcW w:w="709" w:type="dxa"/>
            <w:noWrap/>
            <w:hideMark/>
          </w:tcPr>
          <w:p w14:paraId="3AFBEDEF" w14:textId="77777777" w:rsidR="00EE5BB8" w:rsidRPr="00C6052E" w:rsidRDefault="00EE5BB8" w:rsidP="00DA7266">
            <w:pPr>
              <w:pStyle w:val="TableCopy"/>
              <w:jc w:val="right"/>
            </w:pPr>
            <w:r w:rsidRPr="00C6052E">
              <w:t>9.4</w:t>
            </w:r>
          </w:p>
        </w:tc>
        <w:tc>
          <w:tcPr>
            <w:tcW w:w="1191" w:type="dxa"/>
            <w:noWrap/>
            <w:hideMark/>
          </w:tcPr>
          <w:p w14:paraId="6DE3B187" w14:textId="77777777" w:rsidR="00EE5BB8" w:rsidRPr="00C6052E" w:rsidRDefault="00EE5BB8" w:rsidP="00DA7266">
            <w:pPr>
              <w:pStyle w:val="TableCopy"/>
              <w:jc w:val="right"/>
            </w:pPr>
            <w:r w:rsidRPr="00C6052E">
              <w:t>–</w:t>
            </w:r>
          </w:p>
        </w:tc>
        <w:tc>
          <w:tcPr>
            <w:tcW w:w="1276" w:type="dxa"/>
            <w:noWrap/>
            <w:hideMark/>
          </w:tcPr>
          <w:p w14:paraId="531E81BA" w14:textId="77777777" w:rsidR="00EE5BB8" w:rsidRPr="00C6052E" w:rsidRDefault="00EE5BB8" w:rsidP="00DA7266">
            <w:pPr>
              <w:pStyle w:val="TableCopy"/>
              <w:jc w:val="right"/>
            </w:pPr>
            <w:r w:rsidRPr="00C6052E">
              <w:t>(45,500)</w:t>
            </w:r>
          </w:p>
        </w:tc>
        <w:tc>
          <w:tcPr>
            <w:tcW w:w="1360" w:type="dxa"/>
            <w:noWrap/>
            <w:hideMark/>
          </w:tcPr>
          <w:p w14:paraId="546395CF" w14:textId="77777777" w:rsidR="00EE5BB8" w:rsidRPr="00C6052E" w:rsidRDefault="00EE5BB8" w:rsidP="00DA7266">
            <w:pPr>
              <w:pStyle w:val="TableCopy"/>
              <w:jc w:val="right"/>
            </w:pPr>
            <w:r w:rsidRPr="00C6052E">
              <w:t>–</w:t>
            </w:r>
          </w:p>
        </w:tc>
        <w:tc>
          <w:tcPr>
            <w:tcW w:w="1107" w:type="dxa"/>
            <w:noWrap/>
            <w:hideMark/>
          </w:tcPr>
          <w:p w14:paraId="0B770CDB" w14:textId="77777777" w:rsidR="00EE5BB8" w:rsidRPr="00C6052E" w:rsidRDefault="00EE5BB8" w:rsidP="00DA7266">
            <w:pPr>
              <w:pStyle w:val="TableCopy"/>
              <w:jc w:val="right"/>
            </w:pPr>
            <w:r w:rsidRPr="00C6052E">
              <w:t>(45,500)</w:t>
            </w:r>
          </w:p>
        </w:tc>
      </w:tr>
      <w:tr w:rsidR="00EE5BB8" w:rsidRPr="00DA7266" w14:paraId="0B71BA25" w14:textId="77777777" w:rsidTr="00DA7266">
        <w:tc>
          <w:tcPr>
            <w:tcW w:w="4025" w:type="dxa"/>
            <w:noWrap/>
            <w:hideMark/>
          </w:tcPr>
          <w:p w14:paraId="13C9B208" w14:textId="37DE9831" w:rsidR="00EE5BB8" w:rsidRPr="00DA7266" w:rsidRDefault="00EE5BB8" w:rsidP="00814D77">
            <w:pPr>
              <w:pStyle w:val="Tabletotal"/>
            </w:pPr>
            <w:r w:rsidRPr="00DA7266">
              <w:t>Balance</w:t>
            </w:r>
            <w:r w:rsidR="00177848" w:rsidRPr="00DA7266">
              <w:t xml:space="preserve"> </w:t>
            </w:r>
            <w:r w:rsidRPr="00DA7266">
              <w:t>at</w:t>
            </w:r>
            <w:r w:rsidR="00177848" w:rsidRPr="00DA7266">
              <w:t xml:space="preserve"> </w:t>
            </w:r>
            <w:r w:rsidRPr="00DA7266">
              <w:t>30</w:t>
            </w:r>
            <w:r w:rsidR="00177848" w:rsidRPr="00DA7266">
              <w:t xml:space="preserve"> </w:t>
            </w:r>
            <w:r w:rsidRPr="00DA7266">
              <w:t>June</w:t>
            </w:r>
            <w:r w:rsidR="00177848" w:rsidRPr="00DA7266">
              <w:t xml:space="preserve"> </w:t>
            </w:r>
            <w:r w:rsidRPr="00DA7266">
              <w:t>2025</w:t>
            </w:r>
          </w:p>
        </w:tc>
        <w:tc>
          <w:tcPr>
            <w:tcW w:w="709" w:type="dxa"/>
            <w:hideMark/>
          </w:tcPr>
          <w:p w14:paraId="3BBF9E78" w14:textId="77777777" w:rsidR="00EE5BB8" w:rsidRPr="00DA7266" w:rsidRDefault="00EE5BB8" w:rsidP="00814D77">
            <w:pPr>
              <w:pStyle w:val="Tabletotal"/>
              <w:jc w:val="right"/>
            </w:pPr>
          </w:p>
        </w:tc>
        <w:tc>
          <w:tcPr>
            <w:tcW w:w="1191" w:type="dxa"/>
            <w:noWrap/>
            <w:hideMark/>
          </w:tcPr>
          <w:p w14:paraId="412F38F6" w14:textId="77777777" w:rsidR="00EE5BB8" w:rsidRPr="00DA7266" w:rsidRDefault="00EE5BB8" w:rsidP="00814D77">
            <w:pPr>
              <w:pStyle w:val="Tabletotal"/>
              <w:jc w:val="right"/>
            </w:pPr>
            <w:r w:rsidRPr="00DA7266">
              <w:t>40,639</w:t>
            </w:r>
          </w:p>
        </w:tc>
        <w:tc>
          <w:tcPr>
            <w:tcW w:w="1276" w:type="dxa"/>
            <w:noWrap/>
            <w:hideMark/>
          </w:tcPr>
          <w:p w14:paraId="4BA90743" w14:textId="77777777" w:rsidR="00EE5BB8" w:rsidRPr="00DA7266" w:rsidRDefault="00EE5BB8" w:rsidP="00814D77">
            <w:pPr>
              <w:pStyle w:val="Tabletotal"/>
              <w:jc w:val="right"/>
            </w:pPr>
            <w:r w:rsidRPr="00DA7266">
              <w:t>104,793</w:t>
            </w:r>
          </w:p>
        </w:tc>
        <w:tc>
          <w:tcPr>
            <w:tcW w:w="1360" w:type="dxa"/>
            <w:noWrap/>
            <w:hideMark/>
          </w:tcPr>
          <w:p w14:paraId="2E8883A3" w14:textId="77777777" w:rsidR="00EE5BB8" w:rsidRPr="00DA7266" w:rsidRDefault="00EE5BB8" w:rsidP="00814D77">
            <w:pPr>
              <w:pStyle w:val="Tabletotal"/>
              <w:jc w:val="right"/>
            </w:pPr>
            <w:r w:rsidRPr="00DA7266">
              <w:t>704,122</w:t>
            </w:r>
          </w:p>
        </w:tc>
        <w:tc>
          <w:tcPr>
            <w:tcW w:w="1107" w:type="dxa"/>
            <w:noWrap/>
            <w:hideMark/>
          </w:tcPr>
          <w:p w14:paraId="462EC614" w14:textId="77777777" w:rsidR="00EE5BB8" w:rsidRPr="00DA7266" w:rsidRDefault="00EE5BB8" w:rsidP="00814D77">
            <w:pPr>
              <w:pStyle w:val="Tabletotal"/>
              <w:jc w:val="right"/>
            </w:pPr>
            <w:r w:rsidRPr="00DA7266">
              <w:t>849,554</w:t>
            </w:r>
          </w:p>
        </w:tc>
      </w:tr>
    </w:tbl>
    <w:p w14:paraId="24FEDEDB" w14:textId="08FDEC80" w:rsidR="00EE5BB8" w:rsidRPr="00C6052E" w:rsidRDefault="00EE5BB8" w:rsidP="00EE5BB8">
      <w:pPr>
        <w:pStyle w:val="Tablenotes"/>
      </w:pPr>
      <w:r w:rsidRPr="00C6052E">
        <w:t>The</w:t>
      </w:r>
      <w:r w:rsidR="00177848" w:rsidRPr="00C6052E">
        <w:t xml:space="preserve"> </w:t>
      </w:r>
      <w:r w:rsidRPr="00C6052E">
        <w:t>accompanying</w:t>
      </w:r>
      <w:r w:rsidR="00177848" w:rsidRPr="00C6052E">
        <w:t xml:space="preserve"> </w:t>
      </w:r>
      <w:r w:rsidRPr="00C6052E">
        <w:t>notes</w:t>
      </w:r>
      <w:r w:rsidR="00177848" w:rsidRPr="00C6052E">
        <w:t xml:space="preserve"> </w:t>
      </w:r>
      <w:r w:rsidRPr="00C6052E">
        <w:t>form</w:t>
      </w:r>
      <w:r w:rsidR="00177848" w:rsidRPr="00C6052E">
        <w:t xml:space="preserve"> </w:t>
      </w:r>
      <w:r w:rsidRPr="00C6052E">
        <w:t>part</w:t>
      </w:r>
      <w:r w:rsidR="00177848" w:rsidRPr="00C6052E">
        <w:t xml:space="preserve"> </w:t>
      </w:r>
      <w:r w:rsidRPr="00C6052E">
        <w:t>of</w:t>
      </w:r>
      <w:r w:rsidR="00177848" w:rsidRPr="00C6052E">
        <w:t xml:space="preserve"> </w:t>
      </w:r>
      <w:r w:rsidRPr="00C6052E">
        <w:t>these</w:t>
      </w:r>
      <w:r w:rsidR="00177848" w:rsidRPr="00C6052E">
        <w:t xml:space="preserve"> </w:t>
      </w:r>
      <w:r w:rsidRPr="00C6052E">
        <w:t>financial</w:t>
      </w:r>
      <w:r w:rsidR="00177848" w:rsidRPr="00C6052E">
        <w:t xml:space="preserve"> </w:t>
      </w:r>
      <w:r w:rsidRPr="00C6052E">
        <w:t>statements.</w:t>
      </w:r>
    </w:p>
    <w:p w14:paraId="60B840FD" w14:textId="7E756E17" w:rsidR="00EE5BB8" w:rsidRPr="00C6052E" w:rsidRDefault="00EE5BB8" w:rsidP="00EE5BB8">
      <w:pPr>
        <w:pStyle w:val="Tablenotes-numbered"/>
        <w:numPr>
          <w:ilvl w:val="0"/>
          <w:numId w:val="18"/>
        </w:numPr>
      </w:pPr>
      <w:r w:rsidRPr="00C6052E">
        <w:t>This</w:t>
      </w:r>
      <w:r w:rsidR="00177848" w:rsidRPr="00C6052E">
        <w:t xml:space="preserve"> </w:t>
      </w:r>
      <w:r w:rsidRPr="00C6052E">
        <w:t>format</w:t>
      </w:r>
      <w:r w:rsidR="00177848" w:rsidRPr="00C6052E">
        <w:t xml:space="preserve"> </w:t>
      </w:r>
      <w:r w:rsidRPr="00C6052E">
        <w:t>is</w:t>
      </w:r>
      <w:r w:rsidR="00177848" w:rsidRPr="00C6052E">
        <w:t xml:space="preserve"> </w:t>
      </w:r>
      <w:r w:rsidRPr="00C6052E">
        <w:t>aligned</w:t>
      </w:r>
      <w:r w:rsidR="00177848" w:rsidRPr="00C6052E">
        <w:t xml:space="preserve"> </w:t>
      </w:r>
      <w:r w:rsidRPr="00C6052E">
        <w:t>to</w:t>
      </w:r>
      <w:r w:rsidR="00177848" w:rsidRPr="00C6052E">
        <w:t xml:space="preserve"> </w:t>
      </w:r>
      <w:r w:rsidRPr="00C6052E">
        <w:t>AASB</w:t>
      </w:r>
      <w:r w:rsidR="00177848" w:rsidRPr="00C6052E">
        <w:t xml:space="preserve"> </w:t>
      </w:r>
      <w:r w:rsidRPr="00C6052E">
        <w:t>1049</w:t>
      </w:r>
      <w:r w:rsidR="00177848" w:rsidRPr="00C6052E">
        <w:t xml:space="preserve"> </w:t>
      </w:r>
      <w:r w:rsidRPr="00C6052E">
        <w:t>Whole</w:t>
      </w:r>
      <w:r w:rsidR="00177848" w:rsidRPr="00C6052E">
        <w:t xml:space="preserve"> </w:t>
      </w:r>
      <w:r w:rsidRPr="00C6052E">
        <w:t>of</w:t>
      </w:r>
      <w:r w:rsidR="00177848" w:rsidRPr="00C6052E">
        <w:t xml:space="preserve"> </w:t>
      </w:r>
      <w:r w:rsidRPr="00C6052E">
        <w:t>Government</w:t>
      </w:r>
      <w:r w:rsidR="00177848" w:rsidRPr="00C6052E">
        <w:t xml:space="preserve"> </w:t>
      </w:r>
      <w:r w:rsidRPr="00C6052E">
        <w:t>and</w:t>
      </w:r>
      <w:r w:rsidR="00177848" w:rsidRPr="00C6052E">
        <w:t xml:space="preserve"> </w:t>
      </w:r>
      <w:r w:rsidRPr="00C6052E">
        <w:t>General</w:t>
      </w:r>
      <w:r w:rsidR="00177848" w:rsidRPr="00C6052E">
        <w:t xml:space="preserve"> </w:t>
      </w:r>
      <w:r w:rsidRPr="00C6052E">
        <w:t>Government</w:t>
      </w:r>
      <w:r w:rsidR="00177848" w:rsidRPr="00C6052E">
        <w:t xml:space="preserve"> </w:t>
      </w:r>
      <w:r w:rsidRPr="00C6052E">
        <w:t>Sector</w:t>
      </w:r>
      <w:r w:rsidR="00177848" w:rsidRPr="00C6052E">
        <w:t xml:space="preserve"> </w:t>
      </w:r>
      <w:r w:rsidRPr="00C6052E">
        <w:t>Financial</w:t>
      </w:r>
      <w:r w:rsidR="00177848" w:rsidRPr="00C6052E">
        <w:t xml:space="preserve"> </w:t>
      </w:r>
      <w:r w:rsidRPr="00C6052E">
        <w:t>Reporting.</w:t>
      </w:r>
    </w:p>
    <w:p w14:paraId="17A2040D" w14:textId="345F332E" w:rsidR="00EE5BB8" w:rsidRPr="00C6052E" w:rsidRDefault="00EE5BB8" w:rsidP="00DA7266">
      <w:pPr>
        <w:pStyle w:val="Heading1numbered0"/>
      </w:pPr>
      <w:bookmarkStart w:id="64" w:name="_Toc163565938"/>
      <w:bookmarkStart w:id="65" w:name="_Toc207622404"/>
      <w:bookmarkStart w:id="66" w:name="_Ref209626186"/>
      <w:bookmarkStart w:id="67" w:name="_Ref209626218"/>
      <w:bookmarkStart w:id="68" w:name="_Ref209626250"/>
      <w:bookmarkStart w:id="69" w:name="_Toc214618235"/>
      <w:r w:rsidRPr="00DA7266">
        <w:lastRenderedPageBreak/>
        <w:t>About</w:t>
      </w:r>
      <w:r w:rsidR="00177848" w:rsidRPr="00C6052E">
        <w:t xml:space="preserve"> </w:t>
      </w:r>
      <w:r w:rsidRPr="00C6052E">
        <w:t>This</w:t>
      </w:r>
      <w:r w:rsidR="00177848" w:rsidRPr="00C6052E">
        <w:t xml:space="preserve"> </w:t>
      </w:r>
      <w:r w:rsidRPr="00C6052E">
        <w:t>Report</w:t>
      </w:r>
      <w:bookmarkEnd w:id="64"/>
      <w:bookmarkEnd w:id="65"/>
      <w:bookmarkEnd w:id="66"/>
      <w:bookmarkEnd w:id="67"/>
      <w:bookmarkEnd w:id="68"/>
      <w:bookmarkEnd w:id="69"/>
    </w:p>
    <w:p w14:paraId="3D822DE8" w14:textId="196C456D" w:rsidR="00EE5BB8" w:rsidRPr="00C6052E" w:rsidRDefault="00EE5BB8" w:rsidP="00EE5BB8">
      <w:pPr>
        <w:pStyle w:val="Introtext"/>
      </w:pPr>
      <w:r w:rsidRPr="00C6052E">
        <w:t>The</w:t>
      </w:r>
      <w:r w:rsidR="00177848" w:rsidRPr="00C6052E">
        <w:t xml:space="preserve"> </w:t>
      </w:r>
      <w:fldSimple w:instr=" DOCPROPERTY  longName  \* MERGEFORMAT ">
        <w:r w:rsidRPr="00C6052E">
          <w:t>Department</w:t>
        </w:r>
        <w:r w:rsidR="00177848" w:rsidRPr="00C6052E">
          <w:t xml:space="preserve"> </w:t>
        </w:r>
        <w:r w:rsidRPr="00C6052E">
          <w:t>of</w:t>
        </w:r>
        <w:r w:rsidR="00177848" w:rsidRPr="00C6052E">
          <w:t xml:space="preserve"> </w:t>
        </w:r>
        <w:r w:rsidRPr="00C6052E">
          <w:t>Jobs,</w:t>
        </w:r>
        <w:r w:rsidR="00177848" w:rsidRPr="00C6052E">
          <w:t xml:space="preserve"> </w:t>
        </w:r>
        <w:r w:rsidRPr="00C6052E">
          <w:t>Skills,</w:t>
        </w:r>
        <w:r w:rsidR="00177848" w:rsidRPr="00C6052E">
          <w:t xml:space="preserve"> </w:t>
        </w:r>
        <w:r w:rsidRPr="00C6052E">
          <w:t>Industry</w:t>
        </w:r>
        <w:r w:rsidR="00177848" w:rsidRPr="00C6052E">
          <w:rPr>
            <w:rFonts w:cs="Cambria"/>
          </w:rPr>
          <w:t xml:space="preserve"> </w:t>
        </w:r>
        <w:r w:rsidRPr="00C6052E">
          <w:t>and</w:t>
        </w:r>
        <w:r w:rsidR="00177848" w:rsidRPr="00C6052E">
          <w:t xml:space="preserve"> </w:t>
        </w:r>
        <w:r w:rsidRPr="00C6052E">
          <w:t>Regions</w:t>
        </w:r>
      </w:fldSimple>
      <w:r w:rsidR="00177848" w:rsidRPr="00C6052E">
        <w:t xml:space="preserve"> </w:t>
      </w:r>
      <w:r w:rsidRPr="00C6052E">
        <w:t>(</w:t>
      </w:r>
      <w:fldSimple w:instr=" DOCPROPERTY  shortName  \* MERGEFORMAT ">
        <w:r w:rsidRPr="00C6052E">
          <w:t>DJSIR</w:t>
        </w:r>
      </w:fldSimple>
      <w:r w:rsidRPr="00C6052E">
        <w:t>)</w:t>
      </w:r>
      <w:r w:rsidR="00177848" w:rsidRPr="00C6052E">
        <w:t xml:space="preserve"> </w:t>
      </w:r>
      <w:r w:rsidRPr="00C6052E">
        <w:t>is</w:t>
      </w:r>
      <w:r w:rsidR="00177848" w:rsidRPr="00C6052E">
        <w:t xml:space="preserve"> </w:t>
      </w:r>
      <w:r w:rsidRPr="00C6052E">
        <w:t>a</w:t>
      </w:r>
      <w:r w:rsidR="00177848" w:rsidRPr="00C6052E">
        <w:t xml:space="preserve"> </w:t>
      </w:r>
      <w:r w:rsidRPr="00C6052E">
        <w:t>government</w:t>
      </w:r>
      <w:r w:rsidR="00177848" w:rsidRPr="00C6052E">
        <w:t xml:space="preserve"> </w:t>
      </w:r>
      <w:r w:rsidRPr="00C6052E">
        <w:t>department</w:t>
      </w:r>
      <w:r w:rsidR="00177848" w:rsidRPr="00C6052E">
        <w:t xml:space="preserve"> </w:t>
      </w:r>
      <w:r w:rsidRPr="00C6052E">
        <w:t>of</w:t>
      </w:r>
      <w:r w:rsidR="00177848" w:rsidRPr="00C6052E">
        <w:t xml:space="preserve"> </w:t>
      </w:r>
      <w:r w:rsidRPr="00C6052E">
        <w:t>the</w:t>
      </w:r>
      <w:r w:rsidR="00177848" w:rsidRPr="00C6052E">
        <w:t xml:space="preserve"> </w:t>
      </w:r>
      <w:r w:rsidRPr="00C6052E">
        <w:t>State</w:t>
      </w:r>
      <w:r w:rsidR="00177848" w:rsidRPr="00C6052E">
        <w:t xml:space="preserve"> </w:t>
      </w:r>
      <w:r w:rsidRPr="00C6052E">
        <w:t>of</w:t>
      </w:r>
      <w:r w:rsidR="00177848" w:rsidRPr="00C6052E">
        <w:t xml:space="preserve"> </w:t>
      </w:r>
      <w:r w:rsidRPr="00C6052E">
        <w:t>Victoria,</w:t>
      </w:r>
      <w:r w:rsidR="00177848" w:rsidRPr="00C6052E">
        <w:t xml:space="preserve"> </w:t>
      </w:r>
      <w:r w:rsidRPr="00C6052E">
        <w:t>established</w:t>
      </w:r>
      <w:r w:rsidR="00177848" w:rsidRPr="00C6052E">
        <w:t xml:space="preserve"> </w:t>
      </w:r>
      <w:r w:rsidRPr="00C6052E">
        <w:t>pursuant</w:t>
      </w:r>
      <w:r w:rsidR="00177848" w:rsidRPr="00C6052E">
        <w:t xml:space="preserve"> </w:t>
      </w:r>
      <w:r w:rsidRPr="00C6052E">
        <w:t>to</w:t>
      </w:r>
      <w:r w:rsidR="00177848" w:rsidRPr="00C6052E">
        <w:t xml:space="preserve"> </w:t>
      </w:r>
      <w:r w:rsidRPr="00C6052E">
        <w:t>an</w:t>
      </w:r>
      <w:r w:rsidR="00177848" w:rsidRPr="00C6052E">
        <w:t xml:space="preserve"> </w:t>
      </w:r>
      <w:r w:rsidRPr="00C6052E">
        <w:t>order</w:t>
      </w:r>
      <w:r w:rsidR="00177848" w:rsidRPr="00C6052E">
        <w:t xml:space="preserve"> </w:t>
      </w:r>
      <w:r w:rsidRPr="00C6052E">
        <w:t>made</w:t>
      </w:r>
      <w:r w:rsidR="00177848" w:rsidRPr="00C6052E">
        <w:t xml:space="preserve"> </w:t>
      </w:r>
      <w:r w:rsidRPr="00C6052E">
        <w:t>by</w:t>
      </w:r>
      <w:r w:rsidR="00177848" w:rsidRPr="00C6052E">
        <w:t xml:space="preserve"> </w:t>
      </w:r>
      <w:r w:rsidRPr="00C6052E">
        <w:t>the</w:t>
      </w:r>
      <w:r w:rsidR="00177848" w:rsidRPr="00C6052E">
        <w:t xml:space="preserve"> </w:t>
      </w:r>
      <w:r w:rsidRPr="00C6052E">
        <w:t>Premier</w:t>
      </w:r>
      <w:r w:rsidR="00177848" w:rsidRPr="00C6052E">
        <w:t xml:space="preserve"> </w:t>
      </w:r>
      <w:r w:rsidRPr="00C6052E">
        <w:t>under</w:t>
      </w:r>
      <w:r w:rsidR="00177848" w:rsidRPr="00C6052E">
        <w:t xml:space="preserve"> </w:t>
      </w:r>
      <w:r w:rsidRPr="00C6052E">
        <w:t>the</w:t>
      </w:r>
      <w:r w:rsidR="00177848" w:rsidRPr="00C6052E">
        <w:t xml:space="preserve"> </w:t>
      </w:r>
      <w:r w:rsidRPr="00C6052E">
        <w:rPr>
          <w:i/>
          <w:iCs/>
        </w:rPr>
        <w:t>Public</w:t>
      </w:r>
      <w:r w:rsidR="00177848" w:rsidRPr="00C6052E">
        <w:rPr>
          <w:i/>
          <w:iCs/>
        </w:rPr>
        <w:t xml:space="preserve"> </w:t>
      </w:r>
      <w:r w:rsidRPr="00C6052E">
        <w:rPr>
          <w:i/>
          <w:iCs/>
        </w:rPr>
        <w:t>Administration</w:t>
      </w:r>
      <w:r w:rsidR="00177848" w:rsidRPr="00C6052E">
        <w:rPr>
          <w:i/>
          <w:iCs/>
        </w:rPr>
        <w:t xml:space="preserve"> </w:t>
      </w:r>
      <w:r w:rsidRPr="00C6052E">
        <w:rPr>
          <w:i/>
          <w:iCs/>
        </w:rPr>
        <w:t>Act</w:t>
      </w:r>
      <w:r w:rsidR="00177848" w:rsidRPr="00C6052E">
        <w:rPr>
          <w:i/>
          <w:iCs/>
        </w:rPr>
        <w:t xml:space="preserve"> </w:t>
      </w:r>
      <w:r w:rsidRPr="00C6052E">
        <w:rPr>
          <w:i/>
          <w:iCs/>
        </w:rPr>
        <w:t>2004</w:t>
      </w:r>
      <w:r w:rsidRPr="00C6052E">
        <w:t>.</w:t>
      </w:r>
      <w:r w:rsidR="00177848" w:rsidRPr="00C6052E">
        <w:t xml:space="preserve"> </w:t>
      </w:r>
      <w:r w:rsidRPr="00C6052E">
        <w:t>It</w:t>
      </w:r>
      <w:r w:rsidR="00177848" w:rsidRPr="00C6052E">
        <w:t xml:space="preserve"> </w:t>
      </w:r>
      <w:r w:rsidRPr="00C6052E">
        <w:t>is</w:t>
      </w:r>
      <w:r w:rsidR="00177848" w:rsidRPr="00C6052E">
        <w:t xml:space="preserve"> </w:t>
      </w:r>
      <w:r w:rsidRPr="00C6052E">
        <w:t>an</w:t>
      </w:r>
      <w:r w:rsidR="00177848" w:rsidRPr="00C6052E">
        <w:t xml:space="preserve"> </w:t>
      </w:r>
      <w:r w:rsidRPr="00C6052E">
        <w:t>administrative</w:t>
      </w:r>
      <w:r w:rsidR="00177848" w:rsidRPr="00C6052E">
        <w:t xml:space="preserve"> </w:t>
      </w:r>
      <w:r w:rsidRPr="00C6052E">
        <w:t>agency</w:t>
      </w:r>
      <w:r w:rsidR="00177848" w:rsidRPr="00C6052E">
        <w:t xml:space="preserve"> </w:t>
      </w:r>
      <w:r w:rsidRPr="00C6052E">
        <w:t>acting</w:t>
      </w:r>
      <w:r w:rsidR="00177848" w:rsidRPr="00C6052E">
        <w:t xml:space="preserve"> </w:t>
      </w:r>
      <w:r w:rsidRPr="00C6052E">
        <w:t>on</w:t>
      </w:r>
      <w:r w:rsidR="00177848" w:rsidRPr="00C6052E">
        <w:t xml:space="preserve"> </w:t>
      </w:r>
      <w:r w:rsidRPr="00C6052E">
        <w:t>behalf</w:t>
      </w:r>
      <w:r w:rsidR="00177848" w:rsidRPr="00C6052E">
        <w:t xml:space="preserve"> </w:t>
      </w:r>
      <w:r w:rsidRPr="00C6052E">
        <w:t>of</w:t>
      </w:r>
      <w:r w:rsidR="00177848" w:rsidRPr="00C6052E">
        <w:t xml:space="preserve"> </w:t>
      </w:r>
      <w:r w:rsidRPr="00C6052E">
        <w:t>the</w:t>
      </w:r>
      <w:r w:rsidR="00177848" w:rsidRPr="00C6052E">
        <w:t xml:space="preserve"> </w:t>
      </w:r>
      <w:r w:rsidRPr="00C6052E">
        <w:t>Crown.</w:t>
      </w:r>
      <w:r w:rsidR="00177848" w:rsidRPr="00C6052E">
        <w:t xml:space="preserve"> </w:t>
      </w:r>
    </w:p>
    <w:p w14:paraId="4627E630" w14:textId="427DB33D" w:rsidR="00EE5BB8" w:rsidRPr="00C6052E" w:rsidRDefault="00EE5BB8" w:rsidP="00EE5BB8">
      <w:r w:rsidRPr="00C6052E">
        <w:t>A</w:t>
      </w:r>
      <w:r w:rsidR="00177848" w:rsidRPr="00C6052E">
        <w:t xml:space="preserve"> </w:t>
      </w:r>
      <w:r w:rsidRPr="00C6052E">
        <w:t>description</w:t>
      </w:r>
      <w:r w:rsidR="00177848" w:rsidRPr="00C6052E">
        <w:t xml:space="preserve"> </w:t>
      </w:r>
      <w:r w:rsidRPr="00C6052E">
        <w:t>of</w:t>
      </w:r>
      <w:r w:rsidR="00177848" w:rsidRPr="00C6052E">
        <w:t xml:space="preserve"> </w:t>
      </w:r>
      <w:r w:rsidRPr="00C6052E">
        <w:t>the</w:t>
      </w:r>
      <w:r w:rsidR="00177848" w:rsidRPr="00C6052E">
        <w:t xml:space="preserve"> </w:t>
      </w:r>
      <w:r w:rsidRPr="00C6052E">
        <w:t>nature</w:t>
      </w:r>
      <w:r w:rsidR="00177848" w:rsidRPr="00C6052E">
        <w:t xml:space="preserve"> </w:t>
      </w:r>
      <w:r w:rsidRPr="00C6052E">
        <w:t>of</w:t>
      </w:r>
      <w:r w:rsidR="00177848" w:rsidRPr="00C6052E">
        <w:t xml:space="preserve"> </w:t>
      </w:r>
      <w:r w:rsidRPr="00C6052E">
        <w:t>DJSIR’s</w:t>
      </w:r>
      <w:r w:rsidR="00177848" w:rsidRPr="00C6052E">
        <w:t xml:space="preserve"> </w:t>
      </w:r>
      <w:r w:rsidRPr="00C6052E">
        <w:t>operations</w:t>
      </w:r>
      <w:r w:rsidR="00177848" w:rsidRPr="00C6052E">
        <w:t xml:space="preserve"> </w:t>
      </w:r>
      <w:r w:rsidRPr="00C6052E">
        <w:t>and</w:t>
      </w:r>
      <w:r w:rsidR="00177848" w:rsidRPr="00C6052E">
        <w:t xml:space="preserve"> </w:t>
      </w:r>
      <w:r w:rsidRPr="00C6052E">
        <w:t>its</w:t>
      </w:r>
      <w:r w:rsidR="00177848" w:rsidRPr="00C6052E">
        <w:t xml:space="preserve"> </w:t>
      </w:r>
      <w:r w:rsidRPr="00C6052E">
        <w:t>principal</w:t>
      </w:r>
      <w:r w:rsidR="00177848" w:rsidRPr="00C6052E">
        <w:t xml:space="preserve"> </w:t>
      </w:r>
      <w:r w:rsidRPr="00C6052E">
        <w:t>activities</w:t>
      </w:r>
      <w:r w:rsidR="00177848" w:rsidRPr="00C6052E">
        <w:t xml:space="preserve"> </w:t>
      </w:r>
      <w:r w:rsidRPr="00C6052E">
        <w:t>is</w:t>
      </w:r>
      <w:r w:rsidR="00177848" w:rsidRPr="00C6052E">
        <w:t xml:space="preserve"> </w:t>
      </w:r>
      <w:r w:rsidRPr="00C6052E">
        <w:t>included</w:t>
      </w:r>
      <w:r w:rsidR="00177848" w:rsidRPr="00C6052E">
        <w:t xml:space="preserve"> </w:t>
      </w:r>
      <w:r w:rsidRPr="00C6052E">
        <w:t>in</w:t>
      </w:r>
      <w:r w:rsidR="00177848" w:rsidRPr="00C6052E">
        <w:t xml:space="preserve"> </w:t>
      </w:r>
      <w:r w:rsidRPr="00C6052E">
        <w:t>the</w:t>
      </w:r>
      <w:r w:rsidR="00177848" w:rsidRPr="00C6052E">
        <w:t xml:space="preserve"> </w:t>
      </w:r>
      <w:r w:rsidRPr="00C6052E">
        <w:rPr>
          <w:rStyle w:val="Medium"/>
        </w:rPr>
        <w:t>Report</w:t>
      </w:r>
      <w:r w:rsidR="00177848" w:rsidRPr="00C6052E">
        <w:rPr>
          <w:rStyle w:val="Medium"/>
        </w:rPr>
        <w:t xml:space="preserve"> </w:t>
      </w:r>
      <w:r w:rsidRPr="00C6052E">
        <w:rPr>
          <w:rStyle w:val="Medium"/>
        </w:rPr>
        <w:t>of</w:t>
      </w:r>
      <w:r w:rsidR="00177848" w:rsidRPr="00C6052E">
        <w:rPr>
          <w:rStyle w:val="Medium"/>
        </w:rPr>
        <w:t xml:space="preserve"> </w:t>
      </w:r>
      <w:r w:rsidRPr="00C6052E">
        <w:rPr>
          <w:rStyle w:val="Medium"/>
        </w:rPr>
        <w:t>operations</w:t>
      </w:r>
      <w:r w:rsidRPr="00C6052E">
        <w:t>,</w:t>
      </w:r>
      <w:r w:rsidR="00177848" w:rsidRPr="00C6052E">
        <w:t xml:space="preserve"> </w:t>
      </w:r>
      <w:r w:rsidRPr="00C6052E">
        <w:t>which</w:t>
      </w:r>
      <w:r w:rsidR="00177848" w:rsidRPr="00C6052E">
        <w:t xml:space="preserve"> </w:t>
      </w:r>
      <w:r w:rsidRPr="00C6052E">
        <w:t>does</w:t>
      </w:r>
      <w:r w:rsidR="00177848" w:rsidRPr="00C6052E">
        <w:t xml:space="preserve"> </w:t>
      </w:r>
      <w:r w:rsidRPr="00C6052E">
        <w:t>not</w:t>
      </w:r>
      <w:r w:rsidR="00177848" w:rsidRPr="00C6052E">
        <w:t xml:space="preserve"> </w:t>
      </w:r>
      <w:r w:rsidRPr="00C6052E">
        <w:t>form</w:t>
      </w:r>
      <w:r w:rsidR="00177848" w:rsidRPr="00C6052E">
        <w:t xml:space="preserve"> </w:t>
      </w:r>
      <w:r w:rsidRPr="00C6052E">
        <w:t>part</w:t>
      </w:r>
      <w:r w:rsidR="00177848" w:rsidRPr="00C6052E">
        <w:t xml:space="preserve"> </w:t>
      </w:r>
      <w:r w:rsidRPr="00C6052E">
        <w:t>of</w:t>
      </w:r>
      <w:r w:rsidR="00177848" w:rsidRPr="00C6052E">
        <w:t xml:space="preserve"> </w:t>
      </w:r>
      <w:r w:rsidRPr="00C6052E">
        <w:t>these</w:t>
      </w:r>
      <w:r w:rsidR="00177848" w:rsidRPr="00C6052E">
        <w:t xml:space="preserve"> </w:t>
      </w:r>
      <w:r w:rsidRPr="00C6052E">
        <w:t>financial</w:t>
      </w:r>
      <w:r w:rsidR="00177848" w:rsidRPr="00C6052E">
        <w:t xml:space="preserve"> </w:t>
      </w:r>
      <w:r w:rsidRPr="00C6052E">
        <w:t>statements.</w:t>
      </w:r>
      <w:r w:rsidR="00177848" w:rsidRPr="00C6052E">
        <w:t xml:space="preserve"> </w:t>
      </w:r>
    </w:p>
    <w:p w14:paraId="03B68F2A" w14:textId="24050601" w:rsidR="00EE5BB8" w:rsidRPr="00C6052E" w:rsidRDefault="00EE5BB8" w:rsidP="00EE5BB8">
      <w:r w:rsidRPr="00C6052E">
        <w:t>Its</w:t>
      </w:r>
      <w:r w:rsidR="00177848" w:rsidRPr="00C6052E">
        <w:t xml:space="preserve"> </w:t>
      </w:r>
      <w:r w:rsidRPr="00C6052E">
        <w:t>principal</w:t>
      </w:r>
      <w:r w:rsidR="00177848" w:rsidRPr="00C6052E">
        <w:t xml:space="preserve"> </w:t>
      </w:r>
      <w:r w:rsidRPr="00C6052E">
        <w:t>address</w:t>
      </w:r>
      <w:r w:rsidR="00177848" w:rsidRPr="00C6052E">
        <w:t xml:space="preserve"> </w:t>
      </w:r>
      <w:r w:rsidRPr="00C6052E">
        <w:t>is:</w:t>
      </w:r>
    </w:p>
    <w:p w14:paraId="0D9EFBED" w14:textId="39EF2D7E" w:rsidR="00EE5BB8" w:rsidRPr="00C6052E" w:rsidRDefault="00EE5BB8" w:rsidP="00EE5BB8">
      <w:r w:rsidRPr="00C6052E">
        <w:t>Department</w:t>
      </w:r>
      <w:r w:rsidR="00177848" w:rsidRPr="00C6052E">
        <w:t xml:space="preserve"> </w:t>
      </w:r>
      <w:r w:rsidRPr="00C6052E">
        <w:t>of</w:t>
      </w:r>
      <w:r w:rsidR="00177848" w:rsidRPr="00C6052E">
        <w:t xml:space="preserve"> </w:t>
      </w:r>
      <w:r w:rsidRPr="00C6052E">
        <w:t>Jobs,</w:t>
      </w:r>
      <w:r w:rsidR="00177848" w:rsidRPr="00C6052E">
        <w:t xml:space="preserve"> </w:t>
      </w:r>
      <w:r w:rsidRPr="00C6052E">
        <w:t>Skills,</w:t>
      </w:r>
      <w:r w:rsidR="00177848" w:rsidRPr="00C6052E">
        <w:t xml:space="preserve"> </w:t>
      </w:r>
      <w:r w:rsidRPr="00C6052E">
        <w:t>Industry</w:t>
      </w:r>
      <w:r w:rsidR="00177848" w:rsidRPr="00C6052E">
        <w:t xml:space="preserve"> </w:t>
      </w:r>
      <w:r w:rsidRPr="00C6052E">
        <w:t>and</w:t>
      </w:r>
      <w:r w:rsidR="00177848" w:rsidRPr="00C6052E">
        <w:t xml:space="preserve"> </w:t>
      </w:r>
      <w:r w:rsidRPr="00C6052E">
        <w:t>Regions</w:t>
      </w:r>
      <w:r w:rsidRPr="00C6052E">
        <w:br/>
        <w:t>121</w:t>
      </w:r>
      <w:r w:rsidR="00177848" w:rsidRPr="00C6052E">
        <w:t xml:space="preserve"> </w:t>
      </w:r>
      <w:r w:rsidRPr="00C6052E">
        <w:t>Exhibition</w:t>
      </w:r>
      <w:r w:rsidR="00177848" w:rsidRPr="00C6052E">
        <w:t xml:space="preserve"> </w:t>
      </w:r>
      <w:r w:rsidRPr="00C6052E">
        <w:t>Street</w:t>
      </w:r>
      <w:r w:rsidRPr="00C6052E">
        <w:br/>
        <w:t>Melbourne</w:t>
      </w:r>
      <w:r w:rsidR="00177848" w:rsidRPr="00C6052E">
        <w:t xml:space="preserve"> </w:t>
      </w:r>
      <w:r w:rsidRPr="00C6052E">
        <w:t>VIC</w:t>
      </w:r>
      <w:r w:rsidR="00177848" w:rsidRPr="00C6052E">
        <w:t xml:space="preserve"> </w:t>
      </w:r>
      <w:r w:rsidRPr="00C6052E">
        <w:t>3000</w:t>
      </w:r>
    </w:p>
    <w:p w14:paraId="27337962" w14:textId="2F17F851" w:rsidR="00EE5BB8" w:rsidRPr="00C6052E" w:rsidRDefault="00EE5BB8" w:rsidP="00EE5BB8">
      <w:pPr>
        <w:pStyle w:val="Heading3"/>
      </w:pPr>
      <w:bookmarkStart w:id="70" w:name="_Toc163565939"/>
      <w:bookmarkStart w:id="71" w:name="_Toc163566546"/>
      <w:bookmarkStart w:id="72" w:name="_Toc174009468"/>
      <w:bookmarkStart w:id="73" w:name="_Toc175734934"/>
      <w:r w:rsidRPr="00C6052E">
        <w:t>Basis</w:t>
      </w:r>
      <w:r w:rsidR="00177848" w:rsidRPr="00C6052E">
        <w:t xml:space="preserve"> </w:t>
      </w:r>
      <w:r w:rsidRPr="00C6052E">
        <w:t>of</w:t>
      </w:r>
      <w:r w:rsidR="00177848" w:rsidRPr="00C6052E">
        <w:t xml:space="preserve"> </w:t>
      </w:r>
      <w:r w:rsidRPr="00C6052E">
        <w:t>accounting</w:t>
      </w:r>
      <w:r w:rsidR="00177848" w:rsidRPr="00C6052E">
        <w:t xml:space="preserve"> </w:t>
      </w:r>
      <w:r w:rsidRPr="00C6052E">
        <w:t>preparation</w:t>
      </w:r>
      <w:r w:rsidR="00177848" w:rsidRPr="00C6052E">
        <w:t xml:space="preserve"> </w:t>
      </w:r>
      <w:r w:rsidRPr="00C6052E">
        <w:t>and</w:t>
      </w:r>
      <w:r w:rsidR="00177848" w:rsidRPr="00C6052E">
        <w:t xml:space="preserve"> </w:t>
      </w:r>
      <w:r w:rsidRPr="00C6052E">
        <w:t>measurement</w:t>
      </w:r>
      <w:bookmarkEnd w:id="70"/>
      <w:bookmarkEnd w:id="71"/>
      <w:bookmarkEnd w:id="72"/>
      <w:bookmarkEnd w:id="73"/>
      <w:r w:rsidR="00177848" w:rsidRPr="00C6052E">
        <w:t xml:space="preserve"> </w:t>
      </w:r>
    </w:p>
    <w:p w14:paraId="7CC4669C" w14:textId="345F9439" w:rsidR="00EE5BB8" w:rsidRPr="00C6052E" w:rsidRDefault="00EE5BB8" w:rsidP="00EE5BB8">
      <w:r w:rsidRPr="00C6052E">
        <w:t>These</w:t>
      </w:r>
      <w:r w:rsidR="00177848" w:rsidRPr="00C6052E">
        <w:t xml:space="preserve"> </w:t>
      </w:r>
      <w:r w:rsidRPr="00C6052E">
        <w:t>financial</w:t>
      </w:r>
      <w:r w:rsidR="00177848" w:rsidRPr="00C6052E">
        <w:t xml:space="preserve"> </w:t>
      </w:r>
      <w:r w:rsidRPr="00C6052E">
        <w:t>statements</w:t>
      </w:r>
      <w:r w:rsidR="00177848" w:rsidRPr="00C6052E">
        <w:t xml:space="preserve"> </w:t>
      </w:r>
      <w:r w:rsidRPr="00C6052E">
        <w:t>are</w:t>
      </w:r>
      <w:r w:rsidR="00177848" w:rsidRPr="00C6052E">
        <w:t xml:space="preserve"> </w:t>
      </w:r>
      <w:r w:rsidRPr="00C6052E">
        <w:t>in</w:t>
      </w:r>
      <w:r w:rsidR="00177848" w:rsidRPr="00C6052E">
        <w:t xml:space="preserve"> </w:t>
      </w:r>
      <w:r w:rsidRPr="00C6052E">
        <w:t>Australian</w:t>
      </w:r>
      <w:r w:rsidR="00177848" w:rsidRPr="00C6052E">
        <w:t xml:space="preserve"> </w:t>
      </w:r>
      <w:r w:rsidRPr="00C6052E">
        <w:t>dollars,</w:t>
      </w:r>
      <w:r w:rsidR="00177848" w:rsidRPr="00C6052E">
        <w:t xml:space="preserve"> </w:t>
      </w:r>
      <w:r w:rsidRPr="00C6052E">
        <w:t>and</w:t>
      </w:r>
      <w:r w:rsidR="00177848" w:rsidRPr="00C6052E">
        <w:t xml:space="preserve"> </w:t>
      </w:r>
      <w:r w:rsidRPr="00C6052E">
        <w:t>the</w:t>
      </w:r>
      <w:r w:rsidR="00177848" w:rsidRPr="00C6052E">
        <w:t xml:space="preserve"> </w:t>
      </w:r>
      <w:r w:rsidRPr="00C6052E">
        <w:t>historical</w:t>
      </w:r>
      <w:r w:rsidR="00177848" w:rsidRPr="00C6052E">
        <w:t xml:space="preserve"> </w:t>
      </w:r>
      <w:r w:rsidRPr="00C6052E">
        <w:t>cost</w:t>
      </w:r>
      <w:r w:rsidR="00177848" w:rsidRPr="00C6052E">
        <w:t xml:space="preserve"> </w:t>
      </w:r>
      <w:r w:rsidRPr="00C6052E">
        <w:t>convention</w:t>
      </w:r>
      <w:r w:rsidR="00177848" w:rsidRPr="00C6052E">
        <w:t xml:space="preserve"> </w:t>
      </w:r>
      <w:r w:rsidRPr="00C6052E">
        <w:t>is</w:t>
      </w:r>
      <w:r w:rsidR="00177848" w:rsidRPr="00C6052E">
        <w:t xml:space="preserve"> </w:t>
      </w:r>
      <w:r w:rsidRPr="00C6052E">
        <w:t>used</w:t>
      </w:r>
      <w:r w:rsidR="00177848" w:rsidRPr="00C6052E">
        <w:t xml:space="preserve"> </w:t>
      </w:r>
      <w:r w:rsidRPr="00C6052E">
        <w:t>unless</w:t>
      </w:r>
      <w:r w:rsidR="00177848" w:rsidRPr="00C6052E">
        <w:t xml:space="preserve"> </w:t>
      </w:r>
      <w:r w:rsidRPr="00C6052E">
        <w:t>a</w:t>
      </w:r>
      <w:r w:rsidR="00177848" w:rsidRPr="00C6052E">
        <w:t xml:space="preserve"> </w:t>
      </w:r>
      <w:r w:rsidRPr="00C6052E">
        <w:t>different</w:t>
      </w:r>
      <w:r w:rsidR="00177848" w:rsidRPr="00C6052E">
        <w:t xml:space="preserve"> </w:t>
      </w:r>
      <w:r w:rsidRPr="00C6052E">
        <w:t>measurement</w:t>
      </w:r>
      <w:r w:rsidR="00177848" w:rsidRPr="00C6052E">
        <w:t xml:space="preserve"> </w:t>
      </w:r>
      <w:r w:rsidRPr="00C6052E">
        <w:t>basis</w:t>
      </w:r>
      <w:r w:rsidR="00177848" w:rsidRPr="00C6052E">
        <w:t xml:space="preserve"> </w:t>
      </w:r>
      <w:r w:rsidRPr="00C6052E">
        <w:t>is</w:t>
      </w:r>
      <w:r w:rsidR="00177848" w:rsidRPr="00C6052E">
        <w:t xml:space="preserve"> </w:t>
      </w:r>
      <w:r w:rsidRPr="00C6052E">
        <w:t>specifically</w:t>
      </w:r>
      <w:r w:rsidR="00177848" w:rsidRPr="00C6052E">
        <w:t xml:space="preserve"> </w:t>
      </w:r>
      <w:r w:rsidRPr="00C6052E">
        <w:t>disclosed</w:t>
      </w:r>
      <w:r w:rsidR="00177848" w:rsidRPr="00C6052E">
        <w:t xml:space="preserve"> </w:t>
      </w:r>
      <w:r w:rsidRPr="00C6052E">
        <w:t>in</w:t>
      </w:r>
      <w:r w:rsidR="00177848" w:rsidRPr="00C6052E">
        <w:t xml:space="preserve"> </w:t>
      </w:r>
      <w:r w:rsidRPr="00C6052E">
        <w:t>the</w:t>
      </w:r>
      <w:r w:rsidR="00177848" w:rsidRPr="00C6052E">
        <w:t xml:space="preserve"> </w:t>
      </w:r>
      <w:r w:rsidRPr="00C6052E">
        <w:t>note</w:t>
      </w:r>
      <w:r w:rsidR="00177848" w:rsidRPr="00C6052E">
        <w:t xml:space="preserve"> </w:t>
      </w:r>
      <w:r w:rsidRPr="00C6052E">
        <w:t>associated</w:t>
      </w:r>
      <w:r w:rsidR="00177848" w:rsidRPr="00C6052E">
        <w:t xml:space="preserve"> </w:t>
      </w:r>
      <w:r w:rsidRPr="00C6052E">
        <w:t>with</w:t>
      </w:r>
      <w:r w:rsidR="00177848" w:rsidRPr="00C6052E">
        <w:t xml:space="preserve"> </w:t>
      </w:r>
      <w:r w:rsidRPr="00C6052E">
        <w:t>the</w:t>
      </w:r>
      <w:r w:rsidR="00177848" w:rsidRPr="00C6052E">
        <w:t xml:space="preserve"> </w:t>
      </w:r>
      <w:r w:rsidRPr="00C6052E">
        <w:t>item</w:t>
      </w:r>
      <w:r w:rsidR="00177848" w:rsidRPr="00C6052E">
        <w:t xml:space="preserve"> </w:t>
      </w:r>
      <w:r w:rsidRPr="00C6052E">
        <w:t>measured</w:t>
      </w:r>
      <w:r w:rsidR="00177848" w:rsidRPr="00C6052E">
        <w:t xml:space="preserve"> </w:t>
      </w:r>
      <w:r w:rsidRPr="00C6052E">
        <w:t>on</w:t>
      </w:r>
      <w:r w:rsidR="00177848" w:rsidRPr="00C6052E">
        <w:t xml:space="preserve"> </w:t>
      </w:r>
      <w:r w:rsidRPr="00C6052E">
        <w:t>a</w:t>
      </w:r>
      <w:r w:rsidR="00177848" w:rsidRPr="00C6052E">
        <w:t xml:space="preserve"> </w:t>
      </w:r>
      <w:r w:rsidRPr="00C6052E">
        <w:t>different</w:t>
      </w:r>
      <w:r w:rsidR="00177848" w:rsidRPr="00C6052E">
        <w:t xml:space="preserve"> </w:t>
      </w:r>
      <w:r w:rsidRPr="00C6052E">
        <w:t>basis.</w:t>
      </w:r>
      <w:r w:rsidR="00177848" w:rsidRPr="00C6052E">
        <w:t xml:space="preserve"> </w:t>
      </w:r>
    </w:p>
    <w:p w14:paraId="15A16FDA" w14:textId="2338677C" w:rsidR="00EE5BB8" w:rsidRPr="00C6052E" w:rsidRDefault="00EE5BB8" w:rsidP="00EE5BB8">
      <w:r w:rsidRPr="00C6052E">
        <w:t>The</w:t>
      </w:r>
      <w:r w:rsidR="00177848" w:rsidRPr="00C6052E">
        <w:t xml:space="preserve"> </w:t>
      </w:r>
      <w:r w:rsidRPr="00C6052E">
        <w:t>accrual</w:t>
      </w:r>
      <w:r w:rsidR="00177848" w:rsidRPr="00C6052E">
        <w:t xml:space="preserve"> </w:t>
      </w:r>
      <w:r w:rsidRPr="00C6052E">
        <w:t>basis</w:t>
      </w:r>
      <w:r w:rsidR="00177848" w:rsidRPr="00C6052E">
        <w:t xml:space="preserve"> </w:t>
      </w:r>
      <w:r w:rsidRPr="00C6052E">
        <w:t>of</w:t>
      </w:r>
      <w:r w:rsidR="00177848" w:rsidRPr="00C6052E">
        <w:t xml:space="preserve"> </w:t>
      </w:r>
      <w:r w:rsidRPr="00C6052E">
        <w:t>accounting</w:t>
      </w:r>
      <w:r w:rsidR="00177848" w:rsidRPr="00C6052E">
        <w:t xml:space="preserve"> </w:t>
      </w:r>
      <w:r w:rsidRPr="00C6052E">
        <w:t>has</w:t>
      </w:r>
      <w:r w:rsidR="00177848" w:rsidRPr="00C6052E">
        <w:t xml:space="preserve"> </w:t>
      </w:r>
      <w:r w:rsidRPr="00C6052E">
        <w:t>been</w:t>
      </w:r>
      <w:r w:rsidR="00177848" w:rsidRPr="00C6052E">
        <w:t xml:space="preserve"> </w:t>
      </w:r>
      <w:r w:rsidRPr="00C6052E">
        <w:t>applied</w:t>
      </w:r>
      <w:r w:rsidR="00177848" w:rsidRPr="00C6052E">
        <w:t xml:space="preserve"> </w:t>
      </w:r>
      <w:r w:rsidRPr="00C6052E">
        <w:t>in</w:t>
      </w:r>
      <w:r w:rsidR="00177848" w:rsidRPr="00C6052E">
        <w:t xml:space="preserve"> </w:t>
      </w:r>
      <w:r w:rsidRPr="00C6052E">
        <w:t>preparing</w:t>
      </w:r>
      <w:r w:rsidR="00177848" w:rsidRPr="00C6052E">
        <w:t xml:space="preserve"> </w:t>
      </w:r>
      <w:r w:rsidRPr="00C6052E">
        <w:t>these</w:t>
      </w:r>
      <w:r w:rsidR="00177848" w:rsidRPr="00C6052E">
        <w:t xml:space="preserve"> </w:t>
      </w:r>
      <w:r w:rsidRPr="00C6052E">
        <w:t>financial</w:t>
      </w:r>
      <w:r w:rsidR="00177848" w:rsidRPr="00C6052E">
        <w:t xml:space="preserve"> </w:t>
      </w:r>
      <w:r w:rsidRPr="00C6052E">
        <w:t>statements,</w:t>
      </w:r>
      <w:r w:rsidR="00177848" w:rsidRPr="00C6052E">
        <w:t xml:space="preserve"> </w:t>
      </w:r>
      <w:r w:rsidRPr="00C6052E">
        <w:t>whereby</w:t>
      </w:r>
      <w:r w:rsidR="00177848" w:rsidRPr="00C6052E">
        <w:t xml:space="preserve"> </w:t>
      </w:r>
      <w:r w:rsidRPr="00C6052E">
        <w:t>assets,</w:t>
      </w:r>
      <w:r w:rsidR="00177848" w:rsidRPr="00C6052E">
        <w:t xml:space="preserve"> </w:t>
      </w:r>
      <w:r w:rsidRPr="00C6052E">
        <w:t>liabilities,</w:t>
      </w:r>
      <w:r w:rsidR="00177848" w:rsidRPr="00C6052E">
        <w:t xml:space="preserve"> </w:t>
      </w:r>
      <w:r w:rsidRPr="00C6052E">
        <w:t>equity,</w:t>
      </w:r>
      <w:r w:rsidR="00177848" w:rsidRPr="00C6052E">
        <w:t xml:space="preserve"> </w:t>
      </w:r>
      <w:r w:rsidRPr="00C6052E">
        <w:t>income</w:t>
      </w:r>
      <w:r w:rsidR="00177848" w:rsidRPr="00C6052E">
        <w:t xml:space="preserve"> </w:t>
      </w:r>
      <w:r w:rsidRPr="00C6052E">
        <w:t>and</w:t>
      </w:r>
      <w:r w:rsidR="00177848" w:rsidRPr="00C6052E">
        <w:t xml:space="preserve"> </w:t>
      </w:r>
      <w:r w:rsidRPr="00C6052E">
        <w:t>expenses</w:t>
      </w:r>
      <w:r w:rsidR="00177848" w:rsidRPr="00C6052E">
        <w:t xml:space="preserve"> </w:t>
      </w:r>
      <w:r w:rsidRPr="00C6052E">
        <w:t>are</w:t>
      </w:r>
      <w:r w:rsidR="00177848" w:rsidRPr="00C6052E">
        <w:t xml:space="preserve"> </w:t>
      </w:r>
      <w:r w:rsidRPr="00C6052E">
        <w:t>recognised</w:t>
      </w:r>
      <w:r w:rsidR="00177848" w:rsidRPr="00C6052E">
        <w:t xml:space="preserve"> </w:t>
      </w:r>
      <w:r w:rsidRPr="00C6052E">
        <w:t>in</w:t>
      </w:r>
      <w:r w:rsidR="00177848" w:rsidRPr="00C6052E">
        <w:t xml:space="preserve"> </w:t>
      </w:r>
      <w:r w:rsidRPr="00C6052E">
        <w:t>the</w:t>
      </w:r>
      <w:r w:rsidR="00177848" w:rsidRPr="00C6052E">
        <w:t xml:space="preserve"> </w:t>
      </w:r>
      <w:r w:rsidRPr="00C6052E">
        <w:t>reporting</w:t>
      </w:r>
      <w:r w:rsidR="00177848" w:rsidRPr="00C6052E">
        <w:t xml:space="preserve"> </w:t>
      </w:r>
      <w:r w:rsidRPr="00C6052E">
        <w:t>period</w:t>
      </w:r>
      <w:r w:rsidR="00177848" w:rsidRPr="00C6052E">
        <w:t xml:space="preserve"> </w:t>
      </w:r>
      <w:r w:rsidRPr="00C6052E">
        <w:t>to</w:t>
      </w:r>
      <w:r w:rsidR="00177848" w:rsidRPr="00C6052E">
        <w:t xml:space="preserve"> </w:t>
      </w:r>
      <w:r w:rsidRPr="00C6052E">
        <w:t>which</w:t>
      </w:r>
      <w:r w:rsidR="00177848" w:rsidRPr="00C6052E">
        <w:t xml:space="preserve"> </w:t>
      </w:r>
      <w:r w:rsidRPr="00C6052E">
        <w:t>they</w:t>
      </w:r>
      <w:r w:rsidR="00177848" w:rsidRPr="00C6052E">
        <w:t xml:space="preserve"> </w:t>
      </w:r>
      <w:r w:rsidRPr="00C6052E">
        <w:t>relate,</w:t>
      </w:r>
      <w:r w:rsidR="00177848" w:rsidRPr="00C6052E">
        <w:t xml:space="preserve"> </w:t>
      </w:r>
      <w:r w:rsidRPr="00C6052E">
        <w:t>regardless</w:t>
      </w:r>
      <w:r w:rsidR="00177848" w:rsidRPr="00C6052E">
        <w:t xml:space="preserve"> </w:t>
      </w:r>
      <w:r w:rsidRPr="00C6052E">
        <w:t>of</w:t>
      </w:r>
      <w:r w:rsidR="00177848" w:rsidRPr="00C6052E">
        <w:t xml:space="preserve"> </w:t>
      </w:r>
      <w:r w:rsidRPr="00C6052E">
        <w:t>when</w:t>
      </w:r>
      <w:r w:rsidR="00177848" w:rsidRPr="00C6052E">
        <w:t xml:space="preserve"> </w:t>
      </w:r>
      <w:r w:rsidRPr="00C6052E">
        <w:t>cash</w:t>
      </w:r>
      <w:r w:rsidR="00177848" w:rsidRPr="00C6052E">
        <w:t xml:space="preserve"> </w:t>
      </w:r>
      <w:r w:rsidRPr="00C6052E">
        <w:t>is</w:t>
      </w:r>
      <w:r w:rsidR="00177848" w:rsidRPr="00C6052E">
        <w:t xml:space="preserve"> </w:t>
      </w:r>
      <w:r w:rsidRPr="00C6052E">
        <w:t>received</w:t>
      </w:r>
      <w:r w:rsidR="00177848" w:rsidRPr="00C6052E">
        <w:t xml:space="preserve"> </w:t>
      </w:r>
      <w:r w:rsidRPr="00C6052E">
        <w:t>or</w:t>
      </w:r>
      <w:r w:rsidR="00177848" w:rsidRPr="00C6052E">
        <w:t xml:space="preserve"> </w:t>
      </w:r>
      <w:r w:rsidRPr="00C6052E">
        <w:t>paid.</w:t>
      </w:r>
    </w:p>
    <w:p w14:paraId="6D4CB75D" w14:textId="5F2BBA7B" w:rsidR="00EE5BB8" w:rsidRPr="00C6052E" w:rsidRDefault="00EE5BB8" w:rsidP="00EE5BB8">
      <w:r w:rsidRPr="00C6052E">
        <w:t>Consistent</w:t>
      </w:r>
      <w:r w:rsidR="00177848" w:rsidRPr="00C6052E">
        <w:t xml:space="preserve"> </w:t>
      </w:r>
      <w:r w:rsidRPr="00C6052E">
        <w:t>with</w:t>
      </w:r>
      <w:r w:rsidR="00177848" w:rsidRPr="00C6052E">
        <w:t xml:space="preserve"> </w:t>
      </w:r>
      <w:r w:rsidRPr="00C6052E">
        <w:t>the</w:t>
      </w:r>
      <w:r w:rsidR="00177848" w:rsidRPr="00C6052E">
        <w:t xml:space="preserve"> </w:t>
      </w:r>
      <w:r w:rsidRPr="00C6052E">
        <w:t>requirements</w:t>
      </w:r>
      <w:r w:rsidR="00177848" w:rsidRPr="00C6052E">
        <w:t xml:space="preserve"> </w:t>
      </w:r>
      <w:r w:rsidRPr="00C6052E">
        <w:t>of</w:t>
      </w:r>
      <w:r w:rsidR="00177848" w:rsidRPr="00C6052E">
        <w:t xml:space="preserve"> </w:t>
      </w:r>
      <w:r w:rsidRPr="00C6052E">
        <w:t>AASB</w:t>
      </w:r>
      <w:r w:rsidR="00177848" w:rsidRPr="00C6052E">
        <w:t xml:space="preserve"> </w:t>
      </w:r>
      <w:r w:rsidRPr="00C6052E">
        <w:t>1004</w:t>
      </w:r>
      <w:r w:rsidR="00177848" w:rsidRPr="00C6052E">
        <w:t xml:space="preserve"> </w:t>
      </w:r>
      <w:r w:rsidRPr="00C6052E">
        <w:rPr>
          <w:i/>
        </w:rPr>
        <w:t>Contributions</w:t>
      </w:r>
      <w:r w:rsidRPr="00C6052E">
        <w:t>,</w:t>
      </w:r>
      <w:r w:rsidR="00177848" w:rsidRPr="00C6052E">
        <w:t xml:space="preserve"> </w:t>
      </w:r>
      <w:r w:rsidRPr="00C6052E">
        <w:t>contributions</w:t>
      </w:r>
      <w:r w:rsidR="00177848" w:rsidRPr="00C6052E">
        <w:t xml:space="preserve"> </w:t>
      </w:r>
      <w:r w:rsidRPr="00C6052E">
        <w:t>by</w:t>
      </w:r>
      <w:r w:rsidR="00177848" w:rsidRPr="00C6052E">
        <w:t xml:space="preserve"> </w:t>
      </w:r>
      <w:r w:rsidRPr="00C6052E">
        <w:t>owners</w:t>
      </w:r>
      <w:r w:rsidR="00177848" w:rsidRPr="00C6052E">
        <w:t xml:space="preserve"> </w:t>
      </w:r>
      <w:r w:rsidRPr="00C6052E">
        <w:t>(that</w:t>
      </w:r>
      <w:r w:rsidR="00177848" w:rsidRPr="00C6052E">
        <w:t xml:space="preserve"> </w:t>
      </w:r>
      <w:r w:rsidRPr="00C6052E">
        <w:t>is,</w:t>
      </w:r>
      <w:r w:rsidR="00177848" w:rsidRPr="00C6052E">
        <w:t xml:space="preserve"> </w:t>
      </w:r>
      <w:r w:rsidRPr="00C6052E">
        <w:t>contributed</w:t>
      </w:r>
      <w:r w:rsidR="00177848" w:rsidRPr="00C6052E">
        <w:t xml:space="preserve"> </w:t>
      </w:r>
      <w:r w:rsidRPr="00C6052E">
        <w:t>capital</w:t>
      </w:r>
      <w:r w:rsidR="00177848" w:rsidRPr="00C6052E">
        <w:t xml:space="preserve"> </w:t>
      </w:r>
      <w:r w:rsidRPr="00C6052E">
        <w:t>and</w:t>
      </w:r>
      <w:r w:rsidR="00177848" w:rsidRPr="00C6052E">
        <w:t xml:space="preserve"> </w:t>
      </w:r>
      <w:r w:rsidRPr="00C6052E">
        <w:t>its</w:t>
      </w:r>
      <w:r w:rsidR="00177848" w:rsidRPr="00C6052E">
        <w:t xml:space="preserve"> </w:t>
      </w:r>
      <w:r w:rsidRPr="00C6052E">
        <w:t>repayment)</w:t>
      </w:r>
      <w:r w:rsidR="00177848" w:rsidRPr="00C6052E">
        <w:t xml:space="preserve"> </w:t>
      </w:r>
      <w:r w:rsidRPr="00C6052E">
        <w:t>are</w:t>
      </w:r>
      <w:r w:rsidR="00177848" w:rsidRPr="00C6052E">
        <w:t xml:space="preserve"> </w:t>
      </w:r>
      <w:r w:rsidRPr="00C6052E">
        <w:t>treated</w:t>
      </w:r>
      <w:r w:rsidR="00177848" w:rsidRPr="00C6052E">
        <w:t xml:space="preserve"> </w:t>
      </w:r>
      <w:r w:rsidRPr="00C6052E">
        <w:t>as</w:t>
      </w:r>
      <w:r w:rsidR="00177848" w:rsidRPr="00C6052E">
        <w:t xml:space="preserve"> </w:t>
      </w:r>
      <w:r w:rsidRPr="00C6052E">
        <w:t>equity</w:t>
      </w:r>
      <w:r w:rsidR="00177848" w:rsidRPr="00C6052E">
        <w:t xml:space="preserve"> </w:t>
      </w:r>
      <w:r w:rsidRPr="00C6052E">
        <w:t>transactions</w:t>
      </w:r>
      <w:r w:rsidR="00177848" w:rsidRPr="00C6052E">
        <w:t xml:space="preserve"> </w:t>
      </w:r>
      <w:r w:rsidRPr="00C6052E">
        <w:t>and,</w:t>
      </w:r>
      <w:r w:rsidR="00177848" w:rsidRPr="00C6052E">
        <w:t xml:space="preserve"> </w:t>
      </w:r>
      <w:r w:rsidRPr="00C6052E">
        <w:t>therefore,</w:t>
      </w:r>
      <w:r w:rsidR="00177848" w:rsidRPr="00C6052E">
        <w:t xml:space="preserve"> </w:t>
      </w:r>
      <w:r w:rsidRPr="00C6052E">
        <w:t>do</w:t>
      </w:r>
      <w:r w:rsidR="00177848" w:rsidRPr="00C6052E">
        <w:t xml:space="preserve"> </w:t>
      </w:r>
      <w:r w:rsidRPr="00C6052E">
        <w:t>not</w:t>
      </w:r>
      <w:r w:rsidR="00177848" w:rsidRPr="00C6052E">
        <w:t xml:space="preserve"> </w:t>
      </w:r>
      <w:r w:rsidRPr="00C6052E">
        <w:t>form</w:t>
      </w:r>
      <w:r w:rsidR="00177848" w:rsidRPr="00C6052E">
        <w:t xml:space="preserve"> </w:t>
      </w:r>
      <w:r w:rsidRPr="00C6052E">
        <w:t>part</w:t>
      </w:r>
      <w:r w:rsidR="00177848" w:rsidRPr="00C6052E">
        <w:t xml:space="preserve"> </w:t>
      </w:r>
      <w:r w:rsidRPr="00C6052E">
        <w:t>of</w:t>
      </w:r>
      <w:r w:rsidR="00177848" w:rsidRPr="00C6052E">
        <w:t xml:space="preserve"> </w:t>
      </w:r>
      <w:r w:rsidRPr="00C6052E">
        <w:t>the</w:t>
      </w:r>
      <w:r w:rsidR="00177848" w:rsidRPr="00C6052E">
        <w:t xml:space="preserve"> </w:t>
      </w:r>
      <w:r w:rsidRPr="00C6052E">
        <w:t>income</w:t>
      </w:r>
      <w:r w:rsidR="00177848" w:rsidRPr="00C6052E">
        <w:t xml:space="preserve"> </w:t>
      </w:r>
      <w:r w:rsidRPr="00C6052E">
        <w:t>and</w:t>
      </w:r>
      <w:r w:rsidR="00177848" w:rsidRPr="00C6052E">
        <w:t xml:space="preserve"> </w:t>
      </w:r>
      <w:r w:rsidRPr="00C6052E">
        <w:t>expenses</w:t>
      </w:r>
      <w:r w:rsidR="00177848" w:rsidRPr="00C6052E">
        <w:t xml:space="preserve"> </w:t>
      </w:r>
      <w:r w:rsidRPr="00C6052E">
        <w:t>of</w:t>
      </w:r>
      <w:r w:rsidR="00177848" w:rsidRPr="00C6052E">
        <w:t xml:space="preserve"> </w:t>
      </w:r>
      <w:fldSimple w:instr=" DOCPROPERTY  shortName  \* MERGEFORMAT ">
        <w:r w:rsidRPr="00C6052E">
          <w:t>DJSIR</w:t>
        </w:r>
      </w:fldSimple>
      <w:r w:rsidRPr="00C6052E">
        <w:t>.</w:t>
      </w:r>
      <w:r w:rsidR="00177848" w:rsidRPr="00C6052E">
        <w:t xml:space="preserve"> </w:t>
      </w:r>
    </w:p>
    <w:p w14:paraId="33235B54" w14:textId="35734EE6" w:rsidR="00EE5BB8" w:rsidRPr="00C6052E" w:rsidRDefault="00EE5BB8" w:rsidP="00EE5BB8">
      <w:r w:rsidRPr="00C6052E">
        <w:t>Additions</w:t>
      </w:r>
      <w:r w:rsidR="00177848" w:rsidRPr="00C6052E">
        <w:t xml:space="preserve"> </w:t>
      </w:r>
      <w:r w:rsidRPr="00C6052E">
        <w:t>to</w:t>
      </w:r>
      <w:r w:rsidR="00177848" w:rsidRPr="00C6052E">
        <w:t xml:space="preserve"> </w:t>
      </w:r>
      <w:r w:rsidRPr="00C6052E">
        <w:t>net</w:t>
      </w:r>
      <w:r w:rsidR="00177848" w:rsidRPr="00C6052E">
        <w:t xml:space="preserve"> </w:t>
      </w:r>
      <w:r w:rsidRPr="00C6052E">
        <w:t>assets,</w:t>
      </w:r>
      <w:r w:rsidR="00177848" w:rsidRPr="00C6052E">
        <w:t xml:space="preserve"> </w:t>
      </w:r>
      <w:r w:rsidRPr="00C6052E">
        <w:t>which</w:t>
      </w:r>
      <w:r w:rsidR="00177848" w:rsidRPr="00C6052E">
        <w:t xml:space="preserve"> </w:t>
      </w:r>
      <w:r w:rsidRPr="00C6052E">
        <w:t>have</w:t>
      </w:r>
      <w:r w:rsidR="00177848" w:rsidRPr="00C6052E">
        <w:t xml:space="preserve"> </w:t>
      </w:r>
      <w:r w:rsidRPr="00C6052E">
        <w:t>been</w:t>
      </w:r>
      <w:r w:rsidR="00177848" w:rsidRPr="00C6052E">
        <w:t xml:space="preserve"> </w:t>
      </w:r>
      <w:r w:rsidRPr="00C6052E">
        <w:t>designated</w:t>
      </w:r>
      <w:r w:rsidR="00177848" w:rsidRPr="00C6052E">
        <w:t xml:space="preserve"> </w:t>
      </w:r>
      <w:r w:rsidRPr="00C6052E">
        <w:t>as</w:t>
      </w:r>
      <w:r w:rsidR="00177848" w:rsidRPr="00C6052E">
        <w:t xml:space="preserve"> </w:t>
      </w:r>
      <w:r w:rsidRPr="00C6052E">
        <w:t>contributions</w:t>
      </w:r>
      <w:r w:rsidR="00177848" w:rsidRPr="00C6052E">
        <w:t xml:space="preserve"> </w:t>
      </w:r>
      <w:r w:rsidRPr="00C6052E">
        <w:t>by</w:t>
      </w:r>
      <w:r w:rsidR="00177848" w:rsidRPr="00C6052E">
        <w:t xml:space="preserve"> </w:t>
      </w:r>
      <w:r w:rsidRPr="00C6052E">
        <w:t>owners,</w:t>
      </w:r>
      <w:r w:rsidR="00177848" w:rsidRPr="00C6052E">
        <w:t xml:space="preserve"> </w:t>
      </w:r>
      <w:r w:rsidRPr="00C6052E">
        <w:t>are</w:t>
      </w:r>
      <w:r w:rsidR="00177848" w:rsidRPr="00C6052E">
        <w:t xml:space="preserve"> </w:t>
      </w:r>
      <w:r w:rsidRPr="00C6052E">
        <w:t>recognised</w:t>
      </w:r>
      <w:r w:rsidR="00177848" w:rsidRPr="00C6052E">
        <w:t xml:space="preserve"> </w:t>
      </w:r>
      <w:r w:rsidRPr="00C6052E">
        <w:t>as</w:t>
      </w:r>
      <w:r w:rsidR="00177848" w:rsidRPr="00C6052E">
        <w:t xml:space="preserve"> </w:t>
      </w:r>
      <w:r w:rsidRPr="00C6052E">
        <w:t>contributed</w:t>
      </w:r>
      <w:r w:rsidR="00177848" w:rsidRPr="00C6052E">
        <w:t xml:space="preserve"> </w:t>
      </w:r>
      <w:r w:rsidRPr="00C6052E">
        <w:t>capital.</w:t>
      </w:r>
      <w:r w:rsidR="00177848" w:rsidRPr="00C6052E">
        <w:t xml:space="preserve"> </w:t>
      </w:r>
      <w:r w:rsidRPr="00C6052E">
        <w:t>Other</w:t>
      </w:r>
      <w:r w:rsidR="00177848" w:rsidRPr="00C6052E">
        <w:t xml:space="preserve"> </w:t>
      </w:r>
      <w:r w:rsidRPr="00C6052E">
        <w:t>transfers</w:t>
      </w:r>
      <w:r w:rsidR="00177848" w:rsidRPr="00C6052E">
        <w:t xml:space="preserve"> </w:t>
      </w:r>
      <w:r w:rsidRPr="00C6052E">
        <w:t>that</w:t>
      </w:r>
      <w:r w:rsidR="00177848" w:rsidRPr="00C6052E">
        <w:t xml:space="preserve"> </w:t>
      </w:r>
      <w:r w:rsidRPr="00C6052E">
        <w:t>are</w:t>
      </w:r>
      <w:r w:rsidR="00177848" w:rsidRPr="00C6052E">
        <w:t xml:space="preserve"> </w:t>
      </w:r>
      <w:r w:rsidRPr="00C6052E">
        <w:t>in</w:t>
      </w:r>
      <w:r w:rsidR="00177848" w:rsidRPr="00C6052E">
        <w:t xml:space="preserve"> </w:t>
      </w:r>
      <w:r w:rsidRPr="00C6052E">
        <w:t>the</w:t>
      </w:r>
      <w:r w:rsidR="00177848" w:rsidRPr="00C6052E">
        <w:t xml:space="preserve"> </w:t>
      </w:r>
      <w:r w:rsidRPr="00C6052E">
        <w:t>nature</w:t>
      </w:r>
      <w:r w:rsidR="00177848" w:rsidRPr="00C6052E">
        <w:t xml:space="preserve"> </w:t>
      </w:r>
      <w:r w:rsidRPr="00C6052E">
        <w:t>of</w:t>
      </w:r>
      <w:r w:rsidR="00177848" w:rsidRPr="00C6052E">
        <w:t xml:space="preserve"> </w:t>
      </w:r>
      <w:r w:rsidRPr="00C6052E">
        <w:t>contributions</w:t>
      </w:r>
      <w:r w:rsidR="00177848" w:rsidRPr="00C6052E">
        <w:t xml:space="preserve"> </w:t>
      </w:r>
      <w:r w:rsidRPr="00C6052E">
        <w:t>to</w:t>
      </w:r>
      <w:r w:rsidR="00177848" w:rsidRPr="00C6052E">
        <w:t xml:space="preserve"> </w:t>
      </w:r>
      <w:r w:rsidRPr="00C6052E">
        <w:t>or</w:t>
      </w:r>
      <w:r w:rsidR="00177848" w:rsidRPr="00C6052E">
        <w:t xml:space="preserve"> </w:t>
      </w:r>
      <w:r w:rsidRPr="00C6052E">
        <w:t>distributions</w:t>
      </w:r>
      <w:r w:rsidR="00177848" w:rsidRPr="00C6052E">
        <w:t xml:space="preserve"> </w:t>
      </w:r>
      <w:r w:rsidRPr="00C6052E">
        <w:t>by</w:t>
      </w:r>
      <w:r w:rsidR="00177848" w:rsidRPr="00C6052E">
        <w:t xml:space="preserve"> </w:t>
      </w:r>
      <w:r w:rsidRPr="00C6052E">
        <w:t>owners</w:t>
      </w:r>
      <w:r w:rsidR="00177848" w:rsidRPr="00C6052E">
        <w:t xml:space="preserve"> </w:t>
      </w:r>
      <w:r w:rsidRPr="00C6052E">
        <w:t>have</w:t>
      </w:r>
      <w:r w:rsidR="00177848" w:rsidRPr="00C6052E">
        <w:t xml:space="preserve"> </w:t>
      </w:r>
      <w:r w:rsidRPr="00C6052E">
        <w:t>also</w:t>
      </w:r>
      <w:r w:rsidR="00177848" w:rsidRPr="00C6052E">
        <w:t xml:space="preserve"> </w:t>
      </w:r>
      <w:r w:rsidRPr="00C6052E">
        <w:t>been</w:t>
      </w:r>
      <w:r w:rsidR="00177848" w:rsidRPr="00C6052E">
        <w:t xml:space="preserve"> </w:t>
      </w:r>
      <w:r w:rsidRPr="00C6052E">
        <w:t>designated</w:t>
      </w:r>
      <w:r w:rsidR="00177848" w:rsidRPr="00C6052E">
        <w:t xml:space="preserve"> </w:t>
      </w:r>
      <w:r w:rsidRPr="00C6052E">
        <w:t>as</w:t>
      </w:r>
      <w:r w:rsidR="00177848" w:rsidRPr="00C6052E">
        <w:t xml:space="preserve"> </w:t>
      </w:r>
      <w:r w:rsidRPr="00C6052E">
        <w:t>contributions</w:t>
      </w:r>
      <w:r w:rsidR="00177848" w:rsidRPr="00C6052E">
        <w:t xml:space="preserve"> </w:t>
      </w:r>
      <w:r w:rsidRPr="00C6052E">
        <w:t>by</w:t>
      </w:r>
      <w:r w:rsidR="00177848" w:rsidRPr="00C6052E">
        <w:t xml:space="preserve"> </w:t>
      </w:r>
      <w:r w:rsidRPr="00C6052E">
        <w:t>owners.</w:t>
      </w:r>
      <w:r w:rsidR="00177848" w:rsidRPr="00C6052E">
        <w:t xml:space="preserve"> </w:t>
      </w:r>
    </w:p>
    <w:p w14:paraId="6E7378C2" w14:textId="7A82C040" w:rsidR="00EE5BB8" w:rsidRPr="00C6052E" w:rsidRDefault="00EE5BB8" w:rsidP="00EE5BB8">
      <w:r w:rsidRPr="00C6052E">
        <w:t>Transfers</w:t>
      </w:r>
      <w:r w:rsidR="00177848" w:rsidRPr="00C6052E">
        <w:t xml:space="preserve"> </w:t>
      </w:r>
      <w:r w:rsidRPr="00C6052E">
        <w:t>of</w:t>
      </w:r>
      <w:r w:rsidR="00177848" w:rsidRPr="00C6052E">
        <w:t xml:space="preserve"> </w:t>
      </w:r>
      <w:r w:rsidRPr="00C6052E">
        <w:t>net</w:t>
      </w:r>
      <w:r w:rsidR="00177848" w:rsidRPr="00C6052E">
        <w:t xml:space="preserve"> </w:t>
      </w:r>
      <w:r w:rsidRPr="00C6052E">
        <w:t>assets</w:t>
      </w:r>
      <w:r w:rsidR="00177848" w:rsidRPr="00C6052E">
        <w:t xml:space="preserve"> </w:t>
      </w:r>
      <w:r w:rsidRPr="00C6052E">
        <w:t>arising</w:t>
      </w:r>
      <w:r w:rsidR="00177848" w:rsidRPr="00C6052E">
        <w:t xml:space="preserve"> </w:t>
      </w:r>
      <w:r w:rsidRPr="00C6052E">
        <w:t>from</w:t>
      </w:r>
      <w:r w:rsidR="00177848" w:rsidRPr="00C6052E">
        <w:t xml:space="preserve"> </w:t>
      </w:r>
      <w:r w:rsidRPr="00C6052E">
        <w:t>administrative</w:t>
      </w:r>
      <w:r w:rsidR="00177848" w:rsidRPr="00C6052E">
        <w:t xml:space="preserve"> </w:t>
      </w:r>
      <w:r w:rsidRPr="00C6052E">
        <w:t>restructures</w:t>
      </w:r>
      <w:r w:rsidR="00177848" w:rsidRPr="00C6052E">
        <w:t xml:space="preserve"> </w:t>
      </w:r>
      <w:r w:rsidRPr="00C6052E">
        <w:t>are</w:t>
      </w:r>
      <w:r w:rsidR="00177848" w:rsidRPr="00C6052E">
        <w:t xml:space="preserve"> </w:t>
      </w:r>
      <w:r w:rsidRPr="00C6052E">
        <w:t>treated</w:t>
      </w:r>
      <w:r w:rsidR="00177848" w:rsidRPr="00C6052E">
        <w:t xml:space="preserve"> </w:t>
      </w:r>
      <w:r w:rsidRPr="00C6052E">
        <w:t>as</w:t>
      </w:r>
      <w:r w:rsidR="00177848" w:rsidRPr="00C6052E">
        <w:t xml:space="preserve"> </w:t>
      </w:r>
      <w:r w:rsidRPr="00C6052E">
        <w:t>distributions</w:t>
      </w:r>
      <w:r w:rsidR="00177848" w:rsidRPr="00C6052E">
        <w:t xml:space="preserve"> </w:t>
      </w:r>
      <w:r w:rsidRPr="00C6052E">
        <w:t>to</w:t>
      </w:r>
      <w:r w:rsidR="00177848" w:rsidRPr="00C6052E">
        <w:t xml:space="preserve"> </w:t>
      </w:r>
      <w:r w:rsidRPr="00C6052E">
        <w:t>or</w:t>
      </w:r>
      <w:r w:rsidR="00177848" w:rsidRPr="00C6052E">
        <w:t xml:space="preserve"> </w:t>
      </w:r>
      <w:r w:rsidRPr="00C6052E">
        <w:t>contributions</w:t>
      </w:r>
      <w:r w:rsidR="00177848" w:rsidRPr="00C6052E">
        <w:t xml:space="preserve"> </w:t>
      </w:r>
      <w:r w:rsidRPr="00C6052E">
        <w:t>by</w:t>
      </w:r>
      <w:r w:rsidR="00177848" w:rsidRPr="00C6052E">
        <w:t xml:space="preserve"> </w:t>
      </w:r>
      <w:r w:rsidRPr="00C6052E">
        <w:t>owners.</w:t>
      </w:r>
      <w:r w:rsidR="00177848" w:rsidRPr="00C6052E">
        <w:t xml:space="preserve"> </w:t>
      </w:r>
      <w:r w:rsidRPr="00C6052E">
        <w:t>Transfers</w:t>
      </w:r>
      <w:r w:rsidR="00177848" w:rsidRPr="00C6052E">
        <w:t xml:space="preserve"> </w:t>
      </w:r>
      <w:r w:rsidRPr="00C6052E">
        <w:t>of</w:t>
      </w:r>
      <w:r w:rsidR="00177848" w:rsidRPr="00C6052E">
        <w:t xml:space="preserve"> </w:t>
      </w:r>
      <w:r w:rsidRPr="00C6052E">
        <w:t>net</w:t>
      </w:r>
      <w:r w:rsidR="00177848" w:rsidRPr="00C6052E">
        <w:t xml:space="preserve"> </w:t>
      </w:r>
      <w:r w:rsidRPr="00C6052E">
        <w:t>liabilities</w:t>
      </w:r>
      <w:r w:rsidR="00177848" w:rsidRPr="00C6052E">
        <w:t xml:space="preserve"> </w:t>
      </w:r>
      <w:r w:rsidRPr="00C6052E">
        <w:t>arising</w:t>
      </w:r>
      <w:r w:rsidR="00177848" w:rsidRPr="00C6052E">
        <w:t xml:space="preserve"> </w:t>
      </w:r>
      <w:r w:rsidRPr="00C6052E">
        <w:t>from</w:t>
      </w:r>
      <w:r w:rsidR="00177848" w:rsidRPr="00C6052E">
        <w:t xml:space="preserve"> </w:t>
      </w:r>
      <w:r w:rsidRPr="00C6052E">
        <w:t>administrative</w:t>
      </w:r>
      <w:r w:rsidR="00177848" w:rsidRPr="00C6052E">
        <w:t xml:space="preserve"> </w:t>
      </w:r>
      <w:r w:rsidRPr="00C6052E">
        <w:t>restructures</w:t>
      </w:r>
      <w:r w:rsidR="00177848" w:rsidRPr="00C6052E">
        <w:t xml:space="preserve"> </w:t>
      </w:r>
      <w:r w:rsidRPr="00C6052E">
        <w:t>are</w:t>
      </w:r>
      <w:r w:rsidR="00177848" w:rsidRPr="00C6052E">
        <w:t xml:space="preserve"> </w:t>
      </w:r>
      <w:r w:rsidRPr="00C6052E">
        <w:t>treated</w:t>
      </w:r>
      <w:r w:rsidR="00177848" w:rsidRPr="00C6052E">
        <w:t xml:space="preserve"> </w:t>
      </w:r>
      <w:r w:rsidRPr="00C6052E">
        <w:t>as</w:t>
      </w:r>
      <w:r w:rsidR="00177848" w:rsidRPr="00C6052E">
        <w:t xml:space="preserve"> </w:t>
      </w:r>
      <w:r w:rsidRPr="00C6052E">
        <w:t>distributions</w:t>
      </w:r>
      <w:r w:rsidR="00177848" w:rsidRPr="00C6052E">
        <w:t xml:space="preserve"> </w:t>
      </w:r>
      <w:r w:rsidRPr="00C6052E">
        <w:t>to</w:t>
      </w:r>
      <w:r w:rsidR="00177848" w:rsidRPr="00C6052E">
        <w:t xml:space="preserve"> </w:t>
      </w:r>
      <w:r w:rsidRPr="00C6052E">
        <w:t>owners.</w:t>
      </w:r>
    </w:p>
    <w:p w14:paraId="5EECA31C" w14:textId="6B73B990" w:rsidR="00EE5BB8" w:rsidRPr="00C6052E" w:rsidRDefault="00EE5BB8" w:rsidP="00EE5BB8">
      <w:r w:rsidRPr="00C6052E">
        <w:t>Judgements,</w:t>
      </w:r>
      <w:r w:rsidR="00177848" w:rsidRPr="00C6052E">
        <w:t xml:space="preserve"> </w:t>
      </w:r>
      <w:r w:rsidRPr="00C6052E">
        <w:t>estimates</w:t>
      </w:r>
      <w:r w:rsidR="00177848" w:rsidRPr="00C6052E">
        <w:t xml:space="preserve"> </w:t>
      </w:r>
      <w:r w:rsidRPr="00C6052E">
        <w:t>and</w:t>
      </w:r>
      <w:r w:rsidR="00177848" w:rsidRPr="00C6052E">
        <w:t xml:space="preserve"> </w:t>
      </w:r>
      <w:r w:rsidRPr="00C6052E">
        <w:t>assumptions</w:t>
      </w:r>
      <w:r w:rsidR="00177848" w:rsidRPr="00C6052E">
        <w:t xml:space="preserve"> </w:t>
      </w:r>
      <w:r w:rsidRPr="00C6052E">
        <w:t>are</w:t>
      </w:r>
      <w:r w:rsidR="00177848" w:rsidRPr="00C6052E">
        <w:t xml:space="preserve"> </w:t>
      </w:r>
      <w:r w:rsidRPr="00C6052E">
        <w:t>required</w:t>
      </w:r>
      <w:r w:rsidR="00177848" w:rsidRPr="00C6052E">
        <w:t xml:space="preserve"> </w:t>
      </w:r>
      <w:r w:rsidRPr="00C6052E">
        <w:rPr>
          <w:spacing w:val="-2"/>
        </w:rPr>
        <w:t>to</w:t>
      </w:r>
      <w:r w:rsidR="00177848" w:rsidRPr="00C6052E">
        <w:rPr>
          <w:spacing w:val="-2"/>
        </w:rPr>
        <w:t xml:space="preserve"> </w:t>
      </w:r>
      <w:r w:rsidRPr="00C6052E">
        <w:rPr>
          <w:spacing w:val="-2"/>
        </w:rPr>
        <w:t>be</w:t>
      </w:r>
      <w:r w:rsidR="00177848" w:rsidRPr="00C6052E">
        <w:rPr>
          <w:spacing w:val="-2"/>
        </w:rPr>
        <w:t xml:space="preserve"> </w:t>
      </w:r>
      <w:r w:rsidRPr="00C6052E">
        <w:rPr>
          <w:spacing w:val="-2"/>
        </w:rPr>
        <w:t>made</w:t>
      </w:r>
      <w:r w:rsidR="00177848" w:rsidRPr="00C6052E">
        <w:rPr>
          <w:spacing w:val="-2"/>
        </w:rPr>
        <w:t xml:space="preserve"> </w:t>
      </w:r>
      <w:r w:rsidRPr="00C6052E">
        <w:rPr>
          <w:spacing w:val="-2"/>
        </w:rPr>
        <w:t>about</w:t>
      </w:r>
      <w:r w:rsidR="00177848" w:rsidRPr="00C6052E">
        <w:rPr>
          <w:spacing w:val="-2"/>
        </w:rPr>
        <w:t xml:space="preserve"> </w:t>
      </w:r>
      <w:r w:rsidRPr="00C6052E">
        <w:rPr>
          <w:spacing w:val="-2"/>
        </w:rPr>
        <w:t>financial</w:t>
      </w:r>
      <w:r w:rsidR="00177848" w:rsidRPr="00C6052E">
        <w:rPr>
          <w:spacing w:val="-2"/>
        </w:rPr>
        <w:t xml:space="preserve"> </w:t>
      </w:r>
      <w:r w:rsidRPr="00C6052E">
        <w:rPr>
          <w:spacing w:val="-2"/>
        </w:rPr>
        <w:t>information</w:t>
      </w:r>
      <w:r w:rsidR="00177848" w:rsidRPr="00C6052E">
        <w:rPr>
          <w:spacing w:val="-2"/>
        </w:rPr>
        <w:t xml:space="preserve"> </w:t>
      </w:r>
      <w:r w:rsidRPr="00C6052E">
        <w:rPr>
          <w:spacing w:val="-2"/>
        </w:rPr>
        <w:t>being</w:t>
      </w:r>
      <w:r w:rsidR="00177848" w:rsidRPr="00C6052E">
        <w:rPr>
          <w:spacing w:val="-2"/>
        </w:rPr>
        <w:t xml:space="preserve"> </w:t>
      </w:r>
      <w:r w:rsidRPr="00C6052E">
        <w:rPr>
          <w:spacing w:val="-2"/>
        </w:rPr>
        <w:t>presented</w:t>
      </w:r>
      <w:r w:rsidRPr="00C6052E">
        <w:t>.</w:t>
      </w:r>
      <w:r w:rsidR="00177848" w:rsidRPr="00C6052E">
        <w:t xml:space="preserve"> </w:t>
      </w:r>
      <w:r w:rsidRPr="00C6052E">
        <w:t>The</w:t>
      </w:r>
      <w:r w:rsidR="00177848" w:rsidRPr="00C6052E">
        <w:t xml:space="preserve"> </w:t>
      </w:r>
      <w:r w:rsidRPr="00C6052E">
        <w:t>significant</w:t>
      </w:r>
      <w:r w:rsidR="00177848" w:rsidRPr="00C6052E">
        <w:t xml:space="preserve"> </w:t>
      </w:r>
      <w:r w:rsidRPr="00C6052E">
        <w:t>judgements</w:t>
      </w:r>
      <w:r w:rsidR="00177848" w:rsidRPr="00C6052E">
        <w:t xml:space="preserve"> </w:t>
      </w:r>
      <w:r w:rsidRPr="00C6052E">
        <w:t>made</w:t>
      </w:r>
      <w:r w:rsidR="00177848" w:rsidRPr="00C6052E">
        <w:t xml:space="preserve"> </w:t>
      </w:r>
      <w:r w:rsidRPr="00C6052E">
        <w:t>in</w:t>
      </w:r>
      <w:r w:rsidR="00177848" w:rsidRPr="00C6052E">
        <w:t xml:space="preserve"> </w:t>
      </w:r>
      <w:r w:rsidRPr="00C6052E">
        <w:t>the</w:t>
      </w:r>
      <w:r w:rsidR="00177848" w:rsidRPr="00C6052E">
        <w:t xml:space="preserve"> </w:t>
      </w:r>
      <w:r w:rsidRPr="00C6052E">
        <w:t>preparation</w:t>
      </w:r>
      <w:r w:rsidR="00177848" w:rsidRPr="00C6052E">
        <w:t xml:space="preserve"> </w:t>
      </w:r>
      <w:r w:rsidRPr="00C6052E">
        <w:t>of</w:t>
      </w:r>
      <w:r w:rsidR="00177848" w:rsidRPr="00C6052E">
        <w:t xml:space="preserve"> </w:t>
      </w:r>
      <w:r w:rsidRPr="00C6052E">
        <w:t>these</w:t>
      </w:r>
      <w:r w:rsidR="00177848" w:rsidRPr="00C6052E">
        <w:t xml:space="preserve"> </w:t>
      </w:r>
      <w:r w:rsidRPr="00C6052E">
        <w:t>financial</w:t>
      </w:r>
      <w:r w:rsidR="00177848" w:rsidRPr="00C6052E">
        <w:t xml:space="preserve"> </w:t>
      </w:r>
      <w:r w:rsidRPr="00C6052E">
        <w:t>statements</w:t>
      </w:r>
      <w:r w:rsidR="00177848" w:rsidRPr="00C6052E">
        <w:t xml:space="preserve"> </w:t>
      </w:r>
      <w:r w:rsidRPr="00C6052E">
        <w:t>are</w:t>
      </w:r>
      <w:r w:rsidR="00177848" w:rsidRPr="00C6052E">
        <w:t xml:space="preserve"> </w:t>
      </w:r>
      <w:r w:rsidRPr="00C6052E">
        <w:t>disclosed</w:t>
      </w:r>
      <w:r w:rsidR="00177848" w:rsidRPr="00C6052E">
        <w:t xml:space="preserve"> </w:t>
      </w:r>
      <w:r w:rsidRPr="00C6052E">
        <w:t>in</w:t>
      </w:r>
      <w:r w:rsidR="00177848" w:rsidRPr="00C6052E">
        <w:t xml:space="preserve"> </w:t>
      </w:r>
      <w:r w:rsidRPr="00C6052E">
        <w:t>the</w:t>
      </w:r>
      <w:r w:rsidR="00177848" w:rsidRPr="00C6052E">
        <w:t xml:space="preserve"> </w:t>
      </w:r>
      <w:r w:rsidRPr="00C6052E">
        <w:t>notes</w:t>
      </w:r>
      <w:r w:rsidR="00177848" w:rsidRPr="00C6052E">
        <w:t xml:space="preserve"> </w:t>
      </w:r>
      <w:r w:rsidRPr="00C6052E">
        <w:t>where</w:t>
      </w:r>
      <w:r w:rsidR="00177848" w:rsidRPr="00C6052E">
        <w:t xml:space="preserve"> </w:t>
      </w:r>
      <w:r w:rsidRPr="00C6052E">
        <w:t>amounts</w:t>
      </w:r>
      <w:r w:rsidR="00177848" w:rsidRPr="00C6052E">
        <w:t xml:space="preserve"> </w:t>
      </w:r>
      <w:r w:rsidRPr="00C6052E">
        <w:t>affected</w:t>
      </w:r>
      <w:r w:rsidR="00177848" w:rsidRPr="00C6052E">
        <w:t xml:space="preserve"> </w:t>
      </w:r>
      <w:r w:rsidRPr="00C6052E">
        <w:t>by</w:t>
      </w:r>
      <w:r w:rsidR="00177848" w:rsidRPr="00C6052E">
        <w:t xml:space="preserve"> </w:t>
      </w:r>
      <w:r w:rsidRPr="00C6052E">
        <w:t>those</w:t>
      </w:r>
      <w:r w:rsidR="00177848" w:rsidRPr="00C6052E">
        <w:t xml:space="preserve"> </w:t>
      </w:r>
      <w:r w:rsidRPr="00C6052E">
        <w:t>judgements</w:t>
      </w:r>
      <w:r w:rsidR="00177848" w:rsidRPr="00C6052E">
        <w:t xml:space="preserve"> </w:t>
      </w:r>
      <w:r w:rsidRPr="00C6052E">
        <w:t>are</w:t>
      </w:r>
      <w:r w:rsidR="00177848" w:rsidRPr="00C6052E">
        <w:t xml:space="preserve"> </w:t>
      </w:r>
      <w:r w:rsidRPr="00C6052E">
        <w:t>disclosed.</w:t>
      </w:r>
      <w:r w:rsidR="00177848" w:rsidRPr="00C6052E">
        <w:t xml:space="preserve"> </w:t>
      </w:r>
      <w:r w:rsidRPr="00C6052E">
        <w:t>Estimates</w:t>
      </w:r>
      <w:r w:rsidR="00177848" w:rsidRPr="00C6052E">
        <w:t xml:space="preserve"> </w:t>
      </w:r>
      <w:r w:rsidRPr="00C6052E">
        <w:t>and</w:t>
      </w:r>
      <w:r w:rsidR="00177848" w:rsidRPr="00C6052E">
        <w:t xml:space="preserve"> </w:t>
      </w:r>
      <w:r w:rsidRPr="00C6052E">
        <w:t>associated</w:t>
      </w:r>
      <w:r w:rsidR="00177848" w:rsidRPr="00C6052E">
        <w:t xml:space="preserve"> </w:t>
      </w:r>
      <w:r w:rsidRPr="00C6052E">
        <w:t>assumptions</w:t>
      </w:r>
      <w:r w:rsidR="00177848" w:rsidRPr="00C6052E">
        <w:t xml:space="preserve"> </w:t>
      </w:r>
      <w:r w:rsidRPr="00C6052E">
        <w:t>are</w:t>
      </w:r>
      <w:r w:rsidR="00177848" w:rsidRPr="00C6052E">
        <w:t xml:space="preserve"> </w:t>
      </w:r>
      <w:r w:rsidRPr="00C6052E">
        <w:t>based</w:t>
      </w:r>
      <w:r w:rsidR="00177848" w:rsidRPr="00C6052E">
        <w:t xml:space="preserve"> </w:t>
      </w:r>
      <w:r w:rsidRPr="00C6052E">
        <w:t>on</w:t>
      </w:r>
      <w:r w:rsidR="00177848" w:rsidRPr="00C6052E">
        <w:t xml:space="preserve"> </w:t>
      </w:r>
      <w:r w:rsidRPr="00C6052E">
        <w:t>professional</w:t>
      </w:r>
      <w:r w:rsidR="00177848" w:rsidRPr="00C6052E">
        <w:t xml:space="preserve"> </w:t>
      </w:r>
      <w:r w:rsidRPr="00C6052E">
        <w:t>judgements</w:t>
      </w:r>
      <w:r w:rsidR="00177848" w:rsidRPr="00C6052E">
        <w:t xml:space="preserve"> </w:t>
      </w:r>
      <w:r w:rsidRPr="00C6052E">
        <w:t>derived</w:t>
      </w:r>
      <w:r w:rsidR="00177848" w:rsidRPr="00C6052E">
        <w:t xml:space="preserve"> </w:t>
      </w:r>
      <w:r w:rsidRPr="00C6052E">
        <w:t>from</w:t>
      </w:r>
      <w:r w:rsidR="00177848" w:rsidRPr="00C6052E">
        <w:t xml:space="preserve"> </w:t>
      </w:r>
      <w:r w:rsidRPr="00C6052E">
        <w:t>historical</w:t>
      </w:r>
      <w:r w:rsidR="00177848" w:rsidRPr="00C6052E">
        <w:t xml:space="preserve"> </w:t>
      </w:r>
      <w:r w:rsidRPr="00C6052E">
        <w:t>experience</w:t>
      </w:r>
      <w:r w:rsidR="00177848" w:rsidRPr="00C6052E">
        <w:t xml:space="preserve"> </w:t>
      </w:r>
      <w:r w:rsidRPr="00C6052E">
        <w:t>and</w:t>
      </w:r>
      <w:r w:rsidR="00177848" w:rsidRPr="00C6052E">
        <w:t xml:space="preserve"> </w:t>
      </w:r>
      <w:r w:rsidRPr="00C6052E">
        <w:t>various</w:t>
      </w:r>
      <w:r w:rsidR="00177848" w:rsidRPr="00C6052E">
        <w:t xml:space="preserve"> </w:t>
      </w:r>
      <w:r w:rsidRPr="00C6052E">
        <w:t>other</w:t>
      </w:r>
      <w:r w:rsidR="00177848" w:rsidRPr="00C6052E">
        <w:t xml:space="preserve"> </w:t>
      </w:r>
      <w:r w:rsidRPr="00C6052E">
        <w:t>factors</w:t>
      </w:r>
      <w:r w:rsidR="00177848" w:rsidRPr="00C6052E">
        <w:t xml:space="preserve"> </w:t>
      </w:r>
      <w:r w:rsidRPr="00C6052E">
        <w:t>that</w:t>
      </w:r>
      <w:r w:rsidR="00177848" w:rsidRPr="00C6052E">
        <w:t xml:space="preserve"> </w:t>
      </w:r>
      <w:r w:rsidRPr="00C6052E">
        <w:t>are</w:t>
      </w:r>
      <w:r w:rsidR="00177848" w:rsidRPr="00C6052E">
        <w:t xml:space="preserve"> </w:t>
      </w:r>
      <w:r w:rsidRPr="00C6052E">
        <w:t>believed</w:t>
      </w:r>
      <w:r w:rsidR="00177848" w:rsidRPr="00C6052E">
        <w:t xml:space="preserve"> </w:t>
      </w:r>
      <w:r w:rsidRPr="00C6052E">
        <w:t>to</w:t>
      </w:r>
      <w:r w:rsidR="00177848" w:rsidRPr="00C6052E">
        <w:t xml:space="preserve"> </w:t>
      </w:r>
      <w:r w:rsidRPr="00C6052E">
        <w:t>be</w:t>
      </w:r>
      <w:r w:rsidR="00177848" w:rsidRPr="00C6052E">
        <w:t xml:space="preserve"> </w:t>
      </w:r>
      <w:r w:rsidRPr="00C6052E">
        <w:t>reasonable</w:t>
      </w:r>
      <w:r w:rsidR="00177848" w:rsidRPr="00C6052E">
        <w:t xml:space="preserve"> </w:t>
      </w:r>
      <w:r w:rsidRPr="00C6052E">
        <w:t>under</w:t>
      </w:r>
      <w:r w:rsidR="00177848" w:rsidRPr="00C6052E">
        <w:t xml:space="preserve"> </w:t>
      </w:r>
      <w:r w:rsidRPr="00C6052E">
        <w:t>the</w:t>
      </w:r>
      <w:r w:rsidR="00177848" w:rsidRPr="00C6052E">
        <w:t xml:space="preserve"> </w:t>
      </w:r>
      <w:r w:rsidRPr="00C6052E">
        <w:t>circumstances.</w:t>
      </w:r>
      <w:r w:rsidR="00177848" w:rsidRPr="00C6052E">
        <w:t xml:space="preserve"> </w:t>
      </w:r>
      <w:r w:rsidRPr="00C6052E">
        <w:t>Actual</w:t>
      </w:r>
      <w:r w:rsidR="00177848" w:rsidRPr="00C6052E">
        <w:t xml:space="preserve"> </w:t>
      </w:r>
      <w:r w:rsidRPr="00C6052E">
        <w:t>results</w:t>
      </w:r>
      <w:r w:rsidR="00177848" w:rsidRPr="00C6052E">
        <w:t xml:space="preserve"> </w:t>
      </w:r>
      <w:r w:rsidRPr="00C6052E">
        <w:t>may</w:t>
      </w:r>
      <w:r w:rsidR="00177848" w:rsidRPr="00C6052E">
        <w:t xml:space="preserve"> </w:t>
      </w:r>
      <w:r w:rsidRPr="00C6052E">
        <w:t>differ</w:t>
      </w:r>
      <w:r w:rsidR="00177848" w:rsidRPr="00C6052E">
        <w:t xml:space="preserve"> </w:t>
      </w:r>
      <w:r w:rsidRPr="00C6052E">
        <w:t>from</w:t>
      </w:r>
      <w:r w:rsidR="00177848" w:rsidRPr="00C6052E">
        <w:t xml:space="preserve"> </w:t>
      </w:r>
      <w:r w:rsidRPr="00C6052E">
        <w:t>these</w:t>
      </w:r>
      <w:r w:rsidR="00177848" w:rsidRPr="00C6052E">
        <w:t xml:space="preserve"> </w:t>
      </w:r>
      <w:r w:rsidRPr="00C6052E">
        <w:t>estimates.</w:t>
      </w:r>
    </w:p>
    <w:p w14:paraId="53B8FE46" w14:textId="73ED0C28" w:rsidR="00EE5BB8" w:rsidRPr="00C6052E" w:rsidRDefault="00EE5BB8" w:rsidP="00445EF8">
      <w:pPr>
        <w:keepLines/>
      </w:pPr>
      <w:r w:rsidRPr="00C6052E">
        <w:lastRenderedPageBreak/>
        <w:t>Revisions</w:t>
      </w:r>
      <w:r w:rsidR="00177848" w:rsidRPr="00C6052E">
        <w:t xml:space="preserve"> </w:t>
      </w:r>
      <w:r w:rsidRPr="00C6052E">
        <w:t>to</w:t>
      </w:r>
      <w:r w:rsidR="00177848" w:rsidRPr="00C6052E">
        <w:t xml:space="preserve"> </w:t>
      </w:r>
      <w:r w:rsidRPr="00C6052E">
        <w:t>accounting</w:t>
      </w:r>
      <w:r w:rsidR="00177848" w:rsidRPr="00C6052E">
        <w:t xml:space="preserve"> </w:t>
      </w:r>
      <w:r w:rsidRPr="00C6052E">
        <w:t>estimates</w:t>
      </w:r>
      <w:r w:rsidR="00177848" w:rsidRPr="00C6052E">
        <w:t xml:space="preserve"> </w:t>
      </w:r>
      <w:r w:rsidRPr="00C6052E">
        <w:t>are</w:t>
      </w:r>
      <w:r w:rsidR="00177848" w:rsidRPr="00C6052E">
        <w:t xml:space="preserve"> </w:t>
      </w:r>
      <w:r w:rsidRPr="00C6052E">
        <w:t>recognised</w:t>
      </w:r>
      <w:r w:rsidR="00177848" w:rsidRPr="00C6052E">
        <w:t xml:space="preserve"> </w:t>
      </w:r>
      <w:r w:rsidRPr="00C6052E">
        <w:t>in</w:t>
      </w:r>
      <w:r w:rsidR="00177848" w:rsidRPr="00C6052E">
        <w:t xml:space="preserve"> </w:t>
      </w:r>
      <w:r w:rsidRPr="00C6052E">
        <w:t>the</w:t>
      </w:r>
      <w:r w:rsidR="00177848" w:rsidRPr="00C6052E">
        <w:t xml:space="preserve"> </w:t>
      </w:r>
      <w:r w:rsidRPr="00C6052E">
        <w:t>period</w:t>
      </w:r>
      <w:r w:rsidR="00177848" w:rsidRPr="00C6052E">
        <w:t xml:space="preserve"> </w:t>
      </w:r>
      <w:r w:rsidRPr="00C6052E">
        <w:t>in</w:t>
      </w:r>
      <w:r w:rsidR="00177848" w:rsidRPr="00C6052E">
        <w:t xml:space="preserve"> </w:t>
      </w:r>
      <w:r w:rsidRPr="00C6052E">
        <w:t>which</w:t>
      </w:r>
      <w:r w:rsidR="00177848" w:rsidRPr="00C6052E">
        <w:t xml:space="preserve"> </w:t>
      </w:r>
      <w:r w:rsidRPr="00C6052E">
        <w:t>the</w:t>
      </w:r>
      <w:r w:rsidR="00177848" w:rsidRPr="00C6052E">
        <w:t xml:space="preserve"> </w:t>
      </w:r>
      <w:r w:rsidRPr="00C6052E">
        <w:t>estimate</w:t>
      </w:r>
      <w:r w:rsidR="00177848" w:rsidRPr="00C6052E">
        <w:t xml:space="preserve"> </w:t>
      </w:r>
      <w:r w:rsidRPr="00C6052E">
        <w:t>is</w:t>
      </w:r>
      <w:r w:rsidR="00177848" w:rsidRPr="00C6052E">
        <w:t xml:space="preserve"> </w:t>
      </w:r>
      <w:r w:rsidRPr="00C6052E">
        <w:t>revised</w:t>
      </w:r>
      <w:r w:rsidR="00177848" w:rsidRPr="00C6052E">
        <w:t xml:space="preserve"> </w:t>
      </w:r>
      <w:r w:rsidRPr="00C6052E">
        <w:t>and</w:t>
      </w:r>
      <w:r w:rsidR="00177848" w:rsidRPr="00C6052E">
        <w:t xml:space="preserve"> </w:t>
      </w:r>
      <w:r w:rsidRPr="00C6052E">
        <w:t>also</w:t>
      </w:r>
      <w:r w:rsidR="00177848" w:rsidRPr="00C6052E">
        <w:t xml:space="preserve"> </w:t>
      </w:r>
      <w:r w:rsidRPr="00C6052E">
        <w:t>in</w:t>
      </w:r>
      <w:r w:rsidR="00177848" w:rsidRPr="00C6052E">
        <w:t xml:space="preserve"> </w:t>
      </w:r>
      <w:r w:rsidRPr="00C6052E">
        <w:t>future</w:t>
      </w:r>
      <w:r w:rsidR="00177848" w:rsidRPr="00C6052E">
        <w:t xml:space="preserve"> </w:t>
      </w:r>
      <w:r w:rsidRPr="00C6052E">
        <w:t>periods</w:t>
      </w:r>
      <w:r w:rsidR="00177848" w:rsidRPr="00C6052E">
        <w:t xml:space="preserve"> </w:t>
      </w:r>
      <w:r w:rsidRPr="00C6052E">
        <w:t>that</w:t>
      </w:r>
      <w:r w:rsidR="00177848" w:rsidRPr="00C6052E">
        <w:t xml:space="preserve"> </w:t>
      </w:r>
      <w:r w:rsidRPr="00C6052E">
        <w:t>are</w:t>
      </w:r>
      <w:r w:rsidR="00177848" w:rsidRPr="00C6052E">
        <w:t xml:space="preserve"> </w:t>
      </w:r>
      <w:r w:rsidRPr="00C6052E">
        <w:t>affected</w:t>
      </w:r>
      <w:r w:rsidR="00177848" w:rsidRPr="00C6052E">
        <w:t xml:space="preserve"> </w:t>
      </w:r>
      <w:r w:rsidRPr="00C6052E">
        <w:t>by</w:t>
      </w:r>
      <w:r w:rsidR="00177848" w:rsidRPr="00C6052E">
        <w:t xml:space="preserve"> </w:t>
      </w:r>
      <w:r w:rsidRPr="00C6052E">
        <w:t>the</w:t>
      </w:r>
      <w:r w:rsidR="00177848" w:rsidRPr="00C6052E">
        <w:t xml:space="preserve"> </w:t>
      </w:r>
      <w:r w:rsidRPr="00C6052E">
        <w:t>revision.</w:t>
      </w:r>
      <w:r w:rsidR="00177848" w:rsidRPr="00C6052E">
        <w:t xml:space="preserve"> </w:t>
      </w:r>
      <w:r w:rsidRPr="00C6052E">
        <w:t>Judgements</w:t>
      </w:r>
      <w:r w:rsidR="00177848" w:rsidRPr="00C6052E">
        <w:t xml:space="preserve"> </w:t>
      </w:r>
      <w:r w:rsidRPr="00C6052E">
        <w:t>and</w:t>
      </w:r>
      <w:r w:rsidR="00177848" w:rsidRPr="00C6052E">
        <w:t xml:space="preserve"> </w:t>
      </w:r>
      <w:r w:rsidRPr="00C6052E">
        <w:t>assumptions</w:t>
      </w:r>
      <w:r w:rsidR="00177848" w:rsidRPr="00C6052E">
        <w:t xml:space="preserve"> </w:t>
      </w:r>
      <w:r w:rsidRPr="00C6052E">
        <w:t>made</w:t>
      </w:r>
      <w:r w:rsidR="00177848" w:rsidRPr="00C6052E">
        <w:t xml:space="preserve"> </w:t>
      </w:r>
      <w:r w:rsidRPr="00C6052E">
        <w:t>by</w:t>
      </w:r>
      <w:r w:rsidR="00177848" w:rsidRPr="00C6052E">
        <w:t xml:space="preserve"> </w:t>
      </w:r>
      <w:r w:rsidRPr="00C6052E">
        <w:t>management</w:t>
      </w:r>
      <w:r w:rsidR="00177848" w:rsidRPr="00C6052E">
        <w:t xml:space="preserve"> </w:t>
      </w:r>
      <w:r w:rsidRPr="00C6052E">
        <w:t>in</w:t>
      </w:r>
      <w:r w:rsidR="00177848" w:rsidRPr="00C6052E">
        <w:t xml:space="preserve"> </w:t>
      </w:r>
      <w:r w:rsidRPr="00C6052E">
        <w:t>applying</w:t>
      </w:r>
      <w:r w:rsidR="00177848" w:rsidRPr="00C6052E">
        <w:t xml:space="preserve"> </w:t>
      </w:r>
      <w:r w:rsidRPr="00C6052E">
        <w:t>Australian</w:t>
      </w:r>
      <w:r w:rsidR="00177848" w:rsidRPr="00C6052E">
        <w:t xml:space="preserve"> </w:t>
      </w:r>
      <w:r w:rsidRPr="00C6052E">
        <w:t>Accounting</w:t>
      </w:r>
      <w:r w:rsidR="00177848" w:rsidRPr="00C6052E">
        <w:t xml:space="preserve"> </w:t>
      </w:r>
      <w:r w:rsidRPr="00C6052E">
        <w:t>Standards</w:t>
      </w:r>
      <w:r w:rsidR="00177848" w:rsidRPr="00C6052E">
        <w:t xml:space="preserve"> </w:t>
      </w:r>
      <w:r w:rsidRPr="00C6052E">
        <w:t>(AAS)</w:t>
      </w:r>
      <w:r w:rsidR="00177848" w:rsidRPr="00C6052E">
        <w:t xml:space="preserve"> </w:t>
      </w:r>
      <w:r w:rsidRPr="00C6052E">
        <w:t>that</w:t>
      </w:r>
      <w:r w:rsidR="00177848" w:rsidRPr="00C6052E">
        <w:t xml:space="preserve"> </w:t>
      </w:r>
      <w:r w:rsidRPr="00C6052E">
        <w:t>have</w:t>
      </w:r>
      <w:r w:rsidR="00177848" w:rsidRPr="00C6052E">
        <w:t xml:space="preserve"> </w:t>
      </w:r>
      <w:r w:rsidRPr="00C6052E">
        <w:t>significant</w:t>
      </w:r>
      <w:r w:rsidR="00177848" w:rsidRPr="00C6052E">
        <w:t xml:space="preserve"> </w:t>
      </w:r>
      <w:r w:rsidRPr="00C6052E">
        <w:t>effects</w:t>
      </w:r>
      <w:r w:rsidR="00177848" w:rsidRPr="00C6052E">
        <w:t xml:space="preserve"> </w:t>
      </w:r>
      <w:r w:rsidRPr="00C6052E">
        <w:t>on</w:t>
      </w:r>
      <w:r w:rsidR="00177848" w:rsidRPr="00C6052E">
        <w:t xml:space="preserve"> </w:t>
      </w:r>
      <w:r w:rsidRPr="00C6052E">
        <w:t>the</w:t>
      </w:r>
      <w:r w:rsidR="00177848" w:rsidRPr="00C6052E">
        <w:t xml:space="preserve"> </w:t>
      </w:r>
      <w:r w:rsidRPr="00C6052E">
        <w:t>financial</w:t>
      </w:r>
      <w:r w:rsidR="00177848" w:rsidRPr="00C6052E">
        <w:t xml:space="preserve"> </w:t>
      </w:r>
      <w:r w:rsidRPr="00C6052E">
        <w:t>statements</w:t>
      </w:r>
      <w:r w:rsidR="00177848" w:rsidRPr="00C6052E">
        <w:t xml:space="preserve"> </w:t>
      </w:r>
      <w:r w:rsidRPr="00C6052E">
        <w:t>and</w:t>
      </w:r>
      <w:r w:rsidR="00177848" w:rsidRPr="00C6052E">
        <w:t xml:space="preserve"> </w:t>
      </w:r>
      <w:r w:rsidRPr="00C6052E">
        <w:t>estimates</w:t>
      </w:r>
      <w:r w:rsidR="00177848" w:rsidRPr="00C6052E">
        <w:t xml:space="preserve"> </w:t>
      </w:r>
      <w:r w:rsidRPr="00C6052E">
        <w:t>are</w:t>
      </w:r>
      <w:r w:rsidR="00177848" w:rsidRPr="00C6052E">
        <w:t xml:space="preserve"> </w:t>
      </w:r>
      <w:r w:rsidRPr="00C6052E">
        <w:t>disclosed</w:t>
      </w:r>
      <w:r w:rsidR="00177848" w:rsidRPr="00C6052E">
        <w:t xml:space="preserve"> </w:t>
      </w:r>
      <w:r w:rsidRPr="00C6052E">
        <w:t>in</w:t>
      </w:r>
      <w:r w:rsidR="00177848" w:rsidRPr="00C6052E">
        <w:t xml:space="preserve"> </w:t>
      </w:r>
      <w:r w:rsidRPr="00C6052E">
        <w:t>the</w:t>
      </w:r>
      <w:r w:rsidR="00177848" w:rsidRPr="00C6052E">
        <w:t xml:space="preserve"> </w:t>
      </w:r>
      <w:r w:rsidRPr="00C6052E">
        <w:t>notes</w:t>
      </w:r>
      <w:r w:rsidR="00177848" w:rsidRPr="00C6052E">
        <w:t xml:space="preserve"> </w:t>
      </w:r>
      <w:r w:rsidRPr="00C6052E">
        <w:t>under</w:t>
      </w:r>
      <w:r w:rsidR="00177848" w:rsidRPr="00C6052E">
        <w:t xml:space="preserve"> </w:t>
      </w:r>
      <w:r w:rsidRPr="00C6052E">
        <w:t>the</w:t>
      </w:r>
      <w:r w:rsidR="00177848" w:rsidRPr="00C6052E">
        <w:t xml:space="preserve"> </w:t>
      </w:r>
      <w:r w:rsidRPr="00C6052E">
        <w:t>heading:</w:t>
      </w:r>
      <w:r w:rsidR="00177848" w:rsidRPr="00C6052E">
        <w:t xml:space="preserve"> </w:t>
      </w:r>
      <w:r w:rsidRPr="00C6052E">
        <w:t>‘Significant</w:t>
      </w:r>
      <w:r w:rsidR="00177848" w:rsidRPr="00C6052E">
        <w:t xml:space="preserve"> </w:t>
      </w:r>
      <w:r w:rsidRPr="00C6052E">
        <w:t>judgements</w:t>
      </w:r>
      <w:r w:rsidR="00177848" w:rsidRPr="00C6052E">
        <w:t xml:space="preserve"> </w:t>
      </w:r>
      <w:r w:rsidRPr="00C6052E">
        <w:t>or</w:t>
      </w:r>
      <w:r w:rsidR="00177848" w:rsidRPr="00C6052E">
        <w:t xml:space="preserve"> </w:t>
      </w:r>
      <w:r w:rsidRPr="00C6052E">
        <w:t>estimates’.</w:t>
      </w:r>
    </w:p>
    <w:p w14:paraId="7AFFB04C" w14:textId="569E7D9F" w:rsidR="00EE5BB8" w:rsidRPr="00C6052E" w:rsidRDefault="00EE5BB8" w:rsidP="00EE5BB8">
      <w:r w:rsidRPr="00C6052E">
        <w:t>These</w:t>
      </w:r>
      <w:r w:rsidR="00177848" w:rsidRPr="00C6052E">
        <w:t xml:space="preserve"> </w:t>
      </w:r>
      <w:r w:rsidRPr="00C6052E">
        <w:t>financial</w:t>
      </w:r>
      <w:r w:rsidR="00177848" w:rsidRPr="00C6052E">
        <w:t xml:space="preserve"> </w:t>
      </w:r>
      <w:r w:rsidRPr="00C6052E">
        <w:t>statements</w:t>
      </w:r>
      <w:r w:rsidR="00177848" w:rsidRPr="00C6052E">
        <w:t xml:space="preserve"> </w:t>
      </w:r>
      <w:r w:rsidRPr="00C6052E">
        <w:t>cover</w:t>
      </w:r>
      <w:r w:rsidR="00177848" w:rsidRPr="00C6052E">
        <w:t xml:space="preserve"> </w:t>
      </w:r>
      <w:fldSimple w:instr=" DOCPROPERTY  shortName  \* MERGEFORMAT ">
        <w:r w:rsidRPr="00C6052E">
          <w:t>DJSIR</w:t>
        </w:r>
      </w:fldSimple>
      <w:r w:rsidR="00177848" w:rsidRPr="00C6052E">
        <w:t xml:space="preserve"> </w:t>
      </w:r>
      <w:r w:rsidRPr="00C6052E">
        <w:t>as</w:t>
      </w:r>
      <w:r w:rsidR="00177848" w:rsidRPr="00C6052E">
        <w:t xml:space="preserve"> </w:t>
      </w:r>
      <w:r w:rsidRPr="00C6052E">
        <w:t>an</w:t>
      </w:r>
      <w:r w:rsidR="00177848" w:rsidRPr="00C6052E">
        <w:t xml:space="preserve"> </w:t>
      </w:r>
      <w:r w:rsidRPr="00C6052E">
        <w:t>individual</w:t>
      </w:r>
      <w:r w:rsidR="00177848" w:rsidRPr="00C6052E">
        <w:t xml:space="preserve"> </w:t>
      </w:r>
      <w:r w:rsidRPr="00C6052E">
        <w:t>reporting</w:t>
      </w:r>
      <w:r w:rsidR="00177848" w:rsidRPr="00C6052E">
        <w:t xml:space="preserve"> </w:t>
      </w:r>
      <w:r w:rsidRPr="00C6052E">
        <w:t>entity</w:t>
      </w:r>
      <w:r w:rsidR="00177848" w:rsidRPr="00C6052E">
        <w:t xml:space="preserve"> </w:t>
      </w:r>
      <w:r w:rsidRPr="00C6052E">
        <w:t>and</w:t>
      </w:r>
      <w:r w:rsidR="00177848" w:rsidRPr="00C6052E">
        <w:t xml:space="preserve"> </w:t>
      </w:r>
      <w:r w:rsidRPr="00C6052E">
        <w:t>include</w:t>
      </w:r>
      <w:r w:rsidR="00177848" w:rsidRPr="00C6052E">
        <w:t xml:space="preserve"> </w:t>
      </w:r>
      <w:r w:rsidRPr="00C6052E">
        <w:t>all</w:t>
      </w:r>
      <w:r w:rsidR="00177848" w:rsidRPr="00C6052E">
        <w:t xml:space="preserve"> </w:t>
      </w:r>
      <w:r w:rsidRPr="00C6052E">
        <w:t>the</w:t>
      </w:r>
      <w:r w:rsidR="00177848" w:rsidRPr="00C6052E">
        <w:t xml:space="preserve"> </w:t>
      </w:r>
      <w:r w:rsidRPr="00C6052E">
        <w:t>controlled</w:t>
      </w:r>
      <w:r w:rsidR="00177848" w:rsidRPr="00C6052E">
        <w:t xml:space="preserve"> </w:t>
      </w:r>
      <w:r w:rsidRPr="00C6052E">
        <w:t>activities</w:t>
      </w:r>
      <w:r w:rsidR="00177848" w:rsidRPr="00C6052E">
        <w:t xml:space="preserve"> </w:t>
      </w:r>
      <w:r w:rsidRPr="00C6052E">
        <w:t>of</w:t>
      </w:r>
      <w:r w:rsidR="00177848" w:rsidRPr="00C6052E">
        <w:t xml:space="preserve"> </w:t>
      </w:r>
      <w:r w:rsidRPr="00C6052E">
        <w:t>DJSIR.</w:t>
      </w:r>
      <w:r w:rsidR="00177848" w:rsidRPr="00C6052E">
        <w:t xml:space="preserve"> </w:t>
      </w:r>
    </w:p>
    <w:p w14:paraId="3E1B50E4" w14:textId="20A7D0B9" w:rsidR="00EE5BB8" w:rsidRPr="00C6052E" w:rsidRDefault="00EE5BB8" w:rsidP="00EE5BB8">
      <w:bookmarkStart w:id="74" w:name="_Hlk175676256"/>
      <w:r w:rsidRPr="00C6052E">
        <w:t>In</w:t>
      </w:r>
      <w:r w:rsidR="00177848" w:rsidRPr="00C6052E">
        <w:t xml:space="preserve"> </w:t>
      </w:r>
      <w:r w:rsidRPr="00C6052E">
        <w:t>the</w:t>
      </w:r>
      <w:r w:rsidR="00177848" w:rsidRPr="00C6052E">
        <w:t xml:space="preserve"> </w:t>
      </w:r>
      <w:r w:rsidRPr="00C6052E">
        <w:t>prior</w:t>
      </w:r>
      <w:r w:rsidR="00177848" w:rsidRPr="00C6052E">
        <w:t xml:space="preserve"> </w:t>
      </w:r>
      <w:r w:rsidRPr="00C6052E">
        <w:t>year,</w:t>
      </w:r>
      <w:r w:rsidR="00177848" w:rsidRPr="00C6052E">
        <w:t xml:space="preserve"> </w:t>
      </w:r>
      <w:r w:rsidRPr="00C6052E">
        <w:t>the</w:t>
      </w:r>
      <w:r w:rsidR="00177848" w:rsidRPr="00C6052E">
        <w:t xml:space="preserve"> </w:t>
      </w:r>
      <w:r w:rsidRPr="00C6052E">
        <w:t>results</w:t>
      </w:r>
      <w:r w:rsidR="00177848" w:rsidRPr="00C6052E">
        <w:t xml:space="preserve"> </w:t>
      </w:r>
      <w:r w:rsidRPr="00C6052E">
        <w:t>of</w:t>
      </w:r>
      <w:r w:rsidR="00177848" w:rsidRPr="00C6052E">
        <w:t xml:space="preserve"> </w:t>
      </w:r>
      <w:r w:rsidRPr="00C6052E">
        <w:t>Victoria</w:t>
      </w:r>
      <w:r w:rsidR="00177848" w:rsidRPr="00C6052E">
        <w:t xml:space="preserve"> </w:t>
      </w:r>
      <w:r w:rsidRPr="00C6052E">
        <w:t>2026</w:t>
      </w:r>
      <w:r w:rsidR="00177848" w:rsidRPr="00C6052E">
        <w:t xml:space="preserve"> </w:t>
      </w:r>
      <w:r w:rsidRPr="00C6052E">
        <w:t>were</w:t>
      </w:r>
      <w:r w:rsidR="00177848" w:rsidRPr="00C6052E">
        <w:t xml:space="preserve"> </w:t>
      </w:r>
      <w:r w:rsidRPr="00C6052E">
        <w:t>consolidated</w:t>
      </w:r>
      <w:r w:rsidR="00177848" w:rsidRPr="00C6052E">
        <w:t xml:space="preserve"> </w:t>
      </w:r>
      <w:r w:rsidRPr="00C6052E">
        <w:t>into</w:t>
      </w:r>
      <w:r w:rsidR="00177848" w:rsidRPr="00C6052E">
        <w:t xml:space="preserve"> </w:t>
      </w:r>
      <w:r w:rsidRPr="00C6052E">
        <w:t>DJSIR’s</w:t>
      </w:r>
      <w:r w:rsidR="00177848" w:rsidRPr="00C6052E">
        <w:t xml:space="preserve"> </w:t>
      </w:r>
      <w:r w:rsidRPr="00C6052E">
        <w:t>financial</w:t>
      </w:r>
      <w:r w:rsidR="00177848" w:rsidRPr="00C6052E">
        <w:t xml:space="preserve"> </w:t>
      </w:r>
      <w:r w:rsidRPr="00C6052E">
        <w:t>statements</w:t>
      </w:r>
      <w:r w:rsidR="00177848" w:rsidRPr="00C6052E">
        <w:t xml:space="preserve"> </w:t>
      </w:r>
      <w:r w:rsidRPr="00C6052E">
        <w:t>under</w:t>
      </w:r>
      <w:r w:rsidR="00177848" w:rsidRPr="00C6052E">
        <w:t xml:space="preserve"> </w:t>
      </w:r>
      <w:r w:rsidRPr="00C6052E">
        <w:t>section</w:t>
      </w:r>
      <w:r w:rsidR="00177848" w:rsidRPr="00C6052E">
        <w:t xml:space="preserve"> </w:t>
      </w:r>
      <w:r w:rsidRPr="00C6052E">
        <w:t>53(1)(b)</w:t>
      </w:r>
      <w:r w:rsidR="00177848" w:rsidRPr="00C6052E">
        <w:t xml:space="preserve"> </w:t>
      </w:r>
      <w:r w:rsidRPr="00C6052E">
        <w:t>of</w:t>
      </w:r>
      <w:r w:rsidR="00177848" w:rsidRPr="00C6052E">
        <w:t xml:space="preserve"> </w:t>
      </w:r>
      <w:r w:rsidRPr="00C6052E">
        <w:t>the</w:t>
      </w:r>
      <w:r w:rsidR="00177848" w:rsidRPr="00C6052E">
        <w:t xml:space="preserve"> </w:t>
      </w:r>
      <w:r w:rsidRPr="00C6052E">
        <w:rPr>
          <w:i/>
          <w:iCs/>
        </w:rPr>
        <w:t>Financial</w:t>
      </w:r>
      <w:r w:rsidR="00177848" w:rsidRPr="00C6052E">
        <w:rPr>
          <w:i/>
          <w:iCs/>
        </w:rPr>
        <w:t xml:space="preserve"> </w:t>
      </w:r>
      <w:r w:rsidRPr="00C6052E">
        <w:rPr>
          <w:i/>
          <w:iCs/>
        </w:rPr>
        <w:t>Management</w:t>
      </w:r>
      <w:r w:rsidR="00177848" w:rsidRPr="00C6052E">
        <w:rPr>
          <w:i/>
          <w:iCs/>
        </w:rPr>
        <w:t xml:space="preserve"> </w:t>
      </w:r>
      <w:r w:rsidRPr="00C6052E">
        <w:rPr>
          <w:i/>
          <w:iCs/>
        </w:rPr>
        <w:t>Act</w:t>
      </w:r>
      <w:r w:rsidR="00177848" w:rsidRPr="00C6052E">
        <w:rPr>
          <w:i/>
          <w:iCs/>
        </w:rPr>
        <w:t xml:space="preserve"> </w:t>
      </w:r>
      <w:r w:rsidRPr="00C6052E">
        <w:rPr>
          <w:i/>
          <w:iCs/>
        </w:rPr>
        <w:t>1994</w:t>
      </w:r>
      <w:r w:rsidR="00177848" w:rsidRPr="00C6052E">
        <w:t xml:space="preserve"> </w:t>
      </w:r>
      <w:r w:rsidRPr="00C6052E">
        <w:t>(FMA).</w:t>
      </w:r>
      <w:r w:rsidR="00177848" w:rsidRPr="00C6052E">
        <w:t xml:space="preserve"> </w:t>
      </w:r>
      <w:r w:rsidRPr="00C6052E">
        <w:t>On</w:t>
      </w:r>
      <w:r w:rsidR="00177848" w:rsidRPr="00C6052E">
        <w:t xml:space="preserve"> </w:t>
      </w:r>
      <w:r w:rsidRPr="00C6052E">
        <w:t>21</w:t>
      </w:r>
      <w:r w:rsidR="00177848" w:rsidRPr="00C6052E">
        <w:t xml:space="preserve"> </w:t>
      </w:r>
      <w:r w:rsidRPr="00C6052E">
        <w:t>August</w:t>
      </w:r>
      <w:r w:rsidR="00177848" w:rsidRPr="00C6052E">
        <w:t xml:space="preserve"> </w:t>
      </w:r>
      <w:r w:rsidRPr="00C6052E">
        <w:t>2024,</w:t>
      </w:r>
      <w:r w:rsidR="00177848" w:rsidRPr="00C6052E">
        <w:t xml:space="preserve"> </w:t>
      </w:r>
      <w:r w:rsidRPr="00C6052E">
        <w:t>Victoria</w:t>
      </w:r>
      <w:r w:rsidR="00177848" w:rsidRPr="00C6052E">
        <w:t xml:space="preserve"> </w:t>
      </w:r>
      <w:r w:rsidRPr="00C6052E">
        <w:t>2026</w:t>
      </w:r>
      <w:r w:rsidR="00177848" w:rsidRPr="00C6052E">
        <w:t xml:space="preserve"> </w:t>
      </w:r>
      <w:r w:rsidRPr="00C6052E">
        <w:t>Pty</w:t>
      </w:r>
      <w:r w:rsidR="00177848" w:rsidRPr="00C6052E">
        <w:t xml:space="preserve"> </w:t>
      </w:r>
      <w:r w:rsidRPr="00C6052E">
        <w:t>Ltd,</w:t>
      </w:r>
      <w:r w:rsidR="00177848" w:rsidRPr="00C6052E">
        <w:t xml:space="preserve"> </w:t>
      </w:r>
      <w:r w:rsidRPr="00C6052E">
        <w:t>was</w:t>
      </w:r>
      <w:r w:rsidR="00177848" w:rsidRPr="00C6052E">
        <w:t xml:space="preserve"> </w:t>
      </w:r>
      <w:r w:rsidRPr="00C6052E">
        <w:t>officially</w:t>
      </w:r>
      <w:r w:rsidR="00177848" w:rsidRPr="00C6052E">
        <w:t xml:space="preserve"> </w:t>
      </w:r>
      <w:r w:rsidRPr="00C6052E">
        <w:t>deregistered</w:t>
      </w:r>
      <w:r w:rsidR="00177848" w:rsidRPr="00C6052E">
        <w:t xml:space="preserve"> </w:t>
      </w:r>
      <w:r w:rsidRPr="00C6052E">
        <w:t>as</w:t>
      </w:r>
      <w:r w:rsidR="00177848" w:rsidRPr="00C6052E">
        <w:t xml:space="preserve"> </w:t>
      </w:r>
      <w:r w:rsidRPr="00C6052E">
        <w:t>a</w:t>
      </w:r>
      <w:r w:rsidR="00177848" w:rsidRPr="00C6052E">
        <w:t xml:space="preserve"> </w:t>
      </w:r>
      <w:r w:rsidRPr="00C6052E">
        <w:t>company</w:t>
      </w:r>
      <w:r w:rsidR="00177848" w:rsidRPr="00C6052E">
        <w:t xml:space="preserve"> </w:t>
      </w:r>
      <w:r w:rsidRPr="00C6052E">
        <w:t>from</w:t>
      </w:r>
      <w:r w:rsidR="00177848" w:rsidRPr="00C6052E">
        <w:t xml:space="preserve"> </w:t>
      </w:r>
      <w:r w:rsidRPr="00C6052E">
        <w:t>Australian</w:t>
      </w:r>
      <w:r w:rsidR="00177848" w:rsidRPr="00C6052E">
        <w:t xml:space="preserve"> </w:t>
      </w:r>
      <w:r w:rsidRPr="00C6052E">
        <w:t>Securities</w:t>
      </w:r>
      <w:r w:rsidR="00177848" w:rsidRPr="00C6052E">
        <w:t xml:space="preserve"> </w:t>
      </w:r>
      <w:r w:rsidRPr="00C6052E">
        <w:t>and</w:t>
      </w:r>
      <w:r w:rsidR="00177848" w:rsidRPr="00C6052E">
        <w:t xml:space="preserve"> </w:t>
      </w:r>
      <w:r w:rsidRPr="00C6052E">
        <w:t>Investments</w:t>
      </w:r>
      <w:r w:rsidR="00177848" w:rsidRPr="00C6052E">
        <w:t xml:space="preserve"> </w:t>
      </w:r>
      <w:r w:rsidRPr="00C6052E">
        <w:t>Commission</w:t>
      </w:r>
      <w:r w:rsidR="00177848" w:rsidRPr="00C6052E">
        <w:t xml:space="preserve"> </w:t>
      </w:r>
      <w:r w:rsidRPr="00C6052E">
        <w:t>(ASIC).</w:t>
      </w:r>
      <w:r w:rsidR="00177848" w:rsidRPr="00C6052E">
        <w:t xml:space="preserve"> </w:t>
      </w:r>
      <w:r w:rsidRPr="00C6052E">
        <w:t>The</w:t>
      </w:r>
      <w:r w:rsidR="00177848" w:rsidRPr="00C6052E">
        <w:t xml:space="preserve"> </w:t>
      </w:r>
      <w:r w:rsidRPr="00C6052E">
        <w:t>decision</w:t>
      </w:r>
      <w:r w:rsidR="00177848" w:rsidRPr="00C6052E">
        <w:t xml:space="preserve"> </w:t>
      </w:r>
      <w:r w:rsidRPr="00C6052E">
        <w:t>to</w:t>
      </w:r>
      <w:r w:rsidR="00177848" w:rsidRPr="00C6052E">
        <w:t xml:space="preserve"> </w:t>
      </w:r>
      <w:r w:rsidRPr="00C6052E">
        <w:t>deregister</w:t>
      </w:r>
      <w:r w:rsidR="00177848" w:rsidRPr="00C6052E">
        <w:t xml:space="preserve"> </w:t>
      </w:r>
      <w:r w:rsidRPr="00C6052E">
        <w:t>was</w:t>
      </w:r>
      <w:r w:rsidR="00177848" w:rsidRPr="00C6052E">
        <w:t xml:space="preserve"> </w:t>
      </w:r>
      <w:r w:rsidRPr="00C6052E">
        <w:t>made</w:t>
      </w:r>
      <w:r w:rsidR="00177848" w:rsidRPr="00C6052E">
        <w:t xml:space="preserve"> </w:t>
      </w:r>
      <w:r w:rsidRPr="00C6052E">
        <w:t>following</w:t>
      </w:r>
      <w:r w:rsidR="00177848" w:rsidRPr="00C6052E">
        <w:t xml:space="preserve"> </w:t>
      </w:r>
      <w:r w:rsidRPr="00C6052E">
        <w:t>the</w:t>
      </w:r>
      <w:r w:rsidR="00177848" w:rsidRPr="00C6052E">
        <w:t xml:space="preserve"> </w:t>
      </w:r>
      <w:r w:rsidRPr="00C6052E">
        <w:t>July</w:t>
      </w:r>
      <w:r w:rsidR="00177848" w:rsidRPr="00C6052E">
        <w:t xml:space="preserve"> </w:t>
      </w:r>
      <w:r w:rsidRPr="00C6052E">
        <w:t>2023</w:t>
      </w:r>
      <w:r w:rsidR="00177848" w:rsidRPr="00C6052E">
        <w:t xml:space="preserve"> </w:t>
      </w:r>
      <w:r w:rsidRPr="00C6052E">
        <w:t>announcement</w:t>
      </w:r>
      <w:r w:rsidR="00177848" w:rsidRPr="00C6052E">
        <w:t xml:space="preserve"> </w:t>
      </w:r>
      <w:r w:rsidRPr="00C6052E">
        <w:t>that</w:t>
      </w:r>
      <w:r w:rsidR="00177848" w:rsidRPr="00C6052E">
        <w:t xml:space="preserve"> </w:t>
      </w:r>
      <w:r w:rsidRPr="00C6052E">
        <w:t>Victoria</w:t>
      </w:r>
      <w:r w:rsidR="00177848" w:rsidRPr="00C6052E">
        <w:t xml:space="preserve"> </w:t>
      </w:r>
      <w:r w:rsidRPr="00C6052E">
        <w:t>would</w:t>
      </w:r>
      <w:r w:rsidR="00177848" w:rsidRPr="00C6052E">
        <w:t xml:space="preserve"> </w:t>
      </w:r>
      <w:r w:rsidRPr="00C6052E">
        <w:t>no</w:t>
      </w:r>
      <w:r w:rsidR="00177848" w:rsidRPr="00C6052E">
        <w:t xml:space="preserve"> </w:t>
      </w:r>
      <w:r w:rsidRPr="00C6052E">
        <w:t>longer</w:t>
      </w:r>
      <w:r w:rsidR="00177848" w:rsidRPr="00C6052E">
        <w:t xml:space="preserve"> </w:t>
      </w:r>
      <w:r w:rsidRPr="00C6052E">
        <w:t>host</w:t>
      </w:r>
      <w:r w:rsidR="00177848" w:rsidRPr="00C6052E">
        <w:t xml:space="preserve"> </w:t>
      </w:r>
      <w:r w:rsidRPr="00C6052E">
        <w:t>the</w:t>
      </w:r>
      <w:r w:rsidR="00177848" w:rsidRPr="00C6052E">
        <w:t xml:space="preserve"> </w:t>
      </w:r>
      <w:r w:rsidRPr="00C6052E">
        <w:t>2026</w:t>
      </w:r>
      <w:r w:rsidR="00177848" w:rsidRPr="00C6052E">
        <w:t xml:space="preserve"> </w:t>
      </w:r>
      <w:r w:rsidRPr="00C6052E">
        <w:t>Commonwealth</w:t>
      </w:r>
      <w:r w:rsidR="00177848" w:rsidRPr="00C6052E">
        <w:t xml:space="preserve"> </w:t>
      </w:r>
      <w:r w:rsidRPr="00C6052E">
        <w:t>Games.</w:t>
      </w:r>
    </w:p>
    <w:bookmarkEnd w:id="74"/>
    <w:p w14:paraId="38FB0947" w14:textId="5A7957F5" w:rsidR="00EE5BB8" w:rsidRPr="00C6052E" w:rsidRDefault="00EE5BB8" w:rsidP="00EE5BB8">
      <w:r w:rsidRPr="00C6052E">
        <w:t>In</w:t>
      </w:r>
      <w:r w:rsidR="00177848" w:rsidRPr="00C6052E">
        <w:t xml:space="preserve"> </w:t>
      </w:r>
      <w:r w:rsidRPr="00C6052E">
        <w:t>preparing</w:t>
      </w:r>
      <w:r w:rsidR="00177848" w:rsidRPr="00C6052E">
        <w:t xml:space="preserve"> </w:t>
      </w:r>
      <w:r w:rsidRPr="00C6052E">
        <w:t>consolidated</w:t>
      </w:r>
      <w:r w:rsidR="00177848" w:rsidRPr="00C6052E">
        <w:t xml:space="preserve"> </w:t>
      </w:r>
      <w:r w:rsidRPr="00C6052E">
        <w:t>financial</w:t>
      </w:r>
      <w:r w:rsidR="00177848" w:rsidRPr="00C6052E">
        <w:t xml:space="preserve"> </w:t>
      </w:r>
      <w:r w:rsidRPr="00C6052E">
        <w:t>statements</w:t>
      </w:r>
      <w:r w:rsidR="00177848" w:rsidRPr="00C6052E">
        <w:t xml:space="preserve"> </w:t>
      </w:r>
      <w:r w:rsidRPr="00C6052E">
        <w:t>for</w:t>
      </w:r>
      <w:r w:rsidR="00177848" w:rsidRPr="00C6052E">
        <w:t xml:space="preserve"> </w:t>
      </w:r>
      <w:fldSimple w:instr=" DOCPROPERTY  shortName  \* MERGEFORMAT ">
        <w:r w:rsidRPr="00C6052E">
          <w:t>DJSIR</w:t>
        </w:r>
      </w:fldSimple>
      <w:r w:rsidRPr="00C6052E">
        <w:t>,</w:t>
      </w:r>
      <w:r w:rsidR="00177848" w:rsidRPr="00C6052E">
        <w:t xml:space="preserve"> </w:t>
      </w:r>
      <w:r w:rsidRPr="00C6052E">
        <w:t>all</w:t>
      </w:r>
      <w:r w:rsidR="00177848" w:rsidRPr="00C6052E">
        <w:t xml:space="preserve"> </w:t>
      </w:r>
      <w:r w:rsidRPr="00C6052E">
        <w:t>material</w:t>
      </w:r>
      <w:r w:rsidR="00177848" w:rsidRPr="00C6052E">
        <w:t xml:space="preserve"> </w:t>
      </w:r>
      <w:r w:rsidRPr="00C6052E">
        <w:t>transactions</w:t>
      </w:r>
      <w:r w:rsidR="00177848" w:rsidRPr="00C6052E">
        <w:t xml:space="preserve"> </w:t>
      </w:r>
      <w:r w:rsidRPr="00C6052E">
        <w:t>and</w:t>
      </w:r>
      <w:r w:rsidR="00177848" w:rsidRPr="00C6052E">
        <w:t xml:space="preserve"> </w:t>
      </w:r>
      <w:r w:rsidRPr="00C6052E">
        <w:t>balances</w:t>
      </w:r>
      <w:r w:rsidR="00177848" w:rsidRPr="00C6052E">
        <w:t xml:space="preserve"> </w:t>
      </w:r>
      <w:r w:rsidRPr="00C6052E">
        <w:t>between</w:t>
      </w:r>
      <w:r w:rsidR="00177848" w:rsidRPr="00C6052E">
        <w:t xml:space="preserve"> </w:t>
      </w:r>
      <w:r w:rsidRPr="00C6052E">
        <w:t>consolidated</w:t>
      </w:r>
      <w:r w:rsidR="00177848" w:rsidRPr="00C6052E">
        <w:t xml:space="preserve"> </w:t>
      </w:r>
      <w:r w:rsidRPr="00C6052E">
        <w:t>entities</w:t>
      </w:r>
      <w:r w:rsidR="00177848" w:rsidRPr="00C6052E">
        <w:t xml:space="preserve"> </w:t>
      </w:r>
      <w:r w:rsidRPr="00C6052E">
        <w:t>are</w:t>
      </w:r>
      <w:r w:rsidR="00177848" w:rsidRPr="00C6052E">
        <w:t xml:space="preserve"> </w:t>
      </w:r>
      <w:r w:rsidRPr="00C6052E">
        <w:t>eliminated.</w:t>
      </w:r>
    </w:p>
    <w:p w14:paraId="119FC974" w14:textId="5EB2EA48" w:rsidR="00EE5BB8" w:rsidRPr="00C6052E" w:rsidRDefault="00EE5BB8" w:rsidP="00EE5BB8">
      <w:pPr>
        <w:pStyle w:val="Heading3"/>
      </w:pPr>
      <w:bookmarkStart w:id="75" w:name="_Toc163565940"/>
      <w:bookmarkStart w:id="76" w:name="_Toc163566547"/>
      <w:bookmarkStart w:id="77" w:name="_Toc174009469"/>
      <w:bookmarkStart w:id="78" w:name="_Toc175734935"/>
      <w:r w:rsidRPr="00C6052E">
        <w:t>Compliance</w:t>
      </w:r>
      <w:r w:rsidR="00177848" w:rsidRPr="00C6052E">
        <w:t xml:space="preserve"> </w:t>
      </w:r>
      <w:r w:rsidRPr="00C6052E">
        <w:t>information</w:t>
      </w:r>
      <w:bookmarkEnd w:id="75"/>
      <w:bookmarkEnd w:id="76"/>
      <w:bookmarkEnd w:id="77"/>
      <w:bookmarkEnd w:id="78"/>
    </w:p>
    <w:p w14:paraId="3A0026C1" w14:textId="5DA56122" w:rsidR="00EE5BB8" w:rsidRPr="00C6052E" w:rsidRDefault="00EE5BB8" w:rsidP="00EE5BB8">
      <w:r w:rsidRPr="00C6052E">
        <w:t>These</w:t>
      </w:r>
      <w:r w:rsidR="00177848" w:rsidRPr="00C6052E">
        <w:t xml:space="preserve"> </w:t>
      </w:r>
      <w:r w:rsidRPr="00C6052E">
        <w:t>general-purpose</w:t>
      </w:r>
      <w:r w:rsidR="00177848" w:rsidRPr="00C6052E">
        <w:t xml:space="preserve"> </w:t>
      </w:r>
      <w:r w:rsidRPr="00C6052E">
        <w:t>financial</w:t>
      </w:r>
      <w:r w:rsidR="00177848" w:rsidRPr="00C6052E">
        <w:t xml:space="preserve"> </w:t>
      </w:r>
      <w:r w:rsidRPr="00C6052E">
        <w:t>statements</w:t>
      </w:r>
      <w:r w:rsidR="00177848" w:rsidRPr="00C6052E">
        <w:t xml:space="preserve"> </w:t>
      </w:r>
      <w:r w:rsidRPr="00C6052E">
        <w:t>(Tier</w:t>
      </w:r>
      <w:r w:rsidR="00177848" w:rsidRPr="00C6052E">
        <w:t xml:space="preserve"> </w:t>
      </w:r>
      <w:r w:rsidRPr="00C6052E">
        <w:t>1)</w:t>
      </w:r>
      <w:r w:rsidR="00177848" w:rsidRPr="00C6052E">
        <w:t xml:space="preserve"> </w:t>
      </w:r>
      <w:r w:rsidRPr="00C6052E">
        <w:t>have</w:t>
      </w:r>
      <w:r w:rsidR="00177848" w:rsidRPr="00C6052E">
        <w:t xml:space="preserve"> </w:t>
      </w:r>
      <w:r w:rsidRPr="00C6052E">
        <w:t>been</w:t>
      </w:r>
      <w:r w:rsidR="00177848" w:rsidRPr="00C6052E">
        <w:t xml:space="preserve"> </w:t>
      </w:r>
      <w:r w:rsidRPr="00C6052E">
        <w:t>prepared</w:t>
      </w:r>
      <w:r w:rsidR="00177848" w:rsidRPr="00C6052E">
        <w:t xml:space="preserve"> </w:t>
      </w:r>
      <w:r w:rsidRPr="00C6052E">
        <w:t>in</w:t>
      </w:r>
      <w:r w:rsidR="00177848" w:rsidRPr="00C6052E">
        <w:t xml:space="preserve"> </w:t>
      </w:r>
      <w:r w:rsidRPr="00C6052E">
        <w:t>accordance</w:t>
      </w:r>
      <w:r w:rsidR="00177848" w:rsidRPr="00C6052E">
        <w:t xml:space="preserve"> </w:t>
      </w:r>
      <w:r w:rsidRPr="00C6052E">
        <w:t>with</w:t>
      </w:r>
      <w:r w:rsidR="00177848" w:rsidRPr="00C6052E">
        <w:t xml:space="preserve"> </w:t>
      </w:r>
      <w:r w:rsidRPr="00C6052E">
        <w:t>the</w:t>
      </w:r>
      <w:r w:rsidR="00177848" w:rsidRPr="00C6052E">
        <w:t xml:space="preserve"> </w:t>
      </w:r>
      <w:r w:rsidRPr="00C6052E">
        <w:t>FMA</w:t>
      </w:r>
      <w:r w:rsidR="00177848" w:rsidRPr="00C6052E">
        <w:t xml:space="preserve"> </w:t>
      </w:r>
      <w:r w:rsidRPr="00C6052E">
        <w:t>and</w:t>
      </w:r>
      <w:r w:rsidR="00177848" w:rsidRPr="00C6052E">
        <w:t xml:space="preserve"> </w:t>
      </w:r>
      <w:r w:rsidRPr="00C6052E">
        <w:t>applicable</w:t>
      </w:r>
      <w:r w:rsidR="00177848" w:rsidRPr="00C6052E">
        <w:t xml:space="preserve"> </w:t>
      </w:r>
      <w:r w:rsidRPr="00C6052E">
        <w:t>Australian</w:t>
      </w:r>
      <w:r w:rsidR="00177848" w:rsidRPr="00C6052E">
        <w:t xml:space="preserve"> </w:t>
      </w:r>
      <w:r w:rsidRPr="00C6052E">
        <w:t>Accounting</w:t>
      </w:r>
      <w:r w:rsidR="00177848" w:rsidRPr="00C6052E">
        <w:t xml:space="preserve"> </w:t>
      </w:r>
      <w:r w:rsidRPr="00C6052E">
        <w:t>Standards</w:t>
      </w:r>
      <w:r w:rsidR="00177848" w:rsidRPr="00C6052E">
        <w:t xml:space="preserve"> </w:t>
      </w:r>
      <w:r w:rsidRPr="00C6052E">
        <w:t>(AASs)</w:t>
      </w:r>
      <w:r w:rsidR="00177848" w:rsidRPr="00C6052E">
        <w:t xml:space="preserve"> </w:t>
      </w:r>
      <w:r w:rsidRPr="00C6052E">
        <w:t>which</w:t>
      </w:r>
      <w:r w:rsidR="00177848" w:rsidRPr="00C6052E">
        <w:t xml:space="preserve"> </w:t>
      </w:r>
      <w:r w:rsidRPr="00C6052E">
        <w:t>include</w:t>
      </w:r>
      <w:r w:rsidR="00177848" w:rsidRPr="00C6052E">
        <w:t xml:space="preserve"> </w:t>
      </w:r>
      <w:r w:rsidRPr="00C6052E">
        <w:t>Interpretations,</w:t>
      </w:r>
      <w:r w:rsidR="00177848" w:rsidRPr="00C6052E">
        <w:t xml:space="preserve"> </w:t>
      </w:r>
      <w:r w:rsidRPr="00C6052E">
        <w:t>issued</w:t>
      </w:r>
      <w:r w:rsidR="00177848" w:rsidRPr="00C6052E">
        <w:t xml:space="preserve"> </w:t>
      </w:r>
      <w:r w:rsidRPr="00C6052E">
        <w:t>by</w:t>
      </w:r>
      <w:r w:rsidR="00177848" w:rsidRPr="00C6052E">
        <w:t xml:space="preserve"> </w:t>
      </w:r>
      <w:r w:rsidRPr="00C6052E">
        <w:t>the</w:t>
      </w:r>
      <w:r w:rsidR="00177848" w:rsidRPr="00C6052E">
        <w:t xml:space="preserve"> </w:t>
      </w:r>
      <w:r w:rsidRPr="00C6052E">
        <w:t>Australian</w:t>
      </w:r>
      <w:r w:rsidR="00177848" w:rsidRPr="00C6052E">
        <w:t xml:space="preserve"> </w:t>
      </w:r>
      <w:r w:rsidRPr="00C6052E">
        <w:t>Accounting</w:t>
      </w:r>
      <w:r w:rsidR="00177848" w:rsidRPr="00C6052E">
        <w:t xml:space="preserve"> </w:t>
      </w:r>
      <w:r w:rsidRPr="00C6052E">
        <w:t>Standards</w:t>
      </w:r>
      <w:r w:rsidR="00177848" w:rsidRPr="00C6052E">
        <w:t xml:space="preserve"> </w:t>
      </w:r>
      <w:r w:rsidRPr="00C6052E">
        <w:t>Board</w:t>
      </w:r>
      <w:r w:rsidR="00177848" w:rsidRPr="00C6052E">
        <w:t xml:space="preserve"> </w:t>
      </w:r>
      <w:r w:rsidRPr="00C6052E">
        <w:t>(AASB).</w:t>
      </w:r>
      <w:r w:rsidR="00177848" w:rsidRPr="00C6052E">
        <w:t xml:space="preserve"> </w:t>
      </w:r>
      <w:r w:rsidRPr="00C6052E">
        <w:t>In</w:t>
      </w:r>
      <w:r w:rsidR="00177848" w:rsidRPr="00C6052E">
        <w:t xml:space="preserve"> </w:t>
      </w:r>
      <w:r w:rsidRPr="00C6052E">
        <w:t>particular,</w:t>
      </w:r>
      <w:r w:rsidR="00177848" w:rsidRPr="00C6052E">
        <w:t xml:space="preserve"> </w:t>
      </w:r>
      <w:r w:rsidRPr="00C6052E">
        <w:t>they</w:t>
      </w:r>
      <w:r w:rsidR="00177848" w:rsidRPr="00C6052E">
        <w:t xml:space="preserve"> </w:t>
      </w:r>
      <w:r w:rsidRPr="00C6052E">
        <w:t>are</w:t>
      </w:r>
      <w:r w:rsidR="00177848" w:rsidRPr="00C6052E">
        <w:t xml:space="preserve"> </w:t>
      </w:r>
      <w:r w:rsidRPr="00C6052E">
        <w:t>presented</w:t>
      </w:r>
      <w:r w:rsidR="00177848" w:rsidRPr="00C6052E">
        <w:t xml:space="preserve"> </w:t>
      </w:r>
      <w:r w:rsidRPr="00C6052E">
        <w:t>in</w:t>
      </w:r>
      <w:r w:rsidR="00177848" w:rsidRPr="00C6052E">
        <w:t xml:space="preserve"> </w:t>
      </w:r>
      <w:r w:rsidRPr="00C6052E">
        <w:t>a</w:t>
      </w:r>
      <w:r w:rsidR="00177848" w:rsidRPr="00C6052E">
        <w:t xml:space="preserve"> </w:t>
      </w:r>
      <w:r w:rsidRPr="00C6052E">
        <w:t>manner</w:t>
      </w:r>
      <w:r w:rsidR="00177848" w:rsidRPr="00C6052E">
        <w:t xml:space="preserve"> </w:t>
      </w:r>
      <w:r w:rsidRPr="00C6052E">
        <w:t>consistent</w:t>
      </w:r>
      <w:r w:rsidR="00177848" w:rsidRPr="00C6052E">
        <w:t xml:space="preserve"> </w:t>
      </w:r>
      <w:r w:rsidRPr="00C6052E">
        <w:t>with</w:t>
      </w:r>
      <w:r w:rsidR="00177848" w:rsidRPr="00C6052E">
        <w:t xml:space="preserve"> </w:t>
      </w:r>
      <w:r w:rsidRPr="00C6052E">
        <w:t>the</w:t>
      </w:r>
      <w:r w:rsidR="00177848" w:rsidRPr="00C6052E">
        <w:t xml:space="preserve"> </w:t>
      </w:r>
      <w:r w:rsidRPr="00C6052E">
        <w:t>requirements</w:t>
      </w:r>
      <w:r w:rsidR="00177848" w:rsidRPr="00C6052E">
        <w:t xml:space="preserve"> </w:t>
      </w:r>
      <w:r w:rsidRPr="00C6052E">
        <w:t>of</w:t>
      </w:r>
      <w:r w:rsidR="00177848" w:rsidRPr="00C6052E">
        <w:t xml:space="preserve"> </w:t>
      </w:r>
      <w:r w:rsidRPr="00C6052E">
        <w:t>AASB</w:t>
      </w:r>
      <w:r w:rsidR="00177848" w:rsidRPr="00C6052E">
        <w:t xml:space="preserve"> </w:t>
      </w:r>
      <w:r w:rsidRPr="00C6052E">
        <w:t>1049</w:t>
      </w:r>
      <w:r w:rsidR="00177848" w:rsidRPr="00C6052E">
        <w:t xml:space="preserve"> </w:t>
      </w:r>
      <w:r w:rsidRPr="00C6052E">
        <w:rPr>
          <w:i/>
        </w:rPr>
        <w:t>Whole</w:t>
      </w:r>
      <w:r w:rsidR="00177848" w:rsidRPr="00C6052E">
        <w:rPr>
          <w:i/>
        </w:rPr>
        <w:t xml:space="preserve"> </w:t>
      </w:r>
      <w:r w:rsidRPr="00C6052E">
        <w:rPr>
          <w:i/>
        </w:rPr>
        <w:t>of</w:t>
      </w:r>
      <w:r w:rsidR="00177848" w:rsidRPr="00C6052E">
        <w:rPr>
          <w:i/>
        </w:rPr>
        <w:t xml:space="preserve"> </w:t>
      </w:r>
      <w:r w:rsidRPr="00C6052E">
        <w:rPr>
          <w:i/>
        </w:rPr>
        <w:t>Government</w:t>
      </w:r>
      <w:r w:rsidR="00177848" w:rsidRPr="00C6052E">
        <w:rPr>
          <w:i/>
        </w:rPr>
        <w:t xml:space="preserve"> </w:t>
      </w:r>
      <w:r w:rsidRPr="00C6052E">
        <w:rPr>
          <w:i/>
        </w:rPr>
        <w:t>and</w:t>
      </w:r>
      <w:r w:rsidR="00177848" w:rsidRPr="00C6052E">
        <w:rPr>
          <w:i/>
        </w:rPr>
        <w:t xml:space="preserve"> </w:t>
      </w:r>
      <w:r w:rsidRPr="00C6052E">
        <w:rPr>
          <w:i/>
        </w:rPr>
        <w:t>General</w:t>
      </w:r>
      <w:r w:rsidR="00177848" w:rsidRPr="00C6052E">
        <w:rPr>
          <w:i/>
        </w:rPr>
        <w:t xml:space="preserve"> </w:t>
      </w:r>
      <w:r w:rsidRPr="00C6052E">
        <w:rPr>
          <w:i/>
        </w:rPr>
        <w:t>Government</w:t>
      </w:r>
      <w:r w:rsidR="00177848" w:rsidRPr="00C6052E">
        <w:rPr>
          <w:i/>
        </w:rPr>
        <w:t xml:space="preserve"> </w:t>
      </w:r>
      <w:r w:rsidRPr="00C6052E">
        <w:rPr>
          <w:i/>
        </w:rPr>
        <w:t>Sector</w:t>
      </w:r>
      <w:r w:rsidR="00177848" w:rsidRPr="00C6052E">
        <w:rPr>
          <w:i/>
        </w:rPr>
        <w:t xml:space="preserve"> </w:t>
      </w:r>
      <w:r w:rsidRPr="00C6052E">
        <w:rPr>
          <w:i/>
        </w:rPr>
        <w:t>Financial</w:t>
      </w:r>
      <w:r w:rsidR="00177848" w:rsidRPr="00C6052E">
        <w:rPr>
          <w:i/>
        </w:rPr>
        <w:t xml:space="preserve"> </w:t>
      </w:r>
      <w:r w:rsidRPr="00C6052E">
        <w:rPr>
          <w:i/>
        </w:rPr>
        <w:t>Reporting</w:t>
      </w:r>
      <w:r w:rsidRPr="00C6052E">
        <w:t>.</w:t>
      </w:r>
    </w:p>
    <w:p w14:paraId="32DB9C1F" w14:textId="5C4BEBA6" w:rsidR="00EE5BB8" w:rsidRPr="00C6052E" w:rsidRDefault="00EE5BB8" w:rsidP="00EE5BB8">
      <w:r w:rsidRPr="00C6052E">
        <w:t>Where</w:t>
      </w:r>
      <w:r w:rsidR="00177848" w:rsidRPr="00C6052E">
        <w:t xml:space="preserve"> </w:t>
      </w:r>
      <w:r w:rsidRPr="00C6052E">
        <w:t>appropriate,</w:t>
      </w:r>
      <w:r w:rsidR="00177848" w:rsidRPr="00C6052E">
        <w:t xml:space="preserve"> </w:t>
      </w:r>
      <w:r w:rsidRPr="00C6052E">
        <w:t>those</w:t>
      </w:r>
      <w:r w:rsidR="00177848" w:rsidRPr="00C6052E">
        <w:t xml:space="preserve"> </w:t>
      </w:r>
      <w:r w:rsidRPr="00C6052E">
        <w:t>AASs</w:t>
      </w:r>
      <w:r w:rsidR="00177848" w:rsidRPr="00C6052E">
        <w:t xml:space="preserve"> </w:t>
      </w:r>
      <w:r w:rsidRPr="00C6052E">
        <w:t>paragraphs</w:t>
      </w:r>
      <w:r w:rsidR="00177848" w:rsidRPr="00C6052E">
        <w:t xml:space="preserve"> </w:t>
      </w:r>
      <w:r w:rsidRPr="00C6052E">
        <w:t>applicable</w:t>
      </w:r>
      <w:r w:rsidR="00177848" w:rsidRPr="00C6052E">
        <w:t xml:space="preserve"> </w:t>
      </w:r>
      <w:r w:rsidRPr="00C6052E">
        <w:t>to</w:t>
      </w:r>
      <w:r w:rsidR="00177848" w:rsidRPr="00C6052E">
        <w:t xml:space="preserve"> </w:t>
      </w:r>
      <w:r w:rsidRPr="00C6052E">
        <w:t>not-for-profit</w:t>
      </w:r>
      <w:r w:rsidR="00177848" w:rsidRPr="00C6052E">
        <w:t xml:space="preserve"> </w:t>
      </w:r>
      <w:r w:rsidRPr="00C6052E">
        <w:t>entities</w:t>
      </w:r>
      <w:r w:rsidR="00177848" w:rsidRPr="00C6052E">
        <w:t xml:space="preserve"> </w:t>
      </w:r>
      <w:r w:rsidRPr="00C6052E">
        <w:t>have</w:t>
      </w:r>
      <w:r w:rsidR="00177848" w:rsidRPr="00C6052E">
        <w:t xml:space="preserve"> </w:t>
      </w:r>
      <w:r w:rsidRPr="00C6052E">
        <w:t>been</w:t>
      </w:r>
      <w:r w:rsidR="00177848" w:rsidRPr="00C6052E">
        <w:t xml:space="preserve"> </w:t>
      </w:r>
      <w:r w:rsidRPr="00C6052E">
        <w:t>applied.</w:t>
      </w:r>
      <w:r w:rsidR="00177848" w:rsidRPr="00C6052E">
        <w:t xml:space="preserve"> </w:t>
      </w:r>
      <w:r w:rsidRPr="00C6052E">
        <w:t>Accounting</w:t>
      </w:r>
      <w:r w:rsidR="00177848" w:rsidRPr="00C6052E">
        <w:t xml:space="preserve"> </w:t>
      </w:r>
      <w:r w:rsidRPr="00C6052E">
        <w:t>policies</w:t>
      </w:r>
      <w:r w:rsidR="00177848" w:rsidRPr="00C6052E">
        <w:t xml:space="preserve"> </w:t>
      </w:r>
      <w:r w:rsidRPr="00C6052E">
        <w:t>selected</w:t>
      </w:r>
      <w:r w:rsidR="00177848" w:rsidRPr="00C6052E">
        <w:t xml:space="preserve"> </w:t>
      </w:r>
      <w:r w:rsidRPr="00C6052E">
        <w:t>and</w:t>
      </w:r>
      <w:r w:rsidR="00177848" w:rsidRPr="00C6052E">
        <w:t xml:space="preserve"> </w:t>
      </w:r>
      <w:r w:rsidRPr="00C6052E">
        <w:t>applied</w:t>
      </w:r>
      <w:r w:rsidR="00177848" w:rsidRPr="00C6052E">
        <w:t xml:space="preserve"> </w:t>
      </w:r>
      <w:r w:rsidRPr="00C6052E">
        <w:t>in</w:t>
      </w:r>
      <w:r w:rsidR="00177848" w:rsidRPr="00C6052E">
        <w:t xml:space="preserve"> </w:t>
      </w:r>
      <w:r w:rsidRPr="00C6052E">
        <w:t>these</w:t>
      </w:r>
      <w:r w:rsidR="00177848" w:rsidRPr="00C6052E">
        <w:t xml:space="preserve"> </w:t>
      </w:r>
      <w:r w:rsidRPr="00C6052E">
        <w:t>financial</w:t>
      </w:r>
      <w:r w:rsidR="00177848" w:rsidRPr="00C6052E">
        <w:t xml:space="preserve"> </w:t>
      </w:r>
      <w:r w:rsidRPr="00C6052E">
        <w:t>statements</w:t>
      </w:r>
      <w:r w:rsidR="00177848" w:rsidRPr="00C6052E">
        <w:t xml:space="preserve"> </w:t>
      </w:r>
      <w:r w:rsidRPr="00C6052E">
        <w:t>ensure</w:t>
      </w:r>
      <w:r w:rsidR="00177848" w:rsidRPr="00C6052E">
        <w:t xml:space="preserve"> </w:t>
      </w:r>
      <w:r w:rsidRPr="00C6052E">
        <w:t>that</w:t>
      </w:r>
      <w:r w:rsidR="00177848" w:rsidRPr="00C6052E">
        <w:t xml:space="preserve"> </w:t>
      </w:r>
      <w:r w:rsidRPr="00C6052E">
        <w:t>the</w:t>
      </w:r>
      <w:r w:rsidR="00177848" w:rsidRPr="00C6052E">
        <w:t xml:space="preserve"> </w:t>
      </w:r>
      <w:r w:rsidRPr="00C6052E">
        <w:t>resulting</w:t>
      </w:r>
      <w:r w:rsidR="00177848" w:rsidRPr="00C6052E">
        <w:t xml:space="preserve"> </w:t>
      </w:r>
      <w:r w:rsidRPr="00C6052E">
        <w:t>financial</w:t>
      </w:r>
      <w:r w:rsidR="00177848" w:rsidRPr="00C6052E">
        <w:t xml:space="preserve"> </w:t>
      </w:r>
      <w:r w:rsidRPr="00C6052E">
        <w:t>information</w:t>
      </w:r>
      <w:r w:rsidR="00177848" w:rsidRPr="00C6052E">
        <w:t xml:space="preserve"> </w:t>
      </w:r>
      <w:r w:rsidRPr="00C6052E">
        <w:t>satisfies</w:t>
      </w:r>
      <w:r w:rsidR="00177848" w:rsidRPr="00C6052E">
        <w:t xml:space="preserve"> </w:t>
      </w:r>
      <w:r w:rsidRPr="00C6052E">
        <w:t>the</w:t>
      </w:r>
      <w:r w:rsidR="00177848" w:rsidRPr="00C6052E">
        <w:t xml:space="preserve"> </w:t>
      </w:r>
      <w:r w:rsidRPr="00C6052E">
        <w:t>concepts</w:t>
      </w:r>
      <w:r w:rsidR="00177848" w:rsidRPr="00C6052E">
        <w:t xml:space="preserve"> </w:t>
      </w:r>
      <w:r w:rsidRPr="00C6052E">
        <w:t>of</w:t>
      </w:r>
      <w:r w:rsidR="00177848" w:rsidRPr="00C6052E">
        <w:t xml:space="preserve"> </w:t>
      </w:r>
      <w:r w:rsidRPr="00C6052E">
        <w:t>relevance</w:t>
      </w:r>
      <w:r w:rsidR="00177848" w:rsidRPr="00C6052E">
        <w:t xml:space="preserve"> </w:t>
      </w:r>
      <w:r w:rsidRPr="00C6052E">
        <w:t>and</w:t>
      </w:r>
      <w:r w:rsidR="00177848" w:rsidRPr="00C6052E">
        <w:t xml:space="preserve"> </w:t>
      </w:r>
      <w:r w:rsidRPr="00C6052E">
        <w:t>reliability,</w:t>
      </w:r>
      <w:r w:rsidR="00177848" w:rsidRPr="00C6052E">
        <w:t xml:space="preserve"> </w:t>
      </w:r>
      <w:r w:rsidRPr="00C6052E">
        <w:t>thereby</w:t>
      </w:r>
      <w:r w:rsidR="00177848" w:rsidRPr="00C6052E">
        <w:t xml:space="preserve"> </w:t>
      </w:r>
      <w:r w:rsidRPr="00C6052E">
        <w:t>ensuring</w:t>
      </w:r>
      <w:r w:rsidR="00177848" w:rsidRPr="00C6052E">
        <w:t xml:space="preserve"> </w:t>
      </w:r>
      <w:r w:rsidRPr="00C6052E">
        <w:t>that</w:t>
      </w:r>
      <w:r w:rsidR="00177848" w:rsidRPr="00C6052E">
        <w:t xml:space="preserve"> </w:t>
      </w:r>
      <w:r w:rsidRPr="00C6052E">
        <w:t>the</w:t>
      </w:r>
      <w:r w:rsidR="00177848" w:rsidRPr="00C6052E">
        <w:t xml:space="preserve"> </w:t>
      </w:r>
      <w:r w:rsidRPr="00C6052E">
        <w:t>substance</w:t>
      </w:r>
      <w:r w:rsidR="00177848" w:rsidRPr="00C6052E">
        <w:t xml:space="preserve"> </w:t>
      </w:r>
      <w:r w:rsidRPr="00C6052E">
        <w:t>of</w:t>
      </w:r>
      <w:r w:rsidR="00177848" w:rsidRPr="00C6052E">
        <w:t xml:space="preserve"> </w:t>
      </w:r>
      <w:r w:rsidRPr="00C6052E">
        <w:t>the</w:t>
      </w:r>
      <w:r w:rsidR="00177848" w:rsidRPr="00C6052E">
        <w:t xml:space="preserve"> </w:t>
      </w:r>
      <w:r w:rsidRPr="00C6052E">
        <w:t>underlying</w:t>
      </w:r>
      <w:r w:rsidR="00177848" w:rsidRPr="00C6052E">
        <w:t xml:space="preserve"> </w:t>
      </w:r>
      <w:r w:rsidRPr="00C6052E">
        <w:t>transactions</w:t>
      </w:r>
      <w:r w:rsidR="00177848" w:rsidRPr="00C6052E">
        <w:t xml:space="preserve"> </w:t>
      </w:r>
      <w:r w:rsidRPr="00C6052E">
        <w:t>or</w:t>
      </w:r>
      <w:r w:rsidR="00177848" w:rsidRPr="00C6052E">
        <w:t xml:space="preserve"> </w:t>
      </w:r>
      <w:r w:rsidRPr="00C6052E">
        <w:t>other</w:t>
      </w:r>
      <w:r w:rsidR="00177848" w:rsidRPr="00C6052E">
        <w:t xml:space="preserve"> </w:t>
      </w:r>
      <w:r w:rsidRPr="00C6052E">
        <w:t>events</w:t>
      </w:r>
      <w:r w:rsidR="00177848" w:rsidRPr="00C6052E">
        <w:t xml:space="preserve"> </w:t>
      </w:r>
      <w:r w:rsidRPr="00C6052E">
        <w:t>is</w:t>
      </w:r>
      <w:r w:rsidR="00177848" w:rsidRPr="00C6052E">
        <w:t xml:space="preserve"> </w:t>
      </w:r>
      <w:r w:rsidRPr="00C6052E">
        <w:t>reported.</w:t>
      </w:r>
      <w:r w:rsidR="00177848" w:rsidRPr="00C6052E">
        <w:t xml:space="preserve"> </w:t>
      </w:r>
    </w:p>
    <w:p w14:paraId="2E011B38" w14:textId="201F85EF" w:rsidR="00EE5BB8" w:rsidRPr="00C6052E" w:rsidRDefault="00EE5BB8" w:rsidP="00EE5BB8">
      <w:pPr>
        <w:pStyle w:val="Heading3"/>
      </w:pPr>
      <w:bookmarkStart w:id="79" w:name="_Toc163565941"/>
      <w:bookmarkStart w:id="80" w:name="_Toc163566548"/>
      <w:bookmarkStart w:id="81" w:name="_Toc174009470"/>
      <w:bookmarkStart w:id="82" w:name="_Toc175734936"/>
      <w:r w:rsidRPr="00C6052E">
        <w:t>Rounding</w:t>
      </w:r>
      <w:r w:rsidR="00177848" w:rsidRPr="00C6052E">
        <w:t xml:space="preserve"> </w:t>
      </w:r>
      <w:r w:rsidRPr="00C6052E">
        <w:t>of</w:t>
      </w:r>
      <w:r w:rsidR="00177848" w:rsidRPr="00C6052E">
        <w:t xml:space="preserve"> </w:t>
      </w:r>
      <w:r w:rsidRPr="00C6052E">
        <w:t>amounts</w:t>
      </w:r>
      <w:bookmarkEnd w:id="79"/>
      <w:bookmarkEnd w:id="80"/>
      <w:bookmarkEnd w:id="81"/>
      <w:bookmarkEnd w:id="82"/>
    </w:p>
    <w:p w14:paraId="7B7DF188" w14:textId="335D4808" w:rsidR="00EE5BB8" w:rsidRPr="00C6052E" w:rsidRDefault="00EE5BB8" w:rsidP="00EE5BB8">
      <w:r w:rsidRPr="00C6052E">
        <w:t>Amounts</w:t>
      </w:r>
      <w:r w:rsidR="00177848" w:rsidRPr="00C6052E">
        <w:t xml:space="preserve"> </w:t>
      </w:r>
      <w:r w:rsidRPr="00C6052E">
        <w:t>in</w:t>
      </w:r>
      <w:r w:rsidR="00177848" w:rsidRPr="00C6052E">
        <w:t xml:space="preserve"> </w:t>
      </w:r>
      <w:r w:rsidRPr="00C6052E">
        <w:t>the</w:t>
      </w:r>
      <w:r w:rsidR="00177848" w:rsidRPr="00C6052E">
        <w:t xml:space="preserve"> </w:t>
      </w:r>
      <w:r w:rsidRPr="00C6052E">
        <w:t>financial</w:t>
      </w:r>
      <w:r w:rsidR="00177848" w:rsidRPr="00C6052E">
        <w:t xml:space="preserve"> </w:t>
      </w:r>
      <w:r w:rsidRPr="00C6052E">
        <w:t>statements</w:t>
      </w:r>
      <w:r w:rsidR="00177848" w:rsidRPr="00C6052E">
        <w:t xml:space="preserve"> </w:t>
      </w:r>
      <w:r w:rsidRPr="00C6052E">
        <w:t>have</w:t>
      </w:r>
      <w:r w:rsidR="00177848" w:rsidRPr="00C6052E">
        <w:t xml:space="preserve"> </w:t>
      </w:r>
      <w:r w:rsidRPr="00C6052E">
        <w:t>been</w:t>
      </w:r>
      <w:r w:rsidR="00177848" w:rsidRPr="00C6052E">
        <w:t xml:space="preserve"> </w:t>
      </w:r>
      <w:r w:rsidRPr="00C6052E">
        <w:t>rounded</w:t>
      </w:r>
      <w:r w:rsidR="00177848" w:rsidRPr="00C6052E">
        <w:t xml:space="preserve"> </w:t>
      </w:r>
      <w:r w:rsidRPr="00C6052E">
        <w:t>to</w:t>
      </w:r>
      <w:r w:rsidR="00177848" w:rsidRPr="00C6052E">
        <w:t xml:space="preserve"> </w:t>
      </w:r>
      <w:r w:rsidRPr="00C6052E">
        <w:t>the</w:t>
      </w:r>
      <w:r w:rsidR="00177848" w:rsidRPr="00C6052E">
        <w:t xml:space="preserve"> </w:t>
      </w:r>
      <w:r w:rsidRPr="00C6052E">
        <w:t>nearest</w:t>
      </w:r>
      <w:r w:rsidR="00177848" w:rsidRPr="00C6052E">
        <w:t xml:space="preserve"> </w:t>
      </w:r>
      <w:r w:rsidRPr="00C6052E">
        <w:t>$1,000,</w:t>
      </w:r>
      <w:r w:rsidR="00177848" w:rsidRPr="00C6052E">
        <w:t xml:space="preserve"> </w:t>
      </w:r>
      <w:r w:rsidRPr="00C6052E">
        <w:t>unless</w:t>
      </w:r>
      <w:r w:rsidR="00177848" w:rsidRPr="00C6052E">
        <w:t xml:space="preserve"> </w:t>
      </w:r>
      <w:r w:rsidRPr="00C6052E">
        <w:t>otherwise</w:t>
      </w:r>
      <w:r w:rsidR="00177848" w:rsidRPr="00C6052E">
        <w:t xml:space="preserve"> </w:t>
      </w:r>
      <w:r w:rsidRPr="00C6052E">
        <w:t>stated.</w:t>
      </w:r>
      <w:r w:rsidR="00177848" w:rsidRPr="00C6052E">
        <w:t xml:space="preserve"> </w:t>
      </w:r>
      <w:r w:rsidRPr="00C6052E">
        <w:t>Figures</w:t>
      </w:r>
      <w:r w:rsidR="00177848" w:rsidRPr="00C6052E">
        <w:t xml:space="preserve"> </w:t>
      </w:r>
      <w:r w:rsidRPr="00C6052E">
        <w:t>in</w:t>
      </w:r>
      <w:r w:rsidR="00177848" w:rsidRPr="00C6052E">
        <w:t xml:space="preserve"> </w:t>
      </w:r>
      <w:r w:rsidRPr="00C6052E">
        <w:t>the</w:t>
      </w:r>
      <w:r w:rsidR="00177848" w:rsidRPr="00C6052E">
        <w:t xml:space="preserve"> </w:t>
      </w:r>
      <w:r w:rsidRPr="00C6052E">
        <w:t>financial</w:t>
      </w:r>
      <w:r w:rsidR="00177848" w:rsidRPr="00C6052E">
        <w:t xml:space="preserve"> </w:t>
      </w:r>
      <w:r w:rsidRPr="00C6052E">
        <w:t>statements</w:t>
      </w:r>
      <w:r w:rsidR="00177848" w:rsidRPr="00C6052E">
        <w:t xml:space="preserve"> </w:t>
      </w:r>
      <w:r w:rsidRPr="00C6052E">
        <w:t>may</w:t>
      </w:r>
      <w:r w:rsidR="00177848" w:rsidRPr="00C6052E">
        <w:t xml:space="preserve"> </w:t>
      </w:r>
      <w:r w:rsidRPr="00C6052E">
        <w:t>not</w:t>
      </w:r>
      <w:r w:rsidR="00177848" w:rsidRPr="00C6052E">
        <w:t xml:space="preserve"> </w:t>
      </w:r>
      <w:r w:rsidRPr="00C6052E">
        <w:t>equate</w:t>
      </w:r>
      <w:r w:rsidR="00177848" w:rsidRPr="00C6052E">
        <w:t xml:space="preserve"> </w:t>
      </w:r>
      <w:r w:rsidRPr="00C6052E">
        <w:t>due</w:t>
      </w:r>
      <w:r w:rsidR="00177848" w:rsidRPr="00C6052E">
        <w:t xml:space="preserve"> </w:t>
      </w:r>
      <w:r w:rsidRPr="00C6052E">
        <w:t>to</w:t>
      </w:r>
      <w:r w:rsidR="00177848" w:rsidRPr="00C6052E">
        <w:t xml:space="preserve"> </w:t>
      </w:r>
      <w:r w:rsidRPr="00C6052E">
        <w:t>rounding.</w:t>
      </w:r>
    </w:p>
    <w:p w14:paraId="291AF833" w14:textId="286D0F92" w:rsidR="00EE5BB8" w:rsidRPr="00C6052E" w:rsidRDefault="00EE5BB8" w:rsidP="00E97D0C">
      <w:pPr>
        <w:pStyle w:val="Heading1numbered0"/>
      </w:pPr>
      <w:bookmarkStart w:id="83" w:name="_Toc163565942"/>
      <w:bookmarkStart w:id="84" w:name="_Ref163567250"/>
      <w:bookmarkStart w:id="85" w:name="_Ref163567259"/>
      <w:bookmarkStart w:id="86" w:name="_Ref190163756"/>
      <w:bookmarkStart w:id="87" w:name="_Ref190163779"/>
      <w:bookmarkStart w:id="88" w:name="_Ref209439893"/>
      <w:bookmarkStart w:id="89" w:name="_Toc214618236"/>
      <w:r w:rsidRPr="00E97D0C">
        <w:t>Funding</w:t>
      </w:r>
      <w:r w:rsidR="00177848" w:rsidRPr="00C6052E">
        <w:t xml:space="preserve"> </w:t>
      </w:r>
      <w:r w:rsidRPr="00C6052E">
        <w:t>Delivery</w:t>
      </w:r>
      <w:r w:rsidR="00177848" w:rsidRPr="00C6052E">
        <w:t xml:space="preserve"> </w:t>
      </w:r>
      <w:r w:rsidRPr="00C6052E">
        <w:t>of</w:t>
      </w:r>
      <w:r w:rsidR="00177848" w:rsidRPr="00C6052E">
        <w:t xml:space="preserve"> </w:t>
      </w:r>
      <w:r w:rsidRPr="00C6052E">
        <w:t>Our</w:t>
      </w:r>
      <w:r w:rsidR="00177848" w:rsidRPr="00C6052E">
        <w:t xml:space="preserve"> </w:t>
      </w:r>
      <w:r w:rsidRPr="00C6052E">
        <w:t>Services</w:t>
      </w:r>
      <w:bookmarkEnd w:id="83"/>
      <w:bookmarkEnd w:id="84"/>
      <w:bookmarkEnd w:id="85"/>
      <w:bookmarkEnd w:id="86"/>
      <w:bookmarkEnd w:id="87"/>
      <w:bookmarkEnd w:id="88"/>
      <w:bookmarkEnd w:id="89"/>
      <w:r w:rsidR="00177848" w:rsidRPr="00C6052E">
        <w:t xml:space="preserve"> </w:t>
      </w:r>
    </w:p>
    <w:p w14:paraId="0AB07A92" w14:textId="77777777" w:rsidR="00EE5BB8" w:rsidRPr="00C6052E" w:rsidRDefault="00EE5BB8" w:rsidP="00EE5BB8">
      <w:pPr>
        <w:pStyle w:val="Heading3"/>
      </w:pPr>
      <w:bookmarkStart w:id="90" w:name="_Toc163565943"/>
      <w:bookmarkStart w:id="91" w:name="_Toc163566550"/>
      <w:bookmarkStart w:id="92" w:name="_Toc174009472"/>
      <w:r w:rsidRPr="00C6052E">
        <w:t>Introduction</w:t>
      </w:r>
      <w:bookmarkEnd w:id="90"/>
      <w:bookmarkEnd w:id="91"/>
      <w:bookmarkEnd w:id="92"/>
    </w:p>
    <w:p w14:paraId="2F5AF5CD" w14:textId="7F2C5E63" w:rsidR="00EE5BB8" w:rsidRPr="00C6052E" w:rsidRDefault="00EE5BB8" w:rsidP="00EE5BB8">
      <w:r w:rsidRPr="00C6052E">
        <w:t>DJSIR</w:t>
      </w:r>
      <w:r w:rsidR="00177848" w:rsidRPr="00C6052E">
        <w:t xml:space="preserve"> </w:t>
      </w:r>
      <w:r w:rsidRPr="00C6052E">
        <w:t>is</w:t>
      </w:r>
      <w:r w:rsidR="00177848" w:rsidRPr="00C6052E">
        <w:t xml:space="preserve"> </w:t>
      </w:r>
      <w:r w:rsidRPr="00C6052E">
        <w:t>focused</w:t>
      </w:r>
      <w:r w:rsidR="00177848" w:rsidRPr="00C6052E">
        <w:t xml:space="preserve"> </w:t>
      </w:r>
      <w:r w:rsidRPr="00C6052E">
        <w:t>on</w:t>
      </w:r>
      <w:r w:rsidR="00177848" w:rsidRPr="00C6052E">
        <w:t xml:space="preserve"> </w:t>
      </w:r>
      <w:r w:rsidRPr="00C6052E">
        <w:t>growing</w:t>
      </w:r>
      <w:r w:rsidR="00177848" w:rsidRPr="00C6052E">
        <w:t xml:space="preserve"> </w:t>
      </w:r>
      <w:r w:rsidRPr="00C6052E">
        <w:t>Victoria’s</w:t>
      </w:r>
      <w:r w:rsidR="00177848" w:rsidRPr="00C6052E">
        <w:t xml:space="preserve"> </w:t>
      </w:r>
      <w:r w:rsidRPr="00C6052E">
        <w:t>prosperity,</w:t>
      </w:r>
      <w:r w:rsidR="00177848" w:rsidRPr="00C6052E">
        <w:t xml:space="preserve"> </w:t>
      </w:r>
      <w:r w:rsidRPr="00C6052E">
        <w:t>building</w:t>
      </w:r>
      <w:r w:rsidR="00177848" w:rsidRPr="00C6052E">
        <w:t xml:space="preserve"> </w:t>
      </w:r>
      <w:r w:rsidRPr="00C6052E">
        <w:t>the</w:t>
      </w:r>
      <w:r w:rsidR="00177848" w:rsidRPr="00C6052E">
        <w:t xml:space="preserve"> </w:t>
      </w:r>
      <w:r w:rsidRPr="00C6052E">
        <w:t>productive</w:t>
      </w:r>
      <w:r w:rsidR="00177848" w:rsidRPr="00C6052E">
        <w:t xml:space="preserve"> </w:t>
      </w:r>
      <w:r w:rsidRPr="00C6052E">
        <w:t>capacity</w:t>
      </w:r>
      <w:r w:rsidR="00177848" w:rsidRPr="00C6052E">
        <w:t xml:space="preserve"> </w:t>
      </w:r>
      <w:r w:rsidRPr="00C6052E">
        <w:t>of</w:t>
      </w:r>
      <w:r w:rsidR="00177848" w:rsidRPr="00C6052E">
        <w:t xml:space="preserve"> </w:t>
      </w:r>
      <w:r w:rsidRPr="00C6052E">
        <w:t>our</w:t>
      </w:r>
      <w:r w:rsidR="00177848" w:rsidRPr="00C6052E">
        <w:t xml:space="preserve"> </w:t>
      </w:r>
      <w:r w:rsidRPr="00C6052E">
        <w:t>economy</w:t>
      </w:r>
      <w:r w:rsidR="00177848" w:rsidRPr="00C6052E">
        <w:t xml:space="preserve"> </w:t>
      </w:r>
      <w:r w:rsidRPr="00C6052E">
        <w:t>and</w:t>
      </w:r>
      <w:r w:rsidR="00177848" w:rsidRPr="00C6052E">
        <w:t xml:space="preserve"> </w:t>
      </w:r>
      <w:r w:rsidRPr="00C6052E">
        <w:t>increasing</w:t>
      </w:r>
      <w:r w:rsidR="00177848" w:rsidRPr="00C6052E">
        <w:t xml:space="preserve"> </w:t>
      </w:r>
      <w:r w:rsidRPr="00C6052E">
        <w:t>participation</w:t>
      </w:r>
      <w:r w:rsidR="00177848" w:rsidRPr="00C6052E">
        <w:t xml:space="preserve"> </w:t>
      </w:r>
      <w:r w:rsidRPr="00C6052E">
        <w:t>–</w:t>
      </w:r>
      <w:r w:rsidR="00177848" w:rsidRPr="00C6052E">
        <w:t xml:space="preserve"> </w:t>
      </w:r>
      <w:r w:rsidRPr="00C6052E">
        <w:t>by</w:t>
      </w:r>
      <w:r w:rsidR="00177848" w:rsidRPr="00C6052E">
        <w:t xml:space="preserve"> </w:t>
      </w:r>
      <w:r w:rsidRPr="00C6052E">
        <w:t>creating</w:t>
      </w:r>
      <w:r w:rsidR="00177848" w:rsidRPr="00C6052E">
        <w:t xml:space="preserve"> </w:t>
      </w:r>
      <w:r w:rsidRPr="00C6052E">
        <w:t>more</w:t>
      </w:r>
      <w:r w:rsidR="00177848" w:rsidRPr="00C6052E">
        <w:t xml:space="preserve"> </w:t>
      </w:r>
      <w:r w:rsidRPr="00C6052E">
        <w:t>opportunities</w:t>
      </w:r>
      <w:r w:rsidR="00177848" w:rsidRPr="00C6052E">
        <w:t xml:space="preserve"> </w:t>
      </w:r>
      <w:r w:rsidRPr="00C6052E">
        <w:t>for</w:t>
      </w:r>
      <w:r w:rsidR="00177848" w:rsidRPr="00C6052E">
        <w:t xml:space="preserve"> </w:t>
      </w:r>
      <w:r w:rsidRPr="00C6052E">
        <w:t>people</w:t>
      </w:r>
      <w:r w:rsidR="00177848" w:rsidRPr="00C6052E">
        <w:t xml:space="preserve"> </w:t>
      </w:r>
      <w:r w:rsidRPr="00C6052E">
        <w:t>through</w:t>
      </w:r>
      <w:r w:rsidR="00177848" w:rsidRPr="00C6052E">
        <w:t xml:space="preserve"> </w:t>
      </w:r>
      <w:r w:rsidRPr="00C6052E">
        <w:t>skills</w:t>
      </w:r>
      <w:r w:rsidR="00177848" w:rsidRPr="00C6052E">
        <w:t xml:space="preserve"> </w:t>
      </w:r>
      <w:r w:rsidRPr="00C6052E">
        <w:t>and</w:t>
      </w:r>
      <w:r w:rsidR="00177848" w:rsidRPr="00C6052E">
        <w:t xml:space="preserve"> </w:t>
      </w:r>
      <w:r w:rsidRPr="00C6052E">
        <w:t>jobs;</w:t>
      </w:r>
      <w:r w:rsidR="00177848" w:rsidRPr="00C6052E">
        <w:t xml:space="preserve"> </w:t>
      </w:r>
      <w:r w:rsidRPr="00C6052E">
        <w:t>helping</w:t>
      </w:r>
      <w:r w:rsidR="00177848" w:rsidRPr="00C6052E">
        <w:t xml:space="preserve"> </w:t>
      </w:r>
      <w:r w:rsidRPr="00C6052E">
        <w:t>businesses</w:t>
      </w:r>
      <w:r w:rsidR="00177848" w:rsidRPr="00C6052E">
        <w:t xml:space="preserve"> </w:t>
      </w:r>
      <w:r w:rsidRPr="00C6052E">
        <w:t>and</w:t>
      </w:r>
      <w:r w:rsidR="00177848" w:rsidRPr="00C6052E">
        <w:t xml:space="preserve"> </w:t>
      </w:r>
      <w:r w:rsidRPr="00C6052E">
        <w:t>industries</w:t>
      </w:r>
      <w:r w:rsidR="00177848" w:rsidRPr="00C6052E">
        <w:t xml:space="preserve"> </w:t>
      </w:r>
      <w:r w:rsidRPr="00C6052E">
        <w:t>to</w:t>
      </w:r>
      <w:r w:rsidR="00177848" w:rsidRPr="00C6052E">
        <w:t xml:space="preserve"> </w:t>
      </w:r>
      <w:r w:rsidRPr="00C6052E">
        <w:t>thrive;</w:t>
      </w:r>
      <w:r w:rsidR="00177848" w:rsidRPr="00C6052E">
        <w:t xml:space="preserve"> </w:t>
      </w:r>
      <w:r w:rsidRPr="00C6052E">
        <w:t>and</w:t>
      </w:r>
      <w:r w:rsidR="00177848" w:rsidRPr="00C6052E">
        <w:t xml:space="preserve"> </w:t>
      </w:r>
      <w:r w:rsidRPr="00C6052E">
        <w:t>building</w:t>
      </w:r>
      <w:r w:rsidR="00177848" w:rsidRPr="00C6052E">
        <w:t xml:space="preserve"> </w:t>
      </w:r>
      <w:r w:rsidRPr="00C6052E">
        <w:t>vibrant</w:t>
      </w:r>
      <w:r w:rsidR="00177848" w:rsidRPr="00C6052E">
        <w:t xml:space="preserve"> </w:t>
      </w:r>
      <w:r w:rsidRPr="00C6052E">
        <w:t>communities</w:t>
      </w:r>
      <w:r w:rsidR="00177848" w:rsidRPr="00C6052E">
        <w:t xml:space="preserve"> </w:t>
      </w:r>
      <w:r w:rsidRPr="00C6052E">
        <w:t>and</w:t>
      </w:r>
      <w:r w:rsidR="00177848" w:rsidRPr="00C6052E">
        <w:t xml:space="preserve"> </w:t>
      </w:r>
      <w:r w:rsidRPr="00C6052E">
        <w:t>regions.</w:t>
      </w:r>
    </w:p>
    <w:p w14:paraId="4F948D3E" w14:textId="054ABBA3" w:rsidR="00EE5BB8" w:rsidRPr="00C6052E" w:rsidRDefault="00EE5BB8" w:rsidP="00EE5BB8">
      <w:r w:rsidRPr="00C6052E">
        <w:lastRenderedPageBreak/>
        <w:t>To</w:t>
      </w:r>
      <w:r w:rsidR="00177848" w:rsidRPr="00C6052E">
        <w:t xml:space="preserve"> </w:t>
      </w:r>
      <w:r w:rsidRPr="00C6052E">
        <w:t>enable</w:t>
      </w:r>
      <w:r w:rsidR="00177848" w:rsidRPr="00C6052E">
        <w:t xml:space="preserve"> </w:t>
      </w:r>
      <w:fldSimple w:instr=" DOCPROPERTY  shortName  \* MERGEFORMAT ">
        <w:r w:rsidRPr="00C6052E">
          <w:t>DJSIR</w:t>
        </w:r>
      </w:fldSimple>
      <w:r w:rsidR="00177848" w:rsidRPr="00C6052E">
        <w:t xml:space="preserve"> </w:t>
      </w:r>
      <w:r w:rsidRPr="00C6052E">
        <w:t>to</w:t>
      </w:r>
      <w:r w:rsidR="00177848" w:rsidRPr="00C6052E">
        <w:t xml:space="preserve"> </w:t>
      </w:r>
      <w:r w:rsidRPr="00C6052E">
        <w:t>fulfil</w:t>
      </w:r>
      <w:r w:rsidR="00177848" w:rsidRPr="00C6052E">
        <w:t xml:space="preserve"> </w:t>
      </w:r>
      <w:r w:rsidRPr="00C6052E">
        <w:t>its</w:t>
      </w:r>
      <w:r w:rsidR="00177848" w:rsidRPr="00C6052E">
        <w:t xml:space="preserve"> </w:t>
      </w:r>
      <w:r w:rsidRPr="00C6052E">
        <w:t>objective</w:t>
      </w:r>
      <w:r w:rsidR="00177848" w:rsidRPr="00C6052E">
        <w:t xml:space="preserve"> </w:t>
      </w:r>
      <w:r w:rsidRPr="00C6052E">
        <w:t>and</w:t>
      </w:r>
      <w:r w:rsidR="00177848" w:rsidRPr="00C6052E">
        <w:t xml:space="preserve"> </w:t>
      </w:r>
      <w:r w:rsidRPr="00C6052E">
        <w:t>provide</w:t>
      </w:r>
      <w:r w:rsidR="00177848" w:rsidRPr="00C6052E">
        <w:t xml:space="preserve"> </w:t>
      </w:r>
      <w:r w:rsidRPr="00C6052E">
        <w:t>outputs</w:t>
      </w:r>
      <w:r w:rsidR="00177848" w:rsidRPr="00C6052E">
        <w:t xml:space="preserve"> </w:t>
      </w:r>
      <w:r w:rsidRPr="00C6052E">
        <w:t>as</w:t>
      </w:r>
      <w:r w:rsidR="00177848" w:rsidRPr="00C6052E">
        <w:t xml:space="preserve"> </w:t>
      </w:r>
      <w:r w:rsidRPr="00C6052E">
        <w:t>described</w:t>
      </w:r>
      <w:r w:rsidR="00177848" w:rsidRPr="00C6052E">
        <w:t xml:space="preserve"> </w:t>
      </w:r>
      <w:r w:rsidRPr="00C6052E">
        <w:t>in</w:t>
      </w:r>
      <w:r w:rsidR="00177848" w:rsidRPr="00C6052E">
        <w:t xml:space="preserve"> </w:t>
      </w:r>
      <w:r w:rsidRPr="00C6052E">
        <w:t>Note</w:t>
      </w:r>
      <w:r w:rsidR="00177848" w:rsidRPr="00C6052E">
        <w:t xml:space="preserve"> </w:t>
      </w:r>
      <w:r w:rsidRPr="00C6052E">
        <w:fldChar w:fldCharType="begin"/>
      </w:r>
      <w:r w:rsidRPr="00C6052E">
        <w:instrText xml:space="preserve"> REF _Ref190163731 \r \h  \* MERGEFORMAT </w:instrText>
      </w:r>
      <w:r w:rsidRPr="00C6052E">
        <w:fldChar w:fldCharType="separate"/>
      </w:r>
      <w:r w:rsidRPr="00C6052E">
        <w:t>4</w:t>
      </w:r>
      <w:r w:rsidRPr="00C6052E">
        <w:fldChar w:fldCharType="end"/>
      </w:r>
      <w:r w:rsidR="00177848" w:rsidRPr="00C6052E">
        <w:t xml:space="preserve"> </w:t>
      </w:r>
      <w:r w:rsidRPr="00C6052E">
        <w:t>–</w:t>
      </w:r>
      <w:r w:rsidR="00177848" w:rsidRPr="00C6052E">
        <w:t xml:space="preserve"> </w:t>
      </w:r>
      <w:r w:rsidRPr="00C6052E">
        <w:fldChar w:fldCharType="begin"/>
      </w:r>
      <w:r w:rsidRPr="00C6052E">
        <w:instrText xml:space="preserve"> REF _Ref190163737 \h  \* MERGEFORMAT </w:instrText>
      </w:r>
      <w:r w:rsidRPr="00C6052E">
        <w:fldChar w:fldCharType="separate"/>
      </w:r>
      <w:r w:rsidRPr="00C6052E">
        <w:t>Disaggregated</w:t>
      </w:r>
      <w:r w:rsidR="00177848" w:rsidRPr="00C6052E">
        <w:t xml:space="preserve"> </w:t>
      </w:r>
      <w:r w:rsidRPr="00C6052E">
        <w:t>Financial</w:t>
      </w:r>
      <w:r w:rsidR="00177848" w:rsidRPr="00C6052E">
        <w:t xml:space="preserve"> </w:t>
      </w:r>
      <w:r w:rsidRPr="00C6052E">
        <w:t>Information</w:t>
      </w:r>
      <w:r w:rsidR="00177848" w:rsidRPr="00C6052E">
        <w:t xml:space="preserve"> </w:t>
      </w:r>
      <w:r w:rsidRPr="00C6052E">
        <w:t>by</w:t>
      </w:r>
      <w:r w:rsidR="00177848" w:rsidRPr="00C6052E">
        <w:t xml:space="preserve"> </w:t>
      </w:r>
      <w:r w:rsidRPr="00C6052E">
        <w:t>Output</w:t>
      </w:r>
      <w:r w:rsidRPr="00C6052E">
        <w:fldChar w:fldCharType="end"/>
      </w:r>
      <w:r w:rsidRPr="00C6052E">
        <w:t>,</w:t>
      </w:r>
      <w:r w:rsidR="00177848" w:rsidRPr="00C6052E">
        <w:t xml:space="preserve"> </w:t>
      </w:r>
      <w:r w:rsidRPr="00C6052E">
        <w:t>it</w:t>
      </w:r>
      <w:r w:rsidR="00177848" w:rsidRPr="00C6052E">
        <w:t xml:space="preserve"> </w:t>
      </w:r>
      <w:r w:rsidRPr="00C6052E">
        <w:t>receives</w:t>
      </w:r>
      <w:r w:rsidR="00177848" w:rsidRPr="00C6052E">
        <w:t xml:space="preserve"> </w:t>
      </w:r>
      <w:r w:rsidRPr="00C6052E">
        <w:t>income</w:t>
      </w:r>
      <w:r w:rsidR="00177848" w:rsidRPr="00C6052E">
        <w:t xml:space="preserve"> </w:t>
      </w:r>
      <w:r w:rsidRPr="00C6052E">
        <w:t>(predominantly</w:t>
      </w:r>
      <w:r w:rsidR="00177848" w:rsidRPr="00C6052E">
        <w:t xml:space="preserve"> </w:t>
      </w:r>
      <w:r w:rsidRPr="00C6052E">
        <w:t>accrual</w:t>
      </w:r>
      <w:r w:rsidR="00177848" w:rsidRPr="00C6052E">
        <w:t xml:space="preserve"> </w:t>
      </w:r>
      <w:r w:rsidRPr="00C6052E">
        <w:t>based</w:t>
      </w:r>
      <w:r w:rsidR="00177848" w:rsidRPr="00C6052E">
        <w:t xml:space="preserve"> </w:t>
      </w:r>
      <w:r w:rsidRPr="00C6052E">
        <w:t>parliamentary</w:t>
      </w:r>
      <w:r w:rsidR="00177848" w:rsidRPr="00C6052E">
        <w:t xml:space="preserve"> </w:t>
      </w:r>
      <w:r w:rsidRPr="00C6052E">
        <w:t>appropriations).</w:t>
      </w:r>
      <w:r w:rsidR="00177848" w:rsidRPr="00C6052E">
        <w:t xml:space="preserve"> </w:t>
      </w:r>
    </w:p>
    <w:p w14:paraId="10FB6037" w14:textId="77777777" w:rsidR="00EE5BB8" w:rsidRPr="00C6052E" w:rsidRDefault="00EE5BB8" w:rsidP="00EE5BB8">
      <w:pPr>
        <w:pStyle w:val="Heading3"/>
      </w:pPr>
      <w:bookmarkStart w:id="93" w:name="_Toc163565944"/>
      <w:bookmarkStart w:id="94" w:name="_Toc163566551"/>
      <w:bookmarkStart w:id="95" w:name="_Toc174009473"/>
      <w:r w:rsidRPr="00C6052E">
        <w:t>Structure</w:t>
      </w:r>
      <w:bookmarkEnd w:id="93"/>
      <w:bookmarkEnd w:id="94"/>
      <w:bookmarkEnd w:id="95"/>
    </w:p>
    <w:p w14:paraId="16A6C58C" w14:textId="41BE8317" w:rsidR="00EE5BB8" w:rsidRPr="00C6052E" w:rsidRDefault="00EE5BB8" w:rsidP="00EE5BB8">
      <w:pPr>
        <w:pStyle w:val="Structurepoints"/>
      </w:pPr>
      <w:r w:rsidRPr="00C6052E">
        <w:fldChar w:fldCharType="begin"/>
      </w:r>
      <w:r w:rsidRPr="00C6052E">
        <w:instrText xml:space="preserve"> REF _Ref209187382 \r \h </w:instrText>
      </w:r>
      <w:r w:rsidRPr="00C6052E">
        <w:fldChar w:fldCharType="separate"/>
      </w:r>
      <w:r w:rsidRPr="00C6052E">
        <w:t>2.1</w:t>
      </w:r>
      <w:r w:rsidRPr="00C6052E">
        <w:fldChar w:fldCharType="end"/>
      </w:r>
      <w:r w:rsidRPr="00C6052E">
        <w:tab/>
      </w:r>
      <w:r w:rsidRPr="00C6052E">
        <w:fldChar w:fldCharType="begin"/>
      </w:r>
      <w:r w:rsidRPr="00C6052E">
        <w:instrText xml:space="preserve"> REF _Ref209187382 \h </w:instrText>
      </w:r>
      <w:r w:rsidRPr="00C6052E">
        <w:fldChar w:fldCharType="separate"/>
      </w:r>
      <w:r w:rsidRPr="00C6052E">
        <w:t>Summary</w:t>
      </w:r>
      <w:r w:rsidR="00177848" w:rsidRPr="00C6052E">
        <w:t xml:space="preserve"> </w:t>
      </w:r>
      <w:r w:rsidRPr="00C6052E">
        <w:t>of</w:t>
      </w:r>
      <w:r w:rsidR="00177848" w:rsidRPr="00C6052E">
        <w:t xml:space="preserve"> </w:t>
      </w:r>
      <w:r w:rsidRPr="00C6052E">
        <w:t>revenue</w:t>
      </w:r>
      <w:r w:rsidR="00177848" w:rsidRPr="00C6052E">
        <w:t xml:space="preserve"> </w:t>
      </w:r>
      <w:r w:rsidRPr="00C6052E">
        <w:t>and</w:t>
      </w:r>
      <w:r w:rsidR="00177848" w:rsidRPr="00C6052E">
        <w:t xml:space="preserve"> </w:t>
      </w:r>
      <w:r w:rsidRPr="00C6052E">
        <w:t>income</w:t>
      </w:r>
      <w:r w:rsidR="00177848" w:rsidRPr="00C6052E">
        <w:t xml:space="preserve"> </w:t>
      </w:r>
      <w:r w:rsidRPr="00C6052E">
        <w:t>that</w:t>
      </w:r>
      <w:r w:rsidR="00177848" w:rsidRPr="00C6052E">
        <w:t xml:space="preserve"> </w:t>
      </w:r>
      <w:r w:rsidRPr="00C6052E">
        <w:t>funds</w:t>
      </w:r>
      <w:r w:rsidR="00177848" w:rsidRPr="00C6052E">
        <w:t xml:space="preserve"> </w:t>
      </w:r>
      <w:r w:rsidRPr="00C6052E">
        <w:t>the</w:t>
      </w:r>
      <w:r w:rsidR="00177848" w:rsidRPr="00C6052E">
        <w:t xml:space="preserve"> </w:t>
      </w:r>
      <w:r w:rsidRPr="00C6052E">
        <w:t>delivery</w:t>
      </w:r>
      <w:r w:rsidR="00177848" w:rsidRPr="00C6052E">
        <w:t xml:space="preserve"> </w:t>
      </w:r>
      <w:r w:rsidRPr="00C6052E">
        <w:t>of</w:t>
      </w:r>
      <w:r w:rsidR="00177848" w:rsidRPr="00C6052E">
        <w:t xml:space="preserve"> </w:t>
      </w:r>
      <w:r w:rsidRPr="00C6052E">
        <w:t>our</w:t>
      </w:r>
      <w:r w:rsidR="00177848" w:rsidRPr="00C6052E">
        <w:rPr>
          <w:rFonts w:cs="Cambria"/>
        </w:rPr>
        <w:t xml:space="preserve"> </w:t>
      </w:r>
      <w:r w:rsidRPr="00C6052E">
        <w:t>services</w:t>
      </w:r>
      <w:r w:rsidRPr="00C6052E">
        <w:fldChar w:fldCharType="end"/>
      </w:r>
    </w:p>
    <w:bookmarkStart w:id="96" w:name="_Ref163567621"/>
    <w:p w14:paraId="16F53BBE" w14:textId="77777777" w:rsidR="00EE5BB8" w:rsidRPr="00C6052E" w:rsidRDefault="00EE5BB8" w:rsidP="00EE5BB8">
      <w:pPr>
        <w:pStyle w:val="Structurepoints"/>
      </w:pPr>
      <w:r w:rsidRPr="00C6052E">
        <w:fldChar w:fldCharType="begin"/>
      </w:r>
      <w:r w:rsidRPr="00C6052E">
        <w:instrText xml:space="preserve"> REF _Ref209187519 \r \h </w:instrText>
      </w:r>
      <w:r w:rsidRPr="00C6052E">
        <w:fldChar w:fldCharType="separate"/>
      </w:r>
      <w:r w:rsidRPr="00C6052E">
        <w:t>2.2</w:t>
      </w:r>
      <w:r w:rsidRPr="00C6052E">
        <w:fldChar w:fldCharType="end"/>
      </w:r>
      <w:r w:rsidRPr="00C6052E">
        <w:tab/>
      </w:r>
      <w:bookmarkEnd w:id="96"/>
      <w:r w:rsidRPr="00C6052E">
        <w:fldChar w:fldCharType="begin"/>
      </w:r>
      <w:r w:rsidRPr="00C6052E">
        <w:instrText xml:space="preserve"> REF _Ref209187519 \h </w:instrText>
      </w:r>
      <w:r w:rsidRPr="00C6052E">
        <w:fldChar w:fldCharType="separate"/>
      </w:r>
      <w:r w:rsidRPr="00C6052E">
        <w:t>Appropriations</w:t>
      </w:r>
      <w:r w:rsidRPr="00C6052E">
        <w:fldChar w:fldCharType="end"/>
      </w:r>
    </w:p>
    <w:bookmarkStart w:id="97" w:name="_Ref163567211"/>
    <w:p w14:paraId="59019E1F" w14:textId="3BCB99ED" w:rsidR="00EE5BB8" w:rsidRPr="00C6052E" w:rsidRDefault="00EE5BB8" w:rsidP="00EE5BB8">
      <w:pPr>
        <w:pStyle w:val="Structurepoints"/>
      </w:pPr>
      <w:r w:rsidRPr="00C6052E">
        <w:fldChar w:fldCharType="begin"/>
      </w:r>
      <w:r w:rsidRPr="00C6052E">
        <w:instrText xml:space="preserve"> REF _Ref209187549 \r \h </w:instrText>
      </w:r>
      <w:r w:rsidRPr="00C6052E">
        <w:fldChar w:fldCharType="separate"/>
      </w:r>
      <w:r w:rsidRPr="00C6052E">
        <w:t>2.3</w:t>
      </w:r>
      <w:r w:rsidRPr="00C6052E">
        <w:fldChar w:fldCharType="end"/>
      </w:r>
      <w:r w:rsidRPr="00C6052E">
        <w:tab/>
      </w:r>
      <w:bookmarkEnd w:id="97"/>
      <w:r w:rsidRPr="00C6052E">
        <w:fldChar w:fldCharType="begin"/>
      </w:r>
      <w:r w:rsidRPr="00C6052E">
        <w:instrText xml:space="preserve"> REF _Ref209187564 \h </w:instrText>
      </w:r>
      <w:r w:rsidRPr="00C6052E">
        <w:fldChar w:fldCharType="separate"/>
      </w:r>
      <w:r w:rsidRPr="00C6052E">
        <w:t>Summary</w:t>
      </w:r>
      <w:r w:rsidR="00177848" w:rsidRPr="00C6052E">
        <w:t xml:space="preserve"> </w:t>
      </w:r>
      <w:r w:rsidRPr="00C6052E">
        <w:t>of</w:t>
      </w:r>
      <w:r w:rsidR="00177848" w:rsidRPr="00C6052E">
        <w:t xml:space="preserve"> </w:t>
      </w:r>
      <w:r w:rsidRPr="00C6052E">
        <w:t>compliance</w:t>
      </w:r>
      <w:r w:rsidR="00177848" w:rsidRPr="00C6052E">
        <w:t xml:space="preserve"> </w:t>
      </w:r>
      <w:r w:rsidRPr="00C6052E">
        <w:t>with</w:t>
      </w:r>
      <w:r w:rsidR="00177848" w:rsidRPr="00C6052E">
        <w:t xml:space="preserve"> </w:t>
      </w:r>
      <w:r w:rsidRPr="00C6052E">
        <w:t>annual</w:t>
      </w:r>
      <w:r w:rsidR="00177848" w:rsidRPr="00C6052E">
        <w:t xml:space="preserve"> </w:t>
      </w:r>
      <w:r w:rsidRPr="00C6052E">
        <w:t>Parliamentary</w:t>
      </w:r>
      <w:r w:rsidR="00177848" w:rsidRPr="00C6052E">
        <w:t xml:space="preserve"> </w:t>
      </w:r>
      <w:r w:rsidRPr="00C6052E">
        <w:t>appropriations</w:t>
      </w:r>
      <w:r w:rsidRPr="00C6052E">
        <w:fldChar w:fldCharType="end"/>
      </w:r>
    </w:p>
    <w:p w14:paraId="2E1BEAA6" w14:textId="122760F5" w:rsidR="00EE5BB8" w:rsidRPr="00C6052E" w:rsidRDefault="00EE5BB8" w:rsidP="00EE5BB8">
      <w:pPr>
        <w:pStyle w:val="Structurepoints"/>
      </w:pPr>
      <w:r w:rsidRPr="00C6052E">
        <w:fldChar w:fldCharType="begin"/>
      </w:r>
      <w:r w:rsidRPr="00C6052E">
        <w:instrText xml:space="preserve"> REF _Ref209187588 \r \h </w:instrText>
      </w:r>
      <w:r w:rsidRPr="00C6052E">
        <w:fldChar w:fldCharType="separate"/>
      </w:r>
      <w:r w:rsidRPr="00C6052E">
        <w:t>2.4</w:t>
      </w:r>
      <w:r w:rsidRPr="00C6052E">
        <w:fldChar w:fldCharType="end"/>
      </w:r>
      <w:r w:rsidRPr="00C6052E">
        <w:tab/>
      </w:r>
      <w:r w:rsidRPr="00C6052E">
        <w:fldChar w:fldCharType="begin"/>
      </w:r>
      <w:r w:rsidRPr="00C6052E">
        <w:instrText xml:space="preserve"> REF _Ref209187601 \h </w:instrText>
      </w:r>
      <w:r w:rsidRPr="00C6052E">
        <w:fldChar w:fldCharType="separate"/>
      </w:r>
      <w:r w:rsidRPr="00C6052E">
        <w:t>Annotated</w:t>
      </w:r>
      <w:r w:rsidR="00177848" w:rsidRPr="00C6052E">
        <w:t xml:space="preserve"> </w:t>
      </w:r>
      <w:r w:rsidRPr="00C6052E">
        <w:t>income</w:t>
      </w:r>
      <w:r w:rsidRPr="00C6052E">
        <w:fldChar w:fldCharType="end"/>
      </w:r>
    </w:p>
    <w:p w14:paraId="00059E8D" w14:textId="75F96F8B" w:rsidR="00EE5BB8" w:rsidRPr="00C6052E" w:rsidRDefault="00EE5BB8" w:rsidP="00EE5BB8">
      <w:pPr>
        <w:pStyle w:val="Structurepoints"/>
      </w:pPr>
      <w:r w:rsidRPr="00C6052E">
        <w:fldChar w:fldCharType="begin"/>
      </w:r>
      <w:r w:rsidRPr="00C6052E">
        <w:instrText xml:space="preserve"> REF _Ref209187614 \r \h </w:instrText>
      </w:r>
      <w:r w:rsidRPr="00C6052E">
        <w:fldChar w:fldCharType="separate"/>
      </w:r>
      <w:r w:rsidRPr="00C6052E">
        <w:t>2.5</w:t>
      </w:r>
      <w:r w:rsidRPr="00C6052E">
        <w:fldChar w:fldCharType="end"/>
      </w:r>
      <w:r w:rsidRPr="00C6052E">
        <w:tab/>
      </w:r>
      <w:r w:rsidRPr="00C6052E">
        <w:fldChar w:fldCharType="begin"/>
      </w:r>
      <w:r w:rsidRPr="00C6052E">
        <w:instrText xml:space="preserve"> REF _Ref209187627 \h </w:instrText>
      </w:r>
      <w:r w:rsidRPr="00C6052E">
        <w:fldChar w:fldCharType="separate"/>
      </w:r>
      <w:r w:rsidRPr="00C6052E">
        <w:t>Revenue</w:t>
      </w:r>
      <w:r w:rsidR="00177848" w:rsidRPr="00C6052E">
        <w:t xml:space="preserve"> </w:t>
      </w:r>
      <w:r w:rsidRPr="00C6052E">
        <w:t>and</w:t>
      </w:r>
      <w:r w:rsidR="00177848" w:rsidRPr="00C6052E">
        <w:t xml:space="preserve"> </w:t>
      </w:r>
      <w:r w:rsidRPr="00C6052E">
        <w:t>income</w:t>
      </w:r>
      <w:r w:rsidR="00177848" w:rsidRPr="00C6052E">
        <w:t xml:space="preserve"> </w:t>
      </w:r>
      <w:r w:rsidRPr="00C6052E">
        <w:t>from</w:t>
      </w:r>
      <w:r w:rsidR="00177848" w:rsidRPr="00C6052E">
        <w:t xml:space="preserve"> </w:t>
      </w:r>
      <w:r w:rsidRPr="00C6052E">
        <w:t>transactions</w:t>
      </w:r>
      <w:r w:rsidRPr="00C6052E">
        <w:fldChar w:fldCharType="end"/>
      </w:r>
    </w:p>
    <w:p w14:paraId="72A03C32" w14:textId="546D29A7" w:rsidR="00EE5BB8" w:rsidRPr="00C6052E" w:rsidRDefault="00EE5BB8" w:rsidP="00EA66F2">
      <w:pPr>
        <w:pStyle w:val="Heading2numbered0"/>
      </w:pPr>
      <w:bookmarkStart w:id="98" w:name="_Toc163565945"/>
      <w:bookmarkStart w:id="99" w:name="_Ref209187382"/>
      <w:r w:rsidRPr="00C6052E">
        <w:t>Summary</w:t>
      </w:r>
      <w:r w:rsidR="00177848" w:rsidRPr="00C6052E">
        <w:t xml:space="preserve"> </w:t>
      </w:r>
      <w:r w:rsidRPr="00C6052E">
        <w:t>of</w:t>
      </w:r>
      <w:r w:rsidR="00177848" w:rsidRPr="00C6052E">
        <w:t xml:space="preserve"> </w:t>
      </w:r>
      <w:r w:rsidRPr="00C6052E">
        <w:t>revenue</w:t>
      </w:r>
      <w:r w:rsidR="00177848" w:rsidRPr="00C6052E">
        <w:t xml:space="preserve"> </w:t>
      </w:r>
      <w:r w:rsidRPr="00C6052E">
        <w:t>and</w:t>
      </w:r>
      <w:r w:rsidR="00177848" w:rsidRPr="00C6052E">
        <w:t xml:space="preserve"> </w:t>
      </w:r>
      <w:r w:rsidRPr="00C6052E">
        <w:t>income</w:t>
      </w:r>
      <w:r w:rsidR="00177848" w:rsidRPr="00C6052E">
        <w:t xml:space="preserve"> </w:t>
      </w:r>
      <w:r w:rsidRPr="00C6052E">
        <w:t>that</w:t>
      </w:r>
      <w:r w:rsidR="00177848" w:rsidRPr="00C6052E">
        <w:t xml:space="preserve"> </w:t>
      </w:r>
      <w:r w:rsidRPr="00C6052E">
        <w:t>funds</w:t>
      </w:r>
      <w:r w:rsidR="00177848" w:rsidRPr="00C6052E">
        <w:t xml:space="preserve"> </w:t>
      </w:r>
      <w:r w:rsidRPr="00C6052E">
        <w:t>the</w:t>
      </w:r>
      <w:r w:rsidR="00177848" w:rsidRPr="00C6052E">
        <w:t xml:space="preserve"> </w:t>
      </w:r>
      <w:r w:rsidRPr="00C6052E">
        <w:t>delivery</w:t>
      </w:r>
      <w:r w:rsidR="00177848" w:rsidRPr="00C6052E">
        <w:t xml:space="preserve"> </w:t>
      </w:r>
      <w:r w:rsidRPr="00C6052E">
        <w:t>of</w:t>
      </w:r>
      <w:r w:rsidR="00177848" w:rsidRPr="00C6052E">
        <w:t xml:space="preserve"> </w:t>
      </w:r>
      <w:r w:rsidRPr="00C6052E">
        <w:t>our</w:t>
      </w:r>
      <w:r w:rsidR="00177848" w:rsidRPr="00C6052E">
        <w:t xml:space="preserve"> </w:t>
      </w:r>
      <w:r w:rsidRPr="00C6052E">
        <w:t>services</w:t>
      </w:r>
      <w:bookmarkEnd w:id="98"/>
      <w:bookmarkEnd w:id="99"/>
      <w:r w:rsidR="00445EF8">
        <w:t xml:space="preserve"> </w:t>
      </w:r>
      <w:r w:rsidR="00445EF8" w:rsidRPr="00C6052E">
        <w:t>($ thousand)</w:t>
      </w:r>
    </w:p>
    <w:tbl>
      <w:tblPr>
        <w:tblStyle w:val="TableGrid"/>
        <w:tblW w:w="9639" w:type="dxa"/>
        <w:tblInd w:w="-5" w:type="dxa"/>
        <w:tblLayout w:type="fixed"/>
        <w:tblLook w:val="04E0" w:firstRow="1" w:lastRow="1" w:firstColumn="1" w:lastColumn="0" w:noHBand="0" w:noVBand="1"/>
      </w:tblPr>
      <w:tblGrid>
        <w:gridCol w:w="6237"/>
        <w:gridCol w:w="1077"/>
        <w:gridCol w:w="1162"/>
        <w:gridCol w:w="1163"/>
      </w:tblGrid>
      <w:tr w:rsidR="00EE5BB8" w:rsidRPr="00C6052E" w14:paraId="06B5E34A" w14:textId="77777777" w:rsidTr="00EA66F2">
        <w:tc>
          <w:tcPr>
            <w:tcW w:w="6237" w:type="dxa"/>
            <w:noWrap/>
            <w:hideMark/>
          </w:tcPr>
          <w:p w14:paraId="0CE74091" w14:textId="4E3B95F8" w:rsidR="00EE5BB8" w:rsidRPr="00C6052E" w:rsidRDefault="00EE5BB8" w:rsidP="00B1545C">
            <w:pPr>
              <w:pStyle w:val="TableColumnHeading"/>
              <w:rPr>
                <w:lang w:val="en-AU"/>
              </w:rPr>
            </w:pPr>
            <w:bookmarkStart w:id="100" w:name="TableColumnHeadings_43"/>
            <w:bookmarkEnd w:id="100"/>
          </w:p>
        </w:tc>
        <w:tc>
          <w:tcPr>
            <w:tcW w:w="1077" w:type="dxa"/>
            <w:hideMark/>
          </w:tcPr>
          <w:p w14:paraId="1EA4B173" w14:textId="77777777" w:rsidR="00EE5BB8" w:rsidRPr="00C6052E" w:rsidRDefault="00EE5BB8" w:rsidP="00EA66F2">
            <w:pPr>
              <w:pStyle w:val="TableColumnHeading"/>
              <w:jc w:val="right"/>
            </w:pPr>
            <w:r w:rsidRPr="00C6052E">
              <w:t>Note</w:t>
            </w:r>
          </w:p>
        </w:tc>
        <w:tc>
          <w:tcPr>
            <w:tcW w:w="1162" w:type="dxa"/>
            <w:hideMark/>
          </w:tcPr>
          <w:p w14:paraId="2F385A27" w14:textId="77777777" w:rsidR="00EE5BB8" w:rsidRPr="00C6052E" w:rsidRDefault="00EE5BB8" w:rsidP="00EA66F2">
            <w:pPr>
              <w:pStyle w:val="TableColumnHeading"/>
              <w:jc w:val="right"/>
            </w:pPr>
            <w:r w:rsidRPr="00C6052E">
              <w:t>2025</w:t>
            </w:r>
          </w:p>
        </w:tc>
        <w:tc>
          <w:tcPr>
            <w:tcW w:w="1163" w:type="dxa"/>
            <w:hideMark/>
          </w:tcPr>
          <w:p w14:paraId="1FE747B0" w14:textId="77777777" w:rsidR="00EE5BB8" w:rsidRPr="00C6052E" w:rsidRDefault="00EE5BB8" w:rsidP="00EA66F2">
            <w:pPr>
              <w:pStyle w:val="TableColumnHeading"/>
              <w:jc w:val="right"/>
            </w:pPr>
            <w:r w:rsidRPr="00C6052E">
              <w:t>2024</w:t>
            </w:r>
          </w:p>
        </w:tc>
      </w:tr>
      <w:tr w:rsidR="00EE5BB8" w:rsidRPr="00C6052E" w14:paraId="1B13B20F" w14:textId="77777777" w:rsidTr="00EA66F2">
        <w:tc>
          <w:tcPr>
            <w:tcW w:w="6237" w:type="dxa"/>
            <w:hideMark/>
          </w:tcPr>
          <w:p w14:paraId="0ADD31C7" w14:textId="02EDDA17" w:rsidR="00EE5BB8" w:rsidRPr="00C6052E" w:rsidRDefault="00EE5BB8" w:rsidP="0063097D">
            <w:pPr>
              <w:pStyle w:val="TableCopy"/>
            </w:pPr>
            <w:r w:rsidRPr="00C6052E">
              <w:t>Output</w:t>
            </w:r>
            <w:r w:rsidR="00177848" w:rsidRPr="00C6052E">
              <w:t xml:space="preserve"> </w:t>
            </w:r>
            <w:r w:rsidRPr="00C6052E">
              <w:t>appropriation</w:t>
            </w:r>
            <w:r w:rsidR="00177848" w:rsidRPr="00C6052E">
              <w:t xml:space="preserve"> </w:t>
            </w:r>
          </w:p>
        </w:tc>
        <w:tc>
          <w:tcPr>
            <w:tcW w:w="1077" w:type="dxa"/>
            <w:noWrap/>
            <w:hideMark/>
          </w:tcPr>
          <w:p w14:paraId="62CB52FE" w14:textId="77777777" w:rsidR="00EE5BB8" w:rsidRPr="00C6052E" w:rsidRDefault="00EE5BB8" w:rsidP="00EA66F2">
            <w:pPr>
              <w:pStyle w:val="TableCopy"/>
              <w:jc w:val="right"/>
            </w:pPr>
            <w:r w:rsidRPr="00C6052E">
              <w:t>2.3</w:t>
            </w:r>
          </w:p>
        </w:tc>
        <w:tc>
          <w:tcPr>
            <w:tcW w:w="1162" w:type="dxa"/>
            <w:noWrap/>
            <w:hideMark/>
          </w:tcPr>
          <w:p w14:paraId="2D3BC0DA" w14:textId="77777777" w:rsidR="00EE5BB8" w:rsidRPr="00C6052E" w:rsidRDefault="00EE5BB8" w:rsidP="00EA66F2">
            <w:pPr>
              <w:pStyle w:val="TableCopy"/>
              <w:jc w:val="right"/>
            </w:pPr>
            <w:r w:rsidRPr="00C6052E">
              <w:t>3,306,926</w:t>
            </w:r>
          </w:p>
        </w:tc>
        <w:tc>
          <w:tcPr>
            <w:tcW w:w="1163" w:type="dxa"/>
            <w:noWrap/>
            <w:hideMark/>
          </w:tcPr>
          <w:p w14:paraId="68623838" w14:textId="77777777" w:rsidR="00EE5BB8" w:rsidRPr="00C6052E" w:rsidRDefault="00EE5BB8" w:rsidP="00EA66F2">
            <w:pPr>
              <w:pStyle w:val="TableCopy"/>
              <w:jc w:val="right"/>
            </w:pPr>
            <w:r w:rsidRPr="00C6052E">
              <w:t>3,337,248</w:t>
            </w:r>
          </w:p>
        </w:tc>
      </w:tr>
      <w:tr w:rsidR="00EE5BB8" w:rsidRPr="00C6052E" w14:paraId="0853BBCA" w14:textId="77777777" w:rsidTr="00EA66F2">
        <w:tc>
          <w:tcPr>
            <w:tcW w:w="6237" w:type="dxa"/>
            <w:hideMark/>
          </w:tcPr>
          <w:p w14:paraId="5DA2AAA3" w14:textId="54756862" w:rsidR="00EE5BB8" w:rsidRPr="00C6052E" w:rsidRDefault="00EE5BB8" w:rsidP="0063097D">
            <w:pPr>
              <w:pStyle w:val="TableCopy"/>
            </w:pPr>
            <w:r w:rsidRPr="00C6052E">
              <w:t>Special</w:t>
            </w:r>
            <w:r w:rsidR="00177848" w:rsidRPr="00C6052E">
              <w:t xml:space="preserve"> </w:t>
            </w:r>
            <w:r w:rsidRPr="00C6052E">
              <w:t>appropriation</w:t>
            </w:r>
            <w:r w:rsidR="00177848" w:rsidRPr="00C6052E">
              <w:t xml:space="preserve"> </w:t>
            </w:r>
          </w:p>
        </w:tc>
        <w:tc>
          <w:tcPr>
            <w:tcW w:w="1077" w:type="dxa"/>
            <w:noWrap/>
            <w:hideMark/>
          </w:tcPr>
          <w:p w14:paraId="44790A1A" w14:textId="77777777" w:rsidR="00EE5BB8" w:rsidRPr="00C6052E" w:rsidRDefault="00EE5BB8" w:rsidP="00EA66F2">
            <w:pPr>
              <w:pStyle w:val="TableCopy"/>
              <w:jc w:val="right"/>
            </w:pPr>
            <w:r w:rsidRPr="00C6052E">
              <w:t>2.3</w:t>
            </w:r>
          </w:p>
        </w:tc>
        <w:tc>
          <w:tcPr>
            <w:tcW w:w="1162" w:type="dxa"/>
            <w:noWrap/>
            <w:hideMark/>
          </w:tcPr>
          <w:p w14:paraId="72856DF2" w14:textId="77777777" w:rsidR="00EE5BB8" w:rsidRPr="00C6052E" w:rsidRDefault="00EE5BB8" w:rsidP="00EA66F2">
            <w:pPr>
              <w:pStyle w:val="TableCopy"/>
              <w:jc w:val="right"/>
            </w:pPr>
            <w:r w:rsidRPr="00C6052E">
              <w:t>96,272</w:t>
            </w:r>
          </w:p>
        </w:tc>
        <w:tc>
          <w:tcPr>
            <w:tcW w:w="1163" w:type="dxa"/>
            <w:noWrap/>
            <w:hideMark/>
          </w:tcPr>
          <w:p w14:paraId="03D7C957" w14:textId="77777777" w:rsidR="00EE5BB8" w:rsidRPr="00C6052E" w:rsidRDefault="00EE5BB8" w:rsidP="00EA66F2">
            <w:pPr>
              <w:pStyle w:val="TableCopy"/>
              <w:jc w:val="right"/>
            </w:pPr>
            <w:r w:rsidRPr="00C6052E">
              <w:t>–</w:t>
            </w:r>
          </w:p>
        </w:tc>
      </w:tr>
      <w:tr w:rsidR="00EE5BB8" w:rsidRPr="00C6052E" w14:paraId="13261A4F" w14:textId="77777777" w:rsidTr="00EA66F2">
        <w:tc>
          <w:tcPr>
            <w:tcW w:w="6237" w:type="dxa"/>
            <w:hideMark/>
          </w:tcPr>
          <w:p w14:paraId="0F57FC2B" w14:textId="22429884" w:rsidR="00EE5BB8" w:rsidRPr="00C6052E" w:rsidRDefault="00EE5BB8" w:rsidP="0063097D">
            <w:pPr>
              <w:pStyle w:val="TableCopy"/>
            </w:pPr>
            <w:r w:rsidRPr="00C6052E">
              <w:t>Grant</w:t>
            </w:r>
            <w:r w:rsidR="00177848" w:rsidRPr="00C6052E">
              <w:t xml:space="preserve"> </w:t>
            </w:r>
            <w:r w:rsidRPr="00C6052E">
              <w:t>income</w:t>
            </w:r>
          </w:p>
        </w:tc>
        <w:tc>
          <w:tcPr>
            <w:tcW w:w="1077" w:type="dxa"/>
            <w:noWrap/>
            <w:hideMark/>
          </w:tcPr>
          <w:p w14:paraId="3D71B18C" w14:textId="77777777" w:rsidR="00EE5BB8" w:rsidRPr="00C6052E" w:rsidRDefault="00EE5BB8" w:rsidP="00EA66F2">
            <w:pPr>
              <w:pStyle w:val="TableCopy"/>
              <w:jc w:val="right"/>
            </w:pPr>
            <w:r w:rsidRPr="00C6052E">
              <w:t>2.5.1</w:t>
            </w:r>
          </w:p>
        </w:tc>
        <w:tc>
          <w:tcPr>
            <w:tcW w:w="1162" w:type="dxa"/>
            <w:noWrap/>
            <w:hideMark/>
          </w:tcPr>
          <w:p w14:paraId="4DB51CFA" w14:textId="77777777" w:rsidR="00EE5BB8" w:rsidRPr="00C6052E" w:rsidRDefault="00EE5BB8" w:rsidP="00EA66F2">
            <w:pPr>
              <w:pStyle w:val="TableCopy"/>
              <w:jc w:val="right"/>
            </w:pPr>
            <w:r w:rsidRPr="00C6052E">
              <w:t>277,457</w:t>
            </w:r>
          </w:p>
        </w:tc>
        <w:tc>
          <w:tcPr>
            <w:tcW w:w="1163" w:type="dxa"/>
            <w:noWrap/>
            <w:hideMark/>
          </w:tcPr>
          <w:p w14:paraId="382589D9" w14:textId="77777777" w:rsidR="00EE5BB8" w:rsidRPr="00C6052E" w:rsidRDefault="00EE5BB8" w:rsidP="00EA66F2">
            <w:pPr>
              <w:pStyle w:val="TableCopy"/>
              <w:jc w:val="right"/>
            </w:pPr>
            <w:r w:rsidRPr="00C6052E">
              <w:t>256,686</w:t>
            </w:r>
          </w:p>
        </w:tc>
      </w:tr>
      <w:tr w:rsidR="00EE5BB8" w:rsidRPr="00C6052E" w14:paraId="2AD69FEF" w14:textId="77777777" w:rsidTr="00EA66F2">
        <w:tc>
          <w:tcPr>
            <w:tcW w:w="6237" w:type="dxa"/>
            <w:hideMark/>
          </w:tcPr>
          <w:p w14:paraId="37CBFF53" w14:textId="38752ED2" w:rsidR="00EE5BB8" w:rsidRPr="00C6052E" w:rsidRDefault="00EE5BB8" w:rsidP="0063097D">
            <w:pPr>
              <w:pStyle w:val="TableCopy"/>
            </w:pPr>
            <w:r w:rsidRPr="00C6052E">
              <w:t>Sale</w:t>
            </w:r>
            <w:r w:rsidR="00177848" w:rsidRPr="00C6052E">
              <w:t xml:space="preserve"> </w:t>
            </w:r>
            <w:r w:rsidRPr="00C6052E">
              <w:t>of</w:t>
            </w:r>
            <w:r w:rsidR="00177848" w:rsidRPr="00C6052E">
              <w:t xml:space="preserve"> </w:t>
            </w:r>
            <w:r w:rsidRPr="00C6052E">
              <w:t>goods</w:t>
            </w:r>
            <w:r w:rsidR="00177848" w:rsidRPr="00C6052E">
              <w:t xml:space="preserve"> </w:t>
            </w:r>
            <w:r w:rsidRPr="00C6052E">
              <w:t>and</w:t>
            </w:r>
            <w:r w:rsidR="00177848" w:rsidRPr="00C6052E">
              <w:t xml:space="preserve"> </w:t>
            </w:r>
            <w:r w:rsidRPr="00C6052E">
              <w:t>services</w:t>
            </w:r>
          </w:p>
        </w:tc>
        <w:tc>
          <w:tcPr>
            <w:tcW w:w="1077" w:type="dxa"/>
            <w:noWrap/>
            <w:hideMark/>
          </w:tcPr>
          <w:p w14:paraId="280ED697" w14:textId="77777777" w:rsidR="00EE5BB8" w:rsidRPr="00C6052E" w:rsidRDefault="00EE5BB8" w:rsidP="00EA66F2">
            <w:pPr>
              <w:pStyle w:val="TableCopy"/>
              <w:jc w:val="right"/>
            </w:pPr>
            <w:r w:rsidRPr="00C6052E">
              <w:t>2.5.2</w:t>
            </w:r>
          </w:p>
        </w:tc>
        <w:tc>
          <w:tcPr>
            <w:tcW w:w="1162" w:type="dxa"/>
            <w:noWrap/>
            <w:hideMark/>
          </w:tcPr>
          <w:p w14:paraId="5C4B249D" w14:textId="77777777" w:rsidR="00EE5BB8" w:rsidRPr="00C6052E" w:rsidRDefault="00EE5BB8" w:rsidP="00EA66F2">
            <w:pPr>
              <w:pStyle w:val="TableCopy"/>
              <w:jc w:val="right"/>
            </w:pPr>
            <w:r w:rsidRPr="00C6052E">
              <w:t>601</w:t>
            </w:r>
          </w:p>
        </w:tc>
        <w:tc>
          <w:tcPr>
            <w:tcW w:w="1163" w:type="dxa"/>
            <w:noWrap/>
            <w:hideMark/>
          </w:tcPr>
          <w:p w14:paraId="49C878FF" w14:textId="77777777" w:rsidR="00EE5BB8" w:rsidRPr="00C6052E" w:rsidRDefault="00EE5BB8" w:rsidP="00EA66F2">
            <w:pPr>
              <w:pStyle w:val="TableCopy"/>
              <w:jc w:val="right"/>
            </w:pPr>
            <w:r w:rsidRPr="00C6052E">
              <w:t>358</w:t>
            </w:r>
          </w:p>
        </w:tc>
      </w:tr>
      <w:tr w:rsidR="00EE5BB8" w:rsidRPr="00C6052E" w14:paraId="69377A6E" w14:textId="77777777" w:rsidTr="00EA66F2">
        <w:tc>
          <w:tcPr>
            <w:tcW w:w="6237" w:type="dxa"/>
            <w:hideMark/>
          </w:tcPr>
          <w:p w14:paraId="06C270BD" w14:textId="353803B7" w:rsidR="00EE5BB8" w:rsidRPr="00C6052E" w:rsidRDefault="00EE5BB8" w:rsidP="0063097D">
            <w:pPr>
              <w:pStyle w:val="TableCopy"/>
            </w:pPr>
            <w:r w:rsidRPr="00C6052E">
              <w:t>Other</w:t>
            </w:r>
            <w:r w:rsidR="00177848" w:rsidRPr="00C6052E">
              <w:t xml:space="preserve"> </w:t>
            </w:r>
            <w:r w:rsidRPr="00C6052E">
              <w:t>income</w:t>
            </w:r>
          </w:p>
        </w:tc>
        <w:tc>
          <w:tcPr>
            <w:tcW w:w="1077" w:type="dxa"/>
            <w:noWrap/>
            <w:hideMark/>
          </w:tcPr>
          <w:p w14:paraId="6C6BBF20" w14:textId="77777777" w:rsidR="00EE5BB8" w:rsidRPr="00C6052E" w:rsidRDefault="00EE5BB8" w:rsidP="00EA66F2">
            <w:pPr>
              <w:pStyle w:val="TableCopy"/>
              <w:jc w:val="right"/>
            </w:pPr>
            <w:r w:rsidRPr="00C6052E">
              <w:t>2.5.3</w:t>
            </w:r>
          </w:p>
        </w:tc>
        <w:tc>
          <w:tcPr>
            <w:tcW w:w="1162" w:type="dxa"/>
            <w:noWrap/>
            <w:hideMark/>
          </w:tcPr>
          <w:p w14:paraId="7C901EDD" w14:textId="77777777" w:rsidR="00EE5BB8" w:rsidRPr="00C6052E" w:rsidRDefault="00EE5BB8" w:rsidP="00EA66F2">
            <w:pPr>
              <w:pStyle w:val="TableCopy"/>
              <w:jc w:val="right"/>
            </w:pPr>
            <w:r w:rsidRPr="00C6052E">
              <w:t>46,610</w:t>
            </w:r>
          </w:p>
        </w:tc>
        <w:tc>
          <w:tcPr>
            <w:tcW w:w="1163" w:type="dxa"/>
            <w:noWrap/>
            <w:hideMark/>
          </w:tcPr>
          <w:p w14:paraId="3FFD0862" w14:textId="77777777" w:rsidR="00EE5BB8" w:rsidRPr="00C6052E" w:rsidRDefault="00EE5BB8" w:rsidP="00EA66F2">
            <w:pPr>
              <w:pStyle w:val="TableCopy"/>
              <w:jc w:val="right"/>
            </w:pPr>
            <w:r w:rsidRPr="00C6052E">
              <w:t>22,819</w:t>
            </w:r>
          </w:p>
        </w:tc>
      </w:tr>
      <w:tr w:rsidR="00EE5BB8" w:rsidRPr="00C6052E" w14:paraId="38BC5364" w14:textId="77777777" w:rsidTr="00EA66F2">
        <w:tc>
          <w:tcPr>
            <w:tcW w:w="6237" w:type="dxa"/>
            <w:hideMark/>
          </w:tcPr>
          <w:p w14:paraId="1060BE35" w14:textId="7B9AC3C7" w:rsidR="00EE5BB8" w:rsidRPr="00C6052E" w:rsidRDefault="00EE5BB8" w:rsidP="0063097D">
            <w:pPr>
              <w:pStyle w:val="TableCopy"/>
            </w:pPr>
            <w:r w:rsidRPr="00C6052E">
              <w:t>Assets</w:t>
            </w:r>
            <w:r w:rsidR="00177848" w:rsidRPr="00C6052E">
              <w:t xml:space="preserve"> </w:t>
            </w:r>
            <w:r w:rsidRPr="00C6052E">
              <w:t>received</w:t>
            </w:r>
            <w:r w:rsidR="00177848" w:rsidRPr="00C6052E">
              <w:t xml:space="preserve"> </w:t>
            </w:r>
            <w:r w:rsidRPr="00C6052E">
              <w:t>free</w:t>
            </w:r>
            <w:r w:rsidR="00177848" w:rsidRPr="00C6052E">
              <w:t xml:space="preserve"> </w:t>
            </w:r>
            <w:r w:rsidRPr="00C6052E">
              <w:t>of</w:t>
            </w:r>
            <w:r w:rsidR="00177848" w:rsidRPr="00C6052E">
              <w:t xml:space="preserve"> </w:t>
            </w:r>
            <w:r w:rsidRPr="00C6052E">
              <w:t>charge</w:t>
            </w:r>
          </w:p>
        </w:tc>
        <w:tc>
          <w:tcPr>
            <w:tcW w:w="1077" w:type="dxa"/>
            <w:noWrap/>
            <w:hideMark/>
          </w:tcPr>
          <w:p w14:paraId="6A6DAE79" w14:textId="77777777" w:rsidR="00EE5BB8" w:rsidRPr="00C6052E" w:rsidRDefault="00EE5BB8" w:rsidP="00EA66F2">
            <w:pPr>
              <w:pStyle w:val="TableCopy"/>
              <w:jc w:val="right"/>
            </w:pPr>
            <w:r w:rsidRPr="00C6052E">
              <w:t>2.5.4</w:t>
            </w:r>
          </w:p>
        </w:tc>
        <w:tc>
          <w:tcPr>
            <w:tcW w:w="1162" w:type="dxa"/>
            <w:noWrap/>
            <w:hideMark/>
          </w:tcPr>
          <w:p w14:paraId="0CCB5325" w14:textId="77777777" w:rsidR="00EE5BB8" w:rsidRPr="00C6052E" w:rsidRDefault="00EE5BB8" w:rsidP="00EA66F2">
            <w:pPr>
              <w:pStyle w:val="TableCopy"/>
              <w:jc w:val="right"/>
            </w:pPr>
            <w:r w:rsidRPr="00C6052E">
              <w:t>36,440</w:t>
            </w:r>
          </w:p>
        </w:tc>
        <w:tc>
          <w:tcPr>
            <w:tcW w:w="1163" w:type="dxa"/>
            <w:noWrap/>
            <w:hideMark/>
          </w:tcPr>
          <w:p w14:paraId="6F41573B" w14:textId="77777777" w:rsidR="00EE5BB8" w:rsidRPr="00C6052E" w:rsidRDefault="00EE5BB8" w:rsidP="00EA66F2">
            <w:pPr>
              <w:pStyle w:val="TableCopy"/>
              <w:jc w:val="right"/>
            </w:pPr>
            <w:r w:rsidRPr="00C6052E">
              <w:t>–</w:t>
            </w:r>
          </w:p>
        </w:tc>
      </w:tr>
      <w:tr w:rsidR="00EE5BB8" w:rsidRPr="00EA66F2" w14:paraId="347A7CA9" w14:textId="77777777" w:rsidTr="00EA66F2">
        <w:tc>
          <w:tcPr>
            <w:tcW w:w="6237" w:type="dxa"/>
            <w:hideMark/>
          </w:tcPr>
          <w:p w14:paraId="2BD7FEF8" w14:textId="6D9D0052" w:rsidR="00EE5BB8" w:rsidRPr="00EA66F2" w:rsidRDefault="00EE5BB8" w:rsidP="00814D77">
            <w:pPr>
              <w:pStyle w:val="Tabletotal"/>
            </w:pPr>
            <w:r w:rsidRPr="00EA66F2">
              <w:t>Total</w:t>
            </w:r>
            <w:r w:rsidR="00177848" w:rsidRPr="00EA66F2">
              <w:t xml:space="preserve"> </w:t>
            </w:r>
            <w:r w:rsidRPr="00EA66F2">
              <w:t>revenue</w:t>
            </w:r>
            <w:r w:rsidR="00177848" w:rsidRPr="00EA66F2">
              <w:t xml:space="preserve"> </w:t>
            </w:r>
            <w:r w:rsidRPr="00EA66F2">
              <w:t>and</w:t>
            </w:r>
            <w:r w:rsidR="00177848" w:rsidRPr="00EA66F2">
              <w:t xml:space="preserve"> </w:t>
            </w:r>
            <w:r w:rsidRPr="00EA66F2">
              <w:t>income</w:t>
            </w:r>
            <w:r w:rsidR="00177848" w:rsidRPr="00EA66F2">
              <w:t xml:space="preserve"> </w:t>
            </w:r>
            <w:r w:rsidRPr="00EA66F2">
              <w:t>from</w:t>
            </w:r>
            <w:r w:rsidR="00177848" w:rsidRPr="00EA66F2">
              <w:t xml:space="preserve"> </w:t>
            </w:r>
            <w:r w:rsidRPr="00EA66F2">
              <w:t>transactions</w:t>
            </w:r>
          </w:p>
        </w:tc>
        <w:tc>
          <w:tcPr>
            <w:tcW w:w="1077" w:type="dxa"/>
            <w:hideMark/>
          </w:tcPr>
          <w:p w14:paraId="185D2931" w14:textId="77777777" w:rsidR="00EE5BB8" w:rsidRPr="00EA66F2" w:rsidRDefault="00EE5BB8" w:rsidP="00814D77">
            <w:pPr>
              <w:pStyle w:val="Tabletotal"/>
              <w:jc w:val="right"/>
            </w:pPr>
          </w:p>
        </w:tc>
        <w:tc>
          <w:tcPr>
            <w:tcW w:w="1162" w:type="dxa"/>
            <w:noWrap/>
            <w:hideMark/>
          </w:tcPr>
          <w:p w14:paraId="49020003" w14:textId="77777777" w:rsidR="00EE5BB8" w:rsidRPr="00EA66F2" w:rsidRDefault="00EE5BB8" w:rsidP="00814D77">
            <w:pPr>
              <w:pStyle w:val="Tabletotal"/>
              <w:jc w:val="right"/>
            </w:pPr>
            <w:r w:rsidRPr="00EA66F2">
              <w:t>3,764,306</w:t>
            </w:r>
          </w:p>
        </w:tc>
        <w:tc>
          <w:tcPr>
            <w:tcW w:w="1163" w:type="dxa"/>
            <w:noWrap/>
            <w:hideMark/>
          </w:tcPr>
          <w:p w14:paraId="6CC74A4E" w14:textId="77777777" w:rsidR="00EE5BB8" w:rsidRPr="00EA66F2" w:rsidRDefault="00EE5BB8" w:rsidP="00814D77">
            <w:pPr>
              <w:pStyle w:val="Tabletotal"/>
              <w:jc w:val="right"/>
            </w:pPr>
            <w:r w:rsidRPr="00EA66F2">
              <w:t>3,617,111</w:t>
            </w:r>
          </w:p>
        </w:tc>
      </w:tr>
    </w:tbl>
    <w:p w14:paraId="5A0D2FA4" w14:textId="77777777" w:rsidR="00EE5BB8" w:rsidRPr="00C6052E" w:rsidRDefault="00EE5BB8" w:rsidP="00EA66F2"/>
    <w:p w14:paraId="46E99506" w14:textId="5420AC01" w:rsidR="00EE5BB8" w:rsidRPr="00C6052E" w:rsidRDefault="00EE5BB8" w:rsidP="00EE5BB8">
      <w:r w:rsidRPr="00C6052E">
        <w:t>Revenue</w:t>
      </w:r>
      <w:r w:rsidR="00177848" w:rsidRPr="00C6052E">
        <w:t xml:space="preserve"> </w:t>
      </w:r>
      <w:r w:rsidRPr="00C6052E">
        <w:t>and</w:t>
      </w:r>
      <w:r w:rsidR="00177848" w:rsidRPr="00C6052E">
        <w:t xml:space="preserve"> </w:t>
      </w:r>
      <w:r w:rsidRPr="00C6052E">
        <w:t>income</w:t>
      </w:r>
      <w:r w:rsidR="00177848" w:rsidRPr="00C6052E">
        <w:t xml:space="preserve"> </w:t>
      </w:r>
      <w:r w:rsidRPr="00C6052E">
        <w:t>that</w:t>
      </w:r>
      <w:r w:rsidR="00177848" w:rsidRPr="00C6052E">
        <w:t xml:space="preserve"> </w:t>
      </w:r>
      <w:r w:rsidRPr="00C6052E">
        <w:t>fund</w:t>
      </w:r>
      <w:r w:rsidR="00177848" w:rsidRPr="00C6052E">
        <w:t xml:space="preserve"> </w:t>
      </w:r>
      <w:r w:rsidRPr="00C6052E">
        <w:t>delivery</w:t>
      </w:r>
      <w:r w:rsidR="00177848" w:rsidRPr="00C6052E">
        <w:t xml:space="preserve"> </w:t>
      </w:r>
      <w:r w:rsidRPr="00C6052E">
        <w:t>of</w:t>
      </w:r>
      <w:r w:rsidR="00177848" w:rsidRPr="00C6052E">
        <w:t xml:space="preserve"> </w:t>
      </w:r>
      <w:fldSimple w:instr=" DOCPROPERTY  shortName  \* MERGEFORMAT ">
        <w:r w:rsidRPr="00C6052E">
          <w:t>DJSIR</w:t>
        </w:r>
      </w:fldSimple>
      <w:r w:rsidRPr="00C6052E">
        <w:t>‘s</w:t>
      </w:r>
      <w:r w:rsidR="00177848" w:rsidRPr="00C6052E">
        <w:t xml:space="preserve"> </w:t>
      </w:r>
      <w:r w:rsidRPr="00C6052E">
        <w:t>services</w:t>
      </w:r>
      <w:r w:rsidR="00177848" w:rsidRPr="00C6052E">
        <w:t xml:space="preserve"> </w:t>
      </w:r>
      <w:r w:rsidRPr="00C6052E">
        <w:t>are</w:t>
      </w:r>
      <w:r w:rsidR="00177848" w:rsidRPr="00C6052E">
        <w:t xml:space="preserve"> </w:t>
      </w:r>
      <w:r w:rsidRPr="00C6052E">
        <w:t>accounted</w:t>
      </w:r>
      <w:r w:rsidR="00177848" w:rsidRPr="00C6052E">
        <w:t xml:space="preserve"> </w:t>
      </w:r>
      <w:r w:rsidRPr="00C6052E">
        <w:t>for</w:t>
      </w:r>
      <w:r w:rsidR="00177848" w:rsidRPr="00C6052E">
        <w:t xml:space="preserve"> </w:t>
      </w:r>
      <w:r w:rsidRPr="00C6052E">
        <w:t>consistently</w:t>
      </w:r>
      <w:r w:rsidR="00177848" w:rsidRPr="00C6052E">
        <w:t xml:space="preserve"> </w:t>
      </w:r>
      <w:r w:rsidRPr="00C6052E">
        <w:t>with</w:t>
      </w:r>
      <w:r w:rsidR="00177848" w:rsidRPr="00C6052E">
        <w:t xml:space="preserve"> </w:t>
      </w:r>
      <w:r w:rsidRPr="00C6052E">
        <w:t>the</w:t>
      </w:r>
      <w:r w:rsidR="00177848" w:rsidRPr="00C6052E">
        <w:t xml:space="preserve"> </w:t>
      </w:r>
      <w:r w:rsidRPr="00C6052E">
        <w:t>requirements</w:t>
      </w:r>
      <w:r w:rsidR="00177848" w:rsidRPr="00C6052E">
        <w:t xml:space="preserve"> </w:t>
      </w:r>
      <w:r w:rsidRPr="00C6052E">
        <w:t>of</w:t>
      </w:r>
      <w:r w:rsidR="00177848" w:rsidRPr="00C6052E">
        <w:t xml:space="preserve"> </w:t>
      </w:r>
      <w:r w:rsidRPr="00C6052E">
        <w:t>the</w:t>
      </w:r>
      <w:r w:rsidR="00177848" w:rsidRPr="00C6052E">
        <w:t xml:space="preserve"> </w:t>
      </w:r>
      <w:r w:rsidRPr="00C6052E">
        <w:t>relevant</w:t>
      </w:r>
      <w:r w:rsidR="00177848" w:rsidRPr="00C6052E">
        <w:t xml:space="preserve"> </w:t>
      </w:r>
      <w:r w:rsidRPr="00C6052E">
        <w:t>accounting</w:t>
      </w:r>
      <w:r w:rsidR="00177848" w:rsidRPr="00C6052E">
        <w:t xml:space="preserve"> </w:t>
      </w:r>
      <w:r w:rsidRPr="00C6052E">
        <w:t>standards</w:t>
      </w:r>
      <w:r w:rsidR="00177848" w:rsidRPr="00C6052E">
        <w:t xml:space="preserve"> </w:t>
      </w:r>
      <w:r w:rsidRPr="00C6052E">
        <w:t>disclosed</w:t>
      </w:r>
      <w:r w:rsidR="00177848" w:rsidRPr="00C6052E">
        <w:t xml:space="preserve"> </w:t>
      </w:r>
      <w:r w:rsidRPr="00C6052E">
        <w:t>in</w:t>
      </w:r>
      <w:r w:rsidR="00177848" w:rsidRPr="00C6052E">
        <w:t xml:space="preserve"> </w:t>
      </w:r>
      <w:r w:rsidRPr="00C6052E">
        <w:t>the</w:t>
      </w:r>
      <w:r w:rsidR="00177848" w:rsidRPr="00C6052E">
        <w:t xml:space="preserve"> </w:t>
      </w:r>
      <w:r w:rsidRPr="00C6052E">
        <w:t>following</w:t>
      </w:r>
      <w:r w:rsidR="00177848" w:rsidRPr="00C6052E">
        <w:t xml:space="preserve"> </w:t>
      </w:r>
      <w:r w:rsidRPr="00C6052E">
        <w:t>notes.</w:t>
      </w:r>
    </w:p>
    <w:p w14:paraId="0A06D6FB" w14:textId="77777777" w:rsidR="00EE5BB8" w:rsidRPr="00C6052E" w:rsidRDefault="00EE5BB8" w:rsidP="00EA66F2">
      <w:pPr>
        <w:pStyle w:val="Heading2numbered0"/>
      </w:pPr>
      <w:bookmarkStart w:id="101" w:name="_Toc163565946"/>
      <w:bookmarkStart w:id="102" w:name="_Ref209187519"/>
      <w:r w:rsidRPr="00C6052E">
        <w:t>Appropriations</w:t>
      </w:r>
      <w:bookmarkEnd w:id="101"/>
      <w:bookmarkEnd w:id="102"/>
    </w:p>
    <w:p w14:paraId="43721FD1" w14:textId="0A19FC54" w:rsidR="00EE5BB8" w:rsidRPr="00C6052E" w:rsidRDefault="00EE5BB8" w:rsidP="00EE5BB8">
      <w:r w:rsidRPr="00C6052E">
        <w:t>Once</w:t>
      </w:r>
      <w:r w:rsidR="00177848" w:rsidRPr="00C6052E">
        <w:t xml:space="preserve"> </w:t>
      </w:r>
      <w:r w:rsidRPr="00C6052E">
        <w:t>annual</w:t>
      </w:r>
      <w:r w:rsidR="00177848" w:rsidRPr="00C6052E">
        <w:t xml:space="preserve"> </w:t>
      </w:r>
      <w:r w:rsidRPr="00C6052E">
        <w:t>Parliamentary</w:t>
      </w:r>
      <w:r w:rsidR="00177848" w:rsidRPr="00C6052E">
        <w:t xml:space="preserve"> </w:t>
      </w:r>
      <w:r w:rsidRPr="00C6052E">
        <w:t>appropriations</w:t>
      </w:r>
      <w:r w:rsidR="00177848" w:rsidRPr="00C6052E">
        <w:t xml:space="preserve"> </w:t>
      </w:r>
      <w:r w:rsidRPr="00C6052E">
        <w:t>are</w:t>
      </w:r>
      <w:r w:rsidR="00177848" w:rsidRPr="00C6052E">
        <w:t xml:space="preserve"> </w:t>
      </w:r>
      <w:r w:rsidRPr="00C6052E">
        <w:t>applied</w:t>
      </w:r>
      <w:r w:rsidR="00177848" w:rsidRPr="00C6052E">
        <w:t xml:space="preserve"> </w:t>
      </w:r>
      <w:r w:rsidRPr="00C6052E">
        <w:t>by</w:t>
      </w:r>
      <w:r w:rsidR="00177848" w:rsidRPr="00C6052E">
        <w:t xml:space="preserve"> </w:t>
      </w:r>
      <w:r w:rsidRPr="00C6052E">
        <w:t>the</w:t>
      </w:r>
      <w:r w:rsidR="00177848" w:rsidRPr="00C6052E">
        <w:t xml:space="preserve"> </w:t>
      </w:r>
      <w:r w:rsidRPr="00C6052E">
        <w:t>Treasurer,</w:t>
      </w:r>
      <w:r w:rsidR="00177848" w:rsidRPr="00C6052E">
        <w:t xml:space="preserve"> </w:t>
      </w:r>
      <w:r w:rsidRPr="00C6052E">
        <w:t>they</w:t>
      </w:r>
      <w:r w:rsidR="00177848" w:rsidRPr="00C6052E">
        <w:t xml:space="preserve"> </w:t>
      </w:r>
      <w:r w:rsidRPr="00C6052E">
        <w:t>become</w:t>
      </w:r>
      <w:r w:rsidR="00177848" w:rsidRPr="00C6052E">
        <w:t xml:space="preserve"> </w:t>
      </w:r>
      <w:r w:rsidRPr="00C6052E">
        <w:t>controlled</w:t>
      </w:r>
      <w:r w:rsidR="00177848" w:rsidRPr="00C6052E">
        <w:t xml:space="preserve"> </w:t>
      </w:r>
      <w:r w:rsidRPr="00C6052E">
        <w:t>by</w:t>
      </w:r>
      <w:r w:rsidR="00177848" w:rsidRPr="00C6052E">
        <w:t xml:space="preserve"> </w:t>
      </w:r>
      <w:fldSimple w:instr=" DOCPROPERTY  shortName  \* MERGEFORMAT ">
        <w:r w:rsidRPr="00C6052E">
          <w:t>DJSIR</w:t>
        </w:r>
      </w:fldSimple>
      <w:r w:rsidR="00177848" w:rsidRPr="00C6052E">
        <w:t xml:space="preserve"> </w:t>
      </w:r>
      <w:r w:rsidRPr="00C6052E">
        <w:t>and</w:t>
      </w:r>
      <w:r w:rsidR="00177848" w:rsidRPr="00C6052E">
        <w:t xml:space="preserve"> </w:t>
      </w:r>
      <w:r w:rsidRPr="00C6052E">
        <w:t>are</w:t>
      </w:r>
      <w:r w:rsidR="00177848" w:rsidRPr="00C6052E">
        <w:t xml:space="preserve"> </w:t>
      </w:r>
      <w:r w:rsidRPr="00C6052E">
        <w:t>recognised</w:t>
      </w:r>
      <w:r w:rsidR="00177848" w:rsidRPr="00C6052E">
        <w:t xml:space="preserve"> </w:t>
      </w:r>
      <w:r w:rsidRPr="00C6052E">
        <w:t>as</w:t>
      </w:r>
      <w:r w:rsidR="00177848" w:rsidRPr="00C6052E">
        <w:t xml:space="preserve"> </w:t>
      </w:r>
      <w:r w:rsidRPr="00C6052E">
        <w:t>income</w:t>
      </w:r>
      <w:r w:rsidR="00177848" w:rsidRPr="00C6052E">
        <w:t xml:space="preserve"> </w:t>
      </w:r>
      <w:r w:rsidRPr="00C6052E">
        <w:t>when</w:t>
      </w:r>
      <w:r w:rsidR="00177848" w:rsidRPr="00C6052E">
        <w:t xml:space="preserve"> </w:t>
      </w:r>
      <w:r w:rsidRPr="00C6052E">
        <w:t>applied</w:t>
      </w:r>
      <w:r w:rsidR="00177848" w:rsidRPr="00C6052E">
        <w:t xml:space="preserve"> </w:t>
      </w:r>
      <w:r w:rsidRPr="00C6052E">
        <w:t>for</w:t>
      </w:r>
      <w:r w:rsidR="00177848" w:rsidRPr="00C6052E">
        <w:t xml:space="preserve"> </w:t>
      </w:r>
      <w:r w:rsidRPr="00C6052E">
        <w:t>the</w:t>
      </w:r>
      <w:r w:rsidR="00177848" w:rsidRPr="00C6052E">
        <w:t xml:space="preserve"> </w:t>
      </w:r>
      <w:r w:rsidRPr="00C6052E">
        <w:t>purposes</w:t>
      </w:r>
      <w:r w:rsidR="00177848" w:rsidRPr="00C6052E">
        <w:t xml:space="preserve"> </w:t>
      </w:r>
      <w:r w:rsidRPr="00C6052E">
        <w:t>defined</w:t>
      </w:r>
      <w:r w:rsidR="00177848" w:rsidRPr="00C6052E">
        <w:t xml:space="preserve"> </w:t>
      </w:r>
      <w:r w:rsidRPr="00C6052E">
        <w:t>under</w:t>
      </w:r>
      <w:r w:rsidR="00177848" w:rsidRPr="00C6052E">
        <w:t xml:space="preserve"> </w:t>
      </w:r>
      <w:r w:rsidRPr="00C6052E">
        <w:t>the</w:t>
      </w:r>
      <w:r w:rsidR="00177848" w:rsidRPr="00C6052E">
        <w:t xml:space="preserve"> </w:t>
      </w:r>
      <w:r w:rsidRPr="00C6052E">
        <w:t>relevant</w:t>
      </w:r>
      <w:r w:rsidR="00177848" w:rsidRPr="00C6052E">
        <w:t xml:space="preserve"> </w:t>
      </w:r>
      <w:r w:rsidRPr="00C6052E">
        <w:t>Appropriations</w:t>
      </w:r>
      <w:r w:rsidR="00177848" w:rsidRPr="00C6052E">
        <w:t xml:space="preserve"> </w:t>
      </w:r>
      <w:r w:rsidRPr="00C6052E">
        <w:t>Act</w:t>
      </w:r>
      <w:r w:rsidR="00177848" w:rsidRPr="00C6052E">
        <w:t xml:space="preserve"> </w:t>
      </w:r>
      <w:r w:rsidRPr="00C6052E">
        <w:t>and</w:t>
      </w:r>
      <w:r w:rsidR="00177848" w:rsidRPr="00C6052E">
        <w:t xml:space="preserve"> </w:t>
      </w:r>
      <w:r w:rsidRPr="00C6052E">
        <w:t>are</w:t>
      </w:r>
      <w:r w:rsidR="00177848" w:rsidRPr="00C6052E">
        <w:t xml:space="preserve"> </w:t>
      </w:r>
      <w:r w:rsidRPr="00C6052E">
        <w:t>accounted</w:t>
      </w:r>
      <w:r w:rsidR="00177848" w:rsidRPr="00C6052E">
        <w:t xml:space="preserve"> </w:t>
      </w:r>
      <w:r w:rsidRPr="00C6052E">
        <w:t>for</w:t>
      </w:r>
      <w:r w:rsidR="00177848" w:rsidRPr="00C6052E">
        <w:t xml:space="preserve"> </w:t>
      </w:r>
      <w:r w:rsidRPr="00C6052E">
        <w:t>under</w:t>
      </w:r>
      <w:r w:rsidR="00177848" w:rsidRPr="00C6052E">
        <w:t xml:space="preserve"> </w:t>
      </w:r>
      <w:r w:rsidRPr="00C6052E">
        <w:t>AASB</w:t>
      </w:r>
      <w:r w:rsidR="00177848" w:rsidRPr="00C6052E">
        <w:t xml:space="preserve"> </w:t>
      </w:r>
      <w:r w:rsidRPr="00C6052E">
        <w:t>1058</w:t>
      </w:r>
      <w:r w:rsidR="00177848" w:rsidRPr="00C6052E">
        <w:t xml:space="preserve"> </w:t>
      </w:r>
      <w:r w:rsidRPr="00C6052E">
        <w:rPr>
          <w:i/>
        </w:rPr>
        <w:t>Income</w:t>
      </w:r>
      <w:r w:rsidR="00177848" w:rsidRPr="00C6052E">
        <w:rPr>
          <w:i/>
        </w:rPr>
        <w:t xml:space="preserve"> </w:t>
      </w:r>
      <w:r w:rsidRPr="00C6052E">
        <w:rPr>
          <w:i/>
        </w:rPr>
        <w:t>of</w:t>
      </w:r>
      <w:r w:rsidR="00177848" w:rsidRPr="00C6052E">
        <w:rPr>
          <w:i/>
        </w:rPr>
        <w:t xml:space="preserve"> </w:t>
      </w:r>
      <w:r w:rsidRPr="00C6052E">
        <w:rPr>
          <w:i/>
        </w:rPr>
        <w:t>Not-for-Profit</w:t>
      </w:r>
      <w:r w:rsidR="00177848" w:rsidRPr="00C6052E">
        <w:rPr>
          <w:i/>
        </w:rPr>
        <w:t xml:space="preserve"> </w:t>
      </w:r>
      <w:r w:rsidRPr="00C6052E">
        <w:rPr>
          <w:i/>
        </w:rPr>
        <w:t>Entities</w:t>
      </w:r>
      <w:r w:rsidRPr="00C6052E">
        <w:t>.</w:t>
      </w:r>
    </w:p>
    <w:p w14:paraId="0C3B7D74" w14:textId="3FB1E141" w:rsidR="00EE5BB8" w:rsidRPr="00C6052E" w:rsidRDefault="00EE5BB8" w:rsidP="00EE5BB8">
      <w:r w:rsidRPr="00C6052E">
        <w:rPr>
          <w:spacing w:val="-2"/>
        </w:rPr>
        <w:t>Output</w:t>
      </w:r>
      <w:r w:rsidR="00177848" w:rsidRPr="00C6052E">
        <w:rPr>
          <w:spacing w:val="-2"/>
        </w:rPr>
        <w:t xml:space="preserve"> </w:t>
      </w:r>
      <w:r w:rsidRPr="00C6052E">
        <w:rPr>
          <w:spacing w:val="-2"/>
        </w:rPr>
        <w:t>appropriations:</w:t>
      </w:r>
      <w:r w:rsidR="00177848" w:rsidRPr="00C6052E">
        <w:rPr>
          <w:spacing w:val="-2"/>
        </w:rPr>
        <w:t xml:space="preserve"> </w:t>
      </w:r>
      <w:r w:rsidRPr="00C6052E">
        <w:rPr>
          <w:spacing w:val="-2"/>
        </w:rPr>
        <w:t>Income</w:t>
      </w:r>
      <w:r w:rsidR="00177848" w:rsidRPr="00C6052E">
        <w:rPr>
          <w:spacing w:val="-2"/>
        </w:rPr>
        <w:t xml:space="preserve"> </w:t>
      </w:r>
      <w:r w:rsidRPr="00C6052E">
        <w:rPr>
          <w:spacing w:val="-2"/>
        </w:rPr>
        <w:t>from</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outputs</w:t>
      </w:r>
      <w:r w:rsidR="00177848" w:rsidRPr="00C6052E">
        <w:rPr>
          <w:spacing w:val="-2"/>
        </w:rPr>
        <w:t xml:space="preserve"> </w:t>
      </w:r>
      <w:r w:rsidRPr="00C6052E">
        <w:rPr>
          <w:spacing w:val="-2"/>
        </w:rPr>
        <w:fldChar w:fldCharType="begin"/>
      </w:r>
      <w:r w:rsidRPr="00C6052E">
        <w:rPr>
          <w:spacing w:val="-2"/>
        </w:rPr>
        <w:instrText xml:space="preserve"> DOCPROPERTY  shortName  \* MERGEFORMAT </w:instrText>
      </w:r>
      <w:r w:rsidRPr="00C6052E">
        <w:rPr>
          <w:spacing w:val="-2"/>
        </w:rPr>
        <w:fldChar w:fldCharType="separate"/>
      </w:r>
      <w:r w:rsidRPr="00C6052E">
        <w:rPr>
          <w:spacing w:val="-2"/>
        </w:rPr>
        <w:t>DJSIR</w:t>
      </w:r>
      <w:r w:rsidRPr="00C6052E">
        <w:rPr>
          <w:spacing w:val="-2"/>
        </w:rPr>
        <w:fldChar w:fldCharType="end"/>
      </w:r>
      <w:r w:rsidR="00177848" w:rsidRPr="00C6052E">
        <w:t xml:space="preserve"> </w:t>
      </w:r>
      <w:r w:rsidRPr="00C6052E">
        <w:t>provides</w:t>
      </w:r>
      <w:r w:rsidR="00177848" w:rsidRPr="00C6052E">
        <w:t xml:space="preserve"> </w:t>
      </w:r>
      <w:r w:rsidRPr="00C6052E">
        <w:t>to</w:t>
      </w:r>
      <w:r w:rsidR="00177848" w:rsidRPr="00C6052E">
        <w:t xml:space="preserve"> </w:t>
      </w:r>
      <w:r w:rsidRPr="00C6052E">
        <w:t>the</w:t>
      </w:r>
      <w:r w:rsidR="00177848" w:rsidRPr="00C6052E">
        <w:t xml:space="preserve"> </w:t>
      </w:r>
      <w:r w:rsidRPr="00C6052E">
        <w:t>Government</w:t>
      </w:r>
      <w:r w:rsidR="00177848" w:rsidRPr="00C6052E">
        <w:t xml:space="preserve"> </w:t>
      </w:r>
      <w:r w:rsidRPr="00C6052E">
        <w:t>is</w:t>
      </w:r>
      <w:r w:rsidR="00177848" w:rsidRPr="00C6052E">
        <w:t xml:space="preserve"> </w:t>
      </w:r>
      <w:r w:rsidRPr="00C6052E">
        <w:t>recognised</w:t>
      </w:r>
      <w:r w:rsidR="00177848" w:rsidRPr="00C6052E">
        <w:t xml:space="preserve"> </w:t>
      </w:r>
      <w:r w:rsidRPr="00C6052E">
        <w:t>when</w:t>
      </w:r>
      <w:r w:rsidR="00177848" w:rsidRPr="00C6052E">
        <w:t xml:space="preserve"> </w:t>
      </w:r>
      <w:r w:rsidRPr="00C6052E">
        <w:t>those</w:t>
      </w:r>
      <w:r w:rsidR="00177848" w:rsidRPr="00C6052E">
        <w:t xml:space="preserve"> </w:t>
      </w:r>
      <w:r w:rsidRPr="00C6052E">
        <w:t>outputs</w:t>
      </w:r>
      <w:r w:rsidR="00177848" w:rsidRPr="00C6052E">
        <w:t xml:space="preserve"> </w:t>
      </w:r>
      <w:r w:rsidRPr="00C6052E">
        <w:t>have</w:t>
      </w:r>
      <w:r w:rsidR="00177848" w:rsidRPr="00C6052E">
        <w:t xml:space="preserve"> </w:t>
      </w:r>
      <w:r w:rsidRPr="00C6052E">
        <w:t>been</w:t>
      </w:r>
      <w:r w:rsidR="00177848" w:rsidRPr="00C6052E">
        <w:t xml:space="preserve"> </w:t>
      </w:r>
      <w:r w:rsidRPr="00C6052E">
        <w:t>delivered</w:t>
      </w:r>
      <w:r w:rsidR="00177848" w:rsidRPr="00C6052E">
        <w:t xml:space="preserve"> </w:t>
      </w:r>
      <w:r w:rsidRPr="00C6052E">
        <w:t>and</w:t>
      </w:r>
      <w:r w:rsidR="00177848" w:rsidRPr="00C6052E">
        <w:t xml:space="preserve"> </w:t>
      </w:r>
      <w:r w:rsidRPr="00C6052E">
        <w:t>the</w:t>
      </w:r>
      <w:r w:rsidR="00177848" w:rsidRPr="00C6052E">
        <w:t xml:space="preserve"> </w:t>
      </w:r>
      <w:r w:rsidRPr="00C6052E">
        <w:t>relevant</w:t>
      </w:r>
      <w:r w:rsidR="00177848" w:rsidRPr="00C6052E">
        <w:t xml:space="preserve"> </w:t>
      </w:r>
      <w:r w:rsidRPr="00C6052E">
        <w:t>minister</w:t>
      </w:r>
      <w:r w:rsidR="00177848" w:rsidRPr="00C6052E">
        <w:t xml:space="preserve"> </w:t>
      </w:r>
      <w:r w:rsidRPr="00C6052E">
        <w:t>has</w:t>
      </w:r>
      <w:r w:rsidR="00177848" w:rsidRPr="00C6052E">
        <w:t xml:space="preserve"> </w:t>
      </w:r>
      <w:r w:rsidRPr="00C6052E">
        <w:t>certified</w:t>
      </w:r>
      <w:r w:rsidR="00177848" w:rsidRPr="00C6052E">
        <w:t xml:space="preserve"> </w:t>
      </w:r>
      <w:r w:rsidRPr="00C6052E">
        <w:t>delivery</w:t>
      </w:r>
      <w:r w:rsidR="00177848" w:rsidRPr="00C6052E">
        <w:t xml:space="preserve"> </w:t>
      </w:r>
      <w:r w:rsidRPr="00C6052E">
        <w:t>of</w:t>
      </w:r>
      <w:r w:rsidR="00177848" w:rsidRPr="00C6052E">
        <w:t xml:space="preserve"> </w:t>
      </w:r>
      <w:r w:rsidRPr="00C6052E">
        <w:t>those</w:t>
      </w:r>
      <w:r w:rsidR="00177848" w:rsidRPr="00C6052E">
        <w:t xml:space="preserve"> </w:t>
      </w:r>
      <w:r w:rsidRPr="00C6052E">
        <w:t>outputs</w:t>
      </w:r>
      <w:r w:rsidR="00177848" w:rsidRPr="00C6052E">
        <w:t xml:space="preserve"> </w:t>
      </w:r>
      <w:r w:rsidRPr="00C6052E">
        <w:t>in</w:t>
      </w:r>
      <w:r w:rsidR="00177848" w:rsidRPr="00C6052E">
        <w:t xml:space="preserve"> </w:t>
      </w:r>
      <w:r w:rsidRPr="00C6052E">
        <w:t>accordance</w:t>
      </w:r>
      <w:r w:rsidR="00177848" w:rsidRPr="00C6052E">
        <w:t xml:space="preserve"> </w:t>
      </w:r>
      <w:r w:rsidRPr="00C6052E">
        <w:t>with</w:t>
      </w:r>
      <w:r w:rsidR="00177848" w:rsidRPr="00C6052E">
        <w:t xml:space="preserve"> </w:t>
      </w:r>
      <w:r w:rsidRPr="00C6052E">
        <w:t>specified</w:t>
      </w:r>
      <w:r w:rsidR="00177848" w:rsidRPr="00C6052E">
        <w:t xml:space="preserve"> </w:t>
      </w:r>
      <w:r w:rsidRPr="00C6052E">
        <w:t>performance</w:t>
      </w:r>
      <w:r w:rsidR="00177848" w:rsidRPr="00C6052E">
        <w:t xml:space="preserve"> </w:t>
      </w:r>
      <w:r w:rsidRPr="00C6052E">
        <w:t>criteria.</w:t>
      </w:r>
    </w:p>
    <w:p w14:paraId="61488D86" w14:textId="5DD5DCE8" w:rsidR="00EE5BB8" w:rsidRPr="00C6052E" w:rsidRDefault="00EE5BB8" w:rsidP="00EE5BB8">
      <w:pPr>
        <w:keepLines/>
      </w:pPr>
      <w:r w:rsidRPr="00C6052E">
        <w:lastRenderedPageBreak/>
        <w:t>Special</w:t>
      </w:r>
      <w:r w:rsidR="00177848" w:rsidRPr="00C6052E">
        <w:t xml:space="preserve"> </w:t>
      </w:r>
      <w:r w:rsidRPr="00C6052E">
        <w:t>appropriation:</w:t>
      </w:r>
      <w:r w:rsidR="00177848" w:rsidRPr="00C6052E">
        <w:t xml:space="preserve"> </w:t>
      </w:r>
      <w:r w:rsidRPr="00C6052E">
        <w:t>In</w:t>
      </w:r>
      <w:r w:rsidR="00177848" w:rsidRPr="00C6052E">
        <w:t xml:space="preserve"> </w:t>
      </w:r>
      <w:r w:rsidRPr="00C6052E">
        <w:t>accordance</w:t>
      </w:r>
      <w:r w:rsidR="00177848" w:rsidRPr="00C6052E">
        <w:t xml:space="preserve"> </w:t>
      </w:r>
      <w:r w:rsidRPr="00C6052E">
        <w:t>with</w:t>
      </w:r>
      <w:r w:rsidR="00177848" w:rsidRPr="00C6052E">
        <w:t xml:space="preserve"> </w:t>
      </w:r>
      <w:r w:rsidRPr="00C6052E">
        <w:t>section</w:t>
      </w:r>
      <w:r w:rsidR="00177848" w:rsidRPr="00C6052E">
        <w:t xml:space="preserve"> </w:t>
      </w:r>
      <w:r w:rsidRPr="00C6052E">
        <w:t>10</w:t>
      </w:r>
      <w:r w:rsidR="00177848" w:rsidRPr="00C6052E">
        <w:t xml:space="preserve"> </w:t>
      </w:r>
      <w:r w:rsidRPr="00C6052E">
        <w:t>of</w:t>
      </w:r>
      <w:r w:rsidR="00177848" w:rsidRPr="00C6052E">
        <w:t xml:space="preserve"> </w:t>
      </w:r>
      <w:r w:rsidRPr="00C6052E">
        <w:t>the</w:t>
      </w:r>
      <w:r w:rsidR="00177848" w:rsidRPr="00C6052E">
        <w:t xml:space="preserve"> </w:t>
      </w:r>
      <w:r w:rsidRPr="00C6052E">
        <w:rPr>
          <w:i/>
          <w:iCs/>
        </w:rPr>
        <w:t>Financial</w:t>
      </w:r>
      <w:r w:rsidR="00177848" w:rsidRPr="00C6052E">
        <w:rPr>
          <w:i/>
          <w:iCs/>
        </w:rPr>
        <w:t xml:space="preserve"> </w:t>
      </w:r>
      <w:r w:rsidRPr="00C6052E">
        <w:rPr>
          <w:i/>
          <w:iCs/>
        </w:rPr>
        <w:t>Management</w:t>
      </w:r>
      <w:r w:rsidR="00177848" w:rsidRPr="00C6052E">
        <w:rPr>
          <w:i/>
          <w:iCs/>
        </w:rPr>
        <w:t xml:space="preserve"> </w:t>
      </w:r>
      <w:r w:rsidRPr="00C6052E">
        <w:rPr>
          <w:i/>
          <w:iCs/>
        </w:rPr>
        <w:t>Act</w:t>
      </w:r>
      <w:r w:rsidR="00177848" w:rsidRPr="00C6052E">
        <w:rPr>
          <w:i/>
          <w:iCs/>
        </w:rPr>
        <w:t xml:space="preserve"> </w:t>
      </w:r>
      <w:r w:rsidRPr="00C6052E">
        <w:rPr>
          <w:i/>
          <w:iCs/>
        </w:rPr>
        <w:t>1994</w:t>
      </w:r>
      <w:r w:rsidR="00177848" w:rsidRPr="00C6052E">
        <w:t xml:space="preserve"> </w:t>
      </w:r>
      <w:r w:rsidRPr="00C6052E">
        <w:t>DJSIR</w:t>
      </w:r>
      <w:r w:rsidR="00177848" w:rsidRPr="00C6052E">
        <w:t xml:space="preserve"> </w:t>
      </w:r>
      <w:r w:rsidRPr="00C6052E">
        <w:t>has</w:t>
      </w:r>
      <w:r w:rsidR="00177848" w:rsidRPr="00C6052E">
        <w:t xml:space="preserve"> </w:t>
      </w:r>
      <w:r w:rsidRPr="00C6052E">
        <w:t>arrangements</w:t>
      </w:r>
      <w:r w:rsidR="00177848" w:rsidRPr="00C6052E">
        <w:t xml:space="preserve"> </w:t>
      </w:r>
      <w:r w:rsidRPr="00C6052E">
        <w:t>between</w:t>
      </w:r>
      <w:r w:rsidR="00177848" w:rsidRPr="00C6052E">
        <w:t xml:space="preserve"> </w:t>
      </w:r>
      <w:r w:rsidRPr="00C6052E">
        <w:t>the</w:t>
      </w:r>
      <w:r w:rsidR="00177848" w:rsidRPr="00C6052E">
        <w:t xml:space="preserve"> </w:t>
      </w:r>
      <w:r w:rsidRPr="00C6052E">
        <w:t>Commonwealth</w:t>
      </w:r>
      <w:r w:rsidR="00177848" w:rsidRPr="00C6052E">
        <w:t xml:space="preserve"> </w:t>
      </w:r>
      <w:r w:rsidRPr="00C6052E">
        <w:t>and</w:t>
      </w:r>
      <w:r w:rsidR="00177848" w:rsidRPr="00C6052E">
        <w:t xml:space="preserve"> </w:t>
      </w:r>
      <w:r w:rsidRPr="00C6052E">
        <w:t>the</w:t>
      </w:r>
      <w:r w:rsidR="00177848" w:rsidRPr="00C6052E">
        <w:t xml:space="preserve"> </w:t>
      </w:r>
      <w:r w:rsidRPr="00C6052E">
        <w:t>State</w:t>
      </w:r>
      <w:r w:rsidR="00177848" w:rsidRPr="00C6052E">
        <w:t xml:space="preserve"> </w:t>
      </w:r>
      <w:r w:rsidRPr="00C6052E">
        <w:t>for</w:t>
      </w:r>
      <w:r w:rsidR="00177848" w:rsidRPr="00C6052E">
        <w:t xml:space="preserve"> </w:t>
      </w:r>
      <w:r w:rsidRPr="00C6052E">
        <w:t>money</w:t>
      </w:r>
      <w:r w:rsidR="00177848" w:rsidRPr="00C6052E">
        <w:t xml:space="preserve"> </w:t>
      </w:r>
      <w:r w:rsidRPr="00C6052E">
        <w:t>to</w:t>
      </w:r>
      <w:r w:rsidR="00177848" w:rsidRPr="00C6052E">
        <w:t xml:space="preserve"> </w:t>
      </w:r>
      <w:r w:rsidRPr="00C6052E">
        <w:t>be</w:t>
      </w:r>
      <w:r w:rsidR="00177848" w:rsidRPr="00C6052E">
        <w:t xml:space="preserve"> </w:t>
      </w:r>
      <w:r w:rsidRPr="00C6052E">
        <w:t>granted</w:t>
      </w:r>
      <w:r w:rsidR="00177848" w:rsidRPr="00C6052E">
        <w:t xml:space="preserve"> </w:t>
      </w:r>
      <w:r w:rsidRPr="00C6052E">
        <w:t>or</w:t>
      </w:r>
      <w:r w:rsidR="00177848" w:rsidRPr="00C6052E">
        <w:t xml:space="preserve"> </w:t>
      </w:r>
      <w:r w:rsidRPr="00C6052E">
        <w:t>made</w:t>
      </w:r>
      <w:r w:rsidR="00177848" w:rsidRPr="00C6052E">
        <w:t xml:space="preserve"> </w:t>
      </w:r>
      <w:r w:rsidRPr="00C6052E">
        <w:t>available</w:t>
      </w:r>
      <w:r w:rsidR="00177848" w:rsidRPr="00C6052E">
        <w:t xml:space="preserve"> </w:t>
      </w:r>
      <w:r w:rsidRPr="00C6052E">
        <w:t>from</w:t>
      </w:r>
      <w:r w:rsidR="00177848" w:rsidRPr="00C6052E">
        <w:t xml:space="preserve"> </w:t>
      </w:r>
      <w:r w:rsidRPr="00C6052E">
        <w:t>the</w:t>
      </w:r>
      <w:r w:rsidR="00177848" w:rsidRPr="00C6052E">
        <w:t xml:space="preserve"> </w:t>
      </w:r>
      <w:r w:rsidRPr="00C6052E">
        <w:t>Consolidated</w:t>
      </w:r>
      <w:r w:rsidR="00177848" w:rsidRPr="00C6052E">
        <w:t xml:space="preserve"> </w:t>
      </w:r>
      <w:r w:rsidRPr="00C6052E">
        <w:t>Fund</w:t>
      </w:r>
      <w:r w:rsidR="00177848" w:rsidRPr="00C6052E">
        <w:t xml:space="preserve"> </w:t>
      </w:r>
      <w:r w:rsidRPr="00C6052E">
        <w:t>with</w:t>
      </w:r>
      <w:r w:rsidR="00177848" w:rsidRPr="00C6052E">
        <w:t xml:space="preserve"> </w:t>
      </w:r>
      <w:r w:rsidRPr="00C6052E">
        <w:t>the</w:t>
      </w:r>
      <w:r w:rsidR="00177848" w:rsidRPr="00C6052E">
        <w:t xml:space="preserve"> </w:t>
      </w:r>
      <w:r w:rsidRPr="00C6052E">
        <w:t>approval</w:t>
      </w:r>
      <w:r w:rsidR="00177848" w:rsidRPr="00C6052E">
        <w:t xml:space="preserve"> </w:t>
      </w:r>
      <w:r w:rsidRPr="00C6052E">
        <w:t>of</w:t>
      </w:r>
      <w:r w:rsidR="00177848" w:rsidRPr="00C6052E">
        <w:t xml:space="preserve"> </w:t>
      </w:r>
      <w:r w:rsidRPr="00C6052E">
        <w:t>the</w:t>
      </w:r>
      <w:r w:rsidR="00177848" w:rsidRPr="00C6052E">
        <w:t xml:space="preserve"> </w:t>
      </w:r>
      <w:r w:rsidRPr="00C6052E">
        <w:t>Governor</w:t>
      </w:r>
      <w:r w:rsidR="00177848" w:rsidRPr="00C6052E">
        <w:t xml:space="preserve"> </w:t>
      </w:r>
      <w:r w:rsidRPr="00C6052E">
        <w:t>in</w:t>
      </w:r>
      <w:r w:rsidR="00177848" w:rsidRPr="00C6052E">
        <w:t xml:space="preserve"> </w:t>
      </w:r>
      <w:r w:rsidRPr="00C6052E">
        <w:t>Council.</w:t>
      </w:r>
      <w:r w:rsidR="00177848" w:rsidRPr="00C6052E">
        <w:t xml:space="preserve"> </w:t>
      </w:r>
      <w:r w:rsidRPr="00C6052E">
        <w:t>Appropriation</w:t>
      </w:r>
      <w:r w:rsidR="00177848" w:rsidRPr="00C6052E">
        <w:t xml:space="preserve"> </w:t>
      </w:r>
      <w:r w:rsidRPr="00C6052E">
        <w:t>applied</w:t>
      </w:r>
      <w:r w:rsidR="00177848" w:rsidRPr="00C6052E">
        <w:t xml:space="preserve"> </w:t>
      </w:r>
      <w:r w:rsidRPr="00C6052E">
        <w:t>in</w:t>
      </w:r>
      <w:r w:rsidR="00177848" w:rsidRPr="00C6052E">
        <w:t xml:space="preserve"> </w:t>
      </w:r>
      <w:r w:rsidRPr="00C6052E">
        <w:t>2025</w:t>
      </w:r>
      <w:r w:rsidR="00177848" w:rsidRPr="00C6052E">
        <w:t xml:space="preserve"> </w:t>
      </w:r>
      <w:r w:rsidRPr="00C6052E">
        <w:t>was</w:t>
      </w:r>
      <w:r w:rsidR="00177848" w:rsidRPr="00C6052E">
        <w:t xml:space="preserve"> </w:t>
      </w:r>
      <w:r w:rsidRPr="00C6052E">
        <w:t>$96.3</w:t>
      </w:r>
      <w:r w:rsidR="00177848" w:rsidRPr="00C6052E">
        <w:t xml:space="preserve"> </w:t>
      </w:r>
      <w:r w:rsidRPr="00C6052E">
        <w:t>million</w:t>
      </w:r>
      <w:r w:rsidR="00177848" w:rsidRPr="00C6052E">
        <w:t xml:space="preserve"> </w:t>
      </w:r>
      <w:r w:rsidRPr="00C6052E">
        <w:t>(2024:</w:t>
      </w:r>
      <w:r w:rsidR="00177848" w:rsidRPr="00C6052E">
        <w:t xml:space="preserve"> </w:t>
      </w:r>
      <w:r w:rsidRPr="00C6052E">
        <w:t>Nil).</w:t>
      </w:r>
    </w:p>
    <w:p w14:paraId="376A4B56" w14:textId="77777777" w:rsidR="00EE5BB8" w:rsidRPr="00C6052E" w:rsidRDefault="00EE5BB8" w:rsidP="00EE5BB8"/>
    <w:p w14:paraId="03D8ED2D" w14:textId="77777777" w:rsidR="00EE5BB8" w:rsidRPr="00C6052E" w:rsidRDefault="00EE5BB8" w:rsidP="00EE5BB8">
      <w:pPr>
        <w:sectPr w:rsidR="00EE5BB8" w:rsidRPr="00C6052E" w:rsidSect="00EE5BB8">
          <w:headerReference w:type="even" r:id="rId14"/>
          <w:endnotePr>
            <w:numFmt w:val="decimal"/>
          </w:endnotePr>
          <w:type w:val="continuous"/>
          <w:pgSz w:w="11907" w:h="16840" w:code="9"/>
          <w:pgMar w:top="1134" w:right="1134" w:bottom="1134" w:left="1134" w:header="567" w:footer="567" w:gutter="0"/>
          <w:cols w:space="708"/>
          <w:docGrid w:linePitch="360"/>
        </w:sectPr>
      </w:pPr>
    </w:p>
    <w:p w14:paraId="340F7D0A" w14:textId="6D860E55" w:rsidR="00EE5BB8" w:rsidRPr="00C6052E" w:rsidRDefault="00EE5BB8" w:rsidP="00EA66F2">
      <w:pPr>
        <w:pStyle w:val="Heading2numbered0"/>
      </w:pPr>
      <w:bookmarkStart w:id="103" w:name="_Toc163565947"/>
      <w:bookmarkStart w:id="104" w:name="_Ref209187549"/>
      <w:bookmarkStart w:id="105" w:name="_Ref209187564"/>
      <w:bookmarkStart w:id="106" w:name="_Ref209703410"/>
      <w:r w:rsidRPr="00C6052E">
        <w:lastRenderedPageBreak/>
        <w:t>Summary</w:t>
      </w:r>
      <w:r w:rsidR="00177848" w:rsidRPr="00C6052E">
        <w:t xml:space="preserve"> </w:t>
      </w:r>
      <w:r w:rsidRPr="00C6052E">
        <w:t>of</w:t>
      </w:r>
      <w:r w:rsidR="00177848" w:rsidRPr="00C6052E">
        <w:t xml:space="preserve"> </w:t>
      </w:r>
      <w:r w:rsidRPr="00C6052E">
        <w:t>compliance</w:t>
      </w:r>
      <w:r w:rsidR="00177848" w:rsidRPr="00C6052E">
        <w:t xml:space="preserve"> </w:t>
      </w:r>
      <w:r w:rsidRPr="00EA66F2">
        <w:t>with</w:t>
      </w:r>
      <w:r w:rsidR="00177848" w:rsidRPr="00C6052E">
        <w:t xml:space="preserve"> </w:t>
      </w:r>
      <w:r w:rsidRPr="00C6052E">
        <w:t>annual</w:t>
      </w:r>
      <w:r w:rsidR="00177848" w:rsidRPr="00C6052E">
        <w:t xml:space="preserve"> </w:t>
      </w:r>
      <w:r w:rsidRPr="00C6052E">
        <w:t>Parliamentary</w:t>
      </w:r>
      <w:r w:rsidR="00177848" w:rsidRPr="00C6052E">
        <w:t xml:space="preserve"> </w:t>
      </w:r>
      <w:r w:rsidRPr="00C6052E">
        <w:t>appropriations</w:t>
      </w:r>
      <w:bookmarkEnd w:id="103"/>
      <w:bookmarkEnd w:id="104"/>
      <w:bookmarkEnd w:id="105"/>
      <w:bookmarkEnd w:id="106"/>
      <w:r w:rsidR="00177848" w:rsidRPr="00C6052E">
        <w:t xml:space="preserve"> </w:t>
      </w:r>
      <w:r w:rsidR="00445EF8" w:rsidRPr="00C6052E">
        <w:t>($ thousand)</w:t>
      </w:r>
    </w:p>
    <w:p w14:paraId="513CAA1F" w14:textId="6D3FAC46" w:rsidR="00EE5BB8" w:rsidRPr="00C6052E" w:rsidRDefault="00EE5BB8" w:rsidP="00EE5BB8">
      <w:r w:rsidRPr="00C6052E">
        <w:t>The</w:t>
      </w:r>
      <w:r w:rsidR="00177848" w:rsidRPr="00C6052E">
        <w:t xml:space="preserve"> </w:t>
      </w:r>
      <w:r w:rsidRPr="00C6052E">
        <w:t>following</w:t>
      </w:r>
      <w:r w:rsidR="00177848" w:rsidRPr="00C6052E">
        <w:t xml:space="preserve"> </w:t>
      </w:r>
      <w:r w:rsidRPr="00C6052E">
        <w:t>table</w:t>
      </w:r>
      <w:r w:rsidR="00177848" w:rsidRPr="00C6052E">
        <w:t xml:space="preserve"> </w:t>
      </w:r>
      <w:r w:rsidRPr="00C6052E">
        <w:t>discloses</w:t>
      </w:r>
      <w:r w:rsidR="00177848" w:rsidRPr="00C6052E">
        <w:t xml:space="preserve"> </w:t>
      </w:r>
      <w:r w:rsidRPr="00C6052E">
        <w:t>the</w:t>
      </w:r>
      <w:r w:rsidR="00177848" w:rsidRPr="00C6052E">
        <w:t xml:space="preserve"> </w:t>
      </w:r>
      <w:r w:rsidRPr="00C6052E">
        <w:t>details</w:t>
      </w:r>
      <w:r w:rsidR="00177848" w:rsidRPr="00C6052E">
        <w:t xml:space="preserve"> </w:t>
      </w:r>
      <w:r w:rsidRPr="00C6052E">
        <w:t>of</w:t>
      </w:r>
      <w:r w:rsidR="00177848" w:rsidRPr="00C6052E">
        <w:t xml:space="preserve"> </w:t>
      </w:r>
      <w:r w:rsidRPr="00C6052E">
        <w:t>the</w:t>
      </w:r>
      <w:r w:rsidR="00177848" w:rsidRPr="00C6052E">
        <w:t xml:space="preserve"> </w:t>
      </w:r>
      <w:r w:rsidRPr="00C6052E">
        <w:t>various</w:t>
      </w:r>
      <w:r w:rsidR="00177848" w:rsidRPr="00C6052E">
        <w:t xml:space="preserve"> </w:t>
      </w:r>
      <w:r w:rsidRPr="00C6052E">
        <w:t>annual</w:t>
      </w:r>
      <w:r w:rsidR="00177848" w:rsidRPr="00C6052E">
        <w:t xml:space="preserve"> </w:t>
      </w:r>
      <w:r w:rsidRPr="00C6052E">
        <w:t>Parliamentary</w:t>
      </w:r>
      <w:r w:rsidR="00177848" w:rsidRPr="00C6052E">
        <w:t xml:space="preserve"> </w:t>
      </w:r>
      <w:r w:rsidRPr="00C6052E">
        <w:t>appropriations</w:t>
      </w:r>
      <w:r w:rsidR="00177848" w:rsidRPr="00C6052E">
        <w:t xml:space="preserve"> </w:t>
      </w:r>
      <w:r w:rsidRPr="00C6052E">
        <w:t>received</w:t>
      </w:r>
      <w:r w:rsidR="00177848" w:rsidRPr="00C6052E">
        <w:t xml:space="preserve"> </w:t>
      </w:r>
      <w:r w:rsidRPr="00C6052E">
        <w:t>by</w:t>
      </w:r>
      <w:r w:rsidR="00177848" w:rsidRPr="00C6052E">
        <w:t xml:space="preserve"> </w:t>
      </w:r>
      <w:fldSimple w:instr=" DOCPROPERTY  shortName  \* MERGEFORMAT ">
        <w:r w:rsidRPr="00C6052E">
          <w:t>DJSIR</w:t>
        </w:r>
      </w:fldSimple>
      <w:r w:rsidR="00177848" w:rsidRPr="00C6052E">
        <w:t xml:space="preserve"> </w:t>
      </w:r>
      <w:r w:rsidRPr="00C6052E">
        <w:t>for</w:t>
      </w:r>
      <w:r w:rsidR="00177848" w:rsidRPr="00C6052E">
        <w:t xml:space="preserve"> </w:t>
      </w:r>
      <w:r w:rsidRPr="00C6052E">
        <w:t>the</w:t>
      </w:r>
      <w:r w:rsidR="00177848" w:rsidRPr="00C6052E">
        <w:t xml:space="preserve"> </w:t>
      </w:r>
      <w:r w:rsidRPr="00C6052E">
        <w:t>year.</w:t>
      </w:r>
      <w:r w:rsidR="00177848" w:rsidRPr="00C6052E">
        <w:t xml:space="preserve"> </w:t>
      </w:r>
    </w:p>
    <w:p w14:paraId="1F5737A9" w14:textId="6E4EE840" w:rsidR="00EE5BB8" w:rsidRPr="00C6052E" w:rsidRDefault="00EE5BB8" w:rsidP="00EE5BB8">
      <w:pPr>
        <w:rPr>
          <w:spacing w:val="-2"/>
        </w:rPr>
      </w:pPr>
      <w:r w:rsidRPr="00C6052E">
        <w:rPr>
          <w:spacing w:val="-2"/>
        </w:rPr>
        <w:t>In</w:t>
      </w:r>
      <w:r w:rsidR="00177848" w:rsidRPr="00C6052E">
        <w:rPr>
          <w:spacing w:val="-2"/>
        </w:rPr>
        <w:t xml:space="preserve"> </w:t>
      </w:r>
      <w:r w:rsidRPr="00C6052E">
        <w:rPr>
          <w:spacing w:val="-2"/>
        </w:rPr>
        <w:t>accordance</w:t>
      </w:r>
      <w:r w:rsidR="00177848" w:rsidRPr="00C6052E">
        <w:rPr>
          <w:spacing w:val="-2"/>
        </w:rPr>
        <w:t xml:space="preserve"> </w:t>
      </w:r>
      <w:r w:rsidRPr="00C6052E">
        <w:rPr>
          <w:spacing w:val="-2"/>
        </w:rPr>
        <w:t>with</w:t>
      </w:r>
      <w:r w:rsidR="00177848" w:rsidRPr="00C6052E">
        <w:rPr>
          <w:spacing w:val="-2"/>
        </w:rPr>
        <w:t xml:space="preserve"> </w:t>
      </w:r>
      <w:r w:rsidRPr="00C6052E">
        <w:rPr>
          <w:spacing w:val="-2"/>
        </w:rPr>
        <w:t>accrual</w:t>
      </w:r>
      <w:r w:rsidR="00177848" w:rsidRPr="00C6052E">
        <w:rPr>
          <w:spacing w:val="-2"/>
        </w:rPr>
        <w:t xml:space="preserve"> </w:t>
      </w:r>
      <w:r w:rsidRPr="00C6052E">
        <w:rPr>
          <w:spacing w:val="-2"/>
        </w:rPr>
        <w:t>output-based</w:t>
      </w:r>
      <w:r w:rsidR="00177848" w:rsidRPr="00C6052E">
        <w:rPr>
          <w:spacing w:val="-2"/>
        </w:rPr>
        <w:t xml:space="preserve"> </w:t>
      </w:r>
      <w:r w:rsidRPr="00C6052E">
        <w:rPr>
          <w:spacing w:val="-2"/>
        </w:rPr>
        <w:t>management</w:t>
      </w:r>
      <w:r w:rsidR="00177848" w:rsidRPr="00C6052E">
        <w:rPr>
          <w:spacing w:val="-2"/>
        </w:rPr>
        <w:t xml:space="preserve"> </w:t>
      </w:r>
      <w:r w:rsidRPr="00C6052E">
        <w:rPr>
          <w:spacing w:val="-2"/>
        </w:rPr>
        <w:t>procedures,</w:t>
      </w:r>
      <w:r w:rsidR="00177848" w:rsidRPr="00C6052E">
        <w:rPr>
          <w:spacing w:val="-2"/>
        </w:rPr>
        <w:t xml:space="preserve"> </w:t>
      </w:r>
      <w:r w:rsidRPr="00C6052E">
        <w:rPr>
          <w:spacing w:val="-2"/>
        </w:rPr>
        <w:t>‘provision</w:t>
      </w:r>
      <w:r w:rsidR="00177848" w:rsidRPr="00C6052E">
        <w:rPr>
          <w:spacing w:val="-2"/>
        </w:rPr>
        <w:t xml:space="preserve"> </w:t>
      </w:r>
      <w:r w:rsidRPr="00C6052E">
        <w:rPr>
          <w:spacing w:val="-2"/>
        </w:rPr>
        <w:t>of</w:t>
      </w:r>
      <w:r w:rsidR="00177848" w:rsidRPr="00C6052E">
        <w:rPr>
          <w:spacing w:val="-2"/>
        </w:rPr>
        <w:t xml:space="preserve"> </w:t>
      </w:r>
      <w:r w:rsidRPr="00C6052E">
        <w:rPr>
          <w:spacing w:val="-2"/>
        </w:rPr>
        <w:t>outputs’</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‘additions</w:t>
      </w:r>
      <w:r w:rsidR="00177848" w:rsidRPr="00C6052E">
        <w:rPr>
          <w:spacing w:val="-2"/>
        </w:rPr>
        <w:t xml:space="preserve"> </w:t>
      </w:r>
      <w:r w:rsidRPr="00C6052E">
        <w:rPr>
          <w:spacing w:val="-2"/>
        </w:rPr>
        <w:t>to</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net</w:t>
      </w:r>
      <w:r w:rsidR="00177848" w:rsidRPr="00C6052E">
        <w:rPr>
          <w:spacing w:val="-2"/>
        </w:rPr>
        <w:t xml:space="preserve"> </w:t>
      </w:r>
      <w:r w:rsidRPr="00C6052E">
        <w:rPr>
          <w:spacing w:val="-2"/>
        </w:rPr>
        <w:t>assets</w:t>
      </w:r>
      <w:r w:rsidR="00177848" w:rsidRPr="00C6052E">
        <w:rPr>
          <w:spacing w:val="-2"/>
        </w:rPr>
        <w:t xml:space="preserve"> </w:t>
      </w:r>
      <w:r w:rsidRPr="00C6052E">
        <w:rPr>
          <w:spacing w:val="-2"/>
        </w:rPr>
        <w:t>base’</w:t>
      </w:r>
      <w:r w:rsidR="00177848" w:rsidRPr="00C6052E">
        <w:rPr>
          <w:spacing w:val="-2"/>
        </w:rPr>
        <w:t xml:space="preserve"> </w:t>
      </w:r>
      <w:r w:rsidRPr="00C6052E">
        <w:rPr>
          <w:spacing w:val="-2"/>
        </w:rPr>
        <w:t>are</w:t>
      </w:r>
      <w:r w:rsidR="00177848" w:rsidRPr="00C6052E">
        <w:rPr>
          <w:spacing w:val="-2"/>
        </w:rPr>
        <w:t xml:space="preserve"> </w:t>
      </w:r>
      <w:r w:rsidRPr="00C6052E">
        <w:rPr>
          <w:spacing w:val="-2"/>
        </w:rPr>
        <w:t>disclosed</w:t>
      </w:r>
      <w:r w:rsidR="00177848" w:rsidRPr="00C6052E">
        <w:rPr>
          <w:spacing w:val="-2"/>
        </w:rPr>
        <w:t xml:space="preserve"> </w:t>
      </w:r>
      <w:r w:rsidRPr="00C6052E">
        <w:rPr>
          <w:spacing w:val="-2"/>
        </w:rPr>
        <w:t>as</w:t>
      </w:r>
      <w:r w:rsidR="00177848" w:rsidRPr="00C6052E">
        <w:rPr>
          <w:spacing w:val="-2"/>
        </w:rPr>
        <w:t xml:space="preserve"> </w:t>
      </w:r>
      <w:r w:rsidRPr="00C6052E">
        <w:rPr>
          <w:spacing w:val="-2"/>
        </w:rPr>
        <w:t>‘controlled’</w:t>
      </w:r>
      <w:r w:rsidR="00177848" w:rsidRPr="00C6052E">
        <w:rPr>
          <w:spacing w:val="-2"/>
        </w:rPr>
        <w:t xml:space="preserve"> </w:t>
      </w:r>
      <w:r w:rsidRPr="00C6052E">
        <w:rPr>
          <w:spacing w:val="-2"/>
        </w:rPr>
        <w:t>activities</w:t>
      </w:r>
      <w:r w:rsidR="00177848" w:rsidRPr="00C6052E">
        <w:rPr>
          <w:spacing w:val="-2"/>
        </w:rPr>
        <w:t xml:space="preserve"> </w:t>
      </w:r>
      <w:r w:rsidRPr="00C6052E">
        <w:rPr>
          <w:spacing w:val="-2"/>
        </w:rPr>
        <w:t>of</w:t>
      </w:r>
      <w:r w:rsidR="00177848" w:rsidRPr="00C6052E">
        <w:rPr>
          <w:spacing w:val="-2"/>
        </w:rPr>
        <w:t xml:space="preserve"> </w:t>
      </w:r>
      <w:r w:rsidRPr="00C6052E">
        <w:rPr>
          <w:spacing w:val="-2"/>
        </w:rPr>
        <w:fldChar w:fldCharType="begin"/>
      </w:r>
      <w:r w:rsidRPr="00C6052E">
        <w:rPr>
          <w:spacing w:val="-2"/>
        </w:rPr>
        <w:instrText xml:space="preserve"> DOCPROPERTY  shortName  \* MERGEFORMAT </w:instrText>
      </w:r>
      <w:r w:rsidRPr="00C6052E">
        <w:rPr>
          <w:spacing w:val="-2"/>
        </w:rPr>
        <w:fldChar w:fldCharType="separate"/>
      </w:r>
      <w:r w:rsidRPr="00C6052E">
        <w:rPr>
          <w:spacing w:val="-2"/>
        </w:rPr>
        <w:t>DJSIR</w:t>
      </w:r>
      <w:r w:rsidRPr="00C6052E">
        <w:rPr>
          <w:spacing w:val="-2"/>
        </w:rPr>
        <w:fldChar w:fldCharType="end"/>
      </w:r>
      <w:r w:rsidRPr="00C6052E">
        <w:rPr>
          <w:spacing w:val="-2"/>
        </w:rPr>
        <w:t>.</w:t>
      </w:r>
      <w:r w:rsidR="00177848" w:rsidRPr="00C6052E">
        <w:rPr>
          <w:spacing w:val="-2"/>
        </w:rPr>
        <w:t xml:space="preserve"> </w:t>
      </w:r>
    </w:p>
    <w:tbl>
      <w:tblPr>
        <w:tblStyle w:val="TableGrid"/>
        <w:tblW w:w="14800" w:type="dxa"/>
        <w:tblInd w:w="-5" w:type="dxa"/>
        <w:tblLayout w:type="fixed"/>
        <w:tblLook w:val="04E0" w:firstRow="1" w:lastRow="1" w:firstColumn="1" w:lastColumn="0" w:noHBand="0" w:noVBand="1"/>
      </w:tblPr>
      <w:tblGrid>
        <w:gridCol w:w="2835"/>
        <w:gridCol w:w="1559"/>
        <w:gridCol w:w="1137"/>
        <w:gridCol w:w="1140"/>
        <w:gridCol w:w="1409"/>
        <w:gridCol w:w="1373"/>
        <w:gridCol w:w="1604"/>
        <w:gridCol w:w="1178"/>
        <w:gridCol w:w="1373"/>
        <w:gridCol w:w="1192"/>
      </w:tblGrid>
      <w:tr w:rsidR="00EE5BB8" w:rsidRPr="00C6052E" w14:paraId="5D539A7E" w14:textId="77777777" w:rsidTr="00D02276">
        <w:trPr>
          <w:tblHeader/>
        </w:trPr>
        <w:tc>
          <w:tcPr>
            <w:tcW w:w="2835" w:type="dxa"/>
            <w:noWrap/>
          </w:tcPr>
          <w:p w14:paraId="08E4AAA1" w14:textId="77777777" w:rsidR="00EE5BB8" w:rsidRPr="00C6052E" w:rsidRDefault="00EE5BB8" w:rsidP="00D02276">
            <w:pPr>
              <w:pStyle w:val="TableColumnHeading"/>
            </w:pPr>
            <w:bookmarkStart w:id="107" w:name="TableColumnHeadings_44"/>
            <w:bookmarkEnd w:id="107"/>
          </w:p>
        </w:tc>
        <w:tc>
          <w:tcPr>
            <w:tcW w:w="1559" w:type="dxa"/>
            <w:hideMark/>
          </w:tcPr>
          <w:p w14:paraId="47728AA6" w14:textId="7FBD51CF" w:rsidR="00EE5BB8" w:rsidRPr="00C6052E" w:rsidRDefault="00445EF8" w:rsidP="00D02276">
            <w:pPr>
              <w:pStyle w:val="TableColumnHeading"/>
              <w:jc w:val="right"/>
              <w:rPr>
                <w:lang w:val="en-AU"/>
              </w:rPr>
            </w:pPr>
            <w:r w:rsidRPr="00C6052E">
              <w:rPr>
                <w:lang w:val="en-AU"/>
              </w:rPr>
              <w:t>Appropriations Act</w:t>
            </w:r>
            <w:r w:rsidRPr="00C6052E">
              <w:rPr>
                <w:spacing w:val="-2"/>
                <w:lang w:val="en-AU"/>
              </w:rPr>
              <w:t xml:space="preserve"> </w:t>
            </w:r>
            <w:r>
              <w:rPr>
                <w:spacing w:val="-2"/>
                <w:lang w:val="en-AU"/>
              </w:rPr>
              <w:br/>
            </w:r>
            <w:r w:rsidR="00EE5BB8" w:rsidRPr="00C6052E">
              <w:rPr>
                <w:spacing w:val="-2"/>
                <w:lang w:val="en-AU"/>
              </w:rPr>
              <w:t>Annual</w:t>
            </w:r>
            <w:r w:rsidR="00B1545C" w:rsidRPr="00C6052E">
              <w:rPr>
                <w:spacing w:val="-2"/>
                <w:lang w:val="en-AU"/>
              </w:rPr>
              <w:t xml:space="preserve"> </w:t>
            </w:r>
            <w:r w:rsidR="00EE5BB8" w:rsidRPr="00C6052E">
              <w:rPr>
                <w:spacing w:val="-2"/>
                <w:lang w:val="en-AU"/>
              </w:rPr>
              <w:br/>
              <w:t>Appropriation</w:t>
            </w:r>
            <w:r w:rsidR="00EE5BB8" w:rsidRPr="00C6052E">
              <w:rPr>
                <w:spacing w:val="-2"/>
                <w:vertAlign w:val="superscript"/>
                <w:lang w:val="en-AU"/>
              </w:rPr>
              <w:t>(i)</w:t>
            </w:r>
          </w:p>
        </w:tc>
        <w:tc>
          <w:tcPr>
            <w:tcW w:w="1137" w:type="dxa"/>
            <w:hideMark/>
          </w:tcPr>
          <w:p w14:paraId="103DE9EF" w14:textId="51FAB326" w:rsidR="00EE5BB8" w:rsidRPr="00C6052E" w:rsidRDefault="00445EF8" w:rsidP="00D02276">
            <w:pPr>
              <w:pStyle w:val="TableColumnHeading"/>
              <w:jc w:val="right"/>
              <w:rPr>
                <w:lang w:val="en-AU"/>
              </w:rPr>
            </w:pPr>
            <w:r w:rsidRPr="00C6052E">
              <w:rPr>
                <w:lang w:val="en-AU"/>
              </w:rPr>
              <w:t>Appropria</w:t>
            </w:r>
            <w:r w:rsidR="00D02276">
              <w:rPr>
                <w:lang w:val="en-AU"/>
              </w:rPr>
              <w:softHyphen/>
            </w:r>
            <w:r w:rsidRPr="00C6052E">
              <w:rPr>
                <w:lang w:val="en-AU"/>
              </w:rPr>
              <w:t>tions Act</w:t>
            </w:r>
            <w:r w:rsidRPr="00C6052E">
              <w:rPr>
                <w:spacing w:val="-2"/>
                <w:lang w:val="en-AU"/>
              </w:rPr>
              <w:t xml:space="preserve"> </w:t>
            </w:r>
            <w:r w:rsidR="00EE5BB8" w:rsidRPr="00C6052E">
              <w:rPr>
                <w:lang w:val="en-AU"/>
              </w:rPr>
              <w:t>Advance</w:t>
            </w:r>
            <w:r w:rsidR="00B1545C" w:rsidRPr="00C6052E">
              <w:rPr>
                <w:lang w:val="en-AU"/>
              </w:rPr>
              <w:t xml:space="preserve"> </w:t>
            </w:r>
            <w:r w:rsidR="00EE5BB8" w:rsidRPr="00C6052E">
              <w:rPr>
                <w:lang w:val="en-AU"/>
              </w:rPr>
              <w:br/>
              <w:t>from</w:t>
            </w:r>
            <w:r w:rsidR="00177848" w:rsidRPr="00C6052E">
              <w:rPr>
                <w:lang w:val="en-AU"/>
              </w:rPr>
              <w:t xml:space="preserve"> </w:t>
            </w:r>
            <w:r w:rsidR="00EE5BB8" w:rsidRPr="00C6052E">
              <w:rPr>
                <w:lang w:val="en-AU"/>
              </w:rPr>
              <w:t>Treasurer</w:t>
            </w:r>
          </w:p>
        </w:tc>
        <w:tc>
          <w:tcPr>
            <w:tcW w:w="1140" w:type="dxa"/>
            <w:hideMark/>
          </w:tcPr>
          <w:p w14:paraId="32443152" w14:textId="1A13748C" w:rsidR="00EE5BB8" w:rsidRPr="00C6052E" w:rsidRDefault="00445EF8" w:rsidP="00D02276">
            <w:pPr>
              <w:pStyle w:val="TableColumnHeading"/>
              <w:jc w:val="right"/>
              <w:rPr>
                <w:lang w:val="en-AU"/>
              </w:rPr>
            </w:pPr>
            <w:r w:rsidRPr="00C6052E">
              <w:rPr>
                <w:lang w:val="en-AU"/>
              </w:rPr>
              <w:t>Appropria</w:t>
            </w:r>
            <w:r w:rsidR="00D02276">
              <w:rPr>
                <w:lang w:val="en-AU"/>
              </w:rPr>
              <w:softHyphen/>
            </w:r>
            <w:r w:rsidRPr="00C6052E">
              <w:rPr>
                <w:lang w:val="en-AU"/>
              </w:rPr>
              <w:t>tions Act</w:t>
            </w:r>
            <w:r w:rsidRPr="00C6052E">
              <w:rPr>
                <w:spacing w:val="-2"/>
                <w:lang w:val="en-AU"/>
              </w:rPr>
              <w:t xml:space="preserve"> </w:t>
            </w:r>
            <w:r w:rsidR="00EE5BB8" w:rsidRPr="00C6052E">
              <w:rPr>
                <w:lang w:val="en-AU"/>
              </w:rPr>
              <w:t>Section</w:t>
            </w:r>
            <w:r w:rsidR="00B1545C" w:rsidRPr="00C6052E">
              <w:rPr>
                <w:lang w:val="en-AU"/>
              </w:rPr>
              <w:t xml:space="preserve"> </w:t>
            </w:r>
            <w:r w:rsidR="00EE5BB8" w:rsidRPr="00C6052E">
              <w:rPr>
                <w:lang w:val="en-AU"/>
              </w:rPr>
              <w:t>29</w:t>
            </w:r>
          </w:p>
        </w:tc>
        <w:tc>
          <w:tcPr>
            <w:tcW w:w="1409" w:type="dxa"/>
            <w:hideMark/>
          </w:tcPr>
          <w:p w14:paraId="7D24D2CE" w14:textId="0CFC9688" w:rsidR="00EE5BB8" w:rsidRPr="00C6052E" w:rsidRDefault="00445EF8" w:rsidP="00D02276">
            <w:pPr>
              <w:pStyle w:val="TableColumnHeading"/>
              <w:jc w:val="right"/>
              <w:rPr>
                <w:lang w:val="en-AU"/>
              </w:rPr>
            </w:pPr>
            <w:r w:rsidRPr="00C6052E">
              <w:rPr>
                <w:lang w:val="en-AU"/>
              </w:rPr>
              <w:t xml:space="preserve">Financial Management Act </w:t>
            </w:r>
            <w:r w:rsidR="00D02276">
              <w:rPr>
                <w:lang w:val="en-AU"/>
              </w:rPr>
              <w:br/>
            </w:r>
            <w:r w:rsidR="00EE5BB8" w:rsidRPr="00C6052E">
              <w:rPr>
                <w:lang w:val="en-AU"/>
              </w:rPr>
              <w:t>Section</w:t>
            </w:r>
            <w:r w:rsidR="00B1545C" w:rsidRPr="00C6052E">
              <w:rPr>
                <w:lang w:val="en-AU"/>
              </w:rPr>
              <w:t xml:space="preserve"> </w:t>
            </w:r>
            <w:r w:rsidR="00EE5BB8" w:rsidRPr="00C6052E">
              <w:rPr>
                <w:lang w:val="en-AU"/>
              </w:rPr>
              <w:t>30</w:t>
            </w:r>
            <w:r w:rsidR="00177848" w:rsidRPr="00C6052E">
              <w:rPr>
                <w:lang w:val="en-AU"/>
              </w:rPr>
              <w:t xml:space="preserve"> </w:t>
            </w:r>
          </w:p>
        </w:tc>
        <w:tc>
          <w:tcPr>
            <w:tcW w:w="1373" w:type="dxa"/>
            <w:hideMark/>
          </w:tcPr>
          <w:p w14:paraId="08B815A3" w14:textId="12ACDF3B" w:rsidR="00EE5BB8" w:rsidRPr="00C6052E" w:rsidRDefault="00445EF8" w:rsidP="00D02276">
            <w:pPr>
              <w:pStyle w:val="TableColumnHeading"/>
              <w:jc w:val="right"/>
              <w:rPr>
                <w:lang w:val="en-AU"/>
              </w:rPr>
            </w:pPr>
            <w:r w:rsidRPr="00C6052E">
              <w:rPr>
                <w:lang w:val="en-AU"/>
              </w:rPr>
              <w:t xml:space="preserve">Financial Management Act </w:t>
            </w:r>
            <w:r w:rsidR="00D02276">
              <w:rPr>
                <w:lang w:val="en-AU"/>
              </w:rPr>
              <w:br/>
            </w:r>
            <w:r w:rsidR="00EE5BB8" w:rsidRPr="00C6052E">
              <w:rPr>
                <w:lang w:val="en-AU"/>
              </w:rPr>
              <w:t>Section</w:t>
            </w:r>
            <w:r w:rsidR="00B1545C" w:rsidRPr="00C6052E">
              <w:rPr>
                <w:lang w:val="en-AU"/>
              </w:rPr>
              <w:t xml:space="preserve"> </w:t>
            </w:r>
            <w:r w:rsidR="00EE5BB8" w:rsidRPr="00C6052E">
              <w:rPr>
                <w:lang w:val="en-AU"/>
              </w:rPr>
              <w:t>32</w:t>
            </w:r>
            <w:r w:rsidR="00177848" w:rsidRPr="00C6052E">
              <w:rPr>
                <w:lang w:val="en-AU"/>
              </w:rPr>
              <w:t xml:space="preserve"> </w:t>
            </w:r>
          </w:p>
        </w:tc>
        <w:tc>
          <w:tcPr>
            <w:tcW w:w="1604" w:type="dxa"/>
            <w:hideMark/>
          </w:tcPr>
          <w:p w14:paraId="1922B7CE" w14:textId="5CBFC91D" w:rsidR="00EE5BB8" w:rsidRPr="00C6052E" w:rsidRDefault="00445EF8" w:rsidP="00D02276">
            <w:pPr>
              <w:pStyle w:val="TableColumnHeading"/>
              <w:jc w:val="right"/>
              <w:rPr>
                <w:lang w:val="en-AU"/>
              </w:rPr>
            </w:pPr>
            <w:r w:rsidRPr="00C6052E">
              <w:rPr>
                <w:lang w:val="en-AU"/>
              </w:rPr>
              <w:t xml:space="preserve">Financial Management Act </w:t>
            </w:r>
            <w:r w:rsidR="00D02276">
              <w:rPr>
                <w:lang w:val="en-AU"/>
              </w:rPr>
              <w:br/>
            </w:r>
            <w:r w:rsidR="00EE5BB8" w:rsidRPr="00C6052E">
              <w:rPr>
                <w:lang w:val="en-AU"/>
              </w:rPr>
              <w:t>Net</w:t>
            </w:r>
            <w:r w:rsidR="00B1545C" w:rsidRPr="00C6052E">
              <w:rPr>
                <w:lang w:val="en-AU"/>
              </w:rPr>
              <w:t xml:space="preserve"> </w:t>
            </w:r>
            <w:r w:rsidR="00EE5BB8" w:rsidRPr="00C6052E">
              <w:rPr>
                <w:lang w:val="en-AU"/>
              </w:rPr>
              <w:t>Machinery</w:t>
            </w:r>
            <w:r w:rsidR="00177848" w:rsidRPr="00C6052E">
              <w:rPr>
                <w:lang w:val="en-AU"/>
              </w:rPr>
              <w:t xml:space="preserve"> </w:t>
            </w:r>
            <w:r w:rsidR="00EE5BB8" w:rsidRPr="00C6052E">
              <w:rPr>
                <w:lang w:val="en-AU"/>
              </w:rPr>
              <w:t>of</w:t>
            </w:r>
            <w:r w:rsidR="00177848" w:rsidRPr="00C6052E">
              <w:rPr>
                <w:lang w:val="en-AU"/>
              </w:rPr>
              <w:t xml:space="preserve"> </w:t>
            </w:r>
            <w:r w:rsidR="00EE5BB8" w:rsidRPr="00C6052E">
              <w:rPr>
                <w:lang w:val="en-AU"/>
              </w:rPr>
              <w:t>Government</w:t>
            </w:r>
            <w:r w:rsidR="00177848" w:rsidRPr="00C6052E">
              <w:rPr>
                <w:lang w:val="en-AU"/>
              </w:rPr>
              <w:t xml:space="preserve"> </w:t>
            </w:r>
            <w:r w:rsidR="00EE5BB8" w:rsidRPr="00C6052E">
              <w:rPr>
                <w:lang w:val="en-AU"/>
              </w:rPr>
              <w:t>Changes</w:t>
            </w:r>
            <w:r w:rsidR="00EE5BB8" w:rsidRPr="00C6052E">
              <w:rPr>
                <w:vertAlign w:val="superscript"/>
                <w:lang w:val="en-AU"/>
              </w:rPr>
              <w:t>(ii)</w:t>
            </w:r>
          </w:p>
        </w:tc>
        <w:tc>
          <w:tcPr>
            <w:tcW w:w="1178" w:type="dxa"/>
            <w:hideMark/>
          </w:tcPr>
          <w:p w14:paraId="63F2060B" w14:textId="7788681C" w:rsidR="00EE5BB8" w:rsidRPr="00C6052E" w:rsidRDefault="00EE5BB8" w:rsidP="00D02276">
            <w:pPr>
              <w:pStyle w:val="TableColumnHeading"/>
              <w:jc w:val="right"/>
              <w:rPr>
                <w:lang w:val="en-AU"/>
              </w:rPr>
            </w:pPr>
            <w:r w:rsidRPr="00C6052E">
              <w:rPr>
                <w:lang w:val="en-AU"/>
              </w:rPr>
              <w:t>Total</w:t>
            </w:r>
            <w:r w:rsidR="00B1545C" w:rsidRPr="00C6052E">
              <w:rPr>
                <w:lang w:val="en-AU"/>
              </w:rPr>
              <w:t xml:space="preserve"> </w:t>
            </w:r>
            <w:r w:rsidRPr="00C6052E">
              <w:rPr>
                <w:lang w:val="en-AU"/>
              </w:rPr>
              <w:br/>
              <w:t>Parliamentary</w:t>
            </w:r>
            <w:r w:rsidR="00177848" w:rsidRPr="00C6052E">
              <w:rPr>
                <w:lang w:val="en-AU"/>
              </w:rPr>
              <w:t xml:space="preserve"> </w:t>
            </w:r>
            <w:r w:rsidR="00D02276">
              <w:rPr>
                <w:lang w:val="en-AU"/>
              </w:rPr>
              <w:br/>
            </w:r>
            <w:r w:rsidRPr="00C6052E">
              <w:rPr>
                <w:lang w:val="en-AU"/>
              </w:rPr>
              <w:t>authority</w:t>
            </w:r>
            <w:r w:rsidR="00177848" w:rsidRPr="00C6052E">
              <w:rPr>
                <w:lang w:val="en-AU"/>
              </w:rPr>
              <w:t xml:space="preserve"> </w:t>
            </w:r>
          </w:p>
        </w:tc>
        <w:tc>
          <w:tcPr>
            <w:tcW w:w="1373" w:type="dxa"/>
            <w:hideMark/>
          </w:tcPr>
          <w:p w14:paraId="56DEB447" w14:textId="79BDEDE8" w:rsidR="00EE5BB8" w:rsidRPr="00C6052E" w:rsidRDefault="00EE5BB8" w:rsidP="00D02276">
            <w:pPr>
              <w:pStyle w:val="TableColumnHeading"/>
              <w:jc w:val="right"/>
              <w:rPr>
                <w:lang w:val="en-AU"/>
              </w:rPr>
            </w:pPr>
            <w:r w:rsidRPr="00C6052E">
              <w:rPr>
                <w:lang w:val="en-AU"/>
              </w:rPr>
              <w:t>Appropria</w:t>
            </w:r>
            <w:r w:rsidR="00C34F64">
              <w:rPr>
                <w:lang w:val="en-AU"/>
              </w:rPr>
              <w:softHyphen/>
            </w:r>
            <w:r w:rsidRPr="00C6052E">
              <w:rPr>
                <w:lang w:val="en-AU"/>
              </w:rPr>
              <w:t>tions</w:t>
            </w:r>
            <w:r w:rsidR="00B1545C" w:rsidRPr="00C6052E">
              <w:rPr>
                <w:lang w:val="en-AU"/>
              </w:rPr>
              <w:t xml:space="preserve"> </w:t>
            </w:r>
            <w:r w:rsidRPr="00C6052E">
              <w:rPr>
                <w:lang w:val="en-AU"/>
              </w:rPr>
              <w:t>applied</w:t>
            </w:r>
            <w:r w:rsidR="00177848" w:rsidRPr="00C6052E">
              <w:rPr>
                <w:lang w:val="en-AU"/>
              </w:rPr>
              <w:t xml:space="preserve"> </w:t>
            </w:r>
          </w:p>
        </w:tc>
        <w:tc>
          <w:tcPr>
            <w:tcW w:w="1192" w:type="dxa"/>
            <w:hideMark/>
          </w:tcPr>
          <w:p w14:paraId="38B6F14B" w14:textId="77777777" w:rsidR="00EE5BB8" w:rsidRPr="00C6052E" w:rsidRDefault="00EE5BB8" w:rsidP="00D02276">
            <w:pPr>
              <w:pStyle w:val="TableColumnHeading"/>
              <w:jc w:val="right"/>
            </w:pPr>
            <w:r w:rsidRPr="00C6052E">
              <w:t>Variance</w:t>
            </w:r>
            <w:r w:rsidRPr="00C6052E">
              <w:rPr>
                <w:vertAlign w:val="superscript"/>
              </w:rPr>
              <w:t>(iii)</w:t>
            </w:r>
          </w:p>
        </w:tc>
      </w:tr>
      <w:tr w:rsidR="00EA66F2" w:rsidRPr="00C6052E" w14:paraId="173B4737" w14:textId="77777777" w:rsidTr="00D02276">
        <w:tc>
          <w:tcPr>
            <w:tcW w:w="2835" w:type="dxa"/>
          </w:tcPr>
          <w:p w14:paraId="0C0E80D0" w14:textId="0E7EE560" w:rsidR="00EA66F2" w:rsidRPr="00C6052E" w:rsidRDefault="00EA66F2" w:rsidP="00EA66F2">
            <w:pPr>
              <w:pStyle w:val="TableHeading"/>
            </w:pPr>
            <w:r w:rsidRPr="00C6052E">
              <w:t>2025</w:t>
            </w:r>
          </w:p>
        </w:tc>
        <w:tc>
          <w:tcPr>
            <w:tcW w:w="1559" w:type="dxa"/>
            <w:noWrap/>
          </w:tcPr>
          <w:p w14:paraId="237059DF" w14:textId="77777777" w:rsidR="00EA66F2" w:rsidRPr="00C6052E" w:rsidRDefault="00EA66F2" w:rsidP="00EA66F2">
            <w:pPr>
              <w:pStyle w:val="TableHeading"/>
              <w:jc w:val="right"/>
            </w:pPr>
          </w:p>
        </w:tc>
        <w:tc>
          <w:tcPr>
            <w:tcW w:w="1137" w:type="dxa"/>
            <w:noWrap/>
          </w:tcPr>
          <w:p w14:paraId="28347D3B" w14:textId="77777777" w:rsidR="00EA66F2" w:rsidRPr="00C6052E" w:rsidRDefault="00EA66F2" w:rsidP="00EA66F2">
            <w:pPr>
              <w:pStyle w:val="TableHeading"/>
              <w:jc w:val="right"/>
            </w:pPr>
          </w:p>
        </w:tc>
        <w:tc>
          <w:tcPr>
            <w:tcW w:w="1140" w:type="dxa"/>
            <w:noWrap/>
          </w:tcPr>
          <w:p w14:paraId="00B50346" w14:textId="77777777" w:rsidR="00EA66F2" w:rsidRPr="00C6052E" w:rsidRDefault="00EA66F2" w:rsidP="00EA66F2">
            <w:pPr>
              <w:pStyle w:val="TableHeading"/>
              <w:jc w:val="right"/>
            </w:pPr>
          </w:p>
        </w:tc>
        <w:tc>
          <w:tcPr>
            <w:tcW w:w="1409" w:type="dxa"/>
            <w:noWrap/>
          </w:tcPr>
          <w:p w14:paraId="3B4B48CE" w14:textId="77777777" w:rsidR="00EA66F2" w:rsidRPr="00C6052E" w:rsidRDefault="00EA66F2" w:rsidP="00EA66F2">
            <w:pPr>
              <w:pStyle w:val="TableHeading"/>
              <w:jc w:val="right"/>
            </w:pPr>
          </w:p>
        </w:tc>
        <w:tc>
          <w:tcPr>
            <w:tcW w:w="1373" w:type="dxa"/>
            <w:noWrap/>
          </w:tcPr>
          <w:p w14:paraId="5234DF67" w14:textId="77777777" w:rsidR="00EA66F2" w:rsidRPr="00C6052E" w:rsidRDefault="00EA66F2" w:rsidP="00EA66F2">
            <w:pPr>
              <w:pStyle w:val="TableHeading"/>
              <w:jc w:val="right"/>
            </w:pPr>
          </w:p>
        </w:tc>
        <w:tc>
          <w:tcPr>
            <w:tcW w:w="1604" w:type="dxa"/>
            <w:noWrap/>
          </w:tcPr>
          <w:p w14:paraId="516B4C2E" w14:textId="77777777" w:rsidR="00EA66F2" w:rsidRPr="00C6052E" w:rsidRDefault="00EA66F2" w:rsidP="00EA66F2">
            <w:pPr>
              <w:pStyle w:val="TableHeading"/>
              <w:jc w:val="right"/>
            </w:pPr>
          </w:p>
        </w:tc>
        <w:tc>
          <w:tcPr>
            <w:tcW w:w="1178" w:type="dxa"/>
            <w:noWrap/>
          </w:tcPr>
          <w:p w14:paraId="1C5671C8" w14:textId="77777777" w:rsidR="00EA66F2" w:rsidRPr="00C6052E" w:rsidRDefault="00EA66F2" w:rsidP="00EA66F2">
            <w:pPr>
              <w:pStyle w:val="TableHeading"/>
              <w:jc w:val="right"/>
            </w:pPr>
          </w:p>
        </w:tc>
        <w:tc>
          <w:tcPr>
            <w:tcW w:w="1373" w:type="dxa"/>
            <w:noWrap/>
          </w:tcPr>
          <w:p w14:paraId="3B57BCCE" w14:textId="77777777" w:rsidR="00EA66F2" w:rsidRPr="00C6052E" w:rsidRDefault="00EA66F2" w:rsidP="00EA66F2">
            <w:pPr>
              <w:pStyle w:val="TableHeading"/>
              <w:jc w:val="right"/>
              <w:rPr>
                <w:sz w:val="18"/>
                <w:szCs w:val="18"/>
              </w:rPr>
            </w:pPr>
          </w:p>
        </w:tc>
        <w:tc>
          <w:tcPr>
            <w:tcW w:w="1192" w:type="dxa"/>
            <w:noWrap/>
          </w:tcPr>
          <w:p w14:paraId="2FF2F8B0" w14:textId="77777777" w:rsidR="00EA66F2" w:rsidRPr="00C6052E" w:rsidRDefault="00EA66F2" w:rsidP="00EA66F2">
            <w:pPr>
              <w:pStyle w:val="TableHeading"/>
              <w:jc w:val="right"/>
            </w:pPr>
          </w:p>
        </w:tc>
      </w:tr>
      <w:tr w:rsidR="00EA66F2" w:rsidRPr="00C6052E" w14:paraId="45B9E110" w14:textId="77777777" w:rsidTr="00D02276">
        <w:tc>
          <w:tcPr>
            <w:tcW w:w="2835" w:type="dxa"/>
          </w:tcPr>
          <w:p w14:paraId="2BE4BEA3" w14:textId="77777777" w:rsidR="00EA66F2" w:rsidRPr="00C6052E" w:rsidRDefault="00EA66F2" w:rsidP="001F6786">
            <w:pPr>
              <w:pStyle w:val="TableHeading"/>
            </w:pPr>
            <w:r w:rsidRPr="00C6052E">
              <w:t>Controlled</w:t>
            </w:r>
          </w:p>
        </w:tc>
        <w:tc>
          <w:tcPr>
            <w:tcW w:w="1559" w:type="dxa"/>
            <w:noWrap/>
          </w:tcPr>
          <w:p w14:paraId="017239E0" w14:textId="77777777" w:rsidR="00EA66F2" w:rsidRPr="00C6052E" w:rsidRDefault="00EA66F2" w:rsidP="00EA66F2">
            <w:pPr>
              <w:pStyle w:val="TableHeading"/>
              <w:jc w:val="right"/>
            </w:pPr>
          </w:p>
        </w:tc>
        <w:tc>
          <w:tcPr>
            <w:tcW w:w="1137" w:type="dxa"/>
            <w:noWrap/>
          </w:tcPr>
          <w:p w14:paraId="162304DE" w14:textId="77777777" w:rsidR="00EA66F2" w:rsidRPr="00C6052E" w:rsidRDefault="00EA66F2" w:rsidP="00EA66F2">
            <w:pPr>
              <w:pStyle w:val="TableHeading"/>
              <w:jc w:val="right"/>
            </w:pPr>
          </w:p>
        </w:tc>
        <w:tc>
          <w:tcPr>
            <w:tcW w:w="1140" w:type="dxa"/>
            <w:noWrap/>
          </w:tcPr>
          <w:p w14:paraId="587E7EDB" w14:textId="77777777" w:rsidR="00EA66F2" w:rsidRPr="00C6052E" w:rsidRDefault="00EA66F2" w:rsidP="00EA66F2">
            <w:pPr>
              <w:pStyle w:val="TableHeading"/>
              <w:jc w:val="right"/>
            </w:pPr>
          </w:p>
        </w:tc>
        <w:tc>
          <w:tcPr>
            <w:tcW w:w="1409" w:type="dxa"/>
            <w:noWrap/>
          </w:tcPr>
          <w:p w14:paraId="07D58478" w14:textId="77777777" w:rsidR="00EA66F2" w:rsidRPr="00C6052E" w:rsidRDefault="00EA66F2" w:rsidP="00EA66F2">
            <w:pPr>
              <w:pStyle w:val="TableHeading"/>
              <w:jc w:val="right"/>
            </w:pPr>
          </w:p>
        </w:tc>
        <w:tc>
          <w:tcPr>
            <w:tcW w:w="1373" w:type="dxa"/>
            <w:noWrap/>
          </w:tcPr>
          <w:p w14:paraId="2547B6C7" w14:textId="77777777" w:rsidR="00EA66F2" w:rsidRPr="00C6052E" w:rsidRDefault="00EA66F2" w:rsidP="00EA66F2">
            <w:pPr>
              <w:pStyle w:val="TableHeading"/>
              <w:jc w:val="right"/>
            </w:pPr>
          </w:p>
        </w:tc>
        <w:tc>
          <w:tcPr>
            <w:tcW w:w="1604" w:type="dxa"/>
            <w:noWrap/>
          </w:tcPr>
          <w:p w14:paraId="4B3BB933" w14:textId="77777777" w:rsidR="00EA66F2" w:rsidRPr="00C6052E" w:rsidRDefault="00EA66F2" w:rsidP="00EA66F2">
            <w:pPr>
              <w:pStyle w:val="TableHeading"/>
              <w:jc w:val="right"/>
            </w:pPr>
          </w:p>
        </w:tc>
        <w:tc>
          <w:tcPr>
            <w:tcW w:w="1178" w:type="dxa"/>
            <w:noWrap/>
          </w:tcPr>
          <w:p w14:paraId="4D3CA940" w14:textId="77777777" w:rsidR="00EA66F2" w:rsidRPr="00C6052E" w:rsidRDefault="00EA66F2" w:rsidP="00EA66F2">
            <w:pPr>
              <w:pStyle w:val="TableHeading"/>
              <w:jc w:val="right"/>
            </w:pPr>
          </w:p>
        </w:tc>
        <w:tc>
          <w:tcPr>
            <w:tcW w:w="1373" w:type="dxa"/>
            <w:noWrap/>
          </w:tcPr>
          <w:p w14:paraId="2B35E048" w14:textId="77777777" w:rsidR="00EA66F2" w:rsidRPr="00C6052E" w:rsidRDefault="00EA66F2" w:rsidP="00EA66F2">
            <w:pPr>
              <w:pStyle w:val="TableHeading"/>
              <w:jc w:val="right"/>
              <w:rPr>
                <w:sz w:val="18"/>
                <w:szCs w:val="18"/>
              </w:rPr>
            </w:pPr>
          </w:p>
        </w:tc>
        <w:tc>
          <w:tcPr>
            <w:tcW w:w="1192" w:type="dxa"/>
            <w:noWrap/>
          </w:tcPr>
          <w:p w14:paraId="4CE9F070" w14:textId="77777777" w:rsidR="00EA66F2" w:rsidRPr="00C6052E" w:rsidRDefault="00EA66F2" w:rsidP="00EA66F2">
            <w:pPr>
              <w:pStyle w:val="TableHeading"/>
              <w:jc w:val="right"/>
            </w:pPr>
          </w:p>
        </w:tc>
      </w:tr>
      <w:tr w:rsidR="00EE5BB8" w:rsidRPr="00C6052E" w14:paraId="6EFA1717" w14:textId="77777777" w:rsidTr="00D02276">
        <w:tc>
          <w:tcPr>
            <w:tcW w:w="2835" w:type="dxa"/>
            <w:hideMark/>
          </w:tcPr>
          <w:p w14:paraId="0863FB3E" w14:textId="3A5AE52F" w:rsidR="00EE5BB8" w:rsidRPr="00C6052E" w:rsidRDefault="00EE5BB8" w:rsidP="0063097D">
            <w:pPr>
              <w:pStyle w:val="TableCopy"/>
            </w:pPr>
            <w:r w:rsidRPr="00C6052E">
              <w:t>Provisions</w:t>
            </w:r>
            <w:r w:rsidR="00177848" w:rsidRPr="00C6052E">
              <w:t xml:space="preserve"> </w:t>
            </w:r>
            <w:r w:rsidRPr="00C6052E">
              <w:t>for</w:t>
            </w:r>
            <w:r w:rsidR="00177848" w:rsidRPr="00C6052E">
              <w:t xml:space="preserve"> </w:t>
            </w:r>
            <w:r w:rsidRPr="00C6052E">
              <w:t>outputs</w:t>
            </w:r>
          </w:p>
        </w:tc>
        <w:tc>
          <w:tcPr>
            <w:tcW w:w="1559" w:type="dxa"/>
            <w:noWrap/>
            <w:hideMark/>
          </w:tcPr>
          <w:p w14:paraId="7EAA2AD3" w14:textId="77777777" w:rsidR="00EE5BB8" w:rsidRPr="00C6052E" w:rsidRDefault="00EE5BB8" w:rsidP="00EA66F2">
            <w:pPr>
              <w:pStyle w:val="TableCopy"/>
              <w:jc w:val="right"/>
            </w:pPr>
            <w:r w:rsidRPr="00C6052E">
              <w:t>2,797,328</w:t>
            </w:r>
          </w:p>
        </w:tc>
        <w:tc>
          <w:tcPr>
            <w:tcW w:w="1137" w:type="dxa"/>
            <w:noWrap/>
            <w:hideMark/>
          </w:tcPr>
          <w:p w14:paraId="6139CE6C" w14:textId="77777777" w:rsidR="00EE5BB8" w:rsidRPr="00C6052E" w:rsidRDefault="00EE5BB8" w:rsidP="00EA66F2">
            <w:pPr>
              <w:pStyle w:val="TableCopy"/>
              <w:jc w:val="right"/>
            </w:pPr>
            <w:r w:rsidRPr="00C6052E">
              <w:t>378,029</w:t>
            </w:r>
          </w:p>
        </w:tc>
        <w:tc>
          <w:tcPr>
            <w:tcW w:w="1140" w:type="dxa"/>
            <w:noWrap/>
            <w:hideMark/>
          </w:tcPr>
          <w:p w14:paraId="01B0E320" w14:textId="77777777" w:rsidR="00EE5BB8" w:rsidRPr="00C6052E" w:rsidRDefault="00EE5BB8" w:rsidP="00EA66F2">
            <w:pPr>
              <w:pStyle w:val="TableCopy"/>
              <w:jc w:val="right"/>
            </w:pPr>
            <w:r w:rsidRPr="00C6052E">
              <w:t>785,433</w:t>
            </w:r>
          </w:p>
        </w:tc>
        <w:tc>
          <w:tcPr>
            <w:tcW w:w="1409" w:type="dxa"/>
            <w:noWrap/>
            <w:hideMark/>
          </w:tcPr>
          <w:p w14:paraId="7A05E696" w14:textId="77777777" w:rsidR="00EE5BB8" w:rsidRPr="00C6052E" w:rsidRDefault="00EE5BB8" w:rsidP="00EA66F2">
            <w:pPr>
              <w:pStyle w:val="TableCopy"/>
              <w:jc w:val="right"/>
            </w:pPr>
            <w:r w:rsidRPr="00C6052E">
              <w:t>(2,141)</w:t>
            </w:r>
          </w:p>
        </w:tc>
        <w:tc>
          <w:tcPr>
            <w:tcW w:w="1373" w:type="dxa"/>
            <w:noWrap/>
            <w:hideMark/>
          </w:tcPr>
          <w:p w14:paraId="4F6C0FE4" w14:textId="77777777" w:rsidR="00EE5BB8" w:rsidRPr="00C6052E" w:rsidRDefault="00EE5BB8" w:rsidP="00EA66F2">
            <w:pPr>
              <w:pStyle w:val="TableCopy"/>
              <w:jc w:val="right"/>
            </w:pPr>
            <w:r w:rsidRPr="00C6052E">
              <w:t>106,739</w:t>
            </w:r>
          </w:p>
        </w:tc>
        <w:tc>
          <w:tcPr>
            <w:tcW w:w="1604" w:type="dxa"/>
            <w:noWrap/>
            <w:hideMark/>
          </w:tcPr>
          <w:p w14:paraId="7FAA70EC" w14:textId="77777777" w:rsidR="00EE5BB8" w:rsidRPr="00C6052E" w:rsidRDefault="00EE5BB8" w:rsidP="00EA66F2">
            <w:pPr>
              <w:pStyle w:val="TableCopy"/>
              <w:jc w:val="right"/>
            </w:pPr>
            <w:r w:rsidRPr="00C6052E">
              <w:t>–</w:t>
            </w:r>
          </w:p>
        </w:tc>
        <w:tc>
          <w:tcPr>
            <w:tcW w:w="1178" w:type="dxa"/>
            <w:noWrap/>
            <w:hideMark/>
          </w:tcPr>
          <w:p w14:paraId="48BAF86F" w14:textId="77777777" w:rsidR="00EE5BB8" w:rsidRPr="00C6052E" w:rsidRDefault="00EE5BB8" w:rsidP="00EA66F2">
            <w:pPr>
              <w:pStyle w:val="TableCopy"/>
              <w:jc w:val="right"/>
            </w:pPr>
            <w:r w:rsidRPr="00C6052E">
              <w:t>4,065,388</w:t>
            </w:r>
          </w:p>
        </w:tc>
        <w:tc>
          <w:tcPr>
            <w:tcW w:w="1373" w:type="dxa"/>
            <w:noWrap/>
            <w:hideMark/>
          </w:tcPr>
          <w:p w14:paraId="47D986FA" w14:textId="77777777" w:rsidR="00EE5BB8" w:rsidRPr="00C6052E" w:rsidRDefault="00EE5BB8" w:rsidP="00EA66F2">
            <w:pPr>
              <w:pStyle w:val="TableCopy"/>
              <w:jc w:val="right"/>
            </w:pPr>
            <w:r w:rsidRPr="00C6052E">
              <w:rPr>
                <w:sz w:val="18"/>
                <w:szCs w:val="18"/>
              </w:rPr>
              <w:t>3,306,926</w:t>
            </w:r>
          </w:p>
        </w:tc>
        <w:tc>
          <w:tcPr>
            <w:tcW w:w="1192" w:type="dxa"/>
            <w:noWrap/>
            <w:hideMark/>
          </w:tcPr>
          <w:p w14:paraId="7F1BF7B0" w14:textId="77777777" w:rsidR="00EE5BB8" w:rsidRPr="00C6052E" w:rsidRDefault="00EE5BB8" w:rsidP="00EA66F2">
            <w:pPr>
              <w:pStyle w:val="TableCopy"/>
              <w:jc w:val="right"/>
            </w:pPr>
            <w:r w:rsidRPr="00C6052E">
              <w:t>758,462</w:t>
            </w:r>
          </w:p>
        </w:tc>
      </w:tr>
      <w:tr w:rsidR="00EE5BB8" w:rsidRPr="00C6052E" w14:paraId="634CA9E7" w14:textId="77777777" w:rsidTr="00D02276">
        <w:tc>
          <w:tcPr>
            <w:tcW w:w="2835" w:type="dxa"/>
            <w:hideMark/>
          </w:tcPr>
          <w:p w14:paraId="0B54CCD0" w14:textId="3278BC86" w:rsidR="00EE5BB8" w:rsidRPr="00C6052E" w:rsidRDefault="00EE5BB8" w:rsidP="0063097D">
            <w:pPr>
              <w:pStyle w:val="TableCopy"/>
            </w:pPr>
            <w:r w:rsidRPr="00C6052E">
              <w:t>Additions</w:t>
            </w:r>
            <w:r w:rsidR="00177848" w:rsidRPr="00C6052E">
              <w:t xml:space="preserve"> </w:t>
            </w:r>
            <w:r w:rsidRPr="00C6052E">
              <w:t>to</w:t>
            </w:r>
            <w:r w:rsidR="00177848" w:rsidRPr="00C6052E">
              <w:t xml:space="preserve"> </w:t>
            </w:r>
            <w:r w:rsidRPr="00C6052E">
              <w:t>net</w:t>
            </w:r>
            <w:r w:rsidR="00177848" w:rsidRPr="00C6052E">
              <w:t xml:space="preserve"> </w:t>
            </w:r>
            <w:r w:rsidRPr="00C6052E">
              <w:t>assets</w:t>
            </w:r>
            <w:r w:rsidR="00177848" w:rsidRPr="00C6052E">
              <w:t xml:space="preserve"> </w:t>
            </w:r>
          </w:p>
        </w:tc>
        <w:tc>
          <w:tcPr>
            <w:tcW w:w="1559" w:type="dxa"/>
            <w:noWrap/>
            <w:hideMark/>
          </w:tcPr>
          <w:p w14:paraId="4F41F9FD" w14:textId="77777777" w:rsidR="00EE5BB8" w:rsidRPr="00C6052E" w:rsidRDefault="00EE5BB8" w:rsidP="00EA66F2">
            <w:pPr>
              <w:pStyle w:val="TableCopy"/>
              <w:jc w:val="right"/>
            </w:pPr>
            <w:r w:rsidRPr="00C6052E">
              <w:t>70,404</w:t>
            </w:r>
          </w:p>
        </w:tc>
        <w:tc>
          <w:tcPr>
            <w:tcW w:w="1137" w:type="dxa"/>
            <w:noWrap/>
            <w:hideMark/>
          </w:tcPr>
          <w:p w14:paraId="3120421E" w14:textId="77777777" w:rsidR="00EE5BB8" w:rsidRPr="00C6052E" w:rsidRDefault="00EE5BB8" w:rsidP="00EA66F2">
            <w:pPr>
              <w:pStyle w:val="TableCopy"/>
              <w:jc w:val="right"/>
            </w:pPr>
            <w:r w:rsidRPr="00C6052E">
              <w:t>498,821</w:t>
            </w:r>
          </w:p>
        </w:tc>
        <w:tc>
          <w:tcPr>
            <w:tcW w:w="1140" w:type="dxa"/>
            <w:noWrap/>
            <w:hideMark/>
          </w:tcPr>
          <w:p w14:paraId="3D953F42" w14:textId="77777777" w:rsidR="00EE5BB8" w:rsidRPr="00C6052E" w:rsidRDefault="00EE5BB8" w:rsidP="00EA66F2">
            <w:pPr>
              <w:pStyle w:val="TableCopy"/>
              <w:jc w:val="right"/>
            </w:pPr>
            <w:r w:rsidRPr="00C6052E">
              <w:t>672</w:t>
            </w:r>
          </w:p>
        </w:tc>
        <w:tc>
          <w:tcPr>
            <w:tcW w:w="1409" w:type="dxa"/>
            <w:noWrap/>
            <w:hideMark/>
          </w:tcPr>
          <w:p w14:paraId="21A88FF5" w14:textId="77777777" w:rsidR="00EE5BB8" w:rsidRPr="00C6052E" w:rsidRDefault="00EE5BB8" w:rsidP="00EA66F2">
            <w:pPr>
              <w:pStyle w:val="TableCopy"/>
              <w:jc w:val="right"/>
            </w:pPr>
            <w:r w:rsidRPr="00C6052E">
              <w:t>2,141</w:t>
            </w:r>
          </w:p>
        </w:tc>
        <w:tc>
          <w:tcPr>
            <w:tcW w:w="1373" w:type="dxa"/>
            <w:noWrap/>
            <w:hideMark/>
          </w:tcPr>
          <w:p w14:paraId="5AA780B2" w14:textId="77777777" w:rsidR="00EE5BB8" w:rsidRPr="00C6052E" w:rsidRDefault="00EE5BB8" w:rsidP="00EA66F2">
            <w:pPr>
              <w:pStyle w:val="TableCopy"/>
              <w:jc w:val="right"/>
            </w:pPr>
            <w:r w:rsidRPr="00C6052E">
              <w:t>6,335</w:t>
            </w:r>
          </w:p>
        </w:tc>
        <w:tc>
          <w:tcPr>
            <w:tcW w:w="1604" w:type="dxa"/>
            <w:noWrap/>
            <w:hideMark/>
          </w:tcPr>
          <w:p w14:paraId="67010C92" w14:textId="77777777" w:rsidR="00EE5BB8" w:rsidRPr="00C6052E" w:rsidRDefault="00EE5BB8" w:rsidP="00EA66F2">
            <w:pPr>
              <w:pStyle w:val="TableCopy"/>
              <w:jc w:val="right"/>
            </w:pPr>
            <w:r w:rsidRPr="00C6052E">
              <w:t>–</w:t>
            </w:r>
          </w:p>
        </w:tc>
        <w:tc>
          <w:tcPr>
            <w:tcW w:w="1178" w:type="dxa"/>
            <w:noWrap/>
            <w:hideMark/>
          </w:tcPr>
          <w:p w14:paraId="2E4C2A10" w14:textId="77777777" w:rsidR="00EE5BB8" w:rsidRPr="00C6052E" w:rsidRDefault="00EE5BB8" w:rsidP="00EA66F2">
            <w:pPr>
              <w:pStyle w:val="TableCopy"/>
              <w:jc w:val="right"/>
            </w:pPr>
            <w:r w:rsidRPr="00C6052E">
              <w:t>578,373</w:t>
            </w:r>
          </w:p>
        </w:tc>
        <w:tc>
          <w:tcPr>
            <w:tcW w:w="1373" w:type="dxa"/>
            <w:noWrap/>
            <w:hideMark/>
          </w:tcPr>
          <w:p w14:paraId="3AF6664E" w14:textId="77777777" w:rsidR="00EE5BB8" w:rsidRPr="00C6052E" w:rsidRDefault="00EE5BB8" w:rsidP="00EA66F2">
            <w:pPr>
              <w:pStyle w:val="TableCopy"/>
              <w:jc w:val="right"/>
            </w:pPr>
            <w:r w:rsidRPr="00C6052E">
              <w:t>386,558</w:t>
            </w:r>
          </w:p>
        </w:tc>
        <w:tc>
          <w:tcPr>
            <w:tcW w:w="1192" w:type="dxa"/>
            <w:noWrap/>
            <w:hideMark/>
          </w:tcPr>
          <w:p w14:paraId="19BF848C" w14:textId="77777777" w:rsidR="00EE5BB8" w:rsidRPr="00C6052E" w:rsidRDefault="00EE5BB8" w:rsidP="00EA66F2">
            <w:pPr>
              <w:pStyle w:val="TableCopy"/>
              <w:jc w:val="right"/>
            </w:pPr>
            <w:r w:rsidRPr="00C6052E">
              <w:t>191,815</w:t>
            </w:r>
          </w:p>
        </w:tc>
      </w:tr>
      <w:tr w:rsidR="00EE5BB8" w:rsidRPr="00C6052E" w14:paraId="06ABAC54" w14:textId="77777777" w:rsidTr="00D02276">
        <w:tc>
          <w:tcPr>
            <w:tcW w:w="2835" w:type="dxa"/>
            <w:noWrap/>
            <w:hideMark/>
          </w:tcPr>
          <w:p w14:paraId="0F1EE1DB" w14:textId="602B3BB0" w:rsidR="00EE5BB8" w:rsidRPr="00C6052E" w:rsidRDefault="00EE5BB8" w:rsidP="00814D77">
            <w:pPr>
              <w:pStyle w:val="Tabletotal"/>
            </w:pPr>
            <w:r w:rsidRPr="00C6052E">
              <w:t>2025</w:t>
            </w:r>
            <w:r w:rsidR="00177848" w:rsidRPr="00C6052E">
              <w:t xml:space="preserve"> </w:t>
            </w:r>
            <w:r w:rsidRPr="00C6052E">
              <w:t>total</w:t>
            </w:r>
          </w:p>
        </w:tc>
        <w:tc>
          <w:tcPr>
            <w:tcW w:w="1559" w:type="dxa"/>
            <w:noWrap/>
            <w:hideMark/>
          </w:tcPr>
          <w:p w14:paraId="2ECB475B" w14:textId="77777777" w:rsidR="00EE5BB8" w:rsidRPr="00C6052E" w:rsidRDefault="00EE5BB8" w:rsidP="00814D77">
            <w:pPr>
              <w:pStyle w:val="Tabletotal"/>
              <w:jc w:val="right"/>
            </w:pPr>
            <w:r w:rsidRPr="00C6052E">
              <w:t>2,867,732</w:t>
            </w:r>
          </w:p>
        </w:tc>
        <w:tc>
          <w:tcPr>
            <w:tcW w:w="1137" w:type="dxa"/>
            <w:noWrap/>
            <w:hideMark/>
          </w:tcPr>
          <w:p w14:paraId="477D3BC2" w14:textId="77777777" w:rsidR="00EE5BB8" w:rsidRPr="00C6052E" w:rsidRDefault="00EE5BB8" w:rsidP="00814D77">
            <w:pPr>
              <w:pStyle w:val="Tabletotal"/>
              <w:jc w:val="right"/>
            </w:pPr>
            <w:r w:rsidRPr="00C6052E">
              <w:t>876,850</w:t>
            </w:r>
          </w:p>
        </w:tc>
        <w:tc>
          <w:tcPr>
            <w:tcW w:w="1140" w:type="dxa"/>
            <w:noWrap/>
            <w:hideMark/>
          </w:tcPr>
          <w:p w14:paraId="2A6A692E" w14:textId="77777777" w:rsidR="00EE5BB8" w:rsidRPr="00C6052E" w:rsidRDefault="00EE5BB8" w:rsidP="00814D77">
            <w:pPr>
              <w:pStyle w:val="Tabletotal"/>
              <w:jc w:val="right"/>
            </w:pPr>
            <w:r w:rsidRPr="00C6052E">
              <w:t>786,105</w:t>
            </w:r>
          </w:p>
        </w:tc>
        <w:tc>
          <w:tcPr>
            <w:tcW w:w="1409" w:type="dxa"/>
            <w:noWrap/>
            <w:hideMark/>
          </w:tcPr>
          <w:p w14:paraId="4F51CC2C" w14:textId="77777777" w:rsidR="00EE5BB8" w:rsidRPr="00C6052E" w:rsidRDefault="00EE5BB8" w:rsidP="00814D77">
            <w:pPr>
              <w:pStyle w:val="Tabletotal"/>
              <w:jc w:val="right"/>
            </w:pPr>
            <w:r w:rsidRPr="00C6052E">
              <w:t>–</w:t>
            </w:r>
          </w:p>
        </w:tc>
        <w:tc>
          <w:tcPr>
            <w:tcW w:w="1373" w:type="dxa"/>
            <w:noWrap/>
            <w:hideMark/>
          </w:tcPr>
          <w:p w14:paraId="1012923F" w14:textId="77777777" w:rsidR="00EE5BB8" w:rsidRPr="00C6052E" w:rsidRDefault="00EE5BB8" w:rsidP="00814D77">
            <w:pPr>
              <w:pStyle w:val="Tabletotal"/>
              <w:jc w:val="right"/>
            </w:pPr>
            <w:r w:rsidRPr="00C6052E">
              <w:t>113,074</w:t>
            </w:r>
          </w:p>
        </w:tc>
        <w:tc>
          <w:tcPr>
            <w:tcW w:w="1604" w:type="dxa"/>
            <w:noWrap/>
            <w:hideMark/>
          </w:tcPr>
          <w:p w14:paraId="338141B2" w14:textId="77777777" w:rsidR="00EE5BB8" w:rsidRPr="00C6052E" w:rsidRDefault="00EE5BB8" w:rsidP="00814D77">
            <w:pPr>
              <w:pStyle w:val="Tabletotal"/>
              <w:jc w:val="right"/>
            </w:pPr>
            <w:r w:rsidRPr="00C6052E">
              <w:t>–</w:t>
            </w:r>
          </w:p>
        </w:tc>
        <w:tc>
          <w:tcPr>
            <w:tcW w:w="1178" w:type="dxa"/>
            <w:noWrap/>
            <w:hideMark/>
          </w:tcPr>
          <w:p w14:paraId="00C21618" w14:textId="77777777" w:rsidR="00EE5BB8" w:rsidRPr="00C6052E" w:rsidRDefault="00EE5BB8" w:rsidP="00814D77">
            <w:pPr>
              <w:pStyle w:val="Tabletotal"/>
              <w:jc w:val="right"/>
            </w:pPr>
            <w:r w:rsidRPr="00C6052E">
              <w:t>4,643,761</w:t>
            </w:r>
          </w:p>
        </w:tc>
        <w:tc>
          <w:tcPr>
            <w:tcW w:w="1373" w:type="dxa"/>
            <w:noWrap/>
            <w:hideMark/>
          </w:tcPr>
          <w:p w14:paraId="30D654B0" w14:textId="77777777" w:rsidR="00EE5BB8" w:rsidRPr="00C6052E" w:rsidRDefault="00EE5BB8" w:rsidP="00814D77">
            <w:pPr>
              <w:pStyle w:val="Tabletotal"/>
              <w:jc w:val="right"/>
            </w:pPr>
            <w:r w:rsidRPr="00C6052E">
              <w:t>3,693,484</w:t>
            </w:r>
          </w:p>
        </w:tc>
        <w:tc>
          <w:tcPr>
            <w:tcW w:w="1192" w:type="dxa"/>
            <w:noWrap/>
            <w:hideMark/>
          </w:tcPr>
          <w:p w14:paraId="297B9FBC" w14:textId="77777777" w:rsidR="00EE5BB8" w:rsidRPr="00C6052E" w:rsidRDefault="00EE5BB8" w:rsidP="00814D77">
            <w:pPr>
              <w:pStyle w:val="Tabletotal"/>
              <w:jc w:val="right"/>
            </w:pPr>
            <w:r w:rsidRPr="00C6052E">
              <w:t>950,277</w:t>
            </w:r>
          </w:p>
        </w:tc>
      </w:tr>
      <w:tr w:rsidR="00EA66F2" w:rsidRPr="00C6052E" w14:paraId="100BDACB" w14:textId="77777777" w:rsidTr="00D02276">
        <w:tc>
          <w:tcPr>
            <w:tcW w:w="2835" w:type="dxa"/>
          </w:tcPr>
          <w:p w14:paraId="217349A3" w14:textId="2DCDE7D8" w:rsidR="00EA66F2" w:rsidRPr="00C6052E" w:rsidRDefault="00EA66F2" w:rsidP="00A92814">
            <w:pPr>
              <w:pStyle w:val="TableHeading"/>
            </w:pPr>
            <w:r w:rsidRPr="00C6052E">
              <w:t>2024</w:t>
            </w:r>
          </w:p>
        </w:tc>
        <w:tc>
          <w:tcPr>
            <w:tcW w:w="1559" w:type="dxa"/>
            <w:noWrap/>
          </w:tcPr>
          <w:p w14:paraId="5EDCB5E0" w14:textId="77777777" w:rsidR="00EA66F2" w:rsidRPr="00C6052E" w:rsidRDefault="00EA66F2" w:rsidP="00EA66F2">
            <w:pPr>
              <w:pStyle w:val="TableHeading"/>
              <w:jc w:val="right"/>
            </w:pPr>
          </w:p>
        </w:tc>
        <w:tc>
          <w:tcPr>
            <w:tcW w:w="1137" w:type="dxa"/>
            <w:noWrap/>
          </w:tcPr>
          <w:p w14:paraId="543A2D0A" w14:textId="77777777" w:rsidR="00EA66F2" w:rsidRPr="00C6052E" w:rsidRDefault="00EA66F2" w:rsidP="00EA66F2">
            <w:pPr>
              <w:pStyle w:val="TableHeading"/>
              <w:jc w:val="right"/>
            </w:pPr>
          </w:p>
        </w:tc>
        <w:tc>
          <w:tcPr>
            <w:tcW w:w="1140" w:type="dxa"/>
            <w:noWrap/>
          </w:tcPr>
          <w:p w14:paraId="56DEAA3B" w14:textId="77777777" w:rsidR="00EA66F2" w:rsidRPr="00C6052E" w:rsidRDefault="00EA66F2" w:rsidP="00EA66F2">
            <w:pPr>
              <w:pStyle w:val="TableHeading"/>
              <w:jc w:val="right"/>
            </w:pPr>
          </w:p>
        </w:tc>
        <w:tc>
          <w:tcPr>
            <w:tcW w:w="1409" w:type="dxa"/>
            <w:noWrap/>
          </w:tcPr>
          <w:p w14:paraId="37356BDB" w14:textId="77777777" w:rsidR="00EA66F2" w:rsidRPr="00C6052E" w:rsidRDefault="00EA66F2" w:rsidP="00EA66F2">
            <w:pPr>
              <w:pStyle w:val="TableHeading"/>
              <w:jc w:val="right"/>
            </w:pPr>
          </w:p>
        </w:tc>
        <w:tc>
          <w:tcPr>
            <w:tcW w:w="1373" w:type="dxa"/>
            <w:noWrap/>
          </w:tcPr>
          <w:p w14:paraId="177782E8" w14:textId="77777777" w:rsidR="00EA66F2" w:rsidRPr="00C6052E" w:rsidRDefault="00EA66F2" w:rsidP="00EA66F2">
            <w:pPr>
              <w:pStyle w:val="TableHeading"/>
              <w:jc w:val="right"/>
            </w:pPr>
          </w:p>
        </w:tc>
        <w:tc>
          <w:tcPr>
            <w:tcW w:w="1604" w:type="dxa"/>
            <w:noWrap/>
          </w:tcPr>
          <w:p w14:paraId="5EE5C9A8" w14:textId="77777777" w:rsidR="00EA66F2" w:rsidRPr="00C6052E" w:rsidRDefault="00EA66F2" w:rsidP="00EA66F2">
            <w:pPr>
              <w:pStyle w:val="TableHeading"/>
              <w:jc w:val="right"/>
            </w:pPr>
          </w:p>
        </w:tc>
        <w:tc>
          <w:tcPr>
            <w:tcW w:w="1178" w:type="dxa"/>
            <w:noWrap/>
          </w:tcPr>
          <w:p w14:paraId="307627E5" w14:textId="77777777" w:rsidR="00EA66F2" w:rsidRPr="00C6052E" w:rsidRDefault="00EA66F2" w:rsidP="00EA66F2">
            <w:pPr>
              <w:pStyle w:val="TableHeading"/>
              <w:jc w:val="right"/>
            </w:pPr>
          </w:p>
        </w:tc>
        <w:tc>
          <w:tcPr>
            <w:tcW w:w="1373" w:type="dxa"/>
            <w:noWrap/>
          </w:tcPr>
          <w:p w14:paraId="3FE54B51" w14:textId="77777777" w:rsidR="00EA66F2" w:rsidRPr="00C6052E" w:rsidRDefault="00EA66F2" w:rsidP="00EA66F2">
            <w:pPr>
              <w:pStyle w:val="TableHeading"/>
              <w:jc w:val="right"/>
              <w:rPr>
                <w:sz w:val="18"/>
                <w:szCs w:val="18"/>
              </w:rPr>
            </w:pPr>
          </w:p>
        </w:tc>
        <w:tc>
          <w:tcPr>
            <w:tcW w:w="1192" w:type="dxa"/>
            <w:noWrap/>
          </w:tcPr>
          <w:p w14:paraId="5A873512" w14:textId="77777777" w:rsidR="00EA66F2" w:rsidRPr="00C6052E" w:rsidRDefault="00EA66F2" w:rsidP="00EA66F2">
            <w:pPr>
              <w:pStyle w:val="TableHeading"/>
              <w:jc w:val="right"/>
            </w:pPr>
          </w:p>
        </w:tc>
      </w:tr>
      <w:tr w:rsidR="00EA66F2" w:rsidRPr="00C6052E" w14:paraId="13371451" w14:textId="77777777" w:rsidTr="00D02276">
        <w:tc>
          <w:tcPr>
            <w:tcW w:w="2835" w:type="dxa"/>
          </w:tcPr>
          <w:p w14:paraId="31D55CC3" w14:textId="77777777" w:rsidR="00EA66F2" w:rsidRPr="00C6052E" w:rsidRDefault="00EA66F2" w:rsidP="00A92814">
            <w:pPr>
              <w:pStyle w:val="TableHeading"/>
            </w:pPr>
            <w:r w:rsidRPr="00C6052E">
              <w:t>Controlled</w:t>
            </w:r>
          </w:p>
        </w:tc>
        <w:tc>
          <w:tcPr>
            <w:tcW w:w="1559" w:type="dxa"/>
            <w:noWrap/>
          </w:tcPr>
          <w:p w14:paraId="61547576" w14:textId="77777777" w:rsidR="00EA66F2" w:rsidRPr="00C6052E" w:rsidRDefault="00EA66F2" w:rsidP="00EA66F2">
            <w:pPr>
              <w:pStyle w:val="TableHeading"/>
              <w:jc w:val="right"/>
            </w:pPr>
          </w:p>
        </w:tc>
        <w:tc>
          <w:tcPr>
            <w:tcW w:w="1137" w:type="dxa"/>
            <w:noWrap/>
          </w:tcPr>
          <w:p w14:paraId="002B1ACB" w14:textId="77777777" w:rsidR="00EA66F2" w:rsidRPr="00C6052E" w:rsidRDefault="00EA66F2" w:rsidP="00EA66F2">
            <w:pPr>
              <w:pStyle w:val="TableHeading"/>
              <w:jc w:val="right"/>
            </w:pPr>
          </w:p>
        </w:tc>
        <w:tc>
          <w:tcPr>
            <w:tcW w:w="1140" w:type="dxa"/>
            <w:noWrap/>
          </w:tcPr>
          <w:p w14:paraId="10AF98F1" w14:textId="77777777" w:rsidR="00EA66F2" w:rsidRPr="00C6052E" w:rsidRDefault="00EA66F2" w:rsidP="00EA66F2">
            <w:pPr>
              <w:pStyle w:val="TableHeading"/>
              <w:jc w:val="right"/>
            </w:pPr>
          </w:p>
        </w:tc>
        <w:tc>
          <w:tcPr>
            <w:tcW w:w="1409" w:type="dxa"/>
            <w:noWrap/>
          </w:tcPr>
          <w:p w14:paraId="3B8B1C0F" w14:textId="77777777" w:rsidR="00EA66F2" w:rsidRPr="00C6052E" w:rsidRDefault="00EA66F2" w:rsidP="00EA66F2">
            <w:pPr>
              <w:pStyle w:val="TableHeading"/>
              <w:jc w:val="right"/>
            </w:pPr>
          </w:p>
        </w:tc>
        <w:tc>
          <w:tcPr>
            <w:tcW w:w="1373" w:type="dxa"/>
            <w:noWrap/>
          </w:tcPr>
          <w:p w14:paraId="62C050BB" w14:textId="77777777" w:rsidR="00EA66F2" w:rsidRPr="00C6052E" w:rsidRDefault="00EA66F2" w:rsidP="00EA66F2">
            <w:pPr>
              <w:pStyle w:val="TableHeading"/>
              <w:jc w:val="right"/>
            </w:pPr>
          </w:p>
        </w:tc>
        <w:tc>
          <w:tcPr>
            <w:tcW w:w="1604" w:type="dxa"/>
            <w:noWrap/>
          </w:tcPr>
          <w:p w14:paraId="06E60DD3" w14:textId="77777777" w:rsidR="00EA66F2" w:rsidRPr="00C6052E" w:rsidRDefault="00EA66F2" w:rsidP="00EA66F2">
            <w:pPr>
              <w:pStyle w:val="TableHeading"/>
              <w:jc w:val="right"/>
            </w:pPr>
          </w:p>
        </w:tc>
        <w:tc>
          <w:tcPr>
            <w:tcW w:w="1178" w:type="dxa"/>
            <w:noWrap/>
          </w:tcPr>
          <w:p w14:paraId="42ACFCBE" w14:textId="77777777" w:rsidR="00EA66F2" w:rsidRPr="00C6052E" w:rsidRDefault="00EA66F2" w:rsidP="00EA66F2">
            <w:pPr>
              <w:pStyle w:val="TableHeading"/>
              <w:jc w:val="right"/>
            </w:pPr>
          </w:p>
        </w:tc>
        <w:tc>
          <w:tcPr>
            <w:tcW w:w="1373" w:type="dxa"/>
            <w:noWrap/>
          </w:tcPr>
          <w:p w14:paraId="0168DB7F" w14:textId="77777777" w:rsidR="00EA66F2" w:rsidRPr="00C6052E" w:rsidRDefault="00EA66F2" w:rsidP="00EA66F2">
            <w:pPr>
              <w:pStyle w:val="TableHeading"/>
              <w:jc w:val="right"/>
              <w:rPr>
                <w:sz w:val="18"/>
                <w:szCs w:val="18"/>
              </w:rPr>
            </w:pPr>
          </w:p>
        </w:tc>
        <w:tc>
          <w:tcPr>
            <w:tcW w:w="1192" w:type="dxa"/>
            <w:noWrap/>
          </w:tcPr>
          <w:p w14:paraId="2EB93BC7" w14:textId="77777777" w:rsidR="00EA66F2" w:rsidRPr="00C6052E" w:rsidRDefault="00EA66F2" w:rsidP="00EA66F2">
            <w:pPr>
              <w:pStyle w:val="TableHeading"/>
              <w:jc w:val="right"/>
            </w:pPr>
          </w:p>
        </w:tc>
      </w:tr>
      <w:tr w:rsidR="00EE5BB8" w:rsidRPr="00C6052E" w14:paraId="64E65CC5" w14:textId="77777777" w:rsidTr="00D02276">
        <w:tc>
          <w:tcPr>
            <w:tcW w:w="2835" w:type="dxa"/>
            <w:hideMark/>
          </w:tcPr>
          <w:p w14:paraId="10BF7D35" w14:textId="0A001406" w:rsidR="00EE5BB8" w:rsidRPr="00C6052E" w:rsidRDefault="00EE5BB8" w:rsidP="0063097D">
            <w:pPr>
              <w:pStyle w:val="TableCopy"/>
            </w:pPr>
            <w:r w:rsidRPr="00C6052E">
              <w:t>Provisions</w:t>
            </w:r>
            <w:r w:rsidR="00177848" w:rsidRPr="00C6052E">
              <w:t xml:space="preserve"> </w:t>
            </w:r>
            <w:r w:rsidRPr="00C6052E">
              <w:t>for</w:t>
            </w:r>
            <w:r w:rsidR="00177848" w:rsidRPr="00C6052E">
              <w:t xml:space="preserve"> </w:t>
            </w:r>
            <w:r w:rsidRPr="00C6052E">
              <w:t>outputs</w:t>
            </w:r>
          </w:p>
        </w:tc>
        <w:tc>
          <w:tcPr>
            <w:tcW w:w="1559" w:type="dxa"/>
            <w:noWrap/>
            <w:hideMark/>
          </w:tcPr>
          <w:p w14:paraId="1D330C75" w14:textId="77777777" w:rsidR="00EE5BB8" w:rsidRPr="00C6052E" w:rsidRDefault="00EE5BB8" w:rsidP="00EA66F2">
            <w:pPr>
              <w:pStyle w:val="TableCopy"/>
              <w:jc w:val="right"/>
            </w:pPr>
            <w:r w:rsidRPr="00C6052E">
              <w:t>2,769,493</w:t>
            </w:r>
          </w:p>
        </w:tc>
        <w:tc>
          <w:tcPr>
            <w:tcW w:w="1137" w:type="dxa"/>
            <w:noWrap/>
            <w:hideMark/>
          </w:tcPr>
          <w:p w14:paraId="4A71B2CE" w14:textId="77777777" w:rsidR="00EE5BB8" w:rsidRPr="00C6052E" w:rsidRDefault="00EE5BB8" w:rsidP="00EA66F2">
            <w:pPr>
              <w:pStyle w:val="TableCopy"/>
              <w:jc w:val="right"/>
            </w:pPr>
            <w:r w:rsidRPr="00C6052E">
              <w:t>431,992</w:t>
            </w:r>
          </w:p>
        </w:tc>
        <w:tc>
          <w:tcPr>
            <w:tcW w:w="1140" w:type="dxa"/>
            <w:noWrap/>
            <w:hideMark/>
          </w:tcPr>
          <w:p w14:paraId="06E55B90" w14:textId="77777777" w:rsidR="00EE5BB8" w:rsidRPr="00C6052E" w:rsidRDefault="00EE5BB8" w:rsidP="00EA66F2">
            <w:pPr>
              <w:pStyle w:val="TableCopy"/>
              <w:jc w:val="right"/>
            </w:pPr>
            <w:r w:rsidRPr="00C6052E">
              <w:t>611,454</w:t>
            </w:r>
          </w:p>
        </w:tc>
        <w:tc>
          <w:tcPr>
            <w:tcW w:w="1409" w:type="dxa"/>
            <w:noWrap/>
            <w:hideMark/>
          </w:tcPr>
          <w:p w14:paraId="27F644CF" w14:textId="77777777" w:rsidR="00EE5BB8" w:rsidRPr="00C6052E" w:rsidRDefault="00EE5BB8" w:rsidP="00EA66F2">
            <w:pPr>
              <w:pStyle w:val="TableCopy"/>
              <w:jc w:val="right"/>
            </w:pPr>
            <w:r w:rsidRPr="00C6052E">
              <w:t>(1,937)</w:t>
            </w:r>
          </w:p>
        </w:tc>
        <w:tc>
          <w:tcPr>
            <w:tcW w:w="1373" w:type="dxa"/>
            <w:noWrap/>
            <w:hideMark/>
          </w:tcPr>
          <w:p w14:paraId="2DBA7418" w14:textId="77777777" w:rsidR="00EE5BB8" w:rsidRPr="00C6052E" w:rsidRDefault="00EE5BB8" w:rsidP="00EA66F2">
            <w:pPr>
              <w:pStyle w:val="TableCopy"/>
              <w:jc w:val="right"/>
            </w:pPr>
            <w:r w:rsidRPr="00C6052E">
              <w:t>98,517</w:t>
            </w:r>
          </w:p>
        </w:tc>
        <w:tc>
          <w:tcPr>
            <w:tcW w:w="1604" w:type="dxa"/>
            <w:noWrap/>
            <w:hideMark/>
          </w:tcPr>
          <w:p w14:paraId="65048DB7" w14:textId="77777777" w:rsidR="00EE5BB8" w:rsidRPr="00C6052E" w:rsidRDefault="00EE5BB8" w:rsidP="00EA66F2">
            <w:pPr>
              <w:pStyle w:val="TableCopy"/>
              <w:jc w:val="right"/>
            </w:pPr>
            <w:r w:rsidRPr="00C6052E">
              <w:t>21,976</w:t>
            </w:r>
          </w:p>
        </w:tc>
        <w:tc>
          <w:tcPr>
            <w:tcW w:w="1178" w:type="dxa"/>
            <w:noWrap/>
            <w:hideMark/>
          </w:tcPr>
          <w:p w14:paraId="7ABD8CE1" w14:textId="77777777" w:rsidR="00EE5BB8" w:rsidRPr="00C6052E" w:rsidRDefault="00EE5BB8" w:rsidP="00EA66F2">
            <w:pPr>
              <w:pStyle w:val="TableCopy"/>
              <w:jc w:val="right"/>
            </w:pPr>
            <w:r w:rsidRPr="00C6052E">
              <w:t>3,931,495</w:t>
            </w:r>
          </w:p>
        </w:tc>
        <w:tc>
          <w:tcPr>
            <w:tcW w:w="1373" w:type="dxa"/>
            <w:noWrap/>
            <w:hideMark/>
          </w:tcPr>
          <w:p w14:paraId="54D2870D" w14:textId="77777777" w:rsidR="00EE5BB8" w:rsidRPr="00C6052E" w:rsidRDefault="00EE5BB8" w:rsidP="00EA66F2">
            <w:pPr>
              <w:pStyle w:val="TableCopy"/>
              <w:jc w:val="right"/>
            </w:pPr>
            <w:r w:rsidRPr="00C6052E">
              <w:t>3,337,248</w:t>
            </w:r>
          </w:p>
        </w:tc>
        <w:tc>
          <w:tcPr>
            <w:tcW w:w="1192" w:type="dxa"/>
            <w:noWrap/>
            <w:hideMark/>
          </w:tcPr>
          <w:p w14:paraId="2B93EC8B" w14:textId="77777777" w:rsidR="00EE5BB8" w:rsidRPr="00C6052E" w:rsidRDefault="00EE5BB8" w:rsidP="00EA66F2">
            <w:pPr>
              <w:pStyle w:val="TableCopy"/>
              <w:jc w:val="right"/>
            </w:pPr>
            <w:r w:rsidRPr="00C6052E">
              <w:t>594,247</w:t>
            </w:r>
          </w:p>
        </w:tc>
      </w:tr>
      <w:tr w:rsidR="00EE5BB8" w:rsidRPr="00C6052E" w14:paraId="567D854C" w14:textId="77777777" w:rsidTr="00D02276">
        <w:tc>
          <w:tcPr>
            <w:tcW w:w="2835" w:type="dxa"/>
            <w:hideMark/>
          </w:tcPr>
          <w:p w14:paraId="7481EE52" w14:textId="66A6D1C6" w:rsidR="00EE5BB8" w:rsidRPr="00C6052E" w:rsidRDefault="00EE5BB8" w:rsidP="0063097D">
            <w:pPr>
              <w:pStyle w:val="TableCopy"/>
            </w:pPr>
            <w:r w:rsidRPr="00C6052E">
              <w:t>Additions</w:t>
            </w:r>
            <w:r w:rsidR="00177848" w:rsidRPr="00C6052E">
              <w:t xml:space="preserve"> </w:t>
            </w:r>
            <w:r w:rsidRPr="00C6052E">
              <w:t>to</w:t>
            </w:r>
            <w:r w:rsidR="00177848" w:rsidRPr="00C6052E">
              <w:t xml:space="preserve"> </w:t>
            </w:r>
            <w:r w:rsidRPr="00C6052E">
              <w:t>net</w:t>
            </w:r>
            <w:r w:rsidR="00177848" w:rsidRPr="00C6052E">
              <w:t xml:space="preserve"> </w:t>
            </w:r>
            <w:r w:rsidRPr="00C6052E">
              <w:t>assets</w:t>
            </w:r>
            <w:r w:rsidR="00177848" w:rsidRPr="00C6052E">
              <w:t xml:space="preserve"> </w:t>
            </w:r>
          </w:p>
        </w:tc>
        <w:tc>
          <w:tcPr>
            <w:tcW w:w="1559" w:type="dxa"/>
            <w:noWrap/>
            <w:hideMark/>
          </w:tcPr>
          <w:p w14:paraId="37A0AA30" w14:textId="77777777" w:rsidR="00EE5BB8" w:rsidRPr="00C6052E" w:rsidRDefault="00EE5BB8" w:rsidP="00EA66F2">
            <w:pPr>
              <w:pStyle w:val="TableCopy"/>
              <w:jc w:val="right"/>
            </w:pPr>
            <w:r w:rsidRPr="00C6052E">
              <w:t>41,831</w:t>
            </w:r>
          </w:p>
        </w:tc>
        <w:tc>
          <w:tcPr>
            <w:tcW w:w="1137" w:type="dxa"/>
            <w:noWrap/>
            <w:hideMark/>
          </w:tcPr>
          <w:p w14:paraId="29ADCA95" w14:textId="77777777" w:rsidR="00EE5BB8" w:rsidRPr="00C6052E" w:rsidRDefault="00EE5BB8" w:rsidP="00EA66F2">
            <w:pPr>
              <w:pStyle w:val="TableCopy"/>
              <w:jc w:val="right"/>
            </w:pPr>
            <w:r w:rsidRPr="00C6052E">
              <w:t>205,352</w:t>
            </w:r>
          </w:p>
        </w:tc>
        <w:tc>
          <w:tcPr>
            <w:tcW w:w="1140" w:type="dxa"/>
            <w:noWrap/>
            <w:hideMark/>
          </w:tcPr>
          <w:p w14:paraId="0B417320" w14:textId="77777777" w:rsidR="00EE5BB8" w:rsidRPr="00C6052E" w:rsidRDefault="00EE5BB8" w:rsidP="00EA66F2">
            <w:pPr>
              <w:pStyle w:val="TableCopy"/>
              <w:jc w:val="right"/>
            </w:pPr>
            <w:r w:rsidRPr="00C6052E">
              <w:t>–</w:t>
            </w:r>
          </w:p>
        </w:tc>
        <w:tc>
          <w:tcPr>
            <w:tcW w:w="1409" w:type="dxa"/>
            <w:noWrap/>
            <w:hideMark/>
          </w:tcPr>
          <w:p w14:paraId="68EA408E" w14:textId="77777777" w:rsidR="00EE5BB8" w:rsidRPr="00C6052E" w:rsidRDefault="00EE5BB8" w:rsidP="00EA66F2">
            <w:pPr>
              <w:pStyle w:val="TableCopy"/>
              <w:jc w:val="right"/>
            </w:pPr>
            <w:r w:rsidRPr="00C6052E">
              <w:t>1,937</w:t>
            </w:r>
          </w:p>
        </w:tc>
        <w:tc>
          <w:tcPr>
            <w:tcW w:w="1373" w:type="dxa"/>
            <w:noWrap/>
            <w:hideMark/>
          </w:tcPr>
          <w:p w14:paraId="7DBB6EAF" w14:textId="77777777" w:rsidR="00EE5BB8" w:rsidRPr="00C6052E" w:rsidRDefault="00EE5BB8" w:rsidP="00EA66F2">
            <w:pPr>
              <w:pStyle w:val="TableCopy"/>
              <w:jc w:val="right"/>
            </w:pPr>
            <w:r w:rsidRPr="00C6052E">
              <w:t>2,222</w:t>
            </w:r>
          </w:p>
        </w:tc>
        <w:tc>
          <w:tcPr>
            <w:tcW w:w="1604" w:type="dxa"/>
            <w:noWrap/>
            <w:hideMark/>
          </w:tcPr>
          <w:p w14:paraId="1A922D62" w14:textId="77777777" w:rsidR="00EE5BB8" w:rsidRPr="00C6052E" w:rsidRDefault="00EE5BB8" w:rsidP="00EA66F2">
            <w:pPr>
              <w:pStyle w:val="TableCopy"/>
              <w:jc w:val="right"/>
            </w:pPr>
            <w:r w:rsidRPr="00C6052E">
              <w:t>–</w:t>
            </w:r>
          </w:p>
        </w:tc>
        <w:tc>
          <w:tcPr>
            <w:tcW w:w="1178" w:type="dxa"/>
            <w:noWrap/>
            <w:hideMark/>
          </w:tcPr>
          <w:p w14:paraId="74E3BB2D" w14:textId="77777777" w:rsidR="00EE5BB8" w:rsidRPr="00C6052E" w:rsidRDefault="00EE5BB8" w:rsidP="00EA66F2">
            <w:pPr>
              <w:pStyle w:val="TableCopy"/>
              <w:jc w:val="right"/>
            </w:pPr>
            <w:r w:rsidRPr="00C6052E">
              <w:t>251,342</w:t>
            </w:r>
          </w:p>
        </w:tc>
        <w:tc>
          <w:tcPr>
            <w:tcW w:w="1373" w:type="dxa"/>
            <w:noWrap/>
            <w:hideMark/>
          </w:tcPr>
          <w:p w14:paraId="5F909E7D" w14:textId="77777777" w:rsidR="00EE5BB8" w:rsidRPr="00C6052E" w:rsidRDefault="00EE5BB8" w:rsidP="00EA66F2">
            <w:pPr>
              <w:pStyle w:val="TableCopy"/>
              <w:jc w:val="right"/>
            </w:pPr>
            <w:r w:rsidRPr="00C6052E">
              <w:t>171,405</w:t>
            </w:r>
          </w:p>
        </w:tc>
        <w:tc>
          <w:tcPr>
            <w:tcW w:w="1192" w:type="dxa"/>
            <w:noWrap/>
            <w:hideMark/>
          </w:tcPr>
          <w:p w14:paraId="4A1D060A" w14:textId="77777777" w:rsidR="00EE5BB8" w:rsidRPr="00C6052E" w:rsidRDefault="00EE5BB8" w:rsidP="00EA66F2">
            <w:pPr>
              <w:pStyle w:val="TableCopy"/>
              <w:jc w:val="right"/>
            </w:pPr>
            <w:r w:rsidRPr="00C6052E">
              <w:t>79,937</w:t>
            </w:r>
          </w:p>
        </w:tc>
      </w:tr>
      <w:tr w:rsidR="00EE5BB8" w:rsidRPr="00C6052E" w14:paraId="54B94366" w14:textId="77777777" w:rsidTr="00D02276">
        <w:tc>
          <w:tcPr>
            <w:tcW w:w="2835" w:type="dxa"/>
            <w:noWrap/>
            <w:hideMark/>
          </w:tcPr>
          <w:p w14:paraId="286FA262" w14:textId="7CE07BDC" w:rsidR="00EE5BB8" w:rsidRPr="00C6052E" w:rsidRDefault="00EE5BB8" w:rsidP="00814D77">
            <w:pPr>
              <w:pStyle w:val="Tabletotal"/>
            </w:pPr>
            <w:r w:rsidRPr="00C6052E">
              <w:t>2024</w:t>
            </w:r>
            <w:r w:rsidR="00177848" w:rsidRPr="00C6052E">
              <w:t xml:space="preserve"> </w:t>
            </w:r>
            <w:r w:rsidRPr="00C6052E">
              <w:t>total</w:t>
            </w:r>
          </w:p>
        </w:tc>
        <w:tc>
          <w:tcPr>
            <w:tcW w:w="1559" w:type="dxa"/>
            <w:noWrap/>
            <w:hideMark/>
          </w:tcPr>
          <w:p w14:paraId="5DB5410C" w14:textId="77777777" w:rsidR="00EE5BB8" w:rsidRPr="00C6052E" w:rsidRDefault="00EE5BB8" w:rsidP="00814D77">
            <w:pPr>
              <w:pStyle w:val="Tabletotal"/>
              <w:jc w:val="right"/>
            </w:pPr>
            <w:r w:rsidRPr="00C6052E">
              <w:t>2,811,324</w:t>
            </w:r>
          </w:p>
        </w:tc>
        <w:tc>
          <w:tcPr>
            <w:tcW w:w="1137" w:type="dxa"/>
            <w:noWrap/>
            <w:hideMark/>
          </w:tcPr>
          <w:p w14:paraId="0D8D5316" w14:textId="77777777" w:rsidR="00EE5BB8" w:rsidRPr="00C6052E" w:rsidRDefault="00EE5BB8" w:rsidP="00814D77">
            <w:pPr>
              <w:pStyle w:val="Tabletotal"/>
              <w:jc w:val="right"/>
            </w:pPr>
            <w:r w:rsidRPr="00C6052E">
              <w:t>637,344</w:t>
            </w:r>
          </w:p>
        </w:tc>
        <w:tc>
          <w:tcPr>
            <w:tcW w:w="1140" w:type="dxa"/>
            <w:noWrap/>
            <w:hideMark/>
          </w:tcPr>
          <w:p w14:paraId="01B931C9" w14:textId="77777777" w:rsidR="00EE5BB8" w:rsidRPr="00C6052E" w:rsidRDefault="00EE5BB8" w:rsidP="00814D77">
            <w:pPr>
              <w:pStyle w:val="Tabletotal"/>
              <w:jc w:val="right"/>
            </w:pPr>
            <w:r w:rsidRPr="00C6052E">
              <w:t>611,454</w:t>
            </w:r>
          </w:p>
        </w:tc>
        <w:tc>
          <w:tcPr>
            <w:tcW w:w="1409" w:type="dxa"/>
            <w:noWrap/>
            <w:hideMark/>
          </w:tcPr>
          <w:p w14:paraId="38B7A7BD" w14:textId="77777777" w:rsidR="00EE5BB8" w:rsidRPr="00C6052E" w:rsidRDefault="00EE5BB8" w:rsidP="00814D77">
            <w:pPr>
              <w:pStyle w:val="Tabletotal"/>
              <w:jc w:val="right"/>
            </w:pPr>
            <w:r w:rsidRPr="00C6052E">
              <w:t>–</w:t>
            </w:r>
          </w:p>
        </w:tc>
        <w:tc>
          <w:tcPr>
            <w:tcW w:w="1373" w:type="dxa"/>
            <w:noWrap/>
            <w:hideMark/>
          </w:tcPr>
          <w:p w14:paraId="78AACE95" w14:textId="77777777" w:rsidR="00EE5BB8" w:rsidRPr="00C6052E" w:rsidRDefault="00EE5BB8" w:rsidP="00814D77">
            <w:pPr>
              <w:pStyle w:val="Tabletotal"/>
              <w:jc w:val="right"/>
            </w:pPr>
            <w:r w:rsidRPr="00C6052E">
              <w:t>100,739</w:t>
            </w:r>
          </w:p>
        </w:tc>
        <w:tc>
          <w:tcPr>
            <w:tcW w:w="1604" w:type="dxa"/>
            <w:noWrap/>
            <w:hideMark/>
          </w:tcPr>
          <w:p w14:paraId="4BC42190" w14:textId="77777777" w:rsidR="00EE5BB8" w:rsidRPr="00C6052E" w:rsidRDefault="00EE5BB8" w:rsidP="00814D77">
            <w:pPr>
              <w:pStyle w:val="Tabletotal"/>
              <w:jc w:val="right"/>
            </w:pPr>
            <w:r w:rsidRPr="00C6052E">
              <w:t>21,976</w:t>
            </w:r>
          </w:p>
        </w:tc>
        <w:tc>
          <w:tcPr>
            <w:tcW w:w="1178" w:type="dxa"/>
            <w:noWrap/>
            <w:hideMark/>
          </w:tcPr>
          <w:p w14:paraId="3E487FD5" w14:textId="77777777" w:rsidR="00EE5BB8" w:rsidRPr="00C6052E" w:rsidRDefault="00EE5BB8" w:rsidP="00814D77">
            <w:pPr>
              <w:pStyle w:val="Tabletotal"/>
              <w:jc w:val="right"/>
            </w:pPr>
            <w:r w:rsidRPr="00C6052E">
              <w:t>4,182,837</w:t>
            </w:r>
          </w:p>
        </w:tc>
        <w:tc>
          <w:tcPr>
            <w:tcW w:w="1373" w:type="dxa"/>
            <w:noWrap/>
            <w:hideMark/>
          </w:tcPr>
          <w:p w14:paraId="7E5CE524" w14:textId="77777777" w:rsidR="00EE5BB8" w:rsidRPr="00C6052E" w:rsidRDefault="00EE5BB8" w:rsidP="00814D77">
            <w:pPr>
              <w:pStyle w:val="Tabletotal"/>
              <w:jc w:val="right"/>
            </w:pPr>
            <w:r w:rsidRPr="00C6052E">
              <w:t>3,508,653</w:t>
            </w:r>
          </w:p>
        </w:tc>
        <w:tc>
          <w:tcPr>
            <w:tcW w:w="1192" w:type="dxa"/>
            <w:noWrap/>
            <w:hideMark/>
          </w:tcPr>
          <w:p w14:paraId="4CCFA351" w14:textId="77777777" w:rsidR="00EE5BB8" w:rsidRPr="00C6052E" w:rsidRDefault="00EE5BB8" w:rsidP="00814D77">
            <w:pPr>
              <w:pStyle w:val="Tabletotal"/>
              <w:jc w:val="right"/>
            </w:pPr>
            <w:r w:rsidRPr="00C6052E">
              <w:t>674,184</w:t>
            </w:r>
          </w:p>
        </w:tc>
      </w:tr>
    </w:tbl>
    <w:p w14:paraId="625B8C40" w14:textId="5F0E0239" w:rsidR="00EE5BB8" w:rsidRPr="00C6052E" w:rsidRDefault="00EE5BB8" w:rsidP="00EE5BB8">
      <w:pPr>
        <w:pStyle w:val="Tablenotes-numbered"/>
        <w:numPr>
          <w:ilvl w:val="0"/>
          <w:numId w:val="20"/>
        </w:numPr>
      </w:pPr>
      <w:r w:rsidRPr="00C6052E">
        <w:t>Annual</w:t>
      </w:r>
      <w:r w:rsidR="00177848" w:rsidRPr="00C6052E">
        <w:t xml:space="preserve"> </w:t>
      </w:r>
      <w:r w:rsidRPr="00C6052E">
        <w:t>appropriation</w:t>
      </w:r>
      <w:r w:rsidR="00177848" w:rsidRPr="00C6052E">
        <w:t xml:space="preserve"> </w:t>
      </w:r>
      <w:r w:rsidRPr="00C6052E">
        <w:t>reflects</w:t>
      </w:r>
      <w:r w:rsidR="00177848" w:rsidRPr="00C6052E">
        <w:t xml:space="preserve"> </w:t>
      </w:r>
      <w:r w:rsidRPr="00C6052E">
        <w:t>the</w:t>
      </w:r>
      <w:r w:rsidR="00177848" w:rsidRPr="00C6052E">
        <w:t xml:space="preserve"> </w:t>
      </w:r>
      <w:r w:rsidRPr="00C6052E">
        <w:t>parliamentary</w:t>
      </w:r>
      <w:r w:rsidR="00177848" w:rsidRPr="00C6052E">
        <w:t xml:space="preserve"> </w:t>
      </w:r>
      <w:r w:rsidRPr="00C6052E">
        <w:t>appropriations</w:t>
      </w:r>
      <w:r w:rsidR="00177848" w:rsidRPr="00C6052E">
        <w:t xml:space="preserve"> </w:t>
      </w:r>
      <w:r w:rsidRPr="00C6052E">
        <w:t>per</w:t>
      </w:r>
      <w:r w:rsidR="00177848" w:rsidRPr="00C6052E">
        <w:t xml:space="preserve"> </w:t>
      </w:r>
      <w:r w:rsidRPr="00C6052E">
        <w:t>the</w:t>
      </w:r>
      <w:r w:rsidR="00177848" w:rsidRPr="00C6052E">
        <w:t xml:space="preserve"> </w:t>
      </w:r>
      <w:r w:rsidRPr="00C6052E">
        <w:t>published</w:t>
      </w:r>
      <w:r w:rsidR="00177848" w:rsidRPr="00C6052E">
        <w:t xml:space="preserve"> </w:t>
      </w:r>
      <w:r w:rsidRPr="00C6052E">
        <w:t>2024–25</w:t>
      </w:r>
      <w:r w:rsidR="00177848" w:rsidRPr="00C6052E">
        <w:t xml:space="preserve"> </w:t>
      </w:r>
      <w:r w:rsidRPr="00C6052E">
        <w:t>Appropriation</w:t>
      </w:r>
      <w:r w:rsidR="00177848" w:rsidRPr="00C6052E">
        <w:t xml:space="preserve"> </w:t>
      </w:r>
      <w:r w:rsidRPr="00C6052E">
        <w:t>Bill.</w:t>
      </w:r>
      <w:r w:rsidR="00177848" w:rsidRPr="00C6052E">
        <w:t xml:space="preserve"> </w:t>
      </w:r>
    </w:p>
    <w:p w14:paraId="6D20582D" w14:textId="1C540255" w:rsidR="00EE5BB8" w:rsidRPr="00C6052E" w:rsidRDefault="00EE5BB8" w:rsidP="00EE5BB8">
      <w:pPr>
        <w:pStyle w:val="Tablenotes-numbered"/>
        <w:numPr>
          <w:ilvl w:val="0"/>
          <w:numId w:val="20"/>
        </w:numPr>
      </w:pPr>
      <w:r w:rsidRPr="00C6052E">
        <w:t>The</w:t>
      </w:r>
      <w:r w:rsidR="00177848" w:rsidRPr="00C6052E">
        <w:t xml:space="preserve"> </w:t>
      </w:r>
      <w:r w:rsidRPr="00C6052E">
        <w:t>prior</w:t>
      </w:r>
      <w:r w:rsidR="00177848" w:rsidRPr="00C6052E">
        <w:t xml:space="preserve"> </w:t>
      </w:r>
      <w:r w:rsidRPr="00C6052E">
        <w:t>year</w:t>
      </w:r>
      <w:r w:rsidR="00177848" w:rsidRPr="00C6052E">
        <w:t xml:space="preserve"> </w:t>
      </w:r>
      <w:r w:rsidRPr="00C6052E">
        <w:t>Machinery</w:t>
      </w:r>
      <w:r w:rsidR="00177848" w:rsidRPr="00C6052E">
        <w:t xml:space="preserve"> </w:t>
      </w:r>
      <w:r w:rsidRPr="00C6052E">
        <w:t>of</w:t>
      </w:r>
      <w:r w:rsidR="00177848" w:rsidRPr="00C6052E">
        <w:t xml:space="preserve"> </w:t>
      </w:r>
      <w:r w:rsidRPr="00C6052E">
        <w:t>Government</w:t>
      </w:r>
      <w:r w:rsidR="00177848" w:rsidRPr="00C6052E">
        <w:t xml:space="preserve"> </w:t>
      </w:r>
      <w:r w:rsidRPr="00C6052E">
        <w:t>changes</w:t>
      </w:r>
      <w:r w:rsidR="00177848" w:rsidRPr="00C6052E">
        <w:t xml:space="preserve"> </w:t>
      </w:r>
      <w:r w:rsidRPr="00C6052E">
        <w:t>were</w:t>
      </w:r>
      <w:r w:rsidR="00177848" w:rsidRPr="00C6052E">
        <w:t xml:space="preserve"> </w:t>
      </w:r>
      <w:r w:rsidRPr="00C6052E">
        <w:t>effective</w:t>
      </w:r>
      <w:r w:rsidR="00177848" w:rsidRPr="00C6052E">
        <w:t xml:space="preserve"> </w:t>
      </w:r>
      <w:r w:rsidRPr="00C6052E">
        <w:t>from</w:t>
      </w:r>
      <w:r w:rsidR="00177848" w:rsidRPr="00C6052E">
        <w:t xml:space="preserve"> </w:t>
      </w:r>
      <w:r w:rsidRPr="00C6052E">
        <w:t>1</w:t>
      </w:r>
      <w:r w:rsidR="00177848" w:rsidRPr="00C6052E">
        <w:t xml:space="preserve"> </w:t>
      </w:r>
      <w:r w:rsidRPr="00C6052E">
        <w:t>February</w:t>
      </w:r>
      <w:r w:rsidR="00177848" w:rsidRPr="00C6052E">
        <w:t xml:space="preserve"> </w:t>
      </w:r>
      <w:r w:rsidRPr="00C6052E">
        <w:t>2024.</w:t>
      </w:r>
    </w:p>
    <w:p w14:paraId="0CE3A9E4" w14:textId="52269FB2" w:rsidR="00EE5BB8" w:rsidRPr="00C6052E" w:rsidRDefault="00EE5BB8" w:rsidP="00EE5BB8">
      <w:pPr>
        <w:pStyle w:val="Tablenotes-numbered"/>
        <w:numPr>
          <w:ilvl w:val="0"/>
          <w:numId w:val="20"/>
        </w:numPr>
        <w:spacing w:after="60"/>
      </w:pPr>
      <w:r w:rsidRPr="00C6052E">
        <w:lastRenderedPageBreak/>
        <w:t>The</w:t>
      </w:r>
      <w:r w:rsidR="00177848" w:rsidRPr="00C6052E">
        <w:t xml:space="preserve"> </w:t>
      </w:r>
      <w:r w:rsidRPr="00C6052E">
        <w:t>variance</w:t>
      </w:r>
      <w:r w:rsidR="00177848" w:rsidRPr="00C6052E">
        <w:t xml:space="preserve"> </w:t>
      </w:r>
      <w:r w:rsidRPr="00C6052E">
        <w:t>is</w:t>
      </w:r>
      <w:r w:rsidR="00177848" w:rsidRPr="00C6052E">
        <w:t xml:space="preserve"> </w:t>
      </w:r>
      <w:r w:rsidRPr="00C6052E">
        <w:t>primarily</w:t>
      </w:r>
      <w:r w:rsidR="00177848" w:rsidRPr="00C6052E">
        <w:t xml:space="preserve"> </w:t>
      </w:r>
      <w:r w:rsidRPr="00C6052E">
        <w:t>due</w:t>
      </w:r>
      <w:r w:rsidR="00177848" w:rsidRPr="00C6052E">
        <w:t xml:space="preserve"> </w:t>
      </w:r>
      <w:r w:rsidRPr="00C6052E">
        <w:t>to:</w:t>
      </w:r>
    </w:p>
    <w:p w14:paraId="14F946E7" w14:textId="40FF4444" w:rsidR="00EE5BB8" w:rsidRPr="00AA0230" w:rsidRDefault="00EE5BB8" w:rsidP="00AA0230">
      <w:pPr>
        <w:pStyle w:val="Tablenotes-indented"/>
        <w:spacing w:after="60"/>
        <w:ind w:left="454"/>
        <w:rPr>
          <w:sz w:val="18"/>
          <w:szCs w:val="12"/>
          <w:lang w:val="en-AU"/>
        </w:rPr>
      </w:pPr>
      <w:r w:rsidRPr="00AA0230">
        <w:rPr>
          <w:sz w:val="18"/>
          <w:szCs w:val="12"/>
          <w:lang w:val="en-AU"/>
        </w:rPr>
        <w:t>Provisions</w:t>
      </w:r>
      <w:r w:rsidR="00177848" w:rsidRPr="00AA0230">
        <w:rPr>
          <w:sz w:val="18"/>
          <w:szCs w:val="12"/>
          <w:lang w:val="en-AU"/>
        </w:rPr>
        <w:t xml:space="preserve"> </w:t>
      </w:r>
      <w:r w:rsidRPr="00AA0230">
        <w:rPr>
          <w:sz w:val="18"/>
          <w:szCs w:val="12"/>
          <w:lang w:val="en-AU"/>
        </w:rPr>
        <w:t>for</w:t>
      </w:r>
      <w:r w:rsidR="00177848" w:rsidRPr="00AA0230">
        <w:rPr>
          <w:sz w:val="18"/>
          <w:szCs w:val="12"/>
          <w:lang w:val="en-AU"/>
        </w:rPr>
        <w:t xml:space="preserve"> </w:t>
      </w:r>
      <w:r w:rsidRPr="00AA0230">
        <w:rPr>
          <w:sz w:val="18"/>
          <w:szCs w:val="12"/>
          <w:lang w:val="en-AU"/>
        </w:rPr>
        <w:t>outputs</w:t>
      </w:r>
    </w:p>
    <w:p w14:paraId="3A21D2CD" w14:textId="012B1AD3" w:rsidR="00EE5BB8" w:rsidRPr="00AA0230" w:rsidRDefault="00EE5BB8" w:rsidP="00AA0230">
      <w:pPr>
        <w:pStyle w:val="Tablenotes-indented"/>
        <w:numPr>
          <w:ilvl w:val="0"/>
          <w:numId w:val="19"/>
        </w:numPr>
        <w:spacing w:after="60"/>
        <w:ind w:left="454" w:hanging="170"/>
        <w:rPr>
          <w:spacing w:val="-2"/>
          <w:sz w:val="18"/>
          <w:szCs w:val="12"/>
          <w:lang w:val="en-AU"/>
        </w:rPr>
      </w:pPr>
      <w:r w:rsidRPr="00AA0230">
        <w:rPr>
          <w:spacing w:val="-2"/>
          <w:sz w:val="18"/>
          <w:szCs w:val="12"/>
          <w:lang w:val="en-AU"/>
        </w:rPr>
        <w:t>budget</w:t>
      </w:r>
      <w:r w:rsidR="00177848" w:rsidRPr="00AA0230">
        <w:rPr>
          <w:spacing w:val="-2"/>
          <w:sz w:val="18"/>
          <w:szCs w:val="12"/>
          <w:lang w:val="en-AU"/>
        </w:rPr>
        <w:t xml:space="preserve"> </w:t>
      </w:r>
      <w:r w:rsidRPr="00AA0230">
        <w:rPr>
          <w:spacing w:val="-2"/>
          <w:sz w:val="18"/>
          <w:szCs w:val="12"/>
          <w:lang w:val="en-AU"/>
        </w:rPr>
        <w:t>updates</w:t>
      </w:r>
      <w:r w:rsidR="00177848" w:rsidRPr="00AA0230">
        <w:rPr>
          <w:spacing w:val="-2"/>
          <w:sz w:val="18"/>
          <w:szCs w:val="12"/>
          <w:lang w:val="en-AU"/>
        </w:rPr>
        <w:t xml:space="preserve"> </w:t>
      </w:r>
      <w:r w:rsidRPr="00AA0230">
        <w:rPr>
          <w:spacing w:val="-2"/>
          <w:sz w:val="18"/>
          <w:szCs w:val="12"/>
          <w:lang w:val="en-AU"/>
        </w:rPr>
        <w:t>being</w:t>
      </w:r>
      <w:r w:rsidR="00177848" w:rsidRPr="00AA0230">
        <w:rPr>
          <w:spacing w:val="-2"/>
          <w:sz w:val="18"/>
          <w:szCs w:val="12"/>
          <w:lang w:val="en-AU"/>
        </w:rPr>
        <w:t xml:space="preserve"> </w:t>
      </w:r>
      <w:r w:rsidRPr="00AA0230">
        <w:rPr>
          <w:spacing w:val="-2"/>
          <w:sz w:val="18"/>
          <w:szCs w:val="12"/>
          <w:lang w:val="en-AU"/>
        </w:rPr>
        <w:t>made</w:t>
      </w:r>
      <w:r w:rsidR="00177848" w:rsidRPr="00AA0230">
        <w:rPr>
          <w:spacing w:val="-2"/>
          <w:sz w:val="18"/>
          <w:szCs w:val="12"/>
          <w:lang w:val="en-AU"/>
        </w:rPr>
        <w:t xml:space="preserve"> </w:t>
      </w:r>
      <w:r w:rsidRPr="00AA0230">
        <w:rPr>
          <w:spacing w:val="-2"/>
          <w:sz w:val="18"/>
          <w:szCs w:val="12"/>
          <w:lang w:val="en-AU"/>
        </w:rPr>
        <w:t>during</w:t>
      </w:r>
      <w:r w:rsidR="00177848" w:rsidRPr="00AA0230">
        <w:rPr>
          <w:spacing w:val="-2"/>
          <w:sz w:val="18"/>
          <w:szCs w:val="12"/>
          <w:lang w:val="en-AU"/>
        </w:rPr>
        <w:t xml:space="preserve"> </w:t>
      </w:r>
      <w:r w:rsidRPr="00AA0230">
        <w:rPr>
          <w:spacing w:val="-2"/>
          <w:sz w:val="18"/>
          <w:szCs w:val="12"/>
          <w:lang w:val="en-AU"/>
        </w:rPr>
        <w:t>the</w:t>
      </w:r>
      <w:r w:rsidR="00177848" w:rsidRPr="00AA0230">
        <w:rPr>
          <w:spacing w:val="-2"/>
          <w:sz w:val="18"/>
          <w:szCs w:val="12"/>
          <w:lang w:val="en-AU"/>
        </w:rPr>
        <w:t xml:space="preserve"> </w:t>
      </w:r>
      <w:r w:rsidRPr="00AA0230">
        <w:rPr>
          <w:spacing w:val="-2"/>
          <w:sz w:val="18"/>
          <w:szCs w:val="12"/>
          <w:lang w:val="en-AU"/>
        </w:rPr>
        <w:t>financial</w:t>
      </w:r>
      <w:r w:rsidR="00177848" w:rsidRPr="00AA0230">
        <w:rPr>
          <w:spacing w:val="-2"/>
          <w:sz w:val="18"/>
          <w:szCs w:val="12"/>
          <w:lang w:val="en-AU"/>
        </w:rPr>
        <w:t xml:space="preserve"> </w:t>
      </w:r>
      <w:r w:rsidRPr="00AA0230">
        <w:rPr>
          <w:spacing w:val="-2"/>
          <w:sz w:val="18"/>
          <w:szCs w:val="12"/>
          <w:lang w:val="en-AU"/>
        </w:rPr>
        <w:t>year</w:t>
      </w:r>
      <w:r w:rsidR="00177848" w:rsidRPr="00AA0230">
        <w:rPr>
          <w:spacing w:val="-2"/>
          <w:sz w:val="18"/>
          <w:szCs w:val="12"/>
          <w:lang w:val="en-AU"/>
        </w:rPr>
        <w:t xml:space="preserve"> </w:t>
      </w:r>
      <w:r w:rsidRPr="00AA0230">
        <w:rPr>
          <w:spacing w:val="-2"/>
          <w:sz w:val="18"/>
          <w:szCs w:val="12"/>
          <w:lang w:val="en-AU"/>
        </w:rPr>
        <w:t>to</w:t>
      </w:r>
      <w:r w:rsidR="00177848" w:rsidRPr="00AA0230">
        <w:rPr>
          <w:spacing w:val="-2"/>
          <w:sz w:val="18"/>
          <w:szCs w:val="12"/>
          <w:lang w:val="en-AU"/>
        </w:rPr>
        <w:t xml:space="preserve"> </w:t>
      </w:r>
      <w:r w:rsidRPr="00AA0230">
        <w:rPr>
          <w:spacing w:val="-2"/>
          <w:sz w:val="18"/>
          <w:szCs w:val="12"/>
          <w:lang w:val="en-AU"/>
        </w:rPr>
        <w:t>rephase</w:t>
      </w:r>
      <w:r w:rsidR="00177848" w:rsidRPr="00AA0230">
        <w:rPr>
          <w:spacing w:val="-2"/>
          <w:sz w:val="18"/>
          <w:szCs w:val="12"/>
          <w:lang w:val="en-AU"/>
        </w:rPr>
        <w:t xml:space="preserve"> </w:t>
      </w:r>
      <w:r w:rsidRPr="00AA0230">
        <w:rPr>
          <w:spacing w:val="-2"/>
          <w:sz w:val="18"/>
          <w:szCs w:val="12"/>
          <w:lang w:val="en-AU"/>
        </w:rPr>
        <w:t>$339</w:t>
      </w:r>
      <w:r w:rsidR="00177848" w:rsidRPr="00AA0230">
        <w:rPr>
          <w:spacing w:val="-2"/>
          <w:sz w:val="18"/>
          <w:szCs w:val="12"/>
          <w:lang w:val="en-AU"/>
        </w:rPr>
        <w:t xml:space="preserve"> </w:t>
      </w:r>
      <w:r w:rsidRPr="00AA0230">
        <w:rPr>
          <w:spacing w:val="-2"/>
          <w:sz w:val="18"/>
          <w:szCs w:val="12"/>
          <w:lang w:val="en-AU"/>
        </w:rPr>
        <w:t>million</w:t>
      </w:r>
      <w:r w:rsidR="00177848" w:rsidRPr="00AA0230">
        <w:rPr>
          <w:spacing w:val="-2"/>
          <w:sz w:val="18"/>
          <w:szCs w:val="12"/>
          <w:lang w:val="en-AU"/>
        </w:rPr>
        <w:t xml:space="preserve"> </w:t>
      </w:r>
      <w:r w:rsidRPr="00AA0230">
        <w:rPr>
          <w:spacing w:val="-2"/>
          <w:sz w:val="18"/>
          <w:szCs w:val="12"/>
          <w:lang w:val="en-AU"/>
        </w:rPr>
        <w:t>funding</w:t>
      </w:r>
      <w:r w:rsidR="00177848" w:rsidRPr="00AA0230">
        <w:rPr>
          <w:spacing w:val="-2"/>
          <w:sz w:val="18"/>
          <w:szCs w:val="12"/>
          <w:lang w:val="en-AU"/>
        </w:rPr>
        <w:t xml:space="preserve"> </w:t>
      </w:r>
      <w:r w:rsidRPr="00AA0230">
        <w:rPr>
          <w:spacing w:val="-2"/>
          <w:sz w:val="18"/>
          <w:szCs w:val="12"/>
          <w:lang w:val="en-AU"/>
        </w:rPr>
        <w:t>from</w:t>
      </w:r>
      <w:r w:rsidR="00177848" w:rsidRPr="00AA0230">
        <w:rPr>
          <w:spacing w:val="-2"/>
          <w:sz w:val="18"/>
          <w:szCs w:val="12"/>
          <w:lang w:val="en-AU"/>
        </w:rPr>
        <w:t xml:space="preserve"> </w:t>
      </w:r>
      <w:r w:rsidRPr="00AA0230">
        <w:rPr>
          <w:spacing w:val="-2"/>
          <w:sz w:val="18"/>
          <w:szCs w:val="12"/>
          <w:lang w:val="en-AU"/>
        </w:rPr>
        <w:t>2024-25</w:t>
      </w:r>
      <w:r w:rsidR="00177848" w:rsidRPr="00AA0230">
        <w:rPr>
          <w:spacing w:val="-2"/>
          <w:sz w:val="18"/>
          <w:szCs w:val="12"/>
          <w:lang w:val="en-AU"/>
        </w:rPr>
        <w:t xml:space="preserve"> </w:t>
      </w:r>
      <w:r w:rsidRPr="00AA0230">
        <w:rPr>
          <w:spacing w:val="-2"/>
          <w:sz w:val="18"/>
          <w:szCs w:val="12"/>
          <w:lang w:val="en-AU"/>
        </w:rPr>
        <w:t>into</w:t>
      </w:r>
      <w:r w:rsidR="00177848" w:rsidRPr="00AA0230">
        <w:rPr>
          <w:spacing w:val="-2"/>
          <w:sz w:val="18"/>
          <w:szCs w:val="12"/>
          <w:lang w:val="en-AU"/>
        </w:rPr>
        <w:t xml:space="preserve"> </w:t>
      </w:r>
      <w:r w:rsidRPr="00AA0230">
        <w:rPr>
          <w:spacing w:val="-2"/>
          <w:sz w:val="18"/>
          <w:szCs w:val="12"/>
          <w:lang w:val="en-AU"/>
        </w:rPr>
        <w:t>future</w:t>
      </w:r>
      <w:r w:rsidR="00177848" w:rsidRPr="00AA0230">
        <w:rPr>
          <w:spacing w:val="-2"/>
          <w:sz w:val="18"/>
          <w:szCs w:val="12"/>
          <w:lang w:val="en-AU"/>
        </w:rPr>
        <w:t xml:space="preserve"> </w:t>
      </w:r>
      <w:r w:rsidRPr="00AA0230">
        <w:rPr>
          <w:spacing w:val="-2"/>
          <w:sz w:val="18"/>
          <w:szCs w:val="12"/>
          <w:lang w:val="en-AU"/>
        </w:rPr>
        <w:t>years</w:t>
      </w:r>
      <w:r w:rsidR="00177848" w:rsidRPr="00AA0230">
        <w:rPr>
          <w:spacing w:val="-2"/>
          <w:sz w:val="18"/>
          <w:szCs w:val="12"/>
          <w:lang w:val="en-AU"/>
        </w:rPr>
        <w:t xml:space="preserve"> </w:t>
      </w:r>
      <w:r w:rsidRPr="00AA0230">
        <w:rPr>
          <w:spacing w:val="-2"/>
          <w:sz w:val="18"/>
          <w:szCs w:val="12"/>
          <w:lang w:val="en-AU"/>
        </w:rPr>
        <w:t>to</w:t>
      </w:r>
      <w:r w:rsidR="00177848" w:rsidRPr="00AA0230">
        <w:rPr>
          <w:spacing w:val="-2"/>
          <w:sz w:val="18"/>
          <w:szCs w:val="12"/>
          <w:lang w:val="en-AU"/>
        </w:rPr>
        <w:t xml:space="preserve"> </w:t>
      </w:r>
      <w:r w:rsidRPr="00AA0230">
        <w:rPr>
          <w:spacing w:val="-2"/>
          <w:sz w:val="18"/>
          <w:szCs w:val="12"/>
          <w:lang w:val="en-AU"/>
        </w:rPr>
        <w:t>align</w:t>
      </w:r>
      <w:r w:rsidR="00177848" w:rsidRPr="00AA0230">
        <w:rPr>
          <w:spacing w:val="-2"/>
          <w:sz w:val="18"/>
          <w:szCs w:val="12"/>
          <w:lang w:val="en-AU"/>
        </w:rPr>
        <w:t xml:space="preserve"> </w:t>
      </w:r>
      <w:r w:rsidRPr="00AA0230">
        <w:rPr>
          <w:spacing w:val="-2"/>
          <w:sz w:val="18"/>
          <w:szCs w:val="12"/>
          <w:lang w:val="en-AU"/>
        </w:rPr>
        <w:t>budget</w:t>
      </w:r>
      <w:r w:rsidR="00177848" w:rsidRPr="00AA0230">
        <w:rPr>
          <w:spacing w:val="-2"/>
          <w:sz w:val="18"/>
          <w:szCs w:val="12"/>
          <w:lang w:val="en-AU"/>
        </w:rPr>
        <w:t xml:space="preserve"> </w:t>
      </w:r>
      <w:r w:rsidRPr="00AA0230">
        <w:rPr>
          <w:spacing w:val="-2"/>
          <w:sz w:val="18"/>
          <w:szCs w:val="12"/>
          <w:lang w:val="en-AU"/>
        </w:rPr>
        <w:t>with</w:t>
      </w:r>
      <w:r w:rsidR="00177848" w:rsidRPr="00AA0230">
        <w:rPr>
          <w:spacing w:val="-2"/>
          <w:sz w:val="18"/>
          <w:szCs w:val="12"/>
          <w:lang w:val="en-AU"/>
        </w:rPr>
        <w:t xml:space="preserve"> </w:t>
      </w:r>
      <w:r w:rsidRPr="00AA0230">
        <w:rPr>
          <w:spacing w:val="-2"/>
          <w:sz w:val="18"/>
          <w:szCs w:val="12"/>
          <w:lang w:val="en-AU"/>
        </w:rPr>
        <w:t>initiative</w:t>
      </w:r>
      <w:r w:rsidR="00177848" w:rsidRPr="00AA0230">
        <w:rPr>
          <w:spacing w:val="-2"/>
          <w:sz w:val="18"/>
          <w:szCs w:val="12"/>
          <w:lang w:val="en-AU"/>
        </w:rPr>
        <w:t xml:space="preserve"> </w:t>
      </w:r>
      <w:r w:rsidRPr="00AA0230">
        <w:rPr>
          <w:spacing w:val="-2"/>
          <w:sz w:val="18"/>
          <w:szCs w:val="12"/>
          <w:lang w:val="en-AU"/>
        </w:rPr>
        <w:t>milestones,</w:t>
      </w:r>
      <w:r w:rsidR="00177848" w:rsidRPr="00AA0230">
        <w:rPr>
          <w:spacing w:val="-2"/>
          <w:sz w:val="18"/>
          <w:szCs w:val="12"/>
          <w:lang w:val="en-AU"/>
        </w:rPr>
        <w:t xml:space="preserve"> </w:t>
      </w:r>
      <w:r w:rsidRPr="00AA0230">
        <w:rPr>
          <w:spacing w:val="-2"/>
          <w:sz w:val="18"/>
          <w:szCs w:val="12"/>
          <w:lang w:val="en-AU"/>
        </w:rPr>
        <w:t>including</w:t>
      </w:r>
      <w:r w:rsidR="00177848" w:rsidRPr="00AA0230">
        <w:rPr>
          <w:spacing w:val="-2"/>
          <w:sz w:val="18"/>
          <w:szCs w:val="12"/>
          <w:lang w:val="en-AU"/>
        </w:rPr>
        <w:t xml:space="preserve"> </w:t>
      </w:r>
      <w:r w:rsidRPr="00AA0230">
        <w:rPr>
          <w:spacing w:val="-2"/>
          <w:sz w:val="18"/>
          <w:szCs w:val="12"/>
          <w:lang w:val="en-AU"/>
        </w:rPr>
        <w:t>for</w:t>
      </w:r>
      <w:r w:rsidR="00177848" w:rsidRPr="00AA0230">
        <w:rPr>
          <w:spacing w:val="-2"/>
          <w:sz w:val="18"/>
          <w:szCs w:val="12"/>
          <w:lang w:val="en-AU"/>
        </w:rPr>
        <w:t xml:space="preserve"> </w:t>
      </w:r>
      <w:r w:rsidRPr="00AA0230">
        <w:rPr>
          <w:spacing w:val="-2"/>
          <w:sz w:val="18"/>
          <w:szCs w:val="12"/>
          <w:lang w:val="en-AU"/>
        </w:rPr>
        <w:t>Regional</w:t>
      </w:r>
      <w:r w:rsidR="00177848" w:rsidRPr="00AA0230">
        <w:rPr>
          <w:spacing w:val="-2"/>
          <w:sz w:val="18"/>
          <w:szCs w:val="12"/>
          <w:lang w:val="en-AU"/>
        </w:rPr>
        <w:t xml:space="preserve"> </w:t>
      </w:r>
      <w:r w:rsidRPr="00AA0230">
        <w:rPr>
          <w:spacing w:val="-2"/>
          <w:sz w:val="18"/>
          <w:szCs w:val="12"/>
          <w:lang w:val="en-AU"/>
        </w:rPr>
        <w:t>Sports</w:t>
      </w:r>
      <w:r w:rsidR="00177848" w:rsidRPr="00AA0230">
        <w:rPr>
          <w:spacing w:val="-2"/>
          <w:sz w:val="18"/>
          <w:szCs w:val="12"/>
          <w:lang w:val="en-AU"/>
        </w:rPr>
        <w:t xml:space="preserve"> </w:t>
      </w:r>
      <w:r w:rsidRPr="00AA0230">
        <w:rPr>
          <w:spacing w:val="-2"/>
          <w:sz w:val="18"/>
          <w:szCs w:val="12"/>
          <w:lang w:val="en-AU"/>
        </w:rPr>
        <w:t>Infrastructure</w:t>
      </w:r>
      <w:r w:rsidR="00177848" w:rsidRPr="00AA0230">
        <w:rPr>
          <w:spacing w:val="-2"/>
          <w:sz w:val="18"/>
          <w:szCs w:val="12"/>
          <w:lang w:val="en-AU"/>
        </w:rPr>
        <w:t xml:space="preserve"> </w:t>
      </w:r>
      <w:r w:rsidRPr="00AA0230">
        <w:rPr>
          <w:spacing w:val="-2"/>
          <w:sz w:val="18"/>
          <w:szCs w:val="12"/>
          <w:lang w:val="en-AU"/>
        </w:rPr>
        <w:t>Program;</w:t>
      </w:r>
      <w:r w:rsidR="00177848" w:rsidRPr="00AA0230">
        <w:rPr>
          <w:spacing w:val="-2"/>
          <w:sz w:val="18"/>
          <w:szCs w:val="12"/>
          <w:lang w:val="en-AU"/>
        </w:rPr>
        <w:t xml:space="preserve"> </w:t>
      </w:r>
      <w:r w:rsidRPr="00AA0230">
        <w:rPr>
          <w:spacing w:val="-2"/>
          <w:sz w:val="18"/>
          <w:szCs w:val="12"/>
          <w:lang w:val="en-AU"/>
        </w:rPr>
        <w:t>and</w:t>
      </w:r>
    </w:p>
    <w:p w14:paraId="3EA0D5DE" w14:textId="49837BB8" w:rsidR="00EE5BB8" w:rsidRPr="00AA0230" w:rsidRDefault="00EE5BB8" w:rsidP="00AA0230">
      <w:pPr>
        <w:pStyle w:val="Tablenotes-indented"/>
        <w:numPr>
          <w:ilvl w:val="0"/>
          <w:numId w:val="19"/>
        </w:numPr>
        <w:spacing w:after="120"/>
        <w:ind w:left="454" w:hanging="170"/>
        <w:rPr>
          <w:sz w:val="18"/>
          <w:szCs w:val="12"/>
          <w:lang w:val="en-AU"/>
        </w:rPr>
      </w:pPr>
      <w:r w:rsidRPr="00AA0230">
        <w:rPr>
          <w:sz w:val="18"/>
          <w:szCs w:val="12"/>
          <w:lang w:val="en-AU"/>
        </w:rPr>
        <w:t>request</w:t>
      </w:r>
      <w:r w:rsidR="00177848" w:rsidRPr="00AA0230">
        <w:rPr>
          <w:sz w:val="18"/>
          <w:szCs w:val="12"/>
          <w:lang w:val="en-AU"/>
        </w:rPr>
        <w:t xml:space="preserve"> </w:t>
      </w:r>
      <w:r w:rsidRPr="00AA0230">
        <w:rPr>
          <w:sz w:val="18"/>
          <w:szCs w:val="12"/>
          <w:lang w:val="en-AU"/>
        </w:rPr>
        <w:t>for</w:t>
      </w:r>
      <w:r w:rsidR="00177848" w:rsidRPr="00AA0230">
        <w:rPr>
          <w:sz w:val="18"/>
          <w:szCs w:val="12"/>
          <w:lang w:val="en-AU"/>
        </w:rPr>
        <w:t xml:space="preserve"> </w:t>
      </w:r>
      <w:r w:rsidRPr="00AA0230">
        <w:rPr>
          <w:sz w:val="18"/>
          <w:szCs w:val="12"/>
          <w:lang w:val="en-AU"/>
        </w:rPr>
        <w:t>carryover</w:t>
      </w:r>
      <w:r w:rsidR="00177848" w:rsidRPr="00AA0230">
        <w:rPr>
          <w:sz w:val="18"/>
          <w:szCs w:val="12"/>
          <w:lang w:val="en-AU"/>
        </w:rPr>
        <w:t xml:space="preserve"> </w:t>
      </w:r>
      <w:r w:rsidRPr="00AA0230">
        <w:rPr>
          <w:sz w:val="18"/>
          <w:szCs w:val="12"/>
          <w:lang w:val="en-AU"/>
        </w:rPr>
        <w:t>of</w:t>
      </w:r>
      <w:r w:rsidR="00177848" w:rsidRPr="00AA0230">
        <w:rPr>
          <w:sz w:val="18"/>
          <w:szCs w:val="12"/>
          <w:lang w:val="en-AU"/>
        </w:rPr>
        <w:t xml:space="preserve"> </w:t>
      </w:r>
      <w:r w:rsidRPr="00AA0230">
        <w:rPr>
          <w:sz w:val="18"/>
          <w:szCs w:val="12"/>
          <w:lang w:val="en-AU"/>
        </w:rPr>
        <w:t>appropriations,</w:t>
      </w:r>
      <w:r w:rsidR="00177848" w:rsidRPr="00AA0230">
        <w:rPr>
          <w:sz w:val="18"/>
          <w:szCs w:val="12"/>
          <w:lang w:val="en-AU"/>
        </w:rPr>
        <w:t xml:space="preserve"> </w:t>
      </w:r>
      <w:r w:rsidRPr="00AA0230">
        <w:rPr>
          <w:sz w:val="18"/>
          <w:szCs w:val="12"/>
          <w:lang w:val="en-AU"/>
        </w:rPr>
        <w:t>to</w:t>
      </w:r>
      <w:r w:rsidR="00177848" w:rsidRPr="00AA0230">
        <w:rPr>
          <w:sz w:val="18"/>
          <w:szCs w:val="12"/>
          <w:lang w:val="en-AU"/>
        </w:rPr>
        <w:t xml:space="preserve"> </w:t>
      </w:r>
      <w:r w:rsidRPr="00AA0230">
        <w:rPr>
          <w:sz w:val="18"/>
          <w:szCs w:val="12"/>
          <w:lang w:val="en-AU"/>
        </w:rPr>
        <w:t>reflect</w:t>
      </w:r>
      <w:r w:rsidR="00177848" w:rsidRPr="00AA0230">
        <w:rPr>
          <w:sz w:val="18"/>
          <w:szCs w:val="12"/>
          <w:lang w:val="en-AU"/>
        </w:rPr>
        <w:t xml:space="preserve"> </w:t>
      </w:r>
      <w:r w:rsidRPr="00AA0230">
        <w:rPr>
          <w:sz w:val="18"/>
          <w:szCs w:val="12"/>
          <w:lang w:val="en-AU"/>
        </w:rPr>
        <w:t>agreed</w:t>
      </w:r>
      <w:r w:rsidR="00177848" w:rsidRPr="00AA0230">
        <w:rPr>
          <w:sz w:val="18"/>
          <w:szCs w:val="12"/>
          <w:lang w:val="en-AU"/>
        </w:rPr>
        <w:t xml:space="preserve"> </w:t>
      </w:r>
      <w:r w:rsidRPr="00AA0230">
        <w:rPr>
          <w:sz w:val="18"/>
          <w:szCs w:val="12"/>
          <w:lang w:val="en-AU"/>
        </w:rPr>
        <w:t>changes</w:t>
      </w:r>
      <w:r w:rsidR="00177848" w:rsidRPr="00AA0230">
        <w:rPr>
          <w:sz w:val="18"/>
          <w:szCs w:val="12"/>
          <w:lang w:val="en-AU"/>
        </w:rPr>
        <w:t xml:space="preserve"> </w:t>
      </w:r>
      <w:r w:rsidRPr="00AA0230">
        <w:rPr>
          <w:sz w:val="18"/>
          <w:szCs w:val="12"/>
          <w:lang w:val="en-AU"/>
        </w:rPr>
        <w:t>in</w:t>
      </w:r>
      <w:r w:rsidR="00177848" w:rsidRPr="00AA0230">
        <w:rPr>
          <w:sz w:val="18"/>
          <w:szCs w:val="12"/>
          <w:lang w:val="en-AU"/>
        </w:rPr>
        <w:t xml:space="preserve"> </w:t>
      </w:r>
      <w:r w:rsidRPr="00AA0230">
        <w:rPr>
          <w:sz w:val="18"/>
          <w:szCs w:val="12"/>
          <w:lang w:val="en-AU"/>
        </w:rPr>
        <w:t>committed</w:t>
      </w:r>
      <w:r w:rsidR="00177848" w:rsidRPr="00AA0230">
        <w:rPr>
          <w:sz w:val="18"/>
          <w:szCs w:val="12"/>
          <w:lang w:val="en-AU"/>
        </w:rPr>
        <w:t xml:space="preserve"> </w:t>
      </w:r>
      <w:r w:rsidRPr="00AA0230">
        <w:rPr>
          <w:sz w:val="18"/>
          <w:szCs w:val="12"/>
          <w:lang w:val="en-AU"/>
        </w:rPr>
        <w:t>projects</w:t>
      </w:r>
      <w:r w:rsidR="00177848" w:rsidRPr="00AA0230">
        <w:rPr>
          <w:sz w:val="18"/>
          <w:szCs w:val="12"/>
          <w:lang w:val="en-AU"/>
        </w:rPr>
        <w:t xml:space="preserve"> </w:t>
      </w:r>
      <w:r w:rsidRPr="00AA0230">
        <w:rPr>
          <w:sz w:val="18"/>
          <w:szCs w:val="12"/>
          <w:lang w:val="en-AU"/>
        </w:rPr>
        <w:t>milestones</w:t>
      </w:r>
      <w:r w:rsidR="00177848" w:rsidRPr="00AA0230">
        <w:rPr>
          <w:sz w:val="18"/>
          <w:szCs w:val="12"/>
          <w:lang w:val="en-AU"/>
        </w:rPr>
        <w:t xml:space="preserve"> </w:t>
      </w:r>
      <w:r w:rsidRPr="00AA0230">
        <w:rPr>
          <w:sz w:val="18"/>
          <w:szCs w:val="12"/>
          <w:lang w:val="en-AU"/>
        </w:rPr>
        <w:t>across</w:t>
      </w:r>
      <w:r w:rsidR="00177848" w:rsidRPr="00AA0230">
        <w:rPr>
          <w:sz w:val="18"/>
          <w:szCs w:val="12"/>
          <w:lang w:val="en-AU"/>
        </w:rPr>
        <w:t xml:space="preserve"> </w:t>
      </w:r>
      <w:r w:rsidRPr="00AA0230">
        <w:rPr>
          <w:sz w:val="18"/>
          <w:szCs w:val="12"/>
          <w:lang w:val="en-AU"/>
        </w:rPr>
        <w:t>financial</w:t>
      </w:r>
      <w:r w:rsidR="00177848" w:rsidRPr="00AA0230">
        <w:rPr>
          <w:sz w:val="18"/>
          <w:szCs w:val="12"/>
          <w:lang w:val="en-AU"/>
        </w:rPr>
        <w:t xml:space="preserve"> </w:t>
      </w:r>
      <w:r w:rsidRPr="00AA0230">
        <w:rPr>
          <w:sz w:val="18"/>
          <w:szCs w:val="12"/>
          <w:lang w:val="en-AU"/>
        </w:rPr>
        <w:t>years,</w:t>
      </w:r>
      <w:r w:rsidR="00177848" w:rsidRPr="00AA0230">
        <w:rPr>
          <w:sz w:val="18"/>
          <w:szCs w:val="12"/>
          <w:lang w:val="en-AU"/>
        </w:rPr>
        <w:t xml:space="preserve"> </w:t>
      </w:r>
      <w:r w:rsidRPr="00AA0230">
        <w:rPr>
          <w:sz w:val="18"/>
          <w:szCs w:val="12"/>
          <w:lang w:val="en-AU"/>
        </w:rPr>
        <w:t>including</w:t>
      </w:r>
      <w:r w:rsidR="00177848" w:rsidRPr="00AA0230">
        <w:rPr>
          <w:sz w:val="18"/>
          <w:szCs w:val="12"/>
          <w:lang w:val="en-AU"/>
        </w:rPr>
        <w:t xml:space="preserve"> </w:t>
      </w:r>
      <w:r w:rsidRPr="00AA0230">
        <w:rPr>
          <w:sz w:val="18"/>
          <w:szCs w:val="12"/>
          <w:lang w:val="en-AU"/>
        </w:rPr>
        <w:t>for</w:t>
      </w:r>
      <w:r w:rsidR="00177848" w:rsidRPr="00AA0230">
        <w:rPr>
          <w:sz w:val="18"/>
          <w:szCs w:val="12"/>
          <w:lang w:val="en-AU"/>
        </w:rPr>
        <w:t xml:space="preserve"> </w:t>
      </w:r>
      <w:r w:rsidRPr="00AA0230">
        <w:rPr>
          <w:sz w:val="18"/>
          <w:szCs w:val="12"/>
          <w:lang w:val="en-AU"/>
        </w:rPr>
        <w:t>industry</w:t>
      </w:r>
      <w:r w:rsidR="00177848" w:rsidRPr="00AA0230">
        <w:rPr>
          <w:sz w:val="18"/>
          <w:szCs w:val="12"/>
          <w:lang w:val="en-AU"/>
        </w:rPr>
        <w:t xml:space="preserve"> </w:t>
      </w:r>
      <w:r w:rsidRPr="00AA0230">
        <w:rPr>
          <w:sz w:val="18"/>
          <w:szCs w:val="12"/>
          <w:lang w:val="en-AU"/>
        </w:rPr>
        <w:t>programs,</w:t>
      </w:r>
      <w:r w:rsidR="00177848" w:rsidRPr="00AA0230">
        <w:rPr>
          <w:sz w:val="18"/>
          <w:szCs w:val="12"/>
          <w:lang w:val="en-AU"/>
        </w:rPr>
        <w:t xml:space="preserve"> </w:t>
      </w:r>
      <w:r w:rsidRPr="00AA0230">
        <w:rPr>
          <w:sz w:val="18"/>
          <w:szCs w:val="12"/>
          <w:lang w:val="en-AU"/>
        </w:rPr>
        <w:t>Regional</w:t>
      </w:r>
      <w:r w:rsidR="00177848" w:rsidRPr="00AA0230">
        <w:rPr>
          <w:sz w:val="18"/>
          <w:szCs w:val="12"/>
          <w:lang w:val="en-AU"/>
        </w:rPr>
        <w:t xml:space="preserve"> </w:t>
      </w:r>
      <w:r w:rsidRPr="00AA0230">
        <w:rPr>
          <w:sz w:val="18"/>
          <w:szCs w:val="12"/>
          <w:lang w:val="en-AU"/>
        </w:rPr>
        <w:t>Economic</w:t>
      </w:r>
      <w:r w:rsidR="00177848" w:rsidRPr="00AA0230">
        <w:rPr>
          <w:sz w:val="18"/>
          <w:szCs w:val="12"/>
          <w:lang w:val="en-AU"/>
        </w:rPr>
        <w:t xml:space="preserve"> </w:t>
      </w:r>
      <w:r w:rsidRPr="00AA0230">
        <w:rPr>
          <w:sz w:val="18"/>
          <w:szCs w:val="12"/>
          <w:lang w:val="en-AU"/>
        </w:rPr>
        <w:t>Development</w:t>
      </w:r>
      <w:r w:rsidR="00177848" w:rsidRPr="00AA0230">
        <w:rPr>
          <w:sz w:val="18"/>
          <w:szCs w:val="12"/>
          <w:lang w:val="en-AU"/>
        </w:rPr>
        <w:t xml:space="preserve"> </w:t>
      </w:r>
      <w:r w:rsidRPr="00AA0230">
        <w:rPr>
          <w:sz w:val="18"/>
          <w:szCs w:val="12"/>
          <w:lang w:val="en-AU"/>
        </w:rPr>
        <w:t>and</w:t>
      </w:r>
      <w:r w:rsidR="00177848" w:rsidRPr="00AA0230">
        <w:rPr>
          <w:sz w:val="18"/>
          <w:szCs w:val="12"/>
          <w:lang w:val="en-AU"/>
        </w:rPr>
        <w:t xml:space="preserve"> </w:t>
      </w:r>
      <w:r w:rsidRPr="00AA0230">
        <w:rPr>
          <w:sz w:val="18"/>
          <w:szCs w:val="12"/>
          <w:lang w:val="en-AU"/>
        </w:rPr>
        <w:t>Participation</w:t>
      </w:r>
      <w:r w:rsidR="00177848" w:rsidRPr="00AA0230">
        <w:rPr>
          <w:sz w:val="18"/>
          <w:szCs w:val="12"/>
          <w:lang w:val="en-AU"/>
        </w:rPr>
        <w:t xml:space="preserve"> </w:t>
      </w:r>
      <w:r w:rsidRPr="00AA0230">
        <w:rPr>
          <w:sz w:val="18"/>
          <w:szCs w:val="12"/>
          <w:lang w:val="en-AU"/>
        </w:rPr>
        <w:t>Package</w:t>
      </w:r>
      <w:r w:rsidR="00177848" w:rsidRPr="00AA0230">
        <w:rPr>
          <w:sz w:val="18"/>
          <w:szCs w:val="12"/>
          <w:lang w:val="en-AU"/>
        </w:rPr>
        <w:t xml:space="preserve"> </w:t>
      </w:r>
      <w:r w:rsidRPr="00AA0230">
        <w:rPr>
          <w:sz w:val="18"/>
          <w:szCs w:val="12"/>
          <w:lang w:val="en-AU"/>
        </w:rPr>
        <w:t>and</w:t>
      </w:r>
      <w:r w:rsidR="00177848" w:rsidRPr="00AA0230">
        <w:rPr>
          <w:sz w:val="18"/>
          <w:szCs w:val="12"/>
          <w:lang w:val="en-AU"/>
        </w:rPr>
        <w:t xml:space="preserve"> </w:t>
      </w:r>
      <w:r w:rsidRPr="00AA0230">
        <w:rPr>
          <w:sz w:val="18"/>
          <w:szCs w:val="12"/>
          <w:lang w:val="en-AU"/>
        </w:rPr>
        <w:t>Community</w:t>
      </w:r>
      <w:r w:rsidR="00177848" w:rsidRPr="00AA0230">
        <w:rPr>
          <w:sz w:val="18"/>
          <w:szCs w:val="12"/>
          <w:lang w:val="en-AU"/>
        </w:rPr>
        <w:t xml:space="preserve"> </w:t>
      </w:r>
      <w:r w:rsidRPr="00AA0230">
        <w:rPr>
          <w:sz w:val="18"/>
          <w:szCs w:val="12"/>
          <w:lang w:val="en-AU"/>
        </w:rPr>
        <w:t>Infrastructure</w:t>
      </w:r>
      <w:r w:rsidR="00177848" w:rsidRPr="00AA0230">
        <w:rPr>
          <w:sz w:val="18"/>
          <w:szCs w:val="12"/>
          <w:lang w:val="en-AU"/>
        </w:rPr>
        <w:t xml:space="preserve"> </w:t>
      </w:r>
      <w:r w:rsidRPr="00AA0230">
        <w:rPr>
          <w:sz w:val="18"/>
          <w:szCs w:val="12"/>
          <w:lang w:val="en-AU"/>
        </w:rPr>
        <w:t>Programs.</w:t>
      </w:r>
    </w:p>
    <w:p w14:paraId="3B3985DB" w14:textId="1B2EAB97" w:rsidR="00EE5BB8" w:rsidRPr="00AA0230" w:rsidRDefault="00EE5BB8" w:rsidP="00AA0230">
      <w:pPr>
        <w:pStyle w:val="Tablenotes-indented"/>
        <w:spacing w:after="60"/>
        <w:ind w:left="454"/>
        <w:rPr>
          <w:sz w:val="18"/>
          <w:szCs w:val="12"/>
          <w:lang w:val="en-AU"/>
        </w:rPr>
      </w:pPr>
      <w:r w:rsidRPr="00AA0230">
        <w:rPr>
          <w:sz w:val="18"/>
          <w:szCs w:val="12"/>
          <w:lang w:val="en-AU"/>
        </w:rPr>
        <w:t>Additions</w:t>
      </w:r>
      <w:r w:rsidR="00177848" w:rsidRPr="00AA0230">
        <w:rPr>
          <w:sz w:val="18"/>
          <w:szCs w:val="12"/>
          <w:lang w:val="en-AU"/>
        </w:rPr>
        <w:t xml:space="preserve"> </w:t>
      </w:r>
      <w:r w:rsidRPr="00AA0230">
        <w:rPr>
          <w:sz w:val="18"/>
          <w:szCs w:val="12"/>
          <w:lang w:val="en-AU"/>
        </w:rPr>
        <w:t>to</w:t>
      </w:r>
      <w:r w:rsidR="00177848" w:rsidRPr="00AA0230">
        <w:rPr>
          <w:sz w:val="18"/>
          <w:szCs w:val="12"/>
          <w:lang w:val="en-AU"/>
        </w:rPr>
        <w:t xml:space="preserve"> </w:t>
      </w:r>
      <w:r w:rsidRPr="00AA0230">
        <w:rPr>
          <w:sz w:val="18"/>
          <w:szCs w:val="12"/>
          <w:lang w:val="en-AU"/>
        </w:rPr>
        <w:t>net</w:t>
      </w:r>
      <w:r w:rsidR="00177848" w:rsidRPr="00AA0230">
        <w:rPr>
          <w:sz w:val="18"/>
          <w:szCs w:val="12"/>
          <w:lang w:val="en-AU"/>
        </w:rPr>
        <w:t xml:space="preserve"> </w:t>
      </w:r>
      <w:r w:rsidRPr="00AA0230">
        <w:rPr>
          <w:sz w:val="18"/>
          <w:szCs w:val="12"/>
          <w:lang w:val="en-AU"/>
        </w:rPr>
        <w:t>assets</w:t>
      </w:r>
    </w:p>
    <w:p w14:paraId="75BD17B9" w14:textId="3B5524BF" w:rsidR="00EE5BB8" w:rsidRPr="00AA0230" w:rsidRDefault="00EE5BB8" w:rsidP="00EE5BB8">
      <w:pPr>
        <w:pStyle w:val="Tablenotes-indented"/>
        <w:numPr>
          <w:ilvl w:val="0"/>
          <w:numId w:val="19"/>
        </w:numPr>
        <w:spacing w:after="240"/>
        <w:ind w:left="454" w:hanging="170"/>
        <w:rPr>
          <w:sz w:val="18"/>
          <w:szCs w:val="12"/>
          <w:lang w:val="en-AU"/>
        </w:rPr>
      </w:pPr>
      <w:r w:rsidRPr="00AA0230">
        <w:rPr>
          <w:sz w:val="18"/>
          <w:szCs w:val="12"/>
          <w:lang w:val="en-AU"/>
        </w:rPr>
        <w:t>the</w:t>
      </w:r>
      <w:r w:rsidR="00177848" w:rsidRPr="00AA0230">
        <w:rPr>
          <w:sz w:val="18"/>
          <w:szCs w:val="12"/>
          <w:lang w:val="en-AU"/>
        </w:rPr>
        <w:t xml:space="preserve"> </w:t>
      </w:r>
      <w:r w:rsidRPr="00AA0230">
        <w:rPr>
          <w:sz w:val="18"/>
          <w:szCs w:val="12"/>
          <w:lang w:val="en-AU"/>
        </w:rPr>
        <w:t>application</w:t>
      </w:r>
      <w:r w:rsidR="00177848" w:rsidRPr="00AA0230">
        <w:rPr>
          <w:sz w:val="18"/>
          <w:szCs w:val="12"/>
          <w:lang w:val="en-AU"/>
        </w:rPr>
        <w:t xml:space="preserve"> </w:t>
      </w:r>
      <w:r w:rsidRPr="00AA0230">
        <w:rPr>
          <w:sz w:val="18"/>
          <w:szCs w:val="12"/>
          <w:lang w:val="en-AU"/>
        </w:rPr>
        <w:t>of</w:t>
      </w:r>
      <w:r w:rsidR="00177848" w:rsidRPr="00AA0230">
        <w:rPr>
          <w:sz w:val="18"/>
          <w:szCs w:val="12"/>
          <w:lang w:val="en-AU"/>
        </w:rPr>
        <w:t xml:space="preserve"> </w:t>
      </w:r>
      <w:r w:rsidRPr="00AA0230">
        <w:rPr>
          <w:sz w:val="18"/>
          <w:szCs w:val="12"/>
          <w:lang w:val="en-AU"/>
        </w:rPr>
        <w:t>$152.8</w:t>
      </w:r>
      <w:r w:rsidR="00177848" w:rsidRPr="00AA0230">
        <w:rPr>
          <w:sz w:val="18"/>
          <w:szCs w:val="12"/>
          <w:lang w:val="en-AU"/>
        </w:rPr>
        <w:t xml:space="preserve"> </w:t>
      </w:r>
      <w:r w:rsidRPr="00AA0230">
        <w:rPr>
          <w:sz w:val="18"/>
          <w:szCs w:val="12"/>
          <w:lang w:val="en-AU"/>
        </w:rPr>
        <w:t>million</w:t>
      </w:r>
      <w:r w:rsidR="00177848" w:rsidRPr="00AA0230">
        <w:rPr>
          <w:sz w:val="18"/>
          <w:szCs w:val="12"/>
          <w:lang w:val="en-AU"/>
        </w:rPr>
        <w:t xml:space="preserve"> </w:t>
      </w:r>
      <w:r w:rsidRPr="00AA0230">
        <w:rPr>
          <w:sz w:val="18"/>
          <w:szCs w:val="12"/>
          <w:lang w:val="en-AU"/>
        </w:rPr>
        <w:t>Depreciation</w:t>
      </w:r>
      <w:r w:rsidR="00177848" w:rsidRPr="00AA0230">
        <w:rPr>
          <w:sz w:val="18"/>
          <w:szCs w:val="12"/>
          <w:lang w:val="en-AU"/>
        </w:rPr>
        <w:t xml:space="preserve"> </w:t>
      </w:r>
      <w:r w:rsidRPr="00AA0230">
        <w:rPr>
          <w:sz w:val="18"/>
          <w:szCs w:val="12"/>
          <w:lang w:val="en-AU"/>
        </w:rPr>
        <w:t>Equivalent</w:t>
      </w:r>
      <w:r w:rsidR="00177848" w:rsidRPr="00AA0230">
        <w:rPr>
          <w:sz w:val="18"/>
          <w:szCs w:val="12"/>
          <w:lang w:val="en-AU"/>
        </w:rPr>
        <w:t xml:space="preserve"> </w:t>
      </w:r>
      <w:r w:rsidRPr="00AA0230">
        <w:rPr>
          <w:sz w:val="18"/>
          <w:szCs w:val="12"/>
          <w:lang w:val="en-AU"/>
        </w:rPr>
        <w:t>Funding</w:t>
      </w:r>
      <w:r w:rsidR="00177848" w:rsidRPr="00AA0230">
        <w:rPr>
          <w:sz w:val="18"/>
          <w:szCs w:val="12"/>
          <w:lang w:val="en-AU"/>
        </w:rPr>
        <w:t xml:space="preserve"> </w:t>
      </w:r>
      <w:r w:rsidRPr="00AA0230">
        <w:rPr>
          <w:sz w:val="18"/>
          <w:szCs w:val="12"/>
          <w:lang w:val="en-AU"/>
        </w:rPr>
        <w:t>as</w:t>
      </w:r>
      <w:r w:rsidR="00177848" w:rsidRPr="00AA0230">
        <w:rPr>
          <w:sz w:val="18"/>
          <w:szCs w:val="12"/>
          <w:lang w:val="en-AU"/>
        </w:rPr>
        <w:t xml:space="preserve"> </w:t>
      </w:r>
      <w:r w:rsidRPr="00AA0230">
        <w:rPr>
          <w:sz w:val="18"/>
          <w:szCs w:val="12"/>
          <w:lang w:val="en-AU"/>
        </w:rPr>
        <w:t>an</w:t>
      </w:r>
      <w:r w:rsidR="00177848" w:rsidRPr="00AA0230">
        <w:rPr>
          <w:sz w:val="18"/>
          <w:szCs w:val="12"/>
          <w:lang w:val="en-AU"/>
        </w:rPr>
        <w:t xml:space="preserve"> </w:t>
      </w:r>
      <w:r w:rsidRPr="00AA0230">
        <w:rPr>
          <w:sz w:val="18"/>
          <w:szCs w:val="12"/>
          <w:lang w:val="en-AU"/>
        </w:rPr>
        <w:t>alternative</w:t>
      </w:r>
      <w:r w:rsidR="00177848" w:rsidRPr="00AA0230">
        <w:rPr>
          <w:sz w:val="18"/>
          <w:szCs w:val="12"/>
          <w:lang w:val="en-AU"/>
        </w:rPr>
        <w:t xml:space="preserve"> </w:t>
      </w:r>
      <w:r w:rsidRPr="00AA0230">
        <w:rPr>
          <w:sz w:val="18"/>
          <w:szCs w:val="12"/>
          <w:lang w:val="en-AU"/>
        </w:rPr>
        <w:t>to</w:t>
      </w:r>
      <w:r w:rsidR="00177848" w:rsidRPr="00AA0230">
        <w:rPr>
          <w:sz w:val="18"/>
          <w:szCs w:val="12"/>
          <w:lang w:val="en-AU"/>
        </w:rPr>
        <w:t xml:space="preserve"> </w:t>
      </w:r>
      <w:r w:rsidRPr="00AA0230">
        <w:rPr>
          <w:sz w:val="18"/>
          <w:szCs w:val="12"/>
          <w:lang w:val="en-AU"/>
        </w:rPr>
        <w:t>asset</w:t>
      </w:r>
      <w:r w:rsidR="00177848" w:rsidRPr="00AA0230">
        <w:rPr>
          <w:sz w:val="18"/>
          <w:szCs w:val="12"/>
          <w:lang w:val="en-AU"/>
        </w:rPr>
        <w:t xml:space="preserve"> </w:t>
      </w:r>
      <w:r w:rsidRPr="00AA0230">
        <w:rPr>
          <w:sz w:val="18"/>
          <w:szCs w:val="12"/>
          <w:lang w:val="en-AU"/>
        </w:rPr>
        <w:t>appropriation.</w:t>
      </w:r>
    </w:p>
    <w:p w14:paraId="3E890638" w14:textId="6BA4E703" w:rsidR="00D02276" w:rsidRDefault="00D02276" w:rsidP="00D02276">
      <w:pPr>
        <w:pStyle w:val="TableHeading"/>
      </w:pPr>
      <w:r w:rsidRPr="00C6052E">
        <w:t>Special appropriations</w:t>
      </w:r>
    </w:p>
    <w:tbl>
      <w:tblPr>
        <w:tblStyle w:val="TableGrid"/>
        <w:tblW w:w="14648" w:type="dxa"/>
        <w:tblLayout w:type="fixed"/>
        <w:tblLook w:val="04E0" w:firstRow="1" w:lastRow="1" w:firstColumn="1" w:lastColumn="0" w:noHBand="0" w:noVBand="1"/>
      </w:tblPr>
      <w:tblGrid>
        <w:gridCol w:w="4531"/>
        <w:gridCol w:w="7087"/>
        <w:gridCol w:w="1515"/>
        <w:gridCol w:w="1515"/>
      </w:tblGrid>
      <w:tr w:rsidR="00EE5BB8" w:rsidRPr="00C6052E" w14:paraId="49E86476" w14:textId="77777777" w:rsidTr="00AA0230">
        <w:tc>
          <w:tcPr>
            <w:tcW w:w="4531" w:type="dxa"/>
            <w:noWrap/>
            <w:hideMark/>
          </w:tcPr>
          <w:p w14:paraId="15465A38" w14:textId="77777777" w:rsidR="00EE5BB8" w:rsidRPr="00C6052E" w:rsidRDefault="00EE5BB8" w:rsidP="000F5B20">
            <w:pPr>
              <w:pStyle w:val="TableColumnHeading"/>
            </w:pPr>
            <w:bookmarkStart w:id="108" w:name="TableColumnHeadings_45"/>
            <w:bookmarkEnd w:id="108"/>
            <w:r w:rsidRPr="00C6052E">
              <w:t>Authority</w:t>
            </w:r>
          </w:p>
        </w:tc>
        <w:tc>
          <w:tcPr>
            <w:tcW w:w="7087" w:type="dxa"/>
            <w:hideMark/>
          </w:tcPr>
          <w:p w14:paraId="46FFDE6D" w14:textId="77777777" w:rsidR="00EE5BB8" w:rsidRPr="00C6052E" w:rsidRDefault="00EE5BB8" w:rsidP="000F5B20">
            <w:pPr>
              <w:pStyle w:val="TableColumnHeading"/>
            </w:pPr>
            <w:r w:rsidRPr="00C6052E">
              <w:t>Purpose</w:t>
            </w:r>
          </w:p>
        </w:tc>
        <w:tc>
          <w:tcPr>
            <w:tcW w:w="1515" w:type="dxa"/>
            <w:hideMark/>
          </w:tcPr>
          <w:p w14:paraId="6104CB65" w14:textId="40D56E31" w:rsidR="00EE5BB8" w:rsidRPr="00C6052E" w:rsidRDefault="00EE5BB8" w:rsidP="00AA0230">
            <w:pPr>
              <w:pStyle w:val="TableColumnHeading"/>
              <w:jc w:val="right"/>
            </w:pPr>
            <w:r w:rsidRPr="00C6052E">
              <w:t>2025</w:t>
            </w:r>
            <w:r w:rsidR="00D02276">
              <w:t xml:space="preserve"> </w:t>
            </w:r>
            <w:r w:rsidR="00D02276" w:rsidRPr="00C6052E">
              <w:rPr>
                <w:lang w:val="en-AU"/>
              </w:rPr>
              <w:t>($</w:t>
            </w:r>
            <w:r w:rsidR="00D02276">
              <w:rPr>
                <w:lang w:val="en-AU"/>
              </w:rPr>
              <w:t> </w:t>
            </w:r>
            <w:r w:rsidR="00D02276" w:rsidRPr="00C6052E">
              <w:rPr>
                <w:lang w:val="en-AU"/>
              </w:rPr>
              <w:t>thousand)</w:t>
            </w:r>
          </w:p>
        </w:tc>
        <w:tc>
          <w:tcPr>
            <w:tcW w:w="1515" w:type="dxa"/>
            <w:hideMark/>
          </w:tcPr>
          <w:p w14:paraId="0FFBCCB1" w14:textId="7DCF61A2" w:rsidR="00EE5BB8" w:rsidRPr="00C6052E" w:rsidRDefault="00EE5BB8" w:rsidP="00AA0230">
            <w:pPr>
              <w:pStyle w:val="TableColumnHeading"/>
              <w:jc w:val="right"/>
            </w:pPr>
            <w:r w:rsidRPr="00C6052E">
              <w:t>2024</w:t>
            </w:r>
            <w:r w:rsidR="00D02276">
              <w:t xml:space="preserve"> </w:t>
            </w:r>
            <w:r w:rsidR="00D02276" w:rsidRPr="00C6052E">
              <w:rPr>
                <w:lang w:val="en-AU"/>
              </w:rPr>
              <w:t>($</w:t>
            </w:r>
            <w:r w:rsidR="00D02276">
              <w:rPr>
                <w:lang w:val="en-AU"/>
              </w:rPr>
              <w:t> </w:t>
            </w:r>
            <w:r w:rsidR="00D02276" w:rsidRPr="00C6052E">
              <w:rPr>
                <w:lang w:val="en-AU"/>
              </w:rPr>
              <w:t>thousand)</w:t>
            </w:r>
          </w:p>
        </w:tc>
      </w:tr>
      <w:tr w:rsidR="00EE5BB8" w:rsidRPr="00C6052E" w14:paraId="194525CA" w14:textId="77777777" w:rsidTr="00AA0230">
        <w:tc>
          <w:tcPr>
            <w:tcW w:w="4531" w:type="dxa"/>
            <w:hideMark/>
          </w:tcPr>
          <w:p w14:paraId="7362EB9D" w14:textId="02AABDF9" w:rsidR="00EE5BB8" w:rsidRPr="00C6052E" w:rsidRDefault="00EE5BB8" w:rsidP="00AA0230">
            <w:pPr>
              <w:pStyle w:val="TableHeading"/>
            </w:pPr>
            <w:r w:rsidRPr="00C6052E">
              <w:t>Operating</w:t>
            </w:r>
            <w:r w:rsidR="00177848" w:rsidRPr="00C6052E">
              <w:t xml:space="preserve"> </w:t>
            </w:r>
          </w:p>
        </w:tc>
        <w:tc>
          <w:tcPr>
            <w:tcW w:w="7087" w:type="dxa"/>
            <w:noWrap/>
            <w:hideMark/>
          </w:tcPr>
          <w:p w14:paraId="34F5E3B1" w14:textId="77777777" w:rsidR="00EE5BB8" w:rsidRPr="00C6052E" w:rsidRDefault="00EE5BB8" w:rsidP="00AA0230">
            <w:pPr>
              <w:pStyle w:val="TableHeading"/>
            </w:pPr>
          </w:p>
        </w:tc>
        <w:tc>
          <w:tcPr>
            <w:tcW w:w="1515" w:type="dxa"/>
            <w:noWrap/>
          </w:tcPr>
          <w:p w14:paraId="582CC84E" w14:textId="77777777" w:rsidR="00EE5BB8" w:rsidRPr="00C6052E" w:rsidRDefault="00EE5BB8" w:rsidP="00AA0230">
            <w:pPr>
              <w:pStyle w:val="TableHeading"/>
            </w:pPr>
          </w:p>
        </w:tc>
        <w:tc>
          <w:tcPr>
            <w:tcW w:w="1515" w:type="dxa"/>
            <w:noWrap/>
          </w:tcPr>
          <w:p w14:paraId="490D2B5B" w14:textId="77777777" w:rsidR="00EE5BB8" w:rsidRPr="00C6052E" w:rsidRDefault="00EE5BB8" w:rsidP="00AA0230">
            <w:pPr>
              <w:pStyle w:val="TableHeading"/>
            </w:pPr>
          </w:p>
        </w:tc>
      </w:tr>
      <w:tr w:rsidR="00EE5BB8" w:rsidRPr="00C6052E" w14:paraId="33E23096" w14:textId="77777777" w:rsidTr="00AA0230">
        <w:tc>
          <w:tcPr>
            <w:tcW w:w="4531" w:type="dxa"/>
          </w:tcPr>
          <w:p w14:paraId="0CC78729" w14:textId="6F5FB763" w:rsidR="00EE5BB8" w:rsidRPr="00C6052E" w:rsidRDefault="00EE5BB8" w:rsidP="0063097D">
            <w:pPr>
              <w:pStyle w:val="TableCopy"/>
            </w:pPr>
            <w:r w:rsidRPr="00C6052E">
              <w:t>Section</w:t>
            </w:r>
            <w:r w:rsidR="00177848" w:rsidRPr="00C6052E">
              <w:t xml:space="preserve"> </w:t>
            </w:r>
            <w:r w:rsidRPr="00C6052E">
              <w:t>10</w:t>
            </w:r>
            <w:r w:rsidR="00177848" w:rsidRPr="00C6052E">
              <w:t xml:space="preserve"> </w:t>
            </w:r>
            <w:r w:rsidRPr="00C6052E">
              <w:t>of</w:t>
            </w:r>
            <w:r w:rsidR="00177848" w:rsidRPr="00C6052E">
              <w:t xml:space="preserve"> </w:t>
            </w:r>
            <w:r w:rsidRPr="00C6052E">
              <w:t>the</w:t>
            </w:r>
            <w:r w:rsidR="00177848" w:rsidRPr="00C6052E">
              <w:t xml:space="preserve"> </w:t>
            </w:r>
            <w:r w:rsidRPr="00C6052E">
              <w:rPr>
                <w:rStyle w:val="Italics"/>
              </w:rPr>
              <w:t>Financial</w:t>
            </w:r>
            <w:r w:rsidR="00177848" w:rsidRPr="00C6052E">
              <w:rPr>
                <w:rStyle w:val="Italics"/>
              </w:rPr>
              <w:t xml:space="preserve"> </w:t>
            </w:r>
            <w:r w:rsidRPr="00C6052E">
              <w:rPr>
                <w:rStyle w:val="Italics"/>
              </w:rPr>
              <w:t>Management</w:t>
            </w:r>
            <w:r w:rsidR="00177848" w:rsidRPr="00C6052E">
              <w:rPr>
                <w:rStyle w:val="Italics"/>
              </w:rPr>
              <w:t xml:space="preserve"> </w:t>
            </w:r>
            <w:r w:rsidRPr="00C6052E">
              <w:rPr>
                <w:rStyle w:val="Italics"/>
              </w:rPr>
              <w:t>Act</w:t>
            </w:r>
            <w:r w:rsidR="00177848" w:rsidRPr="00C6052E">
              <w:rPr>
                <w:rStyle w:val="Italics"/>
              </w:rPr>
              <w:t xml:space="preserve"> </w:t>
            </w:r>
            <w:r w:rsidRPr="00C6052E">
              <w:rPr>
                <w:rStyle w:val="Italics"/>
              </w:rPr>
              <w:t>1994</w:t>
            </w:r>
            <w:r w:rsidR="00177848" w:rsidRPr="00C6052E">
              <w:t xml:space="preserve"> </w:t>
            </w:r>
            <w:r w:rsidRPr="00C6052E">
              <w:t>Appropriation</w:t>
            </w:r>
            <w:r w:rsidR="00177848" w:rsidRPr="00C6052E">
              <w:t xml:space="preserve"> </w:t>
            </w:r>
            <w:r w:rsidRPr="00C6052E">
              <w:t>of</w:t>
            </w:r>
            <w:r w:rsidR="00177848" w:rsidRPr="00C6052E">
              <w:t xml:space="preserve"> </w:t>
            </w:r>
            <w:r w:rsidRPr="00C6052E">
              <w:t>Commonwealth</w:t>
            </w:r>
            <w:r w:rsidR="00177848" w:rsidRPr="00C6052E">
              <w:t xml:space="preserve"> </w:t>
            </w:r>
            <w:r w:rsidRPr="00C6052E">
              <w:t>grant</w:t>
            </w:r>
            <w:r w:rsidR="00177848" w:rsidRPr="00C6052E">
              <w:t xml:space="preserve"> </w:t>
            </w:r>
            <w:r w:rsidRPr="00C6052E">
              <w:t>etc</w:t>
            </w:r>
          </w:p>
        </w:tc>
        <w:tc>
          <w:tcPr>
            <w:tcW w:w="7087" w:type="dxa"/>
            <w:noWrap/>
          </w:tcPr>
          <w:p w14:paraId="5D98DC07" w14:textId="5B9B49E7" w:rsidR="00EE5BB8" w:rsidRPr="00C6052E" w:rsidRDefault="00EE5BB8" w:rsidP="0063097D">
            <w:pPr>
              <w:pStyle w:val="TableCopy"/>
            </w:pPr>
            <w:r w:rsidRPr="00C6052E">
              <w:t>Under</w:t>
            </w:r>
            <w:r w:rsidR="00177848" w:rsidRPr="00C6052E">
              <w:t xml:space="preserve"> </w:t>
            </w:r>
            <w:r w:rsidRPr="00C6052E">
              <w:t>arrangement</w:t>
            </w:r>
            <w:r w:rsidR="00177848" w:rsidRPr="00C6052E">
              <w:t xml:space="preserve"> </w:t>
            </w:r>
            <w:r w:rsidRPr="00C6052E">
              <w:t>between</w:t>
            </w:r>
            <w:r w:rsidR="00177848" w:rsidRPr="00C6052E">
              <w:t xml:space="preserve"> </w:t>
            </w:r>
            <w:r w:rsidRPr="00C6052E">
              <w:t>the</w:t>
            </w:r>
            <w:r w:rsidR="00177848" w:rsidRPr="00C6052E">
              <w:t xml:space="preserve"> </w:t>
            </w:r>
            <w:r w:rsidRPr="00C6052E">
              <w:t>Commonwealth</w:t>
            </w:r>
            <w:r w:rsidR="00177848" w:rsidRPr="00C6052E">
              <w:t xml:space="preserve"> </w:t>
            </w:r>
            <w:r w:rsidRPr="00C6052E">
              <w:t>and</w:t>
            </w:r>
            <w:r w:rsidR="00177848" w:rsidRPr="00C6052E">
              <w:t xml:space="preserve"> </w:t>
            </w:r>
            <w:r w:rsidRPr="00C6052E">
              <w:t>the</w:t>
            </w:r>
            <w:r w:rsidR="00177848" w:rsidRPr="00C6052E">
              <w:t xml:space="preserve"> </w:t>
            </w:r>
            <w:r w:rsidRPr="00C6052E">
              <w:t>State,</w:t>
            </w:r>
            <w:r w:rsidR="00177848" w:rsidRPr="00C6052E">
              <w:t xml:space="preserve"> </w:t>
            </w:r>
            <w:r w:rsidRPr="00C6052E">
              <w:t>money</w:t>
            </w:r>
            <w:r w:rsidR="00177848" w:rsidRPr="00C6052E">
              <w:t xml:space="preserve"> </w:t>
            </w:r>
            <w:r w:rsidRPr="00C6052E">
              <w:t>is</w:t>
            </w:r>
            <w:r w:rsidR="00177848" w:rsidRPr="00C6052E">
              <w:t xml:space="preserve"> </w:t>
            </w:r>
            <w:r w:rsidRPr="00C6052E">
              <w:t>granted</w:t>
            </w:r>
            <w:r w:rsidR="00177848" w:rsidRPr="00C6052E">
              <w:t xml:space="preserve"> </w:t>
            </w:r>
            <w:r w:rsidRPr="00C6052E">
              <w:t>or</w:t>
            </w:r>
            <w:r w:rsidR="00177848" w:rsidRPr="00C6052E">
              <w:t xml:space="preserve"> </w:t>
            </w:r>
            <w:r w:rsidRPr="00C6052E">
              <w:t>made</w:t>
            </w:r>
            <w:r w:rsidR="00177848" w:rsidRPr="00C6052E">
              <w:t xml:space="preserve"> </w:t>
            </w:r>
            <w:r w:rsidRPr="00C6052E">
              <w:t>available</w:t>
            </w:r>
            <w:r w:rsidR="00177848" w:rsidRPr="00C6052E">
              <w:t xml:space="preserve"> </w:t>
            </w:r>
            <w:r w:rsidRPr="00C6052E">
              <w:t>from</w:t>
            </w:r>
            <w:r w:rsidR="00177848" w:rsidRPr="00C6052E">
              <w:t xml:space="preserve"> </w:t>
            </w:r>
            <w:r w:rsidRPr="00C6052E">
              <w:t>the</w:t>
            </w:r>
            <w:r w:rsidR="00177848" w:rsidRPr="00C6052E">
              <w:t xml:space="preserve"> </w:t>
            </w:r>
            <w:r w:rsidRPr="00C6052E">
              <w:t>Consolidated</w:t>
            </w:r>
            <w:r w:rsidR="00177848" w:rsidRPr="00C6052E">
              <w:t xml:space="preserve"> </w:t>
            </w:r>
            <w:r w:rsidRPr="00C6052E">
              <w:t>Fund</w:t>
            </w:r>
            <w:r w:rsidR="00177848" w:rsidRPr="00C6052E">
              <w:t xml:space="preserve"> </w:t>
            </w:r>
            <w:r w:rsidRPr="00C6052E">
              <w:t>with</w:t>
            </w:r>
            <w:r w:rsidR="00177848" w:rsidRPr="00C6052E">
              <w:t xml:space="preserve"> </w:t>
            </w:r>
            <w:r w:rsidRPr="00C6052E">
              <w:t>the</w:t>
            </w:r>
            <w:r w:rsidR="00177848" w:rsidRPr="00C6052E">
              <w:t xml:space="preserve"> </w:t>
            </w:r>
            <w:r w:rsidRPr="00C6052E">
              <w:t>approval</w:t>
            </w:r>
            <w:r w:rsidR="00177848" w:rsidRPr="00C6052E">
              <w:t xml:space="preserve"> </w:t>
            </w:r>
            <w:r w:rsidRPr="00C6052E">
              <w:t>of</w:t>
            </w:r>
            <w:r w:rsidR="00177848" w:rsidRPr="00C6052E">
              <w:t xml:space="preserve"> </w:t>
            </w:r>
            <w:r w:rsidRPr="00C6052E">
              <w:t>the</w:t>
            </w:r>
            <w:r w:rsidR="00177848" w:rsidRPr="00C6052E">
              <w:t xml:space="preserve"> </w:t>
            </w:r>
            <w:r w:rsidRPr="00C6052E">
              <w:t>Governor</w:t>
            </w:r>
            <w:r w:rsidR="00177848" w:rsidRPr="00C6052E">
              <w:t xml:space="preserve"> </w:t>
            </w:r>
            <w:r w:rsidRPr="00C6052E">
              <w:t>in</w:t>
            </w:r>
            <w:r w:rsidR="00177848" w:rsidRPr="00C6052E">
              <w:t xml:space="preserve"> </w:t>
            </w:r>
            <w:r w:rsidRPr="00C6052E">
              <w:t>Council.</w:t>
            </w:r>
          </w:p>
        </w:tc>
        <w:tc>
          <w:tcPr>
            <w:tcW w:w="1515" w:type="dxa"/>
            <w:noWrap/>
          </w:tcPr>
          <w:p w14:paraId="4C3DD1DB" w14:textId="77777777" w:rsidR="00EE5BB8" w:rsidRPr="00C6052E" w:rsidRDefault="00EE5BB8" w:rsidP="00AA0230">
            <w:pPr>
              <w:pStyle w:val="TableCopy"/>
              <w:jc w:val="right"/>
            </w:pPr>
            <w:r w:rsidRPr="00C6052E">
              <w:t>96,272</w:t>
            </w:r>
          </w:p>
        </w:tc>
        <w:tc>
          <w:tcPr>
            <w:tcW w:w="1515" w:type="dxa"/>
            <w:noWrap/>
          </w:tcPr>
          <w:p w14:paraId="7AA8AC2D" w14:textId="77777777" w:rsidR="00EE5BB8" w:rsidRPr="00C6052E" w:rsidRDefault="00EE5BB8" w:rsidP="00AA0230">
            <w:pPr>
              <w:pStyle w:val="TableCopy"/>
              <w:jc w:val="right"/>
            </w:pPr>
            <w:r w:rsidRPr="00C6052E">
              <w:t>–</w:t>
            </w:r>
          </w:p>
        </w:tc>
      </w:tr>
      <w:tr w:rsidR="00EE5BB8" w:rsidRPr="00C6052E" w14:paraId="11C2A1B9" w14:textId="77777777" w:rsidTr="00AA0230">
        <w:tc>
          <w:tcPr>
            <w:tcW w:w="4531" w:type="dxa"/>
            <w:hideMark/>
          </w:tcPr>
          <w:p w14:paraId="076EB640" w14:textId="13478918" w:rsidR="00EE5BB8" w:rsidRPr="00C6052E" w:rsidRDefault="00EE5BB8" w:rsidP="00814D77">
            <w:pPr>
              <w:pStyle w:val="Tabletotal"/>
            </w:pPr>
            <w:r w:rsidRPr="00C6052E">
              <w:t>Total</w:t>
            </w:r>
            <w:r w:rsidR="00177848" w:rsidRPr="00C6052E">
              <w:t xml:space="preserve"> </w:t>
            </w:r>
            <w:r w:rsidRPr="00C6052E">
              <w:t>Operating</w:t>
            </w:r>
          </w:p>
        </w:tc>
        <w:tc>
          <w:tcPr>
            <w:tcW w:w="7087" w:type="dxa"/>
            <w:hideMark/>
          </w:tcPr>
          <w:p w14:paraId="3D525ADD" w14:textId="77777777" w:rsidR="00EE5BB8" w:rsidRPr="00C6052E" w:rsidRDefault="00EE5BB8" w:rsidP="00814D77">
            <w:pPr>
              <w:pStyle w:val="Tabletotal"/>
            </w:pPr>
          </w:p>
        </w:tc>
        <w:tc>
          <w:tcPr>
            <w:tcW w:w="1515" w:type="dxa"/>
            <w:noWrap/>
            <w:hideMark/>
          </w:tcPr>
          <w:p w14:paraId="1B74B12C" w14:textId="77777777" w:rsidR="00EE5BB8" w:rsidRPr="00C6052E" w:rsidRDefault="00EE5BB8" w:rsidP="00814D77">
            <w:pPr>
              <w:pStyle w:val="Tabletotal"/>
              <w:jc w:val="right"/>
            </w:pPr>
            <w:r w:rsidRPr="00C6052E">
              <w:t>96,272</w:t>
            </w:r>
          </w:p>
        </w:tc>
        <w:tc>
          <w:tcPr>
            <w:tcW w:w="1515" w:type="dxa"/>
            <w:noWrap/>
            <w:hideMark/>
          </w:tcPr>
          <w:p w14:paraId="66BD9323" w14:textId="77777777" w:rsidR="00EE5BB8" w:rsidRPr="00C6052E" w:rsidRDefault="00EE5BB8" w:rsidP="00814D77">
            <w:pPr>
              <w:pStyle w:val="Tabletotal"/>
              <w:jc w:val="right"/>
            </w:pPr>
            <w:r w:rsidRPr="00C6052E">
              <w:t>–</w:t>
            </w:r>
          </w:p>
        </w:tc>
      </w:tr>
    </w:tbl>
    <w:p w14:paraId="72C30148" w14:textId="77777777" w:rsidR="00EE5BB8" w:rsidRPr="00C6052E" w:rsidRDefault="00EE5BB8" w:rsidP="00EE5BB8"/>
    <w:p w14:paraId="3E152782" w14:textId="77777777" w:rsidR="00EE5BB8" w:rsidRPr="00C6052E" w:rsidRDefault="00EE5BB8" w:rsidP="00EE5BB8">
      <w:pPr>
        <w:sectPr w:rsidR="00EE5BB8" w:rsidRPr="00C6052E" w:rsidSect="00EE5BB8">
          <w:headerReference w:type="even" r:id="rId15"/>
          <w:headerReference w:type="default" r:id="rId16"/>
          <w:endnotePr>
            <w:numFmt w:val="decimal"/>
          </w:endnotePr>
          <w:pgSz w:w="16840" w:h="11907" w:code="9"/>
          <w:pgMar w:top="1134" w:right="1134" w:bottom="1134" w:left="1134" w:header="567" w:footer="567" w:gutter="0"/>
          <w:cols w:space="708"/>
          <w:docGrid w:linePitch="360"/>
        </w:sectPr>
      </w:pPr>
    </w:p>
    <w:p w14:paraId="4C9985E9" w14:textId="08BC58A1" w:rsidR="00EE5BB8" w:rsidRPr="00C6052E" w:rsidRDefault="00EE5BB8" w:rsidP="00AA0230">
      <w:pPr>
        <w:pStyle w:val="Heading2numbered0"/>
      </w:pPr>
      <w:bookmarkStart w:id="109" w:name="_Toc163565949"/>
      <w:bookmarkStart w:id="110" w:name="_Ref209187588"/>
      <w:bookmarkStart w:id="111" w:name="_Ref209187601"/>
      <w:bookmarkStart w:id="112" w:name="_Toc163565948"/>
      <w:r w:rsidRPr="00C6052E">
        <w:lastRenderedPageBreak/>
        <w:t>Annotated</w:t>
      </w:r>
      <w:r w:rsidR="00177848" w:rsidRPr="00C6052E">
        <w:t xml:space="preserve"> </w:t>
      </w:r>
      <w:r w:rsidRPr="00C6052E">
        <w:t>income</w:t>
      </w:r>
      <w:bookmarkEnd w:id="109"/>
      <w:bookmarkEnd w:id="110"/>
      <w:bookmarkEnd w:id="111"/>
    </w:p>
    <w:p w14:paraId="38B313C3" w14:textId="66880163" w:rsidR="00EE5BB8" w:rsidRPr="00C6052E" w:rsidRDefault="00EE5BB8" w:rsidP="00EE5BB8">
      <w:fldSimple w:instr=" DOCPROPERTY  shortName  \* MERGEFORMAT ">
        <w:r w:rsidRPr="00C6052E">
          <w:t>DJSIR</w:t>
        </w:r>
      </w:fldSimple>
      <w:r w:rsidR="00177848" w:rsidRPr="00C6052E">
        <w:t xml:space="preserve"> </w:t>
      </w:r>
      <w:r w:rsidRPr="00C6052E">
        <w:t>is</w:t>
      </w:r>
      <w:r w:rsidR="00177848" w:rsidRPr="00C6052E">
        <w:t xml:space="preserve"> </w:t>
      </w:r>
      <w:r w:rsidRPr="00C6052E">
        <w:t>permitted</w:t>
      </w:r>
      <w:r w:rsidR="00177848" w:rsidRPr="00C6052E">
        <w:t xml:space="preserve"> </w:t>
      </w:r>
      <w:r w:rsidRPr="00C6052E">
        <w:t>under</w:t>
      </w:r>
      <w:r w:rsidR="00177848" w:rsidRPr="00C6052E">
        <w:t xml:space="preserve"> </w:t>
      </w:r>
      <w:r w:rsidRPr="00C6052E">
        <w:t>section</w:t>
      </w:r>
      <w:r w:rsidR="00177848" w:rsidRPr="00C6052E">
        <w:t xml:space="preserve"> </w:t>
      </w:r>
      <w:r w:rsidRPr="00C6052E">
        <w:t>29</w:t>
      </w:r>
      <w:r w:rsidR="00177848" w:rsidRPr="00C6052E">
        <w:t xml:space="preserve"> </w:t>
      </w:r>
      <w:r w:rsidRPr="00C6052E">
        <w:t>of</w:t>
      </w:r>
      <w:r w:rsidR="00177848" w:rsidRPr="00C6052E">
        <w:t xml:space="preserve"> </w:t>
      </w:r>
      <w:r w:rsidRPr="00C6052E">
        <w:t>the</w:t>
      </w:r>
      <w:r w:rsidR="00177848" w:rsidRPr="00C6052E">
        <w:t xml:space="preserve"> </w:t>
      </w:r>
      <w:r w:rsidRPr="00C6052E">
        <w:rPr>
          <w:i/>
          <w:iCs/>
        </w:rPr>
        <w:t>Financial</w:t>
      </w:r>
      <w:r w:rsidR="00177848" w:rsidRPr="00C6052E">
        <w:rPr>
          <w:i/>
          <w:iCs/>
        </w:rPr>
        <w:t xml:space="preserve"> </w:t>
      </w:r>
      <w:r w:rsidRPr="00C6052E">
        <w:rPr>
          <w:i/>
          <w:iCs/>
        </w:rPr>
        <w:t>Management</w:t>
      </w:r>
      <w:r w:rsidR="00177848" w:rsidRPr="00C6052E">
        <w:rPr>
          <w:i/>
          <w:iCs/>
        </w:rPr>
        <w:t xml:space="preserve"> </w:t>
      </w:r>
      <w:r w:rsidRPr="00C6052E">
        <w:rPr>
          <w:i/>
          <w:iCs/>
        </w:rPr>
        <w:t>Act</w:t>
      </w:r>
      <w:r w:rsidR="00177848" w:rsidRPr="00C6052E">
        <w:rPr>
          <w:i/>
          <w:iCs/>
        </w:rPr>
        <w:t xml:space="preserve"> </w:t>
      </w:r>
      <w:r w:rsidRPr="00C6052E">
        <w:rPr>
          <w:i/>
          <w:iCs/>
        </w:rPr>
        <w:t>1994</w:t>
      </w:r>
      <w:r w:rsidR="00177848" w:rsidRPr="00C6052E">
        <w:t xml:space="preserve"> </w:t>
      </w:r>
      <w:r w:rsidRPr="00C6052E">
        <w:t>(FMA)</w:t>
      </w:r>
      <w:r w:rsidR="00177848" w:rsidRPr="00C6052E">
        <w:t xml:space="preserve"> </w:t>
      </w:r>
      <w:r w:rsidRPr="00C6052E">
        <w:t>to</w:t>
      </w:r>
      <w:r w:rsidR="00177848" w:rsidRPr="00C6052E">
        <w:t xml:space="preserve"> </w:t>
      </w:r>
      <w:r w:rsidRPr="00C6052E">
        <w:t>have</w:t>
      </w:r>
      <w:r w:rsidR="00177848" w:rsidRPr="00C6052E">
        <w:t xml:space="preserve"> </w:t>
      </w:r>
      <w:r w:rsidRPr="00C6052E">
        <w:t>certain</w:t>
      </w:r>
      <w:r w:rsidR="00177848" w:rsidRPr="00C6052E">
        <w:t xml:space="preserve"> </w:t>
      </w:r>
      <w:r w:rsidRPr="00C6052E">
        <w:t>income</w:t>
      </w:r>
      <w:r w:rsidR="00177848" w:rsidRPr="00C6052E">
        <w:t xml:space="preserve"> </w:t>
      </w:r>
      <w:r w:rsidRPr="00C6052E">
        <w:t>annotated</w:t>
      </w:r>
      <w:r w:rsidR="00177848" w:rsidRPr="00C6052E">
        <w:t xml:space="preserve"> </w:t>
      </w:r>
      <w:r w:rsidRPr="00C6052E">
        <w:t>to</w:t>
      </w:r>
      <w:r w:rsidR="00177848" w:rsidRPr="00C6052E">
        <w:t xml:space="preserve"> </w:t>
      </w:r>
      <w:r w:rsidRPr="00C6052E">
        <w:t>the</w:t>
      </w:r>
      <w:r w:rsidR="00177848" w:rsidRPr="00C6052E">
        <w:t xml:space="preserve"> </w:t>
      </w:r>
      <w:r w:rsidRPr="00C6052E">
        <w:t>annual</w:t>
      </w:r>
      <w:r w:rsidR="00177848" w:rsidRPr="00C6052E">
        <w:t xml:space="preserve"> </w:t>
      </w:r>
      <w:r w:rsidRPr="00C6052E">
        <w:t>appropriation.</w:t>
      </w:r>
      <w:r w:rsidR="00177848" w:rsidRPr="00C6052E">
        <w:t xml:space="preserve"> </w:t>
      </w:r>
      <w:r w:rsidRPr="00C6052E">
        <w:t>The</w:t>
      </w:r>
      <w:r w:rsidR="00177848" w:rsidRPr="00C6052E">
        <w:t xml:space="preserve"> </w:t>
      </w:r>
      <w:r w:rsidRPr="00C6052E">
        <w:t>income</w:t>
      </w:r>
      <w:r w:rsidR="00177848" w:rsidRPr="00C6052E">
        <w:t xml:space="preserve"> </w:t>
      </w:r>
      <w:r w:rsidRPr="00C6052E">
        <w:t>which</w:t>
      </w:r>
      <w:r w:rsidR="00177848" w:rsidRPr="00C6052E">
        <w:t xml:space="preserve"> </w:t>
      </w:r>
      <w:r w:rsidRPr="00C6052E">
        <w:t>forms</w:t>
      </w:r>
      <w:r w:rsidR="00177848" w:rsidRPr="00C6052E">
        <w:t xml:space="preserve"> </w:t>
      </w:r>
      <w:r w:rsidRPr="00C6052E">
        <w:t>part</w:t>
      </w:r>
      <w:r w:rsidR="00177848" w:rsidRPr="00C6052E">
        <w:t xml:space="preserve"> </w:t>
      </w:r>
      <w:r w:rsidRPr="00C6052E">
        <w:t>of</w:t>
      </w:r>
      <w:r w:rsidR="00177848" w:rsidRPr="00C6052E">
        <w:t xml:space="preserve"> </w:t>
      </w:r>
      <w:r w:rsidRPr="00C6052E">
        <w:t>a</w:t>
      </w:r>
      <w:r w:rsidR="00177848" w:rsidRPr="00C6052E">
        <w:t xml:space="preserve"> </w:t>
      </w:r>
      <w:r w:rsidRPr="00C6052E">
        <w:t>section</w:t>
      </w:r>
      <w:r w:rsidR="00177848" w:rsidRPr="00C6052E">
        <w:t xml:space="preserve"> </w:t>
      </w:r>
      <w:r w:rsidRPr="00C6052E">
        <w:t>29</w:t>
      </w:r>
      <w:r w:rsidR="00177848" w:rsidRPr="00C6052E">
        <w:t xml:space="preserve"> </w:t>
      </w:r>
      <w:r w:rsidRPr="00C6052E">
        <w:t>agreement</w:t>
      </w:r>
      <w:r w:rsidR="00177848" w:rsidRPr="00C6052E">
        <w:t xml:space="preserve"> </w:t>
      </w:r>
      <w:r w:rsidRPr="00C6052E">
        <w:t>is</w:t>
      </w:r>
      <w:r w:rsidR="00177848" w:rsidRPr="00C6052E">
        <w:t xml:space="preserve"> </w:t>
      </w:r>
      <w:r w:rsidRPr="00C6052E">
        <w:t>recognised</w:t>
      </w:r>
      <w:r w:rsidR="00177848" w:rsidRPr="00C6052E">
        <w:t xml:space="preserve"> </w:t>
      </w:r>
      <w:r w:rsidRPr="00C6052E">
        <w:t>by</w:t>
      </w:r>
      <w:r w:rsidR="00177848" w:rsidRPr="00C6052E">
        <w:t xml:space="preserve"> </w:t>
      </w:r>
      <w:fldSimple w:instr=" DOCPROPERTY  shortName  \* MERGEFORMAT ">
        <w:r w:rsidRPr="00C6052E">
          <w:t>DJSIR</w:t>
        </w:r>
      </w:fldSimple>
      <w:r w:rsidR="00177848" w:rsidRPr="00C6052E">
        <w:t xml:space="preserve"> </w:t>
      </w:r>
      <w:r w:rsidRPr="00C6052E">
        <w:t>as</w:t>
      </w:r>
      <w:r w:rsidR="00177848" w:rsidRPr="00C6052E">
        <w:t xml:space="preserve"> </w:t>
      </w:r>
      <w:r w:rsidRPr="00C6052E">
        <w:t>an</w:t>
      </w:r>
      <w:r w:rsidR="00177848" w:rsidRPr="00C6052E">
        <w:t xml:space="preserve"> </w:t>
      </w:r>
      <w:r w:rsidRPr="00C6052E">
        <w:t>administered</w:t>
      </w:r>
      <w:r w:rsidR="00177848" w:rsidRPr="00C6052E">
        <w:t xml:space="preserve"> </w:t>
      </w:r>
      <w:r w:rsidRPr="00C6052E">
        <w:t>item</w:t>
      </w:r>
      <w:r w:rsidR="00177848" w:rsidRPr="00C6052E">
        <w:t xml:space="preserve"> </w:t>
      </w:r>
      <w:r w:rsidRPr="00C6052E">
        <w:t>and</w:t>
      </w:r>
      <w:r w:rsidR="00177848" w:rsidRPr="00C6052E">
        <w:t xml:space="preserve"> </w:t>
      </w:r>
      <w:r w:rsidRPr="00C6052E">
        <w:t>the</w:t>
      </w:r>
      <w:r w:rsidR="00177848" w:rsidRPr="00C6052E">
        <w:t xml:space="preserve"> </w:t>
      </w:r>
      <w:r w:rsidRPr="00C6052E">
        <w:t>receipts</w:t>
      </w:r>
      <w:r w:rsidR="00177848" w:rsidRPr="00C6052E">
        <w:t xml:space="preserve"> </w:t>
      </w:r>
      <w:r w:rsidRPr="00C6052E">
        <w:t>paid</w:t>
      </w:r>
      <w:r w:rsidR="00177848" w:rsidRPr="00C6052E">
        <w:t xml:space="preserve"> </w:t>
      </w:r>
      <w:r w:rsidRPr="00C6052E">
        <w:t>into</w:t>
      </w:r>
      <w:r w:rsidR="00177848" w:rsidRPr="00C6052E">
        <w:t xml:space="preserve"> </w:t>
      </w:r>
      <w:r w:rsidRPr="00C6052E">
        <w:t>the</w:t>
      </w:r>
      <w:r w:rsidR="00177848" w:rsidRPr="00C6052E">
        <w:t xml:space="preserve"> </w:t>
      </w:r>
      <w:r w:rsidRPr="00C6052E">
        <w:t>consolidated</w:t>
      </w:r>
      <w:r w:rsidR="00177848" w:rsidRPr="00C6052E">
        <w:t xml:space="preserve"> </w:t>
      </w:r>
      <w:r w:rsidRPr="00C6052E">
        <w:t>fund.</w:t>
      </w:r>
      <w:r w:rsidR="00177848" w:rsidRPr="00C6052E">
        <w:t xml:space="preserve"> </w:t>
      </w:r>
      <w:r w:rsidRPr="00C6052E">
        <w:t>If</w:t>
      </w:r>
      <w:r w:rsidR="00177848" w:rsidRPr="00C6052E">
        <w:t xml:space="preserve"> </w:t>
      </w:r>
      <w:r w:rsidRPr="00C6052E">
        <w:t>a</w:t>
      </w:r>
      <w:r w:rsidR="00177848" w:rsidRPr="00C6052E">
        <w:t xml:space="preserve"> </w:t>
      </w:r>
      <w:r w:rsidRPr="00C6052E">
        <w:t>section</w:t>
      </w:r>
      <w:r w:rsidR="00177848" w:rsidRPr="00C6052E">
        <w:t xml:space="preserve"> </w:t>
      </w:r>
      <w:r w:rsidRPr="00C6052E">
        <w:t>29</w:t>
      </w:r>
      <w:r w:rsidR="00177848" w:rsidRPr="00C6052E">
        <w:t xml:space="preserve"> </w:t>
      </w:r>
      <w:r w:rsidRPr="00C6052E">
        <w:t>agreement</w:t>
      </w:r>
      <w:r w:rsidR="00177848" w:rsidRPr="00C6052E">
        <w:t xml:space="preserve"> </w:t>
      </w:r>
      <w:r w:rsidRPr="00C6052E">
        <w:t>is</w:t>
      </w:r>
      <w:r w:rsidR="00177848" w:rsidRPr="00C6052E">
        <w:t xml:space="preserve"> </w:t>
      </w:r>
      <w:r w:rsidRPr="00C6052E">
        <w:t>in</w:t>
      </w:r>
      <w:r w:rsidR="00177848" w:rsidRPr="00C6052E">
        <w:t xml:space="preserve"> </w:t>
      </w:r>
      <w:r w:rsidRPr="00C6052E">
        <w:t>place,</w:t>
      </w:r>
      <w:r w:rsidR="00177848" w:rsidRPr="00C6052E">
        <w:t xml:space="preserve"> </w:t>
      </w:r>
      <w:r w:rsidRPr="00C6052E">
        <w:t>the</w:t>
      </w:r>
      <w:r w:rsidR="00177848" w:rsidRPr="00C6052E">
        <w:t xml:space="preserve"> </w:t>
      </w:r>
      <w:r w:rsidRPr="00C6052E">
        <w:t>relevant</w:t>
      </w:r>
      <w:r w:rsidR="00177848" w:rsidRPr="00C6052E">
        <w:t xml:space="preserve"> </w:t>
      </w:r>
      <w:r w:rsidRPr="00C6052E">
        <w:t>appropriation</w:t>
      </w:r>
      <w:r w:rsidR="00177848" w:rsidRPr="00C6052E">
        <w:t xml:space="preserve"> </w:t>
      </w:r>
      <w:r w:rsidRPr="00C6052E">
        <w:t>item</w:t>
      </w:r>
      <w:r w:rsidR="00177848" w:rsidRPr="00C6052E">
        <w:t xml:space="preserve"> </w:t>
      </w:r>
      <w:r w:rsidRPr="00C6052E">
        <w:t>(Note</w:t>
      </w:r>
      <w:r w:rsidR="00177848" w:rsidRPr="00C6052E">
        <w:t xml:space="preserve"> </w:t>
      </w:r>
      <w:r w:rsidRPr="00C6052E">
        <w:fldChar w:fldCharType="begin"/>
      </w:r>
      <w:r w:rsidRPr="00C6052E">
        <w:instrText xml:space="preserve"> REF _Ref209703410 \r \h </w:instrText>
      </w:r>
      <w:r w:rsidRPr="00C6052E">
        <w:fldChar w:fldCharType="separate"/>
      </w:r>
      <w:r w:rsidRPr="00C6052E">
        <w:t>2.3</w:t>
      </w:r>
      <w:r w:rsidRPr="00C6052E">
        <w:fldChar w:fldCharType="end"/>
      </w:r>
      <w:r w:rsidRPr="00C6052E">
        <w:t>)</w:t>
      </w:r>
      <w:r w:rsidR="00177848" w:rsidRPr="00C6052E">
        <w:t xml:space="preserve"> </w:t>
      </w:r>
      <w:r w:rsidRPr="00C6052E">
        <w:t>will</w:t>
      </w:r>
      <w:r w:rsidR="00177848" w:rsidRPr="00C6052E">
        <w:t xml:space="preserve"> </w:t>
      </w:r>
      <w:r w:rsidRPr="00C6052E">
        <w:t>be</w:t>
      </w:r>
      <w:r w:rsidR="00177848" w:rsidRPr="00C6052E">
        <w:t xml:space="preserve"> </w:t>
      </w:r>
      <w:r w:rsidRPr="00C6052E">
        <w:t>increased</w:t>
      </w:r>
      <w:r w:rsidR="00177848" w:rsidRPr="00C6052E">
        <w:t xml:space="preserve"> </w:t>
      </w:r>
      <w:r w:rsidRPr="00C6052E">
        <w:t>by</w:t>
      </w:r>
      <w:r w:rsidR="00177848" w:rsidRPr="00C6052E">
        <w:t xml:space="preserve"> </w:t>
      </w:r>
      <w:r w:rsidRPr="00C6052E">
        <w:t>the</w:t>
      </w:r>
      <w:r w:rsidR="00177848" w:rsidRPr="00C6052E">
        <w:t xml:space="preserve"> </w:t>
      </w:r>
      <w:r w:rsidRPr="00C6052E">
        <w:t>equivalent</w:t>
      </w:r>
      <w:r w:rsidR="00177848" w:rsidRPr="00C6052E">
        <w:t xml:space="preserve"> </w:t>
      </w:r>
      <w:r w:rsidRPr="00C6052E">
        <w:t>amount</w:t>
      </w:r>
      <w:r w:rsidR="00177848" w:rsidRPr="00C6052E">
        <w:t xml:space="preserve"> </w:t>
      </w:r>
      <w:r w:rsidRPr="00C6052E">
        <w:t>at</w:t>
      </w:r>
      <w:r w:rsidR="00177848" w:rsidRPr="00C6052E">
        <w:t xml:space="preserve"> </w:t>
      </w:r>
      <w:r w:rsidRPr="00C6052E">
        <w:t>the</w:t>
      </w:r>
      <w:r w:rsidR="00177848" w:rsidRPr="00C6052E">
        <w:t xml:space="preserve"> </w:t>
      </w:r>
      <w:r w:rsidRPr="00C6052E">
        <w:t>point</w:t>
      </w:r>
      <w:r w:rsidR="00177848" w:rsidRPr="00C6052E">
        <w:t xml:space="preserve"> </w:t>
      </w:r>
      <w:r w:rsidRPr="00C6052E">
        <w:t>of</w:t>
      </w:r>
      <w:r w:rsidR="00177848" w:rsidRPr="00C6052E">
        <w:t xml:space="preserve"> </w:t>
      </w:r>
      <w:r w:rsidRPr="00C6052E">
        <w:t>income</w:t>
      </w:r>
      <w:r w:rsidR="00177848" w:rsidRPr="00C6052E">
        <w:t xml:space="preserve"> </w:t>
      </w:r>
      <w:r w:rsidRPr="00C6052E">
        <w:t>recognition.</w:t>
      </w:r>
    </w:p>
    <w:p w14:paraId="4909EAB1" w14:textId="6DD8DEDE" w:rsidR="00EE5BB8" w:rsidRPr="00C6052E" w:rsidRDefault="00EE5BB8" w:rsidP="00EE5BB8">
      <w:r w:rsidRPr="00C6052E">
        <w:t>The</w:t>
      </w:r>
      <w:r w:rsidR="00177848" w:rsidRPr="00C6052E">
        <w:t xml:space="preserve"> </w:t>
      </w:r>
      <w:r w:rsidRPr="00C6052E">
        <w:t>following</w:t>
      </w:r>
      <w:r w:rsidR="00177848" w:rsidRPr="00C6052E">
        <w:t xml:space="preserve"> </w:t>
      </w:r>
      <w:r w:rsidRPr="00C6052E">
        <w:t>is</w:t>
      </w:r>
      <w:r w:rsidR="00177848" w:rsidRPr="00C6052E">
        <w:t xml:space="preserve"> </w:t>
      </w:r>
      <w:r w:rsidRPr="00C6052E">
        <w:t>a</w:t>
      </w:r>
      <w:r w:rsidR="00177848" w:rsidRPr="00C6052E">
        <w:t xml:space="preserve"> </w:t>
      </w:r>
      <w:r w:rsidRPr="00C6052E">
        <w:t>listing</w:t>
      </w:r>
      <w:r w:rsidR="00177848" w:rsidRPr="00C6052E">
        <w:t xml:space="preserve"> </w:t>
      </w:r>
      <w:r w:rsidRPr="00C6052E">
        <w:t>of</w:t>
      </w:r>
      <w:r w:rsidR="00177848" w:rsidRPr="00C6052E">
        <w:t xml:space="preserve"> </w:t>
      </w:r>
      <w:r w:rsidRPr="00C6052E">
        <w:t>the</w:t>
      </w:r>
      <w:r w:rsidR="00177848" w:rsidRPr="00C6052E">
        <w:t xml:space="preserve"> </w:t>
      </w:r>
      <w:r w:rsidRPr="00C6052E">
        <w:t>FMA</w:t>
      </w:r>
      <w:r w:rsidR="00177848" w:rsidRPr="00C6052E">
        <w:t xml:space="preserve"> </w:t>
      </w:r>
      <w:r w:rsidRPr="00C6052E">
        <w:t>section</w:t>
      </w:r>
      <w:r w:rsidR="00177848" w:rsidRPr="00C6052E">
        <w:t xml:space="preserve"> </w:t>
      </w:r>
      <w:r w:rsidRPr="00C6052E">
        <w:t>29</w:t>
      </w:r>
      <w:r w:rsidR="00177848" w:rsidRPr="00C6052E">
        <w:t xml:space="preserve"> </w:t>
      </w:r>
      <w:r w:rsidRPr="00C6052E">
        <w:t>annotated</w:t>
      </w:r>
      <w:r w:rsidR="00177848" w:rsidRPr="00C6052E">
        <w:t xml:space="preserve"> </w:t>
      </w:r>
      <w:r w:rsidRPr="00C6052E">
        <w:t>income</w:t>
      </w:r>
      <w:r w:rsidR="00177848" w:rsidRPr="00C6052E">
        <w:t xml:space="preserve"> </w:t>
      </w:r>
      <w:r w:rsidRPr="00C6052E">
        <w:t>agreements</w:t>
      </w:r>
      <w:r w:rsidR="00177848" w:rsidRPr="00C6052E">
        <w:t xml:space="preserve"> </w:t>
      </w:r>
      <w:r w:rsidRPr="00C6052E">
        <w:t>approved</w:t>
      </w:r>
      <w:r w:rsidR="00177848" w:rsidRPr="00C6052E">
        <w:t xml:space="preserve"> </w:t>
      </w:r>
      <w:r w:rsidRPr="00C6052E">
        <w:t>by</w:t>
      </w:r>
      <w:r w:rsidR="00177848" w:rsidRPr="00C6052E">
        <w:t xml:space="preserve"> </w:t>
      </w:r>
      <w:r w:rsidRPr="00C6052E">
        <w:t>the</w:t>
      </w:r>
      <w:r w:rsidR="00177848" w:rsidRPr="00C6052E">
        <w:t xml:space="preserve"> </w:t>
      </w:r>
      <w:r w:rsidRPr="00C6052E">
        <w:t>Treasurer.</w:t>
      </w:r>
      <w:r w:rsidR="00177848" w:rsidRPr="00C6052E">
        <w:t xml:space="preserve"> </w:t>
      </w:r>
    </w:p>
    <w:tbl>
      <w:tblPr>
        <w:tblStyle w:val="TableGrid"/>
        <w:tblW w:w="9703" w:type="dxa"/>
        <w:tblInd w:w="-5" w:type="dxa"/>
        <w:tblLayout w:type="fixed"/>
        <w:tblLook w:val="04E0" w:firstRow="1" w:lastRow="1" w:firstColumn="1" w:lastColumn="0" w:noHBand="0" w:noVBand="1"/>
      </w:tblPr>
      <w:tblGrid>
        <w:gridCol w:w="6804"/>
        <w:gridCol w:w="1449"/>
        <w:gridCol w:w="1450"/>
      </w:tblGrid>
      <w:tr w:rsidR="00EE5BB8" w:rsidRPr="00C6052E" w14:paraId="19F74E20" w14:textId="77777777" w:rsidTr="00AA0230">
        <w:tc>
          <w:tcPr>
            <w:tcW w:w="6804" w:type="dxa"/>
            <w:noWrap/>
            <w:hideMark/>
          </w:tcPr>
          <w:p w14:paraId="6AD88BD1" w14:textId="77777777" w:rsidR="00EE5BB8" w:rsidRPr="00C6052E" w:rsidRDefault="00EE5BB8" w:rsidP="00AA0230">
            <w:pPr>
              <w:pStyle w:val="TableColumnHeading"/>
              <w:spacing w:before="60" w:after="60"/>
            </w:pPr>
            <w:bookmarkStart w:id="113" w:name="TableColumnHeadings_46"/>
            <w:bookmarkEnd w:id="113"/>
          </w:p>
        </w:tc>
        <w:tc>
          <w:tcPr>
            <w:tcW w:w="1449" w:type="dxa"/>
            <w:hideMark/>
          </w:tcPr>
          <w:p w14:paraId="1078CD63" w14:textId="275EBFA7" w:rsidR="00EE5BB8" w:rsidRPr="00C6052E" w:rsidRDefault="00D83915" w:rsidP="00AA0230">
            <w:pPr>
              <w:pStyle w:val="TableColumnHeading"/>
              <w:spacing w:before="60" w:after="60"/>
              <w:jc w:val="right"/>
            </w:pPr>
            <w:r w:rsidRPr="00C6052E">
              <w:t xml:space="preserve">Actual </w:t>
            </w:r>
            <w:r>
              <w:br/>
            </w:r>
            <w:r w:rsidR="00EE5BB8" w:rsidRPr="00C6052E">
              <w:t>2025</w:t>
            </w:r>
            <w:r>
              <w:t xml:space="preserve"> </w:t>
            </w:r>
            <w:r w:rsidRPr="00C6052E">
              <w:rPr>
                <w:lang w:val="en-AU"/>
              </w:rPr>
              <w:t>($</w:t>
            </w:r>
            <w:r>
              <w:rPr>
                <w:lang w:val="en-AU"/>
              </w:rPr>
              <w:t> </w:t>
            </w:r>
            <w:r w:rsidRPr="00C6052E">
              <w:rPr>
                <w:lang w:val="en-AU"/>
              </w:rPr>
              <w:t>thousand)</w:t>
            </w:r>
          </w:p>
        </w:tc>
        <w:tc>
          <w:tcPr>
            <w:tcW w:w="1450" w:type="dxa"/>
            <w:hideMark/>
          </w:tcPr>
          <w:p w14:paraId="056BF735" w14:textId="3A2694D8" w:rsidR="00EE5BB8" w:rsidRPr="00C6052E" w:rsidRDefault="00D83915" w:rsidP="00AA0230">
            <w:pPr>
              <w:pStyle w:val="TableColumnHeading"/>
              <w:spacing w:before="60" w:after="60"/>
              <w:jc w:val="right"/>
            </w:pPr>
            <w:r w:rsidRPr="00C6052E">
              <w:t xml:space="preserve">Actual </w:t>
            </w:r>
            <w:r>
              <w:br/>
            </w:r>
            <w:r w:rsidR="00EE5BB8" w:rsidRPr="00C6052E">
              <w:t>2024</w:t>
            </w:r>
            <w:r>
              <w:t xml:space="preserve"> </w:t>
            </w:r>
            <w:r w:rsidRPr="00C6052E">
              <w:rPr>
                <w:lang w:val="en-AU"/>
              </w:rPr>
              <w:t>($</w:t>
            </w:r>
            <w:r>
              <w:rPr>
                <w:lang w:val="en-AU"/>
              </w:rPr>
              <w:t> </w:t>
            </w:r>
            <w:r w:rsidRPr="00C6052E">
              <w:rPr>
                <w:lang w:val="en-AU"/>
              </w:rPr>
              <w:t>thousand)</w:t>
            </w:r>
          </w:p>
        </w:tc>
      </w:tr>
      <w:tr w:rsidR="00AA0230" w:rsidRPr="00C6052E" w14:paraId="74B1CD36" w14:textId="77777777" w:rsidTr="00FF505B">
        <w:tc>
          <w:tcPr>
            <w:tcW w:w="6804" w:type="dxa"/>
          </w:tcPr>
          <w:p w14:paraId="28B67820" w14:textId="00DF6D55" w:rsidR="00AA0230" w:rsidRPr="00C6052E" w:rsidRDefault="00AA0230" w:rsidP="00AA0230">
            <w:pPr>
              <w:pStyle w:val="TableHeading"/>
            </w:pPr>
            <w:r w:rsidRPr="00C6052E">
              <w:t>User charges, sale of goods and services</w:t>
            </w:r>
          </w:p>
        </w:tc>
        <w:tc>
          <w:tcPr>
            <w:tcW w:w="1449" w:type="dxa"/>
            <w:noWrap/>
          </w:tcPr>
          <w:p w14:paraId="7B2B3E36" w14:textId="77777777" w:rsidR="00AA0230" w:rsidRPr="00C6052E" w:rsidRDefault="00AA0230" w:rsidP="00AA0230">
            <w:pPr>
              <w:pStyle w:val="TableHeading"/>
              <w:jc w:val="right"/>
            </w:pPr>
          </w:p>
        </w:tc>
        <w:tc>
          <w:tcPr>
            <w:tcW w:w="1450" w:type="dxa"/>
            <w:noWrap/>
          </w:tcPr>
          <w:p w14:paraId="44FE8E9C" w14:textId="77777777" w:rsidR="00AA0230" w:rsidRPr="00C6052E" w:rsidRDefault="00AA0230" w:rsidP="00AA0230">
            <w:pPr>
              <w:pStyle w:val="TableHeading"/>
              <w:jc w:val="right"/>
            </w:pPr>
          </w:p>
        </w:tc>
      </w:tr>
      <w:tr w:rsidR="00EE5BB8" w:rsidRPr="00C6052E" w14:paraId="76DDED35" w14:textId="77777777" w:rsidTr="00AA0230">
        <w:tc>
          <w:tcPr>
            <w:tcW w:w="6804" w:type="dxa"/>
            <w:hideMark/>
          </w:tcPr>
          <w:p w14:paraId="3EDF929A" w14:textId="538C2483" w:rsidR="00EE5BB8" w:rsidRPr="00C6052E" w:rsidRDefault="00EE5BB8" w:rsidP="00AA0230">
            <w:pPr>
              <w:pStyle w:val="TableCopy"/>
              <w:spacing w:after="110"/>
            </w:pPr>
            <w:r w:rsidRPr="00C6052E">
              <w:t>Fisheries</w:t>
            </w:r>
            <w:r w:rsidR="00177848" w:rsidRPr="00C6052E">
              <w:t xml:space="preserve"> </w:t>
            </w:r>
            <w:r w:rsidRPr="00C6052E">
              <w:t>Cost</w:t>
            </w:r>
            <w:r w:rsidR="00177848" w:rsidRPr="00C6052E">
              <w:t xml:space="preserve"> </w:t>
            </w:r>
            <w:r w:rsidRPr="00C6052E">
              <w:t>Recovery</w:t>
            </w:r>
            <w:r w:rsidR="00177848" w:rsidRPr="00C6052E">
              <w:t xml:space="preserve"> </w:t>
            </w:r>
          </w:p>
        </w:tc>
        <w:tc>
          <w:tcPr>
            <w:tcW w:w="1449" w:type="dxa"/>
            <w:noWrap/>
            <w:hideMark/>
          </w:tcPr>
          <w:p w14:paraId="2207FFA7" w14:textId="77777777" w:rsidR="00EE5BB8" w:rsidRPr="00C6052E" w:rsidRDefault="00EE5BB8" w:rsidP="00AA0230">
            <w:pPr>
              <w:pStyle w:val="TableCopy"/>
              <w:spacing w:after="110"/>
              <w:jc w:val="right"/>
            </w:pPr>
            <w:r w:rsidRPr="00C6052E">
              <w:t>2,135</w:t>
            </w:r>
          </w:p>
        </w:tc>
        <w:tc>
          <w:tcPr>
            <w:tcW w:w="1450" w:type="dxa"/>
            <w:noWrap/>
            <w:hideMark/>
          </w:tcPr>
          <w:p w14:paraId="27E77E1D" w14:textId="77777777" w:rsidR="00EE5BB8" w:rsidRPr="00C6052E" w:rsidRDefault="00EE5BB8" w:rsidP="00AA0230">
            <w:pPr>
              <w:pStyle w:val="TableCopy"/>
              <w:spacing w:after="110"/>
              <w:jc w:val="right"/>
            </w:pPr>
            <w:r w:rsidRPr="00C6052E">
              <w:t>2,713</w:t>
            </w:r>
          </w:p>
        </w:tc>
      </w:tr>
      <w:tr w:rsidR="00EE5BB8" w:rsidRPr="00C6052E" w14:paraId="4923C4FC" w14:textId="77777777" w:rsidTr="00AA0230">
        <w:tc>
          <w:tcPr>
            <w:tcW w:w="6804" w:type="dxa"/>
            <w:hideMark/>
          </w:tcPr>
          <w:p w14:paraId="3AE1FFD1" w14:textId="001F1E96" w:rsidR="00EE5BB8" w:rsidRPr="00C6052E" w:rsidRDefault="00EE5BB8" w:rsidP="00AA0230">
            <w:pPr>
              <w:pStyle w:val="TableCopy"/>
              <w:spacing w:after="110"/>
            </w:pPr>
            <w:r w:rsidRPr="00C6052E">
              <w:t>Fisheries</w:t>
            </w:r>
            <w:r w:rsidR="00177848" w:rsidRPr="00C6052E">
              <w:t xml:space="preserve"> </w:t>
            </w:r>
            <w:r w:rsidRPr="00C6052E">
              <w:t>Third</w:t>
            </w:r>
            <w:r w:rsidR="00177848" w:rsidRPr="00C6052E">
              <w:t xml:space="preserve"> </w:t>
            </w:r>
            <w:r w:rsidRPr="00C6052E">
              <w:t>Party</w:t>
            </w:r>
            <w:r w:rsidR="00177848" w:rsidRPr="00C6052E">
              <w:t xml:space="preserve"> </w:t>
            </w:r>
            <w:r w:rsidRPr="00C6052E">
              <w:t>Rental</w:t>
            </w:r>
            <w:r w:rsidR="00177848" w:rsidRPr="00C6052E">
              <w:t xml:space="preserve"> </w:t>
            </w:r>
            <w:r w:rsidRPr="00C6052E">
              <w:t>Revenue</w:t>
            </w:r>
          </w:p>
        </w:tc>
        <w:tc>
          <w:tcPr>
            <w:tcW w:w="1449" w:type="dxa"/>
            <w:noWrap/>
            <w:hideMark/>
          </w:tcPr>
          <w:p w14:paraId="0B1FCE9E" w14:textId="77777777" w:rsidR="00EE5BB8" w:rsidRPr="00C6052E" w:rsidRDefault="00EE5BB8" w:rsidP="00AA0230">
            <w:pPr>
              <w:pStyle w:val="TableCopy"/>
              <w:spacing w:after="110"/>
              <w:jc w:val="right"/>
            </w:pPr>
            <w:r w:rsidRPr="00C6052E">
              <w:t>1,120</w:t>
            </w:r>
          </w:p>
        </w:tc>
        <w:tc>
          <w:tcPr>
            <w:tcW w:w="1450" w:type="dxa"/>
            <w:noWrap/>
            <w:hideMark/>
          </w:tcPr>
          <w:p w14:paraId="5E464722" w14:textId="77777777" w:rsidR="00EE5BB8" w:rsidRPr="00C6052E" w:rsidRDefault="00EE5BB8" w:rsidP="00AA0230">
            <w:pPr>
              <w:pStyle w:val="TableCopy"/>
              <w:spacing w:after="110"/>
              <w:jc w:val="right"/>
            </w:pPr>
            <w:r w:rsidRPr="00C6052E">
              <w:t>634</w:t>
            </w:r>
          </w:p>
        </w:tc>
      </w:tr>
      <w:tr w:rsidR="00EE5BB8" w:rsidRPr="00C6052E" w14:paraId="3F9AD8F3" w14:textId="77777777" w:rsidTr="00AA0230">
        <w:tc>
          <w:tcPr>
            <w:tcW w:w="6804" w:type="dxa"/>
            <w:hideMark/>
          </w:tcPr>
          <w:p w14:paraId="7C48C505" w14:textId="6BCADD20" w:rsidR="00EE5BB8" w:rsidRPr="00C6052E" w:rsidRDefault="00EE5BB8" w:rsidP="00AA0230">
            <w:pPr>
              <w:pStyle w:val="TableCopy"/>
              <w:spacing w:after="110"/>
            </w:pPr>
            <w:r w:rsidRPr="00C6052E">
              <w:t>Fisheries</w:t>
            </w:r>
            <w:r w:rsidR="00177848" w:rsidRPr="00C6052E">
              <w:t xml:space="preserve"> </w:t>
            </w:r>
            <w:r w:rsidRPr="00C6052E">
              <w:t>Research</w:t>
            </w:r>
            <w:r w:rsidR="00177848" w:rsidRPr="00C6052E">
              <w:t xml:space="preserve"> </w:t>
            </w:r>
            <w:r w:rsidRPr="00C6052E">
              <w:t>and</w:t>
            </w:r>
            <w:r w:rsidR="00177848" w:rsidRPr="00C6052E">
              <w:t xml:space="preserve"> </w:t>
            </w:r>
            <w:r w:rsidRPr="00C6052E">
              <w:t>Development</w:t>
            </w:r>
            <w:r w:rsidR="00177848" w:rsidRPr="00C6052E">
              <w:t xml:space="preserve"> </w:t>
            </w:r>
            <w:r w:rsidRPr="00C6052E">
              <w:t>Corporation</w:t>
            </w:r>
            <w:r w:rsidR="00177848" w:rsidRPr="00C6052E">
              <w:t xml:space="preserve"> </w:t>
            </w:r>
            <w:r w:rsidRPr="00C6052E">
              <w:t>(FRDC)</w:t>
            </w:r>
            <w:r w:rsidR="00177848" w:rsidRPr="00C6052E">
              <w:t xml:space="preserve"> </w:t>
            </w:r>
            <w:r w:rsidRPr="00C6052E">
              <w:t>Levy</w:t>
            </w:r>
          </w:p>
        </w:tc>
        <w:tc>
          <w:tcPr>
            <w:tcW w:w="1449" w:type="dxa"/>
            <w:noWrap/>
            <w:hideMark/>
          </w:tcPr>
          <w:p w14:paraId="0EBB49FB" w14:textId="77777777" w:rsidR="00EE5BB8" w:rsidRPr="00C6052E" w:rsidRDefault="00EE5BB8" w:rsidP="00AA0230">
            <w:pPr>
              <w:pStyle w:val="TableCopy"/>
              <w:spacing w:after="110"/>
              <w:jc w:val="right"/>
            </w:pPr>
            <w:r w:rsidRPr="00C6052E">
              <w:t>162</w:t>
            </w:r>
          </w:p>
        </w:tc>
        <w:tc>
          <w:tcPr>
            <w:tcW w:w="1450" w:type="dxa"/>
            <w:noWrap/>
            <w:hideMark/>
          </w:tcPr>
          <w:p w14:paraId="4211CAB8" w14:textId="77777777" w:rsidR="00EE5BB8" w:rsidRPr="00C6052E" w:rsidRDefault="00EE5BB8" w:rsidP="00AA0230">
            <w:pPr>
              <w:pStyle w:val="TableCopy"/>
              <w:spacing w:after="110"/>
              <w:jc w:val="right"/>
            </w:pPr>
            <w:r w:rsidRPr="00C6052E">
              <w:t>–</w:t>
            </w:r>
          </w:p>
        </w:tc>
      </w:tr>
      <w:tr w:rsidR="00EE5BB8" w:rsidRPr="00C6052E" w14:paraId="7852B61E" w14:textId="77777777" w:rsidTr="00AA0230">
        <w:tc>
          <w:tcPr>
            <w:tcW w:w="6804" w:type="dxa"/>
            <w:hideMark/>
          </w:tcPr>
          <w:p w14:paraId="3281AF88" w14:textId="39BC1A44" w:rsidR="00EE5BB8" w:rsidRPr="00C6052E" w:rsidRDefault="00EE5BB8" w:rsidP="00AA0230">
            <w:pPr>
              <w:pStyle w:val="TableCopy"/>
              <w:spacing w:after="110"/>
            </w:pPr>
            <w:proofErr w:type="spellStart"/>
            <w:r w:rsidRPr="00C6052E">
              <w:t>TradeStart</w:t>
            </w:r>
            <w:proofErr w:type="spellEnd"/>
            <w:r w:rsidR="00177848" w:rsidRPr="00C6052E">
              <w:t xml:space="preserve"> </w:t>
            </w:r>
            <w:r w:rsidRPr="00C6052E">
              <w:t>Advisor</w:t>
            </w:r>
            <w:r w:rsidR="00177848" w:rsidRPr="00C6052E">
              <w:t xml:space="preserve"> </w:t>
            </w:r>
            <w:r w:rsidRPr="00C6052E">
              <w:t>program</w:t>
            </w:r>
            <w:r w:rsidR="00177848" w:rsidRPr="00C6052E">
              <w:t xml:space="preserve"> </w:t>
            </w:r>
            <w:r w:rsidRPr="00C6052E">
              <w:t>–</w:t>
            </w:r>
            <w:r w:rsidR="00177848" w:rsidRPr="00C6052E">
              <w:t xml:space="preserve"> </w:t>
            </w:r>
            <w:proofErr w:type="spellStart"/>
            <w:r w:rsidRPr="00C6052E">
              <w:t>AusTrade</w:t>
            </w:r>
            <w:proofErr w:type="spellEnd"/>
          </w:p>
        </w:tc>
        <w:tc>
          <w:tcPr>
            <w:tcW w:w="1449" w:type="dxa"/>
            <w:noWrap/>
            <w:hideMark/>
          </w:tcPr>
          <w:p w14:paraId="3437B24C" w14:textId="77777777" w:rsidR="00EE5BB8" w:rsidRPr="00C6052E" w:rsidRDefault="00EE5BB8" w:rsidP="00AA0230">
            <w:pPr>
              <w:pStyle w:val="TableCopy"/>
              <w:spacing w:after="110"/>
              <w:jc w:val="right"/>
            </w:pPr>
            <w:r w:rsidRPr="00C6052E">
              <w:t>217</w:t>
            </w:r>
          </w:p>
        </w:tc>
        <w:tc>
          <w:tcPr>
            <w:tcW w:w="1450" w:type="dxa"/>
            <w:noWrap/>
            <w:hideMark/>
          </w:tcPr>
          <w:p w14:paraId="57BFE8CC" w14:textId="77777777" w:rsidR="00EE5BB8" w:rsidRPr="00C6052E" w:rsidRDefault="00EE5BB8" w:rsidP="00AA0230">
            <w:pPr>
              <w:pStyle w:val="TableCopy"/>
              <w:spacing w:after="110"/>
              <w:jc w:val="right"/>
            </w:pPr>
            <w:r w:rsidRPr="00C6052E">
              <w:t>–</w:t>
            </w:r>
          </w:p>
        </w:tc>
      </w:tr>
      <w:tr w:rsidR="00EE5BB8" w:rsidRPr="00C6052E" w14:paraId="109ECCAE" w14:textId="77777777" w:rsidTr="00AA0230">
        <w:tc>
          <w:tcPr>
            <w:tcW w:w="6804" w:type="dxa"/>
            <w:hideMark/>
          </w:tcPr>
          <w:p w14:paraId="18219F34" w14:textId="00A4D019" w:rsidR="00EE5BB8" w:rsidRPr="00C6052E" w:rsidRDefault="00EE5BB8" w:rsidP="00814D77">
            <w:pPr>
              <w:pStyle w:val="Tabletotal"/>
            </w:pPr>
            <w:r w:rsidRPr="00C6052E">
              <w:t>Total</w:t>
            </w:r>
            <w:r w:rsidR="00177848" w:rsidRPr="00C6052E">
              <w:t xml:space="preserve"> </w:t>
            </w:r>
            <w:r w:rsidRPr="00C6052E">
              <w:t>user</w:t>
            </w:r>
            <w:r w:rsidR="00177848" w:rsidRPr="00C6052E">
              <w:t xml:space="preserve"> </w:t>
            </w:r>
            <w:r w:rsidRPr="00C6052E">
              <w:t>charges,</w:t>
            </w:r>
            <w:r w:rsidR="00177848" w:rsidRPr="00C6052E">
              <w:t xml:space="preserve"> </w:t>
            </w:r>
            <w:r w:rsidRPr="00C6052E">
              <w:t>sale</w:t>
            </w:r>
            <w:r w:rsidR="00177848" w:rsidRPr="00C6052E">
              <w:t xml:space="preserve"> </w:t>
            </w:r>
            <w:r w:rsidRPr="00C6052E">
              <w:t>of</w:t>
            </w:r>
            <w:r w:rsidR="00177848" w:rsidRPr="00C6052E">
              <w:t xml:space="preserve"> </w:t>
            </w:r>
            <w:r w:rsidRPr="00C6052E">
              <w:t>goods</w:t>
            </w:r>
            <w:r w:rsidR="00177848" w:rsidRPr="00C6052E">
              <w:t xml:space="preserve"> </w:t>
            </w:r>
            <w:r w:rsidRPr="00C6052E">
              <w:t>and</w:t>
            </w:r>
            <w:r w:rsidR="00177848" w:rsidRPr="00C6052E">
              <w:t xml:space="preserve"> </w:t>
            </w:r>
            <w:r w:rsidRPr="00C6052E">
              <w:t>services</w:t>
            </w:r>
          </w:p>
        </w:tc>
        <w:tc>
          <w:tcPr>
            <w:tcW w:w="1449" w:type="dxa"/>
            <w:noWrap/>
            <w:hideMark/>
          </w:tcPr>
          <w:p w14:paraId="5CE53C92" w14:textId="77777777" w:rsidR="00EE5BB8" w:rsidRPr="00C6052E" w:rsidRDefault="00EE5BB8" w:rsidP="00814D77">
            <w:pPr>
              <w:pStyle w:val="Tabletotal"/>
              <w:jc w:val="right"/>
            </w:pPr>
            <w:r w:rsidRPr="00C6052E">
              <w:t>3,634</w:t>
            </w:r>
          </w:p>
        </w:tc>
        <w:tc>
          <w:tcPr>
            <w:tcW w:w="1450" w:type="dxa"/>
            <w:noWrap/>
            <w:hideMark/>
          </w:tcPr>
          <w:p w14:paraId="61518D18" w14:textId="77777777" w:rsidR="00EE5BB8" w:rsidRPr="00C6052E" w:rsidRDefault="00EE5BB8" w:rsidP="00814D77">
            <w:pPr>
              <w:pStyle w:val="Tabletotal"/>
              <w:jc w:val="right"/>
            </w:pPr>
            <w:r w:rsidRPr="00C6052E">
              <w:t>3,347</w:t>
            </w:r>
          </w:p>
        </w:tc>
      </w:tr>
      <w:tr w:rsidR="00AA0230" w:rsidRPr="00C6052E" w14:paraId="6D385DD8" w14:textId="77777777" w:rsidTr="000C7323">
        <w:tc>
          <w:tcPr>
            <w:tcW w:w="6804" w:type="dxa"/>
          </w:tcPr>
          <w:p w14:paraId="3C84B4E7" w14:textId="4C7D554B" w:rsidR="00AA0230" w:rsidRPr="00C6052E" w:rsidRDefault="00AA0230" w:rsidP="000C7323">
            <w:pPr>
              <w:pStyle w:val="TableHeading"/>
            </w:pPr>
            <w:r w:rsidRPr="00C6052E">
              <w:t>Commonwealth payments</w:t>
            </w:r>
          </w:p>
        </w:tc>
        <w:tc>
          <w:tcPr>
            <w:tcW w:w="1449" w:type="dxa"/>
            <w:noWrap/>
          </w:tcPr>
          <w:p w14:paraId="4A1CD683" w14:textId="77777777" w:rsidR="00AA0230" w:rsidRPr="00C6052E" w:rsidRDefault="00AA0230" w:rsidP="00AA0230">
            <w:pPr>
              <w:pStyle w:val="TableHeading"/>
              <w:jc w:val="right"/>
            </w:pPr>
          </w:p>
        </w:tc>
        <w:tc>
          <w:tcPr>
            <w:tcW w:w="1450" w:type="dxa"/>
            <w:noWrap/>
          </w:tcPr>
          <w:p w14:paraId="4F5E3C33" w14:textId="77777777" w:rsidR="00AA0230" w:rsidRPr="00C6052E" w:rsidRDefault="00AA0230" w:rsidP="00AA0230">
            <w:pPr>
              <w:pStyle w:val="TableHeading"/>
              <w:jc w:val="right"/>
            </w:pPr>
          </w:p>
        </w:tc>
      </w:tr>
      <w:tr w:rsidR="00EE5BB8" w:rsidRPr="00C6052E" w14:paraId="4DD79D5A" w14:textId="77777777" w:rsidTr="00AA0230">
        <w:tc>
          <w:tcPr>
            <w:tcW w:w="6804" w:type="dxa"/>
            <w:hideMark/>
          </w:tcPr>
          <w:p w14:paraId="6BEDC703" w14:textId="2DC8C1A7" w:rsidR="00EE5BB8" w:rsidRPr="00C6052E" w:rsidRDefault="00EE5BB8" w:rsidP="00AA0230">
            <w:pPr>
              <w:pStyle w:val="TableCopy"/>
              <w:spacing w:after="110"/>
            </w:pPr>
            <w:r w:rsidRPr="00C6052E">
              <w:t>Albury</w:t>
            </w:r>
            <w:r w:rsidR="00177848" w:rsidRPr="00C6052E">
              <w:t xml:space="preserve"> </w:t>
            </w:r>
            <w:r w:rsidRPr="00C6052E">
              <w:t>Wodonga</w:t>
            </w:r>
            <w:r w:rsidR="00177848" w:rsidRPr="00C6052E">
              <w:t xml:space="preserve"> </w:t>
            </w:r>
            <w:r w:rsidRPr="00C6052E">
              <w:t>Regional</w:t>
            </w:r>
            <w:r w:rsidR="00177848" w:rsidRPr="00C6052E">
              <w:t xml:space="preserve"> </w:t>
            </w:r>
            <w:r w:rsidRPr="00C6052E">
              <w:t>Deal</w:t>
            </w:r>
            <w:r w:rsidR="00177848" w:rsidRPr="00C6052E">
              <w:t xml:space="preserve"> </w:t>
            </w:r>
          </w:p>
        </w:tc>
        <w:tc>
          <w:tcPr>
            <w:tcW w:w="1449" w:type="dxa"/>
            <w:noWrap/>
            <w:hideMark/>
          </w:tcPr>
          <w:p w14:paraId="1BF8C08B" w14:textId="77777777" w:rsidR="00EE5BB8" w:rsidRPr="00C6052E" w:rsidRDefault="00EE5BB8" w:rsidP="00AA0230">
            <w:pPr>
              <w:pStyle w:val="TableCopy"/>
              <w:spacing w:after="110"/>
              <w:jc w:val="right"/>
            </w:pPr>
            <w:r w:rsidRPr="00C6052E">
              <w:t>10,500</w:t>
            </w:r>
          </w:p>
        </w:tc>
        <w:tc>
          <w:tcPr>
            <w:tcW w:w="1450" w:type="dxa"/>
            <w:noWrap/>
            <w:hideMark/>
          </w:tcPr>
          <w:p w14:paraId="30FF511D" w14:textId="77777777" w:rsidR="00EE5BB8" w:rsidRPr="00C6052E" w:rsidRDefault="00EE5BB8" w:rsidP="00AA0230">
            <w:pPr>
              <w:pStyle w:val="TableCopy"/>
              <w:spacing w:after="110"/>
              <w:jc w:val="right"/>
            </w:pPr>
            <w:r w:rsidRPr="00C6052E">
              <w:t>8,000</w:t>
            </w:r>
          </w:p>
        </w:tc>
      </w:tr>
      <w:tr w:rsidR="00EE5BB8" w:rsidRPr="00C6052E" w14:paraId="5786551C" w14:textId="77777777" w:rsidTr="00AA0230">
        <w:tc>
          <w:tcPr>
            <w:tcW w:w="6804" w:type="dxa"/>
            <w:hideMark/>
          </w:tcPr>
          <w:p w14:paraId="63BC5B09" w14:textId="0D5A5AA5" w:rsidR="00EE5BB8" w:rsidRPr="00C6052E" w:rsidRDefault="00EE5BB8" w:rsidP="00AA0230">
            <w:pPr>
              <w:pStyle w:val="TableCopy"/>
              <w:spacing w:after="110"/>
            </w:pPr>
            <w:r w:rsidRPr="00C6052E">
              <w:t>Armstrong</w:t>
            </w:r>
            <w:r w:rsidR="00177848" w:rsidRPr="00C6052E">
              <w:t xml:space="preserve"> </w:t>
            </w:r>
            <w:r w:rsidRPr="00C6052E">
              <w:t>Creek</w:t>
            </w:r>
            <w:r w:rsidR="00177848" w:rsidRPr="00C6052E">
              <w:t xml:space="preserve"> </w:t>
            </w:r>
            <w:r w:rsidRPr="00C6052E">
              <w:t>Stadium</w:t>
            </w:r>
          </w:p>
        </w:tc>
        <w:tc>
          <w:tcPr>
            <w:tcW w:w="1449" w:type="dxa"/>
            <w:noWrap/>
            <w:hideMark/>
          </w:tcPr>
          <w:p w14:paraId="4BFD6433" w14:textId="77777777" w:rsidR="00EE5BB8" w:rsidRPr="00C6052E" w:rsidRDefault="00EE5BB8" w:rsidP="00AA0230">
            <w:pPr>
              <w:pStyle w:val="TableCopy"/>
              <w:spacing w:after="110"/>
              <w:jc w:val="right"/>
            </w:pPr>
            <w:r w:rsidRPr="00C6052E">
              <w:t>5,500</w:t>
            </w:r>
          </w:p>
        </w:tc>
        <w:tc>
          <w:tcPr>
            <w:tcW w:w="1450" w:type="dxa"/>
            <w:noWrap/>
            <w:hideMark/>
          </w:tcPr>
          <w:p w14:paraId="52F9E300" w14:textId="77777777" w:rsidR="00EE5BB8" w:rsidRPr="00C6052E" w:rsidRDefault="00EE5BB8" w:rsidP="00AA0230">
            <w:pPr>
              <w:pStyle w:val="TableCopy"/>
              <w:spacing w:after="110"/>
              <w:jc w:val="right"/>
            </w:pPr>
            <w:r w:rsidRPr="00C6052E">
              <w:t>–</w:t>
            </w:r>
          </w:p>
        </w:tc>
      </w:tr>
      <w:tr w:rsidR="00EE5BB8" w:rsidRPr="00C6052E" w14:paraId="47B2C342" w14:textId="77777777" w:rsidTr="00AA0230">
        <w:tc>
          <w:tcPr>
            <w:tcW w:w="6804" w:type="dxa"/>
            <w:hideMark/>
          </w:tcPr>
          <w:p w14:paraId="577BF268" w14:textId="1DFE8795" w:rsidR="00EE5BB8" w:rsidRPr="00C6052E" w:rsidRDefault="00EE5BB8" w:rsidP="00AA0230">
            <w:pPr>
              <w:pStyle w:val="TableCopy"/>
              <w:spacing w:after="110"/>
            </w:pPr>
            <w:r w:rsidRPr="00C6052E">
              <w:t>Choose</w:t>
            </w:r>
            <w:r w:rsidR="00177848" w:rsidRPr="00C6052E">
              <w:t xml:space="preserve"> </w:t>
            </w:r>
            <w:r w:rsidRPr="00C6052E">
              <w:t>Tourism</w:t>
            </w:r>
            <w:r w:rsidR="00177848" w:rsidRPr="00C6052E">
              <w:t xml:space="preserve"> </w:t>
            </w:r>
            <w:r w:rsidRPr="00C6052E">
              <w:t>Grant</w:t>
            </w:r>
            <w:r w:rsidR="00177848" w:rsidRPr="00C6052E">
              <w:t xml:space="preserve"> </w:t>
            </w:r>
            <w:r w:rsidRPr="00C6052E">
              <w:t>Program</w:t>
            </w:r>
          </w:p>
        </w:tc>
        <w:tc>
          <w:tcPr>
            <w:tcW w:w="1449" w:type="dxa"/>
            <w:noWrap/>
            <w:hideMark/>
          </w:tcPr>
          <w:p w14:paraId="490F5473" w14:textId="77777777" w:rsidR="00EE5BB8" w:rsidRPr="00C6052E" w:rsidRDefault="00EE5BB8" w:rsidP="00AA0230">
            <w:pPr>
              <w:pStyle w:val="TableCopy"/>
              <w:spacing w:after="110"/>
              <w:jc w:val="right"/>
            </w:pPr>
            <w:r w:rsidRPr="00C6052E">
              <w:t>–</w:t>
            </w:r>
          </w:p>
        </w:tc>
        <w:tc>
          <w:tcPr>
            <w:tcW w:w="1450" w:type="dxa"/>
            <w:noWrap/>
            <w:hideMark/>
          </w:tcPr>
          <w:p w14:paraId="6C27A35B" w14:textId="77777777" w:rsidR="00EE5BB8" w:rsidRPr="00C6052E" w:rsidRDefault="00EE5BB8" w:rsidP="00AA0230">
            <w:pPr>
              <w:pStyle w:val="TableCopy"/>
              <w:spacing w:after="110"/>
              <w:jc w:val="right"/>
            </w:pPr>
            <w:r w:rsidRPr="00C6052E">
              <w:t>1,399</w:t>
            </w:r>
          </w:p>
        </w:tc>
      </w:tr>
      <w:tr w:rsidR="00EE5BB8" w:rsidRPr="00C6052E" w14:paraId="5E272E1D" w14:textId="77777777" w:rsidTr="00AA0230">
        <w:tc>
          <w:tcPr>
            <w:tcW w:w="6804" w:type="dxa"/>
            <w:hideMark/>
          </w:tcPr>
          <w:p w14:paraId="2FF995B7" w14:textId="1DA50833" w:rsidR="00EE5BB8" w:rsidRPr="00C6052E" w:rsidRDefault="00EE5BB8" w:rsidP="00AA0230">
            <w:pPr>
              <w:pStyle w:val="TableCopy"/>
              <w:spacing w:after="110"/>
            </w:pPr>
            <w:r w:rsidRPr="00C6052E">
              <w:t>Geelong</w:t>
            </w:r>
            <w:r w:rsidR="00177848" w:rsidRPr="00C6052E">
              <w:t xml:space="preserve"> </w:t>
            </w:r>
            <w:r w:rsidRPr="00C6052E">
              <w:t>City</w:t>
            </w:r>
            <w:r w:rsidR="00177848" w:rsidRPr="00C6052E">
              <w:t xml:space="preserve"> </w:t>
            </w:r>
            <w:r w:rsidRPr="00C6052E">
              <w:t>Deal</w:t>
            </w:r>
            <w:r w:rsidR="00177848" w:rsidRPr="00C6052E">
              <w:t xml:space="preserve"> </w:t>
            </w:r>
          </w:p>
        </w:tc>
        <w:tc>
          <w:tcPr>
            <w:tcW w:w="1449" w:type="dxa"/>
            <w:noWrap/>
            <w:hideMark/>
          </w:tcPr>
          <w:p w14:paraId="14F1660C" w14:textId="77777777" w:rsidR="00EE5BB8" w:rsidRPr="00C6052E" w:rsidRDefault="00EE5BB8" w:rsidP="00AA0230">
            <w:pPr>
              <w:pStyle w:val="TableCopy"/>
              <w:spacing w:after="110"/>
              <w:jc w:val="right"/>
            </w:pPr>
            <w:r w:rsidRPr="00C6052E">
              <w:t>42,596</w:t>
            </w:r>
          </w:p>
        </w:tc>
        <w:tc>
          <w:tcPr>
            <w:tcW w:w="1450" w:type="dxa"/>
            <w:noWrap/>
            <w:hideMark/>
          </w:tcPr>
          <w:p w14:paraId="0BE4A8AA" w14:textId="77777777" w:rsidR="00EE5BB8" w:rsidRPr="00C6052E" w:rsidRDefault="00EE5BB8" w:rsidP="00AA0230">
            <w:pPr>
              <w:pStyle w:val="TableCopy"/>
              <w:spacing w:after="110"/>
              <w:jc w:val="right"/>
            </w:pPr>
            <w:r w:rsidRPr="00C6052E">
              <w:t>20,660</w:t>
            </w:r>
          </w:p>
        </w:tc>
      </w:tr>
      <w:tr w:rsidR="00EE5BB8" w:rsidRPr="00C6052E" w14:paraId="3491FCA1" w14:textId="77777777" w:rsidTr="00AA0230">
        <w:tc>
          <w:tcPr>
            <w:tcW w:w="6804" w:type="dxa"/>
            <w:hideMark/>
          </w:tcPr>
          <w:p w14:paraId="2020FCC2" w14:textId="46AF303A" w:rsidR="00EE5BB8" w:rsidRPr="00C6052E" w:rsidRDefault="00EE5BB8" w:rsidP="00AA0230">
            <w:pPr>
              <w:pStyle w:val="TableCopy"/>
              <w:spacing w:after="110"/>
            </w:pPr>
            <w:r w:rsidRPr="00C6052E">
              <w:t>National</w:t>
            </w:r>
            <w:r w:rsidR="00177848" w:rsidRPr="00C6052E">
              <w:t xml:space="preserve"> </w:t>
            </w:r>
            <w:r w:rsidRPr="00C6052E">
              <w:t>Skills</w:t>
            </w:r>
            <w:r w:rsidR="00177848" w:rsidRPr="00C6052E">
              <w:t xml:space="preserve"> </w:t>
            </w:r>
            <w:r w:rsidRPr="00C6052E">
              <w:t>Agreement</w:t>
            </w:r>
          </w:p>
        </w:tc>
        <w:tc>
          <w:tcPr>
            <w:tcW w:w="1449" w:type="dxa"/>
            <w:noWrap/>
            <w:hideMark/>
          </w:tcPr>
          <w:p w14:paraId="2C8D595F" w14:textId="77777777" w:rsidR="00EE5BB8" w:rsidRPr="00C6052E" w:rsidRDefault="00EE5BB8" w:rsidP="00AA0230">
            <w:pPr>
              <w:pStyle w:val="TableCopy"/>
              <w:spacing w:after="110"/>
              <w:jc w:val="right"/>
            </w:pPr>
            <w:r w:rsidRPr="00C6052E">
              <w:t>558,139</w:t>
            </w:r>
          </w:p>
        </w:tc>
        <w:tc>
          <w:tcPr>
            <w:tcW w:w="1450" w:type="dxa"/>
            <w:noWrap/>
            <w:hideMark/>
          </w:tcPr>
          <w:p w14:paraId="45AA6282" w14:textId="77777777" w:rsidR="00EE5BB8" w:rsidRPr="00C6052E" w:rsidRDefault="00EE5BB8" w:rsidP="00AA0230">
            <w:pPr>
              <w:pStyle w:val="TableCopy"/>
              <w:spacing w:after="110"/>
              <w:jc w:val="right"/>
            </w:pPr>
            <w:r w:rsidRPr="00C6052E">
              <w:t>488,252</w:t>
            </w:r>
          </w:p>
        </w:tc>
      </w:tr>
      <w:tr w:rsidR="00EE5BB8" w:rsidRPr="00C6052E" w14:paraId="7500985D" w14:textId="77777777" w:rsidTr="00AA0230">
        <w:tc>
          <w:tcPr>
            <w:tcW w:w="6804" w:type="dxa"/>
            <w:hideMark/>
          </w:tcPr>
          <w:p w14:paraId="5F957970" w14:textId="30465792" w:rsidR="00EE5BB8" w:rsidRPr="00C6052E" w:rsidRDefault="00EE5BB8" w:rsidP="00AA0230">
            <w:pPr>
              <w:pStyle w:val="TableCopy"/>
              <w:spacing w:after="110"/>
            </w:pPr>
            <w:r w:rsidRPr="00C6052E">
              <w:t>Fee</w:t>
            </w:r>
            <w:r w:rsidR="00177848" w:rsidRPr="00C6052E">
              <w:t xml:space="preserve"> </w:t>
            </w:r>
            <w:r w:rsidRPr="00C6052E">
              <w:t>Free</w:t>
            </w:r>
            <w:r w:rsidR="00177848" w:rsidRPr="00C6052E">
              <w:t xml:space="preserve"> </w:t>
            </w:r>
            <w:r w:rsidRPr="00C6052E">
              <w:t>TAFE</w:t>
            </w:r>
          </w:p>
        </w:tc>
        <w:tc>
          <w:tcPr>
            <w:tcW w:w="1449" w:type="dxa"/>
            <w:noWrap/>
            <w:hideMark/>
          </w:tcPr>
          <w:p w14:paraId="0460AC6F" w14:textId="77777777" w:rsidR="00EE5BB8" w:rsidRPr="00C6052E" w:rsidRDefault="00EE5BB8" w:rsidP="00AA0230">
            <w:pPr>
              <w:pStyle w:val="TableCopy"/>
              <w:spacing w:after="110"/>
              <w:jc w:val="right"/>
            </w:pPr>
            <w:r w:rsidRPr="00C6052E">
              <w:t>11,459</w:t>
            </w:r>
          </w:p>
        </w:tc>
        <w:tc>
          <w:tcPr>
            <w:tcW w:w="1450" w:type="dxa"/>
            <w:noWrap/>
            <w:hideMark/>
          </w:tcPr>
          <w:p w14:paraId="0BC3E3A3" w14:textId="77777777" w:rsidR="00EE5BB8" w:rsidRPr="00C6052E" w:rsidRDefault="00EE5BB8" w:rsidP="00AA0230">
            <w:pPr>
              <w:pStyle w:val="TableCopy"/>
              <w:spacing w:after="110"/>
              <w:jc w:val="right"/>
            </w:pPr>
            <w:r w:rsidRPr="00C6052E">
              <w:t>79,704</w:t>
            </w:r>
          </w:p>
        </w:tc>
      </w:tr>
      <w:tr w:rsidR="00EE5BB8" w:rsidRPr="00C6052E" w14:paraId="73665969" w14:textId="77777777" w:rsidTr="00AA0230">
        <w:tc>
          <w:tcPr>
            <w:tcW w:w="6804" w:type="dxa"/>
            <w:hideMark/>
          </w:tcPr>
          <w:p w14:paraId="32E211CF" w14:textId="2076F84C" w:rsidR="00EE5BB8" w:rsidRPr="00C6052E" w:rsidRDefault="00EE5BB8" w:rsidP="00AA0230">
            <w:pPr>
              <w:pStyle w:val="TableCopy"/>
              <w:spacing w:after="110"/>
            </w:pPr>
            <w:r w:rsidRPr="00C6052E">
              <w:t>TAFE</w:t>
            </w:r>
            <w:r w:rsidR="00177848" w:rsidRPr="00C6052E">
              <w:t xml:space="preserve"> </w:t>
            </w:r>
            <w:r w:rsidRPr="00C6052E">
              <w:t>Technology</w:t>
            </w:r>
            <w:r w:rsidR="00177848" w:rsidRPr="00C6052E">
              <w:t xml:space="preserve"> </w:t>
            </w:r>
            <w:r w:rsidRPr="00C6052E">
              <w:t>Fund</w:t>
            </w:r>
          </w:p>
        </w:tc>
        <w:tc>
          <w:tcPr>
            <w:tcW w:w="1449" w:type="dxa"/>
            <w:noWrap/>
            <w:hideMark/>
          </w:tcPr>
          <w:p w14:paraId="25D20CF0" w14:textId="77777777" w:rsidR="00EE5BB8" w:rsidRPr="00C6052E" w:rsidRDefault="00EE5BB8" w:rsidP="00AA0230">
            <w:pPr>
              <w:pStyle w:val="TableCopy"/>
              <w:spacing w:after="110"/>
              <w:jc w:val="right"/>
            </w:pPr>
            <w:r w:rsidRPr="00C6052E">
              <w:t>4,346</w:t>
            </w:r>
          </w:p>
        </w:tc>
        <w:tc>
          <w:tcPr>
            <w:tcW w:w="1450" w:type="dxa"/>
            <w:noWrap/>
            <w:hideMark/>
          </w:tcPr>
          <w:p w14:paraId="06472BC2" w14:textId="77777777" w:rsidR="00EE5BB8" w:rsidRPr="00C6052E" w:rsidRDefault="00EE5BB8" w:rsidP="00AA0230">
            <w:pPr>
              <w:pStyle w:val="TableCopy"/>
              <w:spacing w:after="110"/>
              <w:jc w:val="right"/>
            </w:pPr>
            <w:r w:rsidRPr="00C6052E">
              <w:t>2,940</w:t>
            </w:r>
          </w:p>
        </w:tc>
      </w:tr>
      <w:tr w:rsidR="00EE5BB8" w:rsidRPr="00C6052E" w14:paraId="05495714" w14:textId="77777777" w:rsidTr="00AA0230">
        <w:tc>
          <w:tcPr>
            <w:tcW w:w="6804" w:type="dxa"/>
            <w:hideMark/>
          </w:tcPr>
          <w:p w14:paraId="38810A3B" w14:textId="1ACB9CA8" w:rsidR="00EE5BB8" w:rsidRPr="00C6052E" w:rsidRDefault="00EE5BB8" w:rsidP="00814D77">
            <w:pPr>
              <w:pStyle w:val="Tabletotal"/>
            </w:pPr>
            <w:r w:rsidRPr="00C6052E">
              <w:t>Total</w:t>
            </w:r>
            <w:r w:rsidR="00177848" w:rsidRPr="00C6052E">
              <w:t xml:space="preserve"> </w:t>
            </w:r>
            <w:r w:rsidRPr="00C6052E">
              <w:t>commonwealth</w:t>
            </w:r>
            <w:r w:rsidR="00177848" w:rsidRPr="00C6052E">
              <w:t xml:space="preserve"> </w:t>
            </w:r>
            <w:r w:rsidRPr="00C6052E">
              <w:t>payments</w:t>
            </w:r>
            <w:r w:rsidR="00177848" w:rsidRPr="00C6052E">
              <w:t xml:space="preserve"> </w:t>
            </w:r>
          </w:p>
        </w:tc>
        <w:tc>
          <w:tcPr>
            <w:tcW w:w="1449" w:type="dxa"/>
            <w:noWrap/>
            <w:hideMark/>
          </w:tcPr>
          <w:p w14:paraId="4972414A" w14:textId="77777777" w:rsidR="00EE5BB8" w:rsidRPr="00C6052E" w:rsidRDefault="00EE5BB8" w:rsidP="00814D77">
            <w:pPr>
              <w:pStyle w:val="Tabletotal"/>
              <w:jc w:val="right"/>
            </w:pPr>
            <w:r w:rsidRPr="00C6052E">
              <w:t>632,540</w:t>
            </w:r>
          </w:p>
        </w:tc>
        <w:tc>
          <w:tcPr>
            <w:tcW w:w="1450" w:type="dxa"/>
            <w:noWrap/>
            <w:hideMark/>
          </w:tcPr>
          <w:p w14:paraId="3F3F9524" w14:textId="77777777" w:rsidR="00EE5BB8" w:rsidRPr="00C6052E" w:rsidRDefault="00EE5BB8" w:rsidP="00814D77">
            <w:pPr>
              <w:pStyle w:val="Tabletotal"/>
              <w:jc w:val="right"/>
            </w:pPr>
            <w:r w:rsidRPr="00C6052E">
              <w:t>600,955</w:t>
            </w:r>
          </w:p>
        </w:tc>
      </w:tr>
      <w:tr w:rsidR="00AA0230" w:rsidRPr="00C6052E" w14:paraId="2591642E" w14:textId="77777777" w:rsidTr="006C7B1E">
        <w:tc>
          <w:tcPr>
            <w:tcW w:w="6804" w:type="dxa"/>
          </w:tcPr>
          <w:p w14:paraId="1F0FE5D6" w14:textId="08315B73" w:rsidR="00AA0230" w:rsidRPr="00C6052E" w:rsidRDefault="00AA0230" w:rsidP="006C7B1E">
            <w:pPr>
              <w:pStyle w:val="TableHeading"/>
            </w:pPr>
            <w:r w:rsidRPr="00C6052E">
              <w:t>Municipal payments</w:t>
            </w:r>
          </w:p>
        </w:tc>
        <w:tc>
          <w:tcPr>
            <w:tcW w:w="1449" w:type="dxa"/>
            <w:noWrap/>
          </w:tcPr>
          <w:p w14:paraId="3FF10461" w14:textId="77777777" w:rsidR="00AA0230" w:rsidRPr="00C6052E" w:rsidRDefault="00AA0230" w:rsidP="00AA0230">
            <w:pPr>
              <w:pStyle w:val="TableHeading"/>
              <w:jc w:val="right"/>
            </w:pPr>
          </w:p>
        </w:tc>
        <w:tc>
          <w:tcPr>
            <w:tcW w:w="1450" w:type="dxa"/>
            <w:noWrap/>
          </w:tcPr>
          <w:p w14:paraId="1C41DB93" w14:textId="77777777" w:rsidR="00AA0230" w:rsidRPr="00C6052E" w:rsidRDefault="00AA0230" w:rsidP="00AA0230">
            <w:pPr>
              <w:pStyle w:val="TableHeading"/>
              <w:jc w:val="right"/>
            </w:pPr>
          </w:p>
        </w:tc>
      </w:tr>
      <w:tr w:rsidR="00EE5BB8" w:rsidRPr="00C6052E" w14:paraId="07FF97C1" w14:textId="77777777" w:rsidTr="00AA0230">
        <w:tc>
          <w:tcPr>
            <w:tcW w:w="6804" w:type="dxa"/>
            <w:hideMark/>
          </w:tcPr>
          <w:p w14:paraId="510FBB43" w14:textId="026240E9" w:rsidR="00EE5BB8" w:rsidRPr="00C6052E" w:rsidRDefault="00EE5BB8" w:rsidP="00AA0230">
            <w:pPr>
              <w:pStyle w:val="TableCopy"/>
              <w:spacing w:after="110"/>
            </w:pPr>
            <w:r w:rsidRPr="00C6052E">
              <w:t>Geelong</w:t>
            </w:r>
            <w:r w:rsidR="00177848" w:rsidRPr="00C6052E">
              <w:t xml:space="preserve"> </w:t>
            </w:r>
            <w:r w:rsidRPr="00C6052E">
              <w:t>City</w:t>
            </w:r>
            <w:r w:rsidR="00177848" w:rsidRPr="00C6052E">
              <w:t xml:space="preserve"> </w:t>
            </w:r>
            <w:r w:rsidRPr="00C6052E">
              <w:t>Deal</w:t>
            </w:r>
          </w:p>
        </w:tc>
        <w:tc>
          <w:tcPr>
            <w:tcW w:w="1449" w:type="dxa"/>
            <w:noWrap/>
            <w:hideMark/>
          </w:tcPr>
          <w:p w14:paraId="638FE529" w14:textId="77777777" w:rsidR="00EE5BB8" w:rsidRPr="00C6052E" w:rsidRDefault="00EE5BB8" w:rsidP="00AA0230">
            <w:pPr>
              <w:pStyle w:val="TableCopy"/>
              <w:spacing w:after="110"/>
              <w:jc w:val="right"/>
            </w:pPr>
            <w:r w:rsidRPr="00C6052E">
              <w:t>–</w:t>
            </w:r>
          </w:p>
        </w:tc>
        <w:tc>
          <w:tcPr>
            <w:tcW w:w="1450" w:type="dxa"/>
            <w:noWrap/>
            <w:hideMark/>
          </w:tcPr>
          <w:p w14:paraId="22573E59" w14:textId="77777777" w:rsidR="00EE5BB8" w:rsidRPr="00C6052E" w:rsidRDefault="00EE5BB8" w:rsidP="00AA0230">
            <w:pPr>
              <w:pStyle w:val="TableCopy"/>
              <w:spacing w:after="110"/>
              <w:jc w:val="right"/>
            </w:pPr>
            <w:r w:rsidRPr="00C6052E">
              <w:t>3,400</w:t>
            </w:r>
          </w:p>
        </w:tc>
      </w:tr>
      <w:tr w:rsidR="00EE5BB8" w:rsidRPr="00C6052E" w14:paraId="02D10CAF" w14:textId="77777777" w:rsidTr="00AA0230">
        <w:tc>
          <w:tcPr>
            <w:tcW w:w="6804" w:type="dxa"/>
            <w:hideMark/>
          </w:tcPr>
          <w:p w14:paraId="736D7C29" w14:textId="0EAA95F4" w:rsidR="00EE5BB8" w:rsidRPr="00C6052E" w:rsidRDefault="00EE5BB8" w:rsidP="00AA0230">
            <w:pPr>
              <w:pStyle w:val="TableCopy"/>
              <w:spacing w:after="110"/>
            </w:pPr>
            <w:r w:rsidRPr="00C6052E">
              <w:t>Total</w:t>
            </w:r>
            <w:r w:rsidR="00177848" w:rsidRPr="00C6052E">
              <w:t xml:space="preserve"> </w:t>
            </w:r>
            <w:r w:rsidRPr="00C6052E">
              <w:t>municipal</w:t>
            </w:r>
            <w:r w:rsidR="00177848" w:rsidRPr="00C6052E">
              <w:t xml:space="preserve"> </w:t>
            </w:r>
            <w:r w:rsidRPr="00C6052E">
              <w:t>payments</w:t>
            </w:r>
          </w:p>
        </w:tc>
        <w:tc>
          <w:tcPr>
            <w:tcW w:w="1449" w:type="dxa"/>
            <w:noWrap/>
            <w:hideMark/>
          </w:tcPr>
          <w:p w14:paraId="4A4121D0" w14:textId="77777777" w:rsidR="00EE5BB8" w:rsidRPr="00C6052E" w:rsidRDefault="00EE5BB8" w:rsidP="00AA0230">
            <w:pPr>
              <w:pStyle w:val="TableCopy"/>
              <w:spacing w:after="110"/>
              <w:jc w:val="right"/>
            </w:pPr>
            <w:r w:rsidRPr="00C6052E">
              <w:t>–</w:t>
            </w:r>
          </w:p>
        </w:tc>
        <w:tc>
          <w:tcPr>
            <w:tcW w:w="1450" w:type="dxa"/>
            <w:noWrap/>
            <w:hideMark/>
          </w:tcPr>
          <w:p w14:paraId="3FBAF836" w14:textId="77777777" w:rsidR="00EE5BB8" w:rsidRPr="00C6052E" w:rsidRDefault="00EE5BB8" w:rsidP="00AA0230">
            <w:pPr>
              <w:pStyle w:val="TableCopy"/>
              <w:spacing w:after="110"/>
              <w:jc w:val="right"/>
            </w:pPr>
            <w:r w:rsidRPr="00C6052E">
              <w:t>3,400</w:t>
            </w:r>
          </w:p>
        </w:tc>
      </w:tr>
      <w:tr w:rsidR="00EE5BB8" w:rsidRPr="00C6052E" w14:paraId="10B57991" w14:textId="77777777" w:rsidTr="00AA0230">
        <w:tc>
          <w:tcPr>
            <w:tcW w:w="6804" w:type="dxa"/>
            <w:hideMark/>
          </w:tcPr>
          <w:p w14:paraId="08E6629C" w14:textId="1BA647D2" w:rsidR="00EE5BB8" w:rsidRPr="00C6052E" w:rsidRDefault="00EE5BB8" w:rsidP="00814D77">
            <w:pPr>
              <w:pStyle w:val="Tabletotal"/>
            </w:pPr>
            <w:r w:rsidRPr="00C6052E">
              <w:t>Total</w:t>
            </w:r>
            <w:r w:rsidR="00177848" w:rsidRPr="00C6052E">
              <w:t xml:space="preserve"> </w:t>
            </w:r>
            <w:r w:rsidRPr="00C6052E">
              <w:t>annotated</w:t>
            </w:r>
            <w:r w:rsidR="00177848" w:rsidRPr="00C6052E">
              <w:t xml:space="preserve"> </w:t>
            </w:r>
            <w:r w:rsidRPr="00C6052E">
              <w:t>income</w:t>
            </w:r>
            <w:r w:rsidR="00177848" w:rsidRPr="00C6052E">
              <w:t xml:space="preserve"> </w:t>
            </w:r>
            <w:r w:rsidRPr="00C6052E">
              <w:t>agreements</w:t>
            </w:r>
            <w:r w:rsidR="00177848" w:rsidRPr="00C6052E">
              <w:t xml:space="preserve"> </w:t>
            </w:r>
          </w:p>
        </w:tc>
        <w:tc>
          <w:tcPr>
            <w:tcW w:w="1449" w:type="dxa"/>
            <w:noWrap/>
            <w:hideMark/>
          </w:tcPr>
          <w:p w14:paraId="0961BF63" w14:textId="77777777" w:rsidR="00EE5BB8" w:rsidRPr="00C6052E" w:rsidRDefault="00EE5BB8" w:rsidP="00814D77">
            <w:pPr>
              <w:pStyle w:val="Tabletotal"/>
              <w:jc w:val="right"/>
            </w:pPr>
            <w:r w:rsidRPr="00C6052E">
              <w:t>636,174</w:t>
            </w:r>
          </w:p>
        </w:tc>
        <w:tc>
          <w:tcPr>
            <w:tcW w:w="1450" w:type="dxa"/>
            <w:noWrap/>
            <w:hideMark/>
          </w:tcPr>
          <w:p w14:paraId="05F7DBBC" w14:textId="77777777" w:rsidR="00EE5BB8" w:rsidRPr="00C6052E" w:rsidRDefault="00EE5BB8" w:rsidP="00814D77">
            <w:pPr>
              <w:pStyle w:val="Tabletotal"/>
              <w:jc w:val="right"/>
            </w:pPr>
            <w:r w:rsidRPr="00C6052E">
              <w:t>607,702</w:t>
            </w:r>
          </w:p>
        </w:tc>
      </w:tr>
    </w:tbl>
    <w:p w14:paraId="35BCF0C1" w14:textId="77777777" w:rsidR="00D83915" w:rsidRDefault="00D83915" w:rsidP="00D83915">
      <w:bookmarkStart w:id="114" w:name="_Ref209187614"/>
      <w:bookmarkStart w:id="115" w:name="_Ref209187627"/>
    </w:p>
    <w:p w14:paraId="72664496" w14:textId="00B1880C" w:rsidR="00EE5BB8" w:rsidRPr="00C6052E" w:rsidRDefault="00EE5BB8" w:rsidP="00AA0230">
      <w:pPr>
        <w:pStyle w:val="Heading2numbered0"/>
      </w:pPr>
      <w:r w:rsidRPr="00C6052E">
        <w:lastRenderedPageBreak/>
        <w:t>Revenue</w:t>
      </w:r>
      <w:r w:rsidR="00177848" w:rsidRPr="00C6052E">
        <w:t xml:space="preserve"> </w:t>
      </w:r>
      <w:r w:rsidRPr="00C6052E">
        <w:t>and</w:t>
      </w:r>
      <w:r w:rsidR="00177848" w:rsidRPr="00C6052E">
        <w:t xml:space="preserve"> </w:t>
      </w:r>
      <w:r w:rsidRPr="00C6052E">
        <w:t>income</w:t>
      </w:r>
      <w:r w:rsidR="00177848" w:rsidRPr="00C6052E">
        <w:t xml:space="preserve"> </w:t>
      </w:r>
      <w:r w:rsidRPr="00C6052E">
        <w:t>from</w:t>
      </w:r>
      <w:r w:rsidR="00177848" w:rsidRPr="00C6052E">
        <w:t xml:space="preserve"> </w:t>
      </w:r>
      <w:r w:rsidRPr="00C6052E">
        <w:t>transactions</w:t>
      </w:r>
      <w:bookmarkEnd w:id="112"/>
      <w:bookmarkEnd w:id="114"/>
      <w:bookmarkEnd w:id="115"/>
    </w:p>
    <w:p w14:paraId="586232AA" w14:textId="771F0507" w:rsidR="00EE5BB8" w:rsidRPr="00C6052E" w:rsidRDefault="00EE5BB8" w:rsidP="000C0740">
      <w:pPr>
        <w:pStyle w:val="Heading3numbered0"/>
      </w:pPr>
      <w:bookmarkStart w:id="116" w:name="_Toc163565817"/>
      <w:r w:rsidRPr="00C6052E">
        <w:t>Grant</w:t>
      </w:r>
      <w:bookmarkEnd w:id="116"/>
      <w:r w:rsidR="00177848" w:rsidRPr="00C6052E">
        <w:t xml:space="preserve"> </w:t>
      </w:r>
      <w:r w:rsidRPr="00C6052E">
        <w:t>income</w:t>
      </w:r>
      <w:r w:rsidR="00D83915">
        <w:t xml:space="preserve"> </w:t>
      </w:r>
      <w:r w:rsidR="00D83915" w:rsidRPr="00C6052E">
        <w:t>($ thousand)</w:t>
      </w:r>
    </w:p>
    <w:tbl>
      <w:tblPr>
        <w:tblStyle w:val="TableGrid"/>
        <w:tblW w:w="9706" w:type="dxa"/>
        <w:tblLayout w:type="fixed"/>
        <w:tblLook w:val="04E0" w:firstRow="1" w:lastRow="1" w:firstColumn="1" w:lastColumn="0" w:noHBand="0" w:noVBand="1"/>
      </w:tblPr>
      <w:tblGrid>
        <w:gridCol w:w="6374"/>
        <w:gridCol w:w="1666"/>
        <w:gridCol w:w="1666"/>
      </w:tblGrid>
      <w:tr w:rsidR="00EE5BB8" w:rsidRPr="00C6052E" w14:paraId="4BA5BCEE" w14:textId="77777777" w:rsidTr="003957FF">
        <w:tc>
          <w:tcPr>
            <w:tcW w:w="6374" w:type="dxa"/>
            <w:noWrap/>
            <w:hideMark/>
          </w:tcPr>
          <w:p w14:paraId="07D2A294" w14:textId="77777777" w:rsidR="00EE5BB8" w:rsidRPr="00C6052E" w:rsidRDefault="00EE5BB8" w:rsidP="003957FF">
            <w:pPr>
              <w:pStyle w:val="TableColumnHeading"/>
            </w:pPr>
            <w:bookmarkStart w:id="117" w:name="TableColumnHeadings_47"/>
            <w:bookmarkEnd w:id="117"/>
          </w:p>
        </w:tc>
        <w:tc>
          <w:tcPr>
            <w:tcW w:w="1666" w:type="dxa"/>
            <w:hideMark/>
          </w:tcPr>
          <w:p w14:paraId="36B3C1D6" w14:textId="77777777" w:rsidR="00EE5BB8" w:rsidRPr="00C6052E" w:rsidRDefault="00EE5BB8" w:rsidP="003957FF">
            <w:pPr>
              <w:pStyle w:val="TableColumnHeading"/>
              <w:jc w:val="right"/>
            </w:pPr>
            <w:r w:rsidRPr="00C6052E">
              <w:t>2025</w:t>
            </w:r>
          </w:p>
        </w:tc>
        <w:tc>
          <w:tcPr>
            <w:tcW w:w="1666" w:type="dxa"/>
            <w:hideMark/>
          </w:tcPr>
          <w:p w14:paraId="291FFFD1" w14:textId="77777777" w:rsidR="00EE5BB8" w:rsidRPr="00C6052E" w:rsidRDefault="00EE5BB8" w:rsidP="003957FF">
            <w:pPr>
              <w:pStyle w:val="TableColumnHeading"/>
              <w:jc w:val="right"/>
            </w:pPr>
            <w:r w:rsidRPr="00C6052E">
              <w:t>2024</w:t>
            </w:r>
          </w:p>
        </w:tc>
      </w:tr>
      <w:tr w:rsidR="003957FF" w:rsidRPr="00C6052E" w14:paraId="5FF722AA" w14:textId="77777777" w:rsidTr="003957FF">
        <w:tc>
          <w:tcPr>
            <w:tcW w:w="6374" w:type="dxa"/>
          </w:tcPr>
          <w:p w14:paraId="3BD79B6A" w14:textId="708678F9" w:rsidR="003957FF" w:rsidRPr="00C6052E" w:rsidRDefault="003957FF" w:rsidP="003957FF">
            <w:pPr>
              <w:pStyle w:val="TableHeading"/>
            </w:pPr>
            <w:r w:rsidRPr="00C6052E">
              <w:t>Income recognised as income</w:t>
            </w:r>
          </w:p>
        </w:tc>
        <w:tc>
          <w:tcPr>
            <w:tcW w:w="1666" w:type="dxa"/>
            <w:noWrap/>
          </w:tcPr>
          <w:p w14:paraId="5971F996" w14:textId="77777777" w:rsidR="003957FF" w:rsidRPr="00C6052E" w:rsidRDefault="003957FF" w:rsidP="003957FF">
            <w:pPr>
              <w:pStyle w:val="TableHeading"/>
              <w:jc w:val="right"/>
            </w:pPr>
          </w:p>
        </w:tc>
        <w:tc>
          <w:tcPr>
            <w:tcW w:w="1666" w:type="dxa"/>
            <w:noWrap/>
          </w:tcPr>
          <w:p w14:paraId="0480E5A8" w14:textId="77777777" w:rsidR="003957FF" w:rsidRPr="00C6052E" w:rsidRDefault="003957FF" w:rsidP="003957FF">
            <w:pPr>
              <w:pStyle w:val="TableHeading"/>
              <w:jc w:val="right"/>
            </w:pPr>
          </w:p>
        </w:tc>
      </w:tr>
      <w:tr w:rsidR="00EE5BB8" w:rsidRPr="00C6052E" w14:paraId="758CD49F" w14:textId="77777777" w:rsidTr="003957FF">
        <w:tc>
          <w:tcPr>
            <w:tcW w:w="6374" w:type="dxa"/>
            <w:hideMark/>
          </w:tcPr>
          <w:p w14:paraId="648CD52B" w14:textId="768569AA" w:rsidR="00EE5BB8" w:rsidRPr="00C6052E" w:rsidRDefault="00EE5BB8" w:rsidP="0063097D">
            <w:pPr>
              <w:pStyle w:val="TableCopy"/>
            </w:pPr>
            <w:r w:rsidRPr="00C6052E">
              <w:t>Grants</w:t>
            </w:r>
            <w:r w:rsidR="00177848" w:rsidRPr="00C6052E">
              <w:t xml:space="preserve"> </w:t>
            </w:r>
            <w:r w:rsidRPr="00C6052E">
              <w:t>from</w:t>
            </w:r>
            <w:r w:rsidR="00177848" w:rsidRPr="00C6052E">
              <w:t xml:space="preserve"> </w:t>
            </w:r>
            <w:r w:rsidRPr="00C6052E">
              <w:t>state</w:t>
            </w:r>
            <w:r w:rsidR="00177848" w:rsidRPr="00C6052E">
              <w:t xml:space="preserve"> </w:t>
            </w:r>
            <w:r w:rsidRPr="00C6052E">
              <w:t>government</w:t>
            </w:r>
          </w:p>
        </w:tc>
        <w:tc>
          <w:tcPr>
            <w:tcW w:w="1666" w:type="dxa"/>
            <w:noWrap/>
            <w:hideMark/>
          </w:tcPr>
          <w:p w14:paraId="09DABEE5" w14:textId="77777777" w:rsidR="00EE5BB8" w:rsidRPr="00C6052E" w:rsidRDefault="00EE5BB8" w:rsidP="003957FF">
            <w:pPr>
              <w:pStyle w:val="TableCopy"/>
              <w:jc w:val="right"/>
            </w:pPr>
            <w:r w:rsidRPr="00C6052E">
              <w:t>263,937</w:t>
            </w:r>
          </w:p>
        </w:tc>
        <w:tc>
          <w:tcPr>
            <w:tcW w:w="1666" w:type="dxa"/>
            <w:noWrap/>
            <w:hideMark/>
          </w:tcPr>
          <w:p w14:paraId="27DA1CBA" w14:textId="77777777" w:rsidR="00EE5BB8" w:rsidRPr="00C6052E" w:rsidRDefault="00EE5BB8" w:rsidP="003957FF">
            <w:pPr>
              <w:pStyle w:val="TableCopy"/>
              <w:jc w:val="right"/>
            </w:pPr>
            <w:r w:rsidRPr="00C6052E">
              <w:t>253,475</w:t>
            </w:r>
          </w:p>
        </w:tc>
      </w:tr>
      <w:tr w:rsidR="00EE5BB8" w:rsidRPr="00C6052E" w14:paraId="1219398D" w14:textId="77777777" w:rsidTr="003957FF">
        <w:tc>
          <w:tcPr>
            <w:tcW w:w="6374" w:type="dxa"/>
            <w:hideMark/>
          </w:tcPr>
          <w:p w14:paraId="36C5DBC9" w14:textId="6048BE5C" w:rsidR="00EE5BB8" w:rsidRPr="00C6052E" w:rsidRDefault="00EE5BB8" w:rsidP="0063097D">
            <w:pPr>
              <w:pStyle w:val="TableCopy"/>
            </w:pPr>
            <w:r w:rsidRPr="00C6052E">
              <w:t>Grants</w:t>
            </w:r>
            <w:r w:rsidR="00177848" w:rsidRPr="00C6052E">
              <w:t xml:space="preserve"> </w:t>
            </w:r>
            <w:r w:rsidRPr="00C6052E">
              <w:t>from</w:t>
            </w:r>
            <w:r w:rsidR="00177848" w:rsidRPr="00C6052E">
              <w:t xml:space="preserve"> </w:t>
            </w:r>
            <w:r w:rsidRPr="00C6052E">
              <w:t>other</w:t>
            </w:r>
            <w:r w:rsidRPr="00C6052E">
              <w:rPr>
                <w:vertAlign w:val="superscript"/>
              </w:rPr>
              <w:t>(i)</w:t>
            </w:r>
          </w:p>
        </w:tc>
        <w:tc>
          <w:tcPr>
            <w:tcW w:w="1666" w:type="dxa"/>
            <w:noWrap/>
            <w:hideMark/>
          </w:tcPr>
          <w:p w14:paraId="5F8D89F4" w14:textId="77777777" w:rsidR="00EE5BB8" w:rsidRPr="00C6052E" w:rsidRDefault="00EE5BB8" w:rsidP="003957FF">
            <w:pPr>
              <w:pStyle w:val="TableCopy"/>
              <w:jc w:val="right"/>
            </w:pPr>
            <w:r w:rsidRPr="00C6052E">
              <w:t>13,520</w:t>
            </w:r>
          </w:p>
        </w:tc>
        <w:tc>
          <w:tcPr>
            <w:tcW w:w="1666" w:type="dxa"/>
            <w:noWrap/>
            <w:hideMark/>
          </w:tcPr>
          <w:p w14:paraId="53F250F9" w14:textId="77777777" w:rsidR="00EE5BB8" w:rsidRPr="00C6052E" w:rsidRDefault="00EE5BB8" w:rsidP="003957FF">
            <w:pPr>
              <w:pStyle w:val="TableCopy"/>
              <w:jc w:val="right"/>
            </w:pPr>
            <w:r w:rsidRPr="00C6052E">
              <w:t>3,211</w:t>
            </w:r>
          </w:p>
        </w:tc>
      </w:tr>
      <w:tr w:rsidR="00EE5BB8" w:rsidRPr="00C6052E" w14:paraId="5A9BF0ED" w14:textId="77777777" w:rsidTr="003957FF">
        <w:tc>
          <w:tcPr>
            <w:tcW w:w="6374" w:type="dxa"/>
            <w:hideMark/>
          </w:tcPr>
          <w:p w14:paraId="6CC18892" w14:textId="39FE6D57" w:rsidR="00EE5BB8" w:rsidRPr="00C6052E" w:rsidRDefault="00EE5BB8" w:rsidP="0063097D">
            <w:pPr>
              <w:pStyle w:val="Tabletotal"/>
            </w:pPr>
            <w:r w:rsidRPr="00C6052E">
              <w:t>Total</w:t>
            </w:r>
            <w:r w:rsidR="00177848" w:rsidRPr="00C6052E">
              <w:t xml:space="preserve"> </w:t>
            </w:r>
            <w:r w:rsidRPr="00C6052E">
              <w:t>grant</w:t>
            </w:r>
            <w:r w:rsidR="00177848" w:rsidRPr="00C6052E">
              <w:t xml:space="preserve"> </w:t>
            </w:r>
            <w:r w:rsidRPr="00C6052E">
              <w:t>income</w:t>
            </w:r>
          </w:p>
        </w:tc>
        <w:tc>
          <w:tcPr>
            <w:tcW w:w="1666" w:type="dxa"/>
            <w:noWrap/>
            <w:hideMark/>
          </w:tcPr>
          <w:p w14:paraId="57A14BA3" w14:textId="77777777" w:rsidR="00EE5BB8" w:rsidRPr="00C6052E" w:rsidRDefault="00EE5BB8" w:rsidP="003957FF">
            <w:pPr>
              <w:pStyle w:val="Tabletotal"/>
              <w:jc w:val="right"/>
            </w:pPr>
            <w:r w:rsidRPr="00C6052E">
              <w:t>277,457</w:t>
            </w:r>
          </w:p>
        </w:tc>
        <w:tc>
          <w:tcPr>
            <w:tcW w:w="1666" w:type="dxa"/>
            <w:noWrap/>
            <w:hideMark/>
          </w:tcPr>
          <w:p w14:paraId="61DF9D21" w14:textId="77777777" w:rsidR="00EE5BB8" w:rsidRPr="00C6052E" w:rsidRDefault="00EE5BB8" w:rsidP="003957FF">
            <w:pPr>
              <w:pStyle w:val="Tabletotal"/>
              <w:jc w:val="right"/>
            </w:pPr>
            <w:r w:rsidRPr="00C6052E">
              <w:t>256,686</w:t>
            </w:r>
          </w:p>
        </w:tc>
      </w:tr>
    </w:tbl>
    <w:p w14:paraId="2B768A31" w14:textId="385F982E" w:rsidR="00EE5BB8" w:rsidRPr="00C6052E" w:rsidRDefault="00EE5BB8" w:rsidP="00EE5BB8">
      <w:pPr>
        <w:pStyle w:val="Tablenotes-numbered"/>
        <w:numPr>
          <w:ilvl w:val="0"/>
          <w:numId w:val="21"/>
        </w:numPr>
        <w:spacing w:after="240"/>
      </w:pPr>
      <w:r w:rsidRPr="00C6052E">
        <w:t>Includes</w:t>
      </w:r>
      <w:r w:rsidR="00177848" w:rsidRPr="00C6052E">
        <w:t xml:space="preserve"> </w:t>
      </w:r>
      <w:r w:rsidRPr="00C6052E">
        <w:t>general</w:t>
      </w:r>
      <w:r w:rsidR="00177848" w:rsidRPr="00C6052E">
        <w:t xml:space="preserve"> </w:t>
      </w:r>
      <w:r w:rsidRPr="00C6052E">
        <w:t>and</w:t>
      </w:r>
      <w:r w:rsidR="00177848" w:rsidRPr="00C6052E">
        <w:t xml:space="preserve"> </w:t>
      </w:r>
      <w:r w:rsidRPr="00C6052E">
        <w:t>specific</w:t>
      </w:r>
      <w:r w:rsidR="00177848" w:rsidRPr="00C6052E">
        <w:t xml:space="preserve"> </w:t>
      </w:r>
      <w:r w:rsidRPr="00C6052E">
        <w:t>purpose</w:t>
      </w:r>
      <w:r w:rsidR="00177848" w:rsidRPr="00C6052E">
        <w:t xml:space="preserve"> </w:t>
      </w:r>
      <w:r w:rsidRPr="00C6052E">
        <w:t>grants</w:t>
      </w:r>
      <w:r w:rsidR="00177848" w:rsidRPr="00C6052E">
        <w:t xml:space="preserve"> </w:t>
      </w:r>
      <w:r w:rsidRPr="00C6052E">
        <w:t>received</w:t>
      </w:r>
      <w:r w:rsidR="00177848" w:rsidRPr="00C6052E">
        <w:t xml:space="preserve"> </w:t>
      </w:r>
      <w:r w:rsidRPr="00C6052E">
        <w:t>from</w:t>
      </w:r>
      <w:r w:rsidR="00177848" w:rsidRPr="00C6052E">
        <w:t xml:space="preserve"> </w:t>
      </w:r>
      <w:r w:rsidRPr="00C6052E">
        <w:t>commonwealth</w:t>
      </w:r>
      <w:r w:rsidR="00177848" w:rsidRPr="00C6052E">
        <w:t xml:space="preserve"> </w:t>
      </w:r>
      <w:r w:rsidRPr="00C6052E">
        <w:t>government</w:t>
      </w:r>
      <w:r w:rsidR="00177848" w:rsidRPr="00C6052E">
        <w:t xml:space="preserve"> </w:t>
      </w:r>
      <w:r w:rsidRPr="00C6052E">
        <w:t>and</w:t>
      </w:r>
      <w:r w:rsidR="00177848" w:rsidRPr="00C6052E">
        <w:t xml:space="preserve"> </w:t>
      </w:r>
      <w:r w:rsidRPr="00C6052E">
        <w:t>other</w:t>
      </w:r>
      <w:r w:rsidR="00177848" w:rsidRPr="00C6052E">
        <w:t xml:space="preserve"> </w:t>
      </w:r>
      <w:r w:rsidRPr="00C6052E">
        <w:t>entities.</w:t>
      </w:r>
    </w:p>
    <w:p w14:paraId="7DA04852" w14:textId="070980A5" w:rsidR="00EE5BB8" w:rsidRPr="00C6052E" w:rsidRDefault="00EE5BB8" w:rsidP="00EE5BB8">
      <w:fldSimple w:instr=" DOCPROPERTY  shortName  \* MERGEFORMAT ">
        <w:r w:rsidRPr="00C6052E">
          <w:t>DJSIR</w:t>
        </w:r>
      </w:fldSimple>
      <w:r w:rsidR="00177848" w:rsidRPr="00C6052E">
        <w:t xml:space="preserve"> </w:t>
      </w:r>
      <w:r w:rsidRPr="00C6052E">
        <w:t>has</w:t>
      </w:r>
      <w:r w:rsidR="00177848" w:rsidRPr="00C6052E">
        <w:t xml:space="preserve"> </w:t>
      </w:r>
      <w:r w:rsidRPr="00C6052E">
        <w:t>determined</w:t>
      </w:r>
      <w:r w:rsidR="00177848" w:rsidRPr="00C6052E">
        <w:t xml:space="preserve"> </w:t>
      </w:r>
      <w:r w:rsidRPr="00C6052E">
        <w:t>that</w:t>
      </w:r>
      <w:r w:rsidR="00177848" w:rsidRPr="00C6052E">
        <w:t xml:space="preserve"> </w:t>
      </w:r>
      <w:r w:rsidRPr="00C6052E">
        <w:t>all</w:t>
      </w:r>
      <w:r w:rsidR="00177848" w:rsidRPr="00C6052E">
        <w:t xml:space="preserve"> </w:t>
      </w:r>
      <w:r w:rsidRPr="00C6052E">
        <w:t>grant</w:t>
      </w:r>
      <w:r w:rsidR="00177848" w:rsidRPr="00C6052E">
        <w:t xml:space="preserve"> </w:t>
      </w:r>
      <w:r w:rsidRPr="00C6052E">
        <w:t>income</w:t>
      </w:r>
      <w:r w:rsidR="00177848" w:rsidRPr="00C6052E">
        <w:t xml:space="preserve"> </w:t>
      </w:r>
      <w:r w:rsidRPr="00C6052E">
        <w:t>is</w:t>
      </w:r>
      <w:r w:rsidR="00177848" w:rsidRPr="00C6052E">
        <w:t xml:space="preserve"> </w:t>
      </w:r>
      <w:r w:rsidRPr="00C6052E">
        <w:t>recognised</w:t>
      </w:r>
      <w:r w:rsidR="00177848" w:rsidRPr="00C6052E">
        <w:t xml:space="preserve"> </w:t>
      </w:r>
      <w:r w:rsidRPr="00C6052E">
        <w:t>as</w:t>
      </w:r>
      <w:r w:rsidR="00177848" w:rsidRPr="00C6052E">
        <w:t xml:space="preserve"> </w:t>
      </w:r>
      <w:r w:rsidRPr="00C6052E">
        <w:t>income</w:t>
      </w:r>
      <w:r w:rsidR="00177848" w:rsidRPr="00C6052E">
        <w:t xml:space="preserve"> </w:t>
      </w:r>
      <w:r w:rsidRPr="00C6052E">
        <w:t>of</w:t>
      </w:r>
      <w:r w:rsidR="00177848" w:rsidRPr="00C6052E">
        <w:t xml:space="preserve"> </w:t>
      </w:r>
      <w:r w:rsidRPr="00C6052E">
        <w:t>not-for-profit</w:t>
      </w:r>
      <w:r w:rsidR="00177848" w:rsidRPr="00C6052E">
        <w:t xml:space="preserve"> </w:t>
      </w:r>
      <w:r w:rsidRPr="00C6052E">
        <w:t>entities</w:t>
      </w:r>
      <w:r w:rsidR="00177848" w:rsidRPr="00C6052E">
        <w:t xml:space="preserve"> </w:t>
      </w:r>
      <w:r w:rsidRPr="00C6052E">
        <w:t>in</w:t>
      </w:r>
      <w:r w:rsidR="00177848" w:rsidRPr="00C6052E">
        <w:t xml:space="preserve"> </w:t>
      </w:r>
      <w:r w:rsidRPr="00C6052E">
        <w:t>accordance</w:t>
      </w:r>
      <w:r w:rsidR="00177848" w:rsidRPr="00C6052E">
        <w:t xml:space="preserve"> </w:t>
      </w:r>
      <w:r w:rsidRPr="00C6052E">
        <w:t>with</w:t>
      </w:r>
      <w:r w:rsidR="00177848" w:rsidRPr="00C6052E">
        <w:t xml:space="preserve"> </w:t>
      </w:r>
      <w:r w:rsidRPr="00C6052E">
        <w:t>AASB</w:t>
      </w:r>
      <w:r w:rsidR="00177848" w:rsidRPr="00C6052E">
        <w:t xml:space="preserve"> </w:t>
      </w:r>
      <w:r w:rsidRPr="00C6052E">
        <w:t>1058,</w:t>
      </w:r>
      <w:r w:rsidR="00177848" w:rsidRPr="00C6052E">
        <w:t xml:space="preserve"> </w:t>
      </w:r>
      <w:r w:rsidRPr="00C6052E">
        <w:t>except</w:t>
      </w:r>
      <w:r w:rsidR="00177848" w:rsidRPr="00C6052E">
        <w:t xml:space="preserve"> </w:t>
      </w:r>
      <w:r w:rsidRPr="00C6052E">
        <w:t>for</w:t>
      </w:r>
      <w:r w:rsidR="00177848" w:rsidRPr="00C6052E">
        <w:t xml:space="preserve"> </w:t>
      </w:r>
      <w:r w:rsidRPr="00C6052E">
        <w:t>grants</w:t>
      </w:r>
      <w:r w:rsidR="00177848" w:rsidRPr="00C6052E">
        <w:t xml:space="preserve"> </w:t>
      </w:r>
      <w:r w:rsidRPr="00C6052E">
        <w:t>that</w:t>
      </w:r>
      <w:r w:rsidR="00177848" w:rsidRPr="00C6052E">
        <w:t xml:space="preserve"> </w:t>
      </w:r>
      <w:r w:rsidRPr="00C6052E">
        <w:t>are</w:t>
      </w:r>
      <w:r w:rsidR="00177848" w:rsidRPr="00C6052E">
        <w:t xml:space="preserve"> </w:t>
      </w:r>
      <w:r w:rsidRPr="00C6052E">
        <w:t>enforceable</w:t>
      </w:r>
      <w:r w:rsidR="00177848" w:rsidRPr="00C6052E">
        <w:t xml:space="preserve"> </w:t>
      </w:r>
      <w:r w:rsidRPr="00C6052E">
        <w:t>and</w:t>
      </w:r>
      <w:r w:rsidR="00177848" w:rsidRPr="00C6052E">
        <w:t xml:space="preserve"> </w:t>
      </w:r>
      <w:r w:rsidRPr="00C6052E">
        <w:t>with</w:t>
      </w:r>
      <w:r w:rsidR="00177848" w:rsidRPr="00C6052E">
        <w:t xml:space="preserve"> </w:t>
      </w:r>
      <w:r w:rsidRPr="00C6052E">
        <w:t>sufficiently</w:t>
      </w:r>
      <w:r w:rsidR="00177848" w:rsidRPr="00C6052E">
        <w:t xml:space="preserve"> </w:t>
      </w:r>
      <w:r w:rsidRPr="00C6052E">
        <w:t>specific</w:t>
      </w:r>
      <w:r w:rsidR="00177848" w:rsidRPr="00C6052E">
        <w:t xml:space="preserve"> </w:t>
      </w:r>
      <w:r w:rsidRPr="00C6052E">
        <w:t>performance</w:t>
      </w:r>
      <w:r w:rsidR="00177848" w:rsidRPr="00C6052E">
        <w:t xml:space="preserve"> </w:t>
      </w:r>
      <w:r w:rsidRPr="00C6052E">
        <w:t>obligations.</w:t>
      </w:r>
      <w:r w:rsidR="00177848" w:rsidRPr="00C6052E">
        <w:t xml:space="preserve"> </w:t>
      </w:r>
    </w:p>
    <w:p w14:paraId="09037FC8" w14:textId="0643D49D" w:rsidR="00EE5BB8" w:rsidRPr="00C6052E" w:rsidRDefault="00EE5BB8" w:rsidP="0028635E">
      <w:pPr>
        <w:pStyle w:val="Normalbeforebullets"/>
      </w:pPr>
      <w:r w:rsidRPr="00C6052E">
        <w:t>Income</w:t>
      </w:r>
      <w:r w:rsidR="00177848" w:rsidRPr="00C6052E">
        <w:t xml:space="preserve"> </w:t>
      </w:r>
      <w:r w:rsidRPr="00C6052E">
        <w:t>from</w:t>
      </w:r>
      <w:r w:rsidR="00177848" w:rsidRPr="00C6052E">
        <w:t xml:space="preserve"> </w:t>
      </w:r>
      <w:r w:rsidRPr="00C6052E">
        <w:t>grants</w:t>
      </w:r>
      <w:r w:rsidR="00177848" w:rsidRPr="00C6052E">
        <w:t xml:space="preserve"> </w:t>
      </w:r>
      <w:r w:rsidRPr="00C6052E">
        <w:t>without</w:t>
      </w:r>
      <w:r w:rsidR="00177848" w:rsidRPr="00C6052E">
        <w:t xml:space="preserve"> </w:t>
      </w:r>
      <w:r w:rsidRPr="00C6052E">
        <w:t>any</w:t>
      </w:r>
      <w:r w:rsidR="00177848" w:rsidRPr="00C6052E">
        <w:t xml:space="preserve"> </w:t>
      </w:r>
      <w:r w:rsidRPr="00C6052E">
        <w:t>sufficiently</w:t>
      </w:r>
      <w:r w:rsidR="00177848" w:rsidRPr="00C6052E">
        <w:t xml:space="preserve"> </w:t>
      </w:r>
      <w:r w:rsidRPr="00C6052E">
        <w:t>specific</w:t>
      </w:r>
      <w:r w:rsidR="00177848" w:rsidRPr="00C6052E">
        <w:t xml:space="preserve"> </w:t>
      </w:r>
      <w:r w:rsidRPr="00C6052E">
        <w:t>performance</w:t>
      </w:r>
      <w:r w:rsidR="00177848" w:rsidRPr="00C6052E">
        <w:t xml:space="preserve"> </w:t>
      </w:r>
      <w:r w:rsidRPr="00C6052E">
        <w:t>obligations,</w:t>
      </w:r>
      <w:r w:rsidR="00177848" w:rsidRPr="00C6052E">
        <w:t xml:space="preserve"> </w:t>
      </w:r>
      <w:r w:rsidRPr="00C6052E">
        <w:t>or</w:t>
      </w:r>
      <w:r w:rsidR="00177848" w:rsidRPr="00C6052E">
        <w:t xml:space="preserve"> </w:t>
      </w:r>
      <w:r w:rsidRPr="00C6052E">
        <w:t>that</w:t>
      </w:r>
      <w:r w:rsidR="00177848" w:rsidRPr="00C6052E">
        <w:t xml:space="preserve"> </w:t>
      </w:r>
      <w:r w:rsidRPr="00C6052E">
        <w:t>are</w:t>
      </w:r>
      <w:r w:rsidR="00177848" w:rsidRPr="00C6052E">
        <w:t xml:space="preserve"> </w:t>
      </w:r>
      <w:r w:rsidRPr="00C6052E">
        <w:t>not</w:t>
      </w:r>
      <w:r w:rsidR="00177848" w:rsidRPr="00C6052E">
        <w:t xml:space="preserve"> </w:t>
      </w:r>
      <w:r w:rsidRPr="00C6052E">
        <w:t>enforceable,</w:t>
      </w:r>
      <w:r w:rsidR="00177848" w:rsidRPr="00C6052E">
        <w:t xml:space="preserve"> </w:t>
      </w:r>
      <w:r w:rsidRPr="00C6052E">
        <w:t>is</w:t>
      </w:r>
      <w:r w:rsidR="00177848" w:rsidRPr="00C6052E">
        <w:t xml:space="preserve"> </w:t>
      </w:r>
      <w:r w:rsidRPr="00C6052E">
        <w:t>recognised</w:t>
      </w:r>
      <w:r w:rsidR="00177848" w:rsidRPr="00C6052E">
        <w:t xml:space="preserve"> </w:t>
      </w:r>
      <w:r w:rsidRPr="00C6052E">
        <w:t>when</w:t>
      </w:r>
      <w:r w:rsidR="00177848" w:rsidRPr="00C6052E">
        <w:t xml:space="preserve"> </w:t>
      </w:r>
      <w:fldSimple w:instr=" DOCPROPERTY  shortName  \* MERGEFORMAT ">
        <w:r w:rsidRPr="00C6052E">
          <w:t>DJSIR</w:t>
        </w:r>
      </w:fldSimple>
      <w:r w:rsidR="00177848" w:rsidRPr="00C6052E">
        <w:t xml:space="preserve"> </w:t>
      </w:r>
      <w:r w:rsidRPr="00C6052E">
        <w:t>has</w:t>
      </w:r>
      <w:r w:rsidR="00177848" w:rsidRPr="00C6052E">
        <w:t xml:space="preserve"> </w:t>
      </w:r>
      <w:r w:rsidRPr="00C6052E">
        <w:t>an</w:t>
      </w:r>
      <w:r w:rsidR="00177848" w:rsidRPr="00C6052E">
        <w:t xml:space="preserve"> </w:t>
      </w:r>
      <w:r w:rsidRPr="00C6052E">
        <w:t>unconditional</w:t>
      </w:r>
      <w:r w:rsidR="00177848" w:rsidRPr="00C6052E">
        <w:t xml:space="preserve"> </w:t>
      </w:r>
      <w:r w:rsidRPr="00C6052E">
        <w:t>right</w:t>
      </w:r>
      <w:r w:rsidR="00177848" w:rsidRPr="00C6052E">
        <w:t xml:space="preserve"> </w:t>
      </w:r>
      <w:r w:rsidRPr="00C6052E">
        <w:t>to</w:t>
      </w:r>
      <w:r w:rsidR="00177848" w:rsidRPr="00C6052E">
        <w:t xml:space="preserve"> </w:t>
      </w:r>
      <w:r w:rsidRPr="00C6052E">
        <w:t>receive</w:t>
      </w:r>
      <w:r w:rsidR="00177848" w:rsidRPr="00C6052E">
        <w:t xml:space="preserve"> </w:t>
      </w:r>
      <w:r w:rsidRPr="00C6052E">
        <w:t>cash</w:t>
      </w:r>
      <w:r w:rsidR="00177848" w:rsidRPr="00C6052E">
        <w:t xml:space="preserve"> </w:t>
      </w:r>
      <w:r w:rsidRPr="00C6052E">
        <w:t>which</w:t>
      </w:r>
      <w:r w:rsidR="00177848" w:rsidRPr="00C6052E">
        <w:t xml:space="preserve"> </w:t>
      </w:r>
      <w:r w:rsidRPr="00C6052E">
        <w:t>usually</w:t>
      </w:r>
      <w:r w:rsidR="00177848" w:rsidRPr="00C6052E">
        <w:t xml:space="preserve"> </w:t>
      </w:r>
      <w:r w:rsidRPr="00C6052E">
        <w:t>coincides</w:t>
      </w:r>
      <w:r w:rsidR="00177848" w:rsidRPr="00C6052E">
        <w:t xml:space="preserve"> </w:t>
      </w:r>
      <w:r w:rsidRPr="00C6052E">
        <w:t>with</w:t>
      </w:r>
      <w:r w:rsidR="00177848" w:rsidRPr="00C6052E">
        <w:t xml:space="preserve"> </w:t>
      </w:r>
      <w:r w:rsidRPr="00C6052E">
        <w:t>receipt</w:t>
      </w:r>
      <w:r w:rsidR="00177848" w:rsidRPr="00C6052E">
        <w:t xml:space="preserve"> </w:t>
      </w:r>
      <w:r w:rsidRPr="00C6052E">
        <w:t>of</w:t>
      </w:r>
      <w:r w:rsidR="00177848" w:rsidRPr="00C6052E">
        <w:t xml:space="preserve"> </w:t>
      </w:r>
      <w:r w:rsidRPr="00C6052E">
        <w:t>cash.</w:t>
      </w:r>
      <w:r w:rsidR="00177848" w:rsidRPr="00C6052E">
        <w:t xml:space="preserve"> </w:t>
      </w:r>
      <w:r w:rsidRPr="00C6052E">
        <w:t>On</w:t>
      </w:r>
      <w:r w:rsidR="00177848" w:rsidRPr="00C6052E">
        <w:t xml:space="preserve"> </w:t>
      </w:r>
      <w:r w:rsidRPr="00C6052E">
        <w:t>initial</w:t>
      </w:r>
      <w:r w:rsidR="00177848" w:rsidRPr="00C6052E">
        <w:t xml:space="preserve"> </w:t>
      </w:r>
      <w:r w:rsidRPr="00C6052E">
        <w:t>recognition</w:t>
      </w:r>
      <w:r w:rsidR="00177848" w:rsidRPr="00C6052E">
        <w:t xml:space="preserve"> </w:t>
      </w:r>
      <w:r w:rsidRPr="00C6052E">
        <w:t>of</w:t>
      </w:r>
      <w:r w:rsidR="00177848" w:rsidRPr="00C6052E">
        <w:t xml:space="preserve"> </w:t>
      </w:r>
      <w:r w:rsidRPr="00C6052E">
        <w:t>the</w:t>
      </w:r>
      <w:r w:rsidR="00177848" w:rsidRPr="00C6052E">
        <w:t xml:space="preserve"> </w:t>
      </w:r>
      <w:r w:rsidRPr="00C6052E">
        <w:t>asset,</w:t>
      </w:r>
      <w:r w:rsidR="00177848" w:rsidRPr="00C6052E">
        <w:t xml:space="preserve"> </w:t>
      </w:r>
      <w:fldSimple w:instr=" DOCPROPERTY  shortName  \* MERGEFORMAT ">
        <w:r w:rsidRPr="00C6052E">
          <w:t>DJSIR</w:t>
        </w:r>
      </w:fldSimple>
      <w:r w:rsidR="00177848" w:rsidRPr="00C6052E">
        <w:t xml:space="preserve"> </w:t>
      </w:r>
      <w:r w:rsidRPr="00C6052E">
        <w:t>recognises</w:t>
      </w:r>
      <w:r w:rsidR="00177848" w:rsidRPr="00C6052E">
        <w:t xml:space="preserve"> </w:t>
      </w:r>
      <w:r w:rsidRPr="00C6052E">
        <w:t>any</w:t>
      </w:r>
      <w:r w:rsidR="00177848" w:rsidRPr="00C6052E">
        <w:t xml:space="preserve"> </w:t>
      </w:r>
      <w:r w:rsidRPr="00C6052E">
        <w:t>related</w:t>
      </w:r>
      <w:r w:rsidR="00177848" w:rsidRPr="00C6052E">
        <w:t xml:space="preserve"> </w:t>
      </w:r>
      <w:r w:rsidRPr="00C6052E">
        <w:t>contributions</w:t>
      </w:r>
      <w:r w:rsidR="00177848" w:rsidRPr="00C6052E">
        <w:t xml:space="preserve"> </w:t>
      </w:r>
      <w:r w:rsidRPr="00C6052E">
        <w:t>by</w:t>
      </w:r>
      <w:r w:rsidR="00177848" w:rsidRPr="00C6052E">
        <w:t xml:space="preserve"> </w:t>
      </w:r>
      <w:r w:rsidRPr="00C6052E">
        <w:t>owners,</w:t>
      </w:r>
      <w:r w:rsidR="00177848" w:rsidRPr="00C6052E">
        <w:t xml:space="preserve"> </w:t>
      </w:r>
      <w:r w:rsidRPr="00C6052E">
        <w:t>increases</w:t>
      </w:r>
      <w:r w:rsidR="00177848" w:rsidRPr="00C6052E">
        <w:t xml:space="preserve"> </w:t>
      </w:r>
      <w:r w:rsidRPr="00C6052E">
        <w:t>in</w:t>
      </w:r>
      <w:r w:rsidR="00177848" w:rsidRPr="00C6052E">
        <w:t xml:space="preserve"> </w:t>
      </w:r>
      <w:r w:rsidRPr="00C6052E">
        <w:t>liabilities,</w:t>
      </w:r>
      <w:r w:rsidR="00177848" w:rsidRPr="00C6052E">
        <w:t xml:space="preserve"> </w:t>
      </w:r>
      <w:r w:rsidRPr="00C6052E">
        <w:t>decreases</w:t>
      </w:r>
      <w:r w:rsidR="00177848" w:rsidRPr="00C6052E">
        <w:t xml:space="preserve"> </w:t>
      </w:r>
      <w:r w:rsidRPr="00C6052E">
        <w:t>in</w:t>
      </w:r>
      <w:r w:rsidR="00177848" w:rsidRPr="00C6052E">
        <w:t xml:space="preserve"> </w:t>
      </w:r>
      <w:r w:rsidRPr="00C6052E">
        <w:t>assets,</w:t>
      </w:r>
      <w:r w:rsidR="00177848" w:rsidRPr="00C6052E">
        <w:t xml:space="preserve"> </w:t>
      </w:r>
      <w:r w:rsidRPr="00C6052E">
        <w:t>and</w:t>
      </w:r>
      <w:r w:rsidR="00177848" w:rsidRPr="00C6052E">
        <w:t xml:space="preserve"> </w:t>
      </w:r>
      <w:r w:rsidRPr="00C6052E">
        <w:t>revenue</w:t>
      </w:r>
      <w:r w:rsidR="00177848" w:rsidRPr="00C6052E">
        <w:t xml:space="preserve"> </w:t>
      </w:r>
      <w:r w:rsidRPr="00C6052E">
        <w:t>(‘related</w:t>
      </w:r>
      <w:r w:rsidR="00177848" w:rsidRPr="00C6052E">
        <w:t xml:space="preserve"> </w:t>
      </w:r>
      <w:r w:rsidRPr="00C6052E">
        <w:t>amounts’)</w:t>
      </w:r>
      <w:r w:rsidR="00177848" w:rsidRPr="00C6052E">
        <w:t xml:space="preserve"> </w:t>
      </w:r>
      <w:r w:rsidRPr="00C6052E">
        <w:t>in</w:t>
      </w:r>
      <w:r w:rsidR="00177848" w:rsidRPr="00C6052E">
        <w:t xml:space="preserve"> </w:t>
      </w:r>
      <w:r w:rsidRPr="00C6052E">
        <w:t>accordance</w:t>
      </w:r>
      <w:r w:rsidR="00177848" w:rsidRPr="00C6052E">
        <w:t xml:space="preserve"> </w:t>
      </w:r>
      <w:r w:rsidRPr="00C6052E">
        <w:t>with</w:t>
      </w:r>
      <w:r w:rsidR="00177848" w:rsidRPr="00C6052E">
        <w:t xml:space="preserve"> </w:t>
      </w:r>
      <w:r w:rsidRPr="00C6052E">
        <w:t>other</w:t>
      </w:r>
      <w:r w:rsidR="00177848" w:rsidRPr="00C6052E">
        <w:t xml:space="preserve"> </w:t>
      </w:r>
      <w:r w:rsidRPr="00C6052E">
        <w:t>Australian</w:t>
      </w:r>
      <w:r w:rsidR="00177848" w:rsidRPr="00C6052E">
        <w:t xml:space="preserve"> </w:t>
      </w:r>
      <w:r w:rsidRPr="00C6052E">
        <w:t>Accounting</w:t>
      </w:r>
      <w:r w:rsidR="00177848" w:rsidRPr="00C6052E">
        <w:t xml:space="preserve"> </w:t>
      </w:r>
      <w:r w:rsidRPr="00C6052E">
        <w:t>Standards.</w:t>
      </w:r>
      <w:r w:rsidR="00177848" w:rsidRPr="00C6052E">
        <w:t xml:space="preserve"> </w:t>
      </w:r>
      <w:r w:rsidRPr="00C6052E">
        <w:t>Related</w:t>
      </w:r>
      <w:r w:rsidR="00177848" w:rsidRPr="00C6052E">
        <w:t xml:space="preserve"> </w:t>
      </w:r>
      <w:r w:rsidRPr="00C6052E">
        <w:t>amounts</w:t>
      </w:r>
      <w:r w:rsidR="00177848" w:rsidRPr="00C6052E">
        <w:t xml:space="preserve"> </w:t>
      </w:r>
      <w:r w:rsidRPr="00C6052E">
        <w:t>may</w:t>
      </w:r>
      <w:r w:rsidR="00177848" w:rsidRPr="00C6052E">
        <w:t xml:space="preserve"> </w:t>
      </w:r>
      <w:r w:rsidRPr="00C6052E">
        <w:t>take</w:t>
      </w:r>
      <w:r w:rsidR="00177848" w:rsidRPr="00C6052E">
        <w:t xml:space="preserve"> </w:t>
      </w:r>
      <w:r w:rsidRPr="00C6052E">
        <w:t>the</w:t>
      </w:r>
      <w:r w:rsidR="00177848" w:rsidRPr="00C6052E">
        <w:t xml:space="preserve"> </w:t>
      </w:r>
      <w:r w:rsidRPr="00C6052E">
        <w:t>form</w:t>
      </w:r>
      <w:r w:rsidR="00177848" w:rsidRPr="00C6052E">
        <w:t xml:space="preserve"> </w:t>
      </w:r>
      <w:r w:rsidRPr="00C6052E">
        <w:t>of:</w:t>
      </w:r>
    </w:p>
    <w:p w14:paraId="6649D739" w14:textId="0C4CF03A" w:rsidR="00EE5BB8" w:rsidRPr="00C6052E" w:rsidRDefault="00EE5BB8" w:rsidP="00EE5BB8">
      <w:pPr>
        <w:pStyle w:val="Bulleta"/>
        <w:ind w:left="284" w:hanging="284"/>
      </w:pPr>
      <w:r w:rsidRPr="00C6052E">
        <w:t>contributions</w:t>
      </w:r>
      <w:r w:rsidR="00177848" w:rsidRPr="00C6052E">
        <w:t xml:space="preserve"> </w:t>
      </w:r>
      <w:r w:rsidRPr="00C6052E">
        <w:t>by</w:t>
      </w:r>
      <w:r w:rsidR="00177848" w:rsidRPr="00C6052E">
        <w:t xml:space="preserve"> </w:t>
      </w:r>
      <w:r w:rsidRPr="00C6052E">
        <w:t>owners,</w:t>
      </w:r>
      <w:r w:rsidR="00177848" w:rsidRPr="00C6052E">
        <w:t xml:space="preserve"> </w:t>
      </w:r>
      <w:r w:rsidRPr="00C6052E">
        <w:t>in</w:t>
      </w:r>
      <w:r w:rsidR="00177848" w:rsidRPr="00C6052E">
        <w:t xml:space="preserve"> </w:t>
      </w:r>
      <w:r w:rsidRPr="00C6052E">
        <w:t>accordance</w:t>
      </w:r>
      <w:r w:rsidR="00177848" w:rsidRPr="00C6052E">
        <w:t xml:space="preserve"> </w:t>
      </w:r>
      <w:r w:rsidRPr="00C6052E">
        <w:t>with</w:t>
      </w:r>
      <w:r w:rsidR="00177848" w:rsidRPr="00C6052E">
        <w:t xml:space="preserve"> </w:t>
      </w:r>
      <w:r w:rsidRPr="00C6052E">
        <w:t>AASB</w:t>
      </w:r>
      <w:r w:rsidR="00177848" w:rsidRPr="00C6052E">
        <w:t xml:space="preserve"> </w:t>
      </w:r>
      <w:r w:rsidRPr="00C6052E">
        <w:t>1004;</w:t>
      </w:r>
    </w:p>
    <w:p w14:paraId="39D28F0F" w14:textId="62F513C5" w:rsidR="00EE5BB8" w:rsidRPr="00C6052E" w:rsidRDefault="00EE5BB8" w:rsidP="00EE5BB8">
      <w:pPr>
        <w:pStyle w:val="Bulleta"/>
        <w:ind w:left="284" w:hanging="284"/>
      </w:pPr>
      <w:r w:rsidRPr="00C6052E">
        <w:t>revenue</w:t>
      </w:r>
      <w:r w:rsidR="00177848" w:rsidRPr="00C6052E">
        <w:t xml:space="preserve"> </w:t>
      </w:r>
      <w:r w:rsidRPr="00C6052E">
        <w:t>or</w:t>
      </w:r>
      <w:r w:rsidR="00177848" w:rsidRPr="00C6052E">
        <w:t xml:space="preserve"> </w:t>
      </w:r>
      <w:r w:rsidRPr="00C6052E">
        <w:t>contract</w:t>
      </w:r>
      <w:r w:rsidR="00177848" w:rsidRPr="00C6052E">
        <w:t xml:space="preserve"> </w:t>
      </w:r>
      <w:r w:rsidRPr="00C6052E">
        <w:t>liability</w:t>
      </w:r>
      <w:r w:rsidR="00177848" w:rsidRPr="00C6052E">
        <w:t xml:space="preserve"> </w:t>
      </w:r>
      <w:r w:rsidRPr="00C6052E">
        <w:t>arising</w:t>
      </w:r>
      <w:r w:rsidR="00177848" w:rsidRPr="00C6052E">
        <w:t xml:space="preserve"> </w:t>
      </w:r>
      <w:r w:rsidRPr="00C6052E">
        <w:t>from</w:t>
      </w:r>
      <w:r w:rsidR="00177848" w:rsidRPr="00C6052E">
        <w:t xml:space="preserve"> </w:t>
      </w:r>
      <w:r w:rsidRPr="00C6052E">
        <w:t>a</w:t>
      </w:r>
      <w:r w:rsidR="00177848" w:rsidRPr="00C6052E">
        <w:t xml:space="preserve"> </w:t>
      </w:r>
      <w:r w:rsidRPr="00C6052E">
        <w:t>contract</w:t>
      </w:r>
      <w:r w:rsidR="00177848" w:rsidRPr="00C6052E">
        <w:t xml:space="preserve"> </w:t>
      </w:r>
      <w:r w:rsidRPr="00C6052E">
        <w:t>with</w:t>
      </w:r>
      <w:r w:rsidR="00177848" w:rsidRPr="00C6052E">
        <w:t xml:space="preserve"> </w:t>
      </w:r>
      <w:r w:rsidRPr="00C6052E">
        <w:t>a</w:t>
      </w:r>
      <w:r w:rsidR="00177848" w:rsidRPr="00C6052E">
        <w:t xml:space="preserve"> </w:t>
      </w:r>
      <w:r w:rsidRPr="00C6052E">
        <w:t>customer,</w:t>
      </w:r>
      <w:r w:rsidR="00177848" w:rsidRPr="00C6052E">
        <w:t xml:space="preserve"> </w:t>
      </w:r>
      <w:r w:rsidRPr="00C6052E">
        <w:t>in</w:t>
      </w:r>
      <w:r w:rsidR="00177848" w:rsidRPr="00C6052E">
        <w:t xml:space="preserve"> </w:t>
      </w:r>
      <w:r w:rsidRPr="00C6052E">
        <w:t>accordance</w:t>
      </w:r>
      <w:r w:rsidR="00177848" w:rsidRPr="00C6052E">
        <w:t xml:space="preserve"> </w:t>
      </w:r>
      <w:r w:rsidRPr="00C6052E">
        <w:t>with</w:t>
      </w:r>
      <w:r w:rsidR="00177848" w:rsidRPr="00C6052E">
        <w:t xml:space="preserve"> </w:t>
      </w:r>
      <w:r w:rsidRPr="00C6052E">
        <w:t>AASB</w:t>
      </w:r>
      <w:r w:rsidR="00177848" w:rsidRPr="00C6052E">
        <w:t xml:space="preserve"> </w:t>
      </w:r>
      <w:r w:rsidRPr="00C6052E">
        <w:t>15;</w:t>
      </w:r>
    </w:p>
    <w:p w14:paraId="5DC6F4C2" w14:textId="2F445341" w:rsidR="00EE5BB8" w:rsidRPr="00C6052E" w:rsidRDefault="00EE5BB8" w:rsidP="00EE5BB8">
      <w:pPr>
        <w:pStyle w:val="Bulleta"/>
        <w:ind w:left="284" w:hanging="284"/>
      </w:pPr>
      <w:r w:rsidRPr="00C6052E">
        <w:t>a</w:t>
      </w:r>
      <w:r w:rsidR="00177848" w:rsidRPr="00C6052E">
        <w:t xml:space="preserve"> </w:t>
      </w:r>
      <w:r w:rsidRPr="00C6052E">
        <w:t>lease</w:t>
      </w:r>
      <w:r w:rsidR="00177848" w:rsidRPr="00C6052E">
        <w:t xml:space="preserve"> </w:t>
      </w:r>
      <w:r w:rsidRPr="00C6052E">
        <w:t>liability</w:t>
      </w:r>
      <w:r w:rsidR="00177848" w:rsidRPr="00C6052E">
        <w:t xml:space="preserve"> </w:t>
      </w:r>
      <w:r w:rsidRPr="00C6052E">
        <w:t>in</w:t>
      </w:r>
      <w:r w:rsidR="00177848" w:rsidRPr="00C6052E">
        <w:t xml:space="preserve"> </w:t>
      </w:r>
      <w:r w:rsidRPr="00C6052E">
        <w:t>accordance</w:t>
      </w:r>
      <w:r w:rsidR="00177848" w:rsidRPr="00C6052E">
        <w:t xml:space="preserve"> </w:t>
      </w:r>
      <w:r w:rsidRPr="00C6052E">
        <w:t>with</w:t>
      </w:r>
      <w:r w:rsidR="00177848" w:rsidRPr="00C6052E">
        <w:t xml:space="preserve"> </w:t>
      </w:r>
      <w:r w:rsidRPr="00C6052E">
        <w:t>AASB</w:t>
      </w:r>
      <w:r w:rsidR="00177848" w:rsidRPr="00C6052E">
        <w:t xml:space="preserve"> </w:t>
      </w:r>
      <w:r w:rsidRPr="00C6052E">
        <w:t>16;</w:t>
      </w:r>
    </w:p>
    <w:p w14:paraId="34A8AD2A" w14:textId="637DE75A" w:rsidR="00EE5BB8" w:rsidRPr="00C6052E" w:rsidRDefault="00EE5BB8" w:rsidP="00EE5BB8">
      <w:pPr>
        <w:pStyle w:val="Bulleta"/>
        <w:ind w:left="284" w:hanging="284"/>
      </w:pPr>
      <w:r w:rsidRPr="00C6052E">
        <w:t>a</w:t>
      </w:r>
      <w:r w:rsidR="00177848" w:rsidRPr="00C6052E">
        <w:t xml:space="preserve"> </w:t>
      </w:r>
      <w:r w:rsidRPr="00C6052E">
        <w:t>financial</w:t>
      </w:r>
      <w:r w:rsidR="00177848" w:rsidRPr="00C6052E">
        <w:t xml:space="preserve"> </w:t>
      </w:r>
      <w:r w:rsidRPr="00C6052E">
        <w:t>instrument,</w:t>
      </w:r>
      <w:r w:rsidR="00177848" w:rsidRPr="00C6052E">
        <w:t xml:space="preserve"> </w:t>
      </w:r>
      <w:r w:rsidRPr="00C6052E">
        <w:t>in</w:t>
      </w:r>
      <w:r w:rsidR="00177848" w:rsidRPr="00C6052E">
        <w:t xml:space="preserve"> </w:t>
      </w:r>
      <w:r w:rsidRPr="00C6052E">
        <w:t>accordance</w:t>
      </w:r>
      <w:r w:rsidR="00177848" w:rsidRPr="00C6052E">
        <w:t xml:space="preserve"> </w:t>
      </w:r>
      <w:r w:rsidRPr="00C6052E">
        <w:t>with</w:t>
      </w:r>
      <w:r w:rsidR="00177848" w:rsidRPr="00C6052E">
        <w:t xml:space="preserve"> </w:t>
      </w:r>
      <w:r w:rsidRPr="00C6052E">
        <w:t>AASB</w:t>
      </w:r>
      <w:r w:rsidR="00177848" w:rsidRPr="00C6052E">
        <w:t xml:space="preserve"> </w:t>
      </w:r>
      <w:r w:rsidRPr="00C6052E">
        <w:t>9;</w:t>
      </w:r>
      <w:r w:rsidR="00177848" w:rsidRPr="00C6052E">
        <w:t xml:space="preserve"> </w:t>
      </w:r>
    </w:p>
    <w:p w14:paraId="4607F34F" w14:textId="75DCEBC5" w:rsidR="00EE5BB8" w:rsidRPr="00C6052E" w:rsidRDefault="00EE5BB8" w:rsidP="00EE5BB8">
      <w:pPr>
        <w:pStyle w:val="Bulleta"/>
        <w:spacing w:after="170"/>
        <w:ind w:left="284" w:hanging="284"/>
      </w:pPr>
      <w:r w:rsidRPr="00C6052E">
        <w:t>a</w:t>
      </w:r>
      <w:r w:rsidR="00177848" w:rsidRPr="00C6052E">
        <w:t xml:space="preserve"> </w:t>
      </w:r>
      <w:r w:rsidRPr="00C6052E">
        <w:t>provision,</w:t>
      </w:r>
      <w:r w:rsidR="00177848" w:rsidRPr="00C6052E">
        <w:t xml:space="preserve"> </w:t>
      </w:r>
      <w:r w:rsidRPr="00C6052E">
        <w:t>in</w:t>
      </w:r>
      <w:r w:rsidR="00177848" w:rsidRPr="00C6052E">
        <w:t xml:space="preserve"> </w:t>
      </w:r>
      <w:r w:rsidRPr="00C6052E">
        <w:t>accordance</w:t>
      </w:r>
      <w:r w:rsidR="00177848" w:rsidRPr="00C6052E">
        <w:t xml:space="preserve"> </w:t>
      </w:r>
      <w:r w:rsidRPr="00C6052E">
        <w:t>with</w:t>
      </w:r>
      <w:r w:rsidR="00177848" w:rsidRPr="00C6052E">
        <w:t xml:space="preserve"> </w:t>
      </w:r>
      <w:r w:rsidRPr="00C6052E">
        <w:t>AASB</w:t>
      </w:r>
      <w:r w:rsidR="00177848" w:rsidRPr="00C6052E">
        <w:t xml:space="preserve"> </w:t>
      </w:r>
      <w:r w:rsidRPr="00C6052E">
        <w:t>137.</w:t>
      </w:r>
    </w:p>
    <w:p w14:paraId="3A0DE961" w14:textId="221D5793" w:rsidR="00EE5BB8" w:rsidRPr="00C6052E" w:rsidRDefault="00EE5BB8" w:rsidP="00EE5BB8">
      <w:r w:rsidRPr="00C6052E">
        <w:t>Income</w:t>
      </w:r>
      <w:r w:rsidR="00177848" w:rsidRPr="00C6052E">
        <w:t xml:space="preserve"> </w:t>
      </w:r>
      <w:r w:rsidRPr="00C6052E">
        <w:t>received</w:t>
      </w:r>
      <w:r w:rsidR="00177848" w:rsidRPr="00C6052E">
        <w:t xml:space="preserve"> </w:t>
      </w:r>
      <w:r w:rsidRPr="00C6052E">
        <w:t>for</w:t>
      </w:r>
      <w:r w:rsidR="00177848" w:rsidRPr="00C6052E">
        <w:t xml:space="preserve"> </w:t>
      </w:r>
      <w:r w:rsidRPr="00C6052E">
        <w:t>specific</w:t>
      </w:r>
      <w:r w:rsidR="00177848" w:rsidRPr="00C6052E">
        <w:t xml:space="preserve"> </w:t>
      </w:r>
      <w:r w:rsidRPr="00C6052E">
        <w:t>purpose</w:t>
      </w:r>
      <w:r w:rsidR="00177848" w:rsidRPr="00C6052E">
        <w:t xml:space="preserve"> </w:t>
      </w:r>
      <w:r w:rsidRPr="00C6052E">
        <w:t>grants</w:t>
      </w:r>
      <w:r w:rsidR="00177848" w:rsidRPr="00C6052E">
        <w:t xml:space="preserve"> </w:t>
      </w:r>
      <w:r w:rsidRPr="00C6052E">
        <w:t>for</w:t>
      </w:r>
      <w:r w:rsidR="00177848" w:rsidRPr="00C6052E">
        <w:t xml:space="preserve"> </w:t>
      </w:r>
      <w:r w:rsidRPr="00C6052E">
        <w:t>on-passing</w:t>
      </w:r>
      <w:r w:rsidR="00177848" w:rsidRPr="00C6052E">
        <w:t xml:space="preserve"> </w:t>
      </w:r>
      <w:r w:rsidRPr="00C6052E">
        <w:t>is</w:t>
      </w:r>
      <w:r w:rsidR="00177848" w:rsidRPr="00C6052E">
        <w:t xml:space="preserve"> </w:t>
      </w:r>
      <w:r w:rsidRPr="00C6052E">
        <w:t>recognised</w:t>
      </w:r>
      <w:r w:rsidR="00177848" w:rsidRPr="00C6052E">
        <w:t xml:space="preserve"> </w:t>
      </w:r>
      <w:r w:rsidRPr="00C6052E">
        <w:t>simultaneously</w:t>
      </w:r>
      <w:r w:rsidR="00177848" w:rsidRPr="00C6052E">
        <w:t xml:space="preserve"> </w:t>
      </w:r>
      <w:r w:rsidRPr="00C6052E">
        <w:t>as</w:t>
      </w:r>
      <w:r w:rsidR="00177848" w:rsidRPr="00C6052E">
        <w:t xml:space="preserve"> </w:t>
      </w:r>
      <w:r w:rsidRPr="00C6052E">
        <w:t>the</w:t>
      </w:r>
      <w:r w:rsidR="00177848" w:rsidRPr="00C6052E">
        <w:t xml:space="preserve"> </w:t>
      </w:r>
      <w:r w:rsidRPr="00C6052E">
        <w:t>funds</w:t>
      </w:r>
      <w:r w:rsidR="00177848" w:rsidRPr="00C6052E">
        <w:t xml:space="preserve"> </w:t>
      </w:r>
      <w:r w:rsidRPr="00C6052E">
        <w:t>are</w:t>
      </w:r>
      <w:r w:rsidR="00177848" w:rsidRPr="00C6052E">
        <w:t xml:space="preserve"> </w:t>
      </w:r>
      <w:r w:rsidRPr="00C6052E">
        <w:t>immediately</w:t>
      </w:r>
      <w:r w:rsidR="00177848" w:rsidRPr="00C6052E">
        <w:t xml:space="preserve"> </w:t>
      </w:r>
      <w:r w:rsidRPr="00C6052E">
        <w:t>on</w:t>
      </w:r>
      <w:r w:rsidR="00177848" w:rsidRPr="00C6052E">
        <w:t xml:space="preserve"> </w:t>
      </w:r>
      <w:r w:rsidRPr="00C6052E">
        <w:t>passed</w:t>
      </w:r>
      <w:r w:rsidR="00177848" w:rsidRPr="00C6052E">
        <w:t xml:space="preserve"> </w:t>
      </w:r>
      <w:r w:rsidRPr="00C6052E">
        <w:t>to</w:t>
      </w:r>
      <w:r w:rsidR="00177848" w:rsidRPr="00C6052E">
        <w:t xml:space="preserve"> </w:t>
      </w:r>
      <w:r w:rsidRPr="00C6052E">
        <w:t>the</w:t>
      </w:r>
      <w:r w:rsidR="00177848" w:rsidRPr="00C6052E">
        <w:t xml:space="preserve"> </w:t>
      </w:r>
      <w:r w:rsidRPr="00C6052E">
        <w:t>relevant</w:t>
      </w:r>
      <w:r w:rsidR="00177848" w:rsidRPr="00C6052E">
        <w:t xml:space="preserve"> </w:t>
      </w:r>
      <w:r w:rsidRPr="00C6052E">
        <w:t>recipient</w:t>
      </w:r>
      <w:r w:rsidR="00177848" w:rsidRPr="00C6052E">
        <w:t xml:space="preserve"> </w:t>
      </w:r>
      <w:r w:rsidRPr="00C6052E">
        <w:t>entities.</w:t>
      </w:r>
    </w:p>
    <w:p w14:paraId="42BEF33F" w14:textId="3EA07BB0" w:rsidR="00EE5BB8" w:rsidRPr="00C6052E" w:rsidRDefault="00EE5BB8" w:rsidP="000C0740">
      <w:pPr>
        <w:pStyle w:val="Heading3numbered0"/>
      </w:pPr>
      <w:bookmarkStart w:id="118" w:name="_Toc163565818"/>
      <w:r w:rsidRPr="00C6052E">
        <w:t>Sale</w:t>
      </w:r>
      <w:r w:rsidR="00177848" w:rsidRPr="00C6052E">
        <w:t xml:space="preserve"> </w:t>
      </w:r>
      <w:r w:rsidRPr="00C6052E">
        <w:t>of</w:t>
      </w:r>
      <w:r w:rsidR="00177848" w:rsidRPr="00C6052E">
        <w:t xml:space="preserve"> </w:t>
      </w:r>
      <w:r w:rsidRPr="00C6052E">
        <w:t>goods</w:t>
      </w:r>
      <w:r w:rsidR="00177848" w:rsidRPr="00C6052E">
        <w:t xml:space="preserve"> </w:t>
      </w:r>
      <w:r w:rsidRPr="00C6052E">
        <w:t>and</w:t>
      </w:r>
      <w:r w:rsidR="00177848" w:rsidRPr="00C6052E">
        <w:t xml:space="preserve"> </w:t>
      </w:r>
      <w:r w:rsidRPr="00C6052E">
        <w:t>services</w:t>
      </w:r>
      <w:bookmarkEnd w:id="118"/>
      <w:r w:rsidR="00177848" w:rsidRPr="00C6052E">
        <w:t xml:space="preserve"> </w:t>
      </w:r>
    </w:p>
    <w:p w14:paraId="32869CE4" w14:textId="52DB8BCB" w:rsidR="00EE5BB8" w:rsidRPr="00C6052E" w:rsidRDefault="00EE5BB8" w:rsidP="00EE5BB8">
      <w:r w:rsidRPr="00C6052E">
        <w:t>The</w:t>
      </w:r>
      <w:r w:rsidR="00177848" w:rsidRPr="00C6052E">
        <w:t xml:space="preserve"> </w:t>
      </w:r>
      <w:r w:rsidRPr="00C6052E">
        <w:t>sale</w:t>
      </w:r>
      <w:r w:rsidR="00177848" w:rsidRPr="00C6052E">
        <w:t xml:space="preserve"> </w:t>
      </w:r>
      <w:r w:rsidRPr="00C6052E">
        <w:t>of</w:t>
      </w:r>
      <w:r w:rsidR="00177848" w:rsidRPr="00C6052E">
        <w:t xml:space="preserve"> </w:t>
      </w:r>
      <w:r w:rsidRPr="00C6052E">
        <w:t>goods</w:t>
      </w:r>
      <w:r w:rsidR="00177848" w:rsidRPr="00C6052E">
        <w:t xml:space="preserve"> </w:t>
      </w:r>
      <w:r w:rsidRPr="00C6052E">
        <w:t>and</w:t>
      </w:r>
      <w:r w:rsidR="00177848" w:rsidRPr="00C6052E">
        <w:t xml:space="preserve"> </w:t>
      </w:r>
      <w:r w:rsidRPr="00C6052E">
        <w:t>services</w:t>
      </w:r>
      <w:r w:rsidR="00177848" w:rsidRPr="00C6052E">
        <w:t xml:space="preserve"> </w:t>
      </w:r>
      <w:r w:rsidRPr="00C6052E">
        <w:t>are</w:t>
      </w:r>
      <w:r w:rsidR="00177848" w:rsidRPr="00C6052E">
        <w:t xml:space="preserve"> </w:t>
      </w:r>
      <w:r w:rsidRPr="00C6052E">
        <w:t>transactions</w:t>
      </w:r>
      <w:r w:rsidR="00177848" w:rsidRPr="00C6052E">
        <w:t xml:space="preserve"> </w:t>
      </w:r>
      <w:r w:rsidRPr="00C6052E">
        <w:t>that</w:t>
      </w:r>
      <w:r w:rsidR="00177848" w:rsidRPr="00C6052E">
        <w:t xml:space="preserve"> </w:t>
      </w:r>
      <w:fldSimple w:instr=" DOCPROPERTY  shortName  \* MERGEFORMAT ">
        <w:r w:rsidRPr="00C6052E">
          <w:t>DJSIR</w:t>
        </w:r>
      </w:fldSimple>
      <w:r w:rsidR="00177848" w:rsidRPr="00C6052E">
        <w:t xml:space="preserve"> </w:t>
      </w:r>
      <w:r w:rsidRPr="00C6052E">
        <w:t>has</w:t>
      </w:r>
      <w:r w:rsidR="00177848" w:rsidRPr="00C6052E">
        <w:t xml:space="preserve"> </w:t>
      </w:r>
      <w:r w:rsidRPr="00C6052E">
        <w:t>determined</w:t>
      </w:r>
      <w:r w:rsidR="00177848" w:rsidRPr="00C6052E">
        <w:t xml:space="preserve"> </w:t>
      </w:r>
      <w:r w:rsidRPr="00C6052E">
        <w:t>to</w:t>
      </w:r>
      <w:r w:rsidR="00177848" w:rsidRPr="00C6052E">
        <w:t xml:space="preserve"> </w:t>
      </w:r>
      <w:r w:rsidRPr="00C6052E">
        <w:t>be</w:t>
      </w:r>
      <w:r w:rsidR="00177848" w:rsidRPr="00C6052E">
        <w:t xml:space="preserve"> </w:t>
      </w:r>
      <w:r w:rsidRPr="00C6052E">
        <w:t>classified</w:t>
      </w:r>
      <w:r w:rsidR="00177848" w:rsidRPr="00C6052E">
        <w:t xml:space="preserve"> </w:t>
      </w:r>
      <w:r w:rsidRPr="00C6052E">
        <w:t>as</w:t>
      </w:r>
      <w:r w:rsidR="00177848" w:rsidRPr="00C6052E">
        <w:t xml:space="preserve"> </w:t>
      </w:r>
      <w:r w:rsidRPr="00C6052E">
        <w:t>revenue</w:t>
      </w:r>
      <w:r w:rsidR="00177848" w:rsidRPr="00C6052E">
        <w:t xml:space="preserve"> </w:t>
      </w:r>
      <w:r w:rsidRPr="00C6052E">
        <w:t>from</w:t>
      </w:r>
      <w:r w:rsidR="00177848" w:rsidRPr="00C6052E">
        <w:t xml:space="preserve"> </w:t>
      </w:r>
      <w:r w:rsidRPr="00C6052E">
        <w:t>contracts</w:t>
      </w:r>
      <w:r w:rsidR="00177848" w:rsidRPr="00C6052E">
        <w:t xml:space="preserve"> </w:t>
      </w:r>
      <w:r w:rsidRPr="00C6052E">
        <w:t>with</w:t>
      </w:r>
      <w:r w:rsidR="00177848" w:rsidRPr="00C6052E">
        <w:t xml:space="preserve"> </w:t>
      </w:r>
      <w:r w:rsidRPr="00C6052E">
        <w:t>customers</w:t>
      </w:r>
      <w:r w:rsidR="00177848" w:rsidRPr="00C6052E">
        <w:t xml:space="preserve"> </w:t>
      </w:r>
      <w:r w:rsidRPr="00C6052E">
        <w:t>in</w:t>
      </w:r>
      <w:r w:rsidR="00177848" w:rsidRPr="00C6052E">
        <w:t xml:space="preserve"> </w:t>
      </w:r>
      <w:r w:rsidRPr="00C6052E">
        <w:t>accordance</w:t>
      </w:r>
      <w:r w:rsidR="00177848" w:rsidRPr="00C6052E">
        <w:t xml:space="preserve"> </w:t>
      </w:r>
      <w:r w:rsidRPr="00C6052E">
        <w:t>with</w:t>
      </w:r>
      <w:r w:rsidR="00177848" w:rsidRPr="00C6052E">
        <w:t xml:space="preserve"> </w:t>
      </w:r>
      <w:r w:rsidRPr="00C6052E">
        <w:t>AASB</w:t>
      </w:r>
      <w:r w:rsidR="00177848" w:rsidRPr="00C6052E">
        <w:t xml:space="preserve"> </w:t>
      </w:r>
      <w:r w:rsidRPr="00C6052E">
        <w:t>15.</w:t>
      </w:r>
    </w:p>
    <w:p w14:paraId="713DAAF8" w14:textId="6E513C08" w:rsidR="00EE5BB8" w:rsidRPr="00C6052E" w:rsidRDefault="00EE5BB8" w:rsidP="00EE5BB8">
      <w:pPr>
        <w:pStyle w:val="Heading4"/>
      </w:pPr>
      <w:r w:rsidRPr="00C6052E">
        <w:t>Performance</w:t>
      </w:r>
      <w:r w:rsidR="00177848" w:rsidRPr="00C6052E">
        <w:t xml:space="preserve"> </w:t>
      </w:r>
      <w:r w:rsidRPr="00C6052E">
        <w:t>obligations</w:t>
      </w:r>
      <w:r w:rsidR="00177848" w:rsidRPr="00C6052E">
        <w:t xml:space="preserve"> </w:t>
      </w:r>
      <w:r w:rsidRPr="00C6052E">
        <w:t>and</w:t>
      </w:r>
      <w:r w:rsidR="00177848" w:rsidRPr="00C6052E">
        <w:t xml:space="preserve"> </w:t>
      </w:r>
      <w:r w:rsidRPr="00C6052E">
        <w:t>revenue</w:t>
      </w:r>
      <w:r w:rsidR="00177848" w:rsidRPr="00C6052E">
        <w:t xml:space="preserve"> </w:t>
      </w:r>
      <w:r w:rsidRPr="00C6052E">
        <w:t>recognition</w:t>
      </w:r>
      <w:r w:rsidR="00177848" w:rsidRPr="00C6052E">
        <w:t xml:space="preserve"> </w:t>
      </w:r>
      <w:r w:rsidRPr="00C6052E">
        <w:t>policies</w:t>
      </w:r>
      <w:r w:rsidR="00177848" w:rsidRPr="00C6052E">
        <w:t xml:space="preserve"> </w:t>
      </w:r>
    </w:p>
    <w:p w14:paraId="65D4EB9F" w14:textId="4B4C8DD8" w:rsidR="00EE5BB8" w:rsidRPr="00C6052E" w:rsidRDefault="00EE5BB8" w:rsidP="00EE5BB8">
      <w:pPr>
        <w:rPr>
          <w:spacing w:val="-2"/>
        </w:rPr>
      </w:pPr>
      <w:r w:rsidRPr="00C6052E">
        <w:rPr>
          <w:spacing w:val="-2"/>
        </w:rPr>
        <w:t>Revenue</w:t>
      </w:r>
      <w:r w:rsidR="00177848" w:rsidRPr="00C6052E">
        <w:rPr>
          <w:spacing w:val="-2"/>
        </w:rPr>
        <w:t xml:space="preserve"> </w:t>
      </w:r>
      <w:r w:rsidRPr="00C6052E">
        <w:rPr>
          <w:spacing w:val="-2"/>
        </w:rPr>
        <w:t>is</w:t>
      </w:r>
      <w:r w:rsidR="00177848" w:rsidRPr="00C6052E">
        <w:rPr>
          <w:spacing w:val="-2"/>
        </w:rPr>
        <w:t xml:space="preserve"> </w:t>
      </w:r>
      <w:r w:rsidRPr="00C6052E">
        <w:rPr>
          <w:spacing w:val="-2"/>
        </w:rPr>
        <w:t>measured</w:t>
      </w:r>
      <w:r w:rsidR="00177848" w:rsidRPr="00C6052E">
        <w:rPr>
          <w:spacing w:val="-2"/>
        </w:rPr>
        <w:t xml:space="preserve"> </w:t>
      </w:r>
      <w:r w:rsidRPr="00C6052E">
        <w:rPr>
          <w:spacing w:val="-2"/>
        </w:rPr>
        <w:t>based</w:t>
      </w:r>
      <w:r w:rsidR="00177848" w:rsidRPr="00C6052E">
        <w:rPr>
          <w:spacing w:val="-2"/>
        </w:rPr>
        <w:t xml:space="preserve"> </w:t>
      </w:r>
      <w:r w:rsidRPr="00C6052E">
        <w:rPr>
          <w:spacing w:val="-2"/>
        </w:rPr>
        <w:t>on</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consideration</w:t>
      </w:r>
      <w:r w:rsidR="00177848" w:rsidRPr="00C6052E">
        <w:rPr>
          <w:spacing w:val="-2"/>
        </w:rPr>
        <w:t xml:space="preserve"> </w:t>
      </w:r>
      <w:r w:rsidRPr="00C6052E">
        <w:rPr>
          <w:spacing w:val="-2"/>
        </w:rPr>
        <w:t>specified</w:t>
      </w:r>
      <w:r w:rsidR="00177848" w:rsidRPr="00C6052E">
        <w:rPr>
          <w:spacing w:val="-2"/>
        </w:rPr>
        <w:t xml:space="preserve"> </w:t>
      </w:r>
      <w:r w:rsidRPr="00C6052E">
        <w:rPr>
          <w:spacing w:val="-2"/>
        </w:rPr>
        <w:t>in</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contract</w:t>
      </w:r>
      <w:r w:rsidR="00177848" w:rsidRPr="00C6052E">
        <w:rPr>
          <w:spacing w:val="-2"/>
        </w:rPr>
        <w:t xml:space="preserve"> </w:t>
      </w:r>
      <w:r w:rsidRPr="00C6052E">
        <w:rPr>
          <w:spacing w:val="-2"/>
        </w:rPr>
        <w:t>with</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customer.</w:t>
      </w:r>
      <w:r w:rsidR="00177848" w:rsidRPr="00C6052E">
        <w:rPr>
          <w:spacing w:val="-2"/>
        </w:rPr>
        <w:t xml:space="preserve"> </w:t>
      </w:r>
      <w:r w:rsidRPr="00C6052E">
        <w:rPr>
          <w:spacing w:val="-2"/>
        </w:rPr>
        <w:fldChar w:fldCharType="begin"/>
      </w:r>
      <w:r w:rsidRPr="00C6052E">
        <w:rPr>
          <w:spacing w:val="-2"/>
        </w:rPr>
        <w:instrText xml:space="preserve"> DOCPROPERTY  shortName  \* MERGEFORMAT </w:instrText>
      </w:r>
      <w:r w:rsidRPr="00C6052E">
        <w:rPr>
          <w:spacing w:val="-2"/>
        </w:rPr>
        <w:fldChar w:fldCharType="separate"/>
      </w:r>
      <w:r w:rsidRPr="00C6052E">
        <w:rPr>
          <w:spacing w:val="-2"/>
        </w:rPr>
        <w:t>DJSIR</w:t>
      </w:r>
      <w:r w:rsidRPr="00C6052E">
        <w:rPr>
          <w:spacing w:val="-2"/>
        </w:rPr>
        <w:fldChar w:fldCharType="end"/>
      </w:r>
      <w:r w:rsidR="00177848" w:rsidRPr="00C6052E">
        <w:rPr>
          <w:spacing w:val="-2"/>
        </w:rPr>
        <w:t xml:space="preserve"> </w:t>
      </w:r>
      <w:r w:rsidRPr="00C6052E">
        <w:rPr>
          <w:spacing w:val="-2"/>
        </w:rPr>
        <w:t>recognises</w:t>
      </w:r>
      <w:r w:rsidR="00177848" w:rsidRPr="00C6052E">
        <w:rPr>
          <w:spacing w:val="-2"/>
        </w:rPr>
        <w:t xml:space="preserve"> </w:t>
      </w:r>
      <w:r w:rsidRPr="00C6052E">
        <w:rPr>
          <w:spacing w:val="-2"/>
        </w:rPr>
        <w:t>revenue</w:t>
      </w:r>
      <w:r w:rsidR="00177848" w:rsidRPr="00C6052E">
        <w:rPr>
          <w:spacing w:val="-2"/>
        </w:rPr>
        <w:t xml:space="preserve"> </w:t>
      </w:r>
      <w:r w:rsidRPr="00C6052E">
        <w:rPr>
          <w:spacing w:val="-2"/>
        </w:rPr>
        <w:t>when</w:t>
      </w:r>
      <w:r w:rsidR="00177848" w:rsidRPr="00C6052E">
        <w:rPr>
          <w:spacing w:val="-2"/>
        </w:rPr>
        <w:t xml:space="preserve"> </w:t>
      </w:r>
      <w:r w:rsidRPr="00C6052E">
        <w:rPr>
          <w:spacing w:val="-2"/>
        </w:rPr>
        <w:t>it</w:t>
      </w:r>
      <w:r w:rsidR="00177848" w:rsidRPr="00C6052E">
        <w:rPr>
          <w:spacing w:val="-2"/>
        </w:rPr>
        <w:t xml:space="preserve"> </w:t>
      </w:r>
      <w:r w:rsidRPr="00C6052E">
        <w:rPr>
          <w:spacing w:val="-2"/>
        </w:rPr>
        <w:t>transfers</w:t>
      </w:r>
      <w:r w:rsidR="00177848" w:rsidRPr="00C6052E">
        <w:rPr>
          <w:spacing w:val="-2"/>
        </w:rPr>
        <w:t xml:space="preserve"> </w:t>
      </w:r>
      <w:r w:rsidRPr="00C6052E">
        <w:rPr>
          <w:spacing w:val="-2"/>
        </w:rPr>
        <w:t>control</w:t>
      </w:r>
      <w:r w:rsidR="00177848" w:rsidRPr="00C6052E">
        <w:rPr>
          <w:spacing w:val="-2"/>
        </w:rPr>
        <w:t xml:space="preserve"> </w:t>
      </w:r>
      <w:r w:rsidRPr="00C6052E">
        <w:rPr>
          <w:spacing w:val="-2"/>
        </w:rPr>
        <w:t>of</w:t>
      </w:r>
      <w:r w:rsidR="00177848" w:rsidRPr="00C6052E">
        <w:rPr>
          <w:spacing w:val="-2"/>
        </w:rPr>
        <w:t xml:space="preserve"> </w:t>
      </w:r>
      <w:r w:rsidRPr="00C6052E">
        <w:rPr>
          <w:spacing w:val="-2"/>
        </w:rPr>
        <w:t>a</w:t>
      </w:r>
      <w:r w:rsidR="00177848" w:rsidRPr="00C6052E">
        <w:rPr>
          <w:spacing w:val="-2"/>
        </w:rPr>
        <w:t xml:space="preserve"> </w:t>
      </w:r>
      <w:r w:rsidRPr="00C6052E">
        <w:rPr>
          <w:spacing w:val="-2"/>
        </w:rPr>
        <w:t>good</w:t>
      </w:r>
      <w:r w:rsidR="00177848" w:rsidRPr="00C6052E">
        <w:t xml:space="preserve"> </w:t>
      </w:r>
      <w:r w:rsidRPr="00C6052E">
        <w:rPr>
          <w:spacing w:val="-2"/>
        </w:rPr>
        <w:t>or</w:t>
      </w:r>
      <w:r w:rsidR="00177848" w:rsidRPr="00C6052E">
        <w:rPr>
          <w:spacing w:val="-2"/>
        </w:rPr>
        <w:t xml:space="preserve"> </w:t>
      </w:r>
      <w:r w:rsidRPr="00C6052E">
        <w:rPr>
          <w:spacing w:val="-2"/>
        </w:rPr>
        <w:t>service</w:t>
      </w:r>
      <w:r w:rsidR="00177848" w:rsidRPr="00C6052E">
        <w:rPr>
          <w:spacing w:val="-2"/>
        </w:rPr>
        <w:t xml:space="preserve"> </w:t>
      </w:r>
      <w:r w:rsidRPr="00C6052E">
        <w:rPr>
          <w:spacing w:val="-2"/>
        </w:rPr>
        <w:t>to</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customer,</w:t>
      </w:r>
      <w:r w:rsidR="00177848" w:rsidRPr="00C6052E">
        <w:rPr>
          <w:spacing w:val="-2"/>
        </w:rPr>
        <w:t xml:space="preserve"> </w:t>
      </w:r>
      <w:r w:rsidRPr="00C6052E">
        <w:rPr>
          <w:spacing w:val="-2"/>
        </w:rPr>
        <w:t>i.e.,</w:t>
      </w:r>
      <w:r w:rsidR="00177848" w:rsidRPr="00C6052E">
        <w:rPr>
          <w:spacing w:val="-2"/>
        </w:rPr>
        <w:t xml:space="preserve"> </w:t>
      </w:r>
      <w:r w:rsidRPr="00C6052E">
        <w:rPr>
          <w:spacing w:val="-2"/>
        </w:rPr>
        <w:t>when,</w:t>
      </w:r>
      <w:r w:rsidR="00177848" w:rsidRPr="00C6052E">
        <w:rPr>
          <w:spacing w:val="-2"/>
        </w:rPr>
        <w:t xml:space="preserve"> </w:t>
      </w:r>
      <w:r w:rsidRPr="00C6052E">
        <w:rPr>
          <w:spacing w:val="-2"/>
        </w:rPr>
        <w:t>or</w:t>
      </w:r>
      <w:r w:rsidR="00177848" w:rsidRPr="00C6052E">
        <w:rPr>
          <w:spacing w:val="-2"/>
        </w:rPr>
        <w:t xml:space="preserve"> </w:t>
      </w:r>
      <w:r w:rsidRPr="00C6052E">
        <w:rPr>
          <w:spacing w:val="-2"/>
        </w:rPr>
        <w:t>as,</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performance</w:t>
      </w:r>
      <w:r w:rsidR="00177848" w:rsidRPr="00C6052E">
        <w:rPr>
          <w:spacing w:val="-2"/>
        </w:rPr>
        <w:t xml:space="preserve"> </w:t>
      </w:r>
      <w:r w:rsidRPr="00C6052E">
        <w:rPr>
          <w:spacing w:val="-2"/>
        </w:rPr>
        <w:t>obligations</w:t>
      </w:r>
      <w:r w:rsidR="00177848" w:rsidRPr="00C6052E">
        <w:rPr>
          <w:spacing w:val="-2"/>
        </w:rPr>
        <w:t xml:space="preserve"> </w:t>
      </w:r>
      <w:r w:rsidRPr="00C6052E">
        <w:rPr>
          <w:spacing w:val="-2"/>
        </w:rPr>
        <w:t>for</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sale</w:t>
      </w:r>
      <w:r w:rsidR="00177848" w:rsidRPr="00C6052E">
        <w:rPr>
          <w:spacing w:val="-2"/>
        </w:rPr>
        <w:t xml:space="preserve"> </w:t>
      </w:r>
      <w:r w:rsidRPr="00C6052E">
        <w:rPr>
          <w:spacing w:val="-2"/>
        </w:rPr>
        <w:t>of</w:t>
      </w:r>
      <w:r w:rsidR="00177848" w:rsidRPr="00C6052E">
        <w:rPr>
          <w:spacing w:val="-2"/>
        </w:rPr>
        <w:t xml:space="preserve"> </w:t>
      </w:r>
      <w:r w:rsidRPr="00C6052E">
        <w:rPr>
          <w:spacing w:val="-2"/>
        </w:rPr>
        <w:t>goods</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services</w:t>
      </w:r>
      <w:r w:rsidR="00177848" w:rsidRPr="00C6052E">
        <w:rPr>
          <w:spacing w:val="-2"/>
        </w:rPr>
        <w:t xml:space="preserve"> </w:t>
      </w:r>
      <w:r w:rsidRPr="00C6052E">
        <w:rPr>
          <w:spacing w:val="-2"/>
        </w:rPr>
        <w:t>to</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customer</w:t>
      </w:r>
      <w:r w:rsidR="00177848" w:rsidRPr="00C6052E">
        <w:rPr>
          <w:spacing w:val="-2"/>
        </w:rPr>
        <w:t xml:space="preserve"> </w:t>
      </w:r>
      <w:r w:rsidRPr="00C6052E">
        <w:rPr>
          <w:spacing w:val="-2"/>
        </w:rPr>
        <w:t>are</w:t>
      </w:r>
      <w:r w:rsidR="00177848" w:rsidRPr="00C6052E">
        <w:rPr>
          <w:spacing w:val="-2"/>
        </w:rPr>
        <w:t xml:space="preserve"> </w:t>
      </w:r>
      <w:r w:rsidRPr="00C6052E">
        <w:rPr>
          <w:spacing w:val="-2"/>
        </w:rPr>
        <w:t>satisfied.</w:t>
      </w:r>
      <w:r w:rsidR="00177848" w:rsidRPr="00C6052E">
        <w:rPr>
          <w:spacing w:val="-2"/>
        </w:rPr>
        <w:t xml:space="preserve"> </w:t>
      </w:r>
      <w:r w:rsidRPr="00C6052E">
        <w:rPr>
          <w:spacing w:val="-2"/>
        </w:rPr>
        <w:t>Customers</w:t>
      </w:r>
      <w:r w:rsidR="00177848" w:rsidRPr="00C6052E">
        <w:rPr>
          <w:spacing w:val="-2"/>
        </w:rPr>
        <w:t xml:space="preserve"> </w:t>
      </w:r>
      <w:r w:rsidRPr="00C6052E">
        <w:rPr>
          <w:spacing w:val="-2"/>
        </w:rPr>
        <w:t>obtain</w:t>
      </w:r>
      <w:r w:rsidR="00177848" w:rsidRPr="00C6052E">
        <w:rPr>
          <w:spacing w:val="-2"/>
        </w:rPr>
        <w:t xml:space="preserve"> </w:t>
      </w:r>
      <w:r w:rsidRPr="00C6052E">
        <w:rPr>
          <w:spacing w:val="-2"/>
        </w:rPr>
        <w:t>control</w:t>
      </w:r>
      <w:r w:rsidR="00177848" w:rsidRPr="00C6052E">
        <w:rPr>
          <w:spacing w:val="-2"/>
        </w:rPr>
        <w:t xml:space="preserve"> </w:t>
      </w:r>
      <w:r w:rsidRPr="00C6052E">
        <w:rPr>
          <w:spacing w:val="-2"/>
        </w:rPr>
        <w:t>of</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supplies</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consumables</w:t>
      </w:r>
      <w:r w:rsidR="00177848" w:rsidRPr="00C6052E">
        <w:rPr>
          <w:spacing w:val="-2"/>
        </w:rPr>
        <w:t xml:space="preserve"> </w:t>
      </w:r>
      <w:r w:rsidRPr="00C6052E">
        <w:rPr>
          <w:spacing w:val="-2"/>
        </w:rPr>
        <w:t>at</w:t>
      </w:r>
      <w:r w:rsidR="00177848" w:rsidRPr="00C6052E">
        <w:rPr>
          <w:spacing w:val="-2"/>
        </w:rPr>
        <w:t xml:space="preserve"> </w:t>
      </w:r>
      <w:r w:rsidRPr="00C6052E">
        <w:rPr>
          <w:spacing w:val="-2"/>
        </w:rPr>
        <w:t>a</w:t>
      </w:r>
      <w:r w:rsidR="00177848" w:rsidRPr="00C6052E">
        <w:rPr>
          <w:spacing w:val="-2"/>
        </w:rPr>
        <w:t xml:space="preserve"> </w:t>
      </w:r>
      <w:r w:rsidRPr="00C6052E">
        <w:rPr>
          <w:spacing w:val="-2"/>
        </w:rPr>
        <w:t>point</w:t>
      </w:r>
      <w:r w:rsidR="00177848" w:rsidRPr="00C6052E">
        <w:rPr>
          <w:spacing w:val="-2"/>
        </w:rPr>
        <w:t xml:space="preserve"> </w:t>
      </w:r>
      <w:r w:rsidRPr="00C6052E">
        <w:rPr>
          <w:spacing w:val="-2"/>
        </w:rPr>
        <w:t>in</w:t>
      </w:r>
      <w:r w:rsidR="00177848" w:rsidRPr="00C6052E">
        <w:rPr>
          <w:spacing w:val="-2"/>
        </w:rPr>
        <w:t xml:space="preserve"> </w:t>
      </w:r>
      <w:r w:rsidRPr="00C6052E">
        <w:rPr>
          <w:spacing w:val="-2"/>
        </w:rPr>
        <w:t>time</w:t>
      </w:r>
      <w:r w:rsidR="00177848" w:rsidRPr="00C6052E">
        <w:rPr>
          <w:spacing w:val="-2"/>
        </w:rPr>
        <w:t xml:space="preserve"> </w:t>
      </w:r>
      <w:r w:rsidRPr="00C6052E">
        <w:rPr>
          <w:spacing w:val="-2"/>
        </w:rPr>
        <w:t>when</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goods</w:t>
      </w:r>
      <w:r w:rsidR="00177848" w:rsidRPr="00C6052E">
        <w:rPr>
          <w:spacing w:val="-2"/>
        </w:rPr>
        <w:t xml:space="preserve"> </w:t>
      </w:r>
      <w:r w:rsidRPr="00C6052E">
        <w:rPr>
          <w:spacing w:val="-2"/>
        </w:rPr>
        <w:t>are</w:t>
      </w:r>
      <w:r w:rsidR="00177848" w:rsidRPr="00C6052E">
        <w:rPr>
          <w:spacing w:val="-2"/>
        </w:rPr>
        <w:t xml:space="preserve"> </w:t>
      </w:r>
      <w:r w:rsidRPr="00C6052E">
        <w:rPr>
          <w:spacing w:val="-2"/>
        </w:rPr>
        <w:t>delivered</w:t>
      </w:r>
      <w:r w:rsidR="00177848" w:rsidRPr="00C6052E">
        <w:rPr>
          <w:spacing w:val="-2"/>
        </w:rPr>
        <w:t xml:space="preserve"> </w:t>
      </w:r>
      <w:r w:rsidRPr="00C6052E">
        <w:rPr>
          <w:spacing w:val="-2"/>
        </w:rPr>
        <w:t>to</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have</w:t>
      </w:r>
      <w:r w:rsidR="00177848" w:rsidRPr="00C6052E">
        <w:rPr>
          <w:spacing w:val="-2"/>
        </w:rPr>
        <w:t xml:space="preserve"> </w:t>
      </w:r>
      <w:r w:rsidRPr="00C6052E">
        <w:rPr>
          <w:spacing w:val="-2"/>
        </w:rPr>
        <w:t>been</w:t>
      </w:r>
      <w:r w:rsidR="00177848" w:rsidRPr="00C6052E">
        <w:rPr>
          <w:spacing w:val="-2"/>
        </w:rPr>
        <w:t xml:space="preserve"> </w:t>
      </w:r>
      <w:r w:rsidRPr="00C6052E">
        <w:rPr>
          <w:spacing w:val="-2"/>
        </w:rPr>
        <w:t>accepted</w:t>
      </w:r>
      <w:r w:rsidR="00177848" w:rsidRPr="00C6052E">
        <w:rPr>
          <w:spacing w:val="-2"/>
        </w:rPr>
        <w:t xml:space="preserve"> </w:t>
      </w:r>
      <w:r w:rsidRPr="00C6052E">
        <w:rPr>
          <w:spacing w:val="-2"/>
        </w:rPr>
        <w:t>at</w:t>
      </w:r>
      <w:r w:rsidR="00177848" w:rsidRPr="00C6052E">
        <w:rPr>
          <w:spacing w:val="-2"/>
        </w:rPr>
        <w:t xml:space="preserve"> </w:t>
      </w:r>
      <w:r w:rsidRPr="00C6052E">
        <w:rPr>
          <w:spacing w:val="-2"/>
        </w:rPr>
        <w:t>their</w:t>
      </w:r>
      <w:r w:rsidR="00177848" w:rsidRPr="00C6052E">
        <w:rPr>
          <w:spacing w:val="-2"/>
        </w:rPr>
        <w:t xml:space="preserve"> </w:t>
      </w:r>
      <w:r w:rsidRPr="00C6052E">
        <w:rPr>
          <w:spacing w:val="-2"/>
        </w:rPr>
        <w:t>premises.</w:t>
      </w:r>
      <w:r w:rsidR="00177848" w:rsidRPr="00C6052E">
        <w:rPr>
          <w:spacing w:val="-2"/>
        </w:rPr>
        <w:t xml:space="preserve"> </w:t>
      </w:r>
    </w:p>
    <w:p w14:paraId="34601299" w14:textId="09D45A29" w:rsidR="00EE5BB8" w:rsidRPr="00C6052E" w:rsidRDefault="00EE5BB8" w:rsidP="00EE5BB8">
      <w:r w:rsidRPr="00C6052E">
        <w:lastRenderedPageBreak/>
        <w:t>Revenue</w:t>
      </w:r>
      <w:r w:rsidR="00177848" w:rsidRPr="00C6052E">
        <w:t xml:space="preserve"> </w:t>
      </w:r>
      <w:r w:rsidRPr="00C6052E">
        <w:t>from</w:t>
      </w:r>
      <w:r w:rsidR="00177848" w:rsidRPr="00C6052E">
        <w:t xml:space="preserve"> </w:t>
      </w:r>
      <w:r w:rsidRPr="00C6052E">
        <w:t>the</w:t>
      </w:r>
      <w:r w:rsidR="00177848" w:rsidRPr="00C6052E">
        <w:t xml:space="preserve"> </w:t>
      </w:r>
      <w:r w:rsidRPr="00C6052E">
        <w:t>rendering</w:t>
      </w:r>
      <w:r w:rsidR="00177848" w:rsidRPr="00C6052E">
        <w:t xml:space="preserve"> </w:t>
      </w:r>
      <w:r w:rsidRPr="00C6052E">
        <w:t>of</w:t>
      </w:r>
      <w:r w:rsidR="00177848" w:rsidRPr="00C6052E">
        <w:t xml:space="preserve"> </w:t>
      </w:r>
      <w:r w:rsidRPr="00C6052E">
        <w:t>services</w:t>
      </w:r>
      <w:r w:rsidR="00177848" w:rsidRPr="00C6052E">
        <w:t xml:space="preserve"> </w:t>
      </w:r>
      <w:r w:rsidRPr="00C6052E">
        <w:t>is</w:t>
      </w:r>
      <w:r w:rsidR="00177848" w:rsidRPr="00C6052E">
        <w:t xml:space="preserve"> </w:t>
      </w:r>
      <w:r w:rsidRPr="00C6052E">
        <w:t>recognised</w:t>
      </w:r>
      <w:r w:rsidR="00177848" w:rsidRPr="00C6052E">
        <w:t xml:space="preserve"> </w:t>
      </w:r>
      <w:r w:rsidRPr="00C6052E">
        <w:t>at</w:t>
      </w:r>
      <w:r w:rsidR="00177848" w:rsidRPr="00C6052E">
        <w:t xml:space="preserve"> </w:t>
      </w:r>
      <w:r w:rsidRPr="00C6052E">
        <w:t>a</w:t>
      </w:r>
      <w:r w:rsidR="00177848" w:rsidRPr="00C6052E">
        <w:t xml:space="preserve"> </w:t>
      </w:r>
      <w:r w:rsidRPr="00C6052E">
        <w:t>point</w:t>
      </w:r>
      <w:r w:rsidR="00177848" w:rsidRPr="00C6052E">
        <w:t xml:space="preserve"> </w:t>
      </w:r>
      <w:r w:rsidRPr="00C6052E">
        <w:t>in</w:t>
      </w:r>
      <w:r w:rsidR="00177848" w:rsidRPr="00C6052E">
        <w:t xml:space="preserve"> </w:t>
      </w:r>
      <w:r w:rsidRPr="00C6052E">
        <w:t>time</w:t>
      </w:r>
      <w:r w:rsidR="00177848" w:rsidRPr="00C6052E">
        <w:t xml:space="preserve"> </w:t>
      </w:r>
      <w:r w:rsidRPr="00C6052E">
        <w:t>when</w:t>
      </w:r>
      <w:r w:rsidR="00177848" w:rsidRPr="00C6052E">
        <w:t xml:space="preserve"> </w:t>
      </w:r>
      <w:r w:rsidRPr="00C6052E">
        <w:t>the</w:t>
      </w:r>
      <w:r w:rsidR="00177848" w:rsidRPr="00C6052E">
        <w:t xml:space="preserve"> </w:t>
      </w:r>
      <w:r w:rsidRPr="00C6052E">
        <w:t>performance</w:t>
      </w:r>
      <w:r w:rsidR="00177848" w:rsidRPr="00C6052E">
        <w:t xml:space="preserve"> </w:t>
      </w:r>
      <w:r w:rsidRPr="00C6052E">
        <w:t>obligation</w:t>
      </w:r>
      <w:r w:rsidR="00177848" w:rsidRPr="00C6052E">
        <w:t xml:space="preserve"> </w:t>
      </w:r>
      <w:r w:rsidRPr="00C6052E">
        <w:t>is</w:t>
      </w:r>
      <w:r w:rsidR="00177848" w:rsidRPr="00C6052E">
        <w:t xml:space="preserve"> </w:t>
      </w:r>
      <w:r w:rsidRPr="00C6052E">
        <w:t>satisfied</w:t>
      </w:r>
      <w:r w:rsidR="00177848" w:rsidRPr="00C6052E">
        <w:t xml:space="preserve"> </w:t>
      </w:r>
      <w:r w:rsidRPr="00C6052E">
        <w:t>when</w:t>
      </w:r>
      <w:r w:rsidR="00177848" w:rsidRPr="00C6052E">
        <w:t xml:space="preserve"> </w:t>
      </w:r>
      <w:r w:rsidRPr="00C6052E">
        <w:t>the</w:t>
      </w:r>
      <w:r w:rsidR="00177848" w:rsidRPr="00C6052E">
        <w:t xml:space="preserve"> </w:t>
      </w:r>
      <w:r w:rsidRPr="00C6052E">
        <w:t>service</w:t>
      </w:r>
      <w:r w:rsidR="00177848" w:rsidRPr="00C6052E">
        <w:t xml:space="preserve"> </w:t>
      </w:r>
      <w:r w:rsidRPr="00C6052E">
        <w:t>is</w:t>
      </w:r>
      <w:r w:rsidR="00177848" w:rsidRPr="00C6052E">
        <w:t xml:space="preserve"> </w:t>
      </w:r>
      <w:r w:rsidRPr="00C6052E">
        <w:t>completed;</w:t>
      </w:r>
      <w:r w:rsidR="00177848" w:rsidRPr="00C6052E">
        <w:t xml:space="preserve"> </w:t>
      </w:r>
      <w:r w:rsidRPr="00C6052E">
        <w:t>and</w:t>
      </w:r>
      <w:r w:rsidR="00177848" w:rsidRPr="00C6052E">
        <w:t xml:space="preserve"> </w:t>
      </w:r>
      <w:r w:rsidRPr="00C6052E">
        <w:t>over</w:t>
      </w:r>
      <w:r w:rsidR="00177848" w:rsidRPr="00C6052E">
        <w:t xml:space="preserve"> </w:t>
      </w:r>
      <w:r w:rsidRPr="00C6052E">
        <w:t>time</w:t>
      </w:r>
      <w:r w:rsidR="00177848" w:rsidRPr="00C6052E">
        <w:t xml:space="preserve"> </w:t>
      </w:r>
      <w:r w:rsidRPr="00C6052E">
        <w:t>when</w:t>
      </w:r>
      <w:r w:rsidR="00177848" w:rsidRPr="00C6052E">
        <w:t xml:space="preserve"> </w:t>
      </w:r>
      <w:r w:rsidRPr="00C6052E">
        <w:t>the</w:t>
      </w:r>
      <w:r w:rsidR="00177848" w:rsidRPr="00C6052E">
        <w:t xml:space="preserve"> </w:t>
      </w:r>
      <w:r w:rsidRPr="00C6052E">
        <w:t>customer</w:t>
      </w:r>
      <w:r w:rsidR="00177848" w:rsidRPr="00C6052E">
        <w:t xml:space="preserve"> </w:t>
      </w:r>
      <w:r w:rsidRPr="00C6052E">
        <w:t>simultaneously</w:t>
      </w:r>
      <w:r w:rsidR="00177848" w:rsidRPr="00C6052E">
        <w:t xml:space="preserve"> </w:t>
      </w:r>
      <w:r w:rsidRPr="00C6052E">
        <w:t>receives</w:t>
      </w:r>
      <w:r w:rsidR="00177848" w:rsidRPr="00C6052E">
        <w:t xml:space="preserve"> </w:t>
      </w:r>
      <w:r w:rsidRPr="00C6052E">
        <w:t>and</w:t>
      </w:r>
      <w:r w:rsidR="00177848" w:rsidRPr="00C6052E">
        <w:t xml:space="preserve"> </w:t>
      </w:r>
      <w:r w:rsidRPr="00C6052E">
        <w:t>consumes</w:t>
      </w:r>
      <w:r w:rsidR="00177848" w:rsidRPr="00C6052E">
        <w:t xml:space="preserve"> </w:t>
      </w:r>
      <w:r w:rsidRPr="00C6052E">
        <w:t>the</w:t>
      </w:r>
      <w:r w:rsidR="00177848" w:rsidRPr="00C6052E">
        <w:t xml:space="preserve"> </w:t>
      </w:r>
      <w:r w:rsidRPr="00C6052E">
        <w:t>service</w:t>
      </w:r>
      <w:r w:rsidR="00177848" w:rsidRPr="00C6052E">
        <w:t xml:space="preserve"> </w:t>
      </w:r>
      <w:r w:rsidRPr="00C6052E">
        <w:t>as</w:t>
      </w:r>
      <w:r w:rsidR="00177848" w:rsidRPr="00C6052E">
        <w:t xml:space="preserve"> </w:t>
      </w:r>
      <w:r w:rsidRPr="00C6052E">
        <w:t>it</w:t>
      </w:r>
      <w:r w:rsidR="00177848" w:rsidRPr="00C6052E">
        <w:t xml:space="preserve"> </w:t>
      </w:r>
      <w:r w:rsidRPr="00C6052E">
        <w:t>is</w:t>
      </w:r>
      <w:r w:rsidR="00177848" w:rsidRPr="00C6052E">
        <w:t xml:space="preserve"> </w:t>
      </w:r>
      <w:r w:rsidRPr="00C6052E">
        <w:t>provided.</w:t>
      </w:r>
    </w:p>
    <w:p w14:paraId="64B63745" w14:textId="5C69CE7E" w:rsidR="00EE5BB8" w:rsidRPr="00D83915" w:rsidRDefault="00EE5BB8" w:rsidP="00EE5BB8">
      <w:pPr>
        <w:rPr>
          <w:spacing w:val="-2"/>
        </w:rPr>
      </w:pPr>
      <w:r w:rsidRPr="00D83915">
        <w:rPr>
          <w:spacing w:val="-2"/>
        </w:rPr>
        <w:t>Customers</w:t>
      </w:r>
      <w:r w:rsidR="00177848" w:rsidRPr="00D83915">
        <w:rPr>
          <w:spacing w:val="-2"/>
        </w:rPr>
        <w:t xml:space="preserve"> </w:t>
      </w:r>
      <w:r w:rsidRPr="00D83915">
        <w:rPr>
          <w:spacing w:val="-2"/>
        </w:rPr>
        <w:t>are</w:t>
      </w:r>
      <w:r w:rsidR="00177848" w:rsidRPr="00D83915">
        <w:rPr>
          <w:spacing w:val="-2"/>
        </w:rPr>
        <w:t xml:space="preserve"> </w:t>
      </w:r>
      <w:r w:rsidRPr="00D83915">
        <w:rPr>
          <w:spacing w:val="-2"/>
        </w:rPr>
        <w:t>invoiced</w:t>
      </w:r>
      <w:r w:rsidR="00177848" w:rsidRPr="00D83915">
        <w:rPr>
          <w:spacing w:val="-2"/>
        </w:rPr>
        <w:t xml:space="preserve"> </w:t>
      </w:r>
      <w:r w:rsidRPr="00D83915">
        <w:rPr>
          <w:spacing w:val="-2"/>
        </w:rPr>
        <w:t>and</w:t>
      </w:r>
      <w:r w:rsidR="00177848" w:rsidRPr="00D83915">
        <w:rPr>
          <w:spacing w:val="-2"/>
        </w:rPr>
        <w:t xml:space="preserve"> </w:t>
      </w:r>
      <w:r w:rsidRPr="00D83915">
        <w:rPr>
          <w:spacing w:val="-2"/>
        </w:rPr>
        <w:t>revenue</w:t>
      </w:r>
      <w:r w:rsidR="00177848" w:rsidRPr="00D83915">
        <w:rPr>
          <w:spacing w:val="-2"/>
        </w:rPr>
        <w:t xml:space="preserve"> </w:t>
      </w:r>
      <w:r w:rsidRPr="00D83915">
        <w:rPr>
          <w:spacing w:val="-2"/>
        </w:rPr>
        <w:t>is</w:t>
      </w:r>
      <w:r w:rsidR="00177848" w:rsidRPr="00D83915">
        <w:rPr>
          <w:spacing w:val="-2"/>
        </w:rPr>
        <w:t xml:space="preserve"> </w:t>
      </w:r>
      <w:r w:rsidRPr="00D83915">
        <w:rPr>
          <w:spacing w:val="-2"/>
        </w:rPr>
        <w:t>recognised</w:t>
      </w:r>
      <w:r w:rsidR="00177848" w:rsidRPr="00D83915">
        <w:rPr>
          <w:spacing w:val="-2"/>
        </w:rPr>
        <w:t xml:space="preserve"> </w:t>
      </w:r>
      <w:r w:rsidRPr="00D83915">
        <w:rPr>
          <w:spacing w:val="-2"/>
        </w:rPr>
        <w:t>when</w:t>
      </w:r>
      <w:r w:rsidR="00177848" w:rsidRPr="00D83915">
        <w:rPr>
          <w:spacing w:val="-2"/>
        </w:rPr>
        <w:t xml:space="preserve"> </w:t>
      </w:r>
      <w:r w:rsidRPr="00D83915">
        <w:rPr>
          <w:spacing w:val="-2"/>
        </w:rPr>
        <w:t>the</w:t>
      </w:r>
      <w:r w:rsidR="00177848" w:rsidRPr="00D83915">
        <w:rPr>
          <w:spacing w:val="-2"/>
        </w:rPr>
        <w:t xml:space="preserve"> </w:t>
      </w:r>
      <w:r w:rsidRPr="00D83915">
        <w:rPr>
          <w:spacing w:val="-2"/>
        </w:rPr>
        <w:t>goods</w:t>
      </w:r>
      <w:r w:rsidR="00177848" w:rsidRPr="00D83915">
        <w:rPr>
          <w:spacing w:val="-2"/>
        </w:rPr>
        <w:t xml:space="preserve"> </w:t>
      </w:r>
      <w:r w:rsidRPr="00D83915">
        <w:rPr>
          <w:spacing w:val="-2"/>
        </w:rPr>
        <w:t>are</w:t>
      </w:r>
      <w:r w:rsidR="00177848" w:rsidRPr="00D83915">
        <w:rPr>
          <w:spacing w:val="-2"/>
        </w:rPr>
        <w:t xml:space="preserve"> </w:t>
      </w:r>
      <w:r w:rsidRPr="00D83915">
        <w:rPr>
          <w:spacing w:val="-2"/>
        </w:rPr>
        <w:t>delivered</w:t>
      </w:r>
      <w:r w:rsidR="00177848" w:rsidRPr="00D83915">
        <w:rPr>
          <w:spacing w:val="-2"/>
        </w:rPr>
        <w:t xml:space="preserve"> </w:t>
      </w:r>
      <w:r w:rsidRPr="00D83915">
        <w:rPr>
          <w:spacing w:val="-2"/>
        </w:rPr>
        <w:t>and</w:t>
      </w:r>
      <w:r w:rsidR="00177848" w:rsidRPr="00D83915">
        <w:rPr>
          <w:spacing w:val="-2"/>
        </w:rPr>
        <w:t xml:space="preserve"> </w:t>
      </w:r>
      <w:r w:rsidRPr="00D83915">
        <w:rPr>
          <w:spacing w:val="-2"/>
        </w:rPr>
        <w:t>accepted</w:t>
      </w:r>
      <w:r w:rsidR="00177848" w:rsidRPr="00D83915">
        <w:rPr>
          <w:spacing w:val="-2"/>
        </w:rPr>
        <w:t xml:space="preserve"> </w:t>
      </w:r>
      <w:r w:rsidRPr="00D83915">
        <w:rPr>
          <w:spacing w:val="-2"/>
        </w:rPr>
        <w:t>by</w:t>
      </w:r>
      <w:r w:rsidR="00177848" w:rsidRPr="00D83915">
        <w:rPr>
          <w:spacing w:val="-2"/>
        </w:rPr>
        <w:t xml:space="preserve"> </w:t>
      </w:r>
      <w:r w:rsidRPr="00D83915">
        <w:rPr>
          <w:spacing w:val="-2"/>
        </w:rPr>
        <w:t>customers.</w:t>
      </w:r>
      <w:r w:rsidR="00177848" w:rsidRPr="00D83915">
        <w:rPr>
          <w:spacing w:val="-2"/>
        </w:rPr>
        <w:t xml:space="preserve"> </w:t>
      </w:r>
      <w:r w:rsidRPr="00D83915">
        <w:rPr>
          <w:spacing w:val="-2"/>
        </w:rPr>
        <w:t>For</w:t>
      </w:r>
      <w:r w:rsidR="00177848" w:rsidRPr="00D83915">
        <w:rPr>
          <w:spacing w:val="-2"/>
        </w:rPr>
        <w:t xml:space="preserve"> </w:t>
      </w:r>
      <w:r w:rsidRPr="00D83915">
        <w:rPr>
          <w:spacing w:val="-2"/>
        </w:rPr>
        <w:t>services</w:t>
      </w:r>
      <w:r w:rsidR="00177848" w:rsidRPr="00D83915">
        <w:rPr>
          <w:spacing w:val="-2"/>
        </w:rPr>
        <w:t xml:space="preserve"> </w:t>
      </w:r>
      <w:r w:rsidRPr="00D83915">
        <w:rPr>
          <w:spacing w:val="-2"/>
        </w:rPr>
        <w:t>rendered,</w:t>
      </w:r>
      <w:r w:rsidR="00177848" w:rsidRPr="00D83915">
        <w:rPr>
          <w:spacing w:val="-2"/>
        </w:rPr>
        <w:t xml:space="preserve"> </w:t>
      </w:r>
      <w:r w:rsidRPr="00D83915">
        <w:rPr>
          <w:spacing w:val="-2"/>
        </w:rPr>
        <w:t>where</w:t>
      </w:r>
      <w:r w:rsidR="00177848" w:rsidRPr="00D83915">
        <w:rPr>
          <w:spacing w:val="-2"/>
        </w:rPr>
        <w:t xml:space="preserve"> </w:t>
      </w:r>
      <w:r w:rsidRPr="00D83915">
        <w:rPr>
          <w:spacing w:val="-2"/>
        </w:rPr>
        <w:t>customers</w:t>
      </w:r>
      <w:r w:rsidR="00177848" w:rsidRPr="00D83915">
        <w:rPr>
          <w:spacing w:val="-2"/>
        </w:rPr>
        <w:t xml:space="preserve"> </w:t>
      </w:r>
      <w:r w:rsidRPr="00D83915">
        <w:rPr>
          <w:spacing w:val="-2"/>
        </w:rPr>
        <w:t>simultaneously</w:t>
      </w:r>
      <w:r w:rsidR="00177848" w:rsidRPr="00D83915">
        <w:rPr>
          <w:spacing w:val="-2"/>
        </w:rPr>
        <w:t xml:space="preserve"> </w:t>
      </w:r>
      <w:r w:rsidRPr="00D83915">
        <w:rPr>
          <w:spacing w:val="-2"/>
        </w:rPr>
        <w:t>receive</w:t>
      </w:r>
      <w:r w:rsidR="00177848" w:rsidRPr="00D83915">
        <w:rPr>
          <w:spacing w:val="-2"/>
        </w:rPr>
        <w:t xml:space="preserve"> </w:t>
      </w:r>
      <w:r w:rsidRPr="00D83915">
        <w:rPr>
          <w:spacing w:val="-2"/>
        </w:rPr>
        <w:t>and</w:t>
      </w:r>
      <w:r w:rsidR="00177848" w:rsidRPr="00D83915">
        <w:rPr>
          <w:spacing w:val="-2"/>
        </w:rPr>
        <w:t xml:space="preserve"> </w:t>
      </w:r>
      <w:r w:rsidRPr="00D83915">
        <w:rPr>
          <w:spacing w:val="-2"/>
        </w:rPr>
        <w:t>consume</w:t>
      </w:r>
      <w:r w:rsidR="00177848" w:rsidRPr="00D83915">
        <w:rPr>
          <w:spacing w:val="-2"/>
        </w:rPr>
        <w:t xml:space="preserve"> </w:t>
      </w:r>
      <w:r w:rsidRPr="00D83915">
        <w:rPr>
          <w:spacing w:val="-2"/>
        </w:rPr>
        <w:t>the</w:t>
      </w:r>
      <w:r w:rsidR="00177848" w:rsidRPr="00D83915">
        <w:rPr>
          <w:spacing w:val="-2"/>
        </w:rPr>
        <w:t xml:space="preserve"> </w:t>
      </w:r>
      <w:r w:rsidRPr="00D83915">
        <w:rPr>
          <w:spacing w:val="-2"/>
        </w:rPr>
        <w:t>services</w:t>
      </w:r>
      <w:r w:rsidR="00177848" w:rsidRPr="00D83915">
        <w:rPr>
          <w:spacing w:val="-2"/>
        </w:rPr>
        <w:t xml:space="preserve"> </w:t>
      </w:r>
      <w:r w:rsidRPr="00D83915">
        <w:rPr>
          <w:spacing w:val="-2"/>
        </w:rPr>
        <w:t>as</w:t>
      </w:r>
      <w:r w:rsidR="00177848" w:rsidRPr="00D83915">
        <w:rPr>
          <w:spacing w:val="-2"/>
        </w:rPr>
        <w:t xml:space="preserve"> </w:t>
      </w:r>
      <w:r w:rsidRPr="00D83915">
        <w:rPr>
          <w:spacing w:val="-2"/>
        </w:rPr>
        <w:t>it</w:t>
      </w:r>
      <w:r w:rsidR="00177848" w:rsidRPr="00D83915">
        <w:rPr>
          <w:spacing w:val="-2"/>
        </w:rPr>
        <w:t xml:space="preserve"> </w:t>
      </w:r>
      <w:r w:rsidRPr="00D83915">
        <w:rPr>
          <w:spacing w:val="-2"/>
        </w:rPr>
        <w:t>is</w:t>
      </w:r>
      <w:r w:rsidR="00177848" w:rsidRPr="00D83915">
        <w:rPr>
          <w:spacing w:val="-2"/>
        </w:rPr>
        <w:t xml:space="preserve"> </w:t>
      </w:r>
      <w:r w:rsidRPr="00D83915">
        <w:rPr>
          <w:spacing w:val="-2"/>
        </w:rPr>
        <w:t>provided,</w:t>
      </w:r>
      <w:r w:rsidR="00177848" w:rsidRPr="00D83915">
        <w:rPr>
          <w:spacing w:val="-2"/>
        </w:rPr>
        <w:t xml:space="preserve"> </w:t>
      </w:r>
      <w:r w:rsidRPr="00D83915">
        <w:rPr>
          <w:spacing w:val="-2"/>
        </w:rPr>
        <w:t>revenue</w:t>
      </w:r>
      <w:r w:rsidR="00177848" w:rsidRPr="00D83915">
        <w:rPr>
          <w:spacing w:val="-2"/>
        </w:rPr>
        <w:t xml:space="preserve"> </w:t>
      </w:r>
      <w:r w:rsidRPr="00D83915">
        <w:rPr>
          <w:spacing w:val="-2"/>
        </w:rPr>
        <w:t>is</w:t>
      </w:r>
      <w:r w:rsidR="00177848" w:rsidRPr="00D83915">
        <w:rPr>
          <w:spacing w:val="-2"/>
        </w:rPr>
        <w:t xml:space="preserve"> </w:t>
      </w:r>
      <w:r w:rsidRPr="00D83915">
        <w:rPr>
          <w:spacing w:val="-2"/>
        </w:rPr>
        <w:t>recognised</w:t>
      </w:r>
      <w:r w:rsidR="00177848" w:rsidRPr="00D83915">
        <w:rPr>
          <w:spacing w:val="-2"/>
        </w:rPr>
        <w:t xml:space="preserve"> </w:t>
      </w:r>
      <w:r w:rsidRPr="00D83915">
        <w:rPr>
          <w:spacing w:val="-2"/>
        </w:rPr>
        <w:t>progressively</w:t>
      </w:r>
      <w:r w:rsidR="00177848" w:rsidRPr="00D83915">
        <w:rPr>
          <w:spacing w:val="-2"/>
        </w:rPr>
        <w:t xml:space="preserve"> </w:t>
      </w:r>
      <w:r w:rsidRPr="00D83915">
        <w:rPr>
          <w:spacing w:val="-2"/>
        </w:rPr>
        <w:t>as</w:t>
      </w:r>
      <w:r w:rsidR="00177848" w:rsidRPr="00D83915">
        <w:rPr>
          <w:rFonts w:cs="Cambria"/>
          <w:spacing w:val="-2"/>
        </w:rPr>
        <w:t xml:space="preserve"> </w:t>
      </w:r>
      <w:r w:rsidRPr="00D83915">
        <w:rPr>
          <w:spacing w:val="-2"/>
        </w:rPr>
        <w:t>contract</w:t>
      </w:r>
      <w:r w:rsidR="00177848" w:rsidRPr="00D83915">
        <w:rPr>
          <w:spacing w:val="-2"/>
        </w:rPr>
        <w:t xml:space="preserve"> </w:t>
      </w:r>
      <w:r w:rsidRPr="00D83915">
        <w:rPr>
          <w:spacing w:val="-2"/>
        </w:rPr>
        <w:t>assets</w:t>
      </w:r>
      <w:r w:rsidR="00177848" w:rsidRPr="00D83915">
        <w:rPr>
          <w:spacing w:val="-2"/>
        </w:rPr>
        <w:t xml:space="preserve"> </w:t>
      </w:r>
      <w:r w:rsidRPr="00D83915">
        <w:rPr>
          <w:spacing w:val="-2"/>
        </w:rPr>
        <w:t>until</w:t>
      </w:r>
      <w:r w:rsidR="00177848" w:rsidRPr="00D83915">
        <w:rPr>
          <w:spacing w:val="-2"/>
        </w:rPr>
        <w:t xml:space="preserve"> </w:t>
      </w:r>
      <w:r w:rsidRPr="00D83915">
        <w:rPr>
          <w:spacing w:val="-2"/>
        </w:rPr>
        <w:t>the</w:t>
      </w:r>
      <w:r w:rsidR="00177848" w:rsidRPr="00D83915">
        <w:rPr>
          <w:spacing w:val="-2"/>
        </w:rPr>
        <w:t xml:space="preserve"> </w:t>
      </w:r>
      <w:r w:rsidRPr="00D83915">
        <w:rPr>
          <w:spacing w:val="-2"/>
        </w:rPr>
        <w:t>customer</w:t>
      </w:r>
      <w:r w:rsidR="00177848" w:rsidRPr="00D83915">
        <w:rPr>
          <w:spacing w:val="-2"/>
        </w:rPr>
        <w:t xml:space="preserve"> </w:t>
      </w:r>
      <w:r w:rsidRPr="00D83915">
        <w:rPr>
          <w:spacing w:val="-2"/>
        </w:rPr>
        <w:t>is</w:t>
      </w:r>
      <w:r w:rsidR="00177848" w:rsidRPr="00D83915">
        <w:rPr>
          <w:spacing w:val="-2"/>
        </w:rPr>
        <w:t xml:space="preserve"> </w:t>
      </w:r>
      <w:r w:rsidRPr="00D83915">
        <w:rPr>
          <w:spacing w:val="-2"/>
        </w:rPr>
        <w:t>subsequently</w:t>
      </w:r>
      <w:r w:rsidR="00177848" w:rsidRPr="00D83915">
        <w:rPr>
          <w:spacing w:val="-2"/>
        </w:rPr>
        <w:t xml:space="preserve"> </w:t>
      </w:r>
      <w:r w:rsidRPr="00D83915">
        <w:rPr>
          <w:spacing w:val="-2"/>
        </w:rPr>
        <w:t>invoiced</w:t>
      </w:r>
      <w:r w:rsidR="00177848" w:rsidRPr="00D83915">
        <w:rPr>
          <w:spacing w:val="-2"/>
        </w:rPr>
        <w:t xml:space="preserve"> </w:t>
      </w:r>
      <w:r w:rsidRPr="00D83915">
        <w:rPr>
          <w:spacing w:val="-2"/>
        </w:rPr>
        <w:t>in</w:t>
      </w:r>
      <w:r w:rsidR="00177848" w:rsidRPr="00D83915">
        <w:rPr>
          <w:spacing w:val="-2"/>
        </w:rPr>
        <w:t xml:space="preserve"> </w:t>
      </w:r>
      <w:r w:rsidRPr="00D83915">
        <w:rPr>
          <w:spacing w:val="-2"/>
        </w:rPr>
        <w:t>accordance</w:t>
      </w:r>
      <w:r w:rsidR="00177848" w:rsidRPr="00D83915">
        <w:rPr>
          <w:spacing w:val="-2"/>
        </w:rPr>
        <w:t xml:space="preserve"> </w:t>
      </w:r>
      <w:r w:rsidRPr="00D83915">
        <w:rPr>
          <w:spacing w:val="-2"/>
        </w:rPr>
        <w:t>with</w:t>
      </w:r>
      <w:r w:rsidR="00177848" w:rsidRPr="00D83915">
        <w:rPr>
          <w:spacing w:val="-2"/>
        </w:rPr>
        <w:t xml:space="preserve"> </w:t>
      </w:r>
      <w:r w:rsidRPr="00D83915">
        <w:rPr>
          <w:spacing w:val="-2"/>
        </w:rPr>
        <w:t>the</w:t>
      </w:r>
      <w:r w:rsidR="00177848" w:rsidRPr="00D83915">
        <w:rPr>
          <w:spacing w:val="-2"/>
        </w:rPr>
        <w:t xml:space="preserve"> </w:t>
      </w:r>
      <w:r w:rsidRPr="00D83915">
        <w:rPr>
          <w:spacing w:val="-2"/>
        </w:rPr>
        <w:t>terms</w:t>
      </w:r>
      <w:r w:rsidR="00177848" w:rsidRPr="00D83915">
        <w:rPr>
          <w:spacing w:val="-2"/>
        </w:rPr>
        <w:t xml:space="preserve"> </w:t>
      </w:r>
      <w:r w:rsidRPr="00D83915">
        <w:rPr>
          <w:spacing w:val="-2"/>
        </w:rPr>
        <w:t>of</w:t>
      </w:r>
      <w:r w:rsidR="00177848" w:rsidRPr="00D83915">
        <w:rPr>
          <w:spacing w:val="-2"/>
        </w:rPr>
        <w:t xml:space="preserve"> </w:t>
      </w:r>
      <w:r w:rsidRPr="00D83915">
        <w:rPr>
          <w:spacing w:val="-2"/>
        </w:rPr>
        <w:t>the</w:t>
      </w:r>
      <w:r w:rsidR="00177848" w:rsidRPr="00D83915">
        <w:rPr>
          <w:spacing w:val="-2"/>
        </w:rPr>
        <w:t xml:space="preserve"> </w:t>
      </w:r>
      <w:r w:rsidRPr="00D83915">
        <w:rPr>
          <w:spacing w:val="-2"/>
        </w:rPr>
        <w:t>service</w:t>
      </w:r>
      <w:r w:rsidR="00177848" w:rsidRPr="00D83915">
        <w:rPr>
          <w:spacing w:val="-2"/>
        </w:rPr>
        <w:t xml:space="preserve"> </w:t>
      </w:r>
      <w:r w:rsidRPr="00D83915">
        <w:rPr>
          <w:spacing w:val="-2"/>
        </w:rPr>
        <w:t>agreement.</w:t>
      </w:r>
      <w:r w:rsidR="00177848" w:rsidRPr="00D83915">
        <w:rPr>
          <w:spacing w:val="-2"/>
        </w:rPr>
        <w:t xml:space="preserve"> </w:t>
      </w:r>
      <w:r w:rsidRPr="00D83915">
        <w:rPr>
          <w:spacing w:val="-2"/>
        </w:rPr>
        <w:t>For</w:t>
      </w:r>
      <w:r w:rsidR="00177848" w:rsidRPr="00D83915">
        <w:rPr>
          <w:rFonts w:cs="Cambria"/>
          <w:spacing w:val="-2"/>
        </w:rPr>
        <w:t xml:space="preserve"> </w:t>
      </w:r>
      <w:r w:rsidRPr="00D83915">
        <w:rPr>
          <w:spacing w:val="-2"/>
        </w:rPr>
        <w:t>other</w:t>
      </w:r>
      <w:r w:rsidR="00177848" w:rsidRPr="00D83915">
        <w:rPr>
          <w:spacing w:val="-2"/>
        </w:rPr>
        <w:t xml:space="preserve"> </w:t>
      </w:r>
      <w:r w:rsidRPr="00D83915">
        <w:rPr>
          <w:spacing w:val="-2"/>
        </w:rPr>
        <w:t>customers</w:t>
      </w:r>
      <w:r w:rsidR="00177848" w:rsidRPr="00D83915">
        <w:rPr>
          <w:spacing w:val="-2"/>
        </w:rPr>
        <w:t xml:space="preserve"> </w:t>
      </w:r>
      <w:r w:rsidRPr="00D83915">
        <w:rPr>
          <w:spacing w:val="-2"/>
        </w:rPr>
        <w:t>that</w:t>
      </w:r>
      <w:r w:rsidR="00177848" w:rsidRPr="00D83915">
        <w:rPr>
          <w:spacing w:val="-2"/>
        </w:rPr>
        <w:t xml:space="preserve"> </w:t>
      </w:r>
      <w:r w:rsidRPr="00D83915">
        <w:rPr>
          <w:spacing w:val="-2"/>
        </w:rPr>
        <w:t>are</w:t>
      </w:r>
      <w:r w:rsidR="00177848" w:rsidRPr="00D83915">
        <w:rPr>
          <w:spacing w:val="-2"/>
        </w:rPr>
        <w:t xml:space="preserve"> </w:t>
      </w:r>
      <w:r w:rsidRPr="00D83915">
        <w:rPr>
          <w:spacing w:val="-2"/>
        </w:rPr>
        <w:t>only</w:t>
      </w:r>
      <w:r w:rsidR="00177848" w:rsidRPr="00D83915">
        <w:rPr>
          <w:spacing w:val="-2"/>
        </w:rPr>
        <w:t xml:space="preserve"> </w:t>
      </w:r>
      <w:r w:rsidRPr="00D83915">
        <w:rPr>
          <w:spacing w:val="-2"/>
        </w:rPr>
        <w:t>able</w:t>
      </w:r>
      <w:r w:rsidR="00177848" w:rsidRPr="00D83915">
        <w:rPr>
          <w:spacing w:val="-2"/>
        </w:rPr>
        <w:t xml:space="preserve"> </w:t>
      </w:r>
      <w:r w:rsidRPr="00D83915">
        <w:rPr>
          <w:spacing w:val="-2"/>
        </w:rPr>
        <w:t>to</w:t>
      </w:r>
      <w:r w:rsidR="00177848" w:rsidRPr="00D83915">
        <w:rPr>
          <w:spacing w:val="-2"/>
        </w:rPr>
        <w:t xml:space="preserve"> </w:t>
      </w:r>
      <w:r w:rsidRPr="00D83915">
        <w:rPr>
          <w:spacing w:val="-2"/>
        </w:rPr>
        <w:t>consume</w:t>
      </w:r>
      <w:r w:rsidR="00177848" w:rsidRPr="00D83915">
        <w:rPr>
          <w:spacing w:val="-2"/>
        </w:rPr>
        <w:t xml:space="preserve"> </w:t>
      </w:r>
      <w:r w:rsidRPr="00D83915">
        <w:rPr>
          <w:spacing w:val="-2"/>
        </w:rPr>
        <w:t>the</w:t>
      </w:r>
      <w:r w:rsidR="00177848" w:rsidRPr="00D83915">
        <w:rPr>
          <w:spacing w:val="-2"/>
        </w:rPr>
        <w:t xml:space="preserve"> </w:t>
      </w:r>
      <w:r w:rsidRPr="00D83915">
        <w:rPr>
          <w:spacing w:val="-2"/>
        </w:rPr>
        <w:t>services</w:t>
      </w:r>
      <w:r w:rsidR="00177848" w:rsidRPr="00D83915">
        <w:rPr>
          <w:spacing w:val="-2"/>
        </w:rPr>
        <w:t xml:space="preserve"> </w:t>
      </w:r>
      <w:r w:rsidRPr="00D83915">
        <w:rPr>
          <w:spacing w:val="-2"/>
        </w:rPr>
        <w:t>when</w:t>
      </w:r>
      <w:r w:rsidR="00177848" w:rsidRPr="00D83915">
        <w:rPr>
          <w:spacing w:val="-2"/>
        </w:rPr>
        <w:t xml:space="preserve"> </w:t>
      </w:r>
      <w:r w:rsidRPr="00D83915">
        <w:rPr>
          <w:spacing w:val="-2"/>
        </w:rPr>
        <w:t>they</w:t>
      </w:r>
      <w:r w:rsidR="00177848" w:rsidRPr="00D83915">
        <w:rPr>
          <w:spacing w:val="-2"/>
        </w:rPr>
        <w:t xml:space="preserve"> </w:t>
      </w:r>
      <w:r w:rsidRPr="00D83915">
        <w:rPr>
          <w:spacing w:val="-2"/>
        </w:rPr>
        <w:t>have</w:t>
      </w:r>
      <w:r w:rsidR="00177848" w:rsidRPr="00D83915">
        <w:rPr>
          <w:spacing w:val="-2"/>
        </w:rPr>
        <w:t xml:space="preserve"> </w:t>
      </w:r>
      <w:r w:rsidRPr="00D83915">
        <w:rPr>
          <w:spacing w:val="-2"/>
        </w:rPr>
        <w:t>been</w:t>
      </w:r>
      <w:r w:rsidR="00177848" w:rsidRPr="00D83915">
        <w:rPr>
          <w:spacing w:val="-2"/>
        </w:rPr>
        <w:t xml:space="preserve"> </w:t>
      </w:r>
      <w:r w:rsidRPr="00D83915">
        <w:rPr>
          <w:spacing w:val="-2"/>
        </w:rPr>
        <w:t>completed,</w:t>
      </w:r>
      <w:r w:rsidR="00177848" w:rsidRPr="00D83915">
        <w:rPr>
          <w:spacing w:val="-2"/>
        </w:rPr>
        <w:t xml:space="preserve"> </w:t>
      </w:r>
      <w:r w:rsidRPr="00D83915">
        <w:rPr>
          <w:spacing w:val="-2"/>
        </w:rPr>
        <w:t>revenue</w:t>
      </w:r>
      <w:r w:rsidR="00177848" w:rsidRPr="00D83915">
        <w:rPr>
          <w:spacing w:val="-2"/>
        </w:rPr>
        <w:t xml:space="preserve"> </w:t>
      </w:r>
      <w:r w:rsidRPr="00D83915">
        <w:rPr>
          <w:spacing w:val="-2"/>
        </w:rPr>
        <w:t>is</w:t>
      </w:r>
      <w:r w:rsidR="00177848" w:rsidRPr="00D83915">
        <w:rPr>
          <w:spacing w:val="-2"/>
        </w:rPr>
        <w:t xml:space="preserve"> </w:t>
      </w:r>
      <w:r w:rsidRPr="00D83915">
        <w:rPr>
          <w:spacing w:val="-2"/>
        </w:rPr>
        <w:t>only</w:t>
      </w:r>
      <w:r w:rsidR="00177848" w:rsidRPr="00D83915">
        <w:rPr>
          <w:spacing w:val="-2"/>
        </w:rPr>
        <w:t xml:space="preserve"> </w:t>
      </w:r>
      <w:r w:rsidRPr="00D83915">
        <w:rPr>
          <w:spacing w:val="-2"/>
        </w:rPr>
        <w:t>recognised</w:t>
      </w:r>
      <w:r w:rsidR="00177848" w:rsidRPr="00D83915">
        <w:rPr>
          <w:spacing w:val="-2"/>
        </w:rPr>
        <w:t xml:space="preserve"> </w:t>
      </w:r>
      <w:r w:rsidRPr="00D83915">
        <w:rPr>
          <w:spacing w:val="-2"/>
        </w:rPr>
        <w:t>upon</w:t>
      </w:r>
      <w:r w:rsidR="00177848" w:rsidRPr="00D83915">
        <w:rPr>
          <w:spacing w:val="-2"/>
        </w:rPr>
        <w:t xml:space="preserve"> </w:t>
      </w:r>
      <w:r w:rsidRPr="00D83915">
        <w:rPr>
          <w:spacing w:val="-2"/>
        </w:rPr>
        <w:t>completion</w:t>
      </w:r>
      <w:r w:rsidR="00177848" w:rsidRPr="00D83915">
        <w:rPr>
          <w:spacing w:val="-2"/>
        </w:rPr>
        <w:t xml:space="preserve"> </w:t>
      </w:r>
      <w:r w:rsidRPr="00D83915">
        <w:rPr>
          <w:spacing w:val="-2"/>
        </w:rPr>
        <w:t>and</w:t>
      </w:r>
      <w:r w:rsidR="00177848" w:rsidRPr="00D83915">
        <w:rPr>
          <w:spacing w:val="-2"/>
        </w:rPr>
        <w:t xml:space="preserve"> </w:t>
      </w:r>
      <w:r w:rsidRPr="00D83915">
        <w:rPr>
          <w:spacing w:val="-2"/>
        </w:rPr>
        <w:t>delivery</w:t>
      </w:r>
      <w:r w:rsidR="00177848" w:rsidRPr="00D83915">
        <w:rPr>
          <w:spacing w:val="-2"/>
        </w:rPr>
        <w:t xml:space="preserve"> </w:t>
      </w:r>
      <w:r w:rsidRPr="00D83915">
        <w:rPr>
          <w:spacing w:val="-2"/>
        </w:rPr>
        <w:t>of</w:t>
      </w:r>
      <w:r w:rsidR="00177848" w:rsidRPr="00D83915">
        <w:rPr>
          <w:spacing w:val="-2"/>
        </w:rPr>
        <w:t xml:space="preserve"> </w:t>
      </w:r>
      <w:r w:rsidRPr="00D83915">
        <w:rPr>
          <w:spacing w:val="-2"/>
        </w:rPr>
        <w:t>the</w:t>
      </w:r>
      <w:r w:rsidR="00177848" w:rsidRPr="00D83915">
        <w:rPr>
          <w:spacing w:val="-2"/>
        </w:rPr>
        <w:t xml:space="preserve"> </w:t>
      </w:r>
      <w:r w:rsidRPr="00D83915">
        <w:rPr>
          <w:spacing w:val="-2"/>
        </w:rPr>
        <w:t>services.</w:t>
      </w:r>
      <w:r w:rsidR="00177848" w:rsidRPr="00D83915">
        <w:rPr>
          <w:spacing w:val="-2"/>
        </w:rPr>
        <w:t xml:space="preserve"> </w:t>
      </w:r>
      <w:r w:rsidRPr="00D83915">
        <w:rPr>
          <w:spacing w:val="-2"/>
        </w:rPr>
        <w:t>In</w:t>
      </w:r>
      <w:r w:rsidR="00177848" w:rsidRPr="00D83915">
        <w:rPr>
          <w:spacing w:val="-2"/>
        </w:rPr>
        <w:t xml:space="preserve"> </w:t>
      </w:r>
      <w:r w:rsidRPr="00D83915">
        <w:rPr>
          <w:spacing w:val="-2"/>
        </w:rPr>
        <w:t>rare</w:t>
      </w:r>
      <w:r w:rsidR="00177848" w:rsidRPr="00D83915">
        <w:rPr>
          <w:spacing w:val="-2"/>
        </w:rPr>
        <w:t xml:space="preserve"> </w:t>
      </w:r>
      <w:r w:rsidRPr="00D83915">
        <w:rPr>
          <w:spacing w:val="-2"/>
        </w:rPr>
        <w:t>circumstance</w:t>
      </w:r>
      <w:r w:rsidR="00177848" w:rsidRPr="00D83915">
        <w:rPr>
          <w:spacing w:val="-2"/>
        </w:rPr>
        <w:t xml:space="preserve"> </w:t>
      </w:r>
      <w:r w:rsidRPr="00D83915">
        <w:rPr>
          <w:spacing w:val="-2"/>
        </w:rPr>
        <w:t>where</w:t>
      </w:r>
      <w:r w:rsidR="00177848" w:rsidRPr="00D83915">
        <w:rPr>
          <w:spacing w:val="-2"/>
        </w:rPr>
        <w:t xml:space="preserve"> </w:t>
      </w:r>
      <w:r w:rsidRPr="00D83915">
        <w:rPr>
          <w:spacing w:val="-2"/>
        </w:rPr>
        <w:t>there</w:t>
      </w:r>
      <w:r w:rsidR="00177848" w:rsidRPr="00D83915">
        <w:rPr>
          <w:spacing w:val="-2"/>
        </w:rPr>
        <w:t xml:space="preserve"> </w:t>
      </w:r>
      <w:r w:rsidRPr="00D83915">
        <w:rPr>
          <w:spacing w:val="-2"/>
        </w:rPr>
        <w:t>may</w:t>
      </w:r>
      <w:r w:rsidR="00177848" w:rsidRPr="00D83915">
        <w:rPr>
          <w:spacing w:val="-2"/>
        </w:rPr>
        <w:t xml:space="preserve"> </w:t>
      </w:r>
      <w:r w:rsidRPr="00D83915">
        <w:rPr>
          <w:spacing w:val="-2"/>
        </w:rPr>
        <w:t>be</w:t>
      </w:r>
      <w:r w:rsidR="00177848" w:rsidRPr="00D83915">
        <w:rPr>
          <w:spacing w:val="-2"/>
        </w:rPr>
        <w:t xml:space="preserve"> </w:t>
      </w:r>
      <w:r w:rsidRPr="00D83915">
        <w:rPr>
          <w:spacing w:val="-2"/>
        </w:rPr>
        <w:t>a</w:t>
      </w:r>
      <w:r w:rsidR="00177848" w:rsidRPr="00D83915">
        <w:rPr>
          <w:spacing w:val="-2"/>
        </w:rPr>
        <w:t xml:space="preserve"> </w:t>
      </w:r>
      <w:r w:rsidRPr="00D83915">
        <w:rPr>
          <w:spacing w:val="-2"/>
        </w:rPr>
        <w:t>change</w:t>
      </w:r>
      <w:r w:rsidR="00177848" w:rsidRPr="00D83915">
        <w:rPr>
          <w:spacing w:val="-2"/>
        </w:rPr>
        <w:t xml:space="preserve"> </w:t>
      </w:r>
      <w:r w:rsidRPr="00D83915">
        <w:rPr>
          <w:spacing w:val="-2"/>
        </w:rPr>
        <w:t>in</w:t>
      </w:r>
      <w:r w:rsidR="00177848" w:rsidRPr="00D83915">
        <w:rPr>
          <w:spacing w:val="-2"/>
        </w:rPr>
        <w:t xml:space="preserve"> </w:t>
      </w:r>
      <w:r w:rsidRPr="00D83915">
        <w:rPr>
          <w:spacing w:val="-2"/>
        </w:rPr>
        <w:t>the</w:t>
      </w:r>
      <w:r w:rsidR="00177848" w:rsidRPr="00D83915">
        <w:rPr>
          <w:spacing w:val="-2"/>
        </w:rPr>
        <w:t xml:space="preserve"> </w:t>
      </w:r>
      <w:r w:rsidRPr="00D83915">
        <w:rPr>
          <w:spacing w:val="-2"/>
        </w:rPr>
        <w:t>scope</w:t>
      </w:r>
      <w:r w:rsidR="00177848" w:rsidRPr="00D83915">
        <w:rPr>
          <w:spacing w:val="-2"/>
        </w:rPr>
        <w:t xml:space="preserve"> </w:t>
      </w:r>
      <w:r w:rsidRPr="00D83915">
        <w:rPr>
          <w:spacing w:val="-2"/>
        </w:rPr>
        <w:t>of</w:t>
      </w:r>
      <w:r w:rsidR="00177848" w:rsidRPr="00D83915">
        <w:rPr>
          <w:spacing w:val="-2"/>
        </w:rPr>
        <w:t xml:space="preserve"> </w:t>
      </w:r>
      <w:r w:rsidRPr="00D83915">
        <w:rPr>
          <w:spacing w:val="-2"/>
        </w:rPr>
        <w:t>services</w:t>
      </w:r>
      <w:r w:rsidR="00177848" w:rsidRPr="00D83915">
        <w:rPr>
          <w:spacing w:val="-2"/>
        </w:rPr>
        <w:t xml:space="preserve"> </w:t>
      </w:r>
      <w:r w:rsidRPr="00D83915">
        <w:rPr>
          <w:spacing w:val="-2"/>
        </w:rPr>
        <w:t>provided,</w:t>
      </w:r>
      <w:r w:rsidR="00177848" w:rsidRPr="00D83915">
        <w:rPr>
          <w:spacing w:val="-2"/>
        </w:rPr>
        <w:t xml:space="preserve"> </w:t>
      </w:r>
      <w:r w:rsidRPr="00D83915">
        <w:rPr>
          <w:spacing w:val="-2"/>
        </w:rPr>
        <w:t>the</w:t>
      </w:r>
      <w:r w:rsidR="00177848" w:rsidRPr="00D83915">
        <w:rPr>
          <w:spacing w:val="-2"/>
        </w:rPr>
        <w:t xml:space="preserve"> </w:t>
      </w:r>
      <w:r w:rsidRPr="00D83915">
        <w:rPr>
          <w:spacing w:val="-2"/>
        </w:rPr>
        <w:t>customer</w:t>
      </w:r>
      <w:r w:rsidR="00177848" w:rsidRPr="00D83915">
        <w:rPr>
          <w:spacing w:val="-2"/>
        </w:rPr>
        <w:t xml:space="preserve"> </w:t>
      </w:r>
      <w:r w:rsidRPr="00D83915">
        <w:rPr>
          <w:spacing w:val="-2"/>
        </w:rPr>
        <w:t>will</w:t>
      </w:r>
      <w:r w:rsidR="00177848" w:rsidRPr="00D83915">
        <w:rPr>
          <w:spacing w:val="-2"/>
        </w:rPr>
        <w:t xml:space="preserve"> </w:t>
      </w:r>
      <w:r w:rsidRPr="00D83915">
        <w:rPr>
          <w:spacing w:val="-2"/>
        </w:rPr>
        <w:t>be</w:t>
      </w:r>
      <w:r w:rsidR="00177848" w:rsidRPr="00D83915">
        <w:rPr>
          <w:spacing w:val="-2"/>
        </w:rPr>
        <w:t xml:space="preserve"> </w:t>
      </w:r>
      <w:r w:rsidRPr="00D83915">
        <w:rPr>
          <w:spacing w:val="-2"/>
        </w:rPr>
        <w:t>provided</w:t>
      </w:r>
      <w:r w:rsidR="00177848" w:rsidRPr="00D83915">
        <w:rPr>
          <w:spacing w:val="-2"/>
        </w:rPr>
        <w:t xml:space="preserve"> </w:t>
      </w:r>
      <w:r w:rsidRPr="00D83915">
        <w:rPr>
          <w:spacing w:val="-2"/>
        </w:rPr>
        <w:t>with</w:t>
      </w:r>
      <w:r w:rsidR="00177848" w:rsidRPr="00D83915">
        <w:rPr>
          <w:spacing w:val="-2"/>
        </w:rPr>
        <w:t xml:space="preserve"> </w:t>
      </w:r>
      <w:r w:rsidRPr="00D83915">
        <w:rPr>
          <w:spacing w:val="-2"/>
        </w:rPr>
        <w:t>a</w:t>
      </w:r>
      <w:r w:rsidR="00177848" w:rsidRPr="00D83915">
        <w:rPr>
          <w:spacing w:val="-2"/>
        </w:rPr>
        <w:t xml:space="preserve"> </w:t>
      </w:r>
      <w:r w:rsidRPr="00D83915">
        <w:rPr>
          <w:spacing w:val="-2"/>
        </w:rPr>
        <w:t>new</w:t>
      </w:r>
      <w:r w:rsidR="00177848" w:rsidRPr="00D83915">
        <w:rPr>
          <w:spacing w:val="-2"/>
        </w:rPr>
        <w:t xml:space="preserve"> </w:t>
      </w:r>
      <w:r w:rsidRPr="00D83915">
        <w:rPr>
          <w:spacing w:val="-2"/>
        </w:rPr>
        <w:t>contract</w:t>
      </w:r>
      <w:r w:rsidR="00177848" w:rsidRPr="00D83915">
        <w:rPr>
          <w:spacing w:val="-2"/>
        </w:rPr>
        <w:t xml:space="preserve"> </w:t>
      </w:r>
      <w:r w:rsidRPr="00D83915">
        <w:rPr>
          <w:spacing w:val="-2"/>
        </w:rPr>
        <w:t>for</w:t>
      </w:r>
      <w:r w:rsidR="00177848" w:rsidRPr="00D83915">
        <w:rPr>
          <w:spacing w:val="-2"/>
        </w:rPr>
        <w:t xml:space="preserve"> </w:t>
      </w:r>
      <w:r w:rsidRPr="00D83915">
        <w:rPr>
          <w:spacing w:val="-2"/>
        </w:rPr>
        <w:t>the</w:t>
      </w:r>
      <w:r w:rsidR="00177848" w:rsidRPr="00D83915">
        <w:rPr>
          <w:spacing w:val="-2"/>
        </w:rPr>
        <w:t xml:space="preserve"> </w:t>
      </w:r>
      <w:r w:rsidRPr="00D83915">
        <w:rPr>
          <w:spacing w:val="-2"/>
        </w:rPr>
        <w:t>additional</w:t>
      </w:r>
      <w:r w:rsidR="00177848" w:rsidRPr="00D83915">
        <w:rPr>
          <w:spacing w:val="-2"/>
        </w:rPr>
        <w:t xml:space="preserve"> </w:t>
      </w:r>
      <w:r w:rsidRPr="00D83915">
        <w:rPr>
          <w:spacing w:val="-2"/>
        </w:rPr>
        <w:t>services</w:t>
      </w:r>
      <w:r w:rsidR="00177848" w:rsidRPr="00D83915">
        <w:rPr>
          <w:spacing w:val="-2"/>
        </w:rPr>
        <w:t xml:space="preserve"> </w:t>
      </w:r>
      <w:r w:rsidRPr="00D83915">
        <w:rPr>
          <w:spacing w:val="-2"/>
        </w:rPr>
        <w:t>to</w:t>
      </w:r>
      <w:r w:rsidR="00177848" w:rsidRPr="00D83915">
        <w:rPr>
          <w:spacing w:val="-2"/>
        </w:rPr>
        <w:t xml:space="preserve"> </w:t>
      </w:r>
      <w:r w:rsidRPr="00D83915">
        <w:rPr>
          <w:spacing w:val="-2"/>
        </w:rPr>
        <w:t>be</w:t>
      </w:r>
      <w:r w:rsidR="00177848" w:rsidRPr="00D83915">
        <w:rPr>
          <w:spacing w:val="-2"/>
        </w:rPr>
        <w:t xml:space="preserve"> </w:t>
      </w:r>
      <w:r w:rsidRPr="00D83915">
        <w:rPr>
          <w:spacing w:val="-2"/>
        </w:rPr>
        <w:t>rendered</w:t>
      </w:r>
      <w:r w:rsidR="00177848" w:rsidRPr="00D83915">
        <w:rPr>
          <w:spacing w:val="-2"/>
        </w:rPr>
        <w:t xml:space="preserve"> </w:t>
      </w:r>
      <w:r w:rsidRPr="00D83915">
        <w:rPr>
          <w:spacing w:val="-2"/>
        </w:rPr>
        <w:t>and</w:t>
      </w:r>
      <w:r w:rsidR="00177848" w:rsidRPr="00D83915">
        <w:rPr>
          <w:rFonts w:cs="Cambria"/>
          <w:spacing w:val="-2"/>
        </w:rPr>
        <w:t xml:space="preserve"> </w:t>
      </w:r>
      <w:r w:rsidRPr="00D83915">
        <w:rPr>
          <w:spacing w:val="-2"/>
        </w:rPr>
        <w:t>revenue</w:t>
      </w:r>
      <w:r w:rsidR="00177848" w:rsidRPr="00D83915">
        <w:rPr>
          <w:spacing w:val="-2"/>
        </w:rPr>
        <w:t xml:space="preserve"> </w:t>
      </w:r>
      <w:r w:rsidRPr="00D83915">
        <w:rPr>
          <w:spacing w:val="-2"/>
        </w:rPr>
        <w:t>is</w:t>
      </w:r>
      <w:r w:rsidR="00177848" w:rsidRPr="00D83915">
        <w:rPr>
          <w:spacing w:val="-2"/>
        </w:rPr>
        <w:t xml:space="preserve"> </w:t>
      </w:r>
      <w:r w:rsidRPr="00D83915">
        <w:rPr>
          <w:spacing w:val="-2"/>
        </w:rPr>
        <w:t>recognised</w:t>
      </w:r>
      <w:r w:rsidR="00177848" w:rsidRPr="00D83915">
        <w:rPr>
          <w:spacing w:val="-2"/>
        </w:rPr>
        <w:t xml:space="preserve"> </w:t>
      </w:r>
      <w:r w:rsidRPr="00D83915">
        <w:rPr>
          <w:spacing w:val="-2"/>
        </w:rPr>
        <w:t>consistent</w:t>
      </w:r>
      <w:r w:rsidR="00177848" w:rsidRPr="00D83915">
        <w:rPr>
          <w:spacing w:val="-2"/>
        </w:rPr>
        <w:t xml:space="preserve"> </w:t>
      </w:r>
      <w:r w:rsidRPr="00D83915">
        <w:rPr>
          <w:spacing w:val="-2"/>
        </w:rPr>
        <w:t>with</w:t>
      </w:r>
      <w:r w:rsidR="00177848" w:rsidRPr="00D83915">
        <w:rPr>
          <w:spacing w:val="-2"/>
        </w:rPr>
        <w:t xml:space="preserve"> </w:t>
      </w:r>
      <w:r w:rsidRPr="00D83915">
        <w:rPr>
          <w:spacing w:val="-2"/>
        </w:rPr>
        <w:t>accounting</w:t>
      </w:r>
      <w:r w:rsidR="00177848" w:rsidRPr="00D83915">
        <w:rPr>
          <w:spacing w:val="-2"/>
        </w:rPr>
        <w:t xml:space="preserve"> </w:t>
      </w:r>
      <w:r w:rsidRPr="00D83915">
        <w:rPr>
          <w:spacing w:val="-2"/>
        </w:rPr>
        <w:t>policy</w:t>
      </w:r>
      <w:r w:rsidR="00177848" w:rsidRPr="00D83915">
        <w:rPr>
          <w:spacing w:val="-2"/>
        </w:rPr>
        <w:t xml:space="preserve"> </w:t>
      </w:r>
      <w:r w:rsidRPr="00D83915">
        <w:rPr>
          <w:spacing w:val="-2"/>
        </w:rPr>
        <w:t>above.</w:t>
      </w:r>
    </w:p>
    <w:p w14:paraId="3D733B0B" w14:textId="27A89412" w:rsidR="00EE5BB8" w:rsidRPr="00C6052E" w:rsidRDefault="00EE5BB8" w:rsidP="000C0740">
      <w:pPr>
        <w:pStyle w:val="Heading3numbered0"/>
      </w:pPr>
      <w:bookmarkStart w:id="119" w:name="_Toc163565819"/>
      <w:r w:rsidRPr="00C6052E">
        <w:t>Other</w:t>
      </w:r>
      <w:r w:rsidR="00177848" w:rsidRPr="00C6052E">
        <w:t xml:space="preserve"> </w:t>
      </w:r>
      <w:r w:rsidRPr="00C6052E">
        <w:t>income</w:t>
      </w:r>
      <w:bookmarkEnd w:id="119"/>
      <w:r w:rsidR="00D83915">
        <w:t xml:space="preserve"> </w:t>
      </w:r>
      <w:r w:rsidR="00D83915" w:rsidRPr="00C6052E">
        <w:t>($ thousand)</w:t>
      </w:r>
    </w:p>
    <w:tbl>
      <w:tblPr>
        <w:tblStyle w:val="TableGrid"/>
        <w:tblW w:w="6091" w:type="dxa"/>
        <w:tblLayout w:type="fixed"/>
        <w:tblLook w:val="04E0" w:firstRow="1" w:lastRow="1" w:firstColumn="1" w:lastColumn="0" w:noHBand="0" w:noVBand="1"/>
      </w:tblPr>
      <w:tblGrid>
        <w:gridCol w:w="3539"/>
        <w:gridCol w:w="1276"/>
        <w:gridCol w:w="1276"/>
      </w:tblGrid>
      <w:tr w:rsidR="00EE5BB8" w:rsidRPr="00C6052E" w14:paraId="454DD1E7" w14:textId="77777777" w:rsidTr="00246C6A">
        <w:tc>
          <w:tcPr>
            <w:tcW w:w="3539" w:type="dxa"/>
            <w:noWrap/>
            <w:hideMark/>
          </w:tcPr>
          <w:p w14:paraId="0DEF6FA5" w14:textId="77777777" w:rsidR="00EE5BB8" w:rsidRPr="00C6052E" w:rsidRDefault="00EE5BB8" w:rsidP="00246C6A">
            <w:pPr>
              <w:pStyle w:val="TableColumnHeading"/>
            </w:pPr>
            <w:bookmarkStart w:id="120" w:name="TableColumnHeadings_48"/>
            <w:bookmarkEnd w:id="120"/>
          </w:p>
        </w:tc>
        <w:tc>
          <w:tcPr>
            <w:tcW w:w="1276" w:type="dxa"/>
            <w:hideMark/>
          </w:tcPr>
          <w:p w14:paraId="359AC5E3" w14:textId="77777777" w:rsidR="00EE5BB8" w:rsidRPr="00C6052E" w:rsidRDefault="00EE5BB8" w:rsidP="00246C6A">
            <w:pPr>
              <w:pStyle w:val="TableColumnHeading"/>
              <w:jc w:val="right"/>
            </w:pPr>
            <w:r w:rsidRPr="00C6052E">
              <w:t>2025</w:t>
            </w:r>
          </w:p>
        </w:tc>
        <w:tc>
          <w:tcPr>
            <w:tcW w:w="1276" w:type="dxa"/>
            <w:hideMark/>
          </w:tcPr>
          <w:p w14:paraId="0DA6711B" w14:textId="77777777" w:rsidR="00EE5BB8" w:rsidRPr="00C6052E" w:rsidRDefault="00EE5BB8" w:rsidP="00246C6A">
            <w:pPr>
              <w:pStyle w:val="TableColumnHeading"/>
              <w:jc w:val="right"/>
            </w:pPr>
            <w:r w:rsidRPr="00C6052E">
              <w:t>2024</w:t>
            </w:r>
          </w:p>
        </w:tc>
      </w:tr>
      <w:tr w:rsidR="00EE5BB8" w:rsidRPr="00C6052E" w14:paraId="78C88DF8" w14:textId="77777777" w:rsidTr="00246C6A">
        <w:tc>
          <w:tcPr>
            <w:tcW w:w="3539" w:type="dxa"/>
            <w:hideMark/>
          </w:tcPr>
          <w:p w14:paraId="557A747E" w14:textId="56C4C4F3" w:rsidR="00EE5BB8" w:rsidRPr="00C6052E" w:rsidRDefault="00EE5BB8" w:rsidP="0063097D">
            <w:pPr>
              <w:pStyle w:val="TableCopy"/>
            </w:pPr>
            <w:r w:rsidRPr="00C6052E">
              <w:t>Regulatory</w:t>
            </w:r>
            <w:r w:rsidR="00177848" w:rsidRPr="00C6052E">
              <w:t xml:space="preserve"> </w:t>
            </w:r>
            <w:r w:rsidRPr="00C6052E">
              <w:t>charges,</w:t>
            </w:r>
            <w:r w:rsidR="00177848" w:rsidRPr="00C6052E">
              <w:t xml:space="preserve"> </w:t>
            </w:r>
            <w:r w:rsidRPr="00C6052E">
              <w:t>fees</w:t>
            </w:r>
            <w:r w:rsidR="00177848" w:rsidRPr="00C6052E">
              <w:t xml:space="preserve"> </w:t>
            </w:r>
            <w:r w:rsidRPr="00C6052E">
              <w:t>and</w:t>
            </w:r>
            <w:r w:rsidR="00177848" w:rsidRPr="00C6052E">
              <w:t xml:space="preserve"> </w:t>
            </w:r>
            <w:r w:rsidRPr="00C6052E">
              <w:t>fines</w:t>
            </w:r>
          </w:p>
        </w:tc>
        <w:tc>
          <w:tcPr>
            <w:tcW w:w="1276" w:type="dxa"/>
            <w:noWrap/>
            <w:hideMark/>
          </w:tcPr>
          <w:p w14:paraId="55D3DCFD" w14:textId="77777777" w:rsidR="00EE5BB8" w:rsidRPr="00C6052E" w:rsidRDefault="00EE5BB8" w:rsidP="00246C6A">
            <w:pPr>
              <w:pStyle w:val="TableCopy"/>
              <w:jc w:val="right"/>
            </w:pPr>
            <w:r w:rsidRPr="00C6052E">
              <w:t>8,637</w:t>
            </w:r>
          </w:p>
        </w:tc>
        <w:tc>
          <w:tcPr>
            <w:tcW w:w="1276" w:type="dxa"/>
            <w:noWrap/>
            <w:hideMark/>
          </w:tcPr>
          <w:p w14:paraId="3BD1C03C" w14:textId="77777777" w:rsidR="00EE5BB8" w:rsidRPr="00C6052E" w:rsidRDefault="00EE5BB8" w:rsidP="00246C6A">
            <w:pPr>
              <w:pStyle w:val="TableCopy"/>
              <w:jc w:val="right"/>
            </w:pPr>
            <w:r w:rsidRPr="00C6052E">
              <w:t>8,651</w:t>
            </w:r>
          </w:p>
        </w:tc>
      </w:tr>
      <w:tr w:rsidR="00EE5BB8" w:rsidRPr="00C6052E" w14:paraId="16349311" w14:textId="77777777" w:rsidTr="00246C6A">
        <w:tc>
          <w:tcPr>
            <w:tcW w:w="3539" w:type="dxa"/>
            <w:hideMark/>
          </w:tcPr>
          <w:p w14:paraId="40FB4A92" w14:textId="6D40E891" w:rsidR="00EE5BB8" w:rsidRPr="00C6052E" w:rsidRDefault="00EE5BB8" w:rsidP="0063097D">
            <w:pPr>
              <w:pStyle w:val="TableCopy"/>
            </w:pPr>
            <w:r w:rsidRPr="00C6052E">
              <w:t>Interest</w:t>
            </w:r>
            <w:r w:rsidR="00177848" w:rsidRPr="00C6052E">
              <w:t xml:space="preserve"> </w:t>
            </w:r>
            <w:r w:rsidRPr="00C6052E">
              <w:t>income</w:t>
            </w:r>
          </w:p>
        </w:tc>
        <w:tc>
          <w:tcPr>
            <w:tcW w:w="1276" w:type="dxa"/>
            <w:noWrap/>
            <w:hideMark/>
          </w:tcPr>
          <w:p w14:paraId="0368970A" w14:textId="77777777" w:rsidR="00EE5BB8" w:rsidRPr="00C6052E" w:rsidRDefault="00EE5BB8" w:rsidP="00246C6A">
            <w:pPr>
              <w:pStyle w:val="TableCopy"/>
              <w:jc w:val="right"/>
            </w:pPr>
            <w:r w:rsidRPr="00C6052E">
              <w:t>11,424</w:t>
            </w:r>
          </w:p>
        </w:tc>
        <w:tc>
          <w:tcPr>
            <w:tcW w:w="1276" w:type="dxa"/>
            <w:noWrap/>
            <w:hideMark/>
          </w:tcPr>
          <w:p w14:paraId="5E76FF7F" w14:textId="77777777" w:rsidR="00EE5BB8" w:rsidRPr="00C6052E" w:rsidRDefault="00EE5BB8" w:rsidP="00246C6A">
            <w:pPr>
              <w:pStyle w:val="TableCopy"/>
              <w:jc w:val="right"/>
            </w:pPr>
            <w:r w:rsidRPr="00C6052E">
              <w:t>10,968</w:t>
            </w:r>
          </w:p>
        </w:tc>
      </w:tr>
      <w:tr w:rsidR="00EE5BB8" w:rsidRPr="00C6052E" w14:paraId="4D167E0A" w14:textId="77777777" w:rsidTr="00246C6A">
        <w:tc>
          <w:tcPr>
            <w:tcW w:w="3539" w:type="dxa"/>
            <w:hideMark/>
          </w:tcPr>
          <w:p w14:paraId="79FAA42D" w14:textId="69950442" w:rsidR="00EE5BB8" w:rsidRPr="00C6052E" w:rsidRDefault="00EE5BB8" w:rsidP="0063097D">
            <w:pPr>
              <w:pStyle w:val="TableCopy"/>
            </w:pPr>
            <w:r w:rsidRPr="00C6052E">
              <w:t>Miscellaneous</w:t>
            </w:r>
            <w:r w:rsidR="00177848" w:rsidRPr="00C6052E">
              <w:t xml:space="preserve"> </w:t>
            </w:r>
            <w:r w:rsidRPr="00C6052E">
              <w:t>income</w:t>
            </w:r>
          </w:p>
        </w:tc>
        <w:tc>
          <w:tcPr>
            <w:tcW w:w="1276" w:type="dxa"/>
            <w:noWrap/>
            <w:hideMark/>
          </w:tcPr>
          <w:p w14:paraId="1F794A9C" w14:textId="77777777" w:rsidR="00EE5BB8" w:rsidRPr="00C6052E" w:rsidRDefault="00EE5BB8" w:rsidP="00246C6A">
            <w:pPr>
              <w:pStyle w:val="TableCopy"/>
              <w:jc w:val="right"/>
            </w:pPr>
            <w:r w:rsidRPr="00C6052E">
              <w:t>26,549</w:t>
            </w:r>
          </w:p>
        </w:tc>
        <w:tc>
          <w:tcPr>
            <w:tcW w:w="1276" w:type="dxa"/>
            <w:noWrap/>
            <w:hideMark/>
          </w:tcPr>
          <w:p w14:paraId="0B300AAE" w14:textId="77777777" w:rsidR="00EE5BB8" w:rsidRPr="00C6052E" w:rsidRDefault="00EE5BB8" w:rsidP="00246C6A">
            <w:pPr>
              <w:pStyle w:val="TableCopy"/>
              <w:jc w:val="right"/>
            </w:pPr>
            <w:r w:rsidRPr="00C6052E">
              <w:t>3,200</w:t>
            </w:r>
          </w:p>
        </w:tc>
      </w:tr>
      <w:tr w:rsidR="00EE5BB8" w:rsidRPr="00C6052E" w14:paraId="62D41A4A" w14:textId="77777777" w:rsidTr="00246C6A">
        <w:tc>
          <w:tcPr>
            <w:tcW w:w="3539" w:type="dxa"/>
            <w:hideMark/>
          </w:tcPr>
          <w:p w14:paraId="72EE34C0" w14:textId="6B0C7170" w:rsidR="00EE5BB8" w:rsidRPr="00C6052E" w:rsidRDefault="00EE5BB8" w:rsidP="0063097D">
            <w:pPr>
              <w:pStyle w:val="Tabletotal"/>
            </w:pPr>
            <w:r w:rsidRPr="00C6052E">
              <w:t>Total</w:t>
            </w:r>
            <w:r w:rsidR="00177848" w:rsidRPr="00C6052E">
              <w:t xml:space="preserve"> </w:t>
            </w:r>
            <w:r w:rsidRPr="00C6052E">
              <w:t>other</w:t>
            </w:r>
            <w:r w:rsidR="00177848" w:rsidRPr="00C6052E">
              <w:t xml:space="preserve"> </w:t>
            </w:r>
            <w:r w:rsidRPr="00C6052E">
              <w:t>income</w:t>
            </w:r>
          </w:p>
        </w:tc>
        <w:tc>
          <w:tcPr>
            <w:tcW w:w="1276" w:type="dxa"/>
            <w:noWrap/>
            <w:hideMark/>
          </w:tcPr>
          <w:p w14:paraId="376A91E7" w14:textId="77777777" w:rsidR="00EE5BB8" w:rsidRPr="00C6052E" w:rsidRDefault="00EE5BB8" w:rsidP="0063097D">
            <w:pPr>
              <w:pStyle w:val="Tabletotal"/>
              <w:jc w:val="right"/>
            </w:pPr>
            <w:r w:rsidRPr="00C6052E">
              <w:t>46,610</w:t>
            </w:r>
          </w:p>
        </w:tc>
        <w:tc>
          <w:tcPr>
            <w:tcW w:w="1276" w:type="dxa"/>
            <w:noWrap/>
            <w:hideMark/>
          </w:tcPr>
          <w:p w14:paraId="0E6C10FB" w14:textId="77777777" w:rsidR="00EE5BB8" w:rsidRPr="00C6052E" w:rsidRDefault="00EE5BB8" w:rsidP="0063097D">
            <w:pPr>
              <w:pStyle w:val="Tabletotal"/>
              <w:jc w:val="right"/>
            </w:pPr>
            <w:r w:rsidRPr="00C6052E">
              <w:t>22,819</w:t>
            </w:r>
          </w:p>
        </w:tc>
      </w:tr>
    </w:tbl>
    <w:p w14:paraId="7E01700E" w14:textId="5E52802C" w:rsidR="00EE5BB8" w:rsidRPr="00C6052E" w:rsidRDefault="00EE5BB8" w:rsidP="00D83915">
      <w:pPr>
        <w:spacing w:after="120"/>
      </w:pPr>
    </w:p>
    <w:p w14:paraId="1834CDDD" w14:textId="7CBF6243" w:rsidR="00EE5BB8" w:rsidRPr="00C6052E" w:rsidRDefault="00EE5BB8" w:rsidP="00EE5BB8">
      <w:r w:rsidRPr="00C6052E">
        <w:t>Fines</w:t>
      </w:r>
      <w:r w:rsidR="00177848" w:rsidRPr="00C6052E">
        <w:t xml:space="preserve"> </w:t>
      </w:r>
      <w:r w:rsidRPr="00C6052E">
        <w:t>and</w:t>
      </w:r>
      <w:r w:rsidR="00177848" w:rsidRPr="00C6052E">
        <w:t xml:space="preserve"> </w:t>
      </w:r>
      <w:r w:rsidRPr="00C6052E">
        <w:t>regulatory</w:t>
      </w:r>
      <w:r w:rsidR="00177848" w:rsidRPr="00C6052E">
        <w:t xml:space="preserve"> </w:t>
      </w:r>
      <w:r w:rsidRPr="00C6052E">
        <w:t>fees</w:t>
      </w:r>
      <w:r w:rsidR="00177848" w:rsidRPr="00C6052E">
        <w:t xml:space="preserve"> </w:t>
      </w:r>
      <w:r w:rsidRPr="00C6052E">
        <w:t>are</w:t>
      </w:r>
      <w:r w:rsidR="00177848" w:rsidRPr="00C6052E">
        <w:t xml:space="preserve"> </w:t>
      </w:r>
      <w:r w:rsidRPr="00C6052E">
        <w:t>recognised</w:t>
      </w:r>
      <w:r w:rsidR="00177848" w:rsidRPr="00C6052E">
        <w:t xml:space="preserve"> </w:t>
      </w:r>
      <w:r w:rsidRPr="00C6052E">
        <w:t>when</w:t>
      </w:r>
      <w:r w:rsidR="00177848" w:rsidRPr="00C6052E">
        <w:t xml:space="preserve"> </w:t>
      </w:r>
      <w:r w:rsidRPr="00C6052E">
        <w:t>an</w:t>
      </w:r>
      <w:r w:rsidR="00177848" w:rsidRPr="00C6052E">
        <w:t xml:space="preserve"> </w:t>
      </w:r>
      <w:r w:rsidRPr="00C6052E">
        <w:t>invoice</w:t>
      </w:r>
      <w:r w:rsidR="00177848" w:rsidRPr="00C6052E">
        <w:t xml:space="preserve"> </w:t>
      </w:r>
      <w:r w:rsidRPr="00C6052E">
        <w:t>is</w:t>
      </w:r>
      <w:r w:rsidR="00177848" w:rsidRPr="00C6052E">
        <w:t xml:space="preserve"> </w:t>
      </w:r>
      <w:r w:rsidRPr="00C6052E">
        <w:t>issued,</w:t>
      </w:r>
      <w:r w:rsidR="00177848" w:rsidRPr="00C6052E">
        <w:t xml:space="preserve"> </w:t>
      </w:r>
      <w:r w:rsidRPr="00C6052E">
        <w:t>which</w:t>
      </w:r>
      <w:r w:rsidR="00177848" w:rsidRPr="00C6052E">
        <w:t xml:space="preserve"> </w:t>
      </w:r>
      <w:r w:rsidRPr="00C6052E">
        <w:t>establishes</w:t>
      </w:r>
      <w:r w:rsidR="00177848" w:rsidRPr="00C6052E">
        <w:t xml:space="preserve"> </w:t>
      </w:r>
      <w:r w:rsidRPr="00C6052E">
        <w:t>the</w:t>
      </w:r>
      <w:r w:rsidR="00177848" w:rsidRPr="00C6052E">
        <w:t xml:space="preserve"> </w:t>
      </w:r>
      <w:r w:rsidRPr="00C6052E">
        <w:t>entitlement</w:t>
      </w:r>
      <w:r w:rsidR="00177848" w:rsidRPr="00C6052E">
        <w:t xml:space="preserve"> </w:t>
      </w:r>
      <w:r w:rsidRPr="00C6052E">
        <w:t>to</w:t>
      </w:r>
      <w:r w:rsidR="00177848" w:rsidRPr="00C6052E">
        <w:t xml:space="preserve"> </w:t>
      </w:r>
      <w:r w:rsidRPr="00C6052E">
        <w:t>payment.</w:t>
      </w:r>
      <w:r w:rsidR="00177848" w:rsidRPr="00C6052E">
        <w:t xml:space="preserve"> </w:t>
      </w:r>
      <w:bookmarkStart w:id="121" w:name="_Toc163565950"/>
      <w:bookmarkStart w:id="122" w:name="_Ref163567273"/>
      <w:bookmarkStart w:id="123" w:name="_Ref163567279"/>
    </w:p>
    <w:p w14:paraId="3CCA45AB" w14:textId="30F1197A" w:rsidR="00EE5BB8" w:rsidRPr="00C6052E" w:rsidRDefault="00EE5BB8" w:rsidP="000C0740">
      <w:pPr>
        <w:pStyle w:val="Heading3numbered0"/>
      </w:pPr>
      <w:r w:rsidRPr="00C6052E">
        <w:t>Assets</w:t>
      </w:r>
      <w:r w:rsidR="00177848" w:rsidRPr="00C6052E">
        <w:t xml:space="preserve"> </w:t>
      </w:r>
      <w:r w:rsidRPr="00C6052E">
        <w:t>received</w:t>
      </w:r>
      <w:r w:rsidR="00177848" w:rsidRPr="00C6052E">
        <w:t xml:space="preserve"> </w:t>
      </w:r>
      <w:r w:rsidRPr="00C6052E">
        <w:t>free</w:t>
      </w:r>
      <w:r w:rsidR="00177848" w:rsidRPr="00C6052E">
        <w:t xml:space="preserve"> </w:t>
      </w:r>
      <w:r w:rsidRPr="00C6052E">
        <w:t>of</w:t>
      </w:r>
      <w:r w:rsidR="00177848" w:rsidRPr="00C6052E">
        <w:t xml:space="preserve"> </w:t>
      </w:r>
      <w:r w:rsidRPr="00C6052E">
        <w:t>charge</w:t>
      </w:r>
      <w:r w:rsidR="00D83915">
        <w:t xml:space="preserve"> </w:t>
      </w:r>
      <w:r w:rsidR="00D83915" w:rsidRPr="00C6052E">
        <w:t>($ thousand)</w:t>
      </w:r>
    </w:p>
    <w:tbl>
      <w:tblPr>
        <w:tblStyle w:val="TableGrid"/>
        <w:tblW w:w="6096" w:type="dxa"/>
        <w:tblInd w:w="-5" w:type="dxa"/>
        <w:tblLayout w:type="fixed"/>
        <w:tblLook w:val="04E0" w:firstRow="1" w:lastRow="1" w:firstColumn="1" w:lastColumn="0" w:noHBand="0" w:noVBand="1"/>
      </w:tblPr>
      <w:tblGrid>
        <w:gridCol w:w="3544"/>
        <w:gridCol w:w="1276"/>
        <w:gridCol w:w="1276"/>
      </w:tblGrid>
      <w:tr w:rsidR="00EE5BB8" w:rsidRPr="00C6052E" w14:paraId="5E36F785" w14:textId="77777777" w:rsidTr="00246C6A">
        <w:tc>
          <w:tcPr>
            <w:tcW w:w="3544" w:type="dxa"/>
            <w:noWrap/>
            <w:hideMark/>
          </w:tcPr>
          <w:p w14:paraId="64B697CE" w14:textId="77777777" w:rsidR="00EE5BB8" w:rsidRPr="00C6052E" w:rsidRDefault="00EE5BB8" w:rsidP="00D83915">
            <w:pPr>
              <w:pStyle w:val="TableColumnHeading"/>
            </w:pPr>
            <w:bookmarkStart w:id="124" w:name="TableColumnHeadings_49"/>
            <w:bookmarkEnd w:id="124"/>
          </w:p>
        </w:tc>
        <w:tc>
          <w:tcPr>
            <w:tcW w:w="1276" w:type="dxa"/>
            <w:hideMark/>
          </w:tcPr>
          <w:p w14:paraId="4BEA99F8" w14:textId="77777777" w:rsidR="00EE5BB8" w:rsidRPr="00C6052E" w:rsidRDefault="00EE5BB8" w:rsidP="00246C6A">
            <w:pPr>
              <w:pStyle w:val="TableColumnHeading"/>
              <w:jc w:val="right"/>
            </w:pPr>
            <w:r w:rsidRPr="00C6052E">
              <w:t>2025</w:t>
            </w:r>
          </w:p>
        </w:tc>
        <w:tc>
          <w:tcPr>
            <w:tcW w:w="1276" w:type="dxa"/>
            <w:hideMark/>
          </w:tcPr>
          <w:p w14:paraId="02219AA9" w14:textId="77777777" w:rsidR="00EE5BB8" w:rsidRPr="00C6052E" w:rsidRDefault="00EE5BB8" w:rsidP="00246C6A">
            <w:pPr>
              <w:pStyle w:val="TableColumnHeading"/>
              <w:jc w:val="right"/>
            </w:pPr>
            <w:r w:rsidRPr="00C6052E">
              <w:t>2024</w:t>
            </w:r>
          </w:p>
        </w:tc>
      </w:tr>
      <w:tr w:rsidR="00246C6A" w:rsidRPr="00C6052E" w14:paraId="27CD16A8" w14:textId="77777777" w:rsidTr="000E2AFF">
        <w:tc>
          <w:tcPr>
            <w:tcW w:w="3544" w:type="dxa"/>
          </w:tcPr>
          <w:p w14:paraId="5D95D8F8" w14:textId="73DA98A5" w:rsidR="00246C6A" w:rsidRPr="00C6052E" w:rsidRDefault="00246C6A" w:rsidP="00246C6A">
            <w:pPr>
              <w:pStyle w:val="TableHeading"/>
            </w:pPr>
            <w:r w:rsidRPr="00C6052E">
              <w:t>Assets</w:t>
            </w:r>
          </w:p>
        </w:tc>
        <w:tc>
          <w:tcPr>
            <w:tcW w:w="1276" w:type="dxa"/>
            <w:noWrap/>
          </w:tcPr>
          <w:p w14:paraId="58B18154" w14:textId="77777777" w:rsidR="00246C6A" w:rsidRPr="00C6052E" w:rsidRDefault="00246C6A" w:rsidP="00246C6A">
            <w:pPr>
              <w:pStyle w:val="TableHeading"/>
              <w:jc w:val="right"/>
            </w:pPr>
          </w:p>
        </w:tc>
        <w:tc>
          <w:tcPr>
            <w:tcW w:w="1276" w:type="dxa"/>
            <w:noWrap/>
          </w:tcPr>
          <w:p w14:paraId="2CBB4830" w14:textId="77777777" w:rsidR="00246C6A" w:rsidRPr="00C6052E" w:rsidRDefault="00246C6A" w:rsidP="00246C6A">
            <w:pPr>
              <w:pStyle w:val="TableHeading"/>
              <w:jc w:val="right"/>
            </w:pPr>
          </w:p>
        </w:tc>
      </w:tr>
      <w:tr w:rsidR="00EE5BB8" w:rsidRPr="00C6052E" w14:paraId="5B4CA9AB" w14:textId="77777777" w:rsidTr="00246C6A">
        <w:tc>
          <w:tcPr>
            <w:tcW w:w="3544" w:type="dxa"/>
            <w:hideMark/>
          </w:tcPr>
          <w:p w14:paraId="7B9024C0" w14:textId="748DD0B1" w:rsidR="00EE5BB8" w:rsidRPr="00C6052E" w:rsidRDefault="00EE5BB8" w:rsidP="0063097D">
            <w:pPr>
              <w:pStyle w:val="TableCopy"/>
            </w:pPr>
            <w:r w:rsidRPr="00C6052E">
              <w:t>Land</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p>
        </w:tc>
        <w:tc>
          <w:tcPr>
            <w:tcW w:w="1276" w:type="dxa"/>
            <w:noWrap/>
            <w:hideMark/>
          </w:tcPr>
          <w:p w14:paraId="63DECD4A" w14:textId="77777777" w:rsidR="00EE5BB8" w:rsidRPr="00C6052E" w:rsidRDefault="00EE5BB8" w:rsidP="00246C6A">
            <w:pPr>
              <w:pStyle w:val="TableCopy"/>
              <w:jc w:val="right"/>
            </w:pPr>
            <w:r w:rsidRPr="00C6052E">
              <w:t>36,440</w:t>
            </w:r>
          </w:p>
        </w:tc>
        <w:tc>
          <w:tcPr>
            <w:tcW w:w="1276" w:type="dxa"/>
            <w:noWrap/>
            <w:hideMark/>
          </w:tcPr>
          <w:p w14:paraId="75766D51" w14:textId="77777777" w:rsidR="00EE5BB8" w:rsidRPr="00C6052E" w:rsidRDefault="00EE5BB8" w:rsidP="00246C6A">
            <w:pPr>
              <w:pStyle w:val="TableCopy"/>
              <w:jc w:val="right"/>
            </w:pPr>
            <w:r w:rsidRPr="00C6052E">
              <w:t>–</w:t>
            </w:r>
          </w:p>
        </w:tc>
      </w:tr>
      <w:tr w:rsidR="00EE5BB8" w:rsidRPr="00C6052E" w14:paraId="0022DD31" w14:textId="77777777" w:rsidTr="00246C6A">
        <w:tc>
          <w:tcPr>
            <w:tcW w:w="3544" w:type="dxa"/>
            <w:hideMark/>
          </w:tcPr>
          <w:p w14:paraId="2715FF08" w14:textId="3B94769D" w:rsidR="00EE5BB8" w:rsidRPr="00C6052E" w:rsidRDefault="00EE5BB8" w:rsidP="0063097D">
            <w:pPr>
              <w:pStyle w:val="Tabletotal"/>
            </w:pPr>
            <w:r w:rsidRPr="00C6052E">
              <w:t>Total</w:t>
            </w:r>
            <w:r w:rsidR="00177848" w:rsidRPr="00C6052E">
              <w:t xml:space="preserve"> </w:t>
            </w:r>
            <w:r w:rsidRPr="00C6052E">
              <w:t>assets</w:t>
            </w:r>
            <w:r w:rsidR="00177848" w:rsidRPr="00C6052E">
              <w:t xml:space="preserve"> </w:t>
            </w:r>
            <w:r w:rsidRPr="00C6052E">
              <w:t>received</w:t>
            </w:r>
            <w:r w:rsidR="00177848" w:rsidRPr="00C6052E">
              <w:t xml:space="preserve"> </w:t>
            </w:r>
            <w:r w:rsidRPr="00C6052E">
              <w:t>free</w:t>
            </w:r>
            <w:r w:rsidR="00177848" w:rsidRPr="00C6052E">
              <w:t xml:space="preserve"> </w:t>
            </w:r>
            <w:r w:rsidRPr="00C6052E">
              <w:t>of</w:t>
            </w:r>
            <w:r w:rsidR="00177848" w:rsidRPr="00C6052E">
              <w:t xml:space="preserve"> </w:t>
            </w:r>
            <w:r w:rsidRPr="00C6052E">
              <w:t>charge</w:t>
            </w:r>
          </w:p>
        </w:tc>
        <w:tc>
          <w:tcPr>
            <w:tcW w:w="1276" w:type="dxa"/>
            <w:noWrap/>
            <w:hideMark/>
          </w:tcPr>
          <w:p w14:paraId="11E59DB1" w14:textId="77777777" w:rsidR="00EE5BB8" w:rsidRPr="00C6052E" w:rsidRDefault="00EE5BB8" w:rsidP="00246C6A">
            <w:pPr>
              <w:pStyle w:val="Tabletotal"/>
              <w:jc w:val="right"/>
            </w:pPr>
            <w:r w:rsidRPr="00C6052E">
              <w:t>36,440</w:t>
            </w:r>
          </w:p>
        </w:tc>
        <w:tc>
          <w:tcPr>
            <w:tcW w:w="1276" w:type="dxa"/>
            <w:noWrap/>
            <w:hideMark/>
          </w:tcPr>
          <w:p w14:paraId="30DF433A" w14:textId="77777777" w:rsidR="00EE5BB8" w:rsidRPr="00C6052E" w:rsidRDefault="00EE5BB8" w:rsidP="00246C6A">
            <w:pPr>
              <w:pStyle w:val="Tabletotal"/>
              <w:jc w:val="right"/>
            </w:pPr>
            <w:r w:rsidRPr="00C6052E">
              <w:t>–</w:t>
            </w:r>
          </w:p>
        </w:tc>
      </w:tr>
    </w:tbl>
    <w:p w14:paraId="548C6177" w14:textId="77777777" w:rsidR="00EE5BB8" w:rsidRPr="00C6052E" w:rsidRDefault="00EE5BB8" w:rsidP="00D83915">
      <w:pPr>
        <w:spacing w:after="120"/>
      </w:pPr>
    </w:p>
    <w:p w14:paraId="2883E2B5" w14:textId="3061D4A8" w:rsidR="00EE5BB8" w:rsidRPr="00C6052E" w:rsidRDefault="00EE5BB8" w:rsidP="00EE5BB8">
      <w:pPr>
        <w:rPr>
          <w:spacing w:val="-2"/>
        </w:rPr>
      </w:pPr>
      <w:r w:rsidRPr="00C6052E">
        <w:rPr>
          <w:spacing w:val="-2"/>
        </w:rPr>
        <w:t>Contributions</w:t>
      </w:r>
      <w:r w:rsidR="00177848" w:rsidRPr="00C6052E">
        <w:rPr>
          <w:spacing w:val="-2"/>
        </w:rPr>
        <w:t xml:space="preserve"> </w:t>
      </w:r>
      <w:r w:rsidRPr="00C6052E">
        <w:rPr>
          <w:spacing w:val="-2"/>
        </w:rPr>
        <w:t>of</w:t>
      </w:r>
      <w:r w:rsidR="00177848" w:rsidRPr="00C6052E">
        <w:rPr>
          <w:spacing w:val="-2"/>
        </w:rPr>
        <w:t xml:space="preserve"> </w:t>
      </w:r>
      <w:r w:rsidRPr="00C6052E">
        <w:rPr>
          <w:spacing w:val="-2"/>
        </w:rPr>
        <w:t>resources</w:t>
      </w:r>
      <w:r w:rsidR="00177848" w:rsidRPr="00C6052E">
        <w:rPr>
          <w:spacing w:val="-2"/>
        </w:rPr>
        <w:t xml:space="preserve"> </w:t>
      </w:r>
      <w:r w:rsidRPr="00C6052E">
        <w:rPr>
          <w:spacing w:val="-2"/>
        </w:rPr>
        <w:t>provided</w:t>
      </w:r>
      <w:r w:rsidR="00177848" w:rsidRPr="00C6052E">
        <w:rPr>
          <w:spacing w:val="-2"/>
        </w:rPr>
        <w:t xml:space="preserve"> </w:t>
      </w:r>
      <w:r w:rsidRPr="00C6052E">
        <w:rPr>
          <w:spacing w:val="-2"/>
        </w:rPr>
        <w:t>free</w:t>
      </w:r>
      <w:r w:rsidR="00177848" w:rsidRPr="00C6052E">
        <w:rPr>
          <w:spacing w:val="-2"/>
        </w:rPr>
        <w:t xml:space="preserve"> </w:t>
      </w:r>
      <w:r w:rsidRPr="00C6052E">
        <w:rPr>
          <w:spacing w:val="-2"/>
        </w:rPr>
        <w:t>of</w:t>
      </w:r>
      <w:r w:rsidR="00177848" w:rsidRPr="00C6052E">
        <w:rPr>
          <w:spacing w:val="-2"/>
        </w:rPr>
        <w:t xml:space="preserve"> </w:t>
      </w:r>
      <w:r w:rsidRPr="00C6052E">
        <w:rPr>
          <w:spacing w:val="-2"/>
        </w:rPr>
        <w:t>charge</w:t>
      </w:r>
      <w:r w:rsidR="00177848" w:rsidRPr="00C6052E">
        <w:rPr>
          <w:spacing w:val="-2"/>
        </w:rPr>
        <w:t xml:space="preserve"> </w:t>
      </w:r>
      <w:r w:rsidRPr="00C6052E">
        <w:rPr>
          <w:spacing w:val="-2"/>
        </w:rPr>
        <w:t>or</w:t>
      </w:r>
      <w:r w:rsidR="00177848" w:rsidRPr="00C6052E">
        <w:t xml:space="preserve"> </w:t>
      </w:r>
      <w:r w:rsidRPr="00C6052E">
        <w:rPr>
          <w:spacing w:val="-2"/>
        </w:rPr>
        <w:t>for</w:t>
      </w:r>
      <w:r w:rsidR="00177848" w:rsidRPr="00C6052E">
        <w:rPr>
          <w:spacing w:val="-2"/>
        </w:rPr>
        <w:t xml:space="preserve"> </w:t>
      </w:r>
      <w:r w:rsidRPr="00C6052E">
        <w:rPr>
          <w:spacing w:val="-2"/>
        </w:rPr>
        <w:t>nominal</w:t>
      </w:r>
      <w:r w:rsidR="00177848" w:rsidRPr="00C6052E">
        <w:rPr>
          <w:spacing w:val="-2"/>
        </w:rPr>
        <w:t xml:space="preserve"> </w:t>
      </w:r>
      <w:r w:rsidRPr="00C6052E">
        <w:rPr>
          <w:spacing w:val="-2"/>
        </w:rPr>
        <w:t>consideration</w:t>
      </w:r>
      <w:r w:rsidR="00177848" w:rsidRPr="00C6052E">
        <w:rPr>
          <w:spacing w:val="-2"/>
        </w:rPr>
        <w:t xml:space="preserve"> </w:t>
      </w:r>
      <w:r w:rsidRPr="00C6052E">
        <w:rPr>
          <w:spacing w:val="-2"/>
        </w:rPr>
        <w:t>are</w:t>
      </w:r>
      <w:r w:rsidR="00177848" w:rsidRPr="00C6052E">
        <w:rPr>
          <w:spacing w:val="-2"/>
        </w:rPr>
        <w:t xml:space="preserve"> </w:t>
      </w:r>
      <w:r w:rsidRPr="00C6052E">
        <w:rPr>
          <w:spacing w:val="-2"/>
        </w:rPr>
        <w:t>recognised</w:t>
      </w:r>
      <w:r w:rsidR="00177848" w:rsidRPr="00C6052E">
        <w:rPr>
          <w:spacing w:val="-2"/>
        </w:rPr>
        <w:t xml:space="preserve"> </w:t>
      </w:r>
      <w:r w:rsidRPr="00C6052E">
        <w:rPr>
          <w:spacing w:val="-2"/>
        </w:rPr>
        <w:t>at</w:t>
      </w:r>
      <w:r w:rsidR="00177848" w:rsidRPr="00C6052E">
        <w:rPr>
          <w:spacing w:val="-2"/>
        </w:rPr>
        <w:t xml:space="preserve"> </w:t>
      </w:r>
      <w:r w:rsidRPr="00C6052E">
        <w:rPr>
          <w:spacing w:val="-2"/>
        </w:rPr>
        <w:t>their</w:t>
      </w:r>
      <w:r w:rsidR="00177848" w:rsidRPr="00C6052E">
        <w:rPr>
          <w:spacing w:val="-2"/>
        </w:rPr>
        <w:t xml:space="preserve"> </w:t>
      </w:r>
      <w:r w:rsidRPr="00C6052E">
        <w:rPr>
          <w:spacing w:val="-2"/>
        </w:rPr>
        <w:t>fair</w:t>
      </w:r>
      <w:r w:rsidR="00177848" w:rsidRPr="00C6052E">
        <w:t xml:space="preserve"> </w:t>
      </w:r>
      <w:r w:rsidRPr="00C6052E">
        <w:rPr>
          <w:spacing w:val="-2"/>
        </w:rPr>
        <w:t>value</w:t>
      </w:r>
      <w:r w:rsidR="00177848" w:rsidRPr="00C6052E">
        <w:rPr>
          <w:spacing w:val="-2"/>
        </w:rPr>
        <w:t xml:space="preserve"> </w:t>
      </w:r>
      <w:r w:rsidRPr="00C6052E">
        <w:rPr>
          <w:spacing w:val="-2"/>
        </w:rPr>
        <w:t>when</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recipient</w:t>
      </w:r>
      <w:r w:rsidR="00177848" w:rsidRPr="00C6052E">
        <w:rPr>
          <w:spacing w:val="-2"/>
        </w:rPr>
        <w:t xml:space="preserve"> </w:t>
      </w:r>
      <w:r w:rsidRPr="00C6052E">
        <w:rPr>
          <w:spacing w:val="-2"/>
        </w:rPr>
        <w:t>obtains</w:t>
      </w:r>
      <w:r w:rsidR="00177848" w:rsidRPr="00C6052E">
        <w:rPr>
          <w:spacing w:val="-2"/>
        </w:rPr>
        <w:t xml:space="preserve"> </w:t>
      </w:r>
      <w:r w:rsidRPr="00C6052E">
        <w:rPr>
          <w:spacing w:val="-2"/>
        </w:rPr>
        <w:t>control</w:t>
      </w:r>
      <w:r w:rsidR="00177848" w:rsidRPr="00C6052E">
        <w:rPr>
          <w:spacing w:val="-2"/>
        </w:rPr>
        <w:t xml:space="preserve"> </w:t>
      </w:r>
      <w:r w:rsidRPr="00C6052E">
        <w:rPr>
          <w:spacing w:val="-2"/>
        </w:rPr>
        <w:t>over</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resources,</w:t>
      </w:r>
      <w:r w:rsidR="00177848" w:rsidRPr="00C6052E">
        <w:rPr>
          <w:spacing w:val="-2"/>
        </w:rPr>
        <w:t xml:space="preserve"> </w:t>
      </w:r>
      <w:r w:rsidRPr="00C6052E">
        <w:rPr>
          <w:spacing w:val="-2"/>
        </w:rPr>
        <w:t>irrespective</w:t>
      </w:r>
      <w:r w:rsidR="00177848" w:rsidRPr="00C6052E">
        <w:rPr>
          <w:spacing w:val="-2"/>
        </w:rPr>
        <w:t xml:space="preserve"> </w:t>
      </w:r>
      <w:r w:rsidRPr="00C6052E">
        <w:rPr>
          <w:spacing w:val="-2"/>
        </w:rPr>
        <w:t>of</w:t>
      </w:r>
      <w:r w:rsidR="00177848" w:rsidRPr="00C6052E">
        <w:rPr>
          <w:spacing w:val="-2"/>
        </w:rPr>
        <w:t xml:space="preserve"> </w:t>
      </w:r>
      <w:r w:rsidRPr="00C6052E">
        <w:rPr>
          <w:spacing w:val="-2"/>
        </w:rPr>
        <w:t>whether</w:t>
      </w:r>
      <w:r w:rsidR="00177848" w:rsidRPr="00C6052E">
        <w:rPr>
          <w:spacing w:val="-2"/>
        </w:rPr>
        <w:t xml:space="preserve"> </w:t>
      </w:r>
      <w:r w:rsidRPr="00C6052E">
        <w:rPr>
          <w:spacing w:val="-2"/>
        </w:rPr>
        <w:t>restrictions</w:t>
      </w:r>
      <w:r w:rsidR="00177848" w:rsidRPr="00C6052E">
        <w:rPr>
          <w:spacing w:val="-2"/>
        </w:rPr>
        <w:t xml:space="preserve"> </w:t>
      </w:r>
      <w:r w:rsidRPr="00C6052E">
        <w:rPr>
          <w:spacing w:val="-2"/>
        </w:rPr>
        <w:t>or</w:t>
      </w:r>
      <w:r w:rsidR="00177848" w:rsidRPr="00C6052E">
        <w:t xml:space="preserve"> </w:t>
      </w:r>
      <w:r w:rsidRPr="00C6052E">
        <w:rPr>
          <w:spacing w:val="-2"/>
        </w:rPr>
        <w:t>conditions</w:t>
      </w:r>
      <w:r w:rsidR="00177848" w:rsidRPr="00C6052E">
        <w:rPr>
          <w:spacing w:val="-2"/>
        </w:rPr>
        <w:t xml:space="preserve"> </w:t>
      </w:r>
      <w:r w:rsidRPr="00C6052E">
        <w:rPr>
          <w:spacing w:val="-2"/>
        </w:rPr>
        <w:t>are</w:t>
      </w:r>
      <w:r w:rsidR="00177848" w:rsidRPr="00C6052E">
        <w:rPr>
          <w:spacing w:val="-2"/>
        </w:rPr>
        <w:t xml:space="preserve"> </w:t>
      </w:r>
      <w:r w:rsidRPr="00C6052E">
        <w:rPr>
          <w:spacing w:val="-2"/>
        </w:rPr>
        <w:t>imposed</w:t>
      </w:r>
      <w:r w:rsidR="00177848" w:rsidRPr="00C6052E">
        <w:rPr>
          <w:spacing w:val="-2"/>
        </w:rPr>
        <w:t xml:space="preserve"> </w:t>
      </w:r>
      <w:r w:rsidRPr="00C6052E">
        <w:rPr>
          <w:spacing w:val="-2"/>
        </w:rPr>
        <w:t>over</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use</w:t>
      </w:r>
      <w:r w:rsidR="00177848" w:rsidRPr="00C6052E">
        <w:rPr>
          <w:spacing w:val="-2"/>
        </w:rPr>
        <w:t xml:space="preserve"> </w:t>
      </w:r>
      <w:r w:rsidRPr="00C6052E">
        <w:rPr>
          <w:spacing w:val="-2"/>
        </w:rPr>
        <w:t>of</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contributions.</w:t>
      </w:r>
      <w:r w:rsidR="00177848" w:rsidRPr="00C6052E">
        <w:rPr>
          <w:spacing w:val="-2"/>
        </w:rPr>
        <w:t xml:space="preserve"> </w:t>
      </w:r>
    </w:p>
    <w:p w14:paraId="2FE663D8" w14:textId="75D43B65" w:rsidR="00EE5BB8" w:rsidRPr="00C6052E" w:rsidRDefault="00EE5BB8" w:rsidP="00EE5BB8">
      <w:r w:rsidRPr="00C6052E">
        <w:t>The</w:t>
      </w:r>
      <w:r w:rsidR="00177848" w:rsidRPr="00C6052E">
        <w:t xml:space="preserve"> </w:t>
      </w:r>
      <w:r w:rsidRPr="00C6052E">
        <w:t>exception</w:t>
      </w:r>
      <w:r w:rsidR="00177848" w:rsidRPr="00C6052E">
        <w:t xml:space="preserve"> </w:t>
      </w:r>
      <w:r w:rsidRPr="00C6052E">
        <w:t>to</w:t>
      </w:r>
      <w:r w:rsidR="00177848" w:rsidRPr="00C6052E">
        <w:t xml:space="preserve"> </w:t>
      </w:r>
      <w:r w:rsidRPr="00C6052E">
        <w:t>this</w:t>
      </w:r>
      <w:r w:rsidR="00177848" w:rsidRPr="00C6052E">
        <w:t xml:space="preserve"> </w:t>
      </w:r>
      <w:r w:rsidRPr="00C6052E">
        <w:t>would</w:t>
      </w:r>
      <w:r w:rsidR="00177848" w:rsidRPr="00C6052E">
        <w:t xml:space="preserve"> </w:t>
      </w:r>
      <w:r w:rsidRPr="00C6052E">
        <w:t>be</w:t>
      </w:r>
      <w:r w:rsidR="00177848" w:rsidRPr="00C6052E">
        <w:t xml:space="preserve"> </w:t>
      </w:r>
      <w:r w:rsidRPr="00C6052E">
        <w:t>when</w:t>
      </w:r>
      <w:r w:rsidR="00177848" w:rsidRPr="00C6052E">
        <w:t xml:space="preserve"> </w:t>
      </w:r>
      <w:r w:rsidRPr="00C6052E">
        <w:t>the</w:t>
      </w:r>
      <w:r w:rsidR="00177848" w:rsidRPr="00C6052E">
        <w:t xml:space="preserve"> </w:t>
      </w:r>
      <w:r w:rsidRPr="00C6052E">
        <w:t>resource</w:t>
      </w:r>
      <w:r w:rsidR="00177848" w:rsidRPr="00C6052E">
        <w:t xml:space="preserve"> </w:t>
      </w:r>
      <w:r w:rsidRPr="00C6052E">
        <w:t>is</w:t>
      </w:r>
      <w:r w:rsidR="00177848" w:rsidRPr="00C6052E">
        <w:t xml:space="preserve"> </w:t>
      </w:r>
      <w:r w:rsidRPr="00C6052E">
        <w:t>received</w:t>
      </w:r>
      <w:r w:rsidR="00177848" w:rsidRPr="00C6052E">
        <w:t xml:space="preserve"> </w:t>
      </w:r>
      <w:r w:rsidRPr="00C6052E">
        <w:t>from</w:t>
      </w:r>
      <w:r w:rsidR="00177848" w:rsidRPr="00C6052E">
        <w:t xml:space="preserve"> </w:t>
      </w:r>
      <w:r w:rsidRPr="00C6052E">
        <w:t>another</w:t>
      </w:r>
      <w:r w:rsidR="00177848" w:rsidRPr="00C6052E">
        <w:t xml:space="preserve"> </w:t>
      </w:r>
      <w:r w:rsidRPr="00C6052E">
        <w:t>government</w:t>
      </w:r>
      <w:r w:rsidR="00177848" w:rsidRPr="00C6052E">
        <w:t xml:space="preserve"> </w:t>
      </w:r>
      <w:r w:rsidRPr="00C6052E">
        <w:t>department</w:t>
      </w:r>
      <w:r w:rsidR="00177848" w:rsidRPr="00C6052E">
        <w:t xml:space="preserve"> </w:t>
      </w:r>
      <w:r w:rsidRPr="00C6052E">
        <w:t>(or</w:t>
      </w:r>
      <w:r w:rsidR="00177848" w:rsidRPr="00C6052E">
        <w:t xml:space="preserve"> </w:t>
      </w:r>
      <w:r w:rsidRPr="00C6052E">
        <w:t>agency)</w:t>
      </w:r>
      <w:r w:rsidR="00177848" w:rsidRPr="00C6052E">
        <w:t xml:space="preserve"> </w:t>
      </w:r>
      <w:r w:rsidRPr="00C6052E">
        <w:t>as</w:t>
      </w:r>
      <w:r w:rsidR="00177848" w:rsidRPr="00C6052E">
        <w:t xml:space="preserve"> </w:t>
      </w:r>
      <w:r w:rsidRPr="00C6052E">
        <w:t>a</w:t>
      </w:r>
      <w:r w:rsidR="00177848" w:rsidRPr="00C6052E">
        <w:t xml:space="preserve"> </w:t>
      </w:r>
      <w:r w:rsidRPr="00C6052E">
        <w:t>consequence</w:t>
      </w:r>
      <w:r w:rsidR="00177848" w:rsidRPr="00C6052E">
        <w:t xml:space="preserve"> </w:t>
      </w:r>
      <w:r w:rsidRPr="00C6052E">
        <w:t>of</w:t>
      </w:r>
      <w:r w:rsidR="00177848" w:rsidRPr="00C6052E">
        <w:t xml:space="preserve"> </w:t>
      </w:r>
      <w:r w:rsidRPr="00C6052E">
        <w:t>a</w:t>
      </w:r>
      <w:r w:rsidR="00177848" w:rsidRPr="00C6052E">
        <w:t xml:space="preserve"> </w:t>
      </w:r>
      <w:r w:rsidRPr="00C6052E">
        <w:t>restructuring</w:t>
      </w:r>
      <w:r w:rsidR="00177848" w:rsidRPr="00C6052E">
        <w:t xml:space="preserve"> </w:t>
      </w:r>
      <w:r w:rsidRPr="00C6052E">
        <w:t>of</w:t>
      </w:r>
      <w:r w:rsidR="00177848" w:rsidRPr="00C6052E">
        <w:t xml:space="preserve"> </w:t>
      </w:r>
      <w:r w:rsidRPr="00C6052E">
        <w:t>administrative</w:t>
      </w:r>
      <w:r w:rsidR="00177848" w:rsidRPr="00C6052E">
        <w:t xml:space="preserve"> </w:t>
      </w:r>
      <w:r w:rsidRPr="00C6052E">
        <w:t>arrangements,</w:t>
      </w:r>
      <w:r w:rsidR="00177848" w:rsidRPr="00C6052E">
        <w:t xml:space="preserve"> </w:t>
      </w:r>
      <w:r w:rsidRPr="00C6052E">
        <w:t>in</w:t>
      </w:r>
      <w:r w:rsidR="00177848" w:rsidRPr="00C6052E">
        <w:t xml:space="preserve"> </w:t>
      </w:r>
      <w:r w:rsidRPr="00C6052E">
        <w:t>which</w:t>
      </w:r>
      <w:r w:rsidR="00177848" w:rsidRPr="00C6052E">
        <w:t xml:space="preserve"> </w:t>
      </w:r>
      <w:r w:rsidRPr="00C6052E">
        <w:t>case</w:t>
      </w:r>
      <w:r w:rsidR="00177848" w:rsidRPr="00C6052E">
        <w:t xml:space="preserve"> </w:t>
      </w:r>
      <w:r w:rsidRPr="00C6052E">
        <w:t>such</w:t>
      </w:r>
      <w:r w:rsidR="00177848" w:rsidRPr="00C6052E">
        <w:t xml:space="preserve"> </w:t>
      </w:r>
      <w:r w:rsidRPr="00C6052E">
        <w:t>a</w:t>
      </w:r>
      <w:r w:rsidR="00177848" w:rsidRPr="00C6052E">
        <w:t xml:space="preserve"> </w:t>
      </w:r>
      <w:r w:rsidRPr="00C6052E">
        <w:t>transfer</w:t>
      </w:r>
      <w:r w:rsidR="00177848" w:rsidRPr="00C6052E">
        <w:t xml:space="preserve"> </w:t>
      </w:r>
      <w:r w:rsidRPr="00C6052E">
        <w:t>will</w:t>
      </w:r>
      <w:r w:rsidR="00177848" w:rsidRPr="00C6052E">
        <w:t xml:space="preserve"> </w:t>
      </w:r>
      <w:r w:rsidRPr="00C6052E">
        <w:t>be</w:t>
      </w:r>
      <w:r w:rsidR="00177848" w:rsidRPr="00C6052E">
        <w:t xml:space="preserve"> </w:t>
      </w:r>
      <w:r w:rsidRPr="00C6052E">
        <w:t>recognised</w:t>
      </w:r>
      <w:r w:rsidR="00177848" w:rsidRPr="00C6052E">
        <w:t xml:space="preserve"> </w:t>
      </w:r>
      <w:r w:rsidRPr="00C6052E">
        <w:t>at</w:t>
      </w:r>
      <w:r w:rsidR="00177848" w:rsidRPr="00C6052E">
        <w:t xml:space="preserve"> </w:t>
      </w:r>
      <w:r w:rsidRPr="00C6052E">
        <w:t>its</w:t>
      </w:r>
      <w:r w:rsidR="00177848" w:rsidRPr="00C6052E">
        <w:t xml:space="preserve"> </w:t>
      </w:r>
      <w:r w:rsidRPr="00C6052E">
        <w:t>carrying</w:t>
      </w:r>
      <w:r w:rsidR="00177848" w:rsidRPr="00C6052E">
        <w:t xml:space="preserve"> </w:t>
      </w:r>
      <w:r w:rsidRPr="00C6052E">
        <w:t>value</w:t>
      </w:r>
      <w:r w:rsidR="00177848" w:rsidRPr="00C6052E">
        <w:t xml:space="preserve"> </w:t>
      </w:r>
      <w:r w:rsidRPr="00C6052E">
        <w:t>in</w:t>
      </w:r>
      <w:r w:rsidR="00177848" w:rsidRPr="00C6052E">
        <w:t xml:space="preserve"> </w:t>
      </w:r>
      <w:r w:rsidRPr="00C6052E">
        <w:t>the</w:t>
      </w:r>
      <w:r w:rsidR="00177848" w:rsidRPr="00C6052E">
        <w:t xml:space="preserve"> </w:t>
      </w:r>
      <w:r w:rsidRPr="00C6052E">
        <w:t>transferring</w:t>
      </w:r>
      <w:r w:rsidR="00177848" w:rsidRPr="00C6052E">
        <w:t xml:space="preserve"> </w:t>
      </w:r>
      <w:r w:rsidRPr="00C6052E">
        <w:t>department</w:t>
      </w:r>
      <w:r w:rsidR="00177848" w:rsidRPr="00C6052E">
        <w:t xml:space="preserve"> </w:t>
      </w:r>
      <w:r w:rsidRPr="00C6052E">
        <w:t>or</w:t>
      </w:r>
      <w:r w:rsidR="00177848" w:rsidRPr="00C6052E">
        <w:t xml:space="preserve"> </w:t>
      </w:r>
      <w:r w:rsidRPr="00C6052E">
        <w:t>agency</w:t>
      </w:r>
      <w:r w:rsidR="00177848" w:rsidRPr="00C6052E">
        <w:t xml:space="preserve"> </w:t>
      </w:r>
      <w:r w:rsidRPr="00C6052E">
        <w:t>as</w:t>
      </w:r>
      <w:r w:rsidR="00177848" w:rsidRPr="00C6052E">
        <w:t xml:space="preserve"> </w:t>
      </w:r>
      <w:r w:rsidRPr="00C6052E">
        <w:t>a</w:t>
      </w:r>
      <w:r w:rsidR="00177848" w:rsidRPr="00C6052E">
        <w:t xml:space="preserve"> </w:t>
      </w:r>
      <w:r w:rsidRPr="00C6052E">
        <w:t>capital</w:t>
      </w:r>
      <w:r w:rsidR="00177848" w:rsidRPr="00C6052E">
        <w:t xml:space="preserve"> </w:t>
      </w:r>
      <w:r w:rsidRPr="00C6052E">
        <w:t>contribution</w:t>
      </w:r>
      <w:r w:rsidR="00177848" w:rsidRPr="00C6052E">
        <w:t xml:space="preserve"> </w:t>
      </w:r>
      <w:r w:rsidRPr="00C6052E">
        <w:t>transfer.</w:t>
      </w:r>
      <w:r w:rsidR="00177848" w:rsidRPr="00C6052E">
        <w:t xml:space="preserve"> </w:t>
      </w:r>
    </w:p>
    <w:p w14:paraId="3491299D" w14:textId="4D5504F9" w:rsidR="00EE5BB8" w:rsidRPr="00C6052E" w:rsidRDefault="00EE5BB8" w:rsidP="00246C6A">
      <w:pPr>
        <w:pStyle w:val="Heading1numbered0"/>
      </w:pPr>
      <w:bookmarkStart w:id="125" w:name="_Ref209439752"/>
      <w:bookmarkStart w:id="126" w:name="_Toc214618237"/>
      <w:r w:rsidRPr="00C6052E">
        <w:lastRenderedPageBreak/>
        <w:t>The</w:t>
      </w:r>
      <w:r w:rsidR="00177848" w:rsidRPr="00C6052E">
        <w:t xml:space="preserve"> </w:t>
      </w:r>
      <w:r w:rsidRPr="00C6052E">
        <w:t>Cost</w:t>
      </w:r>
      <w:r w:rsidR="00177848" w:rsidRPr="00C6052E">
        <w:t xml:space="preserve"> </w:t>
      </w:r>
      <w:r w:rsidRPr="00C6052E">
        <w:t>of</w:t>
      </w:r>
      <w:r w:rsidR="00177848" w:rsidRPr="00C6052E">
        <w:t xml:space="preserve"> </w:t>
      </w:r>
      <w:r w:rsidRPr="00C6052E">
        <w:t>Delivering</w:t>
      </w:r>
      <w:r w:rsidR="00177848" w:rsidRPr="00C6052E">
        <w:t xml:space="preserve"> </w:t>
      </w:r>
      <w:r w:rsidRPr="00C6052E">
        <w:t>Services</w:t>
      </w:r>
      <w:bookmarkEnd w:id="121"/>
      <w:bookmarkEnd w:id="122"/>
      <w:bookmarkEnd w:id="123"/>
      <w:bookmarkEnd w:id="125"/>
      <w:bookmarkEnd w:id="126"/>
    </w:p>
    <w:p w14:paraId="3FF64533" w14:textId="77777777" w:rsidR="00EE5BB8" w:rsidRPr="00C6052E" w:rsidRDefault="00EE5BB8" w:rsidP="00E97D0C">
      <w:pPr>
        <w:pStyle w:val="Heading3"/>
      </w:pPr>
      <w:bookmarkStart w:id="127" w:name="_Toc163565951"/>
      <w:bookmarkStart w:id="128" w:name="_Toc163566558"/>
      <w:bookmarkStart w:id="129" w:name="_Toc174009480"/>
      <w:r w:rsidRPr="00C6052E">
        <w:t>Introduction</w:t>
      </w:r>
      <w:bookmarkEnd w:id="127"/>
      <w:bookmarkEnd w:id="128"/>
      <w:bookmarkEnd w:id="129"/>
    </w:p>
    <w:p w14:paraId="65C99535" w14:textId="2C33D0E2" w:rsidR="00EE5BB8" w:rsidRPr="00C6052E" w:rsidRDefault="00EE5BB8" w:rsidP="00EE5BB8">
      <w:r w:rsidRPr="00C6052E">
        <w:t>This</w:t>
      </w:r>
      <w:r w:rsidR="00177848" w:rsidRPr="00C6052E">
        <w:t xml:space="preserve"> </w:t>
      </w:r>
      <w:r w:rsidRPr="00C6052E">
        <w:t>section</w:t>
      </w:r>
      <w:r w:rsidR="00177848" w:rsidRPr="00C6052E">
        <w:t xml:space="preserve"> </w:t>
      </w:r>
      <w:r w:rsidRPr="00C6052E">
        <w:t>provides</w:t>
      </w:r>
      <w:r w:rsidR="00177848" w:rsidRPr="00C6052E">
        <w:t xml:space="preserve"> </w:t>
      </w:r>
      <w:r w:rsidRPr="00C6052E">
        <w:t>an</w:t>
      </w:r>
      <w:r w:rsidR="00177848" w:rsidRPr="00C6052E">
        <w:t xml:space="preserve"> </w:t>
      </w:r>
      <w:r w:rsidRPr="00C6052E">
        <w:t>account</w:t>
      </w:r>
      <w:r w:rsidR="00177848" w:rsidRPr="00C6052E">
        <w:t xml:space="preserve"> </w:t>
      </w:r>
      <w:r w:rsidRPr="00C6052E">
        <w:t>of</w:t>
      </w:r>
      <w:r w:rsidR="00177848" w:rsidRPr="00C6052E">
        <w:t xml:space="preserve"> </w:t>
      </w:r>
      <w:r w:rsidRPr="00C6052E">
        <w:t>the</w:t>
      </w:r>
      <w:r w:rsidR="00177848" w:rsidRPr="00C6052E">
        <w:t xml:space="preserve"> </w:t>
      </w:r>
      <w:r w:rsidRPr="00C6052E">
        <w:t>expenses</w:t>
      </w:r>
      <w:r w:rsidR="00177848" w:rsidRPr="00C6052E">
        <w:t xml:space="preserve"> </w:t>
      </w:r>
      <w:r w:rsidRPr="00C6052E">
        <w:t>incurred</w:t>
      </w:r>
      <w:r w:rsidR="00177848" w:rsidRPr="00C6052E">
        <w:t xml:space="preserve"> </w:t>
      </w:r>
      <w:r w:rsidRPr="00C6052E">
        <w:t>by</w:t>
      </w:r>
      <w:r w:rsidR="00177848" w:rsidRPr="00C6052E">
        <w:t xml:space="preserve"> </w:t>
      </w:r>
      <w:fldSimple w:instr=" DOCPROPERTY  shortName  \* MERGEFORMAT ">
        <w:r w:rsidRPr="00C6052E">
          <w:t>DJSIR</w:t>
        </w:r>
      </w:fldSimple>
      <w:r w:rsidR="00177848" w:rsidRPr="00C6052E">
        <w:t xml:space="preserve"> </w:t>
      </w:r>
      <w:r w:rsidRPr="00C6052E">
        <w:t>in</w:t>
      </w:r>
      <w:r w:rsidR="00177848" w:rsidRPr="00C6052E">
        <w:t xml:space="preserve"> </w:t>
      </w:r>
      <w:r w:rsidRPr="00C6052E">
        <w:t>delivering</w:t>
      </w:r>
      <w:r w:rsidR="00177848" w:rsidRPr="00C6052E">
        <w:t xml:space="preserve"> </w:t>
      </w:r>
      <w:r w:rsidRPr="00C6052E">
        <w:t>services</w:t>
      </w:r>
      <w:r w:rsidR="00177848" w:rsidRPr="00C6052E">
        <w:t xml:space="preserve"> </w:t>
      </w:r>
      <w:r w:rsidRPr="00C6052E">
        <w:t>and</w:t>
      </w:r>
      <w:r w:rsidR="00177848" w:rsidRPr="00C6052E">
        <w:t xml:space="preserve"> </w:t>
      </w:r>
      <w:r w:rsidRPr="00C6052E">
        <w:t>outputs.</w:t>
      </w:r>
      <w:r w:rsidR="00177848" w:rsidRPr="00C6052E">
        <w:t xml:space="preserve"> </w:t>
      </w:r>
      <w:r w:rsidRPr="00C6052E">
        <w:t>In</w:t>
      </w:r>
      <w:r w:rsidR="00177848" w:rsidRPr="00C6052E">
        <w:t xml:space="preserve"> </w:t>
      </w:r>
      <w:r w:rsidRPr="00C6052E">
        <w:t>Note</w:t>
      </w:r>
      <w:r w:rsidR="00177848" w:rsidRPr="00C6052E">
        <w:t xml:space="preserve"> </w:t>
      </w:r>
      <w:r w:rsidRPr="00C6052E">
        <w:fldChar w:fldCharType="begin"/>
      </w:r>
      <w:r w:rsidRPr="00C6052E">
        <w:instrText xml:space="preserve"> REF _Ref209439893 \r \h </w:instrText>
      </w:r>
      <w:r w:rsidRPr="00C6052E">
        <w:fldChar w:fldCharType="separate"/>
      </w:r>
      <w:r w:rsidRPr="00C6052E">
        <w:t>2</w:t>
      </w:r>
      <w:r w:rsidRPr="00C6052E">
        <w:fldChar w:fldCharType="end"/>
      </w:r>
      <w:r w:rsidR="00177848" w:rsidRPr="00C6052E">
        <w:t xml:space="preserve"> </w:t>
      </w:r>
      <w:r w:rsidRPr="00C6052E">
        <w:t>–</w:t>
      </w:r>
      <w:r w:rsidR="00177848" w:rsidRPr="00C6052E">
        <w:t xml:space="preserve"> </w:t>
      </w:r>
      <w:r w:rsidRPr="00C6052E">
        <w:fldChar w:fldCharType="begin"/>
      </w:r>
      <w:r w:rsidRPr="00C6052E">
        <w:instrText xml:space="preserve"> REF _Ref209439893 \h </w:instrText>
      </w:r>
      <w:r w:rsidRPr="00C6052E">
        <w:fldChar w:fldCharType="separate"/>
      </w:r>
      <w:r w:rsidRPr="00C6052E">
        <w:t>Funding</w:t>
      </w:r>
      <w:r w:rsidR="00177848" w:rsidRPr="00C6052E">
        <w:t xml:space="preserve"> </w:t>
      </w:r>
      <w:r w:rsidRPr="00C6052E">
        <w:t>Delivery</w:t>
      </w:r>
      <w:r w:rsidR="00177848" w:rsidRPr="00C6052E">
        <w:t xml:space="preserve"> </w:t>
      </w:r>
      <w:r w:rsidRPr="00C6052E">
        <w:t>of</w:t>
      </w:r>
      <w:r w:rsidR="00177848" w:rsidRPr="00C6052E">
        <w:t xml:space="preserve"> </w:t>
      </w:r>
      <w:r w:rsidRPr="00C6052E">
        <w:t>Our</w:t>
      </w:r>
      <w:r w:rsidR="00177848" w:rsidRPr="00C6052E">
        <w:t xml:space="preserve"> </w:t>
      </w:r>
      <w:r w:rsidRPr="00C6052E">
        <w:t>Services</w:t>
      </w:r>
      <w:r w:rsidRPr="00C6052E">
        <w:fldChar w:fldCharType="end"/>
      </w:r>
      <w:r w:rsidRPr="00C6052E">
        <w:t>,</w:t>
      </w:r>
      <w:r w:rsidR="00177848" w:rsidRPr="00C6052E">
        <w:t xml:space="preserve"> </w:t>
      </w:r>
      <w:r w:rsidRPr="00C6052E">
        <w:t>the</w:t>
      </w:r>
      <w:r w:rsidR="00177848" w:rsidRPr="00C6052E">
        <w:t xml:space="preserve"> </w:t>
      </w:r>
      <w:r w:rsidRPr="00C6052E">
        <w:t>funds</w:t>
      </w:r>
      <w:r w:rsidR="00177848" w:rsidRPr="00C6052E">
        <w:t xml:space="preserve"> </w:t>
      </w:r>
      <w:r w:rsidRPr="00C6052E">
        <w:t>that</w:t>
      </w:r>
      <w:r w:rsidR="00177848" w:rsidRPr="00C6052E">
        <w:t xml:space="preserve"> </w:t>
      </w:r>
      <w:r w:rsidRPr="00C6052E">
        <w:t>enable</w:t>
      </w:r>
      <w:r w:rsidR="00177848" w:rsidRPr="00C6052E">
        <w:t xml:space="preserve"> </w:t>
      </w:r>
      <w:r w:rsidRPr="00C6052E">
        <w:t>the</w:t>
      </w:r>
      <w:r w:rsidR="00177848" w:rsidRPr="00C6052E">
        <w:t xml:space="preserve"> </w:t>
      </w:r>
      <w:r w:rsidRPr="00C6052E">
        <w:t>provision</w:t>
      </w:r>
      <w:r w:rsidR="00177848" w:rsidRPr="00C6052E">
        <w:t xml:space="preserve"> </w:t>
      </w:r>
      <w:r w:rsidRPr="00C6052E">
        <w:t>of</w:t>
      </w:r>
      <w:r w:rsidR="00177848" w:rsidRPr="00C6052E">
        <w:t xml:space="preserve"> </w:t>
      </w:r>
      <w:r w:rsidRPr="00C6052E">
        <w:t>services</w:t>
      </w:r>
      <w:r w:rsidR="00177848" w:rsidRPr="00C6052E">
        <w:t xml:space="preserve"> </w:t>
      </w:r>
      <w:r w:rsidRPr="00C6052E">
        <w:t>were</w:t>
      </w:r>
      <w:r w:rsidR="00177848" w:rsidRPr="00C6052E">
        <w:t xml:space="preserve"> </w:t>
      </w:r>
      <w:r w:rsidRPr="00C6052E">
        <w:t>disclosed</w:t>
      </w:r>
      <w:r w:rsidR="00177848" w:rsidRPr="00C6052E">
        <w:t xml:space="preserve"> </w:t>
      </w:r>
      <w:r w:rsidRPr="00C6052E">
        <w:t>and</w:t>
      </w:r>
      <w:r w:rsidR="00177848" w:rsidRPr="00C6052E">
        <w:t xml:space="preserve"> </w:t>
      </w:r>
      <w:r w:rsidRPr="00C6052E">
        <w:t>in</w:t>
      </w:r>
      <w:r w:rsidR="00177848" w:rsidRPr="00C6052E">
        <w:t xml:space="preserve"> </w:t>
      </w:r>
      <w:r w:rsidRPr="00C6052E">
        <w:t>this</w:t>
      </w:r>
      <w:r w:rsidR="00177848" w:rsidRPr="00C6052E">
        <w:t xml:space="preserve"> </w:t>
      </w:r>
      <w:r w:rsidRPr="00C6052E">
        <w:t>note</w:t>
      </w:r>
      <w:r w:rsidR="00177848" w:rsidRPr="00C6052E">
        <w:t xml:space="preserve"> </w:t>
      </w:r>
      <w:r w:rsidRPr="00C6052E">
        <w:t>the</w:t>
      </w:r>
      <w:r w:rsidR="00177848" w:rsidRPr="00C6052E">
        <w:t xml:space="preserve"> </w:t>
      </w:r>
      <w:r w:rsidRPr="00C6052E">
        <w:t>cost</w:t>
      </w:r>
      <w:r w:rsidR="00177848" w:rsidRPr="00C6052E">
        <w:t xml:space="preserve"> </w:t>
      </w:r>
      <w:r w:rsidRPr="00C6052E">
        <w:t>associated</w:t>
      </w:r>
      <w:r w:rsidR="00177848" w:rsidRPr="00C6052E">
        <w:t xml:space="preserve"> </w:t>
      </w:r>
      <w:r w:rsidRPr="00C6052E">
        <w:t>with</w:t>
      </w:r>
      <w:r w:rsidR="00177848" w:rsidRPr="00C6052E">
        <w:t xml:space="preserve"> </w:t>
      </w:r>
      <w:r w:rsidRPr="00C6052E">
        <w:t>provision</w:t>
      </w:r>
      <w:r w:rsidR="00177848" w:rsidRPr="00C6052E">
        <w:t xml:space="preserve"> </w:t>
      </w:r>
      <w:r w:rsidRPr="00C6052E">
        <w:t>of</w:t>
      </w:r>
      <w:r w:rsidR="00177848" w:rsidRPr="00C6052E">
        <w:t xml:space="preserve"> </w:t>
      </w:r>
      <w:r w:rsidRPr="00C6052E">
        <w:t>services</w:t>
      </w:r>
      <w:r w:rsidR="00177848" w:rsidRPr="00C6052E">
        <w:t xml:space="preserve"> </w:t>
      </w:r>
      <w:r w:rsidRPr="00C6052E">
        <w:t>are</w:t>
      </w:r>
      <w:r w:rsidR="00177848" w:rsidRPr="00C6052E">
        <w:t xml:space="preserve"> </w:t>
      </w:r>
      <w:r w:rsidRPr="00C6052E">
        <w:t>recorded.</w:t>
      </w:r>
      <w:r w:rsidR="00177848" w:rsidRPr="00C6052E">
        <w:t xml:space="preserve"> </w:t>
      </w:r>
      <w:r w:rsidRPr="00C6052E">
        <w:t>Note</w:t>
      </w:r>
      <w:r w:rsidR="00177848" w:rsidRPr="00C6052E">
        <w:t xml:space="preserve"> </w:t>
      </w:r>
      <w:r w:rsidRPr="00C6052E">
        <w:fldChar w:fldCharType="begin"/>
      </w:r>
      <w:r w:rsidRPr="00C6052E">
        <w:instrText xml:space="preserve"> REF _Ref190163767 \r \h  \* MERGEFORMAT </w:instrText>
      </w:r>
      <w:r w:rsidRPr="00C6052E">
        <w:fldChar w:fldCharType="separate"/>
      </w:r>
      <w:r w:rsidRPr="00C6052E">
        <w:t>4</w:t>
      </w:r>
      <w:r w:rsidRPr="00C6052E">
        <w:fldChar w:fldCharType="end"/>
      </w:r>
      <w:r w:rsidR="00177848" w:rsidRPr="00C6052E">
        <w:t xml:space="preserve"> </w:t>
      </w:r>
      <w:r w:rsidRPr="00C6052E">
        <w:t>–</w:t>
      </w:r>
      <w:r w:rsidR="00177848" w:rsidRPr="00C6052E">
        <w:t xml:space="preserve"> </w:t>
      </w:r>
      <w:r w:rsidRPr="00C6052E">
        <w:fldChar w:fldCharType="begin"/>
      </w:r>
      <w:r w:rsidRPr="00C6052E">
        <w:instrText xml:space="preserve"> REF _Ref190163787 \h  \* MERGEFORMAT </w:instrText>
      </w:r>
      <w:r w:rsidRPr="00C6052E">
        <w:fldChar w:fldCharType="separate"/>
      </w:r>
      <w:r w:rsidRPr="00C6052E">
        <w:t>Disaggregated</w:t>
      </w:r>
      <w:r w:rsidR="00177848" w:rsidRPr="00C6052E">
        <w:t xml:space="preserve"> </w:t>
      </w:r>
      <w:r w:rsidRPr="00C6052E">
        <w:t>Financial</w:t>
      </w:r>
      <w:r w:rsidR="00177848" w:rsidRPr="00C6052E">
        <w:t xml:space="preserve"> </w:t>
      </w:r>
      <w:r w:rsidRPr="00C6052E">
        <w:t>Information</w:t>
      </w:r>
      <w:r w:rsidR="00177848" w:rsidRPr="00C6052E">
        <w:t xml:space="preserve"> </w:t>
      </w:r>
      <w:r w:rsidRPr="00C6052E">
        <w:t>by</w:t>
      </w:r>
      <w:r w:rsidR="00177848" w:rsidRPr="00C6052E">
        <w:t xml:space="preserve"> </w:t>
      </w:r>
      <w:r w:rsidRPr="00C6052E">
        <w:t>Output</w:t>
      </w:r>
      <w:r w:rsidRPr="00C6052E">
        <w:fldChar w:fldCharType="end"/>
      </w:r>
      <w:r w:rsidRPr="00C6052E">
        <w:t>,</w:t>
      </w:r>
      <w:r w:rsidR="00177848" w:rsidRPr="00C6052E">
        <w:t xml:space="preserve"> </w:t>
      </w:r>
      <w:r w:rsidRPr="00C6052E">
        <w:t>discloses</w:t>
      </w:r>
      <w:r w:rsidR="00177848" w:rsidRPr="00C6052E">
        <w:t xml:space="preserve"> </w:t>
      </w:r>
      <w:r w:rsidRPr="00C6052E">
        <w:t>disaggregated</w:t>
      </w:r>
      <w:r w:rsidR="00177848" w:rsidRPr="00C6052E">
        <w:t xml:space="preserve"> </w:t>
      </w:r>
      <w:r w:rsidRPr="00C6052E">
        <w:t>information</w:t>
      </w:r>
      <w:r w:rsidR="00177848" w:rsidRPr="00C6052E">
        <w:t xml:space="preserve"> </w:t>
      </w:r>
      <w:r w:rsidRPr="00C6052E">
        <w:t>in</w:t>
      </w:r>
      <w:r w:rsidR="00177848" w:rsidRPr="00C6052E">
        <w:t xml:space="preserve"> </w:t>
      </w:r>
      <w:r w:rsidRPr="00C6052E">
        <w:t>relation</w:t>
      </w:r>
      <w:r w:rsidR="00177848" w:rsidRPr="00C6052E">
        <w:t xml:space="preserve"> </w:t>
      </w:r>
      <w:r w:rsidRPr="00C6052E">
        <w:t>to</w:t>
      </w:r>
      <w:r w:rsidR="00177848" w:rsidRPr="00C6052E">
        <w:t xml:space="preserve"> </w:t>
      </w:r>
      <w:r w:rsidRPr="00C6052E">
        <w:t>the</w:t>
      </w:r>
      <w:r w:rsidR="00177848" w:rsidRPr="00C6052E">
        <w:t xml:space="preserve"> </w:t>
      </w:r>
      <w:r w:rsidRPr="00C6052E">
        <w:t>income</w:t>
      </w:r>
      <w:r w:rsidR="00177848" w:rsidRPr="00C6052E">
        <w:t xml:space="preserve"> </w:t>
      </w:r>
      <w:r w:rsidRPr="00C6052E">
        <w:t>and</w:t>
      </w:r>
      <w:r w:rsidR="00177848" w:rsidRPr="00C6052E">
        <w:t xml:space="preserve"> </w:t>
      </w:r>
      <w:r w:rsidRPr="00C6052E">
        <w:t>expenses</w:t>
      </w:r>
      <w:r w:rsidR="00177848" w:rsidRPr="00C6052E">
        <w:t xml:space="preserve"> </w:t>
      </w:r>
      <w:r w:rsidRPr="00C6052E">
        <w:t>by</w:t>
      </w:r>
      <w:r w:rsidR="00177848" w:rsidRPr="00C6052E">
        <w:t xml:space="preserve"> </w:t>
      </w:r>
      <w:r w:rsidRPr="00C6052E">
        <w:t>output.</w:t>
      </w:r>
      <w:bookmarkStart w:id="130" w:name="_Toc163565952"/>
      <w:bookmarkStart w:id="131" w:name="_Toc163566559"/>
      <w:bookmarkStart w:id="132" w:name="_Toc174009481"/>
    </w:p>
    <w:p w14:paraId="016E10BD" w14:textId="77777777" w:rsidR="00EE5BB8" w:rsidRPr="00C6052E" w:rsidRDefault="00EE5BB8" w:rsidP="00E97D0C">
      <w:pPr>
        <w:pStyle w:val="Heading3"/>
      </w:pPr>
      <w:r w:rsidRPr="00C6052E">
        <w:t>Structure</w:t>
      </w:r>
      <w:bookmarkEnd w:id="130"/>
      <w:bookmarkEnd w:id="131"/>
      <w:bookmarkEnd w:id="132"/>
    </w:p>
    <w:p w14:paraId="7684C726" w14:textId="0C3F28A0" w:rsidR="00EE5BB8" w:rsidRPr="00C6052E" w:rsidRDefault="00EE5BB8" w:rsidP="00EE5BB8">
      <w:pPr>
        <w:pStyle w:val="Structurepoints"/>
      </w:pPr>
      <w:r w:rsidRPr="00C6052E">
        <w:fldChar w:fldCharType="begin"/>
      </w:r>
      <w:r w:rsidRPr="00C6052E">
        <w:instrText xml:space="preserve"> REF _Ref209689165 \r \h </w:instrText>
      </w:r>
      <w:r w:rsidRPr="00C6052E">
        <w:fldChar w:fldCharType="separate"/>
      </w:r>
      <w:r w:rsidRPr="00C6052E">
        <w:t>3.1</w:t>
      </w:r>
      <w:r w:rsidRPr="00C6052E">
        <w:fldChar w:fldCharType="end"/>
      </w:r>
      <w:r w:rsidRPr="00C6052E">
        <w:tab/>
      </w:r>
      <w:r w:rsidRPr="00C6052E">
        <w:fldChar w:fldCharType="begin"/>
      </w:r>
      <w:r w:rsidRPr="00C6052E">
        <w:instrText xml:space="preserve"> REF _Ref209689165 \h </w:instrText>
      </w:r>
      <w:r w:rsidRPr="00C6052E">
        <w:fldChar w:fldCharType="separate"/>
      </w:r>
      <w:r w:rsidRPr="00C6052E">
        <w:t>Expenses</w:t>
      </w:r>
      <w:r w:rsidR="00177848" w:rsidRPr="00C6052E">
        <w:t xml:space="preserve"> </w:t>
      </w:r>
      <w:r w:rsidRPr="00C6052E">
        <w:t>incurred</w:t>
      </w:r>
      <w:r w:rsidR="00177848" w:rsidRPr="00C6052E">
        <w:t xml:space="preserve"> </w:t>
      </w:r>
      <w:r w:rsidRPr="00C6052E">
        <w:t>in</w:t>
      </w:r>
      <w:r w:rsidR="00177848" w:rsidRPr="00C6052E">
        <w:t xml:space="preserve"> </w:t>
      </w:r>
      <w:r w:rsidRPr="00C6052E">
        <w:t>delivery</w:t>
      </w:r>
      <w:r w:rsidR="00177848" w:rsidRPr="00C6052E">
        <w:t xml:space="preserve"> </w:t>
      </w:r>
      <w:r w:rsidRPr="00C6052E">
        <w:t>of</w:t>
      </w:r>
      <w:r w:rsidR="00177848" w:rsidRPr="00C6052E">
        <w:t xml:space="preserve"> </w:t>
      </w:r>
      <w:r w:rsidRPr="00C6052E">
        <w:t>services</w:t>
      </w:r>
      <w:r w:rsidRPr="00C6052E">
        <w:fldChar w:fldCharType="end"/>
      </w:r>
    </w:p>
    <w:p w14:paraId="5ED8E840" w14:textId="7D2C7EAB" w:rsidR="00EE5BB8" w:rsidRPr="00C6052E" w:rsidRDefault="00EE5BB8" w:rsidP="00EE5BB8">
      <w:pPr>
        <w:pStyle w:val="Structurepoints"/>
      </w:pPr>
      <w:r w:rsidRPr="00C6052E">
        <w:fldChar w:fldCharType="begin"/>
      </w:r>
      <w:r w:rsidRPr="00C6052E">
        <w:instrText xml:space="preserve"> REF _Ref209689184 \r \h </w:instrText>
      </w:r>
      <w:r w:rsidRPr="00C6052E">
        <w:fldChar w:fldCharType="separate"/>
      </w:r>
      <w:r w:rsidRPr="00C6052E">
        <w:t>3.2</w:t>
      </w:r>
      <w:r w:rsidRPr="00C6052E">
        <w:fldChar w:fldCharType="end"/>
      </w:r>
      <w:r w:rsidRPr="00C6052E">
        <w:tab/>
      </w:r>
      <w:r w:rsidRPr="00C6052E">
        <w:fldChar w:fldCharType="begin"/>
      </w:r>
      <w:r w:rsidRPr="00C6052E">
        <w:instrText xml:space="preserve"> REF _Ref209689190 \h </w:instrText>
      </w:r>
      <w:r w:rsidRPr="00C6052E">
        <w:fldChar w:fldCharType="separate"/>
      </w:r>
      <w:r w:rsidRPr="00C6052E">
        <w:t>Grant</w:t>
      </w:r>
      <w:r w:rsidR="00177848" w:rsidRPr="00C6052E">
        <w:t xml:space="preserve"> </w:t>
      </w:r>
      <w:r w:rsidRPr="00C6052E">
        <w:t>expenses</w:t>
      </w:r>
      <w:r w:rsidRPr="00C6052E">
        <w:fldChar w:fldCharType="end"/>
      </w:r>
    </w:p>
    <w:p w14:paraId="4252D6C3" w14:textId="56A851F8" w:rsidR="00EE5BB8" w:rsidRPr="00C6052E" w:rsidRDefault="00EE5BB8" w:rsidP="00EE5BB8">
      <w:pPr>
        <w:pStyle w:val="Structurepoints"/>
      </w:pPr>
      <w:r w:rsidRPr="00C6052E">
        <w:fldChar w:fldCharType="begin"/>
      </w:r>
      <w:r w:rsidRPr="00C6052E">
        <w:instrText xml:space="preserve"> REF _Ref209689201 \r \h </w:instrText>
      </w:r>
      <w:r w:rsidRPr="00C6052E">
        <w:fldChar w:fldCharType="separate"/>
      </w:r>
      <w:r w:rsidRPr="00C6052E">
        <w:t>3.3</w:t>
      </w:r>
      <w:r w:rsidRPr="00C6052E">
        <w:fldChar w:fldCharType="end"/>
      </w:r>
      <w:r w:rsidRPr="00C6052E">
        <w:tab/>
      </w:r>
      <w:r w:rsidRPr="00C6052E">
        <w:fldChar w:fldCharType="begin"/>
      </w:r>
      <w:r w:rsidRPr="00C6052E">
        <w:instrText xml:space="preserve"> REF _Ref209689207 \h </w:instrText>
      </w:r>
      <w:r w:rsidRPr="00C6052E">
        <w:fldChar w:fldCharType="separate"/>
      </w:r>
      <w:r w:rsidRPr="00C6052E">
        <w:t>Employee</w:t>
      </w:r>
      <w:r w:rsidR="00177848" w:rsidRPr="00C6052E">
        <w:t xml:space="preserve"> </w:t>
      </w:r>
      <w:r w:rsidRPr="00C6052E">
        <w:t>benefits</w:t>
      </w:r>
      <w:r w:rsidRPr="00C6052E">
        <w:fldChar w:fldCharType="end"/>
      </w:r>
    </w:p>
    <w:p w14:paraId="7F05C5D0" w14:textId="3F3A4CB6" w:rsidR="00EE5BB8" w:rsidRPr="00C6052E" w:rsidRDefault="00EE5BB8" w:rsidP="00EE5BB8">
      <w:pPr>
        <w:pStyle w:val="Structurepoints"/>
      </w:pPr>
      <w:r w:rsidRPr="00C6052E">
        <w:fldChar w:fldCharType="begin"/>
      </w:r>
      <w:r w:rsidRPr="00C6052E">
        <w:instrText xml:space="preserve"> REF _Ref209689222 \r \h </w:instrText>
      </w:r>
      <w:r w:rsidRPr="00C6052E">
        <w:fldChar w:fldCharType="separate"/>
      </w:r>
      <w:r w:rsidRPr="00C6052E">
        <w:t>3.4</w:t>
      </w:r>
      <w:r w:rsidRPr="00C6052E">
        <w:fldChar w:fldCharType="end"/>
      </w:r>
      <w:r w:rsidRPr="00C6052E">
        <w:tab/>
      </w:r>
      <w:r w:rsidRPr="00C6052E">
        <w:fldChar w:fldCharType="begin"/>
      </w:r>
      <w:r w:rsidRPr="00C6052E">
        <w:instrText xml:space="preserve"> REF _Ref209689228 \h </w:instrText>
      </w:r>
      <w:r w:rsidRPr="00C6052E">
        <w:fldChar w:fldCharType="separate"/>
      </w:r>
      <w:r w:rsidRPr="00C6052E">
        <w:t>Other</w:t>
      </w:r>
      <w:r w:rsidR="00177848" w:rsidRPr="00C6052E">
        <w:t xml:space="preserve"> </w:t>
      </w:r>
      <w:r w:rsidRPr="00C6052E">
        <w:t>operating</w:t>
      </w:r>
      <w:r w:rsidR="00177848" w:rsidRPr="00C6052E">
        <w:t xml:space="preserve"> </w:t>
      </w:r>
      <w:r w:rsidRPr="00C6052E">
        <w:t>expenses</w:t>
      </w:r>
      <w:r w:rsidRPr="00C6052E">
        <w:fldChar w:fldCharType="end"/>
      </w:r>
    </w:p>
    <w:p w14:paraId="1B82A7A3" w14:textId="22DE5BD4" w:rsidR="00EE5BB8" w:rsidRPr="00C6052E" w:rsidRDefault="00EE5BB8" w:rsidP="00246C6A">
      <w:pPr>
        <w:pStyle w:val="Heading2numbered0"/>
      </w:pPr>
      <w:bookmarkStart w:id="133" w:name="_Toc163565953"/>
      <w:bookmarkStart w:id="134" w:name="_Ref209689165"/>
      <w:r w:rsidRPr="00C6052E">
        <w:t>Expenses</w:t>
      </w:r>
      <w:r w:rsidR="00177848" w:rsidRPr="00C6052E">
        <w:t xml:space="preserve"> </w:t>
      </w:r>
      <w:r w:rsidRPr="00C6052E">
        <w:t>incurred</w:t>
      </w:r>
      <w:r w:rsidR="00177848" w:rsidRPr="00C6052E">
        <w:t xml:space="preserve"> </w:t>
      </w:r>
      <w:r w:rsidRPr="00C6052E">
        <w:t>in</w:t>
      </w:r>
      <w:r w:rsidR="00177848" w:rsidRPr="00C6052E">
        <w:t xml:space="preserve"> </w:t>
      </w:r>
      <w:r w:rsidRPr="00C6052E">
        <w:t>delivery</w:t>
      </w:r>
      <w:r w:rsidR="00177848" w:rsidRPr="00C6052E">
        <w:t xml:space="preserve"> </w:t>
      </w:r>
      <w:r w:rsidRPr="00C6052E">
        <w:t>of</w:t>
      </w:r>
      <w:r w:rsidR="00177848" w:rsidRPr="00C6052E">
        <w:t xml:space="preserve"> </w:t>
      </w:r>
      <w:r w:rsidRPr="00246C6A">
        <w:t>services</w:t>
      </w:r>
      <w:bookmarkEnd w:id="133"/>
      <w:bookmarkEnd w:id="134"/>
      <w:r w:rsidR="00D83915">
        <w:t xml:space="preserve"> </w:t>
      </w:r>
      <w:r w:rsidR="00D83915" w:rsidRPr="00C6052E">
        <w:t>($ thousand)</w:t>
      </w:r>
    </w:p>
    <w:tbl>
      <w:tblPr>
        <w:tblStyle w:val="TableGrid"/>
        <w:tblW w:w="9634" w:type="dxa"/>
        <w:tblLayout w:type="fixed"/>
        <w:tblLook w:val="04E0" w:firstRow="1" w:lastRow="1" w:firstColumn="1" w:lastColumn="0" w:noHBand="0" w:noVBand="1"/>
      </w:tblPr>
      <w:tblGrid>
        <w:gridCol w:w="6091"/>
        <w:gridCol w:w="1077"/>
        <w:gridCol w:w="1233"/>
        <w:gridCol w:w="1233"/>
      </w:tblGrid>
      <w:tr w:rsidR="00EE5BB8" w:rsidRPr="00C6052E" w14:paraId="28B2881D" w14:textId="77777777" w:rsidTr="00246C6A">
        <w:tc>
          <w:tcPr>
            <w:tcW w:w="6091" w:type="dxa"/>
            <w:noWrap/>
            <w:hideMark/>
          </w:tcPr>
          <w:p w14:paraId="2F37CA36" w14:textId="77777777" w:rsidR="00EE5BB8" w:rsidRPr="00C6052E" w:rsidRDefault="00EE5BB8" w:rsidP="00246C6A">
            <w:pPr>
              <w:pStyle w:val="TableColumnHeading"/>
            </w:pPr>
            <w:bookmarkStart w:id="135" w:name="TableColumnHeadings_50"/>
            <w:bookmarkEnd w:id="135"/>
          </w:p>
        </w:tc>
        <w:tc>
          <w:tcPr>
            <w:tcW w:w="1077" w:type="dxa"/>
            <w:hideMark/>
          </w:tcPr>
          <w:p w14:paraId="0A554EBD" w14:textId="77777777" w:rsidR="00EE5BB8" w:rsidRPr="00C6052E" w:rsidRDefault="00EE5BB8" w:rsidP="00246C6A">
            <w:pPr>
              <w:pStyle w:val="TableColumnHeading"/>
              <w:jc w:val="right"/>
            </w:pPr>
            <w:r w:rsidRPr="00C6052E">
              <w:t>Note</w:t>
            </w:r>
          </w:p>
        </w:tc>
        <w:tc>
          <w:tcPr>
            <w:tcW w:w="1233" w:type="dxa"/>
            <w:hideMark/>
          </w:tcPr>
          <w:p w14:paraId="05BA6954" w14:textId="77777777" w:rsidR="00EE5BB8" w:rsidRPr="00C6052E" w:rsidRDefault="00EE5BB8" w:rsidP="00246C6A">
            <w:pPr>
              <w:pStyle w:val="TableColumnHeading"/>
              <w:jc w:val="right"/>
            </w:pPr>
            <w:r w:rsidRPr="00C6052E">
              <w:t>2025</w:t>
            </w:r>
          </w:p>
        </w:tc>
        <w:tc>
          <w:tcPr>
            <w:tcW w:w="1233" w:type="dxa"/>
            <w:hideMark/>
          </w:tcPr>
          <w:p w14:paraId="5B6765A0" w14:textId="77777777" w:rsidR="00EE5BB8" w:rsidRPr="00C6052E" w:rsidRDefault="00EE5BB8" w:rsidP="00246C6A">
            <w:pPr>
              <w:pStyle w:val="TableColumnHeading"/>
              <w:jc w:val="right"/>
            </w:pPr>
            <w:r w:rsidRPr="00C6052E">
              <w:t>2024</w:t>
            </w:r>
          </w:p>
        </w:tc>
      </w:tr>
      <w:tr w:rsidR="00EE5BB8" w:rsidRPr="00C6052E" w14:paraId="1BEF6BBF" w14:textId="77777777" w:rsidTr="00246C6A">
        <w:tc>
          <w:tcPr>
            <w:tcW w:w="6091" w:type="dxa"/>
            <w:hideMark/>
          </w:tcPr>
          <w:p w14:paraId="641C83F8" w14:textId="359287E2" w:rsidR="00EE5BB8" w:rsidRPr="00C6052E" w:rsidRDefault="00EE5BB8" w:rsidP="0063097D">
            <w:pPr>
              <w:pStyle w:val="TableCopy"/>
            </w:pPr>
            <w:r w:rsidRPr="00C6052E">
              <w:t>Grant</w:t>
            </w:r>
            <w:r w:rsidR="00177848" w:rsidRPr="00C6052E">
              <w:t xml:space="preserve"> </w:t>
            </w:r>
            <w:r w:rsidRPr="00C6052E">
              <w:t>expenses</w:t>
            </w:r>
            <w:r w:rsidR="00177848" w:rsidRPr="00C6052E">
              <w:t xml:space="preserve"> </w:t>
            </w:r>
          </w:p>
        </w:tc>
        <w:tc>
          <w:tcPr>
            <w:tcW w:w="1077" w:type="dxa"/>
            <w:noWrap/>
            <w:hideMark/>
          </w:tcPr>
          <w:p w14:paraId="34FFAD37" w14:textId="77777777" w:rsidR="00EE5BB8" w:rsidRPr="00C6052E" w:rsidRDefault="00EE5BB8" w:rsidP="00246C6A">
            <w:pPr>
              <w:pStyle w:val="TableCopy"/>
              <w:jc w:val="right"/>
            </w:pPr>
            <w:r w:rsidRPr="00C6052E">
              <w:t>3.2</w:t>
            </w:r>
          </w:p>
        </w:tc>
        <w:tc>
          <w:tcPr>
            <w:tcW w:w="1233" w:type="dxa"/>
            <w:noWrap/>
            <w:hideMark/>
          </w:tcPr>
          <w:p w14:paraId="4FA4F4F1" w14:textId="77777777" w:rsidR="00EE5BB8" w:rsidRPr="00C6052E" w:rsidRDefault="00EE5BB8" w:rsidP="00246C6A">
            <w:pPr>
              <w:pStyle w:val="TableCopy"/>
              <w:jc w:val="right"/>
            </w:pPr>
            <w:r w:rsidRPr="00C6052E">
              <w:t>(3,000,737)</w:t>
            </w:r>
          </w:p>
        </w:tc>
        <w:tc>
          <w:tcPr>
            <w:tcW w:w="1233" w:type="dxa"/>
            <w:noWrap/>
            <w:hideMark/>
          </w:tcPr>
          <w:p w14:paraId="065592DA" w14:textId="77777777" w:rsidR="00EE5BB8" w:rsidRPr="00C6052E" w:rsidRDefault="00EE5BB8" w:rsidP="00246C6A">
            <w:pPr>
              <w:pStyle w:val="TableCopy"/>
              <w:jc w:val="right"/>
            </w:pPr>
            <w:r w:rsidRPr="00C6052E">
              <w:t>(2,892,568)</w:t>
            </w:r>
          </w:p>
        </w:tc>
      </w:tr>
      <w:tr w:rsidR="00EE5BB8" w:rsidRPr="00C6052E" w14:paraId="7426E366" w14:textId="77777777" w:rsidTr="00246C6A">
        <w:tc>
          <w:tcPr>
            <w:tcW w:w="6091" w:type="dxa"/>
            <w:hideMark/>
          </w:tcPr>
          <w:p w14:paraId="4B053ADA" w14:textId="38B0807C" w:rsidR="00EE5BB8" w:rsidRPr="00C6052E" w:rsidRDefault="00EE5BB8" w:rsidP="0063097D">
            <w:pPr>
              <w:pStyle w:val="TableCopy"/>
            </w:pPr>
            <w:r w:rsidRPr="00C6052E">
              <w:t>Employee</w:t>
            </w:r>
            <w:r w:rsidR="00177848" w:rsidRPr="00C6052E">
              <w:t xml:space="preserve"> </w:t>
            </w:r>
            <w:r w:rsidRPr="00C6052E">
              <w:t>benefits</w:t>
            </w:r>
            <w:r w:rsidR="00177848" w:rsidRPr="00C6052E">
              <w:t xml:space="preserve"> </w:t>
            </w:r>
          </w:p>
        </w:tc>
        <w:tc>
          <w:tcPr>
            <w:tcW w:w="1077" w:type="dxa"/>
            <w:noWrap/>
            <w:hideMark/>
          </w:tcPr>
          <w:p w14:paraId="22AFAD71" w14:textId="77777777" w:rsidR="00EE5BB8" w:rsidRPr="00C6052E" w:rsidRDefault="00EE5BB8" w:rsidP="00246C6A">
            <w:pPr>
              <w:pStyle w:val="TableCopy"/>
              <w:jc w:val="right"/>
            </w:pPr>
            <w:r w:rsidRPr="00C6052E">
              <w:t>3.3</w:t>
            </w:r>
          </w:p>
        </w:tc>
        <w:tc>
          <w:tcPr>
            <w:tcW w:w="1233" w:type="dxa"/>
            <w:noWrap/>
            <w:hideMark/>
          </w:tcPr>
          <w:p w14:paraId="489D7F46" w14:textId="77777777" w:rsidR="00EE5BB8" w:rsidRPr="00C6052E" w:rsidRDefault="00EE5BB8" w:rsidP="00246C6A">
            <w:pPr>
              <w:pStyle w:val="TableCopy"/>
              <w:jc w:val="right"/>
            </w:pPr>
            <w:r w:rsidRPr="00C6052E">
              <w:t>(349,007)</w:t>
            </w:r>
          </w:p>
        </w:tc>
        <w:tc>
          <w:tcPr>
            <w:tcW w:w="1233" w:type="dxa"/>
            <w:noWrap/>
            <w:hideMark/>
          </w:tcPr>
          <w:p w14:paraId="5D28753F" w14:textId="77777777" w:rsidR="00EE5BB8" w:rsidRPr="00C6052E" w:rsidRDefault="00EE5BB8" w:rsidP="00246C6A">
            <w:pPr>
              <w:pStyle w:val="TableCopy"/>
              <w:jc w:val="right"/>
            </w:pPr>
            <w:r w:rsidRPr="00C6052E">
              <w:t>(372,118)</w:t>
            </w:r>
          </w:p>
        </w:tc>
      </w:tr>
      <w:tr w:rsidR="00EE5BB8" w:rsidRPr="00C6052E" w14:paraId="7A281EC7" w14:textId="77777777" w:rsidTr="00246C6A">
        <w:tc>
          <w:tcPr>
            <w:tcW w:w="6091" w:type="dxa"/>
            <w:hideMark/>
          </w:tcPr>
          <w:p w14:paraId="12EEC761" w14:textId="2F8A75DE" w:rsidR="00EE5BB8" w:rsidRPr="00C6052E" w:rsidRDefault="00EE5BB8" w:rsidP="0063097D">
            <w:pPr>
              <w:pStyle w:val="TableCopy"/>
            </w:pPr>
            <w:r w:rsidRPr="00C6052E">
              <w:t>Other</w:t>
            </w:r>
            <w:r w:rsidR="00177848" w:rsidRPr="00C6052E">
              <w:t xml:space="preserve"> </w:t>
            </w:r>
            <w:r w:rsidRPr="00C6052E">
              <w:t>operating</w:t>
            </w:r>
            <w:r w:rsidR="00177848" w:rsidRPr="00C6052E">
              <w:t xml:space="preserve"> </w:t>
            </w:r>
            <w:r w:rsidRPr="00C6052E">
              <w:t>expenses</w:t>
            </w:r>
          </w:p>
        </w:tc>
        <w:tc>
          <w:tcPr>
            <w:tcW w:w="1077" w:type="dxa"/>
            <w:noWrap/>
            <w:hideMark/>
          </w:tcPr>
          <w:p w14:paraId="6D638983" w14:textId="77777777" w:rsidR="00EE5BB8" w:rsidRPr="00C6052E" w:rsidRDefault="00EE5BB8" w:rsidP="00246C6A">
            <w:pPr>
              <w:pStyle w:val="TableCopy"/>
              <w:jc w:val="right"/>
            </w:pPr>
            <w:r w:rsidRPr="00C6052E">
              <w:t>3.4</w:t>
            </w:r>
          </w:p>
        </w:tc>
        <w:tc>
          <w:tcPr>
            <w:tcW w:w="1233" w:type="dxa"/>
            <w:noWrap/>
            <w:hideMark/>
          </w:tcPr>
          <w:p w14:paraId="1E9F460D" w14:textId="77777777" w:rsidR="00EE5BB8" w:rsidRPr="00C6052E" w:rsidRDefault="00EE5BB8" w:rsidP="00246C6A">
            <w:pPr>
              <w:pStyle w:val="TableCopy"/>
              <w:jc w:val="right"/>
            </w:pPr>
            <w:r w:rsidRPr="00C6052E">
              <w:t>(231,103)</w:t>
            </w:r>
          </w:p>
        </w:tc>
        <w:tc>
          <w:tcPr>
            <w:tcW w:w="1233" w:type="dxa"/>
            <w:noWrap/>
            <w:hideMark/>
          </w:tcPr>
          <w:p w14:paraId="5F4F2415" w14:textId="77777777" w:rsidR="00EE5BB8" w:rsidRPr="00C6052E" w:rsidRDefault="00EE5BB8" w:rsidP="00246C6A">
            <w:pPr>
              <w:pStyle w:val="TableCopy"/>
              <w:jc w:val="right"/>
            </w:pPr>
            <w:r w:rsidRPr="00C6052E">
              <w:t>(226,835)</w:t>
            </w:r>
          </w:p>
        </w:tc>
      </w:tr>
      <w:tr w:rsidR="00EE5BB8" w:rsidRPr="00C6052E" w14:paraId="3C364C11" w14:textId="77777777" w:rsidTr="00246C6A">
        <w:tc>
          <w:tcPr>
            <w:tcW w:w="6091" w:type="dxa"/>
            <w:hideMark/>
          </w:tcPr>
          <w:p w14:paraId="7031C0BC" w14:textId="7A577CE1" w:rsidR="00EE5BB8" w:rsidRPr="00C6052E" w:rsidRDefault="00EE5BB8" w:rsidP="0063097D">
            <w:pPr>
              <w:pStyle w:val="Tabletotal"/>
            </w:pPr>
            <w:r w:rsidRPr="00C6052E">
              <w:t>Total</w:t>
            </w:r>
            <w:r w:rsidR="00177848" w:rsidRPr="00C6052E">
              <w:t xml:space="preserve"> </w:t>
            </w:r>
            <w:r w:rsidRPr="00C6052E">
              <w:t>expenses</w:t>
            </w:r>
            <w:r w:rsidR="00177848" w:rsidRPr="00C6052E">
              <w:t xml:space="preserve"> </w:t>
            </w:r>
            <w:r w:rsidRPr="00C6052E">
              <w:t>incurred</w:t>
            </w:r>
            <w:r w:rsidR="00177848" w:rsidRPr="00C6052E">
              <w:t xml:space="preserve"> </w:t>
            </w:r>
            <w:r w:rsidRPr="00C6052E">
              <w:t>in</w:t>
            </w:r>
            <w:r w:rsidR="00177848" w:rsidRPr="00C6052E">
              <w:t xml:space="preserve"> </w:t>
            </w:r>
            <w:r w:rsidRPr="00C6052E">
              <w:t>delivery</w:t>
            </w:r>
            <w:r w:rsidR="00177848" w:rsidRPr="00C6052E">
              <w:t xml:space="preserve"> </w:t>
            </w:r>
            <w:r w:rsidRPr="00C6052E">
              <w:t>of</w:t>
            </w:r>
            <w:r w:rsidR="00177848" w:rsidRPr="00C6052E">
              <w:t xml:space="preserve"> </w:t>
            </w:r>
            <w:r w:rsidRPr="00C6052E">
              <w:t>services</w:t>
            </w:r>
          </w:p>
        </w:tc>
        <w:tc>
          <w:tcPr>
            <w:tcW w:w="1077" w:type="dxa"/>
            <w:hideMark/>
          </w:tcPr>
          <w:p w14:paraId="3FBBE3A8" w14:textId="77777777" w:rsidR="00EE5BB8" w:rsidRPr="00C6052E" w:rsidRDefault="00EE5BB8" w:rsidP="0063097D">
            <w:pPr>
              <w:pStyle w:val="Tabletotal"/>
              <w:jc w:val="right"/>
            </w:pPr>
          </w:p>
        </w:tc>
        <w:tc>
          <w:tcPr>
            <w:tcW w:w="1233" w:type="dxa"/>
            <w:noWrap/>
            <w:hideMark/>
          </w:tcPr>
          <w:p w14:paraId="26198B82" w14:textId="77777777" w:rsidR="00EE5BB8" w:rsidRPr="00C6052E" w:rsidRDefault="00EE5BB8" w:rsidP="0063097D">
            <w:pPr>
              <w:pStyle w:val="Tabletotal"/>
              <w:jc w:val="right"/>
            </w:pPr>
            <w:r w:rsidRPr="00C6052E">
              <w:t>(3,580,847)</w:t>
            </w:r>
          </w:p>
        </w:tc>
        <w:tc>
          <w:tcPr>
            <w:tcW w:w="1233" w:type="dxa"/>
            <w:noWrap/>
            <w:hideMark/>
          </w:tcPr>
          <w:p w14:paraId="3D09CE26" w14:textId="77777777" w:rsidR="00EE5BB8" w:rsidRPr="00C6052E" w:rsidRDefault="00EE5BB8" w:rsidP="0063097D">
            <w:pPr>
              <w:pStyle w:val="Tabletotal"/>
              <w:jc w:val="right"/>
            </w:pPr>
            <w:r w:rsidRPr="00C6052E">
              <w:t>(3,491,521)</w:t>
            </w:r>
          </w:p>
        </w:tc>
      </w:tr>
    </w:tbl>
    <w:p w14:paraId="0A10EDDD" w14:textId="77777777" w:rsidR="00EE5BB8" w:rsidRPr="00C6052E" w:rsidRDefault="00EE5BB8" w:rsidP="00EE5BB8"/>
    <w:p w14:paraId="4681E7EA" w14:textId="40E1A221" w:rsidR="00EE5BB8" w:rsidRPr="00C6052E" w:rsidRDefault="00EE5BB8" w:rsidP="00EE5BB8">
      <w:r w:rsidRPr="00C6052E">
        <w:t>The</w:t>
      </w:r>
      <w:r w:rsidR="00177848" w:rsidRPr="00C6052E">
        <w:t xml:space="preserve"> </w:t>
      </w:r>
      <w:r w:rsidRPr="00C6052E">
        <w:t>above</w:t>
      </w:r>
      <w:r w:rsidR="00177848" w:rsidRPr="00C6052E">
        <w:t xml:space="preserve"> </w:t>
      </w:r>
      <w:r w:rsidRPr="00C6052E">
        <w:t>table</w:t>
      </w:r>
      <w:r w:rsidR="00177848" w:rsidRPr="00C6052E">
        <w:t xml:space="preserve"> </w:t>
      </w:r>
      <w:r w:rsidRPr="00C6052E">
        <w:t>excludes</w:t>
      </w:r>
      <w:r w:rsidR="00177848" w:rsidRPr="00C6052E">
        <w:t xml:space="preserve"> </w:t>
      </w:r>
      <w:r w:rsidRPr="00C6052E">
        <w:t>depreciation</w:t>
      </w:r>
      <w:r w:rsidR="00177848" w:rsidRPr="00C6052E">
        <w:t xml:space="preserve"> </w:t>
      </w:r>
      <w:r w:rsidRPr="00C6052E">
        <w:t>and</w:t>
      </w:r>
      <w:r w:rsidR="00177848" w:rsidRPr="00C6052E">
        <w:t xml:space="preserve"> </w:t>
      </w:r>
      <w:r w:rsidRPr="00C6052E">
        <w:t>amortisation</w:t>
      </w:r>
      <w:r w:rsidR="00177848" w:rsidRPr="00C6052E">
        <w:t xml:space="preserve"> </w:t>
      </w:r>
      <w:r w:rsidRPr="00C6052E">
        <w:t>expenses</w:t>
      </w:r>
      <w:r w:rsidR="00177848" w:rsidRPr="00C6052E">
        <w:t xml:space="preserve"> </w:t>
      </w:r>
      <w:r w:rsidRPr="00C6052E">
        <w:t>which</w:t>
      </w:r>
      <w:r w:rsidR="00177848" w:rsidRPr="00C6052E">
        <w:t xml:space="preserve"> </w:t>
      </w:r>
      <w:r w:rsidRPr="00C6052E">
        <w:t>are</w:t>
      </w:r>
      <w:r w:rsidR="00177848" w:rsidRPr="00C6052E">
        <w:t xml:space="preserve"> </w:t>
      </w:r>
      <w:r w:rsidRPr="00C6052E">
        <w:t>separately</w:t>
      </w:r>
      <w:r w:rsidR="00177848" w:rsidRPr="00C6052E">
        <w:t xml:space="preserve"> </w:t>
      </w:r>
      <w:r w:rsidRPr="00C6052E">
        <w:t>shown</w:t>
      </w:r>
      <w:r w:rsidR="00177848" w:rsidRPr="00C6052E">
        <w:t xml:space="preserve"> </w:t>
      </w:r>
      <w:r w:rsidRPr="00C6052E">
        <w:t>in</w:t>
      </w:r>
      <w:r w:rsidR="00177848" w:rsidRPr="00C6052E">
        <w:t xml:space="preserve"> </w:t>
      </w:r>
      <w:r w:rsidRPr="00C6052E">
        <w:t>Note</w:t>
      </w:r>
      <w:r w:rsidR="00177848" w:rsidRPr="00C6052E">
        <w:t xml:space="preserve"> </w:t>
      </w:r>
      <w:r w:rsidRPr="00C6052E">
        <w:fldChar w:fldCharType="begin"/>
      </w:r>
      <w:r w:rsidRPr="00C6052E">
        <w:instrText xml:space="preserve"> REF _Ref209689311 \r \h </w:instrText>
      </w:r>
      <w:r w:rsidRPr="00C6052E">
        <w:fldChar w:fldCharType="separate"/>
      </w:r>
      <w:r w:rsidRPr="00C6052E">
        <w:t>5.1.2</w:t>
      </w:r>
      <w:r w:rsidRPr="00C6052E">
        <w:fldChar w:fldCharType="end"/>
      </w:r>
      <w:r w:rsidRPr="00C6052E">
        <w:t>.</w:t>
      </w:r>
    </w:p>
    <w:p w14:paraId="00AAD16E" w14:textId="3473872E" w:rsidR="00EE5BB8" w:rsidRPr="00C6052E" w:rsidRDefault="00EE5BB8" w:rsidP="00246C6A">
      <w:pPr>
        <w:pStyle w:val="Heading2numbered0"/>
      </w:pPr>
      <w:bookmarkStart w:id="136" w:name="_Toc163565954"/>
      <w:bookmarkStart w:id="137" w:name="_Ref163567697"/>
      <w:bookmarkStart w:id="138" w:name="_Ref163567702"/>
      <w:bookmarkStart w:id="139" w:name="_Ref209619456"/>
      <w:bookmarkStart w:id="140" w:name="_Ref209619468"/>
      <w:bookmarkStart w:id="141" w:name="_Ref209689184"/>
      <w:bookmarkStart w:id="142" w:name="_Ref209689190"/>
      <w:bookmarkStart w:id="143" w:name="_Ref209706228"/>
      <w:r w:rsidRPr="00C6052E">
        <w:t>Grant</w:t>
      </w:r>
      <w:r w:rsidR="00177848" w:rsidRPr="00C6052E">
        <w:t xml:space="preserve"> </w:t>
      </w:r>
      <w:r w:rsidRPr="00C6052E">
        <w:t>expenses</w:t>
      </w:r>
      <w:bookmarkEnd w:id="136"/>
      <w:bookmarkEnd w:id="137"/>
      <w:bookmarkEnd w:id="138"/>
      <w:bookmarkEnd w:id="139"/>
      <w:bookmarkEnd w:id="140"/>
      <w:bookmarkEnd w:id="141"/>
      <w:bookmarkEnd w:id="142"/>
      <w:bookmarkEnd w:id="143"/>
      <w:r w:rsidR="00D83915">
        <w:t xml:space="preserve"> </w:t>
      </w:r>
      <w:r w:rsidR="00D83915" w:rsidRPr="00C6052E">
        <w:t>($ thousand)</w:t>
      </w:r>
    </w:p>
    <w:tbl>
      <w:tblPr>
        <w:tblStyle w:val="TableGrid"/>
        <w:tblW w:w="9634" w:type="dxa"/>
        <w:tblLayout w:type="fixed"/>
        <w:tblLook w:val="04E0" w:firstRow="1" w:lastRow="1" w:firstColumn="1" w:lastColumn="0" w:noHBand="0" w:noVBand="1"/>
      </w:tblPr>
      <w:tblGrid>
        <w:gridCol w:w="6091"/>
        <w:gridCol w:w="1666"/>
        <w:gridCol w:w="1877"/>
      </w:tblGrid>
      <w:tr w:rsidR="00EE5BB8" w:rsidRPr="00C6052E" w14:paraId="3BEC1FFC" w14:textId="77777777" w:rsidTr="00246C6A">
        <w:trPr>
          <w:tblHeader/>
        </w:trPr>
        <w:tc>
          <w:tcPr>
            <w:tcW w:w="6091" w:type="dxa"/>
            <w:noWrap/>
            <w:hideMark/>
          </w:tcPr>
          <w:p w14:paraId="621ECD45" w14:textId="77777777" w:rsidR="00EE5BB8" w:rsidRPr="00C6052E" w:rsidRDefault="00EE5BB8" w:rsidP="00246C6A">
            <w:pPr>
              <w:pStyle w:val="TableColumnHeading"/>
            </w:pPr>
            <w:bookmarkStart w:id="144" w:name="TableColumnHeadings_51"/>
            <w:bookmarkEnd w:id="144"/>
          </w:p>
        </w:tc>
        <w:tc>
          <w:tcPr>
            <w:tcW w:w="1666" w:type="dxa"/>
            <w:hideMark/>
          </w:tcPr>
          <w:p w14:paraId="52B5CD92" w14:textId="77777777" w:rsidR="00EE5BB8" w:rsidRPr="00C6052E" w:rsidRDefault="00EE5BB8" w:rsidP="00246C6A">
            <w:pPr>
              <w:pStyle w:val="TableColumnHeading"/>
              <w:jc w:val="right"/>
            </w:pPr>
            <w:r w:rsidRPr="00C6052E">
              <w:t>2025</w:t>
            </w:r>
          </w:p>
        </w:tc>
        <w:tc>
          <w:tcPr>
            <w:tcW w:w="1877" w:type="dxa"/>
            <w:hideMark/>
          </w:tcPr>
          <w:p w14:paraId="239C3D65" w14:textId="77777777" w:rsidR="00EE5BB8" w:rsidRPr="00C6052E" w:rsidRDefault="00EE5BB8" w:rsidP="00246C6A">
            <w:pPr>
              <w:pStyle w:val="TableColumnHeading"/>
              <w:jc w:val="right"/>
            </w:pPr>
            <w:r w:rsidRPr="00C6052E">
              <w:t>2024</w:t>
            </w:r>
          </w:p>
        </w:tc>
      </w:tr>
      <w:tr w:rsidR="00246C6A" w:rsidRPr="00C6052E" w14:paraId="5B66C0E3" w14:textId="77777777" w:rsidTr="00D87789">
        <w:tc>
          <w:tcPr>
            <w:tcW w:w="6091" w:type="dxa"/>
          </w:tcPr>
          <w:p w14:paraId="2974CE7E" w14:textId="4447B2D0" w:rsidR="00246C6A" w:rsidRPr="00C6052E" w:rsidRDefault="00246C6A" w:rsidP="00246C6A">
            <w:pPr>
              <w:pStyle w:val="TableHeading"/>
            </w:pPr>
            <w:r w:rsidRPr="00C6052E">
              <w:t>Grants to portfolio agencies</w:t>
            </w:r>
          </w:p>
        </w:tc>
        <w:tc>
          <w:tcPr>
            <w:tcW w:w="1666" w:type="dxa"/>
            <w:noWrap/>
          </w:tcPr>
          <w:p w14:paraId="01228208" w14:textId="77777777" w:rsidR="00246C6A" w:rsidRPr="00C6052E" w:rsidRDefault="00246C6A" w:rsidP="00246C6A">
            <w:pPr>
              <w:pStyle w:val="TableHeading"/>
              <w:jc w:val="right"/>
            </w:pPr>
          </w:p>
        </w:tc>
        <w:tc>
          <w:tcPr>
            <w:tcW w:w="1877" w:type="dxa"/>
            <w:noWrap/>
          </w:tcPr>
          <w:p w14:paraId="23E3209C" w14:textId="77777777" w:rsidR="00246C6A" w:rsidRPr="00C6052E" w:rsidRDefault="00246C6A" w:rsidP="00246C6A">
            <w:pPr>
              <w:pStyle w:val="TableHeading"/>
              <w:jc w:val="right"/>
            </w:pPr>
          </w:p>
        </w:tc>
      </w:tr>
      <w:tr w:rsidR="00EE5BB8" w:rsidRPr="00C6052E" w14:paraId="36C86F99" w14:textId="77777777" w:rsidTr="00246C6A">
        <w:tc>
          <w:tcPr>
            <w:tcW w:w="6091" w:type="dxa"/>
            <w:hideMark/>
          </w:tcPr>
          <w:p w14:paraId="5A250853" w14:textId="439BDAF5" w:rsidR="00EE5BB8" w:rsidRPr="00C6052E" w:rsidRDefault="00EE5BB8" w:rsidP="00246C6A">
            <w:pPr>
              <w:pStyle w:val="TableCopy"/>
              <w:keepNext/>
            </w:pPr>
            <w:r w:rsidRPr="00C6052E">
              <w:t>Creative</w:t>
            </w:r>
            <w:r w:rsidR="00177848" w:rsidRPr="00C6052E">
              <w:t xml:space="preserve"> </w:t>
            </w:r>
            <w:r w:rsidRPr="00C6052E">
              <w:t>Victoria</w:t>
            </w:r>
            <w:r w:rsidR="00177848" w:rsidRPr="00C6052E">
              <w:t xml:space="preserve"> </w:t>
            </w:r>
            <w:r w:rsidRPr="00C6052E">
              <w:t>agencies</w:t>
            </w:r>
            <w:r w:rsidR="00177848" w:rsidRPr="00C6052E">
              <w:t xml:space="preserve"> </w:t>
            </w:r>
          </w:p>
        </w:tc>
        <w:tc>
          <w:tcPr>
            <w:tcW w:w="1666" w:type="dxa"/>
            <w:noWrap/>
            <w:hideMark/>
          </w:tcPr>
          <w:p w14:paraId="59BD494C" w14:textId="77777777" w:rsidR="00EE5BB8" w:rsidRPr="00C6052E" w:rsidRDefault="00EE5BB8" w:rsidP="00246C6A">
            <w:pPr>
              <w:pStyle w:val="TableCopy"/>
              <w:keepNext/>
              <w:jc w:val="right"/>
            </w:pPr>
            <w:r w:rsidRPr="00C6052E">
              <w:t>(317,915)</w:t>
            </w:r>
          </w:p>
        </w:tc>
        <w:tc>
          <w:tcPr>
            <w:tcW w:w="1877" w:type="dxa"/>
            <w:noWrap/>
            <w:hideMark/>
          </w:tcPr>
          <w:p w14:paraId="4DB1BDBA" w14:textId="77777777" w:rsidR="00EE5BB8" w:rsidRPr="00C6052E" w:rsidRDefault="00EE5BB8" w:rsidP="00246C6A">
            <w:pPr>
              <w:pStyle w:val="TableCopy"/>
              <w:keepNext/>
              <w:jc w:val="right"/>
            </w:pPr>
            <w:r w:rsidRPr="00C6052E">
              <w:t>(284,932)</w:t>
            </w:r>
          </w:p>
        </w:tc>
      </w:tr>
      <w:tr w:rsidR="00EE5BB8" w:rsidRPr="00C6052E" w14:paraId="61B8F65D" w14:textId="77777777" w:rsidTr="00246C6A">
        <w:tc>
          <w:tcPr>
            <w:tcW w:w="6091" w:type="dxa"/>
            <w:hideMark/>
          </w:tcPr>
          <w:p w14:paraId="426E110E" w14:textId="31ABE088" w:rsidR="00EE5BB8" w:rsidRPr="00C6052E" w:rsidRDefault="00EE5BB8" w:rsidP="00246C6A">
            <w:pPr>
              <w:pStyle w:val="TableCopy"/>
              <w:keepNext/>
            </w:pPr>
            <w:r w:rsidRPr="00C6052E">
              <w:t>Visit</w:t>
            </w:r>
            <w:r w:rsidR="00177848" w:rsidRPr="00C6052E">
              <w:t xml:space="preserve"> </w:t>
            </w:r>
            <w:r w:rsidRPr="00C6052E">
              <w:t>Victoria</w:t>
            </w:r>
            <w:r w:rsidR="00177848" w:rsidRPr="00C6052E">
              <w:t xml:space="preserve"> </w:t>
            </w:r>
          </w:p>
        </w:tc>
        <w:tc>
          <w:tcPr>
            <w:tcW w:w="1666" w:type="dxa"/>
            <w:noWrap/>
            <w:hideMark/>
          </w:tcPr>
          <w:p w14:paraId="13912313" w14:textId="77777777" w:rsidR="00EE5BB8" w:rsidRPr="00C6052E" w:rsidRDefault="00EE5BB8" w:rsidP="00246C6A">
            <w:pPr>
              <w:pStyle w:val="TableCopy"/>
              <w:keepNext/>
              <w:jc w:val="right"/>
            </w:pPr>
            <w:r w:rsidRPr="00C6052E">
              <w:t>(126,755)</w:t>
            </w:r>
          </w:p>
        </w:tc>
        <w:tc>
          <w:tcPr>
            <w:tcW w:w="1877" w:type="dxa"/>
            <w:noWrap/>
            <w:hideMark/>
          </w:tcPr>
          <w:p w14:paraId="41FB5357" w14:textId="77777777" w:rsidR="00EE5BB8" w:rsidRPr="00C6052E" w:rsidRDefault="00EE5BB8" w:rsidP="00246C6A">
            <w:pPr>
              <w:pStyle w:val="TableCopy"/>
              <w:keepNext/>
              <w:jc w:val="right"/>
            </w:pPr>
            <w:r w:rsidRPr="00C6052E">
              <w:t>(157,639)</w:t>
            </w:r>
          </w:p>
        </w:tc>
      </w:tr>
      <w:tr w:rsidR="00EE5BB8" w:rsidRPr="00C6052E" w14:paraId="22783CE1" w14:textId="77777777" w:rsidTr="00246C6A">
        <w:tc>
          <w:tcPr>
            <w:tcW w:w="6091" w:type="dxa"/>
            <w:hideMark/>
          </w:tcPr>
          <w:p w14:paraId="0FD02BC0" w14:textId="0A837884" w:rsidR="00EE5BB8" w:rsidRPr="00C6052E" w:rsidRDefault="00EE5BB8" w:rsidP="0063097D">
            <w:pPr>
              <w:pStyle w:val="TableCopy"/>
            </w:pPr>
            <w:r w:rsidRPr="00C6052E">
              <w:t>Training</w:t>
            </w:r>
            <w:r w:rsidR="00177848" w:rsidRPr="00C6052E">
              <w:t xml:space="preserve"> </w:t>
            </w:r>
            <w:r w:rsidRPr="00C6052E">
              <w:t>and</w:t>
            </w:r>
            <w:r w:rsidR="00177848" w:rsidRPr="00C6052E">
              <w:t xml:space="preserve"> </w:t>
            </w:r>
            <w:r w:rsidRPr="00C6052E">
              <w:t>Skills</w:t>
            </w:r>
          </w:p>
        </w:tc>
        <w:tc>
          <w:tcPr>
            <w:tcW w:w="1666" w:type="dxa"/>
            <w:noWrap/>
            <w:hideMark/>
          </w:tcPr>
          <w:p w14:paraId="402B0FAF" w14:textId="77777777" w:rsidR="00EE5BB8" w:rsidRPr="00C6052E" w:rsidRDefault="00EE5BB8" w:rsidP="00246C6A">
            <w:pPr>
              <w:pStyle w:val="TableCopy"/>
              <w:jc w:val="right"/>
            </w:pPr>
            <w:r w:rsidRPr="00C6052E">
              <w:t>(888,073)</w:t>
            </w:r>
          </w:p>
        </w:tc>
        <w:tc>
          <w:tcPr>
            <w:tcW w:w="1877" w:type="dxa"/>
            <w:noWrap/>
            <w:hideMark/>
          </w:tcPr>
          <w:p w14:paraId="4F05897C" w14:textId="77777777" w:rsidR="00EE5BB8" w:rsidRPr="00C6052E" w:rsidRDefault="00EE5BB8" w:rsidP="00246C6A">
            <w:pPr>
              <w:pStyle w:val="TableCopy"/>
              <w:jc w:val="right"/>
            </w:pPr>
            <w:r w:rsidRPr="00C6052E">
              <w:t>(860,466)</w:t>
            </w:r>
          </w:p>
        </w:tc>
      </w:tr>
      <w:tr w:rsidR="00EE5BB8" w:rsidRPr="00C6052E" w14:paraId="729ED43F" w14:textId="77777777" w:rsidTr="00246C6A">
        <w:tc>
          <w:tcPr>
            <w:tcW w:w="6091" w:type="dxa"/>
            <w:hideMark/>
          </w:tcPr>
          <w:p w14:paraId="79C44D9D" w14:textId="5D8635DB" w:rsidR="00EE5BB8" w:rsidRPr="00C6052E" w:rsidRDefault="00EE5BB8" w:rsidP="0063097D">
            <w:pPr>
              <w:pStyle w:val="TableCopy"/>
            </w:pPr>
            <w:r w:rsidRPr="00C6052E">
              <w:t>Other</w:t>
            </w:r>
            <w:r w:rsidR="00177848" w:rsidRPr="00C6052E">
              <w:t xml:space="preserve"> </w:t>
            </w:r>
            <w:r w:rsidRPr="00C6052E">
              <w:t>grants</w:t>
            </w:r>
            <w:r w:rsidR="00177848" w:rsidRPr="00C6052E">
              <w:t xml:space="preserve"> </w:t>
            </w:r>
            <w:r w:rsidRPr="00C6052E">
              <w:t>to</w:t>
            </w:r>
            <w:r w:rsidR="00177848" w:rsidRPr="00C6052E">
              <w:t xml:space="preserve"> </w:t>
            </w:r>
            <w:r w:rsidRPr="00C6052E">
              <w:t>portfolio</w:t>
            </w:r>
            <w:r w:rsidR="00177848" w:rsidRPr="00C6052E">
              <w:t xml:space="preserve"> </w:t>
            </w:r>
            <w:r w:rsidRPr="00C6052E">
              <w:t>agencies</w:t>
            </w:r>
            <w:r w:rsidR="00177848" w:rsidRPr="00C6052E">
              <w:t xml:space="preserve"> </w:t>
            </w:r>
          </w:p>
        </w:tc>
        <w:tc>
          <w:tcPr>
            <w:tcW w:w="1666" w:type="dxa"/>
            <w:noWrap/>
            <w:hideMark/>
          </w:tcPr>
          <w:p w14:paraId="7AE283FB" w14:textId="77777777" w:rsidR="00EE5BB8" w:rsidRPr="00C6052E" w:rsidRDefault="00EE5BB8" w:rsidP="00246C6A">
            <w:pPr>
              <w:pStyle w:val="TableCopy"/>
              <w:jc w:val="right"/>
            </w:pPr>
            <w:r w:rsidRPr="00C6052E">
              <w:t>(363,187)</w:t>
            </w:r>
          </w:p>
        </w:tc>
        <w:tc>
          <w:tcPr>
            <w:tcW w:w="1877" w:type="dxa"/>
            <w:noWrap/>
            <w:hideMark/>
          </w:tcPr>
          <w:p w14:paraId="5EEE2F70" w14:textId="77777777" w:rsidR="00EE5BB8" w:rsidRPr="00C6052E" w:rsidRDefault="00EE5BB8" w:rsidP="00246C6A">
            <w:pPr>
              <w:pStyle w:val="TableCopy"/>
              <w:jc w:val="right"/>
            </w:pPr>
            <w:r w:rsidRPr="00C6052E">
              <w:t>(318,603)</w:t>
            </w:r>
          </w:p>
        </w:tc>
      </w:tr>
      <w:tr w:rsidR="00EE5BB8" w:rsidRPr="00C6052E" w14:paraId="48E8C033" w14:textId="77777777" w:rsidTr="00246C6A">
        <w:tc>
          <w:tcPr>
            <w:tcW w:w="6091" w:type="dxa"/>
            <w:hideMark/>
          </w:tcPr>
          <w:p w14:paraId="524158B1" w14:textId="28BD598C" w:rsidR="00EE5BB8" w:rsidRPr="00C6052E" w:rsidRDefault="00EE5BB8" w:rsidP="0063097D">
            <w:pPr>
              <w:pStyle w:val="Tabletotal"/>
            </w:pPr>
            <w:r w:rsidRPr="00C6052E">
              <w:t>Total</w:t>
            </w:r>
            <w:r w:rsidR="00177848" w:rsidRPr="00C6052E">
              <w:t xml:space="preserve"> </w:t>
            </w:r>
            <w:r w:rsidRPr="00C6052E">
              <w:t>grants</w:t>
            </w:r>
            <w:r w:rsidR="00177848" w:rsidRPr="00C6052E">
              <w:t xml:space="preserve"> </w:t>
            </w:r>
            <w:r w:rsidRPr="00C6052E">
              <w:t>to</w:t>
            </w:r>
            <w:r w:rsidR="00177848" w:rsidRPr="00C6052E">
              <w:t xml:space="preserve"> </w:t>
            </w:r>
            <w:r w:rsidRPr="00C6052E">
              <w:t>portfolio</w:t>
            </w:r>
            <w:r w:rsidR="00177848" w:rsidRPr="00C6052E">
              <w:t xml:space="preserve"> </w:t>
            </w:r>
            <w:r w:rsidRPr="00C6052E">
              <w:t>agencies</w:t>
            </w:r>
            <w:r w:rsidR="00177848" w:rsidRPr="00C6052E">
              <w:t xml:space="preserve"> </w:t>
            </w:r>
          </w:p>
        </w:tc>
        <w:tc>
          <w:tcPr>
            <w:tcW w:w="1666" w:type="dxa"/>
            <w:noWrap/>
            <w:hideMark/>
          </w:tcPr>
          <w:p w14:paraId="2FF4560B" w14:textId="77777777" w:rsidR="00EE5BB8" w:rsidRPr="00C6052E" w:rsidRDefault="00EE5BB8" w:rsidP="0063097D">
            <w:pPr>
              <w:pStyle w:val="Tabletotal"/>
              <w:jc w:val="right"/>
            </w:pPr>
            <w:r w:rsidRPr="00C6052E">
              <w:t>(1,695,930)</w:t>
            </w:r>
          </w:p>
        </w:tc>
        <w:tc>
          <w:tcPr>
            <w:tcW w:w="1877" w:type="dxa"/>
            <w:noWrap/>
            <w:hideMark/>
          </w:tcPr>
          <w:p w14:paraId="4B95B25F" w14:textId="77777777" w:rsidR="00EE5BB8" w:rsidRPr="00C6052E" w:rsidRDefault="00EE5BB8" w:rsidP="0063097D">
            <w:pPr>
              <w:pStyle w:val="Tabletotal"/>
              <w:jc w:val="right"/>
            </w:pPr>
            <w:r w:rsidRPr="00C6052E">
              <w:t>(1,621,640)</w:t>
            </w:r>
          </w:p>
        </w:tc>
      </w:tr>
      <w:tr w:rsidR="00246C6A" w:rsidRPr="00C6052E" w14:paraId="5C940E0F" w14:textId="77777777" w:rsidTr="00425B99">
        <w:tc>
          <w:tcPr>
            <w:tcW w:w="6091" w:type="dxa"/>
          </w:tcPr>
          <w:p w14:paraId="597D416E" w14:textId="4E6CAEF6" w:rsidR="00246C6A" w:rsidRPr="00C6052E" w:rsidRDefault="00246C6A" w:rsidP="00425B99">
            <w:pPr>
              <w:pStyle w:val="TableHeading"/>
            </w:pPr>
            <w:r w:rsidRPr="00C6052E">
              <w:lastRenderedPageBreak/>
              <w:t>Grants to local government</w:t>
            </w:r>
          </w:p>
        </w:tc>
        <w:tc>
          <w:tcPr>
            <w:tcW w:w="1666" w:type="dxa"/>
            <w:noWrap/>
          </w:tcPr>
          <w:p w14:paraId="3543F37A" w14:textId="77777777" w:rsidR="00246C6A" w:rsidRPr="00C6052E" w:rsidRDefault="00246C6A" w:rsidP="00425B99">
            <w:pPr>
              <w:pStyle w:val="TableHeading"/>
            </w:pPr>
          </w:p>
        </w:tc>
        <w:tc>
          <w:tcPr>
            <w:tcW w:w="1877" w:type="dxa"/>
            <w:noWrap/>
          </w:tcPr>
          <w:p w14:paraId="0AE05E73" w14:textId="77777777" w:rsidR="00246C6A" w:rsidRPr="00C6052E" w:rsidRDefault="00246C6A" w:rsidP="00425B99">
            <w:pPr>
              <w:pStyle w:val="TableHeading"/>
            </w:pPr>
          </w:p>
        </w:tc>
      </w:tr>
      <w:tr w:rsidR="00EE5BB8" w:rsidRPr="00C6052E" w14:paraId="176F70BA" w14:textId="77777777" w:rsidTr="00246C6A">
        <w:tc>
          <w:tcPr>
            <w:tcW w:w="6091" w:type="dxa"/>
            <w:hideMark/>
          </w:tcPr>
          <w:p w14:paraId="5494ACF4" w14:textId="1FB93284" w:rsidR="00EE5BB8" w:rsidRPr="00C6052E" w:rsidRDefault="00EE5BB8" w:rsidP="0063097D">
            <w:pPr>
              <w:pStyle w:val="TableCopy"/>
            </w:pPr>
            <w:r w:rsidRPr="00C6052E">
              <w:t>Local</w:t>
            </w:r>
            <w:r w:rsidR="00177848" w:rsidRPr="00C6052E">
              <w:t xml:space="preserve"> </w:t>
            </w:r>
            <w:r w:rsidRPr="00C6052E">
              <w:t>government</w:t>
            </w:r>
          </w:p>
        </w:tc>
        <w:tc>
          <w:tcPr>
            <w:tcW w:w="1666" w:type="dxa"/>
            <w:noWrap/>
            <w:hideMark/>
          </w:tcPr>
          <w:p w14:paraId="66BBDF6F" w14:textId="77777777" w:rsidR="00EE5BB8" w:rsidRPr="00C6052E" w:rsidRDefault="00EE5BB8" w:rsidP="00246C6A">
            <w:pPr>
              <w:pStyle w:val="TableCopy"/>
              <w:jc w:val="right"/>
            </w:pPr>
            <w:r w:rsidRPr="00C6052E">
              <w:t>(180,508)</w:t>
            </w:r>
          </w:p>
        </w:tc>
        <w:tc>
          <w:tcPr>
            <w:tcW w:w="1877" w:type="dxa"/>
            <w:noWrap/>
            <w:hideMark/>
          </w:tcPr>
          <w:p w14:paraId="50779A83" w14:textId="77777777" w:rsidR="00EE5BB8" w:rsidRPr="00C6052E" w:rsidRDefault="00EE5BB8" w:rsidP="00246C6A">
            <w:pPr>
              <w:pStyle w:val="TableCopy"/>
              <w:jc w:val="right"/>
            </w:pPr>
            <w:r w:rsidRPr="00C6052E">
              <w:t>(117,726)</w:t>
            </w:r>
          </w:p>
        </w:tc>
      </w:tr>
      <w:tr w:rsidR="00EE5BB8" w:rsidRPr="00C6052E" w14:paraId="6FB8EBBC" w14:textId="77777777" w:rsidTr="00246C6A">
        <w:tc>
          <w:tcPr>
            <w:tcW w:w="6091" w:type="dxa"/>
            <w:hideMark/>
          </w:tcPr>
          <w:p w14:paraId="294460F2" w14:textId="62590BF6" w:rsidR="00EE5BB8" w:rsidRPr="00C6052E" w:rsidRDefault="00EE5BB8" w:rsidP="0063097D">
            <w:pPr>
              <w:pStyle w:val="Tabletotal"/>
            </w:pPr>
            <w:r w:rsidRPr="00C6052E">
              <w:t>Total</w:t>
            </w:r>
            <w:r w:rsidR="00177848" w:rsidRPr="00C6052E">
              <w:t xml:space="preserve"> </w:t>
            </w:r>
            <w:r w:rsidRPr="00C6052E">
              <w:t>grants</w:t>
            </w:r>
            <w:r w:rsidR="00177848" w:rsidRPr="00C6052E">
              <w:t xml:space="preserve"> </w:t>
            </w:r>
            <w:r w:rsidRPr="00C6052E">
              <w:t>to</w:t>
            </w:r>
            <w:r w:rsidR="00177848" w:rsidRPr="00C6052E">
              <w:t xml:space="preserve"> </w:t>
            </w:r>
            <w:r w:rsidRPr="00C6052E">
              <w:t>local</w:t>
            </w:r>
            <w:r w:rsidR="00177848" w:rsidRPr="00C6052E">
              <w:t xml:space="preserve"> </w:t>
            </w:r>
            <w:r w:rsidRPr="00C6052E">
              <w:t>government</w:t>
            </w:r>
            <w:r w:rsidR="00177848" w:rsidRPr="00C6052E">
              <w:t xml:space="preserve"> </w:t>
            </w:r>
          </w:p>
        </w:tc>
        <w:tc>
          <w:tcPr>
            <w:tcW w:w="1666" w:type="dxa"/>
            <w:noWrap/>
            <w:hideMark/>
          </w:tcPr>
          <w:p w14:paraId="3F47E16E" w14:textId="77777777" w:rsidR="00EE5BB8" w:rsidRPr="00C6052E" w:rsidRDefault="00EE5BB8" w:rsidP="0063097D">
            <w:pPr>
              <w:pStyle w:val="Tabletotal"/>
              <w:jc w:val="right"/>
            </w:pPr>
            <w:r w:rsidRPr="00C6052E">
              <w:t>(180,508)</w:t>
            </w:r>
          </w:p>
        </w:tc>
        <w:tc>
          <w:tcPr>
            <w:tcW w:w="1877" w:type="dxa"/>
            <w:noWrap/>
            <w:hideMark/>
          </w:tcPr>
          <w:p w14:paraId="43A017AC" w14:textId="77777777" w:rsidR="00EE5BB8" w:rsidRPr="00C6052E" w:rsidRDefault="00EE5BB8" w:rsidP="0063097D">
            <w:pPr>
              <w:pStyle w:val="Tabletotal"/>
              <w:jc w:val="right"/>
            </w:pPr>
            <w:r w:rsidRPr="00C6052E">
              <w:t>(117,726)</w:t>
            </w:r>
          </w:p>
        </w:tc>
      </w:tr>
      <w:tr w:rsidR="00246C6A" w:rsidRPr="00C6052E" w14:paraId="0B8C02A9" w14:textId="77777777" w:rsidTr="00D233B1">
        <w:tc>
          <w:tcPr>
            <w:tcW w:w="6091" w:type="dxa"/>
          </w:tcPr>
          <w:p w14:paraId="05DD88BC" w14:textId="6DCF3E3A" w:rsidR="00246C6A" w:rsidRPr="00C6052E" w:rsidRDefault="00246C6A" w:rsidP="00D233B1">
            <w:pPr>
              <w:pStyle w:val="TableHeading"/>
            </w:pPr>
            <w:r w:rsidRPr="00C6052E">
              <w:t>Grants and other transfers to state government departments and associated entities outside portfolio</w:t>
            </w:r>
          </w:p>
        </w:tc>
        <w:tc>
          <w:tcPr>
            <w:tcW w:w="1666" w:type="dxa"/>
            <w:noWrap/>
          </w:tcPr>
          <w:p w14:paraId="1ED35A0F" w14:textId="77777777" w:rsidR="00246C6A" w:rsidRPr="00C6052E" w:rsidRDefault="00246C6A" w:rsidP="00D233B1">
            <w:pPr>
              <w:pStyle w:val="TableHeading"/>
            </w:pPr>
          </w:p>
        </w:tc>
        <w:tc>
          <w:tcPr>
            <w:tcW w:w="1877" w:type="dxa"/>
            <w:noWrap/>
          </w:tcPr>
          <w:p w14:paraId="2D32A90C" w14:textId="77777777" w:rsidR="00246C6A" w:rsidRPr="00C6052E" w:rsidRDefault="00246C6A" w:rsidP="00D233B1">
            <w:pPr>
              <w:pStyle w:val="TableHeading"/>
            </w:pPr>
          </w:p>
        </w:tc>
      </w:tr>
      <w:tr w:rsidR="00EE5BB8" w:rsidRPr="00C6052E" w14:paraId="239B91F7" w14:textId="77777777" w:rsidTr="00246C6A">
        <w:tc>
          <w:tcPr>
            <w:tcW w:w="6091" w:type="dxa"/>
            <w:hideMark/>
          </w:tcPr>
          <w:p w14:paraId="649091C9" w14:textId="441FB29E" w:rsidR="00EE5BB8" w:rsidRPr="00C6052E" w:rsidRDefault="00EE5BB8" w:rsidP="0063097D">
            <w:pPr>
              <w:pStyle w:val="TableCopy"/>
            </w:pPr>
            <w:r w:rsidRPr="00C6052E">
              <w:t>Other</w:t>
            </w:r>
            <w:r w:rsidR="00177848" w:rsidRPr="00C6052E">
              <w:t xml:space="preserve"> </w:t>
            </w:r>
            <w:r w:rsidRPr="00C6052E">
              <w:t>state</w:t>
            </w:r>
            <w:r w:rsidR="00177848" w:rsidRPr="00C6052E">
              <w:t xml:space="preserve"> </w:t>
            </w:r>
            <w:r w:rsidRPr="00C6052E">
              <w:t>government</w:t>
            </w:r>
            <w:r w:rsidR="00177848" w:rsidRPr="00C6052E">
              <w:t xml:space="preserve"> </w:t>
            </w:r>
            <w:r w:rsidRPr="00C6052E">
              <w:t>departments</w:t>
            </w:r>
            <w:r w:rsidR="00177848" w:rsidRPr="00C6052E">
              <w:t xml:space="preserve"> </w:t>
            </w:r>
            <w:r w:rsidRPr="00C6052E">
              <w:t>and</w:t>
            </w:r>
            <w:r w:rsidR="00177848" w:rsidRPr="00C6052E">
              <w:t xml:space="preserve"> </w:t>
            </w:r>
            <w:r w:rsidRPr="00C6052E">
              <w:t>associated</w:t>
            </w:r>
            <w:r w:rsidR="00177848" w:rsidRPr="00C6052E">
              <w:t xml:space="preserve"> </w:t>
            </w:r>
            <w:r w:rsidRPr="00C6052E">
              <w:t>entities</w:t>
            </w:r>
          </w:p>
        </w:tc>
        <w:tc>
          <w:tcPr>
            <w:tcW w:w="1666" w:type="dxa"/>
            <w:noWrap/>
            <w:hideMark/>
          </w:tcPr>
          <w:p w14:paraId="1935B97E" w14:textId="77777777" w:rsidR="00EE5BB8" w:rsidRPr="00C6052E" w:rsidRDefault="00EE5BB8" w:rsidP="00246C6A">
            <w:pPr>
              <w:pStyle w:val="TableCopy"/>
              <w:jc w:val="right"/>
            </w:pPr>
            <w:r w:rsidRPr="00C6052E">
              <w:t>(115,107)</w:t>
            </w:r>
          </w:p>
        </w:tc>
        <w:tc>
          <w:tcPr>
            <w:tcW w:w="1877" w:type="dxa"/>
            <w:noWrap/>
            <w:hideMark/>
          </w:tcPr>
          <w:p w14:paraId="3D19D8B6" w14:textId="77777777" w:rsidR="00EE5BB8" w:rsidRPr="00C6052E" w:rsidRDefault="00EE5BB8" w:rsidP="00246C6A">
            <w:pPr>
              <w:pStyle w:val="TableCopy"/>
              <w:jc w:val="right"/>
            </w:pPr>
            <w:r w:rsidRPr="00C6052E">
              <w:t>(115,057)</w:t>
            </w:r>
          </w:p>
        </w:tc>
      </w:tr>
      <w:tr w:rsidR="00EE5BB8" w:rsidRPr="00C6052E" w14:paraId="2B5BA333" w14:textId="77777777" w:rsidTr="00246C6A">
        <w:tc>
          <w:tcPr>
            <w:tcW w:w="6091" w:type="dxa"/>
            <w:hideMark/>
          </w:tcPr>
          <w:p w14:paraId="223B6E06" w14:textId="32D1C264" w:rsidR="00EE5BB8" w:rsidRPr="00C6052E" w:rsidRDefault="00EE5BB8" w:rsidP="0063097D">
            <w:pPr>
              <w:pStyle w:val="Tabletotal"/>
            </w:pPr>
            <w:r w:rsidRPr="00C6052E">
              <w:t>Total</w:t>
            </w:r>
            <w:r w:rsidR="00177848" w:rsidRPr="00C6052E">
              <w:t xml:space="preserve"> </w:t>
            </w:r>
            <w:r w:rsidRPr="00C6052E">
              <w:t>grants</w:t>
            </w:r>
            <w:r w:rsidR="00177848" w:rsidRPr="00C6052E">
              <w:t xml:space="preserve"> </w:t>
            </w:r>
            <w:r w:rsidRPr="00C6052E">
              <w:t>and</w:t>
            </w:r>
            <w:r w:rsidR="00177848" w:rsidRPr="00C6052E">
              <w:t xml:space="preserve"> </w:t>
            </w:r>
            <w:r w:rsidRPr="00C6052E">
              <w:t>other</w:t>
            </w:r>
            <w:r w:rsidR="00177848" w:rsidRPr="00C6052E">
              <w:t xml:space="preserve"> </w:t>
            </w:r>
            <w:r w:rsidRPr="00C6052E">
              <w:t>transfers</w:t>
            </w:r>
            <w:r w:rsidR="00177848" w:rsidRPr="00C6052E">
              <w:t xml:space="preserve"> </w:t>
            </w:r>
            <w:r w:rsidRPr="00C6052E">
              <w:t>to</w:t>
            </w:r>
            <w:r w:rsidR="00177848" w:rsidRPr="00C6052E">
              <w:t xml:space="preserve"> </w:t>
            </w:r>
            <w:r w:rsidRPr="00C6052E">
              <w:t>state</w:t>
            </w:r>
            <w:r w:rsidR="00177848" w:rsidRPr="00C6052E">
              <w:t xml:space="preserve"> </w:t>
            </w:r>
            <w:r w:rsidRPr="00C6052E">
              <w:t>government</w:t>
            </w:r>
            <w:r w:rsidR="00177848" w:rsidRPr="00C6052E">
              <w:t xml:space="preserve"> </w:t>
            </w:r>
            <w:r w:rsidRPr="00C6052E">
              <w:t>departments</w:t>
            </w:r>
            <w:r w:rsidR="00177848" w:rsidRPr="00C6052E">
              <w:t xml:space="preserve"> </w:t>
            </w:r>
            <w:r w:rsidRPr="00C6052E">
              <w:t>and</w:t>
            </w:r>
            <w:r w:rsidR="00177848" w:rsidRPr="00C6052E">
              <w:t xml:space="preserve"> </w:t>
            </w:r>
            <w:r w:rsidRPr="00C6052E">
              <w:t>associated</w:t>
            </w:r>
            <w:r w:rsidR="00177848" w:rsidRPr="00C6052E">
              <w:t xml:space="preserve"> </w:t>
            </w:r>
            <w:r w:rsidRPr="00C6052E">
              <w:t>entities</w:t>
            </w:r>
            <w:r w:rsidR="00177848" w:rsidRPr="00C6052E">
              <w:t xml:space="preserve"> </w:t>
            </w:r>
            <w:r w:rsidRPr="00C6052E">
              <w:t>outside</w:t>
            </w:r>
            <w:r w:rsidR="00177848" w:rsidRPr="00C6052E">
              <w:t xml:space="preserve"> </w:t>
            </w:r>
            <w:r w:rsidRPr="00C6052E">
              <w:t>portfolio</w:t>
            </w:r>
          </w:p>
        </w:tc>
        <w:tc>
          <w:tcPr>
            <w:tcW w:w="1666" w:type="dxa"/>
            <w:noWrap/>
            <w:hideMark/>
          </w:tcPr>
          <w:p w14:paraId="5CF8A5FC" w14:textId="77777777" w:rsidR="00EE5BB8" w:rsidRPr="00C6052E" w:rsidRDefault="00EE5BB8" w:rsidP="0063097D">
            <w:pPr>
              <w:pStyle w:val="Tabletotal"/>
              <w:jc w:val="right"/>
            </w:pPr>
            <w:r w:rsidRPr="00C6052E">
              <w:t>(115,107)</w:t>
            </w:r>
          </w:p>
        </w:tc>
        <w:tc>
          <w:tcPr>
            <w:tcW w:w="1877" w:type="dxa"/>
            <w:noWrap/>
            <w:hideMark/>
          </w:tcPr>
          <w:p w14:paraId="4A048B2A" w14:textId="77777777" w:rsidR="00EE5BB8" w:rsidRPr="00C6052E" w:rsidRDefault="00EE5BB8" w:rsidP="0063097D">
            <w:pPr>
              <w:pStyle w:val="Tabletotal"/>
              <w:jc w:val="right"/>
            </w:pPr>
            <w:r w:rsidRPr="00C6052E">
              <w:t>(115,057)</w:t>
            </w:r>
          </w:p>
        </w:tc>
      </w:tr>
      <w:tr w:rsidR="00246C6A" w:rsidRPr="00C6052E" w14:paraId="3998F761" w14:textId="77777777" w:rsidTr="00DF1809">
        <w:tc>
          <w:tcPr>
            <w:tcW w:w="6091" w:type="dxa"/>
          </w:tcPr>
          <w:p w14:paraId="54960CC3" w14:textId="6069FC7E" w:rsidR="00246C6A" w:rsidRPr="00C6052E" w:rsidRDefault="00246C6A" w:rsidP="00DF1809">
            <w:pPr>
              <w:pStyle w:val="TableHeading"/>
            </w:pPr>
            <w:r w:rsidRPr="00C6052E">
              <w:t>Grants to external organisations and individuals</w:t>
            </w:r>
          </w:p>
        </w:tc>
        <w:tc>
          <w:tcPr>
            <w:tcW w:w="1666" w:type="dxa"/>
            <w:noWrap/>
          </w:tcPr>
          <w:p w14:paraId="1B74860F" w14:textId="77777777" w:rsidR="00246C6A" w:rsidRPr="00C6052E" w:rsidRDefault="00246C6A" w:rsidP="00DF1809">
            <w:pPr>
              <w:pStyle w:val="TableHeading"/>
            </w:pPr>
          </w:p>
        </w:tc>
        <w:tc>
          <w:tcPr>
            <w:tcW w:w="1877" w:type="dxa"/>
            <w:noWrap/>
          </w:tcPr>
          <w:p w14:paraId="6047B288" w14:textId="77777777" w:rsidR="00246C6A" w:rsidRPr="00C6052E" w:rsidRDefault="00246C6A" w:rsidP="00DF1809">
            <w:pPr>
              <w:pStyle w:val="TableHeading"/>
            </w:pPr>
          </w:p>
        </w:tc>
      </w:tr>
      <w:tr w:rsidR="00EE5BB8" w:rsidRPr="00C6052E" w14:paraId="486AAD1C" w14:textId="77777777" w:rsidTr="00246C6A">
        <w:tc>
          <w:tcPr>
            <w:tcW w:w="6091" w:type="dxa"/>
            <w:hideMark/>
          </w:tcPr>
          <w:p w14:paraId="0C3235BC" w14:textId="23EBB1A1" w:rsidR="00EE5BB8" w:rsidRPr="00C6052E" w:rsidRDefault="00EE5BB8" w:rsidP="0063097D">
            <w:pPr>
              <w:pStyle w:val="TableCopy"/>
            </w:pPr>
            <w:r w:rsidRPr="00C6052E">
              <w:t>Vocational</w:t>
            </w:r>
            <w:r w:rsidR="00177848" w:rsidRPr="00C6052E">
              <w:t xml:space="preserve"> </w:t>
            </w:r>
            <w:r w:rsidRPr="00C6052E">
              <w:t>educational</w:t>
            </w:r>
            <w:r w:rsidR="00177848" w:rsidRPr="00C6052E">
              <w:t xml:space="preserve"> </w:t>
            </w:r>
            <w:r w:rsidRPr="00C6052E">
              <w:t>and</w:t>
            </w:r>
            <w:r w:rsidR="00177848" w:rsidRPr="00C6052E">
              <w:t xml:space="preserve"> </w:t>
            </w:r>
            <w:r w:rsidRPr="00C6052E">
              <w:t>training</w:t>
            </w:r>
            <w:r w:rsidR="00177848" w:rsidRPr="00C6052E">
              <w:t xml:space="preserve"> </w:t>
            </w:r>
            <w:r w:rsidRPr="00C6052E">
              <w:t>payments</w:t>
            </w:r>
          </w:p>
        </w:tc>
        <w:tc>
          <w:tcPr>
            <w:tcW w:w="1666" w:type="dxa"/>
            <w:noWrap/>
            <w:hideMark/>
          </w:tcPr>
          <w:p w14:paraId="7D441D8C" w14:textId="77777777" w:rsidR="00EE5BB8" w:rsidRPr="00C6052E" w:rsidRDefault="00EE5BB8" w:rsidP="00246C6A">
            <w:pPr>
              <w:pStyle w:val="TableCopy"/>
              <w:jc w:val="right"/>
            </w:pPr>
            <w:r w:rsidRPr="00C6052E">
              <w:t>(565,080)</w:t>
            </w:r>
          </w:p>
        </w:tc>
        <w:tc>
          <w:tcPr>
            <w:tcW w:w="1877" w:type="dxa"/>
            <w:noWrap/>
            <w:hideMark/>
          </w:tcPr>
          <w:p w14:paraId="392E832A" w14:textId="77777777" w:rsidR="00EE5BB8" w:rsidRPr="00C6052E" w:rsidRDefault="00EE5BB8" w:rsidP="00246C6A">
            <w:pPr>
              <w:pStyle w:val="TableCopy"/>
              <w:jc w:val="right"/>
            </w:pPr>
            <w:r w:rsidRPr="00C6052E">
              <w:t>(562,699)</w:t>
            </w:r>
          </w:p>
        </w:tc>
      </w:tr>
      <w:tr w:rsidR="00EE5BB8" w:rsidRPr="00C6052E" w14:paraId="6B1DAC4E" w14:textId="77777777" w:rsidTr="00246C6A">
        <w:tc>
          <w:tcPr>
            <w:tcW w:w="6091" w:type="dxa"/>
            <w:hideMark/>
          </w:tcPr>
          <w:p w14:paraId="3F7FF69F" w14:textId="65CEC35F" w:rsidR="00EE5BB8" w:rsidRPr="00C6052E" w:rsidRDefault="00EE5BB8" w:rsidP="0063097D">
            <w:pPr>
              <w:pStyle w:val="TableCopy"/>
            </w:pPr>
            <w:r w:rsidRPr="00C6052E">
              <w:t>Other</w:t>
            </w:r>
            <w:r w:rsidR="00177848" w:rsidRPr="00C6052E">
              <w:t xml:space="preserve"> </w:t>
            </w:r>
            <w:r w:rsidRPr="00C6052E">
              <w:t>non-government</w:t>
            </w:r>
            <w:r w:rsidR="00177848" w:rsidRPr="00C6052E">
              <w:t xml:space="preserve"> </w:t>
            </w:r>
            <w:r w:rsidRPr="00C6052E">
              <w:t>agencies</w:t>
            </w:r>
          </w:p>
        </w:tc>
        <w:tc>
          <w:tcPr>
            <w:tcW w:w="1666" w:type="dxa"/>
            <w:noWrap/>
            <w:hideMark/>
          </w:tcPr>
          <w:p w14:paraId="2B24F75F" w14:textId="77777777" w:rsidR="00EE5BB8" w:rsidRPr="00C6052E" w:rsidRDefault="00EE5BB8" w:rsidP="00246C6A">
            <w:pPr>
              <w:pStyle w:val="TableCopy"/>
              <w:jc w:val="right"/>
            </w:pPr>
            <w:r w:rsidRPr="00C6052E">
              <w:t>(444,112)</w:t>
            </w:r>
          </w:p>
        </w:tc>
        <w:tc>
          <w:tcPr>
            <w:tcW w:w="1877" w:type="dxa"/>
            <w:noWrap/>
            <w:hideMark/>
          </w:tcPr>
          <w:p w14:paraId="4432C789" w14:textId="77777777" w:rsidR="00EE5BB8" w:rsidRPr="00C6052E" w:rsidRDefault="00EE5BB8" w:rsidP="00246C6A">
            <w:pPr>
              <w:pStyle w:val="TableCopy"/>
              <w:jc w:val="right"/>
            </w:pPr>
            <w:r w:rsidRPr="00C6052E">
              <w:t>(475,446)</w:t>
            </w:r>
          </w:p>
        </w:tc>
      </w:tr>
      <w:tr w:rsidR="00EE5BB8" w:rsidRPr="00C6052E" w14:paraId="478D544F" w14:textId="77777777" w:rsidTr="00246C6A">
        <w:tc>
          <w:tcPr>
            <w:tcW w:w="6091" w:type="dxa"/>
            <w:hideMark/>
          </w:tcPr>
          <w:p w14:paraId="6C682EDC" w14:textId="0E909994" w:rsidR="00EE5BB8" w:rsidRPr="00C6052E" w:rsidRDefault="00EE5BB8" w:rsidP="0063097D">
            <w:pPr>
              <w:pStyle w:val="Tabletotal"/>
            </w:pPr>
            <w:r w:rsidRPr="00C6052E">
              <w:t>Total</w:t>
            </w:r>
            <w:r w:rsidR="00177848" w:rsidRPr="00C6052E">
              <w:t xml:space="preserve"> </w:t>
            </w:r>
            <w:r w:rsidRPr="00C6052E">
              <w:t>grants</w:t>
            </w:r>
            <w:r w:rsidR="00177848" w:rsidRPr="00C6052E">
              <w:t xml:space="preserve"> </w:t>
            </w:r>
            <w:r w:rsidRPr="00C6052E">
              <w:t>to</w:t>
            </w:r>
            <w:r w:rsidR="00177848" w:rsidRPr="00C6052E">
              <w:t xml:space="preserve"> </w:t>
            </w:r>
            <w:r w:rsidRPr="00C6052E">
              <w:t>external</w:t>
            </w:r>
            <w:r w:rsidR="00177848" w:rsidRPr="00C6052E">
              <w:t xml:space="preserve"> </w:t>
            </w:r>
            <w:r w:rsidRPr="00C6052E">
              <w:t>organisations</w:t>
            </w:r>
            <w:r w:rsidR="00177848" w:rsidRPr="00C6052E">
              <w:t xml:space="preserve"> </w:t>
            </w:r>
            <w:r w:rsidRPr="00C6052E">
              <w:t>and</w:t>
            </w:r>
            <w:r w:rsidR="00177848" w:rsidRPr="00C6052E">
              <w:t xml:space="preserve"> </w:t>
            </w:r>
            <w:r w:rsidRPr="00C6052E">
              <w:t>individuals</w:t>
            </w:r>
            <w:r w:rsidR="00177848" w:rsidRPr="00C6052E">
              <w:t xml:space="preserve"> </w:t>
            </w:r>
          </w:p>
        </w:tc>
        <w:tc>
          <w:tcPr>
            <w:tcW w:w="1666" w:type="dxa"/>
            <w:noWrap/>
            <w:hideMark/>
          </w:tcPr>
          <w:p w14:paraId="73DA97F1" w14:textId="77777777" w:rsidR="00EE5BB8" w:rsidRPr="00C6052E" w:rsidRDefault="00EE5BB8" w:rsidP="0063097D">
            <w:pPr>
              <w:pStyle w:val="Tabletotal"/>
              <w:jc w:val="right"/>
            </w:pPr>
            <w:r w:rsidRPr="00C6052E">
              <w:t>(1,009,192)</w:t>
            </w:r>
          </w:p>
        </w:tc>
        <w:tc>
          <w:tcPr>
            <w:tcW w:w="1877" w:type="dxa"/>
            <w:noWrap/>
            <w:hideMark/>
          </w:tcPr>
          <w:p w14:paraId="2403F9A7" w14:textId="77777777" w:rsidR="00EE5BB8" w:rsidRPr="00C6052E" w:rsidRDefault="00EE5BB8" w:rsidP="0063097D">
            <w:pPr>
              <w:pStyle w:val="Tabletotal"/>
              <w:jc w:val="right"/>
            </w:pPr>
            <w:r w:rsidRPr="00C6052E">
              <w:t>(1,038,145)</w:t>
            </w:r>
          </w:p>
        </w:tc>
      </w:tr>
      <w:tr w:rsidR="00EE5BB8" w:rsidRPr="00C6052E" w14:paraId="1F50F5EE" w14:textId="77777777" w:rsidTr="00246C6A">
        <w:tc>
          <w:tcPr>
            <w:tcW w:w="6091" w:type="dxa"/>
            <w:hideMark/>
          </w:tcPr>
          <w:p w14:paraId="13E82FF8" w14:textId="2073E5A1" w:rsidR="00EE5BB8" w:rsidRPr="00C6052E" w:rsidRDefault="00EE5BB8" w:rsidP="0063097D">
            <w:pPr>
              <w:pStyle w:val="Tabletotal"/>
            </w:pPr>
            <w:r w:rsidRPr="00C6052E">
              <w:t>Total</w:t>
            </w:r>
            <w:r w:rsidR="00177848" w:rsidRPr="00C6052E">
              <w:t xml:space="preserve"> </w:t>
            </w:r>
            <w:r w:rsidRPr="00C6052E">
              <w:t>grants</w:t>
            </w:r>
            <w:r w:rsidR="00177848" w:rsidRPr="00C6052E">
              <w:t xml:space="preserve"> </w:t>
            </w:r>
            <w:r w:rsidRPr="00C6052E">
              <w:t>and</w:t>
            </w:r>
            <w:r w:rsidR="00177848" w:rsidRPr="00C6052E">
              <w:t xml:space="preserve"> </w:t>
            </w:r>
            <w:r w:rsidRPr="00C6052E">
              <w:t>other</w:t>
            </w:r>
            <w:r w:rsidR="00177848" w:rsidRPr="00C6052E">
              <w:t xml:space="preserve"> </w:t>
            </w:r>
            <w:r w:rsidRPr="00C6052E">
              <w:t>transfers</w:t>
            </w:r>
          </w:p>
        </w:tc>
        <w:tc>
          <w:tcPr>
            <w:tcW w:w="1666" w:type="dxa"/>
            <w:noWrap/>
            <w:hideMark/>
          </w:tcPr>
          <w:p w14:paraId="4D850BB1" w14:textId="77777777" w:rsidR="00EE5BB8" w:rsidRPr="00C6052E" w:rsidRDefault="00EE5BB8" w:rsidP="0063097D">
            <w:pPr>
              <w:pStyle w:val="Tabletotal"/>
              <w:jc w:val="right"/>
            </w:pPr>
            <w:r w:rsidRPr="00C6052E">
              <w:t>(3,000,737)</w:t>
            </w:r>
          </w:p>
        </w:tc>
        <w:tc>
          <w:tcPr>
            <w:tcW w:w="1877" w:type="dxa"/>
            <w:noWrap/>
            <w:hideMark/>
          </w:tcPr>
          <w:p w14:paraId="041E73E6" w14:textId="77777777" w:rsidR="00EE5BB8" w:rsidRPr="00C6052E" w:rsidRDefault="00EE5BB8" w:rsidP="0063097D">
            <w:pPr>
              <w:pStyle w:val="Tabletotal"/>
              <w:jc w:val="right"/>
            </w:pPr>
            <w:r w:rsidRPr="00C6052E">
              <w:t>(2,892,568)</w:t>
            </w:r>
          </w:p>
        </w:tc>
      </w:tr>
    </w:tbl>
    <w:p w14:paraId="7FF767D9" w14:textId="77777777" w:rsidR="00EE5BB8" w:rsidRPr="00C6052E" w:rsidRDefault="00EE5BB8" w:rsidP="00EE5BB8"/>
    <w:p w14:paraId="5157FF78" w14:textId="70DCB4B0" w:rsidR="00EE5BB8" w:rsidRPr="00C6052E" w:rsidRDefault="00EE5BB8" w:rsidP="00EE5BB8">
      <w:r w:rsidRPr="00C6052E">
        <w:t>Grant</w:t>
      </w:r>
      <w:r w:rsidR="00177848" w:rsidRPr="00C6052E">
        <w:t xml:space="preserve"> </w:t>
      </w:r>
      <w:r w:rsidRPr="00C6052E">
        <w:t>expenses</w:t>
      </w:r>
      <w:r w:rsidR="00177848" w:rsidRPr="00C6052E">
        <w:t xml:space="preserve"> </w:t>
      </w:r>
      <w:r w:rsidRPr="00C6052E">
        <w:t>are</w:t>
      </w:r>
      <w:r w:rsidR="00177848" w:rsidRPr="00C6052E">
        <w:t xml:space="preserve"> </w:t>
      </w:r>
      <w:r w:rsidRPr="00C6052E">
        <w:t>contributions</w:t>
      </w:r>
      <w:r w:rsidR="00177848" w:rsidRPr="00C6052E">
        <w:t xml:space="preserve"> </w:t>
      </w:r>
      <w:r w:rsidRPr="00C6052E">
        <w:t>of</w:t>
      </w:r>
      <w:r w:rsidR="00177848" w:rsidRPr="00C6052E">
        <w:t xml:space="preserve"> </w:t>
      </w:r>
      <w:r w:rsidRPr="00C6052E">
        <w:t>DJSIR’s</w:t>
      </w:r>
      <w:r w:rsidR="00177848" w:rsidRPr="00C6052E">
        <w:t xml:space="preserve"> </w:t>
      </w:r>
      <w:r w:rsidRPr="00C6052E">
        <w:t>resources</w:t>
      </w:r>
      <w:r w:rsidR="00177848" w:rsidRPr="00C6052E">
        <w:t xml:space="preserve"> </w:t>
      </w:r>
      <w:r w:rsidRPr="00C6052E">
        <w:t>to</w:t>
      </w:r>
      <w:r w:rsidR="00177848" w:rsidRPr="00C6052E">
        <w:t xml:space="preserve"> </w:t>
      </w:r>
      <w:r w:rsidRPr="00C6052E">
        <w:t>another</w:t>
      </w:r>
      <w:r w:rsidR="00177848" w:rsidRPr="00C6052E">
        <w:t xml:space="preserve"> </w:t>
      </w:r>
      <w:r w:rsidRPr="00C6052E">
        <w:t>party</w:t>
      </w:r>
      <w:r w:rsidR="00177848" w:rsidRPr="00C6052E">
        <w:t xml:space="preserve"> </w:t>
      </w:r>
      <w:r w:rsidRPr="00C6052E">
        <w:t>for</w:t>
      </w:r>
      <w:r w:rsidR="00177848" w:rsidRPr="00C6052E">
        <w:t xml:space="preserve"> </w:t>
      </w:r>
      <w:r w:rsidRPr="00C6052E">
        <w:t>specific</w:t>
      </w:r>
      <w:r w:rsidR="00177848" w:rsidRPr="00C6052E">
        <w:t xml:space="preserve"> </w:t>
      </w:r>
      <w:r w:rsidRPr="00C6052E">
        <w:t>or</w:t>
      </w:r>
      <w:r w:rsidR="00177848" w:rsidRPr="00C6052E">
        <w:t xml:space="preserve"> </w:t>
      </w:r>
      <w:r w:rsidRPr="00C6052E">
        <w:t>general</w:t>
      </w:r>
      <w:r w:rsidR="00177848" w:rsidRPr="00C6052E">
        <w:t xml:space="preserve"> </w:t>
      </w:r>
      <w:r w:rsidRPr="00C6052E">
        <w:t>purposes</w:t>
      </w:r>
      <w:r w:rsidR="00177848" w:rsidRPr="00C6052E">
        <w:t xml:space="preserve"> </w:t>
      </w:r>
      <w:r w:rsidRPr="00C6052E">
        <w:t>where</w:t>
      </w:r>
      <w:r w:rsidR="00177848" w:rsidRPr="00C6052E">
        <w:t xml:space="preserve"> </w:t>
      </w:r>
      <w:r w:rsidRPr="00C6052E">
        <w:t>there</w:t>
      </w:r>
      <w:r w:rsidR="00177848" w:rsidRPr="00C6052E">
        <w:t xml:space="preserve"> </w:t>
      </w:r>
      <w:r w:rsidRPr="00C6052E">
        <w:t>is</w:t>
      </w:r>
      <w:r w:rsidR="00177848" w:rsidRPr="00C6052E">
        <w:t xml:space="preserve"> </w:t>
      </w:r>
      <w:r w:rsidRPr="00C6052E">
        <w:t>no</w:t>
      </w:r>
      <w:r w:rsidR="00177848" w:rsidRPr="00C6052E">
        <w:t xml:space="preserve"> </w:t>
      </w:r>
      <w:r w:rsidRPr="00C6052E">
        <w:t>expectation</w:t>
      </w:r>
      <w:r w:rsidR="00177848" w:rsidRPr="00C6052E">
        <w:t xml:space="preserve"> </w:t>
      </w:r>
      <w:r w:rsidRPr="00C6052E">
        <w:t>that</w:t>
      </w:r>
      <w:r w:rsidR="00177848" w:rsidRPr="00C6052E">
        <w:t xml:space="preserve"> </w:t>
      </w:r>
      <w:r w:rsidRPr="00C6052E">
        <w:t>the</w:t>
      </w:r>
      <w:r w:rsidR="00177848" w:rsidRPr="00C6052E">
        <w:t xml:space="preserve"> </w:t>
      </w:r>
      <w:r w:rsidRPr="00C6052E">
        <w:t>amount</w:t>
      </w:r>
      <w:r w:rsidR="00177848" w:rsidRPr="00C6052E">
        <w:t xml:space="preserve"> </w:t>
      </w:r>
      <w:r w:rsidRPr="00C6052E">
        <w:t>will</w:t>
      </w:r>
      <w:r w:rsidR="00177848" w:rsidRPr="00C6052E">
        <w:t xml:space="preserve"> </w:t>
      </w:r>
      <w:r w:rsidRPr="00C6052E">
        <w:t>be</w:t>
      </w:r>
      <w:r w:rsidR="00177848" w:rsidRPr="00C6052E">
        <w:t xml:space="preserve"> </w:t>
      </w:r>
      <w:r w:rsidRPr="00C6052E">
        <w:t>repaid</w:t>
      </w:r>
      <w:r w:rsidR="00177848" w:rsidRPr="00C6052E">
        <w:t xml:space="preserve"> </w:t>
      </w:r>
      <w:r w:rsidRPr="00C6052E">
        <w:t>in</w:t>
      </w:r>
      <w:r w:rsidR="00177848" w:rsidRPr="00C6052E">
        <w:t xml:space="preserve"> </w:t>
      </w:r>
      <w:r w:rsidRPr="00C6052E">
        <w:t>equal</w:t>
      </w:r>
      <w:r w:rsidR="00177848" w:rsidRPr="00C6052E">
        <w:t xml:space="preserve"> </w:t>
      </w:r>
      <w:r w:rsidRPr="00C6052E">
        <w:t>value</w:t>
      </w:r>
      <w:r w:rsidR="00177848" w:rsidRPr="00C6052E">
        <w:t xml:space="preserve"> </w:t>
      </w:r>
      <w:r w:rsidRPr="00C6052E">
        <w:t>(either</w:t>
      </w:r>
      <w:r w:rsidR="00177848" w:rsidRPr="00C6052E">
        <w:t xml:space="preserve"> </w:t>
      </w:r>
      <w:r w:rsidRPr="00C6052E">
        <w:t>by</w:t>
      </w:r>
      <w:r w:rsidR="00177848" w:rsidRPr="00C6052E">
        <w:t xml:space="preserve"> </w:t>
      </w:r>
      <w:r w:rsidRPr="00C6052E">
        <w:t>money,</w:t>
      </w:r>
      <w:r w:rsidR="00177848" w:rsidRPr="00C6052E">
        <w:t xml:space="preserve"> </w:t>
      </w:r>
      <w:r w:rsidRPr="00C6052E">
        <w:t>goods</w:t>
      </w:r>
      <w:r w:rsidR="00177848" w:rsidRPr="00C6052E">
        <w:t xml:space="preserve"> </w:t>
      </w:r>
      <w:r w:rsidRPr="00C6052E">
        <w:t>or</w:t>
      </w:r>
      <w:r w:rsidR="00177848" w:rsidRPr="00C6052E">
        <w:t xml:space="preserve"> </w:t>
      </w:r>
      <w:r w:rsidRPr="00C6052E">
        <w:t>services).</w:t>
      </w:r>
      <w:r w:rsidR="00177848" w:rsidRPr="00C6052E">
        <w:t xml:space="preserve"> </w:t>
      </w:r>
    </w:p>
    <w:p w14:paraId="37F08060" w14:textId="390C73FF" w:rsidR="00EE5BB8" w:rsidRPr="00C6052E" w:rsidRDefault="00EE5BB8" w:rsidP="00EE5BB8">
      <w:r w:rsidRPr="00C6052E">
        <w:t>Grants</w:t>
      </w:r>
      <w:r w:rsidR="00177848" w:rsidRPr="00C6052E">
        <w:t xml:space="preserve"> </w:t>
      </w:r>
      <w:r w:rsidRPr="00C6052E">
        <w:t>can</w:t>
      </w:r>
      <w:r w:rsidR="00177848" w:rsidRPr="00C6052E">
        <w:t xml:space="preserve"> </w:t>
      </w:r>
      <w:r w:rsidRPr="00C6052E">
        <w:t>either</w:t>
      </w:r>
      <w:r w:rsidR="00177848" w:rsidRPr="00C6052E">
        <w:t xml:space="preserve"> </w:t>
      </w:r>
      <w:r w:rsidRPr="00C6052E">
        <w:t>be</w:t>
      </w:r>
      <w:r w:rsidR="00177848" w:rsidRPr="00C6052E">
        <w:t xml:space="preserve"> </w:t>
      </w:r>
      <w:r w:rsidRPr="00C6052E">
        <w:t>operating</w:t>
      </w:r>
      <w:r w:rsidR="00177848" w:rsidRPr="00C6052E">
        <w:t xml:space="preserve"> </w:t>
      </w:r>
      <w:r w:rsidRPr="00C6052E">
        <w:t>or</w:t>
      </w:r>
      <w:r w:rsidR="00177848" w:rsidRPr="00C6052E">
        <w:t xml:space="preserve"> </w:t>
      </w:r>
      <w:r w:rsidRPr="00C6052E">
        <w:t>capital</w:t>
      </w:r>
      <w:r w:rsidR="00177848" w:rsidRPr="00C6052E">
        <w:t xml:space="preserve"> </w:t>
      </w:r>
      <w:r w:rsidRPr="00C6052E">
        <w:t>in</w:t>
      </w:r>
      <w:r w:rsidR="00177848" w:rsidRPr="00C6052E">
        <w:t xml:space="preserve"> </w:t>
      </w:r>
      <w:r w:rsidRPr="00C6052E">
        <w:t>nature.</w:t>
      </w:r>
      <w:r w:rsidR="00177848" w:rsidRPr="00C6052E">
        <w:t xml:space="preserve"> </w:t>
      </w:r>
      <w:r w:rsidRPr="00C6052E">
        <w:t>Grants</w:t>
      </w:r>
      <w:r w:rsidR="00177848" w:rsidRPr="00C6052E">
        <w:t xml:space="preserve"> </w:t>
      </w:r>
      <w:r w:rsidRPr="00C6052E">
        <w:t>can</w:t>
      </w:r>
      <w:r w:rsidR="00177848" w:rsidRPr="00C6052E">
        <w:t xml:space="preserve"> </w:t>
      </w:r>
      <w:r w:rsidRPr="00C6052E">
        <w:t>be</w:t>
      </w:r>
      <w:r w:rsidR="00177848" w:rsidRPr="00C6052E">
        <w:t xml:space="preserve"> </w:t>
      </w:r>
      <w:r w:rsidRPr="00C6052E">
        <w:t>paid</w:t>
      </w:r>
      <w:r w:rsidR="00177848" w:rsidRPr="00C6052E">
        <w:t xml:space="preserve"> </w:t>
      </w:r>
      <w:r w:rsidRPr="00C6052E">
        <w:t>as</w:t>
      </w:r>
      <w:r w:rsidR="00177848" w:rsidRPr="00C6052E">
        <w:t xml:space="preserve"> </w:t>
      </w:r>
      <w:r w:rsidRPr="00C6052E">
        <w:t>general</w:t>
      </w:r>
      <w:r w:rsidR="00177848" w:rsidRPr="00C6052E">
        <w:t xml:space="preserve"> </w:t>
      </w:r>
      <w:r w:rsidRPr="00C6052E">
        <w:t>purpose</w:t>
      </w:r>
      <w:r w:rsidR="00177848" w:rsidRPr="00C6052E">
        <w:t xml:space="preserve"> </w:t>
      </w:r>
      <w:r w:rsidRPr="00C6052E">
        <w:t>grants,</w:t>
      </w:r>
      <w:r w:rsidR="00177848" w:rsidRPr="00C6052E">
        <w:t xml:space="preserve"> </w:t>
      </w:r>
      <w:r w:rsidRPr="00C6052E">
        <w:t>which</w:t>
      </w:r>
      <w:r w:rsidR="00177848" w:rsidRPr="00C6052E">
        <w:t xml:space="preserve"> </w:t>
      </w:r>
      <w:r w:rsidRPr="00C6052E">
        <w:t>refer</w:t>
      </w:r>
      <w:r w:rsidR="00177848" w:rsidRPr="00C6052E">
        <w:t xml:space="preserve"> </w:t>
      </w:r>
      <w:r w:rsidRPr="00C6052E">
        <w:t>to</w:t>
      </w:r>
      <w:r w:rsidR="00177848" w:rsidRPr="00C6052E">
        <w:t xml:space="preserve"> </w:t>
      </w:r>
      <w:r w:rsidRPr="00C6052E">
        <w:t>grants</w:t>
      </w:r>
      <w:r w:rsidR="00177848" w:rsidRPr="00C6052E">
        <w:t xml:space="preserve"> </w:t>
      </w:r>
      <w:r w:rsidRPr="00C6052E">
        <w:t>that</w:t>
      </w:r>
      <w:r w:rsidR="00177848" w:rsidRPr="00C6052E">
        <w:t xml:space="preserve"> </w:t>
      </w:r>
      <w:r w:rsidRPr="00C6052E">
        <w:t>are</w:t>
      </w:r>
      <w:r w:rsidR="00177848" w:rsidRPr="00C6052E">
        <w:t xml:space="preserve"> </w:t>
      </w:r>
      <w:r w:rsidRPr="00C6052E">
        <w:t>not</w:t>
      </w:r>
      <w:r w:rsidR="00177848" w:rsidRPr="00C6052E">
        <w:t xml:space="preserve"> </w:t>
      </w:r>
      <w:r w:rsidRPr="00C6052E">
        <w:t>subject</w:t>
      </w:r>
      <w:r w:rsidR="00177848" w:rsidRPr="00C6052E">
        <w:t xml:space="preserve"> </w:t>
      </w:r>
      <w:r w:rsidRPr="00C6052E">
        <w:t>to</w:t>
      </w:r>
      <w:r w:rsidR="00177848" w:rsidRPr="00C6052E">
        <w:t xml:space="preserve"> </w:t>
      </w:r>
      <w:r w:rsidRPr="00C6052E">
        <w:t>conditions</w:t>
      </w:r>
      <w:r w:rsidR="00177848" w:rsidRPr="00C6052E">
        <w:t xml:space="preserve"> </w:t>
      </w:r>
      <w:r w:rsidRPr="00C6052E">
        <w:t>regarding</w:t>
      </w:r>
      <w:r w:rsidR="00177848" w:rsidRPr="00C6052E">
        <w:t xml:space="preserve"> </w:t>
      </w:r>
      <w:r w:rsidRPr="00C6052E">
        <w:t>their</w:t>
      </w:r>
      <w:r w:rsidR="00177848" w:rsidRPr="00C6052E">
        <w:t xml:space="preserve"> </w:t>
      </w:r>
      <w:r w:rsidRPr="00C6052E">
        <w:t>use.</w:t>
      </w:r>
      <w:r w:rsidR="00177848" w:rsidRPr="00C6052E">
        <w:t xml:space="preserve"> </w:t>
      </w:r>
      <w:r w:rsidRPr="00C6052E">
        <w:t>Alternatively,</w:t>
      </w:r>
      <w:r w:rsidR="00177848" w:rsidRPr="00C6052E">
        <w:t xml:space="preserve"> </w:t>
      </w:r>
      <w:r w:rsidRPr="00C6052E">
        <w:t>they</w:t>
      </w:r>
      <w:r w:rsidR="00177848" w:rsidRPr="00C6052E">
        <w:t xml:space="preserve"> </w:t>
      </w:r>
      <w:r w:rsidRPr="00C6052E">
        <w:t>may</w:t>
      </w:r>
      <w:r w:rsidR="00177848" w:rsidRPr="00C6052E">
        <w:t xml:space="preserve"> </w:t>
      </w:r>
      <w:r w:rsidRPr="00C6052E">
        <w:t>be</w:t>
      </w:r>
      <w:r w:rsidR="00177848" w:rsidRPr="00C6052E">
        <w:t xml:space="preserve"> </w:t>
      </w:r>
      <w:r w:rsidRPr="00C6052E">
        <w:t>paid</w:t>
      </w:r>
      <w:r w:rsidR="00177848" w:rsidRPr="00C6052E">
        <w:t xml:space="preserve"> </w:t>
      </w:r>
      <w:r w:rsidRPr="00C6052E">
        <w:t>as</w:t>
      </w:r>
      <w:r w:rsidR="00177848" w:rsidRPr="00C6052E">
        <w:t xml:space="preserve"> </w:t>
      </w:r>
      <w:r w:rsidRPr="00C6052E">
        <w:t>specific</w:t>
      </w:r>
      <w:r w:rsidR="00177848" w:rsidRPr="00C6052E">
        <w:t xml:space="preserve"> </w:t>
      </w:r>
      <w:r w:rsidRPr="00C6052E">
        <w:t>purpose</w:t>
      </w:r>
      <w:r w:rsidR="00177848" w:rsidRPr="00C6052E">
        <w:t xml:space="preserve"> </w:t>
      </w:r>
      <w:r w:rsidRPr="00C6052E">
        <w:t>grants</w:t>
      </w:r>
      <w:r w:rsidR="00177848" w:rsidRPr="00C6052E">
        <w:t xml:space="preserve"> </w:t>
      </w:r>
      <w:r w:rsidRPr="00C6052E">
        <w:t>which</w:t>
      </w:r>
      <w:r w:rsidR="00177848" w:rsidRPr="00C6052E">
        <w:t xml:space="preserve"> </w:t>
      </w:r>
      <w:r w:rsidRPr="00C6052E">
        <w:t>are</w:t>
      </w:r>
      <w:r w:rsidR="00177848" w:rsidRPr="00C6052E">
        <w:t xml:space="preserve"> </w:t>
      </w:r>
      <w:r w:rsidRPr="00C6052E">
        <w:t>paid</w:t>
      </w:r>
      <w:r w:rsidR="00177848" w:rsidRPr="00C6052E">
        <w:t xml:space="preserve"> </w:t>
      </w:r>
      <w:r w:rsidRPr="00C6052E">
        <w:t>for</w:t>
      </w:r>
      <w:r w:rsidR="00177848" w:rsidRPr="00C6052E">
        <w:t xml:space="preserve"> </w:t>
      </w:r>
      <w:r w:rsidRPr="00C6052E">
        <w:t>a</w:t>
      </w:r>
      <w:r w:rsidR="00177848" w:rsidRPr="00C6052E">
        <w:t xml:space="preserve"> </w:t>
      </w:r>
      <w:r w:rsidRPr="00C6052E">
        <w:t>particular</w:t>
      </w:r>
      <w:r w:rsidR="00177848" w:rsidRPr="00C6052E">
        <w:t xml:space="preserve"> </w:t>
      </w:r>
      <w:r w:rsidRPr="00C6052E">
        <w:t>purpose</w:t>
      </w:r>
      <w:r w:rsidR="00177848" w:rsidRPr="00C6052E">
        <w:t xml:space="preserve"> </w:t>
      </w:r>
      <w:r w:rsidRPr="00C6052E">
        <w:t>and/or</w:t>
      </w:r>
      <w:r w:rsidR="00177848" w:rsidRPr="00C6052E">
        <w:t xml:space="preserve"> </w:t>
      </w:r>
      <w:r w:rsidRPr="00C6052E">
        <w:t>have</w:t>
      </w:r>
      <w:r w:rsidR="00177848" w:rsidRPr="00C6052E">
        <w:t xml:space="preserve"> </w:t>
      </w:r>
      <w:r w:rsidRPr="00C6052E">
        <w:t>conditions</w:t>
      </w:r>
      <w:r w:rsidR="00177848" w:rsidRPr="00C6052E">
        <w:t xml:space="preserve"> </w:t>
      </w:r>
      <w:r w:rsidRPr="00C6052E">
        <w:t>attached</w:t>
      </w:r>
      <w:r w:rsidR="00177848" w:rsidRPr="00C6052E">
        <w:t xml:space="preserve"> </w:t>
      </w:r>
      <w:r w:rsidRPr="00C6052E">
        <w:t>regarding</w:t>
      </w:r>
      <w:r w:rsidR="00177848" w:rsidRPr="00C6052E">
        <w:t xml:space="preserve"> </w:t>
      </w:r>
      <w:r w:rsidRPr="00C6052E">
        <w:t>their</w:t>
      </w:r>
      <w:r w:rsidR="00177848" w:rsidRPr="00C6052E">
        <w:t xml:space="preserve"> </w:t>
      </w:r>
      <w:r w:rsidRPr="00C6052E">
        <w:t>use.</w:t>
      </w:r>
    </w:p>
    <w:p w14:paraId="2079BE4A" w14:textId="60E31679" w:rsidR="00EE5BB8" w:rsidRPr="00C6052E" w:rsidRDefault="00EE5BB8" w:rsidP="00EE5BB8">
      <w:r w:rsidRPr="00C6052E">
        <w:t>Grant</w:t>
      </w:r>
      <w:r w:rsidR="00177848" w:rsidRPr="00C6052E">
        <w:t xml:space="preserve"> </w:t>
      </w:r>
      <w:r w:rsidRPr="00C6052E">
        <w:t>expenses</w:t>
      </w:r>
      <w:r w:rsidR="00177848" w:rsidRPr="00C6052E">
        <w:t xml:space="preserve"> </w:t>
      </w:r>
      <w:r w:rsidRPr="00C6052E">
        <w:t>are</w:t>
      </w:r>
      <w:r w:rsidR="00177848" w:rsidRPr="00C6052E">
        <w:t xml:space="preserve"> </w:t>
      </w:r>
      <w:r w:rsidRPr="00C6052E">
        <w:t>recognised</w:t>
      </w:r>
      <w:r w:rsidR="00177848" w:rsidRPr="00C6052E">
        <w:t xml:space="preserve"> </w:t>
      </w:r>
      <w:r w:rsidRPr="00C6052E">
        <w:t>in</w:t>
      </w:r>
      <w:r w:rsidR="00177848" w:rsidRPr="00C6052E">
        <w:t xml:space="preserve"> </w:t>
      </w:r>
      <w:r w:rsidRPr="00C6052E">
        <w:t>the</w:t>
      </w:r>
      <w:r w:rsidR="00177848" w:rsidRPr="00C6052E">
        <w:t xml:space="preserve"> </w:t>
      </w:r>
      <w:r w:rsidRPr="00C6052E">
        <w:t>reporting</w:t>
      </w:r>
      <w:r w:rsidR="00177848" w:rsidRPr="00C6052E">
        <w:t xml:space="preserve"> </w:t>
      </w:r>
      <w:r w:rsidRPr="00C6052E">
        <w:t>period</w:t>
      </w:r>
      <w:r w:rsidR="00177848" w:rsidRPr="00C6052E">
        <w:t xml:space="preserve"> </w:t>
      </w:r>
      <w:r w:rsidRPr="00C6052E">
        <w:t>in</w:t>
      </w:r>
      <w:r w:rsidR="00177848" w:rsidRPr="00C6052E">
        <w:t xml:space="preserve"> </w:t>
      </w:r>
      <w:r w:rsidRPr="00C6052E">
        <w:t>which</w:t>
      </w:r>
      <w:r w:rsidR="00177848" w:rsidRPr="00C6052E">
        <w:t xml:space="preserve"> </w:t>
      </w:r>
      <w:r w:rsidRPr="00C6052E">
        <w:t>they</w:t>
      </w:r>
      <w:r w:rsidR="00177848" w:rsidRPr="00C6052E">
        <w:t xml:space="preserve"> </w:t>
      </w:r>
      <w:r w:rsidRPr="00C6052E">
        <w:t>are</w:t>
      </w:r>
      <w:r w:rsidR="00177848" w:rsidRPr="00C6052E">
        <w:t xml:space="preserve"> </w:t>
      </w:r>
      <w:r w:rsidRPr="00C6052E">
        <w:t>paid</w:t>
      </w:r>
      <w:r w:rsidR="00177848" w:rsidRPr="00C6052E">
        <w:t xml:space="preserve"> </w:t>
      </w:r>
      <w:r w:rsidRPr="00C6052E">
        <w:t>or</w:t>
      </w:r>
      <w:r w:rsidR="00177848" w:rsidRPr="00C6052E">
        <w:t xml:space="preserve"> </w:t>
      </w:r>
      <w:r w:rsidRPr="00C6052E">
        <w:t>payable.</w:t>
      </w:r>
      <w:r w:rsidR="00177848" w:rsidRPr="00C6052E">
        <w:t xml:space="preserve"> </w:t>
      </w:r>
      <w:r w:rsidRPr="00C6052E">
        <w:t>Grants</w:t>
      </w:r>
      <w:r w:rsidR="00177848" w:rsidRPr="00C6052E">
        <w:t xml:space="preserve"> </w:t>
      </w:r>
      <w:r w:rsidRPr="00C6052E">
        <w:t>can</w:t>
      </w:r>
      <w:r w:rsidR="00177848" w:rsidRPr="00C6052E">
        <w:t xml:space="preserve"> </w:t>
      </w:r>
      <w:r w:rsidRPr="00C6052E">
        <w:t>take</w:t>
      </w:r>
      <w:r w:rsidR="00177848" w:rsidRPr="00C6052E">
        <w:t xml:space="preserve"> </w:t>
      </w:r>
      <w:r w:rsidRPr="00C6052E">
        <w:t>the</w:t>
      </w:r>
      <w:r w:rsidR="00177848" w:rsidRPr="00C6052E">
        <w:t xml:space="preserve"> </w:t>
      </w:r>
      <w:r w:rsidRPr="00C6052E">
        <w:t>form</w:t>
      </w:r>
      <w:r w:rsidR="00177848" w:rsidRPr="00C6052E">
        <w:t xml:space="preserve"> </w:t>
      </w:r>
      <w:r w:rsidRPr="00C6052E">
        <w:t>of</w:t>
      </w:r>
      <w:r w:rsidR="00177848" w:rsidRPr="00C6052E">
        <w:t xml:space="preserve"> </w:t>
      </w:r>
      <w:r w:rsidRPr="00C6052E">
        <w:t>money,</w:t>
      </w:r>
      <w:r w:rsidR="00177848" w:rsidRPr="00C6052E">
        <w:t xml:space="preserve"> </w:t>
      </w:r>
      <w:r w:rsidRPr="00C6052E">
        <w:t>assets,</w:t>
      </w:r>
      <w:r w:rsidR="00177848" w:rsidRPr="00C6052E">
        <w:t xml:space="preserve"> </w:t>
      </w:r>
      <w:r w:rsidRPr="00C6052E">
        <w:t>goods,</w:t>
      </w:r>
      <w:r w:rsidR="00177848" w:rsidRPr="00C6052E">
        <w:t xml:space="preserve"> </w:t>
      </w:r>
      <w:r w:rsidRPr="00C6052E">
        <w:t>services</w:t>
      </w:r>
      <w:r w:rsidR="00177848" w:rsidRPr="00C6052E">
        <w:t xml:space="preserve"> </w:t>
      </w:r>
      <w:r w:rsidRPr="00C6052E">
        <w:t>or</w:t>
      </w:r>
      <w:r w:rsidR="00177848" w:rsidRPr="00C6052E">
        <w:t xml:space="preserve"> </w:t>
      </w:r>
      <w:r w:rsidRPr="00C6052E">
        <w:t>forgiveness</w:t>
      </w:r>
      <w:r w:rsidR="00177848" w:rsidRPr="00C6052E">
        <w:t xml:space="preserve"> </w:t>
      </w:r>
      <w:r w:rsidRPr="00C6052E">
        <w:t>of</w:t>
      </w:r>
      <w:r w:rsidR="00177848" w:rsidRPr="00C6052E">
        <w:t xml:space="preserve"> </w:t>
      </w:r>
      <w:r w:rsidRPr="00C6052E">
        <w:t>liabilities.</w:t>
      </w:r>
      <w:r w:rsidR="00177848" w:rsidRPr="00C6052E">
        <w:t xml:space="preserve"> </w:t>
      </w:r>
    </w:p>
    <w:p w14:paraId="7985E76F" w14:textId="35917DB5" w:rsidR="00EE5BB8" w:rsidRPr="00C6052E" w:rsidRDefault="00EE5BB8" w:rsidP="00246C6A">
      <w:pPr>
        <w:pStyle w:val="Heading2numbered0"/>
      </w:pPr>
      <w:bookmarkStart w:id="145" w:name="_Toc163565955"/>
      <w:bookmarkStart w:id="146" w:name="_Ref209689201"/>
      <w:bookmarkStart w:id="147" w:name="_Ref209689207"/>
      <w:r w:rsidRPr="00C6052E">
        <w:lastRenderedPageBreak/>
        <w:t>Employee</w:t>
      </w:r>
      <w:r w:rsidR="00177848" w:rsidRPr="00C6052E">
        <w:t xml:space="preserve"> </w:t>
      </w:r>
      <w:r w:rsidRPr="00C6052E">
        <w:t>benefits</w:t>
      </w:r>
      <w:bookmarkEnd w:id="145"/>
      <w:bookmarkEnd w:id="146"/>
      <w:bookmarkEnd w:id="147"/>
    </w:p>
    <w:p w14:paraId="210C8343" w14:textId="7451D835" w:rsidR="00EE5BB8" w:rsidRPr="00C6052E" w:rsidRDefault="00EE5BB8" w:rsidP="000C0740">
      <w:pPr>
        <w:pStyle w:val="Heading3numbered0"/>
      </w:pPr>
      <w:r w:rsidRPr="00C6052E">
        <w:t>Employee</w:t>
      </w:r>
      <w:r w:rsidR="00177848" w:rsidRPr="00C6052E">
        <w:t xml:space="preserve"> </w:t>
      </w:r>
      <w:r w:rsidRPr="00C6052E">
        <w:t>benefits</w:t>
      </w:r>
      <w:r w:rsidR="00177848" w:rsidRPr="00C6052E">
        <w:t xml:space="preserve"> </w:t>
      </w:r>
      <w:r w:rsidRPr="00C6052E">
        <w:t>in</w:t>
      </w:r>
      <w:r w:rsidR="00177848" w:rsidRPr="00C6052E">
        <w:t xml:space="preserve"> </w:t>
      </w:r>
      <w:r w:rsidRPr="00C6052E">
        <w:t>the</w:t>
      </w:r>
      <w:r w:rsidR="00177848" w:rsidRPr="00C6052E">
        <w:t xml:space="preserve"> </w:t>
      </w:r>
      <w:r w:rsidRPr="00C6052E">
        <w:t>comprehensive</w:t>
      </w:r>
      <w:r w:rsidR="00177848" w:rsidRPr="00C6052E">
        <w:t xml:space="preserve"> </w:t>
      </w:r>
      <w:r w:rsidRPr="00C6052E">
        <w:t>operating</w:t>
      </w:r>
      <w:r w:rsidR="00177848" w:rsidRPr="00C6052E">
        <w:t xml:space="preserve"> </w:t>
      </w:r>
      <w:r w:rsidRPr="00C6052E">
        <w:t>statement</w:t>
      </w:r>
      <w:r w:rsidR="00D83915">
        <w:t xml:space="preserve"> </w:t>
      </w:r>
      <w:r w:rsidR="00D83915" w:rsidRPr="00C6052E">
        <w:t>($</w:t>
      </w:r>
      <w:r w:rsidR="00D83915">
        <w:t> </w:t>
      </w:r>
      <w:r w:rsidR="00D83915" w:rsidRPr="00C6052E">
        <w:t>thousand)</w:t>
      </w:r>
    </w:p>
    <w:tbl>
      <w:tblPr>
        <w:tblStyle w:val="TableGrid"/>
        <w:tblW w:w="9724" w:type="dxa"/>
        <w:tblLayout w:type="fixed"/>
        <w:tblLook w:val="04E0" w:firstRow="1" w:lastRow="1" w:firstColumn="1" w:lastColumn="0" w:noHBand="0" w:noVBand="1"/>
      </w:tblPr>
      <w:tblGrid>
        <w:gridCol w:w="6374"/>
        <w:gridCol w:w="1675"/>
        <w:gridCol w:w="1675"/>
      </w:tblGrid>
      <w:tr w:rsidR="00EE5BB8" w:rsidRPr="00C6052E" w14:paraId="2A2C1710" w14:textId="77777777" w:rsidTr="000C0740">
        <w:tc>
          <w:tcPr>
            <w:tcW w:w="6374" w:type="dxa"/>
            <w:noWrap/>
            <w:hideMark/>
          </w:tcPr>
          <w:p w14:paraId="3F704982" w14:textId="77777777" w:rsidR="00EE5BB8" w:rsidRPr="00C6052E" w:rsidRDefault="00EE5BB8" w:rsidP="000C0740">
            <w:pPr>
              <w:pStyle w:val="TableColumnHeading"/>
            </w:pPr>
            <w:bookmarkStart w:id="148" w:name="TableColumnHeadings_52"/>
            <w:bookmarkEnd w:id="148"/>
          </w:p>
        </w:tc>
        <w:tc>
          <w:tcPr>
            <w:tcW w:w="1675" w:type="dxa"/>
            <w:hideMark/>
          </w:tcPr>
          <w:p w14:paraId="51C0D352" w14:textId="77777777" w:rsidR="00EE5BB8" w:rsidRPr="00C6052E" w:rsidRDefault="00EE5BB8" w:rsidP="000C0740">
            <w:pPr>
              <w:pStyle w:val="TableColumnHeading"/>
              <w:jc w:val="right"/>
            </w:pPr>
            <w:r w:rsidRPr="00C6052E">
              <w:t>2025</w:t>
            </w:r>
          </w:p>
        </w:tc>
        <w:tc>
          <w:tcPr>
            <w:tcW w:w="1675" w:type="dxa"/>
            <w:hideMark/>
          </w:tcPr>
          <w:p w14:paraId="6D77DB7C" w14:textId="77777777" w:rsidR="00EE5BB8" w:rsidRPr="00C6052E" w:rsidRDefault="00EE5BB8" w:rsidP="000C0740">
            <w:pPr>
              <w:pStyle w:val="TableColumnHeading"/>
              <w:jc w:val="right"/>
            </w:pPr>
            <w:r w:rsidRPr="00C6052E">
              <w:t>2024</w:t>
            </w:r>
          </w:p>
        </w:tc>
      </w:tr>
      <w:tr w:rsidR="00EE5BB8" w:rsidRPr="00C6052E" w14:paraId="6DB1A5F2" w14:textId="77777777" w:rsidTr="000C0740">
        <w:tc>
          <w:tcPr>
            <w:tcW w:w="6374" w:type="dxa"/>
            <w:hideMark/>
          </w:tcPr>
          <w:p w14:paraId="787D93C1" w14:textId="25745370" w:rsidR="00EE5BB8" w:rsidRPr="00C6052E" w:rsidRDefault="00EE5BB8" w:rsidP="00D83915">
            <w:pPr>
              <w:pStyle w:val="TableCopy"/>
              <w:keepNext/>
            </w:pPr>
            <w:r w:rsidRPr="00C6052E">
              <w:t>Salaries</w:t>
            </w:r>
            <w:r w:rsidR="00177848" w:rsidRPr="00C6052E">
              <w:t xml:space="preserve"> </w:t>
            </w:r>
            <w:r w:rsidRPr="00C6052E">
              <w:t>and</w:t>
            </w:r>
            <w:r w:rsidR="00177848" w:rsidRPr="00C6052E">
              <w:t xml:space="preserve"> </w:t>
            </w:r>
            <w:r w:rsidRPr="00C6052E">
              <w:t>wages,</w:t>
            </w:r>
            <w:r w:rsidR="00177848" w:rsidRPr="00C6052E">
              <w:t xml:space="preserve"> </w:t>
            </w:r>
            <w:r w:rsidRPr="00C6052E">
              <w:t>annual</w:t>
            </w:r>
            <w:r w:rsidR="00177848" w:rsidRPr="00C6052E">
              <w:t xml:space="preserve"> </w:t>
            </w:r>
            <w:r w:rsidRPr="00C6052E">
              <w:t>leave,</w:t>
            </w:r>
            <w:r w:rsidR="00177848" w:rsidRPr="00C6052E">
              <w:t xml:space="preserve"> </w:t>
            </w:r>
            <w:r w:rsidRPr="00C6052E">
              <w:t>long</w:t>
            </w:r>
            <w:r w:rsidR="00177848" w:rsidRPr="00C6052E">
              <w:t xml:space="preserve"> </w:t>
            </w:r>
            <w:r w:rsidRPr="00C6052E">
              <w:t>service</w:t>
            </w:r>
            <w:r w:rsidR="00177848" w:rsidRPr="00C6052E">
              <w:t xml:space="preserve"> </w:t>
            </w:r>
            <w:r w:rsidRPr="00C6052E">
              <w:t>leave</w:t>
            </w:r>
            <w:r w:rsidR="00177848" w:rsidRPr="00C6052E">
              <w:t xml:space="preserve"> </w:t>
            </w:r>
            <w:r w:rsidRPr="00C6052E">
              <w:t>and</w:t>
            </w:r>
            <w:r w:rsidR="00177848" w:rsidRPr="00C6052E">
              <w:t xml:space="preserve"> </w:t>
            </w:r>
            <w:r w:rsidRPr="00C6052E">
              <w:t>on-costs</w:t>
            </w:r>
          </w:p>
        </w:tc>
        <w:tc>
          <w:tcPr>
            <w:tcW w:w="1675" w:type="dxa"/>
            <w:noWrap/>
            <w:hideMark/>
          </w:tcPr>
          <w:p w14:paraId="049A563E" w14:textId="77777777" w:rsidR="00EE5BB8" w:rsidRPr="00C6052E" w:rsidRDefault="00EE5BB8" w:rsidP="00D83915">
            <w:pPr>
              <w:pStyle w:val="TableCopy"/>
              <w:keepNext/>
              <w:jc w:val="right"/>
            </w:pPr>
            <w:r w:rsidRPr="00C6052E">
              <w:t>(317,039)</w:t>
            </w:r>
          </w:p>
        </w:tc>
        <w:tc>
          <w:tcPr>
            <w:tcW w:w="1675" w:type="dxa"/>
            <w:noWrap/>
            <w:hideMark/>
          </w:tcPr>
          <w:p w14:paraId="2FEB3734" w14:textId="77777777" w:rsidR="00EE5BB8" w:rsidRPr="00C6052E" w:rsidRDefault="00EE5BB8" w:rsidP="00D83915">
            <w:pPr>
              <w:pStyle w:val="TableCopy"/>
              <w:keepNext/>
              <w:jc w:val="right"/>
            </w:pPr>
            <w:r w:rsidRPr="00C6052E">
              <w:t>(322,544)</w:t>
            </w:r>
          </w:p>
        </w:tc>
      </w:tr>
      <w:tr w:rsidR="00EE5BB8" w:rsidRPr="00C6052E" w14:paraId="16E830E3" w14:textId="77777777" w:rsidTr="000C0740">
        <w:tc>
          <w:tcPr>
            <w:tcW w:w="6374" w:type="dxa"/>
            <w:hideMark/>
          </w:tcPr>
          <w:p w14:paraId="53382FDF" w14:textId="349ABEB4" w:rsidR="00EE5BB8" w:rsidRPr="00C6052E" w:rsidRDefault="00EE5BB8" w:rsidP="00D83915">
            <w:pPr>
              <w:pStyle w:val="TableCopy"/>
              <w:keepNext/>
            </w:pPr>
            <w:r w:rsidRPr="00C6052E">
              <w:t>Termination</w:t>
            </w:r>
            <w:r w:rsidR="00177848" w:rsidRPr="00C6052E">
              <w:t xml:space="preserve"> </w:t>
            </w:r>
            <w:r w:rsidRPr="00C6052E">
              <w:t>benefits</w:t>
            </w:r>
            <w:r w:rsidR="00177848" w:rsidRPr="00C6052E">
              <w:t xml:space="preserve"> </w:t>
            </w:r>
          </w:p>
        </w:tc>
        <w:tc>
          <w:tcPr>
            <w:tcW w:w="1675" w:type="dxa"/>
            <w:noWrap/>
            <w:hideMark/>
          </w:tcPr>
          <w:p w14:paraId="2D915AB3" w14:textId="77777777" w:rsidR="00EE5BB8" w:rsidRPr="00C6052E" w:rsidRDefault="00EE5BB8" w:rsidP="00D83915">
            <w:pPr>
              <w:pStyle w:val="TableCopy"/>
              <w:keepNext/>
              <w:jc w:val="right"/>
            </w:pPr>
            <w:r w:rsidRPr="00C6052E">
              <w:t>(1,332)</w:t>
            </w:r>
          </w:p>
        </w:tc>
        <w:tc>
          <w:tcPr>
            <w:tcW w:w="1675" w:type="dxa"/>
            <w:noWrap/>
            <w:hideMark/>
          </w:tcPr>
          <w:p w14:paraId="3C5152F4" w14:textId="77777777" w:rsidR="00EE5BB8" w:rsidRPr="00C6052E" w:rsidRDefault="00EE5BB8" w:rsidP="00D83915">
            <w:pPr>
              <w:pStyle w:val="TableCopy"/>
              <w:keepNext/>
              <w:jc w:val="right"/>
            </w:pPr>
            <w:r w:rsidRPr="00C6052E">
              <w:t>(19,602)</w:t>
            </w:r>
          </w:p>
        </w:tc>
      </w:tr>
      <w:tr w:rsidR="00EE5BB8" w:rsidRPr="00C6052E" w14:paraId="57BC4267" w14:textId="77777777" w:rsidTr="000C0740">
        <w:tc>
          <w:tcPr>
            <w:tcW w:w="6374" w:type="dxa"/>
            <w:hideMark/>
          </w:tcPr>
          <w:p w14:paraId="64A82A90" w14:textId="1DDDABA1" w:rsidR="00EE5BB8" w:rsidRPr="00C6052E" w:rsidRDefault="00EE5BB8" w:rsidP="00D83915">
            <w:pPr>
              <w:pStyle w:val="TableCopy"/>
              <w:keepNext/>
            </w:pPr>
            <w:r w:rsidRPr="00C6052E">
              <w:t>Defined</w:t>
            </w:r>
            <w:r w:rsidR="00177848" w:rsidRPr="00C6052E">
              <w:t xml:space="preserve"> </w:t>
            </w:r>
            <w:r w:rsidRPr="00C6052E">
              <w:t>contribution</w:t>
            </w:r>
            <w:r w:rsidR="00177848" w:rsidRPr="00C6052E">
              <w:t xml:space="preserve"> </w:t>
            </w:r>
            <w:r w:rsidRPr="00C6052E">
              <w:t>superannuation</w:t>
            </w:r>
            <w:r w:rsidR="00177848" w:rsidRPr="00C6052E">
              <w:t xml:space="preserve"> </w:t>
            </w:r>
            <w:r w:rsidRPr="00C6052E">
              <w:t>expense</w:t>
            </w:r>
            <w:r w:rsidR="00177848" w:rsidRPr="00C6052E">
              <w:t xml:space="preserve"> </w:t>
            </w:r>
          </w:p>
        </w:tc>
        <w:tc>
          <w:tcPr>
            <w:tcW w:w="1675" w:type="dxa"/>
            <w:noWrap/>
            <w:hideMark/>
          </w:tcPr>
          <w:p w14:paraId="2275B5B3" w14:textId="77777777" w:rsidR="00EE5BB8" w:rsidRPr="00C6052E" w:rsidRDefault="00EE5BB8" w:rsidP="00D83915">
            <w:pPr>
              <w:pStyle w:val="TableCopy"/>
              <w:keepNext/>
              <w:jc w:val="right"/>
            </w:pPr>
            <w:r w:rsidRPr="00C6052E">
              <w:t>(30,262)</w:t>
            </w:r>
          </w:p>
        </w:tc>
        <w:tc>
          <w:tcPr>
            <w:tcW w:w="1675" w:type="dxa"/>
            <w:noWrap/>
            <w:hideMark/>
          </w:tcPr>
          <w:p w14:paraId="18C85046" w14:textId="77777777" w:rsidR="00EE5BB8" w:rsidRPr="00C6052E" w:rsidRDefault="00EE5BB8" w:rsidP="00D83915">
            <w:pPr>
              <w:pStyle w:val="TableCopy"/>
              <w:keepNext/>
              <w:jc w:val="right"/>
            </w:pPr>
            <w:r w:rsidRPr="00C6052E">
              <w:t>(29,555)</w:t>
            </w:r>
          </w:p>
        </w:tc>
      </w:tr>
      <w:tr w:rsidR="00EE5BB8" w:rsidRPr="00C6052E" w14:paraId="54B6575B" w14:textId="77777777" w:rsidTr="000C0740">
        <w:tc>
          <w:tcPr>
            <w:tcW w:w="6374" w:type="dxa"/>
            <w:hideMark/>
          </w:tcPr>
          <w:p w14:paraId="6C4C535D" w14:textId="23121FC0" w:rsidR="00EE5BB8" w:rsidRPr="00C6052E" w:rsidRDefault="00EE5BB8" w:rsidP="00E97D0C">
            <w:pPr>
              <w:pStyle w:val="TableCopy"/>
              <w:keepNext/>
            </w:pPr>
            <w:r w:rsidRPr="00C6052E">
              <w:t>Defined</w:t>
            </w:r>
            <w:r w:rsidR="00177848" w:rsidRPr="00C6052E">
              <w:t xml:space="preserve"> </w:t>
            </w:r>
            <w:r w:rsidRPr="00C6052E">
              <w:t>benefit</w:t>
            </w:r>
            <w:r w:rsidR="00177848" w:rsidRPr="00C6052E">
              <w:t xml:space="preserve"> </w:t>
            </w:r>
            <w:r w:rsidRPr="00C6052E">
              <w:t>superannuation</w:t>
            </w:r>
            <w:r w:rsidR="00177848" w:rsidRPr="00C6052E">
              <w:t xml:space="preserve"> </w:t>
            </w:r>
            <w:r w:rsidRPr="00C6052E">
              <w:t>expense</w:t>
            </w:r>
            <w:r w:rsidR="00177848" w:rsidRPr="00C6052E">
              <w:t xml:space="preserve"> </w:t>
            </w:r>
          </w:p>
        </w:tc>
        <w:tc>
          <w:tcPr>
            <w:tcW w:w="1675" w:type="dxa"/>
            <w:noWrap/>
            <w:hideMark/>
          </w:tcPr>
          <w:p w14:paraId="472710D8" w14:textId="77777777" w:rsidR="00EE5BB8" w:rsidRPr="00C6052E" w:rsidRDefault="00EE5BB8" w:rsidP="00E97D0C">
            <w:pPr>
              <w:pStyle w:val="TableCopy"/>
              <w:keepNext/>
              <w:jc w:val="right"/>
            </w:pPr>
            <w:r w:rsidRPr="00C6052E">
              <w:t>(374)</w:t>
            </w:r>
          </w:p>
        </w:tc>
        <w:tc>
          <w:tcPr>
            <w:tcW w:w="1675" w:type="dxa"/>
            <w:noWrap/>
            <w:hideMark/>
          </w:tcPr>
          <w:p w14:paraId="40BE0443" w14:textId="77777777" w:rsidR="00EE5BB8" w:rsidRPr="00C6052E" w:rsidRDefault="00EE5BB8" w:rsidP="00E97D0C">
            <w:pPr>
              <w:pStyle w:val="TableCopy"/>
              <w:keepNext/>
              <w:jc w:val="right"/>
            </w:pPr>
            <w:r w:rsidRPr="00C6052E">
              <w:t>(417)</w:t>
            </w:r>
          </w:p>
        </w:tc>
      </w:tr>
      <w:tr w:rsidR="00EE5BB8" w:rsidRPr="00C6052E" w14:paraId="4A894D02" w14:textId="77777777" w:rsidTr="000C0740">
        <w:tc>
          <w:tcPr>
            <w:tcW w:w="6374" w:type="dxa"/>
            <w:hideMark/>
          </w:tcPr>
          <w:p w14:paraId="72420FCD" w14:textId="76FAEC9A" w:rsidR="00EE5BB8" w:rsidRPr="00C6052E" w:rsidRDefault="00EE5BB8" w:rsidP="0063097D">
            <w:pPr>
              <w:pStyle w:val="Tabletotal"/>
            </w:pPr>
            <w:r w:rsidRPr="00C6052E">
              <w:t>Total</w:t>
            </w:r>
            <w:r w:rsidR="00177848" w:rsidRPr="00C6052E">
              <w:t xml:space="preserve"> </w:t>
            </w:r>
            <w:r w:rsidRPr="00C6052E">
              <w:t>employee</w:t>
            </w:r>
            <w:r w:rsidR="00177848" w:rsidRPr="00C6052E">
              <w:t xml:space="preserve"> </w:t>
            </w:r>
            <w:r w:rsidRPr="00C6052E">
              <w:t>benefits</w:t>
            </w:r>
          </w:p>
        </w:tc>
        <w:tc>
          <w:tcPr>
            <w:tcW w:w="1675" w:type="dxa"/>
            <w:noWrap/>
            <w:hideMark/>
          </w:tcPr>
          <w:p w14:paraId="6B653231" w14:textId="77777777" w:rsidR="00EE5BB8" w:rsidRPr="00C6052E" w:rsidRDefault="00EE5BB8" w:rsidP="0063097D">
            <w:pPr>
              <w:pStyle w:val="Tabletotal"/>
              <w:jc w:val="right"/>
            </w:pPr>
            <w:r w:rsidRPr="00C6052E">
              <w:t>(349,007)</w:t>
            </w:r>
          </w:p>
        </w:tc>
        <w:tc>
          <w:tcPr>
            <w:tcW w:w="1675" w:type="dxa"/>
            <w:noWrap/>
            <w:hideMark/>
          </w:tcPr>
          <w:p w14:paraId="2443726C" w14:textId="77777777" w:rsidR="00EE5BB8" w:rsidRPr="00C6052E" w:rsidRDefault="00EE5BB8" w:rsidP="0063097D">
            <w:pPr>
              <w:pStyle w:val="Tabletotal"/>
              <w:jc w:val="right"/>
            </w:pPr>
            <w:r w:rsidRPr="00C6052E">
              <w:t>(372,118)</w:t>
            </w:r>
          </w:p>
        </w:tc>
      </w:tr>
    </w:tbl>
    <w:p w14:paraId="105C3346" w14:textId="77777777" w:rsidR="00EE5BB8" w:rsidRPr="00C6052E" w:rsidRDefault="00EE5BB8" w:rsidP="00EE5BB8"/>
    <w:p w14:paraId="3C27CD56" w14:textId="0B82C1AF" w:rsidR="00EE5BB8" w:rsidRPr="00C6052E" w:rsidRDefault="00EE5BB8" w:rsidP="00EE5BB8">
      <w:r w:rsidRPr="00C6052E">
        <w:t>Employee</w:t>
      </w:r>
      <w:r w:rsidR="00177848" w:rsidRPr="00C6052E">
        <w:t xml:space="preserve"> </w:t>
      </w:r>
      <w:r w:rsidRPr="00C6052E">
        <w:t>expenses</w:t>
      </w:r>
      <w:r w:rsidR="00177848" w:rsidRPr="00C6052E">
        <w:t xml:space="preserve"> </w:t>
      </w:r>
      <w:r w:rsidRPr="00C6052E">
        <w:t>include</w:t>
      </w:r>
      <w:r w:rsidR="00177848" w:rsidRPr="00C6052E">
        <w:t xml:space="preserve"> </w:t>
      </w:r>
      <w:r w:rsidRPr="00C6052E">
        <w:t>all</w:t>
      </w:r>
      <w:r w:rsidR="00177848" w:rsidRPr="00C6052E">
        <w:t xml:space="preserve"> </w:t>
      </w:r>
      <w:r w:rsidRPr="00C6052E">
        <w:t>costs</w:t>
      </w:r>
      <w:r w:rsidR="00177848" w:rsidRPr="00C6052E">
        <w:t xml:space="preserve"> </w:t>
      </w:r>
      <w:r w:rsidRPr="00C6052E">
        <w:t>related</w:t>
      </w:r>
      <w:r w:rsidR="00177848" w:rsidRPr="00C6052E">
        <w:t xml:space="preserve"> </w:t>
      </w:r>
      <w:r w:rsidRPr="00C6052E">
        <w:t>to</w:t>
      </w:r>
      <w:r w:rsidR="00177848" w:rsidRPr="00C6052E">
        <w:t xml:space="preserve"> </w:t>
      </w:r>
      <w:r w:rsidRPr="00C6052E">
        <w:t>employment</w:t>
      </w:r>
      <w:r w:rsidR="00177848" w:rsidRPr="00C6052E">
        <w:t xml:space="preserve"> </w:t>
      </w:r>
      <w:r w:rsidRPr="00C6052E">
        <w:t>including</w:t>
      </w:r>
      <w:r w:rsidR="00177848" w:rsidRPr="00C6052E">
        <w:t xml:space="preserve"> </w:t>
      </w:r>
      <w:r w:rsidRPr="00C6052E">
        <w:t>wages</w:t>
      </w:r>
      <w:r w:rsidR="00177848" w:rsidRPr="00C6052E">
        <w:t xml:space="preserve"> </w:t>
      </w:r>
      <w:r w:rsidRPr="00C6052E">
        <w:t>and</w:t>
      </w:r>
      <w:r w:rsidR="00177848" w:rsidRPr="00C6052E">
        <w:t xml:space="preserve"> </w:t>
      </w:r>
      <w:r w:rsidRPr="00C6052E">
        <w:t>salaries,</w:t>
      </w:r>
      <w:r w:rsidR="00177848" w:rsidRPr="00C6052E">
        <w:t xml:space="preserve"> </w:t>
      </w:r>
      <w:r w:rsidRPr="00C6052E">
        <w:t>fringe</w:t>
      </w:r>
      <w:r w:rsidR="00177848" w:rsidRPr="00C6052E">
        <w:t xml:space="preserve"> </w:t>
      </w:r>
      <w:r w:rsidRPr="00C6052E">
        <w:t>benefits</w:t>
      </w:r>
      <w:r w:rsidR="00177848" w:rsidRPr="00C6052E">
        <w:t xml:space="preserve"> </w:t>
      </w:r>
      <w:r w:rsidRPr="00C6052E">
        <w:t>tax,</w:t>
      </w:r>
      <w:r w:rsidR="00177848" w:rsidRPr="00C6052E">
        <w:t xml:space="preserve"> </w:t>
      </w:r>
      <w:r w:rsidRPr="00C6052E">
        <w:t>leave</w:t>
      </w:r>
      <w:r w:rsidR="00177848" w:rsidRPr="00C6052E">
        <w:t xml:space="preserve"> </w:t>
      </w:r>
      <w:r w:rsidRPr="00C6052E">
        <w:t>entitlements,</w:t>
      </w:r>
      <w:r w:rsidR="00177848" w:rsidRPr="00C6052E">
        <w:t xml:space="preserve"> </w:t>
      </w:r>
      <w:r w:rsidRPr="00C6052E">
        <w:t>termination</w:t>
      </w:r>
      <w:r w:rsidR="00177848" w:rsidRPr="00C6052E">
        <w:t xml:space="preserve"> </w:t>
      </w:r>
      <w:r w:rsidRPr="00C6052E">
        <w:t>payments</w:t>
      </w:r>
      <w:r w:rsidR="00177848" w:rsidRPr="00C6052E">
        <w:t xml:space="preserve"> </w:t>
      </w:r>
      <w:r w:rsidRPr="00C6052E">
        <w:t>and</w:t>
      </w:r>
      <w:r w:rsidR="00177848" w:rsidRPr="00C6052E">
        <w:t xml:space="preserve"> </w:t>
      </w:r>
      <w:proofErr w:type="spellStart"/>
      <w:r w:rsidRPr="00C6052E">
        <w:t>WorkCover</w:t>
      </w:r>
      <w:proofErr w:type="spellEnd"/>
      <w:r w:rsidR="00177848" w:rsidRPr="00C6052E">
        <w:t xml:space="preserve"> </w:t>
      </w:r>
      <w:r w:rsidRPr="00C6052E">
        <w:t>premiums.</w:t>
      </w:r>
    </w:p>
    <w:p w14:paraId="5DFD2BF7" w14:textId="106FE90C" w:rsidR="00EE5BB8" w:rsidRPr="00C6052E" w:rsidRDefault="00EE5BB8" w:rsidP="00EE5BB8">
      <w:r w:rsidRPr="00C6052E">
        <w:t>The</w:t>
      </w:r>
      <w:r w:rsidR="00177848" w:rsidRPr="00C6052E">
        <w:t xml:space="preserve"> </w:t>
      </w:r>
      <w:r w:rsidRPr="00C6052E">
        <w:t>amount</w:t>
      </w:r>
      <w:r w:rsidR="00177848" w:rsidRPr="00C6052E">
        <w:t xml:space="preserve"> </w:t>
      </w:r>
      <w:r w:rsidRPr="00C6052E">
        <w:t>recognised</w:t>
      </w:r>
      <w:r w:rsidR="00177848" w:rsidRPr="00C6052E">
        <w:t xml:space="preserve"> </w:t>
      </w:r>
      <w:r w:rsidRPr="00C6052E">
        <w:t>in</w:t>
      </w:r>
      <w:r w:rsidR="00177848" w:rsidRPr="00C6052E">
        <w:t xml:space="preserve"> </w:t>
      </w:r>
      <w:r w:rsidRPr="00C6052E">
        <w:t>the</w:t>
      </w:r>
      <w:r w:rsidR="00177848" w:rsidRPr="00C6052E">
        <w:t xml:space="preserve"> </w:t>
      </w:r>
      <w:r w:rsidRPr="00C6052E">
        <w:t>comprehensive</w:t>
      </w:r>
      <w:r w:rsidR="00177848" w:rsidRPr="00C6052E">
        <w:t xml:space="preserve"> </w:t>
      </w:r>
      <w:r w:rsidRPr="00C6052E">
        <w:t>operating</w:t>
      </w:r>
      <w:r w:rsidR="00177848" w:rsidRPr="00C6052E">
        <w:t xml:space="preserve"> </w:t>
      </w:r>
      <w:r w:rsidRPr="00C6052E">
        <w:t>statement</w:t>
      </w:r>
      <w:r w:rsidR="00177848" w:rsidRPr="00C6052E">
        <w:t xml:space="preserve"> </w:t>
      </w:r>
      <w:r w:rsidRPr="00C6052E">
        <w:t>in</w:t>
      </w:r>
      <w:r w:rsidR="00177848" w:rsidRPr="00C6052E">
        <w:t xml:space="preserve"> </w:t>
      </w:r>
      <w:r w:rsidRPr="00C6052E">
        <w:t>relation</w:t>
      </w:r>
      <w:r w:rsidR="00177848" w:rsidRPr="00C6052E">
        <w:t xml:space="preserve"> </w:t>
      </w:r>
      <w:r w:rsidRPr="00C6052E">
        <w:t>to</w:t>
      </w:r>
      <w:r w:rsidR="00177848" w:rsidRPr="00C6052E">
        <w:t xml:space="preserve"> </w:t>
      </w:r>
      <w:r w:rsidRPr="00C6052E">
        <w:t>superannuation</w:t>
      </w:r>
      <w:r w:rsidR="00177848" w:rsidRPr="00C6052E">
        <w:t xml:space="preserve"> </w:t>
      </w:r>
      <w:r w:rsidRPr="00C6052E">
        <w:t>is</w:t>
      </w:r>
      <w:r w:rsidR="00177848" w:rsidRPr="00C6052E">
        <w:t xml:space="preserve"> </w:t>
      </w:r>
      <w:r w:rsidRPr="00C6052E">
        <w:t>employer</w:t>
      </w:r>
      <w:r w:rsidR="00177848" w:rsidRPr="00C6052E">
        <w:t xml:space="preserve"> </w:t>
      </w:r>
      <w:r w:rsidRPr="00C6052E">
        <w:t>contributions</w:t>
      </w:r>
      <w:r w:rsidR="00177848" w:rsidRPr="00C6052E">
        <w:t xml:space="preserve"> </w:t>
      </w:r>
      <w:r w:rsidRPr="00C6052E">
        <w:t>for</w:t>
      </w:r>
      <w:r w:rsidR="00177848" w:rsidRPr="00C6052E">
        <w:t xml:space="preserve"> </w:t>
      </w:r>
      <w:r w:rsidRPr="00C6052E">
        <w:t>members</w:t>
      </w:r>
      <w:r w:rsidR="00177848" w:rsidRPr="00C6052E">
        <w:t xml:space="preserve"> </w:t>
      </w:r>
      <w:r w:rsidRPr="00C6052E">
        <w:t>of</w:t>
      </w:r>
      <w:r w:rsidR="00177848" w:rsidRPr="00C6052E">
        <w:t xml:space="preserve"> </w:t>
      </w:r>
      <w:r w:rsidRPr="00C6052E">
        <w:t>both</w:t>
      </w:r>
      <w:r w:rsidR="00177848" w:rsidRPr="00C6052E">
        <w:t xml:space="preserve"> </w:t>
      </w:r>
      <w:r w:rsidRPr="00C6052E">
        <w:t>defined</w:t>
      </w:r>
      <w:r w:rsidR="00177848" w:rsidRPr="00C6052E">
        <w:t xml:space="preserve"> </w:t>
      </w:r>
      <w:r w:rsidRPr="00C6052E">
        <w:t>benefit</w:t>
      </w:r>
      <w:r w:rsidR="00177848" w:rsidRPr="00C6052E">
        <w:t xml:space="preserve"> </w:t>
      </w:r>
      <w:r w:rsidRPr="00C6052E">
        <w:t>and</w:t>
      </w:r>
      <w:r w:rsidR="00177848" w:rsidRPr="00C6052E">
        <w:t xml:space="preserve"> </w:t>
      </w:r>
      <w:r w:rsidRPr="00C6052E">
        <w:t>defined</w:t>
      </w:r>
      <w:r w:rsidR="00177848" w:rsidRPr="00C6052E">
        <w:t xml:space="preserve"> </w:t>
      </w:r>
      <w:r w:rsidRPr="00C6052E">
        <w:t>contribution</w:t>
      </w:r>
      <w:r w:rsidR="00177848" w:rsidRPr="00C6052E">
        <w:t xml:space="preserve"> </w:t>
      </w:r>
      <w:r w:rsidRPr="00C6052E">
        <w:t>superannuation</w:t>
      </w:r>
      <w:r w:rsidR="00177848" w:rsidRPr="00C6052E">
        <w:t xml:space="preserve"> </w:t>
      </w:r>
      <w:r w:rsidRPr="00C6052E">
        <w:t>plans</w:t>
      </w:r>
      <w:r w:rsidR="00177848" w:rsidRPr="00C6052E">
        <w:t xml:space="preserve"> </w:t>
      </w:r>
      <w:r w:rsidRPr="00C6052E">
        <w:t>that</w:t>
      </w:r>
      <w:r w:rsidR="00177848" w:rsidRPr="00C6052E">
        <w:t xml:space="preserve"> </w:t>
      </w:r>
      <w:r w:rsidRPr="00C6052E">
        <w:t>are</w:t>
      </w:r>
      <w:r w:rsidR="00177848" w:rsidRPr="00C6052E">
        <w:t xml:space="preserve"> </w:t>
      </w:r>
      <w:r w:rsidRPr="00C6052E">
        <w:t>paid</w:t>
      </w:r>
      <w:r w:rsidR="00177848" w:rsidRPr="00C6052E">
        <w:t xml:space="preserve"> </w:t>
      </w:r>
      <w:r w:rsidRPr="00C6052E">
        <w:t>or</w:t>
      </w:r>
      <w:r w:rsidR="00177848" w:rsidRPr="00C6052E">
        <w:t xml:space="preserve"> </w:t>
      </w:r>
      <w:r w:rsidRPr="00C6052E">
        <w:t>payable</w:t>
      </w:r>
      <w:r w:rsidR="00177848" w:rsidRPr="00C6052E">
        <w:t xml:space="preserve"> </w:t>
      </w:r>
      <w:r w:rsidRPr="00C6052E">
        <w:t>during</w:t>
      </w:r>
      <w:r w:rsidR="00177848" w:rsidRPr="00C6052E">
        <w:t xml:space="preserve"> </w:t>
      </w:r>
      <w:r w:rsidRPr="00C6052E">
        <w:t>the</w:t>
      </w:r>
      <w:r w:rsidR="00177848" w:rsidRPr="00C6052E">
        <w:t xml:space="preserve"> </w:t>
      </w:r>
      <w:r w:rsidRPr="00C6052E">
        <w:t>reporting</w:t>
      </w:r>
      <w:r w:rsidR="00177848" w:rsidRPr="00C6052E">
        <w:t xml:space="preserve"> </w:t>
      </w:r>
      <w:r w:rsidRPr="00C6052E">
        <w:t>period.</w:t>
      </w:r>
    </w:p>
    <w:p w14:paraId="548C86C2" w14:textId="3351104B" w:rsidR="00EE5BB8" w:rsidRPr="00C6052E" w:rsidRDefault="00EE5BB8" w:rsidP="00EE5BB8">
      <w:r w:rsidRPr="00C6052E">
        <w:t>Termination</w:t>
      </w:r>
      <w:r w:rsidR="00177848" w:rsidRPr="00C6052E">
        <w:t xml:space="preserve"> </w:t>
      </w:r>
      <w:r w:rsidRPr="00C6052E">
        <w:t>benefits</w:t>
      </w:r>
      <w:r w:rsidR="00177848" w:rsidRPr="00C6052E">
        <w:t xml:space="preserve"> </w:t>
      </w:r>
      <w:r w:rsidRPr="00C6052E">
        <w:t>are</w:t>
      </w:r>
      <w:r w:rsidR="00177848" w:rsidRPr="00C6052E">
        <w:t xml:space="preserve"> </w:t>
      </w:r>
      <w:r w:rsidRPr="00C6052E">
        <w:t>payable</w:t>
      </w:r>
      <w:r w:rsidR="00177848" w:rsidRPr="00C6052E">
        <w:t xml:space="preserve"> </w:t>
      </w:r>
      <w:r w:rsidRPr="00C6052E">
        <w:t>when</w:t>
      </w:r>
      <w:r w:rsidR="00177848" w:rsidRPr="00C6052E">
        <w:t xml:space="preserve"> </w:t>
      </w:r>
      <w:r w:rsidRPr="00C6052E">
        <w:t>employment</w:t>
      </w:r>
      <w:r w:rsidR="00177848" w:rsidRPr="00C6052E">
        <w:t xml:space="preserve"> </w:t>
      </w:r>
      <w:r w:rsidRPr="00C6052E">
        <w:t>is</w:t>
      </w:r>
      <w:r w:rsidR="00177848" w:rsidRPr="00C6052E">
        <w:t xml:space="preserve"> </w:t>
      </w:r>
      <w:r w:rsidRPr="00C6052E">
        <w:t>terminated</w:t>
      </w:r>
      <w:r w:rsidR="00177848" w:rsidRPr="00C6052E">
        <w:t xml:space="preserve"> </w:t>
      </w:r>
      <w:r w:rsidRPr="00C6052E">
        <w:t>before</w:t>
      </w:r>
      <w:r w:rsidR="00177848" w:rsidRPr="00C6052E">
        <w:t xml:space="preserve"> </w:t>
      </w:r>
      <w:r w:rsidRPr="00C6052E">
        <w:t>normal</w:t>
      </w:r>
      <w:r w:rsidR="00177848" w:rsidRPr="00C6052E">
        <w:t xml:space="preserve"> </w:t>
      </w:r>
      <w:r w:rsidRPr="00C6052E">
        <w:t>retirement</w:t>
      </w:r>
      <w:r w:rsidR="00177848" w:rsidRPr="00C6052E">
        <w:t xml:space="preserve"> </w:t>
      </w:r>
      <w:r w:rsidRPr="00C6052E">
        <w:t>date,</w:t>
      </w:r>
      <w:r w:rsidR="00177848" w:rsidRPr="00C6052E">
        <w:t xml:space="preserve"> </w:t>
      </w:r>
      <w:r w:rsidRPr="00C6052E">
        <w:t>or</w:t>
      </w:r>
      <w:r w:rsidR="00177848" w:rsidRPr="00C6052E">
        <w:t xml:space="preserve"> </w:t>
      </w:r>
      <w:r w:rsidRPr="00C6052E">
        <w:t>when</w:t>
      </w:r>
      <w:r w:rsidR="00177848" w:rsidRPr="00C6052E">
        <w:t xml:space="preserve"> </w:t>
      </w:r>
      <w:r w:rsidRPr="00C6052E">
        <w:t>an</w:t>
      </w:r>
      <w:r w:rsidR="00177848" w:rsidRPr="00C6052E">
        <w:t xml:space="preserve"> </w:t>
      </w:r>
      <w:r w:rsidRPr="00C6052E">
        <w:t>employee</w:t>
      </w:r>
      <w:r w:rsidR="00177848" w:rsidRPr="00C6052E">
        <w:t xml:space="preserve"> </w:t>
      </w:r>
      <w:r w:rsidRPr="00C6052E">
        <w:t>accepts</w:t>
      </w:r>
      <w:r w:rsidR="00177848" w:rsidRPr="00C6052E">
        <w:t xml:space="preserve"> </w:t>
      </w:r>
      <w:r w:rsidRPr="00C6052E">
        <w:t>an</w:t>
      </w:r>
      <w:r w:rsidR="00177848" w:rsidRPr="00C6052E">
        <w:t xml:space="preserve"> </w:t>
      </w:r>
      <w:r w:rsidRPr="00C6052E">
        <w:t>offer</w:t>
      </w:r>
      <w:r w:rsidR="00177848" w:rsidRPr="00C6052E">
        <w:t xml:space="preserve"> </w:t>
      </w:r>
      <w:r w:rsidRPr="00C6052E">
        <w:t>of</w:t>
      </w:r>
      <w:r w:rsidR="00177848" w:rsidRPr="00C6052E">
        <w:t xml:space="preserve"> </w:t>
      </w:r>
      <w:r w:rsidRPr="00C6052E">
        <w:t>benefits</w:t>
      </w:r>
      <w:r w:rsidR="00177848" w:rsidRPr="00C6052E">
        <w:t xml:space="preserve"> </w:t>
      </w:r>
      <w:r w:rsidRPr="00C6052E">
        <w:t>in</w:t>
      </w:r>
      <w:r w:rsidR="00177848" w:rsidRPr="00C6052E">
        <w:t xml:space="preserve"> </w:t>
      </w:r>
      <w:r w:rsidRPr="00C6052E">
        <w:t>exchange</w:t>
      </w:r>
      <w:r w:rsidR="00177848" w:rsidRPr="00C6052E">
        <w:t xml:space="preserve"> </w:t>
      </w:r>
      <w:r w:rsidRPr="00C6052E">
        <w:t>for</w:t>
      </w:r>
      <w:r w:rsidR="00177848" w:rsidRPr="00C6052E">
        <w:t xml:space="preserve"> </w:t>
      </w:r>
      <w:r w:rsidRPr="00C6052E">
        <w:t>the</w:t>
      </w:r>
      <w:r w:rsidR="00177848" w:rsidRPr="00C6052E">
        <w:t xml:space="preserve"> </w:t>
      </w:r>
      <w:r w:rsidRPr="00C6052E">
        <w:t>termination</w:t>
      </w:r>
      <w:r w:rsidR="00177848" w:rsidRPr="00C6052E">
        <w:t xml:space="preserve"> </w:t>
      </w:r>
      <w:r w:rsidRPr="00C6052E">
        <w:t>of</w:t>
      </w:r>
      <w:r w:rsidR="00177848" w:rsidRPr="00C6052E">
        <w:t xml:space="preserve"> </w:t>
      </w:r>
      <w:r w:rsidRPr="00C6052E">
        <w:t>employment.</w:t>
      </w:r>
      <w:r w:rsidR="00177848" w:rsidRPr="00C6052E">
        <w:t xml:space="preserve"> </w:t>
      </w:r>
      <w:r w:rsidRPr="00C6052E">
        <w:t>Termination</w:t>
      </w:r>
      <w:r w:rsidR="00177848" w:rsidRPr="00C6052E">
        <w:t xml:space="preserve"> </w:t>
      </w:r>
      <w:r w:rsidRPr="00C6052E">
        <w:t>benefits</w:t>
      </w:r>
      <w:r w:rsidR="00177848" w:rsidRPr="00C6052E">
        <w:t xml:space="preserve"> </w:t>
      </w:r>
      <w:r w:rsidRPr="00C6052E">
        <w:t>are</w:t>
      </w:r>
      <w:r w:rsidR="00177848" w:rsidRPr="00C6052E">
        <w:t xml:space="preserve"> </w:t>
      </w:r>
      <w:r w:rsidRPr="00C6052E">
        <w:t>recognised</w:t>
      </w:r>
      <w:r w:rsidR="00177848" w:rsidRPr="00C6052E">
        <w:t xml:space="preserve"> </w:t>
      </w:r>
      <w:r w:rsidRPr="00C6052E">
        <w:t>when</w:t>
      </w:r>
      <w:r w:rsidR="00177848" w:rsidRPr="00C6052E">
        <w:t xml:space="preserve"> </w:t>
      </w:r>
      <w:r w:rsidRPr="00C6052E">
        <w:t>DJSIR</w:t>
      </w:r>
      <w:r w:rsidR="00177848" w:rsidRPr="00C6052E">
        <w:t xml:space="preserve"> </w:t>
      </w:r>
      <w:r w:rsidRPr="00C6052E">
        <w:t>is</w:t>
      </w:r>
      <w:r w:rsidR="00177848" w:rsidRPr="00C6052E">
        <w:t xml:space="preserve"> </w:t>
      </w:r>
      <w:r w:rsidRPr="00C6052E">
        <w:t>demonstrably</w:t>
      </w:r>
      <w:r w:rsidR="00177848" w:rsidRPr="00C6052E">
        <w:t xml:space="preserve"> </w:t>
      </w:r>
      <w:r w:rsidRPr="00C6052E">
        <w:t>committed</w:t>
      </w:r>
      <w:r w:rsidR="00177848" w:rsidRPr="00C6052E">
        <w:t xml:space="preserve"> </w:t>
      </w:r>
      <w:r w:rsidRPr="00C6052E">
        <w:t>to</w:t>
      </w:r>
      <w:r w:rsidR="00177848" w:rsidRPr="00C6052E">
        <w:t xml:space="preserve"> </w:t>
      </w:r>
      <w:r w:rsidRPr="00C6052E">
        <w:t>terminating</w:t>
      </w:r>
      <w:r w:rsidR="00177848" w:rsidRPr="00C6052E">
        <w:t xml:space="preserve"> </w:t>
      </w:r>
      <w:r w:rsidRPr="00C6052E">
        <w:t>the</w:t>
      </w:r>
      <w:r w:rsidR="00177848" w:rsidRPr="00C6052E">
        <w:t xml:space="preserve"> </w:t>
      </w:r>
      <w:r w:rsidRPr="00C6052E">
        <w:t>employment</w:t>
      </w:r>
      <w:r w:rsidR="00177848" w:rsidRPr="00C6052E">
        <w:t xml:space="preserve"> </w:t>
      </w:r>
      <w:r w:rsidRPr="00C6052E">
        <w:t>of</w:t>
      </w:r>
      <w:r w:rsidR="00177848" w:rsidRPr="00C6052E">
        <w:t xml:space="preserve"> </w:t>
      </w:r>
      <w:r w:rsidRPr="00C6052E">
        <w:t>current</w:t>
      </w:r>
      <w:r w:rsidR="00177848" w:rsidRPr="00C6052E">
        <w:t xml:space="preserve"> </w:t>
      </w:r>
      <w:r w:rsidRPr="00C6052E">
        <w:t>employees</w:t>
      </w:r>
      <w:r w:rsidR="00177848" w:rsidRPr="00C6052E">
        <w:t xml:space="preserve"> </w:t>
      </w:r>
      <w:r w:rsidRPr="00C6052E">
        <w:t>according</w:t>
      </w:r>
      <w:r w:rsidR="00177848" w:rsidRPr="00C6052E">
        <w:t xml:space="preserve"> </w:t>
      </w:r>
      <w:r w:rsidRPr="00C6052E">
        <w:t>to</w:t>
      </w:r>
      <w:r w:rsidR="00177848" w:rsidRPr="00C6052E">
        <w:t xml:space="preserve"> </w:t>
      </w:r>
      <w:r w:rsidRPr="00C6052E">
        <w:t>a</w:t>
      </w:r>
      <w:r w:rsidR="00177848" w:rsidRPr="00C6052E">
        <w:t xml:space="preserve"> </w:t>
      </w:r>
      <w:r w:rsidRPr="00C6052E">
        <w:t>detailed</w:t>
      </w:r>
      <w:r w:rsidR="00177848" w:rsidRPr="00C6052E">
        <w:t xml:space="preserve"> </w:t>
      </w:r>
      <w:r w:rsidRPr="00C6052E">
        <w:t>formal</w:t>
      </w:r>
      <w:r w:rsidR="00177848" w:rsidRPr="00C6052E">
        <w:t xml:space="preserve"> </w:t>
      </w:r>
      <w:r w:rsidRPr="00C6052E">
        <w:t>plan</w:t>
      </w:r>
      <w:r w:rsidR="00177848" w:rsidRPr="00C6052E">
        <w:t xml:space="preserve"> </w:t>
      </w:r>
      <w:r w:rsidRPr="00C6052E">
        <w:t>without</w:t>
      </w:r>
      <w:r w:rsidR="00177848" w:rsidRPr="00C6052E">
        <w:t xml:space="preserve"> </w:t>
      </w:r>
      <w:r w:rsidRPr="00C6052E">
        <w:t>possibility</w:t>
      </w:r>
      <w:r w:rsidR="00177848" w:rsidRPr="00C6052E">
        <w:t xml:space="preserve"> </w:t>
      </w:r>
      <w:r w:rsidRPr="00C6052E">
        <w:t>of</w:t>
      </w:r>
      <w:r w:rsidR="00177848" w:rsidRPr="00C6052E">
        <w:t xml:space="preserve"> </w:t>
      </w:r>
      <w:r w:rsidRPr="00C6052E">
        <w:t>withdrawal.</w:t>
      </w:r>
      <w:r w:rsidR="00177848" w:rsidRPr="00C6052E">
        <w:t xml:space="preserve"> </w:t>
      </w:r>
    </w:p>
    <w:p w14:paraId="2E1AAD20" w14:textId="48F29217" w:rsidR="00EE5BB8" w:rsidRPr="00C6052E" w:rsidRDefault="00EE5BB8" w:rsidP="000C0740">
      <w:pPr>
        <w:pStyle w:val="Heading3numbered0"/>
      </w:pPr>
      <w:r w:rsidRPr="00C6052E">
        <w:t>Employee</w:t>
      </w:r>
      <w:r w:rsidR="00177848" w:rsidRPr="00C6052E">
        <w:t xml:space="preserve"> </w:t>
      </w:r>
      <w:r w:rsidRPr="00C6052E">
        <w:t>benefits</w:t>
      </w:r>
      <w:r w:rsidR="00177848" w:rsidRPr="00C6052E">
        <w:t xml:space="preserve"> </w:t>
      </w:r>
      <w:r w:rsidRPr="00C6052E">
        <w:t>in</w:t>
      </w:r>
      <w:r w:rsidR="00177848" w:rsidRPr="00C6052E">
        <w:t xml:space="preserve"> </w:t>
      </w:r>
      <w:r w:rsidRPr="00C6052E">
        <w:t>the</w:t>
      </w:r>
      <w:r w:rsidR="00177848" w:rsidRPr="00C6052E">
        <w:t xml:space="preserve"> </w:t>
      </w:r>
      <w:r w:rsidRPr="00C6052E">
        <w:t>balance</w:t>
      </w:r>
      <w:r w:rsidR="00177848" w:rsidRPr="00C6052E">
        <w:t xml:space="preserve"> </w:t>
      </w:r>
      <w:r w:rsidRPr="00C6052E">
        <w:t>sheet</w:t>
      </w:r>
      <w:r w:rsidR="00177848" w:rsidRPr="00C6052E">
        <w:t xml:space="preserve"> </w:t>
      </w:r>
      <w:r w:rsidR="00D83915" w:rsidRPr="00C6052E">
        <w:t>($ thousand)</w:t>
      </w:r>
    </w:p>
    <w:p w14:paraId="507066A3" w14:textId="482C6597" w:rsidR="00EE5BB8" w:rsidRPr="00C6052E" w:rsidRDefault="00EE5BB8" w:rsidP="00EE5BB8">
      <w:r w:rsidRPr="00C6052E">
        <w:t>Provision</w:t>
      </w:r>
      <w:r w:rsidR="00177848" w:rsidRPr="00C6052E">
        <w:t xml:space="preserve"> </w:t>
      </w:r>
      <w:r w:rsidRPr="00C6052E">
        <w:t>is</w:t>
      </w:r>
      <w:r w:rsidR="00177848" w:rsidRPr="00C6052E">
        <w:t xml:space="preserve"> </w:t>
      </w:r>
      <w:r w:rsidRPr="00C6052E">
        <w:t>made</w:t>
      </w:r>
      <w:r w:rsidR="00177848" w:rsidRPr="00C6052E">
        <w:t xml:space="preserve"> </w:t>
      </w:r>
      <w:r w:rsidRPr="00C6052E">
        <w:t>for</w:t>
      </w:r>
      <w:r w:rsidR="00177848" w:rsidRPr="00C6052E">
        <w:t xml:space="preserve"> </w:t>
      </w:r>
      <w:r w:rsidRPr="00C6052E">
        <w:t>benefits</w:t>
      </w:r>
      <w:r w:rsidR="00177848" w:rsidRPr="00C6052E">
        <w:t xml:space="preserve"> </w:t>
      </w:r>
      <w:r w:rsidRPr="00C6052E">
        <w:t>accruing</w:t>
      </w:r>
      <w:r w:rsidR="00177848" w:rsidRPr="00C6052E">
        <w:t xml:space="preserve"> </w:t>
      </w:r>
      <w:r w:rsidRPr="00C6052E">
        <w:t>to</w:t>
      </w:r>
      <w:r w:rsidR="00177848" w:rsidRPr="00C6052E">
        <w:t xml:space="preserve"> </w:t>
      </w:r>
      <w:r w:rsidRPr="00C6052E">
        <w:t>employees</w:t>
      </w:r>
      <w:r w:rsidR="00177848" w:rsidRPr="00C6052E">
        <w:t xml:space="preserve"> </w:t>
      </w:r>
      <w:r w:rsidRPr="00C6052E">
        <w:t>in</w:t>
      </w:r>
      <w:r w:rsidR="00177848" w:rsidRPr="00C6052E">
        <w:t xml:space="preserve"> </w:t>
      </w:r>
      <w:r w:rsidRPr="00C6052E">
        <w:t>respect</w:t>
      </w:r>
      <w:r w:rsidR="00177848" w:rsidRPr="00C6052E">
        <w:t xml:space="preserve"> </w:t>
      </w:r>
      <w:r w:rsidRPr="00C6052E">
        <w:t>of</w:t>
      </w:r>
      <w:r w:rsidR="00177848" w:rsidRPr="00C6052E">
        <w:t xml:space="preserve"> </w:t>
      </w:r>
      <w:r w:rsidRPr="00C6052E">
        <w:t>wages</w:t>
      </w:r>
      <w:r w:rsidR="00177848" w:rsidRPr="00C6052E">
        <w:t xml:space="preserve"> </w:t>
      </w:r>
      <w:r w:rsidRPr="00C6052E">
        <w:t>and</w:t>
      </w:r>
      <w:r w:rsidR="00177848" w:rsidRPr="00C6052E">
        <w:t xml:space="preserve"> </w:t>
      </w:r>
      <w:r w:rsidRPr="00C6052E">
        <w:t>salaries,</w:t>
      </w:r>
      <w:r w:rsidR="00177848" w:rsidRPr="00C6052E">
        <w:t xml:space="preserve"> </w:t>
      </w:r>
      <w:r w:rsidRPr="00C6052E">
        <w:t>annual</w:t>
      </w:r>
      <w:r w:rsidR="00177848" w:rsidRPr="00C6052E">
        <w:t xml:space="preserve"> </w:t>
      </w:r>
      <w:r w:rsidRPr="00C6052E">
        <w:t>leave</w:t>
      </w:r>
      <w:r w:rsidR="00177848" w:rsidRPr="00C6052E">
        <w:t xml:space="preserve"> </w:t>
      </w:r>
      <w:r w:rsidRPr="00C6052E">
        <w:t>and</w:t>
      </w:r>
      <w:r w:rsidR="00177848" w:rsidRPr="00C6052E">
        <w:t xml:space="preserve"> </w:t>
      </w:r>
      <w:r w:rsidRPr="00C6052E">
        <w:t>long</w:t>
      </w:r>
      <w:r w:rsidR="00177848" w:rsidRPr="00C6052E">
        <w:t xml:space="preserve"> </w:t>
      </w:r>
      <w:r w:rsidRPr="00C6052E">
        <w:t>service</w:t>
      </w:r>
      <w:r w:rsidR="00177848" w:rsidRPr="00C6052E">
        <w:t xml:space="preserve"> </w:t>
      </w:r>
      <w:r w:rsidRPr="00C6052E">
        <w:t>leave</w:t>
      </w:r>
      <w:r w:rsidR="00177848" w:rsidRPr="00C6052E">
        <w:t xml:space="preserve"> </w:t>
      </w:r>
      <w:r w:rsidRPr="00C6052E">
        <w:t>(LSL)</w:t>
      </w:r>
      <w:r w:rsidR="00177848" w:rsidRPr="00C6052E">
        <w:t xml:space="preserve"> </w:t>
      </w:r>
      <w:r w:rsidRPr="00C6052E">
        <w:t>for</w:t>
      </w:r>
      <w:r w:rsidR="00177848" w:rsidRPr="00C6052E">
        <w:t xml:space="preserve"> </w:t>
      </w:r>
      <w:r w:rsidRPr="00C6052E">
        <w:t>services</w:t>
      </w:r>
      <w:r w:rsidR="00177848" w:rsidRPr="00C6052E">
        <w:t xml:space="preserve"> </w:t>
      </w:r>
      <w:r w:rsidRPr="00C6052E">
        <w:t>rendered</w:t>
      </w:r>
      <w:r w:rsidR="00177848" w:rsidRPr="00C6052E">
        <w:t xml:space="preserve"> </w:t>
      </w:r>
      <w:r w:rsidRPr="00C6052E">
        <w:t>to</w:t>
      </w:r>
      <w:r w:rsidR="00177848" w:rsidRPr="00C6052E">
        <w:t xml:space="preserve"> </w:t>
      </w:r>
      <w:r w:rsidRPr="00C6052E">
        <w:t>the</w:t>
      </w:r>
      <w:r w:rsidR="00177848" w:rsidRPr="00C6052E">
        <w:t xml:space="preserve"> </w:t>
      </w:r>
      <w:r w:rsidRPr="00C6052E">
        <w:t>reporting</w:t>
      </w:r>
      <w:r w:rsidR="00177848" w:rsidRPr="00C6052E">
        <w:t xml:space="preserve"> </w:t>
      </w:r>
      <w:r w:rsidRPr="00C6052E">
        <w:t>date</w:t>
      </w:r>
      <w:r w:rsidR="00177848" w:rsidRPr="00C6052E">
        <w:t xml:space="preserve"> </w:t>
      </w:r>
      <w:r w:rsidRPr="00C6052E">
        <w:t>and</w:t>
      </w:r>
      <w:r w:rsidR="00177848" w:rsidRPr="00C6052E">
        <w:t xml:space="preserve"> </w:t>
      </w:r>
      <w:r w:rsidRPr="00C6052E">
        <w:t>recorded</w:t>
      </w:r>
      <w:r w:rsidR="00177848" w:rsidRPr="00C6052E">
        <w:t xml:space="preserve"> </w:t>
      </w:r>
      <w:r w:rsidRPr="00C6052E">
        <w:t>as</w:t>
      </w:r>
      <w:r w:rsidR="00177848" w:rsidRPr="00C6052E">
        <w:t xml:space="preserve"> </w:t>
      </w:r>
      <w:r w:rsidRPr="00C6052E">
        <w:t>an</w:t>
      </w:r>
      <w:r w:rsidR="00177848" w:rsidRPr="00C6052E">
        <w:t xml:space="preserve"> </w:t>
      </w:r>
      <w:r w:rsidRPr="00C6052E">
        <w:t>expense</w:t>
      </w:r>
      <w:r w:rsidR="00177848" w:rsidRPr="00C6052E">
        <w:t xml:space="preserve"> </w:t>
      </w:r>
      <w:r w:rsidRPr="00C6052E">
        <w:t>during</w:t>
      </w:r>
      <w:r w:rsidR="00177848" w:rsidRPr="00C6052E">
        <w:t xml:space="preserve"> </w:t>
      </w:r>
      <w:r w:rsidRPr="00C6052E">
        <w:t>the</w:t>
      </w:r>
      <w:r w:rsidR="00177848" w:rsidRPr="00C6052E">
        <w:t xml:space="preserve"> </w:t>
      </w:r>
      <w:r w:rsidRPr="00C6052E">
        <w:t>period</w:t>
      </w:r>
      <w:r w:rsidR="00177848" w:rsidRPr="00C6052E">
        <w:t xml:space="preserve"> </w:t>
      </w:r>
      <w:r w:rsidRPr="00C6052E">
        <w:t>the</w:t>
      </w:r>
      <w:r w:rsidR="00177848" w:rsidRPr="00C6052E">
        <w:t xml:space="preserve"> </w:t>
      </w:r>
      <w:r w:rsidRPr="00C6052E">
        <w:t>services</w:t>
      </w:r>
      <w:r w:rsidR="00177848" w:rsidRPr="00C6052E">
        <w:t xml:space="preserve"> </w:t>
      </w:r>
      <w:r w:rsidRPr="00C6052E">
        <w:t>are</w:t>
      </w:r>
      <w:r w:rsidR="00177848" w:rsidRPr="00C6052E">
        <w:t xml:space="preserve"> </w:t>
      </w:r>
      <w:r w:rsidRPr="00C6052E">
        <w:t>delivered.</w:t>
      </w:r>
    </w:p>
    <w:tbl>
      <w:tblPr>
        <w:tblStyle w:val="TableGrid"/>
        <w:tblW w:w="9731" w:type="dxa"/>
        <w:tblInd w:w="-5" w:type="dxa"/>
        <w:tblLayout w:type="fixed"/>
        <w:tblLook w:val="04E0" w:firstRow="1" w:lastRow="1" w:firstColumn="1" w:lastColumn="0" w:noHBand="0" w:noVBand="1"/>
      </w:tblPr>
      <w:tblGrid>
        <w:gridCol w:w="6379"/>
        <w:gridCol w:w="1674"/>
        <w:gridCol w:w="1678"/>
      </w:tblGrid>
      <w:tr w:rsidR="00EE5BB8" w:rsidRPr="00C6052E" w14:paraId="2F2EC332" w14:textId="77777777" w:rsidTr="000C0740">
        <w:trPr>
          <w:tblHeader/>
        </w:trPr>
        <w:tc>
          <w:tcPr>
            <w:tcW w:w="6379" w:type="dxa"/>
            <w:noWrap/>
            <w:hideMark/>
          </w:tcPr>
          <w:p w14:paraId="05A1FE84" w14:textId="77777777" w:rsidR="00EE5BB8" w:rsidRPr="00C6052E" w:rsidRDefault="00EE5BB8" w:rsidP="00D83915">
            <w:pPr>
              <w:pStyle w:val="TableColumnHeading"/>
            </w:pPr>
            <w:bookmarkStart w:id="149" w:name="TableColumnHeadings_53"/>
            <w:bookmarkEnd w:id="149"/>
          </w:p>
        </w:tc>
        <w:tc>
          <w:tcPr>
            <w:tcW w:w="1674" w:type="dxa"/>
            <w:hideMark/>
          </w:tcPr>
          <w:p w14:paraId="32ADC93A" w14:textId="77777777" w:rsidR="00EE5BB8" w:rsidRPr="00C6052E" w:rsidRDefault="00EE5BB8" w:rsidP="000C0740">
            <w:pPr>
              <w:pStyle w:val="TableColumnHeading"/>
              <w:jc w:val="right"/>
            </w:pPr>
            <w:r w:rsidRPr="00C6052E">
              <w:t>2025</w:t>
            </w:r>
          </w:p>
        </w:tc>
        <w:tc>
          <w:tcPr>
            <w:tcW w:w="1678" w:type="dxa"/>
            <w:hideMark/>
          </w:tcPr>
          <w:p w14:paraId="500D742D" w14:textId="77777777" w:rsidR="00EE5BB8" w:rsidRPr="00C6052E" w:rsidRDefault="00EE5BB8" w:rsidP="000C0740">
            <w:pPr>
              <w:pStyle w:val="TableColumnHeading"/>
              <w:jc w:val="right"/>
            </w:pPr>
            <w:r w:rsidRPr="00C6052E">
              <w:t>2024</w:t>
            </w:r>
          </w:p>
        </w:tc>
      </w:tr>
      <w:tr w:rsidR="000C0740" w:rsidRPr="00C6052E" w14:paraId="1C6936F3" w14:textId="77777777" w:rsidTr="000C0740">
        <w:tc>
          <w:tcPr>
            <w:tcW w:w="6379" w:type="dxa"/>
          </w:tcPr>
          <w:p w14:paraId="12380455" w14:textId="3304E6B4" w:rsidR="000C0740" w:rsidRPr="00C6052E" w:rsidRDefault="000C0740" w:rsidP="000C0740">
            <w:pPr>
              <w:pStyle w:val="TableHeading"/>
            </w:pPr>
            <w:r w:rsidRPr="00C6052E">
              <w:t>Current provisions</w:t>
            </w:r>
          </w:p>
        </w:tc>
        <w:tc>
          <w:tcPr>
            <w:tcW w:w="1674" w:type="dxa"/>
            <w:noWrap/>
          </w:tcPr>
          <w:p w14:paraId="0A0AFEA8" w14:textId="77777777" w:rsidR="000C0740" w:rsidRPr="00C6052E" w:rsidRDefault="000C0740" w:rsidP="000C0740">
            <w:pPr>
              <w:pStyle w:val="TableHeading"/>
              <w:jc w:val="right"/>
            </w:pPr>
          </w:p>
        </w:tc>
        <w:tc>
          <w:tcPr>
            <w:tcW w:w="1678" w:type="dxa"/>
            <w:noWrap/>
          </w:tcPr>
          <w:p w14:paraId="62D83B56" w14:textId="77777777" w:rsidR="000C0740" w:rsidRPr="00C6052E" w:rsidRDefault="000C0740" w:rsidP="000C0740">
            <w:pPr>
              <w:pStyle w:val="TableHeading"/>
              <w:jc w:val="right"/>
            </w:pPr>
          </w:p>
        </w:tc>
      </w:tr>
      <w:tr w:rsidR="000C0740" w:rsidRPr="00C6052E" w14:paraId="5547F475" w14:textId="77777777" w:rsidTr="000C0740">
        <w:tc>
          <w:tcPr>
            <w:tcW w:w="6379" w:type="dxa"/>
          </w:tcPr>
          <w:p w14:paraId="21244DB9" w14:textId="11C036F5" w:rsidR="000C0740" w:rsidRPr="00C6052E" w:rsidRDefault="000C0740" w:rsidP="003F427A">
            <w:pPr>
              <w:pStyle w:val="TableHeading"/>
            </w:pPr>
            <w:r w:rsidRPr="00C6052E">
              <w:t>Annual leave</w:t>
            </w:r>
          </w:p>
        </w:tc>
        <w:tc>
          <w:tcPr>
            <w:tcW w:w="1674" w:type="dxa"/>
            <w:noWrap/>
          </w:tcPr>
          <w:p w14:paraId="08C67B7E" w14:textId="77777777" w:rsidR="000C0740" w:rsidRPr="00C6052E" w:rsidRDefault="000C0740" w:rsidP="000C0740">
            <w:pPr>
              <w:pStyle w:val="TableHeading"/>
              <w:jc w:val="right"/>
            </w:pPr>
          </w:p>
        </w:tc>
        <w:tc>
          <w:tcPr>
            <w:tcW w:w="1678" w:type="dxa"/>
            <w:noWrap/>
          </w:tcPr>
          <w:p w14:paraId="417C369D" w14:textId="77777777" w:rsidR="000C0740" w:rsidRPr="00C6052E" w:rsidRDefault="000C0740" w:rsidP="000C0740">
            <w:pPr>
              <w:pStyle w:val="TableHeading"/>
              <w:jc w:val="right"/>
            </w:pPr>
          </w:p>
        </w:tc>
      </w:tr>
      <w:tr w:rsidR="00EE5BB8" w:rsidRPr="00C6052E" w14:paraId="09FF11F0" w14:textId="77777777" w:rsidTr="000C0740">
        <w:tc>
          <w:tcPr>
            <w:tcW w:w="6379" w:type="dxa"/>
            <w:hideMark/>
          </w:tcPr>
          <w:p w14:paraId="6B1D5457" w14:textId="5C193CAB" w:rsidR="00EE5BB8" w:rsidRPr="00C6052E" w:rsidRDefault="00EE5BB8" w:rsidP="0063097D">
            <w:pPr>
              <w:pStyle w:val="TableCopy"/>
            </w:pPr>
            <w:r w:rsidRPr="00C6052E">
              <w:t>–</w:t>
            </w:r>
            <w:r w:rsidR="00177848" w:rsidRPr="00C6052E">
              <w:t xml:space="preserve"> </w:t>
            </w:r>
            <w:r w:rsidRPr="00C6052E">
              <w:t>Unconditional</w:t>
            </w:r>
            <w:r w:rsidR="00177848" w:rsidRPr="00C6052E">
              <w:t xml:space="preserve"> </w:t>
            </w:r>
            <w:r w:rsidRPr="00C6052E">
              <w:t>and</w:t>
            </w:r>
            <w:r w:rsidR="00177848" w:rsidRPr="00C6052E">
              <w:t xml:space="preserve"> </w:t>
            </w:r>
            <w:r w:rsidRPr="00C6052E">
              <w:t>expected</w:t>
            </w:r>
            <w:r w:rsidR="00177848" w:rsidRPr="00C6052E">
              <w:t xml:space="preserve"> </w:t>
            </w:r>
            <w:r w:rsidRPr="00C6052E">
              <w:t>to</w:t>
            </w:r>
            <w:r w:rsidR="00177848" w:rsidRPr="00C6052E">
              <w:t xml:space="preserve"> </w:t>
            </w:r>
            <w:r w:rsidRPr="00C6052E">
              <w:t>wholly</w:t>
            </w:r>
            <w:r w:rsidR="00177848" w:rsidRPr="00C6052E">
              <w:t xml:space="preserve"> </w:t>
            </w:r>
            <w:r w:rsidRPr="00C6052E">
              <w:t>settle</w:t>
            </w:r>
            <w:r w:rsidR="00177848" w:rsidRPr="00C6052E">
              <w:t xml:space="preserve"> </w:t>
            </w:r>
            <w:r w:rsidRPr="00C6052E">
              <w:t>within</w:t>
            </w:r>
            <w:r w:rsidR="00177848" w:rsidRPr="00C6052E">
              <w:t xml:space="preserve"> </w:t>
            </w:r>
            <w:r w:rsidRPr="00C6052E">
              <w:t>12</w:t>
            </w:r>
            <w:r w:rsidR="00177848" w:rsidRPr="00C6052E">
              <w:t xml:space="preserve"> </w:t>
            </w:r>
            <w:r w:rsidRPr="00C6052E">
              <w:t>months</w:t>
            </w:r>
          </w:p>
        </w:tc>
        <w:tc>
          <w:tcPr>
            <w:tcW w:w="1674" w:type="dxa"/>
            <w:noWrap/>
            <w:hideMark/>
          </w:tcPr>
          <w:p w14:paraId="5F39850A" w14:textId="77777777" w:rsidR="00EE5BB8" w:rsidRPr="00C6052E" w:rsidRDefault="00EE5BB8" w:rsidP="000C0740">
            <w:pPr>
              <w:pStyle w:val="TableCopy"/>
              <w:jc w:val="right"/>
            </w:pPr>
            <w:r w:rsidRPr="00C6052E">
              <w:t>12,531</w:t>
            </w:r>
          </w:p>
        </w:tc>
        <w:tc>
          <w:tcPr>
            <w:tcW w:w="1678" w:type="dxa"/>
            <w:noWrap/>
            <w:hideMark/>
          </w:tcPr>
          <w:p w14:paraId="3CB1BF27" w14:textId="77777777" w:rsidR="00EE5BB8" w:rsidRPr="00C6052E" w:rsidRDefault="00EE5BB8" w:rsidP="000C0740">
            <w:pPr>
              <w:pStyle w:val="TableCopy"/>
              <w:jc w:val="right"/>
            </w:pPr>
            <w:r w:rsidRPr="00C6052E">
              <w:t>12,543</w:t>
            </w:r>
          </w:p>
        </w:tc>
      </w:tr>
      <w:tr w:rsidR="00EE5BB8" w:rsidRPr="00C6052E" w14:paraId="2C85C534" w14:textId="77777777" w:rsidTr="000C0740">
        <w:tc>
          <w:tcPr>
            <w:tcW w:w="6379" w:type="dxa"/>
            <w:hideMark/>
          </w:tcPr>
          <w:p w14:paraId="195FE4B4" w14:textId="744100EC" w:rsidR="00EE5BB8" w:rsidRPr="00C6052E" w:rsidRDefault="00EE5BB8" w:rsidP="0063097D">
            <w:pPr>
              <w:pStyle w:val="TableCopy"/>
            </w:pPr>
            <w:r w:rsidRPr="00C6052E">
              <w:t>–</w:t>
            </w:r>
            <w:r w:rsidR="00177848" w:rsidRPr="00C6052E">
              <w:t xml:space="preserve"> </w:t>
            </w:r>
            <w:r w:rsidRPr="00C6052E">
              <w:t>Unconditional</w:t>
            </w:r>
            <w:r w:rsidR="00177848" w:rsidRPr="00C6052E">
              <w:t xml:space="preserve"> </w:t>
            </w:r>
            <w:r w:rsidRPr="00C6052E">
              <w:t>and</w:t>
            </w:r>
            <w:r w:rsidR="00177848" w:rsidRPr="00C6052E">
              <w:t xml:space="preserve"> </w:t>
            </w:r>
            <w:r w:rsidRPr="00C6052E">
              <w:t>expected</w:t>
            </w:r>
            <w:r w:rsidR="00177848" w:rsidRPr="00C6052E">
              <w:t xml:space="preserve"> </w:t>
            </w:r>
            <w:r w:rsidRPr="00C6052E">
              <w:t>to</w:t>
            </w:r>
            <w:r w:rsidR="00177848" w:rsidRPr="00C6052E">
              <w:t xml:space="preserve"> </w:t>
            </w:r>
            <w:r w:rsidRPr="00C6052E">
              <w:t>wholly</w:t>
            </w:r>
            <w:r w:rsidR="00177848" w:rsidRPr="00C6052E">
              <w:t xml:space="preserve"> </w:t>
            </w:r>
            <w:r w:rsidRPr="00C6052E">
              <w:t>settle</w:t>
            </w:r>
            <w:r w:rsidR="00177848" w:rsidRPr="00C6052E">
              <w:t xml:space="preserve"> </w:t>
            </w:r>
            <w:r w:rsidRPr="00C6052E">
              <w:t>after</w:t>
            </w:r>
            <w:r w:rsidR="00177848" w:rsidRPr="00C6052E">
              <w:t xml:space="preserve"> </w:t>
            </w:r>
            <w:r w:rsidRPr="00C6052E">
              <w:t>12</w:t>
            </w:r>
            <w:r w:rsidR="00177848" w:rsidRPr="00C6052E">
              <w:t xml:space="preserve"> </w:t>
            </w:r>
            <w:r w:rsidRPr="00C6052E">
              <w:t>months</w:t>
            </w:r>
          </w:p>
        </w:tc>
        <w:tc>
          <w:tcPr>
            <w:tcW w:w="1674" w:type="dxa"/>
            <w:noWrap/>
            <w:hideMark/>
          </w:tcPr>
          <w:p w14:paraId="0ED58FEE" w14:textId="77777777" w:rsidR="00EE5BB8" w:rsidRPr="00C6052E" w:rsidRDefault="00EE5BB8" w:rsidP="000C0740">
            <w:pPr>
              <w:pStyle w:val="TableCopy"/>
              <w:jc w:val="right"/>
            </w:pPr>
            <w:r w:rsidRPr="00C6052E">
              <w:t>11,032</w:t>
            </w:r>
          </w:p>
        </w:tc>
        <w:tc>
          <w:tcPr>
            <w:tcW w:w="1678" w:type="dxa"/>
            <w:noWrap/>
            <w:hideMark/>
          </w:tcPr>
          <w:p w14:paraId="31FF5C54" w14:textId="77777777" w:rsidR="00EE5BB8" w:rsidRPr="00C6052E" w:rsidRDefault="00EE5BB8" w:rsidP="000C0740">
            <w:pPr>
              <w:pStyle w:val="TableCopy"/>
              <w:jc w:val="right"/>
            </w:pPr>
            <w:r w:rsidRPr="00C6052E">
              <w:t>11,112</w:t>
            </w:r>
          </w:p>
        </w:tc>
      </w:tr>
      <w:tr w:rsidR="000C0740" w:rsidRPr="00C6052E" w14:paraId="1F6E41CC" w14:textId="77777777" w:rsidTr="000C0740">
        <w:tc>
          <w:tcPr>
            <w:tcW w:w="6379" w:type="dxa"/>
          </w:tcPr>
          <w:p w14:paraId="0CBD2DCC" w14:textId="5DD41570" w:rsidR="000C0740" w:rsidRPr="00C6052E" w:rsidRDefault="000C0740" w:rsidP="00581E9A">
            <w:pPr>
              <w:pStyle w:val="TableHeading"/>
            </w:pPr>
            <w:r w:rsidRPr="00C6052E">
              <w:t>Long service leave</w:t>
            </w:r>
          </w:p>
        </w:tc>
        <w:tc>
          <w:tcPr>
            <w:tcW w:w="1674" w:type="dxa"/>
            <w:noWrap/>
          </w:tcPr>
          <w:p w14:paraId="5092AE3F" w14:textId="77777777" w:rsidR="000C0740" w:rsidRPr="00C6052E" w:rsidRDefault="000C0740" w:rsidP="000C0740">
            <w:pPr>
              <w:pStyle w:val="TableHeading"/>
              <w:jc w:val="right"/>
            </w:pPr>
          </w:p>
        </w:tc>
        <w:tc>
          <w:tcPr>
            <w:tcW w:w="1678" w:type="dxa"/>
            <w:noWrap/>
          </w:tcPr>
          <w:p w14:paraId="26337723" w14:textId="77777777" w:rsidR="000C0740" w:rsidRPr="00C6052E" w:rsidRDefault="000C0740" w:rsidP="000C0740">
            <w:pPr>
              <w:pStyle w:val="TableHeading"/>
              <w:jc w:val="right"/>
            </w:pPr>
          </w:p>
        </w:tc>
      </w:tr>
      <w:tr w:rsidR="00EE5BB8" w:rsidRPr="00C6052E" w14:paraId="372A8D68" w14:textId="77777777" w:rsidTr="000C0740">
        <w:tc>
          <w:tcPr>
            <w:tcW w:w="6379" w:type="dxa"/>
            <w:hideMark/>
          </w:tcPr>
          <w:p w14:paraId="30D5D2B9" w14:textId="633B28E9" w:rsidR="00EE5BB8" w:rsidRPr="00C6052E" w:rsidRDefault="00EE5BB8" w:rsidP="00D83915">
            <w:pPr>
              <w:pStyle w:val="TableCopy"/>
              <w:keepNext/>
            </w:pPr>
            <w:r w:rsidRPr="00C6052E">
              <w:t>–</w:t>
            </w:r>
            <w:r w:rsidR="00177848" w:rsidRPr="00C6052E">
              <w:t xml:space="preserve"> </w:t>
            </w:r>
            <w:r w:rsidRPr="00C6052E">
              <w:t>Unconditional</w:t>
            </w:r>
            <w:r w:rsidR="00177848" w:rsidRPr="00C6052E">
              <w:t xml:space="preserve"> </w:t>
            </w:r>
            <w:r w:rsidRPr="00C6052E">
              <w:t>and</w:t>
            </w:r>
            <w:r w:rsidR="00177848" w:rsidRPr="00C6052E">
              <w:t xml:space="preserve"> </w:t>
            </w:r>
            <w:r w:rsidRPr="00C6052E">
              <w:t>expected</w:t>
            </w:r>
            <w:r w:rsidR="00177848" w:rsidRPr="00C6052E">
              <w:t xml:space="preserve"> </w:t>
            </w:r>
            <w:r w:rsidRPr="00C6052E">
              <w:t>to</w:t>
            </w:r>
            <w:r w:rsidR="00177848" w:rsidRPr="00C6052E">
              <w:t xml:space="preserve"> </w:t>
            </w:r>
            <w:r w:rsidRPr="00C6052E">
              <w:t>wholly</w:t>
            </w:r>
            <w:r w:rsidR="00177848" w:rsidRPr="00C6052E">
              <w:t xml:space="preserve"> </w:t>
            </w:r>
            <w:r w:rsidRPr="00C6052E">
              <w:t>settle</w:t>
            </w:r>
            <w:r w:rsidR="00177848" w:rsidRPr="00C6052E">
              <w:t xml:space="preserve"> </w:t>
            </w:r>
            <w:r w:rsidRPr="00C6052E">
              <w:t>within</w:t>
            </w:r>
            <w:r w:rsidR="00177848" w:rsidRPr="00C6052E">
              <w:t xml:space="preserve"> </w:t>
            </w:r>
            <w:r w:rsidRPr="00C6052E">
              <w:t>12</w:t>
            </w:r>
            <w:r w:rsidR="00177848" w:rsidRPr="00C6052E">
              <w:t xml:space="preserve"> </w:t>
            </w:r>
            <w:r w:rsidRPr="00C6052E">
              <w:t>months</w:t>
            </w:r>
          </w:p>
        </w:tc>
        <w:tc>
          <w:tcPr>
            <w:tcW w:w="1674" w:type="dxa"/>
            <w:noWrap/>
            <w:hideMark/>
          </w:tcPr>
          <w:p w14:paraId="1601DCF9" w14:textId="77777777" w:rsidR="00EE5BB8" w:rsidRPr="00C6052E" w:rsidRDefault="00EE5BB8" w:rsidP="00D83915">
            <w:pPr>
              <w:pStyle w:val="TableCopy"/>
              <w:keepNext/>
              <w:jc w:val="right"/>
            </w:pPr>
            <w:r w:rsidRPr="00C6052E">
              <w:t>5,770</w:t>
            </w:r>
          </w:p>
        </w:tc>
        <w:tc>
          <w:tcPr>
            <w:tcW w:w="1678" w:type="dxa"/>
            <w:noWrap/>
            <w:hideMark/>
          </w:tcPr>
          <w:p w14:paraId="60870729" w14:textId="77777777" w:rsidR="00EE5BB8" w:rsidRPr="00C6052E" w:rsidRDefault="00EE5BB8" w:rsidP="00D83915">
            <w:pPr>
              <w:pStyle w:val="TableCopy"/>
              <w:keepNext/>
              <w:jc w:val="right"/>
            </w:pPr>
            <w:r w:rsidRPr="00C6052E">
              <w:t>5,044</w:t>
            </w:r>
          </w:p>
        </w:tc>
      </w:tr>
      <w:tr w:rsidR="00EE5BB8" w:rsidRPr="00C6052E" w14:paraId="41C85E01" w14:textId="77777777" w:rsidTr="000C0740">
        <w:tc>
          <w:tcPr>
            <w:tcW w:w="6379" w:type="dxa"/>
            <w:hideMark/>
          </w:tcPr>
          <w:p w14:paraId="767F9CA1" w14:textId="31482DC3" w:rsidR="00EE5BB8" w:rsidRPr="00C6052E" w:rsidRDefault="00EE5BB8" w:rsidP="0063097D">
            <w:pPr>
              <w:pStyle w:val="TableCopy"/>
            </w:pPr>
            <w:r w:rsidRPr="00C6052E">
              <w:t>–</w:t>
            </w:r>
            <w:r w:rsidR="00177848" w:rsidRPr="00C6052E">
              <w:t xml:space="preserve"> </w:t>
            </w:r>
            <w:r w:rsidRPr="00C6052E">
              <w:t>Unconditional</w:t>
            </w:r>
            <w:r w:rsidR="00177848" w:rsidRPr="00C6052E">
              <w:t xml:space="preserve"> </w:t>
            </w:r>
            <w:r w:rsidRPr="00C6052E">
              <w:t>and</w:t>
            </w:r>
            <w:r w:rsidR="00177848" w:rsidRPr="00C6052E">
              <w:t xml:space="preserve"> </w:t>
            </w:r>
            <w:r w:rsidRPr="00C6052E">
              <w:t>expected</w:t>
            </w:r>
            <w:r w:rsidR="00177848" w:rsidRPr="00C6052E">
              <w:t xml:space="preserve"> </w:t>
            </w:r>
            <w:r w:rsidRPr="00C6052E">
              <w:t>to</w:t>
            </w:r>
            <w:r w:rsidR="00177848" w:rsidRPr="00C6052E">
              <w:t xml:space="preserve"> </w:t>
            </w:r>
            <w:r w:rsidRPr="00C6052E">
              <w:t>wholly</w:t>
            </w:r>
            <w:r w:rsidR="00177848" w:rsidRPr="00C6052E">
              <w:t xml:space="preserve"> </w:t>
            </w:r>
            <w:r w:rsidRPr="00C6052E">
              <w:t>settle</w:t>
            </w:r>
            <w:r w:rsidR="00177848" w:rsidRPr="00C6052E">
              <w:t xml:space="preserve"> </w:t>
            </w:r>
            <w:r w:rsidRPr="00C6052E">
              <w:t>after</w:t>
            </w:r>
            <w:r w:rsidR="00177848" w:rsidRPr="00C6052E">
              <w:t xml:space="preserve"> </w:t>
            </w:r>
            <w:r w:rsidRPr="00C6052E">
              <w:t>12</w:t>
            </w:r>
            <w:r w:rsidR="00177848" w:rsidRPr="00C6052E">
              <w:t xml:space="preserve"> </w:t>
            </w:r>
            <w:r w:rsidRPr="00C6052E">
              <w:t>months</w:t>
            </w:r>
          </w:p>
        </w:tc>
        <w:tc>
          <w:tcPr>
            <w:tcW w:w="1674" w:type="dxa"/>
            <w:noWrap/>
            <w:hideMark/>
          </w:tcPr>
          <w:p w14:paraId="18A8C221" w14:textId="77777777" w:rsidR="00EE5BB8" w:rsidRPr="00C6052E" w:rsidRDefault="00EE5BB8" w:rsidP="000C0740">
            <w:pPr>
              <w:pStyle w:val="TableCopy"/>
              <w:jc w:val="right"/>
            </w:pPr>
            <w:r w:rsidRPr="00C6052E">
              <w:t>27,567</w:t>
            </w:r>
          </w:p>
        </w:tc>
        <w:tc>
          <w:tcPr>
            <w:tcW w:w="1678" w:type="dxa"/>
            <w:noWrap/>
            <w:hideMark/>
          </w:tcPr>
          <w:p w14:paraId="1D2C265C" w14:textId="77777777" w:rsidR="00EE5BB8" w:rsidRPr="00C6052E" w:rsidRDefault="00EE5BB8" w:rsidP="000C0740">
            <w:pPr>
              <w:pStyle w:val="TableCopy"/>
              <w:jc w:val="right"/>
            </w:pPr>
            <w:r w:rsidRPr="00C6052E">
              <w:t>24,168</w:t>
            </w:r>
          </w:p>
        </w:tc>
      </w:tr>
      <w:tr w:rsidR="000C0740" w:rsidRPr="00C6052E" w14:paraId="119C9CDF" w14:textId="77777777" w:rsidTr="000C0740">
        <w:tc>
          <w:tcPr>
            <w:tcW w:w="6379" w:type="dxa"/>
          </w:tcPr>
          <w:p w14:paraId="23E2635B" w14:textId="18253EA8" w:rsidR="000C0740" w:rsidRPr="00C6052E" w:rsidRDefault="000C0740" w:rsidP="005D672C">
            <w:pPr>
              <w:pStyle w:val="TableHeading"/>
            </w:pPr>
            <w:r w:rsidRPr="00C6052E">
              <w:lastRenderedPageBreak/>
              <w:t>Provisions related to employee benefit on-costs</w:t>
            </w:r>
          </w:p>
        </w:tc>
        <w:tc>
          <w:tcPr>
            <w:tcW w:w="1674" w:type="dxa"/>
            <w:noWrap/>
          </w:tcPr>
          <w:p w14:paraId="3F0A5AF2" w14:textId="77777777" w:rsidR="000C0740" w:rsidRPr="00C6052E" w:rsidRDefault="000C0740" w:rsidP="000C0740">
            <w:pPr>
              <w:pStyle w:val="TableHeading"/>
              <w:jc w:val="right"/>
            </w:pPr>
          </w:p>
        </w:tc>
        <w:tc>
          <w:tcPr>
            <w:tcW w:w="1678" w:type="dxa"/>
            <w:noWrap/>
          </w:tcPr>
          <w:p w14:paraId="0B4FDB4C" w14:textId="77777777" w:rsidR="000C0740" w:rsidRPr="00C6052E" w:rsidRDefault="000C0740" w:rsidP="000C0740">
            <w:pPr>
              <w:pStyle w:val="TableHeading"/>
              <w:jc w:val="right"/>
            </w:pPr>
          </w:p>
        </w:tc>
      </w:tr>
      <w:tr w:rsidR="00EE5BB8" w:rsidRPr="00C6052E" w14:paraId="2066A018" w14:textId="77777777" w:rsidTr="000C0740">
        <w:tc>
          <w:tcPr>
            <w:tcW w:w="6379" w:type="dxa"/>
            <w:hideMark/>
          </w:tcPr>
          <w:p w14:paraId="663045CC" w14:textId="737D5C64" w:rsidR="00EE5BB8" w:rsidRPr="00C6052E" w:rsidRDefault="00EE5BB8" w:rsidP="0063097D">
            <w:pPr>
              <w:pStyle w:val="TableCopy"/>
            </w:pPr>
            <w:r w:rsidRPr="00C6052E">
              <w:t>–</w:t>
            </w:r>
            <w:r w:rsidR="00177848" w:rsidRPr="00C6052E">
              <w:t xml:space="preserve"> </w:t>
            </w:r>
            <w:r w:rsidRPr="00C6052E">
              <w:t>Unconditional</w:t>
            </w:r>
            <w:r w:rsidR="00177848" w:rsidRPr="00C6052E">
              <w:t xml:space="preserve"> </w:t>
            </w:r>
            <w:r w:rsidRPr="00C6052E">
              <w:t>and</w:t>
            </w:r>
            <w:r w:rsidR="00177848" w:rsidRPr="00C6052E">
              <w:t xml:space="preserve"> </w:t>
            </w:r>
            <w:r w:rsidRPr="00C6052E">
              <w:t>expected</w:t>
            </w:r>
            <w:r w:rsidR="00177848" w:rsidRPr="00C6052E">
              <w:t xml:space="preserve"> </w:t>
            </w:r>
            <w:r w:rsidRPr="00C6052E">
              <w:t>to</w:t>
            </w:r>
            <w:r w:rsidR="00177848" w:rsidRPr="00C6052E">
              <w:t xml:space="preserve"> </w:t>
            </w:r>
            <w:r w:rsidRPr="00C6052E">
              <w:t>wholly</w:t>
            </w:r>
            <w:r w:rsidR="00177848" w:rsidRPr="00C6052E">
              <w:t xml:space="preserve"> </w:t>
            </w:r>
            <w:r w:rsidRPr="00C6052E">
              <w:t>settle</w:t>
            </w:r>
            <w:r w:rsidR="00177848" w:rsidRPr="00C6052E">
              <w:t xml:space="preserve"> </w:t>
            </w:r>
            <w:r w:rsidRPr="00C6052E">
              <w:t>within</w:t>
            </w:r>
            <w:r w:rsidR="00177848" w:rsidRPr="00C6052E">
              <w:t xml:space="preserve"> </w:t>
            </w:r>
            <w:r w:rsidRPr="00C6052E">
              <w:t>12</w:t>
            </w:r>
            <w:r w:rsidR="00177848" w:rsidRPr="00C6052E">
              <w:t xml:space="preserve"> </w:t>
            </w:r>
            <w:r w:rsidRPr="00C6052E">
              <w:t>months</w:t>
            </w:r>
          </w:p>
        </w:tc>
        <w:tc>
          <w:tcPr>
            <w:tcW w:w="1674" w:type="dxa"/>
            <w:noWrap/>
            <w:hideMark/>
          </w:tcPr>
          <w:p w14:paraId="64F28590" w14:textId="77777777" w:rsidR="00EE5BB8" w:rsidRPr="00C6052E" w:rsidRDefault="00EE5BB8" w:rsidP="000C0740">
            <w:pPr>
              <w:pStyle w:val="TableCopy"/>
              <w:jc w:val="right"/>
            </w:pPr>
            <w:r w:rsidRPr="00C6052E">
              <w:t>3,675</w:t>
            </w:r>
          </w:p>
        </w:tc>
        <w:tc>
          <w:tcPr>
            <w:tcW w:w="1678" w:type="dxa"/>
            <w:noWrap/>
            <w:hideMark/>
          </w:tcPr>
          <w:p w14:paraId="46FAD914" w14:textId="77777777" w:rsidR="00EE5BB8" w:rsidRPr="00C6052E" w:rsidRDefault="00EE5BB8" w:rsidP="000C0740">
            <w:pPr>
              <w:pStyle w:val="TableCopy"/>
              <w:jc w:val="right"/>
            </w:pPr>
            <w:r w:rsidRPr="00C6052E">
              <w:t>3,493</w:t>
            </w:r>
          </w:p>
        </w:tc>
      </w:tr>
      <w:tr w:rsidR="00EE5BB8" w:rsidRPr="00C6052E" w14:paraId="6597FDD0" w14:textId="77777777" w:rsidTr="000C0740">
        <w:tc>
          <w:tcPr>
            <w:tcW w:w="6379" w:type="dxa"/>
            <w:hideMark/>
          </w:tcPr>
          <w:p w14:paraId="1C188BAB" w14:textId="047841F5" w:rsidR="00EE5BB8" w:rsidRPr="00C6052E" w:rsidRDefault="00EE5BB8" w:rsidP="0063097D">
            <w:pPr>
              <w:pStyle w:val="TableCopy"/>
            </w:pPr>
            <w:r w:rsidRPr="00C6052E">
              <w:t>–</w:t>
            </w:r>
            <w:r w:rsidR="00177848" w:rsidRPr="00C6052E">
              <w:t xml:space="preserve"> </w:t>
            </w:r>
            <w:r w:rsidRPr="00C6052E">
              <w:t>Unconditional</w:t>
            </w:r>
            <w:r w:rsidR="00177848" w:rsidRPr="00C6052E">
              <w:t xml:space="preserve"> </w:t>
            </w:r>
            <w:r w:rsidRPr="00C6052E">
              <w:t>and</w:t>
            </w:r>
            <w:r w:rsidR="00177848" w:rsidRPr="00C6052E">
              <w:t xml:space="preserve"> </w:t>
            </w:r>
            <w:r w:rsidRPr="00C6052E">
              <w:t>expected</w:t>
            </w:r>
            <w:r w:rsidR="00177848" w:rsidRPr="00C6052E">
              <w:t xml:space="preserve"> </w:t>
            </w:r>
            <w:r w:rsidRPr="00C6052E">
              <w:t>to</w:t>
            </w:r>
            <w:r w:rsidR="00177848" w:rsidRPr="00C6052E">
              <w:t xml:space="preserve"> </w:t>
            </w:r>
            <w:r w:rsidRPr="00C6052E">
              <w:t>wholly</w:t>
            </w:r>
            <w:r w:rsidR="00177848" w:rsidRPr="00C6052E">
              <w:t xml:space="preserve"> </w:t>
            </w:r>
            <w:r w:rsidRPr="00C6052E">
              <w:t>settle</w:t>
            </w:r>
            <w:r w:rsidR="00177848" w:rsidRPr="00C6052E">
              <w:t xml:space="preserve"> </w:t>
            </w:r>
            <w:r w:rsidRPr="00C6052E">
              <w:t>after</w:t>
            </w:r>
            <w:r w:rsidR="00177848" w:rsidRPr="00C6052E">
              <w:t xml:space="preserve"> </w:t>
            </w:r>
            <w:r w:rsidRPr="00C6052E">
              <w:t>12</w:t>
            </w:r>
            <w:r w:rsidR="00177848" w:rsidRPr="00C6052E">
              <w:t xml:space="preserve"> </w:t>
            </w:r>
            <w:r w:rsidRPr="00C6052E">
              <w:t>months</w:t>
            </w:r>
          </w:p>
        </w:tc>
        <w:tc>
          <w:tcPr>
            <w:tcW w:w="1674" w:type="dxa"/>
            <w:noWrap/>
            <w:hideMark/>
          </w:tcPr>
          <w:p w14:paraId="74B2D584" w14:textId="77777777" w:rsidR="00EE5BB8" w:rsidRPr="00C6052E" w:rsidRDefault="00EE5BB8" w:rsidP="000C0740">
            <w:pPr>
              <w:pStyle w:val="TableCopy"/>
              <w:jc w:val="right"/>
            </w:pPr>
            <w:r w:rsidRPr="00C6052E">
              <w:t>7,543</w:t>
            </w:r>
          </w:p>
        </w:tc>
        <w:tc>
          <w:tcPr>
            <w:tcW w:w="1678" w:type="dxa"/>
            <w:noWrap/>
            <w:hideMark/>
          </w:tcPr>
          <w:p w14:paraId="0BB62437" w14:textId="77777777" w:rsidR="00EE5BB8" w:rsidRPr="00C6052E" w:rsidRDefault="00EE5BB8" w:rsidP="000C0740">
            <w:pPr>
              <w:pStyle w:val="TableCopy"/>
              <w:jc w:val="right"/>
            </w:pPr>
            <w:r w:rsidRPr="00C6052E">
              <w:t>6,857</w:t>
            </w:r>
          </w:p>
        </w:tc>
      </w:tr>
      <w:tr w:rsidR="00EE5BB8" w:rsidRPr="00C6052E" w14:paraId="78AD0694" w14:textId="77777777" w:rsidTr="000C0740">
        <w:tc>
          <w:tcPr>
            <w:tcW w:w="6379" w:type="dxa"/>
            <w:hideMark/>
          </w:tcPr>
          <w:p w14:paraId="12F0F85F" w14:textId="3222F90A" w:rsidR="00EE5BB8" w:rsidRPr="00C6052E" w:rsidRDefault="00EE5BB8" w:rsidP="0063097D">
            <w:pPr>
              <w:pStyle w:val="Tabletotal"/>
            </w:pPr>
            <w:r w:rsidRPr="00C6052E">
              <w:t>Total</w:t>
            </w:r>
            <w:r w:rsidR="00177848" w:rsidRPr="00C6052E">
              <w:t xml:space="preserve"> </w:t>
            </w:r>
            <w:r w:rsidRPr="00C6052E">
              <w:t>current</w:t>
            </w:r>
            <w:r w:rsidR="00177848" w:rsidRPr="00C6052E">
              <w:t xml:space="preserve"> </w:t>
            </w:r>
            <w:r w:rsidRPr="00C6052E">
              <w:t>provisions</w:t>
            </w:r>
          </w:p>
        </w:tc>
        <w:tc>
          <w:tcPr>
            <w:tcW w:w="1674" w:type="dxa"/>
            <w:noWrap/>
            <w:hideMark/>
          </w:tcPr>
          <w:p w14:paraId="417505E4" w14:textId="77777777" w:rsidR="00EE5BB8" w:rsidRPr="00C6052E" w:rsidRDefault="00EE5BB8" w:rsidP="000C0740">
            <w:pPr>
              <w:pStyle w:val="Tabletotal"/>
              <w:jc w:val="right"/>
            </w:pPr>
            <w:r w:rsidRPr="00C6052E">
              <w:t>68,118</w:t>
            </w:r>
          </w:p>
        </w:tc>
        <w:tc>
          <w:tcPr>
            <w:tcW w:w="1678" w:type="dxa"/>
            <w:noWrap/>
            <w:hideMark/>
          </w:tcPr>
          <w:p w14:paraId="416FCA34" w14:textId="77777777" w:rsidR="00EE5BB8" w:rsidRPr="00C6052E" w:rsidRDefault="00EE5BB8" w:rsidP="000C0740">
            <w:pPr>
              <w:pStyle w:val="Tabletotal"/>
              <w:jc w:val="right"/>
            </w:pPr>
            <w:r w:rsidRPr="00C6052E">
              <w:t>63,217</w:t>
            </w:r>
          </w:p>
        </w:tc>
      </w:tr>
      <w:tr w:rsidR="000C0740" w:rsidRPr="00C6052E" w14:paraId="7C227EC0" w14:textId="77777777" w:rsidTr="00F37263">
        <w:tc>
          <w:tcPr>
            <w:tcW w:w="6379" w:type="dxa"/>
          </w:tcPr>
          <w:p w14:paraId="4F5C5EC4" w14:textId="44FA5335" w:rsidR="000C0740" w:rsidRPr="00C6052E" w:rsidRDefault="000C0740" w:rsidP="00F37263">
            <w:pPr>
              <w:pStyle w:val="TableHeading"/>
            </w:pPr>
            <w:r w:rsidRPr="00C6052E">
              <w:t>Non-current provisions</w:t>
            </w:r>
          </w:p>
        </w:tc>
        <w:tc>
          <w:tcPr>
            <w:tcW w:w="1674" w:type="dxa"/>
            <w:noWrap/>
          </w:tcPr>
          <w:p w14:paraId="25AC51DB" w14:textId="77777777" w:rsidR="000C0740" w:rsidRPr="00C6052E" w:rsidRDefault="000C0740" w:rsidP="000C0740">
            <w:pPr>
              <w:pStyle w:val="TableHeading"/>
              <w:jc w:val="right"/>
            </w:pPr>
          </w:p>
        </w:tc>
        <w:tc>
          <w:tcPr>
            <w:tcW w:w="1678" w:type="dxa"/>
            <w:noWrap/>
          </w:tcPr>
          <w:p w14:paraId="5ECD116D" w14:textId="77777777" w:rsidR="000C0740" w:rsidRPr="00C6052E" w:rsidRDefault="000C0740" w:rsidP="000C0740">
            <w:pPr>
              <w:pStyle w:val="TableHeading"/>
              <w:jc w:val="right"/>
            </w:pPr>
          </w:p>
        </w:tc>
      </w:tr>
      <w:tr w:rsidR="00EE5BB8" w:rsidRPr="00C6052E" w14:paraId="172E2034" w14:textId="77777777" w:rsidTr="000C0740">
        <w:tc>
          <w:tcPr>
            <w:tcW w:w="6379" w:type="dxa"/>
            <w:hideMark/>
          </w:tcPr>
          <w:p w14:paraId="2858D4D9" w14:textId="67450D8C" w:rsidR="00EE5BB8" w:rsidRPr="00C6052E" w:rsidRDefault="00EE5BB8" w:rsidP="0063097D">
            <w:pPr>
              <w:pStyle w:val="TableCopy"/>
            </w:pPr>
            <w:r w:rsidRPr="00C6052E">
              <w:t>Employee</w:t>
            </w:r>
            <w:r w:rsidR="00177848" w:rsidRPr="00C6052E">
              <w:t xml:space="preserve"> </w:t>
            </w:r>
            <w:r w:rsidRPr="00C6052E">
              <w:t>benefits</w:t>
            </w:r>
            <w:r w:rsidR="00177848" w:rsidRPr="00C6052E">
              <w:t xml:space="preserve"> </w:t>
            </w:r>
            <w:r w:rsidRPr="00C6052E">
              <w:t>–</w:t>
            </w:r>
            <w:r w:rsidR="00177848" w:rsidRPr="00C6052E">
              <w:t xml:space="preserve"> </w:t>
            </w:r>
            <w:r w:rsidRPr="00C6052E">
              <w:t>long</w:t>
            </w:r>
            <w:r w:rsidR="00177848" w:rsidRPr="00C6052E">
              <w:t xml:space="preserve"> </w:t>
            </w:r>
            <w:r w:rsidRPr="00C6052E">
              <w:t>service</w:t>
            </w:r>
            <w:r w:rsidR="00177848" w:rsidRPr="00C6052E">
              <w:t xml:space="preserve"> </w:t>
            </w:r>
            <w:r w:rsidRPr="00C6052E">
              <w:t>leave</w:t>
            </w:r>
            <w:r w:rsidR="00177848" w:rsidRPr="00C6052E">
              <w:t xml:space="preserve"> </w:t>
            </w:r>
          </w:p>
        </w:tc>
        <w:tc>
          <w:tcPr>
            <w:tcW w:w="1674" w:type="dxa"/>
            <w:noWrap/>
            <w:hideMark/>
          </w:tcPr>
          <w:p w14:paraId="72EA5BA0" w14:textId="77777777" w:rsidR="00EE5BB8" w:rsidRPr="00C6052E" w:rsidRDefault="00EE5BB8" w:rsidP="000C0740">
            <w:pPr>
              <w:pStyle w:val="TableCopy"/>
              <w:jc w:val="right"/>
            </w:pPr>
            <w:r w:rsidRPr="00C6052E">
              <w:t>9,043</w:t>
            </w:r>
          </w:p>
        </w:tc>
        <w:tc>
          <w:tcPr>
            <w:tcW w:w="1678" w:type="dxa"/>
            <w:noWrap/>
            <w:hideMark/>
          </w:tcPr>
          <w:p w14:paraId="23C9FE51" w14:textId="77777777" w:rsidR="00EE5BB8" w:rsidRPr="00C6052E" w:rsidRDefault="00EE5BB8" w:rsidP="000C0740">
            <w:pPr>
              <w:pStyle w:val="TableCopy"/>
              <w:jc w:val="right"/>
            </w:pPr>
            <w:r w:rsidRPr="00C6052E">
              <w:t>9,316</w:t>
            </w:r>
          </w:p>
        </w:tc>
      </w:tr>
      <w:tr w:rsidR="00EE5BB8" w:rsidRPr="00C6052E" w14:paraId="769FDC85" w14:textId="77777777" w:rsidTr="000C0740">
        <w:tc>
          <w:tcPr>
            <w:tcW w:w="6379" w:type="dxa"/>
            <w:hideMark/>
          </w:tcPr>
          <w:p w14:paraId="5F9615E6" w14:textId="1617A5A5" w:rsidR="00EE5BB8" w:rsidRPr="00C6052E" w:rsidRDefault="00EE5BB8" w:rsidP="0063097D">
            <w:pPr>
              <w:pStyle w:val="TableCopy"/>
            </w:pPr>
            <w:r w:rsidRPr="00C6052E">
              <w:t>Provisions</w:t>
            </w:r>
            <w:r w:rsidR="00177848" w:rsidRPr="00C6052E">
              <w:t xml:space="preserve"> </w:t>
            </w:r>
            <w:r w:rsidRPr="00C6052E">
              <w:t>for</w:t>
            </w:r>
            <w:r w:rsidR="00177848" w:rsidRPr="00C6052E">
              <w:t xml:space="preserve"> </w:t>
            </w:r>
            <w:r w:rsidRPr="00C6052E">
              <w:t>on-costs</w:t>
            </w:r>
            <w:r w:rsidR="00177848" w:rsidRPr="00C6052E">
              <w:t xml:space="preserve"> </w:t>
            </w:r>
          </w:p>
        </w:tc>
        <w:tc>
          <w:tcPr>
            <w:tcW w:w="1674" w:type="dxa"/>
            <w:noWrap/>
            <w:hideMark/>
          </w:tcPr>
          <w:p w14:paraId="1BD2FC70" w14:textId="77777777" w:rsidR="00EE5BB8" w:rsidRPr="00C6052E" w:rsidRDefault="00EE5BB8" w:rsidP="000C0740">
            <w:pPr>
              <w:pStyle w:val="TableCopy"/>
              <w:jc w:val="right"/>
            </w:pPr>
            <w:r w:rsidRPr="00C6052E">
              <w:t>1,774</w:t>
            </w:r>
          </w:p>
        </w:tc>
        <w:tc>
          <w:tcPr>
            <w:tcW w:w="1678" w:type="dxa"/>
            <w:noWrap/>
            <w:hideMark/>
          </w:tcPr>
          <w:p w14:paraId="082B0D0A" w14:textId="77777777" w:rsidR="00EE5BB8" w:rsidRPr="00C6052E" w:rsidRDefault="00EE5BB8" w:rsidP="000C0740">
            <w:pPr>
              <w:pStyle w:val="TableCopy"/>
              <w:jc w:val="right"/>
            </w:pPr>
            <w:r w:rsidRPr="00C6052E">
              <w:t>1,804</w:t>
            </w:r>
          </w:p>
        </w:tc>
      </w:tr>
      <w:tr w:rsidR="00EE5BB8" w:rsidRPr="00C6052E" w14:paraId="7C440C74" w14:textId="77777777" w:rsidTr="000C0740">
        <w:tc>
          <w:tcPr>
            <w:tcW w:w="6379" w:type="dxa"/>
            <w:hideMark/>
          </w:tcPr>
          <w:p w14:paraId="6DDBDABE" w14:textId="0F0D1702" w:rsidR="00EE5BB8" w:rsidRPr="00C6052E" w:rsidRDefault="00EE5BB8" w:rsidP="0063097D">
            <w:pPr>
              <w:pStyle w:val="Tabletotal"/>
            </w:pPr>
            <w:r w:rsidRPr="00C6052E">
              <w:t>Total</w:t>
            </w:r>
            <w:r w:rsidR="00177848" w:rsidRPr="00C6052E">
              <w:t xml:space="preserve"> </w:t>
            </w:r>
            <w:r w:rsidRPr="00C6052E">
              <w:t>non-current</w:t>
            </w:r>
            <w:r w:rsidR="00177848" w:rsidRPr="00C6052E">
              <w:t xml:space="preserve"> </w:t>
            </w:r>
            <w:r w:rsidRPr="00C6052E">
              <w:t>provisions</w:t>
            </w:r>
            <w:r w:rsidR="00177848" w:rsidRPr="00C6052E">
              <w:t xml:space="preserve"> </w:t>
            </w:r>
          </w:p>
        </w:tc>
        <w:tc>
          <w:tcPr>
            <w:tcW w:w="1674" w:type="dxa"/>
            <w:noWrap/>
            <w:hideMark/>
          </w:tcPr>
          <w:p w14:paraId="266391C1" w14:textId="77777777" w:rsidR="00EE5BB8" w:rsidRPr="00C6052E" w:rsidRDefault="00EE5BB8" w:rsidP="000C0740">
            <w:pPr>
              <w:pStyle w:val="Tabletotal"/>
              <w:jc w:val="right"/>
            </w:pPr>
            <w:r w:rsidRPr="00C6052E">
              <w:t>10,817</w:t>
            </w:r>
          </w:p>
        </w:tc>
        <w:tc>
          <w:tcPr>
            <w:tcW w:w="1678" w:type="dxa"/>
            <w:noWrap/>
            <w:hideMark/>
          </w:tcPr>
          <w:p w14:paraId="54DB4DC9" w14:textId="77777777" w:rsidR="00EE5BB8" w:rsidRPr="00C6052E" w:rsidRDefault="00EE5BB8" w:rsidP="000C0740">
            <w:pPr>
              <w:pStyle w:val="Tabletotal"/>
              <w:jc w:val="right"/>
            </w:pPr>
            <w:r w:rsidRPr="00C6052E">
              <w:t>11,120</w:t>
            </w:r>
          </w:p>
        </w:tc>
      </w:tr>
      <w:tr w:rsidR="00EE5BB8" w:rsidRPr="00C6052E" w14:paraId="52ED5931" w14:textId="77777777" w:rsidTr="000C0740">
        <w:tc>
          <w:tcPr>
            <w:tcW w:w="6379" w:type="dxa"/>
            <w:hideMark/>
          </w:tcPr>
          <w:p w14:paraId="599EC8AF" w14:textId="7027EC5F" w:rsidR="00EE5BB8" w:rsidRPr="00C6052E" w:rsidRDefault="00EE5BB8" w:rsidP="0063097D">
            <w:pPr>
              <w:pStyle w:val="Tabletotal"/>
            </w:pPr>
            <w:r w:rsidRPr="00C6052E">
              <w:t>Total</w:t>
            </w:r>
            <w:r w:rsidR="00177848" w:rsidRPr="00C6052E">
              <w:t xml:space="preserve"> </w:t>
            </w:r>
            <w:r w:rsidRPr="00C6052E">
              <w:t>provisions</w:t>
            </w:r>
            <w:r w:rsidR="00177848" w:rsidRPr="00C6052E">
              <w:t xml:space="preserve"> </w:t>
            </w:r>
            <w:r w:rsidRPr="00C6052E">
              <w:t>for</w:t>
            </w:r>
            <w:r w:rsidR="00177848" w:rsidRPr="00C6052E">
              <w:t xml:space="preserve"> </w:t>
            </w:r>
            <w:r w:rsidRPr="00C6052E">
              <w:t>employee</w:t>
            </w:r>
            <w:r w:rsidR="00177848" w:rsidRPr="00C6052E">
              <w:t xml:space="preserve"> </w:t>
            </w:r>
            <w:r w:rsidRPr="00C6052E">
              <w:t>benefits</w:t>
            </w:r>
          </w:p>
        </w:tc>
        <w:tc>
          <w:tcPr>
            <w:tcW w:w="1674" w:type="dxa"/>
            <w:noWrap/>
            <w:hideMark/>
          </w:tcPr>
          <w:p w14:paraId="3B85B5DF" w14:textId="77777777" w:rsidR="00EE5BB8" w:rsidRPr="00C6052E" w:rsidRDefault="00EE5BB8" w:rsidP="000C0740">
            <w:pPr>
              <w:pStyle w:val="Tabletotal"/>
              <w:jc w:val="right"/>
            </w:pPr>
            <w:r w:rsidRPr="00C6052E">
              <w:t>78,935</w:t>
            </w:r>
          </w:p>
        </w:tc>
        <w:tc>
          <w:tcPr>
            <w:tcW w:w="1678" w:type="dxa"/>
            <w:noWrap/>
            <w:hideMark/>
          </w:tcPr>
          <w:p w14:paraId="139EECC1" w14:textId="77777777" w:rsidR="00EE5BB8" w:rsidRPr="00C6052E" w:rsidRDefault="00EE5BB8" w:rsidP="000C0740">
            <w:pPr>
              <w:pStyle w:val="Tabletotal"/>
              <w:jc w:val="right"/>
            </w:pPr>
            <w:r w:rsidRPr="00C6052E">
              <w:t>74,337</w:t>
            </w:r>
          </w:p>
        </w:tc>
      </w:tr>
    </w:tbl>
    <w:p w14:paraId="768385AA" w14:textId="77777777" w:rsidR="00EE5BB8" w:rsidRPr="00C6052E" w:rsidRDefault="00EE5BB8" w:rsidP="00EE5BB8"/>
    <w:p w14:paraId="2EABB4EF" w14:textId="1806546C" w:rsidR="00EE5BB8" w:rsidRPr="00C6052E" w:rsidRDefault="00EE5BB8" w:rsidP="00EE5BB8">
      <w:r w:rsidRPr="00C6052E">
        <w:t>Wages</w:t>
      </w:r>
      <w:r w:rsidR="00177848" w:rsidRPr="00C6052E">
        <w:t xml:space="preserve"> </w:t>
      </w:r>
      <w:r w:rsidRPr="00C6052E">
        <w:t>and</w:t>
      </w:r>
      <w:r w:rsidR="00177848" w:rsidRPr="00C6052E">
        <w:t xml:space="preserve"> </w:t>
      </w:r>
      <w:r w:rsidRPr="00C6052E">
        <w:t>salaries,</w:t>
      </w:r>
      <w:r w:rsidR="00177848" w:rsidRPr="00C6052E">
        <w:t xml:space="preserve"> </w:t>
      </w:r>
      <w:r w:rsidRPr="00C6052E">
        <w:t>annual</w:t>
      </w:r>
      <w:r w:rsidR="00177848" w:rsidRPr="00C6052E">
        <w:t xml:space="preserve"> </w:t>
      </w:r>
      <w:r w:rsidRPr="00C6052E">
        <w:t>leave,</w:t>
      </w:r>
      <w:r w:rsidR="00177848" w:rsidRPr="00C6052E">
        <w:t xml:space="preserve"> </w:t>
      </w:r>
      <w:r w:rsidRPr="00C6052E">
        <w:t>and</w:t>
      </w:r>
      <w:r w:rsidR="00177848" w:rsidRPr="00C6052E">
        <w:t xml:space="preserve"> </w:t>
      </w:r>
      <w:r w:rsidRPr="00C6052E">
        <w:t>sick</w:t>
      </w:r>
      <w:r w:rsidR="00177848" w:rsidRPr="00C6052E">
        <w:t xml:space="preserve"> </w:t>
      </w:r>
      <w:r w:rsidRPr="00C6052E">
        <w:t>leave:</w:t>
      </w:r>
      <w:r w:rsidR="00177848" w:rsidRPr="00C6052E">
        <w:t xml:space="preserve"> </w:t>
      </w:r>
      <w:r w:rsidRPr="00C6052E">
        <w:t>Liabilities</w:t>
      </w:r>
      <w:r w:rsidR="00177848" w:rsidRPr="00C6052E">
        <w:t xml:space="preserve"> </w:t>
      </w:r>
      <w:r w:rsidRPr="00C6052E">
        <w:t>for</w:t>
      </w:r>
      <w:r w:rsidR="00177848" w:rsidRPr="00C6052E">
        <w:t xml:space="preserve"> </w:t>
      </w:r>
      <w:r w:rsidRPr="00C6052E">
        <w:t>wages</w:t>
      </w:r>
      <w:r w:rsidR="00177848" w:rsidRPr="00C6052E">
        <w:t xml:space="preserve"> </w:t>
      </w:r>
      <w:r w:rsidRPr="00C6052E">
        <w:t>and</w:t>
      </w:r>
      <w:r w:rsidR="00177848" w:rsidRPr="00C6052E">
        <w:t xml:space="preserve"> </w:t>
      </w:r>
      <w:r w:rsidRPr="00C6052E">
        <w:t>salaries</w:t>
      </w:r>
      <w:r w:rsidR="00177848" w:rsidRPr="00C6052E">
        <w:t xml:space="preserve"> </w:t>
      </w:r>
      <w:r w:rsidRPr="00C6052E">
        <w:t>(including</w:t>
      </w:r>
      <w:r w:rsidR="00177848" w:rsidRPr="00C6052E">
        <w:t xml:space="preserve"> </w:t>
      </w:r>
      <w:r w:rsidRPr="00C6052E">
        <w:t>non-monetary</w:t>
      </w:r>
      <w:r w:rsidR="00177848" w:rsidRPr="00C6052E">
        <w:t xml:space="preserve"> </w:t>
      </w:r>
      <w:r w:rsidRPr="00C6052E">
        <w:t>benefits,</w:t>
      </w:r>
      <w:r w:rsidR="00177848" w:rsidRPr="00C6052E">
        <w:t xml:space="preserve"> </w:t>
      </w:r>
      <w:r w:rsidRPr="00C6052E">
        <w:t>annual</w:t>
      </w:r>
      <w:r w:rsidR="00177848" w:rsidRPr="00C6052E">
        <w:t xml:space="preserve"> </w:t>
      </w:r>
      <w:r w:rsidRPr="00C6052E">
        <w:t>leave</w:t>
      </w:r>
      <w:r w:rsidR="00177848" w:rsidRPr="00C6052E">
        <w:t xml:space="preserve"> </w:t>
      </w:r>
      <w:r w:rsidRPr="00C6052E">
        <w:t>and</w:t>
      </w:r>
      <w:r w:rsidR="00177848" w:rsidRPr="00C6052E">
        <w:t xml:space="preserve"> </w:t>
      </w:r>
      <w:r w:rsidRPr="00C6052E">
        <w:t>on-costs)</w:t>
      </w:r>
      <w:r w:rsidR="00177848" w:rsidRPr="00C6052E">
        <w:t xml:space="preserve"> </w:t>
      </w:r>
      <w:r w:rsidRPr="00C6052E">
        <w:t>are</w:t>
      </w:r>
      <w:r w:rsidR="00177848" w:rsidRPr="00C6052E">
        <w:t xml:space="preserve"> </w:t>
      </w:r>
      <w:r w:rsidRPr="00C6052E">
        <w:t>recognised</w:t>
      </w:r>
      <w:r w:rsidR="00177848" w:rsidRPr="00C6052E">
        <w:t xml:space="preserve"> </w:t>
      </w:r>
      <w:r w:rsidRPr="00C6052E">
        <w:t>as</w:t>
      </w:r>
      <w:r w:rsidR="00177848" w:rsidRPr="00C6052E">
        <w:t xml:space="preserve"> </w:t>
      </w:r>
      <w:r w:rsidRPr="00C6052E">
        <w:t>part</w:t>
      </w:r>
      <w:r w:rsidR="00177848" w:rsidRPr="00C6052E">
        <w:t xml:space="preserve"> </w:t>
      </w:r>
      <w:r w:rsidRPr="00C6052E">
        <w:t>of</w:t>
      </w:r>
      <w:r w:rsidR="00177848" w:rsidRPr="00C6052E">
        <w:t xml:space="preserve"> </w:t>
      </w:r>
      <w:r w:rsidRPr="00C6052E">
        <w:t>the</w:t>
      </w:r>
      <w:r w:rsidR="00177848" w:rsidRPr="00C6052E">
        <w:t xml:space="preserve"> </w:t>
      </w:r>
      <w:r w:rsidRPr="00C6052E">
        <w:t>employee</w:t>
      </w:r>
      <w:r w:rsidR="00177848" w:rsidRPr="00C6052E">
        <w:t xml:space="preserve"> </w:t>
      </w:r>
      <w:r w:rsidRPr="00C6052E">
        <w:t>benefit</w:t>
      </w:r>
      <w:r w:rsidR="00177848" w:rsidRPr="00C6052E">
        <w:t xml:space="preserve"> </w:t>
      </w:r>
      <w:r w:rsidRPr="00C6052E">
        <w:t>provision</w:t>
      </w:r>
      <w:r w:rsidR="00177848" w:rsidRPr="00C6052E">
        <w:t xml:space="preserve"> </w:t>
      </w:r>
      <w:r w:rsidRPr="00C6052E">
        <w:t>as</w:t>
      </w:r>
      <w:r w:rsidR="00177848" w:rsidRPr="00C6052E">
        <w:t xml:space="preserve"> </w:t>
      </w:r>
      <w:r w:rsidRPr="00C6052E">
        <w:t>current</w:t>
      </w:r>
      <w:r w:rsidR="00177848" w:rsidRPr="00C6052E">
        <w:t xml:space="preserve"> </w:t>
      </w:r>
      <w:r w:rsidRPr="00C6052E">
        <w:t>liabilities,</w:t>
      </w:r>
      <w:r w:rsidR="00177848" w:rsidRPr="00C6052E">
        <w:t xml:space="preserve"> </w:t>
      </w:r>
      <w:r w:rsidRPr="00C6052E">
        <w:t>because</w:t>
      </w:r>
      <w:r w:rsidR="00177848" w:rsidRPr="00C6052E">
        <w:t xml:space="preserve"> </w:t>
      </w:r>
      <w:r w:rsidRPr="00C6052E">
        <w:t>DJSIR</w:t>
      </w:r>
      <w:r w:rsidR="00177848" w:rsidRPr="00C6052E">
        <w:t xml:space="preserve"> </w:t>
      </w:r>
      <w:r w:rsidRPr="00C6052E">
        <w:t>does</w:t>
      </w:r>
      <w:r w:rsidR="00177848" w:rsidRPr="00C6052E">
        <w:t xml:space="preserve"> </w:t>
      </w:r>
      <w:r w:rsidRPr="00C6052E">
        <w:t>not</w:t>
      </w:r>
      <w:r w:rsidR="00177848" w:rsidRPr="00C6052E">
        <w:t xml:space="preserve"> </w:t>
      </w:r>
      <w:r w:rsidRPr="00C6052E">
        <w:t>have</w:t>
      </w:r>
      <w:r w:rsidR="00177848" w:rsidRPr="00C6052E">
        <w:t xml:space="preserve"> </w:t>
      </w:r>
      <w:r w:rsidRPr="00C6052E">
        <w:t>an</w:t>
      </w:r>
      <w:r w:rsidR="00177848" w:rsidRPr="00C6052E">
        <w:t xml:space="preserve"> </w:t>
      </w:r>
      <w:r w:rsidRPr="00C6052E">
        <w:t>unconditional</w:t>
      </w:r>
      <w:r w:rsidR="00177848" w:rsidRPr="00C6052E">
        <w:t xml:space="preserve"> </w:t>
      </w:r>
      <w:r w:rsidRPr="00C6052E">
        <w:t>right</w:t>
      </w:r>
      <w:r w:rsidR="00177848" w:rsidRPr="00C6052E">
        <w:t xml:space="preserve"> </w:t>
      </w:r>
      <w:r w:rsidRPr="00C6052E">
        <w:t>to</w:t>
      </w:r>
      <w:r w:rsidR="00177848" w:rsidRPr="00C6052E">
        <w:t xml:space="preserve"> </w:t>
      </w:r>
      <w:r w:rsidRPr="00C6052E">
        <w:t>defer</w:t>
      </w:r>
      <w:r w:rsidR="00177848" w:rsidRPr="00C6052E">
        <w:t xml:space="preserve"> </w:t>
      </w:r>
      <w:r w:rsidRPr="00C6052E">
        <w:t>settlements</w:t>
      </w:r>
      <w:r w:rsidR="00177848" w:rsidRPr="00C6052E">
        <w:t xml:space="preserve"> </w:t>
      </w:r>
      <w:r w:rsidRPr="00C6052E">
        <w:t>of</w:t>
      </w:r>
      <w:r w:rsidR="00177848" w:rsidRPr="00C6052E">
        <w:t xml:space="preserve"> </w:t>
      </w:r>
      <w:r w:rsidRPr="00C6052E">
        <w:t>these</w:t>
      </w:r>
      <w:r w:rsidR="00177848" w:rsidRPr="00C6052E">
        <w:t xml:space="preserve"> </w:t>
      </w:r>
      <w:r w:rsidRPr="00C6052E">
        <w:t>liabilities.</w:t>
      </w:r>
    </w:p>
    <w:p w14:paraId="0C48F724" w14:textId="1518E0F1" w:rsidR="00EE5BB8" w:rsidRPr="00C6052E" w:rsidRDefault="00EE5BB8" w:rsidP="00EE5BB8">
      <w:r w:rsidRPr="00C6052E">
        <w:t>The</w:t>
      </w:r>
      <w:r w:rsidR="00177848" w:rsidRPr="00C6052E">
        <w:t xml:space="preserve"> </w:t>
      </w:r>
      <w:r w:rsidRPr="00C6052E">
        <w:t>liability</w:t>
      </w:r>
      <w:r w:rsidR="00177848" w:rsidRPr="00C6052E">
        <w:t xml:space="preserve"> </w:t>
      </w:r>
      <w:r w:rsidRPr="00C6052E">
        <w:t>for</w:t>
      </w:r>
      <w:r w:rsidR="00177848" w:rsidRPr="00C6052E">
        <w:t xml:space="preserve"> </w:t>
      </w:r>
      <w:r w:rsidRPr="00C6052E">
        <w:t>salaries</w:t>
      </w:r>
      <w:r w:rsidR="00177848" w:rsidRPr="00C6052E">
        <w:t xml:space="preserve"> </w:t>
      </w:r>
      <w:r w:rsidRPr="00C6052E">
        <w:t>and</w:t>
      </w:r>
      <w:r w:rsidR="00177848" w:rsidRPr="00C6052E">
        <w:t xml:space="preserve"> </w:t>
      </w:r>
      <w:r w:rsidRPr="00C6052E">
        <w:t>wages</w:t>
      </w:r>
      <w:r w:rsidR="00177848" w:rsidRPr="00C6052E">
        <w:t xml:space="preserve"> </w:t>
      </w:r>
      <w:r w:rsidRPr="00C6052E">
        <w:t>are</w:t>
      </w:r>
      <w:r w:rsidR="00177848" w:rsidRPr="00C6052E">
        <w:t xml:space="preserve"> </w:t>
      </w:r>
      <w:r w:rsidRPr="00C6052E">
        <w:t>recognised</w:t>
      </w:r>
      <w:r w:rsidR="00177848" w:rsidRPr="00C6052E">
        <w:t xml:space="preserve"> </w:t>
      </w:r>
      <w:r w:rsidRPr="00C6052E">
        <w:t>in</w:t>
      </w:r>
      <w:r w:rsidR="00177848" w:rsidRPr="00C6052E">
        <w:t xml:space="preserve"> </w:t>
      </w:r>
      <w:r w:rsidRPr="00C6052E">
        <w:t>the</w:t>
      </w:r>
      <w:r w:rsidR="00177848" w:rsidRPr="00C6052E">
        <w:t xml:space="preserve"> </w:t>
      </w:r>
      <w:r w:rsidRPr="00C6052E">
        <w:t>balance</w:t>
      </w:r>
      <w:r w:rsidR="00177848" w:rsidRPr="00C6052E">
        <w:t xml:space="preserve"> </w:t>
      </w:r>
      <w:r w:rsidRPr="00C6052E">
        <w:t>sheet</w:t>
      </w:r>
      <w:r w:rsidR="00177848" w:rsidRPr="00C6052E">
        <w:t xml:space="preserve"> </w:t>
      </w:r>
      <w:r w:rsidRPr="00C6052E">
        <w:t>at</w:t>
      </w:r>
      <w:r w:rsidR="00177848" w:rsidRPr="00C6052E">
        <w:t xml:space="preserve"> </w:t>
      </w:r>
      <w:r w:rsidRPr="00C6052E">
        <w:t>remuneration</w:t>
      </w:r>
      <w:r w:rsidR="00177848" w:rsidRPr="00C6052E">
        <w:t xml:space="preserve"> </w:t>
      </w:r>
      <w:r w:rsidRPr="00C6052E">
        <w:t>rates</w:t>
      </w:r>
      <w:r w:rsidR="00177848" w:rsidRPr="00C6052E">
        <w:t xml:space="preserve"> </w:t>
      </w:r>
      <w:r w:rsidRPr="00C6052E">
        <w:t>which</w:t>
      </w:r>
      <w:r w:rsidR="00177848" w:rsidRPr="00C6052E">
        <w:t xml:space="preserve"> </w:t>
      </w:r>
      <w:r w:rsidRPr="00C6052E">
        <w:t>are</w:t>
      </w:r>
      <w:r w:rsidR="00177848" w:rsidRPr="00C6052E">
        <w:t xml:space="preserve"> </w:t>
      </w:r>
      <w:r w:rsidRPr="00C6052E">
        <w:t>current</w:t>
      </w:r>
      <w:r w:rsidR="00177848" w:rsidRPr="00C6052E">
        <w:t xml:space="preserve"> </w:t>
      </w:r>
      <w:r w:rsidRPr="00C6052E">
        <w:t>at</w:t>
      </w:r>
      <w:r w:rsidR="00177848" w:rsidRPr="00C6052E">
        <w:t xml:space="preserve"> </w:t>
      </w:r>
      <w:r w:rsidRPr="00C6052E">
        <w:t>the</w:t>
      </w:r>
      <w:r w:rsidR="00177848" w:rsidRPr="00C6052E">
        <w:t xml:space="preserve"> </w:t>
      </w:r>
      <w:r w:rsidRPr="00C6052E">
        <w:t>reporting</w:t>
      </w:r>
      <w:r w:rsidR="00177848" w:rsidRPr="00C6052E">
        <w:t xml:space="preserve"> </w:t>
      </w:r>
      <w:r w:rsidRPr="00C6052E">
        <w:t>date.</w:t>
      </w:r>
      <w:r w:rsidR="00177848" w:rsidRPr="00C6052E">
        <w:t xml:space="preserve"> </w:t>
      </w:r>
      <w:r w:rsidRPr="00C6052E">
        <w:t>As</w:t>
      </w:r>
      <w:r w:rsidR="00177848" w:rsidRPr="00C6052E">
        <w:t xml:space="preserve"> </w:t>
      </w:r>
      <w:r w:rsidRPr="00C6052E">
        <w:t>DJSIR</w:t>
      </w:r>
      <w:r w:rsidR="00177848" w:rsidRPr="00C6052E">
        <w:t xml:space="preserve"> </w:t>
      </w:r>
      <w:r w:rsidRPr="00C6052E">
        <w:t>expects</w:t>
      </w:r>
      <w:r w:rsidR="00177848" w:rsidRPr="00C6052E">
        <w:t xml:space="preserve"> </w:t>
      </w:r>
      <w:r w:rsidRPr="00C6052E">
        <w:t>the</w:t>
      </w:r>
      <w:r w:rsidR="00177848" w:rsidRPr="00C6052E">
        <w:t xml:space="preserve"> </w:t>
      </w:r>
      <w:r w:rsidRPr="00C6052E">
        <w:t>liabilities</w:t>
      </w:r>
      <w:r w:rsidR="00177848" w:rsidRPr="00C6052E">
        <w:t xml:space="preserve"> </w:t>
      </w:r>
      <w:r w:rsidRPr="00C6052E">
        <w:t>to</w:t>
      </w:r>
      <w:r w:rsidR="00177848" w:rsidRPr="00C6052E">
        <w:t xml:space="preserve"> </w:t>
      </w:r>
      <w:r w:rsidRPr="00C6052E">
        <w:t>be</w:t>
      </w:r>
      <w:r w:rsidR="00177848" w:rsidRPr="00C6052E">
        <w:t xml:space="preserve"> </w:t>
      </w:r>
      <w:r w:rsidRPr="00C6052E">
        <w:t>wholly</w:t>
      </w:r>
      <w:r w:rsidR="00177848" w:rsidRPr="00C6052E">
        <w:t xml:space="preserve"> </w:t>
      </w:r>
      <w:r w:rsidRPr="00C6052E">
        <w:t>settled</w:t>
      </w:r>
      <w:r w:rsidR="00177848" w:rsidRPr="00C6052E">
        <w:t xml:space="preserve"> </w:t>
      </w:r>
      <w:r w:rsidRPr="00C6052E">
        <w:t>within</w:t>
      </w:r>
      <w:r w:rsidR="00177848" w:rsidRPr="00C6052E">
        <w:t xml:space="preserve"> </w:t>
      </w:r>
      <w:r w:rsidRPr="00C6052E">
        <w:t>12</w:t>
      </w:r>
      <w:r w:rsidR="00177848" w:rsidRPr="00C6052E">
        <w:t xml:space="preserve"> </w:t>
      </w:r>
      <w:r w:rsidRPr="00C6052E">
        <w:t>months</w:t>
      </w:r>
      <w:r w:rsidR="00177848" w:rsidRPr="00C6052E">
        <w:t xml:space="preserve"> </w:t>
      </w:r>
      <w:r w:rsidRPr="00C6052E">
        <w:t>of</w:t>
      </w:r>
      <w:r w:rsidR="00177848" w:rsidRPr="00C6052E">
        <w:t xml:space="preserve"> </w:t>
      </w:r>
      <w:r w:rsidRPr="00C6052E">
        <w:t>reporting</w:t>
      </w:r>
      <w:r w:rsidR="00177848" w:rsidRPr="00C6052E">
        <w:t xml:space="preserve"> </w:t>
      </w:r>
      <w:r w:rsidRPr="00C6052E">
        <w:t>date,</w:t>
      </w:r>
      <w:r w:rsidR="00177848" w:rsidRPr="00C6052E">
        <w:t xml:space="preserve"> </w:t>
      </w:r>
      <w:r w:rsidRPr="00C6052E">
        <w:t>they</w:t>
      </w:r>
      <w:r w:rsidR="00177848" w:rsidRPr="00C6052E">
        <w:t xml:space="preserve"> </w:t>
      </w:r>
      <w:r w:rsidRPr="00C6052E">
        <w:t>are</w:t>
      </w:r>
      <w:r w:rsidR="00177848" w:rsidRPr="00C6052E">
        <w:t xml:space="preserve"> </w:t>
      </w:r>
      <w:r w:rsidRPr="00C6052E">
        <w:t>measured</w:t>
      </w:r>
      <w:r w:rsidR="00177848" w:rsidRPr="00C6052E">
        <w:t xml:space="preserve"> </w:t>
      </w:r>
      <w:r w:rsidRPr="00C6052E">
        <w:t>at</w:t>
      </w:r>
      <w:r w:rsidR="00177848" w:rsidRPr="00C6052E">
        <w:t xml:space="preserve"> </w:t>
      </w:r>
      <w:r w:rsidRPr="00C6052E">
        <w:t>undiscounted</w:t>
      </w:r>
      <w:r w:rsidR="00177848" w:rsidRPr="00C6052E">
        <w:t xml:space="preserve"> </w:t>
      </w:r>
      <w:r w:rsidRPr="00C6052E">
        <w:t>amounts.</w:t>
      </w:r>
    </w:p>
    <w:p w14:paraId="663DCA09" w14:textId="1D551722" w:rsidR="00EE5BB8" w:rsidRPr="00C6052E" w:rsidRDefault="00EE5BB8" w:rsidP="00EE5BB8">
      <w:r w:rsidRPr="00C6052E">
        <w:t>The</w:t>
      </w:r>
      <w:r w:rsidR="00177848" w:rsidRPr="00C6052E">
        <w:t xml:space="preserve"> </w:t>
      </w:r>
      <w:r w:rsidRPr="00C6052E">
        <w:t>annual</w:t>
      </w:r>
      <w:r w:rsidR="00177848" w:rsidRPr="00C6052E">
        <w:t xml:space="preserve"> </w:t>
      </w:r>
      <w:r w:rsidRPr="00C6052E">
        <w:t>leave</w:t>
      </w:r>
      <w:r w:rsidR="00177848" w:rsidRPr="00C6052E">
        <w:t xml:space="preserve"> </w:t>
      </w:r>
      <w:r w:rsidRPr="00C6052E">
        <w:t>liability</w:t>
      </w:r>
      <w:r w:rsidR="00177848" w:rsidRPr="00C6052E">
        <w:t xml:space="preserve"> </w:t>
      </w:r>
      <w:r w:rsidRPr="00C6052E">
        <w:t>is</w:t>
      </w:r>
      <w:r w:rsidR="00177848" w:rsidRPr="00C6052E">
        <w:t xml:space="preserve"> </w:t>
      </w:r>
      <w:r w:rsidRPr="00C6052E">
        <w:t>classified</w:t>
      </w:r>
      <w:r w:rsidR="00177848" w:rsidRPr="00C6052E">
        <w:t xml:space="preserve"> </w:t>
      </w:r>
      <w:r w:rsidRPr="00C6052E">
        <w:t>as</w:t>
      </w:r>
      <w:r w:rsidR="00177848" w:rsidRPr="00C6052E">
        <w:t xml:space="preserve"> </w:t>
      </w:r>
      <w:r w:rsidRPr="00C6052E">
        <w:t>a</w:t>
      </w:r>
      <w:r w:rsidR="00177848" w:rsidRPr="00C6052E">
        <w:t xml:space="preserve"> </w:t>
      </w:r>
      <w:r w:rsidRPr="00C6052E">
        <w:t>current</w:t>
      </w:r>
      <w:r w:rsidR="00177848" w:rsidRPr="00C6052E">
        <w:t xml:space="preserve"> </w:t>
      </w:r>
      <w:r w:rsidRPr="00C6052E">
        <w:t>liability</w:t>
      </w:r>
      <w:r w:rsidR="00177848" w:rsidRPr="00C6052E">
        <w:t xml:space="preserve"> </w:t>
      </w:r>
      <w:r w:rsidRPr="00C6052E">
        <w:t>and</w:t>
      </w:r>
      <w:r w:rsidR="00177848" w:rsidRPr="00C6052E">
        <w:t xml:space="preserve"> </w:t>
      </w:r>
      <w:r w:rsidRPr="00C6052E">
        <w:t>measured</w:t>
      </w:r>
      <w:r w:rsidR="00177848" w:rsidRPr="00C6052E">
        <w:t xml:space="preserve"> </w:t>
      </w:r>
      <w:r w:rsidRPr="00C6052E">
        <w:t>at</w:t>
      </w:r>
      <w:r w:rsidR="00177848" w:rsidRPr="00C6052E">
        <w:t xml:space="preserve"> </w:t>
      </w:r>
      <w:r w:rsidRPr="00C6052E">
        <w:t>the</w:t>
      </w:r>
      <w:r w:rsidR="00177848" w:rsidRPr="00C6052E">
        <w:t xml:space="preserve"> </w:t>
      </w:r>
      <w:r w:rsidRPr="00C6052E">
        <w:t>undiscounted</w:t>
      </w:r>
      <w:r w:rsidR="00177848" w:rsidRPr="00C6052E">
        <w:t xml:space="preserve"> </w:t>
      </w:r>
      <w:r w:rsidRPr="00C6052E">
        <w:t>amount</w:t>
      </w:r>
      <w:r w:rsidR="00177848" w:rsidRPr="00C6052E">
        <w:t xml:space="preserve"> </w:t>
      </w:r>
      <w:r w:rsidRPr="00C6052E">
        <w:t>expected</w:t>
      </w:r>
      <w:r w:rsidR="00177848" w:rsidRPr="00C6052E">
        <w:t xml:space="preserve"> </w:t>
      </w:r>
      <w:r w:rsidRPr="00C6052E">
        <w:t>to</w:t>
      </w:r>
      <w:r w:rsidR="00177848" w:rsidRPr="00C6052E">
        <w:t xml:space="preserve"> </w:t>
      </w:r>
      <w:r w:rsidRPr="00C6052E">
        <w:t>be</w:t>
      </w:r>
      <w:r w:rsidR="00177848" w:rsidRPr="00C6052E">
        <w:t xml:space="preserve"> </w:t>
      </w:r>
      <w:r w:rsidRPr="00C6052E">
        <w:t>paid,</w:t>
      </w:r>
      <w:r w:rsidR="00177848" w:rsidRPr="00C6052E">
        <w:t xml:space="preserve"> </w:t>
      </w:r>
      <w:r w:rsidRPr="00C6052E">
        <w:t>as</w:t>
      </w:r>
      <w:r w:rsidR="00177848" w:rsidRPr="00C6052E">
        <w:t xml:space="preserve"> </w:t>
      </w:r>
      <w:r w:rsidRPr="00C6052E">
        <w:t>DJSIR</w:t>
      </w:r>
      <w:r w:rsidR="00177848" w:rsidRPr="00C6052E">
        <w:t xml:space="preserve"> </w:t>
      </w:r>
      <w:r w:rsidRPr="00C6052E">
        <w:t>does</w:t>
      </w:r>
      <w:r w:rsidR="00177848" w:rsidRPr="00C6052E">
        <w:t xml:space="preserve"> </w:t>
      </w:r>
      <w:r w:rsidRPr="00C6052E">
        <w:t>not</w:t>
      </w:r>
      <w:r w:rsidR="00177848" w:rsidRPr="00C6052E">
        <w:t xml:space="preserve"> </w:t>
      </w:r>
      <w:r w:rsidRPr="00C6052E">
        <w:t>have</w:t>
      </w:r>
      <w:r w:rsidR="00177848" w:rsidRPr="00C6052E">
        <w:t xml:space="preserve"> </w:t>
      </w:r>
      <w:r w:rsidRPr="00C6052E">
        <w:t>an</w:t>
      </w:r>
      <w:r w:rsidR="00177848" w:rsidRPr="00C6052E">
        <w:t xml:space="preserve"> </w:t>
      </w:r>
      <w:r w:rsidRPr="00C6052E">
        <w:t>unconditional</w:t>
      </w:r>
      <w:r w:rsidR="00177848" w:rsidRPr="00C6052E">
        <w:t xml:space="preserve"> </w:t>
      </w:r>
      <w:r w:rsidRPr="00C6052E">
        <w:t>right</w:t>
      </w:r>
      <w:r w:rsidR="00177848" w:rsidRPr="00C6052E">
        <w:t xml:space="preserve"> </w:t>
      </w:r>
      <w:r w:rsidRPr="00C6052E">
        <w:t>to</w:t>
      </w:r>
      <w:r w:rsidR="00177848" w:rsidRPr="00C6052E">
        <w:t xml:space="preserve"> </w:t>
      </w:r>
      <w:r w:rsidRPr="00C6052E">
        <w:t>defer</w:t>
      </w:r>
      <w:r w:rsidR="00177848" w:rsidRPr="00C6052E">
        <w:t xml:space="preserve"> </w:t>
      </w:r>
      <w:r w:rsidRPr="00C6052E">
        <w:t>settlement</w:t>
      </w:r>
      <w:r w:rsidR="00177848" w:rsidRPr="00C6052E">
        <w:t xml:space="preserve"> </w:t>
      </w:r>
      <w:r w:rsidRPr="00C6052E">
        <w:t>of</w:t>
      </w:r>
      <w:r w:rsidR="00177848" w:rsidRPr="00C6052E">
        <w:t xml:space="preserve"> </w:t>
      </w:r>
      <w:r w:rsidRPr="00C6052E">
        <w:t>the</w:t>
      </w:r>
      <w:r w:rsidR="00177848" w:rsidRPr="00C6052E">
        <w:t xml:space="preserve"> </w:t>
      </w:r>
      <w:r w:rsidRPr="00C6052E">
        <w:t>liability</w:t>
      </w:r>
      <w:r w:rsidR="00177848" w:rsidRPr="00C6052E">
        <w:t xml:space="preserve"> </w:t>
      </w:r>
      <w:r w:rsidRPr="00C6052E">
        <w:t>for</w:t>
      </w:r>
      <w:r w:rsidR="00177848" w:rsidRPr="00C6052E">
        <w:t xml:space="preserve"> </w:t>
      </w:r>
      <w:r w:rsidRPr="00C6052E">
        <w:t>at</w:t>
      </w:r>
      <w:r w:rsidR="00177848" w:rsidRPr="00C6052E">
        <w:t xml:space="preserve"> </w:t>
      </w:r>
      <w:r w:rsidRPr="00C6052E">
        <w:t>least</w:t>
      </w:r>
      <w:r w:rsidR="00177848" w:rsidRPr="00C6052E">
        <w:t xml:space="preserve"> </w:t>
      </w:r>
      <w:r w:rsidRPr="00C6052E">
        <w:t>12</w:t>
      </w:r>
      <w:r w:rsidR="00177848" w:rsidRPr="00C6052E">
        <w:t xml:space="preserve"> </w:t>
      </w:r>
      <w:r w:rsidRPr="00C6052E">
        <w:t>months</w:t>
      </w:r>
      <w:r w:rsidR="00177848" w:rsidRPr="00C6052E">
        <w:t xml:space="preserve"> </w:t>
      </w:r>
      <w:r w:rsidRPr="00C6052E">
        <w:t>after</w:t>
      </w:r>
      <w:r w:rsidR="00177848" w:rsidRPr="00C6052E">
        <w:t xml:space="preserve"> </w:t>
      </w:r>
      <w:r w:rsidRPr="00C6052E">
        <w:t>the</w:t>
      </w:r>
      <w:r w:rsidR="00177848" w:rsidRPr="00C6052E">
        <w:t xml:space="preserve"> </w:t>
      </w:r>
      <w:r w:rsidRPr="00C6052E">
        <w:t>end</w:t>
      </w:r>
      <w:r w:rsidR="00177848" w:rsidRPr="00C6052E">
        <w:t xml:space="preserve"> </w:t>
      </w:r>
      <w:r w:rsidRPr="00C6052E">
        <w:t>of</w:t>
      </w:r>
      <w:r w:rsidR="00177848" w:rsidRPr="00C6052E">
        <w:t xml:space="preserve"> </w:t>
      </w:r>
      <w:r w:rsidRPr="00C6052E">
        <w:t>the</w:t>
      </w:r>
      <w:r w:rsidR="00177848" w:rsidRPr="00C6052E">
        <w:t xml:space="preserve"> </w:t>
      </w:r>
      <w:r w:rsidRPr="00C6052E">
        <w:t>reporting</w:t>
      </w:r>
      <w:r w:rsidR="00177848" w:rsidRPr="00C6052E">
        <w:t xml:space="preserve"> </w:t>
      </w:r>
      <w:r w:rsidRPr="00C6052E">
        <w:t>period.</w:t>
      </w:r>
    </w:p>
    <w:p w14:paraId="6B7CB0AE" w14:textId="640B99E5" w:rsidR="00EE5BB8" w:rsidRPr="00C6052E" w:rsidRDefault="00EE5BB8" w:rsidP="00EE5BB8">
      <w:r w:rsidRPr="00C6052E">
        <w:t>No</w:t>
      </w:r>
      <w:r w:rsidR="00177848" w:rsidRPr="00C6052E">
        <w:t xml:space="preserve"> </w:t>
      </w:r>
      <w:r w:rsidRPr="00C6052E">
        <w:t>provision</w:t>
      </w:r>
      <w:r w:rsidR="00177848" w:rsidRPr="00C6052E">
        <w:t xml:space="preserve"> </w:t>
      </w:r>
      <w:r w:rsidRPr="00C6052E">
        <w:t>has</w:t>
      </w:r>
      <w:r w:rsidR="00177848" w:rsidRPr="00C6052E">
        <w:t xml:space="preserve"> </w:t>
      </w:r>
      <w:r w:rsidRPr="00C6052E">
        <w:t>been</w:t>
      </w:r>
      <w:r w:rsidR="00177848" w:rsidRPr="00C6052E">
        <w:t xml:space="preserve"> </w:t>
      </w:r>
      <w:r w:rsidRPr="00C6052E">
        <w:t>made</w:t>
      </w:r>
      <w:r w:rsidR="00177848" w:rsidRPr="00C6052E">
        <w:t xml:space="preserve"> </w:t>
      </w:r>
      <w:r w:rsidRPr="00C6052E">
        <w:t>for</w:t>
      </w:r>
      <w:r w:rsidR="00177848" w:rsidRPr="00C6052E">
        <w:t xml:space="preserve"> </w:t>
      </w:r>
      <w:r w:rsidRPr="00C6052E">
        <w:t>sick</w:t>
      </w:r>
      <w:r w:rsidR="00177848" w:rsidRPr="00C6052E">
        <w:t xml:space="preserve"> </w:t>
      </w:r>
      <w:r w:rsidRPr="00C6052E">
        <w:t>leave</w:t>
      </w:r>
      <w:r w:rsidR="00177848" w:rsidRPr="00C6052E">
        <w:t xml:space="preserve"> </w:t>
      </w:r>
      <w:r w:rsidRPr="00C6052E">
        <w:t>as</w:t>
      </w:r>
      <w:r w:rsidR="00177848" w:rsidRPr="00C6052E">
        <w:t xml:space="preserve"> </w:t>
      </w:r>
      <w:r w:rsidRPr="00C6052E">
        <w:t>all</w:t>
      </w:r>
      <w:r w:rsidR="00177848" w:rsidRPr="00C6052E">
        <w:t xml:space="preserve"> </w:t>
      </w:r>
      <w:r w:rsidRPr="00C6052E">
        <w:t>sick</w:t>
      </w:r>
      <w:r w:rsidR="00177848" w:rsidRPr="00C6052E">
        <w:t xml:space="preserve"> </w:t>
      </w:r>
      <w:r w:rsidRPr="00C6052E">
        <w:t>leave</w:t>
      </w:r>
      <w:r w:rsidR="00177848" w:rsidRPr="00C6052E">
        <w:t xml:space="preserve"> </w:t>
      </w:r>
      <w:r w:rsidRPr="00C6052E">
        <w:t>is</w:t>
      </w:r>
      <w:r w:rsidR="00177848" w:rsidRPr="00C6052E">
        <w:t xml:space="preserve"> </w:t>
      </w:r>
      <w:r w:rsidRPr="00C6052E">
        <w:t>non-vesting</w:t>
      </w:r>
      <w:r w:rsidR="00177848" w:rsidRPr="00C6052E">
        <w:t xml:space="preserve"> </w:t>
      </w:r>
      <w:r w:rsidRPr="00C6052E">
        <w:t>and</w:t>
      </w:r>
      <w:r w:rsidR="00177848" w:rsidRPr="00C6052E">
        <w:t xml:space="preserve"> </w:t>
      </w:r>
      <w:r w:rsidRPr="00C6052E">
        <w:t>it</w:t>
      </w:r>
      <w:r w:rsidR="00177848" w:rsidRPr="00C6052E">
        <w:t xml:space="preserve"> </w:t>
      </w:r>
      <w:r w:rsidRPr="00C6052E">
        <w:t>is</w:t>
      </w:r>
      <w:r w:rsidR="00177848" w:rsidRPr="00C6052E">
        <w:t xml:space="preserve"> </w:t>
      </w:r>
      <w:r w:rsidRPr="00C6052E">
        <w:t>not</w:t>
      </w:r>
      <w:r w:rsidR="00177848" w:rsidRPr="00C6052E">
        <w:t xml:space="preserve"> </w:t>
      </w:r>
      <w:r w:rsidRPr="00C6052E">
        <w:t>considered</w:t>
      </w:r>
      <w:r w:rsidR="00177848" w:rsidRPr="00C6052E">
        <w:t xml:space="preserve"> </w:t>
      </w:r>
      <w:r w:rsidRPr="00C6052E">
        <w:t>probable</w:t>
      </w:r>
      <w:r w:rsidR="00177848" w:rsidRPr="00C6052E">
        <w:t xml:space="preserve"> </w:t>
      </w:r>
      <w:r w:rsidRPr="00C6052E">
        <w:t>that</w:t>
      </w:r>
      <w:r w:rsidR="00177848" w:rsidRPr="00C6052E">
        <w:t xml:space="preserve"> </w:t>
      </w:r>
      <w:r w:rsidRPr="00C6052E">
        <w:t>the</w:t>
      </w:r>
      <w:r w:rsidR="00177848" w:rsidRPr="00C6052E">
        <w:t xml:space="preserve"> </w:t>
      </w:r>
      <w:r w:rsidRPr="00C6052E">
        <w:t>average</w:t>
      </w:r>
      <w:r w:rsidR="00177848" w:rsidRPr="00C6052E">
        <w:t xml:space="preserve"> </w:t>
      </w:r>
      <w:r w:rsidRPr="00C6052E">
        <w:t>sick</w:t>
      </w:r>
      <w:r w:rsidR="00177848" w:rsidRPr="00C6052E">
        <w:t xml:space="preserve"> </w:t>
      </w:r>
      <w:r w:rsidRPr="00C6052E">
        <w:t>leave</w:t>
      </w:r>
      <w:r w:rsidR="00177848" w:rsidRPr="00C6052E">
        <w:t xml:space="preserve"> </w:t>
      </w:r>
      <w:r w:rsidRPr="00C6052E">
        <w:t>taken</w:t>
      </w:r>
      <w:r w:rsidR="00177848" w:rsidRPr="00C6052E">
        <w:t xml:space="preserve"> </w:t>
      </w:r>
      <w:r w:rsidRPr="00C6052E">
        <w:t>in</w:t>
      </w:r>
      <w:r w:rsidR="00177848" w:rsidRPr="00C6052E">
        <w:t xml:space="preserve"> </w:t>
      </w:r>
      <w:r w:rsidRPr="00C6052E">
        <w:t>the</w:t>
      </w:r>
      <w:r w:rsidR="00177848" w:rsidRPr="00C6052E">
        <w:t xml:space="preserve"> </w:t>
      </w:r>
      <w:r w:rsidRPr="00C6052E">
        <w:t>future</w:t>
      </w:r>
      <w:r w:rsidR="00177848" w:rsidRPr="00C6052E">
        <w:t xml:space="preserve"> </w:t>
      </w:r>
      <w:r w:rsidRPr="00C6052E">
        <w:t>will</w:t>
      </w:r>
      <w:r w:rsidR="00177848" w:rsidRPr="00C6052E">
        <w:t xml:space="preserve"> </w:t>
      </w:r>
      <w:r w:rsidRPr="00C6052E">
        <w:t>be</w:t>
      </w:r>
      <w:r w:rsidR="00177848" w:rsidRPr="00C6052E">
        <w:t xml:space="preserve"> </w:t>
      </w:r>
      <w:r w:rsidRPr="00C6052E">
        <w:t>greater</w:t>
      </w:r>
      <w:r w:rsidR="00177848" w:rsidRPr="00C6052E">
        <w:t xml:space="preserve"> </w:t>
      </w:r>
      <w:r w:rsidRPr="00C6052E">
        <w:t>than</w:t>
      </w:r>
      <w:r w:rsidR="00177848" w:rsidRPr="00C6052E">
        <w:t xml:space="preserve"> </w:t>
      </w:r>
      <w:r w:rsidRPr="00C6052E">
        <w:t>the</w:t>
      </w:r>
      <w:r w:rsidR="00177848" w:rsidRPr="00C6052E">
        <w:t xml:space="preserve"> </w:t>
      </w:r>
      <w:r w:rsidRPr="00C6052E">
        <w:t>benefits</w:t>
      </w:r>
      <w:r w:rsidR="00177848" w:rsidRPr="00C6052E">
        <w:t xml:space="preserve"> </w:t>
      </w:r>
      <w:r w:rsidRPr="00C6052E">
        <w:t>accrued</w:t>
      </w:r>
      <w:r w:rsidR="00177848" w:rsidRPr="00C6052E">
        <w:t xml:space="preserve"> </w:t>
      </w:r>
      <w:r w:rsidRPr="00C6052E">
        <w:t>in</w:t>
      </w:r>
      <w:r w:rsidR="00177848" w:rsidRPr="00C6052E">
        <w:t xml:space="preserve"> </w:t>
      </w:r>
      <w:r w:rsidRPr="00C6052E">
        <w:t>the</w:t>
      </w:r>
      <w:r w:rsidR="00177848" w:rsidRPr="00C6052E">
        <w:t xml:space="preserve"> </w:t>
      </w:r>
      <w:r w:rsidRPr="00C6052E">
        <w:t>future.</w:t>
      </w:r>
      <w:r w:rsidR="00177848" w:rsidRPr="00C6052E">
        <w:t xml:space="preserve"> </w:t>
      </w:r>
      <w:r w:rsidRPr="00C6052E">
        <w:t>As</w:t>
      </w:r>
      <w:r w:rsidR="00177848" w:rsidRPr="00C6052E">
        <w:t xml:space="preserve"> </w:t>
      </w:r>
      <w:r w:rsidRPr="00C6052E">
        <w:t>sick</w:t>
      </w:r>
      <w:r w:rsidR="00177848" w:rsidRPr="00C6052E">
        <w:t xml:space="preserve"> </w:t>
      </w:r>
      <w:r w:rsidRPr="00C6052E">
        <w:t>leave</w:t>
      </w:r>
      <w:r w:rsidR="00177848" w:rsidRPr="00C6052E">
        <w:t xml:space="preserve"> </w:t>
      </w:r>
      <w:r w:rsidRPr="00C6052E">
        <w:t>is</w:t>
      </w:r>
      <w:r w:rsidR="00177848" w:rsidRPr="00C6052E">
        <w:t xml:space="preserve"> </w:t>
      </w:r>
      <w:r w:rsidRPr="00C6052E">
        <w:t>non</w:t>
      </w:r>
      <w:r w:rsidRPr="00C6052E">
        <w:noBreakHyphen/>
        <w:t>vesting,</w:t>
      </w:r>
      <w:r w:rsidR="00177848" w:rsidRPr="00C6052E">
        <w:t xml:space="preserve"> </w:t>
      </w:r>
      <w:r w:rsidRPr="00C6052E">
        <w:t>an</w:t>
      </w:r>
      <w:r w:rsidR="00177848" w:rsidRPr="00C6052E">
        <w:t xml:space="preserve"> </w:t>
      </w:r>
      <w:r w:rsidRPr="00C6052E">
        <w:t>expense</w:t>
      </w:r>
      <w:r w:rsidR="00177848" w:rsidRPr="00C6052E">
        <w:t xml:space="preserve"> </w:t>
      </w:r>
      <w:r w:rsidRPr="00C6052E">
        <w:t>is</w:t>
      </w:r>
      <w:r w:rsidR="00177848" w:rsidRPr="00C6052E">
        <w:t xml:space="preserve"> </w:t>
      </w:r>
      <w:r w:rsidRPr="00C6052E">
        <w:t>recognised</w:t>
      </w:r>
      <w:r w:rsidR="00177848" w:rsidRPr="00C6052E">
        <w:t xml:space="preserve"> </w:t>
      </w:r>
      <w:r w:rsidRPr="00C6052E">
        <w:t>in</w:t>
      </w:r>
      <w:r w:rsidR="00177848" w:rsidRPr="00C6052E">
        <w:t xml:space="preserve"> </w:t>
      </w:r>
      <w:r w:rsidRPr="00C6052E">
        <w:t>the</w:t>
      </w:r>
      <w:r w:rsidR="00177848" w:rsidRPr="00C6052E">
        <w:t xml:space="preserve"> </w:t>
      </w:r>
      <w:r w:rsidRPr="00C6052E">
        <w:t>comprehensive</w:t>
      </w:r>
      <w:r w:rsidR="00177848" w:rsidRPr="00C6052E">
        <w:t xml:space="preserve"> </w:t>
      </w:r>
      <w:r w:rsidRPr="00C6052E">
        <w:t>operating</w:t>
      </w:r>
      <w:r w:rsidR="00177848" w:rsidRPr="00C6052E">
        <w:t xml:space="preserve"> </w:t>
      </w:r>
      <w:r w:rsidRPr="00C6052E">
        <w:t>statement</w:t>
      </w:r>
      <w:r w:rsidR="00177848" w:rsidRPr="00C6052E">
        <w:t xml:space="preserve"> </w:t>
      </w:r>
      <w:r w:rsidRPr="00C6052E">
        <w:t>as</w:t>
      </w:r>
      <w:r w:rsidR="00177848" w:rsidRPr="00C6052E">
        <w:t xml:space="preserve"> </w:t>
      </w:r>
      <w:r w:rsidRPr="00C6052E">
        <w:t>it</w:t>
      </w:r>
      <w:r w:rsidR="00177848" w:rsidRPr="00C6052E">
        <w:t xml:space="preserve"> </w:t>
      </w:r>
      <w:r w:rsidRPr="00C6052E">
        <w:t>is</w:t>
      </w:r>
      <w:r w:rsidR="00177848" w:rsidRPr="00C6052E">
        <w:t xml:space="preserve"> </w:t>
      </w:r>
      <w:r w:rsidRPr="00C6052E">
        <w:t>taken.</w:t>
      </w:r>
    </w:p>
    <w:p w14:paraId="2992F541" w14:textId="66F82E64" w:rsidR="00EE5BB8" w:rsidRPr="00C6052E" w:rsidRDefault="00EE5BB8" w:rsidP="00EE5BB8">
      <w:r w:rsidRPr="00C6052E">
        <w:t>Employment</w:t>
      </w:r>
      <w:r w:rsidR="00177848" w:rsidRPr="00C6052E">
        <w:t xml:space="preserve"> </w:t>
      </w:r>
      <w:r w:rsidRPr="00C6052E">
        <w:t>on-costs</w:t>
      </w:r>
      <w:r w:rsidR="00177848" w:rsidRPr="00C6052E">
        <w:t xml:space="preserve"> </w:t>
      </w:r>
      <w:r w:rsidRPr="00C6052E">
        <w:t>such</w:t>
      </w:r>
      <w:r w:rsidR="00177848" w:rsidRPr="00C6052E">
        <w:t xml:space="preserve"> </w:t>
      </w:r>
      <w:r w:rsidRPr="00C6052E">
        <w:t>as</w:t>
      </w:r>
      <w:r w:rsidR="00177848" w:rsidRPr="00C6052E">
        <w:t xml:space="preserve"> </w:t>
      </w:r>
      <w:r w:rsidRPr="00C6052E">
        <w:t>payroll</w:t>
      </w:r>
      <w:r w:rsidR="00177848" w:rsidRPr="00C6052E">
        <w:t xml:space="preserve"> </w:t>
      </w:r>
      <w:r w:rsidRPr="00C6052E">
        <w:t>tax,</w:t>
      </w:r>
      <w:r w:rsidR="00177848" w:rsidRPr="00C6052E">
        <w:t xml:space="preserve"> </w:t>
      </w:r>
      <w:r w:rsidRPr="00C6052E">
        <w:t>workers</w:t>
      </w:r>
      <w:r w:rsidR="00177848" w:rsidRPr="00C6052E">
        <w:t xml:space="preserve"> </w:t>
      </w:r>
      <w:r w:rsidRPr="00C6052E">
        <w:t>compensation,</w:t>
      </w:r>
      <w:r w:rsidR="00177848" w:rsidRPr="00C6052E">
        <w:t xml:space="preserve"> </w:t>
      </w:r>
      <w:r w:rsidRPr="00C6052E">
        <w:t>mental</w:t>
      </w:r>
      <w:r w:rsidR="00177848" w:rsidRPr="00C6052E">
        <w:t xml:space="preserve"> </w:t>
      </w:r>
      <w:r w:rsidRPr="00C6052E">
        <w:t>health</w:t>
      </w:r>
      <w:r w:rsidR="00177848" w:rsidRPr="00C6052E">
        <w:t xml:space="preserve"> </w:t>
      </w:r>
      <w:r w:rsidRPr="00C6052E">
        <w:t>and</w:t>
      </w:r>
      <w:r w:rsidR="00177848" w:rsidRPr="00C6052E">
        <w:t xml:space="preserve"> </w:t>
      </w:r>
      <w:r w:rsidRPr="00C6052E">
        <w:t>well-being</w:t>
      </w:r>
      <w:r w:rsidR="00177848" w:rsidRPr="00C6052E">
        <w:t xml:space="preserve"> </w:t>
      </w:r>
      <w:r w:rsidRPr="00C6052E">
        <w:t>surcharge,</w:t>
      </w:r>
      <w:r w:rsidR="00177848" w:rsidRPr="00C6052E">
        <w:t xml:space="preserve"> </w:t>
      </w:r>
      <w:r w:rsidRPr="00C6052E">
        <w:t>and</w:t>
      </w:r>
      <w:r w:rsidR="00177848" w:rsidRPr="00C6052E">
        <w:t xml:space="preserve"> </w:t>
      </w:r>
      <w:r w:rsidRPr="00C6052E">
        <w:t>covid-19</w:t>
      </w:r>
      <w:r w:rsidR="00177848" w:rsidRPr="00C6052E">
        <w:t xml:space="preserve"> </w:t>
      </w:r>
      <w:r w:rsidRPr="00C6052E">
        <w:t>debt</w:t>
      </w:r>
      <w:r w:rsidR="00177848" w:rsidRPr="00C6052E">
        <w:t xml:space="preserve"> </w:t>
      </w:r>
      <w:r w:rsidRPr="00C6052E">
        <w:t>levy</w:t>
      </w:r>
      <w:r w:rsidR="00177848" w:rsidRPr="00C6052E">
        <w:t xml:space="preserve"> </w:t>
      </w:r>
      <w:r w:rsidRPr="00C6052E">
        <w:t>and</w:t>
      </w:r>
      <w:r w:rsidR="00177848" w:rsidRPr="00C6052E">
        <w:t xml:space="preserve"> </w:t>
      </w:r>
      <w:r w:rsidRPr="00C6052E">
        <w:t>superannuation</w:t>
      </w:r>
      <w:r w:rsidR="00177848" w:rsidRPr="00C6052E">
        <w:t xml:space="preserve"> </w:t>
      </w:r>
      <w:r w:rsidRPr="00C6052E">
        <w:t>are</w:t>
      </w:r>
      <w:r w:rsidR="00177848" w:rsidRPr="00C6052E">
        <w:t xml:space="preserve"> </w:t>
      </w:r>
      <w:r w:rsidRPr="00C6052E">
        <w:t>not</w:t>
      </w:r>
      <w:r w:rsidR="00177848" w:rsidRPr="00C6052E">
        <w:t xml:space="preserve"> </w:t>
      </w:r>
      <w:r w:rsidRPr="00C6052E">
        <w:t>employee</w:t>
      </w:r>
      <w:r w:rsidR="00177848" w:rsidRPr="00C6052E">
        <w:t xml:space="preserve"> </w:t>
      </w:r>
      <w:r w:rsidRPr="00C6052E">
        <w:t>benefits.</w:t>
      </w:r>
      <w:r w:rsidR="00177848" w:rsidRPr="00C6052E">
        <w:t xml:space="preserve"> </w:t>
      </w:r>
      <w:r w:rsidRPr="00C6052E">
        <w:t>They</w:t>
      </w:r>
      <w:r w:rsidR="00177848" w:rsidRPr="00C6052E">
        <w:t xml:space="preserve"> </w:t>
      </w:r>
      <w:r w:rsidRPr="00C6052E">
        <w:t>are</w:t>
      </w:r>
      <w:r w:rsidR="00177848" w:rsidRPr="00C6052E">
        <w:t xml:space="preserve"> </w:t>
      </w:r>
      <w:r w:rsidRPr="00C6052E">
        <w:t>disclosed</w:t>
      </w:r>
      <w:r w:rsidR="00177848" w:rsidRPr="00C6052E">
        <w:t xml:space="preserve"> </w:t>
      </w:r>
      <w:r w:rsidRPr="00C6052E">
        <w:t>separately</w:t>
      </w:r>
      <w:r w:rsidR="00177848" w:rsidRPr="00C6052E">
        <w:t xml:space="preserve"> </w:t>
      </w:r>
      <w:r w:rsidRPr="00C6052E">
        <w:t>as</w:t>
      </w:r>
      <w:r w:rsidR="00177848" w:rsidRPr="00C6052E">
        <w:t xml:space="preserve"> </w:t>
      </w:r>
      <w:r w:rsidRPr="00C6052E">
        <w:t>a</w:t>
      </w:r>
      <w:r w:rsidR="00177848" w:rsidRPr="00C6052E">
        <w:t xml:space="preserve"> </w:t>
      </w:r>
      <w:r w:rsidRPr="00C6052E">
        <w:t>component</w:t>
      </w:r>
      <w:r w:rsidR="00177848" w:rsidRPr="00C6052E">
        <w:t xml:space="preserve"> </w:t>
      </w:r>
      <w:r w:rsidRPr="00C6052E">
        <w:t>of</w:t>
      </w:r>
      <w:r w:rsidR="00177848" w:rsidRPr="00C6052E">
        <w:t xml:space="preserve"> </w:t>
      </w:r>
      <w:r w:rsidRPr="00C6052E">
        <w:t>the</w:t>
      </w:r>
      <w:r w:rsidR="00177848" w:rsidRPr="00C6052E">
        <w:t xml:space="preserve"> </w:t>
      </w:r>
      <w:r w:rsidRPr="00C6052E">
        <w:t>provision</w:t>
      </w:r>
      <w:r w:rsidR="00177848" w:rsidRPr="00C6052E">
        <w:t xml:space="preserve"> </w:t>
      </w:r>
      <w:r w:rsidRPr="00C6052E">
        <w:t>for</w:t>
      </w:r>
      <w:r w:rsidR="00177848" w:rsidRPr="00C6052E">
        <w:t xml:space="preserve"> </w:t>
      </w:r>
      <w:r w:rsidRPr="00C6052E">
        <w:t>employee</w:t>
      </w:r>
      <w:r w:rsidR="00177848" w:rsidRPr="00C6052E">
        <w:t xml:space="preserve"> </w:t>
      </w:r>
      <w:r w:rsidRPr="00C6052E">
        <w:t>benefits</w:t>
      </w:r>
      <w:r w:rsidR="00177848" w:rsidRPr="00C6052E">
        <w:t xml:space="preserve"> </w:t>
      </w:r>
      <w:r w:rsidRPr="00C6052E">
        <w:t>when</w:t>
      </w:r>
      <w:r w:rsidR="00177848" w:rsidRPr="00C6052E">
        <w:t xml:space="preserve"> </w:t>
      </w:r>
      <w:r w:rsidRPr="00C6052E">
        <w:t>the</w:t>
      </w:r>
      <w:r w:rsidR="00177848" w:rsidRPr="00C6052E">
        <w:t xml:space="preserve"> </w:t>
      </w:r>
      <w:r w:rsidRPr="00C6052E">
        <w:t>employment</w:t>
      </w:r>
      <w:r w:rsidR="00177848" w:rsidRPr="00C6052E">
        <w:t xml:space="preserve"> </w:t>
      </w:r>
      <w:r w:rsidRPr="00C6052E">
        <w:t>to</w:t>
      </w:r>
      <w:r w:rsidR="00177848" w:rsidRPr="00C6052E">
        <w:t xml:space="preserve"> </w:t>
      </w:r>
      <w:r w:rsidRPr="00C6052E">
        <w:t>which</w:t>
      </w:r>
      <w:r w:rsidR="00177848" w:rsidRPr="00C6052E">
        <w:t xml:space="preserve"> </w:t>
      </w:r>
      <w:r w:rsidRPr="00C6052E">
        <w:t>they</w:t>
      </w:r>
      <w:r w:rsidR="00177848" w:rsidRPr="00C6052E">
        <w:t xml:space="preserve"> </w:t>
      </w:r>
      <w:r w:rsidRPr="00C6052E">
        <w:t>relate</w:t>
      </w:r>
      <w:r w:rsidR="00177848" w:rsidRPr="00C6052E">
        <w:t xml:space="preserve"> </w:t>
      </w:r>
      <w:r w:rsidRPr="00C6052E">
        <w:t>has</w:t>
      </w:r>
      <w:r w:rsidR="00177848" w:rsidRPr="00C6052E">
        <w:t xml:space="preserve"> </w:t>
      </w:r>
      <w:r w:rsidRPr="00C6052E">
        <w:t>occurred.</w:t>
      </w:r>
    </w:p>
    <w:p w14:paraId="05D783C7" w14:textId="02930227" w:rsidR="00EE5BB8" w:rsidRPr="00C6052E" w:rsidRDefault="00EE5BB8" w:rsidP="00EE5BB8">
      <w:r w:rsidRPr="00C6052E">
        <w:t>Unconditional</w:t>
      </w:r>
      <w:r w:rsidR="00177848" w:rsidRPr="00C6052E">
        <w:t xml:space="preserve"> </w:t>
      </w:r>
      <w:r w:rsidRPr="00C6052E">
        <w:t>LSL</w:t>
      </w:r>
      <w:r w:rsidR="00177848" w:rsidRPr="00C6052E">
        <w:t xml:space="preserve"> </w:t>
      </w:r>
      <w:r w:rsidRPr="00C6052E">
        <w:t>is</w:t>
      </w:r>
      <w:r w:rsidR="00177848" w:rsidRPr="00C6052E">
        <w:t xml:space="preserve"> </w:t>
      </w:r>
      <w:r w:rsidRPr="00C6052E">
        <w:t>disclosed</w:t>
      </w:r>
      <w:r w:rsidR="00177848" w:rsidRPr="00C6052E">
        <w:t xml:space="preserve"> </w:t>
      </w:r>
      <w:r w:rsidRPr="00C6052E">
        <w:t>as</w:t>
      </w:r>
      <w:r w:rsidR="00177848" w:rsidRPr="00C6052E">
        <w:t xml:space="preserve"> </w:t>
      </w:r>
      <w:r w:rsidRPr="00C6052E">
        <w:t>a</w:t>
      </w:r>
      <w:r w:rsidR="00177848" w:rsidRPr="00C6052E">
        <w:t xml:space="preserve"> </w:t>
      </w:r>
      <w:r w:rsidRPr="00C6052E">
        <w:t>current</w:t>
      </w:r>
      <w:r w:rsidR="00177848" w:rsidRPr="00C6052E">
        <w:t xml:space="preserve"> </w:t>
      </w:r>
      <w:r w:rsidRPr="00C6052E">
        <w:t>liability;</w:t>
      </w:r>
      <w:r w:rsidR="00177848" w:rsidRPr="00C6052E">
        <w:t xml:space="preserve"> </w:t>
      </w:r>
      <w:r w:rsidRPr="00C6052E">
        <w:t>even</w:t>
      </w:r>
      <w:r w:rsidR="00177848" w:rsidRPr="00C6052E">
        <w:t xml:space="preserve"> </w:t>
      </w:r>
      <w:r w:rsidRPr="00C6052E">
        <w:t>where</w:t>
      </w:r>
      <w:r w:rsidR="00177848" w:rsidRPr="00C6052E">
        <w:t xml:space="preserve"> </w:t>
      </w:r>
      <w:r w:rsidRPr="00C6052E">
        <w:t>DJSIR</w:t>
      </w:r>
      <w:r w:rsidR="00177848" w:rsidRPr="00C6052E">
        <w:t xml:space="preserve"> </w:t>
      </w:r>
      <w:r w:rsidRPr="00C6052E">
        <w:t>does</w:t>
      </w:r>
      <w:r w:rsidR="00177848" w:rsidRPr="00C6052E">
        <w:t xml:space="preserve"> </w:t>
      </w:r>
      <w:r w:rsidRPr="00C6052E">
        <w:t>not</w:t>
      </w:r>
      <w:r w:rsidR="00177848" w:rsidRPr="00C6052E">
        <w:t xml:space="preserve"> </w:t>
      </w:r>
      <w:r w:rsidRPr="00C6052E">
        <w:t>expect</w:t>
      </w:r>
      <w:r w:rsidR="00177848" w:rsidRPr="00C6052E">
        <w:t xml:space="preserve"> </w:t>
      </w:r>
      <w:r w:rsidRPr="00C6052E">
        <w:t>to</w:t>
      </w:r>
      <w:r w:rsidR="00177848" w:rsidRPr="00C6052E">
        <w:t xml:space="preserve"> </w:t>
      </w:r>
      <w:r w:rsidRPr="00C6052E">
        <w:t>settle</w:t>
      </w:r>
      <w:r w:rsidR="00177848" w:rsidRPr="00C6052E">
        <w:t xml:space="preserve"> </w:t>
      </w:r>
      <w:r w:rsidRPr="00C6052E">
        <w:t>the</w:t>
      </w:r>
      <w:r w:rsidR="00177848" w:rsidRPr="00C6052E">
        <w:t xml:space="preserve"> </w:t>
      </w:r>
      <w:r w:rsidRPr="00C6052E">
        <w:t>liability</w:t>
      </w:r>
      <w:r w:rsidR="00177848" w:rsidRPr="00C6052E">
        <w:t xml:space="preserve"> </w:t>
      </w:r>
      <w:r w:rsidRPr="00C6052E">
        <w:t>within</w:t>
      </w:r>
      <w:r w:rsidR="00177848" w:rsidRPr="00C6052E">
        <w:t xml:space="preserve"> </w:t>
      </w:r>
      <w:r w:rsidRPr="00C6052E">
        <w:t>12</w:t>
      </w:r>
      <w:r w:rsidR="00177848" w:rsidRPr="00C6052E">
        <w:t xml:space="preserve"> </w:t>
      </w:r>
      <w:r w:rsidRPr="00C6052E">
        <w:t>months</w:t>
      </w:r>
      <w:r w:rsidR="00177848" w:rsidRPr="00C6052E">
        <w:t xml:space="preserve"> </w:t>
      </w:r>
      <w:r w:rsidRPr="00C6052E">
        <w:t>because</w:t>
      </w:r>
      <w:r w:rsidR="00177848" w:rsidRPr="00C6052E">
        <w:t xml:space="preserve"> </w:t>
      </w:r>
      <w:r w:rsidRPr="00C6052E">
        <w:t>it</w:t>
      </w:r>
      <w:r w:rsidR="00177848" w:rsidRPr="00C6052E">
        <w:t xml:space="preserve"> </w:t>
      </w:r>
      <w:r w:rsidRPr="00C6052E">
        <w:t>will</w:t>
      </w:r>
      <w:r w:rsidR="00177848" w:rsidRPr="00C6052E">
        <w:t xml:space="preserve"> </w:t>
      </w:r>
      <w:r w:rsidRPr="00C6052E">
        <w:t>not</w:t>
      </w:r>
      <w:r w:rsidR="00177848" w:rsidRPr="00C6052E">
        <w:t xml:space="preserve"> </w:t>
      </w:r>
      <w:r w:rsidRPr="00C6052E">
        <w:t>have</w:t>
      </w:r>
      <w:r w:rsidR="00177848" w:rsidRPr="00C6052E">
        <w:t xml:space="preserve"> </w:t>
      </w:r>
      <w:r w:rsidRPr="00C6052E">
        <w:t>the</w:t>
      </w:r>
      <w:r w:rsidR="00177848" w:rsidRPr="00C6052E">
        <w:t xml:space="preserve"> </w:t>
      </w:r>
      <w:r w:rsidRPr="00C6052E">
        <w:t>unconditional</w:t>
      </w:r>
      <w:r w:rsidR="00177848" w:rsidRPr="00C6052E">
        <w:t xml:space="preserve"> </w:t>
      </w:r>
      <w:r w:rsidRPr="00C6052E">
        <w:t>right</w:t>
      </w:r>
      <w:r w:rsidR="00177848" w:rsidRPr="00C6052E">
        <w:t xml:space="preserve"> </w:t>
      </w:r>
      <w:r w:rsidRPr="00C6052E">
        <w:t>to</w:t>
      </w:r>
      <w:r w:rsidR="00177848" w:rsidRPr="00C6052E">
        <w:t xml:space="preserve"> </w:t>
      </w:r>
      <w:r w:rsidRPr="00C6052E">
        <w:t>defer</w:t>
      </w:r>
      <w:r w:rsidR="00177848" w:rsidRPr="00C6052E">
        <w:t xml:space="preserve"> </w:t>
      </w:r>
      <w:r w:rsidRPr="00C6052E">
        <w:t>the</w:t>
      </w:r>
      <w:r w:rsidR="00177848" w:rsidRPr="00C6052E">
        <w:t xml:space="preserve"> </w:t>
      </w:r>
      <w:r w:rsidRPr="00C6052E">
        <w:t>settlement</w:t>
      </w:r>
      <w:r w:rsidR="00177848" w:rsidRPr="00C6052E">
        <w:t xml:space="preserve"> </w:t>
      </w:r>
      <w:r w:rsidRPr="00C6052E">
        <w:t>of</w:t>
      </w:r>
      <w:r w:rsidR="00177848" w:rsidRPr="00C6052E">
        <w:t xml:space="preserve"> </w:t>
      </w:r>
      <w:r w:rsidRPr="00C6052E">
        <w:t>the</w:t>
      </w:r>
      <w:r w:rsidR="00177848" w:rsidRPr="00C6052E">
        <w:t xml:space="preserve"> </w:t>
      </w:r>
      <w:r w:rsidRPr="00C6052E">
        <w:t>entitlement</w:t>
      </w:r>
      <w:r w:rsidR="00177848" w:rsidRPr="00C6052E">
        <w:t xml:space="preserve"> </w:t>
      </w:r>
      <w:r w:rsidRPr="00C6052E">
        <w:t>should</w:t>
      </w:r>
      <w:r w:rsidR="00177848" w:rsidRPr="00C6052E">
        <w:t xml:space="preserve"> </w:t>
      </w:r>
      <w:r w:rsidRPr="00C6052E">
        <w:t>an</w:t>
      </w:r>
      <w:r w:rsidR="00177848" w:rsidRPr="00C6052E">
        <w:t xml:space="preserve"> </w:t>
      </w:r>
      <w:r w:rsidRPr="00C6052E">
        <w:t>employee</w:t>
      </w:r>
      <w:r w:rsidR="00177848" w:rsidRPr="00C6052E">
        <w:t xml:space="preserve"> </w:t>
      </w:r>
      <w:r w:rsidRPr="00C6052E">
        <w:t>take</w:t>
      </w:r>
      <w:r w:rsidR="00177848" w:rsidRPr="00C6052E">
        <w:t xml:space="preserve"> </w:t>
      </w:r>
      <w:r w:rsidRPr="00C6052E">
        <w:t>leave</w:t>
      </w:r>
      <w:r w:rsidR="00177848" w:rsidRPr="00C6052E">
        <w:t xml:space="preserve"> </w:t>
      </w:r>
      <w:r w:rsidRPr="00C6052E">
        <w:t>within</w:t>
      </w:r>
      <w:r w:rsidR="00177848" w:rsidRPr="00C6052E">
        <w:t xml:space="preserve"> </w:t>
      </w:r>
      <w:r w:rsidRPr="00C6052E">
        <w:t>12</w:t>
      </w:r>
      <w:r w:rsidR="00177848" w:rsidRPr="00C6052E">
        <w:t xml:space="preserve"> </w:t>
      </w:r>
      <w:r w:rsidRPr="00C6052E">
        <w:t>months.</w:t>
      </w:r>
    </w:p>
    <w:p w14:paraId="37E70F82" w14:textId="38675A60" w:rsidR="00EE5BB8" w:rsidRPr="00C6052E" w:rsidRDefault="00EE5BB8" w:rsidP="0028635E">
      <w:pPr>
        <w:pStyle w:val="Normalbeforebullets"/>
      </w:pPr>
      <w:r w:rsidRPr="00C6052E">
        <w:lastRenderedPageBreak/>
        <w:t>The</w:t>
      </w:r>
      <w:r w:rsidR="00177848" w:rsidRPr="00C6052E">
        <w:t xml:space="preserve"> </w:t>
      </w:r>
      <w:r w:rsidRPr="00C6052E">
        <w:t>components</w:t>
      </w:r>
      <w:r w:rsidR="00177848" w:rsidRPr="00C6052E">
        <w:t xml:space="preserve"> </w:t>
      </w:r>
      <w:r w:rsidRPr="00C6052E">
        <w:t>of</w:t>
      </w:r>
      <w:r w:rsidR="00177848" w:rsidRPr="00C6052E">
        <w:t xml:space="preserve"> </w:t>
      </w:r>
      <w:r w:rsidRPr="00C6052E">
        <w:t>this</w:t>
      </w:r>
      <w:r w:rsidR="00177848" w:rsidRPr="00C6052E">
        <w:t xml:space="preserve"> </w:t>
      </w:r>
      <w:r w:rsidRPr="00C6052E">
        <w:t>current</w:t>
      </w:r>
      <w:r w:rsidR="00177848" w:rsidRPr="00C6052E">
        <w:t xml:space="preserve"> </w:t>
      </w:r>
      <w:r w:rsidRPr="00C6052E">
        <w:t>LSL</w:t>
      </w:r>
      <w:r w:rsidR="00177848" w:rsidRPr="00C6052E">
        <w:t xml:space="preserve"> </w:t>
      </w:r>
      <w:r w:rsidRPr="00C6052E">
        <w:t>liability</w:t>
      </w:r>
      <w:r w:rsidR="00177848" w:rsidRPr="00C6052E">
        <w:t xml:space="preserve"> </w:t>
      </w:r>
      <w:r w:rsidRPr="00C6052E">
        <w:t>are</w:t>
      </w:r>
      <w:r w:rsidR="00177848" w:rsidRPr="00C6052E">
        <w:t xml:space="preserve"> </w:t>
      </w:r>
      <w:r w:rsidRPr="00C6052E">
        <w:t>measured</w:t>
      </w:r>
      <w:r w:rsidR="00177848" w:rsidRPr="00C6052E">
        <w:t xml:space="preserve"> </w:t>
      </w:r>
      <w:r w:rsidRPr="00C6052E">
        <w:t>at:</w:t>
      </w:r>
    </w:p>
    <w:p w14:paraId="364ABA21" w14:textId="28EEF681" w:rsidR="00EE5BB8" w:rsidRPr="00C6052E" w:rsidRDefault="00EE5BB8" w:rsidP="00EE5BB8">
      <w:pPr>
        <w:pStyle w:val="Bullet1"/>
        <w:numPr>
          <w:ilvl w:val="0"/>
          <w:numId w:val="1"/>
        </w:numPr>
        <w:spacing w:line="278" w:lineRule="auto"/>
        <w:ind w:left="284" w:hanging="284"/>
        <w:rPr>
          <w:lang w:val="en-AU"/>
        </w:rPr>
      </w:pPr>
      <w:r w:rsidRPr="00C6052E">
        <w:rPr>
          <w:lang w:val="en-AU"/>
        </w:rPr>
        <w:t>undiscounted</w:t>
      </w:r>
      <w:r w:rsidR="00177848" w:rsidRPr="00C6052E">
        <w:rPr>
          <w:lang w:val="en-AU"/>
        </w:rPr>
        <w:t xml:space="preserve"> </w:t>
      </w:r>
      <w:r w:rsidRPr="00C6052E">
        <w:rPr>
          <w:lang w:val="en-AU"/>
        </w:rPr>
        <w:t>value</w:t>
      </w:r>
      <w:r w:rsidR="00177848" w:rsidRPr="00C6052E">
        <w:rPr>
          <w:lang w:val="en-AU"/>
        </w:rPr>
        <w:t xml:space="preserve"> </w:t>
      </w:r>
      <w:r w:rsidRPr="00C6052E">
        <w:rPr>
          <w:lang w:val="en-AU"/>
        </w:rPr>
        <w:t>–</w:t>
      </w:r>
      <w:r w:rsidR="00177848" w:rsidRPr="00C6052E">
        <w:rPr>
          <w:lang w:val="en-AU"/>
        </w:rPr>
        <w:t xml:space="preserve"> </w:t>
      </w:r>
      <w:r w:rsidRPr="00C6052E">
        <w:rPr>
          <w:lang w:val="en-AU"/>
        </w:rPr>
        <w:t>if</w:t>
      </w:r>
      <w:r w:rsidR="00177848" w:rsidRPr="00C6052E">
        <w:rPr>
          <w:lang w:val="en-AU"/>
        </w:rPr>
        <w:t xml:space="preserve"> </w:t>
      </w:r>
      <w:r w:rsidRPr="00C6052E">
        <w:rPr>
          <w:lang w:val="en-AU"/>
        </w:rPr>
        <w:t>DJSIR</w:t>
      </w:r>
      <w:r w:rsidR="00177848" w:rsidRPr="00C6052E">
        <w:rPr>
          <w:lang w:val="en-AU"/>
        </w:rPr>
        <w:t xml:space="preserve"> </w:t>
      </w:r>
      <w:r w:rsidRPr="00C6052E">
        <w:rPr>
          <w:lang w:val="en-AU"/>
        </w:rPr>
        <w:t>expects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wholly</w:t>
      </w:r>
      <w:r w:rsidR="00177848" w:rsidRPr="00C6052E">
        <w:rPr>
          <w:lang w:val="en-AU"/>
        </w:rPr>
        <w:t xml:space="preserve"> </w:t>
      </w:r>
      <w:r w:rsidRPr="00C6052E">
        <w:rPr>
          <w:lang w:val="en-AU"/>
        </w:rPr>
        <w:t>settle</w:t>
      </w:r>
      <w:r w:rsidR="00177848" w:rsidRPr="00C6052E">
        <w:rPr>
          <w:lang w:val="en-AU"/>
        </w:rPr>
        <w:t xml:space="preserve"> </w:t>
      </w:r>
      <w:r w:rsidRPr="00C6052E">
        <w:rPr>
          <w:lang w:val="en-AU"/>
        </w:rPr>
        <w:t>within</w:t>
      </w:r>
      <w:r w:rsidR="00177848" w:rsidRPr="00C6052E">
        <w:rPr>
          <w:lang w:val="en-AU"/>
        </w:rPr>
        <w:t xml:space="preserve"> </w:t>
      </w:r>
      <w:r w:rsidRPr="00C6052E">
        <w:rPr>
          <w:lang w:val="en-AU"/>
        </w:rPr>
        <w:t>12</w:t>
      </w:r>
      <w:r w:rsidR="00177848" w:rsidRPr="00C6052E">
        <w:rPr>
          <w:lang w:val="en-AU"/>
        </w:rPr>
        <w:t xml:space="preserve"> </w:t>
      </w:r>
      <w:r w:rsidRPr="00C6052E">
        <w:rPr>
          <w:lang w:val="en-AU"/>
        </w:rPr>
        <w:t>months;</w:t>
      </w:r>
      <w:r w:rsidR="00177848" w:rsidRPr="00C6052E">
        <w:rPr>
          <w:lang w:val="en-AU"/>
        </w:rPr>
        <w:t xml:space="preserve"> </w:t>
      </w:r>
      <w:r w:rsidRPr="00C6052E">
        <w:rPr>
          <w:lang w:val="en-AU"/>
        </w:rPr>
        <w:t>or</w:t>
      </w:r>
    </w:p>
    <w:p w14:paraId="6BD35DE6" w14:textId="1904A444" w:rsidR="00EE5BB8" w:rsidRPr="00C6052E" w:rsidRDefault="00EE5BB8" w:rsidP="00EE5BB8">
      <w:pPr>
        <w:pStyle w:val="Bullet1last"/>
        <w:numPr>
          <w:ilvl w:val="0"/>
          <w:numId w:val="1"/>
        </w:numPr>
        <w:spacing w:line="278" w:lineRule="auto"/>
        <w:ind w:left="284" w:hanging="284"/>
        <w:rPr>
          <w:lang w:val="en-AU"/>
        </w:rPr>
      </w:pPr>
      <w:r w:rsidRPr="00C6052E">
        <w:rPr>
          <w:lang w:val="en-AU"/>
        </w:rPr>
        <w:t>present</w:t>
      </w:r>
      <w:r w:rsidR="00177848" w:rsidRPr="00C6052E">
        <w:rPr>
          <w:lang w:val="en-AU"/>
        </w:rPr>
        <w:t xml:space="preserve"> </w:t>
      </w:r>
      <w:r w:rsidRPr="00C6052E">
        <w:rPr>
          <w:lang w:val="en-AU"/>
        </w:rPr>
        <w:t>value</w:t>
      </w:r>
      <w:r w:rsidR="00177848" w:rsidRPr="00C6052E">
        <w:rPr>
          <w:lang w:val="en-AU"/>
        </w:rPr>
        <w:t xml:space="preserve"> </w:t>
      </w:r>
      <w:r w:rsidRPr="00C6052E">
        <w:rPr>
          <w:lang w:val="en-AU"/>
        </w:rPr>
        <w:t>–</w:t>
      </w:r>
      <w:r w:rsidR="00177848" w:rsidRPr="00C6052E">
        <w:rPr>
          <w:lang w:val="en-AU"/>
        </w:rPr>
        <w:t xml:space="preserve"> </w:t>
      </w:r>
      <w:r w:rsidRPr="00C6052E">
        <w:rPr>
          <w:lang w:val="en-AU"/>
        </w:rPr>
        <w:t>if</w:t>
      </w:r>
      <w:r w:rsidR="00177848" w:rsidRPr="00C6052E">
        <w:rPr>
          <w:lang w:val="en-AU"/>
        </w:rPr>
        <w:t xml:space="preserve"> </w:t>
      </w:r>
      <w:r w:rsidRPr="00C6052E">
        <w:rPr>
          <w:lang w:val="en-AU"/>
        </w:rPr>
        <w:t>DJSIR</w:t>
      </w:r>
      <w:r w:rsidR="00177848" w:rsidRPr="00C6052E">
        <w:rPr>
          <w:lang w:val="en-AU"/>
        </w:rPr>
        <w:t xml:space="preserve"> </w:t>
      </w:r>
      <w:r w:rsidRPr="00C6052E">
        <w:rPr>
          <w:lang w:val="en-AU"/>
        </w:rPr>
        <w:t>does</w:t>
      </w:r>
      <w:r w:rsidR="00177848" w:rsidRPr="00C6052E">
        <w:rPr>
          <w:lang w:val="en-AU"/>
        </w:rPr>
        <w:t xml:space="preserve"> </w:t>
      </w:r>
      <w:r w:rsidRPr="00C6052E">
        <w:rPr>
          <w:lang w:val="en-AU"/>
        </w:rPr>
        <w:t>not</w:t>
      </w:r>
      <w:r w:rsidR="00177848" w:rsidRPr="00C6052E">
        <w:rPr>
          <w:lang w:val="en-AU"/>
        </w:rPr>
        <w:t xml:space="preserve"> </w:t>
      </w:r>
      <w:r w:rsidRPr="00C6052E">
        <w:rPr>
          <w:lang w:val="en-AU"/>
        </w:rPr>
        <w:t>expect</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wholly</w:t>
      </w:r>
      <w:r w:rsidR="00177848" w:rsidRPr="00C6052E">
        <w:rPr>
          <w:lang w:val="en-AU"/>
        </w:rPr>
        <w:t xml:space="preserve"> </w:t>
      </w:r>
      <w:r w:rsidRPr="00C6052E">
        <w:rPr>
          <w:lang w:val="en-AU"/>
        </w:rPr>
        <w:t>settle</w:t>
      </w:r>
      <w:r w:rsidR="00177848" w:rsidRPr="00C6052E">
        <w:rPr>
          <w:lang w:val="en-AU"/>
        </w:rPr>
        <w:t xml:space="preserve"> </w:t>
      </w:r>
      <w:r w:rsidRPr="00C6052E">
        <w:rPr>
          <w:lang w:val="en-AU"/>
        </w:rPr>
        <w:t>within</w:t>
      </w:r>
      <w:r w:rsidR="00177848" w:rsidRPr="00C6052E">
        <w:rPr>
          <w:lang w:val="en-AU"/>
        </w:rPr>
        <w:t xml:space="preserve"> </w:t>
      </w:r>
      <w:r w:rsidRPr="00C6052E">
        <w:rPr>
          <w:lang w:val="en-AU"/>
        </w:rPr>
        <w:t>12</w:t>
      </w:r>
      <w:r w:rsidR="00177848" w:rsidRPr="00C6052E">
        <w:rPr>
          <w:lang w:val="en-AU"/>
        </w:rPr>
        <w:t xml:space="preserve"> </w:t>
      </w:r>
      <w:r w:rsidRPr="00C6052E">
        <w:rPr>
          <w:lang w:val="en-AU"/>
        </w:rPr>
        <w:t>months.</w:t>
      </w:r>
    </w:p>
    <w:p w14:paraId="26C63F8F" w14:textId="0F16D56C" w:rsidR="00EE5BB8" w:rsidRPr="00C6052E" w:rsidRDefault="00EE5BB8" w:rsidP="00EE5BB8">
      <w:r w:rsidRPr="00C6052E">
        <w:t>Conditional</w:t>
      </w:r>
      <w:r w:rsidR="00177848" w:rsidRPr="00C6052E">
        <w:t xml:space="preserve"> </w:t>
      </w:r>
      <w:r w:rsidRPr="00C6052E">
        <w:t>LSL</w:t>
      </w:r>
      <w:r w:rsidR="00177848" w:rsidRPr="00C6052E">
        <w:t xml:space="preserve"> </w:t>
      </w:r>
      <w:r w:rsidRPr="00C6052E">
        <w:t>is</w:t>
      </w:r>
      <w:r w:rsidR="00177848" w:rsidRPr="00C6052E">
        <w:t xml:space="preserve"> </w:t>
      </w:r>
      <w:r w:rsidRPr="00C6052E">
        <w:t>disclosed</w:t>
      </w:r>
      <w:r w:rsidR="00177848" w:rsidRPr="00C6052E">
        <w:t xml:space="preserve"> </w:t>
      </w:r>
      <w:r w:rsidRPr="00C6052E">
        <w:t>as</w:t>
      </w:r>
      <w:r w:rsidR="00177848" w:rsidRPr="00C6052E">
        <w:t xml:space="preserve"> </w:t>
      </w:r>
      <w:r w:rsidRPr="00C6052E">
        <w:t>a</w:t>
      </w:r>
      <w:r w:rsidR="00177848" w:rsidRPr="00C6052E">
        <w:t xml:space="preserve"> </w:t>
      </w:r>
      <w:r w:rsidRPr="00C6052E">
        <w:t>non-current</w:t>
      </w:r>
      <w:r w:rsidR="00177848" w:rsidRPr="00C6052E">
        <w:t xml:space="preserve"> </w:t>
      </w:r>
      <w:r w:rsidRPr="00C6052E">
        <w:t>liability.</w:t>
      </w:r>
      <w:r w:rsidR="00177848" w:rsidRPr="00C6052E">
        <w:t xml:space="preserve"> </w:t>
      </w:r>
      <w:r w:rsidRPr="00C6052E">
        <w:t>There</w:t>
      </w:r>
      <w:r w:rsidR="00177848" w:rsidRPr="00C6052E">
        <w:t xml:space="preserve"> </w:t>
      </w:r>
      <w:r w:rsidRPr="00C6052E">
        <w:t>is</w:t>
      </w:r>
      <w:r w:rsidR="00177848" w:rsidRPr="00C6052E">
        <w:t xml:space="preserve"> </w:t>
      </w:r>
      <w:r w:rsidRPr="00C6052E">
        <w:t>a</w:t>
      </w:r>
      <w:r w:rsidR="00177848" w:rsidRPr="00C6052E">
        <w:t xml:space="preserve"> </w:t>
      </w:r>
      <w:r w:rsidRPr="00C6052E">
        <w:t>right</w:t>
      </w:r>
      <w:r w:rsidR="00177848" w:rsidRPr="00C6052E">
        <w:t xml:space="preserve"> </w:t>
      </w:r>
      <w:r w:rsidRPr="00C6052E">
        <w:t>to</w:t>
      </w:r>
      <w:r w:rsidR="00177848" w:rsidRPr="00C6052E">
        <w:t xml:space="preserve"> </w:t>
      </w:r>
      <w:r w:rsidRPr="00C6052E">
        <w:t>defer</w:t>
      </w:r>
      <w:r w:rsidR="00177848" w:rsidRPr="00C6052E">
        <w:t xml:space="preserve"> </w:t>
      </w:r>
      <w:r w:rsidRPr="00C6052E">
        <w:t>the</w:t>
      </w:r>
      <w:r w:rsidR="00177848" w:rsidRPr="00C6052E">
        <w:t xml:space="preserve"> </w:t>
      </w:r>
      <w:r w:rsidRPr="00C6052E">
        <w:t>settlement</w:t>
      </w:r>
      <w:r w:rsidR="00177848" w:rsidRPr="00C6052E">
        <w:t xml:space="preserve"> </w:t>
      </w:r>
      <w:r w:rsidRPr="00C6052E">
        <w:t>of</w:t>
      </w:r>
      <w:r w:rsidR="00177848" w:rsidRPr="00C6052E">
        <w:t xml:space="preserve"> </w:t>
      </w:r>
      <w:r w:rsidRPr="00C6052E">
        <w:t>the</w:t>
      </w:r>
      <w:r w:rsidR="00177848" w:rsidRPr="00C6052E">
        <w:t xml:space="preserve"> </w:t>
      </w:r>
      <w:r w:rsidRPr="00C6052E">
        <w:t>entitlement</w:t>
      </w:r>
      <w:r w:rsidR="00177848" w:rsidRPr="00C6052E">
        <w:t xml:space="preserve"> </w:t>
      </w:r>
      <w:r w:rsidRPr="00C6052E">
        <w:t>until</w:t>
      </w:r>
      <w:r w:rsidR="00177848" w:rsidRPr="00C6052E">
        <w:t xml:space="preserve"> </w:t>
      </w:r>
      <w:r w:rsidRPr="00C6052E">
        <w:t>the</w:t>
      </w:r>
      <w:r w:rsidR="00177848" w:rsidRPr="00C6052E">
        <w:t xml:space="preserve"> </w:t>
      </w:r>
      <w:r w:rsidRPr="00C6052E">
        <w:t>employee</w:t>
      </w:r>
      <w:r w:rsidR="00177848" w:rsidRPr="00C6052E">
        <w:t xml:space="preserve"> </w:t>
      </w:r>
      <w:r w:rsidRPr="00C6052E">
        <w:t>has</w:t>
      </w:r>
      <w:r w:rsidR="00177848" w:rsidRPr="00C6052E">
        <w:t xml:space="preserve"> </w:t>
      </w:r>
      <w:r w:rsidRPr="00C6052E">
        <w:t>completed</w:t>
      </w:r>
      <w:r w:rsidR="00177848" w:rsidRPr="00C6052E">
        <w:t xml:space="preserve"> </w:t>
      </w:r>
      <w:r w:rsidRPr="00C6052E">
        <w:t>the</w:t>
      </w:r>
      <w:r w:rsidR="00177848" w:rsidRPr="00C6052E">
        <w:t xml:space="preserve"> </w:t>
      </w:r>
      <w:r w:rsidRPr="00C6052E">
        <w:t>requisite</w:t>
      </w:r>
      <w:r w:rsidR="00177848" w:rsidRPr="00C6052E">
        <w:t xml:space="preserve"> </w:t>
      </w:r>
      <w:r w:rsidRPr="00C6052E">
        <w:t>years</w:t>
      </w:r>
      <w:r w:rsidR="00177848" w:rsidRPr="00C6052E">
        <w:t xml:space="preserve"> </w:t>
      </w:r>
      <w:r w:rsidRPr="00C6052E">
        <w:t>of</w:t>
      </w:r>
      <w:r w:rsidR="00177848" w:rsidRPr="00C6052E">
        <w:t xml:space="preserve"> </w:t>
      </w:r>
      <w:r w:rsidRPr="00C6052E">
        <w:t>service.</w:t>
      </w:r>
      <w:r w:rsidR="00177848" w:rsidRPr="00C6052E">
        <w:t xml:space="preserve"> </w:t>
      </w:r>
      <w:r w:rsidRPr="00C6052E">
        <w:t>This</w:t>
      </w:r>
      <w:r w:rsidR="00177848" w:rsidRPr="00C6052E">
        <w:t xml:space="preserve"> </w:t>
      </w:r>
      <w:r w:rsidRPr="00C6052E">
        <w:t>non-current</w:t>
      </w:r>
      <w:r w:rsidR="00177848" w:rsidRPr="00C6052E">
        <w:t xml:space="preserve"> </w:t>
      </w:r>
      <w:r w:rsidRPr="00C6052E">
        <w:t>LSL</w:t>
      </w:r>
      <w:r w:rsidR="00177848" w:rsidRPr="00C6052E">
        <w:t xml:space="preserve"> </w:t>
      </w:r>
      <w:r w:rsidRPr="00C6052E">
        <w:t>is</w:t>
      </w:r>
      <w:r w:rsidR="00177848" w:rsidRPr="00C6052E">
        <w:t xml:space="preserve"> </w:t>
      </w:r>
      <w:r w:rsidRPr="00C6052E">
        <w:t>measured</w:t>
      </w:r>
      <w:r w:rsidR="00177848" w:rsidRPr="00C6052E">
        <w:t xml:space="preserve"> </w:t>
      </w:r>
      <w:r w:rsidRPr="00C6052E">
        <w:t>at</w:t>
      </w:r>
      <w:r w:rsidR="00177848" w:rsidRPr="00C6052E">
        <w:t xml:space="preserve"> </w:t>
      </w:r>
      <w:r w:rsidRPr="00C6052E">
        <w:t>present</w:t>
      </w:r>
      <w:r w:rsidR="00177848" w:rsidRPr="00C6052E">
        <w:t xml:space="preserve"> </w:t>
      </w:r>
      <w:r w:rsidRPr="00C6052E">
        <w:t>value.</w:t>
      </w:r>
    </w:p>
    <w:p w14:paraId="1E81264B" w14:textId="3DABB514" w:rsidR="00EE5BB8" w:rsidRPr="00C6052E" w:rsidRDefault="00EE5BB8" w:rsidP="00EE5BB8">
      <w:r w:rsidRPr="00C6052E">
        <w:t>Any</w:t>
      </w:r>
      <w:r w:rsidR="00177848" w:rsidRPr="00C6052E">
        <w:t xml:space="preserve"> </w:t>
      </w:r>
      <w:r w:rsidRPr="00C6052E">
        <w:t>gain</w:t>
      </w:r>
      <w:r w:rsidR="00177848" w:rsidRPr="00C6052E">
        <w:t xml:space="preserve"> </w:t>
      </w:r>
      <w:r w:rsidRPr="00C6052E">
        <w:t>or</w:t>
      </w:r>
      <w:r w:rsidR="00177848" w:rsidRPr="00C6052E">
        <w:t xml:space="preserve"> </w:t>
      </w:r>
      <w:r w:rsidRPr="00C6052E">
        <w:t>loss</w:t>
      </w:r>
      <w:r w:rsidR="00177848" w:rsidRPr="00C6052E">
        <w:t xml:space="preserve"> </w:t>
      </w:r>
      <w:r w:rsidRPr="00C6052E">
        <w:t>following</w:t>
      </w:r>
      <w:r w:rsidR="00177848" w:rsidRPr="00C6052E">
        <w:t xml:space="preserve"> </w:t>
      </w:r>
      <w:r w:rsidRPr="00C6052E">
        <w:t>revaluation</w:t>
      </w:r>
      <w:r w:rsidR="00177848" w:rsidRPr="00C6052E">
        <w:t xml:space="preserve"> </w:t>
      </w:r>
      <w:r w:rsidRPr="00C6052E">
        <w:t>of</w:t>
      </w:r>
      <w:r w:rsidR="00177848" w:rsidRPr="00C6052E">
        <w:t xml:space="preserve"> </w:t>
      </w:r>
      <w:r w:rsidRPr="00C6052E">
        <w:t>the</w:t>
      </w:r>
      <w:r w:rsidR="00177848" w:rsidRPr="00C6052E">
        <w:t xml:space="preserve"> </w:t>
      </w:r>
      <w:r w:rsidRPr="00C6052E">
        <w:t>present</w:t>
      </w:r>
      <w:r w:rsidR="00177848" w:rsidRPr="00C6052E">
        <w:t xml:space="preserve"> </w:t>
      </w:r>
      <w:r w:rsidRPr="00C6052E">
        <w:t>value</w:t>
      </w:r>
      <w:r w:rsidR="00177848" w:rsidRPr="00C6052E">
        <w:t xml:space="preserve"> </w:t>
      </w:r>
      <w:r w:rsidRPr="00C6052E">
        <w:t>of</w:t>
      </w:r>
      <w:r w:rsidR="00177848" w:rsidRPr="00C6052E">
        <w:t xml:space="preserve"> </w:t>
      </w:r>
      <w:r w:rsidRPr="00C6052E">
        <w:t>non-current</w:t>
      </w:r>
      <w:r w:rsidR="00177848" w:rsidRPr="00C6052E">
        <w:t xml:space="preserve"> </w:t>
      </w:r>
      <w:r w:rsidRPr="00C6052E">
        <w:t>LSL</w:t>
      </w:r>
      <w:r w:rsidR="00177848" w:rsidRPr="00C6052E">
        <w:t xml:space="preserve"> </w:t>
      </w:r>
      <w:r w:rsidRPr="00C6052E">
        <w:t>liability</w:t>
      </w:r>
      <w:r w:rsidR="00177848" w:rsidRPr="00C6052E">
        <w:t xml:space="preserve"> </w:t>
      </w:r>
      <w:r w:rsidRPr="00C6052E">
        <w:t>is</w:t>
      </w:r>
      <w:r w:rsidR="00177848" w:rsidRPr="00C6052E">
        <w:t xml:space="preserve"> </w:t>
      </w:r>
      <w:r w:rsidRPr="00C6052E">
        <w:t>recognised</w:t>
      </w:r>
      <w:r w:rsidR="00177848" w:rsidRPr="00C6052E">
        <w:t xml:space="preserve"> </w:t>
      </w:r>
      <w:r w:rsidRPr="00C6052E">
        <w:t>as</w:t>
      </w:r>
      <w:r w:rsidR="00177848" w:rsidRPr="00C6052E">
        <w:t xml:space="preserve"> </w:t>
      </w:r>
      <w:r w:rsidRPr="00C6052E">
        <w:t>a</w:t>
      </w:r>
      <w:r w:rsidR="00177848" w:rsidRPr="00C6052E">
        <w:t xml:space="preserve"> </w:t>
      </w:r>
      <w:r w:rsidRPr="00C6052E">
        <w:t>transaction,</w:t>
      </w:r>
      <w:r w:rsidR="00177848" w:rsidRPr="00C6052E">
        <w:t xml:space="preserve"> </w:t>
      </w:r>
      <w:r w:rsidRPr="00C6052E">
        <w:t>except</w:t>
      </w:r>
      <w:r w:rsidR="00177848" w:rsidRPr="00C6052E">
        <w:t xml:space="preserve"> </w:t>
      </w:r>
      <w:r w:rsidRPr="00C6052E">
        <w:t>to</w:t>
      </w:r>
      <w:r w:rsidR="00177848" w:rsidRPr="00C6052E">
        <w:t xml:space="preserve"> </w:t>
      </w:r>
      <w:r w:rsidRPr="00C6052E">
        <w:t>the</w:t>
      </w:r>
      <w:r w:rsidR="00177848" w:rsidRPr="00C6052E">
        <w:t xml:space="preserve"> </w:t>
      </w:r>
      <w:r w:rsidRPr="00C6052E">
        <w:t>extent</w:t>
      </w:r>
      <w:r w:rsidR="00177848" w:rsidRPr="00C6052E">
        <w:t xml:space="preserve"> </w:t>
      </w:r>
      <w:r w:rsidRPr="00C6052E">
        <w:t>that</w:t>
      </w:r>
      <w:r w:rsidR="00177848" w:rsidRPr="00C6052E">
        <w:t xml:space="preserve"> </w:t>
      </w:r>
      <w:r w:rsidRPr="00C6052E">
        <w:t>a</w:t>
      </w:r>
      <w:r w:rsidR="00177848" w:rsidRPr="00C6052E">
        <w:t xml:space="preserve"> </w:t>
      </w:r>
      <w:r w:rsidRPr="00C6052E">
        <w:t>gain</w:t>
      </w:r>
      <w:r w:rsidR="00177848" w:rsidRPr="00C6052E">
        <w:t xml:space="preserve"> </w:t>
      </w:r>
      <w:r w:rsidRPr="00C6052E">
        <w:t>or</w:t>
      </w:r>
      <w:r w:rsidR="00177848" w:rsidRPr="00C6052E">
        <w:t xml:space="preserve"> </w:t>
      </w:r>
      <w:r w:rsidRPr="00C6052E">
        <w:t>loss</w:t>
      </w:r>
      <w:r w:rsidR="00177848" w:rsidRPr="00C6052E">
        <w:t xml:space="preserve"> </w:t>
      </w:r>
      <w:r w:rsidRPr="00C6052E">
        <w:t>arises</w:t>
      </w:r>
      <w:r w:rsidR="00177848" w:rsidRPr="00C6052E">
        <w:t xml:space="preserve"> </w:t>
      </w:r>
      <w:r w:rsidRPr="00C6052E">
        <w:t>due</w:t>
      </w:r>
      <w:r w:rsidR="00177848" w:rsidRPr="00C6052E">
        <w:t xml:space="preserve"> </w:t>
      </w:r>
      <w:r w:rsidRPr="00C6052E">
        <w:t>to</w:t>
      </w:r>
      <w:r w:rsidR="00177848" w:rsidRPr="00C6052E">
        <w:t xml:space="preserve"> </w:t>
      </w:r>
      <w:r w:rsidRPr="00C6052E">
        <w:t>changes</w:t>
      </w:r>
      <w:r w:rsidR="00177848" w:rsidRPr="00C6052E">
        <w:t xml:space="preserve"> </w:t>
      </w:r>
      <w:r w:rsidRPr="00C6052E">
        <w:t>in</w:t>
      </w:r>
      <w:r w:rsidR="00177848" w:rsidRPr="00C6052E">
        <w:t xml:space="preserve"> </w:t>
      </w:r>
      <w:r w:rsidRPr="00C6052E">
        <w:t>bond</w:t>
      </w:r>
      <w:r w:rsidR="00177848" w:rsidRPr="00C6052E">
        <w:t xml:space="preserve"> </w:t>
      </w:r>
      <w:r w:rsidRPr="00C6052E">
        <w:t>interest</w:t>
      </w:r>
      <w:r w:rsidR="00177848" w:rsidRPr="00C6052E">
        <w:t xml:space="preserve"> </w:t>
      </w:r>
      <w:r w:rsidRPr="00C6052E">
        <w:t>rates</w:t>
      </w:r>
      <w:r w:rsidR="00177848" w:rsidRPr="00C6052E">
        <w:t xml:space="preserve"> </w:t>
      </w:r>
      <w:r w:rsidRPr="00C6052E">
        <w:t>for</w:t>
      </w:r>
      <w:r w:rsidR="00177848" w:rsidRPr="00C6052E">
        <w:t xml:space="preserve"> </w:t>
      </w:r>
      <w:r w:rsidRPr="00C6052E">
        <w:t>which</w:t>
      </w:r>
      <w:r w:rsidR="00177848" w:rsidRPr="00C6052E">
        <w:t xml:space="preserve"> </w:t>
      </w:r>
      <w:r w:rsidRPr="00C6052E">
        <w:t>it</w:t>
      </w:r>
      <w:r w:rsidR="00177848" w:rsidRPr="00C6052E">
        <w:t xml:space="preserve"> </w:t>
      </w:r>
      <w:r w:rsidRPr="00C6052E">
        <w:t>is</w:t>
      </w:r>
      <w:r w:rsidR="00177848" w:rsidRPr="00C6052E">
        <w:t xml:space="preserve"> </w:t>
      </w:r>
      <w:r w:rsidRPr="00C6052E">
        <w:t>then</w:t>
      </w:r>
      <w:r w:rsidR="00177848" w:rsidRPr="00C6052E">
        <w:t xml:space="preserve"> </w:t>
      </w:r>
      <w:r w:rsidRPr="00C6052E">
        <w:t>recognised</w:t>
      </w:r>
      <w:r w:rsidR="00177848" w:rsidRPr="00C6052E">
        <w:t xml:space="preserve"> </w:t>
      </w:r>
      <w:r w:rsidRPr="00C6052E">
        <w:t>as</w:t>
      </w:r>
      <w:r w:rsidR="00177848" w:rsidRPr="00C6052E">
        <w:t xml:space="preserve"> </w:t>
      </w:r>
      <w:r w:rsidRPr="00C6052E">
        <w:t>an</w:t>
      </w:r>
      <w:r w:rsidR="00177848" w:rsidRPr="00C6052E">
        <w:t xml:space="preserve"> </w:t>
      </w:r>
      <w:r w:rsidRPr="00C6052E">
        <w:t>‘other</w:t>
      </w:r>
      <w:r w:rsidR="00177848" w:rsidRPr="00C6052E">
        <w:t xml:space="preserve"> </w:t>
      </w:r>
      <w:r w:rsidRPr="00C6052E">
        <w:t>economic</w:t>
      </w:r>
      <w:r w:rsidR="00177848" w:rsidRPr="00C6052E">
        <w:t xml:space="preserve"> </w:t>
      </w:r>
      <w:r w:rsidRPr="00C6052E">
        <w:t>flow’</w:t>
      </w:r>
      <w:r w:rsidR="00177848" w:rsidRPr="00C6052E">
        <w:t xml:space="preserve"> </w:t>
      </w:r>
      <w:r w:rsidRPr="00C6052E">
        <w:t>in</w:t>
      </w:r>
      <w:r w:rsidR="00177848" w:rsidRPr="00C6052E">
        <w:t xml:space="preserve"> </w:t>
      </w:r>
      <w:r w:rsidRPr="00C6052E">
        <w:t>the</w:t>
      </w:r>
      <w:r w:rsidR="00177848" w:rsidRPr="00C6052E">
        <w:t xml:space="preserve"> </w:t>
      </w:r>
      <w:r w:rsidRPr="00C6052E">
        <w:t>net</w:t>
      </w:r>
      <w:r w:rsidR="00177848" w:rsidRPr="00C6052E">
        <w:t xml:space="preserve"> </w:t>
      </w:r>
      <w:r w:rsidRPr="00C6052E">
        <w:t>result.</w:t>
      </w:r>
    </w:p>
    <w:p w14:paraId="5BA6E0D0" w14:textId="75B8F5F1" w:rsidR="00EE5BB8" w:rsidRPr="00C6052E" w:rsidRDefault="00EE5BB8" w:rsidP="000C0740">
      <w:pPr>
        <w:pStyle w:val="Heading3numbered0"/>
      </w:pPr>
      <w:r w:rsidRPr="00C6052E">
        <w:t>Superannuation</w:t>
      </w:r>
      <w:r w:rsidR="00177848" w:rsidRPr="00C6052E">
        <w:t xml:space="preserve"> </w:t>
      </w:r>
      <w:r w:rsidRPr="00C6052E">
        <w:t>contributions</w:t>
      </w:r>
      <w:r w:rsidR="00177848" w:rsidRPr="00C6052E">
        <w:t xml:space="preserve"> </w:t>
      </w:r>
    </w:p>
    <w:p w14:paraId="2C0B760A" w14:textId="31D60821" w:rsidR="00EE5BB8" w:rsidRPr="00C6052E" w:rsidRDefault="00EE5BB8" w:rsidP="00EE5BB8">
      <w:r w:rsidRPr="00C6052E">
        <w:t>Employees</w:t>
      </w:r>
      <w:r w:rsidR="00177848" w:rsidRPr="00C6052E">
        <w:t xml:space="preserve"> </w:t>
      </w:r>
      <w:r w:rsidRPr="00C6052E">
        <w:t>of</w:t>
      </w:r>
      <w:r w:rsidR="00177848" w:rsidRPr="00C6052E">
        <w:t xml:space="preserve"> </w:t>
      </w:r>
      <w:r w:rsidRPr="00C6052E">
        <w:t>DJSIR</w:t>
      </w:r>
      <w:r w:rsidR="00177848" w:rsidRPr="00C6052E">
        <w:t xml:space="preserve"> </w:t>
      </w:r>
      <w:r w:rsidRPr="00C6052E">
        <w:t>are</w:t>
      </w:r>
      <w:r w:rsidR="00177848" w:rsidRPr="00C6052E">
        <w:t xml:space="preserve"> </w:t>
      </w:r>
      <w:r w:rsidRPr="00C6052E">
        <w:t>entitled</w:t>
      </w:r>
      <w:r w:rsidR="00177848" w:rsidRPr="00C6052E">
        <w:t xml:space="preserve"> </w:t>
      </w:r>
      <w:r w:rsidRPr="00C6052E">
        <w:t>to</w:t>
      </w:r>
      <w:r w:rsidR="00177848" w:rsidRPr="00C6052E">
        <w:t xml:space="preserve"> </w:t>
      </w:r>
      <w:r w:rsidRPr="00C6052E">
        <w:t>receive</w:t>
      </w:r>
      <w:r w:rsidR="00177848" w:rsidRPr="00C6052E">
        <w:t xml:space="preserve"> </w:t>
      </w:r>
      <w:r w:rsidRPr="00C6052E">
        <w:t>superannuation</w:t>
      </w:r>
      <w:r w:rsidR="00177848" w:rsidRPr="00C6052E">
        <w:t xml:space="preserve"> </w:t>
      </w:r>
      <w:r w:rsidRPr="00C6052E">
        <w:t>benefits</w:t>
      </w:r>
      <w:r w:rsidR="00177848" w:rsidRPr="00C6052E">
        <w:t xml:space="preserve"> </w:t>
      </w:r>
      <w:r w:rsidRPr="00C6052E">
        <w:t>and</w:t>
      </w:r>
      <w:r w:rsidR="00177848" w:rsidRPr="00C6052E">
        <w:t xml:space="preserve"> </w:t>
      </w:r>
      <w:r w:rsidRPr="00C6052E">
        <w:t>DJSIR</w:t>
      </w:r>
      <w:r w:rsidR="00177848" w:rsidRPr="00C6052E">
        <w:t xml:space="preserve"> </w:t>
      </w:r>
      <w:r w:rsidRPr="00C6052E">
        <w:t>contributes</w:t>
      </w:r>
      <w:r w:rsidR="00177848" w:rsidRPr="00C6052E">
        <w:t xml:space="preserve"> </w:t>
      </w:r>
      <w:r w:rsidRPr="00C6052E">
        <w:t>to</w:t>
      </w:r>
      <w:r w:rsidR="00177848" w:rsidRPr="00C6052E">
        <w:t xml:space="preserve"> </w:t>
      </w:r>
      <w:r w:rsidRPr="00C6052E">
        <w:t>both</w:t>
      </w:r>
      <w:r w:rsidR="00177848" w:rsidRPr="00C6052E">
        <w:t xml:space="preserve"> </w:t>
      </w:r>
      <w:r w:rsidRPr="00C6052E">
        <w:t>defined</w:t>
      </w:r>
      <w:r w:rsidR="00177848" w:rsidRPr="00C6052E">
        <w:t xml:space="preserve"> </w:t>
      </w:r>
      <w:r w:rsidRPr="00C6052E">
        <w:t>benefit</w:t>
      </w:r>
      <w:r w:rsidR="00177848" w:rsidRPr="00C6052E">
        <w:t xml:space="preserve"> </w:t>
      </w:r>
      <w:r w:rsidRPr="00C6052E">
        <w:t>and</w:t>
      </w:r>
      <w:r w:rsidR="00177848" w:rsidRPr="00C6052E">
        <w:t xml:space="preserve"> </w:t>
      </w:r>
      <w:r w:rsidRPr="00C6052E">
        <w:t>defined</w:t>
      </w:r>
      <w:r w:rsidR="00177848" w:rsidRPr="00C6052E">
        <w:t xml:space="preserve"> </w:t>
      </w:r>
      <w:r w:rsidRPr="00C6052E">
        <w:t>contribution</w:t>
      </w:r>
      <w:r w:rsidR="00177848" w:rsidRPr="00C6052E">
        <w:t xml:space="preserve"> </w:t>
      </w:r>
      <w:r w:rsidRPr="00C6052E">
        <w:t>plans.</w:t>
      </w:r>
      <w:r w:rsidR="00177848" w:rsidRPr="00C6052E">
        <w:t xml:space="preserve"> </w:t>
      </w:r>
      <w:r w:rsidRPr="00C6052E">
        <w:t>The</w:t>
      </w:r>
      <w:r w:rsidR="00177848" w:rsidRPr="00C6052E">
        <w:t xml:space="preserve"> </w:t>
      </w:r>
      <w:r w:rsidRPr="00C6052E">
        <w:t>defined</w:t>
      </w:r>
      <w:r w:rsidR="00177848" w:rsidRPr="00C6052E">
        <w:t xml:space="preserve"> </w:t>
      </w:r>
      <w:r w:rsidRPr="00C6052E">
        <w:t>benefit</w:t>
      </w:r>
      <w:r w:rsidR="00177848" w:rsidRPr="00C6052E">
        <w:t xml:space="preserve"> </w:t>
      </w:r>
      <w:r w:rsidRPr="00C6052E">
        <w:t>plans</w:t>
      </w:r>
      <w:r w:rsidR="00177848" w:rsidRPr="00C6052E">
        <w:t xml:space="preserve"> </w:t>
      </w:r>
      <w:r w:rsidRPr="00C6052E">
        <w:t>provide</w:t>
      </w:r>
      <w:r w:rsidR="00177848" w:rsidRPr="00C6052E">
        <w:t xml:space="preserve"> </w:t>
      </w:r>
      <w:r w:rsidRPr="00C6052E">
        <w:t>benefits</w:t>
      </w:r>
      <w:r w:rsidR="00177848" w:rsidRPr="00C6052E">
        <w:t xml:space="preserve"> </w:t>
      </w:r>
      <w:r w:rsidRPr="00C6052E">
        <w:t>based</w:t>
      </w:r>
      <w:r w:rsidR="00177848" w:rsidRPr="00C6052E">
        <w:t xml:space="preserve"> </w:t>
      </w:r>
      <w:r w:rsidRPr="00C6052E">
        <w:t>on</w:t>
      </w:r>
      <w:r w:rsidR="00177848" w:rsidRPr="00C6052E">
        <w:t xml:space="preserve"> </w:t>
      </w:r>
      <w:r w:rsidRPr="00C6052E">
        <w:t>years</w:t>
      </w:r>
      <w:r w:rsidR="00177848" w:rsidRPr="00C6052E">
        <w:t xml:space="preserve"> </w:t>
      </w:r>
      <w:r w:rsidRPr="00C6052E">
        <w:t>of</w:t>
      </w:r>
      <w:r w:rsidR="00177848" w:rsidRPr="00C6052E">
        <w:t xml:space="preserve"> </w:t>
      </w:r>
      <w:r w:rsidRPr="00C6052E">
        <w:t>service</w:t>
      </w:r>
      <w:r w:rsidR="00177848" w:rsidRPr="00C6052E">
        <w:t xml:space="preserve"> </w:t>
      </w:r>
      <w:r w:rsidRPr="00C6052E">
        <w:t>and</w:t>
      </w:r>
      <w:r w:rsidR="00177848" w:rsidRPr="00C6052E">
        <w:t xml:space="preserve"> </w:t>
      </w:r>
      <w:r w:rsidRPr="00C6052E">
        <w:t>final</w:t>
      </w:r>
      <w:r w:rsidR="00177848" w:rsidRPr="00C6052E">
        <w:t xml:space="preserve"> </w:t>
      </w:r>
      <w:r w:rsidRPr="00C6052E">
        <w:t>average</w:t>
      </w:r>
      <w:r w:rsidR="00177848" w:rsidRPr="00C6052E">
        <w:t xml:space="preserve"> </w:t>
      </w:r>
      <w:r w:rsidRPr="00C6052E">
        <w:t>salary.</w:t>
      </w:r>
    </w:p>
    <w:p w14:paraId="4EBC1561" w14:textId="4B2AEFCD" w:rsidR="00EE5BB8" w:rsidRPr="00C6052E" w:rsidRDefault="00EE5BB8" w:rsidP="00EE5BB8">
      <w:r w:rsidRPr="00C6052E">
        <w:t>Superannuation</w:t>
      </w:r>
      <w:r w:rsidR="00177848" w:rsidRPr="00C6052E">
        <w:t xml:space="preserve"> </w:t>
      </w:r>
      <w:r w:rsidRPr="00C6052E">
        <w:t>contributions</w:t>
      </w:r>
      <w:r w:rsidR="00177848" w:rsidRPr="00C6052E">
        <w:t xml:space="preserve"> </w:t>
      </w:r>
      <w:r w:rsidRPr="00C6052E">
        <w:t>paid</w:t>
      </w:r>
      <w:r w:rsidR="00177848" w:rsidRPr="00C6052E">
        <w:t xml:space="preserve"> </w:t>
      </w:r>
      <w:r w:rsidRPr="00C6052E">
        <w:t>or</w:t>
      </w:r>
      <w:r w:rsidR="00177848" w:rsidRPr="00C6052E">
        <w:t xml:space="preserve"> </w:t>
      </w:r>
      <w:r w:rsidRPr="00C6052E">
        <w:t>payable</w:t>
      </w:r>
      <w:r w:rsidR="00177848" w:rsidRPr="00C6052E">
        <w:t xml:space="preserve"> </w:t>
      </w:r>
      <w:r w:rsidRPr="00C6052E">
        <w:t>for</w:t>
      </w:r>
      <w:r w:rsidR="00177848" w:rsidRPr="00C6052E">
        <w:t xml:space="preserve"> </w:t>
      </w:r>
      <w:r w:rsidRPr="00C6052E">
        <w:t>the</w:t>
      </w:r>
      <w:r w:rsidR="00177848" w:rsidRPr="00C6052E">
        <w:t xml:space="preserve"> </w:t>
      </w:r>
      <w:r w:rsidRPr="00C6052E">
        <w:t>reporting</w:t>
      </w:r>
      <w:r w:rsidR="00177848" w:rsidRPr="00C6052E">
        <w:t xml:space="preserve"> </w:t>
      </w:r>
      <w:r w:rsidRPr="00C6052E">
        <w:t>period</w:t>
      </w:r>
      <w:r w:rsidR="00177848" w:rsidRPr="00C6052E">
        <w:t xml:space="preserve"> </w:t>
      </w:r>
      <w:r w:rsidRPr="00C6052E">
        <w:t>are</w:t>
      </w:r>
      <w:r w:rsidR="00177848" w:rsidRPr="00C6052E">
        <w:t xml:space="preserve"> </w:t>
      </w:r>
      <w:r w:rsidRPr="00C6052E">
        <w:t>included</w:t>
      </w:r>
      <w:r w:rsidR="00177848" w:rsidRPr="00C6052E">
        <w:t xml:space="preserve"> </w:t>
      </w:r>
      <w:r w:rsidRPr="00C6052E">
        <w:t>as</w:t>
      </w:r>
      <w:r w:rsidR="00177848" w:rsidRPr="00C6052E">
        <w:t xml:space="preserve"> </w:t>
      </w:r>
      <w:r w:rsidRPr="00C6052E">
        <w:t>part</w:t>
      </w:r>
      <w:r w:rsidR="00177848" w:rsidRPr="00C6052E">
        <w:t xml:space="preserve"> </w:t>
      </w:r>
      <w:r w:rsidRPr="00C6052E">
        <w:t>of</w:t>
      </w:r>
      <w:r w:rsidR="00177848" w:rsidRPr="00C6052E">
        <w:t xml:space="preserve"> </w:t>
      </w:r>
      <w:r w:rsidRPr="00C6052E">
        <w:t>employee</w:t>
      </w:r>
      <w:r w:rsidR="00177848" w:rsidRPr="00C6052E">
        <w:t xml:space="preserve"> </w:t>
      </w:r>
      <w:r w:rsidRPr="00C6052E">
        <w:t>benefits</w:t>
      </w:r>
      <w:r w:rsidR="00177848" w:rsidRPr="00C6052E">
        <w:t xml:space="preserve"> </w:t>
      </w:r>
      <w:r w:rsidRPr="00C6052E">
        <w:t>in</w:t>
      </w:r>
      <w:r w:rsidR="00177848" w:rsidRPr="00C6052E">
        <w:t xml:space="preserve"> </w:t>
      </w:r>
      <w:r w:rsidRPr="00C6052E">
        <w:t>the</w:t>
      </w:r>
      <w:r w:rsidR="00177848" w:rsidRPr="00C6052E">
        <w:t xml:space="preserve"> </w:t>
      </w:r>
      <w:r w:rsidRPr="00C6052E">
        <w:t>comprehensive</w:t>
      </w:r>
      <w:r w:rsidR="00177848" w:rsidRPr="00C6052E">
        <w:t xml:space="preserve"> </w:t>
      </w:r>
      <w:r w:rsidRPr="00C6052E">
        <w:t>operating</w:t>
      </w:r>
      <w:r w:rsidR="00177848" w:rsidRPr="00C6052E">
        <w:t xml:space="preserve"> </w:t>
      </w:r>
      <w:r w:rsidRPr="00C6052E">
        <w:t>statement</w:t>
      </w:r>
      <w:r w:rsidR="00177848" w:rsidRPr="00C6052E">
        <w:t xml:space="preserve"> </w:t>
      </w:r>
      <w:r w:rsidRPr="00C6052E">
        <w:t>of</w:t>
      </w:r>
      <w:r w:rsidR="00177848" w:rsidRPr="00C6052E">
        <w:t xml:space="preserve"> </w:t>
      </w:r>
      <w:r w:rsidRPr="00C6052E">
        <w:t>DJSIR.</w:t>
      </w:r>
    </w:p>
    <w:p w14:paraId="208D0979" w14:textId="47EC7089" w:rsidR="00EE5BB8" w:rsidRPr="00C6052E" w:rsidRDefault="00EE5BB8" w:rsidP="00EE5BB8">
      <w:r w:rsidRPr="00C6052E">
        <w:t>DJSIR</w:t>
      </w:r>
      <w:r w:rsidR="00177848" w:rsidRPr="00C6052E">
        <w:t xml:space="preserve"> </w:t>
      </w:r>
      <w:r w:rsidRPr="00C6052E">
        <w:t>does</w:t>
      </w:r>
      <w:r w:rsidR="00177848" w:rsidRPr="00C6052E">
        <w:t xml:space="preserve"> </w:t>
      </w:r>
      <w:r w:rsidRPr="00C6052E">
        <w:t>not</w:t>
      </w:r>
      <w:r w:rsidR="00177848" w:rsidRPr="00C6052E">
        <w:t xml:space="preserve"> </w:t>
      </w:r>
      <w:r w:rsidRPr="00C6052E">
        <w:t>recognise</w:t>
      </w:r>
      <w:r w:rsidR="00177848" w:rsidRPr="00C6052E">
        <w:t xml:space="preserve"> </w:t>
      </w:r>
      <w:r w:rsidRPr="00C6052E">
        <w:t>any</w:t>
      </w:r>
      <w:r w:rsidR="00177848" w:rsidRPr="00C6052E">
        <w:t xml:space="preserve"> </w:t>
      </w:r>
      <w:r w:rsidRPr="00C6052E">
        <w:t>liability</w:t>
      </w:r>
      <w:r w:rsidR="00177848" w:rsidRPr="00C6052E">
        <w:t xml:space="preserve"> </w:t>
      </w:r>
      <w:r w:rsidRPr="00C6052E">
        <w:t>in</w:t>
      </w:r>
      <w:r w:rsidR="00177848" w:rsidRPr="00C6052E">
        <w:t xml:space="preserve"> </w:t>
      </w:r>
      <w:r w:rsidRPr="00C6052E">
        <w:t>respect</w:t>
      </w:r>
      <w:r w:rsidR="00177848" w:rsidRPr="00C6052E">
        <w:t xml:space="preserve"> </w:t>
      </w:r>
      <w:r w:rsidRPr="00C6052E">
        <w:t>of</w:t>
      </w:r>
      <w:r w:rsidR="00177848" w:rsidRPr="00C6052E">
        <w:t xml:space="preserve"> </w:t>
      </w:r>
      <w:r w:rsidRPr="00C6052E">
        <w:t>the</w:t>
      </w:r>
      <w:r w:rsidR="00177848" w:rsidRPr="00C6052E">
        <w:t xml:space="preserve"> </w:t>
      </w:r>
      <w:r w:rsidRPr="00C6052E">
        <w:t>defined</w:t>
      </w:r>
      <w:r w:rsidR="00177848" w:rsidRPr="00C6052E">
        <w:t xml:space="preserve"> </w:t>
      </w:r>
      <w:r w:rsidRPr="00C6052E">
        <w:t>benefit</w:t>
      </w:r>
      <w:r w:rsidR="00177848" w:rsidRPr="00C6052E">
        <w:t xml:space="preserve"> </w:t>
      </w:r>
      <w:r w:rsidRPr="00C6052E">
        <w:t>plans</w:t>
      </w:r>
      <w:r w:rsidR="00177848" w:rsidRPr="00C6052E">
        <w:t xml:space="preserve"> </w:t>
      </w:r>
      <w:r w:rsidRPr="00C6052E">
        <w:t>because</w:t>
      </w:r>
      <w:r w:rsidR="00177848" w:rsidRPr="00C6052E">
        <w:t xml:space="preserve"> </w:t>
      </w:r>
      <w:r w:rsidRPr="00C6052E">
        <w:t>the</w:t>
      </w:r>
      <w:r w:rsidR="00177848" w:rsidRPr="00C6052E">
        <w:t xml:space="preserve"> </w:t>
      </w:r>
      <w:r w:rsidRPr="00C6052E">
        <w:t>entity</w:t>
      </w:r>
      <w:r w:rsidR="00177848" w:rsidRPr="00C6052E">
        <w:t xml:space="preserve"> </w:t>
      </w:r>
      <w:r w:rsidRPr="00C6052E">
        <w:t>has</w:t>
      </w:r>
      <w:r w:rsidR="00177848" w:rsidRPr="00C6052E">
        <w:t xml:space="preserve"> </w:t>
      </w:r>
      <w:r w:rsidRPr="00C6052E">
        <w:t>no</w:t>
      </w:r>
      <w:r w:rsidR="00177848" w:rsidRPr="00C6052E">
        <w:t xml:space="preserve"> </w:t>
      </w:r>
      <w:r w:rsidRPr="00C6052E">
        <w:t>legal</w:t>
      </w:r>
      <w:r w:rsidR="00177848" w:rsidRPr="00C6052E">
        <w:t xml:space="preserve"> </w:t>
      </w:r>
      <w:r w:rsidRPr="00C6052E">
        <w:t>or</w:t>
      </w:r>
      <w:r w:rsidR="00177848" w:rsidRPr="00C6052E">
        <w:t xml:space="preserve"> </w:t>
      </w:r>
      <w:r w:rsidRPr="00C6052E">
        <w:t>constructive</w:t>
      </w:r>
      <w:r w:rsidR="00177848" w:rsidRPr="00C6052E">
        <w:t xml:space="preserve"> </w:t>
      </w:r>
      <w:r w:rsidRPr="00C6052E">
        <w:t>obligation</w:t>
      </w:r>
      <w:r w:rsidR="00177848" w:rsidRPr="00C6052E">
        <w:t xml:space="preserve"> </w:t>
      </w:r>
      <w:r w:rsidRPr="00C6052E">
        <w:t>to</w:t>
      </w:r>
      <w:r w:rsidR="00177848" w:rsidRPr="00C6052E">
        <w:t xml:space="preserve"> </w:t>
      </w:r>
      <w:r w:rsidRPr="00C6052E">
        <w:t>pay</w:t>
      </w:r>
      <w:r w:rsidR="00177848" w:rsidRPr="00C6052E">
        <w:t xml:space="preserve"> </w:t>
      </w:r>
      <w:r w:rsidRPr="00C6052E">
        <w:t>future</w:t>
      </w:r>
      <w:r w:rsidR="00177848" w:rsidRPr="00C6052E">
        <w:t xml:space="preserve"> </w:t>
      </w:r>
      <w:r w:rsidRPr="00C6052E">
        <w:t>benefits</w:t>
      </w:r>
      <w:r w:rsidR="00177848" w:rsidRPr="00C6052E">
        <w:t xml:space="preserve"> </w:t>
      </w:r>
      <w:r w:rsidRPr="00C6052E">
        <w:t>relating</w:t>
      </w:r>
      <w:r w:rsidR="00177848" w:rsidRPr="00C6052E">
        <w:t xml:space="preserve"> </w:t>
      </w:r>
      <w:r w:rsidRPr="00C6052E">
        <w:t>to</w:t>
      </w:r>
      <w:r w:rsidR="00177848" w:rsidRPr="00C6052E">
        <w:t xml:space="preserve"> </w:t>
      </w:r>
      <w:r w:rsidRPr="00C6052E">
        <w:t>its</w:t>
      </w:r>
      <w:r w:rsidR="00177848" w:rsidRPr="00C6052E">
        <w:t xml:space="preserve"> </w:t>
      </w:r>
      <w:r w:rsidRPr="00C6052E">
        <w:t>employees;</w:t>
      </w:r>
      <w:r w:rsidR="00177848" w:rsidRPr="00C6052E">
        <w:t xml:space="preserve"> </w:t>
      </w:r>
      <w:r w:rsidRPr="00C6052E">
        <w:t>its</w:t>
      </w:r>
      <w:r w:rsidR="00177848" w:rsidRPr="00C6052E">
        <w:t xml:space="preserve"> </w:t>
      </w:r>
      <w:r w:rsidRPr="00C6052E">
        <w:t>only</w:t>
      </w:r>
      <w:r w:rsidR="00177848" w:rsidRPr="00C6052E">
        <w:t xml:space="preserve"> </w:t>
      </w:r>
      <w:r w:rsidRPr="00C6052E">
        <w:t>obligation</w:t>
      </w:r>
      <w:r w:rsidR="00177848" w:rsidRPr="00C6052E">
        <w:t xml:space="preserve"> </w:t>
      </w:r>
      <w:r w:rsidRPr="00C6052E">
        <w:t>is</w:t>
      </w:r>
      <w:r w:rsidR="00177848" w:rsidRPr="00C6052E">
        <w:t xml:space="preserve"> </w:t>
      </w:r>
      <w:r w:rsidRPr="00C6052E">
        <w:t>to</w:t>
      </w:r>
      <w:r w:rsidR="00177848" w:rsidRPr="00C6052E">
        <w:t xml:space="preserve"> </w:t>
      </w:r>
      <w:r w:rsidRPr="00C6052E">
        <w:t>pay</w:t>
      </w:r>
      <w:r w:rsidR="00177848" w:rsidRPr="00C6052E">
        <w:t xml:space="preserve"> </w:t>
      </w:r>
      <w:r w:rsidRPr="00C6052E">
        <w:t>superannuation</w:t>
      </w:r>
      <w:r w:rsidR="00177848" w:rsidRPr="00C6052E">
        <w:t xml:space="preserve"> </w:t>
      </w:r>
      <w:r w:rsidRPr="00C6052E">
        <w:t>contributions</w:t>
      </w:r>
      <w:r w:rsidR="00177848" w:rsidRPr="00C6052E">
        <w:t xml:space="preserve"> </w:t>
      </w:r>
      <w:r w:rsidRPr="00C6052E">
        <w:t>as</w:t>
      </w:r>
      <w:r w:rsidR="00177848" w:rsidRPr="00C6052E">
        <w:t xml:space="preserve"> </w:t>
      </w:r>
      <w:r w:rsidRPr="00C6052E">
        <w:t>they</w:t>
      </w:r>
      <w:r w:rsidR="00177848" w:rsidRPr="00C6052E">
        <w:t xml:space="preserve"> </w:t>
      </w:r>
      <w:r w:rsidRPr="00C6052E">
        <w:t>fall</w:t>
      </w:r>
      <w:r w:rsidR="00177848" w:rsidRPr="00C6052E">
        <w:t xml:space="preserve"> </w:t>
      </w:r>
      <w:r w:rsidRPr="00C6052E">
        <w:t>due.</w:t>
      </w:r>
      <w:r w:rsidR="00177848" w:rsidRPr="00C6052E">
        <w:t xml:space="preserve"> </w:t>
      </w:r>
      <w:r w:rsidRPr="00C6052E">
        <w:t>The</w:t>
      </w:r>
      <w:r w:rsidR="00177848" w:rsidRPr="00C6052E">
        <w:t xml:space="preserve"> </w:t>
      </w:r>
      <w:r w:rsidRPr="00C6052E">
        <w:t>Department</w:t>
      </w:r>
      <w:r w:rsidR="00177848" w:rsidRPr="00C6052E">
        <w:t xml:space="preserve"> </w:t>
      </w:r>
      <w:r w:rsidRPr="00C6052E">
        <w:t>of</w:t>
      </w:r>
      <w:r w:rsidR="00177848" w:rsidRPr="00C6052E">
        <w:t xml:space="preserve"> </w:t>
      </w:r>
      <w:r w:rsidRPr="00C6052E">
        <w:t>Treasury</w:t>
      </w:r>
      <w:r w:rsidR="00177848" w:rsidRPr="00C6052E">
        <w:t xml:space="preserve"> </w:t>
      </w:r>
      <w:r w:rsidRPr="00C6052E">
        <w:t>and</w:t>
      </w:r>
      <w:r w:rsidR="00177848" w:rsidRPr="00C6052E">
        <w:t xml:space="preserve"> </w:t>
      </w:r>
      <w:r w:rsidRPr="00C6052E">
        <w:t>Finance</w:t>
      </w:r>
      <w:r w:rsidR="00177848" w:rsidRPr="00C6052E">
        <w:t xml:space="preserve"> </w:t>
      </w:r>
      <w:r w:rsidRPr="00C6052E">
        <w:t>recognises</w:t>
      </w:r>
      <w:r w:rsidR="00177848" w:rsidRPr="00C6052E">
        <w:t xml:space="preserve"> </w:t>
      </w:r>
      <w:r w:rsidRPr="00C6052E">
        <w:t>and</w:t>
      </w:r>
      <w:r w:rsidR="00177848" w:rsidRPr="00C6052E">
        <w:t xml:space="preserve"> </w:t>
      </w:r>
      <w:r w:rsidRPr="00C6052E">
        <w:t>discloses</w:t>
      </w:r>
      <w:r w:rsidR="00177848" w:rsidRPr="00C6052E">
        <w:t xml:space="preserve"> </w:t>
      </w:r>
      <w:r w:rsidRPr="00C6052E">
        <w:t>the</w:t>
      </w:r>
      <w:r w:rsidR="00177848" w:rsidRPr="00C6052E">
        <w:t xml:space="preserve"> </w:t>
      </w:r>
      <w:r w:rsidRPr="00C6052E">
        <w:t>State’s</w:t>
      </w:r>
      <w:r w:rsidR="00177848" w:rsidRPr="00C6052E">
        <w:t xml:space="preserve"> </w:t>
      </w:r>
      <w:r w:rsidRPr="00C6052E">
        <w:t>defined</w:t>
      </w:r>
      <w:r w:rsidR="00177848" w:rsidRPr="00C6052E">
        <w:t xml:space="preserve"> </w:t>
      </w:r>
      <w:r w:rsidRPr="00C6052E">
        <w:t>benefit</w:t>
      </w:r>
      <w:r w:rsidR="00177848" w:rsidRPr="00C6052E">
        <w:t xml:space="preserve"> </w:t>
      </w:r>
      <w:r w:rsidRPr="00C6052E">
        <w:t>liabilities</w:t>
      </w:r>
      <w:r w:rsidR="00177848" w:rsidRPr="00C6052E">
        <w:t xml:space="preserve"> </w:t>
      </w:r>
      <w:r w:rsidRPr="00C6052E">
        <w:t>in</w:t>
      </w:r>
      <w:r w:rsidR="00177848" w:rsidRPr="00C6052E">
        <w:t xml:space="preserve"> </w:t>
      </w:r>
      <w:r w:rsidRPr="00C6052E">
        <w:t>its</w:t>
      </w:r>
      <w:r w:rsidR="00177848" w:rsidRPr="00C6052E">
        <w:t xml:space="preserve"> </w:t>
      </w:r>
      <w:r w:rsidRPr="00C6052E">
        <w:t>financial</w:t>
      </w:r>
      <w:r w:rsidR="00177848" w:rsidRPr="00C6052E">
        <w:t xml:space="preserve"> </w:t>
      </w:r>
      <w:r w:rsidRPr="00C6052E">
        <w:t>statements</w:t>
      </w:r>
      <w:r w:rsidR="00177848" w:rsidRPr="00C6052E">
        <w:t xml:space="preserve"> </w:t>
      </w:r>
      <w:r w:rsidRPr="00C6052E">
        <w:t>as</w:t>
      </w:r>
      <w:r w:rsidR="00177848" w:rsidRPr="00C6052E">
        <w:t xml:space="preserve"> </w:t>
      </w:r>
      <w:r w:rsidRPr="00C6052E">
        <w:t>an</w:t>
      </w:r>
      <w:r w:rsidR="00177848" w:rsidRPr="00C6052E">
        <w:t xml:space="preserve"> </w:t>
      </w:r>
      <w:r w:rsidRPr="00C6052E">
        <w:t>administered</w:t>
      </w:r>
      <w:r w:rsidR="00177848" w:rsidRPr="00C6052E">
        <w:t xml:space="preserve"> </w:t>
      </w:r>
      <w:r w:rsidRPr="00C6052E">
        <w:t>liability.</w:t>
      </w:r>
    </w:p>
    <w:p w14:paraId="5DB13BA0" w14:textId="7BE1D6C2" w:rsidR="00EE5BB8" w:rsidRPr="00C6052E" w:rsidRDefault="00EE5BB8" w:rsidP="00D83915">
      <w:pPr>
        <w:pStyle w:val="TableColumnHeading"/>
      </w:pPr>
      <w:r w:rsidRPr="00C6052E">
        <w:t>The</w:t>
      </w:r>
      <w:r w:rsidR="00177848" w:rsidRPr="00C6052E">
        <w:t xml:space="preserve"> </w:t>
      </w:r>
      <w:r w:rsidRPr="00C6052E">
        <w:t>name,</w:t>
      </w:r>
      <w:r w:rsidR="00177848" w:rsidRPr="00C6052E">
        <w:t xml:space="preserve"> </w:t>
      </w:r>
      <w:r w:rsidRPr="00C6052E">
        <w:t>details</w:t>
      </w:r>
      <w:r w:rsidR="00177848" w:rsidRPr="00C6052E">
        <w:t xml:space="preserve"> </w:t>
      </w:r>
      <w:r w:rsidRPr="00C6052E">
        <w:t>and</w:t>
      </w:r>
      <w:r w:rsidR="00177848" w:rsidRPr="00C6052E">
        <w:t xml:space="preserve"> </w:t>
      </w:r>
      <w:r w:rsidRPr="00C6052E">
        <w:t>amounts</w:t>
      </w:r>
      <w:r w:rsidR="00177848" w:rsidRPr="00C6052E">
        <w:t xml:space="preserve"> </w:t>
      </w:r>
      <w:r w:rsidRPr="00C6052E">
        <w:t>expensed</w:t>
      </w:r>
      <w:r w:rsidR="00177848" w:rsidRPr="00C6052E">
        <w:t xml:space="preserve"> </w:t>
      </w:r>
      <w:r w:rsidRPr="00C6052E">
        <w:t>in</w:t>
      </w:r>
      <w:r w:rsidR="00177848" w:rsidRPr="00C6052E">
        <w:t xml:space="preserve"> </w:t>
      </w:r>
      <w:r w:rsidRPr="00C6052E">
        <w:t>relation</w:t>
      </w:r>
      <w:r w:rsidR="00177848" w:rsidRPr="00C6052E">
        <w:t xml:space="preserve"> </w:t>
      </w:r>
      <w:r w:rsidRPr="00C6052E">
        <w:t>to</w:t>
      </w:r>
      <w:r w:rsidR="00177848" w:rsidRPr="00C6052E">
        <w:t xml:space="preserve"> </w:t>
      </w:r>
      <w:r w:rsidRPr="00C6052E">
        <w:t>the</w:t>
      </w:r>
      <w:r w:rsidR="00177848" w:rsidRPr="00C6052E">
        <w:t xml:space="preserve"> </w:t>
      </w:r>
      <w:r w:rsidRPr="00C6052E">
        <w:t>major</w:t>
      </w:r>
      <w:r w:rsidR="00177848" w:rsidRPr="00C6052E">
        <w:t xml:space="preserve"> </w:t>
      </w:r>
      <w:r w:rsidRPr="00C6052E">
        <w:t>employee</w:t>
      </w:r>
      <w:r w:rsidR="00177848" w:rsidRPr="00C6052E">
        <w:t xml:space="preserve"> </w:t>
      </w:r>
      <w:r w:rsidRPr="00C6052E">
        <w:t>superannuation</w:t>
      </w:r>
      <w:r w:rsidR="00177848" w:rsidRPr="00C6052E">
        <w:t xml:space="preserve"> </w:t>
      </w:r>
      <w:r w:rsidRPr="00C6052E">
        <w:t>funds</w:t>
      </w:r>
      <w:r w:rsidR="00177848" w:rsidRPr="00C6052E">
        <w:t xml:space="preserve"> </w:t>
      </w:r>
      <w:r w:rsidRPr="00C6052E">
        <w:t>and</w:t>
      </w:r>
      <w:r w:rsidR="00177848" w:rsidRPr="00C6052E">
        <w:t xml:space="preserve"> </w:t>
      </w:r>
      <w:r w:rsidRPr="00C6052E">
        <w:t>contributions</w:t>
      </w:r>
      <w:r w:rsidR="00177848" w:rsidRPr="00C6052E">
        <w:t xml:space="preserve"> </w:t>
      </w:r>
      <w:r w:rsidRPr="00C6052E">
        <w:t>made</w:t>
      </w:r>
      <w:r w:rsidR="00177848" w:rsidRPr="00C6052E">
        <w:t xml:space="preserve"> </w:t>
      </w:r>
      <w:r w:rsidRPr="00C6052E">
        <w:t>by</w:t>
      </w:r>
      <w:r w:rsidR="00177848" w:rsidRPr="00C6052E">
        <w:t xml:space="preserve"> </w:t>
      </w:r>
      <w:r w:rsidRPr="00C6052E">
        <w:t>DJSIR</w:t>
      </w:r>
      <w:r w:rsidR="00177848" w:rsidRPr="00C6052E">
        <w:t xml:space="preserve"> </w:t>
      </w:r>
      <w:r w:rsidRPr="00C6052E">
        <w:t>are</w:t>
      </w:r>
      <w:r w:rsidR="00177848" w:rsidRPr="00C6052E">
        <w:t xml:space="preserve"> </w:t>
      </w:r>
      <w:r w:rsidRPr="00C6052E">
        <w:t>as</w:t>
      </w:r>
      <w:r w:rsidR="00177848" w:rsidRPr="00C6052E">
        <w:t xml:space="preserve"> </w:t>
      </w:r>
      <w:r w:rsidRPr="00C6052E">
        <w:t>follows:</w:t>
      </w:r>
    </w:p>
    <w:tbl>
      <w:tblPr>
        <w:tblStyle w:val="TableGrid"/>
        <w:tblW w:w="9634" w:type="dxa"/>
        <w:tblLayout w:type="fixed"/>
        <w:tblLook w:val="04E0" w:firstRow="1" w:lastRow="1" w:firstColumn="1" w:lastColumn="0" w:noHBand="0" w:noVBand="1"/>
      </w:tblPr>
      <w:tblGrid>
        <w:gridCol w:w="5524"/>
        <w:gridCol w:w="2055"/>
        <w:gridCol w:w="2055"/>
      </w:tblGrid>
      <w:tr w:rsidR="00EE5BB8" w:rsidRPr="00C6052E" w14:paraId="47218516" w14:textId="77777777" w:rsidTr="00D83915">
        <w:trPr>
          <w:tblHeader/>
        </w:trPr>
        <w:tc>
          <w:tcPr>
            <w:tcW w:w="5524" w:type="dxa"/>
            <w:noWrap/>
            <w:hideMark/>
          </w:tcPr>
          <w:p w14:paraId="133FD673" w14:textId="77777777" w:rsidR="00EE5BB8" w:rsidRPr="00C6052E" w:rsidRDefault="00EE5BB8" w:rsidP="000C0740">
            <w:pPr>
              <w:pStyle w:val="TableColumnHeading"/>
            </w:pPr>
            <w:bookmarkStart w:id="150" w:name="TableColumnHeadings_54"/>
            <w:bookmarkEnd w:id="150"/>
          </w:p>
        </w:tc>
        <w:tc>
          <w:tcPr>
            <w:tcW w:w="2055" w:type="dxa"/>
            <w:hideMark/>
          </w:tcPr>
          <w:p w14:paraId="1312B4AD" w14:textId="6C754D33" w:rsidR="00EE5BB8" w:rsidRPr="00C6052E" w:rsidRDefault="00D83915" w:rsidP="000C0740">
            <w:pPr>
              <w:pStyle w:val="TableColumnHeading"/>
              <w:jc w:val="right"/>
            </w:pPr>
            <w:r w:rsidRPr="00C6052E">
              <w:rPr>
                <w:lang w:val="en-AU"/>
              </w:rPr>
              <w:t>Paid contribution for the period</w:t>
            </w:r>
            <w:r w:rsidRPr="00C6052E">
              <w:rPr>
                <w:vertAlign w:val="superscript"/>
                <w:lang w:val="en-AU"/>
              </w:rPr>
              <w:t>(ii)</w:t>
            </w:r>
            <w:r>
              <w:rPr>
                <w:vertAlign w:val="superscript"/>
                <w:lang w:val="en-AU"/>
              </w:rPr>
              <w:t xml:space="preserve"> </w:t>
            </w:r>
            <w:r w:rsidR="00EE5BB8" w:rsidRPr="00C6052E">
              <w:t>2025</w:t>
            </w:r>
            <w:r>
              <w:t xml:space="preserve"> </w:t>
            </w:r>
            <w:r w:rsidRPr="00C6052E">
              <w:rPr>
                <w:lang w:val="en-AU"/>
              </w:rPr>
              <w:t>($</w:t>
            </w:r>
            <w:r>
              <w:rPr>
                <w:lang w:val="en-AU"/>
              </w:rPr>
              <w:t> </w:t>
            </w:r>
            <w:r w:rsidRPr="00C6052E">
              <w:rPr>
                <w:lang w:val="en-AU"/>
              </w:rPr>
              <w:t>thousand)</w:t>
            </w:r>
            <w:r>
              <w:t xml:space="preserve"> </w:t>
            </w:r>
          </w:p>
        </w:tc>
        <w:tc>
          <w:tcPr>
            <w:tcW w:w="2055" w:type="dxa"/>
            <w:hideMark/>
          </w:tcPr>
          <w:p w14:paraId="4FA9FB7B" w14:textId="233CF913" w:rsidR="00EE5BB8" w:rsidRPr="00C6052E" w:rsidRDefault="00D83915" w:rsidP="000C0740">
            <w:pPr>
              <w:pStyle w:val="TableColumnHeading"/>
              <w:jc w:val="right"/>
            </w:pPr>
            <w:r w:rsidRPr="00C6052E">
              <w:rPr>
                <w:lang w:val="en-AU"/>
              </w:rPr>
              <w:t>Paid contribution for the period</w:t>
            </w:r>
            <w:r w:rsidRPr="00C6052E">
              <w:rPr>
                <w:vertAlign w:val="superscript"/>
                <w:lang w:val="en-AU"/>
              </w:rPr>
              <w:t>(ii)</w:t>
            </w:r>
            <w:r>
              <w:rPr>
                <w:vertAlign w:val="superscript"/>
                <w:lang w:val="en-AU"/>
              </w:rPr>
              <w:t xml:space="preserve"> </w:t>
            </w:r>
            <w:r w:rsidR="00EE5BB8" w:rsidRPr="00C6052E">
              <w:t>2024</w:t>
            </w:r>
            <w:r>
              <w:t xml:space="preserve"> </w:t>
            </w:r>
            <w:r w:rsidRPr="00C6052E">
              <w:rPr>
                <w:lang w:val="en-AU"/>
              </w:rPr>
              <w:t>($</w:t>
            </w:r>
            <w:r>
              <w:rPr>
                <w:lang w:val="en-AU"/>
              </w:rPr>
              <w:t> </w:t>
            </w:r>
            <w:r w:rsidRPr="00C6052E">
              <w:rPr>
                <w:lang w:val="en-AU"/>
              </w:rPr>
              <w:t>thousand)</w:t>
            </w:r>
            <w:r>
              <w:t xml:space="preserve"> </w:t>
            </w:r>
          </w:p>
        </w:tc>
      </w:tr>
      <w:tr w:rsidR="000C0740" w:rsidRPr="00C6052E" w14:paraId="509ABA2F" w14:textId="77777777" w:rsidTr="00D83915">
        <w:tc>
          <w:tcPr>
            <w:tcW w:w="5524" w:type="dxa"/>
          </w:tcPr>
          <w:p w14:paraId="3FDFFB07" w14:textId="0A6D3424" w:rsidR="000C0740" w:rsidRPr="00C6052E" w:rsidRDefault="000C0740" w:rsidP="000C0740">
            <w:pPr>
              <w:pStyle w:val="TableHeading"/>
            </w:pPr>
            <w:r w:rsidRPr="00C6052E">
              <w:t>Fund</w:t>
            </w:r>
          </w:p>
        </w:tc>
        <w:tc>
          <w:tcPr>
            <w:tcW w:w="2055" w:type="dxa"/>
            <w:noWrap/>
          </w:tcPr>
          <w:p w14:paraId="0EAE0401" w14:textId="77777777" w:rsidR="000C0740" w:rsidRPr="00C6052E" w:rsidRDefault="000C0740" w:rsidP="000C0740">
            <w:pPr>
              <w:pStyle w:val="TableHeading"/>
              <w:jc w:val="right"/>
            </w:pPr>
          </w:p>
        </w:tc>
        <w:tc>
          <w:tcPr>
            <w:tcW w:w="2055" w:type="dxa"/>
            <w:noWrap/>
          </w:tcPr>
          <w:p w14:paraId="44DC4047" w14:textId="77777777" w:rsidR="000C0740" w:rsidRPr="00C6052E" w:rsidRDefault="000C0740" w:rsidP="000C0740">
            <w:pPr>
              <w:pStyle w:val="TableHeading"/>
              <w:jc w:val="right"/>
            </w:pPr>
          </w:p>
        </w:tc>
      </w:tr>
      <w:tr w:rsidR="000C0740" w:rsidRPr="00C6052E" w14:paraId="255113B5" w14:textId="77777777" w:rsidTr="00D83915">
        <w:tc>
          <w:tcPr>
            <w:tcW w:w="5524" w:type="dxa"/>
          </w:tcPr>
          <w:p w14:paraId="6245E3AC" w14:textId="63BACE2F" w:rsidR="000C0740" w:rsidRPr="00C6052E" w:rsidRDefault="000C0740" w:rsidP="00AA3926">
            <w:pPr>
              <w:pStyle w:val="TableHeading"/>
            </w:pPr>
            <w:r w:rsidRPr="00C6052E">
              <w:t>Defined benefit plans</w:t>
            </w:r>
            <w:r w:rsidRPr="00C6052E">
              <w:rPr>
                <w:vertAlign w:val="superscript"/>
              </w:rPr>
              <w:t>(i)</w:t>
            </w:r>
          </w:p>
        </w:tc>
        <w:tc>
          <w:tcPr>
            <w:tcW w:w="2055" w:type="dxa"/>
            <w:noWrap/>
          </w:tcPr>
          <w:p w14:paraId="2E3C2543" w14:textId="77777777" w:rsidR="000C0740" w:rsidRPr="00C6052E" w:rsidRDefault="000C0740" w:rsidP="000C0740">
            <w:pPr>
              <w:pStyle w:val="TableHeading"/>
              <w:jc w:val="right"/>
            </w:pPr>
          </w:p>
        </w:tc>
        <w:tc>
          <w:tcPr>
            <w:tcW w:w="2055" w:type="dxa"/>
            <w:noWrap/>
          </w:tcPr>
          <w:p w14:paraId="546E44C5" w14:textId="77777777" w:rsidR="000C0740" w:rsidRPr="00C6052E" w:rsidRDefault="000C0740" w:rsidP="000C0740">
            <w:pPr>
              <w:pStyle w:val="TableHeading"/>
              <w:jc w:val="right"/>
            </w:pPr>
          </w:p>
        </w:tc>
      </w:tr>
      <w:tr w:rsidR="00EE5BB8" w:rsidRPr="00C6052E" w14:paraId="7F999F52" w14:textId="77777777" w:rsidTr="00D83915">
        <w:tc>
          <w:tcPr>
            <w:tcW w:w="5524" w:type="dxa"/>
            <w:hideMark/>
          </w:tcPr>
          <w:p w14:paraId="1B0C260F" w14:textId="42F40DC4" w:rsidR="00EE5BB8" w:rsidRPr="00C6052E" w:rsidRDefault="00EE5BB8" w:rsidP="0063097D">
            <w:pPr>
              <w:pStyle w:val="TableCopy"/>
            </w:pPr>
            <w:r w:rsidRPr="00C6052E">
              <w:t>State</w:t>
            </w:r>
            <w:r w:rsidR="00177848" w:rsidRPr="00C6052E">
              <w:t xml:space="preserve"> </w:t>
            </w:r>
            <w:r w:rsidRPr="00C6052E">
              <w:t>Superannuation</w:t>
            </w:r>
            <w:r w:rsidR="00177848" w:rsidRPr="00C6052E">
              <w:t xml:space="preserve"> </w:t>
            </w:r>
            <w:r w:rsidRPr="00C6052E">
              <w:t>Fund</w:t>
            </w:r>
            <w:r w:rsidR="00177848" w:rsidRPr="00C6052E">
              <w:t xml:space="preserve"> </w:t>
            </w:r>
          </w:p>
        </w:tc>
        <w:tc>
          <w:tcPr>
            <w:tcW w:w="2055" w:type="dxa"/>
            <w:noWrap/>
            <w:hideMark/>
          </w:tcPr>
          <w:p w14:paraId="3C1CD070" w14:textId="77777777" w:rsidR="00EE5BB8" w:rsidRPr="00C6052E" w:rsidRDefault="00EE5BB8" w:rsidP="000C0740">
            <w:pPr>
              <w:pStyle w:val="TableCopy"/>
              <w:jc w:val="right"/>
            </w:pPr>
            <w:r w:rsidRPr="00C6052E">
              <w:t>(374)</w:t>
            </w:r>
          </w:p>
        </w:tc>
        <w:tc>
          <w:tcPr>
            <w:tcW w:w="2055" w:type="dxa"/>
            <w:noWrap/>
            <w:hideMark/>
          </w:tcPr>
          <w:p w14:paraId="38751B00" w14:textId="77777777" w:rsidR="00EE5BB8" w:rsidRPr="00C6052E" w:rsidRDefault="00EE5BB8" w:rsidP="000C0740">
            <w:pPr>
              <w:pStyle w:val="TableCopy"/>
              <w:jc w:val="right"/>
            </w:pPr>
            <w:r w:rsidRPr="00C6052E">
              <w:t>(417)</w:t>
            </w:r>
          </w:p>
        </w:tc>
      </w:tr>
      <w:tr w:rsidR="000C0740" w:rsidRPr="00C6052E" w14:paraId="04DD0A89" w14:textId="77777777" w:rsidTr="00D83915">
        <w:tc>
          <w:tcPr>
            <w:tcW w:w="5524" w:type="dxa"/>
          </w:tcPr>
          <w:p w14:paraId="4FCEF12B" w14:textId="3E8EE6A3" w:rsidR="000C0740" w:rsidRPr="00C6052E" w:rsidRDefault="000C0740" w:rsidP="002947B1">
            <w:pPr>
              <w:pStyle w:val="TableHeading"/>
            </w:pPr>
            <w:r w:rsidRPr="00C6052E">
              <w:t>Defined contribution plans</w:t>
            </w:r>
          </w:p>
        </w:tc>
        <w:tc>
          <w:tcPr>
            <w:tcW w:w="2055" w:type="dxa"/>
            <w:noWrap/>
          </w:tcPr>
          <w:p w14:paraId="5106E6D8" w14:textId="77777777" w:rsidR="000C0740" w:rsidRPr="00C6052E" w:rsidRDefault="000C0740" w:rsidP="000C0740">
            <w:pPr>
              <w:pStyle w:val="TableHeading"/>
              <w:jc w:val="right"/>
            </w:pPr>
          </w:p>
        </w:tc>
        <w:tc>
          <w:tcPr>
            <w:tcW w:w="2055" w:type="dxa"/>
            <w:noWrap/>
          </w:tcPr>
          <w:p w14:paraId="10D2DFB6" w14:textId="77777777" w:rsidR="000C0740" w:rsidRPr="00C6052E" w:rsidRDefault="000C0740" w:rsidP="000C0740">
            <w:pPr>
              <w:pStyle w:val="TableHeading"/>
              <w:jc w:val="right"/>
            </w:pPr>
          </w:p>
        </w:tc>
      </w:tr>
      <w:tr w:rsidR="00EE5BB8" w:rsidRPr="00C6052E" w14:paraId="5A9B6CB8" w14:textId="77777777" w:rsidTr="00D83915">
        <w:tc>
          <w:tcPr>
            <w:tcW w:w="5524" w:type="dxa"/>
            <w:hideMark/>
          </w:tcPr>
          <w:p w14:paraId="7A7195EA" w14:textId="51EB0AD9" w:rsidR="00EE5BB8" w:rsidRPr="00C6052E" w:rsidRDefault="00EE5BB8" w:rsidP="0063097D">
            <w:pPr>
              <w:pStyle w:val="TableCopy"/>
            </w:pPr>
            <w:r w:rsidRPr="00C6052E">
              <w:t>Aware</w:t>
            </w:r>
            <w:r w:rsidR="00177848" w:rsidRPr="00C6052E">
              <w:t xml:space="preserve"> </w:t>
            </w:r>
            <w:r w:rsidRPr="00C6052E">
              <w:t>Super</w:t>
            </w:r>
            <w:r w:rsidR="00177848" w:rsidRPr="00C6052E">
              <w:t xml:space="preserve"> </w:t>
            </w:r>
          </w:p>
        </w:tc>
        <w:tc>
          <w:tcPr>
            <w:tcW w:w="2055" w:type="dxa"/>
            <w:noWrap/>
            <w:hideMark/>
          </w:tcPr>
          <w:p w14:paraId="72913967" w14:textId="77777777" w:rsidR="00EE5BB8" w:rsidRPr="00C6052E" w:rsidRDefault="00EE5BB8" w:rsidP="000C0740">
            <w:pPr>
              <w:pStyle w:val="TableCopy"/>
              <w:jc w:val="right"/>
            </w:pPr>
            <w:r w:rsidRPr="00C6052E">
              <w:t>(14,277)</w:t>
            </w:r>
          </w:p>
        </w:tc>
        <w:tc>
          <w:tcPr>
            <w:tcW w:w="2055" w:type="dxa"/>
            <w:noWrap/>
            <w:hideMark/>
          </w:tcPr>
          <w:p w14:paraId="485406F3" w14:textId="77777777" w:rsidR="00EE5BB8" w:rsidRPr="00C6052E" w:rsidRDefault="00EE5BB8" w:rsidP="000C0740">
            <w:pPr>
              <w:pStyle w:val="TableCopy"/>
              <w:jc w:val="right"/>
            </w:pPr>
            <w:r w:rsidRPr="00C6052E">
              <w:t>(14,225)</w:t>
            </w:r>
          </w:p>
        </w:tc>
      </w:tr>
      <w:tr w:rsidR="00EE5BB8" w:rsidRPr="00C6052E" w14:paraId="69A9F89F" w14:textId="77777777" w:rsidTr="00D83915">
        <w:tc>
          <w:tcPr>
            <w:tcW w:w="5524" w:type="dxa"/>
            <w:hideMark/>
          </w:tcPr>
          <w:p w14:paraId="17A6C3E2" w14:textId="4A8C1A18" w:rsidR="00EE5BB8" w:rsidRPr="00C6052E" w:rsidRDefault="00EE5BB8" w:rsidP="0063097D">
            <w:pPr>
              <w:pStyle w:val="TableCopy"/>
            </w:pPr>
            <w:r w:rsidRPr="00C6052E">
              <w:t>Australian</w:t>
            </w:r>
            <w:r w:rsidR="00177848" w:rsidRPr="00C6052E">
              <w:t xml:space="preserve"> </w:t>
            </w:r>
            <w:r w:rsidRPr="00C6052E">
              <w:t>Super</w:t>
            </w:r>
            <w:r w:rsidR="00177848" w:rsidRPr="00C6052E">
              <w:t xml:space="preserve"> </w:t>
            </w:r>
          </w:p>
        </w:tc>
        <w:tc>
          <w:tcPr>
            <w:tcW w:w="2055" w:type="dxa"/>
            <w:noWrap/>
            <w:hideMark/>
          </w:tcPr>
          <w:p w14:paraId="73B5844C" w14:textId="77777777" w:rsidR="00EE5BB8" w:rsidRPr="00C6052E" w:rsidRDefault="00EE5BB8" w:rsidP="000C0740">
            <w:pPr>
              <w:pStyle w:val="TableCopy"/>
              <w:jc w:val="right"/>
            </w:pPr>
            <w:r w:rsidRPr="00C6052E">
              <w:t>(3,640)</w:t>
            </w:r>
          </w:p>
        </w:tc>
        <w:tc>
          <w:tcPr>
            <w:tcW w:w="2055" w:type="dxa"/>
            <w:noWrap/>
            <w:hideMark/>
          </w:tcPr>
          <w:p w14:paraId="15A15797" w14:textId="77777777" w:rsidR="00EE5BB8" w:rsidRPr="00C6052E" w:rsidRDefault="00EE5BB8" w:rsidP="000C0740">
            <w:pPr>
              <w:pStyle w:val="TableCopy"/>
              <w:jc w:val="right"/>
            </w:pPr>
            <w:r w:rsidRPr="00C6052E">
              <w:t>(3,491)</w:t>
            </w:r>
          </w:p>
        </w:tc>
      </w:tr>
      <w:tr w:rsidR="00EE5BB8" w:rsidRPr="00C6052E" w14:paraId="066437DA" w14:textId="77777777" w:rsidTr="00D83915">
        <w:tc>
          <w:tcPr>
            <w:tcW w:w="5524" w:type="dxa"/>
            <w:hideMark/>
          </w:tcPr>
          <w:p w14:paraId="38B3D184" w14:textId="77777777" w:rsidR="00EE5BB8" w:rsidRPr="00C6052E" w:rsidRDefault="00EE5BB8" w:rsidP="0063097D">
            <w:pPr>
              <w:pStyle w:val="TableCopy"/>
            </w:pPr>
            <w:r w:rsidRPr="00C6052E">
              <w:t>Other</w:t>
            </w:r>
            <w:r w:rsidRPr="00C6052E">
              <w:rPr>
                <w:vertAlign w:val="superscript"/>
              </w:rPr>
              <w:t>(iii)</w:t>
            </w:r>
          </w:p>
        </w:tc>
        <w:tc>
          <w:tcPr>
            <w:tcW w:w="2055" w:type="dxa"/>
            <w:noWrap/>
            <w:hideMark/>
          </w:tcPr>
          <w:p w14:paraId="6579820D" w14:textId="77777777" w:rsidR="00EE5BB8" w:rsidRPr="00C6052E" w:rsidRDefault="00EE5BB8" w:rsidP="000C0740">
            <w:pPr>
              <w:pStyle w:val="TableCopy"/>
              <w:jc w:val="right"/>
            </w:pPr>
            <w:r w:rsidRPr="00C6052E">
              <w:t>(12,345)</w:t>
            </w:r>
          </w:p>
        </w:tc>
        <w:tc>
          <w:tcPr>
            <w:tcW w:w="2055" w:type="dxa"/>
            <w:noWrap/>
            <w:hideMark/>
          </w:tcPr>
          <w:p w14:paraId="017F2968" w14:textId="77777777" w:rsidR="00EE5BB8" w:rsidRPr="00C6052E" w:rsidRDefault="00EE5BB8" w:rsidP="000C0740">
            <w:pPr>
              <w:pStyle w:val="TableCopy"/>
              <w:jc w:val="right"/>
            </w:pPr>
            <w:r w:rsidRPr="00C6052E">
              <w:t>(11,839)</w:t>
            </w:r>
          </w:p>
        </w:tc>
      </w:tr>
      <w:tr w:rsidR="00EE5BB8" w:rsidRPr="00C6052E" w14:paraId="28BB4D5F" w14:textId="77777777" w:rsidTr="00D83915">
        <w:tc>
          <w:tcPr>
            <w:tcW w:w="5524" w:type="dxa"/>
            <w:hideMark/>
          </w:tcPr>
          <w:p w14:paraId="4DBF5B18" w14:textId="3CAED91A" w:rsidR="00EE5BB8" w:rsidRPr="00C6052E" w:rsidRDefault="00EE5BB8" w:rsidP="0063097D">
            <w:pPr>
              <w:pStyle w:val="Tabletotal"/>
            </w:pPr>
            <w:r w:rsidRPr="00C6052E">
              <w:t>Total</w:t>
            </w:r>
            <w:r w:rsidR="00177848" w:rsidRPr="00C6052E">
              <w:t xml:space="preserve"> </w:t>
            </w:r>
            <w:r w:rsidRPr="00C6052E">
              <w:t>superannuation</w:t>
            </w:r>
            <w:r w:rsidR="00177848" w:rsidRPr="00C6052E">
              <w:t xml:space="preserve"> </w:t>
            </w:r>
            <w:r w:rsidRPr="00C6052E">
              <w:t>contributions</w:t>
            </w:r>
          </w:p>
        </w:tc>
        <w:tc>
          <w:tcPr>
            <w:tcW w:w="2055" w:type="dxa"/>
            <w:noWrap/>
            <w:hideMark/>
          </w:tcPr>
          <w:p w14:paraId="41169632" w14:textId="77777777" w:rsidR="00EE5BB8" w:rsidRPr="00C6052E" w:rsidRDefault="00EE5BB8" w:rsidP="000C0740">
            <w:pPr>
              <w:pStyle w:val="Tabletotal"/>
              <w:jc w:val="right"/>
            </w:pPr>
            <w:r w:rsidRPr="00C6052E">
              <w:t>(30,636)</w:t>
            </w:r>
          </w:p>
        </w:tc>
        <w:tc>
          <w:tcPr>
            <w:tcW w:w="2055" w:type="dxa"/>
            <w:noWrap/>
            <w:hideMark/>
          </w:tcPr>
          <w:p w14:paraId="1A8CDB07" w14:textId="77777777" w:rsidR="00EE5BB8" w:rsidRPr="00C6052E" w:rsidRDefault="00EE5BB8" w:rsidP="000C0740">
            <w:pPr>
              <w:pStyle w:val="Tabletotal"/>
              <w:jc w:val="right"/>
            </w:pPr>
            <w:r w:rsidRPr="00C6052E">
              <w:t>(29,972)</w:t>
            </w:r>
          </w:p>
        </w:tc>
      </w:tr>
    </w:tbl>
    <w:p w14:paraId="34940756" w14:textId="1E6A36A6" w:rsidR="00EE5BB8" w:rsidRPr="00C6052E" w:rsidRDefault="00EE5BB8" w:rsidP="00EE5BB8">
      <w:pPr>
        <w:pStyle w:val="Tablenotes-numbered"/>
        <w:numPr>
          <w:ilvl w:val="0"/>
          <w:numId w:val="22"/>
        </w:numPr>
      </w:pPr>
      <w:r w:rsidRPr="00C6052E">
        <w:lastRenderedPageBreak/>
        <w:t>The</w:t>
      </w:r>
      <w:r w:rsidR="00177848" w:rsidRPr="00C6052E">
        <w:t xml:space="preserve"> </w:t>
      </w:r>
      <w:r w:rsidRPr="00C6052E">
        <w:t>basis</w:t>
      </w:r>
      <w:r w:rsidR="00177848" w:rsidRPr="00C6052E">
        <w:t xml:space="preserve"> </w:t>
      </w:r>
      <w:r w:rsidRPr="00C6052E">
        <w:t>for</w:t>
      </w:r>
      <w:r w:rsidR="00177848" w:rsidRPr="00C6052E">
        <w:t xml:space="preserve"> </w:t>
      </w:r>
      <w:r w:rsidRPr="00C6052E">
        <w:t>determining</w:t>
      </w:r>
      <w:r w:rsidR="00177848" w:rsidRPr="00C6052E">
        <w:t xml:space="preserve"> </w:t>
      </w:r>
      <w:r w:rsidRPr="00C6052E">
        <w:t>the</w:t>
      </w:r>
      <w:r w:rsidR="00177848" w:rsidRPr="00C6052E">
        <w:t xml:space="preserve"> </w:t>
      </w:r>
      <w:r w:rsidRPr="00C6052E">
        <w:t>level</w:t>
      </w:r>
      <w:r w:rsidR="00177848" w:rsidRPr="00C6052E">
        <w:t xml:space="preserve"> </w:t>
      </w:r>
      <w:r w:rsidRPr="00C6052E">
        <w:t>of</w:t>
      </w:r>
      <w:r w:rsidR="00177848" w:rsidRPr="00C6052E">
        <w:t xml:space="preserve"> </w:t>
      </w:r>
      <w:r w:rsidRPr="00C6052E">
        <w:t>contributions</w:t>
      </w:r>
      <w:r w:rsidR="00177848" w:rsidRPr="00C6052E">
        <w:t xml:space="preserve"> </w:t>
      </w:r>
      <w:r w:rsidRPr="00C6052E">
        <w:t>is</w:t>
      </w:r>
      <w:r w:rsidR="00177848" w:rsidRPr="00C6052E">
        <w:t xml:space="preserve"> </w:t>
      </w:r>
      <w:r w:rsidRPr="00C6052E">
        <w:t>determined</w:t>
      </w:r>
      <w:r w:rsidR="00177848" w:rsidRPr="00C6052E">
        <w:t xml:space="preserve"> </w:t>
      </w:r>
      <w:r w:rsidRPr="00C6052E">
        <w:t>by</w:t>
      </w:r>
      <w:r w:rsidR="00177848" w:rsidRPr="00C6052E">
        <w:t xml:space="preserve"> </w:t>
      </w:r>
      <w:r w:rsidRPr="00C6052E">
        <w:t>the</w:t>
      </w:r>
      <w:r w:rsidR="00177848" w:rsidRPr="00C6052E">
        <w:t xml:space="preserve"> </w:t>
      </w:r>
      <w:r w:rsidRPr="00C6052E">
        <w:t>various</w:t>
      </w:r>
      <w:r w:rsidR="00177848" w:rsidRPr="00C6052E">
        <w:t xml:space="preserve"> </w:t>
      </w:r>
      <w:r w:rsidRPr="00C6052E">
        <w:t>actuaries</w:t>
      </w:r>
      <w:r w:rsidR="00177848" w:rsidRPr="00C6052E">
        <w:t xml:space="preserve"> </w:t>
      </w:r>
      <w:r w:rsidRPr="00C6052E">
        <w:t>of</w:t>
      </w:r>
      <w:r w:rsidR="00177848" w:rsidRPr="00C6052E">
        <w:t xml:space="preserve"> </w:t>
      </w:r>
      <w:r w:rsidRPr="00C6052E">
        <w:t>the</w:t>
      </w:r>
      <w:r w:rsidR="00177848" w:rsidRPr="00C6052E">
        <w:t xml:space="preserve"> </w:t>
      </w:r>
      <w:r w:rsidRPr="00C6052E">
        <w:t>defined</w:t>
      </w:r>
      <w:r w:rsidR="00177848" w:rsidRPr="00C6052E">
        <w:t xml:space="preserve"> </w:t>
      </w:r>
      <w:r w:rsidRPr="00C6052E">
        <w:t>benefit</w:t>
      </w:r>
      <w:r w:rsidR="00177848" w:rsidRPr="00C6052E">
        <w:t xml:space="preserve"> </w:t>
      </w:r>
      <w:r w:rsidRPr="00C6052E">
        <w:t>superannuation</w:t>
      </w:r>
      <w:r w:rsidR="00177848" w:rsidRPr="00C6052E">
        <w:t xml:space="preserve"> </w:t>
      </w:r>
      <w:r w:rsidRPr="00C6052E">
        <w:t>plans.</w:t>
      </w:r>
    </w:p>
    <w:p w14:paraId="2DEA2F35" w14:textId="7EF9A9D0" w:rsidR="00EE5BB8" w:rsidRPr="00C6052E" w:rsidRDefault="00EE5BB8" w:rsidP="00EE5BB8">
      <w:pPr>
        <w:pStyle w:val="Tablenotes-numbered"/>
        <w:numPr>
          <w:ilvl w:val="0"/>
          <w:numId w:val="22"/>
        </w:numPr>
      </w:pPr>
      <w:r w:rsidRPr="00C6052E">
        <w:t>There</w:t>
      </w:r>
      <w:r w:rsidR="00177848" w:rsidRPr="00C6052E">
        <w:t xml:space="preserve"> </w:t>
      </w:r>
      <w:r w:rsidRPr="00C6052E">
        <w:t>were</w:t>
      </w:r>
      <w:r w:rsidR="00177848" w:rsidRPr="00C6052E">
        <w:t xml:space="preserve"> </w:t>
      </w:r>
      <w:r w:rsidRPr="00C6052E">
        <w:t>no</w:t>
      </w:r>
      <w:r w:rsidR="00177848" w:rsidRPr="00C6052E">
        <w:t xml:space="preserve"> </w:t>
      </w:r>
      <w:r w:rsidRPr="00C6052E">
        <w:t>outstanding</w:t>
      </w:r>
      <w:r w:rsidR="00177848" w:rsidRPr="00C6052E">
        <w:t xml:space="preserve"> </w:t>
      </w:r>
      <w:r w:rsidRPr="00C6052E">
        <w:t>contributions</w:t>
      </w:r>
      <w:r w:rsidR="00177848" w:rsidRPr="00C6052E">
        <w:t xml:space="preserve"> </w:t>
      </w:r>
      <w:r w:rsidRPr="00C6052E">
        <w:t>at</w:t>
      </w:r>
      <w:r w:rsidR="00177848" w:rsidRPr="00C6052E">
        <w:t xml:space="preserve"> </w:t>
      </w:r>
      <w:fldSimple w:instr=" DOCPROPERTY  pEnd  \* MERGEFORMAT ">
        <w:r w:rsidRPr="00C6052E">
          <w:t>30</w:t>
        </w:r>
        <w:r w:rsidR="00177848" w:rsidRPr="00C6052E">
          <w:t xml:space="preserve"> </w:t>
        </w:r>
        <w:r w:rsidRPr="00C6052E">
          <w:t>June</w:t>
        </w:r>
      </w:fldSimple>
      <w:r w:rsidR="00177848" w:rsidRPr="00C6052E">
        <w:t xml:space="preserve"> </w:t>
      </w:r>
      <w:fldSimple w:instr=" DOCPROPERTY  crYear  \* MERGEFORMAT ">
        <w:r w:rsidRPr="00C6052E">
          <w:t>2025</w:t>
        </w:r>
      </w:fldSimple>
      <w:r w:rsidR="00177848" w:rsidRPr="00C6052E">
        <w:t xml:space="preserve"> </w:t>
      </w:r>
      <w:r w:rsidRPr="00C6052E">
        <w:t>(</w:t>
      </w:r>
      <w:fldSimple w:instr=" DOCPROPERTY  prYear  \* MERGEFORMAT ">
        <w:r w:rsidRPr="00C6052E">
          <w:t>2024</w:t>
        </w:r>
      </w:fldSimple>
      <w:r w:rsidRPr="00C6052E">
        <w:t>:</w:t>
      </w:r>
      <w:r w:rsidR="00177848" w:rsidRPr="00C6052E">
        <w:t xml:space="preserve"> </w:t>
      </w:r>
      <w:r w:rsidRPr="00C6052E">
        <w:t>Nil)</w:t>
      </w:r>
    </w:p>
    <w:p w14:paraId="0C21CA3E" w14:textId="0BD3EBBE" w:rsidR="00EE5BB8" w:rsidRPr="00C6052E" w:rsidRDefault="00EE5BB8" w:rsidP="00EE5BB8">
      <w:pPr>
        <w:pStyle w:val="Tablenotes-numbered"/>
        <w:numPr>
          <w:ilvl w:val="0"/>
          <w:numId w:val="22"/>
        </w:numPr>
      </w:pPr>
      <w:r w:rsidRPr="00C6052E">
        <w:t>There</w:t>
      </w:r>
      <w:r w:rsidR="00177848" w:rsidRPr="00C6052E">
        <w:t xml:space="preserve"> </w:t>
      </w:r>
      <w:r w:rsidRPr="00C6052E">
        <w:t>are</w:t>
      </w:r>
      <w:r w:rsidR="00177848" w:rsidRPr="00C6052E">
        <w:t xml:space="preserve"> </w:t>
      </w:r>
      <w:r w:rsidRPr="00C6052E">
        <w:t>no</w:t>
      </w:r>
      <w:r w:rsidR="00177848" w:rsidRPr="00C6052E">
        <w:t xml:space="preserve"> </w:t>
      </w:r>
      <w:r w:rsidRPr="00C6052E">
        <w:t>material</w:t>
      </w:r>
      <w:r w:rsidR="00177848" w:rsidRPr="00C6052E">
        <w:t xml:space="preserve"> </w:t>
      </w:r>
      <w:r w:rsidRPr="00C6052E">
        <w:t>balances</w:t>
      </w:r>
      <w:r w:rsidR="00177848" w:rsidRPr="00C6052E">
        <w:t xml:space="preserve"> </w:t>
      </w:r>
      <w:r w:rsidRPr="00C6052E">
        <w:t>over</w:t>
      </w:r>
      <w:r w:rsidR="00177848" w:rsidRPr="00C6052E">
        <w:t xml:space="preserve"> </w:t>
      </w:r>
      <w:r w:rsidRPr="00C6052E">
        <w:t>10%</w:t>
      </w:r>
      <w:r w:rsidR="00177848" w:rsidRPr="00C6052E">
        <w:t xml:space="preserve"> </w:t>
      </w:r>
      <w:r w:rsidRPr="00C6052E">
        <w:t>within</w:t>
      </w:r>
      <w:r w:rsidR="00177848" w:rsidRPr="00C6052E">
        <w:t xml:space="preserve"> </w:t>
      </w:r>
      <w:r w:rsidRPr="00C6052E">
        <w:t>other</w:t>
      </w:r>
      <w:r w:rsidR="00177848" w:rsidRPr="00C6052E">
        <w:t xml:space="preserve"> </w:t>
      </w:r>
      <w:r w:rsidRPr="00C6052E">
        <w:t>superannuation</w:t>
      </w:r>
      <w:r w:rsidR="00177848" w:rsidRPr="00C6052E">
        <w:t xml:space="preserve"> </w:t>
      </w:r>
      <w:r w:rsidRPr="00C6052E">
        <w:t>funds.</w:t>
      </w:r>
    </w:p>
    <w:p w14:paraId="075852AA" w14:textId="77777777" w:rsidR="00EE5BB8" w:rsidRPr="00C6052E" w:rsidRDefault="00EE5BB8" w:rsidP="00EE5BB8"/>
    <w:p w14:paraId="626808B1" w14:textId="2CCCFC40" w:rsidR="00EE5BB8" w:rsidRPr="00C6052E" w:rsidRDefault="00EE5BB8" w:rsidP="000C0740">
      <w:pPr>
        <w:pStyle w:val="Heading2numbered0"/>
      </w:pPr>
      <w:bookmarkStart w:id="151" w:name="_Toc163565956"/>
      <w:bookmarkStart w:id="152" w:name="_Ref163567530"/>
      <w:bookmarkStart w:id="153" w:name="_Ref163567536"/>
      <w:bookmarkStart w:id="154" w:name="_Ref190163570"/>
      <w:bookmarkStart w:id="155" w:name="_Ref209454301"/>
      <w:bookmarkStart w:id="156" w:name="_Ref209454314"/>
      <w:bookmarkStart w:id="157" w:name="_Ref209609226"/>
      <w:bookmarkStart w:id="158" w:name="_Ref209689222"/>
      <w:bookmarkStart w:id="159" w:name="_Ref209689228"/>
      <w:r w:rsidRPr="00C6052E">
        <w:t>Other</w:t>
      </w:r>
      <w:r w:rsidR="00177848" w:rsidRPr="00C6052E">
        <w:t xml:space="preserve"> </w:t>
      </w:r>
      <w:r w:rsidRPr="00C6052E">
        <w:t>operating</w:t>
      </w:r>
      <w:r w:rsidR="00177848" w:rsidRPr="00C6052E">
        <w:t xml:space="preserve"> </w:t>
      </w:r>
      <w:r w:rsidRPr="000C0740">
        <w:t>expenses</w:t>
      </w:r>
      <w:bookmarkEnd w:id="151"/>
      <w:bookmarkEnd w:id="152"/>
      <w:bookmarkEnd w:id="153"/>
      <w:bookmarkEnd w:id="154"/>
      <w:bookmarkEnd w:id="155"/>
      <w:bookmarkEnd w:id="156"/>
      <w:bookmarkEnd w:id="157"/>
      <w:bookmarkEnd w:id="158"/>
      <w:bookmarkEnd w:id="159"/>
      <w:r w:rsidR="00D83915">
        <w:t xml:space="preserve"> </w:t>
      </w:r>
      <w:r w:rsidR="00D83915" w:rsidRPr="00C6052E">
        <w:t>($ thousand)</w:t>
      </w:r>
    </w:p>
    <w:tbl>
      <w:tblPr>
        <w:tblStyle w:val="TableGrid"/>
        <w:tblW w:w="9731" w:type="dxa"/>
        <w:tblInd w:w="-5" w:type="dxa"/>
        <w:tblLayout w:type="fixed"/>
        <w:tblLook w:val="04E0" w:firstRow="1" w:lastRow="1" w:firstColumn="1" w:lastColumn="0" w:noHBand="0" w:noVBand="1"/>
      </w:tblPr>
      <w:tblGrid>
        <w:gridCol w:w="6379"/>
        <w:gridCol w:w="1674"/>
        <w:gridCol w:w="1678"/>
      </w:tblGrid>
      <w:tr w:rsidR="00EE5BB8" w:rsidRPr="00C6052E" w14:paraId="0D0A3C5C" w14:textId="77777777" w:rsidTr="000C0740">
        <w:trPr>
          <w:tblHeader/>
        </w:trPr>
        <w:tc>
          <w:tcPr>
            <w:tcW w:w="6379" w:type="dxa"/>
            <w:noWrap/>
            <w:hideMark/>
          </w:tcPr>
          <w:p w14:paraId="79924FA8" w14:textId="77777777" w:rsidR="00EE5BB8" w:rsidRPr="00C6052E" w:rsidRDefault="00EE5BB8" w:rsidP="00C34F64">
            <w:pPr>
              <w:pStyle w:val="TableColumnHeading"/>
            </w:pPr>
            <w:bookmarkStart w:id="160" w:name="TableColumnHeadings_55"/>
            <w:bookmarkEnd w:id="160"/>
          </w:p>
        </w:tc>
        <w:tc>
          <w:tcPr>
            <w:tcW w:w="1674" w:type="dxa"/>
            <w:hideMark/>
          </w:tcPr>
          <w:p w14:paraId="7D06CCC0" w14:textId="77777777" w:rsidR="00EE5BB8" w:rsidRPr="00C6052E" w:rsidRDefault="00EE5BB8" w:rsidP="000C0740">
            <w:pPr>
              <w:pStyle w:val="TableColumnHeading"/>
              <w:jc w:val="right"/>
            </w:pPr>
            <w:r w:rsidRPr="00C6052E">
              <w:t>2025</w:t>
            </w:r>
          </w:p>
        </w:tc>
        <w:tc>
          <w:tcPr>
            <w:tcW w:w="1678" w:type="dxa"/>
            <w:hideMark/>
          </w:tcPr>
          <w:p w14:paraId="08E9D12C" w14:textId="77777777" w:rsidR="00EE5BB8" w:rsidRPr="00C6052E" w:rsidRDefault="00EE5BB8" w:rsidP="000C0740">
            <w:pPr>
              <w:pStyle w:val="TableColumnHeading"/>
              <w:jc w:val="right"/>
            </w:pPr>
            <w:r w:rsidRPr="00C6052E">
              <w:t>2024</w:t>
            </w:r>
          </w:p>
        </w:tc>
      </w:tr>
      <w:tr w:rsidR="000C0740" w:rsidRPr="00C6052E" w14:paraId="7DF80674" w14:textId="77777777" w:rsidTr="002F5DAE">
        <w:tc>
          <w:tcPr>
            <w:tcW w:w="6379" w:type="dxa"/>
          </w:tcPr>
          <w:p w14:paraId="2933A21A" w14:textId="3A5C296B" w:rsidR="000C0740" w:rsidRPr="00C6052E" w:rsidRDefault="000C0740" w:rsidP="002F5DAE">
            <w:pPr>
              <w:pStyle w:val="TableHeading"/>
            </w:pPr>
            <w:r w:rsidRPr="00C6052E">
              <w:t>Supplies and services</w:t>
            </w:r>
          </w:p>
        </w:tc>
        <w:tc>
          <w:tcPr>
            <w:tcW w:w="1674" w:type="dxa"/>
            <w:noWrap/>
          </w:tcPr>
          <w:p w14:paraId="3CDE7F0F" w14:textId="77777777" w:rsidR="000C0740" w:rsidRPr="00C6052E" w:rsidRDefault="000C0740" w:rsidP="000C0740">
            <w:pPr>
              <w:pStyle w:val="TableHeading"/>
              <w:jc w:val="right"/>
            </w:pPr>
          </w:p>
        </w:tc>
        <w:tc>
          <w:tcPr>
            <w:tcW w:w="1678" w:type="dxa"/>
            <w:noWrap/>
          </w:tcPr>
          <w:p w14:paraId="3EBD4475" w14:textId="77777777" w:rsidR="000C0740" w:rsidRPr="00C6052E" w:rsidRDefault="000C0740" w:rsidP="000C0740">
            <w:pPr>
              <w:pStyle w:val="TableHeading"/>
              <w:jc w:val="right"/>
            </w:pPr>
          </w:p>
        </w:tc>
      </w:tr>
      <w:tr w:rsidR="00EE5BB8" w:rsidRPr="00C6052E" w14:paraId="1D3773CE" w14:textId="77777777" w:rsidTr="000C0740">
        <w:tc>
          <w:tcPr>
            <w:tcW w:w="6379" w:type="dxa"/>
            <w:hideMark/>
          </w:tcPr>
          <w:p w14:paraId="503ED073" w14:textId="0FD209D5" w:rsidR="00EE5BB8" w:rsidRPr="00C6052E" w:rsidRDefault="00EE5BB8" w:rsidP="0063097D">
            <w:pPr>
              <w:pStyle w:val="TableCopy"/>
            </w:pPr>
            <w:r w:rsidRPr="00C6052E">
              <w:t>Contracts</w:t>
            </w:r>
            <w:r w:rsidR="00177848" w:rsidRPr="00C6052E">
              <w:t xml:space="preserve"> </w:t>
            </w:r>
            <w:r w:rsidRPr="00C6052E">
              <w:t>and</w:t>
            </w:r>
            <w:r w:rsidR="00177848" w:rsidRPr="00C6052E">
              <w:t xml:space="preserve"> </w:t>
            </w:r>
            <w:r w:rsidRPr="00C6052E">
              <w:t>services</w:t>
            </w:r>
            <w:r w:rsidR="00177848" w:rsidRPr="00C6052E">
              <w:t xml:space="preserve"> </w:t>
            </w:r>
          </w:p>
        </w:tc>
        <w:tc>
          <w:tcPr>
            <w:tcW w:w="1674" w:type="dxa"/>
            <w:noWrap/>
            <w:hideMark/>
          </w:tcPr>
          <w:p w14:paraId="14CFA039" w14:textId="77777777" w:rsidR="00EE5BB8" w:rsidRPr="00C6052E" w:rsidRDefault="00EE5BB8" w:rsidP="000C0740">
            <w:pPr>
              <w:pStyle w:val="TableCopy"/>
              <w:jc w:val="right"/>
            </w:pPr>
            <w:r w:rsidRPr="00C6052E">
              <w:t>(1,886)</w:t>
            </w:r>
          </w:p>
        </w:tc>
        <w:tc>
          <w:tcPr>
            <w:tcW w:w="1678" w:type="dxa"/>
            <w:noWrap/>
            <w:hideMark/>
          </w:tcPr>
          <w:p w14:paraId="7C427961" w14:textId="77777777" w:rsidR="00EE5BB8" w:rsidRPr="00C6052E" w:rsidRDefault="00EE5BB8" w:rsidP="000C0740">
            <w:pPr>
              <w:pStyle w:val="TableCopy"/>
              <w:jc w:val="right"/>
            </w:pPr>
            <w:r w:rsidRPr="00C6052E">
              <w:t>(4,509)</w:t>
            </w:r>
          </w:p>
        </w:tc>
      </w:tr>
      <w:tr w:rsidR="00EE5BB8" w:rsidRPr="00C6052E" w14:paraId="4336D9C2" w14:textId="77777777" w:rsidTr="000C0740">
        <w:tc>
          <w:tcPr>
            <w:tcW w:w="6379" w:type="dxa"/>
            <w:hideMark/>
          </w:tcPr>
          <w:p w14:paraId="73625929" w14:textId="11F12B40" w:rsidR="00EE5BB8" w:rsidRPr="00C6052E" w:rsidRDefault="00EE5BB8" w:rsidP="0063097D">
            <w:pPr>
              <w:pStyle w:val="TableCopy"/>
            </w:pPr>
            <w:r w:rsidRPr="00C6052E">
              <w:t>Consultants</w:t>
            </w:r>
            <w:r w:rsidR="00177848" w:rsidRPr="00C6052E">
              <w:t xml:space="preserve"> </w:t>
            </w:r>
            <w:r w:rsidRPr="00C6052E">
              <w:t>and</w:t>
            </w:r>
            <w:r w:rsidR="00177848" w:rsidRPr="00C6052E">
              <w:t xml:space="preserve"> </w:t>
            </w:r>
            <w:r w:rsidRPr="00C6052E">
              <w:t>professional</w:t>
            </w:r>
            <w:r w:rsidR="00177848" w:rsidRPr="00C6052E">
              <w:t xml:space="preserve"> </w:t>
            </w:r>
            <w:r w:rsidRPr="00C6052E">
              <w:t>services</w:t>
            </w:r>
            <w:r w:rsidR="00177848" w:rsidRPr="00C6052E">
              <w:t xml:space="preserve"> </w:t>
            </w:r>
          </w:p>
        </w:tc>
        <w:tc>
          <w:tcPr>
            <w:tcW w:w="1674" w:type="dxa"/>
            <w:noWrap/>
            <w:hideMark/>
          </w:tcPr>
          <w:p w14:paraId="1F0363FF" w14:textId="77777777" w:rsidR="00EE5BB8" w:rsidRPr="00C6052E" w:rsidRDefault="00EE5BB8" w:rsidP="000C0740">
            <w:pPr>
              <w:pStyle w:val="TableCopy"/>
              <w:jc w:val="right"/>
            </w:pPr>
            <w:r w:rsidRPr="00C6052E">
              <w:t>(38,265)</w:t>
            </w:r>
          </w:p>
        </w:tc>
        <w:tc>
          <w:tcPr>
            <w:tcW w:w="1678" w:type="dxa"/>
            <w:noWrap/>
            <w:hideMark/>
          </w:tcPr>
          <w:p w14:paraId="601FE8E7" w14:textId="77777777" w:rsidR="00EE5BB8" w:rsidRPr="00C6052E" w:rsidRDefault="00EE5BB8" w:rsidP="000C0740">
            <w:pPr>
              <w:pStyle w:val="TableCopy"/>
              <w:jc w:val="right"/>
            </w:pPr>
            <w:r w:rsidRPr="00C6052E">
              <w:t>(69,504)</w:t>
            </w:r>
          </w:p>
        </w:tc>
      </w:tr>
      <w:tr w:rsidR="00EE5BB8" w:rsidRPr="00C6052E" w14:paraId="0C71D720" w14:textId="77777777" w:rsidTr="000C0740">
        <w:tc>
          <w:tcPr>
            <w:tcW w:w="6379" w:type="dxa"/>
            <w:hideMark/>
          </w:tcPr>
          <w:p w14:paraId="2A4CBA46" w14:textId="7069D301" w:rsidR="00EE5BB8" w:rsidRPr="00C6052E" w:rsidRDefault="00EE5BB8" w:rsidP="0063097D">
            <w:pPr>
              <w:pStyle w:val="TableCopy"/>
            </w:pPr>
            <w:r w:rsidRPr="00C6052E">
              <w:t>Computer</w:t>
            </w:r>
            <w:r w:rsidR="00177848" w:rsidRPr="00C6052E">
              <w:t xml:space="preserve"> </w:t>
            </w:r>
            <w:r w:rsidRPr="00C6052E">
              <w:t>services</w:t>
            </w:r>
            <w:r w:rsidR="00177848" w:rsidRPr="00C6052E">
              <w:t xml:space="preserve"> </w:t>
            </w:r>
            <w:r w:rsidRPr="00C6052E">
              <w:t>and</w:t>
            </w:r>
            <w:r w:rsidR="00177848" w:rsidRPr="00C6052E">
              <w:t xml:space="preserve"> </w:t>
            </w:r>
            <w:r w:rsidRPr="00C6052E">
              <w:t>equipment</w:t>
            </w:r>
            <w:r w:rsidR="00177848" w:rsidRPr="00C6052E">
              <w:t xml:space="preserve"> </w:t>
            </w:r>
          </w:p>
        </w:tc>
        <w:tc>
          <w:tcPr>
            <w:tcW w:w="1674" w:type="dxa"/>
            <w:noWrap/>
            <w:hideMark/>
          </w:tcPr>
          <w:p w14:paraId="5C92DE41" w14:textId="77777777" w:rsidR="00EE5BB8" w:rsidRPr="00C6052E" w:rsidRDefault="00EE5BB8" w:rsidP="000C0740">
            <w:pPr>
              <w:pStyle w:val="TableCopy"/>
              <w:jc w:val="right"/>
            </w:pPr>
            <w:r w:rsidRPr="00C6052E">
              <w:t>(24,088)</w:t>
            </w:r>
          </w:p>
        </w:tc>
        <w:tc>
          <w:tcPr>
            <w:tcW w:w="1678" w:type="dxa"/>
            <w:noWrap/>
            <w:hideMark/>
          </w:tcPr>
          <w:p w14:paraId="096540C1" w14:textId="77777777" w:rsidR="00EE5BB8" w:rsidRPr="00C6052E" w:rsidRDefault="00EE5BB8" w:rsidP="000C0740">
            <w:pPr>
              <w:pStyle w:val="TableCopy"/>
              <w:jc w:val="right"/>
            </w:pPr>
            <w:r w:rsidRPr="00C6052E">
              <w:t>(24,807)</w:t>
            </w:r>
          </w:p>
        </w:tc>
      </w:tr>
      <w:tr w:rsidR="00EE5BB8" w:rsidRPr="00C6052E" w14:paraId="13A28948" w14:textId="77777777" w:rsidTr="000C0740">
        <w:tc>
          <w:tcPr>
            <w:tcW w:w="6379" w:type="dxa"/>
            <w:hideMark/>
          </w:tcPr>
          <w:p w14:paraId="0656A425" w14:textId="7704B3AE" w:rsidR="00EE5BB8" w:rsidRPr="00C6052E" w:rsidRDefault="00EE5BB8" w:rsidP="0063097D">
            <w:pPr>
              <w:pStyle w:val="TableCopy"/>
            </w:pPr>
            <w:r w:rsidRPr="00C6052E">
              <w:t>Marketing</w:t>
            </w:r>
            <w:r w:rsidR="00177848" w:rsidRPr="00C6052E">
              <w:t xml:space="preserve"> </w:t>
            </w:r>
            <w:r w:rsidRPr="00C6052E">
              <w:t>and</w:t>
            </w:r>
            <w:r w:rsidR="00177848" w:rsidRPr="00C6052E">
              <w:t xml:space="preserve"> </w:t>
            </w:r>
            <w:r w:rsidRPr="00C6052E">
              <w:t>media</w:t>
            </w:r>
          </w:p>
        </w:tc>
        <w:tc>
          <w:tcPr>
            <w:tcW w:w="1674" w:type="dxa"/>
            <w:noWrap/>
            <w:hideMark/>
          </w:tcPr>
          <w:p w14:paraId="44E3D7CA" w14:textId="77777777" w:rsidR="00EE5BB8" w:rsidRPr="00C6052E" w:rsidRDefault="00EE5BB8" w:rsidP="000C0740">
            <w:pPr>
              <w:pStyle w:val="TableCopy"/>
              <w:jc w:val="right"/>
            </w:pPr>
            <w:r w:rsidRPr="00C6052E">
              <w:t>(3,893)</w:t>
            </w:r>
          </w:p>
        </w:tc>
        <w:tc>
          <w:tcPr>
            <w:tcW w:w="1678" w:type="dxa"/>
            <w:noWrap/>
            <w:hideMark/>
          </w:tcPr>
          <w:p w14:paraId="73DA2AA2" w14:textId="77777777" w:rsidR="00EE5BB8" w:rsidRPr="00C6052E" w:rsidRDefault="00EE5BB8" w:rsidP="000C0740">
            <w:pPr>
              <w:pStyle w:val="TableCopy"/>
              <w:jc w:val="right"/>
            </w:pPr>
            <w:r w:rsidRPr="00C6052E">
              <w:t>(9,351)</w:t>
            </w:r>
          </w:p>
        </w:tc>
      </w:tr>
      <w:tr w:rsidR="00EE5BB8" w:rsidRPr="00C6052E" w14:paraId="2065FBA4" w14:textId="77777777" w:rsidTr="000C0740">
        <w:tc>
          <w:tcPr>
            <w:tcW w:w="6379" w:type="dxa"/>
            <w:hideMark/>
          </w:tcPr>
          <w:p w14:paraId="5D794F85" w14:textId="77777777" w:rsidR="00EE5BB8" w:rsidRPr="00C6052E" w:rsidRDefault="00EE5BB8" w:rsidP="0063097D">
            <w:pPr>
              <w:pStyle w:val="TableCopy"/>
            </w:pPr>
            <w:r w:rsidRPr="00C6052E">
              <w:t>Accommodation</w:t>
            </w:r>
          </w:p>
        </w:tc>
        <w:tc>
          <w:tcPr>
            <w:tcW w:w="1674" w:type="dxa"/>
            <w:noWrap/>
            <w:hideMark/>
          </w:tcPr>
          <w:p w14:paraId="11EC7C48" w14:textId="77777777" w:rsidR="00EE5BB8" w:rsidRPr="00C6052E" w:rsidRDefault="00EE5BB8" w:rsidP="000C0740">
            <w:pPr>
              <w:pStyle w:val="TableCopy"/>
              <w:jc w:val="right"/>
            </w:pPr>
            <w:r w:rsidRPr="00C6052E">
              <w:t>(36,266)</w:t>
            </w:r>
          </w:p>
        </w:tc>
        <w:tc>
          <w:tcPr>
            <w:tcW w:w="1678" w:type="dxa"/>
            <w:noWrap/>
            <w:hideMark/>
          </w:tcPr>
          <w:p w14:paraId="38689D44" w14:textId="77777777" w:rsidR="00EE5BB8" w:rsidRPr="00C6052E" w:rsidRDefault="00EE5BB8" w:rsidP="000C0740">
            <w:pPr>
              <w:pStyle w:val="TableCopy"/>
              <w:jc w:val="right"/>
            </w:pPr>
            <w:r w:rsidRPr="00C6052E">
              <w:t>(44,932)</w:t>
            </w:r>
          </w:p>
        </w:tc>
      </w:tr>
      <w:tr w:rsidR="00EE5BB8" w:rsidRPr="00C6052E" w14:paraId="21FAD179" w14:textId="77777777" w:rsidTr="000C0740">
        <w:tc>
          <w:tcPr>
            <w:tcW w:w="6379" w:type="dxa"/>
            <w:hideMark/>
          </w:tcPr>
          <w:p w14:paraId="0373966D" w14:textId="3A60240E" w:rsidR="00EE5BB8" w:rsidRPr="00C6052E" w:rsidRDefault="00EE5BB8" w:rsidP="0063097D">
            <w:pPr>
              <w:pStyle w:val="TableCopy"/>
            </w:pPr>
            <w:r w:rsidRPr="00C6052E">
              <w:t>Travel</w:t>
            </w:r>
            <w:r w:rsidR="00177848" w:rsidRPr="00C6052E">
              <w:t xml:space="preserve"> </w:t>
            </w:r>
            <w:r w:rsidRPr="00C6052E">
              <w:t>expenses</w:t>
            </w:r>
          </w:p>
        </w:tc>
        <w:tc>
          <w:tcPr>
            <w:tcW w:w="1674" w:type="dxa"/>
            <w:noWrap/>
            <w:hideMark/>
          </w:tcPr>
          <w:p w14:paraId="045E90E5" w14:textId="77777777" w:rsidR="00EE5BB8" w:rsidRPr="00C6052E" w:rsidRDefault="00EE5BB8" w:rsidP="000C0740">
            <w:pPr>
              <w:pStyle w:val="TableCopy"/>
              <w:jc w:val="right"/>
            </w:pPr>
            <w:r w:rsidRPr="00C6052E">
              <w:t>(3,534)</w:t>
            </w:r>
          </w:p>
        </w:tc>
        <w:tc>
          <w:tcPr>
            <w:tcW w:w="1678" w:type="dxa"/>
            <w:noWrap/>
            <w:hideMark/>
          </w:tcPr>
          <w:p w14:paraId="3AE944A2" w14:textId="77777777" w:rsidR="00EE5BB8" w:rsidRPr="00C6052E" w:rsidRDefault="00EE5BB8" w:rsidP="000C0740">
            <w:pPr>
              <w:pStyle w:val="TableCopy"/>
              <w:jc w:val="right"/>
            </w:pPr>
            <w:r w:rsidRPr="00C6052E">
              <w:t>(5,528)</w:t>
            </w:r>
          </w:p>
        </w:tc>
      </w:tr>
      <w:tr w:rsidR="00EE5BB8" w:rsidRPr="00C6052E" w14:paraId="334AFD56" w14:textId="77777777" w:rsidTr="000C0740">
        <w:tc>
          <w:tcPr>
            <w:tcW w:w="6379" w:type="dxa"/>
            <w:hideMark/>
          </w:tcPr>
          <w:p w14:paraId="2E42C189" w14:textId="527830D5" w:rsidR="00EE5BB8" w:rsidRPr="00C6052E" w:rsidRDefault="00EE5BB8" w:rsidP="0063097D">
            <w:pPr>
              <w:pStyle w:val="TableCopy"/>
            </w:pPr>
            <w:r w:rsidRPr="00C6052E">
              <w:t>Administrative</w:t>
            </w:r>
            <w:r w:rsidR="00177848" w:rsidRPr="00C6052E">
              <w:t xml:space="preserve"> </w:t>
            </w:r>
            <w:r w:rsidRPr="00C6052E">
              <w:t>expenses</w:t>
            </w:r>
          </w:p>
        </w:tc>
        <w:tc>
          <w:tcPr>
            <w:tcW w:w="1674" w:type="dxa"/>
            <w:noWrap/>
            <w:hideMark/>
          </w:tcPr>
          <w:p w14:paraId="52076F8C" w14:textId="77777777" w:rsidR="00EE5BB8" w:rsidRPr="00C6052E" w:rsidRDefault="00EE5BB8" w:rsidP="000C0740">
            <w:pPr>
              <w:pStyle w:val="TableCopy"/>
              <w:jc w:val="right"/>
            </w:pPr>
            <w:r w:rsidRPr="00C6052E">
              <w:t>(82,311)</w:t>
            </w:r>
          </w:p>
        </w:tc>
        <w:tc>
          <w:tcPr>
            <w:tcW w:w="1678" w:type="dxa"/>
            <w:noWrap/>
            <w:hideMark/>
          </w:tcPr>
          <w:p w14:paraId="024F3258" w14:textId="77777777" w:rsidR="00EE5BB8" w:rsidRPr="00C6052E" w:rsidRDefault="00EE5BB8" w:rsidP="000C0740">
            <w:pPr>
              <w:pStyle w:val="TableCopy"/>
              <w:jc w:val="right"/>
            </w:pPr>
            <w:r w:rsidRPr="00C6052E">
              <w:t>(62,162)</w:t>
            </w:r>
          </w:p>
        </w:tc>
      </w:tr>
      <w:tr w:rsidR="000C0740" w:rsidRPr="00C6052E" w14:paraId="0D32E9A8" w14:textId="77777777" w:rsidTr="000C009B">
        <w:tc>
          <w:tcPr>
            <w:tcW w:w="6379" w:type="dxa"/>
          </w:tcPr>
          <w:p w14:paraId="23052B8D" w14:textId="780F4B7E" w:rsidR="000C0740" w:rsidRPr="00C6052E" w:rsidRDefault="000C0740" w:rsidP="000C009B">
            <w:pPr>
              <w:pStyle w:val="TableHeading"/>
            </w:pPr>
            <w:r w:rsidRPr="00C6052E">
              <w:t>Assets provided free of charge</w:t>
            </w:r>
          </w:p>
        </w:tc>
        <w:tc>
          <w:tcPr>
            <w:tcW w:w="1674" w:type="dxa"/>
            <w:noWrap/>
          </w:tcPr>
          <w:p w14:paraId="18647905" w14:textId="77777777" w:rsidR="000C0740" w:rsidRPr="00C6052E" w:rsidRDefault="000C0740" w:rsidP="000C0740">
            <w:pPr>
              <w:pStyle w:val="TableHeading"/>
              <w:jc w:val="right"/>
            </w:pPr>
          </w:p>
        </w:tc>
        <w:tc>
          <w:tcPr>
            <w:tcW w:w="1678" w:type="dxa"/>
            <w:noWrap/>
          </w:tcPr>
          <w:p w14:paraId="61838284" w14:textId="77777777" w:rsidR="000C0740" w:rsidRPr="00C6052E" w:rsidRDefault="000C0740" w:rsidP="000C0740">
            <w:pPr>
              <w:pStyle w:val="TableHeading"/>
              <w:jc w:val="right"/>
            </w:pPr>
          </w:p>
        </w:tc>
      </w:tr>
      <w:tr w:rsidR="00EE5BB8" w:rsidRPr="00C6052E" w14:paraId="11C2DD9B" w14:textId="77777777" w:rsidTr="000C0740">
        <w:tc>
          <w:tcPr>
            <w:tcW w:w="6379" w:type="dxa"/>
            <w:hideMark/>
          </w:tcPr>
          <w:p w14:paraId="2476AB88" w14:textId="2F6095C4" w:rsidR="00EE5BB8" w:rsidRPr="00C6052E" w:rsidRDefault="00EE5BB8" w:rsidP="0063097D">
            <w:pPr>
              <w:pStyle w:val="TableCopy"/>
            </w:pPr>
            <w:r w:rsidRPr="00C6052E">
              <w:t>Leasehold</w:t>
            </w:r>
            <w:r w:rsidR="00177848" w:rsidRPr="00C6052E">
              <w:t xml:space="preserve"> </w:t>
            </w:r>
            <w:r w:rsidRPr="00C6052E">
              <w:t>improvements</w:t>
            </w:r>
          </w:p>
        </w:tc>
        <w:tc>
          <w:tcPr>
            <w:tcW w:w="1674" w:type="dxa"/>
            <w:noWrap/>
            <w:hideMark/>
          </w:tcPr>
          <w:p w14:paraId="779F42DD" w14:textId="77777777" w:rsidR="00EE5BB8" w:rsidRPr="00C6052E" w:rsidRDefault="00EE5BB8" w:rsidP="000C0740">
            <w:pPr>
              <w:pStyle w:val="TableCopy"/>
              <w:jc w:val="right"/>
            </w:pPr>
            <w:r w:rsidRPr="00C6052E">
              <w:t>(803)</w:t>
            </w:r>
          </w:p>
        </w:tc>
        <w:tc>
          <w:tcPr>
            <w:tcW w:w="1678" w:type="dxa"/>
            <w:noWrap/>
            <w:hideMark/>
          </w:tcPr>
          <w:p w14:paraId="33D51CE9" w14:textId="77777777" w:rsidR="00EE5BB8" w:rsidRPr="00C6052E" w:rsidRDefault="00EE5BB8" w:rsidP="000C0740">
            <w:pPr>
              <w:pStyle w:val="TableCopy"/>
              <w:jc w:val="right"/>
            </w:pPr>
            <w:r w:rsidRPr="00C6052E">
              <w:t>–</w:t>
            </w:r>
          </w:p>
        </w:tc>
      </w:tr>
      <w:tr w:rsidR="000C0740" w:rsidRPr="00C6052E" w14:paraId="676A1BDD" w14:textId="77777777" w:rsidTr="00EC0118">
        <w:tc>
          <w:tcPr>
            <w:tcW w:w="6379" w:type="dxa"/>
          </w:tcPr>
          <w:p w14:paraId="087BC2C2" w14:textId="084559B9" w:rsidR="000C0740" w:rsidRPr="00C6052E" w:rsidRDefault="000C0740" w:rsidP="00EC0118">
            <w:pPr>
              <w:pStyle w:val="TableHeading"/>
            </w:pPr>
            <w:r w:rsidRPr="00C6052E">
              <w:t>Other</w:t>
            </w:r>
          </w:p>
        </w:tc>
        <w:tc>
          <w:tcPr>
            <w:tcW w:w="1674" w:type="dxa"/>
            <w:noWrap/>
          </w:tcPr>
          <w:p w14:paraId="0EEB3098" w14:textId="77777777" w:rsidR="000C0740" w:rsidRPr="00C6052E" w:rsidRDefault="000C0740" w:rsidP="000C0740">
            <w:pPr>
              <w:pStyle w:val="TableHeading"/>
              <w:jc w:val="right"/>
            </w:pPr>
          </w:p>
        </w:tc>
        <w:tc>
          <w:tcPr>
            <w:tcW w:w="1678" w:type="dxa"/>
            <w:noWrap/>
          </w:tcPr>
          <w:p w14:paraId="6FB3FFD2" w14:textId="77777777" w:rsidR="000C0740" w:rsidRPr="00C6052E" w:rsidRDefault="000C0740" w:rsidP="000C0740">
            <w:pPr>
              <w:pStyle w:val="TableHeading"/>
              <w:jc w:val="right"/>
            </w:pPr>
          </w:p>
        </w:tc>
      </w:tr>
      <w:tr w:rsidR="00EE5BB8" w:rsidRPr="00C6052E" w14:paraId="54D2D786" w14:textId="77777777" w:rsidTr="000C0740">
        <w:tc>
          <w:tcPr>
            <w:tcW w:w="6379" w:type="dxa"/>
            <w:hideMark/>
          </w:tcPr>
          <w:p w14:paraId="41F1DB00" w14:textId="5BADDA61" w:rsidR="00EE5BB8" w:rsidRPr="00C6052E" w:rsidRDefault="00EE5BB8" w:rsidP="000C0740">
            <w:pPr>
              <w:pStyle w:val="TableCopy"/>
              <w:keepNext/>
            </w:pPr>
            <w:r w:rsidRPr="00C6052E">
              <w:t>Bad</w:t>
            </w:r>
            <w:r w:rsidR="00177848" w:rsidRPr="00C6052E">
              <w:t xml:space="preserve"> </w:t>
            </w:r>
            <w:r w:rsidRPr="00C6052E">
              <w:t>debts</w:t>
            </w:r>
            <w:r w:rsidR="00177848" w:rsidRPr="00C6052E">
              <w:t xml:space="preserve"> </w:t>
            </w:r>
            <w:r w:rsidRPr="00C6052E">
              <w:t>from</w:t>
            </w:r>
            <w:r w:rsidR="00177848" w:rsidRPr="00C6052E">
              <w:t xml:space="preserve"> </w:t>
            </w:r>
            <w:r w:rsidRPr="00C6052E">
              <w:t>transactions</w:t>
            </w:r>
          </w:p>
        </w:tc>
        <w:tc>
          <w:tcPr>
            <w:tcW w:w="1674" w:type="dxa"/>
            <w:noWrap/>
            <w:hideMark/>
          </w:tcPr>
          <w:p w14:paraId="766B66E3" w14:textId="77777777" w:rsidR="00EE5BB8" w:rsidRPr="00C6052E" w:rsidRDefault="00EE5BB8" w:rsidP="000C0740">
            <w:pPr>
              <w:pStyle w:val="TableCopy"/>
              <w:keepNext/>
              <w:jc w:val="right"/>
            </w:pPr>
            <w:r w:rsidRPr="00C6052E">
              <w:t>(121)</w:t>
            </w:r>
          </w:p>
        </w:tc>
        <w:tc>
          <w:tcPr>
            <w:tcW w:w="1678" w:type="dxa"/>
            <w:noWrap/>
            <w:hideMark/>
          </w:tcPr>
          <w:p w14:paraId="11571525" w14:textId="77777777" w:rsidR="00EE5BB8" w:rsidRPr="00C6052E" w:rsidRDefault="00EE5BB8" w:rsidP="000C0740">
            <w:pPr>
              <w:pStyle w:val="TableCopy"/>
              <w:keepNext/>
              <w:jc w:val="right"/>
            </w:pPr>
            <w:r w:rsidRPr="00C6052E">
              <w:t>(1,267)</w:t>
            </w:r>
          </w:p>
        </w:tc>
      </w:tr>
      <w:tr w:rsidR="00EE5BB8" w:rsidRPr="00C6052E" w14:paraId="4D16713A" w14:textId="77777777" w:rsidTr="000C0740">
        <w:tc>
          <w:tcPr>
            <w:tcW w:w="6379" w:type="dxa"/>
            <w:hideMark/>
          </w:tcPr>
          <w:p w14:paraId="37A31A87" w14:textId="7FE1F50A" w:rsidR="00EE5BB8" w:rsidRPr="00C6052E" w:rsidRDefault="00EE5BB8" w:rsidP="000C0740">
            <w:pPr>
              <w:pStyle w:val="TableCopy"/>
              <w:keepNext/>
            </w:pPr>
            <w:r w:rsidRPr="00C6052E">
              <w:t>Interest</w:t>
            </w:r>
            <w:r w:rsidR="00177848" w:rsidRPr="00C6052E">
              <w:t xml:space="preserve"> </w:t>
            </w:r>
            <w:r w:rsidRPr="00C6052E">
              <w:t>expense</w:t>
            </w:r>
          </w:p>
        </w:tc>
        <w:tc>
          <w:tcPr>
            <w:tcW w:w="1674" w:type="dxa"/>
            <w:noWrap/>
            <w:hideMark/>
          </w:tcPr>
          <w:p w14:paraId="073D87A3" w14:textId="77777777" w:rsidR="00EE5BB8" w:rsidRPr="00C6052E" w:rsidRDefault="00EE5BB8" w:rsidP="000C0740">
            <w:pPr>
              <w:pStyle w:val="TableCopy"/>
              <w:keepNext/>
              <w:jc w:val="right"/>
            </w:pPr>
            <w:r w:rsidRPr="00C6052E">
              <w:t>(1,533)</w:t>
            </w:r>
          </w:p>
        </w:tc>
        <w:tc>
          <w:tcPr>
            <w:tcW w:w="1678" w:type="dxa"/>
            <w:noWrap/>
            <w:hideMark/>
          </w:tcPr>
          <w:p w14:paraId="5E891C7B" w14:textId="77777777" w:rsidR="00EE5BB8" w:rsidRPr="00C6052E" w:rsidRDefault="00EE5BB8" w:rsidP="000C0740">
            <w:pPr>
              <w:pStyle w:val="TableCopy"/>
              <w:keepNext/>
              <w:jc w:val="right"/>
            </w:pPr>
            <w:r w:rsidRPr="00C6052E">
              <w:t>(1,131)</w:t>
            </w:r>
          </w:p>
        </w:tc>
      </w:tr>
      <w:tr w:rsidR="00EE5BB8" w:rsidRPr="00C6052E" w14:paraId="58A935BB" w14:textId="77777777" w:rsidTr="000C0740">
        <w:tc>
          <w:tcPr>
            <w:tcW w:w="6379" w:type="dxa"/>
            <w:hideMark/>
          </w:tcPr>
          <w:p w14:paraId="7102900A" w14:textId="19DBCCA9" w:rsidR="00EE5BB8" w:rsidRPr="00C6052E" w:rsidRDefault="00EE5BB8" w:rsidP="0063097D">
            <w:pPr>
              <w:pStyle w:val="TableCopy"/>
            </w:pPr>
            <w:r w:rsidRPr="00C6052E">
              <w:t>Ex</w:t>
            </w:r>
            <w:r w:rsidR="00177848" w:rsidRPr="00C6052E">
              <w:t xml:space="preserve"> </w:t>
            </w:r>
            <w:r w:rsidRPr="00C6052E">
              <w:t>gratia</w:t>
            </w:r>
            <w:r w:rsidR="00177848" w:rsidRPr="00C6052E">
              <w:t xml:space="preserve"> </w:t>
            </w:r>
            <w:r w:rsidRPr="00C6052E">
              <w:t>expense</w:t>
            </w:r>
            <w:r w:rsidRPr="00C6052E">
              <w:rPr>
                <w:vertAlign w:val="superscript"/>
              </w:rPr>
              <w:t>(i)</w:t>
            </w:r>
          </w:p>
        </w:tc>
        <w:tc>
          <w:tcPr>
            <w:tcW w:w="1674" w:type="dxa"/>
            <w:noWrap/>
            <w:hideMark/>
          </w:tcPr>
          <w:p w14:paraId="0A5CC4E6" w14:textId="77777777" w:rsidR="00EE5BB8" w:rsidRPr="00C6052E" w:rsidRDefault="00EE5BB8" w:rsidP="000C0740">
            <w:pPr>
              <w:pStyle w:val="TableCopy"/>
              <w:jc w:val="right"/>
            </w:pPr>
            <w:r w:rsidRPr="00C6052E">
              <w:t>(38,403)</w:t>
            </w:r>
          </w:p>
        </w:tc>
        <w:tc>
          <w:tcPr>
            <w:tcW w:w="1678" w:type="dxa"/>
            <w:noWrap/>
            <w:hideMark/>
          </w:tcPr>
          <w:p w14:paraId="23FA695F" w14:textId="77777777" w:rsidR="00EE5BB8" w:rsidRPr="00C6052E" w:rsidRDefault="00EE5BB8" w:rsidP="000C0740">
            <w:pPr>
              <w:pStyle w:val="TableCopy"/>
              <w:jc w:val="right"/>
            </w:pPr>
            <w:r w:rsidRPr="00C6052E">
              <w:t>(3,644)</w:t>
            </w:r>
          </w:p>
        </w:tc>
      </w:tr>
      <w:tr w:rsidR="00EE5BB8" w:rsidRPr="00C6052E" w14:paraId="3085A03E" w14:textId="77777777" w:rsidTr="000C0740">
        <w:tc>
          <w:tcPr>
            <w:tcW w:w="6379" w:type="dxa"/>
            <w:hideMark/>
          </w:tcPr>
          <w:p w14:paraId="6E7F2710" w14:textId="6BC9E16C" w:rsidR="00EE5BB8" w:rsidRPr="00C6052E" w:rsidRDefault="00EE5BB8" w:rsidP="0063097D">
            <w:pPr>
              <w:pStyle w:val="Tabletotal"/>
            </w:pPr>
            <w:r w:rsidRPr="00C6052E">
              <w:t>Total</w:t>
            </w:r>
            <w:r w:rsidR="00177848" w:rsidRPr="00C6052E">
              <w:t xml:space="preserve"> </w:t>
            </w:r>
            <w:r w:rsidRPr="00C6052E">
              <w:t>other</w:t>
            </w:r>
            <w:r w:rsidR="00177848" w:rsidRPr="00C6052E">
              <w:t xml:space="preserve"> </w:t>
            </w:r>
            <w:r w:rsidRPr="00C6052E">
              <w:t>operating</w:t>
            </w:r>
            <w:r w:rsidR="00177848" w:rsidRPr="00C6052E">
              <w:t xml:space="preserve"> </w:t>
            </w:r>
            <w:r w:rsidRPr="00C6052E">
              <w:t>expenses</w:t>
            </w:r>
          </w:p>
        </w:tc>
        <w:tc>
          <w:tcPr>
            <w:tcW w:w="1674" w:type="dxa"/>
            <w:noWrap/>
            <w:hideMark/>
          </w:tcPr>
          <w:p w14:paraId="1F0A92BE" w14:textId="77777777" w:rsidR="00EE5BB8" w:rsidRPr="00C6052E" w:rsidRDefault="00EE5BB8" w:rsidP="000C0740">
            <w:pPr>
              <w:pStyle w:val="Tabletotal"/>
              <w:jc w:val="right"/>
            </w:pPr>
            <w:r w:rsidRPr="00C6052E">
              <w:t>(231,103)</w:t>
            </w:r>
          </w:p>
        </w:tc>
        <w:tc>
          <w:tcPr>
            <w:tcW w:w="1678" w:type="dxa"/>
            <w:noWrap/>
            <w:hideMark/>
          </w:tcPr>
          <w:p w14:paraId="73AC354C" w14:textId="77777777" w:rsidR="00EE5BB8" w:rsidRPr="00C6052E" w:rsidRDefault="00EE5BB8" w:rsidP="000C0740">
            <w:pPr>
              <w:pStyle w:val="Tabletotal"/>
              <w:jc w:val="right"/>
            </w:pPr>
            <w:r w:rsidRPr="00C6052E">
              <w:t>(226,835)</w:t>
            </w:r>
          </w:p>
        </w:tc>
      </w:tr>
    </w:tbl>
    <w:p w14:paraId="11613947" w14:textId="143170B3" w:rsidR="00EE5BB8" w:rsidRPr="00C6052E" w:rsidRDefault="00EE5BB8" w:rsidP="00D83915">
      <w:pPr>
        <w:pStyle w:val="Tablenotes-numbered"/>
        <w:numPr>
          <w:ilvl w:val="0"/>
          <w:numId w:val="68"/>
        </w:numPr>
        <w:spacing w:after="240"/>
      </w:pPr>
      <w:r w:rsidRPr="00C6052E">
        <w:t>Includes</w:t>
      </w:r>
      <w:r w:rsidR="00177848" w:rsidRPr="00C6052E">
        <w:t xml:space="preserve"> </w:t>
      </w:r>
      <w:r w:rsidRPr="00C6052E">
        <w:t>$34</w:t>
      </w:r>
      <w:r w:rsidR="00177848" w:rsidRPr="00C6052E">
        <w:t xml:space="preserve"> </w:t>
      </w:r>
      <w:r w:rsidRPr="00C6052E">
        <w:t>million</w:t>
      </w:r>
      <w:r w:rsidR="00177848" w:rsidRPr="00C6052E">
        <w:t xml:space="preserve"> </w:t>
      </w:r>
      <w:r w:rsidRPr="00C6052E">
        <w:t>relating</w:t>
      </w:r>
      <w:r w:rsidR="00177848" w:rsidRPr="00C6052E">
        <w:t xml:space="preserve"> </w:t>
      </w:r>
      <w:r w:rsidRPr="00C6052E">
        <w:t>to</w:t>
      </w:r>
      <w:r w:rsidR="00177848" w:rsidRPr="00C6052E">
        <w:t xml:space="preserve"> </w:t>
      </w:r>
      <w:r w:rsidRPr="00C6052E">
        <w:t>COVID-19</w:t>
      </w:r>
      <w:r w:rsidR="00177848" w:rsidRPr="00C6052E">
        <w:t xml:space="preserve"> </w:t>
      </w:r>
      <w:r w:rsidRPr="00C6052E">
        <w:t>and</w:t>
      </w:r>
      <w:r w:rsidR="00177848" w:rsidRPr="00C6052E">
        <w:t xml:space="preserve"> </w:t>
      </w:r>
      <w:r w:rsidRPr="00C6052E">
        <w:t>flood</w:t>
      </w:r>
      <w:r w:rsidR="00177848" w:rsidRPr="00C6052E">
        <w:t xml:space="preserve"> </w:t>
      </w:r>
      <w:r w:rsidRPr="00C6052E">
        <w:t>grants</w:t>
      </w:r>
      <w:r w:rsidR="00177848" w:rsidRPr="00C6052E">
        <w:t xml:space="preserve"> </w:t>
      </w:r>
      <w:r w:rsidRPr="00C6052E">
        <w:t>that</w:t>
      </w:r>
      <w:r w:rsidR="00177848" w:rsidRPr="00C6052E">
        <w:t xml:space="preserve"> </w:t>
      </w:r>
      <w:r w:rsidRPr="00C6052E">
        <w:t>were</w:t>
      </w:r>
      <w:r w:rsidR="00177848" w:rsidRPr="00C6052E">
        <w:t xml:space="preserve"> </w:t>
      </w:r>
      <w:r w:rsidRPr="00C6052E">
        <w:t>paid</w:t>
      </w:r>
      <w:r w:rsidR="00177848" w:rsidRPr="00C6052E">
        <w:t xml:space="preserve"> </w:t>
      </w:r>
      <w:r w:rsidRPr="00C6052E">
        <w:t>in</w:t>
      </w:r>
      <w:r w:rsidR="00177848" w:rsidRPr="00C6052E">
        <w:t xml:space="preserve"> </w:t>
      </w:r>
      <w:r w:rsidRPr="00C6052E">
        <w:t>error</w:t>
      </w:r>
      <w:r w:rsidR="00177848" w:rsidRPr="00C6052E">
        <w:t xml:space="preserve"> </w:t>
      </w:r>
      <w:r w:rsidRPr="00C6052E">
        <w:t>previously</w:t>
      </w:r>
      <w:r w:rsidR="00177848" w:rsidRPr="00C6052E">
        <w:t xml:space="preserve"> </w:t>
      </w:r>
      <w:r w:rsidRPr="00C6052E">
        <w:t>recognised</w:t>
      </w:r>
      <w:r w:rsidR="00177848" w:rsidRPr="00C6052E">
        <w:t xml:space="preserve"> </w:t>
      </w:r>
      <w:r w:rsidRPr="00C6052E">
        <w:t>as</w:t>
      </w:r>
      <w:r w:rsidR="00177848" w:rsidRPr="00C6052E">
        <w:rPr>
          <w:rFonts w:cs="Cambria"/>
        </w:rPr>
        <w:t xml:space="preserve"> </w:t>
      </w:r>
      <w:r w:rsidRPr="00C6052E">
        <w:t>receivables.</w:t>
      </w:r>
      <w:r w:rsidR="00177848" w:rsidRPr="00C6052E">
        <w:t xml:space="preserve"> </w:t>
      </w:r>
      <w:r w:rsidRPr="00C6052E">
        <w:t>Refer</w:t>
      </w:r>
      <w:r w:rsidR="00177848" w:rsidRPr="00C6052E">
        <w:t xml:space="preserve"> </w:t>
      </w:r>
      <w:r w:rsidRPr="00C6052E">
        <w:t>to</w:t>
      </w:r>
      <w:r w:rsidR="00177848" w:rsidRPr="00C6052E">
        <w:t xml:space="preserve"> </w:t>
      </w:r>
      <w:r w:rsidRPr="00C6052E">
        <w:t>Notes</w:t>
      </w:r>
      <w:r w:rsidR="00177848" w:rsidRPr="00C6052E">
        <w:t xml:space="preserve"> </w:t>
      </w:r>
      <w:r w:rsidRPr="00C6052E">
        <w:t>6.1</w:t>
      </w:r>
      <w:r w:rsidR="00177848" w:rsidRPr="00C6052E">
        <w:t xml:space="preserve"> </w:t>
      </w:r>
      <w:r w:rsidRPr="00C6052E">
        <w:t>Receivables</w:t>
      </w:r>
      <w:r w:rsidR="00177848" w:rsidRPr="00C6052E">
        <w:t xml:space="preserve"> </w:t>
      </w:r>
      <w:r w:rsidRPr="00C6052E">
        <w:t>and</w:t>
      </w:r>
      <w:r w:rsidR="00177848" w:rsidRPr="00C6052E">
        <w:t xml:space="preserve"> </w:t>
      </w:r>
      <w:r w:rsidRPr="00C6052E">
        <w:t>9.1</w:t>
      </w:r>
      <w:r w:rsidR="00177848" w:rsidRPr="00C6052E">
        <w:t xml:space="preserve"> </w:t>
      </w:r>
      <w:r w:rsidRPr="00C6052E">
        <w:t>Ex-gratia</w:t>
      </w:r>
      <w:r w:rsidR="00177848" w:rsidRPr="00C6052E">
        <w:t xml:space="preserve"> </w:t>
      </w:r>
      <w:r w:rsidRPr="00C6052E">
        <w:t>expenses.</w:t>
      </w:r>
    </w:p>
    <w:p w14:paraId="59DF0899" w14:textId="70A5C765" w:rsidR="00EE5BB8" w:rsidRPr="00C6052E" w:rsidRDefault="00EE5BB8" w:rsidP="00EE5BB8">
      <w:r w:rsidRPr="00C6052E">
        <w:t>Other</w:t>
      </w:r>
      <w:r w:rsidR="00177848" w:rsidRPr="00C6052E">
        <w:t xml:space="preserve"> </w:t>
      </w:r>
      <w:r w:rsidRPr="00C6052E">
        <w:t>operating</w:t>
      </w:r>
      <w:r w:rsidR="00177848" w:rsidRPr="00C6052E">
        <w:t xml:space="preserve"> </w:t>
      </w:r>
      <w:r w:rsidRPr="00C6052E">
        <w:t>expenses</w:t>
      </w:r>
      <w:r w:rsidR="00177848" w:rsidRPr="00C6052E">
        <w:t xml:space="preserve"> </w:t>
      </w:r>
      <w:r w:rsidRPr="00C6052E">
        <w:t>generally</w:t>
      </w:r>
      <w:r w:rsidR="00177848" w:rsidRPr="00C6052E">
        <w:t xml:space="preserve"> </w:t>
      </w:r>
      <w:r w:rsidRPr="00C6052E">
        <w:t>represent</w:t>
      </w:r>
      <w:r w:rsidR="00177848" w:rsidRPr="00C6052E">
        <w:t xml:space="preserve"> </w:t>
      </w:r>
      <w:r w:rsidRPr="00C6052E">
        <w:t>the</w:t>
      </w:r>
      <w:r w:rsidR="00177848" w:rsidRPr="00C6052E">
        <w:t xml:space="preserve"> </w:t>
      </w:r>
      <w:r w:rsidRPr="00C6052E">
        <w:t>day-to-day</w:t>
      </w:r>
      <w:r w:rsidR="00177848" w:rsidRPr="00C6052E">
        <w:t xml:space="preserve"> </w:t>
      </w:r>
      <w:r w:rsidRPr="00C6052E">
        <w:t>running</w:t>
      </w:r>
      <w:r w:rsidR="00177848" w:rsidRPr="00C6052E">
        <w:t xml:space="preserve"> </w:t>
      </w:r>
      <w:r w:rsidRPr="00C6052E">
        <w:t>costs</w:t>
      </w:r>
      <w:r w:rsidR="00177848" w:rsidRPr="00C6052E">
        <w:t xml:space="preserve"> </w:t>
      </w:r>
      <w:r w:rsidRPr="00C6052E">
        <w:t>incurred</w:t>
      </w:r>
      <w:r w:rsidR="00177848" w:rsidRPr="00C6052E">
        <w:t xml:space="preserve"> </w:t>
      </w:r>
      <w:r w:rsidRPr="00C6052E">
        <w:t>in</w:t>
      </w:r>
      <w:r w:rsidR="00177848" w:rsidRPr="00C6052E">
        <w:t xml:space="preserve"> </w:t>
      </w:r>
      <w:r w:rsidRPr="00C6052E">
        <w:t>normal</w:t>
      </w:r>
      <w:r w:rsidR="00177848" w:rsidRPr="00C6052E">
        <w:t xml:space="preserve"> </w:t>
      </w:r>
      <w:r w:rsidRPr="00C6052E">
        <w:t>operations.</w:t>
      </w:r>
      <w:r w:rsidR="00177848" w:rsidRPr="00C6052E">
        <w:t xml:space="preserve"> </w:t>
      </w:r>
      <w:r w:rsidRPr="00C6052E">
        <w:t>It</w:t>
      </w:r>
      <w:r w:rsidR="00177848" w:rsidRPr="00C6052E">
        <w:t xml:space="preserve"> </w:t>
      </w:r>
      <w:r w:rsidRPr="00C6052E">
        <w:t>also</w:t>
      </w:r>
      <w:r w:rsidR="00177848" w:rsidRPr="00C6052E">
        <w:t xml:space="preserve"> </w:t>
      </w:r>
      <w:r w:rsidRPr="00C6052E">
        <w:t>includes</w:t>
      </w:r>
      <w:r w:rsidR="00177848" w:rsidRPr="00C6052E">
        <w:t xml:space="preserve"> </w:t>
      </w:r>
      <w:r w:rsidRPr="00C6052E">
        <w:t>bad</w:t>
      </w:r>
      <w:r w:rsidR="00177848" w:rsidRPr="00C6052E">
        <w:t xml:space="preserve"> </w:t>
      </w:r>
      <w:r w:rsidRPr="00C6052E">
        <w:t>debts</w:t>
      </w:r>
      <w:r w:rsidR="00177848" w:rsidRPr="00C6052E">
        <w:t xml:space="preserve"> </w:t>
      </w:r>
      <w:r w:rsidRPr="00C6052E">
        <w:t>expense</w:t>
      </w:r>
      <w:r w:rsidR="00177848" w:rsidRPr="00C6052E">
        <w:t xml:space="preserve"> </w:t>
      </w:r>
      <w:r w:rsidRPr="00C6052E">
        <w:t>from</w:t>
      </w:r>
      <w:r w:rsidR="00177848" w:rsidRPr="00C6052E">
        <w:t xml:space="preserve"> </w:t>
      </w:r>
      <w:r w:rsidRPr="00C6052E">
        <w:t>transactions</w:t>
      </w:r>
      <w:r w:rsidR="00177848" w:rsidRPr="00C6052E">
        <w:t xml:space="preserve"> </w:t>
      </w:r>
      <w:r w:rsidRPr="00C6052E">
        <w:t>that</w:t>
      </w:r>
      <w:r w:rsidR="00177848" w:rsidRPr="00C6052E">
        <w:t xml:space="preserve"> </w:t>
      </w:r>
      <w:r w:rsidRPr="00C6052E">
        <w:t>are</w:t>
      </w:r>
      <w:r w:rsidR="00177848" w:rsidRPr="00C6052E">
        <w:t xml:space="preserve"> </w:t>
      </w:r>
      <w:r w:rsidRPr="00C6052E">
        <w:t>mutually</w:t>
      </w:r>
      <w:r w:rsidR="00177848" w:rsidRPr="00C6052E">
        <w:t xml:space="preserve"> </w:t>
      </w:r>
      <w:r w:rsidRPr="00C6052E">
        <w:t>agreed.</w:t>
      </w:r>
    </w:p>
    <w:p w14:paraId="5C59AB13" w14:textId="310A3EBE" w:rsidR="00EE5BB8" w:rsidRPr="00C6052E" w:rsidRDefault="00EE5BB8" w:rsidP="00EE5BB8">
      <w:r w:rsidRPr="00C6052E">
        <w:t>Supplies</w:t>
      </w:r>
      <w:r w:rsidR="00177848" w:rsidRPr="00C6052E">
        <w:t xml:space="preserve"> </w:t>
      </w:r>
      <w:r w:rsidRPr="00C6052E">
        <w:t>and</w:t>
      </w:r>
      <w:r w:rsidR="00177848" w:rsidRPr="00C6052E">
        <w:t xml:space="preserve"> </w:t>
      </w:r>
      <w:r w:rsidRPr="00C6052E">
        <w:t>services</w:t>
      </w:r>
      <w:r w:rsidR="00177848" w:rsidRPr="00C6052E">
        <w:t xml:space="preserve"> </w:t>
      </w:r>
      <w:r w:rsidRPr="00C6052E">
        <w:t>are</w:t>
      </w:r>
      <w:r w:rsidR="00177848" w:rsidRPr="00C6052E">
        <w:t xml:space="preserve"> </w:t>
      </w:r>
      <w:r w:rsidRPr="00C6052E">
        <w:t>recognised</w:t>
      </w:r>
      <w:r w:rsidR="00177848" w:rsidRPr="00C6052E">
        <w:t xml:space="preserve"> </w:t>
      </w:r>
      <w:r w:rsidRPr="00C6052E">
        <w:t>as</w:t>
      </w:r>
      <w:r w:rsidR="00177848" w:rsidRPr="00C6052E">
        <w:t xml:space="preserve"> </w:t>
      </w:r>
      <w:r w:rsidRPr="00C6052E">
        <w:t>an</w:t>
      </w:r>
      <w:r w:rsidR="00177848" w:rsidRPr="00C6052E">
        <w:t xml:space="preserve"> </w:t>
      </w:r>
      <w:r w:rsidRPr="00C6052E">
        <w:t>expense</w:t>
      </w:r>
      <w:r w:rsidR="00177848" w:rsidRPr="00C6052E">
        <w:t xml:space="preserve"> </w:t>
      </w:r>
      <w:r w:rsidRPr="00C6052E">
        <w:t>in</w:t>
      </w:r>
      <w:r w:rsidR="00177848" w:rsidRPr="00C6052E">
        <w:t xml:space="preserve"> </w:t>
      </w:r>
      <w:r w:rsidRPr="00C6052E">
        <w:t>the</w:t>
      </w:r>
      <w:r w:rsidR="00177848" w:rsidRPr="00C6052E">
        <w:t xml:space="preserve"> </w:t>
      </w:r>
      <w:r w:rsidRPr="00C6052E">
        <w:t>reporting</w:t>
      </w:r>
      <w:r w:rsidR="00177848" w:rsidRPr="00C6052E">
        <w:t xml:space="preserve"> </w:t>
      </w:r>
      <w:r w:rsidRPr="00C6052E">
        <w:t>period</w:t>
      </w:r>
      <w:r w:rsidR="00177848" w:rsidRPr="00C6052E">
        <w:t xml:space="preserve"> </w:t>
      </w:r>
      <w:r w:rsidRPr="00C6052E">
        <w:t>in</w:t>
      </w:r>
      <w:r w:rsidR="00177848" w:rsidRPr="00C6052E">
        <w:t xml:space="preserve"> </w:t>
      </w:r>
      <w:r w:rsidRPr="00C6052E">
        <w:t>which</w:t>
      </w:r>
      <w:r w:rsidR="00177848" w:rsidRPr="00C6052E">
        <w:t xml:space="preserve"> </w:t>
      </w:r>
      <w:r w:rsidRPr="00C6052E">
        <w:t>they</w:t>
      </w:r>
      <w:r w:rsidR="00177848" w:rsidRPr="00C6052E">
        <w:t xml:space="preserve"> </w:t>
      </w:r>
      <w:r w:rsidRPr="00C6052E">
        <w:t>are</w:t>
      </w:r>
      <w:r w:rsidR="00177848" w:rsidRPr="00C6052E">
        <w:t xml:space="preserve"> </w:t>
      </w:r>
      <w:r w:rsidRPr="00C6052E">
        <w:t>incurred.</w:t>
      </w:r>
      <w:r w:rsidR="00177848" w:rsidRPr="00C6052E">
        <w:t xml:space="preserve"> </w:t>
      </w:r>
      <w:r w:rsidRPr="00C6052E">
        <w:t>The</w:t>
      </w:r>
      <w:r w:rsidR="00177848" w:rsidRPr="00C6052E">
        <w:t xml:space="preserve"> </w:t>
      </w:r>
      <w:r w:rsidRPr="00C6052E">
        <w:t>carrying</w:t>
      </w:r>
      <w:r w:rsidR="00177848" w:rsidRPr="00C6052E">
        <w:t xml:space="preserve"> </w:t>
      </w:r>
      <w:r w:rsidRPr="00C6052E">
        <w:t>amounts</w:t>
      </w:r>
      <w:r w:rsidR="00177848" w:rsidRPr="00C6052E">
        <w:t xml:space="preserve"> </w:t>
      </w:r>
      <w:r w:rsidRPr="00C6052E">
        <w:t>of</w:t>
      </w:r>
      <w:r w:rsidR="00177848" w:rsidRPr="00C6052E">
        <w:t xml:space="preserve"> </w:t>
      </w:r>
      <w:r w:rsidRPr="00C6052E">
        <w:t>any</w:t>
      </w:r>
      <w:r w:rsidR="00177848" w:rsidRPr="00C6052E">
        <w:t xml:space="preserve"> </w:t>
      </w:r>
      <w:r w:rsidRPr="00C6052E">
        <w:t>inventories</w:t>
      </w:r>
      <w:r w:rsidR="00177848" w:rsidRPr="00C6052E">
        <w:t xml:space="preserve"> </w:t>
      </w:r>
      <w:r w:rsidRPr="00C6052E">
        <w:t>held</w:t>
      </w:r>
      <w:r w:rsidR="00177848" w:rsidRPr="00C6052E">
        <w:t xml:space="preserve"> </w:t>
      </w:r>
      <w:r w:rsidRPr="00C6052E">
        <w:t>for</w:t>
      </w:r>
      <w:r w:rsidR="00177848" w:rsidRPr="00C6052E">
        <w:t xml:space="preserve"> </w:t>
      </w:r>
      <w:r w:rsidRPr="00C6052E">
        <w:t>distribution</w:t>
      </w:r>
      <w:r w:rsidR="00177848" w:rsidRPr="00C6052E">
        <w:t xml:space="preserve"> </w:t>
      </w:r>
      <w:r w:rsidRPr="00C6052E">
        <w:t>are</w:t>
      </w:r>
      <w:r w:rsidR="00177848" w:rsidRPr="00C6052E">
        <w:t xml:space="preserve"> </w:t>
      </w:r>
      <w:r w:rsidRPr="00C6052E">
        <w:t>expensed</w:t>
      </w:r>
      <w:r w:rsidR="00177848" w:rsidRPr="00C6052E">
        <w:t xml:space="preserve"> </w:t>
      </w:r>
      <w:r w:rsidRPr="00C6052E">
        <w:t>when</w:t>
      </w:r>
      <w:r w:rsidR="00177848" w:rsidRPr="00C6052E">
        <w:t xml:space="preserve"> </w:t>
      </w:r>
      <w:r w:rsidRPr="00C6052E">
        <w:t>the</w:t>
      </w:r>
      <w:r w:rsidR="00177848" w:rsidRPr="00C6052E">
        <w:t xml:space="preserve"> </w:t>
      </w:r>
      <w:r w:rsidRPr="00C6052E">
        <w:t>inventories</w:t>
      </w:r>
      <w:r w:rsidR="00177848" w:rsidRPr="00C6052E">
        <w:t xml:space="preserve"> </w:t>
      </w:r>
      <w:r w:rsidRPr="00C6052E">
        <w:t>are</w:t>
      </w:r>
      <w:r w:rsidR="00177848" w:rsidRPr="00C6052E">
        <w:t xml:space="preserve"> </w:t>
      </w:r>
      <w:r w:rsidRPr="00C6052E">
        <w:t>distributed.</w:t>
      </w:r>
    </w:p>
    <w:p w14:paraId="7704DB67" w14:textId="156C39CD" w:rsidR="00EE5BB8" w:rsidRPr="00C6052E" w:rsidRDefault="00EE5BB8" w:rsidP="00EE5BB8">
      <w:r w:rsidRPr="00C6052E">
        <w:t>Interest</w:t>
      </w:r>
      <w:r w:rsidR="00177848" w:rsidRPr="00C6052E">
        <w:t xml:space="preserve"> </w:t>
      </w:r>
      <w:r w:rsidRPr="00C6052E">
        <w:t>expense</w:t>
      </w:r>
      <w:r w:rsidR="00177848" w:rsidRPr="00C6052E">
        <w:t xml:space="preserve"> </w:t>
      </w:r>
      <w:r w:rsidRPr="00C6052E">
        <w:t>is</w:t>
      </w:r>
      <w:r w:rsidR="00177848" w:rsidRPr="00C6052E">
        <w:t xml:space="preserve"> </w:t>
      </w:r>
      <w:r w:rsidRPr="00C6052E">
        <w:t>recognised</w:t>
      </w:r>
      <w:r w:rsidR="00177848" w:rsidRPr="00C6052E">
        <w:t xml:space="preserve"> </w:t>
      </w:r>
      <w:r w:rsidRPr="00C6052E">
        <w:t>as</w:t>
      </w:r>
      <w:r w:rsidR="00177848" w:rsidRPr="00C6052E">
        <w:t xml:space="preserve"> </w:t>
      </w:r>
      <w:r w:rsidRPr="00C6052E">
        <w:t>an</w:t>
      </w:r>
      <w:r w:rsidR="00177848" w:rsidRPr="00C6052E">
        <w:t xml:space="preserve"> </w:t>
      </w:r>
      <w:r w:rsidRPr="00C6052E">
        <w:t>expense</w:t>
      </w:r>
      <w:r w:rsidR="00177848" w:rsidRPr="00C6052E">
        <w:t xml:space="preserve"> </w:t>
      </w:r>
      <w:r w:rsidRPr="00C6052E">
        <w:t>in</w:t>
      </w:r>
      <w:r w:rsidR="00177848" w:rsidRPr="00C6052E">
        <w:t xml:space="preserve"> </w:t>
      </w:r>
      <w:r w:rsidRPr="00C6052E">
        <w:t>the</w:t>
      </w:r>
      <w:r w:rsidR="00177848" w:rsidRPr="00C6052E">
        <w:t xml:space="preserve"> </w:t>
      </w:r>
      <w:r w:rsidRPr="00C6052E">
        <w:t>period</w:t>
      </w:r>
      <w:r w:rsidR="00177848" w:rsidRPr="00C6052E">
        <w:t xml:space="preserve"> </w:t>
      </w:r>
      <w:r w:rsidRPr="00C6052E">
        <w:t>in</w:t>
      </w:r>
      <w:r w:rsidR="00177848" w:rsidRPr="00C6052E">
        <w:t xml:space="preserve"> </w:t>
      </w:r>
      <w:r w:rsidRPr="00C6052E">
        <w:t>which</w:t>
      </w:r>
      <w:r w:rsidR="00177848" w:rsidRPr="00C6052E">
        <w:t xml:space="preserve"> </w:t>
      </w:r>
      <w:r w:rsidRPr="00C6052E">
        <w:t>it</w:t>
      </w:r>
      <w:r w:rsidR="00177848" w:rsidRPr="00C6052E">
        <w:t xml:space="preserve"> </w:t>
      </w:r>
      <w:r w:rsidRPr="00C6052E">
        <w:t>is</w:t>
      </w:r>
      <w:r w:rsidR="00177848" w:rsidRPr="00C6052E">
        <w:t xml:space="preserve"> </w:t>
      </w:r>
      <w:r w:rsidRPr="00C6052E">
        <w:t>incurred.</w:t>
      </w:r>
    </w:p>
    <w:p w14:paraId="10620704" w14:textId="7D46E91E" w:rsidR="00EE5BB8" w:rsidRPr="00C6052E" w:rsidRDefault="00EE5BB8" w:rsidP="00EE5BB8">
      <w:pPr>
        <w:pStyle w:val="Heading1numbered0"/>
        <w:ind w:left="284" w:hanging="284"/>
      </w:pPr>
      <w:bookmarkStart w:id="161" w:name="_Toc163565957"/>
      <w:bookmarkStart w:id="162" w:name="_Ref190163731"/>
      <w:bookmarkStart w:id="163" w:name="_Ref190163737"/>
      <w:bookmarkStart w:id="164" w:name="_Ref190163767"/>
      <w:bookmarkStart w:id="165" w:name="_Ref190163787"/>
      <w:bookmarkStart w:id="166" w:name="_Toc214618238"/>
      <w:bookmarkStart w:id="167" w:name="_Hlk207359279"/>
      <w:r w:rsidRPr="00C6052E">
        <w:lastRenderedPageBreak/>
        <w:t>Disaggregated</w:t>
      </w:r>
      <w:r w:rsidR="00177848" w:rsidRPr="00C6052E">
        <w:t xml:space="preserve"> </w:t>
      </w:r>
      <w:r w:rsidRPr="00C6052E">
        <w:t>Financial</w:t>
      </w:r>
      <w:r w:rsidR="00177848" w:rsidRPr="00C6052E">
        <w:t xml:space="preserve"> </w:t>
      </w:r>
      <w:r w:rsidRPr="00C6052E">
        <w:t>Information</w:t>
      </w:r>
      <w:r w:rsidR="00177848" w:rsidRPr="00C6052E">
        <w:t xml:space="preserve"> </w:t>
      </w:r>
      <w:r w:rsidRPr="00C6052E">
        <w:t>by</w:t>
      </w:r>
      <w:r w:rsidR="00177848" w:rsidRPr="00C6052E">
        <w:t xml:space="preserve"> </w:t>
      </w:r>
      <w:r w:rsidRPr="00C6052E">
        <w:t>Output</w:t>
      </w:r>
      <w:bookmarkEnd w:id="161"/>
      <w:bookmarkEnd w:id="162"/>
      <w:bookmarkEnd w:id="163"/>
      <w:bookmarkEnd w:id="164"/>
      <w:bookmarkEnd w:id="165"/>
      <w:bookmarkEnd w:id="166"/>
    </w:p>
    <w:p w14:paraId="1BB3DD07" w14:textId="77777777" w:rsidR="00EE5BB8" w:rsidRPr="00C6052E" w:rsidRDefault="00EE5BB8" w:rsidP="00E97D0C">
      <w:pPr>
        <w:pStyle w:val="Heading3"/>
      </w:pPr>
      <w:bookmarkStart w:id="168" w:name="_Toc163565958"/>
      <w:bookmarkStart w:id="169" w:name="_Toc163566565"/>
      <w:bookmarkStart w:id="170" w:name="_Toc174009487"/>
      <w:r w:rsidRPr="00C6052E">
        <w:t>Introduction</w:t>
      </w:r>
      <w:bookmarkEnd w:id="168"/>
      <w:bookmarkEnd w:id="169"/>
      <w:bookmarkEnd w:id="170"/>
    </w:p>
    <w:p w14:paraId="5E330E56" w14:textId="4845C0EA" w:rsidR="00EE5BB8" w:rsidRPr="00C6052E" w:rsidRDefault="00EE5BB8" w:rsidP="00EE5BB8">
      <w:r w:rsidRPr="00C6052E">
        <w:t>DJSIR</w:t>
      </w:r>
      <w:r w:rsidR="00177848" w:rsidRPr="00C6052E">
        <w:t xml:space="preserve"> </w:t>
      </w:r>
      <w:r w:rsidRPr="00C6052E">
        <w:t>is</w:t>
      </w:r>
      <w:r w:rsidR="00177848" w:rsidRPr="00C6052E">
        <w:t xml:space="preserve"> </w:t>
      </w:r>
      <w:r w:rsidRPr="00C6052E">
        <w:t>predominantly</w:t>
      </w:r>
      <w:r w:rsidR="00177848" w:rsidRPr="00C6052E">
        <w:t xml:space="preserve"> </w:t>
      </w:r>
      <w:r w:rsidRPr="00C6052E">
        <w:t>funded</w:t>
      </w:r>
      <w:r w:rsidR="00177848" w:rsidRPr="00C6052E">
        <w:t xml:space="preserve"> </w:t>
      </w:r>
      <w:r w:rsidRPr="00C6052E">
        <w:t>by</w:t>
      </w:r>
      <w:r w:rsidR="00177848" w:rsidRPr="00C6052E">
        <w:t xml:space="preserve"> </w:t>
      </w:r>
      <w:r w:rsidRPr="00C6052E">
        <w:t>accrual</w:t>
      </w:r>
      <w:r w:rsidR="00177848" w:rsidRPr="00C6052E">
        <w:t xml:space="preserve"> </w:t>
      </w:r>
      <w:r w:rsidRPr="00C6052E">
        <w:t>based</w:t>
      </w:r>
      <w:r w:rsidR="00177848" w:rsidRPr="00C6052E">
        <w:t xml:space="preserve"> </w:t>
      </w:r>
      <w:r w:rsidRPr="00C6052E">
        <w:t>parliamentary</w:t>
      </w:r>
      <w:r w:rsidR="00177848" w:rsidRPr="00C6052E">
        <w:t xml:space="preserve"> </w:t>
      </w:r>
      <w:r w:rsidRPr="00C6052E">
        <w:t>appropriations</w:t>
      </w:r>
      <w:r w:rsidR="00177848" w:rsidRPr="00C6052E">
        <w:t xml:space="preserve"> </w:t>
      </w:r>
      <w:r w:rsidRPr="00C6052E">
        <w:t>for</w:t>
      </w:r>
      <w:r w:rsidR="00177848" w:rsidRPr="00C6052E">
        <w:t xml:space="preserve"> </w:t>
      </w:r>
      <w:r w:rsidRPr="00C6052E">
        <w:t>the</w:t>
      </w:r>
      <w:r w:rsidR="00177848" w:rsidRPr="00C6052E">
        <w:t xml:space="preserve"> </w:t>
      </w:r>
      <w:r w:rsidRPr="00C6052E">
        <w:t>provision</w:t>
      </w:r>
      <w:r w:rsidR="00177848" w:rsidRPr="00C6052E">
        <w:t xml:space="preserve"> </w:t>
      </w:r>
      <w:r w:rsidRPr="00C6052E">
        <w:t>of</w:t>
      </w:r>
      <w:r w:rsidR="00177848" w:rsidRPr="00C6052E">
        <w:t xml:space="preserve"> </w:t>
      </w:r>
      <w:r w:rsidRPr="00C6052E">
        <w:t>outputs.</w:t>
      </w:r>
      <w:r w:rsidR="00177848" w:rsidRPr="00C6052E">
        <w:t xml:space="preserve"> </w:t>
      </w:r>
      <w:r w:rsidRPr="00C6052E">
        <w:t>This</w:t>
      </w:r>
      <w:r w:rsidR="00177848" w:rsidRPr="00C6052E">
        <w:t xml:space="preserve"> </w:t>
      </w:r>
      <w:r w:rsidRPr="00C6052E">
        <w:t>section</w:t>
      </w:r>
      <w:r w:rsidR="00177848" w:rsidRPr="00C6052E">
        <w:t xml:space="preserve"> </w:t>
      </w:r>
      <w:r w:rsidRPr="00C6052E">
        <w:t>provides</w:t>
      </w:r>
      <w:r w:rsidR="00177848" w:rsidRPr="00C6052E">
        <w:t xml:space="preserve"> </w:t>
      </w:r>
      <w:r w:rsidRPr="00C6052E">
        <w:t>a</w:t>
      </w:r>
      <w:r w:rsidR="00177848" w:rsidRPr="00C6052E">
        <w:t xml:space="preserve"> </w:t>
      </w:r>
      <w:r w:rsidRPr="00C6052E">
        <w:t>description</w:t>
      </w:r>
      <w:r w:rsidR="00177848" w:rsidRPr="00C6052E">
        <w:t xml:space="preserve"> </w:t>
      </w:r>
      <w:r w:rsidRPr="00C6052E">
        <w:t>of</w:t>
      </w:r>
      <w:r w:rsidR="00177848" w:rsidRPr="00C6052E">
        <w:t xml:space="preserve"> </w:t>
      </w:r>
      <w:r w:rsidRPr="00C6052E">
        <w:t>the</w:t>
      </w:r>
      <w:r w:rsidR="00177848" w:rsidRPr="00C6052E">
        <w:t xml:space="preserve"> </w:t>
      </w:r>
      <w:r w:rsidRPr="00C6052E">
        <w:t>departmental</w:t>
      </w:r>
      <w:r w:rsidR="00177848" w:rsidRPr="00C6052E">
        <w:t xml:space="preserve"> </w:t>
      </w:r>
      <w:r w:rsidRPr="00C6052E">
        <w:t>outputs</w:t>
      </w:r>
      <w:r w:rsidR="00177848" w:rsidRPr="00C6052E">
        <w:t xml:space="preserve"> </w:t>
      </w:r>
      <w:r w:rsidRPr="00C6052E">
        <w:t>performed</w:t>
      </w:r>
      <w:r w:rsidR="00177848" w:rsidRPr="00C6052E">
        <w:t xml:space="preserve"> </w:t>
      </w:r>
      <w:r w:rsidRPr="00C6052E">
        <w:t>during</w:t>
      </w:r>
      <w:r w:rsidR="00177848" w:rsidRPr="00C6052E">
        <w:t xml:space="preserve"> </w:t>
      </w:r>
      <w:r w:rsidRPr="00C6052E">
        <w:t>the</w:t>
      </w:r>
      <w:r w:rsidR="00177848" w:rsidRPr="00C6052E">
        <w:t xml:space="preserve"> </w:t>
      </w:r>
      <w:r w:rsidRPr="00C6052E">
        <w:t>year</w:t>
      </w:r>
      <w:r w:rsidR="00177848" w:rsidRPr="00C6052E">
        <w:t xml:space="preserve"> </w:t>
      </w:r>
      <w:r w:rsidRPr="00C6052E">
        <w:t>ended</w:t>
      </w:r>
      <w:r w:rsidR="00177848" w:rsidRPr="00C6052E">
        <w:t xml:space="preserve"> </w:t>
      </w:r>
      <w:fldSimple w:instr=" DOCPROPERTY  pEnd  \* MERGEFORMAT ">
        <w:r w:rsidRPr="00C6052E">
          <w:t>30</w:t>
        </w:r>
        <w:r w:rsidR="00177848" w:rsidRPr="00C6052E">
          <w:t xml:space="preserve"> </w:t>
        </w:r>
        <w:r w:rsidRPr="00C6052E">
          <w:t>June</w:t>
        </w:r>
      </w:fldSimple>
      <w:r w:rsidR="00177848" w:rsidRPr="00C6052E">
        <w:t xml:space="preserve"> </w:t>
      </w:r>
      <w:fldSimple w:instr=" DOCPROPERTY  crYear  \* MERGEFORMAT ">
        <w:r w:rsidRPr="00C6052E">
          <w:t>2025</w:t>
        </w:r>
      </w:fldSimple>
      <w:r w:rsidR="00177848" w:rsidRPr="00C6052E">
        <w:t xml:space="preserve"> </w:t>
      </w:r>
      <w:r w:rsidRPr="00C6052E">
        <w:t>along</w:t>
      </w:r>
      <w:r w:rsidR="00177848" w:rsidRPr="00C6052E">
        <w:t xml:space="preserve"> </w:t>
      </w:r>
      <w:r w:rsidRPr="00C6052E">
        <w:t>with</w:t>
      </w:r>
      <w:r w:rsidR="00177848" w:rsidRPr="00C6052E">
        <w:t xml:space="preserve"> </w:t>
      </w:r>
      <w:r w:rsidRPr="00C6052E">
        <w:t>the</w:t>
      </w:r>
      <w:r w:rsidR="00177848" w:rsidRPr="00C6052E">
        <w:t xml:space="preserve"> </w:t>
      </w:r>
      <w:r w:rsidRPr="00C6052E">
        <w:t>objectives</w:t>
      </w:r>
      <w:r w:rsidR="00177848" w:rsidRPr="00C6052E">
        <w:t xml:space="preserve"> </w:t>
      </w:r>
      <w:r w:rsidRPr="00C6052E">
        <w:t>of</w:t>
      </w:r>
      <w:r w:rsidR="00177848" w:rsidRPr="00C6052E">
        <w:t xml:space="preserve"> </w:t>
      </w:r>
      <w:r w:rsidRPr="00C6052E">
        <w:t>those</w:t>
      </w:r>
      <w:r w:rsidR="00177848" w:rsidRPr="00C6052E">
        <w:t xml:space="preserve"> </w:t>
      </w:r>
      <w:r w:rsidRPr="00C6052E">
        <w:t>outputs.</w:t>
      </w:r>
    </w:p>
    <w:p w14:paraId="67B9ED4E" w14:textId="53D7D775" w:rsidR="00EE5BB8" w:rsidRPr="00C6052E" w:rsidRDefault="00EE5BB8" w:rsidP="00EE5BB8">
      <w:r w:rsidRPr="00C6052E">
        <w:t>This</w:t>
      </w:r>
      <w:r w:rsidR="00177848" w:rsidRPr="00C6052E">
        <w:t xml:space="preserve"> </w:t>
      </w:r>
      <w:r w:rsidRPr="00C6052E">
        <w:t>section</w:t>
      </w:r>
      <w:r w:rsidR="00177848" w:rsidRPr="00C6052E">
        <w:t xml:space="preserve"> </w:t>
      </w:r>
      <w:r w:rsidRPr="00C6052E">
        <w:t>disaggregates</w:t>
      </w:r>
      <w:r w:rsidR="00177848" w:rsidRPr="00C6052E">
        <w:t xml:space="preserve"> </w:t>
      </w:r>
      <w:r w:rsidRPr="00C6052E">
        <w:t>revenue</w:t>
      </w:r>
      <w:r w:rsidR="00177848" w:rsidRPr="00C6052E">
        <w:t xml:space="preserve"> </w:t>
      </w:r>
      <w:r w:rsidRPr="00C6052E">
        <w:t>and</w:t>
      </w:r>
      <w:r w:rsidR="00177848" w:rsidRPr="00C6052E">
        <w:t xml:space="preserve"> </w:t>
      </w:r>
      <w:r w:rsidRPr="00C6052E">
        <w:t>income</w:t>
      </w:r>
      <w:r w:rsidR="00177848" w:rsidRPr="00C6052E">
        <w:t xml:space="preserve"> </w:t>
      </w:r>
      <w:r w:rsidRPr="00C6052E">
        <w:t>that</w:t>
      </w:r>
      <w:r w:rsidR="00177848" w:rsidRPr="00C6052E">
        <w:t xml:space="preserve"> </w:t>
      </w:r>
      <w:r w:rsidRPr="00C6052E">
        <w:t>enables</w:t>
      </w:r>
      <w:r w:rsidR="00177848" w:rsidRPr="00C6052E">
        <w:t xml:space="preserve"> </w:t>
      </w:r>
      <w:r w:rsidRPr="00C6052E">
        <w:t>the</w:t>
      </w:r>
      <w:r w:rsidR="00177848" w:rsidRPr="00C6052E">
        <w:t xml:space="preserve"> </w:t>
      </w:r>
      <w:r w:rsidRPr="00C6052E">
        <w:t>delivery</w:t>
      </w:r>
      <w:r w:rsidR="00177848" w:rsidRPr="00C6052E">
        <w:t xml:space="preserve"> </w:t>
      </w:r>
      <w:r w:rsidRPr="00C6052E">
        <w:t>of</w:t>
      </w:r>
      <w:r w:rsidR="00177848" w:rsidRPr="00C6052E">
        <w:t xml:space="preserve"> </w:t>
      </w:r>
      <w:r w:rsidRPr="00C6052E">
        <w:t>service</w:t>
      </w:r>
      <w:r w:rsidR="00177848" w:rsidRPr="00C6052E">
        <w:t xml:space="preserve"> </w:t>
      </w:r>
      <w:r w:rsidRPr="00C6052E">
        <w:t>(described</w:t>
      </w:r>
      <w:r w:rsidR="00177848" w:rsidRPr="00C6052E">
        <w:t xml:space="preserve"> </w:t>
      </w:r>
      <w:r w:rsidRPr="00C6052E">
        <w:t>in</w:t>
      </w:r>
      <w:r w:rsidR="00177848" w:rsidRPr="00C6052E">
        <w:t xml:space="preserve"> </w:t>
      </w:r>
      <w:r w:rsidRPr="00C6052E">
        <w:t>Note</w:t>
      </w:r>
      <w:r w:rsidR="00177848" w:rsidRPr="00C6052E">
        <w:t xml:space="preserve"> </w:t>
      </w:r>
      <w:r w:rsidRPr="00C6052E">
        <w:fldChar w:fldCharType="begin"/>
      </w:r>
      <w:r w:rsidRPr="00C6052E">
        <w:instrText xml:space="preserve"> REF _Ref209439893 \r \h </w:instrText>
      </w:r>
      <w:r w:rsidRPr="00C6052E">
        <w:fldChar w:fldCharType="separate"/>
      </w:r>
      <w:r w:rsidRPr="00C6052E">
        <w:t>2</w:t>
      </w:r>
      <w:r w:rsidRPr="00C6052E">
        <w:fldChar w:fldCharType="end"/>
      </w:r>
      <w:r w:rsidR="00177848" w:rsidRPr="00C6052E">
        <w:t xml:space="preserve"> </w:t>
      </w:r>
      <w:r w:rsidRPr="00C6052E">
        <w:t>–</w:t>
      </w:r>
      <w:r w:rsidR="00177848" w:rsidRPr="00C6052E">
        <w:t xml:space="preserve"> </w:t>
      </w:r>
      <w:r w:rsidRPr="00C6052E">
        <w:fldChar w:fldCharType="begin"/>
      </w:r>
      <w:r w:rsidRPr="00C6052E">
        <w:instrText xml:space="preserve"> REF _Ref209439893 \h </w:instrText>
      </w:r>
      <w:r w:rsidRPr="00C6052E">
        <w:fldChar w:fldCharType="separate"/>
      </w:r>
      <w:r w:rsidRPr="00C6052E">
        <w:t>Funding</w:t>
      </w:r>
      <w:r w:rsidR="00177848" w:rsidRPr="00C6052E">
        <w:t xml:space="preserve"> </w:t>
      </w:r>
      <w:r w:rsidRPr="00C6052E">
        <w:t>Delivery</w:t>
      </w:r>
      <w:r w:rsidR="00177848" w:rsidRPr="00C6052E">
        <w:t xml:space="preserve"> </w:t>
      </w:r>
      <w:r w:rsidRPr="00C6052E">
        <w:t>of</w:t>
      </w:r>
      <w:r w:rsidR="00177848" w:rsidRPr="00C6052E">
        <w:t xml:space="preserve"> </w:t>
      </w:r>
      <w:r w:rsidRPr="00C6052E">
        <w:t>Our</w:t>
      </w:r>
      <w:r w:rsidR="00177848" w:rsidRPr="00C6052E">
        <w:t xml:space="preserve"> </w:t>
      </w:r>
      <w:r w:rsidRPr="00C6052E">
        <w:t>Services</w:t>
      </w:r>
      <w:r w:rsidRPr="00C6052E">
        <w:fldChar w:fldCharType="end"/>
      </w:r>
      <w:r w:rsidRPr="00C6052E">
        <w:t>)</w:t>
      </w:r>
      <w:r w:rsidR="00177848" w:rsidRPr="00C6052E">
        <w:t xml:space="preserve"> </w:t>
      </w:r>
      <w:r w:rsidRPr="00C6052E">
        <w:t>by</w:t>
      </w:r>
      <w:r w:rsidR="00177848" w:rsidRPr="00C6052E">
        <w:t xml:space="preserve"> </w:t>
      </w:r>
      <w:r w:rsidRPr="00C6052E">
        <w:t>output</w:t>
      </w:r>
      <w:r w:rsidR="00177848" w:rsidRPr="00C6052E">
        <w:t xml:space="preserve"> </w:t>
      </w:r>
      <w:r w:rsidRPr="00C6052E">
        <w:t>and</w:t>
      </w:r>
      <w:r w:rsidR="00177848" w:rsidRPr="00C6052E">
        <w:t xml:space="preserve"> </w:t>
      </w:r>
      <w:r w:rsidRPr="00C6052E">
        <w:t>records</w:t>
      </w:r>
      <w:r w:rsidR="00177848" w:rsidRPr="00C6052E">
        <w:t xml:space="preserve"> </w:t>
      </w:r>
      <w:r w:rsidRPr="00C6052E">
        <w:t>the</w:t>
      </w:r>
      <w:r w:rsidR="00177848" w:rsidRPr="00C6052E">
        <w:t xml:space="preserve"> </w:t>
      </w:r>
      <w:r w:rsidRPr="00C6052E">
        <w:t>allocation</w:t>
      </w:r>
      <w:r w:rsidR="00177848" w:rsidRPr="00C6052E">
        <w:t xml:space="preserve"> </w:t>
      </w:r>
      <w:r w:rsidRPr="00C6052E">
        <w:t>of</w:t>
      </w:r>
      <w:r w:rsidR="00177848" w:rsidRPr="00C6052E">
        <w:t xml:space="preserve"> </w:t>
      </w:r>
      <w:r w:rsidRPr="00C6052E">
        <w:t>expenses</w:t>
      </w:r>
      <w:r w:rsidR="00177848" w:rsidRPr="00C6052E">
        <w:t xml:space="preserve"> </w:t>
      </w:r>
      <w:r w:rsidRPr="00C6052E">
        <w:t>incurred</w:t>
      </w:r>
      <w:r w:rsidR="00177848" w:rsidRPr="00C6052E">
        <w:t xml:space="preserve"> </w:t>
      </w:r>
      <w:r w:rsidRPr="00C6052E">
        <w:t>(described</w:t>
      </w:r>
      <w:r w:rsidR="00177848" w:rsidRPr="00C6052E">
        <w:t xml:space="preserve"> </w:t>
      </w:r>
      <w:r w:rsidRPr="00C6052E">
        <w:t>in</w:t>
      </w:r>
      <w:r w:rsidR="00177848" w:rsidRPr="00C6052E">
        <w:t xml:space="preserve"> </w:t>
      </w:r>
      <w:r w:rsidRPr="00C6052E">
        <w:t>Note</w:t>
      </w:r>
      <w:r w:rsidR="00177848" w:rsidRPr="00C6052E">
        <w:t xml:space="preserve"> </w:t>
      </w:r>
      <w:r w:rsidRPr="00C6052E">
        <w:fldChar w:fldCharType="begin"/>
      </w:r>
      <w:r w:rsidRPr="00C6052E">
        <w:instrText xml:space="preserve"> REF _Ref209439752 \r \h </w:instrText>
      </w:r>
      <w:r w:rsidRPr="00C6052E">
        <w:fldChar w:fldCharType="separate"/>
      </w:r>
      <w:r w:rsidRPr="00C6052E">
        <w:t>3</w:t>
      </w:r>
      <w:r w:rsidRPr="00C6052E">
        <w:fldChar w:fldCharType="end"/>
      </w:r>
      <w:r w:rsidR="00177848" w:rsidRPr="00C6052E">
        <w:t xml:space="preserve"> </w:t>
      </w:r>
      <w:r w:rsidRPr="00C6052E">
        <w:t>–</w:t>
      </w:r>
      <w:r w:rsidR="00177848" w:rsidRPr="00C6052E">
        <w:t xml:space="preserve"> </w:t>
      </w:r>
      <w:r w:rsidRPr="00C6052E">
        <w:fldChar w:fldCharType="begin"/>
      </w:r>
      <w:r w:rsidRPr="00C6052E">
        <w:instrText xml:space="preserve"> REF _Ref209439752 \h </w:instrText>
      </w:r>
      <w:r w:rsidRPr="00C6052E">
        <w:fldChar w:fldCharType="separate"/>
      </w:r>
      <w:r w:rsidRPr="00C6052E">
        <w:t>The</w:t>
      </w:r>
      <w:r w:rsidR="00177848" w:rsidRPr="00C6052E">
        <w:t xml:space="preserve"> </w:t>
      </w:r>
      <w:r w:rsidRPr="00C6052E">
        <w:t>Cost</w:t>
      </w:r>
      <w:r w:rsidR="00177848" w:rsidRPr="00C6052E">
        <w:t xml:space="preserve"> </w:t>
      </w:r>
      <w:r w:rsidRPr="00C6052E">
        <w:t>of</w:t>
      </w:r>
      <w:r w:rsidR="00177848" w:rsidRPr="00C6052E">
        <w:t xml:space="preserve"> </w:t>
      </w:r>
      <w:r w:rsidRPr="00C6052E">
        <w:t>Delivering</w:t>
      </w:r>
      <w:r w:rsidR="00177848" w:rsidRPr="00C6052E">
        <w:t xml:space="preserve"> </w:t>
      </w:r>
      <w:r w:rsidRPr="00C6052E">
        <w:t>Services</w:t>
      </w:r>
      <w:r w:rsidRPr="00C6052E">
        <w:fldChar w:fldCharType="end"/>
      </w:r>
      <w:r w:rsidRPr="00C6052E">
        <w:t>)</w:t>
      </w:r>
      <w:r w:rsidR="00177848" w:rsidRPr="00C6052E">
        <w:t xml:space="preserve"> </w:t>
      </w:r>
      <w:r w:rsidRPr="00C6052E">
        <w:t>also</w:t>
      </w:r>
      <w:r w:rsidR="00177848" w:rsidRPr="00C6052E">
        <w:t xml:space="preserve"> </w:t>
      </w:r>
      <w:r w:rsidRPr="00C6052E">
        <w:t>by</w:t>
      </w:r>
      <w:r w:rsidR="00177848" w:rsidRPr="00C6052E">
        <w:t xml:space="preserve"> </w:t>
      </w:r>
      <w:r w:rsidRPr="00C6052E">
        <w:t>output.</w:t>
      </w:r>
    </w:p>
    <w:p w14:paraId="62D1B109" w14:textId="4DAFED2C" w:rsidR="00EE5BB8" w:rsidRPr="00C6052E" w:rsidRDefault="00EE5BB8" w:rsidP="00EE5BB8">
      <w:r w:rsidRPr="00C6052E">
        <w:t>It</w:t>
      </w:r>
      <w:r w:rsidR="00177848" w:rsidRPr="00C6052E">
        <w:t xml:space="preserve"> </w:t>
      </w:r>
      <w:r w:rsidRPr="00C6052E">
        <w:t>provides</w:t>
      </w:r>
      <w:r w:rsidR="00177848" w:rsidRPr="00C6052E">
        <w:t xml:space="preserve"> </w:t>
      </w:r>
      <w:r w:rsidRPr="00C6052E">
        <w:t>information</w:t>
      </w:r>
      <w:r w:rsidR="00177848" w:rsidRPr="00C6052E">
        <w:t xml:space="preserve"> </w:t>
      </w:r>
      <w:r w:rsidRPr="00C6052E">
        <w:t>on</w:t>
      </w:r>
      <w:r w:rsidR="00177848" w:rsidRPr="00C6052E">
        <w:t xml:space="preserve"> </w:t>
      </w:r>
      <w:r w:rsidRPr="00C6052E">
        <w:t>controlled</w:t>
      </w:r>
      <w:r w:rsidR="00177848" w:rsidRPr="00C6052E">
        <w:t xml:space="preserve"> </w:t>
      </w:r>
      <w:r w:rsidRPr="00C6052E">
        <w:t>and</w:t>
      </w:r>
      <w:r w:rsidR="00177848" w:rsidRPr="00C6052E">
        <w:t xml:space="preserve"> </w:t>
      </w:r>
      <w:r w:rsidRPr="00C6052E">
        <w:t>administered</w:t>
      </w:r>
      <w:r w:rsidR="00177848" w:rsidRPr="00C6052E">
        <w:t xml:space="preserve"> </w:t>
      </w:r>
      <w:r w:rsidRPr="00C6052E">
        <w:t>items</w:t>
      </w:r>
      <w:r w:rsidR="00177848" w:rsidRPr="00C6052E">
        <w:t xml:space="preserve"> </w:t>
      </w:r>
      <w:r w:rsidRPr="00C6052E">
        <w:t>in</w:t>
      </w:r>
      <w:r w:rsidR="00177848" w:rsidRPr="00C6052E">
        <w:t xml:space="preserve"> </w:t>
      </w:r>
      <w:r w:rsidRPr="00C6052E">
        <w:t>connection</w:t>
      </w:r>
      <w:r w:rsidR="00177848" w:rsidRPr="00C6052E">
        <w:t xml:space="preserve"> </w:t>
      </w:r>
      <w:r w:rsidRPr="00C6052E">
        <w:t>with</w:t>
      </w:r>
      <w:r w:rsidR="00177848" w:rsidRPr="00C6052E">
        <w:t xml:space="preserve"> </w:t>
      </w:r>
      <w:r w:rsidRPr="00C6052E">
        <w:t>these</w:t>
      </w:r>
      <w:r w:rsidR="00177848" w:rsidRPr="00C6052E">
        <w:t xml:space="preserve"> </w:t>
      </w:r>
      <w:r w:rsidRPr="00C6052E">
        <w:t>outputs.</w:t>
      </w:r>
    </w:p>
    <w:p w14:paraId="21818F19" w14:textId="77777777" w:rsidR="00EE5BB8" w:rsidRPr="00C6052E" w:rsidRDefault="00EE5BB8" w:rsidP="00E97D0C">
      <w:pPr>
        <w:pStyle w:val="Heading3"/>
      </w:pPr>
      <w:bookmarkStart w:id="171" w:name="_Toc163565959"/>
      <w:bookmarkStart w:id="172" w:name="_Toc163566566"/>
      <w:bookmarkStart w:id="173" w:name="_Toc174009488"/>
      <w:r w:rsidRPr="00C6052E">
        <w:t>Structure</w:t>
      </w:r>
      <w:bookmarkEnd w:id="171"/>
      <w:bookmarkEnd w:id="172"/>
      <w:bookmarkEnd w:id="173"/>
    </w:p>
    <w:p w14:paraId="025B69FC" w14:textId="0B24AF69" w:rsidR="00EE5BB8" w:rsidRPr="00C6052E" w:rsidRDefault="00EE5BB8" w:rsidP="00EE5BB8">
      <w:pPr>
        <w:pStyle w:val="Structurepoints"/>
      </w:pPr>
      <w:r w:rsidRPr="00C6052E">
        <w:fldChar w:fldCharType="begin"/>
      </w:r>
      <w:r w:rsidRPr="00C6052E">
        <w:instrText xml:space="preserve"> REF _Ref209439586 \r \h </w:instrText>
      </w:r>
      <w:r w:rsidRPr="00C6052E">
        <w:fldChar w:fldCharType="separate"/>
      </w:r>
      <w:r w:rsidRPr="00C6052E">
        <w:t>4.1</w:t>
      </w:r>
      <w:r w:rsidRPr="00C6052E">
        <w:fldChar w:fldCharType="end"/>
      </w:r>
      <w:r w:rsidRPr="00C6052E">
        <w:tab/>
      </w:r>
      <w:r w:rsidRPr="00C6052E">
        <w:fldChar w:fldCharType="begin"/>
      </w:r>
      <w:r w:rsidRPr="00C6052E">
        <w:instrText xml:space="preserve"> REF _Ref209439586 \h </w:instrText>
      </w:r>
      <w:r w:rsidRPr="00C6052E">
        <w:fldChar w:fldCharType="separate"/>
      </w:r>
      <w:r w:rsidRPr="00C6052E">
        <w:t>Departmental</w:t>
      </w:r>
      <w:r w:rsidR="00177848" w:rsidRPr="00C6052E">
        <w:t xml:space="preserve"> </w:t>
      </w:r>
      <w:r w:rsidRPr="00C6052E">
        <w:t>outputs</w:t>
      </w:r>
      <w:r w:rsidRPr="00C6052E">
        <w:fldChar w:fldCharType="end"/>
      </w:r>
    </w:p>
    <w:p w14:paraId="07FD88FF" w14:textId="12DC6079" w:rsidR="00EE5BB8" w:rsidRPr="00C6052E" w:rsidRDefault="00EE5BB8" w:rsidP="00EE5BB8">
      <w:pPr>
        <w:pStyle w:val="Structurepoints"/>
        <w:spacing w:after="240"/>
      </w:pPr>
      <w:r w:rsidRPr="00C6052E">
        <w:fldChar w:fldCharType="begin"/>
      </w:r>
      <w:r w:rsidRPr="00C6052E">
        <w:instrText xml:space="preserve"> REF _Ref209439665 \r \h </w:instrText>
      </w:r>
      <w:r w:rsidRPr="00C6052E">
        <w:fldChar w:fldCharType="separate"/>
      </w:r>
      <w:r w:rsidRPr="00C6052E">
        <w:t>4.2</w:t>
      </w:r>
      <w:r w:rsidRPr="00C6052E">
        <w:fldChar w:fldCharType="end"/>
      </w:r>
      <w:r w:rsidRPr="00C6052E">
        <w:tab/>
      </w:r>
      <w:r w:rsidRPr="00C6052E">
        <w:fldChar w:fldCharType="begin"/>
      </w:r>
      <w:r w:rsidRPr="00C6052E">
        <w:instrText xml:space="preserve"> REF _Ref209439674 \h </w:instrText>
      </w:r>
      <w:r w:rsidRPr="00C6052E">
        <w:fldChar w:fldCharType="separate"/>
      </w:r>
      <w:r w:rsidRPr="00C6052E">
        <w:t>Administered</w:t>
      </w:r>
      <w:r w:rsidR="00177848" w:rsidRPr="00C6052E">
        <w:t xml:space="preserve"> </w:t>
      </w:r>
      <w:r w:rsidRPr="00C6052E">
        <w:t>items</w:t>
      </w:r>
      <w:r w:rsidRPr="00C6052E">
        <w:fldChar w:fldCharType="end"/>
      </w:r>
    </w:p>
    <w:p w14:paraId="247D44B4" w14:textId="29F5FF16" w:rsidR="00EE5BB8" w:rsidRPr="00C6052E" w:rsidRDefault="00EE5BB8" w:rsidP="000C0740">
      <w:pPr>
        <w:pStyle w:val="Heading2numbered0"/>
      </w:pPr>
      <w:bookmarkStart w:id="174" w:name="_Toc163565960"/>
      <w:bookmarkStart w:id="175" w:name="_Ref209439586"/>
      <w:r w:rsidRPr="00C6052E">
        <w:t>Departmental</w:t>
      </w:r>
      <w:r w:rsidR="00177848" w:rsidRPr="00C6052E">
        <w:t xml:space="preserve"> </w:t>
      </w:r>
      <w:r w:rsidRPr="00C6052E">
        <w:t>outputs</w:t>
      </w:r>
      <w:bookmarkEnd w:id="174"/>
      <w:bookmarkEnd w:id="175"/>
    </w:p>
    <w:p w14:paraId="74C18259" w14:textId="64A6AC02" w:rsidR="00EE5BB8" w:rsidRPr="00C6052E" w:rsidRDefault="00EE5BB8" w:rsidP="000C0740">
      <w:pPr>
        <w:pStyle w:val="Heading3numbered0"/>
      </w:pPr>
      <w:bookmarkStart w:id="176" w:name="_Ref209623594"/>
      <w:r w:rsidRPr="00C6052E">
        <w:t>Departmental</w:t>
      </w:r>
      <w:r w:rsidR="00177848" w:rsidRPr="00C6052E">
        <w:t xml:space="preserve"> </w:t>
      </w:r>
      <w:r w:rsidRPr="00C6052E">
        <w:t>outputs</w:t>
      </w:r>
      <w:r w:rsidR="00177848" w:rsidRPr="00C6052E">
        <w:t xml:space="preserve"> </w:t>
      </w:r>
      <w:r w:rsidRPr="00C6052E">
        <w:t>objectives</w:t>
      </w:r>
      <w:bookmarkEnd w:id="176"/>
      <w:r w:rsidR="00177848" w:rsidRPr="00C6052E">
        <w:t xml:space="preserve"> </w:t>
      </w:r>
    </w:p>
    <w:p w14:paraId="3EB2808A" w14:textId="1A012CBE" w:rsidR="00EE5BB8" w:rsidRPr="00C6052E" w:rsidRDefault="000C0740" w:rsidP="000C0740">
      <w:pPr>
        <w:pStyle w:val="Heading4"/>
      </w:pPr>
      <w:r w:rsidRPr="00C6052E">
        <w:t>Departmental</w:t>
      </w:r>
      <w:r w:rsidR="00177848" w:rsidRPr="00C6052E">
        <w:t xml:space="preserve"> </w:t>
      </w:r>
      <w:r w:rsidRPr="00C6052E">
        <w:t>purpose</w:t>
      </w:r>
      <w:r w:rsidR="00177848" w:rsidRPr="00C6052E">
        <w:t xml:space="preserve"> </w:t>
      </w:r>
      <w:r w:rsidRPr="00C6052E">
        <w:t>statement</w:t>
      </w:r>
    </w:p>
    <w:p w14:paraId="60F9F517" w14:textId="4A481707" w:rsidR="00EE5BB8" w:rsidRPr="00C6052E" w:rsidRDefault="00EE5BB8" w:rsidP="00EE5BB8">
      <w:r w:rsidRPr="00C6052E">
        <w:t>DJSIR</w:t>
      </w:r>
      <w:r w:rsidR="00177848" w:rsidRPr="00C6052E">
        <w:t xml:space="preserve"> </w:t>
      </w:r>
      <w:r w:rsidRPr="00C6052E">
        <w:t>is</w:t>
      </w:r>
      <w:r w:rsidR="00177848" w:rsidRPr="00C6052E">
        <w:t xml:space="preserve"> </w:t>
      </w:r>
      <w:r w:rsidRPr="00C6052E">
        <w:t>focused</w:t>
      </w:r>
      <w:r w:rsidR="00177848" w:rsidRPr="00C6052E">
        <w:t xml:space="preserve"> </w:t>
      </w:r>
      <w:r w:rsidRPr="00C6052E">
        <w:t>on</w:t>
      </w:r>
      <w:r w:rsidR="00177848" w:rsidRPr="00C6052E">
        <w:t xml:space="preserve"> </w:t>
      </w:r>
      <w:r w:rsidRPr="00C6052E">
        <w:t>growing</w:t>
      </w:r>
      <w:r w:rsidR="00177848" w:rsidRPr="00C6052E">
        <w:t xml:space="preserve"> </w:t>
      </w:r>
      <w:r w:rsidRPr="00C6052E">
        <w:t>Victoria’s</w:t>
      </w:r>
      <w:r w:rsidR="00177848" w:rsidRPr="00C6052E">
        <w:t xml:space="preserve"> </w:t>
      </w:r>
      <w:r w:rsidRPr="00C6052E">
        <w:t>prosperity,</w:t>
      </w:r>
      <w:r w:rsidR="00177848" w:rsidRPr="00C6052E">
        <w:t xml:space="preserve"> </w:t>
      </w:r>
      <w:r w:rsidRPr="00C6052E">
        <w:t>building</w:t>
      </w:r>
      <w:r w:rsidR="00177848" w:rsidRPr="00C6052E">
        <w:t xml:space="preserve"> </w:t>
      </w:r>
      <w:r w:rsidRPr="00C6052E">
        <w:t>the</w:t>
      </w:r>
      <w:r w:rsidR="00177848" w:rsidRPr="00C6052E">
        <w:t xml:space="preserve"> </w:t>
      </w:r>
      <w:r w:rsidRPr="00C6052E">
        <w:t>productive</w:t>
      </w:r>
      <w:r w:rsidR="00177848" w:rsidRPr="00C6052E">
        <w:t xml:space="preserve"> </w:t>
      </w:r>
      <w:r w:rsidRPr="00C6052E">
        <w:t>capacity</w:t>
      </w:r>
      <w:r w:rsidR="00177848" w:rsidRPr="00C6052E">
        <w:t xml:space="preserve"> </w:t>
      </w:r>
      <w:r w:rsidRPr="00C6052E">
        <w:t>of</w:t>
      </w:r>
      <w:r w:rsidR="00177848" w:rsidRPr="00C6052E">
        <w:t xml:space="preserve"> </w:t>
      </w:r>
      <w:r w:rsidRPr="00C6052E">
        <w:t>our</w:t>
      </w:r>
      <w:r w:rsidR="00177848" w:rsidRPr="00C6052E">
        <w:t xml:space="preserve"> </w:t>
      </w:r>
      <w:r w:rsidRPr="00C6052E">
        <w:t>economy</w:t>
      </w:r>
      <w:r w:rsidR="00177848" w:rsidRPr="00C6052E">
        <w:t xml:space="preserve"> </w:t>
      </w:r>
      <w:r w:rsidRPr="00C6052E">
        <w:t>and</w:t>
      </w:r>
      <w:r w:rsidR="00177848" w:rsidRPr="00C6052E">
        <w:t xml:space="preserve"> </w:t>
      </w:r>
      <w:r w:rsidRPr="00C6052E">
        <w:t>increasing</w:t>
      </w:r>
      <w:r w:rsidR="00177848" w:rsidRPr="00C6052E">
        <w:t xml:space="preserve"> </w:t>
      </w:r>
      <w:r w:rsidRPr="00C6052E">
        <w:t>participation</w:t>
      </w:r>
      <w:r w:rsidR="00177848" w:rsidRPr="00C6052E">
        <w:t xml:space="preserve"> </w:t>
      </w:r>
      <w:r w:rsidRPr="00C6052E">
        <w:t>–</w:t>
      </w:r>
      <w:r w:rsidR="00177848" w:rsidRPr="00C6052E">
        <w:t xml:space="preserve"> </w:t>
      </w:r>
      <w:r w:rsidRPr="00C6052E">
        <w:t>by</w:t>
      </w:r>
      <w:r w:rsidR="00177848" w:rsidRPr="00C6052E">
        <w:t xml:space="preserve"> </w:t>
      </w:r>
      <w:r w:rsidRPr="00C6052E">
        <w:t>creating</w:t>
      </w:r>
      <w:r w:rsidR="00177848" w:rsidRPr="00C6052E">
        <w:t xml:space="preserve"> </w:t>
      </w:r>
      <w:r w:rsidRPr="00C6052E">
        <w:t>more</w:t>
      </w:r>
      <w:r w:rsidR="00177848" w:rsidRPr="00C6052E">
        <w:t xml:space="preserve"> </w:t>
      </w:r>
      <w:r w:rsidRPr="00C6052E">
        <w:t>opportunities</w:t>
      </w:r>
      <w:r w:rsidR="00177848" w:rsidRPr="00C6052E">
        <w:t xml:space="preserve"> </w:t>
      </w:r>
      <w:r w:rsidRPr="00C6052E">
        <w:t>for</w:t>
      </w:r>
      <w:r w:rsidR="00177848" w:rsidRPr="00C6052E">
        <w:t xml:space="preserve"> </w:t>
      </w:r>
      <w:r w:rsidRPr="00C6052E">
        <w:t>people</w:t>
      </w:r>
      <w:r w:rsidR="00177848" w:rsidRPr="00C6052E">
        <w:t xml:space="preserve"> </w:t>
      </w:r>
      <w:r w:rsidRPr="00C6052E">
        <w:t>through</w:t>
      </w:r>
      <w:r w:rsidR="00177848" w:rsidRPr="00C6052E">
        <w:t xml:space="preserve"> </w:t>
      </w:r>
      <w:r w:rsidRPr="00C6052E">
        <w:t>skills</w:t>
      </w:r>
      <w:r w:rsidR="00177848" w:rsidRPr="00C6052E">
        <w:t xml:space="preserve"> </w:t>
      </w:r>
      <w:r w:rsidRPr="00C6052E">
        <w:t>and</w:t>
      </w:r>
      <w:r w:rsidR="00177848" w:rsidRPr="00C6052E">
        <w:t xml:space="preserve"> </w:t>
      </w:r>
      <w:r w:rsidRPr="00C6052E">
        <w:t>jobs;</w:t>
      </w:r>
      <w:r w:rsidR="00177848" w:rsidRPr="00C6052E">
        <w:t xml:space="preserve"> </w:t>
      </w:r>
      <w:r w:rsidRPr="00C6052E">
        <w:t>helping</w:t>
      </w:r>
      <w:r w:rsidR="00177848" w:rsidRPr="00C6052E">
        <w:t xml:space="preserve"> </w:t>
      </w:r>
      <w:r w:rsidRPr="00C6052E">
        <w:t>businesses</w:t>
      </w:r>
      <w:r w:rsidR="00177848" w:rsidRPr="00C6052E">
        <w:t xml:space="preserve"> </w:t>
      </w:r>
      <w:r w:rsidRPr="00C6052E">
        <w:t>and</w:t>
      </w:r>
      <w:r w:rsidR="00177848" w:rsidRPr="00C6052E">
        <w:t xml:space="preserve"> </w:t>
      </w:r>
      <w:r w:rsidRPr="00C6052E">
        <w:t>industries</w:t>
      </w:r>
      <w:r w:rsidR="00177848" w:rsidRPr="00C6052E">
        <w:t xml:space="preserve"> </w:t>
      </w:r>
      <w:r w:rsidRPr="00C6052E">
        <w:t>to</w:t>
      </w:r>
      <w:r w:rsidR="00177848" w:rsidRPr="00C6052E">
        <w:t xml:space="preserve"> </w:t>
      </w:r>
      <w:r w:rsidRPr="00C6052E">
        <w:t>thrive;</w:t>
      </w:r>
      <w:r w:rsidR="00177848" w:rsidRPr="00C6052E">
        <w:t xml:space="preserve"> </w:t>
      </w:r>
      <w:r w:rsidRPr="00C6052E">
        <w:t>and</w:t>
      </w:r>
      <w:r w:rsidR="00177848" w:rsidRPr="00C6052E">
        <w:t xml:space="preserve"> </w:t>
      </w:r>
      <w:r w:rsidRPr="00C6052E">
        <w:t>building</w:t>
      </w:r>
      <w:r w:rsidR="00177848" w:rsidRPr="00C6052E">
        <w:t xml:space="preserve"> </w:t>
      </w:r>
      <w:r w:rsidRPr="00C6052E">
        <w:t>vibrant</w:t>
      </w:r>
      <w:r w:rsidR="00177848" w:rsidRPr="00C6052E">
        <w:t xml:space="preserve"> </w:t>
      </w:r>
      <w:r w:rsidRPr="00C6052E">
        <w:t>communities</w:t>
      </w:r>
      <w:r w:rsidR="00177848" w:rsidRPr="00C6052E">
        <w:t xml:space="preserve"> </w:t>
      </w:r>
      <w:r w:rsidRPr="00C6052E">
        <w:t>and</w:t>
      </w:r>
      <w:r w:rsidR="00177848" w:rsidRPr="00C6052E">
        <w:t xml:space="preserve"> </w:t>
      </w:r>
      <w:r w:rsidRPr="00C6052E">
        <w:t>regions.</w:t>
      </w:r>
    </w:p>
    <w:p w14:paraId="703C4DB7" w14:textId="2AAB9672" w:rsidR="00EE5BB8" w:rsidRPr="00C6052E" w:rsidRDefault="00EE5BB8" w:rsidP="0028635E">
      <w:pPr>
        <w:pStyle w:val="Normalbeforebullets"/>
      </w:pPr>
      <w:r w:rsidRPr="00C6052E">
        <w:t>DJSIR</w:t>
      </w:r>
      <w:r w:rsidR="00177848" w:rsidRPr="00C6052E">
        <w:t xml:space="preserve"> </w:t>
      </w:r>
      <w:r w:rsidRPr="00C6052E">
        <w:t>had</w:t>
      </w:r>
      <w:r w:rsidR="00177848" w:rsidRPr="00C6052E">
        <w:t xml:space="preserve"> </w:t>
      </w:r>
      <w:r w:rsidRPr="00C6052E">
        <w:t>the</w:t>
      </w:r>
      <w:r w:rsidR="00177848" w:rsidRPr="00C6052E">
        <w:t xml:space="preserve"> </w:t>
      </w:r>
      <w:r w:rsidRPr="00C6052E">
        <w:t>following</w:t>
      </w:r>
      <w:r w:rsidR="00177848" w:rsidRPr="00C6052E">
        <w:t xml:space="preserve"> </w:t>
      </w:r>
      <w:r w:rsidRPr="00C6052E">
        <w:t>departmental</w:t>
      </w:r>
      <w:r w:rsidR="00177848" w:rsidRPr="00C6052E">
        <w:t xml:space="preserve"> </w:t>
      </w:r>
      <w:r w:rsidRPr="00C6052E">
        <w:t>outputs</w:t>
      </w:r>
      <w:r w:rsidR="00177848" w:rsidRPr="00C6052E">
        <w:t xml:space="preserve"> </w:t>
      </w:r>
      <w:bookmarkStart w:id="177" w:name="_Hlk167445764"/>
      <w:r w:rsidRPr="00C6052E">
        <w:t>which</w:t>
      </w:r>
      <w:r w:rsidR="00177848" w:rsidRPr="00C6052E">
        <w:t xml:space="preserve"> </w:t>
      </w:r>
      <w:r w:rsidRPr="00C6052E">
        <w:t>are</w:t>
      </w:r>
      <w:r w:rsidR="00177848" w:rsidRPr="00C6052E">
        <w:t xml:space="preserve"> </w:t>
      </w:r>
      <w:r w:rsidRPr="00C6052E">
        <w:t>reflected</w:t>
      </w:r>
      <w:r w:rsidR="00177848" w:rsidRPr="00C6052E">
        <w:t xml:space="preserve"> </w:t>
      </w:r>
      <w:r w:rsidRPr="00C6052E">
        <w:t>in</w:t>
      </w:r>
      <w:r w:rsidR="00177848" w:rsidRPr="00C6052E">
        <w:t xml:space="preserve"> </w:t>
      </w:r>
      <w:r w:rsidRPr="00C6052E">
        <w:t>the</w:t>
      </w:r>
      <w:r w:rsidR="00177848" w:rsidRPr="00C6052E">
        <w:t xml:space="preserve"> </w:t>
      </w:r>
      <w:r w:rsidRPr="00C6052E">
        <w:t>FY2024-25</w:t>
      </w:r>
      <w:r w:rsidR="00177848" w:rsidRPr="00C6052E">
        <w:t xml:space="preserve"> </w:t>
      </w:r>
      <w:r w:rsidRPr="00C6052E">
        <w:t>Budget</w:t>
      </w:r>
      <w:r w:rsidR="00177848" w:rsidRPr="00C6052E">
        <w:t xml:space="preserve"> </w:t>
      </w:r>
      <w:r w:rsidRPr="00C6052E">
        <w:t>Paper</w:t>
      </w:r>
      <w:r w:rsidR="00177848" w:rsidRPr="00C6052E">
        <w:t xml:space="preserve"> </w:t>
      </w:r>
      <w:r w:rsidRPr="00C6052E">
        <w:t>3:</w:t>
      </w:r>
    </w:p>
    <w:p w14:paraId="547E67EE" w14:textId="06756C9F" w:rsidR="00EE5BB8" w:rsidRPr="00C6052E" w:rsidRDefault="00EE5BB8" w:rsidP="00EE5BB8">
      <w:pPr>
        <w:pStyle w:val="Bullet1"/>
        <w:numPr>
          <w:ilvl w:val="0"/>
          <w:numId w:val="1"/>
        </w:numPr>
        <w:spacing w:line="278" w:lineRule="auto"/>
        <w:ind w:left="284" w:hanging="284"/>
        <w:rPr>
          <w:lang w:val="en-AU"/>
        </w:rPr>
      </w:pPr>
      <w:r w:rsidRPr="00C6052E">
        <w:rPr>
          <w:lang w:val="en-AU"/>
        </w:rPr>
        <w:t>Creative</w:t>
      </w:r>
      <w:r w:rsidR="00177848" w:rsidRPr="00C6052E">
        <w:rPr>
          <w:lang w:val="en-AU"/>
        </w:rPr>
        <w:t xml:space="preserve"> </w:t>
      </w:r>
      <w:r w:rsidRPr="00C6052E">
        <w:rPr>
          <w:lang w:val="en-AU"/>
        </w:rPr>
        <w:t>Industries</w:t>
      </w:r>
      <w:r w:rsidR="00177848" w:rsidRPr="00C6052E">
        <w:rPr>
          <w:lang w:val="en-AU"/>
        </w:rPr>
        <w:t xml:space="preserve"> </w:t>
      </w:r>
      <w:r w:rsidRPr="00C6052E">
        <w:rPr>
          <w:lang w:val="en-AU"/>
        </w:rPr>
        <w:t>Access,</w:t>
      </w:r>
      <w:r w:rsidR="00177848" w:rsidRPr="00C6052E">
        <w:rPr>
          <w:lang w:val="en-AU"/>
        </w:rPr>
        <w:t xml:space="preserve"> </w:t>
      </w:r>
      <w:r w:rsidRPr="00C6052E">
        <w:rPr>
          <w:lang w:val="en-AU"/>
        </w:rPr>
        <w:t>Development</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Innovation</w:t>
      </w:r>
    </w:p>
    <w:p w14:paraId="1065F872" w14:textId="62BB8905" w:rsidR="00EE5BB8" w:rsidRPr="00C6052E" w:rsidRDefault="00EE5BB8" w:rsidP="00EE5BB8">
      <w:pPr>
        <w:pStyle w:val="Bullet1"/>
        <w:numPr>
          <w:ilvl w:val="0"/>
          <w:numId w:val="1"/>
        </w:numPr>
        <w:spacing w:line="278" w:lineRule="auto"/>
        <w:ind w:left="284" w:hanging="284"/>
        <w:rPr>
          <w:lang w:val="en-AU"/>
        </w:rPr>
      </w:pPr>
      <w:r w:rsidRPr="00C6052E">
        <w:rPr>
          <w:lang w:val="en-AU"/>
        </w:rPr>
        <w:t>Creative</w:t>
      </w:r>
      <w:r w:rsidR="00177848" w:rsidRPr="00C6052E">
        <w:rPr>
          <w:lang w:val="en-AU"/>
        </w:rPr>
        <w:t xml:space="preserve"> </w:t>
      </w:r>
      <w:r w:rsidRPr="00C6052E">
        <w:rPr>
          <w:lang w:val="en-AU"/>
        </w:rPr>
        <w:t>Industries</w:t>
      </w:r>
      <w:r w:rsidR="00177848" w:rsidRPr="00C6052E">
        <w:rPr>
          <w:lang w:val="en-AU"/>
        </w:rPr>
        <w:t xml:space="preserve"> </w:t>
      </w:r>
      <w:r w:rsidRPr="00C6052E">
        <w:rPr>
          <w:lang w:val="en-AU"/>
        </w:rPr>
        <w:t>Portfolio</w:t>
      </w:r>
      <w:r w:rsidR="00177848" w:rsidRPr="00C6052E">
        <w:rPr>
          <w:lang w:val="en-AU"/>
        </w:rPr>
        <w:t xml:space="preserve"> </w:t>
      </w:r>
      <w:r w:rsidRPr="00C6052E">
        <w:rPr>
          <w:lang w:val="en-AU"/>
        </w:rPr>
        <w:t>Agencies</w:t>
      </w:r>
    </w:p>
    <w:p w14:paraId="32F8DEDE" w14:textId="37A6ED0F" w:rsidR="00EE5BB8" w:rsidRPr="00C6052E" w:rsidRDefault="00EE5BB8" w:rsidP="00EE5BB8">
      <w:pPr>
        <w:pStyle w:val="Bullet1"/>
        <w:numPr>
          <w:ilvl w:val="0"/>
          <w:numId w:val="1"/>
        </w:numPr>
        <w:spacing w:line="278" w:lineRule="auto"/>
        <w:ind w:left="284" w:hanging="284"/>
        <w:rPr>
          <w:lang w:val="en-AU"/>
        </w:rPr>
      </w:pPr>
      <w:r w:rsidRPr="00C6052E">
        <w:rPr>
          <w:lang w:val="en-AU"/>
        </w:rPr>
        <w:t>Cultural</w:t>
      </w:r>
      <w:r w:rsidR="00177848" w:rsidRPr="00C6052E">
        <w:rPr>
          <w:lang w:val="en-AU"/>
        </w:rPr>
        <w:t xml:space="preserve"> </w:t>
      </w:r>
      <w:r w:rsidRPr="00C6052E">
        <w:rPr>
          <w:lang w:val="en-AU"/>
        </w:rPr>
        <w:t>Infrastructure</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Facilities</w:t>
      </w:r>
    </w:p>
    <w:p w14:paraId="108ABFFF" w14:textId="7BA31F97" w:rsidR="00EE5BB8" w:rsidRPr="00C6052E" w:rsidRDefault="00EE5BB8" w:rsidP="00EE5BB8">
      <w:pPr>
        <w:pStyle w:val="Bullet1"/>
        <w:numPr>
          <w:ilvl w:val="0"/>
          <w:numId w:val="1"/>
        </w:numPr>
        <w:spacing w:line="278" w:lineRule="auto"/>
        <w:ind w:left="284" w:hanging="284"/>
        <w:rPr>
          <w:lang w:val="en-AU"/>
        </w:rPr>
      </w:pPr>
      <w:r w:rsidRPr="00C6052E">
        <w:rPr>
          <w:lang w:val="en-AU"/>
        </w:rPr>
        <w:t>Industry,</w:t>
      </w:r>
      <w:r w:rsidR="00177848" w:rsidRPr="00C6052E">
        <w:rPr>
          <w:lang w:val="en-AU"/>
        </w:rPr>
        <w:t xml:space="preserve"> </w:t>
      </w:r>
      <w:r w:rsidRPr="00C6052E">
        <w:rPr>
          <w:lang w:val="en-AU"/>
        </w:rPr>
        <w:t>Small</w:t>
      </w:r>
      <w:r w:rsidR="00177848" w:rsidRPr="00C6052E">
        <w:rPr>
          <w:lang w:val="en-AU"/>
        </w:rPr>
        <w:t xml:space="preserve"> </w:t>
      </w:r>
      <w:r w:rsidRPr="00C6052E">
        <w:rPr>
          <w:lang w:val="en-AU"/>
        </w:rPr>
        <w:t>Business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Medical</w:t>
      </w:r>
      <w:r w:rsidR="00177848" w:rsidRPr="00C6052E">
        <w:rPr>
          <w:lang w:val="en-AU"/>
        </w:rPr>
        <w:t xml:space="preserve"> </w:t>
      </w:r>
      <w:r w:rsidRPr="00C6052E">
        <w:rPr>
          <w:lang w:val="en-AU"/>
        </w:rPr>
        <w:t>Research</w:t>
      </w:r>
    </w:p>
    <w:p w14:paraId="35F448D8" w14:textId="77777777" w:rsidR="00EE5BB8" w:rsidRPr="00C6052E" w:rsidRDefault="00EE5BB8" w:rsidP="00EE5BB8">
      <w:pPr>
        <w:pStyle w:val="Bullet1"/>
        <w:numPr>
          <w:ilvl w:val="0"/>
          <w:numId w:val="1"/>
        </w:numPr>
        <w:spacing w:line="278" w:lineRule="auto"/>
        <w:ind w:left="284" w:hanging="284"/>
        <w:rPr>
          <w:lang w:val="en-AU"/>
        </w:rPr>
      </w:pPr>
      <w:r w:rsidRPr="00C6052E">
        <w:rPr>
          <w:lang w:val="en-AU"/>
        </w:rPr>
        <w:t>Jobs</w:t>
      </w:r>
    </w:p>
    <w:p w14:paraId="779B4A93" w14:textId="61A952F5" w:rsidR="00EE5BB8" w:rsidRPr="00C6052E" w:rsidRDefault="00EE5BB8" w:rsidP="00EE5BB8">
      <w:pPr>
        <w:pStyle w:val="Bullet1"/>
        <w:numPr>
          <w:ilvl w:val="0"/>
          <w:numId w:val="1"/>
        </w:numPr>
        <w:spacing w:line="278" w:lineRule="auto"/>
        <w:ind w:left="284" w:hanging="284"/>
        <w:rPr>
          <w:lang w:val="en-AU"/>
        </w:rPr>
      </w:pPr>
      <w:r w:rsidRPr="00C6052E">
        <w:rPr>
          <w:lang w:val="en-AU"/>
        </w:rPr>
        <w:t>Regional</w:t>
      </w:r>
      <w:r w:rsidR="00177848" w:rsidRPr="00C6052E">
        <w:rPr>
          <w:lang w:val="en-AU"/>
        </w:rPr>
        <w:t xml:space="preserve"> </w:t>
      </w:r>
      <w:r w:rsidRPr="00C6052E">
        <w:rPr>
          <w:lang w:val="en-AU"/>
        </w:rPr>
        <w:t>Development</w:t>
      </w:r>
    </w:p>
    <w:p w14:paraId="1B88EDE1" w14:textId="633123E6" w:rsidR="00EE5BB8" w:rsidRPr="00C6052E" w:rsidRDefault="00EE5BB8" w:rsidP="00EE5BB8">
      <w:pPr>
        <w:pStyle w:val="Bullet1"/>
        <w:numPr>
          <w:ilvl w:val="0"/>
          <w:numId w:val="1"/>
        </w:numPr>
        <w:spacing w:line="278" w:lineRule="auto"/>
        <w:ind w:left="284" w:hanging="284"/>
        <w:rPr>
          <w:lang w:val="en-AU"/>
        </w:rPr>
      </w:pPr>
      <w:r w:rsidRPr="00C6052E">
        <w:rPr>
          <w:lang w:val="en-AU"/>
        </w:rPr>
        <w:t>Sport</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Recreation</w:t>
      </w:r>
    </w:p>
    <w:p w14:paraId="6F1A899B" w14:textId="1B830101" w:rsidR="00EE5BB8" w:rsidRPr="00C6052E" w:rsidRDefault="00EE5BB8" w:rsidP="00EE5BB8">
      <w:pPr>
        <w:pStyle w:val="Bullet1"/>
        <w:numPr>
          <w:ilvl w:val="0"/>
          <w:numId w:val="1"/>
        </w:numPr>
        <w:spacing w:line="278" w:lineRule="auto"/>
        <w:ind w:left="284" w:hanging="284"/>
        <w:rPr>
          <w:lang w:val="en-AU"/>
        </w:rPr>
      </w:pPr>
      <w:r w:rsidRPr="00C6052E">
        <w:rPr>
          <w:lang w:val="en-AU"/>
        </w:rPr>
        <w:t>Trade</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Investment</w:t>
      </w:r>
    </w:p>
    <w:p w14:paraId="681DFA57" w14:textId="41A54058" w:rsidR="00EE5BB8" w:rsidRPr="00C6052E" w:rsidRDefault="00EE5BB8" w:rsidP="00EE5BB8">
      <w:pPr>
        <w:pStyle w:val="Bullet1"/>
        <w:numPr>
          <w:ilvl w:val="0"/>
          <w:numId w:val="1"/>
        </w:numPr>
        <w:spacing w:line="278" w:lineRule="auto"/>
        <w:ind w:left="284" w:hanging="284"/>
        <w:rPr>
          <w:lang w:val="en-AU"/>
        </w:rPr>
      </w:pPr>
      <w:r w:rsidRPr="00C6052E">
        <w:rPr>
          <w:lang w:val="en-AU"/>
        </w:rPr>
        <w:t>Tourism</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Major</w:t>
      </w:r>
      <w:r w:rsidR="00177848" w:rsidRPr="00C6052E">
        <w:rPr>
          <w:lang w:val="en-AU"/>
        </w:rPr>
        <w:t xml:space="preserve"> </w:t>
      </w:r>
      <w:r w:rsidRPr="00C6052E">
        <w:rPr>
          <w:lang w:val="en-AU"/>
        </w:rPr>
        <w:t>events</w:t>
      </w:r>
    </w:p>
    <w:p w14:paraId="6119BF55" w14:textId="54383D9C" w:rsidR="00EE5BB8" w:rsidRPr="00C6052E" w:rsidRDefault="00EE5BB8" w:rsidP="00E97D0C">
      <w:pPr>
        <w:pStyle w:val="Bullet1"/>
        <w:keepNext/>
        <w:numPr>
          <w:ilvl w:val="0"/>
          <w:numId w:val="1"/>
        </w:numPr>
        <w:spacing w:line="278" w:lineRule="auto"/>
        <w:ind w:left="284" w:hanging="284"/>
        <w:rPr>
          <w:lang w:val="en-AU"/>
        </w:rPr>
      </w:pPr>
      <w:r w:rsidRPr="00C6052E">
        <w:rPr>
          <w:lang w:val="en-AU"/>
        </w:rPr>
        <w:lastRenderedPageBreak/>
        <w:t>Fishing,</w:t>
      </w:r>
      <w:r w:rsidR="00177848" w:rsidRPr="00C6052E">
        <w:rPr>
          <w:lang w:val="en-AU"/>
        </w:rPr>
        <w:t xml:space="preserve"> </w:t>
      </w:r>
      <w:r w:rsidRPr="00C6052E">
        <w:rPr>
          <w:lang w:val="en-AU"/>
        </w:rPr>
        <w:t>Boating</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Game</w:t>
      </w:r>
      <w:r w:rsidR="00177848" w:rsidRPr="00C6052E">
        <w:rPr>
          <w:lang w:val="en-AU"/>
        </w:rPr>
        <w:t xml:space="preserve"> </w:t>
      </w:r>
      <w:r w:rsidRPr="00C6052E">
        <w:rPr>
          <w:lang w:val="en-AU"/>
        </w:rPr>
        <w:t>Management</w:t>
      </w:r>
    </w:p>
    <w:p w14:paraId="33CE1704" w14:textId="5DF35B6D" w:rsidR="00EE5BB8" w:rsidRPr="00C6052E" w:rsidRDefault="00EE5BB8" w:rsidP="00EE5BB8">
      <w:pPr>
        <w:pStyle w:val="Bullet1last"/>
        <w:numPr>
          <w:ilvl w:val="0"/>
          <w:numId w:val="1"/>
        </w:numPr>
        <w:spacing w:line="278" w:lineRule="auto"/>
        <w:ind w:left="284" w:hanging="284"/>
        <w:rPr>
          <w:lang w:val="en-AU"/>
        </w:rPr>
      </w:pPr>
      <w:r w:rsidRPr="00C6052E">
        <w:rPr>
          <w:lang w:val="en-AU"/>
        </w:rPr>
        <w:t>Training,</w:t>
      </w:r>
      <w:r w:rsidR="00177848" w:rsidRPr="00C6052E">
        <w:rPr>
          <w:lang w:val="en-AU"/>
        </w:rPr>
        <w:t xml:space="preserve"> </w:t>
      </w:r>
      <w:r w:rsidRPr="00C6052E">
        <w:rPr>
          <w:lang w:val="en-AU"/>
        </w:rPr>
        <w:t>Higher</w:t>
      </w:r>
      <w:r w:rsidR="00177848" w:rsidRPr="00C6052E">
        <w:rPr>
          <w:lang w:val="en-AU"/>
        </w:rPr>
        <w:t xml:space="preserve"> </w:t>
      </w:r>
      <w:r w:rsidRPr="00C6052E">
        <w:rPr>
          <w:lang w:val="en-AU"/>
        </w:rPr>
        <w:t>Education</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Workforce</w:t>
      </w:r>
      <w:r w:rsidR="00177848" w:rsidRPr="00C6052E">
        <w:rPr>
          <w:lang w:val="en-AU"/>
        </w:rPr>
        <w:t xml:space="preserve"> </w:t>
      </w:r>
      <w:r w:rsidRPr="00C6052E">
        <w:rPr>
          <w:lang w:val="en-AU"/>
        </w:rPr>
        <w:t>Development</w:t>
      </w:r>
    </w:p>
    <w:bookmarkEnd w:id="177"/>
    <w:p w14:paraId="0455C6F4" w14:textId="10D10CC9" w:rsidR="00EE5BB8" w:rsidRPr="00C6052E" w:rsidRDefault="000C0740" w:rsidP="000C0740">
      <w:pPr>
        <w:pStyle w:val="Heading4"/>
      </w:pPr>
      <w:r w:rsidRPr="00C6052E">
        <w:t>Changes</w:t>
      </w:r>
      <w:r w:rsidR="00177848" w:rsidRPr="00C6052E">
        <w:t xml:space="preserve"> </w:t>
      </w:r>
      <w:r w:rsidRPr="00C6052E">
        <w:t>in</w:t>
      </w:r>
      <w:r w:rsidR="00177848" w:rsidRPr="00C6052E">
        <w:t xml:space="preserve"> </w:t>
      </w:r>
      <w:r w:rsidRPr="00C6052E">
        <w:t>outputs</w:t>
      </w:r>
    </w:p>
    <w:p w14:paraId="69BE3197" w14:textId="45229A67" w:rsidR="00EE5BB8" w:rsidRPr="00C6052E" w:rsidRDefault="00EE5BB8" w:rsidP="00EE5BB8">
      <w:r w:rsidRPr="00C6052E">
        <w:t>In</w:t>
      </w:r>
      <w:r w:rsidR="00177848" w:rsidRPr="00C6052E">
        <w:t xml:space="preserve"> </w:t>
      </w:r>
      <w:r w:rsidRPr="00C6052E">
        <w:t>the</w:t>
      </w:r>
      <w:r w:rsidR="00177848" w:rsidRPr="00C6052E">
        <w:t xml:space="preserve"> </w:t>
      </w:r>
      <w:r w:rsidRPr="00C6052E">
        <w:t>prior</w:t>
      </w:r>
      <w:r w:rsidR="00177848" w:rsidRPr="00C6052E">
        <w:t xml:space="preserve"> </w:t>
      </w:r>
      <w:r w:rsidRPr="00C6052E">
        <w:t>year</w:t>
      </w:r>
      <w:r w:rsidR="00177848" w:rsidRPr="00C6052E">
        <w:t xml:space="preserve"> </w:t>
      </w:r>
      <w:r w:rsidRPr="00C6052E">
        <w:t>the</w:t>
      </w:r>
      <w:r w:rsidR="00177848" w:rsidRPr="00C6052E">
        <w:t xml:space="preserve"> </w:t>
      </w:r>
      <w:r w:rsidRPr="00C6052E">
        <w:t>Suburban</w:t>
      </w:r>
      <w:r w:rsidR="00177848" w:rsidRPr="00C6052E">
        <w:t xml:space="preserve"> </w:t>
      </w:r>
      <w:r w:rsidRPr="00C6052E">
        <w:t>Development</w:t>
      </w:r>
      <w:r w:rsidR="00177848" w:rsidRPr="00C6052E">
        <w:t xml:space="preserve"> </w:t>
      </w:r>
      <w:r w:rsidRPr="00C6052E">
        <w:t>function</w:t>
      </w:r>
      <w:r w:rsidR="00177848" w:rsidRPr="00C6052E">
        <w:t xml:space="preserve"> </w:t>
      </w:r>
      <w:r w:rsidRPr="00C6052E">
        <w:t>was</w:t>
      </w:r>
      <w:r w:rsidR="00177848" w:rsidRPr="00C6052E">
        <w:t xml:space="preserve"> </w:t>
      </w:r>
      <w:r w:rsidRPr="00C6052E">
        <w:t>transferred</w:t>
      </w:r>
      <w:r w:rsidR="00177848" w:rsidRPr="00C6052E">
        <w:t xml:space="preserve"> </w:t>
      </w:r>
      <w:r w:rsidRPr="00C6052E">
        <w:t>to</w:t>
      </w:r>
      <w:r w:rsidR="00177848" w:rsidRPr="00C6052E">
        <w:t xml:space="preserve"> </w:t>
      </w:r>
      <w:r w:rsidRPr="00C6052E">
        <w:t>Department</w:t>
      </w:r>
      <w:r w:rsidR="00177848" w:rsidRPr="00C6052E">
        <w:t xml:space="preserve"> </w:t>
      </w:r>
      <w:r w:rsidRPr="00C6052E">
        <w:t>of</w:t>
      </w:r>
      <w:r w:rsidR="00177848" w:rsidRPr="00C6052E">
        <w:t xml:space="preserve"> </w:t>
      </w:r>
      <w:r w:rsidRPr="00C6052E">
        <w:t>Transport</w:t>
      </w:r>
      <w:r w:rsidR="00177848" w:rsidRPr="00C6052E">
        <w:t xml:space="preserve"> </w:t>
      </w:r>
      <w:r w:rsidRPr="00C6052E">
        <w:t>and</w:t>
      </w:r>
      <w:r w:rsidR="00177848" w:rsidRPr="00C6052E">
        <w:t xml:space="preserve"> </w:t>
      </w:r>
      <w:r w:rsidRPr="00C6052E">
        <w:t>Planning</w:t>
      </w:r>
      <w:r w:rsidR="00177848" w:rsidRPr="00C6052E">
        <w:t xml:space="preserve"> </w:t>
      </w:r>
      <w:r w:rsidRPr="00C6052E">
        <w:t>(DTP),</w:t>
      </w:r>
      <w:r w:rsidR="00177848" w:rsidRPr="00C6052E">
        <w:t xml:space="preserve"> </w:t>
      </w:r>
      <w:r w:rsidRPr="00C6052E">
        <w:t>and</w:t>
      </w:r>
      <w:r w:rsidR="00177848" w:rsidRPr="00C6052E">
        <w:t xml:space="preserve"> </w:t>
      </w:r>
      <w:r w:rsidRPr="00C6052E">
        <w:t>the</w:t>
      </w:r>
      <w:r w:rsidR="00177848" w:rsidRPr="00C6052E">
        <w:t xml:space="preserve"> </w:t>
      </w:r>
      <w:r w:rsidRPr="00C6052E">
        <w:t>Medical</w:t>
      </w:r>
      <w:r w:rsidR="00177848" w:rsidRPr="00C6052E">
        <w:t xml:space="preserve"> </w:t>
      </w:r>
      <w:r w:rsidRPr="00C6052E">
        <w:t>Research</w:t>
      </w:r>
      <w:r w:rsidR="00177848" w:rsidRPr="00C6052E">
        <w:t xml:space="preserve"> </w:t>
      </w:r>
      <w:r w:rsidRPr="00C6052E">
        <w:t>function</w:t>
      </w:r>
      <w:r w:rsidR="00177848" w:rsidRPr="00C6052E">
        <w:t xml:space="preserve"> </w:t>
      </w:r>
      <w:r w:rsidRPr="00C6052E">
        <w:t>was</w:t>
      </w:r>
      <w:r w:rsidR="00177848" w:rsidRPr="00C6052E">
        <w:t xml:space="preserve"> </w:t>
      </w:r>
      <w:r w:rsidRPr="00C6052E">
        <w:t>transferred</w:t>
      </w:r>
      <w:r w:rsidR="00177848" w:rsidRPr="00C6052E">
        <w:t xml:space="preserve"> </w:t>
      </w:r>
      <w:r w:rsidRPr="00C6052E">
        <w:t>into</w:t>
      </w:r>
      <w:r w:rsidR="00177848" w:rsidRPr="00C6052E">
        <w:t xml:space="preserve"> </w:t>
      </w:r>
      <w:r w:rsidRPr="00C6052E">
        <w:t>DJSIR,</w:t>
      </w:r>
      <w:r w:rsidR="00177848" w:rsidRPr="00C6052E">
        <w:t xml:space="preserve"> </w:t>
      </w:r>
      <w:r w:rsidRPr="00C6052E">
        <w:t>following</w:t>
      </w:r>
      <w:r w:rsidR="00177848" w:rsidRPr="00C6052E">
        <w:t xml:space="preserve"> </w:t>
      </w:r>
      <w:r w:rsidRPr="00C6052E">
        <w:t>the</w:t>
      </w:r>
      <w:r w:rsidR="00177848" w:rsidRPr="00C6052E">
        <w:t xml:space="preserve"> </w:t>
      </w:r>
      <w:r w:rsidRPr="00C6052E">
        <w:t>MoG</w:t>
      </w:r>
      <w:r w:rsidR="00177848" w:rsidRPr="00C6052E">
        <w:t xml:space="preserve"> </w:t>
      </w:r>
      <w:r w:rsidRPr="00C6052E">
        <w:t>changes</w:t>
      </w:r>
      <w:r w:rsidR="00177848" w:rsidRPr="00C6052E">
        <w:t xml:space="preserve"> </w:t>
      </w:r>
      <w:r w:rsidRPr="00C6052E">
        <w:t>effective</w:t>
      </w:r>
      <w:r w:rsidR="00177848" w:rsidRPr="00C6052E">
        <w:t xml:space="preserve"> </w:t>
      </w:r>
      <w:r w:rsidRPr="00C6052E">
        <w:t>1</w:t>
      </w:r>
      <w:r w:rsidR="00177848" w:rsidRPr="00C6052E">
        <w:t xml:space="preserve"> </w:t>
      </w:r>
      <w:r w:rsidRPr="00C6052E">
        <w:t>February</w:t>
      </w:r>
      <w:r w:rsidR="00177848" w:rsidRPr="00C6052E">
        <w:t xml:space="preserve"> </w:t>
      </w:r>
      <w:r w:rsidRPr="00C6052E">
        <w:t>2024.</w:t>
      </w:r>
      <w:r w:rsidR="00177848" w:rsidRPr="00C6052E">
        <w:t xml:space="preserve"> </w:t>
      </w:r>
    </w:p>
    <w:p w14:paraId="40815B7A" w14:textId="03C04B07" w:rsidR="00EE5BB8" w:rsidRPr="00C6052E" w:rsidRDefault="000C0740" w:rsidP="000C0740">
      <w:pPr>
        <w:pStyle w:val="Heading4"/>
      </w:pPr>
      <w:r w:rsidRPr="00C6052E">
        <w:t>Objectives</w:t>
      </w:r>
      <w:r w:rsidR="00177848" w:rsidRPr="00C6052E">
        <w:t xml:space="preserve"> </w:t>
      </w:r>
      <w:r w:rsidRPr="00C6052E">
        <w:t>and</w:t>
      </w:r>
      <w:r w:rsidR="00177848" w:rsidRPr="00C6052E">
        <w:t xml:space="preserve"> </w:t>
      </w:r>
      <w:r w:rsidRPr="00C6052E">
        <w:t>descriptions</w:t>
      </w:r>
      <w:r w:rsidR="00177848" w:rsidRPr="00C6052E">
        <w:t xml:space="preserve"> </w:t>
      </w:r>
    </w:p>
    <w:p w14:paraId="3D9F2732" w14:textId="0CD568B8" w:rsidR="00EE5BB8" w:rsidRPr="00C6052E" w:rsidRDefault="00EE5BB8" w:rsidP="00EE5BB8">
      <w:r w:rsidRPr="00C6052E">
        <w:t>The</w:t>
      </w:r>
      <w:r w:rsidR="00177848" w:rsidRPr="00C6052E">
        <w:t xml:space="preserve"> </w:t>
      </w:r>
      <w:r w:rsidRPr="00C6052E">
        <w:t>objectives</w:t>
      </w:r>
      <w:r w:rsidR="00177848" w:rsidRPr="00C6052E">
        <w:t xml:space="preserve"> </w:t>
      </w:r>
      <w:r w:rsidRPr="00C6052E">
        <w:t>and</w:t>
      </w:r>
      <w:r w:rsidR="00177848" w:rsidRPr="00C6052E">
        <w:t xml:space="preserve"> </w:t>
      </w:r>
      <w:r w:rsidRPr="00C6052E">
        <w:t>descriptions</w:t>
      </w:r>
      <w:r w:rsidR="00177848" w:rsidRPr="00C6052E">
        <w:t xml:space="preserve"> </w:t>
      </w:r>
      <w:r w:rsidRPr="00C6052E">
        <w:t>of</w:t>
      </w:r>
      <w:r w:rsidR="00177848" w:rsidRPr="00C6052E">
        <w:t xml:space="preserve"> </w:t>
      </w:r>
      <w:r w:rsidRPr="00C6052E">
        <w:t>the</w:t>
      </w:r>
      <w:r w:rsidR="00177848" w:rsidRPr="00C6052E">
        <w:t xml:space="preserve"> </w:t>
      </w:r>
      <w:r w:rsidRPr="00C6052E">
        <w:t>departmental</w:t>
      </w:r>
      <w:r w:rsidR="00177848" w:rsidRPr="00C6052E">
        <w:t xml:space="preserve"> </w:t>
      </w:r>
      <w:r w:rsidRPr="00C6052E">
        <w:t>outputs</w:t>
      </w:r>
      <w:r w:rsidR="00177848" w:rsidRPr="00C6052E">
        <w:t xml:space="preserve"> </w:t>
      </w:r>
      <w:r w:rsidRPr="00C6052E">
        <w:t>performed</w:t>
      </w:r>
      <w:r w:rsidR="00177848" w:rsidRPr="00C6052E">
        <w:t xml:space="preserve"> </w:t>
      </w:r>
      <w:r w:rsidRPr="00C6052E">
        <w:t>during</w:t>
      </w:r>
      <w:r w:rsidR="00177848" w:rsidRPr="00C6052E">
        <w:t xml:space="preserve"> </w:t>
      </w:r>
      <w:r w:rsidRPr="00C6052E">
        <w:t>the</w:t>
      </w:r>
      <w:r w:rsidR="00177848" w:rsidRPr="00C6052E">
        <w:t xml:space="preserve"> </w:t>
      </w:r>
      <w:r w:rsidRPr="00C6052E">
        <w:t>financial</w:t>
      </w:r>
      <w:r w:rsidR="00177848" w:rsidRPr="00C6052E">
        <w:t xml:space="preserve"> </w:t>
      </w:r>
      <w:r w:rsidRPr="00C6052E">
        <w:t>year</w:t>
      </w:r>
      <w:r w:rsidR="00177848" w:rsidRPr="00C6052E">
        <w:t xml:space="preserve"> </w:t>
      </w:r>
      <w:r w:rsidRPr="00C6052E">
        <w:t>ended</w:t>
      </w:r>
      <w:r w:rsidR="00177848" w:rsidRPr="00C6052E">
        <w:t xml:space="preserve"> </w:t>
      </w:r>
      <w:fldSimple w:instr=" DOCPROPERTY  pEnd  \* MERGEFORMAT ">
        <w:r w:rsidRPr="00C6052E">
          <w:t>30</w:t>
        </w:r>
        <w:r w:rsidR="00177848" w:rsidRPr="00C6052E">
          <w:t xml:space="preserve"> </w:t>
        </w:r>
        <w:r w:rsidRPr="00C6052E">
          <w:t>June</w:t>
        </w:r>
      </w:fldSimple>
      <w:r w:rsidR="00177848" w:rsidRPr="00C6052E">
        <w:t xml:space="preserve"> </w:t>
      </w:r>
      <w:fldSimple w:instr=" DOCPROPERTY  crYear  \* MERGEFORMAT ">
        <w:r w:rsidRPr="00C6052E">
          <w:t>2025</w:t>
        </w:r>
      </w:fldSimple>
      <w:r w:rsidR="00177848" w:rsidRPr="00C6052E">
        <w:t xml:space="preserve"> </w:t>
      </w:r>
      <w:r w:rsidRPr="00C6052E">
        <w:t>are</w:t>
      </w:r>
      <w:r w:rsidR="00177848" w:rsidRPr="00C6052E">
        <w:t xml:space="preserve"> </w:t>
      </w:r>
      <w:r w:rsidRPr="00C6052E">
        <w:t>summarised</w:t>
      </w:r>
      <w:r w:rsidR="00177848" w:rsidRPr="00C6052E">
        <w:t xml:space="preserve"> </w:t>
      </w:r>
      <w:r w:rsidRPr="00C6052E">
        <w:t>in</w:t>
      </w:r>
      <w:r w:rsidR="00177848" w:rsidRPr="00C6052E">
        <w:t xml:space="preserve"> </w:t>
      </w:r>
      <w:r w:rsidRPr="00C6052E">
        <w:t>Note</w:t>
      </w:r>
      <w:r w:rsidR="00177848" w:rsidRPr="00C6052E">
        <w:t xml:space="preserve"> </w:t>
      </w:r>
      <w:r w:rsidRPr="00C6052E">
        <w:fldChar w:fldCharType="begin"/>
      </w:r>
      <w:r w:rsidRPr="00C6052E">
        <w:instrText xml:space="preserve"> REF _Ref209706620 \r \h </w:instrText>
      </w:r>
      <w:r w:rsidRPr="00C6052E">
        <w:fldChar w:fldCharType="separate"/>
      </w:r>
      <w:r w:rsidRPr="00C6052E">
        <w:t>9.13</w:t>
      </w:r>
      <w:r w:rsidRPr="00C6052E">
        <w:fldChar w:fldCharType="end"/>
      </w:r>
      <w:r w:rsidR="00177848" w:rsidRPr="00C6052E">
        <w:t xml:space="preserve"> </w:t>
      </w:r>
      <w:r w:rsidRPr="00C6052E">
        <w:t>–</w:t>
      </w:r>
      <w:r w:rsidR="00177848" w:rsidRPr="00C6052E">
        <w:t xml:space="preserve"> </w:t>
      </w:r>
      <w:r w:rsidRPr="00C6052E">
        <w:fldChar w:fldCharType="begin"/>
      </w:r>
      <w:r w:rsidRPr="00C6052E">
        <w:instrText xml:space="preserve"> REF _Ref209706609 \h </w:instrText>
      </w:r>
      <w:r w:rsidRPr="00C6052E">
        <w:fldChar w:fldCharType="separate"/>
      </w:r>
      <w:r w:rsidRPr="00C6052E">
        <w:t>Departmental</w:t>
      </w:r>
      <w:r w:rsidR="00177848" w:rsidRPr="00C6052E">
        <w:t xml:space="preserve"> </w:t>
      </w:r>
      <w:r w:rsidRPr="00C6052E">
        <w:t>output</w:t>
      </w:r>
      <w:r w:rsidR="00177848" w:rsidRPr="00C6052E">
        <w:t xml:space="preserve"> </w:t>
      </w:r>
      <w:r w:rsidRPr="00C6052E">
        <w:t>objectives</w:t>
      </w:r>
      <w:r w:rsidR="00177848" w:rsidRPr="00C6052E">
        <w:t xml:space="preserve"> </w:t>
      </w:r>
      <w:r w:rsidRPr="00C6052E">
        <w:t>and</w:t>
      </w:r>
      <w:r w:rsidR="00177848" w:rsidRPr="00C6052E">
        <w:t xml:space="preserve"> </w:t>
      </w:r>
      <w:r w:rsidRPr="00C6052E">
        <w:t>descriptions</w:t>
      </w:r>
      <w:r w:rsidRPr="00C6052E">
        <w:fldChar w:fldCharType="end"/>
      </w:r>
      <w:r w:rsidRPr="00C6052E">
        <w:t>.</w:t>
      </w:r>
    </w:p>
    <w:p w14:paraId="1DAF74C5" w14:textId="77777777" w:rsidR="00EE5BB8" w:rsidRPr="00C6052E" w:rsidRDefault="00EE5BB8" w:rsidP="00EE5BB8">
      <w:pPr>
        <w:sectPr w:rsidR="00EE5BB8" w:rsidRPr="00C6052E" w:rsidSect="00EE5BB8">
          <w:headerReference w:type="even" r:id="rId17"/>
          <w:headerReference w:type="default" r:id="rId18"/>
          <w:endnotePr>
            <w:numFmt w:val="decimal"/>
          </w:endnotePr>
          <w:type w:val="continuous"/>
          <w:pgSz w:w="11907" w:h="16840" w:code="9"/>
          <w:pgMar w:top="1134" w:right="1134" w:bottom="1134" w:left="1134" w:header="567" w:footer="567" w:gutter="0"/>
          <w:cols w:space="340"/>
          <w:docGrid w:linePitch="360"/>
        </w:sectPr>
      </w:pPr>
    </w:p>
    <w:p w14:paraId="6F1F679B" w14:textId="7A650C03" w:rsidR="00EE5BB8" w:rsidRPr="00C6052E" w:rsidRDefault="00EE5BB8" w:rsidP="000C0740">
      <w:pPr>
        <w:pStyle w:val="Heading3numbered0"/>
      </w:pPr>
      <w:bookmarkStart w:id="178" w:name="_Ref161671142"/>
      <w:r w:rsidRPr="00C6052E">
        <w:lastRenderedPageBreak/>
        <w:t>Departmental</w:t>
      </w:r>
      <w:r w:rsidR="00177848" w:rsidRPr="00C6052E">
        <w:t xml:space="preserve"> </w:t>
      </w:r>
      <w:r w:rsidRPr="00C6052E">
        <w:t>outputs:</w:t>
      </w:r>
      <w:r w:rsidR="00177848" w:rsidRPr="00C6052E">
        <w:t xml:space="preserve"> </w:t>
      </w:r>
      <w:r w:rsidRPr="00C6052E">
        <w:t>Controlled</w:t>
      </w:r>
      <w:r w:rsidR="00177848" w:rsidRPr="00C6052E">
        <w:t xml:space="preserve"> </w:t>
      </w:r>
      <w:r w:rsidRPr="00C6052E">
        <w:t>revenue</w:t>
      </w:r>
      <w:r w:rsidR="00177848" w:rsidRPr="00C6052E">
        <w:t xml:space="preserve"> </w:t>
      </w:r>
      <w:r w:rsidRPr="00C6052E">
        <w:t>and</w:t>
      </w:r>
      <w:r w:rsidR="00177848" w:rsidRPr="00C6052E">
        <w:t xml:space="preserve"> </w:t>
      </w:r>
      <w:r w:rsidRPr="00C6052E">
        <w:t>income</w:t>
      </w:r>
      <w:r w:rsidR="00177848" w:rsidRPr="00C6052E">
        <w:t xml:space="preserve"> </w:t>
      </w:r>
      <w:r w:rsidRPr="00C6052E">
        <w:t>and</w:t>
      </w:r>
      <w:r w:rsidR="00177848" w:rsidRPr="00C6052E">
        <w:t xml:space="preserve"> </w:t>
      </w:r>
      <w:r w:rsidRPr="00C6052E">
        <w:t>expenses</w:t>
      </w:r>
      <w:r w:rsidR="00177848" w:rsidRPr="00C6052E">
        <w:t xml:space="preserve"> </w:t>
      </w:r>
      <w:r w:rsidRPr="00C6052E">
        <w:t>for</w:t>
      </w:r>
      <w:r w:rsidR="00177848" w:rsidRPr="00C6052E">
        <w:t xml:space="preserve"> </w:t>
      </w:r>
      <w:r w:rsidRPr="00C6052E">
        <w:t>the</w:t>
      </w:r>
      <w:r w:rsidR="00177848" w:rsidRPr="00C6052E">
        <w:t xml:space="preserve"> </w:t>
      </w:r>
      <w:r w:rsidRPr="00C6052E">
        <w:t>year</w:t>
      </w:r>
      <w:r w:rsidR="00177848" w:rsidRPr="00C6052E">
        <w:t xml:space="preserve"> </w:t>
      </w:r>
      <w:r w:rsidRPr="00C6052E">
        <w:t>ended</w:t>
      </w:r>
      <w:r w:rsidR="00177848" w:rsidRPr="00C6052E">
        <w:t xml:space="preserve"> </w:t>
      </w:r>
      <w:fldSimple w:instr=" DOCPROPERTY  pEnd  \* MERGEFORMAT ">
        <w:r w:rsidRPr="00C6052E">
          <w:t>30</w:t>
        </w:r>
        <w:r w:rsidR="00177848" w:rsidRPr="00C6052E">
          <w:t xml:space="preserve"> </w:t>
        </w:r>
        <w:r w:rsidRPr="00C6052E">
          <w:t>June</w:t>
        </w:r>
      </w:fldSimple>
      <w:r w:rsidR="00177848" w:rsidRPr="00C6052E">
        <w:t xml:space="preserve"> </w:t>
      </w:r>
      <w:fldSimple w:instr=" DOCPROPERTY  crYear_A  \* MERGEFORMAT ">
        <w:r w:rsidRPr="00C6052E">
          <w:t>2025</w:t>
        </w:r>
      </w:fldSimple>
      <w:r w:rsidR="00177848" w:rsidRPr="00C6052E">
        <w:t xml:space="preserve"> </w:t>
      </w:r>
      <w:r w:rsidRPr="00C6052E">
        <w:t>DJSIR</w:t>
      </w:r>
      <w:r w:rsidR="00177848" w:rsidRPr="00C6052E">
        <w:t xml:space="preserve"> </w:t>
      </w:r>
      <w:r w:rsidRPr="00C6052E">
        <w:t>Outputs</w:t>
      </w:r>
      <w:bookmarkEnd w:id="178"/>
      <w:r w:rsidR="00880FCA">
        <w:t xml:space="preserve"> </w:t>
      </w:r>
      <w:r w:rsidR="00880FCA" w:rsidRPr="00C6052E">
        <w:t>($ thousand)</w:t>
      </w:r>
    </w:p>
    <w:tbl>
      <w:tblPr>
        <w:tblStyle w:val="TableGrid"/>
        <w:tblW w:w="14604" w:type="dxa"/>
        <w:tblLayout w:type="fixed"/>
        <w:tblLook w:val="04E0" w:firstRow="1" w:lastRow="1" w:firstColumn="1" w:lastColumn="0" w:noHBand="0" w:noVBand="1"/>
      </w:tblPr>
      <w:tblGrid>
        <w:gridCol w:w="4388"/>
        <w:gridCol w:w="1388"/>
        <w:gridCol w:w="1389"/>
        <w:gridCol w:w="1236"/>
        <w:gridCol w:w="1233"/>
        <w:gridCol w:w="1134"/>
        <w:gridCol w:w="1134"/>
        <w:gridCol w:w="1389"/>
        <w:gridCol w:w="1313"/>
      </w:tblGrid>
      <w:tr w:rsidR="00EE5BB8" w:rsidRPr="00C6052E" w14:paraId="0FEE7ECA" w14:textId="77777777" w:rsidTr="006D5FE0">
        <w:trPr>
          <w:tblHeader/>
        </w:trPr>
        <w:tc>
          <w:tcPr>
            <w:tcW w:w="4388" w:type="dxa"/>
            <w:noWrap/>
            <w:hideMark/>
          </w:tcPr>
          <w:p w14:paraId="5D8BA4CB" w14:textId="77777777" w:rsidR="00EE5BB8" w:rsidRPr="00C6052E" w:rsidRDefault="00EE5BB8" w:rsidP="00AD2C21">
            <w:pPr>
              <w:pStyle w:val="TableColumnHeading"/>
            </w:pPr>
            <w:bookmarkStart w:id="179" w:name="TableColumnHeadings_56"/>
            <w:bookmarkEnd w:id="179"/>
          </w:p>
        </w:tc>
        <w:tc>
          <w:tcPr>
            <w:tcW w:w="1388" w:type="dxa"/>
            <w:hideMark/>
          </w:tcPr>
          <w:p w14:paraId="513DDD8E" w14:textId="7A5F39FF" w:rsidR="00EE5BB8" w:rsidRPr="00C6052E" w:rsidRDefault="00880FCA" w:rsidP="00AD2C21">
            <w:pPr>
              <w:pStyle w:val="TableColumnHeading"/>
              <w:jc w:val="right"/>
            </w:pPr>
            <w:r w:rsidRPr="00C6052E">
              <w:rPr>
                <w:lang w:val="en-AU"/>
              </w:rPr>
              <w:t>Creative Industries Access, Development and Innovation</w:t>
            </w:r>
            <w:r w:rsidRPr="00C6052E">
              <w:t xml:space="preserve"> </w:t>
            </w:r>
            <w:r w:rsidR="00EE5BB8" w:rsidRPr="00C6052E">
              <w:t>2025</w:t>
            </w:r>
          </w:p>
        </w:tc>
        <w:tc>
          <w:tcPr>
            <w:tcW w:w="1389" w:type="dxa"/>
            <w:hideMark/>
          </w:tcPr>
          <w:p w14:paraId="4D697A4F" w14:textId="39723F87" w:rsidR="00EE5BB8" w:rsidRPr="00C6052E" w:rsidRDefault="00880FCA" w:rsidP="00AD2C21">
            <w:pPr>
              <w:pStyle w:val="TableColumnHeading"/>
              <w:jc w:val="right"/>
            </w:pPr>
            <w:r w:rsidRPr="00C6052E">
              <w:rPr>
                <w:lang w:val="en-AU"/>
              </w:rPr>
              <w:t>Creative Industries Access, Development and Innovation</w:t>
            </w:r>
            <w:r w:rsidRPr="00C6052E">
              <w:t xml:space="preserve"> </w:t>
            </w:r>
            <w:r w:rsidR="00EE5BB8" w:rsidRPr="00C6052E">
              <w:t>2024</w:t>
            </w:r>
          </w:p>
        </w:tc>
        <w:tc>
          <w:tcPr>
            <w:tcW w:w="1236" w:type="dxa"/>
            <w:hideMark/>
          </w:tcPr>
          <w:p w14:paraId="62860DDA" w14:textId="69721DBD" w:rsidR="00EE5BB8" w:rsidRPr="00C6052E" w:rsidRDefault="00880FCA" w:rsidP="00AD2C21">
            <w:pPr>
              <w:pStyle w:val="TableColumnHeading"/>
              <w:jc w:val="right"/>
            </w:pPr>
            <w:r w:rsidRPr="00C6052E">
              <w:rPr>
                <w:lang w:val="en-AU"/>
              </w:rPr>
              <w:t xml:space="preserve">Creative Industries </w:t>
            </w:r>
            <w:r w:rsidRPr="00C6052E">
              <w:rPr>
                <w:lang w:val="en-AU"/>
              </w:rPr>
              <w:br/>
              <w:t>Portfolio Agencies</w:t>
            </w:r>
            <w:r w:rsidRPr="00C6052E">
              <w:t xml:space="preserve"> </w:t>
            </w:r>
            <w:r w:rsidR="00EE5BB8" w:rsidRPr="00C6052E">
              <w:t>2025</w:t>
            </w:r>
          </w:p>
        </w:tc>
        <w:tc>
          <w:tcPr>
            <w:tcW w:w="1233" w:type="dxa"/>
            <w:hideMark/>
          </w:tcPr>
          <w:p w14:paraId="4BCE4647" w14:textId="6B1C51CA" w:rsidR="00EE5BB8" w:rsidRPr="00C6052E" w:rsidRDefault="00880FCA" w:rsidP="00AD2C21">
            <w:pPr>
              <w:pStyle w:val="TableColumnHeading"/>
              <w:jc w:val="right"/>
            </w:pPr>
            <w:r w:rsidRPr="00C6052E">
              <w:rPr>
                <w:lang w:val="en-AU"/>
              </w:rPr>
              <w:t xml:space="preserve">Creative Industries </w:t>
            </w:r>
            <w:r w:rsidRPr="00C6052E">
              <w:rPr>
                <w:lang w:val="en-AU"/>
              </w:rPr>
              <w:br/>
              <w:t>Portfolio Agencies</w:t>
            </w:r>
            <w:r w:rsidRPr="00C6052E">
              <w:t xml:space="preserve"> </w:t>
            </w:r>
            <w:r w:rsidR="00EE5BB8" w:rsidRPr="00C6052E">
              <w:t>2024</w:t>
            </w:r>
          </w:p>
        </w:tc>
        <w:tc>
          <w:tcPr>
            <w:tcW w:w="1134" w:type="dxa"/>
            <w:hideMark/>
          </w:tcPr>
          <w:p w14:paraId="436AE2B7" w14:textId="58178C96" w:rsidR="00EE5BB8" w:rsidRPr="00C6052E" w:rsidRDefault="00880FCA" w:rsidP="00AD2C21">
            <w:pPr>
              <w:pStyle w:val="TableColumnHeading"/>
              <w:jc w:val="right"/>
            </w:pPr>
            <w:r w:rsidRPr="00C6052E">
              <w:rPr>
                <w:lang w:val="en-AU"/>
              </w:rPr>
              <w:t xml:space="preserve">Cultural Infrastructure </w:t>
            </w:r>
            <w:r w:rsidRPr="00C6052E">
              <w:rPr>
                <w:lang w:val="en-AU"/>
              </w:rPr>
              <w:br/>
              <w:t>and Facilities</w:t>
            </w:r>
            <w:r w:rsidRPr="00C6052E">
              <w:t xml:space="preserve"> </w:t>
            </w:r>
            <w:r w:rsidR="00EE5BB8" w:rsidRPr="00C6052E">
              <w:t>2025</w:t>
            </w:r>
          </w:p>
        </w:tc>
        <w:tc>
          <w:tcPr>
            <w:tcW w:w="1134" w:type="dxa"/>
            <w:hideMark/>
          </w:tcPr>
          <w:p w14:paraId="768866E9" w14:textId="08D7DB96" w:rsidR="00EE5BB8" w:rsidRPr="00C6052E" w:rsidRDefault="00880FCA" w:rsidP="00AD2C21">
            <w:pPr>
              <w:pStyle w:val="TableColumnHeading"/>
              <w:jc w:val="right"/>
            </w:pPr>
            <w:r w:rsidRPr="00C6052E">
              <w:rPr>
                <w:lang w:val="en-AU"/>
              </w:rPr>
              <w:t xml:space="preserve">Cultural Infrastructure </w:t>
            </w:r>
            <w:r w:rsidRPr="00C6052E">
              <w:rPr>
                <w:lang w:val="en-AU"/>
              </w:rPr>
              <w:br/>
              <w:t>and Facilities</w:t>
            </w:r>
            <w:r w:rsidRPr="00C6052E">
              <w:t xml:space="preserve"> </w:t>
            </w:r>
            <w:r w:rsidR="00EE5BB8" w:rsidRPr="00C6052E">
              <w:t>2024</w:t>
            </w:r>
          </w:p>
        </w:tc>
        <w:tc>
          <w:tcPr>
            <w:tcW w:w="1389" w:type="dxa"/>
            <w:hideMark/>
          </w:tcPr>
          <w:p w14:paraId="69E0F014" w14:textId="70946973" w:rsidR="00EE5BB8" w:rsidRPr="00C6052E" w:rsidRDefault="00880FCA" w:rsidP="00AD2C21">
            <w:pPr>
              <w:pStyle w:val="TableColumnHeading"/>
              <w:jc w:val="right"/>
            </w:pPr>
            <w:r w:rsidRPr="00C6052E">
              <w:rPr>
                <w:lang w:val="en-AU"/>
              </w:rPr>
              <w:t xml:space="preserve">Industry, Small Business </w:t>
            </w:r>
            <w:r w:rsidRPr="00C6052E">
              <w:rPr>
                <w:lang w:val="en-AU"/>
              </w:rPr>
              <w:br/>
              <w:t>and Medical Research</w:t>
            </w:r>
            <w:r w:rsidRPr="00C6052E">
              <w:t xml:space="preserve"> </w:t>
            </w:r>
            <w:r w:rsidR="00EE5BB8" w:rsidRPr="00C6052E">
              <w:t>2025</w:t>
            </w:r>
          </w:p>
        </w:tc>
        <w:tc>
          <w:tcPr>
            <w:tcW w:w="1313" w:type="dxa"/>
            <w:hideMark/>
          </w:tcPr>
          <w:p w14:paraId="75671DC8" w14:textId="24B37206" w:rsidR="00EE5BB8" w:rsidRPr="00C6052E" w:rsidRDefault="00880FCA" w:rsidP="00AD2C21">
            <w:pPr>
              <w:pStyle w:val="TableColumnHeading"/>
              <w:jc w:val="right"/>
            </w:pPr>
            <w:r w:rsidRPr="00C6052E">
              <w:rPr>
                <w:lang w:val="en-AU"/>
              </w:rPr>
              <w:t xml:space="preserve">Industry, Small Business </w:t>
            </w:r>
            <w:r w:rsidRPr="00C6052E">
              <w:rPr>
                <w:lang w:val="en-AU"/>
              </w:rPr>
              <w:br/>
              <w:t>and Medical Research</w:t>
            </w:r>
            <w:r w:rsidRPr="00C6052E">
              <w:t xml:space="preserve"> </w:t>
            </w:r>
            <w:r w:rsidR="00EE5BB8" w:rsidRPr="00C6052E">
              <w:t>2024</w:t>
            </w:r>
          </w:p>
        </w:tc>
      </w:tr>
      <w:tr w:rsidR="00AD2C21" w:rsidRPr="00C6052E" w14:paraId="4388BE63" w14:textId="77777777" w:rsidTr="006D5FE0">
        <w:tc>
          <w:tcPr>
            <w:tcW w:w="4388" w:type="dxa"/>
          </w:tcPr>
          <w:p w14:paraId="7AD4BB6A" w14:textId="530178BD" w:rsidR="00AD2C21" w:rsidRPr="00C6052E" w:rsidRDefault="00AD2C21" w:rsidP="00AD2C21">
            <w:pPr>
              <w:pStyle w:val="TableHeading"/>
            </w:pPr>
            <w:r w:rsidRPr="00C6052E">
              <w:t>Revenue and income from transactions</w:t>
            </w:r>
          </w:p>
        </w:tc>
        <w:tc>
          <w:tcPr>
            <w:tcW w:w="1388" w:type="dxa"/>
            <w:noWrap/>
          </w:tcPr>
          <w:p w14:paraId="4E26D3CF" w14:textId="77777777" w:rsidR="00AD2C21" w:rsidRPr="00C6052E" w:rsidRDefault="00AD2C21" w:rsidP="00AD2C21">
            <w:pPr>
              <w:pStyle w:val="TableHeading"/>
              <w:jc w:val="right"/>
            </w:pPr>
          </w:p>
        </w:tc>
        <w:tc>
          <w:tcPr>
            <w:tcW w:w="1389" w:type="dxa"/>
            <w:noWrap/>
          </w:tcPr>
          <w:p w14:paraId="4298813E" w14:textId="77777777" w:rsidR="00AD2C21" w:rsidRPr="00C6052E" w:rsidRDefault="00AD2C21" w:rsidP="00AD2C21">
            <w:pPr>
              <w:pStyle w:val="TableHeading"/>
              <w:jc w:val="right"/>
            </w:pPr>
          </w:p>
        </w:tc>
        <w:tc>
          <w:tcPr>
            <w:tcW w:w="1236" w:type="dxa"/>
            <w:noWrap/>
          </w:tcPr>
          <w:p w14:paraId="6FA30794" w14:textId="77777777" w:rsidR="00AD2C21" w:rsidRPr="00C6052E" w:rsidRDefault="00AD2C21" w:rsidP="00AD2C21">
            <w:pPr>
              <w:pStyle w:val="TableHeading"/>
              <w:jc w:val="right"/>
            </w:pPr>
          </w:p>
        </w:tc>
        <w:tc>
          <w:tcPr>
            <w:tcW w:w="1233" w:type="dxa"/>
            <w:noWrap/>
          </w:tcPr>
          <w:p w14:paraId="5C66B3B9" w14:textId="77777777" w:rsidR="00AD2C21" w:rsidRPr="00C6052E" w:rsidRDefault="00AD2C21" w:rsidP="00AD2C21">
            <w:pPr>
              <w:pStyle w:val="TableHeading"/>
              <w:jc w:val="right"/>
            </w:pPr>
          </w:p>
        </w:tc>
        <w:tc>
          <w:tcPr>
            <w:tcW w:w="1134" w:type="dxa"/>
            <w:noWrap/>
          </w:tcPr>
          <w:p w14:paraId="6B099CE4" w14:textId="77777777" w:rsidR="00AD2C21" w:rsidRPr="00C6052E" w:rsidRDefault="00AD2C21" w:rsidP="00AD2C21">
            <w:pPr>
              <w:pStyle w:val="TableHeading"/>
              <w:jc w:val="right"/>
            </w:pPr>
          </w:p>
        </w:tc>
        <w:tc>
          <w:tcPr>
            <w:tcW w:w="1134" w:type="dxa"/>
            <w:noWrap/>
          </w:tcPr>
          <w:p w14:paraId="6AD4CB1D" w14:textId="77777777" w:rsidR="00AD2C21" w:rsidRPr="00C6052E" w:rsidRDefault="00AD2C21" w:rsidP="00AD2C21">
            <w:pPr>
              <w:pStyle w:val="TableHeading"/>
              <w:jc w:val="right"/>
            </w:pPr>
          </w:p>
        </w:tc>
        <w:tc>
          <w:tcPr>
            <w:tcW w:w="1389" w:type="dxa"/>
            <w:noWrap/>
          </w:tcPr>
          <w:p w14:paraId="00811425" w14:textId="77777777" w:rsidR="00AD2C21" w:rsidRPr="00C6052E" w:rsidRDefault="00AD2C21" w:rsidP="00AD2C21">
            <w:pPr>
              <w:pStyle w:val="TableHeading"/>
              <w:jc w:val="right"/>
            </w:pPr>
          </w:p>
        </w:tc>
        <w:tc>
          <w:tcPr>
            <w:tcW w:w="1313" w:type="dxa"/>
            <w:noWrap/>
          </w:tcPr>
          <w:p w14:paraId="72EE859D" w14:textId="77777777" w:rsidR="00AD2C21" w:rsidRPr="00C6052E" w:rsidRDefault="00AD2C21" w:rsidP="00AD2C21">
            <w:pPr>
              <w:pStyle w:val="TableHeading"/>
              <w:jc w:val="right"/>
            </w:pPr>
          </w:p>
        </w:tc>
      </w:tr>
      <w:tr w:rsidR="00EE5BB8" w:rsidRPr="00C6052E" w14:paraId="3F45CAC9" w14:textId="77777777" w:rsidTr="006D5FE0">
        <w:tc>
          <w:tcPr>
            <w:tcW w:w="4388" w:type="dxa"/>
            <w:hideMark/>
          </w:tcPr>
          <w:p w14:paraId="28F1A05E" w14:textId="62F35B73" w:rsidR="00EE5BB8" w:rsidRPr="00C6052E" w:rsidRDefault="00EE5BB8" w:rsidP="0063097D">
            <w:pPr>
              <w:pStyle w:val="TableCopy"/>
            </w:pPr>
            <w:r w:rsidRPr="00C6052E">
              <w:t>Output</w:t>
            </w:r>
            <w:r w:rsidR="00177848" w:rsidRPr="00C6052E">
              <w:t xml:space="preserve"> </w:t>
            </w:r>
            <w:r w:rsidRPr="00C6052E">
              <w:t>appropriations</w:t>
            </w:r>
          </w:p>
        </w:tc>
        <w:tc>
          <w:tcPr>
            <w:tcW w:w="1388" w:type="dxa"/>
            <w:noWrap/>
            <w:hideMark/>
          </w:tcPr>
          <w:p w14:paraId="58A1F9A8" w14:textId="77777777" w:rsidR="00EE5BB8" w:rsidRPr="00C6052E" w:rsidRDefault="00EE5BB8" w:rsidP="00AD2C21">
            <w:pPr>
              <w:pStyle w:val="TableCopy"/>
              <w:jc w:val="right"/>
            </w:pPr>
            <w:r w:rsidRPr="00C6052E">
              <w:t>70,856</w:t>
            </w:r>
          </w:p>
        </w:tc>
        <w:tc>
          <w:tcPr>
            <w:tcW w:w="1389" w:type="dxa"/>
            <w:noWrap/>
            <w:hideMark/>
          </w:tcPr>
          <w:p w14:paraId="58F3951F" w14:textId="77777777" w:rsidR="00EE5BB8" w:rsidRPr="00C6052E" w:rsidRDefault="00EE5BB8" w:rsidP="00AD2C21">
            <w:pPr>
              <w:pStyle w:val="TableCopy"/>
              <w:jc w:val="right"/>
            </w:pPr>
            <w:r w:rsidRPr="00C6052E">
              <w:t>68,834</w:t>
            </w:r>
          </w:p>
        </w:tc>
        <w:tc>
          <w:tcPr>
            <w:tcW w:w="1236" w:type="dxa"/>
            <w:noWrap/>
            <w:hideMark/>
          </w:tcPr>
          <w:p w14:paraId="13ACA01B" w14:textId="77777777" w:rsidR="00EE5BB8" w:rsidRPr="00C6052E" w:rsidRDefault="00EE5BB8" w:rsidP="00AD2C21">
            <w:pPr>
              <w:pStyle w:val="TableCopy"/>
              <w:jc w:val="right"/>
            </w:pPr>
            <w:r w:rsidRPr="00C6052E">
              <w:t>442,981</w:t>
            </w:r>
          </w:p>
        </w:tc>
        <w:tc>
          <w:tcPr>
            <w:tcW w:w="1233" w:type="dxa"/>
            <w:noWrap/>
            <w:hideMark/>
          </w:tcPr>
          <w:p w14:paraId="6086D71E" w14:textId="77777777" w:rsidR="00EE5BB8" w:rsidRPr="00C6052E" w:rsidRDefault="00EE5BB8" w:rsidP="00AD2C21">
            <w:pPr>
              <w:pStyle w:val="TableCopy"/>
              <w:jc w:val="right"/>
            </w:pPr>
            <w:r w:rsidRPr="00C6052E">
              <w:t>405,724</w:t>
            </w:r>
          </w:p>
        </w:tc>
        <w:tc>
          <w:tcPr>
            <w:tcW w:w="1134" w:type="dxa"/>
            <w:noWrap/>
            <w:hideMark/>
          </w:tcPr>
          <w:p w14:paraId="2FF7734A" w14:textId="77777777" w:rsidR="00EE5BB8" w:rsidRPr="00C6052E" w:rsidRDefault="00EE5BB8" w:rsidP="00AD2C21">
            <w:pPr>
              <w:pStyle w:val="TableCopy"/>
              <w:jc w:val="right"/>
            </w:pPr>
            <w:r w:rsidRPr="00C6052E">
              <w:t>17,020</w:t>
            </w:r>
          </w:p>
        </w:tc>
        <w:tc>
          <w:tcPr>
            <w:tcW w:w="1134" w:type="dxa"/>
            <w:noWrap/>
            <w:hideMark/>
          </w:tcPr>
          <w:p w14:paraId="430EAC1C" w14:textId="77777777" w:rsidR="00EE5BB8" w:rsidRPr="00C6052E" w:rsidRDefault="00EE5BB8" w:rsidP="00AD2C21">
            <w:pPr>
              <w:pStyle w:val="TableCopy"/>
              <w:jc w:val="right"/>
            </w:pPr>
            <w:r w:rsidRPr="00C6052E">
              <w:t>21,488</w:t>
            </w:r>
          </w:p>
        </w:tc>
        <w:tc>
          <w:tcPr>
            <w:tcW w:w="1389" w:type="dxa"/>
            <w:noWrap/>
            <w:hideMark/>
          </w:tcPr>
          <w:p w14:paraId="24ED79ED" w14:textId="77777777" w:rsidR="00EE5BB8" w:rsidRPr="00C6052E" w:rsidRDefault="00EE5BB8" w:rsidP="00AD2C21">
            <w:pPr>
              <w:pStyle w:val="TableCopy"/>
              <w:jc w:val="right"/>
            </w:pPr>
            <w:r w:rsidRPr="00C6052E">
              <w:t>342,827</w:t>
            </w:r>
          </w:p>
        </w:tc>
        <w:tc>
          <w:tcPr>
            <w:tcW w:w="1313" w:type="dxa"/>
            <w:noWrap/>
            <w:hideMark/>
          </w:tcPr>
          <w:p w14:paraId="456B4513" w14:textId="77777777" w:rsidR="00EE5BB8" w:rsidRPr="00C6052E" w:rsidRDefault="00EE5BB8" w:rsidP="00AD2C21">
            <w:pPr>
              <w:pStyle w:val="TableCopy"/>
              <w:jc w:val="right"/>
            </w:pPr>
            <w:r w:rsidRPr="00C6052E">
              <w:t>264,329</w:t>
            </w:r>
          </w:p>
        </w:tc>
      </w:tr>
      <w:tr w:rsidR="00EE5BB8" w:rsidRPr="00C6052E" w14:paraId="4DB570D7" w14:textId="77777777" w:rsidTr="006D5FE0">
        <w:tc>
          <w:tcPr>
            <w:tcW w:w="4388" w:type="dxa"/>
            <w:noWrap/>
            <w:hideMark/>
          </w:tcPr>
          <w:p w14:paraId="73815589" w14:textId="6A15C65A" w:rsidR="00EE5BB8" w:rsidRPr="00C6052E" w:rsidRDefault="00EE5BB8" w:rsidP="0063097D">
            <w:pPr>
              <w:pStyle w:val="TableCopy"/>
            </w:pPr>
            <w:r w:rsidRPr="00C6052E">
              <w:t>Special</w:t>
            </w:r>
            <w:r w:rsidR="00177848" w:rsidRPr="00C6052E">
              <w:t xml:space="preserve"> </w:t>
            </w:r>
            <w:r w:rsidRPr="00C6052E">
              <w:t>appropriations</w:t>
            </w:r>
            <w:r w:rsidR="00177848" w:rsidRPr="00C6052E">
              <w:t xml:space="preserve"> </w:t>
            </w:r>
          </w:p>
        </w:tc>
        <w:tc>
          <w:tcPr>
            <w:tcW w:w="1388" w:type="dxa"/>
            <w:noWrap/>
            <w:hideMark/>
          </w:tcPr>
          <w:p w14:paraId="43BB64C7" w14:textId="77777777" w:rsidR="00EE5BB8" w:rsidRPr="00C6052E" w:rsidRDefault="00EE5BB8" w:rsidP="00AD2C21">
            <w:pPr>
              <w:pStyle w:val="TableCopy"/>
              <w:jc w:val="right"/>
            </w:pPr>
            <w:r w:rsidRPr="00C6052E">
              <w:t>–</w:t>
            </w:r>
          </w:p>
        </w:tc>
        <w:tc>
          <w:tcPr>
            <w:tcW w:w="1389" w:type="dxa"/>
            <w:noWrap/>
            <w:hideMark/>
          </w:tcPr>
          <w:p w14:paraId="0715F173" w14:textId="77777777" w:rsidR="00EE5BB8" w:rsidRPr="00C6052E" w:rsidRDefault="00EE5BB8" w:rsidP="00AD2C21">
            <w:pPr>
              <w:pStyle w:val="TableCopy"/>
              <w:jc w:val="right"/>
            </w:pPr>
            <w:r w:rsidRPr="00C6052E">
              <w:t>–</w:t>
            </w:r>
          </w:p>
        </w:tc>
        <w:tc>
          <w:tcPr>
            <w:tcW w:w="1236" w:type="dxa"/>
            <w:noWrap/>
            <w:hideMark/>
          </w:tcPr>
          <w:p w14:paraId="6FDC835E" w14:textId="77777777" w:rsidR="00EE5BB8" w:rsidRPr="00C6052E" w:rsidRDefault="00EE5BB8" w:rsidP="00AD2C21">
            <w:pPr>
              <w:pStyle w:val="TableCopy"/>
              <w:jc w:val="right"/>
            </w:pPr>
            <w:r w:rsidRPr="00C6052E">
              <w:t>–</w:t>
            </w:r>
          </w:p>
        </w:tc>
        <w:tc>
          <w:tcPr>
            <w:tcW w:w="1233" w:type="dxa"/>
            <w:noWrap/>
            <w:hideMark/>
          </w:tcPr>
          <w:p w14:paraId="79A8AEFF" w14:textId="77777777" w:rsidR="00EE5BB8" w:rsidRPr="00C6052E" w:rsidRDefault="00EE5BB8" w:rsidP="00AD2C21">
            <w:pPr>
              <w:pStyle w:val="TableCopy"/>
              <w:jc w:val="right"/>
            </w:pPr>
            <w:r w:rsidRPr="00C6052E">
              <w:t>–</w:t>
            </w:r>
          </w:p>
        </w:tc>
        <w:tc>
          <w:tcPr>
            <w:tcW w:w="1134" w:type="dxa"/>
            <w:noWrap/>
            <w:hideMark/>
          </w:tcPr>
          <w:p w14:paraId="574E6499" w14:textId="77777777" w:rsidR="00EE5BB8" w:rsidRPr="00C6052E" w:rsidRDefault="00EE5BB8" w:rsidP="00AD2C21">
            <w:pPr>
              <w:pStyle w:val="TableCopy"/>
              <w:jc w:val="right"/>
            </w:pPr>
            <w:r w:rsidRPr="00C6052E">
              <w:t>–</w:t>
            </w:r>
          </w:p>
        </w:tc>
        <w:tc>
          <w:tcPr>
            <w:tcW w:w="1134" w:type="dxa"/>
            <w:noWrap/>
            <w:hideMark/>
          </w:tcPr>
          <w:p w14:paraId="75761413" w14:textId="77777777" w:rsidR="00EE5BB8" w:rsidRPr="00C6052E" w:rsidRDefault="00EE5BB8" w:rsidP="00AD2C21">
            <w:pPr>
              <w:pStyle w:val="TableCopy"/>
              <w:jc w:val="right"/>
            </w:pPr>
            <w:r w:rsidRPr="00C6052E">
              <w:t>–</w:t>
            </w:r>
          </w:p>
        </w:tc>
        <w:tc>
          <w:tcPr>
            <w:tcW w:w="1389" w:type="dxa"/>
            <w:noWrap/>
            <w:hideMark/>
          </w:tcPr>
          <w:p w14:paraId="4DED1C94" w14:textId="77777777" w:rsidR="00EE5BB8" w:rsidRPr="00C6052E" w:rsidRDefault="00EE5BB8" w:rsidP="00AD2C21">
            <w:pPr>
              <w:pStyle w:val="TableCopy"/>
              <w:jc w:val="right"/>
            </w:pPr>
            <w:r w:rsidRPr="00C6052E">
              <w:t>–</w:t>
            </w:r>
          </w:p>
        </w:tc>
        <w:tc>
          <w:tcPr>
            <w:tcW w:w="1313" w:type="dxa"/>
            <w:noWrap/>
            <w:hideMark/>
          </w:tcPr>
          <w:p w14:paraId="1C6E4763" w14:textId="77777777" w:rsidR="00EE5BB8" w:rsidRPr="00C6052E" w:rsidRDefault="00EE5BB8" w:rsidP="00AD2C21">
            <w:pPr>
              <w:pStyle w:val="TableCopy"/>
              <w:jc w:val="right"/>
            </w:pPr>
            <w:r w:rsidRPr="00C6052E">
              <w:t>–</w:t>
            </w:r>
          </w:p>
        </w:tc>
      </w:tr>
      <w:tr w:rsidR="00EE5BB8" w:rsidRPr="00C6052E" w14:paraId="4E46F583" w14:textId="77777777" w:rsidTr="006D5FE0">
        <w:tc>
          <w:tcPr>
            <w:tcW w:w="4388" w:type="dxa"/>
            <w:hideMark/>
          </w:tcPr>
          <w:p w14:paraId="44B6B3B5" w14:textId="78ED3D33" w:rsidR="00EE5BB8" w:rsidRPr="00C6052E" w:rsidRDefault="00EE5BB8" w:rsidP="0063097D">
            <w:pPr>
              <w:pStyle w:val="TableCopy"/>
            </w:pPr>
            <w:r w:rsidRPr="00C6052E">
              <w:t>Grant</w:t>
            </w:r>
            <w:r w:rsidR="00177848" w:rsidRPr="00C6052E">
              <w:t xml:space="preserve"> </w:t>
            </w:r>
            <w:r w:rsidRPr="00C6052E">
              <w:t>income</w:t>
            </w:r>
          </w:p>
        </w:tc>
        <w:tc>
          <w:tcPr>
            <w:tcW w:w="1388" w:type="dxa"/>
            <w:noWrap/>
            <w:hideMark/>
          </w:tcPr>
          <w:p w14:paraId="30190B29" w14:textId="77777777" w:rsidR="00EE5BB8" w:rsidRPr="00C6052E" w:rsidRDefault="00EE5BB8" w:rsidP="00AD2C21">
            <w:pPr>
              <w:pStyle w:val="TableCopy"/>
              <w:jc w:val="right"/>
            </w:pPr>
            <w:r w:rsidRPr="00C6052E">
              <w:t>7,980</w:t>
            </w:r>
          </w:p>
        </w:tc>
        <w:tc>
          <w:tcPr>
            <w:tcW w:w="1389" w:type="dxa"/>
            <w:noWrap/>
            <w:hideMark/>
          </w:tcPr>
          <w:p w14:paraId="4BCDE6A8" w14:textId="77777777" w:rsidR="00EE5BB8" w:rsidRPr="00C6052E" w:rsidRDefault="00EE5BB8" w:rsidP="00AD2C21">
            <w:pPr>
              <w:pStyle w:val="TableCopy"/>
              <w:jc w:val="right"/>
            </w:pPr>
            <w:r w:rsidRPr="00C6052E">
              <w:t>4,311</w:t>
            </w:r>
          </w:p>
        </w:tc>
        <w:tc>
          <w:tcPr>
            <w:tcW w:w="1236" w:type="dxa"/>
            <w:noWrap/>
            <w:hideMark/>
          </w:tcPr>
          <w:p w14:paraId="35168ECD" w14:textId="77777777" w:rsidR="00EE5BB8" w:rsidRPr="00C6052E" w:rsidRDefault="00EE5BB8" w:rsidP="00AD2C21">
            <w:pPr>
              <w:pStyle w:val="TableCopy"/>
              <w:jc w:val="right"/>
            </w:pPr>
            <w:r w:rsidRPr="00C6052E">
              <w:t>3,790</w:t>
            </w:r>
          </w:p>
        </w:tc>
        <w:tc>
          <w:tcPr>
            <w:tcW w:w="1233" w:type="dxa"/>
            <w:noWrap/>
            <w:hideMark/>
          </w:tcPr>
          <w:p w14:paraId="3D712B29" w14:textId="77777777" w:rsidR="00EE5BB8" w:rsidRPr="00C6052E" w:rsidRDefault="00EE5BB8" w:rsidP="00AD2C21">
            <w:pPr>
              <w:pStyle w:val="TableCopy"/>
              <w:jc w:val="right"/>
            </w:pPr>
            <w:r w:rsidRPr="00C6052E">
              <w:t>3,743</w:t>
            </w:r>
          </w:p>
        </w:tc>
        <w:tc>
          <w:tcPr>
            <w:tcW w:w="1134" w:type="dxa"/>
            <w:noWrap/>
            <w:hideMark/>
          </w:tcPr>
          <w:p w14:paraId="399191D2" w14:textId="77777777" w:rsidR="00EE5BB8" w:rsidRPr="00C6052E" w:rsidRDefault="00EE5BB8" w:rsidP="00AD2C21">
            <w:pPr>
              <w:pStyle w:val="TableCopy"/>
              <w:jc w:val="right"/>
            </w:pPr>
            <w:r w:rsidRPr="00C6052E">
              <w:t>–</w:t>
            </w:r>
          </w:p>
        </w:tc>
        <w:tc>
          <w:tcPr>
            <w:tcW w:w="1134" w:type="dxa"/>
            <w:noWrap/>
            <w:hideMark/>
          </w:tcPr>
          <w:p w14:paraId="2093FB89" w14:textId="77777777" w:rsidR="00EE5BB8" w:rsidRPr="00C6052E" w:rsidRDefault="00EE5BB8" w:rsidP="00AD2C21">
            <w:pPr>
              <w:pStyle w:val="TableCopy"/>
              <w:jc w:val="right"/>
            </w:pPr>
            <w:r w:rsidRPr="00C6052E">
              <w:t>4,620</w:t>
            </w:r>
          </w:p>
        </w:tc>
        <w:tc>
          <w:tcPr>
            <w:tcW w:w="1389" w:type="dxa"/>
            <w:noWrap/>
            <w:hideMark/>
          </w:tcPr>
          <w:p w14:paraId="68256CDE" w14:textId="77777777" w:rsidR="00EE5BB8" w:rsidRPr="00C6052E" w:rsidRDefault="00EE5BB8" w:rsidP="00AD2C21">
            <w:pPr>
              <w:pStyle w:val="TableCopy"/>
              <w:jc w:val="right"/>
            </w:pPr>
            <w:r w:rsidRPr="00C6052E">
              <w:t>(2,528)</w:t>
            </w:r>
          </w:p>
        </w:tc>
        <w:tc>
          <w:tcPr>
            <w:tcW w:w="1313" w:type="dxa"/>
            <w:noWrap/>
            <w:hideMark/>
          </w:tcPr>
          <w:p w14:paraId="7ECE6007" w14:textId="77777777" w:rsidR="00EE5BB8" w:rsidRPr="00C6052E" w:rsidRDefault="00EE5BB8" w:rsidP="00AD2C21">
            <w:pPr>
              <w:pStyle w:val="TableCopy"/>
              <w:jc w:val="right"/>
            </w:pPr>
            <w:r w:rsidRPr="00C6052E">
              <w:t>5,040</w:t>
            </w:r>
          </w:p>
        </w:tc>
      </w:tr>
      <w:tr w:rsidR="00EE5BB8" w:rsidRPr="00C6052E" w14:paraId="4A6AFFEB" w14:textId="77777777" w:rsidTr="006D5FE0">
        <w:tc>
          <w:tcPr>
            <w:tcW w:w="4388" w:type="dxa"/>
            <w:hideMark/>
          </w:tcPr>
          <w:p w14:paraId="13457DEE" w14:textId="4127B6B3" w:rsidR="00EE5BB8" w:rsidRPr="00C6052E" w:rsidRDefault="00EE5BB8" w:rsidP="0063097D">
            <w:pPr>
              <w:pStyle w:val="TableCopy"/>
            </w:pPr>
            <w:r w:rsidRPr="00C6052E">
              <w:t>Sale</w:t>
            </w:r>
            <w:r w:rsidR="00177848" w:rsidRPr="00C6052E">
              <w:t xml:space="preserve"> </w:t>
            </w:r>
            <w:r w:rsidRPr="00C6052E">
              <w:t>of</w:t>
            </w:r>
            <w:r w:rsidR="00177848" w:rsidRPr="00C6052E">
              <w:t xml:space="preserve"> </w:t>
            </w:r>
            <w:r w:rsidRPr="00C6052E">
              <w:t>services</w:t>
            </w:r>
            <w:r w:rsidR="00177848" w:rsidRPr="00C6052E">
              <w:t xml:space="preserve"> </w:t>
            </w:r>
          </w:p>
        </w:tc>
        <w:tc>
          <w:tcPr>
            <w:tcW w:w="1388" w:type="dxa"/>
            <w:noWrap/>
            <w:hideMark/>
          </w:tcPr>
          <w:p w14:paraId="6BFCD70B" w14:textId="77777777" w:rsidR="00EE5BB8" w:rsidRPr="00C6052E" w:rsidRDefault="00EE5BB8" w:rsidP="00AD2C21">
            <w:pPr>
              <w:pStyle w:val="TableCopy"/>
              <w:jc w:val="right"/>
            </w:pPr>
            <w:r w:rsidRPr="00C6052E">
              <w:t>–</w:t>
            </w:r>
          </w:p>
        </w:tc>
        <w:tc>
          <w:tcPr>
            <w:tcW w:w="1389" w:type="dxa"/>
            <w:noWrap/>
            <w:hideMark/>
          </w:tcPr>
          <w:p w14:paraId="5DD2BB0E" w14:textId="77777777" w:rsidR="00EE5BB8" w:rsidRPr="00C6052E" w:rsidRDefault="00EE5BB8" w:rsidP="00AD2C21">
            <w:pPr>
              <w:pStyle w:val="TableCopy"/>
              <w:jc w:val="right"/>
            </w:pPr>
            <w:r w:rsidRPr="00C6052E">
              <w:t>–</w:t>
            </w:r>
          </w:p>
        </w:tc>
        <w:tc>
          <w:tcPr>
            <w:tcW w:w="1236" w:type="dxa"/>
            <w:noWrap/>
            <w:hideMark/>
          </w:tcPr>
          <w:p w14:paraId="785EDDE0" w14:textId="77777777" w:rsidR="00EE5BB8" w:rsidRPr="00C6052E" w:rsidRDefault="00EE5BB8" w:rsidP="00AD2C21">
            <w:pPr>
              <w:pStyle w:val="TableCopy"/>
              <w:jc w:val="right"/>
            </w:pPr>
            <w:r w:rsidRPr="00C6052E">
              <w:t>–</w:t>
            </w:r>
          </w:p>
        </w:tc>
        <w:tc>
          <w:tcPr>
            <w:tcW w:w="1233" w:type="dxa"/>
            <w:noWrap/>
            <w:hideMark/>
          </w:tcPr>
          <w:p w14:paraId="6A72D9C0" w14:textId="77777777" w:rsidR="00EE5BB8" w:rsidRPr="00C6052E" w:rsidRDefault="00EE5BB8" w:rsidP="00AD2C21">
            <w:pPr>
              <w:pStyle w:val="TableCopy"/>
              <w:jc w:val="right"/>
            </w:pPr>
            <w:r w:rsidRPr="00C6052E">
              <w:t>–</w:t>
            </w:r>
          </w:p>
        </w:tc>
        <w:tc>
          <w:tcPr>
            <w:tcW w:w="1134" w:type="dxa"/>
            <w:noWrap/>
            <w:hideMark/>
          </w:tcPr>
          <w:p w14:paraId="531892DC" w14:textId="77777777" w:rsidR="00EE5BB8" w:rsidRPr="00C6052E" w:rsidRDefault="00EE5BB8" w:rsidP="00AD2C21">
            <w:pPr>
              <w:pStyle w:val="TableCopy"/>
              <w:jc w:val="right"/>
            </w:pPr>
            <w:r w:rsidRPr="00C6052E">
              <w:t>–</w:t>
            </w:r>
          </w:p>
        </w:tc>
        <w:tc>
          <w:tcPr>
            <w:tcW w:w="1134" w:type="dxa"/>
            <w:noWrap/>
            <w:hideMark/>
          </w:tcPr>
          <w:p w14:paraId="70C6E247" w14:textId="77777777" w:rsidR="00EE5BB8" w:rsidRPr="00C6052E" w:rsidRDefault="00EE5BB8" w:rsidP="00AD2C21">
            <w:pPr>
              <w:pStyle w:val="TableCopy"/>
              <w:jc w:val="right"/>
            </w:pPr>
            <w:r w:rsidRPr="00C6052E">
              <w:t>–</w:t>
            </w:r>
          </w:p>
        </w:tc>
        <w:tc>
          <w:tcPr>
            <w:tcW w:w="1389" w:type="dxa"/>
            <w:noWrap/>
            <w:hideMark/>
          </w:tcPr>
          <w:p w14:paraId="18E3AE43" w14:textId="77777777" w:rsidR="00EE5BB8" w:rsidRPr="00C6052E" w:rsidRDefault="00EE5BB8" w:rsidP="00AD2C21">
            <w:pPr>
              <w:pStyle w:val="TableCopy"/>
              <w:jc w:val="right"/>
            </w:pPr>
            <w:r w:rsidRPr="00C6052E">
              <w:t>–</w:t>
            </w:r>
          </w:p>
        </w:tc>
        <w:tc>
          <w:tcPr>
            <w:tcW w:w="1313" w:type="dxa"/>
            <w:noWrap/>
            <w:hideMark/>
          </w:tcPr>
          <w:p w14:paraId="71A10C8A" w14:textId="77777777" w:rsidR="00EE5BB8" w:rsidRPr="00C6052E" w:rsidRDefault="00EE5BB8" w:rsidP="00AD2C21">
            <w:pPr>
              <w:pStyle w:val="TableCopy"/>
              <w:jc w:val="right"/>
            </w:pPr>
            <w:r w:rsidRPr="00C6052E">
              <w:t>–</w:t>
            </w:r>
          </w:p>
        </w:tc>
      </w:tr>
      <w:tr w:rsidR="00EE5BB8" w:rsidRPr="00C6052E" w14:paraId="4667E08D" w14:textId="77777777" w:rsidTr="006D5FE0">
        <w:tc>
          <w:tcPr>
            <w:tcW w:w="4388" w:type="dxa"/>
            <w:hideMark/>
          </w:tcPr>
          <w:p w14:paraId="05E8C8E5" w14:textId="6105DD16" w:rsidR="00EE5BB8" w:rsidRPr="00C6052E" w:rsidRDefault="00EE5BB8" w:rsidP="0063097D">
            <w:pPr>
              <w:pStyle w:val="TableCopy"/>
            </w:pPr>
            <w:r w:rsidRPr="00C6052E">
              <w:t>Other</w:t>
            </w:r>
            <w:r w:rsidR="00177848" w:rsidRPr="00C6052E">
              <w:t xml:space="preserve"> </w:t>
            </w:r>
            <w:r w:rsidRPr="00C6052E">
              <w:t>income</w:t>
            </w:r>
            <w:r w:rsidR="00177848" w:rsidRPr="00C6052E">
              <w:t xml:space="preserve"> </w:t>
            </w:r>
          </w:p>
        </w:tc>
        <w:tc>
          <w:tcPr>
            <w:tcW w:w="1388" w:type="dxa"/>
            <w:noWrap/>
            <w:hideMark/>
          </w:tcPr>
          <w:p w14:paraId="4E6FA998" w14:textId="77777777" w:rsidR="00EE5BB8" w:rsidRPr="00C6052E" w:rsidRDefault="00EE5BB8" w:rsidP="00AD2C21">
            <w:pPr>
              <w:pStyle w:val="TableCopy"/>
              <w:jc w:val="right"/>
            </w:pPr>
            <w:r w:rsidRPr="00C6052E">
              <w:t>–</w:t>
            </w:r>
          </w:p>
        </w:tc>
        <w:tc>
          <w:tcPr>
            <w:tcW w:w="1389" w:type="dxa"/>
            <w:noWrap/>
            <w:hideMark/>
          </w:tcPr>
          <w:p w14:paraId="2CCA1319" w14:textId="77777777" w:rsidR="00EE5BB8" w:rsidRPr="00C6052E" w:rsidRDefault="00EE5BB8" w:rsidP="00AD2C21">
            <w:pPr>
              <w:pStyle w:val="TableCopy"/>
              <w:jc w:val="right"/>
            </w:pPr>
            <w:r w:rsidRPr="00C6052E">
              <w:t>–</w:t>
            </w:r>
          </w:p>
        </w:tc>
        <w:tc>
          <w:tcPr>
            <w:tcW w:w="1236" w:type="dxa"/>
            <w:noWrap/>
            <w:hideMark/>
          </w:tcPr>
          <w:p w14:paraId="5F4B689E" w14:textId="77777777" w:rsidR="00EE5BB8" w:rsidRPr="00C6052E" w:rsidRDefault="00EE5BB8" w:rsidP="00AD2C21">
            <w:pPr>
              <w:pStyle w:val="TableCopy"/>
              <w:jc w:val="right"/>
            </w:pPr>
            <w:r w:rsidRPr="00C6052E">
              <w:t>–</w:t>
            </w:r>
          </w:p>
        </w:tc>
        <w:tc>
          <w:tcPr>
            <w:tcW w:w="1233" w:type="dxa"/>
            <w:noWrap/>
            <w:hideMark/>
          </w:tcPr>
          <w:p w14:paraId="6AF95AA0" w14:textId="77777777" w:rsidR="00EE5BB8" w:rsidRPr="00C6052E" w:rsidRDefault="00EE5BB8" w:rsidP="00AD2C21">
            <w:pPr>
              <w:pStyle w:val="TableCopy"/>
              <w:jc w:val="right"/>
            </w:pPr>
            <w:r w:rsidRPr="00C6052E">
              <w:t>–</w:t>
            </w:r>
          </w:p>
        </w:tc>
        <w:tc>
          <w:tcPr>
            <w:tcW w:w="1134" w:type="dxa"/>
            <w:noWrap/>
            <w:hideMark/>
          </w:tcPr>
          <w:p w14:paraId="7B16952C" w14:textId="77777777" w:rsidR="00EE5BB8" w:rsidRPr="00C6052E" w:rsidRDefault="00EE5BB8" w:rsidP="00AD2C21">
            <w:pPr>
              <w:pStyle w:val="TableCopy"/>
              <w:jc w:val="right"/>
            </w:pPr>
            <w:r w:rsidRPr="00C6052E">
              <w:t>–</w:t>
            </w:r>
          </w:p>
        </w:tc>
        <w:tc>
          <w:tcPr>
            <w:tcW w:w="1134" w:type="dxa"/>
            <w:noWrap/>
            <w:hideMark/>
          </w:tcPr>
          <w:p w14:paraId="2C65AC4D" w14:textId="77777777" w:rsidR="00EE5BB8" w:rsidRPr="00C6052E" w:rsidRDefault="00EE5BB8" w:rsidP="00AD2C21">
            <w:pPr>
              <w:pStyle w:val="TableCopy"/>
              <w:jc w:val="right"/>
            </w:pPr>
            <w:r w:rsidRPr="00C6052E">
              <w:t>–</w:t>
            </w:r>
          </w:p>
        </w:tc>
        <w:tc>
          <w:tcPr>
            <w:tcW w:w="1389" w:type="dxa"/>
            <w:noWrap/>
            <w:hideMark/>
          </w:tcPr>
          <w:p w14:paraId="538FCE6D" w14:textId="77777777" w:rsidR="00EE5BB8" w:rsidRPr="00C6052E" w:rsidRDefault="00EE5BB8" w:rsidP="00AD2C21">
            <w:pPr>
              <w:pStyle w:val="TableCopy"/>
              <w:jc w:val="right"/>
            </w:pPr>
            <w:r w:rsidRPr="00C6052E">
              <w:t>(4,171)</w:t>
            </w:r>
          </w:p>
        </w:tc>
        <w:tc>
          <w:tcPr>
            <w:tcW w:w="1313" w:type="dxa"/>
            <w:noWrap/>
            <w:hideMark/>
          </w:tcPr>
          <w:p w14:paraId="4EEF1E3D" w14:textId="77777777" w:rsidR="00EE5BB8" w:rsidRPr="00C6052E" w:rsidRDefault="00EE5BB8" w:rsidP="00AD2C21">
            <w:pPr>
              <w:pStyle w:val="TableCopy"/>
              <w:jc w:val="right"/>
            </w:pPr>
            <w:r w:rsidRPr="00C6052E">
              <w:t>–</w:t>
            </w:r>
          </w:p>
        </w:tc>
      </w:tr>
      <w:tr w:rsidR="00EE5BB8" w:rsidRPr="00C6052E" w14:paraId="2F71D08E" w14:textId="77777777" w:rsidTr="006D5FE0">
        <w:tc>
          <w:tcPr>
            <w:tcW w:w="4388" w:type="dxa"/>
            <w:noWrap/>
            <w:hideMark/>
          </w:tcPr>
          <w:p w14:paraId="1A1E6BA0" w14:textId="0CE6F7E4" w:rsidR="00EE5BB8" w:rsidRPr="00C6052E" w:rsidRDefault="00EE5BB8" w:rsidP="0063097D">
            <w:pPr>
              <w:pStyle w:val="TableCopy"/>
            </w:pPr>
            <w:r w:rsidRPr="00C6052E">
              <w:t>Assets</w:t>
            </w:r>
            <w:r w:rsidR="00177848" w:rsidRPr="00C6052E">
              <w:t xml:space="preserve"> </w:t>
            </w:r>
            <w:r w:rsidRPr="00C6052E">
              <w:t>received</w:t>
            </w:r>
            <w:r w:rsidR="00177848" w:rsidRPr="00C6052E">
              <w:t xml:space="preserve"> </w:t>
            </w:r>
            <w:r w:rsidRPr="00C6052E">
              <w:t>free</w:t>
            </w:r>
            <w:r w:rsidR="00177848" w:rsidRPr="00C6052E">
              <w:t xml:space="preserve"> </w:t>
            </w:r>
            <w:r w:rsidRPr="00C6052E">
              <w:t>of</w:t>
            </w:r>
            <w:r w:rsidR="00177848" w:rsidRPr="00C6052E">
              <w:t xml:space="preserve"> </w:t>
            </w:r>
            <w:r w:rsidRPr="00C6052E">
              <w:t>charge</w:t>
            </w:r>
          </w:p>
        </w:tc>
        <w:tc>
          <w:tcPr>
            <w:tcW w:w="1388" w:type="dxa"/>
            <w:noWrap/>
            <w:hideMark/>
          </w:tcPr>
          <w:p w14:paraId="1C1389E8" w14:textId="77777777" w:rsidR="00EE5BB8" w:rsidRPr="00C6052E" w:rsidRDefault="00EE5BB8" w:rsidP="00AD2C21">
            <w:pPr>
              <w:pStyle w:val="TableCopy"/>
              <w:jc w:val="right"/>
            </w:pPr>
            <w:r w:rsidRPr="00C6052E">
              <w:t>–</w:t>
            </w:r>
          </w:p>
        </w:tc>
        <w:tc>
          <w:tcPr>
            <w:tcW w:w="1389" w:type="dxa"/>
            <w:noWrap/>
            <w:hideMark/>
          </w:tcPr>
          <w:p w14:paraId="349E4646" w14:textId="77777777" w:rsidR="00EE5BB8" w:rsidRPr="00C6052E" w:rsidRDefault="00EE5BB8" w:rsidP="00AD2C21">
            <w:pPr>
              <w:pStyle w:val="TableCopy"/>
              <w:jc w:val="right"/>
            </w:pPr>
            <w:r w:rsidRPr="00C6052E">
              <w:t>–</w:t>
            </w:r>
          </w:p>
        </w:tc>
        <w:tc>
          <w:tcPr>
            <w:tcW w:w="1236" w:type="dxa"/>
            <w:noWrap/>
            <w:hideMark/>
          </w:tcPr>
          <w:p w14:paraId="36FABFBA" w14:textId="77777777" w:rsidR="00EE5BB8" w:rsidRPr="00C6052E" w:rsidRDefault="00EE5BB8" w:rsidP="00AD2C21">
            <w:pPr>
              <w:pStyle w:val="TableCopy"/>
              <w:jc w:val="right"/>
            </w:pPr>
            <w:r w:rsidRPr="00C6052E">
              <w:t>–</w:t>
            </w:r>
          </w:p>
        </w:tc>
        <w:tc>
          <w:tcPr>
            <w:tcW w:w="1233" w:type="dxa"/>
            <w:noWrap/>
            <w:hideMark/>
          </w:tcPr>
          <w:p w14:paraId="4C9A034F" w14:textId="77777777" w:rsidR="00EE5BB8" w:rsidRPr="00C6052E" w:rsidRDefault="00EE5BB8" w:rsidP="00AD2C21">
            <w:pPr>
              <w:pStyle w:val="TableCopy"/>
              <w:jc w:val="right"/>
            </w:pPr>
            <w:r w:rsidRPr="00C6052E">
              <w:t>–</w:t>
            </w:r>
          </w:p>
        </w:tc>
        <w:tc>
          <w:tcPr>
            <w:tcW w:w="1134" w:type="dxa"/>
            <w:noWrap/>
            <w:hideMark/>
          </w:tcPr>
          <w:p w14:paraId="4B7DC524" w14:textId="77777777" w:rsidR="00EE5BB8" w:rsidRPr="00C6052E" w:rsidRDefault="00EE5BB8" w:rsidP="00AD2C21">
            <w:pPr>
              <w:pStyle w:val="TableCopy"/>
              <w:jc w:val="right"/>
            </w:pPr>
            <w:r w:rsidRPr="00C6052E">
              <w:t>–</w:t>
            </w:r>
          </w:p>
        </w:tc>
        <w:tc>
          <w:tcPr>
            <w:tcW w:w="1134" w:type="dxa"/>
            <w:noWrap/>
            <w:hideMark/>
          </w:tcPr>
          <w:p w14:paraId="3300CEF2" w14:textId="77777777" w:rsidR="00EE5BB8" w:rsidRPr="00C6052E" w:rsidRDefault="00EE5BB8" w:rsidP="00AD2C21">
            <w:pPr>
              <w:pStyle w:val="TableCopy"/>
              <w:jc w:val="right"/>
            </w:pPr>
            <w:r w:rsidRPr="00C6052E">
              <w:t>–</w:t>
            </w:r>
          </w:p>
        </w:tc>
        <w:tc>
          <w:tcPr>
            <w:tcW w:w="1389" w:type="dxa"/>
            <w:noWrap/>
            <w:hideMark/>
          </w:tcPr>
          <w:p w14:paraId="410FDDB9" w14:textId="77777777" w:rsidR="00EE5BB8" w:rsidRPr="00C6052E" w:rsidRDefault="00EE5BB8" w:rsidP="00AD2C21">
            <w:pPr>
              <w:pStyle w:val="TableCopy"/>
              <w:jc w:val="right"/>
            </w:pPr>
            <w:r w:rsidRPr="00C6052E">
              <w:t>–</w:t>
            </w:r>
          </w:p>
        </w:tc>
        <w:tc>
          <w:tcPr>
            <w:tcW w:w="1313" w:type="dxa"/>
            <w:noWrap/>
            <w:hideMark/>
          </w:tcPr>
          <w:p w14:paraId="18B9EACF" w14:textId="77777777" w:rsidR="00EE5BB8" w:rsidRPr="00C6052E" w:rsidRDefault="00EE5BB8" w:rsidP="00AD2C21">
            <w:pPr>
              <w:pStyle w:val="TableCopy"/>
              <w:jc w:val="right"/>
            </w:pPr>
            <w:r w:rsidRPr="00C6052E">
              <w:t>–</w:t>
            </w:r>
          </w:p>
        </w:tc>
      </w:tr>
      <w:tr w:rsidR="00EE5BB8" w:rsidRPr="00C6052E" w14:paraId="7EC4A6F8" w14:textId="77777777" w:rsidTr="006D5FE0">
        <w:tc>
          <w:tcPr>
            <w:tcW w:w="4388" w:type="dxa"/>
            <w:noWrap/>
            <w:hideMark/>
          </w:tcPr>
          <w:p w14:paraId="3C5AAAC2" w14:textId="4F668E5E" w:rsidR="00EE5BB8" w:rsidRPr="00C6052E" w:rsidRDefault="00EE5BB8" w:rsidP="0063097D">
            <w:pPr>
              <w:pStyle w:val="Tabletotal"/>
            </w:pPr>
            <w:r w:rsidRPr="00C6052E">
              <w:t>Total</w:t>
            </w:r>
            <w:r w:rsidR="00177848" w:rsidRPr="00C6052E">
              <w:t xml:space="preserve"> </w:t>
            </w:r>
            <w:r w:rsidRPr="00C6052E">
              <w:t>revenue</w:t>
            </w:r>
            <w:r w:rsidR="00177848" w:rsidRPr="00C6052E">
              <w:t xml:space="preserve"> </w:t>
            </w:r>
            <w:r w:rsidRPr="00C6052E">
              <w:t>and</w:t>
            </w:r>
            <w:r w:rsidR="00177848" w:rsidRPr="00C6052E">
              <w:t xml:space="preserve"> </w:t>
            </w:r>
            <w:r w:rsidRPr="00C6052E">
              <w:t>income</w:t>
            </w:r>
            <w:r w:rsidR="00177848" w:rsidRPr="00C6052E">
              <w:t xml:space="preserve"> </w:t>
            </w:r>
            <w:r w:rsidRPr="00C6052E">
              <w:t>from</w:t>
            </w:r>
            <w:r w:rsidR="00177848" w:rsidRPr="00C6052E">
              <w:t xml:space="preserve"> </w:t>
            </w:r>
            <w:r w:rsidRPr="00C6052E">
              <w:t>transactions</w:t>
            </w:r>
          </w:p>
        </w:tc>
        <w:tc>
          <w:tcPr>
            <w:tcW w:w="1388" w:type="dxa"/>
            <w:noWrap/>
            <w:hideMark/>
          </w:tcPr>
          <w:p w14:paraId="7D559FC7" w14:textId="77777777" w:rsidR="00EE5BB8" w:rsidRPr="00C6052E" w:rsidRDefault="00EE5BB8" w:rsidP="00AD2C21">
            <w:pPr>
              <w:pStyle w:val="Tabletotal"/>
              <w:jc w:val="right"/>
            </w:pPr>
            <w:r w:rsidRPr="00C6052E">
              <w:t>78,836</w:t>
            </w:r>
          </w:p>
        </w:tc>
        <w:tc>
          <w:tcPr>
            <w:tcW w:w="1389" w:type="dxa"/>
            <w:noWrap/>
            <w:hideMark/>
          </w:tcPr>
          <w:p w14:paraId="58DF8430" w14:textId="77777777" w:rsidR="00EE5BB8" w:rsidRPr="00C6052E" w:rsidRDefault="00EE5BB8" w:rsidP="00AD2C21">
            <w:pPr>
              <w:pStyle w:val="Tabletotal"/>
              <w:jc w:val="right"/>
            </w:pPr>
            <w:r w:rsidRPr="00C6052E">
              <w:t>73,145</w:t>
            </w:r>
          </w:p>
        </w:tc>
        <w:tc>
          <w:tcPr>
            <w:tcW w:w="1236" w:type="dxa"/>
            <w:noWrap/>
            <w:hideMark/>
          </w:tcPr>
          <w:p w14:paraId="11DEF8B0" w14:textId="77777777" w:rsidR="00EE5BB8" w:rsidRPr="00C6052E" w:rsidRDefault="00EE5BB8" w:rsidP="00AD2C21">
            <w:pPr>
              <w:pStyle w:val="Tabletotal"/>
              <w:jc w:val="right"/>
            </w:pPr>
            <w:r w:rsidRPr="00C6052E">
              <w:t>446,771</w:t>
            </w:r>
          </w:p>
        </w:tc>
        <w:tc>
          <w:tcPr>
            <w:tcW w:w="1233" w:type="dxa"/>
            <w:noWrap/>
            <w:hideMark/>
          </w:tcPr>
          <w:p w14:paraId="31F723D9" w14:textId="77777777" w:rsidR="00EE5BB8" w:rsidRPr="00C6052E" w:rsidRDefault="00EE5BB8" w:rsidP="00AD2C21">
            <w:pPr>
              <w:pStyle w:val="Tabletotal"/>
              <w:jc w:val="right"/>
            </w:pPr>
            <w:r w:rsidRPr="00C6052E">
              <w:t>409,467</w:t>
            </w:r>
          </w:p>
        </w:tc>
        <w:tc>
          <w:tcPr>
            <w:tcW w:w="1134" w:type="dxa"/>
            <w:noWrap/>
            <w:hideMark/>
          </w:tcPr>
          <w:p w14:paraId="7127003D" w14:textId="77777777" w:rsidR="00EE5BB8" w:rsidRPr="00C6052E" w:rsidRDefault="00EE5BB8" w:rsidP="00AD2C21">
            <w:pPr>
              <w:pStyle w:val="Tabletotal"/>
              <w:jc w:val="right"/>
            </w:pPr>
            <w:r w:rsidRPr="00C6052E">
              <w:t>17,020</w:t>
            </w:r>
          </w:p>
        </w:tc>
        <w:tc>
          <w:tcPr>
            <w:tcW w:w="1134" w:type="dxa"/>
            <w:noWrap/>
            <w:hideMark/>
          </w:tcPr>
          <w:p w14:paraId="00411E26" w14:textId="77777777" w:rsidR="00EE5BB8" w:rsidRPr="00C6052E" w:rsidRDefault="00EE5BB8" w:rsidP="00AD2C21">
            <w:pPr>
              <w:pStyle w:val="Tabletotal"/>
              <w:jc w:val="right"/>
            </w:pPr>
            <w:r w:rsidRPr="00C6052E">
              <w:t>26,108</w:t>
            </w:r>
          </w:p>
        </w:tc>
        <w:tc>
          <w:tcPr>
            <w:tcW w:w="1389" w:type="dxa"/>
            <w:noWrap/>
            <w:hideMark/>
          </w:tcPr>
          <w:p w14:paraId="5D2E4031" w14:textId="77777777" w:rsidR="00EE5BB8" w:rsidRPr="00C6052E" w:rsidRDefault="00EE5BB8" w:rsidP="00AD2C21">
            <w:pPr>
              <w:pStyle w:val="Tabletotal"/>
              <w:jc w:val="right"/>
            </w:pPr>
            <w:r w:rsidRPr="00C6052E">
              <w:t>336,128</w:t>
            </w:r>
          </w:p>
        </w:tc>
        <w:tc>
          <w:tcPr>
            <w:tcW w:w="1313" w:type="dxa"/>
            <w:noWrap/>
            <w:hideMark/>
          </w:tcPr>
          <w:p w14:paraId="52616DF8" w14:textId="77777777" w:rsidR="00EE5BB8" w:rsidRPr="00C6052E" w:rsidRDefault="00EE5BB8" w:rsidP="00AD2C21">
            <w:pPr>
              <w:pStyle w:val="Tabletotal"/>
              <w:jc w:val="right"/>
            </w:pPr>
            <w:r w:rsidRPr="00C6052E">
              <w:t>269,369</w:t>
            </w:r>
          </w:p>
        </w:tc>
      </w:tr>
      <w:tr w:rsidR="00AD2C21" w:rsidRPr="00C6052E" w14:paraId="0775EB02" w14:textId="77777777" w:rsidTr="006D5FE0">
        <w:tc>
          <w:tcPr>
            <w:tcW w:w="4388" w:type="dxa"/>
          </w:tcPr>
          <w:p w14:paraId="5C3F4CBB" w14:textId="2CB22DF9" w:rsidR="00AD2C21" w:rsidRPr="00C6052E" w:rsidRDefault="00AD2C21" w:rsidP="00E9148A">
            <w:pPr>
              <w:pStyle w:val="TableHeading"/>
            </w:pPr>
            <w:r w:rsidRPr="00C6052E">
              <w:t>Expenses from transactions</w:t>
            </w:r>
          </w:p>
        </w:tc>
        <w:tc>
          <w:tcPr>
            <w:tcW w:w="1388" w:type="dxa"/>
            <w:noWrap/>
          </w:tcPr>
          <w:p w14:paraId="036F8A3D" w14:textId="77777777" w:rsidR="00AD2C21" w:rsidRPr="00C6052E" w:rsidRDefault="00AD2C21" w:rsidP="00AD2C21">
            <w:pPr>
              <w:pStyle w:val="TableHeading"/>
              <w:jc w:val="right"/>
            </w:pPr>
          </w:p>
        </w:tc>
        <w:tc>
          <w:tcPr>
            <w:tcW w:w="1389" w:type="dxa"/>
            <w:noWrap/>
          </w:tcPr>
          <w:p w14:paraId="6916F3A4" w14:textId="77777777" w:rsidR="00AD2C21" w:rsidRPr="00C6052E" w:rsidRDefault="00AD2C21" w:rsidP="00AD2C21">
            <w:pPr>
              <w:pStyle w:val="TableHeading"/>
              <w:jc w:val="right"/>
            </w:pPr>
          </w:p>
        </w:tc>
        <w:tc>
          <w:tcPr>
            <w:tcW w:w="1236" w:type="dxa"/>
            <w:noWrap/>
          </w:tcPr>
          <w:p w14:paraId="308DBE3C" w14:textId="77777777" w:rsidR="00AD2C21" w:rsidRPr="00C6052E" w:rsidRDefault="00AD2C21" w:rsidP="00AD2C21">
            <w:pPr>
              <w:pStyle w:val="TableHeading"/>
              <w:jc w:val="right"/>
            </w:pPr>
          </w:p>
        </w:tc>
        <w:tc>
          <w:tcPr>
            <w:tcW w:w="1233" w:type="dxa"/>
            <w:noWrap/>
          </w:tcPr>
          <w:p w14:paraId="48C7CD9A" w14:textId="77777777" w:rsidR="00AD2C21" w:rsidRPr="00C6052E" w:rsidRDefault="00AD2C21" w:rsidP="00AD2C21">
            <w:pPr>
              <w:pStyle w:val="TableHeading"/>
              <w:jc w:val="right"/>
            </w:pPr>
          </w:p>
        </w:tc>
        <w:tc>
          <w:tcPr>
            <w:tcW w:w="1134" w:type="dxa"/>
            <w:noWrap/>
          </w:tcPr>
          <w:p w14:paraId="34276390" w14:textId="77777777" w:rsidR="00AD2C21" w:rsidRPr="00C6052E" w:rsidRDefault="00AD2C21" w:rsidP="00AD2C21">
            <w:pPr>
              <w:pStyle w:val="TableHeading"/>
              <w:jc w:val="right"/>
            </w:pPr>
          </w:p>
        </w:tc>
        <w:tc>
          <w:tcPr>
            <w:tcW w:w="1134" w:type="dxa"/>
            <w:noWrap/>
          </w:tcPr>
          <w:p w14:paraId="66236440" w14:textId="77777777" w:rsidR="00AD2C21" w:rsidRPr="00C6052E" w:rsidRDefault="00AD2C21" w:rsidP="00AD2C21">
            <w:pPr>
              <w:pStyle w:val="TableHeading"/>
              <w:jc w:val="right"/>
            </w:pPr>
          </w:p>
        </w:tc>
        <w:tc>
          <w:tcPr>
            <w:tcW w:w="1389" w:type="dxa"/>
            <w:noWrap/>
          </w:tcPr>
          <w:p w14:paraId="76C9DC64" w14:textId="77777777" w:rsidR="00AD2C21" w:rsidRPr="00C6052E" w:rsidRDefault="00AD2C21" w:rsidP="00AD2C21">
            <w:pPr>
              <w:pStyle w:val="TableHeading"/>
              <w:jc w:val="right"/>
            </w:pPr>
          </w:p>
        </w:tc>
        <w:tc>
          <w:tcPr>
            <w:tcW w:w="1313" w:type="dxa"/>
            <w:noWrap/>
          </w:tcPr>
          <w:p w14:paraId="3918CCCF" w14:textId="77777777" w:rsidR="00AD2C21" w:rsidRPr="00C6052E" w:rsidRDefault="00AD2C21" w:rsidP="00AD2C21">
            <w:pPr>
              <w:pStyle w:val="TableHeading"/>
              <w:jc w:val="right"/>
            </w:pPr>
          </w:p>
        </w:tc>
      </w:tr>
      <w:tr w:rsidR="00EE5BB8" w:rsidRPr="00C6052E" w14:paraId="2CAE6A88" w14:textId="77777777" w:rsidTr="006D5FE0">
        <w:tc>
          <w:tcPr>
            <w:tcW w:w="4388" w:type="dxa"/>
            <w:hideMark/>
          </w:tcPr>
          <w:p w14:paraId="5B99D61D" w14:textId="2FC659B0" w:rsidR="00EE5BB8" w:rsidRPr="00C6052E" w:rsidRDefault="00EE5BB8" w:rsidP="0063097D">
            <w:pPr>
              <w:pStyle w:val="TableCopy"/>
            </w:pPr>
            <w:r w:rsidRPr="00C6052E">
              <w:t>Grant</w:t>
            </w:r>
            <w:r w:rsidR="00177848" w:rsidRPr="00C6052E">
              <w:t xml:space="preserve"> </w:t>
            </w:r>
            <w:r w:rsidRPr="00C6052E">
              <w:t>expenses</w:t>
            </w:r>
          </w:p>
        </w:tc>
        <w:tc>
          <w:tcPr>
            <w:tcW w:w="1388" w:type="dxa"/>
            <w:noWrap/>
            <w:hideMark/>
          </w:tcPr>
          <w:p w14:paraId="37B80774" w14:textId="77777777" w:rsidR="00EE5BB8" w:rsidRPr="00C6052E" w:rsidRDefault="00EE5BB8" w:rsidP="00AD2C21">
            <w:pPr>
              <w:pStyle w:val="TableCopy"/>
              <w:jc w:val="right"/>
            </w:pPr>
            <w:r w:rsidRPr="00C6052E">
              <w:t>(60,574)</w:t>
            </w:r>
          </w:p>
        </w:tc>
        <w:tc>
          <w:tcPr>
            <w:tcW w:w="1389" w:type="dxa"/>
            <w:noWrap/>
            <w:hideMark/>
          </w:tcPr>
          <w:p w14:paraId="2A02BCB7" w14:textId="77777777" w:rsidR="00EE5BB8" w:rsidRPr="00C6052E" w:rsidRDefault="00EE5BB8" w:rsidP="00AD2C21">
            <w:pPr>
              <w:pStyle w:val="TableCopy"/>
              <w:jc w:val="right"/>
            </w:pPr>
            <w:r w:rsidRPr="00C6052E">
              <w:t>(57,823)</w:t>
            </w:r>
          </w:p>
        </w:tc>
        <w:tc>
          <w:tcPr>
            <w:tcW w:w="1236" w:type="dxa"/>
            <w:noWrap/>
            <w:hideMark/>
          </w:tcPr>
          <w:p w14:paraId="460E8E93" w14:textId="77777777" w:rsidR="00EE5BB8" w:rsidRPr="00C6052E" w:rsidRDefault="00EE5BB8" w:rsidP="00AD2C21">
            <w:pPr>
              <w:pStyle w:val="TableCopy"/>
              <w:jc w:val="right"/>
            </w:pPr>
            <w:r w:rsidRPr="00C6052E">
              <w:t>(389,316)</w:t>
            </w:r>
          </w:p>
        </w:tc>
        <w:tc>
          <w:tcPr>
            <w:tcW w:w="1233" w:type="dxa"/>
            <w:noWrap/>
            <w:hideMark/>
          </w:tcPr>
          <w:p w14:paraId="37806BEE" w14:textId="77777777" w:rsidR="00EE5BB8" w:rsidRPr="00C6052E" w:rsidRDefault="00EE5BB8" w:rsidP="00AD2C21">
            <w:pPr>
              <w:pStyle w:val="TableCopy"/>
              <w:jc w:val="right"/>
            </w:pPr>
            <w:r w:rsidRPr="00C6052E">
              <w:t>(352,114)</w:t>
            </w:r>
          </w:p>
        </w:tc>
        <w:tc>
          <w:tcPr>
            <w:tcW w:w="1134" w:type="dxa"/>
            <w:noWrap/>
            <w:hideMark/>
          </w:tcPr>
          <w:p w14:paraId="54B94AB9" w14:textId="77777777" w:rsidR="00EE5BB8" w:rsidRPr="00C6052E" w:rsidRDefault="00EE5BB8" w:rsidP="00AD2C21">
            <w:pPr>
              <w:pStyle w:val="TableCopy"/>
              <w:jc w:val="right"/>
            </w:pPr>
            <w:r w:rsidRPr="00C6052E">
              <w:t>(11,408)</w:t>
            </w:r>
          </w:p>
        </w:tc>
        <w:tc>
          <w:tcPr>
            <w:tcW w:w="1134" w:type="dxa"/>
            <w:noWrap/>
            <w:hideMark/>
          </w:tcPr>
          <w:p w14:paraId="63747D10" w14:textId="77777777" w:rsidR="00EE5BB8" w:rsidRPr="00C6052E" w:rsidRDefault="00EE5BB8" w:rsidP="00AD2C21">
            <w:pPr>
              <w:pStyle w:val="TableCopy"/>
              <w:jc w:val="right"/>
            </w:pPr>
            <w:r w:rsidRPr="00C6052E">
              <w:t>(9,273)</w:t>
            </w:r>
          </w:p>
        </w:tc>
        <w:tc>
          <w:tcPr>
            <w:tcW w:w="1389" w:type="dxa"/>
            <w:noWrap/>
            <w:hideMark/>
          </w:tcPr>
          <w:p w14:paraId="06EEB132" w14:textId="77777777" w:rsidR="00EE5BB8" w:rsidRPr="00C6052E" w:rsidRDefault="00EE5BB8" w:rsidP="00AD2C21">
            <w:pPr>
              <w:pStyle w:val="TableCopy"/>
              <w:jc w:val="right"/>
            </w:pPr>
            <w:r w:rsidRPr="00C6052E">
              <w:t>(228,250)</w:t>
            </w:r>
          </w:p>
        </w:tc>
        <w:tc>
          <w:tcPr>
            <w:tcW w:w="1313" w:type="dxa"/>
            <w:noWrap/>
            <w:hideMark/>
          </w:tcPr>
          <w:p w14:paraId="0E10919A" w14:textId="77777777" w:rsidR="00EE5BB8" w:rsidRPr="00C6052E" w:rsidRDefault="00EE5BB8" w:rsidP="00AD2C21">
            <w:pPr>
              <w:pStyle w:val="TableCopy"/>
              <w:jc w:val="right"/>
            </w:pPr>
            <w:r w:rsidRPr="00C6052E">
              <w:t>(184,558)</w:t>
            </w:r>
          </w:p>
        </w:tc>
      </w:tr>
      <w:tr w:rsidR="00EE5BB8" w:rsidRPr="00C6052E" w14:paraId="6659AA52" w14:textId="77777777" w:rsidTr="006D5FE0">
        <w:tc>
          <w:tcPr>
            <w:tcW w:w="4388" w:type="dxa"/>
            <w:hideMark/>
          </w:tcPr>
          <w:p w14:paraId="3A39B5FA" w14:textId="24347B43" w:rsidR="00EE5BB8" w:rsidRPr="00C6052E" w:rsidRDefault="00EE5BB8" w:rsidP="0063097D">
            <w:pPr>
              <w:pStyle w:val="TableCopy"/>
            </w:pPr>
            <w:r w:rsidRPr="00C6052E">
              <w:t>Employee</w:t>
            </w:r>
            <w:r w:rsidR="00177848" w:rsidRPr="00C6052E">
              <w:t xml:space="preserve"> </w:t>
            </w:r>
            <w:r w:rsidRPr="00C6052E">
              <w:t>expenses</w:t>
            </w:r>
          </w:p>
        </w:tc>
        <w:tc>
          <w:tcPr>
            <w:tcW w:w="1388" w:type="dxa"/>
            <w:noWrap/>
            <w:hideMark/>
          </w:tcPr>
          <w:p w14:paraId="5307181A" w14:textId="77777777" w:rsidR="00EE5BB8" w:rsidRPr="00C6052E" w:rsidRDefault="00EE5BB8" w:rsidP="00AD2C21">
            <w:pPr>
              <w:pStyle w:val="TableCopy"/>
              <w:jc w:val="right"/>
            </w:pPr>
            <w:r w:rsidRPr="00C6052E">
              <w:t>(11,984)</w:t>
            </w:r>
          </w:p>
        </w:tc>
        <w:tc>
          <w:tcPr>
            <w:tcW w:w="1389" w:type="dxa"/>
            <w:noWrap/>
            <w:hideMark/>
          </w:tcPr>
          <w:p w14:paraId="523486F2" w14:textId="77777777" w:rsidR="00EE5BB8" w:rsidRPr="00C6052E" w:rsidRDefault="00EE5BB8" w:rsidP="00AD2C21">
            <w:pPr>
              <w:pStyle w:val="TableCopy"/>
              <w:jc w:val="right"/>
            </w:pPr>
            <w:r w:rsidRPr="00C6052E">
              <w:t>(10,049)</w:t>
            </w:r>
          </w:p>
        </w:tc>
        <w:tc>
          <w:tcPr>
            <w:tcW w:w="1236" w:type="dxa"/>
            <w:noWrap/>
            <w:hideMark/>
          </w:tcPr>
          <w:p w14:paraId="4429C22A" w14:textId="77777777" w:rsidR="00EE5BB8" w:rsidRPr="00C6052E" w:rsidRDefault="00EE5BB8" w:rsidP="00AD2C21">
            <w:pPr>
              <w:pStyle w:val="TableCopy"/>
              <w:jc w:val="right"/>
            </w:pPr>
            <w:r w:rsidRPr="00C6052E">
              <w:t>(4,975)</w:t>
            </w:r>
          </w:p>
        </w:tc>
        <w:tc>
          <w:tcPr>
            <w:tcW w:w="1233" w:type="dxa"/>
            <w:noWrap/>
            <w:hideMark/>
          </w:tcPr>
          <w:p w14:paraId="110A8D58" w14:textId="77777777" w:rsidR="00EE5BB8" w:rsidRPr="00C6052E" w:rsidRDefault="00EE5BB8" w:rsidP="00AD2C21">
            <w:pPr>
              <w:pStyle w:val="TableCopy"/>
              <w:jc w:val="right"/>
            </w:pPr>
            <w:r w:rsidRPr="00C6052E">
              <w:t>(5,134)</w:t>
            </w:r>
          </w:p>
        </w:tc>
        <w:tc>
          <w:tcPr>
            <w:tcW w:w="1134" w:type="dxa"/>
            <w:noWrap/>
            <w:hideMark/>
          </w:tcPr>
          <w:p w14:paraId="5CDD1267" w14:textId="77777777" w:rsidR="00EE5BB8" w:rsidRPr="00C6052E" w:rsidRDefault="00EE5BB8" w:rsidP="00AD2C21">
            <w:pPr>
              <w:pStyle w:val="TableCopy"/>
              <w:jc w:val="right"/>
            </w:pPr>
            <w:r w:rsidRPr="00C6052E">
              <w:t>(1,063)</w:t>
            </w:r>
          </w:p>
        </w:tc>
        <w:tc>
          <w:tcPr>
            <w:tcW w:w="1134" w:type="dxa"/>
            <w:noWrap/>
            <w:hideMark/>
          </w:tcPr>
          <w:p w14:paraId="2817E46B" w14:textId="77777777" w:rsidR="00EE5BB8" w:rsidRPr="00C6052E" w:rsidRDefault="00EE5BB8" w:rsidP="00AD2C21">
            <w:pPr>
              <w:pStyle w:val="TableCopy"/>
              <w:jc w:val="right"/>
            </w:pPr>
            <w:r w:rsidRPr="00C6052E">
              <w:t>(252)</w:t>
            </w:r>
          </w:p>
        </w:tc>
        <w:tc>
          <w:tcPr>
            <w:tcW w:w="1389" w:type="dxa"/>
            <w:noWrap/>
            <w:hideMark/>
          </w:tcPr>
          <w:p w14:paraId="37A29F09" w14:textId="77777777" w:rsidR="00EE5BB8" w:rsidRPr="00C6052E" w:rsidRDefault="00EE5BB8" w:rsidP="00AD2C21">
            <w:pPr>
              <w:pStyle w:val="TableCopy"/>
              <w:jc w:val="right"/>
            </w:pPr>
            <w:r w:rsidRPr="00C6052E">
              <w:t>(41,846)</w:t>
            </w:r>
          </w:p>
        </w:tc>
        <w:tc>
          <w:tcPr>
            <w:tcW w:w="1313" w:type="dxa"/>
            <w:noWrap/>
            <w:hideMark/>
          </w:tcPr>
          <w:p w14:paraId="74BBDEA7" w14:textId="77777777" w:rsidR="00EE5BB8" w:rsidRPr="00C6052E" w:rsidRDefault="00EE5BB8" w:rsidP="00AD2C21">
            <w:pPr>
              <w:pStyle w:val="TableCopy"/>
              <w:jc w:val="right"/>
            </w:pPr>
            <w:r w:rsidRPr="00C6052E">
              <w:t>(41,625)</w:t>
            </w:r>
          </w:p>
        </w:tc>
      </w:tr>
      <w:tr w:rsidR="00EE5BB8" w:rsidRPr="00C6052E" w14:paraId="3796F69F" w14:textId="77777777" w:rsidTr="006D5FE0">
        <w:tc>
          <w:tcPr>
            <w:tcW w:w="4388" w:type="dxa"/>
            <w:hideMark/>
          </w:tcPr>
          <w:p w14:paraId="18E7FD29" w14:textId="5AB58B7F" w:rsidR="00EE5BB8" w:rsidRPr="00C6052E" w:rsidRDefault="00EE5BB8" w:rsidP="0063097D">
            <w:pPr>
              <w:pStyle w:val="TableCopy"/>
            </w:pPr>
            <w:r w:rsidRPr="00C6052E">
              <w:t>Depreciation</w:t>
            </w:r>
            <w:r w:rsidR="00177848" w:rsidRPr="00C6052E">
              <w:t xml:space="preserve"> </w:t>
            </w:r>
            <w:r w:rsidRPr="00C6052E">
              <w:t>and</w:t>
            </w:r>
            <w:r w:rsidR="00177848" w:rsidRPr="00C6052E">
              <w:t xml:space="preserve"> </w:t>
            </w:r>
            <w:r w:rsidRPr="00C6052E">
              <w:t>amortisation</w:t>
            </w:r>
            <w:r w:rsidR="00177848" w:rsidRPr="00C6052E">
              <w:t xml:space="preserve"> </w:t>
            </w:r>
          </w:p>
        </w:tc>
        <w:tc>
          <w:tcPr>
            <w:tcW w:w="1388" w:type="dxa"/>
            <w:noWrap/>
            <w:hideMark/>
          </w:tcPr>
          <w:p w14:paraId="16E7BA8E" w14:textId="77777777" w:rsidR="00EE5BB8" w:rsidRPr="00C6052E" w:rsidRDefault="00EE5BB8" w:rsidP="00AD2C21">
            <w:pPr>
              <w:pStyle w:val="TableCopy"/>
              <w:jc w:val="right"/>
            </w:pPr>
            <w:r w:rsidRPr="00C6052E">
              <w:t>–</w:t>
            </w:r>
          </w:p>
        </w:tc>
        <w:tc>
          <w:tcPr>
            <w:tcW w:w="1389" w:type="dxa"/>
            <w:noWrap/>
            <w:hideMark/>
          </w:tcPr>
          <w:p w14:paraId="52EC96F4" w14:textId="77777777" w:rsidR="00EE5BB8" w:rsidRPr="00C6052E" w:rsidRDefault="00EE5BB8" w:rsidP="00AD2C21">
            <w:pPr>
              <w:pStyle w:val="TableCopy"/>
              <w:jc w:val="right"/>
            </w:pPr>
            <w:r w:rsidRPr="00C6052E">
              <w:t>–</w:t>
            </w:r>
          </w:p>
        </w:tc>
        <w:tc>
          <w:tcPr>
            <w:tcW w:w="1236" w:type="dxa"/>
            <w:noWrap/>
            <w:hideMark/>
          </w:tcPr>
          <w:p w14:paraId="5967DF69" w14:textId="77777777" w:rsidR="00EE5BB8" w:rsidRPr="00C6052E" w:rsidRDefault="00EE5BB8" w:rsidP="00AD2C21">
            <w:pPr>
              <w:pStyle w:val="TableCopy"/>
              <w:jc w:val="right"/>
            </w:pPr>
            <w:r w:rsidRPr="00C6052E">
              <w:t>–</w:t>
            </w:r>
          </w:p>
        </w:tc>
        <w:tc>
          <w:tcPr>
            <w:tcW w:w="1233" w:type="dxa"/>
            <w:noWrap/>
            <w:hideMark/>
          </w:tcPr>
          <w:p w14:paraId="00F2B802" w14:textId="77777777" w:rsidR="00EE5BB8" w:rsidRPr="00C6052E" w:rsidRDefault="00EE5BB8" w:rsidP="00AD2C21">
            <w:pPr>
              <w:pStyle w:val="TableCopy"/>
              <w:jc w:val="right"/>
            </w:pPr>
            <w:r w:rsidRPr="00C6052E">
              <w:t>–</w:t>
            </w:r>
          </w:p>
        </w:tc>
        <w:tc>
          <w:tcPr>
            <w:tcW w:w="1134" w:type="dxa"/>
            <w:noWrap/>
            <w:hideMark/>
          </w:tcPr>
          <w:p w14:paraId="7A89D7AD" w14:textId="77777777" w:rsidR="00EE5BB8" w:rsidRPr="00C6052E" w:rsidRDefault="00EE5BB8" w:rsidP="00AD2C21">
            <w:pPr>
              <w:pStyle w:val="TableCopy"/>
              <w:jc w:val="right"/>
            </w:pPr>
            <w:r w:rsidRPr="00C6052E">
              <w:t>(4,363)</w:t>
            </w:r>
          </w:p>
        </w:tc>
        <w:tc>
          <w:tcPr>
            <w:tcW w:w="1134" w:type="dxa"/>
            <w:noWrap/>
            <w:hideMark/>
          </w:tcPr>
          <w:p w14:paraId="1523F579" w14:textId="77777777" w:rsidR="00EE5BB8" w:rsidRPr="00C6052E" w:rsidRDefault="00EE5BB8" w:rsidP="00AD2C21">
            <w:pPr>
              <w:pStyle w:val="TableCopy"/>
              <w:jc w:val="right"/>
            </w:pPr>
            <w:r w:rsidRPr="00C6052E">
              <w:t>(4,690)</w:t>
            </w:r>
          </w:p>
        </w:tc>
        <w:tc>
          <w:tcPr>
            <w:tcW w:w="1389" w:type="dxa"/>
            <w:noWrap/>
            <w:hideMark/>
          </w:tcPr>
          <w:p w14:paraId="1F8CD815" w14:textId="77777777" w:rsidR="00EE5BB8" w:rsidRPr="00C6052E" w:rsidRDefault="00EE5BB8" w:rsidP="00AD2C21">
            <w:pPr>
              <w:pStyle w:val="TableCopy"/>
              <w:jc w:val="right"/>
            </w:pPr>
            <w:r w:rsidRPr="00C6052E">
              <w:t>(1,144)</w:t>
            </w:r>
          </w:p>
        </w:tc>
        <w:tc>
          <w:tcPr>
            <w:tcW w:w="1313" w:type="dxa"/>
            <w:noWrap/>
            <w:hideMark/>
          </w:tcPr>
          <w:p w14:paraId="794A6F26" w14:textId="77777777" w:rsidR="00EE5BB8" w:rsidRPr="00C6052E" w:rsidRDefault="00EE5BB8" w:rsidP="00AD2C21">
            <w:pPr>
              <w:pStyle w:val="TableCopy"/>
              <w:jc w:val="right"/>
            </w:pPr>
            <w:r w:rsidRPr="00C6052E">
              <w:t>(1,446)</w:t>
            </w:r>
          </w:p>
        </w:tc>
      </w:tr>
      <w:tr w:rsidR="00EE5BB8" w:rsidRPr="00C6052E" w14:paraId="1624B3D9" w14:textId="77777777" w:rsidTr="006D5FE0">
        <w:tc>
          <w:tcPr>
            <w:tcW w:w="4388" w:type="dxa"/>
            <w:hideMark/>
          </w:tcPr>
          <w:p w14:paraId="3580084E" w14:textId="246934F2" w:rsidR="00EE5BB8" w:rsidRPr="00C6052E" w:rsidRDefault="00EE5BB8" w:rsidP="0063097D">
            <w:pPr>
              <w:pStyle w:val="TableCopy"/>
            </w:pPr>
            <w:r w:rsidRPr="00C6052E">
              <w:t>Other</w:t>
            </w:r>
            <w:r w:rsidR="00177848" w:rsidRPr="00C6052E">
              <w:t xml:space="preserve"> </w:t>
            </w:r>
            <w:r w:rsidRPr="00C6052E">
              <w:t>operating</w:t>
            </w:r>
            <w:r w:rsidR="00177848" w:rsidRPr="00C6052E">
              <w:t xml:space="preserve"> </w:t>
            </w:r>
            <w:r w:rsidRPr="00C6052E">
              <w:t>expenses</w:t>
            </w:r>
          </w:p>
        </w:tc>
        <w:tc>
          <w:tcPr>
            <w:tcW w:w="1388" w:type="dxa"/>
            <w:noWrap/>
            <w:hideMark/>
          </w:tcPr>
          <w:p w14:paraId="0BCB6A50" w14:textId="77777777" w:rsidR="00EE5BB8" w:rsidRPr="00C6052E" w:rsidRDefault="00EE5BB8" w:rsidP="00AD2C21">
            <w:pPr>
              <w:pStyle w:val="TableCopy"/>
              <w:jc w:val="right"/>
            </w:pPr>
            <w:r w:rsidRPr="00C6052E">
              <w:t>(5,855)</w:t>
            </w:r>
          </w:p>
        </w:tc>
        <w:tc>
          <w:tcPr>
            <w:tcW w:w="1389" w:type="dxa"/>
            <w:noWrap/>
            <w:hideMark/>
          </w:tcPr>
          <w:p w14:paraId="15BA279A" w14:textId="77777777" w:rsidR="00EE5BB8" w:rsidRPr="00C6052E" w:rsidRDefault="00EE5BB8" w:rsidP="00AD2C21">
            <w:pPr>
              <w:pStyle w:val="TableCopy"/>
              <w:jc w:val="right"/>
            </w:pPr>
            <w:r w:rsidRPr="00C6052E">
              <w:t>(7,129)</w:t>
            </w:r>
          </w:p>
        </w:tc>
        <w:tc>
          <w:tcPr>
            <w:tcW w:w="1236" w:type="dxa"/>
            <w:noWrap/>
            <w:hideMark/>
          </w:tcPr>
          <w:p w14:paraId="218DFCB0" w14:textId="77777777" w:rsidR="00EE5BB8" w:rsidRPr="00C6052E" w:rsidRDefault="00EE5BB8" w:rsidP="00AD2C21">
            <w:pPr>
              <w:pStyle w:val="TableCopy"/>
              <w:jc w:val="right"/>
            </w:pPr>
            <w:r w:rsidRPr="00C6052E">
              <w:t>(576)</w:t>
            </w:r>
          </w:p>
        </w:tc>
        <w:tc>
          <w:tcPr>
            <w:tcW w:w="1233" w:type="dxa"/>
            <w:noWrap/>
            <w:hideMark/>
          </w:tcPr>
          <w:p w14:paraId="5F23B930" w14:textId="77777777" w:rsidR="00EE5BB8" w:rsidRPr="00C6052E" w:rsidRDefault="00EE5BB8" w:rsidP="00AD2C21">
            <w:pPr>
              <w:pStyle w:val="TableCopy"/>
              <w:jc w:val="right"/>
            </w:pPr>
            <w:r w:rsidRPr="00C6052E">
              <w:t>(580)</w:t>
            </w:r>
          </w:p>
        </w:tc>
        <w:tc>
          <w:tcPr>
            <w:tcW w:w="1134" w:type="dxa"/>
            <w:noWrap/>
            <w:hideMark/>
          </w:tcPr>
          <w:p w14:paraId="78844AB0" w14:textId="77777777" w:rsidR="00EE5BB8" w:rsidRPr="00C6052E" w:rsidRDefault="00EE5BB8" w:rsidP="00AD2C21">
            <w:pPr>
              <w:pStyle w:val="TableCopy"/>
              <w:jc w:val="right"/>
            </w:pPr>
            <w:r w:rsidRPr="00C6052E">
              <w:t>(831)</w:t>
            </w:r>
          </w:p>
        </w:tc>
        <w:tc>
          <w:tcPr>
            <w:tcW w:w="1134" w:type="dxa"/>
            <w:noWrap/>
            <w:hideMark/>
          </w:tcPr>
          <w:p w14:paraId="0632437E" w14:textId="77777777" w:rsidR="00EE5BB8" w:rsidRPr="00C6052E" w:rsidRDefault="00EE5BB8" w:rsidP="00AD2C21">
            <w:pPr>
              <w:pStyle w:val="TableCopy"/>
              <w:jc w:val="right"/>
            </w:pPr>
            <w:r w:rsidRPr="00C6052E">
              <w:t>(8,590)</w:t>
            </w:r>
          </w:p>
        </w:tc>
        <w:tc>
          <w:tcPr>
            <w:tcW w:w="1389" w:type="dxa"/>
            <w:noWrap/>
            <w:hideMark/>
          </w:tcPr>
          <w:p w14:paraId="5153EE7F" w14:textId="77777777" w:rsidR="00EE5BB8" w:rsidRPr="00C6052E" w:rsidRDefault="00EE5BB8" w:rsidP="00AD2C21">
            <w:pPr>
              <w:pStyle w:val="TableCopy"/>
              <w:jc w:val="right"/>
            </w:pPr>
            <w:r w:rsidRPr="00C6052E">
              <w:t>(65,314)</w:t>
            </w:r>
          </w:p>
        </w:tc>
        <w:tc>
          <w:tcPr>
            <w:tcW w:w="1313" w:type="dxa"/>
            <w:noWrap/>
            <w:hideMark/>
          </w:tcPr>
          <w:p w14:paraId="1BF1610B" w14:textId="77777777" w:rsidR="00EE5BB8" w:rsidRPr="00C6052E" w:rsidRDefault="00EE5BB8" w:rsidP="00AD2C21">
            <w:pPr>
              <w:pStyle w:val="TableCopy"/>
              <w:jc w:val="right"/>
            </w:pPr>
            <w:r w:rsidRPr="00C6052E">
              <w:t>(33,879)</w:t>
            </w:r>
          </w:p>
        </w:tc>
      </w:tr>
      <w:tr w:rsidR="00EE5BB8" w:rsidRPr="00C6052E" w14:paraId="1733ED9E" w14:textId="77777777" w:rsidTr="006D5FE0">
        <w:tc>
          <w:tcPr>
            <w:tcW w:w="4388" w:type="dxa"/>
            <w:noWrap/>
            <w:hideMark/>
          </w:tcPr>
          <w:p w14:paraId="19143EF0" w14:textId="64B0BBCA" w:rsidR="00EE5BB8" w:rsidRPr="00C6052E" w:rsidRDefault="00EE5BB8" w:rsidP="0063097D">
            <w:pPr>
              <w:pStyle w:val="Tabletotal"/>
            </w:pPr>
            <w:r w:rsidRPr="00C6052E">
              <w:lastRenderedPageBreak/>
              <w:t>Total</w:t>
            </w:r>
            <w:r w:rsidR="00177848" w:rsidRPr="00C6052E">
              <w:t xml:space="preserve"> </w:t>
            </w:r>
            <w:r w:rsidRPr="00C6052E">
              <w:t>expenses</w:t>
            </w:r>
            <w:r w:rsidR="00177848" w:rsidRPr="00C6052E">
              <w:t xml:space="preserve"> </w:t>
            </w:r>
            <w:r w:rsidRPr="00C6052E">
              <w:t>from</w:t>
            </w:r>
            <w:r w:rsidR="00177848" w:rsidRPr="00C6052E">
              <w:t xml:space="preserve"> </w:t>
            </w:r>
            <w:r w:rsidRPr="00C6052E">
              <w:t>transactions</w:t>
            </w:r>
          </w:p>
        </w:tc>
        <w:tc>
          <w:tcPr>
            <w:tcW w:w="1388" w:type="dxa"/>
            <w:noWrap/>
            <w:hideMark/>
          </w:tcPr>
          <w:p w14:paraId="38BF2C05" w14:textId="77777777" w:rsidR="00EE5BB8" w:rsidRPr="00C6052E" w:rsidRDefault="00EE5BB8" w:rsidP="00AD2C21">
            <w:pPr>
              <w:pStyle w:val="Tabletotal"/>
              <w:jc w:val="right"/>
            </w:pPr>
            <w:r w:rsidRPr="00C6052E">
              <w:t>(78,413)</w:t>
            </w:r>
          </w:p>
        </w:tc>
        <w:tc>
          <w:tcPr>
            <w:tcW w:w="1389" w:type="dxa"/>
            <w:noWrap/>
            <w:hideMark/>
          </w:tcPr>
          <w:p w14:paraId="19088373" w14:textId="77777777" w:rsidR="00EE5BB8" w:rsidRPr="00C6052E" w:rsidRDefault="00EE5BB8" w:rsidP="00AD2C21">
            <w:pPr>
              <w:pStyle w:val="Tabletotal"/>
              <w:jc w:val="right"/>
            </w:pPr>
            <w:r w:rsidRPr="00C6052E">
              <w:t>(75,001)</w:t>
            </w:r>
          </w:p>
        </w:tc>
        <w:tc>
          <w:tcPr>
            <w:tcW w:w="1236" w:type="dxa"/>
            <w:noWrap/>
            <w:hideMark/>
          </w:tcPr>
          <w:p w14:paraId="76A79F20" w14:textId="77777777" w:rsidR="00EE5BB8" w:rsidRPr="00C6052E" w:rsidRDefault="00EE5BB8" w:rsidP="00AD2C21">
            <w:pPr>
              <w:pStyle w:val="Tabletotal"/>
              <w:jc w:val="right"/>
            </w:pPr>
            <w:r w:rsidRPr="00C6052E">
              <w:t>(394,867)</w:t>
            </w:r>
          </w:p>
        </w:tc>
        <w:tc>
          <w:tcPr>
            <w:tcW w:w="1233" w:type="dxa"/>
            <w:noWrap/>
            <w:hideMark/>
          </w:tcPr>
          <w:p w14:paraId="1790925A" w14:textId="77777777" w:rsidR="00EE5BB8" w:rsidRPr="00C6052E" w:rsidRDefault="00EE5BB8" w:rsidP="00AD2C21">
            <w:pPr>
              <w:pStyle w:val="Tabletotal"/>
              <w:jc w:val="right"/>
            </w:pPr>
            <w:r w:rsidRPr="00C6052E">
              <w:t>(357,828)</w:t>
            </w:r>
          </w:p>
        </w:tc>
        <w:tc>
          <w:tcPr>
            <w:tcW w:w="1134" w:type="dxa"/>
            <w:noWrap/>
            <w:hideMark/>
          </w:tcPr>
          <w:p w14:paraId="204B46C3" w14:textId="77777777" w:rsidR="00EE5BB8" w:rsidRPr="00C6052E" w:rsidRDefault="00EE5BB8" w:rsidP="00AD2C21">
            <w:pPr>
              <w:pStyle w:val="Tabletotal"/>
              <w:jc w:val="right"/>
            </w:pPr>
            <w:r w:rsidRPr="00C6052E">
              <w:t>(17,665)</w:t>
            </w:r>
          </w:p>
        </w:tc>
        <w:tc>
          <w:tcPr>
            <w:tcW w:w="1134" w:type="dxa"/>
            <w:noWrap/>
            <w:hideMark/>
          </w:tcPr>
          <w:p w14:paraId="02E665EF" w14:textId="77777777" w:rsidR="00EE5BB8" w:rsidRPr="00C6052E" w:rsidRDefault="00EE5BB8" w:rsidP="00AD2C21">
            <w:pPr>
              <w:pStyle w:val="Tabletotal"/>
              <w:jc w:val="right"/>
            </w:pPr>
            <w:r w:rsidRPr="00C6052E">
              <w:t>(22,805)</w:t>
            </w:r>
          </w:p>
        </w:tc>
        <w:tc>
          <w:tcPr>
            <w:tcW w:w="1389" w:type="dxa"/>
            <w:noWrap/>
            <w:hideMark/>
          </w:tcPr>
          <w:p w14:paraId="5BE1330D" w14:textId="77777777" w:rsidR="00EE5BB8" w:rsidRPr="00C6052E" w:rsidRDefault="00EE5BB8" w:rsidP="00AD2C21">
            <w:pPr>
              <w:pStyle w:val="Tabletotal"/>
              <w:jc w:val="right"/>
            </w:pPr>
            <w:r w:rsidRPr="00C6052E">
              <w:t>(336,554)</w:t>
            </w:r>
          </w:p>
        </w:tc>
        <w:tc>
          <w:tcPr>
            <w:tcW w:w="1313" w:type="dxa"/>
            <w:noWrap/>
            <w:hideMark/>
          </w:tcPr>
          <w:p w14:paraId="69706086" w14:textId="77777777" w:rsidR="00EE5BB8" w:rsidRPr="00C6052E" w:rsidRDefault="00EE5BB8" w:rsidP="00AD2C21">
            <w:pPr>
              <w:pStyle w:val="Tabletotal"/>
              <w:jc w:val="right"/>
            </w:pPr>
            <w:r w:rsidRPr="00C6052E">
              <w:t>(261,508)</w:t>
            </w:r>
          </w:p>
        </w:tc>
      </w:tr>
      <w:tr w:rsidR="00EE5BB8" w:rsidRPr="00C6052E" w14:paraId="418C826B" w14:textId="77777777" w:rsidTr="006D5FE0">
        <w:tc>
          <w:tcPr>
            <w:tcW w:w="4388" w:type="dxa"/>
            <w:noWrap/>
            <w:hideMark/>
          </w:tcPr>
          <w:p w14:paraId="0FDD3059" w14:textId="5E3C43FD" w:rsidR="00EE5BB8" w:rsidRPr="00C6052E" w:rsidRDefault="00EE5BB8" w:rsidP="0063097D">
            <w:pPr>
              <w:pStyle w:val="Tabletotal"/>
            </w:pPr>
            <w:r w:rsidRPr="00C6052E">
              <w:t>Net</w:t>
            </w:r>
            <w:r w:rsidR="00177848" w:rsidRPr="00C6052E">
              <w:t xml:space="preserve"> </w:t>
            </w:r>
            <w:r w:rsidRPr="00C6052E">
              <w:t>result</w:t>
            </w:r>
            <w:r w:rsidR="00177848" w:rsidRPr="00C6052E">
              <w:t xml:space="preserve"> </w:t>
            </w:r>
            <w:r w:rsidRPr="00C6052E">
              <w:t>from</w:t>
            </w:r>
            <w:r w:rsidR="00177848" w:rsidRPr="00C6052E">
              <w:t xml:space="preserve"> </w:t>
            </w:r>
            <w:r w:rsidRPr="00C6052E">
              <w:t>transactions</w:t>
            </w:r>
          </w:p>
        </w:tc>
        <w:tc>
          <w:tcPr>
            <w:tcW w:w="1388" w:type="dxa"/>
            <w:noWrap/>
            <w:hideMark/>
          </w:tcPr>
          <w:p w14:paraId="33948E6A" w14:textId="77777777" w:rsidR="00EE5BB8" w:rsidRPr="00C6052E" w:rsidRDefault="00EE5BB8" w:rsidP="00AD2C21">
            <w:pPr>
              <w:pStyle w:val="Tabletotal"/>
              <w:jc w:val="right"/>
            </w:pPr>
            <w:r w:rsidRPr="00C6052E">
              <w:t>423</w:t>
            </w:r>
          </w:p>
        </w:tc>
        <w:tc>
          <w:tcPr>
            <w:tcW w:w="1389" w:type="dxa"/>
            <w:noWrap/>
            <w:hideMark/>
          </w:tcPr>
          <w:p w14:paraId="6528484E" w14:textId="77777777" w:rsidR="00EE5BB8" w:rsidRPr="00C6052E" w:rsidRDefault="00EE5BB8" w:rsidP="00AD2C21">
            <w:pPr>
              <w:pStyle w:val="Tabletotal"/>
              <w:jc w:val="right"/>
            </w:pPr>
            <w:r w:rsidRPr="00C6052E">
              <w:t>(1,856)</w:t>
            </w:r>
          </w:p>
        </w:tc>
        <w:tc>
          <w:tcPr>
            <w:tcW w:w="1236" w:type="dxa"/>
            <w:noWrap/>
            <w:hideMark/>
          </w:tcPr>
          <w:p w14:paraId="556AC355" w14:textId="77777777" w:rsidR="00EE5BB8" w:rsidRPr="00C6052E" w:rsidRDefault="00EE5BB8" w:rsidP="00AD2C21">
            <w:pPr>
              <w:pStyle w:val="Tabletotal"/>
              <w:jc w:val="right"/>
            </w:pPr>
            <w:r w:rsidRPr="00C6052E">
              <w:t>51,904</w:t>
            </w:r>
          </w:p>
        </w:tc>
        <w:tc>
          <w:tcPr>
            <w:tcW w:w="1233" w:type="dxa"/>
            <w:noWrap/>
            <w:hideMark/>
          </w:tcPr>
          <w:p w14:paraId="7BD47C67" w14:textId="77777777" w:rsidR="00EE5BB8" w:rsidRPr="00C6052E" w:rsidRDefault="00EE5BB8" w:rsidP="00AD2C21">
            <w:pPr>
              <w:pStyle w:val="Tabletotal"/>
              <w:jc w:val="right"/>
            </w:pPr>
            <w:r w:rsidRPr="00C6052E">
              <w:t>51,639</w:t>
            </w:r>
          </w:p>
        </w:tc>
        <w:tc>
          <w:tcPr>
            <w:tcW w:w="1134" w:type="dxa"/>
            <w:noWrap/>
            <w:hideMark/>
          </w:tcPr>
          <w:p w14:paraId="21B5642B" w14:textId="77777777" w:rsidR="00EE5BB8" w:rsidRPr="00C6052E" w:rsidRDefault="00EE5BB8" w:rsidP="00AD2C21">
            <w:pPr>
              <w:pStyle w:val="Tabletotal"/>
              <w:jc w:val="right"/>
            </w:pPr>
            <w:r w:rsidRPr="00C6052E">
              <w:t>(645)</w:t>
            </w:r>
          </w:p>
        </w:tc>
        <w:tc>
          <w:tcPr>
            <w:tcW w:w="1134" w:type="dxa"/>
            <w:noWrap/>
            <w:hideMark/>
          </w:tcPr>
          <w:p w14:paraId="46D09D10" w14:textId="77777777" w:rsidR="00EE5BB8" w:rsidRPr="00C6052E" w:rsidRDefault="00EE5BB8" w:rsidP="00AD2C21">
            <w:pPr>
              <w:pStyle w:val="Tabletotal"/>
              <w:jc w:val="right"/>
            </w:pPr>
            <w:r w:rsidRPr="00C6052E">
              <w:t>3,303</w:t>
            </w:r>
          </w:p>
        </w:tc>
        <w:tc>
          <w:tcPr>
            <w:tcW w:w="1389" w:type="dxa"/>
            <w:noWrap/>
            <w:hideMark/>
          </w:tcPr>
          <w:p w14:paraId="4C2647AD" w14:textId="77777777" w:rsidR="00EE5BB8" w:rsidRPr="00C6052E" w:rsidRDefault="00EE5BB8" w:rsidP="00AD2C21">
            <w:pPr>
              <w:pStyle w:val="Tabletotal"/>
              <w:jc w:val="right"/>
            </w:pPr>
            <w:r w:rsidRPr="00C6052E">
              <w:t>(426)</w:t>
            </w:r>
          </w:p>
        </w:tc>
        <w:tc>
          <w:tcPr>
            <w:tcW w:w="1313" w:type="dxa"/>
            <w:noWrap/>
            <w:hideMark/>
          </w:tcPr>
          <w:p w14:paraId="7398A205" w14:textId="77777777" w:rsidR="00EE5BB8" w:rsidRPr="00C6052E" w:rsidRDefault="00EE5BB8" w:rsidP="00AD2C21">
            <w:pPr>
              <w:pStyle w:val="Tabletotal"/>
              <w:jc w:val="right"/>
            </w:pPr>
            <w:r w:rsidRPr="00C6052E">
              <w:t>7,861</w:t>
            </w:r>
          </w:p>
        </w:tc>
      </w:tr>
      <w:tr w:rsidR="00AD2C21" w:rsidRPr="00C6052E" w14:paraId="34CDB71D" w14:textId="77777777" w:rsidTr="006D5FE0">
        <w:tc>
          <w:tcPr>
            <w:tcW w:w="4388" w:type="dxa"/>
          </w:tcPr>
          <w:p w14:paraId="4508AA71" w14:textId="18EE00C4" w:rsidR="00AD2C21" w:rsidRPr="00C6052E" w:rsidRDefault="00AD2C21" w:rsidP="00A60E33">
            <w:pPr>
              <w:pStyle w:val="TableHeading"/>
            </w:pPr>
            <w:r w:rsidRPr="00C6052E">
              <w:t>Other economic flows included in net result</w:t>
            </w:r>
          </w:p>
        </w:tc>
        <w:tc>
          <w:tcPr>
            <w:tcW w:w="1388" w:type="dxa"/>
            <w:noWrap/>
          </w:tcPr>
          <w:p w14:paraId="787F8FFB" w14:textId="77777777" w:rsidR="00AD2C21" w:rsidRPr="00C6052E" w:rsidRDefault="00AD2C21" w:rsidP="00AD2C21">
            <w:pPr>
              <w:pStyle w:val="TableHeading"/>
              <w:jc w:val="right"/>
            </w:pPr>
          </w:p>
        </w:tc>
        <w:tc>
          <w:tcPr>
            <w:tcW w:w="1389" w:type="dxa"/>
            <w:noWrap/>
          </w:tcPr>
          <w:p w14:paraId="50C395B5" w14:textId="77777777" w:rsidR="00AD2C21" w:rsidRPr="00C6052E" w:rsidRDefault="00AD2C21" w:rsidP="00AD2C21">
            <w:pPr>
              <w:pStyle w:val="TableHeading"/>
              <w:jc w:val="right"/>
            </w:pPr>
          </w:p>
        </w:tc>
        <w:tc>
          <w:tcPr>
            <w:tcW w:w="1236" w:type="dxa"/>
            <w:noWrap/>
          </w:tcPr>
          <w:p w14:paraId="7A530E9A" w14:textId="77777777" w:rsidR="00AD2C21" w:rsidRPr="00C6052E" w:rsidRDefault="00AD2C21" w:rsidP="00AD2C21">
            <w:pPr>
              <w:pStyle w:val="TableHeading"/>
              <w:jc w:val="right"/>
            </w:pPr>
          </w:p>
        </w:tc>
        <w:tc>
          <w:tcPr>
            <w:tcW w:w="1233" w:type="dxa"/>
            <w:noWrap/>
          </w:tcPr>
          <w:p w14:paraId="5F641F95" w14:textId="77777777" w:rsidR="00AD2C21" w:rsidRPr="00C6052E" w:rsidRDefault="00AD2C21" w:rsidP="00AD2C21">
            <w:pPr>
              <w:pStyle w:val="TableHeading"/>
              <w:jc w:val="right"/>
            </w:pPr>
          </w:p>
        </w:tc>
        <w:tc>
          <w:tcPr>
            <w:tcW w:w="1134" w:type="dxa"/>
            <w:noWrap/>
          </w:tcPr>
          <w:p w14:paraId="1F1C77DD" w14:textId="77777777" w:rsidR="00AD2C21" w:rsidRPr="00C6052E" w:rsidRDefault="00AD2C21" w:rsidP="00AD2C21">
            <w:pPr>
              <w:pStyle w:val="TableHeading"/>
              <w:jc w:val="right"/>
            </w:pPr>
          </w:p>
        </w:tc>
        <w:tc>
          <w:tcPr>
            <w:tcW w:w="1134" w:type="dxa"/>
            <w:noWrap/>
          </w:tcPr>
          <w:p w14:paraId="222F1FDF" w14:textId="77777777" w:rsidR="00AD2C21" w:rsidRPr="00C6052E" w:rsidRDefault="00AD2C21" w:rsidP="00AD2C21">
            <w:pPr>
              <w:pStyle w:val="TableHeading"/>
              <w:jc w:val="right"/>
            </w:pPr>
          </w:p>
        </w:tc>
        <w:tc>
          <w:tcPr>
            <w:tcW w:w="1389" w:type="dxa"/>
            <w:noWrap/>
          </w:tcPr>
          <w:p w14:paraId="04E6658A" w14:textId="77777777" w:rsidR="00AD2C21" w:rsidRPr="00C6052E" w:rsidRDefault="00AD2C21" w:rsidP="00AD2C21">
            <w:pPr>
              <w:pStyle w:val="TableHeading"/>
              <w:jc w:val="right"/>
            </w:pPr>
          </w:p>
        </w:tc>
        <w:tc>
          <w:tcPr>
            <w:tcW w:w="1313" w:type="dxa"/>
            <w:noWrap/>
          </w:tcPr>
          <w:p w14:paraId="15D2031A" w14:textId="77777777" w:rsidR="00AD2C21" w:rsidRPr="00C6052E" w:rsidRDefault="00AD2C21" w:rsidP="00AD2C21">
            <w:pPr>
              <w:pStyle w:val="TableHeading"/>
              <w:jc w:val="right"/>
            </w:pPr>
          </w:p>
        </w:tc>
      </w:tr>
      <w:tr w:rsidR="00EE5BB8" w:rsidRPr="00C6052E" w14:paraId="3DF51908" w14:textId="77777777" w:rsidTr="006D5FE0">
        <w:tc>
          <w:tcPr>
            <w:tcW w:w="4388" w:type="dxa"/>
            <w:hideMark/>
          </w:tcPr>
          <w:p w14:paraId="2C36C3FA" w14:textId="068A9AE4" w:rsidR="00EE5BB8" w:rsidRPr="00C6052E" w:rsidRDefault="00EE5BB8" w:rsidP="0063097D">
            <w:pPr>
              <w:pStyle w:val="TableCopy"/>
            </w:pPr>
            <w:r w:rsidRPr="00C6052E">
              <w:t>Net</w:t>
            </w:r>
            <w:r w:rsidR="00177848" w:rsidRPr="00C6052E">
              <w:t xml:space="preserve"> </w:t>
            </w:r>
            <w:r w:rsidRPr="00C6052E">
              <w:t>gain/(loss)</w:t>
            </w:r>
            <w:r w:rsidR="00177848" w:rsidRPr="00C6052E">
              <w:t xml:space="preserve"> </w:t>
            </w:r>
            <w:r w:rsidRPr="00C6052E">
              <w:t>on</w:t>
            </w:r>
            <w:r w:rsidR="00177848" w:rsidRPr="00C6052E">
              <w:t xml:space="preserve"> </w:t>
            </w:r>
            <w:r w:rsidRPr="00C6052E">
              <w:t>non-financial</w:t>
            </w:r>
            <w:r w:rsidR="00177848" w:rsidRPr="00C6052E">
              <w:t xml:space="preserve"> </w:t>
            </w:r>
            <w:r w:rsidRPr="00C6052E">
              <w:t>assets</w:t>
            </w:r>
          </w:p>
        </w:tc>
        <w:tc>
          <w:tcPr>
            <w:tcW w:w="1388" w:type="dxa"/>
            <w:noWrap/>
            <w:hideMark/>
          </w:tcPr>
          <w:p w14:paraId="4C091BF8" w14:textId="77777777" w:rsidR="00EE5BB8" w:rsidRPr="00C6052E" w:rsidRDefault="00EE5BB8" w:rsidP="00AD2C21">
            <w:pPr>
              <w:pStyle w:val="TableCopy"/>
              <w:jc w:val="right"/>
            </w:pPr>
            <w:r w:rsidRPr="00C6052E">
              <w:t>(15)</w:t>
            </w:r>
          </w:p>
        </w:tc>
        <w:tc>
          <w:tcPr>
            <w:tcW w:w="1389" w:type="dxa"/>
            <w:noWrap/>
            <w:hideMark/>
          </w:tcPr>
          <w:p w14:paraId="1482E43F" w14:textId="77777777" w:rsidR="00EE5BB8" w:rsidRPr="00C6052E" w:rsidRDefault="00EE5BB8" w:rsidP="00AD2C21">
            <w:pPr>
              <w:pStyle w:val="TableCopy"/>
              <w:jc w:val="right"/>
            </w:pPr>
            <w:r w:rsidRPr="00C6052E">
              <w:t>47</w:t>
            </w:r>
          </w:p>
        </w:tc>
        <w:tc>
          <w:tcPr>
            <w:tcW w:w="1236" w:type="dxa"/>
            <w:noWrap/>
            <w:hideMark/>
          </w:tcPr>
          <w:p w14:paraId="7C7AEE9E" w14:textId="77777777" w:rsidR="00EE5BB8" w:rsidRPr="00C6052E" w:rsidRDefault="00EE5BB8" w:rsidP="00AD2C21">
            <w:pPr>
              <w:pStyle w:val="TableCopy"/>
              <w:jc w:val="right"/>
            </w:pPr>
            <w:r w:rsidRPr="00C6052E">
              <w:t>(120)</w:t>
            </w:r>
          </w:p>
        </w:tc>
        <w:tc>
          <w:tcPr>
            <w:tcW w:w="1233" w:type="dxa"/>
            <w:noWrap/>
            <w:hideMark/>
          </w:tcPr>
          <w:p w14:paraId="13212A46" w14:textId="77777777" w:rsidR="00EE5BB8" w:rsidRPr="00C6052E" w:rsidRDefault="00EE5BB8" w:rsidP="00AD2C21">
            <w:pPr>
              <w:pStyle w:val="TableCopy"/>
              <w:jc w:val="right"/>
            </w:pPr>
            <w:r w:rsidRPr="00C6052E">
              <w:t>9</w:t>
            </w:r>
          </w:p>
        </w:tc>
        <w:tc>
          <w:tcPr>
            <w:tcW w:w="1134" w:type="dxa"/>
            <w:noWrap/>
            <w:hideMark/>
          </w:tcPr>
          <w:p w14:paraId="7A5F711B" w14:textId="77777777" w:rsidR="00EE5BB8" w:rsidRPr="00C6052E" w:rsidRDefault="00EE5BB8" w:rsidP="00AD2C21">
            <w:pPr>
              <w:pStyle w:val="TableCopy"/>
              <w:jc w:val="right"/>
            </w:pPr>
            <w:r w:rsidRPr="00C6052E">
              <w:t>(13)</w:t>
            </w:r>
          </w:p>
        </w:tc>
        <w:tc>
          <w:tcPr>
            <w:tcW w:w="1134" w:type="dxa"/>
            <w:noWrap/>
            <w:hideMark/>
          </w:tcPr>
          <w:p w14:paraId="3A83030F" w14:textId="77777777" w:rsidR="00EE5BB8" w:rsidRPr="00C6052E" w:rsidRDefault="00EE5BB8" w:rsidP="00AD2C21">
            <w:pPr>
              <w:pStyle w:val="TableCopy"/>
              <w:jc w:val="right"/>
            </w:pPr>
            <w:r w:rsidRPr="00C6052E">
              <w:t>(51)</w:t>
            </w:r>
          </w:p>
        </w:tc>
        <w:tc>
          <w:tcPr>
            <w:tcW w:w="1389" w:type="dxa"/>
            <w:noWrap/>
            <w:hideMark/>
          </w:tcPr>
          <w:p w14:paraId="4F191FCE" w14:textId="77777777" w:rsidR="00EE5BB8" w:rsidRPr="00C6052E" w:rsidRDefault="00EE5BB8" w:rsidP="00AD2C21">
            <w:pPr>
              <w:pStyle w:val="TableCopy"/>
              <w:jc w:val="right"/>
            </w:pPr>
            <w:r w:rsidRPr="00C6052E">
              <w:t>(88)</w:t>
            </w:r>
          </w:p>
        </w:tc>
        <w:tc>
          <w:tcPr>
            <w:tcW w:w="1313" w:type="dxa"/>
            <w:noWrap/>
            <w:hideMark/>
          </w:tcPr>
          <w:p w14:paraId="11E5F502" w14:textId="77777777" w:rsidR="00EE5BB8" w:rsidRPr="00C6052E" w:rsidRDefault="00EE5BB8" w:rsidP="00AD2C21">
            <w:pPr>
              <w:pStyle w:val="TableCopy"/>
              <w:jc w:val="right"/>
            </w:pPr>
            <w:r w:rsidRPr="00C6052E">
              <w:t>167</w:t>
            </w:r>
          </w:p>
        </w:tc>
      </w:tr>
      <w:tr w:rsidR="00EE5BB8" w:rsidRPr="00C6052E" w14:paraId="46C9E7DB" w14:textId="77777777" w:rsidTr="006D5FE0">
        <w:tc>
          <w:tcPr>
            <w:tcW w:w="4388" w:type="dxa"/>
            <w:hideMark/>
          </w:tcPr>
          <w:p w14:paraId="7ECE106F" w14:textId="330C76AF" w:rsidR="00EE5BB8" w:rsidRPr="00C6052E" w:rsidRDefault="00EE5BB8" w:rsidP="0063097D">
            <w:pPr>
              <w:pStyle w:val="TableCopy"/>
            </w:pPr>
            <w:r w:rsidRPr="00C6052E">
              <w:t>Net</w:t>
            </w:r>
            <w:r w:rsidR="00177848" w:rsidRPr="00C6052E">
              <w:t xml:space="preserve"> </w:t>
            </w:r>
            <w:r w:rsidRPr="00C6052E">
              <w:t>gain/(loss)</w:t>
            </w:r>
            <w:r w:rsidR="00177848" w:rsidRPr="00C6052E">
              <w:t xml:space="preserve"> </w:t>
            </w:r>
            <w:r w:rsidRPr="00C6052E">
              <w:t>on</w:t>
            </w:r>
            <w:r w:rsidR="00177848" w:rsidRPr="00C6052E">
              <w:t xml:space="preserve"> </w:t>
            </w:r>
            <w:r w:rsidRPr="00C6052E">
              <w:t>financial</w:t>
            </w:r>
            <w:r w:rsidR="00177848" w:rsidRPr="00C6052E">
              <w:t xml:space="preserve"> </w:t>
            </w:r>
            <w:r w:rsidRPr="00C6052E">
              <w:t>instruments</w:t>
            </w:r>
            <w:r w:rsidR="00177848" w:rsidRPr="00C6052E">
              <w:t xml:space="preserve"> </w:t>
            </w:r>
          </w:p>
        </w:tc>
        <w:tc>
          <w:tcPr>
            <w:tcW w:w="1388" w:type="dxa"/>
            <w:noWrap/>
            <w:hideMark/>
          </w:tcPr>
          <w:p w14:paraId="42596BEF" w14:textId="77777777" w:rsidR="00EE5BB8" w:rsidRPr="00C6052E" w:rsidRDefault="00EE5BB8" w:rsidP="00AD2C21">
            <w:pPr>
              <w:pStyle w:val="TableCopy"/>
              <w:jc w:val="right"/>
            </w:pPr>
            <w:r w:rsidRPr="00C6052E">
              <w:t>–</w:t>
            </w:r>
          </w:p>
        </w:tc>
        <w:tc>
          <w:tcPr>
            <w:tcW w:w="1389" w:type="dxa"/>
            <w:noWrap/>
            <w:hideMark/>
          </w:tcPr>
          <w:p w14:paraId="7B8E822B" w14:textId="77777777" w:rsidR="00EE5BB8" w:rsidRPr="00C6052E" w:rsidRDefault="00EE5BB8" w:rsidP="00AD2C21">
            <w:pPr>
              <w:pStyle w:val="TableCopy"/>
              <w:jc w:val="right"/>
            </w:pPr>
            <w:r w:rsidRPr="00C6052E">
              <w:t>(4)</w:t>
            </w:r>
          </w:p>
        </w:tc>
        <w:tc>
          <w:tcPr>
            <w:tcW w:w="1236" w:type="dxa"/>
            <w:noWrap/>
            <w:hideMark/>
          </w:tcPr>
          <w:p w14:paraId="25249D5D" w14:textId="77777777" w:rsidR="00EE5BB8" w:rsidRPr="00C6052E" w:rsidRDefault="00EE5BB8" w:rsidP="00AD2C21">
            <w:pPr>
              <w:pStyle w:val="TableCopy"/>
              <w:jc w:val="right"/>
            </w:pPr>
            <w:r w:rsidRPr="00C6052E">
              <w:t>1</w:t>
            </w:r>
          </w:p>
        </w:tc>
        <w:tc>
          <w:tcPr>
            <w:tcW w:w="1233" w:type="dxa"/>
            <w:noWrap/>
            <w:hideMark/>
          </w:tcPr>
          <w:p w14:paraId="08B5C870" w14:textId="77777777" w:rsidR="00EE5BB8" w:rsidRPr="00C6052E" w:rsidRDefault="00EE5BB8" w:rsidP="00AD2C21">
            <w:pPr>
              <w:pStyle w:val="TableCopy"/>
              <w:jc w:val="right"/>
            </w:pPr>
            <w:r w:rsidRPr="00C6052E">
              <w:t>(17)</w:t>
            </w:r>
          </w:p>
        </w:tc>
        <w:tc>
          <w:tcPr>
            <w:tcW w:w="1134" w:type="dxa"/>
            <w:noWrap/>
            <w:hideMark/>
          </w:tcPr>
          <w:p w14:paraId="40D72763" w14:textId="77777777" w:rsidR="00EE5BB8" w:rsidRPr="00C6052E" w:rsidRDefault="00EE5BB8" w:rsidP="00AD2C21">
            <w:pPr>
              <w:pStyle w:val="TableCopy"/>
              <w:jc w:val="right"/>
            </w:pPr>
            <w:r w:rsidRPr="00C6052E">
              <w:t>–</w:t>
            </w:r>
          </w:p>
        </w:tc>
        <w:tc>
          <w:tcPr>
            <w:tcW w:w="1134" w:type="dxa"/>
            <w:noWrap/>
            <w:hideMark/>
          </w:tcPr>
          <w:p w14:paraId="190ECB5F" w14:textId="77777777" w:rsidR="00EE5BB8" w:rsidRPr="00C6052E" w:rsidRDefault="00EE5BB8" w:rsidP="00AD2C21">
            <w:pPr>
              <w:pStyle w:val="TableCopy"/>
              <w:jc w:val="right"/>
            </w:pPr>
            <w:r w:rsidRPr="00C6052E">
              <w:t>(2)</w:t>
            </w:r>
          </w:p>
        </w:tc>
        <w:tc>
          <w:tcPr>
            <w:tcW w:w="1389" w:type="dxa"/>
            <w:noWrap/>
            <w:hideMark/>
          </w:tcPr>
          <w:p w14:paraId="679CBD26" w14:textId="77777777" w:rsidR="00EE5BB8" w:rsidRPr="00C6052E" w:rsidRDefault="00EE5BB8" w:rsidP="00AD2C21">
            <w:pPr>
              <w:pStyle w:val="TableCopy"/>
              <w:jc w:val="right"/>
            </w:pPr>
            <w:r w:rsidRPr="00C6052E">
              <w:t>35,164</w:t>
            </w:r>
          </w:p>
        </w:tc>
        <w:tc>
          <w:tcPr>
            <w:tcW w:w="1313" w:type="dxa"/>
            <w:noWrap/>
            <w:hideMark/>
          </w:tcPr>
          <w:p w14:paraId="03113925" w14:textId="77777777" w:rsidR="00EE5BB8" w:rsidRPr="00C6052E" w:rsidRDefault="00EE5BB8" w:rsidP="00AD2C21">
            <w:pPr>
              <w:pStyle w:val="TableCopy"/>
              <w:jc w:val="right"/>
            </w:pPr>
            <w:r w:rsidRPr="00C6052E">
              <w:t>(15,520)</w:t>
            </w:r>
          </w:p>
        </w:tc>
      </w:tr>
      <w:tr w:rsidR="00EE5BB8" w:rsidRPr="00C6052E" w14:paraId="410B4413" w14:textId="77777777" w:rsidTr="006D5FE0">
        <w:tc>
          <w:tcPr>
            <w:tcW w:w="4388" w:type="dxa"/>
            <w:hideMark/>
          </w:tcPr>
          <w:p w14:paraId="4AD084DE" w14:textId="4773191F" w:rsidR="00EE5BB8" w:rsidRPr="00C6052E" w:rsidRDefault="00EE5BB8" w:rsidP="0063097D">
            <w:pPr>
              <w:pStyle w:val="TableCopy"/>
            </w:pPr>
            <w:r w:rsidRPr="00C6052E">
              <w:t>Other</w:t>
            </w:r>
            <w:r w:rsidR="00177848" w:rsidRPr="00C6052E">
              <w:t xml:space="preserve"> </w:t>
            </w:r>
            <w:r w:rsidRPr="00C6052E">
              <w:t>gain/(loss)</w:t>
            </w:r>
            <w:r w:rsidR="00177848" w:rsidRPr="00C6052E">
              <w:t xml:space="preserve"> </w:t>
            </w:r>
            <w:r w:rsidRPr="00C6052E">
              <w:t>from</w:t>
            </w:r>
            <w:r w:rsidR="00177848" w:rsidRPr="00C6052E">
              <w:t xml:space="preserve"> </w:t>
            </w:r>
            <w:r w:rsidRPr="00C6052E">
              <w:t>other</w:t>
            </w:r>
            <w:r w:rsidR="00177848" w:rsidRPr="00C6052E">
              <w:t xml:space="preserve"> </w:t>
            </w:r>
            <w:r w:rsidRPr="00C6052E">
              <w:t>economic</w:t>
            </w:r>
            <w:r w:rsidR="00177848" w:rsidRPr="00C6052E">
              <w:t xml:space="preserve"> </w:t>
            </w:r>
            <w:r w:rsidRPr="00C6052E">
              <w:t>flows</w:t>
            </w:r>
            <w:r w:rsidR="00177848" w:rsidRPr="00C6052E">
              <w:t xml:space="preserve"> </w:t>
            </w:r>
          </w:p>
        </w:tc>
        <w:tc>
          <w:tcPr>
            <w:tcW w:w="1388" w:type="dxa"/>
            <w:noWrap/>
            <w:hideMark/>
          </w:tcPr>
          <w:p w14:paraId="3C860DFE" w14:textId="77777777" w:rsidR="00EE5BB8" w:rsidRPr="00C6052E" w:rsidRDefault="00EE5BB8" w:rsidP="00AD2C21">
            <w:pPr>
              <w:pStyle w:val="TableCopy"/>
              <w:jc w:val="right"/>
            </w:pPr>
            <w:r w:rsidRPr="00C6052E">
              <w:t>(11)</w:t>
            </w:r>
          </w:p>
        </w:tc>
        <w:tc>
          <w:tcPr>
            <w:tcW w:w="1389" w:type="dxa"/>
            <w:noWrap/>
            <w:hideMark/>
          </w:tcPr>
          <w:p w14:paraId="7DD39ED7" w14:textId="77777777" w:rsidR="00EE5BB8" w:rsidRPr="00C6052E" w:rsidRDefault="00EE5BB8" w:rsidP="00AD2C21">
            <w:pPr>
              <w:pStyle w:val="TableCopy"/>
              <w:jc w:val="right"/>
            </w:pPr>
            <w:r w:rsidRPr="00C6052E">
              <w:t>17</w:t>
            </w:r>
          </w:p>
        </w:tc>
        <w:tc>
          <w:tcPr>
            <w:tcW w:w="1236" w:type="dxa"/>
            <w:noWrap/>
            <w:hideMark/>
          </w:tcPr>
          <w:p w14:paraId="3A818894" w14:textId="77777777" w:rsidR="00EE5BB8" w:rsidRPr="00C6052E" w:rsidRDefault="00EE5BB8" w:rsidP="00AD2C21">
            <w:pPr>
              <w:pStyle w:val="TableCopy"/>
              <w:jc w:val="right"/>
            </w:pPr>
            <w:r w:rsidRPr="00C6052E">
              <w:t>(8)</w:t>
            </w:r>
          </w:p>
        </w:tc>
        <w:tc>
          <w:tcPr>
            <w:tcW w:w="1233" w:type="dxa"/>
            <w:noWrap/>
            <w:hideMark/>
          </w:tcPr>
          <w:p w14:paraId="166173F4" w14:textId="77777777" w:rsidR="00EE5BB8" w:rsidRPr="00C6052E" w:rsidRDefault="00EE5BB8" w:rsidP="00AD2C21">
            <w:pPr>
              <w:pStyle w:val="TableCopy"/>
              <w:jc w:val="right"/>
            </w:pPr>
            <w:r w:rsidRPr="00C6052E">
              <w:t>3</w:t>
            </w:r>
          </w:p>
        </w:tc>
        <w:tc>
          <w:tcPr>
            <w:tcW w:w="1134" w:type="dxa"/>
            <w:noWrap/>
            <w:hideMark/>
          </w:tcPr>
          <w:p w14:paraId="33AA177B" w14:textId="77777777" w:rsidR="00EE5BB8" w:rsidRPr="00C6052E" w:rsidRDefault="00EE5BB8" w:rsidP="00AD2C21">
            <w:pPr>
              <w:pStyle w:val="TableCopy"/>
              <w:jc w:val="right"/>
            </w:pPr>
            <w:r w:rsidRPr="00C6052E">
              <w:t>(1)</w:t>
            </w:r>
          </w:p>
        </w:tc>
        <w:tc>
          <w:tcPr>
            <w:tcW w:w="1134" w:type="dxa"/>
            <w:noWrap/>
            <w:hideMark/>
          </w:tcPr>
          <w:p w14:paraId="1F539A3C" w14:textId="77777777" w:rsidR="00EE5BB8" w:rsidRPr="00C6052E" w:rsidRDefault="00EE5BB8" w:rsidP="00AD2C21">
            <w:pPr>
              <w:pStyle w:val="TableCopy"/>
              <w:jc w:val="right"/>
            </w:pPr>
            <w:r w:rsidRPr="00C6052E">
              <w:t>–</w:t>
            </w:r>
          </w:p>
        </w:tc>
        <w:tc>
          <w:tcPr>
            <w:tcW w:w="1389" w:type="dxa"/>
            <w:noWrap/>
            <w:hideMark/>
          </w:tcPr>
          <w:p w14:paraId="6550AD63" w14:textId="77777777" w:rsidR="00EE5BB8" w:rsidRPr="00C6052E" w:rsidRDefault="00EE5BB8" w:rsidP="00AD2C21">
            <w:pPr>
              <w:pStyle w:val="TableCopy"/>
              <w:jc w:val="right"/>
            </w:pPr>
            <w:r w:rsidRPr="00C6052E">
              <w:t>(31)</w:t>
            </w:r>
          </w:p>
        </w:tc>
        <w:tc>
          <w:tcPr>
            <w:tcW w:w="1313" w:type="dxa"/>
            <w:noWrap/>
            <w:hideMark/>
          </w:tcPr>
          <w:p w14:paraId="631894A4" w14:textId="77777777" w:rsidR="00EE5BB8" w:rsidRPr="00C6052E" w:rsidRDefault="00EE5BB8" w:rsidP="00AD2C21">
            <w:pPr>
              <w:pStyle w:val="TableCopy"/>
              <w:jc w:val="right"/>
            </w:pPr>
            <w:r w:rsidRPr="00C6052E">
              <w:t>46</w:t>
            </w:r>
          </w:p>
        </w:tc>
      </w:tr>
      <w:tr w:rsidR="00EE5BB8" w:rsidRPr="00C6052E" w14:paraId="263B1367" w14:textId="77777777" w:rsidTr="006D5FE0">
        <w:tc>
          <w:tcPr>
            <w:tcW w:w="4388" w:type="dxa"/>
            <w:noWrap/>
            <w:hideMark/>
          </w:tcPr>
          <w:p w14:paraId="683F6757" w14:textId="7F9286D2" w:rsidR="00EE5BB8" w:rsidRPr="00C6052E" w:rsidRDefault="00EE5BB8" w:rsidP="0063097D">
            <w:pPr>
              <w:pStyle w:val="Tabletotal"/>
            </w:pPr>
            <w:r w:rsidRPr="00C6052E">
              <w:t>Total</w:t>
            </w:r>
            <w:r w:rsidR="00177848" w:rsidRPr="00C6052E">
              <w:t xml:space="preserve"> </w:t>
            </w:r>
            <w:r w:rsidRPr="00C6052E">
              <w:t>other</w:t>
            </w:r>
            <w:r w:rsidR="00177848" w:rsidRPr="00C6052E">
              <w:t xml:space="preserve"> </w:t>
            </w:r>
            <w:r w:rsidRPr="00C6052E">
              <w:t>economic</w:t>
            </w:r>
            <w:r w:rsidR="00177848" w:rsidRPr="00C6052E">
              <w:t xml:space="preserve"> </w:t>
            </w:r>
            <w:r w:rsidRPr="00C6052E">
              <w:t>flows</w:t>
            </w:r>
            <w:r w:rsidR="00177848" w:rsidRPr="00C6052E">
              <w:t xml:space="preserve"> </w:t>
            </w:r>
            <w:r w:rsidRPr="00C6052E">
              <w:t>included</w:t>
            </w:r>
            <w:r w:rsidR="00177848" w:rsidRPr="00C6052E">
              <w:t xml:space="preserve"> </w:t>
            </w:r>
            <w:r w:rsidRPr="00C6052E">
              <w:t>in</w:t>
            </w:r>
            <w:r w:rsidR="00177848" w:rsidRPr="00C6052E">
              <w:t xml:space="preserve"> </w:t>
            </w:r>
            <w:r w:rsidRPr="00C6052E">
              <w:t>net</w:t>
            </w:r>
            <w:r w:rsidR="00177848" w:rsidRPr="00C6052E">
              <w:t xml:space="preserve"> </w:t>
            </w:r>
            <w:r w:rsidRPr="00C6052E">
              <w:t>result</w:t>
            </w:r>
          </w:p>
        </w:tc>
        <w:tc>
          <w:tcPr>
            <w:tcW w:w="1388" w:type="dxa"/>
            <w:noWrap/>
            <w:hideMark/>
          </w:tcPr>
          <w:p w14:paraId="636C57A9" w14:textId="77777777" w:rsidR="00EE5BB8" w:rsidRPr="00C6052E" w:rsidRDefault="00EE5BB8" w:rsidP="00AD2C21">
            <w:pPr>
              <w:pStyle w:val="Tabletotal"/>
              <w:jc w:val="right"/>
            </w:pPr>
            <w:r w:rsidRPr="00C6052E">
              <w:t>(26)</w:t>
            </w:r>
          </w:p>
        </w:tc>
        <w:tc>
          <w:tcPr>
            <w:tcW w:w="1389" w:type="dxa"/>
            <w:noWrap/>
            <w:hideMark/>
          </w:tcPr>
          <w:p w14:paraId="4E6BCD2E" w14:textId="77777777" w:rsidR="00EE5BB8" w:rsidRPr="00C6052E" w:rsidRDefault="00EE5BB8" w:rsidP="00AD2C21">
            <w:pPr>
              <w:pStyle w:val="Tabletotal"/>
              <w:jc w:val="right"/>
            </w:pPr>
            <w:r w:rsidRPr="00C6052E">
              <w:t>60</w:t>
            </w:r>
          </w:p>
        </w:tc>
        <w:tc>
          <w:tcPr>
            <w:tcW w:w="1236" w:type="dxa"/>
            <w:noWrap/>
            <w:hideMark/>
          </w:tcPr>
          <w:p w14:paraId="18AB2EF0" w14:textId="77777777" w:rsidR="00EE5BB8" w:rsidRPr="00C6052E" w:rsidRDefault="00EE5BB8" w:rsidP="00AD2C21">
            <w:pPr>
              <w:pStyle w:val="Tabletotal"/>
              <w:jc w:val="right"/>
            </w:pPr>
            <w:r w:rsidRPr="00C6052E">
              <w:t>(127)</w:t>
            </w:r>
          </w:p>
        </w:tc>
        <w:tc>
          <w:tcPr>
            <w:tcW w:w="1233" w:type="dxa"/>
            <w:noWrap/>
            <w:hideMark/>
          </w:tcPr>
          <w:p w14:paraId="7A345CC4" w14:textId="77777777" w:rsidR="00EE5BB8" w:rsidRPr="00C6052E" w:rsidRDefault="00EE5BB8" w:rsidP="00AD2C21">
            <w:pPr>
              <w:pStyle w:val="Tabletotal"/>
              <w:jc w:val="right"/>
            </w:pPr>
            <w:r w:rsidRPr="00C6052E">
              <w:t>(5)</w:t>
            </w:r>
          </w:p>
        </w:tc>
        <w:tc>
          <w:tcPr>
            <w:tcW w:w="1134" w:type="dxa"/>
            <w:noWrap/>
            <w:hideMark/>
          </w:tcPr>
          <w:p w14:paraId="45D7B228" w14:textId="77777777" w:rsidR="00EE5BB8" w:rsidRPr="00C6052E" w:rsidRDefault="00EE5BB8" w:rsidP="00AD2C21">
            <w:pPr>
              <w:pStyle w:val="Tabletotal"/>
              <w:jc w:val="right"/>
            </w:pPr>
            <w:r w:rsidRPr="00C6052E">
              <w:t>(14)</w:t>
            </w:r>
          </w:p>
        </w:tc>
        <w:tc>
          <w:tcPr>
            <w:tcW w:w="1134" w:type="dxa"/>
            <w:noWrap/>
            <w:hideMark/>
          </w:tcPr>
          <w:p w14:paraId="7EDA722F" w14:textId="77777777" w:rsidR="00EE5BB8" w:rsidRPr="00C6052E" w:rsidRDefault="00EE5BB8" w:rsidP="00AD2C21">
            <w:pPr>
              <w:pStyle w:val="Tabletotal"/>
              <w:jc w:val="right"/>
            </w:pPr>
            <w:r w:rsidRPr="00C6052E">
              <w:t>(53)</w:t>
            </w:r>
          </w:p>
        </w:tc>
        <w:tc>
          <w:tcPr>
            <w:tcW w:w="1389" w:type="dxa"/>
            <w:noWrap/>
            <w:hideMark/>
          </w:tcPr>
          <w:p w14:paraId="1D5B641F" w14:textId="77777777" w:rsidR="00EE5BB8" w:rsidRPr="00C6052E" w:rsidRDefault="00EE5BB8" w:rsidP="00AD2C21">
            <w:pPr>
              <w:pStyle w:val="Tabletotal"/>
              <w:jc w:val="right"/>
            </w:pPr>
            <w:r w:rsidRPr="00C6052E">
              <w:t>35,045</w:t>
            </w:r>
          </w:p>
        </w:tc>
        <w:tc>
          <w:tcPr>
            <w:tcW w:w="1313" w:type="dxa"/>
            <w:noWrap/>
            <w:hideMark/>
          </w:tcPr>
          <w:p w14:paraId="561CB43B" w14:textId="77777777" w:rsidR="00EE5BB8" w:rsidRPr="00C6052E" w:rsidRDefault="00EE5BB8" w:rsidP="00AD2C21">
            <w:pPr>
              <w:pStyle w:val="Tabletotal"/>
              <w:jc w:val="right"/>
            </w:pPr>
            <w:r w:rsidRPr="00C6052E">
              <w:t>(15,307)</w:t>
            </w:r>
          </w:p>
        </w:tc>
      </w:tr>
      <w:tr w:rsidR="00EE5BB8" w:rsidRPr="00C6052E" w14:paraId="72B1858C" w14:textId="77777777" w:rsidTr="006D5FE0">
        <w:tc>
          <w:tcPr>
            <w:tcW w:w="4388" w:type="dxa"/>
            <w:noWrap/>
            <w:hideMark/>
          </w:tcPr>
          <w:p w14:paraId="43641356" w14:textId="4C855BB2" w:rsidR="00EE5BB8" w:rsidRPr="00C6052E" w:rsidRDefault="00EE5BB8" w:rsidP="0063097D">
            <w:pPr>
              <w:pStyle w:val="Tabletotal"/>
            </w:pPr>
            <w:r w:rsidRPr="00C6052E">
              <w:t>Net</w:t>
            </w:r>
            <w:r w:rsidR="00177848" w:rsidRPr="00C6052E">
              <w:t xml:space="preserve"> </w:t>
            </w:r>
            <w:r w:rsidRPr="00C6052E">
              <w:t>result</w:t>
            </w:r>
            <w:r w:rsidR="00177848" w:rsidRPr="00C6052E">
              <w:t xml:space="preserve"> </w:t>
            </w:r>
            <w:r w:rsidRPr="00C6052E">
              <w:t>from</w:t>
            </w:r>
            <w:r w:rsidR="00177848" w:rsidRPr="00C6052E">
              <w:t xml:space="preserve"> </w:t>
            </w:r>
            <w:r w:rsidRPr="00C6052E">
              <w:t>continuing</w:t>
            </w:r>
            <w:r w:rsidR="00177848" w:rsidRPr="00C6052E">
              <w:t xml:space="preserve"> </w:t>
            </w:r>
            <w:r w:rsidRPr="00C6052E">
              <w:t>operations</w:t>
            </w:r>
            <w:r w:rsidR="00177848" w:rsidRPr="00C6052E">
              <w:t xml:space="preserve"> </w:t>
            </w:r>
          </w:p>
        </w:tc>
        <w:tc>
          <w:tcPr>
            <w:tcW w:w="1388" w:type="dxa"/>
            <w:noWrap/>
            <w:hideMark/>
          </w:tcPr>
          <w:p w14:paraId="71469791" w14:textId="77777777" w:rsidR="00EE5BB8" w:rsidRPr="00C6052E" w:rsidRDefault="00EE5BB8" w:rsidP="00AD2C21">
            <w:pPr>
              <w:pStyle w:val="Tabletotal"/>
              <w:jc w:val="right"/>
            </w:pPr>
            <w:r w:rsidRPr="00C6052E">
              <w:t>397</w:t>
            </w:r>
          </w:p>
        </w:tc>
        <w:tc>
          <w:tcPr>
            <w:tcW w:w="1389" w:type="dxa"/>
            <w:noWrap/>
            <w:hideMark/>
          </w:tcPr>
          <w:p w14:paraId="3C3180E6" w14:textId="77777777" w:rsidR="00EE5BB8" w:rsidRPr="00C6052E" w:rsidRDefault="00EE5BB8" w:rsidP="00AD2C21">
            <w:pPr>
              <w:pStyle w:val="Tabletotal"/>
              <w:jc w:val="right"/>
            </w:pPr>
            <w:r w:rsidRPr="00C6052E">
              <w:t>(1,796)</w:t>
            </w:r>
          </w:p>
        </w:tc>
        <w:tc>
          <w:tcPr>
            <w:tcW w:w="1236" w:type="dxa"/>
            <w:noWrap/>
            <w:hideMark/>
          </w:tcPr>
          <w:p w14:paraId="522ACEB2" w14:textId="77777777" w:rsidR="00EE5BB8" w:rsidRPr="00C6052E" w:rsidRDefault="00EE5BB8" w:rsidP="00AD2C21">
            <w:pPr>
              <w:pStyle w:val="Tabletotal"/>
              <w:jc w:val="right"/>
            </w:pPr>
            <w:r w:rsidRPr="00C6052E">
              <w:t>51,777</w:t>
            </w:r>
          </w:p>
        </w:tc>
        <w:tc>
          <w:tcPr>
            <w:tcW w:w="1233" w:type="dxa"/>
            <w:noWrap/>
            <w:hideMark/>
          </w:tcPr>
          <w:p w14:paraId="4F486605" w14:textId="77777777" w:rsidR="00EE5BB8" w:rsidRPr="00C6052E" w:rsidRDefault="00EE5BB8" w:rsidP="00AD2C21">
            <w:pPr>
              <w:pStyle w:val="Tabletotal"/>
              <w:jc w:val="right"/>
            </w:pPr>
            <w:r w:rsidRPr="00C6052E">
              <w:t>51,634</w:t>
            </w:r>
          </w:p>
        </w:tc>
        <w:tc>
          <w:tcPr>
            <w:tcW w:w="1134" w:type="dxa"/>
            <w:noWrap/>
            <w:hideMark/>
          </w:tcPr>
          <w:p w14:paraId="277EA21D" w14:textId="77777777" w:rsidR="00EE5BB8" w:rsidRPr="00C6052E" w:rsidRDefault="00EE5BB8" w:rsidP="00AD2C21">
            <w:pPr>
              <w:pStyle w:val="Tabletotal"/>
              <w:jc w:val="right"/>
            </w:pPr>
            <w:r w:rsidRPr="00C6052E">
              <w:t>(659)</w:t>
            </w:r>
          </w:p>
        </w:tc>
        <w:tc>
          <w:tcPr>
            <w:tcW w:w="1134" w:type="dxa"/>
            <w:noWrap/>
            <w:hideMark/>
          </w:tcPr>
          <w:p w14:paraId="401DF346" w14:textId="77777777" w:rsidR="00EE5BB8" w:rsidRPr="00C6052E" w:rsidRDefault="00EE5BB8" w:rsidP="00AD2C21">
            <w:pPr>
              <w:pStyle w:val="Tabletotal"/>
              <w:jc w:val="right"/>
            </w:pPr>
            <w:r w:rsidRPr="00C6052E">
              <w:t>3,250</w:t>
            </w:r>
          </w:p>
        </w:tc>
        <w:tc>
          <w:tcPr>
            <w:tcW w:w="1389" w:type="dxa"/>
            <w:noWrap/>
            <w:hideMark/>
          </w:tcPr>
          <w:p w14:paraId="580A9BDF" w14:textId="77777777" w:rsidR="00EE5BB8" w:rsidRPr="00C6052E" w:rsidRDefault="00EE5BB8" w:rsidP="00AD2C21">
            <w:pPr>
              <w:pStyle w:val="Tabletotal"/>
              <w:jc w:val="right"/>
            </w:pPr>
            <w:r w:rsidRPr="00C6052E">
              <w:t>34,619</w:t>
            </w:r>
          </w:p>
        </w:tc>
        <w:tc>
          <w:tcPr>
            <w:tcW w:w="1313" w:type="dxa"/>
            <w:noWrap/>
            <w:hideMark/>
          </w:tcPr>
          <w:p w14:paraId="2A0A92E1" w14:textId="77777777" w:rsidR="00EE5BB8" w:rsidRPr="00C6052E" w:rsidRDefault="00EE5BB8" w:rsidP="00AD2C21">
            <w:pPr>
              <w:pStyle w:val="Tabletotal"/>
              <w:jc w:val="right"/>
            </w:pPr>
            <w:r w:rsidRPr="00C6052E">
              <w:t>(7,446)</w:t>
            </w:r>
          </w:p>
        </w:tc>
      </w:tr>
      <w:tr w:rsidR="00AD2C21" w:rsidRPr="00C6052E" w14:paraId="4674A32B" w14:textId="77777777" w:rsidTr="006D5FE0">
        <w:tc>
          <w:tcPr>
            <w:tcW w:w="4388" w:type="dxa"/>
          </w:tcPr>
          <w:p w14:paraId="1978E850" w14:textId="3BC67706" w:rsidR="00AD2C21" w:rsidRPr="00C6052E" w:rsidRDefault="00AD2C21" w:rsidP="001A3863">
            <w:pPr>
              <w:pStyle w:val="TableHeading"/>
            </w:pPr>
            <w:r w:rsidRPr="00C6052E">
              <w:t>Other economic flows – other comprehensive income: Items that will not be reclassified to net result</w:t>
            </w:r>
          </w:p>
        </w:tc>
        <w:tc>
          <w:tcPr>
            <w:tcW w:w="1388" w:type="dxa"/>
            <w:noWrap/>
          </w:tcPr>
          <w:p w14:paraId="4E74F910" w14:textId="77777777" w:rsidR="00AD2C21" w:rsidRPr="00C6052E" w:rsidRDefault="00AD2C21" w:rsidP="001A3863">
            <w:pPr>
              <w:pStyle w:val="TableHeading"/>
              <w:jc w:val="right"/>
            </w:pPr>
          </w:p>
        </w:tc>
        <w:tc>
          <w:tcPr>
            <w:tcW w:w="1389" w:type="dxa"/>
            <w:noWrap/>
          </w:tcPr>
          <w:p w14:paraId="7883B6E5" w14:textId="77777777" w:rsidR="00AD2C21" w:rsidRPr="00C6052E" w:rsidRDefault="00AD2C21" w:rsidP="001A3863">
            <w:pPr>
              <w:pStyle w:val="TableHeading"/>
              <w:jc w:val="right"/>
            </w:pPr>
          </w:p>
        </w:tc>
        <w:tc>
          <w:tcPr>
            <w:tcW w:w="1236" w:type="dxa"/>
            <w:noWrap/>
          </w:tcPr>
          <w:p w14:paraId="700C7875" w14:textId="77777777" w:rsidR="00AD2C21" w:rsidRPr="00C6052E" w:rsidRDefault="00AD2C21" w:rsidP="001A3863">
            <w:pPr>
              <w:pStyle w:val="TableHeading"/>
              <w:jc w:val="right"/>
            </w:pPr>
          </w:p>
        </w:tc>
        <w:tc>
          <w:tcPr>
            <w:tcW w:w="1233" w:type="dxa"/>
            <w:noWrap/>
          </w:tcPr>
          <w:p w14:paraId="297617B7" w14:textId="77777777" w:rsidR="00AD2C21" w:rsidRPr="00C6052E" w:rsidRDefault="00AD2C21" w:rsidP="001A3863">
            <w:pPr>
              <w:pStyle w:val="TableHeading"/>
              <w:jc w:val="right"/>
            </w:pPr>
          </w:p>
        </w:tc>
        <w:tc>
          <w:tcPr>
            <w:tcW w:w="1134" w:type="dxa"/>
            <w:noWrap/>
          </w:tcPr>
          <w:p w14:paraId="3278A105" w14:textId="77777777" w:rsidR="00AD2C21" w:rsidRPr="00C6052E" w:rsidRDefault="00AD2C21" w:rsidP="001A3863">
            <w:pPr>
              <w:pStyle w:val="TableHeading"/>
              <w:jc w:val="right"/>
            </w:pPr>
          </w:p>
        </w:tc>
        <w:tc>
          <w:tcPr>
            <w:tcW w:w="1134" w:type="dxa"/>
            <w:noWrap/>
          </w:tcPr>
          <w:p w14:paraId="58C618FA" w14:textId="77777777" w:rsidR="00AD2C21" w:rsidRPr="00C6052E" w:rsidRDefault="00AD2C21" w:rsidP="001A3863">
            <w:pPr>
              <w:pStyle w:val="TableHeading"/>
              <w:jc w:val="right"/>
            </w:pPr>
          </w:p>
        </w:tc>
        <w:tc>
          <w:tcPr>
            <w:tcW w:w="1389" w:type="dxa"/>
            <w:noWrap/>
          </w:tcPr>
          <w:p w14:paraId="42B918B2" w14:textId="77777777" w:rsidR="00AD2C21" w:rsidRPr="00C6052E" w:rsidRDefault="00AD2C21" w:rsidP="001A3863">
            <w:pPr>
              <w:pStyle w:val="TableHeading"/>
              <w:jc w:val="right"/>
            </w:pPr>
          </w:p>
        </w:tc>
        <w:tc>
          <w:tcPr>
            <w:tcW w:w="1313" w:type="dxa"/>
            <w:noWrap/>
          </w:tcPr>
          <w:p w14:paraId="51F53164" w14:textId="77777777" w:rsidR="00AD2C21" w:rsidRPr="00C6052E" w:rsidRDefault="00AD2C21" w:rsidP="001A3863">
            <w:pPr>
              <w:pStyle w:val="TableHeading"/>
              <w:jc w:val="right"/>
            </w:pPr>
          </w:p>
        </w:tc>
      </w:tr>
      <w:tr w:rsidR="00EE5BB8" w:rsidRPr="00C6052E" w14:paraId="7C031658" w14:textId="77777777" w:rsidTr="006D5FE0">
        <w:tc>
          <w:tcPr>
            <w:tcW w:w="4388" w:type="dxa"/>
            <w:hideMark/>
          </w:tcPr>
          <w:p w14:paraId="2730D687" w14:textId="32D4F093" w:rsidR="00EE5BB8" w:rsidRPr="00C6052E" w:rsidRDefault="00EE5BB8" w:rsidP="0063097D">
            <w:pPr>
              <w:pStyle w:val="TableCopy"/>
            </w:pPr>
            <w:r w:rsidRPr="00C6052E">
              <w:t>Changes</w:t>
            </w:r>
            <w:r w:rsidR="00177848" w:rsidRPr="00C6052E">
              <w:t xml:space="preserve"> </w:t>
            </w:r>
            <w:r w:rsidRPr="00C6052E">
              <w:t>in</w:t>
            </w:r>
            <w:r w:rsidR="00177848" w:rsidRPr="00C6052E">
              <w:t xml:space="preserve"> </w:t>
            </w:r>
            <w:r w:rsidRPr="00C6052E">
              <w:t>physical</w:t>
            </w:r>
            <w:r w:rsidR="00177848" w:rsidRPr="00C6052E">
              <w:t xml:space="preserve"> </w:t>
            </w:r>
            <w:r w:rsidRPr="00C6052E">
              <w:t>asset</w:t>
            </w:r>
            <w:r w:rsidR="00177848" w:rsidRPr="00C6052E">
              <w:t xml:space="preserve"> </w:t>
            </w:r>
            <w:r w:rsidRPr="00C6052E">
              <w:t>revaluation</w:t>
            </w:r>
            <w:r w:rsidR="00177848" w:rsidRPr="00C6052E">
              <w:t xml:space="preserve"> </w:t>
            </w:r>
            <w:r w:rsidRPr="00C6052E">
              <w:t>surplus</w:t>
            </w:r>
          </w:p>
        </w:tc>
        <w:tc>
          <w:tcPr>
            <w:tcW w:w="1388" w:type="dxa"/>
            <w:noWrap/>
            <w:hideMark/>
          </w:tcPr>
          <w:p w14:paraId="17A2CC4B" w14:textId="77777777" w:rsidR="00EE5BB8" w:rsidRPr="00C6052E" w:rsidRDefault="00EE5BB8" w:rsidP="00AD2C21">
            <w:pPr>
              <w:pStyle w:val="TableCopy"/>
              <w:jc w:val="right"/>
            </w:pPr>
            <w:r w:rsidRPr="00C6052E">
              <w:t>–</w:t>
            </w:r>
          </w:p>
        </w:tc>
        <w:tc>
          <w:tcPr>
            <w:tcW w:w="1389" w:type="dxa"/>
            <w:noWrap/>
            <w:hideMark/>
          </w:tcPr>
          <w:p w14:paraId="5B840527" w14:textId="77777777" w:rsidR="00EE5BB8" w:rsidRPr="00C6052E" w:rsidRDefault="00EE5BB8" w:rsidP="00AD2C21">
            <w:pPr>
              <w:pStyle w:val="TableCopy"/>
              <w:jc w:val="right"/>
            </w:pPr>
            <w:r w:rsidRPr="00C6052E">
              <w:t>–</w:t>
            </w:r>
          </w:p>
        </w:tc>
        <w:tc>
          <w:tcPr>
            <w:tcW w:w="1236" w:type="dxa"/>
            <w:noWrap/>
            <w:hideMark/>
          </w:tcPr>
          <w:p w14:paraId="72C693F0" w14:textId="77777777" w:rsidR="00EE5BB8" w:rsidRPr="00C6052E" w:rsidRDefault="00EE5BB8" w:rsidP="00AD2C21">
            <w:pPr>
              <w:pStyle w:val="TableCopy"/>
              <w:jc w:val="right"/>
            </w:pPr>
            <w:r w:rsidRPr="00C6052E">
              <w:t>–</w:t>
            </w:r>
          </w:p>
        </w:tc>
        <w:tc>
          <w:tcPr>
            <w:tcW w:w="1233" w:type="dxa"/>
            <w:noWrap/>
            <w:hideMark/>
          </w:tcPr>
          <w:p w14:paraId="4726582C" w14:textId="77777777" w:rsidR="00EE5BB8" w:rsidRPr="00C6052E" w:rsidRDefault="00EE5BB8" w:rsidP="00AD2C21">
            <w:pPr>
              <w:pStyle w:val="TableCopy"/>
              <w:jc w:val="right"/>
            </w:pPr>
            <w:r w:rsidRPr="00C6052E">
              <w:t>–</w:t>
            </w:r>
          </w:p>
        </w:tc>
        <w:tc>
          <w:tcPr>
            <w:tcW w:w="1134" w:type="dxa"/>
            <w:noWrap/>
            <w:hideMark/>
          </w:tcPr>
          <w:p w14:paraId="25115EBC" w14:textId="77777777" w:rsidR="00EE5BB8" w:rsidRPr="00C6052E" w:rsidRDefault="00EE5BB8" w:rsidP="00AD2C21">
            <w:pPr>
              <w:pStyle w:val="TableCopy"/>
              <w:jc w:val="right"/>
            </w:pPr>
            <w:r w:rsidRPr="00C6052E">
              <w:t>(34,134)</w:t>
            </w:r>
          </w:p>
        </w:tc>
        <w:tc>
          <w:tcPr>
            <w:tcW w:w="1134" w:type="dxa"/>
            <w:noWrap/>
            <w:hideMark/>
          </w:tcPr>
          <w:p w14:paraId="266C2877" w14:textId="77777777" w:rsidR="00EE5BB8" w:rsidRPr="00C6052E" w:rsidRDefault="00EE5BB8" w:rsidP="00AD2C21">
            <w:pPr>
              <w:pStyle w:val="TableCopy"/>
              <w:jc w:val="right"/>
            </w:pPr>
            <w:r w:rsidRPr="00C6052E">
              <w:t>–</w:t>
            </w:r>
          </w:p>
        </w:tc>
        <w:tc>
          <w:tcPr>
            <w:tcW w:w="1389" w:type="dxa"/>
            <w:noWrap/>
            <w:hideMark/>
          </w:tcPr>
          <w:p w14:paraId="1E5932BA" w14:textId="77777777" w:rsidR="00EE5BB8" w:rsidRPr="00C6052E" w:rsidRDefault="00EE5BB8" w:rsidP="00AD2C21">
            <w:pPr>
              <w:pStyle w:val="TableCopy"/>
              <w:jc w:val="right"/>
            </w:pPr>
            <w:r w:rsidRPr="00C6052E">
              <w:t>–</w:t>
            </w:r>
          </w:p>
        </w:tc>
        <w:tc>
          <w:tcPr>
            <w:tcW w:w="1313" w:type="dxa"/>
            <w:noWrap/>
            <w:hideMark/>
          </w:tcPr>
          <w:p w14:paraId="5EFBC6B6" w14:textId="77777777" w:rsidR="00EE5BB8" w:rsidRPr="00C6052E" w:rsidRDefault="00EE5BB8" w:rsidP="00AD2C21">
            <w:pPr>
              <w:pStyle w:val="TableCopy"/>
              <w:jc w:val="right"/>
            </w:pPr>
            <w:r w:rsidRPr="00C6052E">
              <w:t>–</w:t>
            </w:r>
          </w:p>
        </w:tc>
      </w:tr>
      <w:tr w:rsidR="00EE5BB8" w:rsidRPr="00C6052E" w14:paraId="63CC4F9B" w14:textId="77777777" w:rsidTr="006D5FE0">
        <w:tc>
          <w:tcPr>
            <w:tcW w:w="4388" w:type="dxa"/>
            <w:noWrap/>
            <w:hideMark/>
          </w:tcPr>
          <w:p w14:paraId="1D7D3332" w14:textId="4EF91231" w:rsidR="00EE5BB8" w:rsidRPr="00C6052E" w:rsidRDefault="00EE5BB8" w:rsidP="0063097D">
            <w:pPr>
              <w:pStyle w:val="Tabletotal"/>
            </w:pPr>
            <w:r w:rsidRPr="00C6052E">
              <w:t>Comprehensive</w:t>
            </w:r>
            <w:r w:rsidR="00177848" w:rsidRPr="00C6052E">
              <w:t xml:space="preserve"> </w:t>
            </w:r>
            <w:r w:rsidRPr="00C6052E">
              <w:t>result</w:t>
            </w:r>
          </w:p>
        </w:tc>
        <w:tc>
          <w:tcPr>
            <w:tcW w:w="1388" w:type="dxa"/>
            <w:noWrap/>
            <w:hideMark/>
          </w:tcPr>
          <w:p w14:paraId="6721B724" w14:textId="77777777" w:rsidR="00EE5BB8" w:rsidRPr="00C6052E" w:rsidRDefault="00EE5BB8" w:rsidP="00AD2C21">
            <w:pPr>
              <w:pStyle w:val="Tabletotal"/>
              <w:jc w:val="right"/>
            </w:pPr>
            <w:r w:rsidRPr="00C6052E">
              <w:t>397</w:t>
            </w:r>
          </w:p>
        </w:tc>
        <w:tc>
          <w:tcPr>
            <w:tcW w:w="1389" w:type="dxa"/>
            <w:noWrap/>
            <w:hideMark/>
          </w:tcPr>
          <w:p w14:paraId="137BBFD7" w14:textId="77777777" w:rsidR="00EE5BB8" w:rsidRPr="00C6052E" w:rsidRDefault="00EE5BB8" w:rsidP="00AD2C21">
            <w:pPr>
              <w:pStyle w:val="Tabletotal"/>
              <w:jc w:val="right"/>
            </w:pPr>
            <w:r w:rsidRPr="00C6052E">
              <w:t>(1,796)</w:t>
            </w:r>
          </w:p>
        </w:tc>
        <w:tc>
          <w:tcPr>
            <w:tcW w:w="1236" w:type="dxa"/>
            <w:noWrap/>
            <w:hideMark/>
          </w:tcPr>
          <w:p w14:paraId="0D7B53D4" w14:textId="77777777" w:rsidR="00EE5BB8" w:rsidRPr="00C6052E" w:rsidRDefault="00EE5BB8" w:rsidP="00AD2C21">
            <w:pPr>
              <w:pStyle w:val="Tabletotal"/>
              <w:jc w:val="right"/>
            </w:pPr>
            <w:r w:rsidRPr="00C6052E">
              <w:t>51,777</w:t>
            </w:r>
          </w:p>
        </w:tc>
        <w:tc>
          <w:tcPr>
            <w:tcW w:w="1233" w:type="dxa"/>
            <w:noWrap/>
            <w:hideMark/>
          </w:tcPr>
          <w:p w14:paraId="4F4BB2BF" w14:textId="77777777" w:rsidR="00EE5BB8" w:rsidRPr="00C6052E" w:rsidRDefault="00EE5BB8" w:rsidP="00AD2C21">
            <w:pPr>
              <w:pStyle w:val="Tabletotal"/>
              <w:jc w:val="right"/>
            </w:pPr>
            <w:r w:rsidRPr="00C6052E">
              <w:t>51,634</w:t>
            </w:r>
          </w:p>
        </w:tc>
        <w:tc>
          <w:tcPr>
            <w:tcW w:w="1134" w:type="dxa"/>
            <w:noWrap/>
            <w:hideMark/>
          </w:tcPr>
          <w:p w14:paraId="26153536" w14:textId="77777777" w:rsidR="00EE5BB8" w:rsidRPr="00C6052E" w:rsidRDefault="00EE5BB8" w:rsidP="00AD2C21">
            <w:pPr>
              <w:pStyle w:val="Tabletotal"/>
              <w:jc w:val="right"/>
            </w:pPr>
            <w:r w:rsidRPr="00C6052E">
              <w:t>(34,793)</w:t>
            </w:r>
          </w:p>
        </w:tc>
        <w:tc>
          <w:tcPr>
            <w:tcW w:w="1134" w:type="dxa"/>
            <w:noWrap/>
            <w:hideMark/>
          </w:tcPr>
          <w:p w14:paraId="16A71AB5" w14:textId="77777777" w:rsidR="00EE5BB8" w:rsidRPr="00C6052E" w:rsidRDefault="00EE5BB8" w:rsidP="00AD2C21">
            <w:pPr>
              <w:pStyle w:val="Tabletotal"/>
              <w:jc w:val="right"/>
            </w:pPr>
            <w:r w:rsidRPr="00C6052E">
              <w:t>3,250</w:t>
            </w:r>
          </w:p>
        </w:tc>
        <w:tc>
          <w:tcPr>
            <w:tcW w:w="1389" w:type="dxa"/>
            <w:noWrap/>
            <w:hideMark/>
          </w:tcPr>
          <w:p w14:paraId="23B84D2D" w14:textId="77777777" w:rsidR="00EE5BB8" w:rsidRPr="00C6052E" w:rsidRDefault="00EE5BB8" w:rsidP="00AD2C21">
            <w:pPr>
              <w:pStyle w:val="Tabletotal"/>
              <w:jc w:val="right"/>
            </w:pPr>
            <w:r w:rsidRPr="00C6052E">
              <w:t>34,619</w:t>
            </w:r>
          </w:p>
        </w:tc>
        <w:tc>
          <w:tcPr>
            <w:tcW w:w="1313" w:type="dxa"/>
            <w:noWrap/>
            <w:hideMark/>
          </w:tcPr>
          <w:p w14:paraId="70756C65" w14:textId="77777777" w:rsidR="00EE5BB8" w:rsidRPr="00C6052E" w:rsidRDefault="00EE5BB8" w:rsidP="00AD2C21">
            <w:pPr>
              <w:pStyle w:val="Tabletotal"/>
              <w:jc w:val="right"/>
            </w:pPr>
            <w:r w:rsidRPr="00C6052E">
              <w:t>(7,446)</w:t>
            </w:r>
          </w:p>
        </w:tc>
      </w:tr>
    </w:tbl>
    <w:p w14:paraId="3016E352" w14:textId="77777777" w:rsidR="00EE5BB8" w:rsidRPr="00C6052E" w:rsidRDefault="00EE5BB8" w:rsidP="00EE5BB8"/>
    <w:p w14:paraId="791B9DD9" w14:textId="2B1840E6" w:rsidR="00EE5BB8" w:rsidRPr="00C6052E" w:rsidRDefault="00EE5BB8" w:rsidP="00AD2C21">
      <w:pPr>
        <w:pStyle w:val="Heading3numbered0"/>
        <w:numPr>
          <w:ilvl w:val="0"/>
          <w:numId w:val="0"/>
        </w:numPr>
        <w:ind w:left="709" w:hanging="709"/>
      </w:pPr>
      <w:r w:rsidRPr="00C6052E">
        <w:lastRenderedPageBreak/>
        <w:fldChar w:fldCharType="begin"/>
      </w:r>
      <w:r w:rsidRPr="00C6052E">
        <w:instrText xml:space="preserve"> REF _Ref161671142 \r \h </w:instrText>
      </w:r>
      <w:r w:rsidRPr="00C6052E">
        <w:fldChar w:fldCharType="separate"/>
      </w:r>
      <w:r w:rsidRPr="00C6052E">
        <w:t>4.1.2</w:t>
      </w:r>
      <w:r w:rsidRPr="00C6052E">
        <w:fldChar w:fldCharType="end"/>
      </w:r>
      <w:r w:rsidRPr="00C6052E">
        <w:tab/>
      </w:r>
      <w:r w:rsidRPr="00C6052E">
        <w:fldChar w:fldCharType="begin"/>
      </w:r>
      <w:r w:rsidRPr="00C6052E">
        <w:instrText xml:space="preserve"> REF _Ref161671142 \h </w:instrText>
      </w:r>
      <w:r w:rsidRPr="00C6052E">
        <w:fldChar w:fldCharType="separate"/>
      </w:r>
      <w:r w:rsidR="00D83915" w:rsidRPr="00C6052E">
        <w:t>Departmental outputs: Controlled revenue and income and expenses for the year ended 30 June 2025 DJSIR Outputs</w:t>
      </w:r>
      <w:r w:rsidRPr="00C6052E">
        <w:fldChar w:fldCharType="end"/>
      </w:r>
      <w:r w:rsidR="00177848" w:rsidRPr="00C6052E">
        <w:t xml:space="preserve"> </w:t>
      </w:r>
      <w:r w:rsidR="00D83915" w:rsidRPr="00C6052E">
        <w:t xml:space="preserve">($ thousand) </w:t>
      </w:r>
      <w:r w:rsidRPr="00C6052E">
        <w:t>(continued)</w:t>
      </w:r>
      <w:r w:rsidR="00177848" w:rsidRPr="00C6052E">
        <w:t xml:space="preserve"> </w:t>
      </w:r>
    </w:p>
    <w:tbl>
      <w:tblPr>
        <w:tblStyle w:val="TableGrid"/>
        <w:tblW w:w="14681" w:type="dxa"/>
        <w:tblLayout w:type="fixed"/>
        <w:tblLook w:val="04E0" w:firstRow="1" w:lastRow="1" w:firstColumn="1" w:lastColumn="0" w:noHBand="0" w:noVBand="1"/>
      </w:tblPr>
      <w:tblGrid>
        <w:gridCol w:w="4390"/>
        <w:gridCol w:w="1191"/>
        <w:gridCol w:w="1191"/>
        <w:gridCol w:w="1417"/>
        <w:gridCol w:w="1417"/>
        <w:gridCol w:w="1276"/>
        <w:gridCol w:w="1276"/>
        <w:gridCol w:w="1304"/>
        <w:gridCol w:w="1219"/>
      </w:tblGrid>
      <w:tr w:rsidR="00EE5BB8" w:rsidRPr="00C6052E" w14:paraId="73B27F22" w14:textId="77777777" w:rsidTr="006B5FCB">
        <w:trPr>
          <w:tblHeader/>
        </w:trPr>
        <w:tc>
          <w:tcPr>
            <w:tcW w:w="4390" w:type="dxa"/>
            <w:noWrap/>
            <w:hideMark/>
          </w:tcPr>
          <w:p w14:paraId="515162EF" w14:textId="77777777" w:rsidR="00EE5BB8" w:rsidRPr="00C6052E" w:rsidRDefault="00EE5BB8" w:rsidP="00157285">
            <w:pPr>
              <w:pStyle w:val="TableColumnHeading"/>
            </w:pPr>
            <w:bookmarkStart w:id="180" w:name="TableColumnHeadings_57"/>
            <w:bookmarkEnd w:id="180"/>
          </w:p>
        </w:tc>
        <w:tc>
          <w:tcPr>
            <w:tcW w:w="1191" w:type="dxa"/>
            <w:hideMark/>
          </w:tcPr>
          <w:p w14:paraId="3A4D44D0" w14:textId="27B1E09A" w:rsidR="00EE5BB8" w:rsidRPr="00C6052E" w:rsidRDefault="00D83915" w:rsidP="00157285">
            <w:pPr>
              <w:pStyle w:val="TableColumnHeading"/>
              <w:jc w:val="right"/>
            </w:pPr>
            <w:r w:rsidRPr="00C6052E">
              <w:t xml:space="preserve">Jobs </w:t>
            </w:r>
            <w:r w:rsidR="006B5FCB">
              <w:br/>
            </w:r>
            <w:r w:rsidR="00EE5BB8" w:rsidRPr="00C6052E">
              <w:t>2025</w:t>
            </w:r>
          </w:p>
        </w:tc>
        <w:tc>
          <w:tcPr>
            <w:tcW w:w="1191" w:type="dxa"/>
            <w:hideMark/>
          </w:tcPr>
          <w:p w14:paraId="4155BF2C" w14:textId="6E024923" w:rsidR="00EE5BB8" w:rsidRPr="00C6052E" w:rsidRDefault="00D83915" w:rsidP="00157285">
            <w:pPr>
              <w:pStyle w:val="TableColumnHeading"/>
              <w:jc w:val="right"/>
            </w:pPr>
            <w:r w:rsidRPr="00C6052E">
              <w:t xml:space="preserve">Jobs </w:t>
            </w:r>
            <w:r w:rsidR="006B5FCB">
              <w:br/>
            </w:r>
            <w:r w:rsidR="00EE5BB8" w:rsidRPr="00C6052E">
              <w:t>2024</w:t>
            </w:r>
          </w:p>
        </w:tc>
        <w:tc>
          <w:tcPr>
            <w:tcW w:w="1417" w:type="dxa"/>
            <w:hideMark/>
          </w:tcPr>
          <w:p w14:paraId="1193CC23" w14:textId="366DA972" w:rsidR="00EE5BB8" w:rsidRPr="00C6052E" w:rsidRDefault="006B5FCB" w:rsidP="00157285">
            <w:pPr>
              <w:pStyle w:val="TableColumnHeading"/>
              <w:jc w:val="right"/>
            </w:pPr>
            <w:r w:rsidRPr="00C6052E">
              <w:rPr>
                <w:lang w:val="en-AU"/>
              </w:rPr>
              <w:t>Regional Development</w:t>
            </w:r>
            <w:r w:rsidRPr="00C6052E">
              <w:t xml:space="preserve"> </w:t>
            </w:r>
            <w:r w:rsidR="00EE5BB8" w:rsidRPr="00C6052E">
              <w:t>2025</w:t>
            </w:r>
          </w:p>
        </w:tc>
        <w:tc>
          <w:tcPr>
            <w:tcW w:w="1417" w:type="dxa"/>
            <w:hideMark/>
          </w:tcPr>
          <w:p w14:paraId="6E0B0353" w14:textId="7AED21A3" w:rsidR="00EE5BB8" w:rsidRPr="00C6052E" w:rsidRDefault="006B5FCB" w:rsidP="00157285">
            <w:pPr>
              <w:pStyle w:val="TableColumnHeading"/>
              <w:jc w:val="right"/>
            </w:pPr>
            <w:r w:rsidRPr="00C6052E">
              <w:rPr>
                <w:lang w:val="en-AU"/>
              </w:rPr>
              <w:t>Regional Development</w:t>
            </w:r>
            <w:r w:rsidRPr="00C6052E">
              <w:t xml:space="preserve"> </w:t>
            </w:r>
            <w:r w:rsidR="00EE5BB8" w:rsidRPr="00C6052E">
              <w:t>2024</w:t>
            </w:r>
          </w:p>
        </w:tc>
        <w:tc>
          <w:tcPr>
            <w:tcW w:w="1276" w:type="dxa"/>
            <w:hideMark/>
          </w:tcPr>
          <w:p w14:paraId="378B723A" w14:textId="28F823DD" w:rsidR="00EE5BB8" w:rsidRPr="00C6052E" w:rsidRDefault="006B5FCB" w:rsidP="00157285">
            <w:pPr>
              <w:pStyle w:val="TableColumnHeading"/>
              <w:jc w:val="right"/>
            </w:pPr>
            <w:r w:rsidRPr="00C6052E">
              <w:rPr>
                <w:lang w:val="en-AU"/>
              </w:rPr>
              <w:t>Sport and Recreation</w:t>
            </w:r>
            <w:r w:rsidRPr="00C6052E">
              <w:t xml:space="preserve"> </w:t>
            </w:r>
            <w:r w:rsidR="00EE5BB8" w:rsidRPr="00C6052E">
              <w:t>2025</w:t>
            </w:r>
          </w:p>
        </w:tc>
        <w:tc>
          <w:tcPr>
            <w:tcW w:w="1276" w:type="dxa"/>
            <w:hideMark/>
          </w:tcPr>
          <w:p w14:paraId="7BA9E446" w14:textId="25BD891B" w:rsidR="00EE5BB8" w:rsidRPr="00C6052E" w:rsidRDefault="006B5FCB" w:rsidP="00157285">
            <w:pPr>
              <w:pStyle w:val="TableColumnHeading"/>
              <w:jc w:val="right"/>
            </w:pPr>
            <w:r w:rsidRPr="00C6052E">
              <w:rPr>
                <w:lang w:val="en-AU"/>
              </w:rPr>
              <w:t>Sport and Recreation</w:t>
            </w:r>
            <w:r w:rsidRPr="00C6052E">
              <w:t xml:space="preserve"> </w:t>
            </w:r>
            <w:r w:rsidR="00EE5BB8" w:rsidRPr="00C6052E">
              <w:t>2024</w:t>
            </w:r>
          </w:p>
        </w:tc>
        <w:tc>
          <w:tcPr>
            <w:tcW w:w="1304" w:type="dxa"/>
            <w:hideMark/>
          </w:tcPr>
          <w:p w14:paraId="3FA73D07" w14:textId="76435E99" w:rsidR="00EE5BB8" w:rsidRPr="00C6052E" w:rsidRDefault="006B5FCB" w:rsidP="00157285">
            <w:pPr>
              <w:pStyle w:val="TableColumnHeading"/>
              <w:jc w:val="right"/>
            </w:pPr>
            <w:r w:rsidRPr="00C6052E">
              <w:rPr>
                <w:lang w:val="en-AU"/>
              </w:rPr>
              <w:t>Trade and Investment</w:t>
            </w:r>
            <w:r w:rsidRPr="00C6052E">
              <w:t xml:space="preserve"> </w:t>
            </w:r>
            <w:r w:rsidR="00EE5BB8" w:rsidRPr="00C6052E">
              <w:t>2025</w:t>
            </w:r>
          </w:p>
        </w:tc>
        <w:tc>
          <w:tcPr>
            <w:tcW w:w="1219" w:type="dxa"/>
            <w:hideMark/>
          </w:tcPr>
          <w:p w14:paraId="0DDD0917" w14:textId="2FDC0B7F" w:rsidR="00EE5BB8" w:rsidRPr="00C6052E" w:rsidRDefault="006B5FCB" w:rsidP="00157285">
            <w:pPr>
              <w:pStyle w:val="TableColumnHeading"/>
              <w:jc w:val="right"/>
            </w:pPr>
            <w:r w:rsidRPr="00C6052E">
              <w:rPr>
                <w:lang w:val="en-AU"/>
              </w:rPr>
              <w:t>Trade and Investment</w:t>
            </w:r>
            <w:r w:rsidRPr="00C6052E">
              <w:t xml:space="preserve"> </w:t>
            </w:r>
            <w:r w:rsidR="00EE5BB8" w:rsidRPr="00C6052E">
              <w:t>2024</w:t>
            </w:r>
          </w:p>
        </w:tc>
      </w:tr>
      <w:tr w:rsidR="00157285" w:rsidRPr="00C6052E" w14:paraId="306D7785" w14:textId="77777777" w:rsidTr="006B5FCB">
        <w:tc>
          <w:tcPr>
            <w:tcW w:w="4390" w:type="dxa"/>
          </w:tcPr>
          <w:p w14:paraId="36BC269B" w14:textId="3E13BB1E" w:rsidR="00157285" w:rsidRPr="00C6052E" w:rsidRDefault="00157285" w:rsidP="00157285">
            <w:pPr>
              <w:pStyle w:val="TableHeading"/>
            </w:pPr>
            <w:r w:rsidRPr="00C6052E">
              <w:t>Revenue and income from transactions</w:t>
            </w:r>
          </w:p>
        </w:tc>
        <w:tc>
          <w:tcPr>
            <w:tcW w:w="1191" w:type="dxa"/>
            <w:noWrap/>
          </w:tcPr>
          <w:p w14:paraId="6B21EC69" w14:textId="77777777" w:rsidR="00157285" w:rsidRPr="00C6052E" w:rsidRDefault="00157285" w:rsidP="00157285">
            <w:pPr>
              <w:pStyle w:val="TableHeading"/>
              <w:jc w:val="right"/>
            </w:pPr>
          </w:p>
        </w:tc>
        <w:tc>
          <w:tcPr>
            <w:tcW w:w="1191" w:type="dxa"/>
            <w:noWrap/>
          </w:tcPr>
          <w:p w14:paraId="0F776BC3" w14:textId="77777777" w:rsidR="00157285" w:rsidRPr="00C6052E" w:rsidRDefault="00157285" w:rsidP="00157285">
            <w:pPr>
              <w:pStyle w:val="TableHeading"/>
              <w:jc w:val="right"/>
            </w:pPr>
          </w:p>
        </w:tc>
        <w:tc>
          <w:tcPr>
            <w:tcW w:w="1417" w:type="dxa"/>
            <w:noWrap/>
          </w:tcPr>
          <w:p w14:paraId="736DD5CD" w14:textId="77777777" w:rsidR="00157285" w:rsidRPr="00C6052E" w:rsidRDefault="00157285" w:rsidP="00157285">
            <w:pPr>
              <w:pStyle w:val="TableHeading"/>
              <w:jc w:val="right"/>
            </w:pPr>
          </w:p>
        </w:tc>
        <w:tc>
          <w:tcPr>
            <w:tcW w:w="1417" w:type="dxa"/>
            <w:noWrap/>
          </w:tcPr>
          <w:p w14:paraId="57B021FE" w14:textId="77777777" w:rsidR="00157285" w:rsidRPr="00C6052E" w:rsidRDefault="00157285" w:rsidP="00157285">
            <w:pPr>
              <w:pStyle w:val="TableHeading"/>
              <w:jc w:val="right"/>
            </w:pPr>
          </w:p>
        </w:tc>
        <w:tc>
          <w:tcPr>
            <w:tcW w:w="1276" w:type="dxa"/>
            <w:noWrap/>
          </w:tcPr>
          <w:p w14:paraId="1B14E551" w14:textId="77777777" w:rsidR="00157285" w:rsidRPr="00C6052E" w:rsidRDefault="00157285" w:rsidP="00157285">
            <w:pPr>
              <w:pStyle w:val="TableHeading"/>
              <w:jc w:val="right"/>
            </w:pPr>
          </w:p>
        </w:tc>
        <w:tc>
          <w:tcPr>
            <w:tcW w:w="1276" w:type="dxa"/>
            <w:noWrap/>
          </w:tcPr>
          <w:p w14:paraId="0BAE1850" w14:textId="77777777" w:rsidR="00157285" w:rsidRPr="00C6052E" w:rsidRDefault="00157285" w:rsidP="00157285">
            <w:pPr>
              <w:pStyle w:val="TableHeading"/>
              <w:jc w:val="right"/>
            </w:pPr>
          </w:p>
        </w:tc>
        <w:tc>
          <w:tcPr>
            <w:tcW w:w="1304" w:type="dxa"/>
            <w:noWrap/>
          </w:tcPr>
          <w:p w14:paraId="30E77E45" w14:textId="77777777" w:rsidR="00157285" w:rsidRPr="00C6052E" w:rsidRDefault="00157285" w:rsidP="00157285">
            <w:pPr>
              <w:pStyle w:val="TableHeading"/>
              <w:jc w:val="right"/>
            </w:pPr>
          </w:p>
        </w:tc>
        <w:tc>
          <w:tcPr>
            <w:tcW w:w="1219" w:type="dxa"/>
            <w:noWrap/>
          </w:tcPr>
          <w:p w14:paraId="3BE3E24D" w14:textId="77777777" w:rsidR="00157285" w:rsidRPr="00C6052E" w:rsidRDefault="00157285" w:rsidP="00157285">
            <w:pPr>
              <w:pStyle w:val="TableHeading"/>
              <w:jc w:val="right"/>
            </w:pPr>
          </w:p>
        </w:tc>
      </w:tr>
      <w:tr w:rsidR="00EE5BB8" w:rsidRPr="00C6052E" w14:paraId="48752D22" w14:textId="77777777" w:rsidTr="006B5FCB">
        <w:tc>
          <w:tcPr>
            <w:tcW w:w="4390" w:type="dxa"/>
            <w:hideMark/>
          </w:tcPr>
          <w:p w14:paraId="037A8096" w14:textId="0D3D0366" w:rsidR="00EE5BB8" w:rsidRPr="00C6052E" w:rsidRDefault="00EE5BB8" w:rsidP="0063097D">
            <w:pPr>
              <w:pStyle w:val="TableCopy"/>
            </w:pPr>
            <w:r w:rsidRPr="00C6052E">
              <w:t>Output</w:t>
            </w:r>
            <w:r w:rsidR="00177848" w:rsidRPr="00C6052E">
              <w:t xml:space="preserve"> </w:t>
            </w:r>
            <w:r w:rsidRPr="00C6052E">
              <w:t>appropriations</w:t>
            </w:r>
          </w:p>
        </w:tc>
        <w:tc>
          <w:tcPr>
            <w:tcW w:w="1191" w:type="dxa"/>
            <w:noWrap/>
            <w:hideMark/>
          </w:tcPr>
          <w:p w14:paraId="0DA3A07C" w14:textId="77777777" w:rsidR="00EE5BB8" w:rsidRPr="00C6052E" w:rsidRDefault="00EE5BB8" w:rsidP="00157285">
            <w:pPr>
              <w:pStyle w:val="TableCopy"/>
              <w:jc w:val="right"/>
            </w:pPr>
            <w:r w:rsidRPr="00C6052E">
              <w:t>46,137</w:t>
            </w:r>
          </w:p>
        </w:tc>
        <w:tc>
          <w:tcPr>
            <w:tcW w:w="1191" w:type="dxa"/>
            <w:noWrap/>
            <w:hideMark/>
          </w:tcPr>
          <w:p w14:paraId="59507A6A" w14:textId="77777777" w:rsidR="00EE5BB8" w:rsidRPr="00C6052E" w:rsidRDefault="00EE5BB8" w:rsidP="00157285">
            <w:pPr>
              <w:pStyle w:val="TableCopy"/>
              <w:jc w:val="right"/>
            </w:pPr>
            <w:r w:rsidRPr="00C6052E">
              <w:t>153,465</w:t>
            </w:r>
          </w:p>
        </w:tc>
        <w:tc>
          <w:tcPr>
            <w:tcW w:w="1417" w:type="dxa"/>
            <w:noWrap/>
            <w:hideMark/>
          </w:tcPr>
          <w:p w14:paraId="7F752575" w14:textId="77777777" w:rsidR="00EE5BB8" w:rsidRPr="00C6052E" w:rsidRDefault="00EE5BB8" w:rsidP="00157285">
            <w:pPr>
              <w:pStyle w:val="TableCopy"/>
              <w:jc w:val="right"/>
            </w:pPr>
            <w:r w:rsidRPr="00C6052E">
              <w:t>154,631</w:t>
            </w:r>
          </w:p>
        </w:tc>
        <w:tc>
          <w:tcPr>
            <w:tcW w:w="1417" w:type="dxa"/>
            <w:noWrap/>
            <w:hideMark/>
          </w:tcPr>
          <w:p w14:paraId="4C2B0612" w14:textId="77777777" w:rsidR="00EE5BB8" w:rsidRPr="00C6052E" w:rsidRDefault="00EE5BB8" w:rsidP="00157285">
            <w:pPr>
              <w:pStyle w:val="TableCopy"/>
              <w:jc w:val="right"/>
            </w:pPr>
            <w:r w:rsidRPr="00C6052E">
              <w:t>132,985</w:t>
            </w:r>
          </w:p>
        </w:tc>
        <w:tc>
          <w:tcPr>
            <w:tcW w:w="1276" w:type="dxa"/>
            <w:noWrap/>
            <w:hideMark/>
          </w:tcPr>
          <w:p w14:paraId="2994B117" w14:textId="77777777" w:rsidR="00EE5BB8" w:rsidRPr="00C6052E" w:rsidRDefault="00EE5BB8" w:rsidP="00157285">
            <w:pPr>
              <w:pStyle w:val="TableCopy"/>
              <w:jc w:val="right"/>
            </w:pPr>
            <w:r w:rsidRPr="00C6052E">
              <w:t>248,904</w:t>
            </w:r>
          </w:p>
        </w:tc>
        <w:tc>
          <w:tcPr>
            <w:tcW w:w="1276" w:type="dxa"/>
            <w:noWrap/>
            <w:hideMark/>
          </w:tcPr>
          <w:p w14:paraId="485A7CF2" w14:textId="77777777" w:rsidR="00EE5BB8" w:rsidRPr="00C6052E" w:rsidRDefault="00EE5BB8" w:rsidP="00157285">
            <w:pPr>
              <w:pStyle w:val="TableCopy"/>
              <w:jc w:val="right"/>
            </w:pPr>
            <w:r w:rsidRPr="00C6052E">
              <w:t>212,002</w:t>
            </w:r>
          </w:p>
        </w:tc>
        <w:tc>
          <w:tcPr>
            <w:tcW w:w="1304" w:type="dxa"/>
            <w:noWrap/>
            <w:hideMark/>
          </w:tcPr>
          <w:p w14:paraId="52783597" w14:textId="77777777" w:rsidR="00EE5BB8" w:rsidRPr="00C6052E" w:rsidRDefault="00EE5BB8" w:rsidP="00157285">
            <w:pPr>
              <w:pStyle w:val="TableCopy"/>
              <w:jc w:val="right"/>
            </w:pPr>
            <w:r w:rsidRPr="00C6052E">
              <w:t>102,191</w:t>
            </w:r>
          </w:p>
        </w:tc>
        <w:tc>
          <w:tcPr>
            <w:tcW w:w="1219" w:type="dxa"/>
            <w:noWrap/>
            <w:hideMark/>
          </w:tcPr>
          <w:p w14:paraId="68ACCE59" w14:textId="77777777" w:rsidR="00EE5BB8" w:rsidRPr="00C6052E" w:rsidRDefault="00EE5BB8" w:rsidP="00157285">
            <w:pPr>
              <w:pStyle w:val="TableCopy"/>
              <w:jc w:val="right"/>
            </w:pPr>
            <w:r w:rsidRPr="00C6052E">
              <w:t>92,900</w:t>
            </w:r>
          </w:p>
        </w:tc>
      </w:tr>
      <w:tr w:rsidR="00EE5BB8" w:rsidRPr="00C6052E" w14:paraId="67EB7914" w14:textId="77777777" w:rsidTr="006B5FCB">
        <w:tc>
          <w:tcPr>
            <w:tcW w:w="4390" w:type="dxa"/>
            <w:noWrap/>
            <w:hideMark/>
          </w:tcPr>
          <w:p w14:paraId="52515468" w14:textId="4E745A0C" w:rsidR="00EE5BB8" w:rsidRPr="00C6052E" w:rsidRDefault="00EE5BB8" w:rsidP="0063097D">
            <w:pPr>
              <w:pStyle w:val="TableCopy"/>
            </w:pPr>
            <w:r w:rsidRPr="00C6052E">
              <w:t>Special</w:t>
            </w:r>
            <w:r w:rsidR="00177848" w:rsidRPr="00C6052E">
              <w:t xml:space="preserve"> </w:t>
            </w:r>
            <w:r w:rsidRPr="00C6052E">
              <w:t>appropriations</w:t>
            </w:r>
            <w:r w:rsidR="00177848" w:rsidRPr="00C6052E">
              <w:t xml:space="preserve"> </w:t>
            </w:r>
          </w:p>
        </w:tc>
        <w:tc>
          <w:tcPr>
            <w:tcW w:w="1191" w:type="dxa"/>
            <w:noWrap/>
            <w:hideMark/>
          </w:tcPr>
          <w:p w14:paraId="151FF892" w14:textId="77777777" w:rsidR="00EE5BB8" w:rsidRPr="00C6052E" w:rsidRDefault="00EE5BB8" w:rsidP="00157285">
            <w:pPr>
              <w:pStyle w:val="TableCopy"/>
              <w:jc w:val="right"/>
            </w:pPr>
            <w:r w:rsidRPr="00C6052E">
              <w:t>–</w:t>
            </w:r>
          </w:p>
        </w:tc>
        <w:tc>
          <w:tcPr>
            <w:tcW w:w="1191" w:type="dxa"/>
            <w:noWrap/>
            <w:hideMark/>
          </w:tcPr>
          <w:p w14:paraId="068FA3E7" w14:textId="77777777" w:rsidR="00EE5BB8" w:rsidRPr="00C6052E" w:rsidRDefault="00EE5BB8" w:rsidP="00157285">
            <w:pPr>
              <w:pStyle w:val="TableCopy"/>
              <w:jc w:val="right"/>
            </w:pPr>
            <w:r w:rsidRPr="00C6052E">
              <w:t>–</w:t>
            </w:r>
          </w:p>
        </w:tc>
        <w:tc>
          <w:tcPr>
            <w:tcW w:w="1417" w:type="dxa"/>
            <w:noWrap/>
            <w:hideMark/>
          </w:tcPr>
          <w:p w14:paraId="4F8F847F" w14:textId="77777777" w:rsidR="00EE5BB8" w:rsidRPr="00C6052E" w:rsidRDefault="00EE5BB8" w:rsidP="00157285">
            <w:pPr>
              <w:pStyle w:val="TableCopy"/>
              <w:jc w:val="right"/>
            </w:pPr>
            <w:r w:rsidRPr="00C6052E">
              <w:t>6,138</w:t>
            </w:r>
          </w:p>
        </w:tc>
        <w:tc>
          <w:tcPr>
            <w:tcW w:w="1417" w:type="dxa"/>
            <w:noWrap/>
            <w:hideMark/>
          </w:tcPr>
          <w:p w14:paraId="4FDAE316" w14:textId="77777777" w:rsidR="00EE5BB8" w:rsidRPr="00C6052E" w:rsidRDefault="00EE5BB8" w:rsidP="00157285">
            <w:pPr>
              <w:pStyle w:val="TableCopy"/>
              <w:jc w:val="right"/>
            </w:pPr>
            <w:r w:rsidRPr="00C6052E">
              <w:t>–</w:t>
            </w:r>
          </w:p>
        </w:tc>
        <w:tc>
          <w:tcPr>
            <w:tcW w:w="1276" w:type="dxa"/>
            <w:noWrap/>
            <w:hideMark/>
          </w:tcPr>
          <w:p w14:paraId="1B46B2DD" w14:textId="77777777" w:rsidR="00EE5BB8" w:rsidRPr="00C6052E" w:rsidRDefault="00EE5BB8" w:rsidP="00157285">
            <w:pPr>
              <w:pStyle w:val="TableCopy"/>
              <w:jc w:val="right"/>
            </w:pPr>
            <w:r w:rsidRPr="00C6052E">
              <w:t>–</w:t>
            </w:r>
          </w:p>
        </w:tc>
        <w:tc>
          <w:tcPr>
            <w:tcW w:w="1276" w:type="dxa"/>
            <w:noWrap/>
            <w:hideMark/>
          </w:tcPr>
          <w:p w14:paraId="02488308" w14:textId="77777777" w:rsidR="00EE5BB8" w:rsidRPr="00C6052E" w:rsidRDefault="00EE5BB8" w:rsidP="00157285">
            <w:pPr>
              <w:pStyle w:val="TableCopy"/>
              <w:jc w:val="right"/>
            </w:pPr>
            <w:r w:rsidRPr="00C6052E">
              <w:t>–</w:t>
            </w:r>
          </w:p>
        </w:tc>
        <w:tc>
          <w:tcPr>
            <w:tcW w:w="1304" w:type="dxa"/>
            <w:noWrap/>
            <w:hideMark/>
          </w:tcPr>
          <w:p w14:paraId="32D78CF8" w14:textId="77777777" w:rsidR="00EE5BB8" w:rsidRPr="00C6052E" w:rsidRDefault="00EE5BB8" w:rsidP="00157285">
            <w:pPr>
              <w:pStyle w:val="TableCopy"/>
              <w:jc w:val="right"/>
            </w:pPr>
            <w:r w:rsidRPr="00C6052E">
              <w:t>–</w:t>
            </w:r>
          </w:p>
        </w:tc>
        <w:tc>
          <w:tcPr>
            <w:tcW w:w="1219" w:type="dxa"/>
            <w:noWrap/>
            <w:hideMark/>
          </w:tcPr>
          <w:p w14:paraId="1247CF61" w14:textId="77777777" w:rsidR="00EE5BB8" w:rsidRPr="00C6052E" w:rsidRDefault="00EE5BB8" w:rsidP="00157285">
            <w:pPr>
              <w:pStyle w:val="TableCopy"/>
              <w:jc w:val="right"/>
            </w:pPr>
            <w:r w:rsidRPr="00C6052E">
              <w:t>–</w:t>
            </w:r>
          </w:p>
        </w:tc>
      </w:tr>
      <w:tr w:rsidR="00EE5BB8" w:rsidRPr="00C6052E" w14:paraId="40F947AA" w14:textId="77777777" w:rsidTr="006B5FCB">
        <w:tc>
          <w:tcPr>
            <w:tcW w:w="4390" w:type="dxa"/>
            <w:hideMark/>
          </w:tcPr>
          <w:p w14:paraId="4F90E0FC" w14:textId="454706A0" w:rsidR="00EE5BB8" w:rsidRPr="00C6052E" w:rsidRDefault="00EE5BB8" w:rsidP="0063097D">
            <w:pPr>
              <w:pStyle w:val="TableCopy"/>
            </w:pPr>
            <w:r w:rsidRPr="00C6052E">
              <w:t>Grant</w:t>
            </w:r>
            <w:r w:rsidR="00177848" w:rsidRPr="00C6052E">
              <w:t xml:space="preserve"> </w:t>
            </w:r>
            <w:r w:rsidRPr="00C6052E">
              <w:t>income</w:t>
            </w:r>
          </w:p>
        </w:tc>
        <w:tc>
          <w:tcPr>
            <w:tcW w:w="1191" w:type="dxa"/>
            <w:noWrap/>
            <w:hideMark/>
          </w:tcPr>
          <w:p w14:paraId="041412E5" w14:textId="77777777" w:rsidR="00EE5BB8" w:rsidRPr="00C6052E" w:rsidRDefault="00EE5BB8" w:rsidP="00157285">
            <w:pPr>
              <w:pStyle w:val="TableCopy"/>
              <w:jc w:val="right"/>
            </w:pPr>
            <w:r w:rsidRPr="00C6052E">
              <w:t>–</w:t>
            </w:r>
          </w:p>
        </w:tc>
        <w:tc>
          <w:tcPr>
            <w:tcW w:w="1191" w:type="dxa"/>
            <w:noWrap/>
            <w:hideMark/>
          </w:tcPr>
          <w:p w14:paraId="11258B86" w14:textId="77777777" w:rsidR="00EE5BB8" w:rsidRPr="00C6052E" w:rsidRDefault="00EE5BB8" w:rsidP="00157285">
            <w:pPr>
              <w:pStyle w:val="TableCopy"/>
              <w:jc w:val="right"/>
            </w:pPr>
            <w:r w:rsidRPr="00C6052E">
              <w:t>–</w:t>
            </w:r>
          </w:p>
        </w:tc>
        <w:tc>
          <w:tcPr>
            <w:tcW w:w="1417" w:type="dxa"/>
            <w:noWrap/>
            <w:hideMark/>
          </w:tcPr>
          <w:p w14:paraId="68664D39" w14:textId="77777777" w:rsidR="00EE5BB8" w:rsidRPr="00C6052E" w:rsidRDefault="00EE5BB8" w:rsidP="00157285">
            <w:pPr>
              <w:pStyle w:val="TableCopy"/>
              <w:jc w:val="right"/>
            </w:pPr>
            <w:r w:rsidRPr="00C6052E">
              <w:t>9,584</w:t>
            </w:r>
          </w:p>
        </w:tc>
        <w:tc>
          <w:tcPr>
            <w:tcW w:w="1417" w:type="dxa"/>
            <w:noWrap/>
            <w:hideMark/>
          </w:tcPr>
          <w:p w14:paraId="37AD70BB" w14:textId="77777777" w:rsidR="00EE5BB8" w:rsidRPr="00C6052E" w:rsidRDefault="00EE5BB8" w:rsidP="00157285">
            <w:pPr>
              <w:pStyle w:val="TableCopy"/>
              <w:jc w:val="right"/>
            </w:pPr>
            <w:r w:rsidRPr="00C6052E">
              <w:t>3,460</w:t>
            </w:r>
          </w:p>
        </w:tc>
        <w:tc>
          <w:tcPr>
            <w:tcW w:w="1276" w:type="dxa"/>
            <w:noWrap/>
            <w:hideMark/>
          </w:tcPr>
          <w:p w14:paraId="13CA746D" w14:textId="77777777" w:rsidR="00EE5BB8" w:rsidRPr="00C6052E" w:rsidRDefault="00EE5BB8" w:rsidP="00157285">
            <w:pPr>
              <w:pStyle w:val="TableCopy"/>
              <w:jc w:val="right"/>
            </w:pPr>
            <w:r w:rsidRPr="00C6052E">
              <w:t>64,907</w:t>
            </w:r>
          </w:p>
        </w:tc>
        <w:tc>
          <w:tcPr>
            <w:tcW w:w="1276" w:type="dxa"/>
            <w:noWrap/>
            <w:hideMark/>
          </w:tcPr>
          <w:p w14:paraId="58E13FCE" w14:textId="77777777" w:rsidR="00EE5BB8" w:rsidRPr="00C6052E" w:rsidRDefault="00EE5BB8" w:rsidP="00157285">
            <w:pPr>
              <w:pStyle w:val="TableCopy"/>
              <w:jc w:val="right"/>
            </w:pPr>
            <w:r w:rsidRPr="00C6052E">
              <w:t>32,651</w:t>
            </w:r>
          </w:p>
        </w:tc>
        <w:tc>
          <w:tcPr>
            <w:tcW w:w="1304" w:type="dxa"/>
            <w:noWrap/>
            <w:hideMark/>
          </w:tcPr>
          <w:p w14:paraId="5459A33E" w14:textId="77777777" w:rsidR="00EE5BB8" w:rsidRPr="00C6052E" w:rsidRDefault="00EE5BB8" w:rsidP="00157285">
            <w:pPr>
              <w:pStyle w:val="TableCopy"/>
              <w:jc w:val="right"/>
            </w:pPr>
            <w:r w:rsidRPr="00C6052E">
              <w:t>16,387</w:t>
            </w:r>
          </w:p>
        </w:tc>
        <w:tc>
          <w:tcPr>
            <w:tcW w:w="1219" w:type="dxa"/>
            <w:noWrap/>
            <w:hideMark/>
          </w:tcPr>
          <w:p w14:paraId="0DD86076" w14:textId="77777777" w:rsidR="00EE5BB8" w:rsidRPr="00C6052E" w:rsidRDefault="00EE5BB8" w:rsidP="00157285">
            <w:pPr>
              <w:pStyle w:val="TableCopy"/>
              <w:jc w:val="right"/>
            </w:pPr>
            <w:r w:rsidRPr="00C6052E">
              <w:t>3,870</w:t>
            </w:r>
          </w:p>
        </w:tc>
      </w:tr>
      <w:tr w:rsidR="00EE5BB8" w:rsidRPr="00C6052E" w14:paraId="3CDAE69E" w14:textId="77777777" w:rsidTr="006B5FCB">
        <w:tc>
          <w:tcPr>
            <w:tcW w:w="4390" w:type="dxa"/>
            <w:hideMark/>
          </w:tcPr>
          <w:p w14:paraId="363F1276" w14:textId="61C6D90F" w:rsidR="00EE5BB8" w:rsidRPr="00C6052E" w:rsidRDefault="00EE5BB8" w:rsidP="0063097D">
            <w:pPr>
              <w:pStyle w:val="TableCopy"/>
            </w:pPr>
            <w:r w:rsidRPr="00C6052E">
              <w:t>Sale</w:t>
            </w:r>
            <w:r w:rsidR="00177848" w:rsidRPr="00C6052E">
              <w:t xml:space="preserve"> </w:t>
            </w:r>
            <w:r w:rsidRPr="00C6052E">
              <w:t>of</w:t>
            </w:r>
            <w:r w:rsidR="00177848" w:rsidRPr="00C6052E">
              <w:t xml:space="preserve"> </w:t>
            </w:r>
            <w:r w:rsidRPr="00C6052E">
              <w:t>services</w:t>
            </w:r>
            <w:r w:rsidR="00177848" w:rsidRPr="00C6052E">
              <w:t xml:space="preserve"> </w:t>
            </w:r>
          </w:p>
        </w:tc>
        <w:tc>
          <w:tcPr>
            <w:tcW w:w="1191" w:type="dxa"/>
            <w:noWrap/>
            <w:hideMark/>
          </w:tcPr>
          <w:p w14:paraId="2CB3FA35" w14:textId="77777777" w:rsidR="00EE5BB8" w:rsidRPr="00C6052E" w:rsidRDefault="00EE5BB8" w:rsidP="00157285">
            <w:pPr>
              <w:pStyle w:val="TableCopy"/>
              <w:jc w:val="right"/>
            </w:pPr>
            <w:r w:rsidRPr="00C6052E">
              <w:t>–</w:t>
            </w:r>
          </w:p>
        </w:tc>
        <w:tc>
          <w:tcPr>
            <w:tcW w:w="1191" w:type="dxa"/>
            <w:noWrap/>
            <w:hideMark/>
          </w:tcPr>
          <w:p w14:paraId="0F9285B8" w14:textId="77777777" w:rsidR="00EE5BB8" w:rsidRPr="00C6052E" w:rsidRDefault="00EE5BB8" w:rsidP="00157285">
            <w:pPr>
              <w:pStyle w:val="TableCopy"/>
              <w:jc w:val="right"/>
            </w:pPr>
            <w:r w:rsidRPr="00C6052E">
              <w:t>–</w:t>
            </w:r>
          </w:p>
        </w:tc>
        <w:tc>
          <w:tcPr>
            <w:tcW w:w="1417" w:type="dxa"/>
            <w:noWrap/>
            <w:hideMark/>
          </w:tcPr>
          <w:p w14:paraId="03209BBF" w14:textId="77777777" w:rsidR="00EE5BB8" w:rsidRPr="00C6052E" w:rsidRDefault="00EE5BB8" w:rsidP="00157285">
            <w:pPr>
              <w:pStyle w:val="TableCopy"/>
              <w:jc w:val="right"/>
            </w:pPr>
            <w:r w:rsidRPr="00C6052E">
              <w:t>–</w:t>
            </w:r>
          </w:p>
        </w:tc>
        <w:tc>
          <w:tcPr>
            <w:tcW w:w="1417" w:type="dxa"/>
            <w:noWrap/>
            <w:hideMark/>
          </w:tcPr>
          <w:p w14:paraId="15038ED5" w14:textId="77777777" w:rsidR="00EE5BB8" w:rsidRPr="00C6052E" w:rsidRDefault="00EE5BB8" w:rsidP="00157285">
            <w:pPr>
              <w:pStyle w:val="TableCopy"/>
              <w:jc w:val="right"/>
            </w:pPr>
            <w:r w:rsidRPr="00C6052E">
              <w:t>–</w:t>
            </w:r>
          </w:p>
        </w:tc>
        <w:tc>
          <w:tcPr>
            <w:tcW w:w="1276" w:type="dxa"/>
            <w:noWrap/>
            <w:hideMark/>
          </w:tcPr>
          <w:p w14:paraId="448B4DCF" w14:textId="77777777" w:rsidR="00EE5BB8" w:rsidRPr="00C6052E" w:rsidRDefault="00EE5BB8" w:rsidP="00157285">
            <w:pPr>
              <w:pStyle w:val="TableCopy"/>
              <w:jc w:val="right"/>
            </w:pPr>
            <w:r w:rsidRPr="00C6052E">
              <w:t>3</w:t>
            </w:r>
          </w:p>
        </w:tc>
        <w:tc>
          <w:tcPr>
            <w:tcW w:w="1276" w:type="dxa"/>
            <w:noWrap/>
            <w:hideMark/>
          </w:tcPr>
          <w:p w14:paraId="2F34D32B" w14:textId="77777777" w:rsidR="00EE5BB8" w:rsidRPr="00C6052E" w:rsidRDefault="00EE5BB8" w:rsidP="00157285">
            <w:pPr>
              <w:pStyle w:val="TableCopy"/>
              <w:jc w:val="right"/>
            </w:pPr>
            <w:r w:rsidRPr="00C6052E">
              <w:t>52</w:t>
            </w:r>
          </w:p>
        </w:tc>
        <w:tc>
          <w:tcPr>
            <w:tcW w:w="1304" w:type="dxa"/>
            <w:noWrap/>
            <w:hideMark/>
          </w:tcPr>
          <w:p w14:paraId="1895F1B7" w14:textId="77777777" w:rsidR="00EE5BB8" w:rsidRPr="00C6052E" w:rsidRDefault="00EE5BB8" w:rsidP="00157285">
            <w:pPr>
              <w:pStyle w:val="TableCopy"/>
              <w:jc w:val="right"/>
            </w:pPr>
            <w:r w:rsidRPr="00C6052E">
              <w:t>–</w:t>
            </w:r>
          </w:p>
        </w:tc>
        <w:tc>
          <w:tcPr>
            <w:tcW w:w="1219" w:type="dxa"/>
            <w:noWrap/>
            <w:hideMark/>
          </w:tcPr>
          <w:p w14:paraId="4B66ABD5" w14:textId="77777777" w:rsidR="00EE5BB8" w:rsidRPr="00C6052E" w:rsidRDefault="00EE5BB8" w:rsidP="00157285">
            <w:pPr>
              <w:pStyle w:val="TableCopy"/>
              <w:jc w:val="right"/>
            </w:pPr>
            <w:r w:rsidRPr="00C6052E">
              <w:t>–</w:t>
            </w:r>
          </w:p>
        </w:tc>
      </w:tr>
      <w:tr w:rsidR="00EE5BB8" w:rsidRPr="00C6052E" w14:paraId="08B72E01" w14:textId="77777777" w:rsidTr="006B5FCB">
        <w:tc>
          <w:tcPr>
            <w:tcW w:w="4390" w:type="dxa"/>
            <w:hideMark/>
          </w:tcPr>
          <w:p w14:paraId="34CE05E1" w14:textId="2D28DECF" w:rsidR="00EE5BB8" w:rsidRPr="00C6052E" w:rsidRDefault="00EE5BB8" w:rsidP="0063097D">
            <w:pPr>
              <w:pStyle w:val="TableCopy"/>
            </w:pPr>
            <w:r w:rsidRPr="00C6052E">
              <w:t>Other</w:t>
            </w:r>
            <w:r w:rsidR="00177848" w:rsidRPr="00C6052E">
              <w:t xml:space="preserve"> </w:t>
            </w:r>
            <w:r w:rsidRPr="00C6052E">
              <w:t>income</w:t>
            </w:r>
            <w:r w:rsidR="00177848" w:rsidRPr="00C6052E">
              <w:t xml:space="preserve"> </w:t>
            </w:r>
          </w:p>
        </w:tc>
        <w:tc>
          <w:tcPr>
            <w:tcW w:w="1191" w:type="dxa"/>
            <w:noWrap/>
            <w:hideMark/>
          </w:tcPr>
          <w:p w14:paraId="5EC45158" w14:textId="77777777" w:rsidR="00EE5BB8" w:rsidRPr="00C6052E" w:rsidRDefault="00EE5BB8" w:rsidP="00157285">
            <w:pPr>
              <w:pStyle w:val="TableCopy"/>
              <w:jc w:val="right"/>
            </w:pPr>
            <w:r w:rsidRPr="00C6052E">
              <w:t>(822)</w:t>
            </w:r>
          </w:p>
        </w:tc>
        <w:tc>
          <w:tcPr>
            <w:tcW w:w="1191" w:type="dxa"/>
            <w:noWrap/>
            <w:hideMark/>
          </w:tcPr>
          <w:p w14:paraId="2C71772F" w14:textId="77777777" w:rsidR="00EE5BB8" w:rsidRPr="00C6052E" w:rsidRDefault="00EE5BB8" w:rsidP="00157285">
            <w:pPr>
              <w:pStyle w:val="TableCopy"/>
              <w:jc w:val="right"/>
            </w:pPr>
            <w:r w:rsidRPr="00C6052E">
              <w:t>–</w:t>
            </w:r>
          </w:p>
        </w:tc>
        <w:tc>
          <w:tcPr>
            <w:tcW w:w="1417" w:type="dxa"/>
            <w:noWrap/>
            <w:hideMark/>
          </w:tcPr>
          <w:p w14:paraId="17F6143A" w14:textId="77777777" w:rsidR="00EE5BB8" w:rsidRPr="00C6052E" w:rsidRDefault="00EE5BB8" w:rsidP="00157285">
            <w:pPr>
              <w:pStyle w:val="TableCopy"/>
              <w:jc w:val="right"/>
            </w:pPr>
            <w:r w:rsidRPr="00C6052E">
              <w:t>11,035</w:t>
            </w:r>
          </w:p>
        </w:tc>
        <w:tc>
          <w:tcPr>
            <w:tcW w:w="1417" w:type="dxa"/>
            <w:noWrap/>
            <w:hideMark/>
          </w:tcPr>
          <w:p w14:paraId="5672B9DA" w14:textId="77777777" w:rsidR="00EE5BB8" w:rsidRPr="00C6052E" w:rsidRDefault="00EE5BB8" w:rsidP="00157285">
            <w:pPr>
              <w:pStyle w:val="TableCopy"/>
              <w:jc w:val="right"/>
            </w:pPr>
            <w:r w:rsidRPr="00C6052E">
              <w:t>10,564</w:t>
            </w:r>
          </w:p>
        </w:tc>
        <w:tc>
          <w:tcPr>
            <w:tcW w:w="1276" w:type="dxa"/>
            <w:noWrap/>
            <w:hideMark/>
          </w:tcPr>
          <w:p w14:paraId="0A50D6A9" w14:textId="77777777" w:rsidR="00EE5BB8" w:rsidRPr="00C6052E" w:rsidRDefault="00EE5BB8" w:rsidP="00157285">
            <w:pPr>
              <w:pStyle w:val="TableCopy"/>
              <w:jc w:val="right"/>
            </w:pPr>
            <w:r w:rsidRPr="00C6052E">
              <w:t>5,662</w:t>
            </w:r>
          </w:p>
        </w:tc>
        <w:tc>
          <w:tcPr>
            <w:tcW w:w="1276" w:type="dxa"/>
            <w:noWrap/>
            <w:hideMark/>
          </w:tcPr>
          <w:p w14:paraId="5A47CB8A" w14:textId="77777777" w:rsidR="00EE5BB8" w:rsidRPr="00C6052E" w:rsidRDefault="00EE5BB8" w:rsidP="00157285">
            <w:pPr>
              <w:pStyle w:val="TableCopy"/>
              <w:jc w:val="right"/>
            </w:pPr>
            <w:r w:rsidRPr="00C6052E">
              <w:t>2,627</w:t>
            </w:r>
          </w:p>
        </w:tc>
        <w:tc>
          <w:tcPr>
            <w:tcW w:w="1304" w:type="dxa"/>
            <w:noWrap/>
            <w:hideMark/>
          </w:tcPr>
          <w:p w14:paraId="0F58452D" w14:textId="77777777" w:rsidR="00EE5BB8" w:rsidRPr="00C6052E" w:rsidRDefault="00EE5BB8" w:rsidP="00157285">
            <w:pPr>
              <w:pStyle w:val="TableCopy"/>
              <w:jc w:val="right"/>
            </w:pPr>
            <w:r w:rsidRPr="00C6052E">
              <w:t>(438)</w:t>
            </w:r>
          </w:p>
        </w:tc>
        <w:tc>
          <w:tcPr>
            <w:tcW w:w="1219" w:type="dxa"/>
            <w:noWrap/>
            <w:hideMark/>
          </w:tcPr>
          <w:p w14:paraId="4862933C" w14:textId="77777777" w:rsidR="00EE5BB8" w:rsidRPr="00C6052E" w:rsidRDefault="00EE5BB8" w:rsidP="00157285">
            <w:pPr>
              <w:pStyle w:val="TableCopy"/>
              <w:jc w:val="right"/>
            </w:pPr>
            <w:r w:rsidRPr="00C6052E">
              <w:t>–</w:t>
            </w:r>
          </w:p>
        </w:tc>
      </w:tr>
      <w:tr w:rsidR="00EE5BB8" w:rsidRPr="00C6052E" w14:paraId="6296F1FE" w14:textId="77777777" w:rsidTr="006B5FCB">
        <w:tc>
          <w:tcPr>
            <w:tcW w:w="4390" w:type="dxa"/>
            <w:noWrap/>
            <w:hideMark/>
          </w:tcPr>
          <w:p w14:paraId="766CA198" w14:textId="769318BE" w:rsidR="00EE5BB8" w:rsidRPr="00C6052E" w:rsidRDefault="00EE5BB8" w:rsidP="0063097D">
            <w:pPr>
              <w:pStyle w:val="TableCopy"/>
            </w:pPr>
            <w:r w:rsidRPr="00C6052E">
              <w:t>Assets</w:t>
            </w:r>
            <w:r w:rsidR="00177848" w:rsidRPr="00C6052E">
              <w:t xml:space="preserve"> </w:t>
            </w:r>
            <w:r w:rsidRPr="00C6052E">
              <w:t>received</w:t>
            </w:r>
            <w:r w:rsidR="00177848" w:rsidRPr="00C6052E">
              <w:t xml:space="preserve"> </w:t>
            </w:r>
            <w:r w:rsidRPr="00C6052E">
              <w:t>free</w:t>
            </w:r>
            <w:r w:rsidR="00177848" w:rsidRPr="00C6052E">
              <w:t xml:space="preserve"> </w:t>
            </w:r>
            <w:r w:rsidRPr="00C6052E">
              <w:t>of</w:t>
            </w:r>
            <w:r w:rsidR="00177848" w:rsidRPr="00C6052E">
              <w:t xml:space="preserve"> </w:t>
            </w:r>
            <w:r w:rsidRPr="00C6052E">
              <w:t>charge</w:t>
            </w:r>
          </w:p>
        </w:tc>
        <w:tc>
          <w:tcPr>
            <w:tcW w:w="1191" w:type="dxa"/>
            <w:noWrap/>
            <w:hideMark/>
          </w:tcPr>
          <w:p w14:paraId="40803E21" w14:textId="77777777" w:rsidR="00EE5BB8" w:rsidRPr="00C6052E" w:rsidRDefault="00EE5BB8" w:rsidP="00157285">
            <w:pPr>
              <w:pStyle w:val="TableCopy"/>
              <w:jc w:val="right"/>
            </w:pPr>
            <w:r w:rsidRPr="00C6052E">
              <w:t>–</w:t>
            </w:r>
          </w:p>
        </w:tc>
        <w:tc>
          <w:tcPr>
            <w:tcW w:w="1191" w:type="dxa"/>
            <w:noWrap/>
            <w:hideMark/>
          </w:tcPr>
          <w:p w14:paraId="12DC3FD9" w14:textId="77777777" w:rsidR="00EE5BB8" w:rsidRPr="00C6052E" w:rsidRDefault="00EE5BB8" w:rsidP="00157285">
            <w:pPr>
              <w:pStyle w:val="TableCopy"/>
              <w:jc w:val="right"/>
            </w:pPr>
            <w:r w:rsidRPr="00C6052E">
              <w:t>–</w:t>
            </w:r>
          </w:p>
        </w:tc>
        <w:tc>
          <w:tcPr>
            <w:tcW w:w="1417" w:type="dxa"/>
            <w:noWrap/>
            <w:hideMark/>
          </w:tcPr>
          <w:p w14:paraId="268A22BA" w14:textId="77777777" w:rsidR="00EE5BB8" w:rsidRPr="00C6052E" w:rsidRDefault="00EE5BB8" w:rsidP="00157285">
            <w:pPr>
              <w:pStyle w:val="TableCopy"/>
              <w:jc w:val="right"/>
            </w:pPr>
            <w:r w:rsidRPr="00C6052E">
              <w:t>–</w:t>
            </w:r>
          </w:p>
        </w:tc>
        <w:tc>
          <w:tcPr>
            <w:tcW w:w="1417" w:type="dxa"/>
            <w:noWrap/>
            <w:hideMark/>
          </w:tcPr>
          <w:p w14:paraId="1C630A92" w14:textId="77777777" w:rsidR="00EE5BB8" w:rsidRPr="00C6052E" w:rsidRDefault="00EE5BB8" w:rsidP="00157285">
            <w:pPr>
              <w:pStyle w:val="TableCopy"/>
              <w:jc w:val="right"/>
            </w:pPr>
            <w:r w:rsidRPr="00C6052E">
              <w:t>–</w:t>
            </w:r>
          </w:p>
        </w:tc>
        <w:tc>
          <w:tcPr>
            <w:tcW w:w="1276" w:type="dxa"/>
            <w:noWrap/>
            <w:hideMark/>
          </w:tcPr>
          <w:p w14:paraId="1E994414" w14:textId="77777777" w:rsidR="00EE5BB8" w:rsidRPr="00C6052E" w:rsidRDefault="00EE5BB8" w:rsidP="00157285">
            <w:pPr>
              <w:pStyle w:val="TableCopy"/>
              <w:jc w:val="right"/>
            </w:pPr>
            <w:r w:rsidRPr="00C6052E">
              <w:t>–</w:t>
            </w:r>
          </w:p>
        </w:tc>
        <w:tc>
          <w:tcPr>
            <w:tcW w:w="1276" w:type="dxa"/>
            <w:noWrap/>
            <w:hideMark/>
          </w:tcPr>
          <w:p w14:paraId="78D58037" w14:textId="77777777" w:rsidR="00EE5BB8" w:rsidRPr="00C6052E" w:rsidRDefault="00EE5BB8" w:rsidP="00157285">
            <w:pPr>
              <w:pStyle w:val="TableCopy"/>
              <w:jc w:val="right"/>
            </w:pPr>
            <w:r w:rsidRPr="00C6052E">
              <w:t>–</w:t>
            </w:r>
          </w:p>
        </w:tc>
        <w:tc>
          <w:tcPr>
            <w:tcW w:w="1304" w:type="dxa"/>
            <w:noWrap/>
            <w:hideMark/>
          </w:tcPr>
          <w:p w14:paraId="31A4ACBA" w14:textId="77777777" w:rsidR="00EE5BB8" w:rsidRPr="00C6052E" w:rsidRDefault="00EE5BB8" w:rsidP="00157285">
            <w:pPr>
              <w:pStyle w:val="TableCopy"/>
              <w:jc w:val="right"/>
            </w:pPr>
            <w:r w:rsidRPr="00C6052E">
              <w:t>–</w:t>
            </w:r>
          </w:p>
        </w:tc>
        <w:tc>
          <w:tcPr>
            <w:tcW w:w="1219" w:type="dxa"/>
            <w:noWrap/>
            <w:hideMark/>
          </w:tcPr>
          <w:p w14:paraId="15832108" w14:textId="77777777" w:rsidR="00EE5BB8" w:rsidRPr="00C6052E" w:rsidRDefault="00EE5BB8" w:rsidP="00157285">
            <w:pPr>
              <w:pStyle w:val="TableCopy"/>
              <w:jc w:val="right"/>
            </w:pPr>
            <w:r w:rsidRPr="00C6052E">
              <w:t>–</w:t>
            </w:r>
          </w:p>
        </w:tc>
      </w:tr>
      <w:tr w:rsidR="00EE5BB8" w:rsidRPr="00C6052E" w14:paraId="72A9603A" w14:textId="77777777" w:rsidTr="006B5FCB">
        <w:tc>
          <w:tcPr>
            <w:tcW w:w="4390" w:type="dxa"/>
            <w:noWrap/>
            <w:hideMark/>
          </w:tcPr>
          <w:p w14:paraId="53CE7F0E" w14:textId="1DDD980C" w:rsidR="00EE5BB8" w:rsidRPr="00C6052E" w:rsidRDefault="00EE5BB8" w:rsidP="0063097D">
            <w:pPr>
              <w:pStyle w:val="Tabletotal"/>
            </w:pPr>
            <w:r w:rsidRPr="00C6052E">
              <w:t>Total</w:t>
            </w:r>
            <w:r w:rsidR="00177848" w:rsidRPr="00C6052E">
              <w:t xml:space="preserve"> </w:t>
            </w:r>
            <w:r w:rsidRPr="00C6052E">
              <w:t>revenue</w:t>
            </w:r>
            <w:r w:rsidR="00177848" w:rsidRPr="00C6052E">
              <w:t xml:space="preserve"> </w:t>
            </w:r>
            <w:r w:rsidRPr="00C6052E">
              <w:t>and</w:t>
            </w:r>
            <w:r w:rsidR="00177848" w:rsidRPr="00C6052E">
              <w:t xml:space="preserve"> </w:t>
            </w:r>
            <w:r w:rsidRPr="00C6052E">
              <w:t>income</w:t>
            </w:r>
            <w:r w:rsidR="00177848" w:rsidRPr="00C6052E">
              <w:t xml:space="preserve"> </w:t>
            </w:r>
            <w:r w:rsidRPr="00C6052E">
              <w:t>from</w:t>
            </w:r>
            <w:r w:rsidR="00177848" w:rsidRPr="00C6052E">
              <w:t xml:space="preserve"> </w:t>
            </w:r>
            <w:r w:rsidRPr="00C6052E">
              <w:t>transactions</w:t>
            </w:r>
          </w:p>
        </w:tc>
        <w:tc>
          <w:tcPr>
            <w:tcW w:w="1191" w:type="dxa"/>
            <w:noWrap/>
            <w:hideMark/>
          </w:tcPr>
          <w:p w14:paraId="33ED1780" w14:textId="77777777" w:rsidR="00EE5BB8" w:rsidRPr="00C6052E" w:rsidRDefault="00EE5BB8" w:rsidP="00157285">
            <w:pPr>
              <w:pStyle w:val="Tabletotal"/>
              <w:jc w:val="right"/>
            </w:pPr>
            <w:r w:rsidRPr="00C6052E">
              <w:t>45,315</w:t>
            </w:r>
          </w:p>
        </w:tc>
        <w:tc>
          <w:tcPr>
            <w:tcW w:w="1191" w:type="dxa"/>
            <w:noWrap/>
            <w:hideMark/>
          </w:tcPr>
          <w:p w14:paraId="29AB540E" w14:textId="77777777" w:rsidR="00EE5BB8" w:rsidRPr="00C6052E" w:rsidRDefault="00EE5BB8" w:rsidP="00157285">
            <w:pPr>
              <w:pStyle w:val="Tabletotal"/>
              <w:jc w:val="right"/>
            </w:pPr>
            <w:r w:rsidRPr="00C6052E">
              <w:t>153,465</w:t>
            </w:r>
          </w:p>
        </w:tc>
        <w:tc>
          <w:tcPr>
            <w:tcW w:w="1417" w:type="dxa"/>
            <w:noWrap/>
            <w:hideMark/>
          </w:tcPr>
          <w:p w14:paraId="2CC46CA9" w14:textId="77777777" w:rsidR="00EE5BB8" w:rsidRPr="00C6052E" w:rsidRDefault="00EE5BB8" w:rsidP="00157285">
            <w:pPr>
              <w:pStyle w:val="Tabletotal"/>
              <w:jc w:val="right"/>
            </w:pPr>
            <w:r w:rsidRPr="00C6052E">
              <w:t>181,388</w:t>
            </w:r>
          </w:p>
        </w:tc>
        <w:tc>
          <w:tcPr>
            <w:tcW w:w="1417" w:type="dxa"/>
            <w:noWrap/>
            <w:hideMark/>
          </w:tcPr>
          <w:p w14:paraId="0689657E" w14:textId="77777777" w:rsidR="00EE5BB8" w:rsidRPr="00C6052E" w:rsidRDefault="00EE5BB8" w:rsidP="00157285">
            <w:pPr>
              <w:pStyle w:val="Tabletotal"/>
              <w:jc w:val="right"/>
            </w:pPr>
            <w:r w:rsidRPr="00C6052E">
              <w:t>147,009</w:t>
            </w:r>
          </w:p>
        </w:tc>
        <w:tc>
          <w:tcPr>
            <w:tcW w:w="1276" w:type="dxa"/>
            <w:noWrap/>
            <w:hideMark/>
          </w:tcPr>
          <w:p w14:paraId="60073AEF" w14:textId="77777777" w:rsidR="00EE5BB8" w:rsidRPr="00C6052E" w:rsidRDefault="00EE5BB8" w:rsidP="00157285">
            <w:pPr>
              <w:pStyle w:val="Tabletotal"/>
              <w:jc w:val="right"/>
            </w:pPr>
            <w:r w:rsidRPr="00C6052E">
              <w:t>319,476</w:t>
            </w:r>
          </w:p>
        </w:tc>
        <w:tc>
          <w:tcPr>
            <w:tcW w:w="1276" w:type="dxa"/>
            <w:noWrap/>
            <w:hideMark/>
          </w:tcPr>
          <w:p w14:paraId="106CCA74" w14:textId="77777777" w:rsidR="00EE5BB8" w:rsidRPr="00C6052E" w:rsidRDefault="00EE5BB8" w:rsidP="00157285">
            <w:pPr>
              <w:pStyle w:val="Tabletotal"/>
              <w:jc w:val="right"/>
            </w:pPr>
            <w:r w:rsidRPr="00C6052E">
              <w:t>247,332</w:t>
            </w:r>
          </w:p>
        </w:tc>
        <w:tc>
          <w:tcPr>
            <w:tcW w:w="1304" w:type="dxa"/>
            <w:noWrap/>
            <w:hideMark/>
          </w:tcPr>
          <w:p w14:paraId="389F7FA2" w14:textId="77777777" w:rsidR="00EE5BB8" w:rsidRPr="00C6052E" w:rsidRDefault="00EE5BB8" w:rsidP="00157285">
            <w:pPr>
              <w:pStyle w:val="Tabletotal"/>
              <w:jc w:val="right"/>
            </w:pPr>
            <w:r w:rsidRPr="00C6052E">
              <w:t>118,140</w:t>
            </w:r>
          </w:p>
        </w:tc>
        <w:tc>
          <w:tcPr>
            <w:tcW w:w="1219" w:type="dxa"/>
            <w:noWrap/>
            <w:hideMark/>
          </w:tcPr>
          <w:p w14:paraId="59F04C3B" w14:textId="77777777" w:rsidR="00EE5BB8" w:rsidRPr="00C6052E" w:rsidRDefault="00EE5BB8" w:rsidP="00157285">
            <w:pPr>
              <w:pStyle w:val="Tabletotal"/>
              <w:jc w:val="right"/>
            </w:pPr>
            <w:r w:rsidRPr="00C6052E">
              <w:t>96,770</w:t>
            </w:r>
          </w:p>
        </w:tc>
      </w:tr>
      <w:tr w:rsidR="00157285" w:rsidRPr="00C6052E" w14:paraId="0911F77F" w14:textId="77777777" w:rsidTr="006B5FCB">
        <w:tc>
          <w:tcPr>
            <w:tcW w:w="4390" w:type="dxa"/>
          </w:tcPr>
          <w:p w14:paraId="58D7BBB4" w14:textId="51E91C56" w:rsidR="00157285" w:rsidRPr="00C6052E" w:rsidRDefault="00157285" w:rsidP="00414950">
            <w:pPr>
              <w:pStyle w:val="TableHeading"/>
            </w:pPr>
            <w:r w:rsidRPr="00C6052E">
              <w:t>Expenses from transactions</w:t>
            </w:r>
          </w:p>
        </w:tc>
        <w:tc>
          <w:tcPr>
            <w:tcW w:w="1191" w:type="dxa"/>
            <w:noWrap/>
          </w:tcPr>
          <w:p w14:paraId="6748CA8B" w14:textId="77777777" w:rsidR="00157285" w:rsidRPr="00C6052E" w:rsidRDefault="00157285" w:rsidP="00157285">
            <w:pPr>
              <w:pStyle w:val="TableHeading"/>
              <w:jc w:val="right"/>
            </w:pPr>
          </w:p>
        </w:tc>
        <w:tc>
          <w:tcPr>
            <w:tcW w:w="1191" w:type="dxa"/>
            <w:noWrap/>
          </w:tcPr>
          <w:p w14:paraId="6E8F34BF" w14:textId="77777777" w:rsidR="00157285" w:rsidRPr="00C6052E" w:rsidRDefault="00157285" w:rsidP="00157285">
            <w:pPr>
              <w:pStyle w:val="TableHeading"/>
              <w:jc w:val="right"/>
            </w:pPr>
          </w:p>
        </w:tc>
        <w:tc>
          <w:tcPr>
            <w:tcW w:w="1417" w:type="dxa"/>
            <w:noWrap/>
          </w:tcPr>
          <w:p w14:paraId="06E78611" w14:textId="77777777" w:rsidR="00157285" w:rsidRPr="00C6052E" w:rsidRDefault="00157285" w:rsidP="00157285">
            <w:pPr>
              <w:pStyle w:val="TableHeading"/>
              <w:jc w:val="right"/>
            </w:pPr>
          </w:p>
        </w:tc>
        <w:tc>
          <w:tcPr>
            <w:tcW w:w="1417" w:type="dxa"/>
            <w:noWrap/>
          </w:tcPr>
          <w:p w14:paraId="7B0EE542" w14:textId="77777777" w:rsidR="00157285" w:rsidRPr="00C6052E" w:rsidRDefault="00157285" w:rsidP="00157285">
            <w:pPr>
              <w:pStyle w:val="TableHeading"/>
              <w:jc w:val="right"/>
            </w:pPr>
          </w:p>
        </w:tc>
        <w:tc>
          <w:tcPr>
            <w:tcW w:w="1276" w:type="dxa"/>
            <w:noWrap/>
          </w:tcPr>
          <w:p w14:paraId="057DFFD4" w14:textId="77777777" w:rsidR="00157285" w:rsidRPr="00C6052E" w:rsidRDefault="00157285" w:rsidP="00157285">
            <w:pPr>
              <w:pStyle w:val="TableHeading"/>
              <w:jc w:val="right"/>
            </w:pPr>
          </w:p>
        </w:tc>
        <w:tc>
          <w:tcPr>
            <w:tcW w:w="1276" w:type="dxa"/>
            <w:noWrap/>
          </w:tcPr>
          <w:p w14:paraId="4DCC1C64" w14:textId="77777777" w:rsidR="00157285" w:rsidRPr="00C6052E" w:rsidRDefault="00157285" w:rsidP="00157285">
            <w:pPr>
              <w:pStyle w:val="TableHeading"/>
              <w:jc w:val="right"/>
            </w:pPr>
          </w:p>
        </w:tc>
        <w:tc>
          <w:tcPr>
            <w:tcW w:w="1304" w:type="dxa"/>
            <w:noWrap/>
          </w:tcPr>
          <w:p w14:paraId="2A6A00E5" w14:textId="77777777" w:rsidR="00157285" w:rsidRPr="00C6052E" w:rsidRDefault="00157285" w:rsidP="00157285">
            <w:pPr>
              <w:pStyle w:val="TableHeading"/>
              <w:jc w:val="right"/>
            </w:pPr>
          </w:p>
        </w:tc>
        <w:tc>
          <w:tcPr>
            <w:tcW w:w="1219" w:type="dxa"/>
            <w:noWrap/>
          </w:tcPr>
          <w:p w14:paraId="3FB11F7E" w14:textId="77777777" w:rsidR="00157285" w:rsidRPr="00C6052E" w:rsidRDefault="00157285" w:rsidP="00157285">
            <w:pPr>
              <w:pStyle w:val="TableHeading"/>
              <w:jc w:val="right"/>
            </w:pPr>
          </w:p>
        </w:tc>
      </w:tr>
      <w:tr w:rsidR="00EE5BB8" w:rsidRPr="00C6052E" w14:paraId="4F7BA706" w14:textId="77777777" w:rsidTr="006B5FCB">
        <w:tc>
          <w:tcPr>
            <w:tcW w:w="4390" w:type="dxa"/>
            <w:hideMark/>
          </w:tcPr>
          <w:p w14:paraId="34C85658" w14:textId="1EB45006" w:rsidR="00EE5BB8" w:rsidRPr="00C6052E" w:rsidRDefault="00EE5BB8" w:rsidP="0063097D">
            <w:pPr>
              <w:pStyle w:val="TableCopy"/>
            </w:pPr>
            <w:r w:rsidRPr="00C6052E">
              <w:t>Grant</w:t>
            </w:r>
            <w:r w:rsidR="00177848" w:rsidRPr="00C6052E">
              <w:t xml:space="preserve"> </w:t>
            </w:r>
            <w:r w:rsidRPr="00C6052E">
              <w:t>expenses</w:t>
            </w:r>
          </w:p>
        </w:tc>
        <w:tc>
          <w:tcPr>
            <w:tcW w:w="1191" w:type="dxa"/>
            <w:noWrap/>
            <w:hideMark/>
          </w:tcPr>
          <w:p w14:paraId="04A53288" w14:textId="77777777" w:rsidR="00EE5BB8" w:rsidRPr="00C6052E" w:rsidRDefault="00EE5BB8" w:rsidP="00157285">
            <w:pPr>
              <w:pStyle w:val="TableCopy"/>
              <w:jc w:val="right"/>
            </w:pPr>
            <w:r w:rsidRPr="00C6052E">
              <w:t>(23,176)</w:t>
            </w:r>
          </w:p>
        </w:tc>
        <w:tc>
          <w:tcPr>
            <w:tcW w:w="1191" w:type="dxa"/>
            <w:noWrap/>
            <w:hideMark/>
          </w:tcPr>
          <w:p w14:paraId="50904699" w14:textId="77777777" w:rsidR="00EE5BB8" w:rsidRPr="00C6052E" w:rsidRDefault="00EE5BB8" w:rsidP="00157285">
            <w:pPr>
              <w:pStyle w:val="TableCopy"/>
              <w:jc w:val="right"/>
            </w:pPr>
            <w:r w:rsidRPr="00C6052E">
              <w:t>(115,811)</w:t>
            </w:r>
          </w:p>
        </w:tc>
        <w:tc>
          <w:tcPr>
            <w:tcW w:w="1417" w:type="dxa"/>
            <w:noWrap/>
            <w:hideMark/>
          </w:tcPr>
          <w:p w14:paraId="49F14874" w14:textId="77777777" w:rsidR="00EE5BB8" w:rsidRPr="00C6052E" w:rsidRDefault="00EE5BB8" w:rsidP="00157285">
            <w:pPr>
              <w:pStyle w:val="TableCopy"/>
              <w:jc w:val="right"/>
            </w:pPr>
            <w:r w:rsidRPr="00C6052E">
              <w:t>(100,981)</w:t>
            </w:r>
          </w:p>
        </w:tc>
        <w:tc>
          <w:tcPr>
            <w:tcW w:w="1417" w:type="dxa"/>
            <w:noWrap/>
            <w:hideMark/>
          </w:tcPr>
          <w:p w14:paraId="4875610F" w14:textId="77777777" w:rsidR="00EE5BB8" w:rsidRPr="00C6052E" w:rsidRDefault="00EE5BB8" w:rsidP="00157285">
            <w:pPr>
              <w:pStyle w:val="TableCopy"/>
              <w:jc w:val="right"/>
            </w:pPr>
            <w:r w:rsidRPr="00C6052E">
              <w:t>(103,023)</w:t>
            </w:r>
          </w:p>
        </w:tc>
        <w:tc>
          <w:tcPr>
            <w:tcW w:w="1276" w:type="dxa"/>
            <w:noWrap/>
            <w:hideMark/>
          </w:tcPr>
          <w:p w14:paraId="5A194AE6" w14:textId="77777777" w:rsidR="00EE5BB8" w:rsidRPr="00C6052E" w:rsidRDefault="00EE5BB8" w:rsidP="00157285">
            <w:pPr>
              <w:pStyle w:val="TableCopy"/>
              <w:jc w:val="right"/>
            </w:pPr>
            <w:r w:rsidRPr="00C6052E">
              <w:t>(260,323)</w:t>
            </w:r>
          </w:p>
        </w:tc>
        <w:tc>
          <w:tcPr>
            <w:tcW w:w="1276" w:type="dxa"/>
            <w:noWrap/>
            <w:hideMark/>
          </w:tcPr>
          <w:p w14:paraId="175B3A37" w14:textId="77777777" w:rsidR="00EE5BB8" w:rsidRPr="00C6052E" w:rsidRDefault="00EE5BB8" w:rsidP="00157285">
            <w:pPr>
              <w:pStyle w:val="TableCopy"/>
              <w:jc w:val="right"/>
            </w:pPr>
            <w:r w:rsidRPr="00C6052E">
              <w:t>(169,531)</w:t>
            </w:r>
          </w:p>
        </w:tc>
        <w:tc>
          <w:tcPr>
            <w:tcW w:w="1304" w:type="dxa"/>
            <w:noWrap/>
            <w:hideMark/>
          </w:tcPr>
          <w:p w14:paraId="21D50F99" w14:textId="77777777" w:rsidR="00EE5BB8" w:rsidRPr="00C6052E" w:rsidRDefault="00EE5BB8" w:rsidP="00157285">
            <w:pPr>
              <w:pStyle w:val="TableCopy"/>
              <w:jc w:val="right"/>
            </w:pPr>
            <w:r w:rsidRPr="00C6052E">
              <w:t>(20,452)</w:t>
            </w:r>
          </w:p>
        </w:tc>
        <w:tc>
          <w:tcPr>
            <w:tcW w:w="1219" w:type="dxa"/>
            <w:noWrap/>
            <w:hideMark/>
          </w:tcPr>
          <w:p w14:paraId="05C41C3B" w14:textId="77777777" w:rsidR="00EE5BB8" w:rsidRPr="00C6052E" w:rsidRDefault="00EE5BB8" w:rsidP="00157285">
            <w:pPr>
              <w:pStyle w:val="TableCopy"/>
              <w:jc w:val="right"/>
            </w:pPr>
            <w:r w:rsidRPr="00C6052E">
              <w:t>(4,662)</w:t>
            </w:r>
          </w:p>
        </w:tc>
      </w:tr>
      <w:tr w:rsidR="00EE5BB8" w:rsidRPr="00C6052E" w14:paraId="66D9E060" w14:textId="77777777" w:rsidTr="006B5FCB">
        <w:tc>
          <w:tcPr>
            <w:tcW w:w="4390" w:type="dxa"/>
            <w:hideMark/>
          </w:tcPr>
          <w:p w14:paraId="55C375BC" w14:textId="61B6BDF0" w:rsidR="00EE5BB8" w:rsidRPr="00C6052E" w:rsidRDefault="00EE5BB8" w:rsidP="0063097D">
            <w:pPr>
              <w:pStyle w:val="TableCopy"/>
            </w:pPr>
            <w:r w:rsidRPr="00C6052E">
              <w:t>Employee</w:t>
            </w:r>
            <w:r w:rsidR="00177848" w:rsidRPr="00C6052E">
              <w:t xml:space="preserve"> </w:t>
            </w:r>
            <w:r w:rsidRPr="00C6052E">
              <w:t>expenses</w:t>
            </w:r>
          </w:p>
        </w:tc>
        <w:tc>
          <w:tcPr>
            <w:tcW w:w="1191" w:type="dxa"/>
            <w:noWrap/>
            <w:hideMark/>
          </w:tcPr>
          <w:p w14:paraId="46887DFF" w14:textId="77777777" w:rsidR="00EE5BB8" w:rsidRPr="00C6052E" w:rsidRDefault="00EE5BB8" w:rsidP="00157285">
            <w:pPr>
              <w:pStyle w:val="TableCopy"/>
              <w:jc w:val="right"/>
            </w:pPr>
            <w:r w:rsidRPr="00C6052E">
              <w:t>(19,289)</w:t>
            </w:r>
          </w:p>
        </w:tc>
        <w:tc>
          <w:tcPr>
            <w:tcW w:w="1191" w:type="dxa"/>
            <w:noWrap/>
            <w:hideMark/>
          </w:tcPr>
          <w:p w14:paraId="7D566B29" w14:textId="77777777" w:rsidR="00EE5BB8" w:rsidRPr="00C6052E" w:rsidRDefault="00EE5BB8" w:rsidP="00157285">
            <w:pPr>
              <w:pStyle w:val="TableCopy"/>
              <w:jc w:val="right"/>
            </w:pPr>
            <w:r w:rsidRPr="00C6052E">
              <w:t>(33,212)</w:t>
            </w:r>
          </w:p>
        </w:tc>
        <w:tc>
          <w:tcPr>
            <w:tcW w:w="1417" w:type="dxa"/>
            <w:noWrap/>
            <w:hideMark/>
          </w:tcPr>
          <w:p w14:paraId="775A07B1" w14:textId="77777777" w:rsidR="00EE5BB8" w:rsidRPr="00C6052E" w:rsidRDefault="00EE5BB8" w:rsidP="00157285">
            <w:pPr>
              <w:pStyle w:val="TableCopy"/>
              <w:jc w:val="right"/>
            </w:pPr>
            <w:r w:rsidRPr="00C6052E">
              <w:t>(33,095)</w:t>
            </w:r>
          </w:p>
        </w:tc>
        <w:tc>
          <w:tcPr>
            <w:tcW w:w="1417" w:type="dxa"/>
            <w:noWrap/>
            <w:hideMark/>
          </w:tcPr>
          <w:p w14:paraId="53E5FE9F" w14:textId="77777777" w:rsidR="00EE5BB8" w:rsidRPr="00C6052E" w:rsidRDefault="00EE5BB8" w:rsidP="00157285">
            <w:pPr>
              <w:pStyle w:val="TableCopy"/>
              <w:jc w:val="right"/>
            </w:pPr>
            <w:r w:rsidRPr="00C6052E">
              <w:t>(34,508)</w:t>
            </w:r>
          </w:p>
        </w:tc>
        <w:tc>
          <w:tcPr>
            <w:tcW w:w="1276" w:type="dxa"/>
            <w:noWrap/>
            <w:hideMark/>
          </w:tcPr>
          <w:p w14:paraId="3965F433" w14:textId="77777777" w:rsidR="00EE5BB8" w:rsidRPr="00C6052E" w:rsidRDefault="00EE5BB8" w:rsidP="00157285">
            <w:pPr>
              <w:pStyle w:val="TableCopy"/>
              <w:jc w:val="right"/>
            </w:pPr>
            <w:r w:rsidRPr="00C6052E">
              <w:t>(47,457)</w:t>
            </w:r>
          </w:p>
        </w:tc>
        <w:tc>
          <w:tcPr>
            <w:tcW w:w="1276" w:type="dxa"/>
            <w:noWrap/>
            <w:hideMark/>
          </w:tcPr>
          <w:p w14:paraId="17562B96" w14:textId="77777777" w:rsidR="00EE5BB8" w:rsidRPr="00C6052E" w:rsidRDefault="00EE5BB8" w:rsidP="00157285">
            <w:pPr>
              <w:pStyle w:val="TableCopy"/>
              <w:jc w:val="right"/>
            </w:pPr>
            <w:r w:rsidRPr="00C6052E">
              <w:t>(62,911)</w:t>
            </w:r>
          </w:p>
        </w:tc>
        <w:tc>
          <w:tcPr>
            <w:tcW w:w="1304" w:type="dxa"/>
            <w:noWrap/>
            <w:hideMark/>
          </w:tcPr>
          <w:p w14:paraId="5FD2D1E9" w14:textId="77777777" w:rsidR="00EE5BB8" w:rsidRPr="00C6052E" w:rsidRDefault="00EE5BB8" w:rsidP="00157285">
            <w:pPr>
              <w:pStyle w:val="TableCopy"/>
              <w:jc w:val="right"/>
            </w:pPr>
            <w:r w:rsidRPr="00C6052E">
              <w:t>(61,832)</w:t>
            </w:r>
          </w:p>
        </w:tc>
        <w:tc>
          <w:tcPr>
            <w:tcW w:w="1219" w:type="dxa"/>
            <w:noWrap/>
            <w:hideMark/>
          </w:tcPr>
          <w:p w14:paraId="35CBCF3B" w14:textId="77777777" w:rsidR="00EE5BB8" w:rsidRPr="00C6052E" w:rsidRDefault="00EE5BB8" w:rsidP="00157285">
            <w:pPr>
              <w:pStyle w:val="TableCopy"/>
              <w:jc w:val="right"/>
            </w:pPr>
            <w:r w:rsidRPr="00C6052E">
              <w:t>(55,777)</w:t>
            </w:r>
          </w:p>
        </w:tc>
      </w:tr>
      <w:tr w:rsidR="00EE5BB8" w:rsidRPr="00C6052E" w14:paraId="7CD2493A" w14:textId="77777777" w:rsidTr="006B5FCB">
        <w:tc>
          <w:tcPr>
            <w:tcW w:w="4390" w:type="dxa"/>
            <w:hideMark/>
          </w:tcPr>
          <w:p w14:paraId="4F81A9D3" w14:textId="61402DBB" w:rsidR="00EE5BB8" w:rsidRPr="00C6052E" w:rsidRDefault="00EE5BB8" w:rsidP="0063097D">
            <w:pPr>
              <w:pStyle w:val="TableCopy"/>
            </w:pPr>
            <w:r w:rsidRPr="00C6052E">
              <w:t>Depreciation</w:t>
            </w:r>
            <w:r w:rsidR="00177848" w:rsidRPr="00C6052E">
              <w:t xml:space="preserve"> </w:t>
            </w:r>
            <w:r w:rsidRPr="00C6052E">
              <w:t>and</w:t>
            </w:r>
            <w:r w:rsidR="00177848" w:rsidRPr="00C6052E">
              <w:t xml:space="preserve"> </w:t>
            </w:r>
            <w:r w:rsidRPr="00C6052E">
              <w:t>amortisation</w:t>
            </w:r>
            <w:r w:rsidR="00177848" w:rsidRPr="00C6052E">
              <w:t xml:space="preserve"> </w:t>
            </w:r>
          </w:p>
        </w:tc>
        <w:tc>
          <w:tcPr>
            <w:tcW w:w="1191" w:type="dxa"/>
            <w:noWrap/>
            <w:hideMark/>
          </w:tcPr>
          <w:p w14:paraId="3C5CF385" w14:textId="77777777" w:rsidR="00EE5BB8" w:rsidRPr="00C6052E" w:rsidRDefault="00EE5BB8" w:rsidP="00157285">
            <w:pPr>
              <w:pStyle w:val="TableCopy"/>
              <w:jc w:val="right"/>
            </w:pPr>
            <w:r w:rsidRPr="00C6052E">
              <w:t>(53)</w:t>
            </w:r>
          </w:p>
        </w:tc>
        <w:tc>
          <w:tcPr>
            <w:tcW w:w="1191" w:type="dxa"/>
            <w:noWrap/>
            <w:hideMark/>
          </w:tcPr>
          <w:p w14:paraId="54F7166C" w14:textId="77777777" w:rsidR="00EE5BB8" w:rsidRPr="00C6052E" w:rsidRDefault="00EE5BB8" w:rsidP="00157285">
            <w:pPr>
              <w:pStyle w:val="TableCopy"/>
              <w:jc w:val="right"/>
            </w:pPr>
            <w:r w:rsidRPr="00C6052E">
              <w:t>(4,838)</w:t>
            </w:r>
          </w:p>
        </w:tc>
        <w:tc>
          <w:tcPr>
            <w:tcW w:w="1417" w:type="dxa"/>
            <w:noWrap/>
            <w:hideMark/>
          </w:tcPr>
          <w:p w14:paraId="262416A9" w14:textId="77777777" w:rsidR="00EE5BB8" w:rsidRPr="00C6052E" w:rsidRDefault="00EE5BB8" w:rsidP="00157285">
            <w:pPr>
              <w:pStyle w:val="TableCopy"/>
              <w:jc w:val="right"/>
            </w:pPr>
            <w:r w:rsidRPr="00C6052E">
              <w:t>(475)</w:t>
            </w:r>
          </w:p>
        </w:tc>
        <w:tc>
          <w:tcPr>
            <w:tcW w:w="1417" w:type="dxa"/>
            <w:noWrap/>
            <w:hideMark/>
          </w:tcPr>
          <w:p w14:paraId="51861AAC" w14:textId="77777777" w:rsidR="00EE5BB8" w:rsidRPr="00C6052E" w:rsidRDefault="00EE5BB8" w:rsidP="00157285">
            <w:pPr>
              <w:pStyle w:val="TableCopy"/>
              <w:jc w:val="right"/>
            </w:pPr>
            <w:r w:rsidRPr="00C6052E">
              <w:t>(389)</w:t>
            </w:r>
          </w:p>
        </w:tc>
        <w:tc>
          <w:tcPr>
            <w:tcW w:w="1276" w:type="dxa"/>
            <w:noWrap/>
            <w:hideMark/>
          </w:tcPr>
          <w:p w14:paraId="20BA2B0D" w14:textId="77777777" w:rsidR="00EE5BB8" w:rsidRPr="00C6052E" w:rsidRDefault="00EE5BB8" w:rsidP="00157285">
            <w:pPr>
              <w:pStyle w:val="TableCopy"/>
              <w:jc w:val="right"/>
            </w:pPr>
            <w:r w:rsidRPr="00C6052E">
              <w:t>(328)</w:t>
            </w:r>
          </w:p>
        </w:tc>
        <w:tc>
          <w:tcPr>
            <w:tcW w:w="1276" w:type="dxa"/>
            <w:noWrap/>
            <w:hideMark/>
          </w:tcPr>
          <w:p w14:paraId="21126126" w14:textId="77777777" w:rsidR="00EE5BB8" w:rsidRPr="00C6052E" w:rsidRDefault="00EE5BB8" w:rsidP="00157285">
            <w:pPr>
              <w:pStyle w:val="TableCopy"/>
              <w:jc w:val="right"/>
            </w:pPr>
            <w:r w:rsidRPr="00C6052E">
              <w:t>(432)</w:t>
            </w:r>
          </w:p>
        </w:tc>
        <w:tc>
          <w:tcPr>
            <w:tcW w:w="1304" w:type="dxa"/>
            <w:noWrap/>
            <w:hideMark/>
          </w:tcPr>
          <w:p w14:paraId="5925B6F6" w14:textId="77777777" w:rsidR="00EE5BB8" w:rsidRPr="00C6052E" w:rsidRDefault="00EE5BB8" w:rsidP="00157285">
            <w:pPr>
              <w:pStyle w:val="TableCopy"/>
              <w:jc w:val="right"/>
            </w:pPr>
            <w:r w:rsidRPr="00C6052E">
              <w:t>(3,567)</w:t>
            </w:r>
          </w:p>
        </w:tc>
        <w:tc>
          <w:tcPr>
            <w:tcW w:w="1219" w:type="dxa"/>
            <w:noWrap/>
            <w:hideMark/>
          </w:tcPr>
          <w:p w14:paraId="16E8D223" w14:textId="77777777" w:rsidR="00EE5BB8" w:rsidRPr="00C6052E" w:rsidRDefault="00EE5BB8" w:rsidP="00157285">
            <w:pPr>
              <w:pStyle w:val="TableCopy"/>
              <w:jc w:val="right"/>
            </w:pPr>
            <w:r w:rsidRPr="00C6052E">
              <w:t>(893)</w:t>
            </w:r>
          </w:p>
        </w:tc>
      </w:tr>
      <w:tr w:rsidR="00EE5BB8" w:rsidRPr="00C6052E" w14:paraId="0701DCE1" w14:textId="77777777" w:rsidTr="006B5FCB">
        <w:tc>
          <w:tcPr>
            <w:tcW w:w="4390" w:type="dxa"/>
            <w:hideMark/>
          </w:tcPr>
          <w:p w14:paraId="2A501EF9" w14:textId="0D05D105" w:rsidR="00EE5BB8" w:rsidRPr="00C6052E" w:rsidRDefault="00EE5BB8" w:rsidP="0063097D">
            <w:pPr>
              <w:pStyle w:val="TableCopy"/>
            </w:pPr>
            <w:r w:rsidRPr="00C6052E">
              <w:t>Other</w:t>
            </w:r>
            <w:r w:rsidR="00177848" w:rsidRPr="00C6052E">
              <w:t xml:space="preserve"> </w:t>
            </w:r>
            <w:r w:rsidRPr="00C6052E">
              <w:t>operating</w:t>
            </w:r>
            <w:r w:rsidR="00177848" w:rsidRPr="00C6052E">
              <w:t xml:space="preserve"> </w:t>
            </w:r>
            <w:r w:rsidRPr="00C6052E">
              <w:t>expenses</w:t>
            </w:r>
          </w:p>
        </w:tc>
        <w:tc>
          <w:tcPr>
            <w:tcW w:w="1191" w:type="dxa"/>
            <w:noWrap/>
            <w:hideMark/>
          </w:tcPr>
          <w:p w14:paraId="5EC0F552" w14:textId="77777777" w:rsidR="00EE5BB8" w:rsidRPr="00C6052E" w:rsidRDefault="00EE5BB8" w:rsidP="00157285">
            <w:pPr>
              <w:pStyle w:val="TableCopy"/>
              <w:jc w:val="right"/>
            </w:pPr>
            <w:r w:rsidRPr="00C6052E">
              <w:t>(7,201)</w:t>
            </w:r>
          </w:p>
        </w:tc>
        <w:tc>
          <w:tcPr>
            <w:tcW w:w="1191" w:type="dxa"/>
            <w:noWrap/>
            <w:hideMark/>
          </w:tcPr>
          <w:p w14:paraId="2B9033D7" w14:textId="77777777" w:rsidR="00EE5BB8" w:rsidRPr="00C6052E" w:rsidRDefault="00EE5BB8" w:rsidP="00157285">
            <w:pPr>
              <w:pStyle w:val="TableCopy"/>
              <w:jc w:val="right"/>
            </w:pPr>
            <w:r w:rsidRPr="00C6052E">
              <w:t>(19,716)</w:t>
            </w:r>
          </w:p>
        </w:tc>
        <w:tc>
          <w:tcPr>
            <w:tcW w:w="1417" w:type="dxa"/>
            <w:noWrap/>
            <w:hideMark/>
          </w:tcPr>
          <w:p w14:paraId="56218BE8" w14:textId="77777777" w:rsidR="00EE5BB8" w:rsidRPr="00C6052E" w:rsidRDefault="00EE5BB8" w:rsidP="00157285">
            <w:pPr>
              <w:pStyle w:val="TableCopy"/>
              <w:jc w:val="right"/>
            </w:pPr>
            <w:r w:rsidRPr="00C6052E">
              <w:t>(53,554)</w:t>
            </w:r>
          </w:p>
        </w:tc>
        <w:tc>
          <w:tcPr>
            <w:tcW w:w="1417" w:type="dxa"/>
            <w:noWrap/>
            <w:hideMark/>
          </w:tcPr>
          <w:p w14:paraId="60012416" w14:textId="77777777" w:rsidR="00EE5BB8" w:rsidRPr="00C6052E" w:rsidRDefault="00EE5BB8" w:rsidP="00157285">
            <w:pPr>
              <w:pStyle w:val="TableCopy"/>
              <w:jc w:val="right"/>
            </w:pPr>
            <w:r w:rsidRPr="00C6052E">
              <w:t>(28,411)</w:t>
            </w:r>
          </w:p>
        </w:tc>
        <w:tc>
          <w:tcPr>
            <w:tcW w:w="1276" w:type="dxa"/>
            <w:noWrap/>
            <w:hideMark/>
          </w:tcPr>
          <w:p w14:paraId="26D253E8" w14:textId="77777777" w:rsidR="00EE5BB8" w:rsidRPr="00C6052E" w:rsidRDefault="00EE5BB8" w:rsidP="00157285">
            <w:pPr>
              <w:pStyle w:val="TableCopy"/>
              <w:jc w:val="right"/>
            </w:pPr>
            <w:r w:rsidRPr="00C6052E">
              <w:t>(15,236)</w:t>
            </w:r>
          </w:p>
        </w:tc>
        <w:tc>
          <w:tcPr>
            <w:tcW w:w="1276" w:type="dxa"/>
            <w:noWrap/>
            <w:hideMark/>
          </w:tcPr>
          <w:p w14:paraId="6DE9C50B" w14:textId="77777777" w:rsidR="00EE5BB8" w:rsidRPr="00C6052E" w:rsidRDefault="00EE5BB8" w:rsidP="00157285">
            <w:pPr>
              <w:pStyle w:val="TableCopy"/>
              <w:jc w:val="right"/>
            </w:pPr>
            <w:r w:rsidRPr="00C6052E">
              <w:t>(16,486)</w:t>
            </w:r>
          </w:p>
        </w:tc>
        <w:tc>
          <w:tcPr>
            <w:tcW w:w="1304" w:type="dxa"/>
            <w:noWrap/>
            <w:hideMark/>
          </w:tcPr>
          <w:p w14:paraId="3C392810" w14:textId="77777777" w:rsidR="00EE5BB8" w:rsidRPr="00C6052E" w:rsidRDefault="00EE5BB8" w:rsidP="00157285">
            <w:pPr>
              <w:pStyle w:val="TableCopy"/>
              <w:jc w:val="right"/>
            </w:pPr>
            <w:r w:rsidRPr="00C6052E">
              <w:t>(35,009)</w:t>
            </w:r>
          </w:p>
        </w:tc>
        <w:tc>
          <w:tcPr>
            <w:tcW w:w="1219" w:type="dxa"/>
            <w:noWrap/>
            <w:hideMark/>
          </w:tcPr>
          <w:p w14:paraId="77C2CB65" w14:textId="77777777" w:rsidR="00EE5BB8" w:rsidRPr="00C6052E" w:rsidRDefault="00EE5BB8" w:rsidP="00157285">
            <w:pPr>
              <w:pStyle w:val="TableCopy"/>
              <w:jc w:val="right"/>
            </w:pPr>
            <w:r w:rsidRPr="00C6052E">
              <w:t>(44,458)</w:t>
            </w:r>
          </w:p>
        </w:tc>
      </w:tr>
      <w:tr w:rsidR="00EE5BB8" w:rsidRPr="00C6052E" w14:paraId="7E8B4E03" w14:textId="77777777" w:rsidTr="006B5FCB">
        <w:tc>
          <w:tcPr>
            <w:tcW w:w="4390" w:type="dxa"/>
            <w:noWrap/>
            <w:hideMark/>
          </w:tcPr>
          <w:p w14:paraId="6D834887" w14:textId="56A2B440" w:rsidR="00EE5BB8" w:rsidRPr="00C6052E" w:rsidRDefault="00EE5BB8" w:rsidP="0063097D">
            <w:pPr>
              <w:pStyle w:val="Tabletotal"/>
            </w:pPr>
            <w:r w:rsidRPr="00C6052E">
              <w:t>Total</w:t>
            </w:r>
            <w:r w:rsidR="00177848" w:rsidRPr="00C6052E">
              <w:t xml:space="preserve"> </w:t>
            </w:r>
            <w:r w:rsidRPr="00C6052E">
              <w:t>expenses</w:t>
            </w:r>
            <w:r w:rsidR="00177848" w:rsidRPr="00C6052E">
              <w:t xml:space="preserve"> </w:t>
            </w:r>
            <w:r w:rsidRPr="00C6052E">
              <w:t>from</w:t>
            </w:r>
            <w:r w:rsidR="00177848" w:rsidRPr="00C6052E">
              <w:t xml:space="preserve"> </w:t>
            </w:r>
            <w:r w:rsidRPr="00C6052E">
              <w:t>transactions</w:t>
            </w:r>
          </w:p>
        </w:tc>
        <w:tc>
          <w:tcPr>
            <w:tcW w:w="1191" w:type="dxa"/>
            <w:noWrap/>
            <w:hideMark/>
          </w:tcPr>
          <w:p w14:paraId="60824400" w14:textId="77777777" w:rsidR="00EE5BB8" w:rsidRPr="00C6052E" w:rsidRDefault="00EE5BB8" w:rsidP="00157285">
            <w:pPr>
              <w:pStyle w:val="Tabletotal"/>
              <w:jc w:val="right"/>
            </w:pPr>
            <w:r w:rsidRPr="00C6052E">
              <w:t>(49,719)</w:t>
            </w:r>
          </w:p>
        </w:tc>
        <w:tc>
          <w:tcPr>
            <w:tcW w:w="1191" w:type="dxa"/>
            <w:noWrap/>
            <w:hideMark/>
          </w:tcPr>
          <w:p w14:paraId="00778FA4" w14:textId="77777777" w:rsidR="00EE5BB8" w:rsidRPr="00C6052E" w:rsidRDefault="00EE5BB8" w:rsidP="00157285">
            <w:pPr>
              <w:pStyle w:val="Tabletotal"/>
              <w:jc w:val="right"/>
            </w:pPr>
            <w:r w:rsidRPr="00C6052E">
              <w:t>(173,577)</w:t>
            </w:r>
          </w:p>
        </w:tc>
        <w:tc>
          <w:tcPr>
            <w:tcW w:w="1417" w:type="dxa"/>
            <w:noWrap/>
            <w:hideMark/>
          </w:tcPr>
          <w:p w14:paraId="05CE3FAD" w14:textId="77777777" w:rsidR="00EE5BB8" w:rsidRPr="00C6052E" w:rsidRDefault="00EE5BB8" w:rsidP="00157285">
            <w:pPr>
              <w:pStyle w:val="Tabletotal"/>
              <w:jc w:val="right"/>
            </w:pPr>
            <w:r w:rsidRPr="00C6052E">
              <w:t>(188,105)</w:t>
            </w:r>
          </w:p>
        </w:tc>
        <w:tc>
          <w:tcPr>
            <w:tcW w:w="1417" w:type="dxa"/>
            <w:noWrap/>
            <w:hideMark/>
          </w:tcPr>
          <w:p w14:paraId="546D930F" w14:textId="77777777" w:rsidR="00EE5BB8" w:rsidRPr="00C6052E" w:rsidRDefault="00EE5BB8" w:rsidP="00157285">
            <w:pPr>
              <w:pStyle w:val="Tabletotal"/>
              <w:jc w:val="right"/>
            </w:pPr>
            <w:r w:rsidRPr="00C6052E">
              <w:t>(166,331)</w:t>
            </w:r>
          </w:p>
        </w:tc>
        <w:tc>
          <w:tcPr>
            <w:tcW w:w="1276" w:type="dxa"/>
            <w:noWrap/>
            <w:hideMark/>
          </w:tcPr>
          <w:p w14:paraId="0AAF892B" w14:textId="77777777" w:rsidR="00EE5BB8" w:rsidRPr="00C6052E" w:rsidRDefault="00EE5BB8" w:rsidP="00157285">
            <w:pPr>
              <w:pStyle w:val="Tabletotal"/>
              <w:jc w:val="right"/>
            </w:pPr>
            <w:r w:rsidRPr="00C6052E">
              <w:t>(323,344)</w:t>
            </w:r>
          </w:p>
        </w:tc>
        <w:tc>
          <w:tcPr>
            <w:tcW w:w="1276" w:type="dxa"/>
            <w:noWrap/>
            <w:hideMark/>
          </w:tcPr>
          <w:p w14:paraId="0B2DDB44" w14:textId="77777777" w:rsidR="00EE5BB8" w:rsidRPr="00C6052E" w:rsidRDefault="00EE5BB8" w:rsidP="00157285">
            <w:pPr>
              <w:pStyle w:val="Tabletotal"/>
              <w:jc w:val="right"/>
            </w:pPr>
            <w:r w:rsidRPr="00C6052E">
              <w:t>(249,360)</w:t>
            </w:r>
          </w:p>
        </w:tc>
        <w:tc>
          <w:tcPr>
            <w:tcW w:w="1304" w:type="dxa"/>
            <w:noWrap/>
            <w:hideMark/>
          </w:tcPr>
          <w:p w14:paraId="79416C5B" w14:textId="77777777" w:rsidR="00EE5BB8" w:rsidRPr="00C6052E" w:rsidRDefault="00EE5BB8" w:rsidP="00157285">
            <w:pPr>
              <w:pStyle w:val="Tabletotal"/>
              <w:jc w:val="right"/>
            </w:pPr>
            <w:r w:rsidRPr="00C6052E">
              <w:t>(120,860)</w:t>
            </w:r>
          </w:p>
        </w:tc>
        <w:tc>
          <w:tcPr>
            <w:tcW w:w="1219" w:type="dxa"/>
            <w:noWrap/>
            <w:hideMark/>
          </w:tcPr>
          <w:p w14:paraId="5DE6E926" w14:textId="77777777" w:rsidR="00EE5BB8" w:rsidRPr="00C6052E" w:rsidRDefault="00EE5BB8" w:rsidP="00157285">
            <w:pPr>
              <w:pStyle w:val="Tabletotal"/>
              <w:jc w:val="right"/>
            </w:pPr>
            <w:r w:rsidRPr="00C6052E">
              <w:t>(105,790)</w:t>
            </w:r>
          </w:p>
        </w:tc>
      </w:tr>
      <w:tr w:rsidR="00EE5BB8" w:rsidRPr="00C6052E" w14:paraId="44E8548A" w14:textId="77777777" w:rsidTr="006B5FCB">
        <w:tc>
          <w:tcPr>
            <w:tcW w:w="4390" w:type="dxa"/>
            <w:noWrap/>
            <w:hideMark/>
          </w:tcPr>
          <w:p w14:paraId="6DC5A60C" w14:textId="067AC1D4" w:rsidR="00EE5BB8" w:rsidRPr="00C6052E" w:rsidRDefault="00EE5BB8" w:rsidP="0063097D">
            <w:pPr>
              <w:pStyle w:val="Tabletotal"/>
            </w:pPr>
            <w:r w:rsidRPr="00C6052E">
              <w:t>Net</w:t>
            </w:r>
            <w:r w:rsidR="00177848" w:rsidRPr="00C6052E">
              <w:t xml:space="preserve"> </w:t>
            </w:r>
            <w:r w:rsidRPr="00C6052E">
              <w:t>result</w:t>
            </w:r>
            <w:r w:rsidR="00177848" w:rsidRPr="00C6052E">
              <w:t xml:space="preserve"> </w:t>
            </w:r>
            <w:r w:rsidRPr="00C6052E">
              <w:t>from</w:t>
            </w:r>
            <w:r w:rsidR="00177848" w:rsidRPr="00C6052E">
              <w:t xml:space="preserve"> </w:t>
            </w:r>
            <w:r w:rsidRPr="00C6052E">
              <w:t>transactions</w:t>
            </w:r>
          </w:p>
        </w:tc>
        <w:tc>
          <w:tcPr>
            <w:tcW w:w="1191" w:type="dxa"/>
            <w:noWrap/>
            <w:hideMark/>
          </w:tcPr>
          <w:p w14:paraId="528004D5" w14:textId="77777777" w:rsidR="00EE5BB8" w:rsidRPr="00C6052E" w:rsidRDefault="00EE5BB8" w:rsidP="00157285">
            <w:pPr>
              <w:pStyle w:val="Tabletotal"/>
              <w:jc w:val="right"/>
            </w:pPr>
            <w:r w:rsidRPr="00C6052E">
              <w:t>(4,404)</w:t>
            </w:r>
          </w:p>
        </w:tc>
        <w:tc>
          <w:tcPr>
            <w:tcW w:w="1191" w:type="dxa"/>
            <w:noWrap/>
            <w:hideMark/>
          </w:tcPr>
          <w:p w14:paraId="14463D91" w14:textId="77777777" w:rsidR="00EE5BB8" w:rsidRPr="00C6052E" w:rsidRDefault="00EE5BB8" w:rsidP="00157285">
            <w:pPr>
              <w:pStyle w:val="Tabletotal"/>
              <w:jc w:val="right"/>
            </w:pPr>
            <w:r w:rsidRPr="00C6052E">
              <w:t>(20,112)</w:t>
            </w:r>
          </w:p>
        </w:tc>
        <w:tc>
          <w:tcPr>
            <w:tcW w:w="1417" w:type="dxa"/>
            <w:noWrap/>
            <w:hideMark/>
          </w:tcPr>
          <w:p w14:paraId="65B4A383" w14:textId="77777777" w:rsidR="00EE5BB8" w:rsidRPr="00C6052E" w:rsidRDefault="00EE5BB8" w:rsidP="00157285">
            <w:pPr>
              <w:pStyle w:val="Tabletotal"/>
              <w:jc w:val="right"/>
            </w:pPr>
            <w:r w:rsidRPr="00C6052E">
              <w:t>(6,717)</w:t>
            </w:r>
          </w:p>
        </w:tc>
        <w:tc>
          <w:tcPr>
            <w:tcW w:w="1417" w:type="dxa"/>
            <w:noWrap/>
            <w:hideMark/>
          </w:tcPr>
          <w:p w14:paraId="5DF1CF80" w14:textId="77777777" w:rsidR="00EE5BB8" w:rsidRPr="00C6052E" w:rsidRDefault="00EE5BB8" w:rsidP="00157285">
            <w:pPr>
              <w:pStyle w:val="Tabletotal"/>
              <w:jc w:val="right"/>
            </w:pPr>
            <w:r w:rsidRPr="00C6052E">
              <w:t>(19,322)</w:t>
            </w:r>
          </w:p>
        </w:tc>
        <w:tc>
          <w:tcPr>
            <w:tcW w:w="1276" w:type="dxa"/>
            <w:noWrap/>
            <w:hideMark/>
          </w:tcPr>
          <w:p w14:paraId="20B24575" w14:textId="77777777" w:rsidR="00EE5BB8" w:rsidRPr="00C6052E" w:rsidRDefault="00EE5BB8" w:rsidP="00157285">
            <w:pPr>
              <w:pStyle w:val="Tabletotal"/>
              <w:jc w:val="right"/>
            </w:pPr>
            <w:r w:rsidRPr="00C6052E">
              <w:t>(3,868)</w:t>
            </w:r>
          </w:p>
        </w:tc>
        <w:tc>
          <w:tcPr>
            <w:tcW w:w="1276" w:type="dxa"/>
            <w:noWrap/>
            <w:hideMark/>
          </w:tcPr>
          <w:p w14:paraId="721F58D1" w14:textId="77777777" w:rsidR="00EE5BB8" w:rsidRPr="00C6052E" w:rsidRDefault="00EE5BB8" w:rsidP="00157285">
            <w:pPr>
              <w:pStyle w:val="Tabletotal"/>
              <w:jc w:val="right"/>
            </w:pPr>
            <w:r w:rsidRPr="00C6052E">
              <w:t>(2,028)</w:t>
            </w:r>
          </w:p>
        </w:tc>
        <w:tc>
          <w:tcPr>
            <w:tcW w:w="1304" w:type="dxa"/>
            <w:noWrap/>
            <w:hideMark/>
          </w:tcPr>
          <w:p w14:paraId="379F366C" w14:textId="77777777" w:rsidR="00EE5BB8" w:rsidRPr="00C6052E" w:rsidRDefault="00EE5BB8" w:rsidP="00157285">
            <w:pPr>
              <w:pStyle w:val="Tabletotal"/>
              <w:jc w:val="right"/>
            </w:pPr>
            <w:r w:rsidRPr="00C6052E">
              <w:t>(2,720)</w:t>
            </w:r>
          </w:p>
        </w:tc>
        <w:tc>
          <w:tcPr>
            <w:tcW w:w="1219" w:type="dxa"/>
            <w:noWrap/>
            <w:hideMark/>
          </w:tcPr>
          <w:p w14:paraId="71F7A7AC" w14:textId="77777777" w:rsidR="00EE5BB8" w:rsidRPr="00C6052E" w:rsidRDefault="00EE5BB8" w:rsidP="00157285">
            <w:pPr>
              <w:pStyle w:val="Tabletotal"/>
              <w:jc w:val="right"/>
            </w:pPr>
            <w:r w:rsidRPr="00C6052E">
              <w:t>(9,020)</w:t>
            </w:r>
          </w:p>
        </w:tc>
      </w:tr>
      <w:tr w:rsidR="00157285" w:rsidRPr="00C6052E" w14:paraId="46BA75EB" w14:textId="77777777" w:rsidTr="006B5FCB">
        <w:tc>
          <w:tcPr>
            <w:tcW w:w="4390" w:type="dxa"/>
          </w:tcPr>
          <w:p w14:paraId="1CD3DB2A" w14:textId="760D8719" w:rsidR="00157285" w:rsidRPr="00C6052E" w:rsidRDefault="00157285" w:rsidP="0043504B">
            <w:pPr>
              <w:pStyle w:val="TableHeading"/>
            </w:pPr>
            <w:r w:rsidRPr="00C6052E">
              <w:lastRenderedPageBreak/>
              <w:t>Other economic flows included in net result</w:t>
            </w:r>
          </w:p>
        </w:tc>
        <w:tc>
          <w:tcPr>
            <w:tcW w:w="1191" w:type="dxa"/>
            <w:noWrap/>
          </w:tcPr>
          <w:p w14:paraId="068B9980" w14:textId="77777777" w:rsidR="00157285" w:rsidRPr="00C6052E" w:rsidRDefault="00157285" w:rsidP="00157285">
            <w:pPr>
              <w:pStyle w:val="TableHeading"/>
              <w:jc w:val="right"/>
            </w:pPr>
          </w:p>
        </w:tc>
        <w:tc>
          <w:tcPr>
            <w:tcW w:w="1191" w:type="dxa"/>
            <w:noWrap/>
          </w:tcPr>
          <w:p w14:paraId="348C82AA" w14:textId="77777777" w:rsidR="00157285" w:rsidRPr="00C6052E" w:rsidRDefault="00157285" w:rsidP="00157285">
            <w:pPr>
              <w:pStyle w:val="TableHeading"/>
              <w:jc w:val="right"/>
            </w:pPr>
          </w:p>
        </w:tc>
        <w:tc>
          <w:tcPr>
            <w:tcW w:w="1417" w:type="dxa"/>
            <w:noWrap/>
          </w:tcPr>
          <w:p w14:paraId="0D7D9252" w14:textId="77777777" w:rsidR="00157285" w:rsidRPr="00C6052E" w:rsidRDefault="00157285" w:rsidP="00157285">
            <w:pPr>
              <w:pStyle w:val="TableHeading"/>
              <w:jc w:val="right"/>
            </w:pPr>
          </w:p>
        </w:tc>
        <w:tc>
          <w:tcPr>
            <w:tcW w:w="1417" w:type="dxa"/>
            <w:noWrap/>
          </w:tcPr>
          <w:p w14:paraId="2563101C" w14:textId="77777777" w:rsidR="00157285" w:rsidRPr="00C6052E" w:rsidRDefault="00157285" w:rsidP="00157285">
            <w:pPr>
              <w:pStyle w:val="TableHeading"/>
              <w:jc w:val="right"/>
            </w:pPr>
          </w:p>
        </w:tc>
        <w:tc>
          <w:tcPr>
            <w:tcW w:w="1276" w:type="dxa"/>
            <w:noWrap/>
          </w:tcPr>
          <w:p w14:paraId="646DBE1D" w14:textId="77777777" w:rsidR="00157285" w:rsidRPr="00C6052E" w:rsidRDefault="00157285" w:rsidP="00157285">
            <w:pPr>
              <w:pStyle w:val="TableHeading"/>
              <w:jc w:val="right"/>
            </w:pPr>
          </w:p>
        </w:tc>
        <w:tc>
          <w:tcPr>
            <w:tcW w:w="1276" w:type="dxa"/>
            <w:noWrap/>
          </w:tcPr>
          <w:p w14:paraId="6123445C" w14:textId="77777777" w:rsidR="00157285" w:rsidRPr="00C6052E" w:rsidRDefault="00157285" w:rsidP="00157285">
            <w:pPr>
              <w:pStyle w:val="TableHeading"/>
              <w:jc w:val="right"/>
            </w:pPr>
          </w:p>
        </w:tc>
        <w:tc>
          <w:tcPr>
            <w:tcW w:w="1304" w:type="dxa"/>
            <w:noWrap/>
          </w:tcPr>
          <w:p w14:paraId="210277DB" w14:textId="77777777" w:rsidR="00157285" w:rsidRPr="00C6052E" w:rsidRDefault="00157285" w:rsidP="00157285">
            <w:pPr>
              <w:pStyle w:val="TableHeading"/>
              <w:jc w:val="right"/>
            </w:pPr>
          </w:p>
        </w:tc>
        <w:tc>
          <w:tcPr>
            <w:tcW w:w="1219" w:type="dxa"/>
            <w:noWrap/>
          </w:tcPr>
          <w:p w14:paraId="76BCDEC0" w14:textId="77777777" w:rsidR="00157285" w:rsidRPr="00C6052E" w:rsidRDefault="00157285" w:rsidP="00157285">
            <w:pPr>
              <w:pStyle w:val="TableHeading"/>
              <w:jc w:val="right"/>
            </w:pPr>
          </w:p>
        </w:tc>
      </w:tr>
      <w:tr w:rsidR="00EE5BB8" w:rsidRPr="00C6052E" w14:paraId="21AC88FE" w14:textId="77777777" w:rsidTr="006B5FCB">
        <w:tc>
          <w:tcPr>
            <w:tcW w:w="4390" w:type="dxa"/>
            <w:hideMark/>
          </w:tcPr>
          <w:p w14:paraId="5B887913" w14:textId="460698B9" w:rsidR="00EE5BB8" w:rsidRPr="00C6052E" w:rsidRDefault="00EE5BB8" w:rsidP="0063097D">
            <w:pPr>
              <w:pStyle w:val="TableCopy"/>
            </w:pPr>
            <w:r w:rsidRPr="00C6052E">
              <w:t>Net</w:t>
            </w:r>
            <w:r w:rsidR="00177848" w:rsidRPr="00C6052E">
              <w:t xml:space="preserve"> </w:t>
            </w:r>
            <w:r w:rsidRPr="00C6052E">
              <w:t>gain/(loss)</w:t>
            </w:r>
            <w:r w:rsidR="00177848" w:rsidRPr="00C6052E">
              <w:t xml:space="preserve"> </w:t>
            </w:r>
            <w:r w:rsidRPr="00C6052E">
              <w:t>on</w:t>
            </w:r>
            <w:r w:rsidR="00177848" w:rsidRPr="00C6052E">
              <w:t xml:space="preserve"> </w:t>
            </w:r>
            <w:r w:rsidRPr="00C6052E">
              <w:t>non-financial</w:t>
            </w:r>
            <w:r w:rsidR="00177848" w:rsidRPr="00C6052E">
              <w:t xml:space="preserve"> </w:t>
            </w:r>
            <w:r w:rsidRPr="00C6052E">
              <w:t>assets</w:t>
            </w:r>
          </w:p>
        </w:tc>
        <w:tc>
          <w:tcPr>
            <w:tcW w:w="1191" w:type="dxa"/>
            <w:noWrap/>
            <w:hideMark/>
          </w:tcPr>
          <w:p w14:paraId="1D99AC2A" w14:textId="77777777" w:rsidR="00EE5BB8" w:rsidRPr="00C6052E" w:rsidRDefault="00EE5BB8" w:rsidP="00157285">
            <w:pPr>
              <w:pStyle w:val="TableCopy"/>
              <w:jc w:val="right"/>
            </w:pPr>
            <w:r w:rsidRPr="00C6052E">
              <w:t>(12)</w:t>
            </w:r>
          </w:p>
        </w:tc>
        <w:tc>
          <w:tcPr>
            <w:tcW w:w="1191" w:type="dxa"/>
            <w:noWrap/>
            <w:hideMark/>
          </w:tcPr>
          <w:p w14:paraId="2B6E8E11" w14:textId="77777777" w:rsidR="00EE5BB8" w:rsidRPr="00C6052E" w:rsidRDefault="00EE5BB8" w:rsidP="00157285">
            <w:pPr>
              <w:pStyle w:val="TableCopy"/>
              <w:jc w:val="right"/>
            </w:pPr>
            <w:r w:rsidRPr="00C6052E">
              <w:t>74</w:t>
            </w:r>
          </w:p>
        </w:tc>
        <w:tc>
          <w:tcPr>
            <w:tcW w:w="1417" w:type="dxa"/>
            <w:noWrap/>
            <w:hideMark/>
          </w:tcPr>
          <w:p w14:paraId="4B4CEE9A" w14:textId="77777777" w:rsidR="00EE5BB8" w:rsidRPr="00C6052E" w:rsidRDefault="00EE5BB8" w:rsidP="00157285">
            <w:pPr>
              <w:pStyle w:val="TableCopy"/>
              <w:jc w:val="right"/>
            </w:pPr>
            <w:r w:rsidRPr="00C6052E">
              <w:t>82</w:t>
            </w:r>
          </w:p>
        </w:tc>
        <w:tc>
          <w:tcPr>
            <w:tcW w:w="1417" w:type="dxa"/>
            <w:noWrap/>
            <w:hideMark/>
          </w:tcPr>
          <w:p w14:paraId="616A6E46" w14:textId="77777777" w:rsidR="00EE5BB8" w:rsidRPr="00C6052E" w:rsidRDefault="00EE5BB8" w:rsidP="00157285">
            <w:pPr>
              <w:pStyle w:val="TableCopy"/>
              <w:jc w:val="right"/>
            </w:pPr>
            <w:r w:rsidRPr="00C6052E">
              <w:t>253</w:t>
            </w:r>
          </w:p>
        </w:tc>
        <w:tc>
          <w:tcPr>
            <w:tcW w:w="1276" w:type="dxa"/>
            <w:noWrap/>
            <w:hideMark/>
          </w:tcPr>
          <w:p w14:paraId="4B155596" w14:textId="77777777" w:rsidR="00EE5BB8" w:rsidRPr="00C6052E" w:rsidRDefault="00EE5BB8" w:rsidP="00157285">
            <w:pPr>
              <w:pStyle w:val="TableCopy"/>
              <w:jc w:val="right"/>
            </w:pPr>
            <w:r w:rsidRPr="00C6052E">
              <w:t>(82)</w:t>
            </w:r>
          </w:p>
        </w:tc>
        <w:tc>
          <w:tcPr>
            <w:tcW w:w="1276" w:type="dxa"/>
            <w:noWrap/>
            <w:hideMark/>
          </w:tcPr>
          <w:p w14:paraId="0C813363" w14:textId="77777777" w:rsidR="00EE5BB8" w:rsidRPr="00C6052E" w:rsidRDefault="00EE5BB8" w:rsidP="00157285">
            <w:pPr>
              <w:pStyle w:val="TableCopy"/>
              <w:jc w:val="right"/>
            </w:pPr>
            <w:r w:rsidRPr="00C6052E">
              <w:t>(888)</w:t>
            </w:r>
          </w:p>
        </w:tc>
        <w:tc>
          <w:tcPr>
            <w:tcW w:w="1304" w:type="dxa"/>
            <w:noWrap/>
            <w:hideMark/>
          </w:tcPr>
          <w:p w14:paraId="539D12EA" w14:textId="77777777" w:rsidR="00EE5BB8" w:rsidRPr="00C6052E" w:rsidRDefault="00EE5BB8" w:rsidP="00157285">
            <w:pPr>
              <w:pStyle w:val="TableCopy"/>
              <w:jc w:val="right"/>
            </w:pPr>
            <w:r w:rsidRPr="00C6052E">
              <w:t>(16)</w:t>
            </w:r>
          </w:p>
        </w:tc>
        <w:tc>
          <w:tcPr>
            <w:tcW w:w="1219" w:type="dxa"/>
            <w:noWrap/>
            <w:hideMark/>
          </w:tcPr>
          <w:p w14:paraId="4BEB6C74" w14:textId="77777777" w:rsidR="00EE5BB8" w:rsidRPr="00C6052E" w:rsidRDefault="00EE5BB8" w:rsidP="00157285">
            <w:pPr>
              <w:pStyle w:val="TableCopy"/>
              <w:jc w:val="right"/>
            </w:pPr>
            <w:r w:rsidRPr="00C6052E">
              <w:t>(263)</w:t>
            </w:r>
          </w:p>
        </w:tc>
      </w:tr>
      <w:tr w:rsidR="00EE5BB8" w:rsidRPr="00C6052E" w14:paraId="4ED3AE2E" w14:textId="77777777" w:rsidTr="006B5FCB">
        <w:tc>
          <w:tcPr>
            <w:tcW w:w="4390" w:type="dxa"/>
            <w:hideMark/>
          </w:tcPr>
          <w:p w14:paraId="73102C7F" w14:textId="3DD7499E" w:rsidR="00EE5BB8" w:rsidRPr="00C6052E" w:rsidRDefault="00EE5BB8" w:rsidP="0063097D">
            <w:pPr>
              <w:pStyle w:val="TableCopy"/>
            </w:pPr>
            <w:r w:rsidRPr="00C6052E">
              <w:t>Net</w:t>
            </w:r>
            <w:r w:rsidR="00177848" w:rsidRPr="00C6052E">
              <w:t xml:space="preserve"> </w:t>
            </w:r>
            <w:r w:rsidRPr="00C6052E">
              <w:t>gain/(loss)</w:t>
            </w:r>
            <w:r w:rsidR="00177848" w:rsidRPr="00C6052E">
              <w:t xml:space="preserve"> </w:t>
            </w:r>
            <w:r w:rsidRPr="00C6052E">
              <w:t>on</w:t>
            </w:r>
            <w:r w:rsidR="00177848" w:rsidRPr="00C6052E">
              <w:t xml:space="preserve"> </w:t>
            </w:r>
            <w:r w:rsidRPr="00C6052E">
              <w:t>financial</w:t>
            </w:r>
            <w:r w:rsidR="00177848" w:rsidRPr="00C6052E">
              <w:t xml:space="preserve"> </w:t>
            </w:r>
            <w:r w:rsidRPr="00C6052E">
              <w:t>instruments</w:t>
            </w:r>
            <w:r w:rsidR="00177848" w:rsidRPr="00C6052E">
              <w:t xml:space="preserve"> </w:t>
            </w:r>
          </w:p>
        </w:tc>
        <w:tc>
          <w:tcPr>
            <w:tcW w:w="1191" w:type="dxa"/>
            <w:noWrap/>
            <w:hideMark/>
          </w:tcPr>
          <w:p w14:paraId="4E87F521" w14:textId="77777777" w:rsidR="00EE5BB8" w:rsidRPr="00C6052E" w:rsidRDefault="00EE5BB8" w:rsidP="00157285">
            <w:pPr>
              <w:pStyle w:val="TableCopy"/>
              <w:jc w:val="right"/>
            </w:pPr>
            <w:r w:rsidRPr="00C6052E">
              <w:t>(178)</w:t>
            </w:r>
          </w:p>
        </w:tc>
        <w:tc>
          <w:tcPr>
            <w:tcW w:w="1191" w:type="dxa"/>
            <w:noWrap/>
            <w:hideMark/>
          </w:tcPr>
          <w:p w14:paraId="50D3C988" w14:textId="77777777" w:rsidR="00EE5BB8" w:rsidRPr="00C6052E" w:rsidRDefault="00EE5BB8" w:rsidP="00157285">
            <w:pPr>
              <w:pStyle w:val="TableCopy"/>
              <w:jc w:val="right"/>
            </w:pPr>
            <w:r w:rsidRPr="00C6052E">
              <w:t>(190)</w:t>
            </w:r>
          </w:p>
        </w:tc>
        <w:tc>
          <w:tcPr>
            <w:tcW w:w="1417" w:type="dxa"/>
            <w:noWrap/>
            <w:hideMark/>
          </w:tcPr>
          <w:p w14:paraId="67E73860" w14:textId="77777777" w:rsidR="00EE5BB8" w:rsidRPr="00C6052E" w:rsidRDefault="00EE5BB8" w:rsidP="00157285">
            <w:pPr>
              <w:pStyle w:val="TableCopy"/>
              <w:jc w:val="right"/>
            </w:pPr>
            <w:r w:rsidRPr="00C6052E">
              <w:t>–</w:t>
            </w:r>
          </w:p>
        </w:tc>
        <w:tc>
          <w:tcPr>
            <w:tcW w:w="1417" w:type="dxa"/>
            <w:noWrap/>
            <w:hideMark/>
          </w:tcPr>
          <w:p w14:paraId="2C6AB024" w14:textId="77777777" w:rsidR="00EE5BB8" w:rsidRPr="00C6052E" w:rsidRDefault="00EE5BB8" w:rsidP="00157285">
            <w:pPr>
              <w:pStyle w:val="TableCopy"/>
              <w:jc w:val="right"/>
            </w:pPr>
            <w:r w:rsidRPr="00C6052E">
              <w:t>(21)</w:t>
            </w:r>
          </w:p>
        </w:tc>
        <w:tc>
          <w:tcPr>
            <w:tcW w:w="1276" w:type="dxa"/>
            <w:noWrap/>
            <w:hideMark/>
          </w:tcPr>
          <w:p w14:paraId="13F412D2" w14:textId="77777777" w:rsidR="00EE5BB8" w:rsidRPr="00C6052E" w:rsidRDefault="00EE5BB8" w:rsidP="00157285">
            <w:pPr>
              <w:pStyle w:val="TableCopy"/>
              <w:jc w:val="right"/>
            </w:pPr>
            <w:r w:rsidRPr="00C6052E">
              <w:t>–</w:t>
            </w:r>
          </w:p>
        </w:tc>
        <w:tc>
          <w:tcPr>
            <w:tcW w:w="1276" w:type="dxa"/>
            <w:noWrap/>
            <w:hideMark/>
          </w:tcPr>
          <w:p w14:paraId="1582CF8B" w14:textId="77777777" w:rsidR="00EE5BB8" w:rsidRPr="00C6052E" w:rsidRDefault="00EE5BB8" w:rsidP="00157285">
            <w:pPr>
              <w:pStyle w:val="TableCopy"/>
              <w:jc w:val="right"/>
            </w:pPr>
            <w:r w:rsidRPr="00C6052E">
              <w:t>(501)</w:t>
            </w:r>
          </w:p>
        </w:tc>
        <w:tc>
          <w:tcPr>
            <w:tcW w:w="1304" w:type="dxa"/>
            <w:noWrap/>
            <w:hideMark/>
          </w:tcPr>
          <w:p w14:paraId="5660C563" w14:textId="77777777" w:rsidR="00EE5BB8" w:rsidRPr="00C6052E" w:rsidRDefault="00EE5BB8" w:rsidP="00157285">
            <w:pPr>
              <w:pStyle w:val="TableCopy"/>
              <w:jc w:val="right"/>
            </w:pPr>
            <w:r w:rsidRPr="00C6052E">
              <w:t>(6,956)</w:t>
            </w:r>
          </w:p>
        </w:tc>
        <w:tc>
          <w:tcPr>
            <w:tcW w:w="1219" w:type="dxa"/>
            <w:noWrap/>
            <w:hideMark/>
          </w:tcPr>
          <w:p w14:paraId="59814227" w14:textId="77777777" w:rsidR="00EE5BB8" w:rsidRPr="00C6052E" w:rsidRDefault="00EE5BB8" w:rsidP="00157285">
            <w:pPr>
              <w:pStyle w:val="TableCopy"/>
              <w:jc w:val="right"/>
            </w:pPr>
            <w:r w:rsidRPr="00C6052E">
              <w:t>(4,872)</w:t>
            </w:r>
          </w:p>
        </w:tc>
      </w:tr>
      <w:tr w:rsidR="00EE5BB8" w:rsidRPr="00C6052E" w14:paraId="1DBBD2D6" w14:textId="77777777" w:rsidTr="006B5FCB">
        <w:tc>
          <w:tcPr>
            <w:tcW w:w="4390" w:type="dxa"/>
            <w:hideMark/>
          </w:tcPr>
          <w:p w14:paraId="29CDF6A6" w14:textId="437F31C6" w:rsidR="00EE5BB8" w:rsidRPr="00C6052E" w:rsidRDefault="00EE5BB8" w:rsidP="0063097D">
            <w:pPr>
              <w:pStyle w:val="TableCopy"/>
            </w:pPr>
            <w:r w:rsidRPr="00C6052E">
              <w:t>Other</w:t>
            </w:r>
            <w:r w:rsidR="00177848" w:rsidRPr="00C6052E">
              <w:t xml:space="preserve"> </w:t>
            </w:r>
            <w:r w:rsidRPr="00C6052E">
              <w:t>gain/(loss)</w:t>
            </w:r>
            <w:r w:rsidR="00177848" w:rsidRPr="00C6052E">
              <w:t xml:space="preserve"> </w:t>
            </w:r>
            <w:r w:rsidRPr="00C6052E">
              <w:t>from</w:t>
            </w:r>
            <w:r w:rsidR="00177848" w:rsidRPr="00C6052E">
              <w:t xml:space="preserve"> </w:t>
            </w:r>
            <w:r w:rsidRPr="00C6052E">
              <w:t>other</w:t>
            </w:r>
            <w:r w:rsidR="00177848" w:rsidRPr="00C6052E">
              <w:t xml:space="preserve"> </w:t>
            </w:r>
            <w:r w:rsidRPr="00C6052E">
              <w:t>economic</w:t>
            </w:r>
            <w:r w:rsidR="00177848" w:rsidRPr="00C6052E">
              <w:t xml:space="preserve"> </w:t>
            </w:r>
            <w:r w:rsidRPr="00C6052E">
              <w:t>flows</w:t>
            </w:r>
            <w:r w:rsidR="00177848" w:rsidRPr="00C6052E">
              <w:t xml:space="preserve"> </w:t>
            </w:r>
          </w:p>
        </w:tc>
        <w:tc>
          <w:tcPr>
            <w:tcW w:w="1191" w:type="dxa"/>
            <w:noWrap/>
            <w:hideMark/>
          </w:tcPr>
          <w:p w14:paraId="5D7C1346" w14:textId="77777777" w:rsidR="00EE5BB8" w:rsidRPr="00C6052E" w:rsidRDefault="00EE5BB8" w:rsidP="00157285">
            <w:pPr>
              <w:pStyle w:val="TableCopy"/>
              <w:jc w:val="right"/>
            </w:pPr>
            <w:r w:rsidRPr="00C6052E">
              <w:t>(12)</w:t>
            </w:r>
          </w:p>
        </w:tc>
        <w:tc>
          <w:tcPr>
            <w:tcW w:w="1191" w:type="dxa"/>
            <w:noWrap/>
            <w:hideMark/>
          </w:tcPr>
          <w:p w14:paraId="7BFC3D84" w14:textId="77777777" w:rsidR="00EE5BB8" w:rsidRPr="00C6052E" w:rsidRDefault="00EE5BB8" w:rsidP="00157285">
            <w:pPr>
              <w:pStyle w:val="TableCopy"/>
              <w:jc w:val="right"/>
            </w:pPr>
            <w:r w:rsidRPr="00C6052E">
              <w:t>35</w:t>
            </w:r>
          </w:p>
        </w:tc>
        <w:tc>
          <w:tcPr>
            <w:tcW w:w="1417" w:type="dxa"/>
            <w:noWrap/>
            <w:hideMark/>
          </w:tcPr>
          <w:p w14:paraId="16D0F009" w14:textId="77777777" w:rsidR="00EE5BB8" w:rsidRPr="00C6052E" w:rsidRDefault="00EE5BB8" w:rsidP="00157285">
            <w:pPr>
              <w:pStyle w:val="TableCopy"/>
              <w:jc w:val="right"/>
            </w:pPr>
            <w:r w:rsidRPr="00C6052E">
              <w:t>(24)</w:t>
            </w:r>
          </w:p>
        </w:tc>
        <w:tc>
          <w:tcPr>
            <w:tcW w:w="1417" w:type="dxa"/>
            <w:noWrap/>
            <w:hideMark/>
          </w:tcPr>
          <w:p w14:paraId="68953F24" w14:textId="77777777" w:rsidR="00EE5BB8" w:rsidRPr="00C6052E" w:rsidRDefault="00EE5BB8" w:rsidP="00157285">
            <w:pPr>
              <w:pStyle w:val="TableCopy"/>
              <w:jc w:val="right"/>
            </w:pPr>
            <w:r w:rsidRPr="00C6052E">
              <w:t>27</w:t>
            </w:r>
          </w:p>
        </w:tc>
        <w:tc>
          <w:tcPr>
            <w:tcW w:w="1276" w:type="dxa"/>
            <w:noWrap/>
            <w:hideMark/>
          </w:tcPr>
          <w:p w14:paraId="40A438EC" w14:textId="77777777" w:rsidR="00EE5BB8" w:rsidRPr="00C6052E" w:rsidRDefault="00EE5BB8" w:rsidP="00157285">
            <w:pPr>
              <w:pStyle w:val="TableCopy"/>
              <w:jc w:val="right"/>
            </w:pPr>
            <w:r w:rsidRPr="00C6052E">
              <w:t>(30)</w:t>
            </w:r>
          </w:p>
        </w:tc>
        <w:tc>
          <w:tcPr>
            <w:tcW w:w="1276" w:type="dxa"/>
            <w:noWrap/>
            <w:hideMark/>
          </w:tcPr>
          <w:p w14:paraId="77287E56" w14:textId="77777777" w:rsidR="00EE5BB8" w:rsidRPr="00C6052E" w:rsidRDefault="00EE5BB8" w:rsidP="00157285">
            <w:pPr>
              <w:pStyle w:val="TableCopy"/>
              <w:jc w:val="right"/>
            </w:pPr>
            <w:r w:rsidRPr="00C6052E">
              <w:t>52</w:t>
            </w:r>
          </w:p>
        </w:tc>
        <w:tc>
          <w:tcPr>
            <w:tcW w:w="1304" w:type="dxa"/>
            <w:noWrap/>
            <w:hideMark/>
          </w:tcPr>
          <w:p w14:paraId="6783A9D1" w14:textId="77777777" w:rsidR="00EE5BB8" w:rsidRPr="00C6052E" w:rsidRDefault="00EE5BB8" w:rsidP="00157285">
            <w:pPr>
              <w:pStyle w:val="TableCopy"/>
              <w:jc w:val="right"/>
            </w:pPr>
            <w:r w:rsidRPr="00C6052E">
              <w:t>(34)</w:t>
            </w:r>
          </w:p>
        </w:tc>
        <w:tc>
          <w:tcPr>
            <w:tcW w:w="1219" w:type="dxa"/>
            <w:noWrap/>
            <w:hideMark/>
          </w:tcPr>
          <w:p w14:paraId="4116AB71" w14:textId="77777777" w:rsidR="00EE5BB8" w:rsidRPr="00C6052E" w:rsidRDefault="00EE5BB8" w:rsidP="00157285">
            <w:pPr>
              <w:pStyle w:val="TableCopy"/>
              <w:jc w:val="right"/>
            </w:pPr>
            <w:r w:rsidRPr="00C6052E">
              <w:t>(4)</w:t>
            </w:r>
          </w:p>
        </w:tc>
      </w:tr>
      <w:tr w:rsidR="00EE5BB8" w:rsidRPr="00C6052E" w14:paraId="0FD620A1" w14:textId="77777777" w:rsidTr="006B5FCB">
        <w:tc>
          <w:tcPr>
            <w:tcW w:w="4390" w:type="dxa"/>
            <w:noWrap/>
            <w:hideMark/>
          </w:tcPr>
          <w:p w14:paraId="49942BD7" w14:textId="6C429435" w:rsidR="00EE5BB8" w:rsidRPr="00C6052E" w:rsidRDefault="00EE5BB8" w:rsidP="0063097D">
            <w:pPr>
              <w:pStyle w:val="Tabletotal"/>
              <w:keepNext/>
            </w:pPr>
            <w:r w:rsidRPr="00C6052E">
              <w:t>Total</w:t>
            </w:r>
            <w:r w:rsidR="00177848" w:rsidRPr="00C6052E">
              <w:t xml:space="preserve"> </w:t>
            </w:r>
            <w:r w:rsidRPr="00C6052E">
              <w:t>other</w:t>
            </w:r>
            <w:r w:rsidR="00177848" w:rsidRPr="00C6052E">
              <w:t xml:space="preserve"> </w:t>
            </w:r>
            <w:r w:rsidRPr="00C6052E">
              <w:t>economic</w:t>
            </w:r>
            <w:r w:rsidR="00177848" w:rsidRPr="00C6052E">
              <w:t xml:space="preserve"> </w:t>
            </w:r>
            <w:r w:rsidRPr="00C6052E">
              <w:t>flows</w:t>
            </w:r>
            <w:r w:rsidR="00177848" w:rsidRPr="00C6052E">
              <w:t xml:space="preserve"> </w:t>
            </w:r>
            <w:r w:rsidRPr="00C6052E">
              <w:t>included</w:t>
            </w:r>
            <w:r w:rsidR="00177848" w:rsidRPr="00C6052E">
              <w:t xml:space="preserve"> </w:t>
            </w:r>
            <w:r w:rsidRPr="00C6052E">
              <w:t>in</w:t>
            </w:r>
            <w:r w:rsidR="00177848" w:rsidRPr="00C6052E">
              <w:t xml:space="preserve"> </w:t>
            </w:r>
            <w:r w:rsidRPr="00C6052E">
              <w:t>net</w:t>
            </w:r>
            <w:r w:rsidR="00177848" w:rsidRPr="00C6052E">
              <w:t xml:space="preserve"> </w:t>
            </w:r>
            <w:r w:rsidRPr="00C6052E">
              <w:t>result</w:t>
            </w:r>
          </w:p>
        </w:tc>
        <w:tc>
          <w:tcPr>
            <w:tcW w:w="1191" w:type="dxa"/>
            <w:noWrap/>
            <w:hideMark/>
          </w:tcPr>
          <w:p w14:paraId="5462B79D" w14:textId="77777777" w:rsidR="00EE5BB8" w:rsidRPr="00C6052E" w:rsidRDefault="00EE5BB8" w:rsidP="00157285">
            <w:pPr>
              <w:pStyle w:val="Tabletotal"/>
              <w:keepNext/>
              <w:jc w:val="right"/>
            </w:pPr>
            <w:r w:rsidRPr="00C6052E">
              <w:t>(202)</w:t>
            </w:r>
          </w:p>
        </w:tc>
        <w:tc>
          <w:tcPr>
            <w:tcW w:w="1191" w:type="dxa"/>
            <w:noWrap/>
            <w:hideMark/>
          </w:tcPr>
          <w:p w14:paraId="6A2ADA13" w14:textId="77777777" w:rsidR="00EE5BB8" w:rsidRPr="00C6052E" w:rsidRDefault="00EE5BB8" w:rsidP="00157285">
            <w:pPr>
              <w:pStyle w:val="Tabletotal"/>
              <w:keepNext/>
              <w:jc w:val="right"/>
            </w:pPr>
            <w:r w:rsidRPr="00C6052E">
              <w:t>(81)</w:t>
            </w:r>
          </w:p>
        </w:tc>
        <w:tc>
          <w:tcPr>
            <w:tcW w:w="1417" w:type="dxa"/>
            <w:noWrap/>
            <w:hideMark/>
          </w:tcPr>
          <w:p w14:paraId="08FCF528" w14:textId="77777777" w:rsidR="00EE5BB8" w:rsidRPr="00C6052E" w:rsidRDefault="00EE5BB8" w:rsidP="00157285">
            <w:pPr>
              <w:pStyle w:val="Tabletotal"/>
              <w:keepNext/>
              <w:jc w:val="right"/>
            </w:pPr>
            <w:r w:rsidRPr="00C6052E">
              <w:t>58</w:t>
            </w:r>
          </w:p>
        </w:tc>
        <w:tc>
          <w:tcPr>
            <w:tcW w:w="1417" w:type="dxa"/>
            <w:noWrap/>
            <w:hideMark/>
          </w:tcPr>
          <w:p w14:paraId="6B55A25F" w14:textId="77777777" w:rsidR="00EE5BB8" w:rsidRPr="00C6052E" w:rsidRDefault="00EE5BB8" w:rsidP="00157285">
            <w:pPr>
              <w:pStyle w:val="Tabletotal"/>
              <w:keepNext/>
              <w:jc w:val="right"/>
            </w:pPr>
            <w:r w:rsidRPr="00C6052E">
              <w:t>259</w:t>
            </w:r>
          </w:p>
        </w:tc>
        <w:tc>
          <w:tcPr>
            <w:tcW w:w="1276" w:type="dxa"/>
            <w:noWrap/>
            <w:hideMark/>
          </w:tcPr>
          <w:p w14:paraId="4F43021C" w14:textId="77777777" w:rsidR="00EE5BB8" w:rsidRPr="00C6052E" w:rsidRDefault="00EE5BB8" w:rsidP="00157285">
            <w:pPr>
              <w:pStyle w:val="Tabletotal"/>
              <w:keepNext/>
              <w:jc w:val="right"/>
            </w:pPr>
            <w:r w:rsidRPr="00C6052E">
              <w:t>(112)</w:t>
            </w:r>
          </w:p>
        </w:tc>
        <w:tc>
          <w:tcPr>
            <w:tcW w:w="1276" w:type="dxa"/>
            <w:noWrap/>
            <w:hideMark/>
          </w:tcPr>
          <w:p w14:paraId="58B4BFB7" w14:textId="77777777" w:rsidR="00EE5BB8" w:rsidRPr="00C6052E" w:rsidRDefault="00EE5BB8" w:rsidP="00157285">
            <w:pPr>
              <w:pStyle w:val="Tabletotal"/>
              <w:keepNext/>
              <w:jc w:val="right"/>
            </w:pPr>
            <w:r w:rsidRPr="00C6052E">
              <w:t>(1,337)</w:t>
            </w:r>
          </w:p>
        </w:tc>
        <w:tc>
          <w:tcPr>
            <w:tcW w:w="1304" w:type="dxa"/>
            <w:noWrap/>
            <w:hideMark/>
          </w:tcPr>
          <w:p w14:paraId="292BBDA0" w14:textId="77777777" w:rsidR="00EE5BB8" w:rsidRPr="00C6052E" w:rsidRDefault="00EE5BB8" w:rsidP="00157285">
            <w:pPr>
              <w:pStyle w:val="Tabletotal"/>
              <w:keepNext/>
              <w:jc w:val="right"/>
            </w:pPr>
            <w:r w:rsidRPr="00C6052E">
              <w:t>(7,006)</w:t>
            </w:r>
          </w:p>
        </w:tc>
        <w:tc>
          <w:tcPr>
            <w:tcW w:w="1219" w:type="dxa"/>
            <w:noWrap/>
            <w:hideMark/>
          </w:tcPr>
          <w:p w14:paraId="0E167D6B" w14:textId="77777777" w:rsidR="00EE5BB8" w:rsidRPr="00C6052E" w:rsidRDefault="00EE5BB8" w:rsidP="00157285">
            <w:pPr>
              <w:pStyle w:val="Tabletotal"/>
              <w:keepNext/>
              <w:jc w:val="right"/>
            </w:pPr>
            <w:r w:rsidRPr="00C6052E">
              <w:t>(5,139)</w:t>
            </w:r>
          </w:p>
        </w:tc>
      </w:tr>
      <w:tr w:rsidR="00EE5BB8" w:rsidRPr="00C6052E" w14:paraId="4DB9D05C" w14:textId="77777777" w:rsidTr="006B5FCB">
        <w:tc>
          <w:tcPr>
            <w:tcW w:w="4390" w:type="dxa"/>
            <w:noWrap/>
            <w:hideMark/>
          </w:tcPr>
          <w:p w14:paraId="24AE8127" w14:textId="569336FB" w:rsidR="00EE5BB8" w:rsidRPr="00C6052E" w:rsidRDefault="00EE5BB8" w:rsidP="0063097D">
            <w:pPr>
              <w:pStyle w:val="Tabletotal"/>
            </w:pPr>
            <w:r w:rsidRPr="00C6052E">
              <w:t>Net</w:t>
            </w:r>
            <w:r w:rsidR="00177848" w:rsidRPr="00C6052E">
              <w:t xml:space="preserve"> </w:t>
            </w:r>
            <w:r w:rsidRPr="00C6052E">
              <w:t>result</w:t>
            </w:r>
            <w:r w:rsidR="00177848" w:rsidRPr="00C6052E">
              <w:t xml:space="preserve"> </w:t>
            </w:r>
            <w:r w:rsidRPr="00C6052E">
              <w:t>from</w:t>
            </w:r>
            <w:r w:rsidR="00177848" w:rsidRPr="00C6052E">
              <w:t xml:space="preserve"> </w:t>
            </w:r>
            <w:r w:rsidRPr="00C6052E">
              <w:t>continuing</w:t>
            </w:r>
            <w:r w:rsidR="00177848" w:rsidRPr="00C6052E">
              <w:t xml:space="preserve"> </w:t>
            </w:r>
            <w:r w:rsidRPr="00C6052E">
              <w:t>operations</w:t>
            </w:r>
            <w:r w:rsidR="00177848" w:rsidRPr="00C6052E">
              <w:t xml:space="preserve"> </w:t>
            </w:r>
          </w:p>
        </w:tc>
        <w:tc>
          <w:tcPr>
            <w:tcW w:w="1191" w:type="dxa"/>
            <w:noWrap/>
            <w:hideMark/>
          </w:tcPr>
          <w:p w14:paraId="559D85A4" w14:textId="77777777" w:rsidR="00EE5BB8" w:rsidRPr="00C6052E" w:rsidRDefault="00EE5BB8" w:rsidP="00157285">
            <w:pPr>
              <w:pStyle w:val="Tabletotal"/>
              <w:jc w:val="right"/>
            </w:pPr>
            <w:r w:rsidRPr="00C6052E">
              <w:t>(4,606)</w:t>
            </w:r>
          </w:p>
        </w:tc>
        <w:tc>
          <w:tcPr>
            <w:tcW w:w="1191" w:type="dxa"/>
            <w:noWrap/>
            <w:hideMark/>
          </w:tcPr>
          <w:p w14:paraId="171CC191" w14:textId="77777777" w:rsidR="00EE5BB8" w:rsidRPr="00C6052E" w:rsidRDefault="00EE5BB8" w:rsidP="00157285">
            <w:pPr>
              <w:pStyle w:val="Tabletotal"/>
              <w:jc w:val="right"/>
            </w:pPr>
            <w:r w:rsidRPr="00C6052E">
              <w:t>(20,193)</w:t>
            </w:r>
          </w:p>
        </w:tc>
        <w:tc>
          <w:tcPr>
            <w:tcW w:w="1417" w:type="dxa"/>
            <w:noWrap/>
            <w:hideMark/>
          </w:tcPr>
          <w:p w14:paraId="453A9B1C" w14:textId="77777777" w:rsidR="00EE5BB8" w:rsidRPr="00C6052E" w:rsidRDefault="00EE5BB8" w:rsidP="00157285">
            <w:pPr>
              <w:pStyle w:val="Tabletotal"/>
              <w:jc w:val="right"/>
            </w:pPr>
            <w:r w:rsidRPr="00C6052E">
              <w:t>(6,659)</w:t>
            </w:r>
          </w:p>
        </w:tc>
        <w:tc>
          <w:tcPr>
            <w:tcW w:w="1417" w:type="dxa"/>
            <w:noWrap/>
            <w:hideMark/>
          </w:tcPr>
          <w:p w14:paraId="745D6D4A" w14:textId="77777777" w:rsidR="00EE5BB8" w:rsidRPr="00C6052E" w:rsidRDefault="00EE5BB8" w:rsidP="00157285">
            <w:pPr>
              <w:pStyle w:val="Tabletotal"/>
              <w:jc w:val="right"/>
            </w:pPr>
            <w:r w:rsidRPr="00C6052E">
              <w:t>(19,063)</w:t>
            </w:r>
          </w:p>
        </w:tc>
        <w:tc>
          <w:tcPr>
            <w:tcW w:w="1276" w:type="dxa"/>
            <w:noWrap/>
            <w:hideMark/>
          </w:tcPr>
          <w:p w14:paraId="3F36B435" w14:textId="77777777" w:rsidR="00EE5BB8" w:rsidRPr="00C6052E" w:rsidRDefault="00EE5BB8" w:rsidP="00157285">
            <w:pPr>
              <w:pStyle w:val="Tabletotal"/>
              <w:jc w:val="right"/>
            </w:pPr>
            <w:r w:rsidRPr="00C6052E">
              <w:t>(3,980)</w:t>
            </w:r>
          </w:p>
        </w:tc>
        <w:tc>
          <w:tcPr>
            <w:tcW w:w="1276" w:type="dxa"/>
            <w:noWrap/>
            <w:hideMark/>
          </w:tcPr>
          <w:p w14:paraId="30AC26B4" w14:textId="77777777" w:rsidR="00EE5BB8" w:rsidRPr="00C6052E" w:rsidRDefault="00EE5BB8" w:rsidP="00157285">
            <w:pPr>
              <w:pStyle w:val="Tabletotal"/>
              <w:jc w:val="right"/>
            </w:pPr>
            <w:r w:rsidRPr="00C6052E">
              <w:t>(3,365)</w:t>
            </w:r>
          </w:p>
        </w:tc>
        <w:tc>
          <w:tcPr>
            <w:tcW w:w="1304" w:type="dxa"/>
            <w:noWrap/>
            <w:hideMark/>
          </w:tcPr>
          <w:p w14:paraId="57558BE0" w14:textId="77777777" w:rsidR="00EE5BB8" w:rsidRPr="00C6052E" w:rsidRDefault="00EE5BB8" w:rsidP="00157285">
            <w:pPr>
              <w:pStyle w:val="Tabletotal"/>
              <w:jc w:val="right"/>
            </w:pPr>
            <w:r w:rsidRPr="00C6052E">
              <w:t>(9,726)</w:t>
            </w:r>
          </w:p>
        </w:tc>
        <w:tc>
          <w:tcPr>
            <w:tcW w:w="1219" w:type="dxa"/>
            <w:noWrap/>
            <w:hideMark/>
          </w:tcPr>
          <w:p w14:paraId="07E3EAF8" w14:textId="77777777" w:rsidR="00EE5BB8" w:rsidRPr="00C6052E" w:rsidRDefault="00EE5BB8" w:rsidP="00157285">
            <w:pPr>
              <w:pStyle w:val="Tabletotal"/>
              <w:jc w:val="right"/>
            </w:pPr>
            <w:r w:rsidRPr="00C6052E">
              <w:t>(14,159)</w:t>
            </w:r>
          </w:p>
        </w:tc>
      </w:tr>
      <w:tr w:rsidR="00157285" w:rsidRPr="00C6052E" w14:paraId="1EFBAEE3" w14:textId="77777777" w:rsidTr="006B5FCB">
        <w:tc>
          <w:tcPr>
            <w:tcW w:w="4390" w:type="dxa"/>
          </w:tcPr>
          <w:p w14:paraId="17F905C4" w14:textId="77486F35" w:rsidR="00157285" w:rsidRPr="00C6052E" w:rsidRDefault="00157285" w:rsidP="00CC580C">
            <w:pPr>
              <w:pStyle w:val="TableHeading"/>
            </w:pPr>
            <w:r w:rsidRPr="00C6052E">
              <w:t>Other economic flows – other comprehensive income: Items that will not be reclassified to net result</w:t>
            </w:r>
          </w:p>
        </w:tc>
        <w:tc>
          <w:tcPr>
            <w:tcW w:w="1191" w:type="dxa"/>
            <w:noWrap/>
          </w:tcPr>
          <w:p w14:paraId="475EE999" w14:textId="77777777" w:rsidR="00157285" w:rsidRPr="00C6052E" w:rsidRDefault="00157285" w:rsidP="00157285">
            <w:pPr>
              <w:pStyle w:val="TableHeading"/>
              <w:jc w:val="right"/>
            </w:pPr>
          </w:p>
        </w:tc>
        <w:tc>
          <w:tcPr>
            <w:tcW w:w="1191" w:type="dxa"/>
            <w:noWrap/>
          </w:tcPr>
          <w:p w14:paraId="1F3471AB" w14:textId="77777777" w:rsidR="00157285" w:rsidRPr="00C6052E" w:rsidRDefault="00157285" w:rsidP="00157285">
            <w:pPr>
              <w:pStyle w:val="TableHeading"/>
              <w:jc w:val="right"/>
            </w:pPr>
          </w:p>
        </w:tc>
        <w:tc>
          <w:tcPr>
            <w:tcW w:w="1417" w:type="dxa"/>
            <w:noWrap/>
          </w:tcPr>
          <w:p w14:paraId="39F973DB" w14:textId="77777777" w:rsidR="00157285" w:rsidRPr="00C6052E" w:rsidRDefault="00157285" w:rsidP="00157285">
            <w:pPr>
              <w:pStyle w:val="TableHeading"/>
              <w:jc w:val="right"/>
            </w:pPr>
          </w:p>
        </w:tc>
        <w:tc>
          <w:tcPr>
            <w:tcW w:w="1417" w:type="dxa"/>
            <w:noWrap/>
          </w:tcPr>
          <w:p w14:paraId="31DE5E05" w14:textId="77777777" w:rsidR="00157285" w:rsidRPr="00C6052E" w:rsidRDefault="00157285" w:rsidP="00157285">
            <w:pPr>
              <w:pStyle w:val="TableHeading"/>
              <w:jc w:val="right"/>
            </w:pPr>
          </w:p>
        </w:tc>
        <w:tc>
          <w:tcPr>
            <w:tcW w:w="1276" w:type="dxa"/>
            <w:noWrap/>
          </w:tcPr>
          <w:p w14:paraId="3AC9A7E7" w14:textId="77777777" w:rsidR="00157285" w:rsidRPr="00C6052E" w:rsidRDefault="00157285" w:rsidP="00157285">
            <w:pPr>
              <w:pStyle w:val="TableHeading"/>
              <w:jc w:val="right"/>
            </w:pPr>
          </w:p>
        </w:tc>
        <w:tc>
          <w:tcPr>
            <w:tcW w:w="1276" w:type="dxa"/>
            <w:noWrap/>
          </w:tcPr>
          <w:p w14:paraId="653B2AB3" w14:textId="77777777" w:rsidR="00157285" w:rsidRPr="00C6052E" w:rsidRDefault="00157285" w:rsidP="00157285">
            <w:pPr>
              <w:pStyle w:val="TableHeading"/>
              <w:jc w:val="right"/>
            </w:pPr>
          </w:p>
        </w:tc>
        <w:tc>
          <w:tcPr>
            <w:tcW w:w="1304" w:type="dxa"/>
            <w:noWrap/>
          </w:tcPr>
          <w:p w14:paraId="29E1F071" w14:textId="77777777" w:rsidR="00157285" w:rsidRPr="00C6052E" w:rsidRDefault="00157285" w:rsidP="00157285">
            <w:pPr>
              <w:pStyle w:val="TableHeading"/>
              <w:jc w:val="right"/>
            </w:pPr>
          </w:p>
        </w:tc>
        <w:tc>
          <w:tcPr>
            <w:tcW w:w="1219" w:type="dxa"/>
            <w:noWrap/>
          </w:tcPr>
          <w:p w14:paraId="5BD1E99A" w14:textId="77777777" w:rsidR="00157285" w:rsidRPr="00C6052E" w:rsidRDefault="00157285" w:rsidP="00157285">
            <w:pPr>
              <w:pStyle w:val="TableHeading"/>
              <w:jc w:val="right"/>
            </w:pPr>
          </w:p>
        </w:tc>
      </w:tr>
      <w:tr w:rsidR="00EE5BB8" w:rsidRPr="00C6052E" w14:paraId="150BB632" w14:textId="77777777" w:rsidTr="006B5FCB">
        <w:tc>
          <w:tcPr>
            <w:tcW w:w="4390" w:type="dxa"/>
            <w:hideMark/>
          </w:tcPr>
          <w:p w14:paraId="4D50ECF1" w14:textId="0A5ECDD0" w:rsidR="00EE5BB8" w:rsidRPr="00C6052E" w:rsidRDefault="00EE5BB8" w:rsidP="0063097D">
            <w:pPr>
              <w:pStyle w:val="TableCopy"/>
            </w:pPr>
            <w:r w:rsidRPr="00C6052E">
              <w:t>Changes</w:t>
            </w:r>
            <w:r w:rsidR="00177848" w:rsidRPr="00C6052E">
              <w:t xml:space="preserve"> </w:t>
            </w:r>
            <w:r w:rsidRPr="00C6052E">
              <w:t>in</w:t>
            </w:r>
            <w:r w:rsidR="00177848" w:rsidRPr="00C6052E">
              <w:t xml:space="preserve"> </w:t>
            </w:r>
            <w:r w:rsidRPr="00C6052E">
              <w:t>physical</w:t>
            </w:r>
            <w:r w:rsidR="00177848" w:rsidRPr="00C6052E">
              <w:t xml:space="preserve"> </w:t>
            </w:r>
            <w:r w:rsidRPr="00C6052E">
              <w:t>asset</w:t>
            </w:r>
            <w:r w:rsidR="00177848" w:rsidRPr="00C6052E">
              <w:t xml:space="preserve"> </w:t>
            </w:r>
            <w:r w:rsidRPr="00C6052E">
              <w:t>revaluation</w:t>
            </w:r>
            <w:r w:rsidR="00177848" w:rsidRPr="00C6052E">
              <w:t xml:space="preserve"> </w:t>
            </w:r>
            <w:r w:rsidRPr="00C6052E">
              <w:t>surplus</w:t>
            </w:r>
          </w:p>
        </w:tc>
        <w:tc>
          <w:tcPr>
            <w:tcW w:w="1191" w:type="dxa"/>
            <w:noWrap/>
            <w:hideMark/>
          </w:tcPr>
          <w:p w14:paraId="349EBE8E" w14:textId="77777777" w:rsidR="00EE5BB8" w:rsidRPr="00C6052E" w:rsidRDefault="00EE5BB8" w:rsidP="00157285">
            <w:pPr>
              <w:pStyle w:val="TableCopy"/>
              <w:jc w:val="right"/>
            </w:pPr>
            <w:r w:rsidRPr="00C6052E">
              <w:t>–</w:t>
            </w:r>
          </w:p>
        </w:tc>
        <w:tc>
          <w:tcPr>
            <w:tcW w:w="1191" w:type="dxa"/>
            <w:noWrap/>
            <w:hideMark/>
          </w:tcPr>
          <w:p w14:paraId="490121BB" w14:textId="77777777" w:rsidR="00EE5BB8" w:rsidRPr="00C6052E" w:rsidRDefault="00EE5BB8" w:rsidP="00157285">
            <w:pPr>
              <w:pStyle w:val="TableCopy"/>
              <w:jc w:val="right"/>
            </w:pPr>
            <w:r w:rsidRPr="00C6052E">
              <w:t>–</w:t>
            </w:r>
          </w:p>
        </w:tc>
        <w:tc>
          <w:tcPr>
            <w:tcW w:w="1417" w:type="dxa"/>
            <w:noWrap/>
            <w:hideMark/>
          </w:tcPr>
          <w:p w14:paraId="4B77DC19" w14:textId="77777777" w:rsidR="00EE5BB8" w:rsidRPr="00C6052E" w:rsidRDefault="00EE5BB8" w:rsidP="00157285">
            <w:pPr>
              <w:pStyle w:val="TableCopy"/>
              <w:jc w:val="right"/>
            </w:pPr>
            <w:r w:rsidRPr="00C6052E">
              <w:t>–</w:t>
            </w:r>
          </w:p>
        </w:tc>
        <w:tc>
          <w:tcPr>
            <w:tcW w:w="1417" w:type="dxa"/>
            <w:noWrap/>
            <w:hideMark/>
          </w:tcPr>
          <w:p w14:paraId="50438AC4" w14:textId="77777777" w:rsidR="00EE5BB8" w:rsidRPr="00C6052E" w:rsidRDefault="00EE5BB8" w:rsidP="00157285">
            <w:pPr>
              <w:pStyle w:val="TableCopy"/>
              <w:jc w:val="right"/>
            </w:pPr>
            <w:r w:rsidRPr="00C6052E">
              <w:t>–</w:t>
            </w:r>
          </w:p>
        </w:tc>
        <w:tc>
          <w:tcPr>
            <w:tcW w:w="1276" w:type="dxa"/>
            <w:noWrap/>
            <w:hideMark/>
          </w:tcPr>
          <w:p w14:paraId="4A2F5952" w14:textId="77777777" w:rsidR="00EE5BB8" w:rsidRPr="00C6052E" w:rsidRDefault="00EE5BB8" w:rsidP="00157285">
            <w:pPr>
              <w:pStyle w:val="TableCopy"/>
              <w:jc w:val="right"/>
            </w:pPr>
            <w:r w:rsidRPr="00C6052E">
              <w:t>764</w:t>
            </w:r>
          </w:p>
        </w:tc>
        <w:tc>
          <w:tcPr>
            <w:tcW w:w="1276" w:type="dxa"/>
            <w:noWrap/>
            <w:hideMark/>
          </w:tcPr>
          <w:p w14:paraId="158269A5" w14:textId="77777777" w:rsidR="00EE5BB8" w:rsidRPr="00C6052E" w:rsidRDefault="00EE5BB8" w:rsidP="00157285">
            <w:pPr>
              <w:pStyle w:val="TableCopy"/>
              <w:jc w:val="right"/>
            </w:pPr>
            <w:r w:rsidRPr="00C6052E">
              <w:t>–</w:t>
            </w:r>
          </w:p>
        </w:tc>
        <w:tc>
          <w:tcPr>
            <w:tcW w:w="1304" w:type="dxa"/>
            <w:noWrap/>
            <w:hideMark/>
          </w:tcPr>
          <w:p w14:paraId="471BA406" w14:textId="77777777" w:rsidR="00EE5BB8" w:rsidRPr="00C6052E" w:rsidRDefault="00EE5BB8" w:rsidP="00157285">
            <w:pPr>
              <w:pStyle w:val="TableCopy"/>
              <w:jc w:val="right"/>
            </w:pPr>
            <w:r w:rsidRPr="00C6052E">
              <w:t>–</w:t>
            </w:r>
          </w:p>
        </w:tc>
        <w:tc>
          <w:tcPr>
            <w:tcW w:w="1219" w:type="dxa"/>
            <w:noWrap/>
            <w:hideMark/>
          </w:tcPr>
          <w:p w14:paraId="0A706628" w14:textId="77777777" w:rsidR="00EE5BB8" w:rsidRPr="00C6052E" w:rsidRDefault="00EE5BB8" w:rsidP="00157285">
            <w:pPr>
              <w:pStyle w:val="TableCopy"/>
              <w:jc w:val="right"/>
            </w:pPr>
            <w:r w:rsidRPr="00C6052E">
              <w:t>–</w:t>
            </w:r>
          </w:p>
        </w:tc>
      </w:tr>
      <w:tr w:rsidR="00EE5BB8" w:rsidRPr="00C6052E" w14:paraId="1BBFBFB3" w14:textId="77777777" w:rsidTr="006B5FCB">
        <w:tc>
          <w:tcPr>
            <w:tcW w:w="4390" w:type="dxa"/>
            <w:noWrap/>
            <w:hideMark/>
          </w:tcPr>
          <w:p w14:paraId="7D594F56" w14:textId="1133D111" w:rsidR="00EE5BB8" w:rsidRPr="00C6052E" w:rsidRDefault="00EE5BB8" w:rsidP="0063097D">
            <w:pPr>
              <w:pStyle w:val="Tabletotal"/>
            </w:pPr>
            <w:r w:rsidRPr="00C6052E">
              <w:t>Comprehensive</w:t>
            </w:r>
            <w:r w:rsidR="00177848" w:rsidRPr="00C6052E">
              <w:t xml:space="preserve"> </w:t>
            </w:r>
            <w:r w:rsidRPr="00C6052E">
              <w:t>result</w:t>
            </w:r>
          </w:p>
        </w:tc>
        <w:tc>
          <w:tcPr>
            <w:tcW w:w="1191" w:type="dxa"/>
            <w:noWrap/>
            <w:hideMark/>
          </w:tcPr>
          <w:p w14:paraId="664598C4" w14:textId="77777777" w:rsidR="00EE5BB8" w:rsidRPr="00C6052E" w:rsidRDefault="00EE5BB8" w:rsidP="00157285">
            <w:pPr>
              <w:pStyle w:val="Tabletotal"/>
              <w:jc w:val="right"/>
            </w:pPr>
            <w:r w:rsidRPr="00C6052E">
              <w:t>(4,606)</w:t>
            </w:r>
          </w:p>
        </w:tc>
        <w:tc>
          <w:tcPr>
            <w:tcW w:w="1191" w:type="dxa"/>
            <w:noWrap/>
            <w:hideMark/>
          </w:tcPr>
          <w:p w14:paraId="1702813B" w14:textId="77777777" w:rsidR="00EE5BB8" w:rsidRPr="00C6052E" w:rsidRDefault="00EE5BB8" w:rsidP="00157285">
            <w:pPr>
              <w:pStyle w:val="Tabletotal"/>
              <w:jc w:val="right"/>
            </w:pPr>
            <w:r w:rsidRPr="00C6052E">
              <w:t>(20,193)</w:t>
            </w:r>
          </w:p>
        </w:tc>
        <w:tc>
          <w:tcPr>
            <w:tcW w:w="1417" w:type="dxa"/>
            <w:noWrap/>
            <w:hideMark/>
          </w:tcPr>
          <w:p w14:paraId="562468BC" w14:textId="77777777" w:rsidR="00EE5BB8" w:rsidRPr="00C6052E" w:rsidRDefault="00EE5BB8" w:rsidP="00157285">
            <w:pPr>
              <w:pStyle w:val="Tabletotal"/>
              <w:jc w:val="right"/>
            </w:pPr>
            <w:r w:rsidRPr="00C6052E">
              <w:t>(6,659)</w:t>
            </w:r>
          </w:p>
        </w:tc>
        <w:tc>
          <w:tcPr>
            <w:tcW w:w="1417" w:type="dxa"/>
            <w:noWrap/>
            <w:hideMark/>
          </w:tcPr>
          <w:p w14:paraId="4DD2C5E5" w14:textId="77777777" w:rsidR="00EE5BB8" w:rsidRPr="00C6052E" w:rsidRDefault="00EE5BB8" w:rsidP="00157285">
            <w:pPr>
              <w:pStyle w:val="Tabletotal"/>
              <w:jc w:val="right"/>
            </w:pPr>
            <w:r w:rsidRPr="00C6052E">
              <w:t>(19,063)</w:t>
            </w:r>
          </w:p>
        </w:tc>
        <w:tc>
          <w:tcPr>
            <w:tcW w:w="1276" w:type="dxa"/>
            <w:noWrap/>
            <w:hideMark/>
          </w:tcPr>
          <w:p w14:paraId="29FEB49D" w14:textId="77777777" w:rsidR="00EE5BB8" w:rsidRPr="00C6052E" w:rsidRDefault="00EE5BB8" w:rsidP="00157285">
            <w:pPr>
              <w:pStyle w:val="Tabletotal"/>
              <w:jc w:val="right"/>
            </w:pPr>
            <w:r w:rsidRPr="00C6052E">
              <w:t>(3,216)</w:t>
            </w:r>
          </w:p>
        </w:tc>
        <w:tc>
          <w:tcPr>
            <w:tcW w:w="1276" w:type="dxa"/>
            <w:noWrap/>
            <w:hideMark/>
          </w:tcPr>
          <w:p w14:paraId="2B63BD62" w14:textId="77777777" w:rsidR="00EE5BB8" w:rsidRPr="00C6052E" w:rsidRDefault="00EE5BB8" w:rsidP="00157285">
            <w:pPr>
              <w:pStyle w:val="Tabletotal"/>
              <w:jc w:val="right"/>
            </w:pPr>
            <w:r w:rsidRPr="00C6052E">
              <w:t>(3,365)</w:t>
            </w:r>
          </w:p>
        </w:tc>
        <w:tc>
          <w:tcPr>
            <w:tcW w:w="1304" w:type="dxa"/>
            <w:noWrap/>
            <w:hideMark/>
          </w:tcPr>
          <w:p w14:paraId="2C6523FB" w14:textId="77777777" w:rsidR="00EE5BB8" w:rsidRPr="00C6052E" w:rsidRDefault="00EE5BB8" w:rsidP="00157285">
            <w:pPr>
              <w:pStyle w:val="Tabletotal"/>
              <w:jc w:val="right"/>
            </w:pPr>
            <w:r w:rsidRPr="00C6052E">
              <w:t>(9,726)</w:t>
            </w:r>
          </w:p>
        </w:tc>
        <w:tc>
          <w:tcPr>
            <w:tcW w:w="1219" w:type="dxa"/>
            <w:noWrap/>
            <w:hideMark/>
          </w:tcPr>
          <w:p w14:paraId="3F2223AF" w14:textId="77777777" w:rsidR="00EE5BB8" w:rsidRPr="00C6052E" w:rsidRDefault="00EE5BB8" w:rsidP="00157285">
            <w:pPr>
              <w:pStyle w:val="Tabletotal"/>
              <w:jc w:val="right"/>
            </w:pPr>
            <w:r w:rsidRPr="00C6052E">
              <w:t>(14,159)</w:t>
            </w:r>
          </w:p>
        </w:tc>
      </w:tr>
    </w:tbl>
    <w:p w14:paraId="359B95BD" w14:textId="77777777" w:rsidR="00EE5BB8" w:rsidRPr="00C6052E" w:rsidRDefault="00EE5BB8" w:rsidP="00EE5BB8">
      <w:r w:rsidRPr="00C6052E">
        <w:br w:type="page"/>
      </w:r>
    </w:p>
    <w:p w14:paraId="2CCC32AD" w14:textId="2C307317" w:rsidR="00EE5BB8" w:rsidRPr="00C6052E" w:rsidRDefault="00EE5BB8" w:rsidP="00157285">
      <w:pPr>
        <w:pStyle w:val="Heading3numbered0"/>
        <w:numPr>
          <w:ilvl w:val="0"/>
          <w:numId w:val="0"/>
        </w:numPr>
        <w:ind w:left="709" w:hanging="709"/>
      </w:pPr>
      <w:r w:rsidRPr="00C6052E">
        <w:lastRenderedPageBreak/>
        <w:fldChar w:fldCharType="begin"/>
      </w:r>
      <w:r w:rsidRPr="00C6052E">
        <w:instrText xml:space="preserve"> REF _Ref161671142 \r \h </w:instrText>
      </w:r>
      <w:r w:rsidRPr="00C6052E">
        <w:fldChar w:fldCharType="separate"/>
      </w:r>
      <w:r w:rsidRPr="00C6052E">
        <w:t>4.1.2</w:t>
      </w:r>
      <w:r w:rsidRPr="00C6052E">
        <w:fldChar w:fldCharType="end"/>
      </w:r>
      <w:r w:rsidRPr="00C6052E">
        <w:tab/>
      </w:r>
      <w:r w:rsidRPr="00C6052E">
        <w:fldChar w:fldCharType="begin"/>
      </w:r>
      <w:r w:rsidRPr="00C6052E">
        <w:instrText xml:space="preserve"> REF _Ref161671142 \h </w:instrText>
      </w:r>
      <w:r w:rsidRPr="00C6052E">
        <w:fldChar w:fldCharType="separate"/>
      </w:r>
      <w:r w:rsidR="006B5FCB" w:rsidRPr="00C6052E">
        <w:t>Departmental outputs: Controlled revenue and income and expenses for the year ended 30 June 2025 DJSIR Outputs</w:t>
      </w:r>
      <w:r w:rsidRPr="00C6052E">
        <w:fldChar w:fldCharType="end"/>
      </w:r>
      <w:r w:rsidR="00177848" w:rsidRPr="00C6052E">
        <w:t xml:space="preserve"> </w:t>
      </w:r>
      <w:r w:rsidR="006B5FCB" w:rsidRPr="00C6052E">
        <w:t xml:space="preserve">($ thousand) </w:t>
      </w:r>
      <w:r w:rsidRPr="00C6052E">
        <w:t>(continued)</w:t>
      </w:r>
      <w:r w:rsidR="00177848" w:rsidRPr="00C6052E">
        <w:t xml:space="preserve"> </w:t>
      </w:r>
    </w:p>
    <w:tbl>
      <w:tblPr>
        <w:tblStyle w:val="TableGrid"/>
        <w:tblW w:w="14735" w:type="dxa"/>
        <w:tblLayout w:type="fixed"/>
        <w:tblLook w:val="04E0" w:firstRow="1" w:lastRow="1" w:firstColumn="1" w:lastColumn="0" w:noHBand="0" w:noVBand="1"/>
      </w:tblPr>
      <w:tblGrid>
        <w:gridCol w:w="3397"/>
        <w:gridCol w:w="1020"/>
        <w:gridCol w:w="1020"/>
        <w:gridCol w:w="1020"/>
        <w:gridCol w:w="1020"/>
        <w:gridCol w:w="1191"/>
        <w:gridCol w:w="1191"/>
        <w:gridCol w:w="1077"/>
        <w:gridCol w:w="1077"/>
        <w:gridCol w:w="1361"/>
        <w:gridCol w:w="1361"/>
      </w:tblGrid>
      <w:tr w:rsidR="00CA7AB2" w:rsidRPr="00C6052E" w14:paraId="35177753" w14:textId="77777777" w:rsidTr="006B5FCB">
        <w:trPr>
          <w:tblHeader/>
        </w:trPr>
        <w:tc>
          <w:tcPr>
            <w:tcW w:w="3397" w:type="dxa"/>
            <w:noWrap/>
            <w:hideMark/>
          </w:tcPr>
          <w:p w14:paraId="7930A91D" w14:textId="77777777" w:rsidR="00EE5BB8" w:rsidRPr="00C6052E" w:rsidRDefault="00EE5BB8" w:rsidP="00CA7AB2">
            <w:pPr>
              <w:pStyle w:val="TableColumnHeading"/>
            </w:pPr>
            <w:bookmarkStart w:id="181" w:name="TableColumnHeadings_58"/>
            <w:bookmarkEnd w:id="181"/>
          </w:p>
        </w:tc>
        <w:tc>
          <w:tcPr>
            <w:tcW w:w="1020" w:type="dxa"/>
            <w:hideMark/>
          </w:tcPr>
          <w:p w14:paraId="5AD4A65C" w14:textId="01B9F289" w:rsidR="00EE5BB8" w:rsidRPr="00C6052E" w:rsidRDefault="006B5FCB" w:rsidP="00CA7AB2">
            <w:pPr>
              <w:pStyle w:val="TableColumnHeading"/>
              <w:jc w:val="right"/>
            </w:pPr>
            <w:r w:rsidRPr="00C6052E">
              <w:rPr>
                <w:lang w:val="en-AU"/>
              </w:rPr>
              <w:t xml:space="preserve">Tourism and </w:t>
            </w:r>
            <w:r w:rsidRPr="00C6052E">
              <w:rPr>
                <w:lang w:val="en-AU"/>
              </w:rPr>
              <w:br/>
              <w:t xml:space="preserve">Major Events </w:t>
            </w:r>
            <w:r w:rsidR="00EE5BB8" w:rsidRPr="00C6052E">
              <w:t>2025</w:t>
            </w:r>
          </w:p>
        </w:tc>
        <w:tc>
          <w:tcPr>
            <w:tcW w:w="1020" w:type="dxa"/>
            <w:hideMark/>
          </w:tcPr>
          <w:p w14:paraId="2AFEF5C2" w14:textId="29FB3464" w:rsidR="00EE5BB8" w:rsidRPr="00C6052E" w:rsidRDefault="006B5FCB" w:rsidP="00CA7AB2">
            <w:pPr>
              <w:pStyle w:val="TableColumnHeading"/>
              <w:jc w:val="right"/>
            </w:pPr>
            <w:r w:rsidRPr="00C6052E">
              <w:rPr>
                <w:lang w:val="en-AU"/>
              </w:rPr>
              <w:t xml:space="preserve">Tourism and </w:t>
            </w:r>
            <w:r w:rsidRPr="00C6052E">
              <w:rPr>
                <w:lang w:val="en-AU"/>
              </w:rPr>
              <w:br/>
              <w:t xml:space="preserve">Major Events </w:t>
            </w:r>
            <w:r w:rsidR="00EE5BB8" w:rsidRPr="00C6052E">
              <w:t>2024</w:t>
            </w:r>
          </w:p>
        </w:tc>
        <w:tc>
          <w:tcPr>
            <w:tcW w:w="1020" w:type="dxa"/>
            <w:hideMark/>
          </w:tcPr>
          <w:p w14:paraId="1226E141" w14:textId="661752DB" w:rsidR="00EE5BB8" w:rsidRPr="00C6052E" w:rsidRDefault="006B5FCB" w:rsidP="00CA7AB2">
            <w:pPr>
              <w:pStyle w:val="TableColumnHeading"/>
              <w:jc w:val="right"/>
            </w:pPr>
            <w:r w:rsidRPr="00C6052E">
              <w:rPr>
                <w:lang w:val="en-AU"/>
              </w:rPr>
              <w:t>Fishing, Boating and Game Manage</w:t>
            </w:r>
            <w:r>
              <w:rPr>
                <w:lang w:val="en-AU"/>
              </w:rPr>
              <w:t>-</w:t>
            </w:r>
            <w:proofErr w:type="spellStart"/>
            <w:r w:rsidRPr="00C6052E">
              <w:rPr>
                <w:lang w:val="en-AU"/>
              </w:rPr>
              <w:t>ment</w:t>
            </w:r>
            <w:proofErr w:type="spellEnd"/>
            <w:r w:rsidRPr="00C6052E">
              <w:t xml:space="preserve"> </w:t>
            </w:r>
            <w:r w:rsidR="00EE5BB8" w:rsidRPr="00C6052E">
              <w:t>2025</w:t>
            </w:r>
          </w:p>
        </w:tc>
        <w:tc>
          <w:tcPr>
            <w:tcW w:w="1020" w:type="dxa"/>
            <w:hideMark/>
          </w:tcPr>
          <w:p w14:paraId="789C42EA" w14:textId="27D2782C" w:rsidR="00EE5BB8" w:rsidRPr="00C6052E" w:rsidRDefault="006B5FCB" w:rsidP="00CA7AB2">
            <w:pPr>
              <w:pStyle w:val="TableColumnHeading"/>
              <w:jc w:val="right"/>
            </w:pPr>
            <w:r w:rsidRPr="00C6052E">
              <w:rPr>
                <w:lang w:val="en-AU"/>
              </w:rPr>
              <w:t>Fishing, Boating and Game Manage</w:t>
            </w:r>
            <w:r>
              <w:rPr>
                <w:lang w:val="en-AU"/>
              </w:rPr>
              <w:t>-</w:t>
            </w:r>
            <w:proofErr w:type="spellStart"/>
            <w:r w:rsidRPr="00C6052E">
              <w:rPr>
                <w:lang w:val="en-AU"/>
              </w:rPr>
              <w:t>ment</w:t>
            </w:r>
            <w:proofErr w:type="spellEnd"/>
            <w:r w:rsidRPr="00C6052E">
              <w:t xml:space="preserve"> </w:t>
            </w:r>
            <w:r w:rsidR="00EE5BB8" w:rsidRPr="00C6052E">
              <w:t>2024</w:t>
            </w:r>
          </w:p>
        </w:tc>
        <w:tc>
          <w:tcPr>
            <w:tcW w:w="1191" w:type="dxa"/>
            <w:hideMark/>
          </w:tcPr>
          <w:p w14:paraId="1DC01614" w14:textId="5058F6F1" w:rsidR="00EE5BB8" w:rsidRPr="00C6052E" w:rsidRDefault="006B5FCB" w:rsidP="00CA7AB2">
            <w:pPr>
              <w:pStyle w:val="TableColumnHeading"/>
              <w:jc w:val="right"/>
            </w:pPr>
            <w:r w:rsidRPr="00C6052E">
              <w:rPr>
                <w:lang w:val="en-AU"/>
              </w:rPr>
              <w:t>Training, Higher Education and Workforce Develop</w:t>
            </w:r>
            <w:r>
              <w:rPr>
                <w:lang w:val="en-AU"/>
              </w:rPr>
              <w:t>-</w:t>
            </w:r>
            <w:proofErr w:type="spellStart"/>
            <w:r w:rsidRPr="00C6052E">
              <w:rPr>
                <w:lang w:val="en-AU"/>
              </w:rPr>
              <w:t>ment</w:t>
            </w:r>
            <w:proofErr w:type="spellEnd"/>
            <w:r w:rsidRPr="00C6052E">
              <w:t xml:space="preserve"> </w:t>
            </w:r>
            <w:r w:rsidR="00EE5BB8" w:rsidRPr="00C6052E">
              <w:t>2025</w:t>
            </w:r>
          </w:p>
        </w:tc>
        <w:tc>
          <w:tcPr>
            <w:tcW w:w="1191" w:type="dxa"/>
            <w:hideMark/>
          </w:tcPr>
          <w:p w14:paraId="6D1BB589" w14:textId="000655EB" w:rsidR="00EE5BB8" w:rsidRPr="00C6052E" w:rsidRDefault="006B5FCB" w:rsidP="00CA7AB2">
            <w:pPr>
              <w:pStyle w:val="TableColumnHeading"/>
              <w:jc w:val="right"/>
            </w:pPr>
            <w:r w:rsidRPr="00C6052E">
              <w:rPr>
                <w:lang w:val="en-AU"/>
              </w:rPr>
              <w:t>Training, Higher Education and Workforce Develop</w:t>
            </w:r>
            <w:r>
              <w:rPr>
                <w:lang w:val="en-AU"/>
              </w:rPr>
              <w:t>-</w:t>
            </w:r>
            <w:proofErr w:type="spellStart"/>
            <w:r w:rsidRPr="00C6052E">
              <w:rPr>
                <w:lang w:val="en-AU"/>
              </w:rPr>
              <w:t>ment</w:t>
            </w:r>
            <w:proofErr w:type="spellEnd"/>
            <w:r w:rsidRPr="00C6052E">
              <w:t xml:space="preserve"> </w:t>
            </w:r>
            <w:r w:rsidR="00EE5BB8" w:rsidRPr="00C6052E">
              <w:t>2024</w:t>
            </w:r>
          </w:p>
        </w:tc>
        <w:tc>
          <w:tcPr>
            <w:tcW w:w="1077" w:type="dxa"/>
            <w:hideMark/>
          </w:tcPr>
          <w:p w14:paraId="5B10326B" w14:textId="356151A0" w:rsidR="00EE5BB8" w:rsidRPr="00C6052E" w:rsidRDefault="006B5FCB" w:rsidP="00CA7AB2">
            <w:pPr>
              <w:pStyle w:val="TableColumnHeading"/>
              <w:jc w:val="right"/>
            </w:pPr>
            <w:r w:rsidRPr="00C6052E">
              <w:rPr>
                <w:lang w:val="en-AU"/>
              </w:rPr>
              <w:t xml:space="preserve">Suburban </w:t>
            </w:r>
            <w:r w:rsidRPr="00C6052E">
              <w:rPr>
                <w:lang w:val="en-AU"/>
              </w:rPr>
              <w:br/>
              <w:t>Develop</w:t>
            </w:r>
            <w:r>
              <w:rPr>
                <w:lang w:val="en-AU"/>
              </w:rPr>
              <w:t>-</w:t>
            </w:r>
            <w:proofErr w:type="spellStart"/>
            <w:r w:rsidRPr="00C6052E">
              <w:rPr>
                <w:lang w:val="en-AU"/>
              </w:rPr>
              <w:t>ment</w:t>
            </w:r>
            <w:proofErr w:type="spellEnd"/>
            <w:r w:rsidRPr="00C6052E">
              <w:rPr>
                <w:vertAlign w:val="superscript"/>
                <w:lang w:val="en-AU"/>
              </w:rPr>
              <w:t>(</w:t>
            </w:r>
            <w:proofErr w:type="spellStart"/>
            <w:r w:rsidRPr="00C6052E">
              <w:rPr>
                <w:vertAlign w:val="superscript"/>
                <w:lang w:val="en-AU"/>
              </w:rPr>
              <w:t>i</w:t>
            </w:r>
            <w:proofErr w:type="spellEnd"/>
            <w:r w:rsidRPr="00C6052E">
              <w:rPr>
                <w:vertAlign w:val="superscript"/>
                <w:lang w:val="en-AU"/>
              </w:rPr>
              <w:t>)</w:t>
            </w:r>
            <w:r>
              <w:rPr>
                <w:vertAlign w:val="superscript"/>
                <w:lang w:val="en-AU"/>
              </w:rPr>
              <w:br/>
            </w:r>
            <w:r w:rsidR="00EE5BB8" w:rsidRPr="00C6052E">
              <w:t>2025</w:t>
            </w:r>
          </w:p>
        </w:tc>
        <w:tc>
          <w:tcPr>
            <w:tcW w:w="1077" w:type="dxa"/>
            <w:hideMark/>
          </w:tcPr>
          <w:p w14:paraId="176B1135" w14:textId="20CD0556" w:rsidR="00EE5BB8" w:rsidRPr="00C6052E" w:rsidRDefault="006B5FCB" w:rsidP="00CA7AB2">
            <w:pPr>
              <w:pStyle w:val="TableColumnHeading"/>
              <w:jc w:val="right"/>
            </w:pPr>
            <w:r w:rsidRPr="00C6052E">
              <w:rPr>
                <w:lang w:val="en-AU"/>
              </w:rPr>
              <w:t xml:space="preserve">Suburban </w:t>
            </w:r>
            <w:r w:rsidRPr="00C6052E">
              <w:rPr>
                <w:lang w:val="en-AU"/>
              </w:rPr>
              <w:br/>
              <w:t>Develop</w:t>
            </w:r>
            <w:r>
              <w:rPr>
                <w:lang w:val="en-AU"/>
              </w:rPr>
              <w:t>-</w:t>
            </w:r>
            <w:proofErr w:type="spellStart"/>
            <w:r w:rsidRPr="00C6052E">
              <w:rPr>
                <w:lang w:val="en-AU"/>
              </w:rPr>
              <w:t>ment</w:t>
            </w:r>
            <w:proofErr w:type="spellEnd"/>
            <w:r w:rsidRPr="00C6052E">
              <w:rPr>
                <w:vertAlign w:val="superscript"/>
                <w:lang w:val="en-AU"/>
              </w:rPr>
              <w:t>(</w:t>
            </w:r>
            <w:proofErr w:type="spellStart"/>
            <w:r w:rsidRPr="00C6052E">
              <w:rPr>
                <w:vertAlign w:val="superscript"/>
                <w:lang w:val="en-AU"/>
              </w:rPr>
              <w:t>i</w:t>
            </w:r>
            <w:proofErr w:type="spellEnd"/>
            <w:r w:rsidRPr="00C6052E">
              <w:rPr>
                <w:vertAlign w:val="superscript"/>
                <w:lang w:val="en-AU"/>
              </w:rPr>
              <w:t>)</w:t>
            </w:r>
            <w:r>
              <w:rPr>
                <w:vertAlign w:val="superscript"/>
                <w:lang w:val="en-AU"/>
              </w:rPr>
              <w:br/>
            </w:r>
            <w:r w:rsidR="00EE5BB8" w:rsidRPr="00C6052E">
              <w:t>2024</w:t>
            </w:r>
          </w:p>
        </w:tc>
        <w:tc>
          <w:tcPr>
            <w:tcW w:w="1361" w:type="dxa"/>
            <w:hideMark/>
          </w:tcPr>
          <w:p w14:paraId="017FEC09" w14:textId="07144257" w:rsidR="00EE5BB8" w:rsidRPr="00C6052E" w:rsidRDefault="006B5FCB" w:rsidP="00CA7AB2">
            <w:pPr>
              <w:pStyle w:val="TableColumnHeading"/>
              <w:jc w:val="right"/>
            </w:pPr>
            <w:r w:rsidRPr="00C6052E">
              <w:rPr>
                <w:lang w:val="en-AU"/>
              </w:rPr>
              <w:t xml:space="preserve">DJSIR </w:t>
            </w:r>
            <w:r w:rsidRPr="00C6052E">
              <w:rPr>
                <w:lang w:val="en-AU"/>
              </w:rPr>
              <w:br/>
              <w:t>Consolidated Total</w:t>
            </w:r>
            <w:r w:rsidRPr="00C6052E">
              <w:t xml:space="preserve"> </w:t>
            </w:r>
            <w:r w:rsidR="00EE5BB8" w:rsidRPr="00C6052E">
              <w:t>2025</w:t>
            </w:r>
          </w:p>
        </w:tc>
        <w:tc>
          <w:tcPr>
            <w:tcW w:w="1361" w:type="dxa"/>
            <w:hideMark/>
          </w:tcPr>
          <w:p w14:paraId="238EB737" w14:textId="2AC5D5CE" w:rsidR="00EE5BB8" w:rsidRPr="00C6052E" w:rsidRDefault="006B5FCB" w:rsidP="00CA7AB2">
            <w:pPr>
              <w:pStyle w:val="TableColumnHeading"/>
              <w:jc w:val="right"/>
            </w:pPr>
            <w:r w:rsidRPr="00C6052E">
              <w:rPr>
                <w:lang w:val="en-AU"/>
              </w:rPr>
              <w:t xml:space="preserve">DJSIR </w:t>
            </w:r>
            <w:r w:rsidRPr="00C6052E">
              <w:rPr>
                <w:lang w:val="en-AU"/>
              </w:rPr>
              <w:br/>
              <w:t>Consolidated Total</w:t>
            </w:r>
            <w:r w:rsidRPr="00C6052E">
              <w:t xml:space="preserve"> </w:t>
            </w:r>
            <w:r w:rsidR="00EE5BB8" w:rsidRPr="00C6052E">
              <w:t>2024</w:t>
            </w:r>
          </w:p>
        </w:tc>
      </w:tr>
      <w:tr w:rsidR="00CA7AB2" w:rsidRPr="00C6052E" w14:paraId="53ACDB38" w14:textId="77777777" w:rsidTr="006B5FCB">
        <w:tc>
          <w:tcPr>
            <w:tcW w:w="3397" w:type="dxa"/>
          </w:tcPr>
          <w:p w14:paraId="06214E1A" w14:textId="42AFF3FA" w:rsidR="00CA7AB2" w:rsidRPr="00C6052E" w:rsidRDefault="00CA7AB2" w:rsidP="00CA7AB2">
            <w:pPr>
              <w:pStyle w:val="TableHeading"/>
            </w:pPr>
            <w:r w:rsidRPr="00C6052E">
              <w:t>Revenue and income from transactions</w:t>
            </w:r>
          </w:p>
        </w:tc>
        <w:tc>
          <w:tcPr>
            <w:tcW w:w="1020" w:type="dxa"/>
            <w:noWrap/>
          </w:tcPr>
          <w:p w14:paraId="46BDDFEF" w14:textId="77777777" w:rsidR="00CA7AB2" w:rsidRPr="00C6052E" w:rsidRDefault="00CA7AB2" w:rsidP="00CA7AB2">
            <w:pPr>
              <w:pStyle w:val="TableHeading"/>
              <w:jc w:val="right"/>
            </w:pPr>
          </w:p>
        </w:tc>
        <w:tc>
          <w:tcPr>
            <w:tcW w:w="1020" w:type="dxa"/>
            <w:noWrap/>
          </w:tcPr>
          <w:p w14:paraId="7D44BF45" w14:textId="77777777" w:rsidR="00CA7AB2" w:rsidRPr="00C6052E" w:rsidRDefault="00CA7AB2" w:rsidP="00CA7AB2">
            <w:pPr>
              <w:pStyle w:val="TableHeading"/>
              <w:jc w:val="right"/>
            </w:pPr>
          </w:p>
        </w:tc>
        <w:tc>
          <w:tcPr>
            <w:tcW w:w="1020" w:type="dxa"/>
            <w:noWrap/>
          </w:tcPr>
          <w:p w14:paraId="516AA60A" w14:textId="77777777" w:rsidR="00CA7AB2" w:rsidRPr="00C6052E" w:rsidRDefault="00CA7AB2" w:rsidP="00CA7AB2">
            <w:pPr>
              <w:pStyle w:val="TableHeading"/>
              <w:jc w:val="right"/>
            </w:pPr>
          </w:p>
        </w:tc>
        <w:tc>
          <w:tcPr>
            <w:tcW w:w="1020" w:type="dxa"/>
            <w:noWrap/>
          </w:tcPr>
          <w:p w14:paraId="03709DBC" w14:textId="77777777" w:rsidR="00CA7AB2" w:rsidRPr="00C6052E" w:rsidRDefault="00CA7AB2" w:rsidP="00CA7AB2">
            <w:pPr>
              <w:pStyle w:val="TableHeading"/>
              <w:jc w:val="right"/>
            </w:pPr>
          </w:p>
        </w:tc>
        <w:tc>
          <w:tcPr>
            <w:tcW w:w="1191" w:type="dxa"/>
            <w:noWrap/>
          </w:tcPr>
          <w:p w14:paraId="125FEF72" w14:textId="77777777" w:rsidR="00CA7AB2" w:rsidRPr="00C6052E" w:rsidRDefault="00CA7AB2" w:rsidP="00CA7AB2">
            <w:pPr>
              <w:pStyle w:val="TableHeading"/>
              <w:jc w:val="right"/>
            </w:pPr>
          </w:p>
        </w:tc>
        <w:tc>
          <w:tcPr>
            <w:tcW w:w="1191" w:type="dxa"/>
            <w:noWrap/>
          </w:tcPr>
          <w:p w14:paraId="05719A18" w14:textId="77777777" w:rsidR="00CA7AB2" w:rsidRPr="00C6052E" w:rsidRDefault="00CA7AB2" w:rsidP="00CA7AB2">
            <w:pPr>
              <w:pStyle w:val="TableHeading"/>
              <w:jc w:val="right"/>
            </w:pPr>
          </w:p>
        </w:tc>
        <w:tc>
          <w:tcPr>
            <w:tcW w:w="1077" w:type="dxa"/>
            <w:noWrap/>
          </w:tcPr>
          <w:p w14:paraId="72314E9A" w14:textId="77777777" w:rsidR="00CA7AB2" w:rsidRPr="00C6052E" w:rsidRDefault="00CA7AB2" w:rsidP="00CA7AB2">
            <w:pPr>
              <w:pStyle w:val="TableHeading"/>
              <w:jc w:val="right"/>
            </w:pPr>
          </w:p>
        </w:tc>
        <w:tc>
          <w:tcPr>
            <w:tcW w:w="1077" w:type="dxa"/>
            <w:noWrap/>
          </w:tcPr>
          <w:p w14:paraId="68A15983" w14:textId="77777777" w:rsidR="00CA7AB2" w:rsidRPr="00C6052E" w:rsidRDefault="00CA7AB2" w:rsidP="00CA7AB2">
            <w:pPr>
              <w:pStyle w:val="TableHeading"/>
              <w:jc w:val="right"/>
            </w:pPr>
          </w:p>
        </w:tc>
        <w:tc>
          <w:tcPr>
            <w:tcW w:w="1361" w:type="dxa"/>
            <w:noWrap/>
          </w:tcPr>
          <w:p w14:paraId="10F3E244" w14:textId="77777777" w:rsidR="00CA7AB2" w:rsidRPr="00C6052E" w:rsidRDefault="00CA7AB2" w:rsidP="00CA7AB2">
            <w:pPr>
              <w:pStyle w:val="TableHeading"/>
              <w:jc w:val="right"/>
            </w:pPr>
          </w:p>
        </w:tc>
        <w:tc>
          <w:tcPr>
            <w:tcW w:w="1361" w:type="dxa"/>
            <w:noWrap/>
          </w:tcPr>
          <w:p w14:paraId="773BFEDA" w14:textId="77777777" w:rsidR="00CA7AB2" w:rsidRPr="00C6052E" w:rsidRDefault="00CA7AB2" w:rsidP="00CA7AB2">
            <w:pPr>
              <w:pStyle w:val="TableHeading"/>
              <w:jc w:val="right"/>
            </w:pPr>
          </w:p>
        </w:tc>
      </w:tr>
      <w:tr w:rsidR="00CA7AB2" w:rsidRPr="00C6052E" w14:paraId="380D6B7A" w14:textId="77777777" w:rsidTr="006B5FCB">
        <w:tc>
          <w:tcPr>
            <w:tcW w:w="3397" w:type="dxa"/>
            <w:hideMark/>
          </w:tcPr>
          <w:p w14:paraId="0A3EAD78" w14:textId="1408FA9E" w:rsidR="00EE5BB8" w:rsidRPr="00C6052E" w:rsidRDefault="00EE5BB8" w:rsidP="0063097D">
            <w:pPr>
              <w:pStyle w:val="TableCopy"/>
            </w:pPr>
            <w:r w:rsidRPr="00C6052E">
              <w:t>Output</w:t>
            </w:r>
            <w:r w:rsidR="00177848" w:rsidRPr="00C6052E">
              <w:t xml:space="preserve"> </w:t>
            </w:r>
            <w:r w:rsidRPr="00C6052E">
              <w:t>appropriations</w:t>
            </w:r>
          </w:p>
        </w:tc>
        <w:tc>
          <w:tcPr>
            <w:tcW w:w="1020" w:type="dxa"/>
            <w:noWrap/>
            <w:hideMark/>
          </w:tcPr>
          <w:p w14:paraId="21919110" w14:textId="77777777" w:rsidR="00EE5BB8" w:rsidRPr="00C6052E" w:rsidRDefault="00EE5BB8" w:rsidP="00CA7AB2">
            <w:pPr>
              <w:pStyle w:val="TableCopy"/>
              <w:jc w:val="right"/>
            </w:pPr>
            <w:r w:rsidRPr="00C6052E">
              <w:t>177,064</w:t>
            </w:r>
          </w:p>
        </w:tc>
        <w:tc>
          <w:tcPr>
            <w:tcW w:w="1020" w:type="dxa"/>
            <w:noWrap/>
            <w:hideMark/>
          </w:tcPr>
          <w:p w14:paraId="6876DCB1" w14:textId="77777777" w:rsidR="00EE5BB8" w:rsidRPr="00C6052E" w:rsidRDefault="00EE5BB8" w:rsidP="00CA7AB2">
            <w:pPr>
              <w:pStyle w:val="TableCopy"/>
              <w:jc w:val="right"/>
            </w:pPr>
            <w:r w:rsidRPr="00C6052E">
              <w:t>192,729</w:t>
            </w:r>
          </w:p>
        </w:tc>
        <w:tc>
          <w:tcPr>
            <w:tcW w:w="1020" w:type="dxa"/>
            <w:noWrap/>
            <w:hideMark/>
          </w:tcPr>
          <w:p w14:paraId="32FD4FE3" w14:textId="77777777" w:rsidR="00EE5BB8" w:rsidRPr="00C6052E" w:rsidRDefault="00EE5BB8" w:rsidP="00CA7AB2">
            <w:pPr>
              <w:pStyle w:val="TableCopy"/>
              <w:jc w:val="right"/>
            </w:pPr>
            <w:r w:rsidRPr="00C6052E">
              <w:t>95,150</w:t>
            </w:r>
          </w:p>
        </w:tc>
        <w:tc>
          <w:tcPr>
            <w:tcW w:w="1020" w:type="dxa"/>
            <w:noWrap/>
            <w:hideMark/>
          </w:tcPr>
          <w:p w14:paraId="3AEE8C49" w14:textId="77777777" w:rsidR="00EE5BB8" w:rsidRPr="00C6052E" w:rsidRDefault="00EE5BB8" w:rsidP="00CA7AB2">
            <w:pPr>
              <w:pStyle w:val="TableCopy"/>
              <w:jc w:val="right"/>
            </w:pPr>
            <w:r w:rsidRPr="00C6052E">
              <w:t>87,802</w:t>
            </w:r>
          </w:p>
        </w:tc>
        <w:tc>
          <w:tcPr>
            <w:tcW w:w="1191" w:type="dxa"/>
            <w:noWrap/>
            <w:hideMark/>
          </w:tcPr>
          <w:p w14:paraId="6C8897AC" w14:textId="77777777" w:rsidR="00EE5BB8" w:rsidRPr="00C6052E" w:rsidRDefault="00EE5BB8" w:rsidP="00CA7AB2">
            <w:pPr>
              <w:pStyle w:val="TableCopy"/>
              <w:jc w:val="right"/>
            </w:pPr>
            <w:r w:rsidRPr="00C6052E">
              <w:t>1,609,165</w:t>
            </w:r>
          </w:p>
        </w:tc>
        <w:tc>
          <w:tcPr>
            <w:tcW w:w="1191" w:type="dxa"/>
            <w:noWrap/>
            <w:hideMark/>
          </w:tcPr>
          <w:p w14:paraId="4F2F8271" w14:textId="77777777" w:rsidR="00EE5BB8" w:rsidRPr="00C6052E" w:rsidRDefault="00EE5BB8" w:rsidP="00CA7AB2">
            <w:pPr>
              <w:pStyle w:val="TableCopy"/>
              <w:jc w:val="right"/>
            </w:pPr>
            <w:r w:rsidRPr="00C6052E">
              <w:t>1,699,821</w:t>
            </w:r>
          </w:p>
        </w:tc>
        <w:tc>
          <w:tcPr>
            <w:tcW w:w="1077" w:type="dxa"/>
            <w:noWrap/>
            <w:hideMark/>
          </w:tcPr>
          <w:p w14:paraId="6CAC04B0" w14:textId="77777777" w:rsidR="00EE5BB8" w:rsidRPr="00C6052E" w:rsidRDefault="00EE5BB8" w:rsidP="00CA7AB2">
            <w:pPr>
              <w:pStyle w:val="TableCopy"/>
              <w:jc w:val="right"/>
            </w:pPr>
            <w:r w:rsidRPr="00C6052E">
              <w:t>–</w:t>
            </w:r>
          </w:p>
        </w:tc>
        <w:tc>
          <w:tcPr>
            <w:tcW w:w="1077" w:type="dxa"/>
            <w:noWrap/>
            <w:hideMark/>
          </w:tcPr>
          <w:p w14:paraId="1E3CB366" w14:textId="77777777" w:rsidR="00EE5BB8" w:rsidRPr="00C6052E" w:rsidRDefault="00EE5BB8" w:rsidP="00CA7AB2">
            <w:pPr>
              <w:pStyle w:val="TableCopy"/>
              <w:jc w:val="right"/>
            </w:pPr>
            <w:r w:rsidRPr="00C6052E">
              <w:t>5,169</w:t>
            </w:r>
          </w:p>
        </w:tc>
        <w:tc>
          <w:tcPr>
            <w:tcW w:w="1361" w:type="dxa"/>
            <w:noWrap/>
            <w:hideMark/>
          </w:tcPr>
          <w:p w14:paraId="19BB136B" w14:textId="77777777" w:rsidR="00EE5BB8" w:rsidRPr="00C6052E" w:rsidRDefault="00EE5BB8" w:rsidP="00CA7AB2">
            <w:pPr>
              <w:pStyle w:val="TableCopy"/>
              <w:jc w:val="right"/>
            </w:pPr>
            <w:r w:rsidRPr="00C6052E">
              <w:t>3,306,926</w:t>
            </w:r>
          </w:p>
        </w:tc>
        <w:tc>
          <w:tcPr>
            <w:tcW w:w="1361" w:type="dxa"/>
            <w:noWrap/>
            <w:hideMark/>
          </w:tcPr>
          <w:p w14:paraId="38E4AEA9" w14:textId="77777777" w:rsidR="00EE5BB8" w:rsidRPr="00C6052E" w:rsidRDefault="00EE5BB8" w:rsidP="00CA7AB2">
            <w:pPr>
              <w:pStyle w:val="TableCopy"/>
              <w:jc w:val="right"/>
            </w:pPr>
            <w:r w:rsidRPr="00C6052E">
              <w:t>3,337,248</w:t>
            </w:r>
          </w:p>
        </w:tc>
      </w:tr>
      <w:tr w:rsidR="00CA7AB2" w:rsidRPr="00C6052E" w14:paraId="37AC02C3" w14:textId="77777777" w:rsidTr="006B5FCB">
        <w:tc>
          <w:tcPr>
            <w:tcW w:w="3397" w:type="dxa"/>
            <w:noWrap/>
            <w:hideMark/>
          </w:tcPr>
          <w:p w14:paraId="75E0F83D" w14:textId="0C09EC44" w:rsidR="00EE5BB8" w:rsidRPr="00C6052E" w:rsidRDefault="00EE5BB8" w:rsidP="0063097D">
            <w:pPr>
              <w:pStyle w:val="TableCopy"/>
            </w:pPr>
            <w:r w:rsidRPr="00C6052E">
              <w:t>Special</w:t>
            </w:r>
            <w:r w:rsidR="00177848" w:rsidRPr="00C6052E">
              <w:t xml:space="preserve"> </w:t>
            </w:r>
            <w:r w:rsidRPr="00C6052E">
              <w:t>appropriations</w:t>
            </w:r>
            <w:r w:rsidR="00177848" w:rsidRPr="00C6052E">
              <w:t xml:space="preserve"> </w:t>
            </w:r>
          </w:p>
        </w:tc>
        <w:tc>
          <w:tcPr>
            <w:tcW w:w="1020" w:type="dxa"/>
            <w:noWrap/>
            <w:hideMark/>
          </w:tcPr>
          <w:p w14:paraId="52A042F5" w14:textId="77777777" w:rsidR="00EE5BB8" w:rsidRPr="00C6052E" w:rsidRDefault="00EE5BB8" w:rsidP="00CA7AB2">
            <w:pPr>
              <w:pStyle w:val="TableCopy"/>
              <w:jc w:val="right"/>
            </w:pPr>
            <w:r w:rsidRPr="00C6052E">
              <w:t>–</w:t>
            </w:r>
          </w:p>
        </w:tc>
        <w:tc>
          <w:tcPr>
            <w:tcW w:w="1020" w:type="dxa"/>
            <w:noWrap/>
            <w:hideMark/>
          </w:tcPr>
          <w:p w14:paraId="69358226" w14:textId="77777777" w:rsidR="00EE5BB8" w:rsidRPr="00C6052E" w:rsidRDefault="00EE5BB8" w:rsidP="00CA7AB2">
            <w:pPr>
              <w:pStyle w:val="TableCopy"/>
              <w:jc w:val="right"/>
            </w:pPr>
            <w:r w:rsidRPr="00C6052E">
              <w:t>–</w:t>
            </w:r>
          </w:p>
        </w:tc>
        <w:tc>
          <w:tcPr>
            <w:tcW w:w="1020" w:type="dxa"/>
            <w:noWrap/>
            <w:hideMark/>
          </w:tcPr>
          <w:p w14:paraId="44CEE124" w14:textId="77777777" w:rsidR="00EE5BB8" w:rsidRPr="00C6052E" w:rsidRDefault="00EE5BB8" w:rsidP="00CA7AB2">
            <w:pPr>
              <w:pStyle w:val="TableCopy"/>
              <w:jc w:val="right"/>
            </w:pPr>
            <w:r w:rsidRPr="00C6052E">
              <w:t>–</w:t>
            </w:r>
          </w:p>
        </w:tc>
        <w:tc>
          <w:tcPr>
            <w:tcW w:w="1020" w:type="dxa"/>
            <w:noWrap/>
            <w:hideMark/>
          </w:tcPr>
          <w:p w14:paraId="4FA00D26" w14:textId="77777777" w:rsidR="00EE5BB8" w:rsidRPr="00C6052E" w:rsidRDefault="00EE5BB8" w:rsidP="00CA7AB2">
            <w:pPr>
              <w:pStyle w:val="TableCopy"/>
              <w:jc w:val="right"/>
            </w:pPr>
            <w:r w:rsidRPr="00C6052E">
              <w:t>–</w:t>
            </w:r>
          </w:p>
        </w:tc>
        <w:tc>
          <w:tcPr>
            <w:tcW w:w="1191" w:type="dxa"/>
            <w:noWrap/>
            <w:hideMark/>
          </w:tcPr>
          <w:p w14:paraId="4A255A4C" w14:textId="77777777" w:rsidR="00EE5BB8" w:rsidRPr="00C6052E" w:rsidRDefault="00EE5BB8" w:rsidP="00CA7AB2">
            <w:pPr>
              <w:pStyle w:val="TableCopy"/>
              <w:jc w:val="right"/>
            </w:pPr>
            <w:r w:rsidRPr="00C6052E">
              <w:t>90,134</w:t>
            </w:r>
          </w:p>
        </w:tc>
        <w:tc>
          <w:tcPr>
            <w:tcW w:w="1191" w:type="dxa"/>
            <w:noWrap/>
            <w:hideMark/>
          </w:tcPr>
          <w:p w14:paraId="1605FA3E" w14:textId="77777777" w:rsidR="00EE5BB8" w:rsidRPr="00C6052E" w:rsidRDefault="00EE5BB8" w:rsidP="00CA7AB2">
            <w:pPr>
              <w:pStyle w:val="TableCopy"/>
              <w:jc w:val="right"/>
            </w:pPr>
            <w:r w:rsidRPr="00C6052E">
              <w:t>–</w:t>
            </w:r>
          </w:p>
        </w:tc>
        <w:tc>
          <w:tcPr>
            <w:tcW w:w="1077" w:type="dxa"/>
            <w:noWrap/>
            <w:hideMark/>
          </w:tcPr>
          <w:p w14:paraId="7E5DCDD3" w14:textId="77777777" w:rsidR="00EE5BB8" w:rsidRPr="00C6052E" w:rsidRDefault="00EE5BB8" w:rsidP="00CA7AB2">
            <w:pPr>
              <w:pStyle w:val="TableCopy"/>
              <w:jc w:val="right"/>
            </w:pPr>
            <w:r w:rsidRPr="00C6052E">
              <w:t>–</w:t>
            </w:r>
          </w:p>
        </w:tc>
        <w:tc>
          <w:tcPr>
            <w:tcW w:w="1077" w:type="dxa"/>
            <w:noWrap/>
            <w:hideMark/>
          </w:tcPr>
          <w:p w14:paraId="6FAE056B" w14:textId="77777777" w:rsidR="00EE5BB8" w:rsidRPr="00C6052E" w:rsidRDefault="00EE5BB8" w:rsidP="00CA7AB2">
            <w:pPr>
              <w:pStyle w:val="TableCopy"/>
              <w:jc w:val="right"/>
            </w:pPr>
            <w:r w:rsidRPr="00C6052E">
              <w:t>–</w:t>
            </w:r>
          </w:p>
        </w:tc>
        <w:tc>
          <w:tcPr>
            <w:tcW w:w="1361" w:type="dxa"/>
            <w:noWrap/>
            <w:hideMark/>
          </w:tcPr>
          <w:p w14:paraId="0212DE20" w14:textId="77777777" w:rsidR="00EE5BB8" w:rsidRPr="00C6052E" w:rsidRDefault="00EE5BB8" w:rsidP="00CA7AB2">
            <w:pPr>
              <w:pStyle w:val="TableCopy"/>
              <w:jc w:val="right"/>
            </w:pPr>
            <w:r w:rsidRPr="00C6052E">
              <w:t>96,272</w:t>
            </w:r>
          </w:p>
        </w:tc>
        <w:tc>
          <w:tcPr>
            <w:tcW w:w="1361" w:type="dxa"/>
            <w:noWrap/>
            <w:hideMark/>
          </w:tcPr>
          <w:p w14:paraId="28E015AB" w14:textId="77777777" w:rsidR="00EE5BB8" w:rsidRPr="00C6052E" w:rsidRDefault="00EE5BB8" w:rsidP="00CA7AB2">
            <w:pPr>
              <w:pStyle w:val="TableCopy"/>
              <w:jc w:val="right"/>
            </w:pPr>
            <w:r w:rsidRPr="00C6052E">
              <w:t>–</w:t>
            </w:r>
          </w:p>
        </w:tc>
      </w:tr>
      <w:tr w:rsidR="00CA7AB2" w:rsidRPr="00C6052E" w14:paraId="46F951D2" w14:textId="77777777" w:rsidTr="006B5FCB">
        <w:tc>
          <w:tcPr>
            <w:tcW w:w="3397" w:type="dxa"/>
            <w:hideMark/>
          </w:tcPr>
          <w:p w14:paraId="5CF2C1D0" w14:textId="327F5F2E" w:rsidR="00EE5BB8" w:rsidRPr="00C6052E" w:rsidRDefault="00EE5BB8" w:rsidP="0063097D">
            <w:pPr>
              <w:pStyle w:val="TableCopy"/>
            </w:pPr>
            <w:r w:rsidRPr="00C6052E">
              <w:t>Grant</w:t>
            </w:r>
            <w:r w:rsidR="00177848" w:rsidRPr="00C6052E">
              <w:t xml:space="preserve"> </w:t>
            </w:r>
            <w:r w:rsidRPr="00C6052E">
              <w:t>income</w:t>
            </w:r>
          </w:p>
        </w:tc>
        <w:tc>
          <w:tcPr>
            <w:tcW w:w="1020" w:type="dxa"/>
            <w:noWrap/>
            <w:hideMark/>
          </w:tcPr>
          <w:p w14:paraId="680233A2" w14:textId="77777777" w:rsidR="00EE5BB8" w:rsidRPr="00C6052E" w:rsidRDefault="00EE5BB8" w:rsidP="00CA7AB2">
            <w:pPr>
              <w:pStyle w:val="TableCopy"/>
              <w:jc w:val="right"/>
            </w:pPr>
            <w:r w:rsidRPr="00C6052E">
              <w:t>167,407</w:t>
            </w:r>
          </w:p>
        </w:tc>
        <w:tc>
          <w:tcPr>
            <w:tcW w:w="1020" w:type="dxa"/>
            <w:noWrap/>
            <w:hideMark/>
          </w:tcPr>
          <w:p w14:paraId="3783BD58" w14:textId="77777777" w:rsidR="00EE5BB8" w:rsidRPr="00C6052E" w:rsidRDefault="00EE5BB8" w:rsidP="00CA7AB2">
            <w:pPr>
              <w:pStyle w:val="TableCopy"/>
              <w:jc w:val="right"/>
            </w:pPr>
            <w:r w:rsidRPr="00C6052E">
              <w:t>176,646</w:t>
            </w:r>
          </w:p>
        </w:tc>
        <w:tc>
          <w:tcPr>
            <w:tcW w:w="1020" w:type="dxa"/>
            <w:noWrap/>
            <w:hideMark/>
          </w:tcPr>
          <w:p w14:paraId="5403BD99" w14:textId="77777777" w:rsidR="00EE5BB8" w:rsidRPr="00C6052E" w:rsidRDefault="00EE5BB8" w:rsidP="00CA7AB2">
            <w:pPr>
              <w:pStyle w:val="TableCopy"/>
              <w:jc w:val="right"/>
            </w:pPr>
            <w:r w:rsidRPr="00C6052E">
              <w:t>–</w:t>
            </w:r>
          </w:p>
        </w:tc>
        <w:tc>
          <w:tcPr>
            <w:tcW w:w="1020" w:type="dxa"/>
            <w:noWrap/>
            <w:hideMark/>
          </w:tcPr>
          <w:p w14:paraId="2E8D6E40" w14:textId="77777777" w:rsidR="00EE5BB8" w:rsidRPr="00C6052E" w:rsidRDefault="00EE5BB8" w:rsidP="00CA7AB2">
            <w:pPr>
              <w:pStyle w:val="TableCopy"/>
              <w:jc w:val="right"/>
            </w:pPr>
            <w:r w:rsidRPr="00C6052E">
              <w:t>–</w:t>
            </w:r>
          </w:p>
        </w:tc>
        <w:tc>
          <w:tcPr>
            <w:tcW w:w="1191" w:type="dxa"/>
            <w:noWrap/>
            <w:hideMark/>
          </w:tcPr>
          <w:p w14:paraId="02CB54A9" w14:textId="77777777" w:rsidR="00EE5BB8" w:rsidRPr="00C6052E" w:rsidRDefault="00EE5BB8" w:rsidP="00CA7AB2">
            <w:pPr>
              <w:pStyle w:val="TableCopy"/>
              <w:jc w:val="right"/>
            </w:pPr>
            <w:r w:rsidRPr="00C6052E">
              <w:t>9,930</w:t>
            </w:r>
          </w:p>
        </w:tc>
        <w:tc>
          <w:tcPr>
            <w:tcW w:w="1191" w:type="dxa"/>
            <w:noWrap/>
            <w:hideMark/>
          </w:tcPr>
          <w:p w14:paraId="4D7B8ED7" w14:textId="77777777" w:rsidR="00EE5BB8" w:rsidRPr="00C6052E" w:rsidRDefault="00EE5BB8" w:rsidP="00CA7AB2">
            <w:pPr>
              <w:pStyle w:val="TableCopy"/>
              <w:jc w:val="right"/>
            </w:pPr>
            <w:r w:rsidRPr="00C6052E">
              <w:t>22,345</w:t>
            </w:r>
          </w:p>
        </w:tc>
        <w:tc>
          <w:tcPr>
            <w:tcW w:w="1077" w:type="dxa"/>
            <w:noWrap/>
            <w:hideMark/>
          </w:tcPr>
          <w:p w14:paraId="1823B7D6" w14:textId="77777777" w:rsidR="00EE5BB8" w:rsidRPr="00C6052E" w:rsidRDefault="00EE5BB8" w:rsidP="00CA7AB2">
            <w:pPr>
              <w:pStyle w:val="TableCopy"/>
              <w:jc w:val="right"/>
            </w:pPr>
            <w:r w:rsidRPr="00C6052E">
              <w:t>–</w:t>
            </w:r>
          </w:p>
        </w:tc>
        <w:tc>
          <w:tcPr>
            <w:tcW w:w="1077" w:type="dxa"/>
            <w:noWrap/>
            <w:hideMark/>
          </w:tcPr>
          <w:p w14:paraId="2D503C2C" w14:textId="77777777" w:rsidR="00EE5BB8" w:rsidRPr="00C6052E" w:rsidRDefault="00EE5BB8" w:rsidP="00CA7AB2">
            <w:pPr>
              <w:pStyle w:val="TableCopy"/>
              <w:jc w:val="right"/>
            </w:pPr>
            <w:r w:rsidRPr="00C6052E">
              <w:t>–</w:t>
            </w:r>
          </w:p>
        </w:tc>
        <w:tc>
          <w:tcPr>
            <w:tcW w:w="1361" w:type="dxa"/>
            <w:noWrap/>
            <w:hideMark/>
          </w:tcPr>
          <w:p w14:paraId="7A213CFF" w14:textId="77777777" w:rsidR="00EE5BB8" w:rsidRPr="00C6052E" w:rsidRDefault="00EE5BB8" w:rsidP="00CA7AB2">
            <w:pPr>
              <w:pStyle w:val="TableCopy"/>
              <w:jc w:val="right"/>
            </w:pPr>
            <w:r w:rsidRPr="00C6052E">
              <w:t>277,457</w:t>
            </w:r>
          </w:p>
        </w:tc>
        <w:tc>
          <w:tcPr>
            <w:tcW w:w="1361" w:type="dxa"/>
            <w:noWrap/>
            <w:hideMark/>
          </w:tcPr>
          <w:p w14:paraId="682DFABF" w14:textId="77777777" w:rsidR="00EE5BB8" w:rsidRPr="00C6052E" w:rsidRDefault="00EE5BB8" w:rsidP="00CA7AB2">
            <w:pPr>
              <w:pStyle w:val="TableCopy"/>
              <w:jc w:val="right"/>
            </w:pPr>
            <w:r w:rsidRPr="00C6052E">
              <w:t>256,686</w:t>
            </w:r>
          </w:p>
        </w:tc>
      </w:tr>
      <w:tr w:rsidR="00CA7AB2" w:rsidRPr="00C6052E" w14:paraId="79633FC7" w14:textId="77777777" w:rsidTr="006B5FCB">
        <w:tc>
          <w:tcPr>
            <w:tcW w:w="3397" w:type="dxa"/>
            <w:hideMark/>
          </w:tcPr>
          <w:p w14:paraId="65C4B65C" w14:textId="2481841D" w:rsidR="00EE5BB8" w:rsidRPr="00C6052E" w:rsidRDefault="00EE5BB8" w:rsidP="0063097D">
            <w:pPr>
              <w:pStyle w:val="TableCopy"/>
            </w:pPr>
            <w:r w:rsidRPr="00C6052E">
              <w:t>Sale</w:t>
            </w:r>
            <w:r w:rsidR="00177848" w:rsidRPr="00C6052E">
              <w:t xml:space="preserve"> </w:t>
            </w:r>
            <w:r w:rsidRPr="00C6052E">
              <w:t>of</w:t>
            </w:r>
            <w:r w:rsidR="00177848" w:rsidRPr="00C6052E">
              <w:t xml:space="preserve"> </w:t>
            </w:r>
            <w:r w:rsidRPr="00C6052E">
              <w:t>services</w:t>
            </w:r>
            <w:r w:rsidR="00177848" w:rsidRPr="00C6052E">
              <w:t xml:space="preserve"> </w:t>
            </w:r>
          </w:p>
        </w:tc>
        <w:tc>
          <w:tcPr>
            <w:tcW w:w="1020" w:type="dxa"/>
            <w:noWrap/>
            <w:hideMark/>
          </w:tcPr>
          <w:p w14:paraId="4694D5CB" w14:textId="77777777" w:rsidR="00EE5BB8" w:rsidRPr="00C6052E" w:rsidRDefault="00EE5BB8" w:rsidP="00CA7AB2">
            <w:pPr>
              <w:pStyle w:val="TableCopy"/>
              <w:jc w:val="right"/>
            </w:pPr>
            <w:r w:rsidRPr="00C6052E">
              <w:t>392</w:t>
            </w:r>
          </w:p>
        </w:tc>
        <w:tc>
          <w:tcPr>
            <w:tcW w:w="1020" w:type="dxa"/>
            <w:noWrap/>
            <w:hideMark/>
          </w:tcPr>
          <w:p w14:paraId="56DA9593" w14:textId="77777777" w:rsidR="00EE5BB8" w:rsidRPr="00C6052E" w:rsidRDefault="00EE5BB8" w:rsidP="00CA7AB2">
            <w:pPr>
              <w:pStyle w:val="TableCopy"/>
              <w:jc w:val="right"/>
            </w:pPr>
            <w:r w:rsidRPr="00C6052E">
              <w:t>–</w:t>
            </w:r>
          </w:p>
        </w:tc>
        <w:tc>
          <w:tcPr>
            <w:tcW w:w="1020" w:type="dxa"/>
            <w:noWrap/>
            <w:hideMark/>
          </w:tcPr>
          <w:p w14:paraId="1AA91786" w14:textId="77777777" w:rsidR="00EE5BB8" w:rsidRPr="00C6052E" w:rsidRDefault="00EE5BB8" w:rsidP="00CA7AB2">
            <w:pPr>
              <w:pStyle w:val="TableCopy"/>
              <w:jc w:val="right"/>
            </w:pPr>
            <w:r w:rsidRPr="00C6052E">
              <w:t>206</w:t>
            </w:r>
          </w:p>
        </w:tc>
        <w:tc>
          <w:tcPr>
            <w:tcW w:w="1020" w:type="dxa"/>
            <w:noWrap/>
            <w:hideMark/>
          </w:tcPr>
          <w:p w14:paraId="63F83177" w14:textId="77777777" w:rsidR="00EE5BB8" w:rsidRPr="00C6052E" w:rsidRDefault="00EE5BB8" w:rsidP="00CA7AB2">
            <w:pPr>
              <w:pStyle w:val="TableCopy"/>
              <w:jc w:val="right"/>
            </w:pPr>
            <w:r w:rsidRPr="00C6052E">
              <w:t>306</w:t>
            </w:r>
          </w:p>
        </w:tc>
        <w:tc>
          <w:tcPr>
            <w:tcW w:w="1191" w:type="dxa"/>
            <w:noWrap/>
            <w:hideMark/>
          </w:tcPr>
          <w:p w14:paraId="438E8E81" w14:textId="77777777" w:rsidR="00EE5BB8" w:rsidRPr="00C6052E" w:rsidRDefault="00EE5BB8" w:rsidP="00CA7AB2">
            <w:pPr>
              <w:pStyle w:val="TableCopy"/>
              <w:jc w:val="right"/>
            </w:pPr>
            <w:r w:rsidRPr="00C6052E">
              <w:t>–</w:t>
            </w:r>
          </w:p>
        </w:tc>
        <w:tc>
          <w:tcPr>
            <w:tcW w:w="1191" w:type="dxa"/>
            <w:noWrap/>
            <w:hideMark/>
          </w:tcPr>
          <w:p w14:paraId="4EFDB065" w14:textId="77777777" w:rsidR="00EE5BB8" w:rsidRPr="00C6052E" w:rsidRDefault="00EE5BB8" w:rsidP="00CA7AB2">
            <w:pPr>
              <w:pStyle w:val="TableCopy"/>
              <w:jc w:val="right"/>
            </w:pPr>
            <w:r w:rsidRPr="00C6052E">
              <w:t>–</w:t>
            </w:r>
          </w:p>
        </w:tc>
        <w:tc>
          <w:tcPr>
            <w:tcW w:w="1077" w:type="dxa"/>
            <w:noWrap/>
            <w:hideMark/>
          </w:tcPr>
          <w:p w14:paraId="7565021B" w14:textId="77777777" w:rsidR="00EE5BB8" w:rsidRPr="00C6052E" w:rsidRDefault="00EE5BB8" w:rsidP="00CA7AB2">
            <w:pPr>
              <w:pStyle w:val="TableCopy"/>
              <w:jc w:val="right"/>
            </w:pPr>
            <w:r w:rsidRPr="00C6052E">
              <w:t>–</w:t>
            </w:r>
          </w:p>
        </w:tc>
        <w:tc>
          <w:tcPr>
            <w:tcW w:w="1077" w:type="dxa"/>
            <w:noWrap/>
            <w:hideMark/>
          </w:tcPr>
          <w:p w14:paraId="3F0EC9D5" w14:textId="77777777" w:rsidR="00EE5BB8" w:rsidRPr="00C6052E" w:rsidRDefault="00EE5BB8" w:rsidP="00CA7AB2">
            <w:pPr>
              <w:pStyle w:val="TableCopy"/>
              <w:jc w:val="right"/>
            </w:pPr>
            <w:r w:rsidRPr="00C6052E">
              <w:t>–</w:t>
            </w:r>
          </w:p>
        </w:tc>
        <w:tc>
          <w:tcPr>
            <w:tcW w:w="1361" w:type="dxa"/>
            <w:noWrap/>
            <w:hideMark/>
          </w:tcPr>
          <w:p w14:paraId="3561CC51" w14:textId="77777777" w:rsidR="00EE5BB8" w:rsidRPr="00C6052E" w:rsidRDefault="00EE5BB8" w:rsidP="00CA7AB2">
            <w:pPr>
              <w:pStyle w:val="TableCopy"/>
              <w:jc w:val="right"/>
            </w:pPr>
            <w:r w:rsidRPr="00C6052E">
              <w:t>601</w:t>
            </w:r>
          </w:p>
        </w:tc>
        <w:tc>
          <w:tcPr>
            <w:tcW w:w="1361" w:type="dxa"/>
            <w:noWrap/>
            <w:hideMark/>
          </w:tcPr>
          <w:p w14:paraId="03E81466" w14:textId="77777777" w:rsidR="00EE5BB8" w:rsidRPr="00C6052E" w:rsidRDefault="00EE5BB8" w:rsidP="00CA7AB2">
            <w:pPr>
              <w:pStyle w:val="TableCopy"/>
              <w:jc w:val="right"/>
            </w:pPr>
            <w:r w:rsidRPr="00C6052E">
              <w:t>358</w:t>
            </w:r>
          </w:p>
        </w:tc>
      </w:tr>
      <w:tr w:rsidR="00CA7AB2" w:rsidRPr="00C6052E" w14:paraId="52157472" w14:textId="77777777" w:rsidTr="006B5FCB">
        <w:tc>
          <w:tcPr>
            <w:tcW w:w="3397" w:type="dxa"/>
            <w:hideMark/>
          </w:tcPr>
          <w:p w14:paraId="6F92B45E" w14:textId="321D4388" w:rsidR="00EE5BB8" w:rsidRPr="00C6052E" w:rsidRDefault="00EE5BB8" w:rsidP="0063097D">
            <w:pPr>
              <w:pStyle w:val="TableCopy"/>
            </w:pPr>
            <w:r w:rsidRPr="00C6052E">
              <w:t>Other</w:t>
            </w:r>
            <w:r w:rsidR="00177848" w:rsidRPr="00C6052E">
              <w:t xml:space="preserve"> </w:t>
            </w:r>
            <w:r w:rsidRPr="00C6052E">
              <w:t>income</w:t>
            </w:r>
            <w:r w:rsidR="00177848" w:rsidRPr="00C6052E">
              <w:t xml:space="preserve"> </w:t>
            </w:r>
          </w:p>
        </w:tc>
        <w:tc>
          <w:tcPr>
            <w:tcW w:w="1020" w:type="dxa"/>
            <w:noWrap/>
            <w:hideMark/>
          </w:tcPr>
          <w:p w14:paraId="6A1E7CBF" w14:textId="77777777" w:rsidR="00EE5BB8" w:rsidRPr="00C6052E" w:rsidRDefault="00EE5BB8" w:rsidP="00CA7AB2">
            <w:pPr>
              <w:pStyle w:val="TableCopy"/>
              <w:jc w:val="right"/>
            </w:pPr>
            <w:r w:rsidRPr="00C6052E">
              <w:t>200</w:t>
            </w:r>
          </w:p>
        </w:tc>
        <w:tc>
          <w:tcPr>
            <w:tcW w:w="1020" w:type="dxa"/>
            <w:noWrap/>
            <w:hideMark/>
          </w:tcPr>
          <w:p w14:paraId="2EA49C4E" w14:textId="77777777" w:rsidR="00EE5BB8" w:rsidRPr="00C6052E" w:rsidRDefault="00EE5BB8" w:rsidP="00CA7AB2">
            <w:pPr>
              <w:pStyle w:val="TableCopy"/>
              <w:jc w:val="right"/>
            </w:pPr>
            <w:r w:rsidRPr="00C6052E">
              <w:t>–</w:t>
            </w:r>
          </w:p>
        </w:tc>
        <w:tc>
          <w:tcPr>
            <w:tcW w:w="1020" w:type="dxa"/>
            <w:noWrap/>
            <w:hideMark/>
          </w:tcPr>
          <w:p w14:paraId="7C0D2BE8" w14:textId="77777777" w:rsidR="00EE5BB8" w:rsidRPr="00C6052E" w:rsidRDefault="00EE5BB8" w:rsidP="00CA7AB2">
            <w:pPr>
              <w:pStyle w:val="TableCopy"/>
              <w:jc w:val="right"/>
            </w:pPr>
            <w:r w:rsidRPr="00C6052E">
              <w:t>9,027</w:t>
            </w:r>
          </w:p>
        </w:tc>
        <w:tc>
          <w:tcPr>
            <w:tcW w:w="1020" w:type="dxa"/>
            <w:noWrap/>
            <w:hideMark/>
          </w:tcPr>
          <w:p w14:paraId="205A5FBD" w14:textId="77777777" w:rsidR="00EE5BB8" w:rsidRPr="00C6052E" w:rsidRDefault="00EE5BB8" w:rsidP="00CA7AB2">
            <w:pPr>
              <w:pStyle w:val="TableCopy"/>
              <w:jc w:val="right"/>
            </w:pPr>
            <w:r w:rsidRPr="00C6052E">
              <w:t>8,805</w:t>
            </w:r>
          </w:p>
        </w:tc>
        <w:tc>
          <w:tcPr>
            <w:tcW w:w="1191" w:type="dxa"/>
            <w:noWrap/>
            <w:hideMark/>
          </w:tcPr>
          <w:p w14:paraId="4617A443" w14:textId="77777777" w:rsidR="00EE5BB8" w:rsidRPr="00C6052E" w:rsidRDefault="00EE5BB8" w:rsidP="00CA7AB2">
            <w:pPr>
              <w:pStyle w:val="TableCopy"/>
              <w:jc w:val="right"/>
            </w:pPr>
            <w:r w:rsidRPr="00C6052E">
              <w:t>26,117</w:t>
            </w:r>
          </w:p>
        </w:tc>
        <w:tc>
          <w:tcPr>
            <w:tcW w:w="1191" w:type="dxa"/>
            <w:noWrap/>
            <w:hideMark/>
          </w:tcPr>
          <w:p w14:paraId="14056693" w14:textId="77777777" w:rsidR="00EE5BB8" w:rsidRPr="00C6052E" w:rsidRDefault="00EE5BB8" w:rsidP="00CA7AB2">
            <w:pPr>
              <w:pStyle w:val="TableCopy"/>
              <w:jc w:val="right"/>
            </w:pPr>
            <w:r w:rsidRPr="00C6052E">
              <w:t>823</w:t>
            </w:r>
          </w:p>
        </w:tc>
        <w:tc>
          <w:tcPr>
            <w:tcW w:w="1077" w:type="dxa"/>
            <w:noWrap/>
            <w:hideMark/>
          </w:tcPr>
          <w:p w14:paraId="2E3CCCC7" w14:textId="77777777" w:rsidR="00EE5BB8" w:rsidRPr="00C6052E" w:rsidRDefault="00EE5BB8" w:rsidP="00CA7AB2">
            <w:pPr>
              <w:pStyle w:val="TableCopy"/>
              <w:jc w:val="right"/>
            </w:pPr>
            <w:r w:rsidRPr="00C6052E">
              <w:t>–</w:t>
            </w:r>
          </w:p>
        </w:tc>
        <w:tc>
          <w:tcPr>
            <w:tcW w:w="1077" w:type="dxa"/>
            <w:noWrap/>
            <w:hideMark/>
          </w:tcPr>
          <w:p w14:paraId="6D88AAAF" w14:textId="77777777" w:rsidR="00EE5BB8" w:rsidRPr="00C6052E" w:rsidRDefault="00EE5BB8" w:rsidP="00CA7AB2">
            <w:pPr>
              <w:pStyle w:val="TableCopy"/>
              <w:jc w:val="right"/>
            </w:pPr>
            <w:r w:rsidRPr="00C6052E">
              <w:t>–</w:t>
            </w:r>
          </w:p>
        </w:tc>
        <w:tc>
          <w:tcPr>
            <w:tcW w:w="1361" w:type="dxa"/>
            <w:noWrap/>
            <w:hideMark/>
          </w:tcPr>
          <w:p w14:paraId="2F08E4DA" w14:textId="77777777" w:rsidR="00EE5BB8" w:rsidRPr="00C6052E" w:rsidRDefault="00EE5BB8" w:rsidP="00CA7AB2">
            <w:pPr>
              <w:pStyle w:val="TableCopy"/>
              <w:jc w:val="right"/>
            </w:pPr>
            <w:r w:rsidRPr="00C6052E">
              <w:t>46,610</w:t>
            </w:r>
          </w:p>
        </w:tc>
        <w:tc>
          <w:tcPr>
            <w:tcW w:w="1361" w:type="dxa"/>
            <w:noWrap/>
            <w:hideMark/>
          </w:tcPr>
          <w:p w14:paraId="03403A9E" w14:textId="77777777" w:rsidR="00EE5BB8" w:rsidRPr="00C6052E" w:rsidRDefault="00EE5BB8" w:rsidP="00CA7AB2">
            <w:pPr>
              <w:pStyle w:val="TableCopy"/>
              <w:jc w:val="right"/>
            </w:pPr>
            <w:r w:rsidRPr="00C6052E">
              <w:t>22,819</w:t>
            </w:r>
          </w:p>
        </w:tc>
      </w:tr>
      <w:tr w:rsidR="00CA7AB2" w:rsidRPr="00C6052E" w14:paraId="423B3442" w14:textId="77777777" w:rsidTr="006B5FCB">
        <w:tc>
          <w:tcPr>
            <w:tcW w:w="3397" w:type="dxa"/>
            <w:noWrap/>
            <w:hideMark/>
          </w:tcPr>
          <w:p w14:paraId="1C212A56" w14:textId="0780ABBA" w:rsidR="00EE5BB8" w:rsidRPr="00C6052E" w:rsidRDefault="00EE5BB8" w:rsidP="0063097D">
            <w:pPr>
              <w:pStyle w:val="TableCopy"/>
            </w:pPr>
            <w:r w:rsidRPr="00C6052E">
              <w:t>Assets</w:t>
            </w:r>
            <w:r w:rsidR="00177848" w:rsidRPr="00C6052E">
              <w:t xml:space="preserve"> </w:t>
            </w:r>
            <w:r w:rsidRPr="00C6052E">
              <w:t>received</w:t>
            </w:r>
            <w:r w:rsidR="00177848" w:rsidRPr="00C6052E">
              <w:t xml:space="preserve"> </w:t>
            </w:r>
            <w:r w:rsidRPr="00C6052E">
              <w:t>free</w:t>
            </w:r>
            <w:r w:rsidR="00177848" w:rsidRPr="00C6052E">
              <w:t xml:space="preserve"> </w:t>
            </w:r>
            <w:r w:rsidRPr="00C6052E">
              <w:t>of</w:t>
            </w:r>
            <w:r w:rsidR="00177848" w:rsidRPr="00C6052E">
              <w:t xml:space="preserve"> </w:t>
            </w:r>
            <w:r w:rsidRPr="00C6052E">
              <w:t>charge</w:t>
            </w:r>
          </w:p>
        </w:tc>
        <w:tc>
          <w:tcPr>
            <w:tcW w:w="1020" w:type="dxa"/>
            <w:noWrap/>
            <w:hideMark/>
          </w:tcPr>
          <w:p w14:paraId="3F61E575" w14:textId="77777777" w:rsidR="00EE5BB8" w:rsidRPr="00C6052E" w:rsidRDefault="00EE5BB8" w:rsidP="00CA7AB2">
            <w:pPr>
              <w:pStyle w:val="TableCopy"/>
              <w:jc w:val="right"/>
            </w:pPr>
            <w:r w:rsidRPr="00C6052E">
              <w:t>–</w:t>
            </w:r>
          </w:p>
        </w:tc>
        <w:tc>
          <w:tcPr>
            <w:tcW w:w="1020" w:type="dxa"/>
            <w:noWrap/>
            <w:hideMark/>
          </w:tcPr>
          <w:p w14:paraId="29AC8688" w14:textId="77777777" w:rsidR="00EE5BB8" w:rsidRPr="00C6052E" w:rsidRDefault="00EE5BB8" w:rsidP="00CA7AB2">
            <w:pPr>
              <w:pStyle w:val="TableCopy"/>
              <w:jc w:val="right"/>
            </w:pPr>
            <w:r w:rsidRPr="00C6052E">
              <w:t>–</w:t>
            </w:r>
          </w:p>
        </w:tc>
        <w:tc>
          <w:tcPr>
            <w:tcW w:w="1020" w:type="dxa"/>
            <w:noWrap/>
            <w:hideMark/>
          </w:tcPr>
          <w:p w14:paraId="5AB1DEC1" w14:textId="77777777" w:rsidR="00EE5BB8" w:rsidRPr="00C6052E" w:rsidRDefault="00EE5BB8" w:rsidP="00CA7AB2">
            <w:pPr>
              <w:pStyle w:val="TableCopy"/>
              <w:jc w:val="right"/>
            </w:pPr>
            <w:r w:rsidRPr="00C6052E">
              <w:t>–</w:t>
            </w:r>
          </w:p>
        </w:tc>
        <w:tc>
          <w:tcPr>
            <w:tcW w:w="1020" w:type="dxa"/>
            <w:noWrap/>
            <w:hideMark/>
          </w:tcPr>
          <w:p w14:paraId="74BB79A9" w14:textId="77777777" w:rsidR="00EE5BB8" w:rsidRPr="00C6052E" w:rsidRDefault="00EE5BB8" w:rsidP="00CA7AB2">
            <w:pPr>
              <w:pStyle w:val="TableCopy"/>
              <w:jc w:val="right"/>
            </w:pPr>
            <w:r w:rsidRPr="00C6052E">
              <w:t>–</w:t>
            </w:r>
          </w:p>
        </w:tc>
        <w:tc>
          <w:tcPr>
            <w:tcW w:w="1191" w:type="dxa"/>
            <w:noWrap/>
            <w:hideMark/>
          </w:tcPr>
          <w:p w14:paraId="573749A5" w14:textId="77777777" w:rsidR="00EE5BB8" w:rsidRPr="00C6052E" w:rsidRDefault="00EE5BB8" w:rsidP="00CA7AB2">
            <w:pPr>
              <w:pStyle w:val="TableCopy"/>
              <w:jc w:val="right"/>
            </w:pPr>
            <w:r w:rsidRPr="00C6052E">
              <w:t>36,440</w:t>
            </w:r>
          </w:p>
        </w:tc>
        <w:tc>
          <w:tcPr>
            <w:tcW w:w="1191" w:type="dxa"/>
            <w:noWrap/>
            <w:hideMark/>
          </w:tcPr>
          <w:p w14:paraId="7F112584" w14:textId="77777777" w:rsidR="00EE5BB8" w:rsidRPr="00C6052E" w:rsidRDefault="00EE5BB8" w:rsidP="00CA7AB2">
            <w:pPr>
              <w:pStyle w:val="TableCopy"/>
              <w:jc w:val="right"/>
            </w:pPr>
            <w:r w:rsidRPr="00C6052E">
              <w:t>–</w:t>
            </w:r>
          </w:p>
        </w:tc>
        <w:tc>
          <w:tcPr>
            <w:tcW w:w="1077" w:type="dxa"/>
            <w:noWrap/>
            <w:hideMark/>
          </w:tcPr>
          <w:p w14:paraId="4FD92C58" w14:textId="77777777" w:rsidR="00EE5BB8" w:rsidRPr="00C6052E" w:rsidRDefault="00EE5BB8" w:rsidP="00CA7AB2">
            <w:pPr>
              <w:pStyle w:val="TableCopy"/>
              <w:jc w:val="right"/>
            </w:pPr>
            <w:r w:rsidRPr="00C6052E">
              <w:t>–</w:t>
            </w:r>
          </w:p>
        </w:tc>
        <w:tc>
          <w:tcPr>
            <w:tcW w:w="1077" w:type="dxa"/>
            <w:noWrap/>
            <w:hideMark/>
          </w:tcPr>
          <w:p w14:paraId="5986FB51" w14:textId="77777777" w:rsidR="00EE5BB8" w:rsidRPr="00C6052E" w:rsidRDefault="00EE5BB8" w:rsidP="00CA7AB2">
            <w:pPr>
              <w:pStyle w:val="TableCopy"/>
              <w:jc w:val="right"/>
            </w:pPr>
            <w:r w:rsidRPr="00C6052E">
              <w:t>–</w:t>
            </w:r>
          </w:p>
        </w:tc>
        <w:tc>
          <w:tcPr>
            <w:tcW w:w="1361" w:type="dxa"/>
            <w:noWrap/>
            <w:hideMark/>
          </w:tcPr>
          <w:p w14:paraId="2A6439FA" w14:textId="77777777" w:rsidR="00EE5BB8" w:rsidRPr="00C6052E" w:rsidRDefault="00EE5BB8" w:rsidP="00CA7AB2">
            <w:pPr>
              <w:pStyle w:val="TableCopy"/>
              <w:jc w:val="right"/>
            </w:pPr>
            <w:r w:rsidRPr="00C6052E">
              <w:t>36,440</w:t>
            </w:r>
          </w:p>
        </w:tc>
        <w:tc>
          <w:tcPr>
            <w:tcW w:w="1361" w:type="dxa"/>
            <w:noWrap/>
            <w:hideMark/>
          </w:tcPr>
          <w:p w14:paraId="621106B5" w14:textId="77777777" w:rsidR="00EE5BB8" w:rsidRPr="00C6052E" w:rsidRDefault="00EE5BB8" w:rsidP="00CA7AB2">
            <w:pPr>
              <w:pStyle w:val="TableCopy"/>
              <w:jc w:val="right"/>
            </w:pPr>
            <w:r w:rsidRPr="00C6052E">
              <w:t>–</w:t>
            </w:r>
          </w:p>
        </w:tc>
      </w:tr>
      <w:tr w:rsidR="00CA7AB2" w:rsidRPr="00C6052E" w14:paraId="0D9366C1" w14:textId="77777777" w:rsidTr="006B5FCB">
        <w:tc>
          <w:tcPr>
            <w:tcW w:w="3397" w:type="dxa"/>
            <w:noWrap/>
            <w:hideMark/>
          </w:tcPr>
          <w:p w14:paraId="74508E08" w14:textId="79A26D66" w:rsidR="00EE5BB8" w:rsidRPr="00C6052E" w:rsidRDefault="00EE5BB8" w:rsidP="0063097D">
            <w:pPr>
              <w:pStyle w:val="Tabletotal"/>
            </w:pPr>
            <w:r w:rsidRPr="00C6052E">
              <w:t>Total</w:t>
            </w:r>
            <w:r w:rsidR="00177848" w:rsidRPr="00C6052E">
              <w:t xml:space="preserve"> </w:t>
            </w:r>
            <w:r w:rsidRPr="00C6052E">
              <w:t>revenue</w:t>
            </w:r>
            <w:r w:rsidR="00177848" w:rsidRPr="00C6052E">
              <w:t xml:space="preserve"> </w:t>
            </w:r>
            <w:r w:rsidRPr="00C6052E">
              <w:t>and</w:t>
            </w:r>
            <w:r w:rsidR="00177848" w:rsidRPr="00C6052E">
              <w:t xml:space="preserve"> </w:t>
            </w:r>
            <w:r w:rsidRPr="00C6052E">
              <w:t>income</w:t>
            </w:r>
            <w:r w:rsidR="00177848" w:rsidRPr="00C6052E">
              <w:t xml:space="preserve"> </w:t>
            </w:r>
            <w:r w:rsidRPr="00C6052E">
              <w:t>from</w:t>
            </w:r>
            <w:r w:rsidR="00177848" w:rsidRPr="00C6052E">
              <w:t xml:space="preserve"> </w:t>
            </w:r>
            <w:r w:rsidRPr="00C6052E">
              <w:t>transactions</w:t>
            </w:r>
          </w:p>
        </w:tc>
        <w:tc>
          <w:tcPr>
            <w:tcW w:w="1020" w:type="dxa"/>
            <w:noWrap/>
            <w:hideMark/>
          </w:tcPr>
          <w:p w14:paraId="5165C2BD" w14:textId="77777777" w:rsidR="00EE5BB8" w:rsidRPr="00C6052E" w:rsidRDefault="00EE5BB8" w:rsidP="00CA7AB2">
            <w:pPr>
              <w:pStyle w:val="Tabletotal"/>
              <w:jc w:val="right"/>
            </w:pPr>
            <w:r w:rsidRPr="00C6052E">
              <w:t>345,063</w:t>
            </w:r>
          </w:p>
        </w:tc>
        <w:tc>
          <w:tcPr>
            <w:tcW w:w="1020" w:type="dxa"/>
            <w:noWrap/>
            <w:hideMark/>
          </w:tcPr>
          <w:p w14:paraId="47ECB3FC" w14:textId="77777777" w:rsidR="00EE5BB8" w:rsidRPr="00C6052E" w:rsidRDefault="00EE5BB8" w:rsidP="00CA7AB2">
            <w:pPr>
              <w:pStyle w:val="Tabletotal"/>
              <w:jc w:val="right"/>
            </w:pPr>
            <w:r w:rsidRPr="00C6052E">
              <w:t>369,375</w:t>
            </w:r>
          </w:p>
        </w:tc>
        <w:tc>
          <w:tcPr>
            <w:tcW w:w="1020" w:type="dxa"/>
            <w:noWrap/>
            <w:hideMark/>
          </w:tcPr>
          <w:p w14:paraId="5EC1B6E4" w14:textId="77777777" w:rsidR="00EE5BB8" w:rsidRPr="00C6052E" w:rsidRDefault="00EE5BB8" w:rsidP="00CA7AB2">
            <w:pPr>
              <w:pStyle w:val="Tabletotal"/>
              <w:jc w:val="right"/>
            </w:pPr>
            <w:r w:rsidRPr="00C6052E">
              <w:t>104,383</w:t>
            </w:r>
          </w:p>
        </w:tc>
        <w:tc>
          <w:tcPr>
            <w:tcW w:w="1020" w:type="dxa"/>
            <w:noWrap/>
            <w:hideMark/>
          </w:tcPr>
          <w:p w14:paraId="48923BB1" w14:textId="77777777" w:rsidR="00EE5BB8" w:rsidRPr="00C6052E" w:rsidRDefault="00EE5BB8" w:rsidP="00CA7AB2">
            <w:pPr>
              <w:pStyle w:val="Tabletotal"/>
              <w:jc w:val="right"/>
            </w:pPr>
            <w:r w:rsidRPr="00C6052E">
              <w:t>96,913</w:t>
            </w:r>
          </w:p>
        </w:tc>
        <w:tc>
          <w:tcPr>
            <w:tcW w:w="1191" w:type="dxa"/>
            <w:noWrap/>
            <w:hideMark/>
          </w:tcPr>
          <w:p w14:paraId="2D08E099" w14:textId="77777777" w:rsidR="00EE5BB8" w:rsidRPr="00C6052E" w:rsidRDefault="00EE5BB8" w:rsidP="00CA7AB2">
            <w:pPr>
              <w:pStyle w:val="Tabletotal"/>
              <w:jc w:val="right"/>
            </w:pPr>
            <w:r w:rsidRPr="00C6052E">
              <w:t>1,771,786</w:t>
            </w:r>
          </w:p>
        </w:tc>
        <w:tc>
          <w:tcPr>
            <w:tcW w:w="1191" w:type="dxa"/>
            <w:noWrap/>
            <w:hideMark/>
          </w:tcPr>
          <w:p w14:paraId="489D2B9E" w14:textId="77777777" w:rsidR="00EE5BB8" w:rsidRPr="00C6052E" w:rsidRDefault="00EE5BB8" w:rsidP="00CA7AB2">
            <w:pPr>
              <w:pStyle w:val="Tabletotal"/>
              <w:jc w:val="right"/>
            </w:pPr>
            <w:r w:rsidRPr="00C6052E">
              <w:t>1,722,989</w:t>
            </w:r>
          </w:p>
        </w:tc>
        <w:tc>
          <w:tcPr>
            <w:tcW w:w="1077" w:type="dxa"/>
            <w:noWrap/>
            <w:hideMark/>
          </w:tcPr>
          <w:p w14:paraId="509F24AA" w14:textId="77777777" w:rsidR="00EE5BB8" w:rsidRPr="00C6052E" w:rsidRDefault="00EE5BB8" w:rsidP="00CA7AB2">
            <w:pPr>
              <w:pStyle w:val="Tabletotal"/>
              <w:jc w:val="right"/>
            </w:pPr>
            <w:r w:rsidRPr="00C6052E">
              <w:t>–</w:t>
            </w:r>
          </w:p>
        </w:tc>
        <w:tc>
          <w:tcPr>
            <w:tcW w:w="1077" w:type="dxa"/>
            <w:noWrap/>
            <w:hideMark/>
          </w:tcPr>
          <w:p w14:paraId="044E668D" w14:textId="77777777" w:rsidR="00EE5BB8" w:rsidRPr="00C6052E" w:rsidRDefault="00EE5BB8" w:rsidP="00CA7AB2">
            <w:pPr>
              <w:pStyle w:val="Tabletotal"/>
              <w:jc w:val="right"/>
            </w:pPr>
            <w:r w:rsidRPr="00C6052E">
              <w:t>5,169</w:t>
            </w:r>
          </w:p>
        </w:tc>
        <w:tc>
          <w:tcPr>
            <w:tcW w:w="1361" w:type="dxa"/>
            <w:noWrap/>
            <w:hideMark/>
          </w:tcPr>
          <w:p w14:paraId="4EC0EC10" w14:textId="77777777" w:rsidR="00EE5BB8" w:rsidRPr="00C6052E" w:rsidRDefault="00EE5BB8" w:rsidP="00CA7AB2">
            <w:pPr>
              <w:pStyle w:val="Tabletotal"/>
              <w:jc w:val="right"/>
            </w:pPr>
            <w:r w:rsidRPr="00C6052E">
              <w:t>3,764,306</w:t>
            </w:r>
          </w:p>
        </w:tc>
        <w:tc>
          <w:tcPr>
            <w:tcW w:w="1361" w:type="dxa"/>
            <w:noWrap/>
            <w:hideMark/>
          </w:tcPr>
          <w:p w14:paraId="5A2D0E88" w14:textId="77777777" w:rsidR="00EE5BB8" w:rsidRPr="00C6052E" w:rsidRDefault="00EE5BB8" w:rsidP="00CA7AB2">
            <w:pPr>
              <w:pStyle w:val="Tabletotal"/>
              <w:jc w:val="right"/>
            </w:pPr>
            <w:r w:rsidRPr="00C6052E">
              <w:t>3,617,111</w:t>
            </w:r>
          </w:p>
        </w:tc>
      </w:tr>
      <w:tr w:rsidR="00CA7AB2" w:rsidRPr="00C6052E" w14:paraId="3E082DBF" w14:textId="77777777" w:rsidTr="006B5FCB">
        <w:tc>
          <w:tcPr>
            <w:tcW w:w="3397" w:type="dxa"/>
          </w:tcPr>
          <w:p w14:paraId="1A85E7D9" w14:textId="41704F8D" w:rsidR="00CA7AB2" w:rsidRPr="00C6052E" w:rsidRDefault="00CA7AB2" w:rsidP="00317DAC">
            <w:pPr>
              <w:pStyle w:val="TableHeading"/>
            </w:pPr>
            <w:r w:rsidRPr="00C6052E">
              <w:t>Expenses from transactions</w:t>
            </w:r>
          </w:p>
        </w:tc>
        <w:tc>
          <w:tcPr>
            <w:tcW w:w="1020" w:type="dxa"/>
            <w:noWrap/>
          </w:tcPr>
          <w:p w14:paraId="1E1C355E" w14:textId="77777777" w:rsidR="00CA7AB2" w:rsidRPr="00C6052E" w:rsidRDefault="00CA7AB2" w:rsidP="00CA7AB2">
            <w:pPr>
              <w:pStyle w:val="TableHeading"/>
              <w:jc w:val="right"/>
            </w:pPr>
          </w:p>
        </w:tc>
        <w:tc>
          <w:tcPr>
            <w:tcW w:w="1020" w:type="dxa"/>
            <w:noWrap/>
          </w:tcPr>
          <w:p w14:paraId="3B382034" w14:textId="77777777" w:rsidR="00CA7AB2" w:rsidRPr="00C6052E" w:rsidRDefault="00CA7AB2" w:rsidP="00CA7AB2">
            <w:pPr>
              <w:pStyle w:val="TableHeading"/>
              <w:jc w:val="right"/>
            </w:pPr>
          </w:p>
        </w:tc>
        <w:tc>
          <w:tcPr>
            <w:tcW w:w="1020" w:type="dxa"/>
            <w:noWrap/>
          </w:tcPr>
          <w:p w14:paraId="7338488C" w14:textId="77777777" w:rsidR="00CA7AB2" w:rsidRPr="00C6052E" w:rsidRDefault="00CA7AB2" w:rsidP="00CA7AB2">
            <w:pPr>
              <w:pStyle w:val="TableHeading"/>
              <w:jc w:val="right"/>
            </w:pPr>
          </w:p>
        </w:tc>
        <w:tc>
          <w:tcPr>
            <w:tcW w:w="1020" w:type="dxa"/>
            <w:noWrap/>
          </w:tcPr>
          <w:p w14:paraId="51442502" w14:textId="77777777" w:rsidR="00CA7AB2" w:rsidRPr="00C6052E" w:rsidRDefault="00CA7AB2" w:rsidP="00CA7AB2">
            <w:pPr>
              <w:pStyle w:val="TableHeading"/>
              <w:jc w:val="right"/>
            </w:pPr>
          </w:p>
        </w:tc>
        <w:tc>
          <w:tcPr>
            <w:tcW w:w="1191" w:type="dxa"/>
            <w:noWrap/>
          </w:tcPr>
          <w:p w14:paraId="3E4CAB32" w14:textId="77777777" w:rsidR="00CA7AB2" w:rsidRPr="00C6052E" w:rsidRDefault="00CA7AB2" w:rsidP="00CA7AB2">
            <w:pPr>
              <w:pStyle w:val="TableHeading"/>
              <w:jc w:val="right"/>
            </w:pPr>
          </w:p>
        </w:tc>
        <w:tc>
          <w:tcPr>
            <w:tcW w:w="1191" w:type="dxa"/>
            <w:noWrap/>
          </w:tcPr>
          <w:p w14:paraId="1E508577" w14:textId="77777777" w:rsidR="00CA7AB2" w:rsidRPr="00C6052E" w:rsidRDefault="00CA7AB2" w:rsidP="00CA7AB2">
            <w:pPr>
              <w:pStyle w:val="TableHeading"/>
              <w:jc w:val="right"/>
            </w:pPr>
          </w:p>
        </w:tc>
        <w:tc>
          <w:tcPr>
            <w:tcW w:w="1077" w:type="dxa"/>
            <w:noWrap/>
          </w:tcPr>
          <w:p w14:paraId="121CFA14" w14:textId="77777777" w:rsidR="00CA7AB2" w:rsidRPr="00C6052E" w:rsidRDefault="00CA7AB2" w:rsidP="00CA7AB2">
            <w:pPr>
              <w:pStyle w:val="TableHeading"/>
              <w:jc w:val="right"/>
            </w:pPr>
          </w:p>
        </w:tc>
        <w:tc>
          <w:tcPr>
            <w:tcW w:w="1077" w:type="dxa"/>
            <w:noWrap/>
          </w:tcPr>
          <w:p w14:paraId="7CB28E8E" w14:textId="77777777" w:rsidR="00CA7AB2" w:rsidRPr="00C6052E" w:rsidRDefault="00CA7AB2" w:rsidP="00CA7AB2">
            <w:pPr>
              <w:pStyle w:val="TableHeading"/>
              <w:jc w:val="right"/>
            </w:pPr>
          </w:p>
        </w:tc>
        <w:tc>
          <w:tcPr>
            <w:tcW w:w="1361" w:type="dxa"/>
            <w:noWrap/>
          </w:tcPr>
          <w:p w14:paraId="6913CDC0" w14:textId="77777777" w:rsidR="00CA7AB2" w:rsidRPr="00C6052E" w:rsidRDefault="00CA7AB2" w:rsidP="00CA7AB2">
            <w:pPr>
              <w:pStyle w:val="TableHeading"/>
              <w:jc w:val="right"/>
            </w:pPr>
          </w:p>
        </w:tc>
        <w:tc>
          <w:tcPr>
            <w:tcW w:w="1361" w:type="dxa"/>
            <w:noWrap/>
          </w:tcPr>
          <w:p w14:paraId="37C93BCE" w14:textId="77777777" w:rsidR="00CA7AB2" w:rsidRPr="00C6052E" w:rsidRDefault="00CA7AB2" w:rsidP="00CA7AB2">
            <w:pPr>
              <w:pStyle w:val="TableHeading"/>
              <w:jc w:val="right"/>
            </w:pPr>
          </w:p>
        </w:tc>
      </w:tr>
      <w:tr w:rsidR="00CA7AB2" w:rsidRPr="00C6052E" w14:paraId="19A306B0" w14:textId="77777777" w:rsidTr="006B5FCB">
        <w:tc>
          <w:tcPr>
            <w:tcW w:w="3397" w:type="dxa"/>
            <w:hideMark/>
          </w:tcPr>
          <w:p w14:paraId="00DF727B" w14:textId="3F1547FE" w:rsidR="00EE5BB8" w:rsidRPr="00C6052E" w:rsidRDefault="00EE5BB8" w:rsidP="0063097D">
            <w:pPr>
              <w:pStyle w:val="TableCopy"/>
            </w:pPr>
            <w:r w:rsidRPr="00C6052E">
              <w:t>Grant</w:t>
            </w:r>
            <w:r w:rsidR="00177848" w:rsidRPr="00C6052E">
              <w:t xml:space="preserve"> </w:t>
            </w:r>
            <w:r w:rsidRPr="00C6052E">
              <w:t>expenses</w:t>
            </w:r>
          </w:p>
        </w:tc>
        <w:tc>
          <w:tcPr>
            <w:tcW w:w="1020" w:type="dxa"/>
            <w:noWrap/>
            <w:hideMark/>
          </w:tcPr>
          <w:p w14:paraId="173793BB" w14:textId="77777777" w:rsidR="00EE5BB8" w:rsidRPr="00C6052E" w:rsidRDefault="00EE5BB8" w:rsidP="00CA7AB2">
            <w:pPr>
              <w:pStyle w:val="TableCopy"/>
              <w:jc w:val="right"/>
            </w:pPr>
            <w:r w:rsidRPr="00C6052E">
              <w:t>(325,520)</w:t>
            </w:r>
          </w:p>
        </w:tc>
        <w:tc>
          <w:tcPr>
            <w:tcW w:w="1020" w:type="dxa"/>
            <w:noWrap/>
            <w:hideMark/>
          </w:tcPr>
          <w:p w14:paraId="4A2B2581" w14:textId="77777777" w:rsidR="00EE5BB8" w:rsidRPr="00C6052E" w:rsidRDefault="00EE5BB8" w:rsidP="00CA7AB2">
            <w:pPr>
              <w:pStyle w:val="TableCopy"/>
              <w:jc w:val="right"/>
            </w:pPr>
            <w:r w:rsidRPr="00C6052E">
              <w:t>(348,085)</w:t>
            </w:r>
          </w:p>
        </w:tc>
        <w:tc>
          <w:tcPr>
            <w:tcW w:w="1020" w:type="dxa"/>
            <w:noWrap/>
            <w:hideMark/>
          </w:tcPr>
          <w:p w14:paraId="744AB085" w14:textId="77777777" w:rsidR="00EE5BB8" w:rsidRPr="00C6052E" w:rsidRDefault="00EE5BB8" w:rsidP="00CA7AB2">
            <w:pPr>
              <w:pStyle w:val="TableCopy"/>
              <w:jc w:val="right"/>
            </w:pPr>
            <w:r w:rsidRPr="00C6052E">
              <w:t>(95,261)</w:t>
            </w:r>
          </w:p>
        </w:tc>
        <w:tc>
          <w:tcPr>
            <w:tcW w:w="1020" w:type="dxa"/>
            <w:noWrap/>
            <w:hideMark/>
          </w:tcPr>
          <w:p w14:paraId="7062E0FD" w14:textId="77777777" w:rsidR="00EE5BB8" w:rsidRPr="00C6052E" w:rsidRDefault="00EE5BB8" w:rsidP="00CA7AB2">
            <w:pPr>
              <w:pStyle w:val="TableCopy"/>
              <w:jc w:val="right"/>
            </w:pPr>
            <w:r w:rsidRPr="00C6052E">
              <w:t>(76,376)</w:t>
            </w:r>
          </w:p>
        </w:tc>
        <w:tc>
          <w:tcPr>
            <w:tcW w:w="1191" w:type="dxa"/>
            <w:noWrap/>
            <w:hideMark/>
          </w:tcPr>
          <w:p w14:paraId="1C5E41B9" w14:textId="77777777" w:rsidR="00EE5BB8" w:rsidRPr="00C6052E" w:rsidRDefault="00EE5BB8" w:rsidP="00CA7AB2">
            <w:pPr>
              <w:pStyle w:val="TableCopy"/>
              <w:jc w:val="right"/>
            </w:pPr>
            <w:r w:rsidRPr="00C6052E">
              <w:t>(1,485,476)</w:t>
            </w:r>
          </w:p>
        </w:tc>
        <w:tc>
          <w:tcPr>
            <w:tcW w:w="1191" w:type="dxa"/>
            <w:noWrap/>
            <w:hideMark/>
          </w:tcPr>
          <w:p w14:paraId="670C1AC4" w14:textId="77777777" w:rsidR="00EE5BB8" w:rsidRPr="00C6052E" w:rsidRDefault="00EE5BB8" w:rsidP="00CA7AB2">
            <w:pPr>
              <w:pStyle w:val="TableCopy"/>
              <w:jc w:val="right"/>
            </w:pPr>
            <w:r w:rsidRPr="00C6052E">
              <w:t>(1,470,344)</w:t>
            </w:r>
          </w:p>
        </w:tc>
        <w:tc>
          <w:tcPr>
            <w:tcW w:w="1077" w:type="dxa"/>
            <w:noWrap/>
            <w:hideMark/>
          </w:tcPr>
          <w:p w14:paraId="566BB2C2" w14:textId="77777777" w:rsidR="00EE5BB8" w:rsidRPr="00C6052E" w:rsidRDefault="00EE5BB8" w:rsidP="00CA7AB2">
            <w:pPr>
              <w:pStyle w:val="TableCopy"/>
              <w:jc w:val="right"/>
            </w:pPr>
            <w:r w:rsidRPr="00C6052E">
              <w:t>–</w:t>
            </w:r>
          </w:p>
        </w:tc>
        <w:tc>
          <w:tcPr>
            <w:tcW w:w="1077" w:type="dxa"/>
            <w:noWrap/>
            <w:hideMark/>
          </w:tcPr>
          <w:p w14:paraId="7CB5A958" w14:textId="77777777" w:rsidR="00EE5BB8" w:rsidRPr="00C6052E" w:rsidRDefault="00EE5BB8" w:rsidP="00CA7AB2">
            <w:pPr>
              <w:pStyle w:val="TableCopy"/>
              <w:jc w:val="right"/>
            </w:pPr>
            <w:r w:rsidRPr="00C6052E">
              <w:t>(968)</w:t>
            </w:r>
          </w:p>
        </w:tc>
        <w:tc>
          <w:tcPr>
            <w:tcW w:w="1361" w:type="dxa"/>
            <w:noWrap/>
            <w:hideMark/>
          </w:tcPr>
          <w:p w14:paraId="602E923F" w14:textId="77777777" w:rsidR="00EE5BB8" w:rsidRPr="00C6052E" w:rsidRDefault="00EE5BB8" w:rsidP="00CA7AB2">
            <w:pPr>
              <w:pStyle w:val="TableCopy"/>
              <w:jc w:val="right"/>
            </w:pPr>
            <w:r w:rsidRPr="00C6052E">
              <w:t>(3,000,737)</w:t>
            </w:r>
          </w:p>
        </w:tc>
        <w:tc>
          <w:tcPr>
            <w:tcW w:w="1361" w:type="dxa"/>
            <w:noWrap/>
            <w:hideMark/>
          </w:tcPr>
          <w:p w14:paraId="75AD6FB2" w14:textId="77777777" w:rsidR="00EE5BB8" w:rsidRPr="00C6052E" w:rsidRDefault="00EE5BB8" w:rsidP="00CA7AB2">
            <w:pPr>
              <w:pStyle w:val="TableCopy"/>
              <w:jc w:val="right"/>
            </w:pPr>
            <w:r w:rsidRPr="00C6052E">
              <w:t>(2,892,568)</w:t>
            </w:r>
          </w:p>
        </w:tc>
      </w:tr>
      <w:tr w:rsidR="00CA7AB2" w:rsidRPr="00C6052E" w14:paraId="7BA40D1E" w14:textId="77777777" w:rsidTr="006B5FCB">
        <w:tc>
          <w:tcPr>
            <w:tcW w:w="3397" w:type="dxa"/>
            <w:hideMark/>
          </w:tcPr>
          <w:p w14:paraId="1E444DB4" w14:textId="4251E0DC" w:rsidR="00EE5BB8" w:rsidRPr="00C6052E" w:rsidRDefault="00EE5BB8" w:rsidP="0063097D">
            <w:pPr>
              <w:pStyle w:val="TableCopy"/>
            </w:pPr>
            <w:r w:rsidRPr="00C6052E">
              <w:t>Employee</w:t>
            </w:r>
            <w:r w:rsidR="00177848" w:rsidRPr="00C6052E">
              <w:t xml:space="preserve"> </w:t>
            </w:r>
            <w:r w:rsidRPr="00C6052E">
              <w:t>expenses</w:t>
            </w:r>
          </w:p>
        </w:tc>
        <w:tc>
          <w:tcPr>
            <w:tcW w:w="1020" w:type="dxa"/>
            <w:noWrap/>
            <w:hideMark/>
          </w:tcPr>
          <w:p w14:paraId="3D65BBF8" w14:textId="77777777" w:rsidR="00EE5BB8" w:rsidRPr="00C6052E" w:rsidRDefault="00EE5BB8" w:rsidP="00CA7AB2">
            <w:pPr>
              <w:pStyle w:val="TableCopy"/>
              <w:jc w:val="right"/>
            </w:pPr>
            <w:r w:rsidRPr="00C6052E">
              <w:t>(12,350)</w:t>
            </w:r>
          </w:p>
        </w:tc>
        <w:tc>
          <w:tcPr>
            <w:tcW w:w="1020" w:type="dxa"/>
            <w:noWrap/>
            <w:hideMark/>
          </w:tcPr>
          <w:p w14:paraId="02E9012C" w14:textId="77777777" w:rsidR="00EE5BB8" w:rsidRPr="00C6052E" w:rsidRDefault="00EE5BB8" w:rsidP="00CA7AB2">
            <w:pPr>
              <w:pStyle w:val="TableCopy"/>
              <w:jc w:val="right"/>
            </w:pPr>
            <w:r w:rsidRPr="00C6052E">
              <w:t>(13,890)</w:t>
            </w:r>
          </w:p>
        </w:tc>
        <w:tc>
          <w:tcPr>
            <w:tcW w:w="1020" w:type="dxa"/>
            <w:noWrap/>
            <w:hideMark/>
          </w:tcPr>
          <w:p w14:paraId="3FDEB3ED" w14:textId="77777777" w:rsidR="00EE5BB8" w:rsidRPr="00C6052E" w:rsidRDefault="00EE5BB8" w:rsidP="00CA7AB2">
            <w:pPr>
              <w:pStyle w:val="TableCopy"/>
              <w:jc w:val="right"/>
            </w:pPr>
            <w:r w:rsidRPr="00C6052E">
              <w:t>(4,215)</w:t>
            </w:r>
          </w:p>
        </w:tc>
        <w:tc>
          <w:tcPr>
            <w:tcW w:w="1020" w:type="dxa"/>
            <w:noWrap/>
            <w:hideMark/>
          </w:tcPr>
          <w:p w14:paraId="5DA954C1" w14:textId="77777777" w:rsidR="00EE5BB8" w:rsidRPr="00C6052E" w:rsidRDefault="00EE5BB8" w:rsidP="00CA7AB2">
            <w:pPr>
              <w:pStyle w:val="TableCopy"/>
              <w:jc w:val="right"/>
            </w:pPr>
            <w:r w:rsidRPr="00C6052E">
              <w:t>(3,581)</w:t>
            </w:r>
          </w:p>
        </w:tc>
        <w:tc>
          <w:tcPr>
            <w:tcW w:w="1191" w:type="dxa"/>
            <w:noWrap/>
            <w:hideMark/>
          </w:tcPr>
          <w:p w14:paraId="44254FCC" w14:textId="77777777" w:rsidR="00EE5BB8" w:rsidRPr="00C6052E" w:rsidRDefault="00EE5BB8" w:rsidP="00CA7AB2">
            <w:pPr>
              <w:pStyle w:val="TableCopy"/>
              <w:jc w:val="right"/>
            </w:pPr>
            <w:r w:rsidRPr="00C6052E">
              <w:t>(110,901)</w:t>
            </w:r>
          </w:p>
        </w:tc>
        <w:tc>
          <w:tcPr>
            <w:tcW w:w="1191" w:type="dxa"/>
            <w:noWrap/>
            <w:hideMark/>
          </w:tcPr>
          <w:p w14:paraId="66731D39" w14:textId="77777777" w:rsidR="00EE5BB8" w:rsidRPr="00C6052E" w:rsidRDefault="00EE5BB8" w:rsidP="00CA7AB2">
            <w:pPr>
              <w:pStyle w:val="TableCopy"/>
              <w:jc w:val="right"/>
            </w:pPr>
            <w:r w:rsidRPr="00C6052E">
              <w:t>(107,629)</w:t>
            </w:r>
          </w:p>
        </w:tc>
        <w:tc>
          <w:tcPr>
            <w:tcW w:w="1077" w:type="dxa"/>
            <w:noWrap/>
            <w:hideMark/>
          </w:tcPr>
          <w:p w14:paraId="693504EC" w14:textId="77777777" w:rsidR="00EE5BB8" w:rsidRPr="00C6052E" w:rsidRDefault="00EE5BB8" w:rsidP="00CA7AB2">
            <w:pPr>
              <w:pStyle w:val="TableCopy"/>
              <w:jc w:val="right"/>
            </w:pPr>
            <w:r w:rsidRPr="00C6052E">
              <w:t>–</w:t>
            </w:r>
          </w:p>
        </w:tc>
        <w:tc>
          <w:tcPr>
            <w:tcW w:w="1077" w:type="dxa"/>
            <w:noWrap/>
            <w:hideMark/>
          </w:tcPr>
          <w:p w14:paraId="320ABD2F" w14:textId="77777777" w:rsidR="00EE5BB8" w:rsidRPr="00C6052E" w:rsidRDefault="00EE5BB8" w:rsidP="00CA7AB2">
            <w:pPr>
              <w:pStyle w:val="TableCopy"/>
              <w:jc w:val="right"/>
            </w:pPr>
            <w:r w:rsidRPr="00C6052E">
              <w:t>(3,550)</w:t>
            </w:r>
          </w:p>
        </w:tc>
        <w:tc>
          <w:tcPr>
            <w:tcW w:w="1361" w:type="dxa"/>
            <w:noWrap/>
            <w:hideMark/>
          </w:tcPr>
          <w:p w14:paraId="610879AE" w14:textId="77777777" w:rsidR="00EE5BB8" w:rsidRPr="00C6052E" w:rsidRDefault="00EE5BB8" w:rsidP="00CA7AB2">
            <w:pPr>
              <w:pStyle w:val="TableCopy"/>
              <w:jc w:val="right"/>
            </w:pPr>
            <w:r w:rsidRPr="00C6052E">
              <w:t>(349,007)</w:t>
            </w:r>
          </w:p>
        </w:tc>
        <w:tc>
          <w:tcPr>
            <w:tcW w:w="1361" w:type="dxa"/>
            <w:noWrap/>
            <w:hideMark/>
          </w:tcPr>
          <w:p w14:paraId="1D30FE9A" w14:textId="77777777" w:rsidR="00EE5BB8" w:rsidRPr="00C6052E" w:rsidRDefault="00EE5BB8" w:rsidP="00CA7AB2">
            <w:pPr>
              <w:pStyle w:val="TableCopy"/>
              <w:jc w:val="right"/>
            </w:pPr>
            <w:r w:rsidRPr="00C6052E">
              <w:t>(372,118)</w:t>
            </w:r>
          </w:p>
        </w:tc>
      </w:tr>
      <w:tr w:rsidR="00CA7AB2" w:rsidRPr="00C6052E" w14:paraId="6E826A5D" w14:textId="77777777" w:rsidTr="006B5FCB">
        <w:tc>
          <w:tcPr>
            <w:tcW w:w="3397" w:type="dxa"/>
            <w:hideMark/>
          </w:tcPr>
          <w:p w14:paraId="5F983A6C" w14:textId="31526F86" w:rsidR="00EE5BB8" w:rsidRPr="00C6052E" w:rsidRDefault="00EE5BB8" w:rsidP="0063097D">
            <w:pPr>
              <w:pStyle w:val="TableCopy"/>
            </w:pPr>
            <w:r w:rsidRPr="00C6052E">
              <w:t>Depreciation</w:t>
            </w:r>
            <w:r w:rsidR="00177848" w:rsidRPr="00C6052E">
              <w:t xml:space="preserve"> </w:t>
            </w:r>
            <w:r w:rsidRPr="00C6052E">
              <w:t>and</w:t>
            </w:r>
            <w:r w:rsidR="00177848" w:rsidRPr="00C6052E">
              <w:t xml:space="preserve"> </w:t>
            </w:r>
            <w:r w:rsidRPr="00C6052E">
              <w:t>amortisation</w:t>
            </w:r>
            <w:r w:rsidR="00177848" w:rsidRPr="00C6052E">
              <w:t xml:space="preserve"> </w:t>
            </w:r>
          </w:p>
        </w:tc>
        <w:tc>
          <w:tcPr>
            <w:tcW w:w="1020" w:type="dxa"/>
            <w:noWrap/>
            <w:hideMark/>
          </w:tcPr>
          <w:p w14:paraId="6E062B41" w14:textId="77777777" w:rsidR="00EE5BB8" w:rsidRPr="00C6052E" w:rsidRDefault="00EE5BB8" w:rsidP="00CA7AB2">
            <w:pPr>
              <w:pStyle w:val="TableCopy"/>
              <w:jc w:val="right"/>
            </w:pPr>
            <w:r w:rsidRPr="00C6052E">
              <w:t>(121)</w:t>
            </w:r>
          </w:p>
        </w:tc>
        <w:tc>
          <w:tcPr>
            <w:tcW w:w="1020" w:type="dxa"/>
            <w:noWrap/>
            <w:hideMark/>
          </w:tcPr>
          <w:p w14:paraId="7DB65DA3" w14:textId="77777777" w:rsidR="00EE5BB8" w:rsidRPr="00C6052E" w:rsidRDefault="00EE5BB8" w:rsidP="00CA7AB2">
            <w:pPr>
              <w:pStyle w:val="TableCopy"/>
              <w:jc w:val="right"/>
            </w:pPr>
            <w:r w:rsidRPr="00C6052E">
              <w:t>(684)</w:t>
            </w:r>
          </w:p>
        </w:tc>
        <w:tc>
          <w:tcPr>
            <w:tcW w:w="1020" w:type="dxa"/>
            <w:noWrap/>
            <w:hideMark/>
          </w:tcPr>
          <w:p w14:paraId="58332E53" w14:textId="77777777" w:rsidR="00EE5BB8" w:rsidRPr="00C6052E" w:rsidRDefault="00EE5BB8" w:rsidP="00CA7AB2">
            <w:pPr>
              <w:pStyle w:val="TableCopy"/>
              <w:jc w:val="right"/>
            </w:pPr>
            <w:r w:rsidRPr="00C6052E">
              <w:t>(66)</w:t>
            </w:r>
          </w:p>
        </w:tc>
        <w:tc>
          <w:tcPr>
            <w:tcW w:w="1020" w:type="dxa"/>
            <w:noWrap/>
            <w:hideMark/>
          </w:tcPr>
          <w:p w14:paraId="3E850696" w14:textId="77777777" w:rsidR="00EE5BB8" w:rsidRPr="00C6052E" w:rsidRDefault="00EE5BB8" w:rsidP="00CA7AB2">
            <w:pPr>
              <w:pStyle w:val="TableCopy"/>
              <w:jc w:val="right"/>
            </w:pPr>
            <w:r w:rsidRPr="00C6052E">
              <w:t>–</w:t>
            </w:r>
          </w:p>
        </w:tc>
        <w:tc>
          <w:tcPr>
            <w:tcW w:w="1191" w:type="dxa"/>
            <w:noWrap/>
            <w:hideMark/>
          </w:tcPr>
          <w:p w14:paraId="105A7991" w14:textId="77777777" w:rsidR="00EE5BB8" w:rsidRPr="00C6052E" w:rsidRDefault="00EE5BB8" w:rsidP="00CA7AB2">
            <w:pPr>
              <w:pStyle w:val="TableCopy"/>
              <w:jc w:val="right"/>
            </w:pPr>
            <w:r w:rsidRPr="00C6052E">
              <w:t>(4,035)</w:t>
            </w:r>
          </w:p>
        </w:tc>
        <w:tc>
          <w:tcPr>
            <w:tcW w:w="1191" w:type="dxa"/>
            <w:noWrap/>
            <w:hideMark/>
          </w:tcPr>
          <w:p w14:paraId="79F677AE" w14:textId="77777777" w:rsidR="00EE5BB8" w:rsidRPr="00C6052E" w:rsidRDefault="00EE5BB8" w:rsidP="00CA7AB2">
            <w:pPr>
              <w:pStyle w:val="TableCopy"/>
              <w:jc w:val="right"/>
            </w:pPr>
            <w:r w:rsidRPr="00C6052E">
              <w:t>–</w:t>
            </w:r>
          </w:p>
        </w:tc>
        <w:tc>
          <w:tcPr>
            <w:tcW w:w="1077" w:type="dxa"/>
            <w:noWrap/>
            <w:hideMark/>
          </w:tcPr>
          <w:p w14:paraId="7F5A3D67" w14:textId="77777777" w:rsidR="00EE5BB8" w:rsidRPr="00C6052E" w:rsidRDefault="00EE5BB8" w:rsidP="00CA7AB2">
            <w:pPr>
              <w:pStyle w:val="TableCopy"/>
              <w:jc w:val="right"/>
            </w:pPr>
            <w:r w:rsidRPr="00C6052E">
              <w:t>–</w:t>
            </w:r>
          </w:p>
        </w:tc>
        <w:tc>
          <w:tcPr>
            <w:tcW w:w="1077" w:type="dxa"/>
            <w:noWrap/>
            <w:hideMark/>
          </w:tcPr>
          <w:p w14:paraId="43F28789" w14:textId="77777777" w:rsidR="00EE5BB8" w:rsidRPr="00C6052E" w:rsidRDefault="00EE5BB8" w:rsidP="00CA7AB2">
            <w:pPr>
              <w:pStyle w:val="TableCopy"/>
              <w:jc w:val="right"/>
            </w:pPr>
            <w:r w:rsidRPr="00C6052E">
              <w:t>–</w:t>
            </w:r>
          </w:p>
        </w:tc>
        <w:tc>
          <w:tcPr>
            <w:tcW w:w="1361" w:type="dxa"/>
            <w:noWrap/>
            <w:hideMark/>
          </w:tcPr>
          <w:p w14:paraId="4A467AFF" w14:textId="77777777" w:rsidR="00EE5BB8" w:rsidRPr="00C6052E" w:rsidRDefault="00EE5BB8" w:rsidP="00CA7AB2">
            <w:pPr>
              <w:pStyle w:val="TableCopy"/>
              <w:jc w:val="right"/>
            </w:pPr>
            <w:r w:rsidRPr="00C6052E">
              <w:t>(14,152)</w:t>
            </w:r>
          </w:p>
        </w:tc>
        <w:tc>
          <w:tcPr>
            <w:tcW w:w="1361" w:type="dxa"/>
            <w:noWrap/>
            <w:hideMark/>
          </w:tcPr>
          <w:p w14:paraId="0CE95584" w14:textId="77777777" w:rsidR="00EE5BB8" w:rsidRPr="00C6052E" w:rsidRDefault="00EE5BB8" w:rsidP="00CA7AB2">
            <w:pPr>
              <w:pStyle w:val="TableCopy"/>
              <w:jc w:val="right"/>
            </w:pPr>
            <w:r w:rsidRPr="00C6052E">
              <w:t>(13,372)</w:t>
            </w:r>
          </w:p>
        </w:tc>
      </w:tr>
      <w:tr w:rsidR="00CA7AB2" w:rsidRPr="00C6052E" w14:paraId="6574A22C" w14:textId="77777777" w:rsidTr="006B5FCB">
        <w:tc>
          <w:tcPr>
            <w:tcW w:w="3397" w:type="dxa"/>
            <w:hideMark/>
          </w:tcPr>
          <w:p w14:paraId="1C376195" w14:textId="1A638115" w:rsidR="00EE5BB8" w:rsidRPr="00C6052E" w:rsidRDefault="00EE5BB8" w:rsidP="0063097D">
            <w:pPr>
              <w:pStyle w:val="TableCopy"/>
            </w:pPr>
            <w:r w:rsidRPr="00C6052E">
              <w:lastRenderedPageBreak/>
              <w:t>Other</w:t>
            </w:r>
            <w:r w:rsidR="00177848" w:rsidRPr="00C6052E">
              <w:t xml:space="preserve"> </w:t>
            </w:r>
            <w:r w:rsidRPr="00C6052E">
              <w:t>operating</w:t>
            </w:r>
            <w:r w:rsidR="00177848" w:rsidRPr="00C6052E">
              <w:t xml:space="preserve"> </w:t>
            </w:r>
            <w:r w:rsidRPr="00C6052E">
              <w:t>expenses</w:t>
            </w:r>
          </w:p>
        </w:tc>
        <w:tc>
          <w:tcPr>
            <w:tcW w:w="1020" w:type="dxa"/>
            <w:noWrap/>
            <w:hideMark/>
          </w:tcPr>
          <w:p w14:paraId="13A744E8" w14:textId="77777777" w:rsidR="00EE5BB8" w:rsidRPr="00C6052E" w:rsidRDefault="00EE5BB8" w:rsidP="00CA7AB2">
            <w:pPr>
              <w:pStyle w:val="TableCopy"/>
              <w:jc w:val="right"/>
            </w:pPr>
            <w:r w:rsidRPr="00C6052E">
              <w:t>(2,522)</w:t>
            </w:r>
          </w:p>
        </w:tc>
        <w:tc>
          <w:tcPr>
            <w:tcW w:w="1020" w:type="dxa"/>
            <w:noWrap/>
            <w:hideMark/>
          </w:tcPr>
          <w:p w14:paraId="130B3F77" w14:textId="77777777" w:rsidR="00EE5BB8" w:rsidRPr="00C6052E" w:rsidRDefault="00EE5BB8" w:rsidP="00CA7AB2">
            <w:pPr>
              <w:pStyle w:val="TableCopy"/>
              <w:jc w:val="right"/>
            </w:pPr>
            <w:r w:rsidRPr="00C6052E">
              <w:t>(5,093)</w:t>
            </w:r>
          </w:p>
        </w:tc>
        <w:tc>
          <w:tcPr>
            <w:tcW w:w="1020" w:type="dxa"/>
            <w:noWrap/>
            <w:hideMark/>
          </w:tcPr>
          <w:p w14:paraId="318E8123" w14:textId="77777777" w:rsidR="00EE5BB8" w:rsidRPr="00C6052E" w:rsidRDefault="00EE5BB8" w:rsidP="00CA7AB2">
            <w:pPr>
              <w:pStyle w:val="TableCopy"/>
              <w:jc w:val="right"/>
            </w:pPr>
            <w:r w:rsidRPr="00C6052E">
              <w:t>(2,714)</w:t>
            </w:r>
          </w:p>
        </w:tc>
        <w:tc>
          <w:tcPr>
            <w:tcW w:w="1020" w:type="dxa"/>
            <w:noWrap/>
            <w:hideMark/>
          </w:tcPr>
          <w:p w14:paraId="42FCEB70" w14:textId="77777777" w:rsidR="00EE5BB8" w:rsidRPr="00C6052E" w:rsidRDefault="00EE5BB8" w:rsidP="00CA7AB2">
            <w:pPr>
              <w:pStyle w:val="TableCopy"/>
              <w:jc w:val="right"/>
            </w:pPr>
            <w:r w:rsidRPr="00C6052E">
              <w:t>(13,426)</w:t>
            </w:r>
          </w:p>
        </w:tc>
        <w:tc>
          <w:tcPr>
            <w:tcW w:w="1191" w:type="dxa"/>
            <w:noWrap/>
            <w:hideMark/>
          </w:tcPr>
          <w:p w14:paraId="7BE10BB7" w14:textId="77777777" w:rsidR="00EE5BB8" w:rsidRPr="00C6052E" w:rsidRDefault="00EE5BB8" w:rsidP="00CA7AB2">
            <w:pPr>
              <w:pStyle w:val="TableCopy"/>
              <w:jc w:val="right"/>
            </w:pPr>
            <w:r w:rsidRPr="00C6052E">
              <w:t>(42,291)</w:t>
            </w:r>
          </w:p>
        </w:tc>
        <w:tc>
          <w:tcPr>
            <w:tcW w:w="1191" w:type="dxa"/>
            <w:noWrap/>
            <w:hideMark/>
          </w:tcPr>
          <w:p w14:paraId="038B5821" w14:textId="77777777" w:rsidR="00EE5BB8" w:rsidRPr="00C6052E" w:rsidRDefault="00EE5BB8" w:rsidP="00CA7AB2">
            <w:pPr>
              <w:pStyle w:val="TableCopy"/>
              <w:jc w:val="right"/>
            </w:pPr>
            <w:r w:rsidRPr="00C6052E">
              <w:t>(48,415)</w:t>
            </w:r>
          </w:p>
        </w:tc>
        <w:tc>
          <w:tcPr>
            <w:tcW w:w="1077" w:type="dxa"/>
            <w:noWrap/>
            <w:hideMark/>
          </w:tcPr>
          <w:p w14:paraId="13C0AC27" w14:textId="77777777" w:rsidR="00EE5BB8" w:rsidRPr="00C6052E" w:rsidRDefault="00EE5BB8" w:rsidP="00CA7AB2">
            <w:pPr>
              <w:pStyle w:val="TableCopy"/>
              <w:jc w:val="right"/>
            </w:pPr>
            <w:r w:rsidRPr="00C6052E">
              <w:t>–</w:t>
            </w:r>
          </w:p>
        </w:tc>
        <w:tc>
          <w:tcPr>
            <w:tcW w:w="1077" w:type="dxa"/>
            <w:noWrap/>
            <w:hideMark/>
          </w:tcPr>
          <w:p w14:paraId="6199168D" w14:textId="77777777" w:rsidR="00EE5BB8" w:rsidRPr="00C6052E" w:rsidRDefault="00EE5BB8" w:rsidP="00CA7AB2">
            <w:pPr>
              <w:pStyle w:val="TableCopy"/>
              <w:jc w:val="right"/>
            </w:pPr>
            <w:r w:rsidRPr="00C6052E">
              <w:t>(652)</w:t>
            </w:r>
          </w:p>
        </w:tc>
        <w:tc>
          <w:tcPr>
            <w:tcW w:w="1361" w:type="dxa"/>
            <w:noWrap/>
            <w:hideMark/>
          </w:tcPr>
          <w:p w14:paraId="49031CE1" w14:textId="77777777" w:rsidR="00EE5BB8" w:rsidRPr="00C6052E" w:rsidRDefault="00EE5BB8" w:rsidP="00CA7AB2">
            <w:pPr>
              <w:pStyle w:val="TableCopy"/>
              <w:jc w:val="right"/>
            </w:pPr>
            <w:r w:rsidRPr="00C6052E">
              <w:t>(231,103)</w:t>
            </w:r>
          </w:p>
        </w:tc>
        <w:tc>
          <w:tcPr>
            <w:tcW w:w="1361" w:type="dxa"/>
            <w:noWrap/>
            <w:hideMark/>
          </w:tcPr>
          <w:p w14:paraId="1777AEAB" w14:textId="77777777" w:rsidR="00EE5BB8" w:rsidRPr="00C6052E" w:rsidRDefault="00EE5BB8" w:rsidP="00CA7AB2">
            <w:pPr>
              <w:pStyle w:val="TableCopy"/>
              <w:jc w:val="right"/>
            </w:pPr>
            <w:r w:rsidRPr="00C6052E">
              <w:t>(226,835)</w:t>
            </w:r>
          </w:p>
        </w:tc>
      </w:tr>
      <w:tr w:rsidR="00CA7AB2" w:rsidRPr="00C6052E" w14:paraId="414F1FA2" w14:textId="77777777" w:rsidTr="006B5FCB">
        <w:tc>
          <w:tcPr>
            <w:tcW w:w="3397" w:type="dxa"/>
            <w:noWrap/>
            <w:hideMark/>
          </w:tcPr>
          <w:p w14:paraId="467E59D6" w14:textId="30A7C4AF" w:rsidR="00EE5BB8" w:rsidRPr="00C6052E" w:rsidRDefault="00EE5BB8" w:rsidP="0063097D">
            <w:pPr>
              <w:pStyle w:val="Tabletotal"/>
            </w:pPr>
            <w:r w:rsidRPr="00C6052E">
              <w:t>Total</w:t>
            </w:r>
            <w:r w:rsidR="00177848" w:rsidRPr="00C6052E">
              <w:t xml:space="preserve"> </w:t>
            </w:r>
            <w:r w:rsidRPr="00C6052E">
              <w:t>expenses</w:t>
            </w:r>
            <w:r w:rsidR="00177848" w:rsidRPr="00C6052E">
              <w:t xml:space="preserve"> </w:t>
            </w:r>
            <w:r w:rsidRPr="00C6052E">
              <w:t>from</w:t>
            </w:r>
            <w:r w:rsidR="00177848" w:rsidRPr="00C6052E">
              <w:t xml:space="preserve"> </w:t>
            </w:r>
            <w:r w:rsidRPr="00C6052E">
              <w:t>transactions</w:t>
            </w:r>
          </w:p>
        </w:tc>
        <w:tc>
          <w:tcPr>
            <w:tcW w:w="1020" w:type="dxa"/>
            <w:noWrap/>
            <w:hideMark/>
          </w:tcPr>
          <w:p w14:paraId="78493723" w14:textId="77777777" w:rsidR="00EE5BB8" w:rsidRPr="00C6052E" w:rsidRDefault="00EE5BB8" w:rsidP="00CA7AB2">
            <w:pPr>
              <w:pStyle w:val="Tabletotal"/>
              <w:jc w:val="right"/>
            </w:pPr>
            <w:r w:rsidRPr="00C6052E">
              <w:t>(340,513)</w:t>
            </w:r>
          </w:p>
        </w:tc>
        <w:tc>
          <w:tcPr>
            <w:tcW w:w="1020" w:type="dxa"/>
            <w:noWrap/>
            <w:hideMark/>
          </w:tcPr>
          <w:p w14:paraId="2BD53619" w14:textId="77777777" w:rsidR="00EE5BB8" w:rsidRPr="00C6052E" w:rsidRDefault="00EE5BB8" w:rsidP="00CA7AB2">
            <w:pPr>
              <w:pStyle w:val="Tabletotal"/>
              <w:jc w:val="right"/>
            </w:pPr>
            <w:r w:rsidRPr="00C6052E">
              <w:t>(367,752)</w:t>
            </w:r>
          </w:p>
        </w:tc>
        <w:tc>
          <w:tcPr>
            <w:tcW w:w="1020" w:type="dxa"/>
            <w:noWrap/>
            <w:hideMark/>
          </w:tcPr>
          <w:p w14:paraId="2D8924A4" w14:textId="77777777" w:rsidR="00EE5BB8" w:rsidRPr="00C6052E" w:rsidRDefault="00EE5BB8" w:rsidP="00CA7AB2">
            <w:pPr>
              <w:pStyle w:val="Tabletotal"/>
              <w:jc w:val="right"/>
            </w:pPr>
            <w:r w:rsidRPr="00C6052E">
              <w:t>(102,256)</w:t>
            </w:r>
          </w:p>
        </w:tc>
        <w:tc>
          <w:tcPr>
            <w:tcW w:w="1020" w:type="dxa"/>
            <w:noWrap/>
            <w:hideMark/>
          </w:tcPr>
          <w:p w14:paraId="014F6CF7" w14:textId="77777777" w:rsidR="00EE5BB8" w:rsidRPr="00C6052E" w:rsidRDefault="00EE5BB8" w:rsidP="00CA7AB2">
            <w:pPr>
              <w:pStyle w:val="Tabletotal"/>
              <w:jc w:val="right"/>
            </w:pPr>
            <w:r w:rsidRPr="00C6052E">
              <w:t>(93,383)</w:t>
            </w:r>
          </w:p>
        </w:tc>
        <w:tc>
          <w:tcPr>
            <w:tcW w:w="1191" w:type="dxa"/>
            <w:noWrap/>
            <w:hideMark/>
          </w:tcPr>
          <w:p w14:paraId="5F13FAD9" w14:textId="77777777" w:rsidR="00EE5BB8" w:rsidRPr="00C6052E" w:rsidRDefault="00EE5BB8" w:rsidP="00CA7AB2">
            <w:pPr>
              <w:pStyle w:val="Tabletotal"/>
              <w:jc w:val="right"/>
            </w:pPr>
            <w:r w:rsidRPr="00C6052E">
              <w:t>(1,642,703)</w:t>
            </w:r>
          </w:p>
        </w:tc>
        <w:tc>
          <w:tcPr>
            <w:tcW w:w="1191" w:type="dxa"/>
            <w:noWrap/>
            <w:hideMark/>
          </w:tcPr>
          <w:p w14:paraId="1C8B3CBD" w14:textId="77777777" w:rsidR="00EE5BB8" w:rsidRPr="00C6052E" w:rsidRDefault="00EE5BB8" w:rsidP="00CA7AB2">
            <w:pPr>
              <w:pStyle w:val="Tabletotal"/>
              <w:jc w:val="right"/>
            </w:pPr>
            <w:r w:rsidRPr="00C6052E">
              <w:t>(1,626,388)</w:t>
            </w:r>
          </w:p>
        </w:tc>
        <w:tc>
          <w:tcPr>
            <w:tcW w:w="1077" w:type="dxa"/>
            <w:noWrap/>
            <w:hideMark/>
          </w:tcPr>
          <w:p w14:paraId="24A5DECD" w14:textId="77777777" w:rsidR="00EE5BB8" w:rsidRPr="00C6052E" w:rsidRDefault="00EE5BB8" w:rsidP="00CA7AB2">
            <w:pPr>
              <w:pStyle w:val="Tabletotal"/>
              <w:jc w:val="right"/>
            </w:pPr>
            <w:r w:rsidRPr="00C6052E">
              <w:t>–</w:t>
            </w:r>
          </w:p>
        </w:tc>
        <w:tc>
          <w:tcPr>
            <w:tcW w:w="1077" w:type="dxa"/>
            <w:noWrap/>
            <w:hideMark/>
          </w:tcPr>
          <w:p w14:paraId="0A612489" w14:textId="77777777" w:rsidR="00EE5BB8" w:rsidRPr="00C6052E" w:rsidRDefault="00EE5BB8" w:rsidP="00CA7AB2">
            <w:pPr>
              <w:pStyle w:val="Tabletotal"/>
              <w:jc w:val="right"/>
            </w:pPr>
            <w:r w:rsidRPr="00C6052E">
              <w:t>(5,170)</w:t>
            </w:r>
          </w:p>
        </w:tc>
        <w:tc>
          <w:tcPr>
            <w:tcW w:w="1361" w:type="dxa"/>
            <w:noWrap/>
            <w:hideMark/>
          </w:tcPr>
          <w:p w14:paraId="4BC348E0" w14:textId="77777777" w:rsidR="00EE5BB8" w:rsidRPr="00C6052E" w:rsidRDefault="00EE5BB8" w:rsidP="00CA7AB2">
            <w:pPr>
              <w:pStyle w:val="Tabletotal"/>
              <w:jc w:val="right"/>
            </w:pPr>
            <w:r w:rsidRPr="00C6052E">
              <w:t>(3,594,999)</w:t>
            </w:r>
          </w:p>
        </w:tc>
        <w:tc>
          <w:tcPr>
            <w:tcW w:w="1361" w:type="dxa"/>
            <w:noWrap/>
            <w:hideMark/>
          </w:tcPr>
          <w:p w14:paraId="1DCFA08E" w14:textId="77777777" w:rsidR="00EE5BB8" w:rsidRPr="00C6052E" w:rsidRDefault="00EE5BB8" w:rsidP="00CA7AB2">
            <w:pPr>
              <w:pStyle w:val="Tabletotal"/>
              <w:jc w:val="right"/>
            </w:pPr>
            <w:r w:rsidRPr="00C6052E">
              <w:t>(3,504,893)</w:t>
            </w:r>
          </w:p>
        </w:tc>
      </w:tr>
      <w:tr w:rsidR="00CA7AB2" w:rsidRPr="00C6052E" w14:paraId="58BCFFAF" w14:textId="77777777" w:rsidTr="006B5FCB">
        <w:tc>
          <w:tcPr>
            <w:tcW w:w="3397" w:type="dxa"/>
            <w:noWrap/>
            <w:hideMark/>
          </w:tcPr>
          <w:p w14:paraId="413C5F48" w14:textId="3C997F20" w:rsidR="00EE5BB8" w:rsidRPr="00C6052E" w:rsidRDefault="00EE5BB8" w:rsidP="0063097D">
            <w:pPr>
              <w:pStyle w:val="Tabletotal"/>
            </w:pPr>
            <w:r w:rsidRPr="00C6052E">
              <w:t>Net</w:t>
            </w:r>
            <w:r w:rsidR="00177848" w:rsidRPr="00C6052E">
              <w:t xml:space="preserve"> </w:t>
            </w:r>
            <w:r w:rsidRPr="00C6052E">
              <w:t>result</w:t>
            </w:r>
            <w:r w:rsidR="00177848" w:rsidRPr="00C6052E">
              <w:t xml:space="preserve"> </w:t>
            </w:r>
            <w:r w:rsidRPr="00C6052E">
              <w:t>from</w:t>
            </w:r>
            <w:r w:rsidR="00177848" w:rsidRPr="00C6052E">
              <w:t xml:space="preserve"> </w:t>
            </w:r>
            <w:r w:rsidRPr="00C6052E">
              <w:t>transactions</w:t>
            </w:r>
          </w:p>
        </w:tc>
        <w:tc>
          <w:tcPr>
            <w:tcW w:w="1020" w:type="dxa"/>
            <w:noWrap/>
            <w:hideMark/>
          </w:tcPr>
          <w:p w14:paraId="44202845" w14:textId="77777777" w:rsidR="00EE5BB8" w:rsidRPr="00C6052E" w:rsidRDefault="00EE5BB8" w:rsidP="00CA7AB2">
            <w:pPr>
              <w:pStyle w:val="Tabletotal"/>
              <w:jc w:val="right"/>
            </w:pPr>
            <w:r w:rsidRPr="00C6052E">
              <w:t>4,550</w:t>
            </w:r>
          </w:p>
        </w:tc>
        <w:tc>
          <w:tcPr>
            <w:tcW w:w="1020" w:type="dxa"/>
            <w:noWrap/>
            <w:hideMark/>
          </w:tcPr>
          <w:p w14:paraId="20B5B41D" w14:textId="77777777" w:rsidR="00EE5BB8" w:rsidRPr="00C6052E" w:rsidRDefault="00EE5BB8" w:rsidP="00CA7AB2">
            <w:pPr>
              <w:pStyle w:val="Tabletotal"/>
              <w:jc w:val="right"/>
            </w:pPr>
            <w:r w:rsidRPr="00C6052E">
              <w:t>1,623</w:t>
            </w:r>
          </w:p>
        </w:tc>
        <w:tc>
          <w:tcPr>
            <w:tcW w:w="1020" w:type="dxa"/>
            <w:noWrap/>
            <w:hideMark/>
          </w:tcPr>
          <w:p w14:paraId="75CB763A" w14:textId="77777777" w:rsidR="00EE5BB8" w:rsidRPr="00C6052E" w:rsidRDefault="00EE5BB8" w:rsidP="00CA7AB2">
            <w:pPr>
              <w:pStyle w:val="Tabletotal"/>
              <w:jc w:val="right"/>
            </w:pPr>
            <w:r w:rsidRPr="00C6052E">
              <w:t>2,127</w:t>
            </w:r>
          </w:p>
        </w:tc>
        <w:tc>
          <w:tcPr>
            <w:tcW w:w="1020" w:type="dxa"/>
            <w:noWrap/>
            <w:hideMark/>
          </w:tcPr>
          <w:p w14:paraId="19838A08" w14:textId="77777777" w:rsidR="00EE5BB8" w:rsidRPr="00C6052E" w:rsidRDefault="00EE5BB8" w:rsidP="00CA7AB2">
            <w:pPr>
              <w:pStyle w:val="Tabletotal"/>
              <w:jc w:val="right"/>
            </w:pPr>
            <w:r w:rsidRPr="00C6052E">
              <w:t>3,530</w:t>
            </w:r>
          </w:p>
        </w:tc>
        <w:tc>
          <w:tcPr>
            <w:tcW w:w="1191" w:type="dxa"/>
            <w:noWrap/>
            <w:hideMark/>
          </w:tcPr>
          <w:p w14:paraId="66530B3A" w14:textId="77777777" w:rsidR="00EE5BB8" w:rsidRPr="00C6052E" w:rsidRDefault="00EE5BB8" w:rsidP="00CA7AB2">
            <w:pPr>
              <w:pStyle w:val="Tabletotal"/>
              <w:jc w:val="right"/>
            </w:pPr>
            <w:r w:rsidRPr="00C6052E">
              <w:t>129,083</w:t>
            </w:r>
          </w:p>
        </w:tc>
        <w:tc>
          <w:tcPr>
            <w:tcW w:w="1191" w:type="dxa"/>
            <w:noWrap/>
            <w:hideMark/>
          </w:tcPr>
          <w:p w14:paraId="1AE2A45D" w14:textId="77777777" w:rsidR="00EE5BB8" w:rsidRPr="00C6052E" w:rsidRDefault="00EE5BB8" w:rsidP="00CA7AB2">
            <w:pPr>
              <w:pStyle w:val="Tabletotal"/>
              <w:jc w:val="right"/>
            </w:pPr>
            <w:r w:rsidRPr="00C6052E">
              <w:t>96,601</w:t>
            </w:r>
          </w:p>
        </w:tc>
        <w:tc>
          <w:tcPr>
            <w:tcW w:w="1077" w:type="dxa"/>
            <w:noWrap/>
            <w:hideMark/>
          </w:tcPr>
          <w:p w14:paraId="03C833AB" w14:textId="77777777" w:rsidR="00EE5BB8" w:rsidRPr="00C6052E" w:rsidRDefault="00EE5BB8" w:rsidP="00CA7AB2">
            <w:pPr>
              <w:pStyle w:val="Tabletotal"/>
              <w:jc w:val="right"/>
            </w:pPr>
            <w:r w:rsidRPr="00C6052E">
              <w:t>–</w:t>
            </w:r>
          </w:p>
        </w:tc>
        <w:tc>
          <w:tcPr>
            <w:tcW w:w="1077" w:type="dxa"/>
            <w:noWrap/>
            <w:hideMark/>
          </w:tcPr>
          <w:p w14:paraId="3272DD38" w14:textId="77777777" w:rsidR="00EE5BB8" w:rsidRPr="00C6052E" w:rsidRDefault="00EE5BB8" w:rsidP="00CA7AB2">
            <w:pPr>
              <w:pStyle w:val="Tabletotal"/>
              <w:jc w:val="right"/>
            </w:pPr>
            <w:r w:rsidRPr="00C6052E">
              <w:t>(1)</w:t>
            </w:r>
          </w:p>
        </w:tc>
        <w:tc>
          <w:tcPr>
            <w:tcW w:w="1361" w:type="dxa"/>
            <w:noWrap/>
            <w:hideMark/>
          </w:tcPr>
          <w:p w14:paraId="7B9D8CB9" w14:textId="77777777" w:rsidR="00EE5BB8" w:rsidRPr="00C6052E" w:rsidRDefault="00EE5BB8" w:rsidP="00CA7AB2">
            <w:pPr>
              <w:pStyle w:val="Tabletotal"/>
              <w:jc w:val="right"/>
            </w:pPr>
            <w:r w:rsidRPr="00C6052E">
              <w:t>169,307</w:t>
            </w:r>
          </w:p>
        </w:tc>
        <w:tc>
          <w:tcPr>
            <w:tcW w:w="1361" w:type="dxa"/>
            <w:noWrap/>
            <w:hideMark/>
          </w:tcPr>
          <w:p w14:paraId="662C9E2D" w14:textId="77777777" w:rsidR="00EE5BB8" w:rsidRPr="00C6052E" w:rsidRDefault="00EE5BB8" w:rsidP="00CA7AB2">
            <w:pPr>
              <w:pStyle w:val="Tabletotal"/>
              <w:jc w:val="right"/>
            </w:pPr>
            <w:r w:rsidRPr="00C6052E">
              <w:t>112,218</w:t>
            </w:r>
          </w:p>
        </w:tc>
      </w:tr>
      <w:tr w:rsidR="00CA7AB2" w:rsidRPr="00C6052E" w14:paraId="1280E416" w14:textId="77777777" w:rsidTr="006B5FCB">
        <w:tc>
          <w:tcPr>
            <w:tcW w:w="3397" w:type="dxa"/>
          </w:tcPr>
          <w:p w14:paraId="786376BD" w14:textId="4B0F0CC6" w:rsidR="00CA7AB2" w:rsidRPr="00C6052E" w:rsidRDefault="00CA7AB2" w:rsidP="00720E06">
            <w:pPr>
              <w:pStyle w:val="TableHeading"/>
            </w:pPr>
            <w:r w:rsidRPr="00C6052E">
              <w:t>Other economic flows included in net result</w:t>
            </w:r>
          </w:p>
        </w:tc>
        <w:tc>
          <w:tcPr>
            <w:tcW w:w="1020" w:type="dxa"/>
            <w:noWrap/>
          </w:tcPr>
          <w:p w14:paraId="1ACF2C98" w14:textId="77777777" w:rsidR="00CA7AB2" w:rsidRPr="00C6052E" w:rsidRDefault="00CA7AB2" w:rsidP="00CA7AB2">
            <w:pPr>
              <w:pStyle w:val="TableHeading"/>
              <w:jc w:val="right"/>
            </w:pPr>
          </w:p>
        </w:tc>
        <w:tc>
          <w:tcPr>
            <w:tcW w:w="1020" w:type="dxa"/>
            <w:noWrap/>
          </w:tcPr>
          <w:p w14:paraId="18EE877B" w14:textId="77777777" w:rsidR="00CA7AB2" w:rsidRPr="00C6052E" w:rsidRDefault="00CA7AB2" w:rsidP="00CA7AB2">
            <w:pPr>
              <w:pStyle w:val="TableHeading"/>
              <w:jc w:val="right"/>
            </w:pPr>
          </w:p>
        </w:tc>
        <w:tc>
          <w:tcPr>
            <w:tcW w:w="1020" w:type="dxa"/>
            <w:noWrap/>
          </w:tcPr>
          <w:p w14:paraId="11D03F5F" w14:textId="77777777" w:rsidR="00CA7AB2" w:rsidRPr="00C6052E" w:rsidRDefault="00CA7AB2" w:rsidP="00CA7AB2">
            <w:pPr>
              <w:pStyle w:val="TableHeading"/>
              <w:jc w:val="right"/>
            </w:pPr>
          </w:p>
        </w:tc>
        <w:tc>
          <w:tcPr>
            <w:tcW w:w="1020" w:type="dxa"/>
            <w:noWrap/>
          </w:tcPr>
          <w:p w14:paraId="7D1BD023" w14:textId="77777777" w:rsidR="00CA7AB2" w:rsidRPr="00C6052E" w:rsidRDefault="00CA7AB2" w:rsidP="00CA7AB2">
            <w:pPr>
              <w:pStyle w:val="TableHeading"/>
              <w:jc w:val="right"/>
            </w:pPr>
          </w:p>
        </w:tc>
        <w:tc>
          <w:tcPr>
            <w:tcW w:w="1191" w:type="dxa"/>
            <w:noWrap/>
          </w:tcPr>
          <w:p w14:paraId="2F0CCA7F" w14:textId="77777777" w:rsidR="00CA7AB2" w:rsidRPr="00C6052E" w:rsidRDefault="00CA7AB2" w:rsidP="00CA7AB2">
            <w:pPr>
              <w:pStyle w:val="TableHeading"/>
              <w:jc w:val="right"/>
            </w:pPr>
          </w:p>
        </w:tc>
        <w:tc>
          <w:tcPr>
            <w:tcW w:w="1191" w:type="dxa"/>
            <w:noWrap/>
          </w:tcPr>
          <w:p w14:paraId="18C146AD" w14:textId="77777777" w:rsidR="00CA7AB2" w:rsidRPr="00C6052E" w:rsidRDefault="00CA7AB2" w:rsidP="00CA7AB2">
            <w:pPr>
              <w:pStyle w:val="TableHeading"/>
              <w:jc w:val="right"/>
            </w:pPr>
          </w:p>
        </w:tc>
        <w:tc>
          <w:tcPr>
            <w:tcW w:w="1077" w:type="dxa"/>
            <w:noWrap/>
          </w:tcPr>
          <w:p w14:paraId="49C11AD6" w14:textId="77777777" w:rsidR="00CA7AB2" w:rsidRPr="00C6052E" w:rsidRDefault="00CA7AB2" w:rsidP="00CA7AB2">
            <w:pPr>
              <w:pStyle w:val="TableHeading"/>
              <w:jc w:val="right"/>
            </w:pPr>
          </w:p>
        </w:tc>
        <w:tc>
          <w:tcPr>
            <w:tcW w:w="1077" w:type="dxa"/>
            <w:noWrap/>
          </w:tcPr>
          <w:p w14:paraId="102F623B" w14:textId="77777777" w:rsidR="00CA7AB2" w:rsidRPr="00C6052E" w:rsidRDefault="00CA7AB2" w:rsidP="00CA7AB2">
            <w:pPr>
              <w:pStyle w:val="TableHeading"/>
              <w:jc w:val="right"/>
            </w:pPr>
          </w:p>
        </w:tc>
        <w:tc>
          <w:tcPr>
            <w:tcW w:w="1361" w:type="dxa"/>
            <w:noWrap/>
          </w:tcPr>
          <w:p w14:paraId="04D826C9" w14:textId="77777777" w:rsidR="00CA7AB2" w:rsidRPr="00C6052E" w:rsidRDefault="00CA7AB2" w:rsidP="00CA7AB2">
            <w:pPr>
              <w:pStyle w:val="TableHeading"/>
              <w:jc w:val="right"/>
            </w:pPr>
          </w:p>
        </w:tc>
        <w:tc>
          <w:tcPr>
            <w:tcW w:w="1361" w:type="dxa"/>
            <w:noWrap/>
          </w:tcPr>
          <w:p w14:paraId="7354AD15" w14:textId="77777777" w:rsidR="00CA7AB2" w:rsidRPr="00C6052E" w:rsidRDefault="00CA7AB2" w:rsidP="00CA7AB2">
            <w:pPr>
              <w:pStyle w:val="TableHeading"/>
              <w:jc w:val="right"/>
            </w:pPr>
          </w:p>
        </w:tc>
      </w:tr>
      <w:tr w:rsidR="00CA7AB2" w:rsidRPr="00C6052E" w14:paraId="439ED401" w14:textId="77777777" w:rsidTr="006B5FCB">
        <w:tc>
          <w:tcPr>
            <w:tcW w:w="3397" w:type="dxa"/>
            <w:hideMark/>
          </w:tcPr>
          <w:p w14:paraId="6B9BC192" w14:textId="2447C668" w:rsidR="00EE5BB8" w:rsidRPr="00C6052E" w:rsidRDefault="00EE5BB8" w:rsidP="0063097D">
            <w:pPr>
              <w:pStyle w:val="TableCopy"/>
            </w:pPr>
            <w:r w:rsidRPr="00C6052E">
              <w:t>Net</w:t>
            </w:r>
            <w:r w:rsidR="00177848" w:rsidRPr="00C6052E">
              <w:t xml:space="preserve"> </w:t>
            </w:r>
            <w:r w:rsidRPr="00C6052E">
              <w:t>gain/(loss)</w:t>
            </w:r>
            <w:r w:rsidR="00177848" w:rsidRPr="00C6052E">
              <w:t xml:space="preserve"> </w:t>
            </w:r>
            <w:r w:rsidRPr="00C6052E">
              <w:t>on</w:t>
            </w:r>
            <w:r w:rsidR="00177848" w:rsidRPr="00C6052E">
              <w:t xml:space="preserve"> </w:t>
            </w:r>
            <w:r w:rsidRPr="00C6052E">
              <w:t>non-financial</w:t>
            </w:r>
            <w:r w:rsidR="00177848" w:rsidRPr="00C6052E">
              <w:t xml:space="preserve"> </w:t>
            </w:r>
            <w:r w:rsidRPr="00C6052E">
              <w:t>assets</w:t>
            </w:r>
          </w:p>
        </w:tc>
        <w:tc>
          <w:tcPr>
            <w:tcW w:w="1020" w:type="dxa"/>
            <w:noWrap/>
            <w:hideMark/>
          </w:tcPr>
          <w:p w14:paraId="515DDE2C" w14:textId="77777777" w:rsidR="00EE5BB8" w:rsidRPr="00C6052E" w:rsidRDefault="00EE5BB8" w:rsidP="00CA7AB2">
            <w:pPr>
              <w:pStyle w:val="TableCopy"/>
              <w:jc w:val="right"/>
            </w:pPr>
            <w:r w:rsidRPr="00C6052E">
              <w:t>(44)</w:t>
            </w:r>
          </w:p>
        </w:tc>
        <w:tc>
          <w:tcPr>
            <w:tcW w:w="1020" w:type="dxa"/>
            <w:noWrap/>
            <w:hideMark/>
          </w:tcPr>
          <w:p w14:paraId="192119A0" w14:textId="77777777" w:rsidR="00EE5BB8" w:rsidRPr="00C6052E" w:rsidRDefault="00EE5BB8" w:rsidP="00CA7AB2">
            <w:pPr>
              <w:pStyle w:val="TableCopy"/>
              <w:jc w:val="right"/>
            </w:pPr>
            <w:r w:rsidRPr="00C6052E">
              <w:t>16</w:t>
            </w:r>
          </w:p>
        </w:tc>
        <w:tc>
          <w:tcPr>
            <w:tcW w:w="1020" w:type="dxa"/>
            <w:noWrap/>
            <w:hideMark/>
          </w:tcPr>
          <w:p w14:paraId="25E0C839" w14:textId="77777777" w:rsidR="00EE5BB8" w:rsidRPr="00C6052E" w:rsidRDefault="00EE5BB8" w:rsidP="00CA7AB2">
            <w:pPr>
              <w:pStyle w:val="TableCopy"/>
              <w:jc w:val="right"/>
            </w:pPr>
            <w:r w:rsidRPr="00C6052E">
              <w:t>25</w:t>
            </w:r>
          </w:p>
        </w:tc>
        <w:tc>
          <w:tcPr>
            <w:tcW w:w="1020" w:type="dxa"/>
            <w:noWrap/>
            <w:hideMark/>
          </w:tcPr>
          <w:p w14:paraId="3B6DF5EB" w14:textId="77777777" w:rsidR="00EE5BB8" w:rsidRPr="00C6052E" w:rsidRDefault="00EE5BB8" w:rsidP="00CA7AB2">
            <w:pPr>
              <w:pStyle w:val="TableCopy"/>
              <w:jc w:val="right"/>
            </w:pPr>
            <w:r w:rsidRPr="00C6052E">
              <w:t>6</w:t>
            </w:r>
          </w:p>
        </w:tc>
        <w:tc>
          <w:tcPr>
            <w:tcW w:w="1191" w:type="dxa"/>
            <w:noWrap/>
            <w:hideMark/>
          </w:tcPr>
          <w:p w14:paraId="04800F97" w14:textId="77777777" w:rsidR="00EE5BB8" w:rsidRPr="00C6052E" w:rsidRDefault="00EE5BB8" w:rsidP="00CA7AB2">
            <w:pPr>
              <w:pStyle w:val="TableCopy"/>
              <w:jc w:val="right"/>
            </w:pPr>
            <w:r w:rsidRPr="00C6052E">
              <w:t>(432)</w:t>
            </w:r>
          </w:p>
        </w:tc>
        <w:tc>
          <w:tcPr>
            <w:tcW w:w="1191" w:type="dxa"/>
            <w:noWrap/>
            <w:hideMark/>
          </w:tcPr>
          <w:p w14:paraId="3FE2D7D1" w14:textId="77777777" w:rsidR="00EE5BB8" w:rsidRPr="00C6052E" w:rsidRDefault="00EE5BB8" w:rsidP="00CA7AB2">
            <w:pPr>
              <w:pStyle w:val="TableCopy"/>
              <w:jc w:val="right"/>
            </w:pPr>
            <w:r w:rsidRPr="00C6052E">
              <w:t>169</w:t>
            </w:r>
          </w:p>
        </w:tc>
        <w:tc>
          <w:tcPr>
            <w:tcW w:w="1077" w:type="dxa"/>
            <w:noWrap/>
            <w:hideMark/>
          </w:tcPr>
          <w:p w14:paraId="7C7E3D18" w14:textId="77777777" w:rsidR="00EE5BB8" w:rsidRPr="00C6052E" w:rsidRDefault="00EE5BB8" w:rsidP="00CA7AB2">
            <w:pPr>
              <w:pStyle w:val="TableCopy"/>
              <w:jc w:val="right"/>
            </w:pPr>
            <w:r w:rsidRPr="00C6052E">
              <w:t>–</w:t>
            </w:r>
          </w:p>
        </w:tc>
        <w:tc>
          <w:tcPr>
            <w:tcW w:w="1077" w:type="dxa"/>
            <w:noWrap/>
            <w:hideMark/>
          </w:tcPr>
          <w:p w14:paraId="11FACF90" w14:textId="77777777" w:rsidR="00EE5BB8" w:rsidRPr="00C6052E" w:rsidRDefault="00EE5BB8" w:rsidP="00CA7AB2">
            <w:pPr>
              <w:pStyle w:val="TableCopy"/>
              <w:jc w:val="right"/>
            </w:pPr>
            <w:r w:rsidRPr="00C6052E">
              <w:t>–</w:t>
            </w:r>
          </w:p>
        </w:tc>
        <w:tc>
          <w:tcPr>
            <w:tcW w:w="1361" w:type="dxa"/>
            <w:noWrap/>
            <w:hideMark/>
          </w:tcPr>
          <w:p w14:paraId="5DF974F1" w14:textId="77777777" w:rsidR="00EE5BB8" w:rsidRPr="00C6052E" w:rsidRDefault="00EE5BB8" w:rsidP="00CA7AB2">
            <w:pPr>
              <w:pStyle w:val="TableCopy"/>
              <w:jc w:val="right"/>
            </w:pPr>
            <w:r w:rsidRPr="00C6052E">
              <w:t>(715)</w:t>
            </w:r>
          </w:p>
        </w:tc>
        <w:tc>
          <w:tcPr>
            <w:tcW w:w="1361" w:type="dxa"/>
            <w:noWrap/>
            <w:hideMark/>
          </w:tcPr>
          <w:p w14:paraId="46083324" w14:textId="77777777" w:rsidR="00EE5BB8" w:rsidRPr="00C6052E" w:rsidRDefault="00EE5BB8" w:rsidP="00CA7AB2">
            <w:pPr>
              <w:pStyle w:val="TableCopy"/>
              <w:jc w:val="right"/>
            </w:pPr>
            <w:r w:rsidRPr="00C6052E">
              <w:t>(461)</w:t>
            </w:r>
          </w:p>
        </w:tc>
      </w:tr>
      <w:tr w:rsidR="00CA7AB2" w:rsidRPr="00C6052E" w14:paraId="3E9EA0B1" w14:textId="77777777" w:rsidTr="006B5FCB">
        <w:tc>
          <w:tcPr>
            <w:tcW w:w="3397" w:type="dxa"/>
            <w:hideMark/>
          </w:tcPr>
          <w:p w14:paraId="3F3801BB" w14:textId="3FDAEEBE" w:rsidR="00EE5BB8" w:rsidRPr="00C6052E" w:rsidRDefault="00EE5BB8" w:rsidP="0063097D">
            <w:pPr>
              <w:pStyle w:val="TableCopy"/>
            </w:pPr>
            <w:r w:rsidRPr="00C6052E">
              <w:t>Net</w:t>
            </w:r>
            <w:r w:rsidR="00177848" w:rsidRPr="00C6052E">
              <w:t xml:space="preserve"> </w:t>
            </w:r>
            <w:r w:rsidRPr="00C6052E">
              <w:t>gain/(loss)</w:t>
            </w:r>
            <w:r w:rsidR="00177848" w:rsidRPr="00C6052E">
              <w:t xml:space="preserve"> </w:t>
            </w:r>
            <w:r w:rsidRPr="00C6052E">
              <w:t>on</w:t>
            </w:r>
            <w:r w:rsidR="00177848" w:rsidRPr="00C6052E">
              <w:t xml:space="preserve"> </w:t>
            </w:r>
            <w:r w:rsidRPr="00C6052E">
              <w:t>financial</w:t>
            </w:r>
            <w:r w:rsidR="00177848" w:rsidRPr="00C6052E">
              <w:t xml:space="preserve"> </w:t>
            </w:r>
            <w:r w:rsidRPr="00C6052E">
              <w:t>instruments</w:t>
            </w:r>
            <w:r w:rsidR="00177848" w:rsidRPr="00C6052E">
              <w:t xml:space="preserve"> </w:t>
            </w:r>
          </w:p>
        </w:tc>
        <w:tc>
          <w:tcPr>
            <w:tcW w:w="1020" w:type="dxa"/>
            <w:noWrap/>
            <w:hideMark/>
          </w:tcPr>
          <w:p w14:paraId="62A734D4" w14:textId="77777777" w:rsidR="00EE5BB8" w:rsidRPr="00C6052E" w:rsidRDefault="00EE5BB8" w:rsidP="00CA7AB2">
            <w:pPr>
              <w:pStyle w:val="TableCopy"/>
              <w:jc w:val="right"/>
            </w:pPr>
            <w:r w:rsidRPr="00C6052E">
              <w:t>–</w:t>
            </w:r>
          </w:p>
        </w:tc>
        <w:tc>
          <w:tcPr>
            <w:tcW w:w="1020" w:type="dxa"/>
            <w:noWrap/>
            <w:hideMark/>
          </w:tcPr>
          <w:p w14:paraId="43A2974F" w14:textId="77777777" w:rsidR="00EE5BB8" w:rsidRPr="00C6052E" w:rsidRDefault="00EE5BB8" w:rsidP="00CA7AB2">
            <w:pPr>
              <w:pStyle w:val="TableCopy"/>
              <w:jc w:val="right"/>
            </w:pPr>
            <w:r w:rsidRPr="00C6052E">
              <w:t>(31)</w:t>
            </w:r>
          </w:p>
        </w:tc>
        <w:tc>
          <w:tcPr>
            <w:tcW w:w="1020" w:type="dxa"/>
            <w:noWrap/>
            <w:hideMark/>
          </w:tcPr>
          <w:p w14:paraId="4F9399ED" w14:textId="77777777" w:rsidR="00EE5BB8" w:rsidRPr="00C6052E" w:rsidRDefault="00EE5BB8" w:rsidP="00CA7AB2">
            <w:pPr>
              <w:pStyle w:val="TableCopy"/>
              <w:jc w:val="right"/>
            </w:pPr>
            <w:r w:rsidRPr="00C6052E">
              <w:t>–</w:t>
            </w:r>
          </w:p>
        </w:tc>
        <w:tc>
          <w:tcPr>
            <w:tcW w:w="1020" w:type="dxa"/>
            <w:noWrap/>
            <w:hideMark/>
          </w:tcPr>
          <w:p w14:paraId="6C84E5F9" w14:textId="77777777" w:rsidR="00EE5BB8" w:rsidRPr="00C6052E" w:rsidRDefault="00EE5BB8" w:rsidP="00CA7AB2">
            <w:pPr>
              <w:pStyle w:val="TableCopy"/>
              <w:jc w:val="right"/>
            </w:pPr>
            <w:r w:rsidRPr="00C6052E">
              <w:t>(11)</w:t>
            </w:r>
          </w:p>
        </w:tc>
        <w:tc>
          <w:tcPr>
            <w:tcW w:w="1191" w:type="dxa"/>
            <w:noWrap/>
            <w:hideMark/>
          </w:tcPr>
          <w:p w14:paraId="4177693C" w14:textId="77777777" w:rsidR="00EE5BB8" w:rsidRPr="00C6052E" w:rsidRDefault="00EE5BB8" w:rsidP="00CA7AB2">
            <w:pPr>
              <w:pStyle w:val="TableCopy"/>
              <w:jc w:val="right"/>
            </w:pPr>
            <w:r w:rsidRPr="00C6052E">
              <w:t>265</w:t>
            </w:r>
          </w:p>
        </w:tc>
        <w:tc>
          <w:tcPr>
            <w:tcW w:w="1191" w:type="dxa"/>
            <w:noWrap/>
            <w:hideMark/>
          </w:tcPr>
          <w:p w14:paraId="1D0CEC4E" w14:textId="77777777" w:rsidR="00EE5BB8" w:rsidRPr="00C6052E" w:rsidRDefault="00EE5BB8" w:rsidP="00CA7AB2">
            <w:pPr>
              <w:pStyle w:val="TableCopy"/>
              <w:jc w:val="right"/>
            </w:pPr>
            <w:r w:rsidRPr="00C6052E">
              <w:t>(1,020)</w:t>
            </w:r>
          </w:p>
        </w:tc>
        <w:tc>
          <w:tcPr>
            <w:tcW w:w="1077" w:type="dxa"/>
            <w:noWrap/>
            <w:hideMark/>
          </w:tcPr>
          <w:p w14:paraId="13D22715" w14:textId="77777777" w:rsidR="00EE5BB8" w:rsidRPr="00C6052E" w:rsidRDefault="00EE5BB8" w:rsidP="00CA7AB2">
            <w:pPr>
              <w:pStyle w:val="TableCopy"/>
              <w:jc w:val="right"/>
            </w:pPr>
            <w:r w:rsidRPr="00C6052E">
              <w:t>–</w:t>
            </w:r>
          </w:p>
        </w:tc>
        <w:tc>
          <w:tcPr>
            <w:tcW w:w="1077" w:type="dxa"/>
            <w:noWrap/>
            <w:hideMark/>
          </w:tcPr>
          <w:p w14:paraId="003213B2" w14:textId="77777777" w:rsidR="00EE5BB8" w:rsidRPr="00C6052E" w:rsidRDefault="00EE5BB8" w:rsidP="00CA7AB2">
            <w:pPr>
              <w:pStyle w:val="TableCopy"/>
              <w:jc w:val="right"/>
            </w:pPr>
            <w:r w:rsidRPr="00C6052E">
              <w:t>–</w:t>
            </w:r>
          </w:p>
        </w:tc>
        <w:tc>
          <w:tcPr>
            <w:tcW w:w="1361" w:type="dxa"/>
            <w:noWrap/>
            <w:hideMark/>
          </w:tcPr>
          <w:p w14:paraId="1C2A3695" w14:textId="77777777" w:rsidR="00EE5BB8" w:rsidRPr="00C6052E" w:rsidRDefault="00EE5BB8" w:rsidP="00CA7AB2">
            <w:pPr>
              <w:pStyle w:val="TableCopy"/>
              <w:jc w:val="right"/>
            </w:pPr>
            <w:r w:rsidRPr="00C6052E">
              <w:t>28,296</w:t>
            </w:r>
          </w:p>
        </w:tc>
        <w:tc>
          <w:tcPr>
            <w:tcW w:w="1361" w:type="dxa"/>
            <w:noWrap/>
            <w:hideMark/>
          </w:tcPr>
          <w:p w14:paraId="1A7CBE56" w14:textId="77777777" w:rsidR="00EE5BB8" w:rsidRPr="00C6052E" w:rsidRDefault="00EE5BB8" w:rsidP="00CA7AB2">
            <w:pPr>
              <w:pStyle w:val="TableCopy"/>
              <w:jc w:val="right"/>
            </w:pPr>
            <w:r w:rsidRPr="00C6052E">
              <w:t>(22,189)</w:t>
            </w:r>
          </w:p>
        </w:tc>
      </w:tr>
      <w:tr w:rsidR="00CA7AB2" w:rsidRPr="00C6052E" w14:paraId="56A575FC" w14:textId="77777777" w:rsidTr="006B5FCB">
        <w:tc>
          <w:tcPr>
            <w:tcW w:w="3397" w:type="dxa"/>
            <w:hideMark/>
          </w:tcPr>
          <w:p w14:paraId="668769A9" w14:textId="0FCBDF8C" w:rsidR="00EE5BB8" w:rsidRPr="00C6052E" w:rsidRDefault="00EE5BB8" w:rsidP="0063097D">
            <w:pPr>
              <w:pStyle w:val="TableCopy"/>
            </w:pPr>
            <w:r w:rsidRPr="00C6052E">
              <w:t>Other</w:t>
            </w:r>
            <w:r w:rsidR="00177848" w:rsidRPr="00C6052E">
              <w:t xml:space="preserve"> </w:t>
            </w:r>
            <w:r w:rsidRPr="00C6052E">
              <w:t>gain/(loss)</w:t>
            </w:r>
            <w:r w:rsidR="00177848" w:rsidRPr="00C6052E">
              <w:t xml:space="preserve"> </w:t>
            </w:r>
            <w:r w:rsidRPr="00C6052E">
              <w:t>from</w:t>
            </w:r>
            <w:r w:rsidR="00177848" w:rsidRPr="00C6052E">
              <w:t xml:space="preserve"> </w:t>
            </w:r>
            <w:r w:rsidRPr="00C6052E">
              <w:t>other</w:t>
            </w:r>
            <w:r w:rsidR="00177848" w:rsidRPr="00C6052E">
              <w:t xml:space="preserve"> </w:t>
            </w:r>
            <w:r w:rsidRPr="00C6052E">
              <w:t>economic</w:t>
            </w:r>
            <w:r w:rsidR="00177848" w:rsidRPr="00C6052E">
              <w:t xml:space="preserve"> </w:t>
            </w:r>
            <w:r w:rsidRPr="00C6052E">
              <w:t>flows</w:t>
            </w:r>
            <w:r w:rsidR="00177848" w:rsidRPr="00C6052E">
              <w:t xml:space="preserve"> </w:t>
            </w:r>
          </w:p>
        </w:tc>
        <w:tc>
          <w:tcPr>
            <w:tcW w:w="1020" w:type="dxa"/>
            <w:noWrap/>
            <w:hideMark/>
          </w:tcPr>
          <w:p w14:paraId="73ED5D8B" w14:textId="77777777" w:rsidR="00EE5BB8" w:rsidRPr="00C6052E" w:rsidRDefault="00EE5BB8" w:rsidP="00CA7AB2">
            <w:pPr>
              <w:pStyle w:val="TableCopy"/>
              <w:jc w:val="right"/>
            </w:pPr>
            <w:r w:rsidRPr="00C6052E">
              <w:t>(10)</w:t>
            </w:r>
          </w:p>
        </w:tc>
        <w:tc>
          <w:tcPr>
            <w:tcW w:w="1020" w:type="dxa"/>
            <w:noWrap/>
            <w:hideMark/>
          </w:tcPr>
          <w:p w14:paraId="742AA5F0" w14:textId="77777777" w:rsidR="00EE5BB8" w:rsidRPr="00C6052E" w:rsidRDefault="00EE5BB8" w:rsidP="00CA7AB2">
            <w:pPr>
              <w:pStyle w:val="TableCopy"/>
              <w:jc w:val="right"/>
            </w:pPr>
            <w:r w:rsidRPr="00C6052E">
              <w:t>17</w:t>
            </w:r>
          </w:p>
        </w:tc>
        <w:tc>
          <w:tcPr>
            <w:tcW w:w="1020" w:type="dxa"/>
            <w:noWrap/>
            <w:hideMark/>
          </w:tcPr>
          <w:p w14:paraId="232CDF8D" w14:textId="77777777" w:rsidR="00EE5BB8" w:rsidRPr="00C6052E" w:rsidRDefault="00EE5BB8" w:rsidP="00CA7AB2">
            <w:pPr>
              <w:pStyle w:val="TableCopy"/>
              <w:jc w:val="right"/>
            </w:pPr>
            <w:r w:rsidRPr="00C6052E">
              <w:t>(3)</w:t>
            </w:r>
          </w:p>
        </w:tc>
        <w:tc>
          <w:tcPr>
            <w:tcW w:w="1020" w:type="dxa"/>
            <w:noWrap/>
            <w:hideMark/>
          </w:tcPr>
          <w:p w14:paraId="0B88E557" w14:textId="77777777" w:rsidR="00EE5BB8" w:rsidRPr="00C6052E" w:rsidRDefault="00EE5BB8" w:rsidP="00CA7AB2">
            <w:pPr>
              <w:pStyle w:val="TableCopy"/>
              <w:jc w:val="right"/>
            </w:pPr>
            <w:r w:rsidRPr="00C6052E">
              <w:t>3</w:t>
            </w:r>
          </w:p>
        </w:tc>
        <w:tc>
          <w:tcPr>
            <w:tcW w:w="1191" w:type="dxa"/>
            <w:noWrap/>
            <w:hideMark/>
          </w:tcPr>
          <w:p w14:paraId="1DD2E82A" w14:textId="77777777" w:rsidR="00EE5BB8" w:rsidRPr="00C6052E" w:rsidRDefault="00EE5BB8" w:rsidP="00CA7AB2">
            <w:pPr>
              <w:pStyle w:val="TableCopy"/>
              <w:jc w:val="right"/>
            </w:pPr>
            <w:r w:rsidRPr="00C6052E">
              <w:t>(91)</w:t>
            </w:r>
          </w:p>
        </w:tc>
        <w:tc>
          <w:tcPr>
            <w:tcW w:w="1191" w:type="dxa"/>
            <w:noWrap/>
            <w:hideMark/>
          </w:tcPr>
          <w:p w14:paraId="3F215785" w14:textId="77777777" w:rsidR="00EE5BB8" w:rsidRPr="00C6052E" w:rsidRDefault="00EE5BB8" w:rsidP="00CA7AB2">
            <w:pPr>
              <w:pStyle w:val="TableCopy"/>
              <w:jc w:val="right"/>
            </w:pPr>
            <w:r w:rsidRPr="00C6052E">
              <w:t>141</w:t>
            </w:r>
          </w:p>
        </w:tc>
        <w:tc>
          <w:tcPr>
            <w:tcW w:w="1077" w:type="dxa"/>
            <w:noWrap/>
            <w:hideMark/>
          </w:tcPr>
          <w:p w14:paraId="7D274EFF" w14:textId="77777777" w:rsidR="00EE5BB8" w:rsidRPr="00C6052E" w:rsidRDefault="00EE5BB8" w:rsidP="00CA7AB2">
            <w:pPr>
              <w:pStyle w:val="TableCopy"/>
              <w:jc w:val="right"/>
            </w:pPr>
            <w:r w:rsidRPr="00C6052E">
              <w:t>–</w:t>
            </w:r>
          </w:p>
        </w:tc>
        <w:tc>
          <w:tcPr>
            <w:tcW w:w="1077" w:type="dxa"/>
            <w:noWrap/>
            <w:hideMark/>
          </w:tcPr>
          <w:p w14:paraId="680E89FD" w14:textId="77777777" w:rsidR="00EE5BB8" w:rsidRPr="00C6052E" w:rsidRDefault="00EE5BB8" w:rsidP="00CA7AB2">
            <w:pPr>
              <w:pStyle w:val="TableCopy"/>
              <w:jc w:val="right"/>
            </w:pPr>
            <w:r w:rsidRPr="00C6052E">
              <w:t>(4)</w:t>
            </w:r>
          </w:p>
        </w:tc>
        <w:tc>
          <w:tcPr>
            <w:tcW w:w="1361" w:type="dxa"/>
            <w:noWrap/>
            <w:hideMark/>
          </w:tcPr>
          <w:p w14:paraId="10D0AAC5" w14:textId="77777777" w:rsidR="00EE5BB8" w:rsidRPr="00C6052E" w:rsidRDefault="00EE5BB8" w:rsidP="00CA7AB2">
            <w:pPr>
              <w:pStyle w:val="TableCopy"/>
              <w:jc w:val="right"/>
            </w:pPr>
            <w:r w:rsidRPr="00C6052E">
              <w:t>(255)</w:t>
            </w:r>
          </w:p>
        </w:tc>
        <w:tc>
          <w:tcPr>
            <w:tcW w:w="1361" w:type="dxa"/>
            <w:noWrap/>
            <w:hideMark/>
          </w:tcPr>
          <w:p w14:paraId="303404B6" w14:textId="77777777" w:rsidR="00EE5BB8" w:rsidRPr="00C6052E" w:rsidRDefault="00EE5BB8" w:rsidP="00CA7AB2">
            <w:pPr>
              <w:pStyle w:val="TableCopy"/>
              <w:jc w:val="right"/>
            </w:pPr>
            <w:r w:rsidRPr="00C6052E">
              <w:t>337</w:t>
            </w:r>
          </w:p>
        </w:tc>
      </w:tr>
      <w:tr w:rsidR="00CA7AB2" w:rsidRPr="00C6052E" w14:paraId="34D5B91F" w14:textId="77777777" w:rsidTr="006B5FCB">
        <w:tc>
          <w:tcPr>
            <w:tcW w:w="3397" w:type="dxa"/>
            <w:noWrap/>
            <w:hideMark/>
          </w:tcPr>
          <w:p w14:paraId="24AC2368" w14:textId="0DDD6B9C" w:rsidR="00EE5BB8" w:rsidRPr="00C6052E" w:rsidRDefault="00EE5BB8" w:rsidP="0063097D">
            <w:pPr>
              <w:pStyle w:val="Tabletotal"/>
            </w:pPr>
            <w:r w:rsidRPr="00C6052E">
              <w:t>Total</w:t>
            </w:r>
            <w:r w:rsidR="00177848" w:rsidRPr="00C6052E">
              <w:t xml:space="preserve"> </w:t>
            </w:r>
            <w:r w:rsidRPr="00C6052E">
              <w:t>other</w:t>
            </w:r>
            <w:r w:rsidR="00177848" w:rsidRPr="00C6052E">
              <w:t xml:space="preserve"> </w:t>
            </w:r>
            <w:r w:rsidRPr="00C6052E">
              <w:t>economic</w:t>
            </w:r>
            <w:r w:rsidR="00177848" w:rsidRPr="00C6052E">
              <w:t xml:space="preserve"> </w:t>
            </w:r>
            <w:r w:rsidRPr="00C6052E">
              <w:t>flows</w:t>
            </w:r>
            <w:r w:rsidR="00177848" w:rsidRPr="00C6052E">
              <w:t xml:space="preserve"> </w:t>
            </w:r>
            <w:r w:rsidRPr="00C6052E">
              <w:t>included</w:t>
            </w:r>
            <w:r w:rsidR="00177848" w:rsidRPr="00C6052E">
              <w:t xml:space="preserve"> </w:t>
            </w:r>
            <w:r w:rsidRPr="00C6052E">
              <w:t>in</w:t>
            </w:r>
            <w:r w:rsidR="00177848" w:rsidRPr="00C6052E">
              <w:t xml:space="preserve"> </w:t>
            </w:r>
            <w:r w:rsidRPr="00C6052E">
              <w:t>net</w:t>
            </w:r>
            <w:r w:rsidR="00177848" w:rsidRPr="00C6052E">
              <w:t xml:space="preserve"> </w:t>
            </w:r>
            <w:r w:rsidRPr="00C6052E">
              <w:t>result</w:t>
            </w:r>
          </w:p>
        </w:tc>
        <w:tc>
          <w:tcPr>
            <w:tcW w:w="1020" w:type="dxa"/>
            <w:noWrap/>
            <w:hideMark/>
          </w:tcPr>
          <w:p w14:paraId="7AD724F8" w14:textId="77777777" w:rsidR="00EE5BB8" w:rsidRPr="00C6052E" w:rsidRDefault="00EE5BB8" w:rsidP="00CA7AB2">
            <w:pPr>
              <w:pStyle w:val="Tabletotal"/>
              <w:jc w:val="right"/>
            </w:pPr>
            <w:r w:rsidRPr="00C6052E">
              <w:t>(54)</w:t>
            </w:r>
          </w:p>
        </w:tc>
        <w:tc>
          <w:tcPr>
            <w:tcW w:w="1020" w:type="dxa"/>
            <w:noWrap/>
            <w:hideMark/>
          </w:tcPr>
          <w:p w14:paraId="2AB23648" w14:textId="77777777" w:rsidR="00EE5BB8" w:rsidRPr="00C6052E" w:rsidRDefault="00EE5BB8" w:rsidP="00CA7AB2">
            <w:pPr>
              <w:pStyle w:val="Tabletotal"/>
              <w:jc w:val="right"/>
            </w:pPr>
            <w:r w:rsidRPr="00C6052E">
              <w:t>2</w:t>
            </w:r>
          </w:p>
        </w:tc>
        <w:tc>
          <w:tcPr>
            <w:tcW w:w="1020" w:type="dxa"/>
            <w:noWrap/>
            <w:hideMark/>
          </w:tcPr>
          <w:p w14:paraId="11D9291F" w14:textId="77777777" w:rsidR="00EE5BB8" w:rsidRPr="00C6052E" w:rsidRDefault="00EE5BB8" w:rsidP="00CA7AB2">
            <w:pPr>
              <w:pStyle w:val="Tabletotal"/>
              <w:jc w:val="right"/>
            </w:pPr>
            <w:r w:rsidRPr="00C6052E">
              <w:t>22</w:t>
            </w:r>
          </w:p>
        </w:tc>
        <w:tc>
          <w:tcPr>
            <w:tcW w:w="1020" w:type="dxa"/>
            <w:noWrap/>
            <w:hideMark/>
          </w:tcPr>
          <w:p w14:paraId="530B503E" w14:textId="77777777" w:rsidR="00EE5BB8" w:rsidRPr="00C6052E" w:rsidRDefault="00EE5BB8" w:rsidP="00CA7AB2">
            <w:pPr>
              <w:pStyle w:val="Tabletotal"/>
              <w:jc w:val="right"/>
            </w:pPr>
            <w:r w:rsidRPr="00C6052E">
              <w:t>(2)</w:t>
            </w:r>
          </w:p>
        </w:tc>
        <w:tc>
          <w:tcPr>
            <w:tcW w:w="1191" w:type="dxa"/>
            <w:noWrap/>
            <w:hideMark/>
          </w:tcPr>
          <w:p w14:paraId="74124D63" w14:textId="77777777" w:rsidR="00EE5BB8" w:rsidRPr="00C6052E" w:rsidRDefault="00EE5BB8" w:rsidP="00CA7AB2">
            <w:pPr>
              <w:pStyle w:val="Tabletotal"/>
              <w:jc w:val="right"/>
            </w:pPr>
            <w:r w:rsidRPr="00C6052E">
              <w:t>(258)</w:t>
            </w:r>
          </w:p>
        </w:tc>
        <w:tc>
          <w:tcPr>
            <w:tcW w:w="1191" w:type="dxa"/>
            <w:noWrap/>
            <w:hideMark/>
          </w:tcPr>
          <w:p w14:paraId="7D2FBA42" w14:textId="77777777" w:rsidR="00EE5BB8" w:rsidRPr="00C6052E" w:rsidRDefault="00EE5BB8" w:rsidP="00CA7AB2">
            <w:pPr>
              <w:pStyle w:val="Tabletotal"/>
              <w:jc w:val="right"/>
            </w:pPr>
            <w:r w:rsidRPr="00C6052E">
              <w:t>(710)</w:t>
            </w:r>
          </w:p>
        </w:tc>
        <w:tc>
          <w:tcPr>
            <w:tcW w:w="1077" w:type="dxa"/>
            <w:noWrap/>
            <w:hideMark/>
          </w:tcPr>
          <w:p w14:paraId="2B097A60" w14:textId="77777777" w:rsidR="00EE5BB8" w:rsidRPr="00C6052E" w:rsidRDefault="00EE5BB8" w:rsidP="00CA7AB2">
            <w:pPr>
              <w:pStyle w:val="Tabletotal"/>
              <w:jc w:val="right"/>
            </w:pPr>
            <w:r w:rsidRPr="00C6052E">
              <w:t>–</w:t>
            </w:r>
          </w:p>
        </w:tc>
        <w:tc>
          <w:tcPr>
            <w:tcW w:w="1077" w:type="dxa"/>
            <w:noWrap/>
            <w:hideMark/>
          </w:tcPr>
          <w:p w14:paraId="25A88D38" w14:textId="77777777" w:rsidR="00EE5BB8" w:rsidRPr="00C6052E" w:rsidRDefault="00EE5BB8" w:rsidP="00CA7AB2">
            <w:pPr>
              <w:pStyle w:val="Tabletotal"/>
              <w:jc w:val="right"/>
            </w:pPr>
            <w:r w:rsidRPr="00C6052E">
              <w:t>(4)</w:t>
            </w:r>
          </w:p>
        </w:tc>
        <w:tc>
          <w:tcPr>
            <w:tcW w:w="1361" w:type="dxa"/>
            <w:noWrap/>
            <w:hideMark/>
          </w:tcPr>
          <w:p w14:paraId="4E3E56BD" w14:textId="77777777" w:rsidR="00EE5BB8" w:rsidRPr="00C6052E" w:rsidRDefault="00EE5BB8" w:rsidP="00CA7AB2">
            <w:pPr>
              <w:pStyle w:val="Tabletotal"/>
              <w:jc w:val="right"/>
            </w:pPr>
            <w:r w:rsidRPr="00C6052E">
              <w:t>27,326</w:t>
            </w:r>
          </w:p>
        </w:tc>
        <w:tc>
          <w:tcPr>
            <w:tcW w:w="1361" w:type="dxa"/>
            <w:noWrap/>
            <w:hideMark/>
          </w:tcPr>
          <w:p w14:paraId="48926FBE" w14:textId="77777777" w:rsidR="00EE5BB8" w:rsidRPr="00C6052E" w:rsidRDefault="00EE5BB8" w:rsidP="00CA7AB2">
            <w:pPr>
              <w:pStyle w:val="Tabletotal"/>
              <w:jc w:val="right"/>
            </w:pPr>
            <w:r w:rsidRPr="00C6052E">
              <w:t>(22,313)</w:t>
            </w:r>
          </w:p>
        </w:tc>
      </w:tr>
      <w:tr w:rsidR="00CA7AB2" w:rsidRPr="00C6052E" w14:paraId="5191C2D0" w14:textId="77777777" w:rsidTr="006B5FCB">
        <w:tc>
          <w:tcPr>
            <w:tcW w:w="3397" w:type="dxa"/>
            <w:noWrap/>
            <w:hideMark/>
          </w:tcPr>
          <w:p w14:paraId="062B9FB9" w14:textId="20AF478B" w:rsidR="00EE5BB8" w:rsidRPr="00C6052E" w:rsidRDefault="00EE5BB8" w:rsidP="0063097D">
            <w:pPr>
              <w:pStyle w:val="Tabletotal"/>
            </w:pPr>
            <w:r w:rsidRPr="00C6052E">
              <w:t>Net</w:t>
            </w:r>
            <w:r w:rsidR="00177848" w:rsidRPr="00C6052E">
              <w:t xml:space="preserve"> </w:t>
            </w:r>
            <w:r w:rsidRPr="00C6052E">
              <w:t>result</w:t>
            </w:r>
            <w:r w:rsidR="00177848" w:rsidRPr="00C6052E">
              <w:t xml:space="preserve"> </w:t>
            </w:r>
            <w:r w:rsidRPr="00C6052E">
              <w:t>from</w:t>
            </w:r>
            <w:r w:rsidR="00177848" w:rsidRPr="00C6052E">
              <w:t xml:space="preserve"> </w:t>
            </w:r>
            <w:r w:rsidRPr="00C6052E">
              <w:t>continuing</w:t>
            </w:r>
            <w:r w:rsidR="00177848" w:rsidRPr="00C6052E">
              <w:t xml:space="preserve"> </w:t>
            </w:r>
            <w:r w:rsidRPr="00C6052E">
              <w:t>operations</w:t>
            </w:r>
            <w:r w:rsidR="00177848" w:rsidRPr="00C6052E">
              <w:t xml:space="preserve"> </w:t>
            </w:r>
          </w:p>
        </w:tc>
        <w:tc>
          <w:tcPr>
            <w:tcW w:w="1020" w:type="dxa"/>
            <w:noWrap/>
            <w:hideMark/>
          </w:tcPr>
          <w:p w14:paraId="529B3E4B" w14:textId="77777777" w:rsidR="00EE5BB8" w:rsidRPr="00C6052E" w:rsidRDefault="00EE5BB8" w:rsidP="00CA7AB2">
            <w:pPr>
              <w:pStyle w:val="Tabletotal"/>
              <w:jc w:val="right"/>
            </w:pPr>
            <w:r w:rsidRPr="00C6052E">
              <w:t>4,496</w:t>
            </w:r>
          </w:p>
        </w:tc>
        <w:tc>
          <w:tcPr>
            <w:tcW w:w="1020" w:type="dxa"/>
            <w:noWrap/>
            <w:hideMark/>
          </w:tcPr>
          <w:p w14:paraId="28B1A507" w14:textId="77777777" w:rsidR="00EE5BB8" w:rsidRPr="00C6052E" w:rsidRDefault="00EE5BB8" w:rsidP="00CA7AB2">
            <w:pPr>
              <w:pStyle w:val="Tabletotal"/>
              <w:jc w:val="right"/>
            </w:pPr>
            <w:r w:rsidRPr="00C6052E">
              <w:t>1,625</w:t>
            </w:r>
          </w:p>
        </w:tc>
        <w:tc>
          <w:tcPr>
            <w:tcW w:w="1020" w:type="dxa"/>
            <w:noWrap/>
            <w:hideMark/>
          </w:tcPr>
          <w:p w14:paraId="4214D8F5" w14:textId="77777777" w:rsidR="00EE5BB8" w:rsidRPr="00C6052E" w:rsidRDefault="00EE5BB8" w:rsidP="00CA7AB2">
            <w:pPr>
              <w:pStyle w:val="Tabletotal"/>
              <w:jc w:val="right"/>
            </w:pPr>
            <w:r w:rsidRPr="00C6052E">
              <w:t>2,149</w:t>
            </w:r>
          </w:p>
        </w:tc>
        <w:tc>
          <w:tcPr>
            <w:tcW w:w="1020" w:type="dxa"/>
            <w:noWrap/>
            <w:hideMark/>
          </w:tcPr>
          <w:p w14:paraId="34D3F98F" w14:textId="77777777" w:rsidR="00EE5BB8" w:rsidRPr="00C6052E" w:rsidRDefault="00EE5BB8" w:rsidP="00CA7AB2">
            <w:pPr>
              <w:pStyle w:val="Tabletotal"/>
              <w:jc w:val="right"/>
            </w:pPr>
            <w:r w:rsidRPr="00C6052E">
              <w:t>3,528</w:t>
            </w:r>
          </w:p>
        </w:tc>
        <w:tc>
          <w:tcPr>
            <w:tcW w:w="1191" w:type="dxa"/>
            <w:noWrap/>
            <w:hideMark/>
          </w:tcPr>
          <w:p w14:paraId="4319B286" w14:textId="77777777" w:rsidR="00EE5BB8" w:rsidRPr="00C6052E" w:rsidRDefault="00EE5BB8" w:rsidP="00CA7AB2">
            <w:pPr>
              <w:pStyle w:val="Tabletotal"/>
              <w:jc w:val="right"/>
            </w:pPr>
            <w:r w:rsidRPr="00C6052E">
              <w:t>128,825</w:t>
            </w:r>
          </w:p>
        </w:tc>
        <w:tc>
          <w:tcPr>
            <w:tcW w:w="1191" w:type="dxa"/>
            <w:noWrap/>
            <w:hideMark/>
          </w:tcPr>
          <w:p w14:paraId="4BE294C6" w14:textId="77777777" w:rsidR="00EE5BB8" w:rsidRPr="00C6052E" w:rsidRDefault="00EE5BB8" w:rsidP="00CA7AB2">
            <w:pPr>
              <w:pStyle w:val="Tabletotal"/>
              <w:jc w:val="right"/>
            </w:pPr>
            <w:r w:rsidRPr="00C6052E">
              <w:t>95,891</w:t>
            </w:r>
          </w:p>
        </w:tc>
        <w:tc>
          <w:tcPr>
            <w:tcW w:w="1077" w:type="dxa"/>
            <w:noWrap/>
            <w:hideMark/>
          </w:tcPr>
          <w:p w14:paraId="4E723E74" w14:textId="77777777" w:rsidR="00EE5BB8" w:rsidRPr="00C6052E" w:rsidRDefault="00EE5BB8" w:rsidP="00CA7AB2">
            <w:pPr>
              <w:pStyle w:val="Tabletotal"/>
              <w:jc w:val="right"/>
            </w:pPr>
            <w:r w:rsidRPr="00C6052E">
              <w:t>–</w:t>
            </w:r>
          </w:p>
        </w:tc>
        <w:tc>
          <w:tcPr>
            <w:tcW w:w="1077" w:type="dxa"/>
            <w:noWrap/>
            <w:hideMark/>
          </w:tcPr>
          <w:p w14:paraId="0FD2CFC5" w14:textId="77777777" w:rsidR="00EE5BB8" w:rsidRPr="00C6052E" w:rsidRDefault="00EE5BB8" w:rsidP="00CA7AB2">
            <w:pPr>
              <w:pStyle w:val="Tabletotal"/>
              <w:jc w:val="right"/>
            </w:pPr>
            <w:r w:rsidRPr="00C6052E">
              <w:t>(5)</w:t>
            </w:r>
          </w:p>
        </w:tc>
        <w:tc>
          <w:tcPr>
            <w:tcW w:w="1361" w:type="dxa"/>
            <w:noWrap/>
            <w:hideMark/>
          </w:tcPr>
          <w:p w14:paraId="25797410" w14:textId="77777777" w:rsidR="00EE5BB8" w:rsidRPr="00C6052E" w:rsidRDefault="00EE5BB8" w:rsidP="00CA7AB2">
            <w:pPr>
              <w:pStyle w:val="Tabletotal"/>
              <w:jc w:val="right"/>
            </w:pPr>
            <w:r w:rsidRPr="00C6052E">
              <w:t>196,633</w:t>
            </w:r>
          </w:p>
        </w:tc>
        <w:tc>
          <w:tcPr>
            <w:tcW w:w="1361" w:type="dxa"/>
            <w:noWrap/>
            <w:hideMark/>
          </w:tcPr>
          <w:p w14:paraId="3F6645D5" w14:textId="77777777" w:rsidR="00EE5BB8" w:rsidRPr="00C6052E" w:rsidRDefault="00EE5BB8" w:rsidP="00CA7AB2">
            <w:pPr>
              <w:pStyle w:val="Tabletotal"/>
              <w:jc w:val="right"/>
            </w:pPr>
            <w:r w:rsidRPr="00C6052E">
              <w:t>89,905</w:t>
            </w:r>
          </w:p>
        </w:tc>
      </w:tr>
      <w:tr w:rsidR="00CA7AB2" w:rsidRPr="00C6052E" w14:paraId="3AFFBDCC" w14:textId="77777777" w:rsidTr="006B5FCB">
        <w:tc>
          <w:tcPr>
            <w:tcW w:w="3397" w:type="dxa"/>
          </w:tcPr>
          <w:p w14:paraId="5D49950D" w14:textId="37553151" w:rsidR="00CA7AB2" w:rsidRPr="00C6052E" w:rsidRDefault="00CA7AB2" w:rsidP="00C044C0">
            <w:pPr>
              <w:pStyle w:val="TableHeading"/>
            </w:pPr>
            <w:r w:rsidRPr="00C6052E">
              <w:lastRenderedPageBreak/>
              <w:t>Other economic flows – other comprehensive income: Items that will not be reclassified to net result</w:t>
            </w:r>
          </w:p>
        </w:tc>
        <w:tc>
          <w:tcPr>
            <w:tcW w:w="1020" w:type="dxa"/>
            <w:noWrap/>
          </w:tcPr>
          <w:p w14:paraId="6AE80C21" w14:textId="77777777" w:rsidR="00CA7AB2" w:rsidRPr="00C6052E" w:rsidRDefault="00CA7AB2" w:rsidP="00C044C0">
            <w:pPr>
              <w:pStyle w:val="TableHeading"/>
              <w:jc w:val="right"/>
            </w:pPr>
          </w:p>
        </w:tc>
        <w:tc>
          <w:tcPr>
            <w:tcW w:w="1020" w:type="dxa"/>
            <w:noWrap/>
          </w:tcPr>
          <w:p w14:paraId="63264A38" w14:textId="77777777" w:rsidR="00CA7AB2" w:rsidRPr="00C6052E" w:rsidRDefault="00CA7AB2" w:rsidP="00C044C0">
            <w:pPr>
              <w:pStyle w:val="TableHeading"/>
              <w:jc w:val="right"/>
            </w:pPr>
          </w:p>
        </w:tc>
        <w:tc>
          <w:tcPr>
            <w:tcW w:w="1020" w:type="dxa"/>
            <w:noWrap/>
          </w:tcPr>
          <w:p w14:paraId="4EFA267A" w14:textId="77777777" w:rsidR="00CA7AB2" w:rsidRPr="00C6052E" w:rsidRDefault="00CA7AB2" w:rsidP="00C044C0">
            <w:pPr>
              <w:pStyle w:val="TableHeading"/>
              <w:jc w:val="right"/>
            </w:pPr>
          </w:p>
        </w:tc>
        <w:tc>
          <w:tcPr>
            <w:tcW w:w="1020" w:type="dxa"/>
            <w:noWrap/>
          </w:tcPr>
          <w:p w14:paraId="6DA2F1E1" w14:textId="77777777" w:rsidR="00CA7AB2" w:rsidRPr="00C6052E" w:rsidRDefault="00CA7AB2" w:rsidP="00C044C0">
            <w:pPr>
              <w:pStyle w:val="TableHeading"/>
              <w:jc w:val="right"/>
            </w:pPr>
          </w:p>
        </w:tc>
        <w:tc>
          <w:tcPr>
            <w:tcW w:w="1191" w:type="dxa"/>
            <w:noWrap/>
          </w:tcPr>
          <w:p w14:paraId="1F264398" w14:textId="77777777" w:rsidR="00CA7AB2" w:rsidRPr="00C6052E" w:rsidRDefault="00CA7AB2" w:rsidP="00C044C0">
            <w:pPr>
              <w:pStyle w:val="TableHeading"/>
              <w:jc w:val="right"/>
            </w:pPr>
          </w:p>
        </w:tc>
        <w:tc>
          <w:tcPr>
            <w:tcW w:w="1191" w:type="dxa"/>
            <w:noWrap/>
          </w:tcPr>
          <w:p w14:paraId="19FBE5A1" w14:textId="77777777" w:rsidR="00CA7AB2" w:rsidRPr="00C6052E" w:rsidRDefault="00CA7AB2" w:rsidP="00C044C0">
            <w:pPr>
              <w:pStyle w:val="TableHeading"/>
              <w:jc w:val="right"/>
            </w:pPr>
          </w:p>
        </w:tc>
        <w:tc>
          <w:tcPr>
            <w:tcW w:w="1077" w:type="dxa"/>
            <w:noWrap/>
          </w:tcPr>
          <w:p w14:paraId="6FA508EF" w14:textId="77777777" w:rsidR="00CA7AB2" w:rsidRPr="00C6052E" w:rsidRDefault="00CA7AB2" w:rsidP="00C044C0">
            <w:pPr>
              <w:pStyle w:val="TableHeading"/>
              <w:jc w:val="right"/>
            </w:pPr>
          </w:p>
        </w:tc>
        <w:tc>
          <w:tcPr>
            <w:tcW w:w="1077" w:type="dxa"/>
            <w:noWrap/>
          </w:tcPr>
          <w:p w14:paraId="2954A28D" w14:textId="77777777" w:rsidR="00CA7AB2" w:rsidRPr="00C6052E" w:rsidRDefault="00CA7AB2" w:rsidP="00C044C0">
            <w:pPr>
              <w:pStyle w:val="TableHeading"/>
              <w:jc w:val="right"/>
            </w:pPr>
          </w:p>
        </w:tc>
        <w:tc>
          <w:tcPr>
            <w:tcW w:w="1361" w:type="dxa"/>
            <w:noWrap/>
          </w:tcPr>
          <w:p w14:paraId="2EECBA17" w14:textId="77777777" w:rsidR="00CA7AB2" w:rsidRPr="00C6052E" w:rsidRDefault="00CA7AB2" w:rsidP="00C044C0">
            <w:pPr>
              <w:pStyle w:val="TableHeading"/>
              <w:jc w:val="right"/>
            </w:pPr>
          </w:p>
        </w:tc>
        <w:tc>
          <w:tcPr>
            <w:tcW w:w="1361" w:type="dxa"/>
            <w:noWrap/>
          </w:tcPr>
          <w:p w14:paraId="4AABC70B" w14:textId="77777777" w:rsidR="00CA7AB2" w:rsidRPr="00C6052E" w:rsidRDefault="00CA7AB2" w:rsidP="00C044C0">
            <w:pPr>
              <w:pStyle w:val="TableHeading"/>
              <w:jc w:val="right"/>
            </w:pPr>
          </w:p>
        </w:tc>
      </w:tr>
      <w:tr w:rsidR="00CA7AB2" w:rsidRPr="00C6052E" w14:paraId="2A56E29A" w14:textId="77777777" w:rsidTr="006B5FCB">
        <w:tc>
          <w:tcPr>
            <w:tcW w:w="3397" w:type="dxa"/>
            <w:hideMark/>
          </w:tcPr>
          <w:p w14:paraId="0D4AB615" w14:textId="09AF4EF1" w:rsidR="00EE5BB8" w:rsidRPr="00C6052E" w:rsidRDefault="00EE5BB8" w:rsidP="0063097D">
            <w:pPr>
              <w:pStyle w:val="TableCopy"/>
            </w:pPr>
            <w:r w:rsidRPr="00C6052E">
              <w:t>Changes</w:t>
            </w:r>
            <w:r w:rsidR="00177848" w:rsidRPr="00C6052E">
              <w:t xml:space="preserve"> </w:t>
            </w:r>
            <w:r w:rsidRPr="00C6052E">
              <w:t>in</w:t>
            </w:r>
            <w:r w:rsidR="00177848" w:rsidRPr="00C6052E">
              <w:t xml:space="preserve"> </w:t>
            </w:r>
            <w:r w:rsidRPr="00C6052E">
              <w:t>physical</w:t>
            </w:r>
            <w:r w:rsidR="00177848" w:rsidRPr="00C6052E">
              <w:t xml:space="preserve"> </w:t>
            </w:r>
            <w:r w:rsidRPr="00C6052E">
              <w:t>asset</w:t>
            </w:r>
            <w:r w:rsidR="00177848" w:rsidRPr="00C6052E">
              <w:t xml:space="preserve"> </w:t>
            </w:r>
            <w:r w:rsidRPr="00C6052E">
              <w:t>revaluation</w:t>
            </w:r>
            <w:r w:rsidR="00177848" w:rsidRPr="00C6052E">
              <w:t xml:space="preserve"> </w:t>
            </w:r>
            <w:r w:rsidRPr="00C6052E">
              <w:t>surplus</w:t>
            </w:r>
          </w:p>
        </w:tc>
        <w:tc>
          <w:tcPr>
            <w:tcW w:w="1020" w:type="dxa"/>
            <w:noWrap/>
            <w:hideMark/>
          </w:tcPr>
          <w:p w14:paraId="06380BB7" w14:textId="77777777" w:rsidR="00EE5BB8" w:rsidRPr="00C6052E" w:rsidRDefault="00EE5BB8" w:rsidP="00CA7AB2">
            <w:pPr>
              <w:pStyle w:val="TableCopy"/>
              <w:jc w:val="right"/>
            </w:pPr>
            <w:r w:rsidRPr="00C6052E">
              <w:t>–</w:t>
            </w:r>
          </w:p>
        </w:tc>
        <w:tc>
          <w:tcPr>
            <w:tcW w:w="1020" w:type="dxa"/>
            <w:noWrap/>
            <w:hideMark/>
          </w:tcPr>
          <w:p w14:paraId="2F2614EB" w14:textId="77777777" w:rsidR="00EE5BB8" w:rsidRPr="00C6052E" w:rsidRDefault="00EE5BB8" w:rsidP="00CA7AB2">
            <w:pPr>
              <w:pStyle w:val="TableCopy"/>
              <w:jc w:val="right"/>
            </w:pPr>
            <w:r w:rsidRPr="00C6052E">
              <w:t>–</w:t>
            </w:r>
          </w:p>
        </w:tc>
        <w:tc>
          <w:tcPr>
            <w:tcW w:w="1020" w:type="dxa"/>
            <w:noWrap/>
            <w:hideMark/>
          </w:tcPr>
          <w:p w14:paraId="62FD4001" w14:textId="77777777" w:rsidR="00EE5BB8" w:rsidRPr="00C6052E" w:rsidRDefault="00EE5BB8" w:rsidP="00CA7AB2">
            <w:pPr>
              <w:pStyle w:val="TableCopy"/>
              <w:jc w:val="right"/>
            </w:pPr>
            <w:r w:rsidRPr="00C6052E">
              <w:t>–</w:t>
            </w:r>
          </w:p>
        </w:tc>
        <w:tc>
          <w:tcPr>
            <w:tcW w:w="1020" w:type="dxa"/>
            <w:noWrap/>
            <w:hideMark/>
          </w:tcPr>
          <w:p w14:paraId="288D4EE4" w14:textId="77777777" w:rsidR="00EE5BB8" w:rsidRPr="00C6052E" w:rsidRDefault="00EE5BB8" w:rsidP="00CA7AB2">
            <w:pPr>
              <w:pStyle w:val="TableCopy"/>
              <w:jc w:val="right"/>
            </w:pPr>
            <w:r w:rsidRPr="00C6052E">
              <w:t>–</w:t>
            </w:r>
          </w:p>
        </w:tc>
        <w:tc>
          <w:tcPr>
            <w:tcW w:w="1191" w:type="dxa"/>
            <w:noWrap/>
            <w:hideMark/>
          </w:tcPr>
          <w:p w14:paraId="50184337" w14:textId="77777777" w:rsidR="00EE5BB8" w:rsidRPr="00C6052E" w:rsidRDefault="00EE5BB8" w:rsidP="00CA7AB2">
            <w:pPr>
              <w:pStyle w:val="TableCopy"/>
              <w:jc w:val="right"/>
            </w:pPr>
            <w:r w:rsidRPr="00C6052E">
              <w:t>(9,303)</w:t>
            </w:r>
          </w:p>
        </w:tc>
        <w:tc>
          <w:tcPr>
            <w:tcW w:w="1191" w:type="dxa"/>
            <w:noWrap/>
            <w:hideMark/>
          </w:tcPr>
          <w:p w14:paraId="4DD76C45" w14:textId="77777777" w:rsidR="00EE5BB8" w:rsidRPr="00C6052E" w:rsidRDefault="00EE5BB8" w:rsidP="00CA7AB2">
            <w:pPr>
              <w:pStyle w:val="TableCopy"/>
              <w:jc w:val="right"/>
            </w:pPr>
            <w:r w:rsidRPr="00C6052E">
              <w:t>–</w:t>
            </w:r>
          </w:p>
        </w:tc>
        <w:tc>
          <w:tcPr>
            <w:tcW w:w="1077" w:type="dxa"/>
            <w:noWrap/>
            <w:hideMark/>
          </w:tcPr>
          <w:p w14:paraId="5C61845B" w14:textId="77777777" w:rsidR="00EE5BB8" w:rsidRPr="00C6052E" w:rsidRDefault="00EE5BB8" w:rsidP="00CA7AB2">
            <w:pPr>
              <w:pStyle w:val="TableCopy"/>
              <w:jc w:val="right"/>
            </w:pPr>
            <w:r w:rsidRPr="00C6052E">
              <w:t>–</w:t>
            </w:r>
          </w:p>
        </w:tc>
        <w:tc>
          <w:tcPr>
            <w:tcW w:w="1077" w:type="dxa"/>
            <w:noWrap/>
            <w:hideMark/>
          </w:tcPr>
          <w:p w14:paraId="241F897A" w14:textId="77777777" w:rsidR="00EE5BB8" w:rsidRPr="00C6052E" w:rsidRDefault="00EE5BB8" w:rsidP="00CA7AB2">
            <w:pPr>
              <w:pStyle w:val="TableCopy"/>
              <w:jc w:val="right"/>
            </w:pPr>
            <w:r w:rsidRPr="00C6052E">
              <w:t>–</w:t>
            </w:r>
          </w:p>
        </w:tc>
        <w:tc>
          <w:tcPr>
            <w:tcW w:w="1361" w:type="dxa"/>
            <w:noWrap/>
            <w:hideMark/>
          </w:tcPr>
          <w:p w14:paraId="68E9CECE" w14:textId="77777777" w:rsidR="00EE5BB8" w:rsidRPr="00C6052E" w:rsidRDefault="00EE5BB8" w:rsidP="00CA7AB2">
            <w:pPr>
              <w:pStyle w:val="TableCopy"/>
              <w:jc w:val="right"/>
            </w:pPr>
            <w:r w:rsidRPr="00C6052E">
              <w:t>(42,673)</w:t>
            </w:r>
          </w:p>
        </w:tc>
        <w:tc>
          <w:tcPr>
            <w:tcW w:w="1361" w:type="dxa"/>
            <w:noWrap/>
            <w:hideMark/>
          </w:tcPr>
          <w:p w14:paraId="6CAFAB98" w14:textId="77777777" w:rsidR="00EE5BB8" w:rsidRPr="00C6052E" w:rsidRDefault="00EE5BB8" w:rsidP="00CA7AB2">
            <w:pPr>
              <w:pStyle w:val="TableCopy"/>
              <w:jc w:val="right"/>
            </w:pPr>
            <w:r w:rsidRPr="00C6052E">
              <w:t>–</w:t>
            </w:r>
          </w:p>
        </w:tc>
      </w:tr>
      <w:tr w:rsidR="00CA7AB2" w:rsidRPr="00C6052E" w14:paraId="32E1D020" w14:textId="77777777" w:rsidTr="006B5FCB">
        <w:tc>
          <w:tcPr>
            <w:tcW w:w="3397" w:type="dxa"/>
            <w:noWrap/>
            <w:hideMark/>
          </w:tcPr>
          <w:p w14:paraId="623FF580" w14:textId="7457A5B8" w:rsidR="00EE5BB8" w:rsidRPr="00C6052E" w:rsidRDefault="00EE5BB8" w:rsidP="0063097D">
            <w:pPr>
              <w:pStyle w:val="Tabletotal"/>
            </w:pPr>
            <w:r w:rsidRPr="00C6052E">
              <w:t>Comprehensive</w:t>
            </w:r>
            <w:r w:rsidR="00177848" w:rsidRPr="00C6052E">
              <w:t xml:space="preserve"> </w:t>
            </w:r>
            <w:r w:rsidRPr="00C6052E">
              <w:t>result</w:t>
            </w:r>
          </w:p>
        </w:tc>
        <w:tc>
          <w:tcPr>
            <w:tcW w:w="1020" w:type="dxa"/>
            <w:noWrap/>
            <w:hideMark/>
          </w:tcPr>
          <w:p w14:paraId="4ABA1B3F" w14:textId="77777777" w:rsidR="00EE5BB8" w:rsidRPr="00C6052E" w:rsidRDefault="00EE5BB8" w:rsidP="00CA7AB2">
            <w:pPr>
              <w:pStyle w:val="Tabletotal"/>
              <w:jc w:val="right"/>
            </w:pPr>
            <w:r w:rsidRPr="00C6052E">
              <w:t>4,496</w:t>
            </w:r>
          </w:p>
        </w:tc>
        <w:tc>
          <w:tcPr>
            <w:tcW w:w="1020" w:type="dxa"/>
            <w:noWrap/>
            <w:hideMark/>
          </w:tcPr>
          <w:p w14:paraId="60B4215E" w14:textId="77777777" w:rsidR="00EE5BB8" w:rsidRPr="00C6052E" w:rsidRDefault="00EE5BB8" w:rsidP="00CA7AB2">
            <w:pPr>
              <w:pStyle w:val="Tabletotal"/>
              <w:jc w:val="right"/>
            </w:pPr>
            <w:r w:rsidRPr="00C6052E">
              <w:t>1,625</w:t>
            </w:r>
          </w:p>
        </w:tc>
        <w:tc>
          <w:tcPr>
            <w:tcW w:w="1020" w:type="dxa"/>
            <w:noWrap/>
            <w:hideMark/>
          </w:tcPr>
          <w:p w14:paraId="7970F90C" w14:textId="77777777" w:rsidR="00EE5BB8" w:rsidRPr="00C6052E" w:rsidRDefault="00EE5BB8" w:rsidP="00CA7AB2">
            <w:pPr>
              <w:pStyle w:val="Tabletotal"/>
              <w:jc w:val="right"/>
            </w:pPr>
            <w:r w:rsidRPr="00C6052E">
              <w:t>2,149</w:t>
            </w:r>
          </w:p>
        </w:tc>
        <w:tc>
          <w:tcPr>
            <w:tcW w:w="1020" w:type="dxa"/>
            <w:noWrap/>
            <w:hideMark/>
          </w:tcPr>
          <w:p w14:paraId="7E0F42C2" w14:textId="77777777" w:rsidR="00EE5BB8" w:rsidRPr="00C6052E" w:rsidRDefault="00EE5BB8" w:rsidP="00CA7AB2">
            <w:pPr>
              <w:pStyle w:val="Tabletotal"/>
              <w:jc w:val="right"/>
            </w:pPr>
            <w:r w:rsidRPr="00C6052E">
              <w:t>3,528</w:t>
            </w:r>
          </w:p>
        </w:tc>
        <w:tc>
          <w:tcPr>
            <w:tcW w:w="1191" w:type="dxa"/>
            <w:noWrap/>
            <w:hideMark/>
          </w:tcPr>
          <w:p w14:paraId="2A8100FE" w14:textId="77777777" w:rsidR="00EE5BB8" w:rsidRPr="00C6052E" w:rsidRDefault="00EE5BB8" w:rsidP="00CA7AB2">
            <w:pPr>
              <w:pStyle w:val="Tabletotal"/>
              <w:jc w:val="right"/>
            </w:pPr>
            <w:r w:rsidRPr="00C6052E">
              <w:t>119,522</w:t>
            </w:r>
          </w:p>
        </w:tc>
        <w:tc>
          <w:tcPr>
            <w:tcW w:w="1191" w:type="dxa"/>
            <w:noWrap/>
            <w:hideMark/>
          </w:tcPr>
          <w:p w14:paraId="320FD522" w14:textId="77777777" w:rsidR="00EE5BB8" w:rsidRPr="00C6052E" w:rsidRDefault="00EE5BB8" w:rsidP="00CA7AB2">
            <w:pPr>
              <w:pStyle w:val="Tabletotal"/>
              <w:jc w:val="right"/>
            </w:pPr>
            <w:r w:rsidRPr="00C6052E">
              <w:t>95,891</w:t>
            </w:r>
          </w:p>
        </w:tc>
        <w:tc>
          <w:tcPr>
            <w:tcW w:w="1077" w:type="dxa"/>
            <w:noWrap/>
            <w:hideMark/>
          </w:tcPr>
          <w:p w14:paraId="2470506C" w14:textId="77777777" w:rsidR="00EE5BB8" w:rsidRPr="00C6052E" w:rsidRDefault="00EE5BB8" w:rsidP="00CA7AB2">
            <w:pPr>
              <w:pStyle w:val="Tabletotal"/>
              <w:jc w:val="right"/>
            </w:pPr>
            <w:r w:rsidRPr="00C6052E">
              <w:t>–</w:t>
            </w:r>
          </w:p>
        </w:tc>
        <w:tc>
          <w:tcPr>
            <w:tcW w:w="1077" w:type="dxa"/>
            <w:noWrap/>
            <w:hideMark/>
          </w:tcPr>
          <w:p w14:paraId="03C9F543" w14:textId="77777777" w:rsidR="00EE5BB8" w:rsidRPr="00C6052E" w:rsidRDefault="00EE5BB8" w:rsidP="00CA7AB2">
            <w:pPr>
              <w:pStyle w:val="Tabletotal"/>
              <w:jc w:val="right"/>
            </w:pPr>
            <w:r w:rsidRPr="00C6052E">
              <w:t>(5)</w:t>
            </w:r>
          </w:p>
        </w:tc>
        <w:tc>
          <w:tcPr>
            <w:tcW w:w="1361" w:type="dxa"/>
            <w:noWrap/>
            <w:hideMark/>
          </w:tcPr>
          <w:p w14:paraId="75D2BD64" w14:textId="77777777" w:rsidR="00EE5BB8" w:rsidRPr="00C6052E" w:rsidRDefault="00EE5BB8" w:rsidP="00CA7AB2">
            <w:pPr>
              <w:pStyle w:val="Tabletotal"/>
              <w:jc w:val="right"/>
            </w:pPr>
            <w:r w:rsidRPr="00C6052E">
              <w:t>153,960</w:t>
            </w:r>
          </w:p>
        </w:tc>
        <w:tc>
          <w:tcPr>
            <w:tcW w:w="1361" w:type="dxa"/>
            <w:noWrap/>
            <w:hideMark/>
          </w:tcPr>
          <w:p w14:paraId="30B88C0E" w14:textId="77777777" w:rsidR="00EE5BB8" w:rsidRPr="00C6052E" w:rsidRDefault="00EE5BB8" w:rsidP="00CA7AB2">
            <w:pPr>
              <w:pStyle w:val="Tabletotal"/>
              <w:jc w:val="right"/>
            </w:pPr>
            <w:r w:rsidRPr="00C6052E">
              <w:t>89,905</w:t>
            </w:r>
          </w:p>
        </w:tc>
      </w:tr>
    </w:tbl>
    <w:p w14:paraId="1BFA29B4" w14:textId="153978EE" w:rsidR="00EE5BB8" w:rsidRPr="00C6052E" w:rsidRDefault="00EE5BB8" w:rsidP="00EE5BB8">
      <w:pPr>
        <w:pStyle w:val="Tablenotes-numbered"/>
        <w:numPr>
          <w:ilvl w:val="0"/>
          <w:numId w:val="23"/>
        </w:numPr>
      </w:pPr>
      <w:r w:rsidRPr="00C6052E">
        <w:t>In</w:t>
      </w:r>
      <w:r w:rsidR="00177848" w:rsidRPr="00C6052E">
        <w:t xml:space="preserve"> </w:t>
      </w:r>
      <w:r w:rsidRPr="00C6052E">
        <w:t>FY2023-24</w:t>
      </w:r>
      <w:r w:rsidR="00177848" w:rsidRPr="00C6052E">
        <w:t xml:space="preserve"> </w:t>
      </w:r>
      <w:r w:rsidRPr="00C6052E">
        <w:t>Suburban</w:t>
      </w:r>
      <w:r w:rsidR="00177848" w:rsidRPr="00C6052E">
        <w:t xml:space="preserve"> </w:t>
      </w:r>
      <w:r w:rsidRPr="00C6052E">
        <w:t>Development</w:t>
      </w:r>
      <w:r w:rsidR="00177848" w:rsidRPr="00C6052E">
        <w:t xml:space="preserve"> </w:t>
      </w:r>
      <w:r w:rsidRPr="00C6052E">
        <w:t>function</w:t>
      </w:r>
      <w:r w:rsidR="00177848" w:rsidRPr="00C6052E">
        <w:t xml:space="preserve"> </w:t>
      </w:r>
      <w:r w:rsidRPr="00C6052E">
        <w:t>was</w:t>
      </w:r>
      <w:r w:rsidR="00177848" w:rsidRPr="00C6052E">
        <w:t xml:space="preserve"> </w:t>
      </w:r>
      <w:r w:rsidRPr="00C6052E">
        <w:t>relinquished</w:t>
      </w:r>
      <w:r w:rsidR="00177848" w:rsidRPr="00C6052E">
        <w:t xml:space="preserve"> </w:t>
      </w:r>
      <w:r w:rsidRPr="00C6052E">
        <w:t>and</w:t>
      </w:r>
      <w:r w:rsidR="00177848" w:rsidRPr="00C6052E">
        <w:t xml:space="preserve"> </w:t>
      </w:r>
      <w:r w:rsidRPr="00C6052E">
        <w:t>the</w:t>
      </w:r>
      <w:r w:rsidR="00177848" w:rsidRPr="00C6052E">
        <w:t xml:space="preserve"> </w:t>
      </w:r>
      <w:r w:rsidRPr="00C6052E">
        <w:t>2024</w:t>
      </w:r>
      <w:r w:rsidR="00177848" w:rsidRPr="00C6052E">
        <w:t xml:space="preserve"> </w:t>
      </w:r>
      <w:r w:rsidRPr="00C6052E">
        <w:t>outputs</w:t>
      </w:r>
      <w:r w:rsidR="00177848" w:rsidRPr="00C6052E">
        <w:t xml:space="preserve"> </w:t>
      </w:r>
      <w:r w:rsidRPr="00C6052E">
        <w:t>reflects</w:t>
      </w:r>
      <w:r w:rsidR="00177848" w:rsidRPr="00C6052E">
        <w:t xml:space="preserve"> </w:t>
      </w:r>
      <w:r w:rsidRPr="00C6052E">
        <w:t>the</w:t>
      </w:r>
      <w:r w:rsidR="00177848" w:rsidRPr="00C6052E">
        <w:t xml:space="preserve"> </w:t>
      </w:r>
      <w:r w:rsidRPr="00C6052E">
        <w:t>period</w:t>
      </w:r>
      <w:r w:rsidR="00177848" w:rsidRPr="00C6052E">
        <w:t xml:space="preserve"> </w:t>
      </w:r>
      <w:r w:rsidRPr="00C6052E">
        <w:t>1</w:t>
      </w:r>
      <w:r w:rsidR="00177848" w:rsidRPr="00C6052E">
        <w:t xml:space="preserve"> </w:t>
      </w:r>
      <w:r w:rsidRPr="00C6052E">
        <w:t>July</w:t>
      </w:r>
      <w:r w:rsidR="00177848" w:rsidRPr="00C6052E">
        <w:t xml:space="preserve"> </w:t>
      </w:r>
      <w:r w:rsidRPr="00C6052E">
        <w:t>2023</w:t>
      </w:r>
      <w:r w:rsidR="00177848" w:rsidRPr="00C6052E">
        <w:t xml:space="preserve"> </w:t>
      </w:r>
      <w:r w:rsidRPr="00C6052E">
        <w:t>to</w:t>
      </w:r>
      <w:r w:rsidR="00177848" w:rsidRPr="00C6052E">
        <w:t xml:space="preserve"> </w:t>
      </w:r>
      <w:r w:rsidRPr="00C6052E">
        <w:t>31</w:t>
      </w:r>
      <w:r w:rsidR="00177848" w:rsidRPr="00C6052E">
        <w:t xml:space="preserve"> </w:t>
      </w:r>
      <w:r w:rsidRPr="00C6052E">
        <w:t>January</w:t>
      </w:r>
      <w:r w:rsidR="00177848" w:rsidRPr="00C6052E">
        <w:t xml:space="preserve"> </w:t>
      </w:r>
      <w:r w:rsidRPr="00C6052E">
        <w:t>2024.</w:t>
      </w:r>
      <w:r w:rsidR="00177848" w:rsidRPr="00C6052E">
        <w:t xml:space="preserve"> </w:t>
      </w:r>
    </w:p>
    <w:p w14:paraId="671E9C34" w14:textId="77777777" w:rsidR="00EE5BB8" w:rsidRPr="00C6052E" w:rsidRDefault="00EE5BB8" w:rsidP="00EE5BB8">
      <w:pPr>
        <w:pStyle w:val="Tablenotes-numbered"/>
        <w:numPr>
          <w:ilvl w:val="0"/>
          <w:numId w:val="23"/>
        </w:numPr>
      </w:pPr>
      <w:r w:rsidRPr="00C6052E">
        <w:br w:type="page"/>
      </w:r>
    </w:p>
    <w:p w14:paraId="1C5B717A" w14:textId="2328C78C" w:rsidR="00EE5BB8" w:rsidRPr="00C6052E" w:rsidRDefault="00EE5BB8" w:rsidP="000C0740">
      <w:pPr>
        <w:pStyle w:val="Heading3numbered0"/>
      </w:pPr>
      <w:bookmarkStart w:id="182" w:name="_Ref161821529"/>
      <w:r w:rsidRPr="00C6052E">
        <w:lastRenderedPageBreak/>
        <w:t>Departmental</w:t>
      </w:r>
      <w:r w:rsidR="00177848" w:rsidRPr="00C6052E">
        <w:t xml:space="preserve"> </w:t>
      </w:r>
      <w:r w:rsidRPr="00C6052E">
        <w:t>outputs:</w:t>
      </w:r>
      <w:r w:rsidR="00177848" w:rsidRPr="00C6052E">
        <w:t xml:space="preserve"> </w:t>
      </w:r>
      <w:r w:rsidRPr="00C6052E">
        <w:t>Controlled</w:t>
      </w:r>
      <w:r w:rsidR="00177848" w:rsidRPr="00C6052E">
        <w:t xml:space="preserve"> </w:t>
      </w:r>
      <w:r w:rsidRPr="00C6052E">
        <w:t>assets</w:t>
      </w:r>
      <w:r w:rsidR="00177848" w:rsidRPr="00C6052E">
        <w:t xml:space="preserve"> </w:t>
      </w:r>
      <w:r w:rsidRPr="00C6052E">
        <w:t>and</w:t>
      </w:r>
      <w:r w:rsidR="00177848" w:rsidRPr="00C6052E">
        <w:t xml:space="preserve"> </w:t>
      </w:r>
      <w:r w:rsidRPr="00C6052E">
        <w:t>liabilities</w:t>
      </w:r>
      <w:r w:rsidR="00177848" w:rsidRPr="00C6052E">
        <w:t xml:space="preserve"> </w:t>
      </w:r>
      <w:r w:rsidRPr="00C6052E">
        <w:t>at</w:t>
      </w:r>
      <w:r w:rsidR="00177848" w:rsidRPr="00C6052E">
        <w:t xml:space="preserve"> </w:t>
      </w:r>
      <w:fldSimple w:instr=" DOCPROPERTY  pEnd  \* MERGEFORMAT ">
        <w:r w:rsidRPr="00C6052E">
          <w:t>30</w:t>
        </w:r>
        <w:r w:rsidR="00177848" w:rsidRPr="00C6052E">
          <w:t xml:space="preserve"> </w:t>
        </w:r>
        <w:r w:rsidRPr="00C6052E">
          <w:t>June</w:t>
        </w:r>
      </w:fldSimple>
      <w:r w:rsidR="00177848" w:rsidRPr="00C6052E">
        <w:t xml:space="preserve"> </w:t>
      </w:r>
      <w:fldSimple w:instr=" DOCPROPERTY  crYear  \* MERGEFORMAT ">
        <w:r w:rsidRPr="00C6052E">
          <w:t>2025</w:t>
        </w:r>
      </w:fldSimple>
      <w:bookmarkEnd w:id="182"/>
      <w:r w:rsidR="00177848" w:rsidRPr="00C6052E">
        <w:t xml:space="preserve"> </w:t>
      </w:r>
      <w:r w:rsidRPr="00C6052E">
        <w:t>DJSIR</w:t>
      </w:r>
      <w:r w:rsidR="00177848" w:rsidRPr="00C6052E">
        <w:t xml:space="preserve"> </w:t>
      </w:r>
      <w:r w:rsidRPr="00C6052E">
        <w:t>Outputs</w:t>
      </w:r>
      <w:r w:rsidR="00177848" w:rsidRPr="00C6052E">
        <w:t xml:space="preserve"> </w:t>
      </w:r>
      <w:r w:rsidR="006B5FCB" w:rsidRPr="00C6052E">
        <w:t>($ thousand)</w:t>
      </w:r>
    </w:p>
    <w:tbl>
      <w:tblPr>
        <w:tblStyle w:val="TableGrid"/>
        <w:tblW w:w="14714" w:type="dxa"/>
        <w:tblInd w:w="-5" w:type="dxa"/>
        <w:tblLayout w:type="fixed"/>
        <w:tblLook w:val="04E0" w:firstRow="1" w:lastRow="1" w:firstColumn="1" w:lastColumn="0" w:noHBand="0" w:noVBand="1"/>
      </w:tblPr>
      <w:tblGrid>
        <w:gridCol w:w="2551"/>
        <w:gridCol w:w="1587"/>
        <w:gridCol w:w="1587"/>
        <w:gridCol w:w="1134"/>
        <w:gridCol w:w="1134"/>
        <w:gridCol w:w="1149"/>
        <w:gridCol w:w="1150"/>
        <w:gridCol w:w="1304"/>
        <w:gridCol w:w="1304"/>
        <w:gridCol w:w="907"/>
        <w:gridCol w:w="907"/>
      </w:tblGrid>
      <w:tr w:rsidR="00EE5BB8" w:rsidRPr="00C6052E" w14:paraId="22F53AFB" w14:textId="77777777" w:rsidTr="00114908">
        <w:tc>
          <w:tcPr>
            <w:tcW w:w="2551" w:type="dxa"/>
            <w:noWrap/>
            <w:hideMark/>
          </w:tcPr>
          <w:p w14:paraId="05988AA0" w14:textId="77777777" w:rsidR="00EE5BB8" w:rsidRPr="00C6052E" w:rsidRDefault="00EE5BB8" w:rsidP="00857D46">
            <w:pPr>
              <w:pStyle w:val="TableColumnHeading"/>
            </w:pPr>
            <w:bookmarkStart w:id="183" w:name="TableColumnHeadings_59"/>
            <w:bookmarkEnd w:id="183"/>
          </w:p>
        </w:tc>
        <w:tc>
          <w:tcPr>
            <w:tcW w:w="1587" w:type="dxa"/>
            <w:hideMark/>
          </w:tcPr>
          <w:p w14:paraId="480AC470" w14:textId="361A1BFF" w:rsidR="00EE5BB8" w:rsidRPr="00C6052E" w:rsidRDefault="006B5FCB" w:rsidP="00857D46">
            <w:pPr>
              <w:pStyle w:val="TableColumnHeading"/>
              <w:jc w:val="right"/>
            </w:pPr>
            <w:r w:rsidRPr="00C6052E">
              <w:rPr>
                <w:lang w:val="en-AU"/>
              </w:rPr>
              <w:t>Creative Industries Access, Development and Innovation</w:t>
            </w:r>
            <w:r w:rsidRPr="00C6052E">
              <w:t xml:space="preserve"> </w:t>
            </w:r>
            <w:r w:rsidR="00EE5BB8" w:rsidRPr="00C6052E">
              <w:t>2025</w:t>
            </w:r>
          </w:p>
        </w:tc>
        <w:tc>
          <w:tcPr>
            <w:tcW w:w="1587" w:type="dxa"/>
            <w:hideMark/>
          </w:tcPr>
          <w:p w14:paraId="601ECBE3" w14:textId="01EE0507" w:rsidR="00EE5BB8" w:rsidRPr="00C6052E" w:rsidRDefault="006B5FCB" w:rsidP="00857D46">
            <w:pPr>
              <w:pStyle w:val="TableColumnHeading"/>
              <w:jc w:val="right"/>
            </w:pPr>
            <w:r w:rsidRPr="00C6052E">
              <w:rPr>
                <w:lang w:val="en-AU"/>
              </w:rPr>
              <w:t>Creative Industries Access, Development and Innovation</w:t>
            </w:r>
            <w:r w:rsidRPr="00C6052E">
              <w:t xml:space="preserve"> </w:t>
            </w:r>
            <w:r w:rsidR="00EE5BB8" w:rsidRPr="00C6052E">
              <w:t>2024</w:t>
            </w:r>
          </w:p>
        </w:tc>
        <w:tc>
          <w:tcPr>
            <w:tcW w:w="1134" w:type="dxa"/>
            <w:hideMark/>
          </w:tcPr>
          <w:p w14:paraId="18809D15" w14:textId="3051E0BF" w:rsidR="00EE5BB8" w:rsidRPr="00C6052E" w:rsidRDefault="006B5FCB" w:rsidP="00857D46">
            <w:pPr>
              <w:pStyle w:val="TableColumnHeading"/>
              <w:jc w:val="right"/>
            </w:pPr>
            <w:r w:rsidRPr="00C6052E">
              <w:rPr>
                <w:lang w:val="en-AU"/>
              </w:rPr>
              <w:t>Creative Industries Portfolio Agencies</w:t>
            </w:r>
            <w:r w:rsidRPr="00C6052E">
              <w:t xml:space="preserve"> </w:t>
            </w:r>
            <w:r w:rsidR="00EE5BB8" w:rsidRPr="00C6052E">
              <w:t>2025</w:t>
            </w:r>
          </w:p>
        </w:tc>
        <w:tc>
          <w:tcPr>
            <w:tcW w:w="1134" w:type="dxa"/>
            <w:hideMark/>
          </w:tcPr>
          <w:p w14:paraId="1916EB66" w14:textId="5C7AE3D8" w:rsidR="00EE5BB8" w:rsidRPr="00C6052E" w:rsidRDefault="006B5FCB" w:rsidP="00857D46">
            <w:pPr>
              <w:pStyle w:val="TableColumnHeading"/>
              <w:jc w:val="right"/>
            </w:pPr>
            <w:r w:rsidRPr="00C6052E">
              <w:rPr>
                <w:lang w:val="en-AU"/>
              </w:rPr>
              <w:t>Creative Industries Portfolio Agencies</w:t>
            </w:r>
            <w:r w:rsidRPr="00C6052E">
              <w:t xml:space="preserve"> </w:t>
            </w:r>
            <w:r w:rsidR="00EE5BB8" w:rsidRPr="00C6052E">
              <w:t>2024</w:t>
            </w:r>
          </w:p>
        </w:tc>
        <w:tc>
          <w:tcPr>
            <w:tcW w:w="1149" w:type="dxa"/>
            <w:hideMark/>
          </w:tcPr>
          <w:p w14:paraId="1F516772" w14:textId="2A685C0F" w:rsidR="00EE5BB8" w:rsidRPr="00C6052E" w:rsidRDefault="006B5FCB" w:rsidP="00857D46">
            <w:pPr>
              <w:pStyle w:val="TableColumnHeading"/>
              <w:jc w:val="right"/>
            </w:pPr>
            <w:r w:rsidRPr="00C6052E">
              <w:rPr>
                <w:lang w:val="en-AU"/>
              </w:rPr>
              <w:t>Cultural Infrastructure and Facilities</w:t>
            </w:r>
            <w:r w:rsidRPr="00C6052E">
              <w:t xml:space="preserve"> </w:t>
            </w:r>
            <w:r w:rsidR="00EE5BB8" w:rsidRPr="00C6052E">
              <w:t>2025</w:t>
            </w:r>
          </w:p>
        </w:tc>
        <w:tc>
          <w:tcPr>
            <w:tcW w:w="1150" w:type="dxa"/>
            <w:hideMark/>
          </w:tcPr>
          <w:p w14:paraId="10FA4D85" w14:textId="00A06D04" w:rsidR="00EE5BB8" w:rsidRPr="00C6052E" w:rsidRDefault="006B5FCB" w:rsidP="00857D46">
            <w:pPr>
              <w:pStyle w:val="TableColumnHeading"/>
              <w:jc w:val="right"/>
            </w:pPr>
            <w:r w:rsidRPr="00C6052E">
              <w:rPr>
                <w:lang w:val="en-AU"/>
              </w:rPr>
              <w:t>Cultural Infrastructure and Facilities</w:t>
            </w:r>
            <w:r w:rsidRPr="00C6052E">
              <w:t xml:space="preserve"> </w:t>
            </w:r>
            <w:r w:rsidR="00EE5BB8" w:rsidRPr="00C6052E">
              <w:t>2024</w:t>
            </w:r>
          </w:p>
        </w:tc>
        <w:tc>
          <w:tcPr>
            <w:tcW w:w="1304" w:type="dxa"/>
            <w:hideMark/>
          </w:tcPr>
          <w:p w14:paraId="6D7C9745" w14:textId="6A4C0FFF" w:rsidR="00EE5BB8" w:rsidRPr="00C6052E" w:rsidRDefault="006B5FCB" w:rsidP="00857D46">
            <w:pPr>
              <w:pStyle w:val="TableColumnHeading"/>
              <w:jc w:val="right"/>
            </w:pPr>
            <w:r w:rsidRPr="00C6052E">
              <w:rPr>
                <w:lang w:val="en-AU"/>
              </w:rPr>
              <w:t>Industry, Small Business and Medical Research</w:t>
            </w:r>
            <w:r w:rsidRPr="00C6052E">
              <w:t xml:space="preserve"> </w:t>
            </w:r>
            <w:r w:rsidR="00EE5BB8" w:rsidRPr="00C6052E">
              <w:t>2025</w:t>
            </w:r>
          </w:p>
        </w:tc>
        <w:tc>
          <w:tcPr>
            <w:tcW w:w="1304" w:type="dxa"/>
            <w:hideMark/>
          </w:tcPr>
          <w:p w14:paraId="5FC4157F" w14:textId="04ED311E" w:rsidR="00EE5BB8" w:rsidRPr="00C6052E" w:rsidRDefault="006B5FCB" w:rsidP="00857D46">
            <w:pPr>
              <w:pStyle w:val="TableColumnHeading"/>
              <w:jc w:val="right"/>
            </w:pPr>
            <w:r w:rsidRPr="00C6052E">
              <w:rPr>
                <w:lang w:val="en-AU"/>
              </w:rPr>
              <w:t>Industry, Small Business and Medical Research</w:t>
            </w:r>
            <w:r w:rsidRPr="00C6052E">
              <w:t xml:space="preserve"> </w:t>
            </w:r>
            <w:r w:rsidR="00EE5BB8" w:rsidRPr="00C6052E">
              <w:t>2024</w:t>
            </w:r>
          </w:p>
        </w:tc>
        <w:tc>
          <w:tcPr>
            <w:tcW w:w="907" w:type="dxa"/>
            <w:hideMark/>
          </w:tcPr>
          <w:p w14:paraId="0079847A" w14:textId="231CFD0E" w:rsidR="00EE5BB8" w:rsidRPr="00C6052E" w:rsidRDefault="006B5FCB" w:rsidP="00857D46">
            <w:pPr>
              <w:pStyle w:val="TableColumnHeading"/>
              <w:jc w:val="right"/>
            </w:pPr>
            <w:r w:rsidRPr="00C6052E">
              <w:t xml:space="preserve">Jobs </w:t>
            </w:r>
            <w:r>
              <w:br/>
            </w:r>
            <w:r w:rsidR="00EE5BB8" w:rsidRPr="00C6052E">
              <w:t>2025</w:t>
            </w:r>
          </w:p>
        </w:tc>
        <w:tc>
          <w:tcPr>
            <w:tcW w:w="907" w:type="dxa"/>
            <w:hideMark/>
          </w:tcPr>
          <w:p w14:paraId="50DBFFE8" w14:textId="2A24C9CB" w:rsidR="00EE5BB8" w:rsidRPr="00C6052E" w:rsidRDefault="006B5FCB" w:rsidP="00857D46">
            <w:pPr>
              <w:pStyle w:val="TableColumnHeading"/>
              <w:jc w:val="right"/>
            </w:pPr>
            <w:r w:rsidRPr="00C6052E">
              <w:t xml:space="preserve">Jobs </w:t>
            </w:r>
            <w:r>
              <w:br/>
            </w:r>
            <w:r w:rsidR="00EE5BB8" w:rsidRPr="00C6052E">
              <w:t>2024</w:t>
            </w:r>
          </w:p>
        </w:tc>
      </w:tr>
      <w:tr w:rsidR="00857D46" w:rsidRPr="00C6052E" w14:paraId="5C0E5699" w14:textId="77777777" w:rsidTr="00114908">
        <w:tc>
          <w:tcPr>
            <w:tcW w:w="2551" w:type="dxa"/>
          </w:tcPr>
          <w:p w14:paraId="3159B1DD" w14:textId="58E11085" w:rsidR="00857D46" w:rsidRPr="00C6052E" w:rsidRDefault="00857D46" w:rsidP="00857D46">
            <w:pPr>
              <w:pStyle w:val="TableHeading"/>
            </w:pPr>
            <w:r w:rsidRPr="00C6052E">
              <w:t>Assets</w:t>
            </w:r>
          </w:p>
        </w:tc>
        <w:tc>
          <w:tcPr>
            <w:tcW w:w="1587" w:type="dxa"/>
            <w:noWrap/>
          </w:tcPr>
          <w:p w14:paraId="590929D9" w14:textId="77777777" w:rsidR="00857D46" w:rsidRPr="00C6052E" w:rsidRDefault="00857D46" w:rsidP="00857D46">
            <w:pPr>
              <w:pStyle w:val="TableHeading"/>
              <w:jc w:val="right"/>
            </w:pPr>
          </w:p>
        </w:tc>
        <w:tc>
          <w:tcPr>
            <w:tcW w:w="1587" w:type="dxa"/>
            <w:noWrap/>
          </w:tcPr>
          <w:p w14:paraId="4F975D5F" w14:textId="77777777" w:rsidR="00857D46" w:rsidRPr="00C6052E" w:rsidRDefault="00857D46" w:rsidP="00857D46">
            <w:pPr>
              <w:pStyle w:val="TableHeading"/>
              <w:jc w:val="right"/>
            </w:pPr>
          </w:p>
        </w:tc>
        <w:tc>
          <w:tcPr>
            <w:tcW w:w="1134" w:type="dxa"/>
            <w:noWrap/>
          </w:tcPr>
          <w:p w14:paraId="7CE5E2CB" w14:textId="77777777" w:rsidR="00857D46" w:rsidRPr="00C6052E" w:rsidRDefault="00857D46" w:rsidP="00857D46">
            <w:pPr>
              <w:pStyle w:val="TableHeading"/>
              <w:jc w:val="right"/>
            </w:pPr>
          </w:p>
        </w:tc>
        <w:tc>
          <w:tcPr>
            <w:tcW w:w="1134" w:type="dxa"/>
            <w:noWrap/>
          </w:tcPr>
          <w:p w14:paraId="1A3A8B6C" w14:textId="77777777" w:rsidR="00857D46" w:rsidRPr="00C6052E" w:rsidRDefault="00857D46" w:rsidP="00857D46">
            <w:pPr>
              <w:pStyle w:val="TableHeading"/>
              <w:jc w:val="right"/>
            </w:pPr>
          </w:p>
        </w:tc>
        <w:tc>
          <w:tcPr>
            <w:tcW w:w="1149" w:type="dxa"/>
            <w:noWrap/>
          </w:tcPr>
          <w:p w14:paraId="53036382" w14:textId="77777777" w:rsidR="00857D46" w:rsidRPr="00C6052E" w:rsidRDefault="00857D46" w:rsidP="00857D46">
            <w:pPr>
              <w:pStyle w:val="TableHeading"/>
              <w:jc w:val="right"/>
            </w:pPr>
          </w:p>
        </w:tc>
        <w:tc>
          <w:tcPr>
            <w:tcW w:w="1150" w:type="dxa"/>
            <w:noWrap/>
          </w:tcPr>
          <w:p w14:paraId="440D51AF" w14:textId="77777777" w:rsidR="00857D46" w:rsidRPr="00C6052E" w:rsidRDefault="00857D46" w:rsidP="00857D46">
            <w:pPr>
              <w:pStyle w:val="TableHeading"/>
              <w:jc w:val="right"/>
            </w:pPr>
          </w:p>
        </w:tc>
        <w:tc>
          <w:tcPr>
            <w:tcW w:w="1304" w:type="dxa"/>
            <w:noWrap/>
          </w:tcPr>
          <w:p w14:paraId="4E039026" w14:textId="77777777" w:rsidR="00857D46" w:rsidRPr="00C6052E" w:rsidRDefault="00857D46" w:rsidP="00857D46">
            <w:pPr>
              <w:pStyle w:val="TableHeading"/>
              <w:jc w:val="right"/>
            </w:pPr>
          </w:p>
        </w:tc>
        <w:tc>
          <w:tcPr>
            <w:tcW w:w="1304" w:type="dxa"/>
            <w:noWrap/>
          </w:tcPr>
          <w:p w14:paraId="79BDD905" w14:textId="77777777" w:rsidR="00857D46" w:rsidRPr="00C6052E" w:rsidRDefault="00857D46" w:rsidP="00857D46">
            <w:pPr>
              <w:pStyle w:val="TableHeading"/>
              <w:jc w:val="right"/>
            </w:pPr>
          </w:p>
        </w:tc>
        <w:tc>
          <w:tcPr>
            <w:tcW w:w="907" w:type="dxa"/>
            <w:noWrap/>
          </w:tcPr>
          <w:p w14:paraId="033B7F25" w14:textId="77777777" w:rsidR="00857D46" w:rsidRPr="00C6052E" w:rsidRDefault="00857D46" w:rsidP="00857D46">
            <w:pPr>
              <w:pStyle w:val="TableHeading"/>
              <w:jc w:val="right"/>
            </w:pPr>
          </w:p>
        </w:tc>
        <w:tc>
          <w:tcPr>
            <w:tcW w:w="907" w:type="dxa"/>
            <w:noWrap/>
          </w:tcPr>
          <w:p w14:paraId="1C895854" w14:textId="77777777" w:rsidR="00857D46" w:rsidRPr="00C6052E" w:rsidRDefault="00857D46" w:rsidP="00857D46">
            <w:pPr>
              <w:pStyle w:val="TableHeading"/>
              <w:jc w:val="right"/>
            </w:pPr>
          </w:p>
        </w:tc>
      </w:tr>
      <w:tr w:rsidR="00EE5BB8" w:rsidRPr="00C6052E" w14:paraId="4EF9B7A9" w14:textId="77777777" w:rsidTr="00114908">
        <w:tc>
          <w:tcPr>
            <w:tcW w:w="2551" w:type="dxa"/>
            <w:hideMark/>
          </w:tcPr>
          <w:p w14:paraId="1A0851DA" w14:textId="6530E6D9" w:rsidR="00EE5BB8" w:rsidRPr="00C6052E" w:rsidRDefault="00EE5BB8" w:rsidP="00114908">
            <w:pPr>
              <w:pStyle w:val="TableCopy"/>
            </w:pPr>
            <w:r w:rsidRPr="00C6052E">
              <w:t>Financial</w:t>
            </w:r>
            <w:r w:rsidR="00177848" w:rsidRPr="00C6052E">
              <w:t xml:space="preserve"> </w:t>
            </w:r>
            <w:r w:rsidRPr="00C6052E">
              <w:t>assets</w:t>
            </w:r>
          </w:p>
        </w:tc>
        <w:tc>
          <w:tcPr>
            <w:tcW w:w="1587" w:type="dxa"/>
            <w:noWrap/>
            <w:hideMark/>
          </w:tcPr>
          <w:p w14:paraId="4C38E4C6" w14:textId="77777777" w:rsidR="00EE5BB8" w:rsidRPr="00C6052E" w:rsidRDefault="00EE5BB8" w:rsidP="00114908">
            <w:pPr>
              <w:pStyle w:val="TableCopy"/>
              <w:jc w:val="right"/>
            </w:pPr>
            <w:r w:rsidRPr="00C6052E">
              <w:t>(33,172)</w:t>
            </w:r>
          </w:p>
        </w:tc>
        <w:tc>
          <w:tcPr>
            <w:tcW w:w="1587" w:type="dxa"/>
            <w:noWrap/>
            <w:hideMark/>
          </w:tcPr>
          <w:p w14:paraId="3DAD4BD5" w14:textId="77777777" w:rsidR="00EE5BB8" w:rsidRPr="00C6052E" w:rsidRDefault="00EE5BB8" w:rsidP="00114908">
            <w:pPr>
              <w:pStyle w:val="TableCopy"/>
              <w:jc w:val="right"/>
            </w:pPr>
            <w:r w:rsidRPr="00C6052E">
              <w:t>(33,339)</w:t>
            </w:r>
          </w:p>
        </w:tc>
        <w:tc>
          <w:tcPr>
            <w:tcW w:w="1134" w:type="dxa"/>
            <w:noWrap/>
            <w:hideMark/>
          </w:tcPr>
          <w:p w14:paraId="3C43044B" w14:textId="77777777" w:rsidR="00EE5BB8" w:rsidRPr="00C6052E" w:rsidRDefault="00EE5BB8" w:rsidP="00114908">
            <w:pPr>
              <w:pStyle w:val="TableCopy"/>
              <w:jc w:val="right"/>
            </w:pPr>
            <w:r w:rsidRPr="00C6052E">
              <w:t>150,929</w:t>
            </w:r>
          </w:p>
        </w:tc>
        <w:tc>
          <w:tcPr>
            <w:tcW w:w="1134" w:type="dxa"/>
            <w:noWrap/>
            <w:hideMark/>
          </w:tcPr>
          <w:p w14:paraId="720889E2" w14:textId="77777777" w:rsidR="00EE5BB8" w:rsidRPr="00C6052E" w:rsidRDefault="00EE5BB8" w:rsidP="00114908">
            <w:pPr>
              <w:pStyle w:val="TableCopy"/>
              <w:jc w:val="right"/>
            </w:pPr>
            <w:r w:rsidRPr="00C6052E">
              <w:t>168,634</w:t>
            </w:r>
          </w:p>
        </w:tc>
        <w:tc>
          <w:tcPr>
            <w:tcW w:w="1149" w:type="dxa"/>
            <w:noWrap/>
            <w:hideMark/>
          </w:tcPr>
          <w:p w14:paraId="4C9E9EBC" w14:textId="77777777" w:rsidR="00EE5BB8" w:rsidRPr="00C6052E" w:rsidRDefault="00EE5BB8" w:rsidP="00114908">
            <w:pPr>
              <w:pStyle w:val="TableCopy"/>
              <w:jc w:val="right"/>
            </w:pPr>
            <w:r w:rsidRPr="00C6052E">
              <w:t>(2,159)</w:t>
            </w:r>
          </w:p>
        </w:tc>
        <w:tc>
          <w:tcPr>
            <w:tcW w:w="1150" w:type="dxa"/>
            <w:noWrap/>
            <w:hideMark/>
          </w:tcPr>
          <w:p w14:paraId="7C3C610B" w14:textId="77777777" w:rsidR="00EE5BB8" w:rsidRPr="00C6052E" w:rsidRDefault="00EE5BB8" w:rsidP="00114908">
            <w:pPr>
              <w:pStyle w:val="TableCopy"/>
              <w:jc w:val="right"/>
            </w:pPr>
            <w:r w:rsidRPr="00C6052E">
              <w:t>(2,835)</w:t>
            </w:r>
          </w:p>
        </w:tc>
        <w:tc>
          <w:tcPr>
            <w:tcW w:w="1304" w:type="dxa"/>
            <w:noWrap/>
            <w:hideMark/>
          </w:tcPr>
          <w:p w14:paraId="3363DF87" w14:textId="77777777" w:rsidR="00EE5BB8" w:rsidRPr="00C6052E" w:rsidRDefault="00EE5BB8" w:rsidP="00114908">
            <w:pPr>
              <w:pStyle w:val="TableCopy"/>
              <w:jc w:val="right"/>
            </w:pPr>
            <w:r w:rsidRPr="00C6052E">
              <w:t>782,438</w:t>
            </w:r>
          </w:p>
        </w:tc>
        <w:tc>
          <w:tcPr>
            <w:tcW w:w="1304" w:type="dxa"/>
            <w:noWrap/>
            <w:hideMark/>
          </w:tcPr>
          <w:p w14:paraId="198313B0" w14:textId="77777777" w:rsidR="00EE5BB8" w:rsidRPr="00C6052E" w:rsidRDefault="00EE5BB8" w:rsidP="00114908">
            <w:pPr>
              <w:pStyle w:val="TableCopy"/>
              <w:jc w:val="right"/>
            </w:pPr>
            <w:r w:rsidRPr="00C6052E">
              <w:t>733,118</w:t>
            </w:r>
          </w:p>
        </w:tc>
        <w:tc>
          <w:tcPr>
            <w:tcW w:w="907" w:type="dxa"/>
            <w:noWrap/>
            <w:hideMark/>
          </w:tcPr>
          <w:p w14:paraId="54971204" w14:textId="77777777" w:rsidR="00EE5BB8" w:rsidRPr="00C6052E" w:rsidRDefault="00EE5BB8" w:rsidP="00114908">
            <w:pPr>
              <w:pStyle w:val="TableCopy"/>
              <w:jc w:val="right"/>
            </w:pPr>
            <w:r w:rsidRPr="00C6052E">
              <w:t>79,168</w:t>
            </w:r>
          </w:p>
        </w:tc>
        <w:tc>
          <w:tcPr>
            <w:tcW w:w="907" w:type="dxa"/>
            <w:noWrap/>
            <w:hideMark/>
          </w:tcPr>
          <w:p w14:paraId="429AFD71" w14:textId="77777777" w:rsidR="00EE5BB8" w:rsidRPr="00C6052E" w:rsidRDefault="00EE5BB8" w:rsidP="00114908">
            <w:pPr>
              <w:pStyle w:val="TableCopy"/>
              <w:jc w:val="right"/>
            </w:pPr>
            <w:r w:rsidRPr="00C6052E">
              <w:t>111,678</w:t>
            </w:r>
          </w:p>
        </w:tc>
      </w:tr>
      <w:tr w:rsidR="00EE5BB8" w:rsidRPr="00C6052E" w14:paraId="6D4BE52D" w14:textId="77777777" w:rsidTr="00114908">
        <w:tc>
          <w:tcPr>
            <w:tcW w:w="2551" w:type="dxa"/>
            <w:hideMark/>
          </w:tcPr>
          <w:p w14:paraId="5D079F8A" w14:textId="612F4CF8" w:rsidR="00EE5BB8" w:rsidRPr="00C6052E" w:rsidRDefault="00EE5BB8" w:rsidP="00114908">
            <w:pPr>
              <w:pStyle w:val="TableCopy"/>
            </w:pPr>
            <w:r w:rsidRPr="00C6052E">
              <w:t>Non-financial</w:t>
            </w:r>
            <w:r w:rsidR="00177848" w:rsidRPr="00C6052E">
              <w:t xml:space="preserve"> </w:t>
            </w:r>
            <w:r w:rsidRPr="00C6052E">
              <w:t>assets</w:t>
            </w:r>
          </w:p>
        </w:tc>
        <w:tc>
          <w:tcPr>
            <w:tcW w:w="1587" w:type="dxa"/>
            <w:noWrap/>
            <w:hideMark/>
          </w:tcPr>
          <w:p w14:paraId="08806679" w14:textId="77777777" w:rsidR="00EE5BB8" w:rsidRPr="00C6052E" w:rsidRDefault="00EE5BB8" w:rsidP="00114908">
            <w:pPr>
              <w:pStyle w:val="TableCopy"/>
              <w:jc w:val="right"/>
            </w:pPr>
            <w:r w:rsidRPr="00C6052E">
              <w:t>–</w:t>
            </w:r>
          </w:p>
        </w:tc>
        <w:tc>
          <w:tcPr>
            <w:tcW w:w="1587" w:type="dxa"/>
            <w:noWrap/>
            <w:hideMark/>
          </w:tcPr>
          <w:p w14:paraId="40E7F4AB" w14:textId="77777777" w:rsidR="00EE5BB8" w:rsidRPr="00C6052E" w:rsidRDefault="00EE5BB8" w:rsidP="00114908">
            <w:pPr>
              <w:pStyle w:val="TableCopy"/>
              <w:jc w:val="right"/>
            </w:pPr>
            <w:r w:rsidRPr="00C6052E">
              <w:t>–</w:t>
            </w:r>
          </w:p>
        </w:tc>
        <w:tc>
          <w:tcPr>
            <w:tcW w:w="1134" w:type="dxa"/>
            <w:noWrap/>
            <w:hideMark/>
          </w:tcPr>
          <w:p w14:paraId="1DA20D41" w14:textId="77777777" w:rsidR="00EE5BB8" w:rsidRPr="00C6052E" w:rsidRDefault="00EE5BB8" w:rsidP="00114908">
            <w:pPr>
              <w:pStyle w:val="TableCopy"/>
              <w:jc w:val="right"/>
            </w:pPr>
            <w:r w:rsidRPr="00C6052E">
              <w:t>–</w:t>
            </w:r>
          </w:p>
        </w:tc>
        <w:tc>
          <w:tcPr>
            <w:tcW w:w="1134" w:type="dxa"/>
            <w:noWrap/>
            <w:hideMark/>
          </w:tcPr>
          <w:p w14:paraId="6CE334E0" w14:textId="77777777" w:rsidR="00EE5BB8" w:rsidRPr="00C6052E" w:rsidRDefault="00EE5BB8" w:rsidP="00114908">
            <w:pPr>
              <w:pStyle w:val="TableCopy"/>
              <w:jc w:val="right"/>
            </w:pPr>
            <w:r w:rsidRPr="00C6052E">
              <w:t>–</w:t>
            </w:r>
          </w:p>
        </w:tc>
        <w:tc>
          <w:tcPr>
            <w:tcW w:w="1149" w:type="dxa"/>
            <w:noWrap/>
            <w:hideMark/>
          </w:tcPr>
          <w:p w14:paraId="63707367" w14:textId="77777777" w:rsidR="00EE5BB8" w:rsidRPr="00C6052E" w:rsidRDefault="00EE5BB8" w:rsidP="00114908">
            <w:pPr>
              <w:pStyle w:val="TableCopy"/>
              <w:jc w:val="right"/>
            </w:pPr>
            <w:r w:rsidRPr="00C6052E">
              <w:t>260,339</w:t>
            </w:r>
          </w:p>
        </w:tc>
        <w:tc>
          <w:tcPr>
            <w:tcW w:w="1150" w:type="dxa"/>
            <w:noWrap/>
            <w:hideMark/>
          </w:tcPr>
          <w:p w14:paraId="6C082456" w14:textId="77777777" w:rsidR="00EE5BB8" w:rsidRPr="00C6052E" w:rsidRDefault="00EE5BB8" w:rsidP="00114908">
            <w:pPr>
              <w:pStyle w:val="TableCopy"/>
              <w:jc w:val="right"/>
            </w:pPr>
            <w:r w:rsidRPr="00C6052E">
              <w:t>323,498</w:t>
            </w:r>
          </w:p>
        </w:tc>
        <w:tc>
          <w:tcPr>
            <w:tcW w:w="1304" w:type="dxa"/>
            <w:noWrap/>
            <w:hideMark/>
          </w:tcPr>
          <w:p w14:paraId="0F66E2FE" w14:textId="77777777" w:rsidR="00EE5BB8" w:rsidRPr="00C6052E" w:rsidRDefault="00EE5BB8" w:rsidP="00114908">
            <w:pPr>
              <w:pStyle w:val="TableCopy"/>
              <w:jc w:val="right"/>
            </w:pPr>
            <w:r w:rsidRPr="00C6052E">
              <w:t>80,703</w:t>
            </w:r>
          </w:p>
        </w:tc>
        <w:tc>
          <w:tcPr>
            <w:tcW w:w="1304" w:type="dxa"/>
            <w:noWrap/>
            <w:hideMark/>
          </w:tcPr>
          <w:p w14:paraId="791EE58A" w14:textId="77777777" w:rsidR="00EE5BB8" w:rsidRPr="00C6052E" w:rsidRDefault="00EE5BB8" w:rsidP="00114908">
            <w:pPr>
              <w:pStyle w:val="TableCopy"/>
              <w:jc w:val="right"/>
            </w:pPr>
            <w:r w:rsidRPr="00C6052E">
              <w:t>10,410</w:t>
            </w:r>
          </w:p>
        </w:tc>
        <w:tc>
          <w:tcPr>
            <w:tcW w:w="907" w:type="dxa"/>
            <w:noWrap/>
            <w:hideMark/>
          </w:tcPr>
          <w:p w14:paraId="3158D2F9" w14:textId="77777777" w:rsidR="00EE5BB8" w:rsidRPr="00C6052E" w:rsidRDefault="00EE5BB8" w:rsidP="00114908">
            <w:pPr>
              <w:pStyle w:val="TableCopy"/>
              <w:jc w:val="right"/>
            </w:pPr>
            <w:r w:rsidRPr="00C6052E">
              <w:t>7,239</w:t>
            </w:r>
          </w:p>
        </w:tc>
        <w:tc>
          <w:tcPr>
            <w:tcW w:w="907" w:type="dxa"/>
            <w:noWrap/>
            <w:hideMark/>
          </w:tcPr>
          <w:p w14:paraId="37A26D67" w14:textId="77777777" w:rsidR="00EE5BB8" w:rsidRPr="00C6052E" w:rsidRDefault="00EE5BB8" w:rsidP="00114908">
            <w:pPr>
              <w:pStyle w:val="TableCopy"/>
              <w:jc w:val="right"/>
            </w:pPr>
            <w:r w:rsidRPr="00C6052E">
              <w:t>193,800</w:t>
            </w:r>
          </w:p>
        </w:tc>
      </w:tr>
      <w:tr w:rsidR="00EE5BB8" w:rsidRPr="00C6052E" w14:paraId="39870AB7" w14:textId="77777777" w:rsidTr="00114908">
        <w:tc>
          <w:tcPr>
            <w:tcW w:w="2551" w:type="dxa"/>
            <w:noWrap/>
            <w:hideMark/>
          </w:tcPr>
          <w:p w14:paraId="13A3EA9C" w14:textId="58932866" w:rsidR="00EE5BB8" w:rsidRPr="00C6052E" w:rsidRDefault="00EE5BB8" w:rsidP="00114908">
            <w:pPr>
              <w:pStyle w:val="Tabletotal"/>
            </w:pPr>
            <w:r w:rsidRPr="00C6052E">
              <w:t>Total</w:t>
            </w:r>
            <w:r w:rsidR="00177848" w:rsidRPr="00C6052E">
              <w:t xml:space="preserve"> </w:t>
            </w:r>
            <w:r w:rsidRPr="00C6052E">
              <w:t>assets</w:t>
            </w:r>
          </w:p>
        </w:tc>
        <w:tc>
          <w:tcPr>
            <w:tcW w:w="1587" w:type="dxa"/>
            <w:noWrap/>
            <w:hideMark/>
          </w:tcPr>
          <w:p w14:paraId="126C0E82" w14:textId="77777777" w:rsidR="00EE5BB8" w:rsidRPr="00C6052E" w:rsidRDefault="00EE5BB8" w:rsidP="00114908">
            <w:pPr>
              <w:pStyle w:val="Tabletotal"/>
              <w:jc w:val="right"/>
            </w:pPr>
            <w:r w:rsidRPr="00C6052E">
              <w:t>(33,172)</w:t>
            </w:r>
          </w:p>
        </w:tc>
        <w:tc>
          <w:tcPr>
            <w:tcW w:w="1587" w:type="dxa"/>
            <w:noWrap/>
            <w:hideMark/>
          </w:tcPr>
          <w:p w14:paraId="56754EAB" w14:textId="77777777" w:rsidR="00EE5BB8" w:rsidRPr="00C6052E" w:rsidRDefault="00EE5BB8" w:rsidP="00114908">
            <w:pPr>
              <w:pStyle w:val="Tabletotal"/>
              <w:jc w:val="right"/>
            </w:pPr>
            <w:r w:rsidRPr="00C6052E">
              <w:t>(33,339)</w:t>
            </w:r>
          </w:p>
        </w:tc>
        <w:tc>
          <w:tcPr>
            <w:tcW w:w="1134" w:type="dxa"/>
            <w:noWrap/>
            <w:hideMark/>
          </w:tcPr>
          <w:p w14:paraId="6D57CDDC" w14:textId="77777777" w:rsidR="00EE5BB8" w:rsidRPr="00C6052E" w:rsidRDefault="00EE5BB8" w:rsidP="00114908">
            <w:pPr>
              <w:pStyle w:val="Tabletotal"/>
              <w:jc w:val="right"/>
            </w:pPr>
            <w:r w:rsidRPr="00C6052E">
              <w:t>150,929</w:t>
            </w:r>
          </w:p>
        </w:tc>
        <w:tc>
          <w:tcPr>
            <w:tcW w:w="1134" w:type="dxa"/>
            <w:noWrap/>
            <w:hideMark/>
          </w:tcPr>
          <w:p w14:paraId="5C8165A9" w14:textId="77777777" w:rsidR="00EE5BB8" w:rsidRPr="00C6052E" w:rsidRDefault="00EE5BB8" w:rsidP="00114908">
            <w:pPr>
              <w:pStyle w:val="Tabletotal"/>
              <w:jc w:val="right"/>
            </w:pPr>
            <w:r w:rsidRPr="00C6052E">
              <w:t>168,634</w:t>
            </w:r>
          </w:p>
        </w:tc>
        <w:tc>
          <w:tcPr>
            <w:tcW w:w="1149" w:type="dxa"/>
            <w:noWrap/>
            <w:hideMark/>
          </w:tcPr>
          <w:p w14:paraId="6B25DE3B" w14:textId="77777777" w:rsidR="00EE5BB8" w:rsidRPr="00C6052E" w:rsidRDefault="00EE5BB8" w:rsidP="00114908">
            <w:pPr>
              <w:pStyle w:val="Tabletotal"/>
              <w:jc w:val="right"/>
            </w:pPr>
            <w:r w:rsidRPr="00C6052E">
              <w:t>258,180</w:t>
            </w:r>
          </w:p>
        </w:tc>
        <w:tc>
          <w:tcPr>
            <w:tcW w:w="1150" w:type="dxa"/>
            <w:noWrap/>
            <w:hideMark/>
          </w:tcPr>
          <w:p w14:paraId="26CB7578" w14:textId="77777777" w:rsidR="00EE5BB8" w:rsidRPr="00C6052E" w:rsidRDefault="00EE5BB8" w:rsidP="00114908">
            <w:pPr>
              <w:pStyle w:val="Tabletotal"/>
              <w:jc w:val="right"/>
            </w:pPr>
            <w:r w:rsidRPr="00C6052E">
              <w:t>320,663</w:t>
            </w:r>
          </w:p>
        </w:tc>
        <w:tc>
          <w:tcPr>
            <w:tcW w:w="1304" w:type="dxa"/>
            <w:noWrap/>
            <w:hideMark/>
          </w:tcPr>
          <w:p w14:paraId="66665622" w14:textId="77777777" w:rsidR="00EE5BB8" w:rsidRPr="00C6052E" w:rsidRDefault="00EE5BB8" w:rsidP="00114908">
            <w:pPr>
              <w:pStyle w:val="Tabletotal"/>
              <w:jc w:val="right"/>
            </w:pPr>
            <w:r w:rsidRPr="00C6052E">
              <w:t>863,141</w:t>
            </w:r>
          </w:p>
        </w:tc>
        <w:tc>
          <w:tcPr>
            <w:tcW w:w="1304" w:type="dxa"/>
            <w:noWrap/>
            <w:hideMark/>
          </w:tcPr>
          <w:p w14:paraId="7F033283" w14:textId="77777777" w:rsidR="00EE5BB8" w:rsidRPr="00C6052E" w:rsidRDefault="00EE5BB8" w:rsidP="00114908">
            <w:pPr>
              <w:pStyle w:val="Tabletotal"/>
              <w:jc w:val="right"/>
            </w:pPr>
            <w:r w:rsidRPr="00C6052E">
              <w:t>743,528</w:t>
            </w:r>
          </w:p>
        </w:tc>
        <w:tc>
          <w:tcPr>
            <w:tcW w:w="907" w:type="dxa"/>
            <w:noWrap/>
            <w:hideMark/>
          </w:tcPr>
          <w:p w14:paraId="38B5B577" w14:textId="77777777" w:rsidR="00EE5BB8" w:rsidRPr="00C6052E" w:rsidRDefault="00EE5BB8" w:rsidP="00114908">
            <w:pPr>
              <w:pStyle w:val="Tabletotal"/>
              <w:jc w:val="right"/>
            </w:pPr>
            <w:r w:rsidRPr="00C6052E">
              <w:t>86,407</w:t>
            </w:r>
          </w:p>
        </w:tc>
        <w:tc>
          <w:tcPr>
            <w:tcW w:w="907" w:type="dxa"/>
            <w:noWrap/>
            <w:hideMark/>
          </w:tcPr>
          <w:p w14:paraId="2DFF6309" w14:textId="77777777" w:rsidR="00EE5BB8" w:rsidRPr="00C6052E" w:rsidRDefault="00EE5BB8" w:rsidP="00114908">
            <w:pPr>
              <w:pStyle w:val="Tabletotal"/>
              <w:jc w:val="right"/>
            </w:pPr>
            <w:r w:rsidRPr="00C6052E">
              <w:t>305,478</w:t>
            </w:r>
          </w:p>
        </w:tc>
      </w:tr>
      <w:tr w:rsidR="00EE5BB8" w:rsidRPr="00C6052E" w14:paraId="480766AA" w14:textId="77777777" w:rsidTr="00114908">
        <w:tc>
          <w:tcPr>
            <w:tcW w:w="2551" w:type="dxa"/>
            <w:noWrap/>
            <w:hideMark/>
          </w:tcPr>
          <w:p w14:paraId="2DE3A930" w14:textId="287D70C3" w:rsidR="00EE5BB8" w:rsidRPr="00C6052E" w:rsidRDefault="00EE5BB8" w:rsidP="00114908">
            <w:pPr>
              <w:pStyle w:val="Tabletotal"/>
            </w:pPr>
            <w:r w:rsidRPr="00C6052E">
              <w:t>Total</w:t>
            </w:r>
            <w:r w:rsidR="00177848" w:rsidRPr="00C6052E">
              <w:t xml:space="preserve"> </w:t>
            </w:r>
            <w:r w:rsidRPr="00C6052E">
              <w:t>liabilities</w:t>
            </w:r>
          </w:p>
        </w:tc>
        <w:tc>
          <w:tcPr>
            <w:tcW w:w="1587" w:type="dxa"/>
            <w:noWrap/>
            <w:hideMark/>
          </w:tcPr>
          <w:p w14:paraId="11DE73F3" w14:textId="77777777" w:rsidR="00EE5BB8" w:rsidRPr="00C6052E" w:rsidRDefault="00EE5BB8" w:rsidP="00114908">
            <w:pPr>
              <w:pStyle w:val="Tabletotal"/>
              <w:jc w:val="right"/>
            </w:pPr>
            <w:r w:rsidRPr="00C6052E">
              <w:t>14,338</w:t>
            </w:r>
          </w:p>
        </w:tc>
        <w:tc>
          <w:tcPr>
            <w:tcW w:w="1587" w:type="dxa"/>
            <w:noWrap/>
            <w:hideMark/>
          </w:tcPr>
          <w:p w14:paraId="1E12FF21" w14:textId="77777777" w:rsidR="00EE5BB8" w:rsidRPr="00C6052E" w:rsidRDefault="00EE5BB8" w:rsidP="00114908">
            <w:pPr>
              <w:pStyle w:val="Tabletotal"/>
              <w:jc w:val="right"/>
            </w:pPr>
            <w:r w:rsidRPr="00C6052E">
              <w:t>23,075</w:t>
            </w:r>
          </w:p>
        </w:tc>
        <w:tc>
          <w:tcPr>
            <w:tcW w:w="1134" w:type="dxa"/>
            <w:noWrap/>
            <w:hideMark/>
          </w:tcPr>
          <w:p w14:paraId="59D26443" w14:textId="77777777" w:rsidR="00EE5BB8" w:rsidRPr="00C6052E" w:rsidRDefault="00EE5BB8" w:rsidP="00114908">
            <w:pPr>
              <w:pStyle w:val="Tabletotal"/>
              <w:jc w:val="right"/>
            </w:pPr>
            <w:r w:rsidRPr="00C6052E">
              <w:t>(2,482)</w:t>
            </w:r>
          </w:p>
        </w:tc>
        <w:tc>
          <w:tcPr>
            <w:tcW w:w="1134" w:type="dxa"/>
            <w:noWrap/>
            <w:hideMark/>
          </w:tcPr>
          <w:p w14:paraId="775D3EEB" w14:textId="77777777" w:rsidR="00EE5BB8" w:rsidRPr="00C6052E" w:rsidRDefault="00EE5BB8" w:rsidP="00114908">
            <w:pPr>
              <w:pStyle w:val="Tabletotal"/>
              <w:jc w:val="right"/>
            </w:pPr>
            <w:r w:rsidRPr="00C6052E">
              <w:t>(129)</w:t>
            </w:r>
          </w:p>
        </w:tc>
        <w:tc>
          <w:tcPr>
            <w:tcW w:w="1149" w:type="dxa"/>
            <w:noWrap/>
            <w:hideMark/>
          </w:tcPr>
          <w:p w14:paraId="4F43C2BE" w14:textId="77777777" w:rsidR="00EE5BB8" w:rsidRPr="00C6052E" w:rsidRDefault="00EE5BB8" w:rsidP="00114908">
            <w:pPr>
              <w:pStyle w:val="Tabletotal"/>
              <w:jc w:val="right"/>
            </w:pPr>
            <w:r w:rsidRPr="00C6052E">
              <w:t>(1,046)</w:t>
            </w:r>
          </w:p>
        </w:tc>
        <w:tc>
          <w:tcPr>
            <w:tcW w:w="1150" w:type="dxa"/>
            <w:noWrap/>
            <w:hideMark/>
          </w:tcPr>
          <w:p w14:paraId="7592D926" w14:textId="77777777" w:rsidR="00EE5BB8" w:rsidRPr="00C6052E" w:rsidRDefault="00EE5BB8" w:rsidP="00114908">
            <w:pPr>
              <w:pStyle w:val="Tabletotal"/>
              <w:jc w:val="right"/>
            </w:pPr>
            <w:r w:rsidRPr="00C6052E">
              <w:t>4,787</w:t>
            </w:r>
          </w:p>
        </w:tc>
        <w:tc>
          <w:tcPr>
            <w:tcW w:w="1304" w:type="dxa"/>
            <w:noWrap/>
            <w:hideMark/>
          </w:tcPr>
          <w:p w14:paraId="1DA176C0" w14:textId="77777777" w:rsidR="00EE5BB8" w:rsidRPr="00C6052E" w:rsidRDefault="00EE5BB8" w:rsidP="00114908">
            <w:pPr>
              <w:pStyle w:val="Tabletotal"/>
              <w:jc w:val="right"/>
            </w:pPr>
            <w:r w:rsidRPr="00C6052E">
              <w:t>139,871</w:t>
            </w:r>
          </w:p>
        </w:tc>
        <w:tc>
          <w:tcPr>
            <w:tcW w:w="1304" w:type="dxa"/>
            <w:noWrap/>
            <w:hideMark/>
          </w:tcPr>
          <w:p w14:paraId="5655659C" w14:textId="77777777" w:rsidR="00EE5BB8" w:rsidRPr="00C6052E" w:rsidRDefault="00EE5BB8" w:rsidP="00114908">
            <w:pPr>
              <w:pStyle w:val="Tabletotal"/>
              <w:jc w:val="right"/>
            </w:pPr>
            <w:r w:rsidRPr="00C6052E">
              <w:t>128,578</w:t>
            </w:r>
          </w:p>
        </w:tc>
        <w:tc>
          <w:tcPr>
            <w:tcW w:w="907" w:type="dxa"/>
            <w:noWrap/>
            <w:hideMark/>
          </w:tcPr>
          <w:p w14:paraId="252804EA" w14:textId="77777777" w:rsidR="00EE5BB8" w:rsidRPr="00C6052E" w:rsidRDefault="00EE5BB8" w:rsidP="00114908">
            <w:pPr>
              <w:pStyle w:val="Tabletotal"/>
              <w:jc w:val="right"/>
            </w:pPr>
            <w:r w:rsidRPr="00C6052E">
              <w:t>11,453</w:t>
            </w:r>
          </w:p>
        </w:tc>
        <w:tc>
          <w:tcPr>
            <w:tcW w:w="907" w:type="dxa"/>
            <w:noWrap/>
            <w:hideMark/>
          </w:tcPr>
          <w:p w14:paraId="0B51466C" w14:textId="77777777" w:rsidR="00EE5BB8" w:rsidRPr="00C6052E" w:rsidRDefault="00EE5BB8" w:rsidP="00114908">
            <w:pPr>
              <w:pStyle w:val="Tabletotal"/>
              <w:jc w:val="right"/>
            </w:pPr>
            <w:r w:rsidRPr="00C6052E">
              <w:t>38,078</w:t>
            </w:r>
          </w:p>
        </w:tc>
      </w:tr>
      <w:tr w:rsidR="00EE5BB8" w:rsidRPr="00C6052E" w14:paraId="4F3C6C3C" w14:textId="77777777" w:rsidTr="00114908">
        <w:tc>
          <w:tcPr>
            <w:tcW w:w="2551" w:type="dxa"/>
            <w:noWrap/>
            <w:hideMark/>
          </w:tcPr>
          <w:p w14:paraId="49B9CA91" w14:textId="2D8AA76B" w:rsidR="00EE5BB8" w:rsidRPr="00C6052E" w:rsidRDefault="00EE5BB8" w:rsidP="0063097D">
            <w:pPr>
              <w:pStyle w:val="Tabletotal"/>
            </w:pPr>
            <w:r w:rsidRPr="00C6052E">
              <w:t>Net</w:t>
            </w:r>
            <w:r w:rsidR="00177848" w:rsidRPr="00C6052E">
              <w:t xml:space="preserve"> </w:t>
            </w:r>
            <w:r w:rsidRPr="00C6052E">
              <w:t>assets/(liabilities)</w:t>
            </w:r>
          </w:p>
        </w:tc>
        <w:tc>
          <w:tcPr>
            <w:tcW w:w="1587" w:type="dxa"/>
            <w:noWrap/>
            <w:hideMark/>
          </w:tcPr>
          <w:p w14:paraId="779CEC65" w14:textId="77777777" w:rsidR="00EE5BB8" w:rsidRPr="00C6052E" w:rsidRDefault="00EE5BB8" w:rsidP="00857D46">
            <w:pPr>
              <w:pStyle w:val="Tabletotal"/>
              <w:jc w:val="right"/>
            </w:pPr>
            <w:r w:rsidRPr="00C6052E">
              <w:t>(47,510)</w:t>
            </w:r>
          </w:p>
        </w:tc>
        <w:tc>
          <w:tcPr>
            <w:tcW w:w="1587" w:type="dxa"/>
            <w:noWrap/>
            <w:hideMark/>
          </w:tcPr>
          <w:p w14:paraId="5A25E915" w14:textId="77777777" w:rsidR="00EE5BB8" w:rsidRPr="00C6052E" w:rsidRDefault="00EE5BB8" w:rsidP="00857D46">
            <w:pPr>
              <w:pStyle w:val="Tabletotal"/>
              <w:jc w:val="right"/>
            </w:pPr>
            <w:r w:rsidRPr="00C6052E">
              <w:t>(56,414)</w:t>
            </w:r>
          </w:p>
        </w:tc>
        <w:tc>
          <w:tcPr>
            <w:tcW w:w="1134" w:type="dxa"/>
            <w:noWrap/>
            <w:hideMark/>
          </w:tcPr>
          <w:p w14:paraId="7B6BB759" w14:textId="77777777" w:rsidR="00EE5BB8" w:rsidRPr="00C6052E" w:rsidRDefault="00EE5BB8" w:rsidP="00857D46">
            <w:pPr>
              <w:pStyle w:val="Tabletotal"/>
              <w:jc w:val="right"/>
            </w:pPr>
            <w:r w:rsidRPr="00C6052E">
              <w:t>153,411</w:t>
            </w:r>
          </w:p>
        </w:tc>
        <w:tc>
          <w:tcPr>
            <w:tcW w:w="1134" w:type="dxa"/>
            <w:noWrap/>
            <w:hideMark/>
          </w:tcPr>
          <w:p w14:paraId="6E65C0AC" w14:textId="77777777" w:rsidR="00EE5BB8" w:rsidRPr="00C6052E" w:rsidRDefault="00EE5BB8" w:rsidP="00857D46">
            <w:pPr>
              <w:pStyle w:val="Tabletotal"/>
              <w:jc w:val="right"/>
            </w:pPr>
            <w:r w:rsidRPr="00C6052E">
              <w:t>168,763</w:t>
            </w:r>
          </w:p>
        </w:tc>
        <w:tc>
          <w:tcPr>
            <w:tcW w:w="1149" w:type="dxa"/>
            <w:noWrap/>
            <w:hideMark/>
          </w:tcPr>
          <w:p w14:paraId="509D83B0" w14:textId="77777777" w:rsidR="00EE5BB8" w:rsidRPr="00C6052E" w:rsidRDefault="00EE5BB8" w:rsidP="00857D46">
            <w:pPr>
              <w:pStyle w:val="Tabletotal"/>
              <w:jc w:val="right"/>
            </w:pPr>
            <w:r w:rsidRPr="00C6052E">
              <w:t>259,226</w:t>
            </w:r>
          </w:p>
        </w:tc>
        <w:tc>
          <w:tcPr>
            <w:tcW w:w="1150" w:type="dxa"/>
            <w:noWrap/>
            <w:hideMark/>
          </w:tcPr>
          <w:p w14:paraId="45D1E4DB" w14:textId="77777777" w:rsidR="00EE5BB8" w:rsidRPr="00C6052E" w:rsidRDefault="00EE5BB8" w:rsidP="00857D46">
            <w:pPr>
              <w:pStyle w:val="Tabletotal"/>
              <w:jc w:val="right"/>
            </w:pPr>
            <w:r w:rsidRPr="00C6052E">
              <w:t>315,876</w:t>
            </w:r>
          </w:p>
        </w:tc>
        <w:tc>
          <w:tcPr>
            <w:tcW w:w="1304" w:type="dxa"/>
            <w:noWrap/>
            <w:hideMark/>
          </w:tcPr>
          <w:p w14:paraId="2045914F" w14:textId="77777777" w:rsidR="00EE5BB8" w:rsidRPr="00C6052E" w:rsidRDefault="00EE5BB8" w:rsidP="00857D46">
            <w:pPr>
              <w:pStyle w:val="Tabletotal"/>
              <w:jc w:val="right"/>
            </w:pPr>
            <w:r w:rsidRPr="00C6052E">
              <w:t>723,270</w:t>
            </w:r>
          </w:p>
        </w:tc>
        <w:tc>
          <w:tcPr>
            <w:tcW w:w="1304" w:type="dxa"/>
            <w:noWrap/>
            <w:hideMark/>
          </w:tcPr>
          <w:p w14:paraId="27E43ED2" w14:textId="77777777" w:rsidR="00EE5BB8" w:rsidRPr="00C6052E" w:rsidRDefault="00EE5BB8" w:rsidP="00857D46">
            <w:pPr>
              <w:pStyle w:val="Tabletotal"/>
              <w:jc w:val="right"/>
            </w:pPr>
            <w:r w:rsidRPr="00C6052E">
              <w:t>614,950</w:t>
            </w:r>
          </w:p>
        </w:tc>
        <w:tc>
          <w:tcPr>
            <w:tcW w:w="907" w:type="dxa"/>
            <w:noWrap/>
            <w:hideMark/>
          </w:tcPr>
          <w:p w14:paraId="7A4ABDD3" w14:textId="77777777" w:rsidR="00EE5BB8" w:rsidRPr="00C6052E" w:rsidRDefault="00EE5BB8" w:rsidP="00857D46">
            <w:pPr>
              <w:pStyle w:val="Tabletotal"/>
              <w:jc w:val="right"/>
            </w:pPr>
            <w:r w:rsidRPr="00C6052E">
              <w:t>74,954</w:t>
            </w:r>
          </w:p>
        </w:tc>
        <w:tc>
          <w:tcPr>
            <w:tcW w:w="907" w:type="dxa"/>
            <w:noWrap/>
            <w:hideMark/>
          </w:tcPr>
          <w:p w14:paraId="2061490E" w14:textId="77777777" w:rsidR="00EE5BB8" w:rsidRPr="00C6052E" w:rsidRDefault="00EE5BB8" w:rsidP="00857D46">
            <w:pPr>
              <w:pStyle w:val="Tabletotal"/>
              <w:jc w:val="right"/>
            </w:pPr>
            <w:r w:rsidRPr="00C6052E">
              <w:t>267,400</w:t>
            </w:r>
          </w:p>
        </w:tc>
      </w:tr>
    </w:tbl>
    <w:p w14:paraId="5C1124F1" w14:textId="77777777" w:rsidR="00EE5BB8" w:rsidRPr="00C6052E" w:rsidRDefault="00EE5BB8" w:rsidP="00114908"/>
    <w:tbl>
      <w:tblPr>
        <w:tblStyle w:val="TableGrid"/>
        <w:tblW w:w="14656" w:type="dxa"/>
        <w:tblInd w:w="-5" w:type="dxa"/>
        <w:tblLayout w:type="fixed"/>
        <w:tblLook w:val="04E0" w:firstRow="1" w:lastRow="1" w:firstColumn="1" w:lastColumn="0" w:noHBand="0" w:noVBand="1"/>
      </w:tblPr>
      <w:tblGrid>
        <w:gridCol w:w="2977"/>
        <w:gridCol w:w="1459"/>
        <w:gridCol w:w="1460"/>
        <w:gridCol w:w="1460"/>
        <w:gridCol w:w="1460"/>
        <w:gridCol w:w="1460"/>
        <w:gridCol w:w="1460"/>
        <w:gridCol w:w="1460"/>
        <w:gridCol w:w="1460"/>
      </w:tblGrid>
      <w:tr w:rsidR="00EE5BB8" w:rsidRPr="00C6052E" w14:paraId="137FB0BB" w14:textId="77777777" w:rsidTr="00857D46">
        <w:tc>
          <w:tcPr>
            <w:tcW w:w="2977" w:type="dxa"/>
            <w:noWrap/>
            <w:hideMark/>
          </w:tcPr>
          <w:p w14:paraId="6265621C" w14:textId="77777777" w:rsidR="00EE5BB8" w:rsidRPr="00C6052E" w:rsidRDefault="00EE5BB8" w:rsidP="00857D46">
            <w:pPr>
              <w:pStyle w:val="TableColumnHeading"/>
            </w:pPr>
            <w:bookmarkStart w:id="184" w:name="TableColumnHeadings_60"/>
            <w:bookmarkEnd w:id="184"/>
          </w:p>
        </w:tc>
        <w:tc>
          <w:tcPr>
            <w:tcW w:w="1459" w:type="dxa"/>
            <w:hideMark/>
          </w:tcPr>
          <w:p w14:paraId="6671B332" w14:textId="1F1D7C50" w:rsidR="00EE5BB8" w:rsidRPr="00C6052E" w:rsidRDefault="00114908" w:rsidP="00857D46">
            <w:pPr>
              <w:pStyle w:val="TableColumnHeading"/>
              <w:jc w:val="right"/>
            </w:pPr>
            <w:r w:rsidRPr="00C6052E">
              <w:rPr>
                <w:lang w:val="en-AU"/>
              </w:rPr>
              <w:t>Regional Development</w:t>
            </w:r>
            <w:r w:rsidRPr="00C6052E">
              <w:t xml:space="preserve"> </w:t>
            </w:r>
            <w:r w:rsidR="00EE5BB8" w:rsidRPr="00C6052E">
              <w:t>2025</w:t>
            </w:r>
            <w:r>
              <w:t xml:space="preserve"> </w:t>
            </w:r>
            <w:r>
              <w:br/>
            </w:r>
            <w:r w:rsidRPr="00C6052E">
              <w:rPr>
                <w:lang w:val="en-AU"/>
              </w:rPr>
              <w:t>($ thousand)</w:t>
            </w:r>
          </w:p>
        </w:tc>
        <w:tc>
          <w:tcPr>
            <w:tcW w:w="1460" w:type="dxa"/>
            <w:hideMark/>
          </w:tcPr>
          <w:p w14:paraId="32F47C00" w14:textId="4936DC62" w:rsidR="00EE5BB8" w:rsidRPr="00C6052E" w:rsidRDefault="00114908" w:rsidP="00857D46">
            <w:pPr>
              <w:pStyle w:val="TableColumnHeading"/>
              <w:jc w:val="right"/>
            </w:pPr>
            <w:r w:rsidRPr="00C6052E">
              <w:rPr>
                <w:lang w:val="en-AU"/>
              </w:rPr>
              <w:t>Regional Development</w:t>
            </w:r>
            <w:r w:rsidRPr="00C6052E">
              <w:t xml:space="preserve"> </w:t>
            </w:r>
            <w:r w:rsidR="00EE5BB8" w:rsidRPr="00C6052E">
              <w:t>2024</w:t>
            </w:r>
            <w:r>
              <w:t xml:space="preserve"> </w:t>
            </w:r>
            <w:r>
              <w:br/>
            </w:r>
            <w:r w:rsidRPr="00C6052E">
              <w:rPr>
                <w:lang w:val="en-AU"/>
              </w:rPr>
              <w:t>($ thousand)</w:t>
            </w:r>
          </w:p>
        </w:tc>
        <w:tc>
          <w:tcPr>
            <w:tcW w:w="1460" w:type="dxa"/>
            <w:hideMark/>
          </w:tcPr>
          <w:p w14:paraId="6845E8FC" w14:textId="58B174D7" w:rsidR="00EE5BB8" w:rsidRPr="00C6052E" w:rsidRDefault="00114908" w:rsidP="00857D46">
            <w:pPr>
              <w:pStyle w:val="TableColumnHeading"/>
              <w:jc w:val="right"/>
            </w:pPr>
            <w:r w:rsidRPr="00C6052E">
              <w:rPr>
                <w:lang w:val="en-AU"/>
              </w:rPr>
              <w:t>Sport and Recreation</w:t>
            </w:r>
            <w:r w:rsidRPr="00C6052E">
              <w:t xml:space="preserve"> </w:t>
            </w:r>
            <w:r w:rsidR="00EE5BB8" w:rsidRPr="00C6052E">
              <w:t>2025</w:t>
            </w:r>
            <w:r>
              <w:t xml:space="preserve"> </w:t>
            </w:r>
            <w:r>
              <w:br/>
            </w:r>
            <w:r w:rsidRPr="00C6052E">
              <w:rPr>
                <w:lang w:val="en-AU"/>
              </w:rPr>
              <w:t>($ thousand)</w:t>
            </w:r>
          </w:p>
        </w:tc>
        <w:tc>
          <w:tcPr>
            <w:tcW w:w="1460" w:type="dxa"/>
            <w:hideMark/>
          </w:tcPr>
          <w:p w14:paraId="5D07F558" w14:textId="2ADC42C2" w:rsidR="00EE5BB8" w:rsidRPr="00C6052E" w:rsidRDefault="00114908" w:rsidP="00857D46">
            <w:pPr>
              <w:pStyle w:val="TableColumnHeading"/>
              <w:jc w:val="right"/>
            </w:pPr>
            <w:r w:rsidRPr="00C6052E">
              <w:rPr>
                <w:lang w:val="en-AU"/>
              </w:rPr>
              <w:t>Sport and Recreation</w:t>
            </w:r>
            <w:r w:rsidRPr="00C6052E">
              <w:t xml:space="preserve"> </w:t>
            </w:r>
            <w:r w:rsidR="00EE5BB8" w:rsidRPr="00C6052E">
              <w:t>2024</w:t>
            </w:r>
            <w:r>
              <w:t xml:space="preserve"> </w:t>
            </w:r>
            <w:r>
              <w:br/>
            </w:r>
            <w:r w:rsidRPr="00C6052E">
              <w:rPr>
                <w:lang w:val="en-AU"/>
              </w:rPr>
              <w:t>($ thousand)</w:t>
            </w:r>
          </w:p>
        </w:tc>
        <w:tc>
          <w:tcPr>
            <w:tcW w:w="1460" w:type="dxa"/>
            <w:hideMark/>
          </w:tcPr>
          <w:p w14:paraId="155C1D18" w14:textId="5EF9E078" w:rsidR="00EE5BB8" w:rsidRPr="00C6052E" w:rsidRDefault="00114908" w:rsidP="00857D46">
            <w:pPr>
              <w:pStyle w:val="TableColumnHeading"/>
              <w:jc w:val="right"/>
            </w:pPr>
            <w:r w:rsidRPr="00C6052E">
              <w:rPr>
                <w:lang w:val="en-AU"/>
              </w:rPr>
              <w:t xml:space="preserve">Trade and Investment </w:t>
            </w:r>
            <w:r w:rsidR="00EE5BB8" w:rsidRPr="00C6052E">
              <w:t>2025</w:t>
            </w:r>
            <w:r>
              <w:t xml:space="preserve"> </w:t>
            </w:r>
            <w:r>
              <w:br/>
            </w:r>
            <w:r w:rsidRPr="00C6052E">
              <w:rPr>
                <w:lang w:val="en-AU"/>
              </w:rPr>
              <w:t>($ thousand)</w:t>
            </w:r>
          </w:p>
        </w:tc>
        <w:tc>
          <w:tcPr>
            <w:tcW w:w="1460" w:type="dxa"/>
            <w:hideMark/>
          </w:tcPr>
          <w:p w14:paraId="09D4D952" w14:textId="33254D30" w:rsidR="00EE5BB8" w:rsidRPr="00C6052E" w:rsidRDefault="00114908" w:rsidP="00857D46">
            <w:pPr>
              <w:pStyle w:val="TableColumnHeading"/>
              <w:jc w:val="right"/>
            </w:pPr>
            <w:r w:rsidRPr="00C6052E">
              <w:rPr>
                <w:lang w:val="en-AU"/>
              </w:rPr>
              <w:t xml:space="preserve">Trade and Investment </w:t>
            </w:r>
            <w:r w:rsidR="00EE5BB8" w:rsidRPr="00C6052E">
              <w:t>2024</w:t>
            </w:r>
            <w:r>
              <w:t xml:space="preserve"> </w:t>
            </w:r>
            <w:r>
              <w:br/>
            </w:r>
            <w:r w:rsidRPr="00C6052E">
              <w:rPr>
                <w:lang w:val="en-AU"/>
              </w:rPr>
              <w:t>($ thousand)</w:t>
            </w:r>
          </w:p>
        </w:tc>
        <w:tc>
          <w:tcPr>
            <w:tcW w:w="1460" w:type="dxa"/>
            <w:hideMark/>
          </w:tcPr>
          <w:p w14:paraId="45A1C9B9" w14:textId="390EEC00" w:rsidR="00EE5BB8" w:rsidRPr="00C6052E" w:rsidRDefault="00114908" w:rsidP="00857D46">
            <w:pPr>
              <w:pStyle w:val="TableColumnHeading"/>
              <w:jc w:val="right"/>
            </w:pPr>
            <w:r w:rsidRPr="00C6052E">
              <w:rPr>
                <w:lang w:val="en-AU"/>
              </w:rPr>
              <w:t>Tourism and Major Events</w:t>
            </w:r>
            <w:r w:rsidRPr="00C6052E">
              <w:t xml:space="preserve"> </w:t>
            </w:r>
            <w:r w:rsidR="00EE5BB8" w:rsidRPr="00C6052E">
              <w:t>2025</w:t>
            </w:r>
            <w:r>
              <w:t xml:space="preserve"> </w:t>
            </w:r>
            <w:r>
              <w:br/>
            </w:r>
            <w:r w:rsidRPr="00C6052E">
              <w:rPr>
                <w:lang w:val="en-AU"/>
              </w:rPr>
              <w:t>($ thousand)</w:t>
            </w:r>
          </w:p>
        </w:tc>
        <w:tc>
          <w:tcPr>
            <w:tcW w:w="1460" w:type="dxa"/>
            <w:hideMark/>
          </w:tcPr>
          <w:p w14:paraId="6AC49B1E" w14:textId="0C80935F" w:rsidR="00EE5BB8" w:rsidRPr="00C6052E" w:rsidRDefault="00114908" w:rsidP="00857D46">
            <w:pPr>
              <w:pStyle w:val="TableColumnHeading"/>
              <w:jc w:val="right"/>
            </w:pPr>
            <w:r w:rsidRPr="00C6052E">
              <w:rPr>
                <w:lang w:val="en-AU"/>
              </w:rPr>
              <w:t>Tourism and Major Events</w:t>
            </w:r>
            <w:r w:rsidRPr="00C6052E">
              <w:t xml:space="preserve"> </w:t>
            </w:r>
            <w:r w:rsidR="00EE5BB8" w:rsidRPr="00C6052E">
              <w:t>2024</w:t>
            </w:r>
            <w:r>
              <w:t xml:space="preserve"> </w:t>
            </w:r>
            <w:r>
              <w:br/>
            </w:r>
            <w:r w:rsidRPr="00C6052E">
              <w:rPr>
                <w:lang w:val="en-AU"/>
              </w:rPr>
              <w:t>($ thousand)</w:t>
            </w:r>
          </w:p>
        </w:tc>
      </w:tr>
      <w:tr w:rsidR="00857D46" w:rsidRPr="00C6052E" w14:paraId="1B0ED91F" w14:textId="77777777" w:rsidTr="005F5EBC">
        <w:tc>
          <w:tcPr>
            <w:tcW w:w="2977" w:type="dxa"/>
          </w:tcPr>
          <w:p w14:paraId="1A415C5E" w14:textId="4EC527BD" w:rsidR="00857D46" w:rsidRPr="00C6052E" w:rsidRDefault="00857D46" w:rsidP="00857D46">
            <w:pPr>
              <w:pStyle w:val="TableHeading"/>
            </w:pPr>
            <w:r w:rsidRPr="00C6052E">
              <w:t>Assets</w:t>
            </w:r>
          </w:p>
        </w:tc>
        <w:tc>
          <w:tcPr>
            <w:tcW w:w="1459" w:type="dxa"/>
            <w:noWrap/>
          </w:tcPr>
          <w:p w14:paraId="588132A0" w14:textId="77777777" w:rsidR="00857D46" w:rsidRPr="00C6052E" w:rsidRDefault="00857D46" w:rsidP="00857D46">
            <w:pPr>
              <w:pStyle w:val="TableHeading"/>
              <w:jc w:val="right"/>
            </w:pPr>
          </w:p>
        </w:tc>
        <w:tc>
          <w:tcPr>
            <w:tcW w:w="1460" w:type="dxa"/>
            <w:noWrap/>
          </w:tcPr>
          <w:p w14:paraId="6F8011F8" w14:textId="77777777" w:rsidR="00857D46" w:rsidRPr="00C6052E" w:rsidRDefault="00857D46" w:rsidP="00857D46">
            <w:pPr>
              <w:pStyle w:val="TableHeading"/>
              <w:jc w:val="right"/>
            </w:pPr>
          </w:p>
        </w:tc>
        <w:tc>
          <w:tcPr>
            <w:tcW w:w="1460" w:type="dxa"/>
            <w:noWrap/>
          </w:tcPr>
          <w:p w14:paraId="1F3E3BE0" w14:textId="77777777" w:rsidR="00857D46" w:rsidRPr="00C6052E" w:rsidRDefault="00857D46" w:rsidP="00857D46">
            <w:pPr>
              <w:pStyle w:val="TableHeading"/>
              <w:jc w:val="right"/>
            </w:pPr>
          </w:p>
        </w:tc>
        <w:tc>
          <w:tcPr>
            <w:tcW w:w="1460" w:type="dxa"/>
            <w:noWrap/>
          </w:tcPr>
          <w:p w14:paraId="318BBFB1" w14:textId="77777777" w:rsidR="00857D46" w:rsidRPr="00C6052E" w:rsidRDefault="00857D46" w:rsidP="00857D46">
            <w:pPr>
              <w:pStyle w:val="TableHeading"/>
              <w:jc w:val="right"/>
            </w:pPr>
          </w:p>
        </w:tc>
        <w:tc>
          <w:tcPr>
            <w:tcW w:w="1460" w:type="dxa"/>
            <w:noWrap/>
          </w:tcPr>
          <w:p w14:paraId="5945AF6F" w14:textId="77777777" w:rsidR="00857D46" w:rsidRPr="00C6052E" w:rsidRDefault="00857D46" w:rsidP="00857D46">
            <w:pPr>
              <w:pStyle w:val="TableHeading"/>
              <w:jc w:val="right"/>
            </w:pPr>
          </w:p>
        </w:tc>
        <w:tc>
          <w:tcPr>
            <w:tcW w:w="1460" w:type="dxa"/>
            <w:noWrap/>
          </w:tcPr>
          <w:p w14:paraId="61680FC3" w14:textId="77777777" w:rsidR="00857D46" w:rsidRPr="00C6052E" w:rsidRDefault="00857D46" w:rsidP="00857D46">
            <w:pPr>
              <w:pStyle w:val="TableHeading"/>
              <w:jc w:val="right"/>
            </w:pPr>
          </w:p>
        </w:tc>
        <w:tc>
          <w:tcPr>
            <w:tcW w:w="1460" w:type="dxa"/>
            <w:noWrap/>
          </w:tcPr>
          <w:p w14:paraId="70318EE4" w14:textId="77777777" w:rsidR="00857D46" w:rsidRPr="00C6052E" w:rsidRDefault="00857D46" w:rsidP="00857D46">
            <w:pPr>
              <w:pStyle w:val="TableHeading"/>
              <w:jc w:val="right"/>
            </w:pPr>
          </w:p>
        </w:tc>
        <w:tc>
          <w:tcPr>
            <w:tcW w:w="1460" w:type="dxa"/>
            <w:noWrap/>
          </w:tcPr>
          <w:p w14:paraId="3843C5FA" w14:textId="77777777" w:rsidR="00857D46" w:rsidRPr="00C6052E" w:rsidRDefault="00857D46" w:rsidP="00857D46">
            <w:pPr>
              <w:pStyle w:val="TableHeading"/>
              <w:jc w:val="right"/>
            </w:pPr>
          </w:p>
        </w:tc>
      </w:tr>
      <w:tr w:rsidR="00EE5BB8" w:rsidRPr="00C6052E" w14:paraId="698D6A3E" w14:textId="77777777" w:rsidTr="00857D46">
        <w:tc>
          <w:tcPr>
            <w:tcW w:w="2977" w:type="dxa"/>
            <w:hideMark/>
          </w:tcPr>
          <w:p w14:paraId="098A2C85" w14:textId="5AD6F246" w:rsidR="00EE5BB8" w:rsidRPr="00C6052E" w:rsidRDefault="00EE5BB8" w:rsidP="00114908">
            <w:pPr>
              <w:pStyle w:val="TableCopy"/>
              <w:keepNext/>
            </w:pPr>
            <w:r w:rsidRPr="00C6052E">
              <w:t>Financial</w:t>
            </w:r>
            <w:r w:rsidR="00177848" w:rsidRPr="00C6052E">
              <w:t xml:space="preserve"> </w:t>
            </w:r>
            <w:r w:rsidRPr="00C6052E">
              <w:t>assets</w:t>
            </w:r>
          </w:p>
        </w:tc>
        <w:tc>
          <w:tcPr>
            <w:tcW w:w="1459" w:type="dxa"/>
            <w:noWrap/>
            <w:hideMark/>
          </w:tcPr>
          <w:p w14:paraId="14DA8F8F" w14:textId="77777777" w:rsidR="00EE5BB8" w:rsidRPr="00C6052E" w:rsidRDefault="00EE5BB8" w:rsidP="00114908">
            <w:pPr>
              <w:pStyle w:val="TableCopy"/>
              <w:keepNext/>
              <w:jc w:val="right"/>
            </w:pPr>
            <w:r w:rsidRPr="00C6052E">
              <w:t>88,725</w:t>
            </w:r>
          </w:p>
        </w:tc>
        <w:tc>
          <w:tcPr>
            <w:tcW w:w="1460" w:type="dxa"/>
            <w:noWrap/>
            <w:hideMark/>
          </w:tcPr>
          <w:p w14:paraId="1FC21EFE" w14:textId="77777777" w:rsidR="00EE5BB8" w:rsidRPr="00C6052E" w:rsidRDefault="00EE5BB8" w:rsidP="00114908">
            <w:pPr>
              <w:pStyle w:val="TableCopy"/>
              <w:keepNext/>
              <w:jc w:val="right"/>
            </w:pPr>
            <w:r w:rsidRPr="00C6052E">
              <w:t>95,986</w:t>
            </w:r>
          </w:p>
        </w:tc>
        <w:tc>
          <w:tcPr>
            <w:tcW w:w="1460" w:type="dxa"/>
            <w:noWrap/>
            <w:hideMark/>
          </w:tcPr>
          <w:p w14:paraId="752BB908" w14:textId="77777777" w:rsidR="00EE5BB8" w:rsidRPr="00C6052E" w:rsidRDefault="00EE5BB8" w:rsidP="00114908">
            <w:pPr>
              <w:pStyle w:val="TableCopy"/>
              <w:keepNext/>
              <w:jc w:val="right"/>
            </w:pPr>
            <w:r w:rsidRPr="00C6052E">
              <w:t>17,982</w:t>
            </w:r>
          </w:p>
        </w:tc>
        <w:tc>
          <w:tcPr>
            <w:tcW w:w="1460" w:type="dxa"/>
            <w:noWrap/>
            <w:hideMark/>
          </w:tcPr>
          <w:p w14:paraId="2966620B" w14:textId="77777777" w:rsidR="00EE5BB8" w:rsidRPr="00C6052E" w:rsidRDefault="00EE5BB8" w:rsidP="00114908">
            <w:pPr>
              <w:pStyle w:val="TableCopy"/>
              <w:keepNext/>
              <w:jc w:val="right"/>
            </w:pPr>
            <w:r w:rsidRPr="00C6052E">
              <w:t>80,771</w:t>
            </w:r>
          </w:p>
        </w:tc>
        <w:tc>
          <w:tcPr>
            <w:tcW w:w="1460" w:type="dxa"/>
            <w:noWrap/>
            <w:hideMark/>
          </w:tcPr>
          <w:p w14:paraId="57CBF678" w14:textId="77777777" w:rsidR="00EE5BB8" w:rsidRPr="00C6052E" w:rsidRDefault="00EE5BB8" w:rsidP="00114908">
            <w:pPr>
              <w:pStyle w:val="TableCopy"/>
              <w:keepNext/>
              <w:jc w:val="right"/>
            </w:pPr>
            <w:r w:rsidRPr="00C6052E">
              <w:t>433,426</w:t>
            </w:r>
          </w:p>
        </w:tc>
        <w:tc>
          <w:tcPr>
            <w:tcW w:w="1460" w:type="dxa"/>
            <w:noWrap/>
            <w:hideMark/>
          </w:tcPr>
          <w:p w14:paraId="46BB3575" w14:textId="77777777" w:rsidR="00EE5BB8" w:rsidRPr="00C6052E" w:rsidRDefault="00EE5BB8" w:rsidP="00114908">
            <w:pPr>
              <w:pStyle w:val="TableCopy"/>
              <w:keepNext/>
              <w:jc w:val="right"/>
            </w:pPr>
            <w:r w:rsidRPr="00C6052E">
              <w:t>309,202</w:t>
            </w:r>
          </w:p>
        </w:tc>
        <w:tc>
          <w:tcPr>
            <w:tcW w:w="1460" w:type="dxa"/>
            <w:noWrap/>
            <w:hideMark/>
          </w:tcPr>
          <w:p w14:paraId="16FE9782" w14:textId="77777777" w:rsidR="00EE5BB8" w:rsidRPr="00C6052E" w:rsidRDefault="00EE5BB8" w:rsidP="00114908">
            <w:pPr>
              <w:pStyle w:val="TableCopy"/>
              <w:keepNext/>
              <w:jc w:val="right"/>
            </w:pPr>
            <w:r w:rsidRPr="00C6052E">
              <w:t>(174,964)</w:t>
            </w:r>
          </w:p>
        </w:tc>
        <w:tc>
          <w:tcPr>
            <w:tcW w:w="1460" w:type="dxa"/>
            <w:noWrap/>
            <w:hideMark/>
          </w:tcPr>
          <w:p w14:paraId="40070D13" w14:textId="77777777" w:rsidR="00EE5BB8" w:rsidRPr="00C6052E" w:rsidRDefault="00EE5BB8" w:rsidP="00114908">
            <w:pPr>
              <w:pStyle w:val="TableCopy"/>
              <w:keepNext/>
              <w:jc w:val="right"/>
            </w:pPr>
            <w:r w:rsidRPr="00C6052E">
              <w:t>(121,673)</w:t>
            </w:r>
          </w:p>
        </w:tc>
      </w:tr>
      <w:tr w:rsidR="00EE5BB8" w:rsidRPr="00C6052E" w14:paraId="6AC68EA4" w14:textId="77777777" w:rsidTr="00857D46">
        <w:tc>
          <w:tcPr>
            <w:tcW w:w="2977" w:type="dxa"/>
            <w:hideMark/>
          </w:tcPr>
          <w:p w14:paraId="7131AC47" w14:textId="7CA751B0" w:rsidR="00EE5BB8" w:rsidRPr="00C6052E" w:rsidRDefault="00EE5BB8" w:rsidP="00114908">
            <w:pPr>
              <w:pStyle w:val="TableCopy"/>
              <w:keepNext/>
            </w:pPr>
            <w:r w:rsidRPr="00C6052E">
              <w:t>Non-financial</w:t>
            </w:r>
            <w:r w:rsidR="00177848" w:rsidRPr="00C6052E">
              <w:t xml:space="preserve"> </w:t>
            </w:r>
            <w:r w:rsidRPr="00C6052E">
              <w:t>assets</w:t>
            </w:r>
          </w:p>
        </w:tc>
        <w:tc>
          <w:tcPr>
            <w:tcW w:w="1459" w:type="dxa"/>
            <w:noWrap/>
            <w:hideMark/>
          </w:tcPr>
          <w:p w14:paraId="19AB253E" w14:textId="77777777" w:rsidR="00EE5BB8" w:rsidRPr="00C6052E" w:rsidRDefault="00EE5BB8" w:rsidP="00114908">
            <w:pPr>
              <w:pStyle w:val="TableCopy"/>
              <w:keepNext/>
              <w:jc w:val="right"/>
            </w:pPr>
            <w:r w:rsidRPr="00C6052E">
              <w:t>1,626</w:t>
            </w:r>
          </w:p>
        </w:tc>
        <w:tc>
          <w:tcPr>
            <w:tcW w:w="1460" w:type="dxa"/>
            <w:noWrap/>
            <w:hideMark/>
          </w:tcPr>
          <w:p w14:paraId="55C08254" w14:textId="77777777" w:rsidR="00EE5BB8" w:rsidRPr="00C6052E" w:rsidRDefault="00EE5BB8" w:rsidP="00114908">
            <w:pPr>
              <w:pStyle w:val="TableCopy"/>
              <w:keepNext/>
              <w:jc w:val="right"/>
            </w:pPr>
            <w:r w:rsidRPr="00C6052E">
              <w:t>1,144</w:t>
            </w:r>
          </w:p>
        </w:tc>
        <w:tc>
          <w:tcPr>
            <w:tcW w:w="1460" w:type="dxa"/>
            <w:noWrap/>
            <w:hideMark/>
          </w:tcPr>
          <w:p w14:paraId="5554C34E" w14:textId="77777777" w:rsidR="00EE5BB8" w:rsidRPr="00C6052E" w:rsidRDefault="00EE5BB8" w:rsidP="00114908">
            <w:pPr>
              <w:pStyle w:val="TableCopy"/>
              <w:keepNext/>
              <w:jc w:val="right"/>
            </w:pPr>
            <w:r w:rsidRPr="00C6052E">
              <w:t>37,673</w:t>
            </w:r>
          </w:p>
        </w:tc>
        <w:tc>
          <w:tcPr>
            <w:tcW w:w="1460" w:type="dxa"/>
            <w:noWrap/>
            <w:hideMark/>
          </w:tcPr>
          <w:p w14:paraId="2FD56BAB" w14:textId="77777777" w:rsidR="00EE5BB8" w:rsidRPr="00C6052E" w:rsidRDefault="00EE5BB8" w:rsidP="00114908">
            <w:pPr>
              <w:pStyle w:val="TableCopy"/>
              <w:keepNext/>
              <w:jc w:val="right"/>
            </w:pPr>
            <w:r w:rsidRPr="00C6052E">
              <w:t>38,059</w:t>
            </w:r>
          </w:p>
        </w:tc>
        <w:tc>
          <w:tcPr>
            <w:tcW w:w="1460" w:type="dxa"/>
            <w:noWrap/>
            <w:hideMark/>
          </w:tcPr>
          <w:p w14:paraId="29903AEA" w14:textId="77777777" w:rsidR="00EE5BB8" w:rsidRPr="00C6052E" w:rsidRDefault="00EE5BB8" w:rsidP="00114908">
            <w:pPr>
              <w:pStyle w:val="TableCopy"/>
              <w:keepNext/>
              <w:jc w:val="right"/>
            </w:pPr>
            <w:r w:rsidRPr="00C6052E">
              <w:t>(4,801)</w:t>
            </w:r>
          </w:p>
        </w:tc>
        <w:tc>
          <w:tcPr>
            <w:tcW w:w="1460" w:type="dxa"/>
            <w:noWrap/>
            <w:hideMark/>
          </w:tcPr>
          <w:p w14:paraId="1D30FAE7" w14:textId="77777777" w:rsidR="00EE5BB8" w:rsidRPr="00C6052E" w:rsidRDefault="00EE5BB8" w:rsidP="00114908">
            <w:pPr>
              <w:pStyle w:val="TableCopy"/>
              <w:keepNext/>
              <w:jc w:val="right"/>
            </w:pPr>
            <w:r w:rsidRPr="00C6052E">
              <w:t>4,052</w:t>
            </w:r>
          </w:p>
        </w:tc>
        <w:tc>
          <w:tcPr>
            <w:tcW w:w="1460" w:type="dxa"/>
            <w:noWrap/>
            <w:hideMark/>
          </w:tcPr>
          <w:p w14:paraId="7B1625DD" w14:textId="77777777" w:rsidR="00EE5BB8" w:rsidRPr="00C6052E" w:rsidRDefault="00EE5BB8" w:rsidP="00114908">
            <w:pPr>
              <w:pStyle w:val="TableCopy"/>
              <w:keepNext/>
              <w:jc w:val="right"/>
            </w:pPr>
            <w:r w:rsidRPr="00C6052E">
              <w:t>385</w:t>
            </w:r>
          </w:p>
        </w:tc>
        <w:tc>
          <w:tcPr>
            <w:tcW w:w="1460" w:type="dxa"/>
            <w:noWrap/>
            <w:hideMark/>
          </w:tcPr>
          <w:p w14:paraId="1BB78719" w14:textId="77777777" w:rsidR="00EE5BB8" w:rsidRPr="00C6052E" w:rsidRDefault="00EE5BB8" w:rsidP="00114908">
            <w:pPr>
              <w:pStyle w:val="TableCopy"/>
              <w:keepNext/>
              <w:jc w:val="right"/>
            </w:pPr>
            <w:r w:rsidRPr="00C6052E">
              <w:t>23</w:t>
            </w:r>
          </w:p>
        </w:tc>
      </w:tr>
      <w:tr w:rsidR="00EE5BB8" w:rsidRPr="00C6052E" w14:paraId="719B785A" w14:textId="77777777" w:rsidTr="00857D46">
        <w:tc>
          <w:tcPr>
            <w:tcW w:w="2977" w:type="dxa"/>
            <w:noWrap/>
            <w:hideMark/>
          </w:tcPr>
          <w:p w14:paraId="5E5B0B22" w14:textId="27BD1075" w:rsidR="00EE5BB8" w:rsidRPr="00C6052E" w:rsidRDefault="00EE5BB8" w:rsidP="00114908">
            <w:pPr>
              <w:pStyle w:val="Tabletotal"/>
              <w:keepNext/>
            </w:pPr>
            <w:r w:rsidRPr="00C6052E">
              <w:t>Total</w:t>
            </w:r>
            <w:r w:rsidR="00177848" w:rsidRPr="00C6052E">
              <w:t xml:space="preserve"> </w:t>
            </w:r>
            <w:r w:rsidRPr="00C6052E">
              <w:t>assets</w:t>
            </w:r>
          </w:p>
        </w:tc>
        <w:tc>
          <w:tcPr>
            <w:tcW w:w="1459" w:type="dxa"/>
            <w:noWrap/>
            <w:hideMark/>
          </w:tcPr>
          <w:p w14:paraId="65C7045F" w14:textId="77777777" w:rsidR="00EE5BB8" w:rsidRPr="00C6052E" w:rsidRDefault="00EE5BB8" w:rsidP="00114908">
            <w:pPr>
              <w:pStyle w:val="Tabletotal"/>
              <w:keepNext/>
              <w:jc w:val="right"/>
            </w:pPr>
            <w:r w:rsidRPr="00C6052E">
              <w:t>90,351</w:t>
            </w:r>
          </w:p>
        </w:tc>
        <w:tc>
          <w:tcPr>
            <w:tcW w:w="1460" w:type="dxa"/>
            <w:noWrap/>
            <w:hideMark/>
          </w:tcPr>
          <w:p w14:paraId="1EFF955E" w14:textId="77777777" w:rsidR="00EE5BB8" w:rsidRPr="00C6052E" w:rsidRDefault="00EE5BB8" w:rsidP="00114908">
            <w:pPr>
              <w:pStyle w:val="Tabletotal"/>
              <w:keepNext/>
              <w:jc w:val="right"/>
            </w:pPr>
            <w:r w:rsidRPr="00C6052E">
              <w:t>97,130</w:t>
            </w:r>
          </w:p>
        </w:tc>
        <w:tc>
          <w:tcPr>
            <w:tcW w:w="1460" w:type="dxa"/>
            <w:noWrap/>
            <w:hideMark/>
          </w:tcPr>
          <w:p w14:paraId="4E11FD5B" w14:textId="77777777" w:rsidR="00EE5BB8" w:rsidRPr="00C6052E" w:rsidRDefault="00EE5BB8" w:rsidP="00114908">
            <w:pPr>
              <w:pStyle w:val="Tabletotal"/>
              <w:keepNext/>
              <w:jc w:val="right"/>
            </w:pPr>
            <w:r w:rsidRPr="00C6052E">
              <w:t>55,655</w:t>
            </w:r>
          </w:p>
        </w:tc>
        <w:tc>
          <w:tcPr>
            <w:tcW w:w="1460" w:type="dxa"/>
            <w:noWrap/>
            <w:hideMark/>
          </w:tcPr>
          <w:p w14:paraId="23316D78" w14:textId="77777777" w:rsidR="00EE5BB8" w:rsidRPr="00C6052E" w:rsidRDefault="00EE5BB8" w:rsidP="00114908">
            <w:pPr>
              <w:pStyle w:val="Tabletotal"/>
              <w:keepNext/>
              <w:jc w:val="right"/>
            </w:pPr>
            <w:r w:rsidRPr="00C6052E">
              <w:t>118,830</w:t>
            </w:r>
          </w:p>
        </w:tc>
        <w:tc>
          <w:tcPr>
            <w:tcW w:w="1460" w:type="dxa"/>
            <w:noWrap/>
            <w:hideMark/>
          </w:tcPr>
          <w:p w14:paraId="3A414D2A" w14:textId="77777777" w:rsidR="00EE5BB8" w:rsidRPr="00C6052E" w:rsidRDefault="00EE5BB8" w:rsidP="00114908">
            <w:pPr>
              <w:pStyle w:val="Tabletotal"/>
              <w:keepNext/>
              <w:jc w:val="right"/>
            </w:pPr>
            <w:r w:rsidRPr="00C6052E">
              <w:t>428,625</w:t>
            </w:r>
          </w:p>
        </w:tc>
        <w:tc>
          <w:tcPr>
            <w:tcW w:w="1460" w:type="dxa"/>
            <w:noWrap/>
            <w:hideMark/>
          </w:tcPr>
          <w:p w14:paraId="763A236A" w14:textId="77777777" w:rsidR="00EE5BB8" w:rsidRPr="00C6052E" w:rsidRDefault="00EE5BB8" w:rsidP="00114908">
            <w:pPr>
              <w:pStyle w:val="Tabletotal"/>
              <w:keepNext/>
              <w:jc w:val="right"/>
            </w:pPr>
            <w:r w:rsidRPr="00C6052E">
              <w:t>313,254</w:t>
            </w:r>
          </w:p>
        </w:tc>
        <w:tc>
          <w:tcPr>
            <w:tcW w:w="1460" w:type="dxa"/>
            <w:noWrap/>
            <w:hideMark/>
          </w:tcPr>
          <w:p w14:paraId="2F6D8D93" w14:textId="77777777" w:rsidR="00EE5BB8" w:rsidRPr="00C6052E" w:rsidRDefault="00EE5BB8" w:rsidP="00114908">
            <w:pPr>
              <w:pStyle w:val="Tabletotal"/>
              <w:keepNext/>
              <w:jc w:val="right"/>
            </w:pPr>
            <w:r w:rsidRPr="00C6052E">
              <w:t>(174,579)</w:t>
            </w:r>
          </w:p>
        </w:tc>
        <w:tc>
          <w:tcPr>
            <w:tcW w:w="1460" w:type="dxa"/>
            <w:noWrap/>
            <w:hideMark/>
          </w:tcPr>
          <w:p w14:paraId="18DD01D1" w14:textId="77777777" w:rsidR="00EE5BB8" w:rsidRPr="00C6052E" w:rsidRDefault="00EE5BB8" w:rsidP="00114908">
            <w:pPr>
              <w:pStyle w:val="Tabletotal"/>
              <w:keepNext/>
              <w:jc w:val="right"/>
            </w:pPr>
            <w:r w:rsidRPr="00C6052E">
              <w:t>(121,650)</w:t>
            </w:r>
          </w:p>
        </w:tc>
      </w:tr>
      <w:tr w:rsidR="00EE5BB8" w:rsidRPr="00C6052E" w14:paraId="6BC6F557" w14:textId="77777777" w:rsidTr="00857D46">
        <w:tc>
          <w:tcPr>
            <w:tcW w:w="2977" w:type="dxa"/>
            <w:noWrap/>
            <w:hideMark/>
          </w:tcPr>
          <w:p w14:paraId="28564AF8" w14:textId="2C33F6B5" w:rsidR="00EE5BB8" w:rsidRPr="00C6052E" w:rsidRDefault="00EE5BB8" w:rsidP="00114908">
            <w:pPr>
              <w:pStyle w:val="Tabletotal"/>
              <w:keepNext/>
            </w:pPr>
            <w:r w:rsidRPr="00C6052E">
              <w:t>Total</w:t>
            </w:r>
            <w:r w:rsidR="00177848" w:rsidRPr="00C6052E">
              <w:t xml:space="preserve"> </w:t>
            </w:r>
            <w:r w:rsidRPr="00C6052E">
              <w:t>liabilities</w:t>
            </w:r>
          </w:p>
        </w:tc>
        <w:tc>
          <w:tcPr>
            <w:tcW w:w="1459" w:type="dxa"/>
            <w:noWrap/>
            <w:hideMark/>
          </w:tcPr>
          <w:p w14:paraId="1186DEAB" w14:textId="77777777" w:rsidR="00EE5BB8" w:rsidRPr="00C6052E" w:rsidRDefault="00EE5BB8" w:rsidP="00114908">
            <w:pPr>
              <w:pStyle w:val="Tabletotal"/>
              <w:keepNext/>
              <w:jc w:val="right"/>
            </w:pPr>
            <w:r w:rsidRPr="00C6052E">
              <w:t>43,807</w:t>
            </w:r>
          </w:p>
        </w:tc>
        <w:tc>
          <w:tcPr>
            <w:tcW w:w="1460" w:type="dxa"/>
            <w:noWrap/>
            <w:hideMark/>
          </w:tcPr>
          <w:p w14:paraId="7E19000A" w14:textId="77777777" w:rsidR="00EE5BB8" w:rsidRPr="00C6052E" w:rsidRDefault="00EE5BB8" w:rsidP="00114908">
            <w:pPr>
              <w:pStyle w:val="Tabletotal"/>
              <w:keepNext/>
              <w:jc w:val="right"/>
            </w:pPr>
            <w:r w:rsidRPr="00C6052E">
              <w:t>64,684</w:t>
            </w:r>
          </w:p>
        </w:tc>
        <w:tc>
          <w:tcPr>
            <w:tcW w:w="1460" w:type="dxa"/>
            <w:noWrap/>
            <w:hideMark/>
          </w:tcPr>
          <w:p w14:paraId="20236922" w14:textId="77777777" w:rsidR="00EE5BB8" w:rsidRPr="00C6052E" w:rsidRDefault="00EE5BB8" w:rsidP="00114908">
            <w:pPr>
              <w:pStyle w:val="Tabletotal"/>
              <w:keepNext/>
              <w:jc w:val="right"/>
            </w:pPr>
            <w:r w:rsidRPr="00C6052E">
              <w:t>29,034</w:t>
            </w:r>
          </w:p>
        </w:tc>
        <w:tc>
          <w:tcPr>
            <w:tcW w:w="1460" w:type="dxa"/>
            <w:noWrap/>
            <w:hideMark/>
          </w:tcPr>
          <w:p w14:paraId="09850D9A" w14:textId="77777777" w:rsidR="00EE5BB8" w:rsidRPr="00C6052E" w:rsidRDefault="00EE5BB8" w:rsidP="00114908">
            <w:pPr>
              <w:pStyle w:val="Tabletotal"/>
              <w:keepNext/>
              <w:jc w:val="right"/>
            </w:pPr>
            <w:r w:rsidRPr="00C6052E">
              <w:t>51,796</w:t>
            </w:r>
          </w:p>
        </w:tc>
        <w:tc>
          <w:tcPr>
            <w:tcW w:w="1460" w:type="dxa"/>
            <w:noWrap/>
            <w:hideMark/>
          </w:tcPr>
          <w:p w14:paraId="50679507" w14:textId="77777777" w:rsidR="00EE5BB8" w:rsidRPr="00C6052E" w:rsidRDefault="00EE5BB8" w:rsidP="00114908">
            <w:pPr>
              <w:pStyle w:val="Tabletotal"/>
              <w:keepNext/>
              <w:jc w:val="right"/>
            </w:pPr>
            <w:r w:rsidRPr="00C6052E">
              <w:t>19,253</w:t>
            </w:r>
          </w:p>
        </w:tc>
        <w:tc>
          <w:tcPr>
            <w:tcW w:w="1460" w:type="dxa"/>
            <w:noWrap/>
            <w:hideMark/>
          </w:tcPr>
          <w:p w14:paraId="30CCFD58" w14:textId="77777777" w:rsidR="00EE5BB8" w:rsidRPr="00C6052E" w:rsidRDefault="00EE5BB8" w:rsidP="00114908">
            <w:pPr>
              <w:pStyle w:val="Tabletotal"/>
              <w:keepNext/>
              <w:jc w:val="right"/>
            </w:pPr>
            <w:r w:rsidRPr="00C6052E">
              <w:t>20,617</w:t>
            </w:r>
          </w:p>
        </w:tc>
        <w:tc>
          <w:tcPr>
            <w:tcW w:w="1460" w:type="dxa"/>
            <w:noWrap/>
            <w:hideMark/>
          </w:tcPr>
          <w:p w14:paraId="431FDD9A" w14:textId="77777777" w:rsidR="00EE5BB8" w:rsidRPr="00C6052E" w:rsidRDefault="00EE5BB8" w:rsidP="00114908">
            <w:pPr>
              <w:pStyle w:val="Tabletotal"/>
              <w:keepNext/>
              <w:jc w:val="right"/>
            </w:pPr>
            <w:r w:rsidRPr="00C6052E">
              <w:t>22,063</w:t>
            </w:r>
          </w:p>
        </w:tc>
        <w:tc>
          <w:tcPr>
            <w:tcW w:w="1460" w:type="dxa"/>
            <w:noWrap/>
            <w:hideMark/>
          </w:tcPr>
          <w:p w14:paraId="38854579" w14:textId="77777777" w:rsidR="00EE5BB8" w:rsidRPr="00C6052E" w:rsidRDefault="00EE5BB8" w:rsidP="00114908">
            <w:pPr>
              <w:pStyle w:val="Tabletotal"/>
              <w:keepNext/>
              <w:jc w:val="right"/>
            </w:pPr>
            <w:r w:rsidRPr="00C6052E">
              <w:t>44,922</w:t>
            </w:r>
          </w:p>
        </w:tc>
      </w:tr>
      <w:tr w:rsidR="00EE5BB8" w:rsidRPr="00C6052E" w14:paraId="5BA501A2" w14:textId="77777777" w:rsidTr="00857D46">
        <w:tc>
          <w:tcPr>
            <w:tcW w:w="2977" w:type="dxa"/>
            <w:noWrap/>
            <w:hideMark/>
          </w:tcPr>
          <w:p w14:paraId="06E8ABFE" w14:textId="01A7A3CD" w:rsidR="00EE5BB8" w:rsidRPr="00C6052E" w:rsidRDefault="00EE5BB8" w:rsidP="0063097D">
            <w:pPr>
              <w:pStyle w:val="Tabletotal"/>
            </w:pPr>
            <w:r w:rsidRPr="00C6052E">
              <w:t>Net</w:t>
            </w:r>
            <w:r w:rsidR="00177848" w:rsidRPr="00C6052E">
              <w:t xml:space="preserve"> </w:t>
            </w:r>
            <w:r w:rsidRPr="00C6052E">
              <w:t>assets/(liabilities)</w:t>
            </w:r>
          </w:p>
        </w:tc>
        <w:tc>
          <w:tcPr>
            <w:tcW w:w="1459" w:type="dxa"/>
            <w:noWrap/>
            <w:hideMark/>
          </w:tcPr>
          <w:p w14:paraId="271AECA4" w14:textId="77777777" w:rsidR="00EE5BB8" w:rsidRPr="00C6052E" w:rsidRDefault="00EE5BB8" w:rsidP="0063097D">
            <w:pPr>
              <w:pStyle w:val="Tabletotal"/>
              <w:jc w:val="right"/>
            </w:pPr>
            <w:r w:rsidRPr="00C6052E">
              <w:t>46,544</w:t>
            </w:r>
          </w:p>
        </w:tc>
        <w:tc>
          <w:tcPr>
            <w:tcW w:w="1460" w:type="dxa"/>
            <w:noWrap/>
            <w:hideMark/>
          </w:tcPr>
          <w:p w14:paraId="4EF5205A" w14:textId="77777777" w:rsidR="00EE5BB8" w:rsidRPr="00C6052E" w:rsidRDefault="00EE5BB8" w:rsidP="0063097D">
            <w:pPr>
              <w:pStyle w:val="Tabletotal"/>
              <w:jc w:val="right"/>
            </w:pPr>
            <w:r w:rsidRPr="00C6052E">
              <w:t>32,446</w:t>
            </w:r>
          </w:p>
        </w:tc>
        <w:tc>
          <w:tcPr>
            <w:tcW w:w="1460" w:type="dxa"/>
            <w:noWrap/>
            <w:hideMark/>
          </w:tcPr>
          <w:p w14:paraId="2CE6EF31" w14:textId="77777777" w:rsidR="00EE5BB8" w:rsidRPr="00C6052E" w:rsidRDefault="00EE5BB8" w:rsidP="0063097D">
            <w:pPr>
              <w:pStyle w:val="Tabletotal"/>
              <w:jc w:val="right"/>
            </w:pPr>
            <w:r w:rsidRPr="00C6052E">
              <w:t>26,621</w:t>
            </w:r>
          </w:p>
        </w:tc>
        <w:tc>
          <w:tcPr>
            <w:tcW w:w="1460" w:type="dxa"/>
            <w:noWrap/>
            <w:hideMark/>
          </w:tcPr>
          <w:p w14:paraId="3273041E" w14:textId="77777777" w:rsidR="00EE5BB8" w:rsidRPr="00C6052E" w:rsidRDefault="00EE5BB8" w:rsidP="0063097D">
            <w:pPr>
              <w:pStyle w:val="Tabletotal"/>
              <w:jc w:val="right"/>
            </w:pPr>
            <w:r w:rsidRPr="00C6052E">
              <w:t>67,034</w:t>
            </w:r>
          </w:p>
        </w:tc>
        <w:tc>
          <w:tcPr>
            <w:tcW w:w="1460" w:type="dxa"/>
            <w:noWrap/>
            <w:hideMark/>
          </w:tcPr>
          <w:p w14:paraId="0171BA29" w14:textId="77777777" w:rsidR="00EE5BB8" w:rsidRPr="00C6052E" w:rsidRDefault="00EE5BB8" w:rsidP="0063097D">
            <w:pPr>
              <w:pStyle w:val="Tabletotal"/>
              <w:jc w:val="right"/>
            </w:pPr>
            <w:r w:rsidRPr="00C6052E">
              <w:t>409,372</w:t>
            </w:r>
          </w:p>
        </w:tc>
        <w:tc>
          <w:tcPr>
            <w:tcW w:w="1460" w:type="dxa"/>
            <w:noWrap/>
            <w:hideMark/>
          </w:tcPr>
          <w:p w14:paraId="02FF6069" w14:textId="77777777" w:rsidR="00EE5BB8" w:rsidRPr="00C6052E" w:rsidRDefault="00EE5BB8" w:rsidP="0063097D">
            <w:pPr>
              <w:pStyle w:val="Tabletotal"/>
              <w:jc w:val="right"/>
            </w:pPr>
            <w:r w:rsidRPr="00C6052E">
              <w:t>292,637</w:t>
            </w:r>
          </w:p>
        </w:tc>
        <w:tc>
          <w:tcPr>
            <w:tcW w:w="1460" w:type="dxa"/>
            <w:noWrap/>
            <w:hideMark/>
          </w:tcPr>
          <w:p w14:paraId="1A224163" w14:textId="77777777" w:rsidR="00EE5BB8" w:rsidRPr="00C6052E" w:rsidRDefault="00EE5BB8" w:rsidP="0063097D">
            <w:pPr>
              <w:pStyle w:val="Tabletotal"/>
              <w:jc w:val="right"/>
            </w:pPr>
            <w:r w:rsidRPr="00C6052E">
              <w:t>(196,642)</w:t>
            </w:r>
          </w:p>
        </w:tc>
        <w:tc>
          <w:tcPr>
            <w:tcW w:w="1460" w:type="dxa"/>
            <w:noWrap/>
            <w:hideMark/>
          </w:tcPr>
          <w:p w14:paraId="2F333C82" w14:textId="77777777" w:rsidR="00EE5BB8" w:rsidRPr="00C6052E" w:rsidRDefault="00EE5BB8" w:rsidP="0063097D">
            <w:pPr>
              <w:pStyle w:val="Tabletotal"/>
              <w:jc w:val="right"/>
            </w:pPr>
            <w:r w:rsidRPr="00C6052E">
              <w:t>(166,572)</w:t>
            </w:r>
          </w:p>
        </w:tc>
      </w:tr>
    </w:tbl>
    <w:p w14:paraId="643C8119" w14:textId="77777777" w:rsidR="00EE5BB8" w:rsidRPr="00C6052E" w:rsidRDefault="00EE5BB8" w:rsidP="00EE5BB8"/>
    <w:tbl>
      <w:tblPr>
        <w:tblStyle w:val="TableGrid"/>
        <w:tblW w:w="14670" w:type="dxa"/>
        <w:tblLayout w:type="fixed"/>
        <w:tblLook w:val="04E0" w:firstRow="1" w:lastRow="1" w:firstColumn="1" w:lastColumn="0" w:noHBand="0" w:noVBand="1"/>
      </w:tblPr>
      <w:tblGrid>
        <w:gridCol w:w="3539"/>
        <w:gridCol w:w="1854"/>
        <w:gridCol w:w="1855"/>
        <w:gridCol w:w="1855"/>
        <w:gridCol w:w="1855"/>
        <w:gridCol w:w="1855"/>
        <w:gridCol w:w="1857"/>
      </w:tblGrid>
      <w:tr w:rsidR="00EE5BB8" w:rsidRPr="00C6052E" w14:paraId="06A56B8C" w14:textId="77777777" w:rsidTr="00857D46">
        <w:tc>
          <w:tcPr>
            <w:tcW w:w="3539" w:type="dxa"/>
            <w:noWrap/>
            <w:hideMark/>
          </w:tcPr>
          <w:p w14:paraId="522D02E9" w14:textId="77777777" w:rsidR="00EE5BB8" w:rsidRPr="00C6052E" w:rsidRDefault="00EE5BB8" w:rsidP="00857D46">
            <w:pPr>
              <w:pStyle w:val="TableColumnHeading"/>
            </w:pPr>
            <w:bookmarkStart w:id="185" w:name="TableColumnHeadings_61"/>
            <w:bookmarkEnd w:id="185"/>
          </w:p>
        </w:tc>
        <w:tc>
          <w:tcPr>
            <w:tcW w:w="1854" w:type="dxa"/>
            <w:hideMark/>
          </w:tcPr>
          <w:p w14:paraId="23D582E8" w14:textId="27D4F522" w:rsidR="00EE5BB8" w:rsidRPr="00C6052E" w:rsidRDefault="00114908" w:rsidP="00857D46">
            <w:pPr>
              <w:pStyle w:val="TableColumnHeading"/>
              <w:jc w:val="right"/>
            </w:pPr>
            <w:r w:rsidRPr="00C6052E">
              <w:rPr>
                <w:lang w:val="en-AU"/>
              </w:rPr>
              <w:t>Fishing, Boating and Game Management</w:t>
            </w:r>
            <w:r w:rsidRPr="00C6052E">
              <w:t xml:space="preserve"> </w:t>
            </w:r>
            <w:r>
              <w:br/>
            </w:r>
            <w:r w:rsidR="00EE5BB8" w:rsidRPr="00C6052E">
              <w:t>2025</w:t>
            </w:r>
            <w:r>
              <w:t xml:space="preserve"> </w:t>
            </w:r>
            <w:r>
              <w:br/>
            </w:r>
            <w:r w:rsidRPr="00C6052E">
              <w:rPr>
                <w:lang w:val="en-AU"/>
              </w:rPr>
              <w:t>($ thousand)</w:t>
            </w:r>
          </w:p>
        </w:tc>
        <w:tc>
          <w:tcPr>
            <w:tcW w:w="1855" w:type="dxa"/>
            <w:hideMark/>
          </w:tcPr>
          <w:p w14:paraId="510BC516" w14:textId="7B595191" w:rsidR="00EE5BB8" w:rsidRPr="00C6052E" w:rsidRDefault="00114908" w:rsidP="00857D46">
            <w:pPr>
              <w:pStyle w:val="TableColumnHeading"/>
              <w:jc w:val="right"/>
            </w:pPr>
            <w:r w:rsidRPr="00C6052E">
              <w:rPr>
                <w:lang w:val="en-AU"/>
              </w:rPr>
              <w:t>Fishing, Boating and Game Management</w:t>
            </w:r>
            <w:r w:rsidRPr="00C6052E">
              <w:t xml:space="preserve"> </w:t>
            </w:r>
            <w:r>
              <w:br/>
            </w:r>
            <w:r w:rsidR="00EE5BB8" w:rsidRPr="00C6052E">
              <w:t>2024</w:t>
            </w:r>
            <w:r>
              <w:br/>
            </w:r>
            <w:r w:rsidRPr="00C6052E">
              <w:rPr>
                <w:lang w:val="en-AU"/>
              </w:rPr>
              <w:t>($ thousand)</w:t>
            </w:r>
          </w:p>
        </w:tc>
        <w:tc>
          <w:tcPr>
            <w:tcW w:w="1855" w:type="dxa"/>
            <w:hideMark/>
          </w:tcPr>
          <w:p w14:paraId="4B94CFC8" w14:textId="3A149FF6" w:rsidR="00EE5BB8" w:rsidRPr="00C6052E" w:rsidRDefault="00114908" w:rsidP="00857D46">
            <w:pPr>
              <w:pStyle w:val="TableColumnHeading"/>
              <w:jc w:val="right"/>
            </w:pPr>
            <w:r w:rsidRPr="00C6052E">
              <w:rPr>
                <w:lang w:val="en-AU"/>
              </w:rPr>
              <w:t>Training, Higher Education and Workforce Development</w:t>
            </w:r>
            <w:r w:rsidRPr="00C6052E">
              <w:t xml:space="preserve"> </w:t>
            </w:r>
            <w:r w:rsidR="00EE5BB8" w:rsidRPr="00C6052E">
              <w:t>2025</w:t>
            </w:r>
            <w:r>
              <w:br/>
            </w:r>
            <w:r w:rsidRPr="00C6052E">
              <w:rPr>
                <w:lang w:val="en-AU"/>
              </w:rPr>
              <w:t>($ thousand)</w:t>
            </w:r>
          </w:p>
        </w:tc>
        <w:tc>
          <w:tcPr>
            <w:tcW w:w="1855" w:type="dxa"/>
            <w:hideMark/>
          </w:tcPr>
          <w:p w14:paraId="26F40FFD" w14:textId="75148112" w:rsidR="00EE5BB8" w:rsidRPr="00C6052E" w:rsidRDefault="00114908" w:rsidP="00857D46">
            <w:pPr>
              <w:pStyle w:val="TableColumnHeading"/>
              <w:jc w:val="right"/>
            </w:pPr>
            <w:r w:rsidRPr="00C6052E">
              <w:rPr>
                <w:lang w:val="en-AU"/>
              </w:rPr>
              <w:t>Training, Higher Education and Workforce Development</w:t>
            </w:r>
            <w:r w:rsidRPr="00C6052E">
              <w:t xml:space="preserve"> </w:t>
            </w:r>
            <w:r w:rsidR="00EE5BB8" w:rsidRPr="00C6052E">
              <w:t>2024</w:t>
            </w:r>
            <w:r>
              <w:br/>
            </w:r>
            <w:r w:rsidRPr="00C6052E">
              <w:rPr>
                <w:lang w:val="en-AU"/>
              </w:rPr>
              <w:t>($ thousand)</w:t>
            </w:r>
          </w:p>
        </w:tc>
        <w:tc>
          <w:tcPr>
            <w:tcW w:w="1855" w:type="dxa"/>
            <w:hideMark/>
          </w:tcPr>
          <w:p w14:paraId="7C1618B3" w14:textId="7C4598A9" w:rsidR="00EE5BB8" w:rsidRPr="00C6052E" w:rsidRDefault="00114908" w:rsidP="00857D46">
            <w:pPr>
              <w:pStyle w:val="TableColumnHeading"/>
              <w:jc w:val="right"/>
            </w:pPr>
            <w:r w:rsidRPr="00C6052E">
              <w:rPr>
                <w:lang w:val="en-AU"/>
              </w:rPr>
              <w:t>DJSIR Consolidated Total</w:t>
            </w:r>
            <w:r w:rsidRPr="00C6052E">
              <w:t xml:space="preserve"> </w:t>
            </w:r>
            <w:r>
              <w:br/>
            </w:r>
            <w:r w:rsidR="00EE5BB8" w:rsidRPr="00C6052E">
              <w:t>2025</w:t>
            </w:r>
            <w:r>
              <w:br/>
            </w:r>
            <w:r w:rsidRPr="00C6052E">
              <w:rPr>
                <w:lang w:val="en-AU"/>
              </w:rPr>
              <w:t>($ thousand)</w:t>
            </w:r>
          </w:p>
        </w:tc>
        <w:tc>
          <w:tcPr>
            <w:tcW w:w="1857" w:type="dxa"/>
            <w:hideMark/>
          </w:tcPr>
          <w:p w14:paraId="76BE8947" w14:textId="5A1BB378" w:rsidR="00EE5BB8" w:rsidRPr="00C6052E" w:rsidRDefault="00114908" w:rsidP="00857D46">
            <w:pPr>
              <w:pStyle w:val="TableColumnHeading"/>
              <w:jc w:val="right"/>
            </w:pPr>
            <w:r w:rsidRPr="00C6052E">
              <w:rPr>
                <w:lang w:val="en-AU"/>
              </w:rPr>
              <w:t>DJSIR Consolidated Total</w:t>
            </w:r>
            <w:r w:rsidRPr="00C6052E">
              <w:t xml:space="preserve"> </w:t>
            </w:r>
            <w:r>
              <w:br/>
            </w:r>
            <w:r w:rsidR="00EE5BB8" w:rsidRPr="00C6052E">
              <w:t>2024</w:t>
            </w:r>
            <w:r>
              <w:br/>
            </w:r>
            <w:r w:rsidRPr="00C6052E">
              <w:rPr>
                <w:lang w:val="en-AU"/>
              </w:rPr>
              <w:t>($ thousand)</w:t>
            </w:r>
          </w:p>
        </w:tc>
      </w:tr>
      <w:tr w:rsidR="00857D46" w:rsidRPr="00C6052E" w14:paraId="39EF2F62" w14:textId="77777777" w:rsidTr="00857D46">
        <w:tc>
          <w:tcPr>
            <w:tcW w:w="3539" w:type="dxa"/>
          </w:tcPr>
          <w:p w14:paraId="18B94990" w14:textId="3EA47E33" w:rsidR="00857D46" w:rsidRPr="00C6052E" w:rsidRDefault="00857D46" w:rsidP="00857D46">
            <w:pPr>
              <w:pStyle w:val="TableHeading"/>
            </w:pPr>
            <w:r w:rsidRPr="00C6052E">
              <w:t>Assets</w:t>
            </w:r>
          </w:p>
        </w:tc>
        <w:tc>
          <w:tcPr>
            <w:tcW w:w="1854" w:type="dxa"/>
            <w:noWrap/>
          </w:tcPr>
          <w:p w14:paraId="1747DFF9" w14:textId="77777777" w:rsidR="00857D46" w:rsidRPr="00C6052E" w:rsidRDefault="00857D46" w:rsidP="00857D46">
            <w:pPr>
              <w:pStyle w:val="TableHeading"/>
              <w:jc w:val="right"/>
            </w:pPr>
          </w:p>
        </w:tc>
        <w:tc>
          <w:tcPr>
            <w:tcW w:w="1855" w:type="dxa"/>
            <w:noWrap/>
          </w:tcPr>
          <w:p w14:paraId="3B6811F3" w14:textId="77777777" w:rsidR="00857D46" w:rsidRPr="00C6052E" w:rsidRDefault="00857D46" w:rsidP="00857D46">
            <w:pPr>
              <w:pStyle w:val="TableHeading"/>
              <w:jc w:val="right"/>
            </w:pPr>
          </w:p>
        </w:tc>
        <w:tc>
          <w:tcPr>
            <w:tcW w:w="1855" w:type="dxa"/>
            <w:noWrap/>
          </w:tcPr>
          <w:p w14:paraId="22855D7D" w14:textId="77777777" w:rsidR="00857D46" w:rsidRPr="00C6052E" w:rsidRDefault="00857D46" w:rsidP="00857D46">
            <w:pPr>
              <w:pStyle w:val="TableHeading"/>
              <w:jc w:val="right"/>
            </w:pPr>
          </w:p>
        </w:tc>
        <w:tc>
          <w:tcPr>
            <w:tcW w:w="1855" w:type="dxa"/>
            <w:noWrap/>
          </w:tcPr>
          <w:p w14:paraId="71603F73" w14:textId="77777777" w:rsidR="00857D46" w:rsidRPr="00C6052E" w:rsidRDefault="00857D46" w:rsidP="00857D46">
            <w:pPr>
              <w:pStyle w:val="TableHeading"/>
              <w:jc w:val="right"/>
            </w:pPr>
          </w:p>
        </w:tc>
        <w:tc>
          <w:tcPr>
            <w:tcW w:w="1855" w:type="dxa"/>
            <w:noWrap/>
          </w:tcPr>
          <w:p w14:paraId="146F2414" w14:textId="77777777" w:rsidR="00857D46" w:rsidRPr="00C6052E" w:rsidRDefault="00857D46" w:rsidP="00857D46">
            <w:pPr>
              <w:pStyle w:val="TableHeading"/>
              <w:jc w:val="right"/>
            </w:pPr>
          </w:p>
        </w:tc>
        <w:tc>
          <w:tcPr>
            <w:tcW w:w="1857" w:type="dxa"/>
            <w:noWrap/>
          </w:tcPr>
          <w:p w14:paraId="06C7CC24" w14:textId="77777777" w:rsidR="00857D46" w:rsidRPr="00C6052E" w:rsidRDefault="00857D46" w:rsidP="00857D46">
            <w:pPr>
              <w:pStyle w:val="TableHeading"/>
              <w:jc w:val="right"/>
            </w:pPr>
          </w:p>
        </w:tc>
      </w:tr>
      <w:tr w:rsidR="00EE5BB8" w:rsidRPr="00C6052E" w14:paraId="123B071D" w14:textId="77777777" w:rsidTr="00857D46">
        <w:tc>
          <w:tcPr>
            <w:tcW w:w="3539" w:type="dxa"/>
            <w:hideMark/>
          </w:tcPr>
          <w:p w14:paraId="0E05915E" w14:textId="42C614D2" w:rsidR="00EE5BB8" w:rsidRPr="00C6052E" w:rsidRDefault="00EE5BB8" w:rsidP="00857D46">
            <w:pPr>
              <w:pStyle w:val="TableCopy"/>
              <w:keepNext/>
            </w:pPr>
            <w:r w:rsidRPr="00C6052E">
              <w:t>Financial</w:t>
            </w:r>
            <w:r w:rsidR="00177848" w:rsidRPr="00C6052E">
              <w:t xml:space="preserve"> </w:t>
            </w:r>
            <w:r w:rsidRPr="00C6052E">
              <w:t>assets</w:t>
            </w:r>
          </w:p>
        </w:tc>
        <w:tc>
          <w:tcPr>
            <w:tcW w:w="1854" w:type="dxa"/>
            <w:noWrap/>
            <w:hideMark/>
          </w:tcPr>
          <w:p w14:paraId="06A68AA2" w14:textId="77777777" w:rsidR="00EE5BB8" w:rsidRPr="00C6052E" w:rsidRDefault="00EE5BB8" w:rsidP="00857D46">
            <w:pPr>
              <w:pStyle w:val="TableCopy"/>
              <w:keepNext/>
              <w:jc w:val="right"/>
            </w:pPr>
            <w:r w:rsidRPr="00C6052E">
              <w:t>129,878</w:t>
            </w:r>
          </w:p>
        </w:tc>
        <w:tc>
          <w:tcPr>
            <w:tcW w:w="1855" w:type="dxa"/>
            <w:noWrap/>
            <w:hideMark/>
          </w:tcPr>
          <w:p w14:paraId="3E212744" w14:textId="77777777" w:rsidR="00EE5BB8" w:rsidRPr="00C6052E" w:rsidRDefault="00EE5BB8" w:rsidP="00857D46">
            <w:pPr>
              <w:pStyle w:val="TableCopy"/>
              <w:keepNext/>
              <w:jc w:val="right"/>
            </w:pPr>
            <w:r w:rsidRPr="00C6052E">
              <w:t>126,593</w:t>
            </w:r>
          </w:p>
        </w:tc>
        <w:tc>
          <w:tcPr>
            <w:tcW w:w="1855" w:type="dxa"/>
            <w:noWrap/>
            <w:hideMark/>
          </w:tcPr>
          <w:p w14:paraId="18EC414F" w14:textId="77777777" w:rsidR="00EE5BB8" w:rsidRPr="00C6052E" w:rsidRDefault="00EE5BB8" w:rsidP="00857D46">
            <w:pPr>
              <w:pStyle w:val="TableCopy"/>
              <w:keepNext/>
              <w:jc w:val="right"/>
            </w:pPr>
            <w:r w:rsidRPr="00C6052E">
              <w:t>(674,407)</w:t>
            </w:r>
          </w:p>
        </w:tc>
        <w:tc>
          <w:tcPr>
            <w:tcW w:w="1855" w:type="dxa"/>
            <w:noWrap/>
            <w:hideMark/>
          </w:tcPr>
          <w:p w14:paraId="3A9232DD" w14:textId="77777777" w:rsidR="00EE5BB8" w:rsidRPr="00C6052E" w:rsidRDefault="00EE5BB8" w:rsidP="00857D46">
            <w:pPr>
              <w:pStyle w:val="TableCopy"/>
              <w:keepNext/>
              <w:jc w:val="right"/>
            </w:pPr>
            <w:r w:rsidRPr="00C6052E">
              <w:t>(413,706)</w:t>
            </w:r>
          </w:p>
        </w:tc>
        <w:tc>
          <w:tcPr>
            <w:tcW w:w="1855" w:type="dxa"/>
            <w:noWrap/>
            <w:hideMark/>
          </w:tcPr>
          <w:p w14:paraId="15B626D9" w14:textId="77777777" w:rsidR="00EE5BB8" w:rsidRPr="00C6052E" w:rsidRDefault="00EE5BB8" w:rsidP="00857D46">
            <w:pPr>
              <w:pStyle w:val="TableCopy"/>
              <w:keepNext/>
              <w:jc w:val="right"/>
            </w:pPr>
            <w:r w:rsidRPr="00C6052E">
              <w:t>797,844</w:t>
            </w:r>
          </w:p>
        </w:tc>
        <w:tc>
          <w:tcPr>
            <w:tcW w:w="1857" w:type="dxa"/>
            <w:noWrap/>
            <w:hideMark/>
          </w:tcPr>
          <w:p w14:paraId="07FD0F27" w14:textId="77777777" w:rsidR="00EE5BB8" w:rsidRPr="00C6052E" w:rsidRDefault="00EE5BB8" w:rsidP="00857D46">
            <w:pPr>
              <w:pStyle w:val="TableCopy"/>
              <w:keepNext/>
              <w:jc w:val="right"/>
            </w:pPr>
            <w:r w:rsidRPr="00C6052E">
              <w:t>1,054,429</w:t>
            </w:r>
          </w:p>
        </w:tc>
      </w:tr>
      <w:tr w:rsidR="00EE5BB8" w:rsidRPr="00C6052E" w14:paraId="002B172A" w14:textId="77777777" w:rsidTr="00857D46">
        <w:tc>
          <w:tcPr>
            <w:tcW w:w="3539" w:type="dxa"/>
            <w:hideMark/>
          </w:tcPr>
          <w:p w14:paraId="7D8CA2FF" w14:textId="22AA384B" w:rsidR="00EE5BB8" w:rsidRPr="00C6052E" w:rsidRDefault="00EE5BB8" w:rsidP="00857D46">
            <w:pPr>
              <w:pStyle w:val="TableCopy"/>
              <w:keepNext/>
            </w:pPr>
            <w:r w:rsidRPr="00C6052E">
              <w:t>Non-financial</w:t>
            </w:r>
            <w:r w:rsidR="00177848" w:rsidRPr="00C6052E">
              <w:t xml:space="preserve"> </w:t>
            </w:r>
            <w:r w:rsidRPr="00C6052E">
              <w:t>assets</w:t>
            </w:r>
          </w:p>
        </w:tc>
        <w:tc>
          <w:tcPr>
            <w:tcW w:w="1854" w:type="dxa"/>
            <w:noWrap/>
            <w:hideMark/>
          </w:tcPr>
          <w:p w14:paraId="17560B13" w14:textId="77777777" w:rsidR="00EE5BB8" w:rsidRPr="00C6052E" w:rsidRDefault="00EE5BB8" w:rsidP="00857D46">
            <w:pPr>
              <w:pStyle w:val="TableCopy"/>
              <w:keepNext/>
              <w:jc w:val="right"/>
            </w:pPr>
            <w:r w:rsidRPr="00C6052E">
              <w:t>63</w:t>
            </w:r>
          </w:p>
        </w:tc>
        <w:tc>
          <w:tcPr>
            <w:tcW w:w="1855" w:type="dxa"/>
            <w:noWrap/>
            <w:hideMark/>
          </w:tcPr>
          <w:p w14:paraId="5AF383E2" w14:textId="77777777" w:rsidR="00EE5BB8" w:rsidRPr="00C6052E" w:rsidRDefault="00EE5BB8" w:rsidP="00857D46">
            <w:pPr>
              <w:pStyle w:val="TableCopy"/>
              <w:keepNext/>
              <w:jc w:val="right"/>
            </w:pPr>
            <w:r w:rsidRPr="00C6052E">
              <w:t>4</w:t>
            </w:r>
          </w:p>
        </w:tc>
        <w:tc>
          <w:tcPr>
            <w:tcW w:w="1855" w:type="dxa"/>
            <w:noWrap/>
            <w:hideMark/>
          </w:tcPr>
          <w:p w14:paraId="4B1766D8" w14:textId="77777777" w:rsidR="00EE5BB8" w:rsidRPr="00C6052E" w:rsidRDefault="00EE5BB8" w:rsidP="00857D46">
            <w:pPr>
              <w:pStyle w:val="TableCopy"/>
              <w:keepNext/>
              <w:jc w:val="right"/>
            </w:pPr>
            <w:r w:rsidRPr="00C6052E">
              <w:t>197,009</w:t>
            </w:r>
          </w:p>
        </w:tc>
        <w:tc>
          <w:tcPr>
            <w:tcW w:w="1855" w:type="dxa"/>
            <w:noWrap/>
            <w:hideMark/>
          </w:tcPr>
          <w:p w14:paraId="5BD13BF7" w14:textId="77777777" w:rsidR="00EE5BB8" w:rsidRPr="00C6052E" w:rsidRDefault="00EE5BB8" w:rsidP="00857D46">
            <w:pPr>
              <w:pStyle w:val="TableCopy"/>
              <w:keepNext/>
              <w:jc w:val="right"/>
            </w:pPr>
            <w:r w:rsidRPr="00C6052E">
              <w:t>–</w:t>
            </w:r>
          </w:p>
        </w:tc>
        <w:tc>
          <w:tcPr>
            <w:tcW w:w="1855" w:type="dxa"/>
            <w:noWrap/>
            <w:hideMark/>
          </w:tcPr>
          <w:p w14:paraId="04F66839" w14:textId="77777777" w:rsidR="00EE5BB8" w:rsidRPr="00C6052E" w:rsidRDefault="00EE5BB8" w:rsidP="00857D46">
            <w:pPr>
              <w:pStyle w:val="TableCopy"/>
              <w:keepNext/>
              <w:jc w:val="right"/>
            </w:pPr>
            <w:r w:rsidRPr="00C6052E">
              <w:t>580,236</w:t>
            </w:r>
          </w:p>
        </w:tc>
        <w:tc>
          <w:tcPr>
            <w:tcW w:w="1857" w:type="dxa"/>
            <w:noWrap/>
            <w:hideMark/>
          </w:tcPr>
          <w:p w14:paraId="7C08FEFC" w14:textId="77777777" w:rsidR="00EE5BB8" w:rsidRPr="00C6052E" w:rsidRDefault="00EE5BB8" w:rsidP="00857D46">
            <w:pPr>
              <w:pStyle w:val="TableCopy"/>
              <w:keepNext/>
              <w:jc w:val="right"/>
            </w:pPr>
            <w:r w:rsidRPr="00C6052E">
              <w:t>570,990</w:t>
            </w:r>
          </w:p>
        </w:tc>
      </w:tr>
      <w:tr w:rsidR="00EE5BB8" w:rsidRPr="00C6052E" w14:paraId="586AC0FC" w14:textId="77777777" w:rsidTr="00857D46">
        <w:tc>
          <w:tcPr>
            <w:tcW w:w="3539" w:type="dxa"/>
            <w:noWrap/>
            <w:hideMark/>
          </w:tcPr>
          <w:p w14:paraId="1024656D" w14:textId="2FFF1EC3" w:rsidR="00EE5BB8" w:rsidRPr="00C6052E" w:rsidRDefault="00EE5BB8" w:rsidP="00857D46">
            <w:pPr>
              <w:pStyle w:val="Tabletotal"/>
              <w:keepNext/>
            </w:pPr>
            <w:r w:rsidRPr="00C6052E">
              <w:t>Total</w:t>
            </w:r>
            <w:r w:rsidR="00177848" w:rsidRPr="00C6052E">
              <w:t xml:space="preserve"> </w:t>
            </w:r>
            <w:r w:rsidRPr="00C6052E">
              <w:t>assets</w:t>
            </w:r>
          </w:p>
        </w:tc>
        <w:tc>
          <w:tcPr>
            <w:tcW w:w="1854" w:type="dxa"/>
            <w:noWrap/>
            <w:hideMark/>
          </w:tcPr>
          <w:p w14:paraId="5F53BECB" w14:textId="77777777" w:rsidR="00EE5BB8" w:rsidRPr="00C6052E" w:rsidRDefault="00EE5BB8" w:rsidP="00857D46">
            <w:pPr>
              <w:pStyle w:val="Tabletotal"/>
              <w:keepNext/>
              <w:jc w:val="right"/>
            </w:pPr>
            <w:r w:rsidRPr="00C6052E">
              <w:t>129,941</w:t>
            </w:r>
          </w:p>
        </w:tc>
        <w:tc>
          <w:tcPr>
            <w:tcW w:w="1855" w:type="dxa"/>
            <w:noWrap/>
            <w:hideMark/>
          </w:tcPr>
          <w:p w14:paraId="2ACB62CC" w14:textId="77777777" w:rsidR="00EE5BB8" w:rsidRPr="00C6052E" w:rsidRDefault="00EE5BB8" w:rsidP="00857D46">
            <w:pPr>
              <w:pStyle w:val="Tabletotal"/>
              <w:keepNext/>
              <w:jc w:val="right"/>
            </w:pPr>
            <w:r w:rsidRPr="00C6052E">
              <w:t>126,597</w:t>
            </w:r>
          </w:p>
        </w:tc>
        <w:tc>
          <w:tcPr>
            <w:tcW w:w="1855" w:type="dxa"/>
            <w:noWrap/>
            <w:hideMark/>
          </w:tcPr>
          <w:p w14:paraId="5799EB1F" w14:textId="77777777" w:rsidR="00EE5BB8" w:rsidRPr="00C6052E" w:rsidRDefault="00EE5BB8" w:rsidP="00857D46">
            <w:pPr>
              <w:pStyle w:val="Tabletotal"/>
              <w:keepNext/>
              <w:jc w:val="right"/>
            </w:pPr>
            <w:r w:rsidRPr="00C6052E">
              <w:t>(477,398)</w:t>
            </w:r>
          </w:p>
        </w:tc>
        <w:tc>
          <w:tcPr>
            <w:tcW w:w="1855" w:type="dxa"/>
            <w:noWrap/>
            <w:hideMark/>
          </w:tcPr>
          <w:p w14:paraId="46DDFB3F" w14:textId="77777777" w:rsidR="00EE5BB8" w:rsidRPr="00C6052E" w:rsidRDefault="00EE5BB8" w:rsidP="00857D46">
            <w:pPr>
              <w:pStyle w:val="Tabletotal"/>
              <w:keepNext/>
              <w:jc w:val="right"/>
            </w:pPr>
            <w:r w:rsidRPr="00C6052E">
              <w:t>(413,706)</w:t>
            </w:r>
          </w:p>
        </w:tc>
        <w:tc>
          <w:tcPr>
            <w:tcW w:w="1855" w:type="dxa"/>
            <w:noWrap/>
            <w:hideMark/>
          </w:tcPr>
          <w:p w14:paraId="4CFC8ACF" w14:textId="77777777" w:rsidR="00EE5BB8" w:rsidRPr="00C6052E" w:rsidRDefault="00EE5BB8" w:rsidP="00857D46">
            <w:pPr>
              <w:pStyle w:val="Tabletotal"/>
              <w:keepNext/>
              <w:jc w:val="right"/>
            </w:pPr>
            <w:r w:rsidRPr="00C6052E">
              <w:t>1,378,080</w:t>
            </w:r>
          </w:p>
        </w:tc>
        <w:tc>
          <w:tcPr>
            <w:tcW w:w="1857" w:type="dxa"/>
            <w:noWrap/>
            <w:hideMark/>
          </w:tcPr>
          <w:p w14:paraId="0F6608C2" w14:textId="77777777" w:rsidR="00EE5BB8" w:rsidRPr="00C6052E" w:rsidRDefault="00EE5BB8" w:rsidP="00857D46">
            <w:pPr>
              <w:pStyle w:val="Tabletotal"/>
              <w:keepNext/>
              <w:jc w:val="right"/>
            </w:pPr>
            <w:r w:rsidRPr="00C6052E">
              <w:t>1,625,419</w:t>
            </w:r>
          </w:p>
        </w:tc>
      </w:tr>
      <w:tr w:rsidR="00EE5BB8" w:rsidRPr="00C6052E" w14:paraId="3BE569B2" w14:textId="77777777" w:rsidTr="00857D46">
        <w:tc>
          <w:tcPr>
            <w:tcW w:w="3539" w:type="dxa"/>
            <w:noWrap/>
            <w:hideMark/>
          </w:tcPr>
          <w:p w14:paraId="7DFCD4DD" w14:textId="20D550CD" w:rsidR="00EE5BB8" w:rsidRPr="00C6052E" w:rsidRDefault="00EE5BB8" w:rsidP="00857D46">
            <w:pPr>
              <w:pStyle w:val="Tabletotal"/>
              <w:keepNext/>
            </w:pPr>
            <w:r w:rsidRPr="00C6052E">
              <w:t>Total</w:t>
            </w:r>
            <w:r w:rsidR="00177848" w:rsidRPr="00C6052E">
              <w:t xml:space="preserve"> </w:t>
            </w:r>
            <w:r w:rsidRPr="00C6052E">
              <w:t>liabilities</w:t>
            </w:r>
          </w:p>
        </w:tc>
        <w:tc>
          <w:tcPr>
            <w:tcW w:w="1854" w:type="dxa"/>
            <w:noWrap/>
            <w:hideMark/>
          </w:tcPr>
          <w:p w14:paraId="677F2EC6" w14:textId="77777777" w:rsidR="00EE5BB8" w:rsidRPr="00C6052E" w:rsidRDefault="00EE5BB8" w:rsidP="00857D46">
            <w:pPr>
              <w:pStyle w:val="Tabletotal"/>
              <w:keepNext/>
              <w:jc w:val="right"/>
            </w:pPr>
            <w:r w:rsidRPr="00C6052E">
              <w:t>24,020</w:t>
            </w:r>
          </w:p>
        </w:tc>
        <w:tc>
          <w:tcPr>
            <w:tcW w:w="1855" w:type="dxa"/>
            <w:noWrap/>
            <w:hideMark/>
          </w:tcPr>
          <w:p w14:paraId="153251F3" w14:textId="77777777" w:rsidR="00EE5BB8" w:rsidRPr="00C6052E" w:rsidRDefault="00EE5BB8" w:rsidP="00857D46">
            <w:pPr>
              <w:pStyle w:val="Tabletotal"/>
              <w:keepNext/>
              <w:jc w:val="right"/>
            </w:pPr>
            <w:r w:rsidRPr="00C6052E">
              <w:t>13,827</w:t>
            </w:r>
          </w:p>
        </w:tc>
        <w:tc>
          <w:tcPr>
            <w:tcW w:w="1855" w:type="dxa"/>
            <w:noWrap/>
            <w:hideMark/>
          </w:tcPr>
          <w:p w14:paraId="467E9FF5" w14:textId="77777777" w:rsidR="00EE5BB8" w:rsidRPr="00C6052E" w:rsidRDefault="00EE5BB8" w:rsidP="00857D46">
            <w:pPr>
              <w:pStyle w:val="Tabletotal"/>
              <w:keepNext/>
              <w:jc w:val="right"/>
            </w:pPr>
            <w:r w:rsidRPr="00C6052E">
              <w:t>228,215</w:t>
            </w:r>
          </w:p>
        </w:tc>
        <w:tc>
          <w:tcPr>
            <w:tcW w:w="1855" w:type="dxa"/>
            <w:noWrap/>
            <w:hideMark/>
          </w:tcPr>
          <w:p w14:paraId="02CB5B31" w14:textId="77777777" w:rsidR="00EE5BB8" w:rsidRPr="00C6052E" w:rsidRDefault="00EE5BB8" w:rsidP="00857D46">
            <w:pPr>
              <w:pStyle w:val="Tabletotal"/>
              <w:keepNext/>
              <w:jc w:val="right"/>
            </w:pPr>
            <w:r w:rsidRPr="00C6052E">
              <w:t>381,414</w:t>
            </w:r>
          </w:p>
        </w:tc>
        <w:tc>
          <w:tcPr>
            <w:tcW w:w="1855" w:type="dxa"/>
            <w:noWrap/>
            <w:hideMark/>
          </w:tcPr>
          <w:p w14:paraId="4E760A77" w14:textId="77777777" w:rsidR="00EE5BB8" w:rsidRPr="00C6052E" w:rsidRDefault="00EE5BB8" w:rsidP="00857D46">
            <w:pPr>
              <w:pStyle w:val="Tabletotal"/>
              <w:keepNext/>
              <w:jc w:val="right"/>
            </w:pPr>
            <w:r w:rsidRPr="00C6052E">
              <w:t>528,526</w:t>
            </w:r>
          </w:p>
        </w:tc>
        <w:tc>
          <w:tcPr>
            <w:tcW w:w="1857" w:type="dxa"/>
            <w:noWrap/>
            <w:hideMark/>
          </w:tcPr>
          <w:p w14:paraId="217C62C2" w14:textId="77777777" w:rsidR="00EE5BB8" w:rsidRPr="00C6052E" w:rsidRDefault="00EE5BB8" w:rsidP="00857D46">
            <w:pPr>
              <w:pStyle w:val="Tabletotal"/>
              <w:keepNext/>
              <w:jc w:val="right"/>
            </w:pPr>
            <w:r w:rsidRPr="00C6052E">
              <w:t>771,649</w:t>
            </w:r>
          </w:p>
        </w:tc>
      </w:tr>
      <w:tr w:rsidR="00EE5BB8" w:rsidRPr="00C6052E" w14:paraId="3FCF21A3" w14:textId="77777777" w:rsidTr="00857D46">
        <w:tc>
          <w:tcPr>
            <w:tcW w:w="3539" w:type="dxa"/>
            <w:noWrap/>
            <w:hideMark/>
          </w:tcPr>
          <w:p w14:paraId="677B75CC" w14:textId="6272C7C5" w:rsidR="00EE5BB8" w:rsidRPr="00C6052E" w:rsidRDefault="00EE5BB8" w:rsidP="0063097D">
            <w:pPr>
              <w:pStyle w:val="Tabletotal"/>
            </w:pPr>
            <w:r w:rsidRPr="00C6052E">
              <w:t>Net</w:t>
            </w:r>
            <w:r w:rsidR="00177848" w:rsidRPr="00C6052E">
              <w:t xml:space="preserve"> </w:t>
            </w:r>
            <w:r w:rsidRPr="00C6052E">
              <w:t>assets/(liabilities)</w:t>
            </w:r>
          </w:p>
        </w:tc>
        <w:tc>
          <w:tcPr>
            <w:tcW w:w="1854" w:type="dxa"/>
            <w:noWrap/>
            <w:hideMark/>
          </w:tcPr>
          <w:p w14:paraId="06630EBF" w14:textId="77777777" w:rsidR="00EE5BB8" w:rsidRPr="00C6052E" w:rsidRDefault="00EE5BB8" w:rsidP="00857D46">
            <w:pPr>
              <w:pStyle w:val="Tabletotal"/>
              <w:jc w:val="right"/>
            </w:pPr>
            <w:r w:rsidRPr="00C6052E">
              <w:t>105,921</w:t>
            </w:r>
          </w:p>
        </w:tc>
        <w:tc>
          <w:tcPr>
            <w:tcW w:w="1855" w:type="dxa"/>
            <w:noWrap/>
            <w:hideMark/>
          </w:tcPr>
          <w:p w14:paraId="21395DA0" w14:textId="77777777" w:rsidR="00EE5BB8" w:rsidRPr="00C6052E" w:rsidRDefault="00EE5BB8" w:rsidP="00857D46">
            <w:pPr>
              <w:pStyle w:val="Tabletotal"/>
              <w:jc w:val="right"/>
            </w:pPr>
            <w:r w:rsidRPr="00C6052E">
              <w:t>112,770</w:t>
            </w:r>
          </w:p>
        </w:tc>
        <w:tc>
          <w:tcPr>
            <w:tcW w:w="1855" w:type="dxa"/>
            <w:noWrap/>
            <w:hideMark/>
          </w:tcPr>
          <w:p w14:paraId="30C98B5B" w14:textId="77777777" w:rsidR="00EE5BB8" w:rsidRPr="00C6052E" w:rsidRDefault="00EE5BB8" w:rsidP="00857D46">
            <w:pPr>
              <w:pStyle w:val="Tabletotal"/>
              <w:jc w:val="right"/>
            </w:pPr>
            <w:r w:rsidRPr="00C6052E">
              <w:t>(705,613)</w:t>
            </w:r>
          </w:p>
        </w:tc>
        <w:tc>
          <w:tcPr>
            <w:tcW w:w="1855" w:type="dxa"/>
            <w:noWrap/>
            <w:hideMark/>
          </w:tcPr>
          <w:p w14:paraId="3EF3FFCB" w14:textId="77777777" w:rsidR="00EE5BB8" w:rsidRPr="00C6052E" w:rsidRDefault="00EE5BB8" w:rsidP="00857D46">
            <w:pPr>
              <w:pStyle w:val="Tabletotal"/>
              <w:jc w:val="right"/>
            </w:pPr>
            <w:r w:rsidRPr="00C6052E">
              <w:t>(795,120)</w:t>
            </w:r>
          </w:p>
        </w:tc>
        <w:tc>
          <w:tcPr>
            <w:tcW w:w="1855" w:type="dxa"/>
            <w:noWrap/>
            <w:hideMark/>
          </w:tcPr>
          <w:p w14:paraId="31A8F181" w14:textId="77777777" w:rsidR="00EE5BB8" w:rsidRPr="00C6052E" w:rsidRDefault="00EE5BB8" w:rsidP="00857D46">
            <w:pPr>
              <w:pStyle w:val="Tabletotal"/>
              <w:jc w:val="right"/>
            </w:pPr>
            <w:r w:rsidRPr="00C6052E">
              <w:t>849,554</w:t>
            </w:r>
          </w:p>
        </w:tc>
        <w:tc>
          <w:tcPr>
            <w:tcW w:w="1857" w:type="dxa"/>
            <w:noWrap/>
            <w:hideMark/>
          </w:tcPr>
          <w:p w14:paraId="3945A4C6" w14:textId="77777777" w:rsidR="00EE5BB8" w:rsidRPr="00C6052E" w:rsidRDefault="00EE5BB8" w:rsidP="00857D46">
            <w:pPr>
              <w:pStyle w:val="Tabletotal"/>
              <w:jc w:val="right"/>
            </w:pPr>
            <w:r w:rsidRPr="00C6052E">
              <w:t>853,770</w:t>
            </w:r>
          </w:p>
        </w:tc>
      </w:tr>
    </w:tbl>
    <w:p w14:paraId="084A3EAA" w14:textId="77777777" w:rsidR="00EE5BB8" w:rsidRPr="00C6052E" w:rsidRDefault="00EE5BB8" w:rsidP="00EE5BB8"/>
    <w:p w14:paraId="2352A812" w14:textId="77777777" w:rsidR="00EE5BB8" w:rsidRPr="00C6052E" w:rsidRDefault="00EE5BB8" w:rsidP="00EE5BB8">
      <w:pPr>
        <w:sectPr w:rsidR="00EE5BB8" w:rsidRPr="00C6052E" w:rsidSect="00EE5BB8">
          <w:headerReference w:type="even" r:id="rId19"/>
          <w:headerReference w:type="default" r:id="rId20"/>
          <w:endnotePr>
            <w:numFmt w:val="decimal"/>
          </w:endnotePr>
          <w:pgSz w:w="16840" w:h="11907" w:code="9"/>
          <w:pgMar w:top="1134" w:right="1134" w:bottom="1134" w:left="1134" w:header="567" w:footer="567" w:gutter="0"/>
          <w:cols w:space="708"/>
          <w:docGrid w:linePitch="360"/>
        </w:sectPr>
      </w:pPr>
    </w:p>
    <w:p w14:paraId="350689BD" w14:textId="7C7B3F85" w:rsidR="00EE5BB8" w:rsidRPr="00C6052E" w:rsidRDefault="00EE5BB8" w:rsidP="00857D46">
      <w:pPr>
        <w:pStyle w:val="Heading2numbered0"/>
      </w:pPr>
      <w:bookmarkStart w:id="186" w:name="_Toc175734950"/>
      <w:bookmarkStart w:id="187" w:name="_Toc197949232"/>
      <w:bookmarkStart w:id="188" w:name="_Toc200546541"/>
      <w:bookmarkStart w:id="189" w:name="_Toc200546600"/>
      <w:bookmarkStart w:id="190" w:name="_Toc200546658"/>
      <w:bookmarkStart w:id="191" w:name="_Toc204540540"/>
      <w:bookmarkStart w:id="192" w:name="_Toc205389838"/>
      <w:bookmarkStart w:id="193" w:name="_Toc205507086"/>
      <w:bookmarkStart w:id="194" w:name="_Toc207616230"/>
      <w:bookmarkStart w:id="195" w:name="_Toc207622418"/>
      <w:bookmarkStart w:id="196" w:name="_Toc175734951"/>
      <w:bookmarkStart w:id="197" w:name="_Toc197949233"/>
      <w:bookmarkStart w:id="198" w:name="_Toc200546542"/>
      <w:bookmarkStart w:id="199" w:name="_Toc200546601"/>
      <w:bookmarkStart w:id="200" w:name="_Toc200546659"/>
      <w:bookmarkStart w:id="201" w:name="_Toc204540541"/>
      <w:bookmarkStart w:id="202" w:name="_Toc205389839"/>
      <w:bookmarkStart w:id="203" w:name="_Toc205507087"/>
      <w:bookmarkStart w:id="204" w:name="_Toc207616231"/>
      <w:bookmarkStart w:id="205" w:name="_Toc207622419"/>
      <w:bookmarkStart w:id="206" w:name="_Toc163565961"/>
      <w:bookmarkStart w:id="207" w:name="_Ref209439665"/>
      <w:bookmarkStart w:id="208" w:name="_Ref209439674"/>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C6052E">
        <w:lastRenderedPageBreak/>
        <w:t>Administered</w:t>
      </w:r>
      <w:r w:rsidR="00177848" w:rsidRPr="00C6052E">
        <w:t xml:space="preserve"> </w:t>
      </w:r>
      <w:r w:rsidRPr="00C6052E">
        <w:t>items</w:t>
      </w:r>
      <w:bookmarkEnd w:id="206"/>
      <w:bookmarkEnd w:id="207"/>
      <w:bookmarkEnd w:id="208"/>
      <w:r w:rsidR="00177848" w:rsidRPr="00C6052E">
        <w:t xml:space="preserve"> </w:t>
      </w:r>
    </w:p>
    <w:p w14:paraId="56DEF146" w14:textId="6FF16DEF" w:rsidR="00EE5BB8" w:rsidRPr="00C6052E" w:rsidRDefault="00EE5BB8" w:rsidP="00857D46">
      <w:pPr>
        <w:pStyle w:val="Heading3numbered0"/>
      </w:pPr>
      <w:bookmarkStart w:id="209" w:name="_Ref163567658"/>
      <w:r w:rsidRPr="00C6052E">
        <w:t>Administered</w:t>
      </w:r>
      <w:r w:rsidR="00177848" w:rsidRPr="00C6052E">
        <w:t xml:space="preserve"> </w:t>
      </w:r>
      <w:r w:rsidRPr="00C6052E">
        <w:t>(non-controlled)</w:t>
      </w:r>
      <w:r w:rsidR="00177848" w:rsidRPr="00C6052E">
        <w:t xml:space="preserve"> </w:t>
      </w:r>
      <w:r w:rsidRPr="00C6052E">
        <w:t>items</w:t>
      </w:r>
      <w:bookmarkEnd w:id="209"/>
    </w:p>
    <w:p w14:paraId="41DAED8F" w14:textId="0087310A" w:rsidR="00EE5BB8" w:rsidRPr="00C6052E" w:rsidRDefault="00EE5BB8" w:rsidP="00EE5BB8">
      <w:r w:rsidRPr="00C6052E">
        <w:t>In</w:t>
      </w:r>
      <w:r w:rsidR="00177848" w:rsidRPr="00C6052E">
        <w:t xml:space="preserve"> </w:t>
      </w:r>
      <w:r w:rsidRPr="00C6052E">
        <w:t>addition</w:t>
      </w:r>
      <w:r w:rsidR="00177848" w:rsidRPr="00C6052E">
        <w:t xml:space="preserve"> </w:t>
      </w:r>
      <w:r w:rsidRPr="00C6052E">
        <w:t>to</w:t>
      </w:r>
      <w:r w:rsidR="00177848" w:rsidRPr="00C6052E">
        <w:t xml:space="preserve"> </w:t>
      </w:r>
      <w:r w:rsidRPr="00C6052E">
        <w:t>the</w:t>
      </w:r>
      <w:r w:rsidR="00177848" w:rsidRPr="00C6052E">
        <w:t xml:space="preserve"> </w:t>
      </w:r>
      <w:r w:rsidRPr="00C6052E">
        <w:t>specific</w:t>
      </w:r>
      <w:r w:rsidR="00177848" w:rsidRPr="00C6052E">
        <w:t xml:space="preserve"> </w:t>
      </w:r>
      <w:r w:rsidRPr="00C6052E">
        <w:t>departmental</w:t>
      </w:r>
      <w:r w:rsidR="00177848" w:rsidRPr="00C6052E">
        <w:t xml:space="preserve"> </w:t>
      </w:r>
      <w:r w:rsidRPr="00C6052E">
        <w:t>operations</w:t>
      </w:r>
      <w:r w:rsidR="00177848" w:rsidRPr="00C6052E">
        <w:t xml:space="preserve"> </w:t>
      </w:r>
      <w:r w:rsidRPr="00C6052E">
        <w:t>which</w:t>
      </w:r>
      <w:r w:rsidR="00177848" w:rsidRPr="00C6052E">
        <w:t xml:space="preserve"> </w:t>
      </w:r>
      <w:r w:rsidRPr="00C6052E">
        <w:t>are</w:t>
      </w:r>
      <w:r w:rsidR="00177848" w:rsidRPr="00C6052E">
        <w:t xml:space="preserve"> </w:t>
      </w:r>
      <w:r w:rsidRPr="00C6052E">
        <w:t>included</w:t>
      </w:r>
      <w:r w:rsidR="00177848" w:rsidRPr="00C6052E">
        <w:t xml:space="preserve"> </w:t>
      </w:r>
      <w:r w:rsidRPr="00C6052E">
        <w:t>in</w:t>
      </w:r>
      <w:r w:rsidR="00177848" w:rsidRPr="00C6052E">
        <w:t xml:space="preserve"> </w:t>
      </w:r>
      <w:r w:rsidRPr="00C6052E">
        <w:t>the</w:t>
      </w:r>
      <w:r w:rsidR="00177848" w:rsidRPr="00C6052E">
        <w:t xml:space="preserve"> </w:t>
      </w:r>
      <w:r w:rsidRPr="00C6052E">
        <w:t>balance</w:t>
      </w:r>
      <w:r w:rsidR="00177848" w:rsidRPr="00C6052E">
        <w:t xml:space="preserve"> </w:t>
      </w:r>
      <w:r w:rsidRPr="00C6052E">
        <w:t>sheet,</w:t>
      </w:r>
      <w:r w:rsidR="00177848" w:rsidRPr="00C6052E">
        <w:t xml:space="preserve"> </w:t>
      </w:r>
      <w:r w:rsidRPr="00C6052E">
        <w:t>comprehensive</w:t>
      </w:r>
      <w:r w:rsidR="00177848" w:rsidRPr="00C6052E">
        <w:t xml:space="preserve"> </w:t>
      </w:r>
      <w:r w:rsidRPr="00C6052E">
        <w:t>operating</w:t>
      </w:r>
      <w:r w:rsidR="00177848" w:rsidRPr="00C6052E">
        <w:t xml:space="preserve"> </w:t>
      </w:r>
      <w:r w:rsidRPr="00C6052E">
        <w:t>statement</w:t>
      </w:r>
      <w:r w:rsidR="00177848" w:rsidRPr="00C6052E">
        <w:t xml:space="preserve"> </w:t>
      </w:r>
      <w:r w:rsidRPr="00C6052E">
        <w:t>and</w:t>
      </w:r>
      <w:r w:rsidR="00177848" w:rsidRPr="00C6052E">
        <w:t xml:space="preserve"> </w:t>
      </w:r>
      <w:r w:rsidRPr="00C6052E">
        <w:t>cash</w:t>
      </w:r>
      <w:r w:rsidR="00177848" w:rsidRPr="00C6052E">
        <w:t xml:space="preserve"> </w:t>
      </w:r>
      <w:r w:rsidRPr="00C6052E">
        <w:t>flow</w:t>
      </w:r>
      <w:r w:rsidR="00177848" w:rsidRPr="00C6052E">
        <w:t xml:space="preserve"> </w:t>
      </w:r>
      <w:r w:rsidRPr="00C6052E">
        <w:t>statement,</w:t>
      </w:r>
      <w:r w:rsidR="00177848" w:rsidRPr="00C6052E">
        <w:t xml:space="preserve"> </w:t>
      </w:r>
      <w:r w:rsidRPr="00C6052E">
        <w:t>DJSIR</w:t>
      </w:r>
      <w:r w:rsidR="00177848" w:rsidRPr="00C6052E">
        <w:t xml:space="preserve"> </w:t>
      </w:r>
      <w:r w:rsidRPr="00C6052E">
        <w:t>administers,</w:t>
      </w:r>
      <w:r w:rsidR="00177848" w:rsidRPr="00C6052E">
        <w:t xml:space="preserve"> </w:t>
      </w:r>
      <w:r w:rsidRPr="00C6052E">
        <w:t>but</w:t>
      </w:r>
      <w:r w:rsidR="00177848" w:rsidRPr="00C6052E">
        <w:t xml:space="preserve"> </w:t>
      </w:r>
      <w:r w:rsidRPr="00C6052E">
        <w:t>does</w:t>
      </w:r>
      <w:r w:rsidR="00177848" w:rsidRPr="00C6052E">
        <w:t xml:space="preserve"> </w:t>
      </w:r>
      <w:r w:rsidRPr="00C6052E">
        <w:t>not</w:t>
      </w:r>
      <w:r w:rsidR="00177848" w:rsidRPr="00C6052E">
        <w:t xml:space="preserve"> </w:t>
      </w:r>
      <w:r w:rsidRPr="00C6052E">
        <w:t>control,</w:t>
      </w:r>
      <w:r w:rsidR="00177848" w:rsidRPr="00C6052E">
        <w:t xml:space="preserve"> </w:t>
      </w:r>
      <w:r w:rsidRPr="00C6052E">
        <w:t>certain</w:t>
      </w:r>
      <w:r w:rsidR="00177848" w:rsidRPr="00C6052E">
        <w:t xml:space="preserve"> </w:t>
      </w:r>
      <w:r w:rsidRPr="00C6052E">
        <w:t>resources</w:t>
      </w:r>
      <w:r w:rsidR="00177848" w:rsidRPr="00C6052E">
        <w:t xml:space="preserve"> </w:t>
      </w:r>
      <w:r w:rsidRPr="00C6052E">
        <w:t>and</w:t>
      </w:r>
      <w:r w:rsidR="00177848" w:rsidRPr="00C6052E">
        <w:t xml:space="preserve"> </w:t>
      </w:r>
      <w:r w:rsidRPr="00C6052E">
        <w:t>activities</w:t>
      </w:r>
      <w:r w:rsidR="00177848" w:rsidRPr="00C6052E">
        <w:t xml:space="preserve"> </w:t>
      </w:r>
      <w:r w:rsidRPr="00C6052E">
        <w:t>on</w:t>
      </w:r>
      <w:r w:rsidR="00177848" w:rsidRPr="00C6052E">
        <w:t xml:space="preserve"> </w:t>
      </w:r>
      <w:r w:rsidRPr="00C6052E">
        <w:t>behalf</w:t>
      </w:r>
      <w:r w:rsidR="00177848" w:rsidRPr="00C6052E">
        <w:t xml:space="preserve"> </w:t>
      </w:r>
      <w:r w:rsidRPr="00C6052E">
        <w:t>of</w:t>
      </w:r>
      <w:r w:rsidR="00177848" w:rsidRPr="00C6052E">
        <w:t xml:space="preserve"> </w:t>
      </w:r>
      <w:r w:rsidRPr="00C6052E">
        <w:t>the</w:t>
      </w:r>
      <w:r w:rsidR="00177848" w:rsidRPr="00C6052E">
        <w:t xml:space="preserve"> </w:t>
      </w:r>
      <w:r w:rsidRPr="00C6052E">
        <w:t>State.</w:t>
      </w:r>
      <w:r w:rsidR="00177848" w:rsidRPr="00C6052E">
        <w:t xml:space="preserve"> </w:t>
      </w:r>
      <w:r w:rsidRPr="00C6052E">
        <w:t>It</w:t>
      </w:r>
      <w:r w:rsidR="00177848" w:rsidRPr="00C6052E">
        <w:t xml:space="preserve"> </w:t>
      </w:r>
      <w:r w:rsidRPr="00C6052E">
        <w:t>is</w:t>
      </w:r>
      <w:r w:rsidR="00177848" w:rsidRPr="00C6052E">
        <w:t xml:space="preserve"> </w:t>
      </w:r>
      <w:r w:rsidRPr="00C6052E">
        <w:t>accountable</w:t>
      </w:r>
      <w:r w:rsidR="00177848" w:rsidRPr="00C6052E">
        <w:t xml:space="preserve"> </w:t>
      </w:r>
      <w:r w:rsidRPr="00C6052E">
        <w:t>for</w:t>
      </w:r>
      <w:r w:rsidR="00177848" w:rsidRPr="00C6052E">
        <w:t xml:space="preserve"> </w:t>
      </w:r>
      <w:r w:rsidRPr="00C6052E">
        <w:t>the</w:t>
      </w:r>
      <w:r w:rsidR="00177848" w:rsidRPr="00C6052E">
        <w:t xml:space="preserve"> </w:t>
      </w:r>
      <w:r w:rsidRPr="00C6052E">
        <w:t>transactions</w:t>
      </w:r>
      <w:r w:rsidR="00177848" w:rsidRPr="00C6052E">
        <w:t xml:space="preserve"> </w:t>
      </w:r>
      <w:r w:rsidRPr="00C6052E">
        <w:t>involving</w:t>
      </w:r>
      <w:r w:rsidR="00177848" w:rsidRPr="00C6052E">
        <w:t xml:space="preserve"> </w:t>
      </w:r>
      <w:r w:rsidRPr="00C6052E">
        <w:t>those</w:t>
      </w:r>
      <w:r w:rsidR="00177848" w:rsidRPr="00C6052E">
        <w:t xml:space="preserve"> </w:t>
      </w:r>
      <w:r w:rsidRPr="00C6052E">
        <w:t>administered</w:t>
      </w:r>
      <w:r w:rsidR="00177848" w:rsidRPr="00C6052E">
        <w:t xml:space="preserve"> </w:t>
      </w:r>
      <w:r w:rsidRPr="00C6052E">
        <w:t>resources</w:t>
      </w:r>
      <w:r w:rsidR="00177848" w:rsidRPr="00C6052E">
        <w:t xml:space="preserve"> </w:t>
      </w:r>
      <w:r w:rsidRPr="00C6052E">
        <w:t>but</w:t>
      </w:r>
      <w:r w:rsidR="00177848" w:rsidRPr="00C6052E">
        <w:t xml:space="preserve"> </w:t>
      </w:r>
      <w:r w:rsidRPr="00C6052E">
        <w:t>does</w:t>
      </w:r>
      <w:r w:rsidR="00177848" w:rsidRPr="00C6052E">
        <w:t xml:space="preserve"> </w:t>
      </w:r>
      <w:r w:rsidRPr="00C6052E">
        <w:t>not</w:t>
      </w:r>
      <w:r w:rsidR="00177848" w:rsidRPr="00C6052E">
        <w:t xml:space="preserve"> </w:t>
      </w:r>
      <w:r w:rsidRPr="00C6052E">
        <w:t>have</w:t>
      </w:r>
      <w:r w:rsidR="00177848" w:rsidRPr="00C6052E">
        <w:t xml:space="preserve"> </w:t>
      </w:r>
      <w:r w:rsidRPr="00C6052E">
        <w:t>the</w:t>
      </w:r>
      <w:r w:rsidR="00177848" w:rsidRPr="00C6052E">
        <w:t xml:space="preserve"> </w:t>
      </w:r>
      <w:r w:rsidRPr="00C6052E">
        <w:t>discretion</w:t>
      </w:r>
      <w:r w:rsidR="00177848" w:rsidRPr="00C6052E">
        <w:t xml:space="preserve"> </w:t>
      </w:r>
      <w:r w:rsidRPr="00C6052E">
        <w:t>to</w:t>
      </w:r>
      <w:r w:rsidR="00177848" w:rsidRPr="00C6052E">
        <w:t xml:space="preserve"> </w:t>
      </w:r>
      <w:r w:rsidRPr="00C6052E">
        <w:t>deploy</w:t>
      </w:r>
      <w:r w:rsidR="00177848" w:rsidRPr="00C6052E">
        <w:t xml:space="preserve"> </w:t>
      </w:r>
      <w:r w:rsidRPr="00C6052E">
        <w:t>the</w:t>
      </w:r>
      <w:r w:rsidR="00177848" w:rsidRPr="00C6052E">
        <w:t xml:space="preserve"> </w:t>
      </w:r>
      <w:r w:rsidRPr="00C6052E">
        <w:t>resources</w:t>
      </w:r>
      <w:r w:rsidR="00177848" w:rsidRPr="00C6052E">
        <w:t xml:space="preserve"> </w:t>
      </w:r>
      <w:r w:rsidRPr="00C6052E">
        <w:t>for</w:t>
      </w:r>
      <w:r w:rsidR="00177848" w:rsidRPr="00C6052E">
        <w:t xml:space="preserve"> </w:t>
      </w:r>
      <w:r w:rsidRPr="00C6052E">
        <w:t>its</w:t>
      </w:r>
      <w:r w:rsidR="00177848" w:rsidRPr="00C6052E">
        <w:t xml:space="preserve"> </w:t>
      </w:r>
      <w:r w:rsidRPr="00C6052E">
        <w:t>own</w:t>
      </w:r>
      <w:r w:rsidR="00177848" w:rsidRPr="00C6052E">
        <w:t xml:space="preserve"> </w:t>
      </w:r>
      <w:r w:rsidRPr="00C6052E">
        <w:t>benefit</w:t>
      </w:r>
      <w:r w:rsidR="00177848" w:rsidRPr="00C6052E">
        <w:t xml:space="preserve"> </w:t>
      </w:r>
      <w:r w:rsidRPr="00C6052E">
        <w:t>or</w:t>
      </w:r>
      <w:r w:rsidR="00177848" w:rsidRPr="00C6052E">
        <w:t xml:space="preserve"> </w:t>
      </w:r>
      <w:r w:rsidRPr="00C6052E">
        <w:t>for</w:t>
      </w:r>
      <w:r w:rsidR="00177848" w:rsidRPr="00C6052E">
        <w:t xml:space="preserve"> </w:t>
      </w:r>
      <w:r w:rsidRPr="00C6052E">
        <w:t>the</w:t>
      </w:r>
      <w:r w:rsidR="00177848" w:rsidRPr="00C6052E">
        <w:t xml:space="preserve"> </w:t>
      </w:r>
      <w:r w:rsidRPr="00C6052E">
        <w:t>achievement</w:t>
      </w:r>
      <w:r w:rsidR="00177848" w:rsidRPr="00C6052E">
        <w:t xml:space="preserve"> </w:t>
      </w:r>
      <w:r w:rsidRPr="00C6052E">
        <w:t>of</w:t>
      </w:r>
      <w:r w:rsidR="00177848" w:rsidRPr="00C6052E">
        <w:t xml:space="preserve"> </w:t>
      </w:r>
      <w:r w:rsidRPr="00C6052E">
        <w:t>its</w:t>
      </w:r>
      <w:r w:rsidR="00177848" w:rsidRPr="00C6052E">
        <w:t xml:space="preserve"> </w:t>
      </w:r>
      <w:r w:rsidRPr="00C6052E">
        <w:t>objectives.</w:t>
      </w:r>
    </w:p>
    <w:p w14:paraId="06D86CB5" w14:textId="76C3E96F" w:rsidR="00EE5BB8" w:rsidRPr="00C6052E" w:rsidRDefault="00EE5BB8" w:rsidP="00EE5BB8">
      <w:r w:rsidRPr="00C6052E">
        <w:t>Administered</w:t>
      </w:r>
      <w:r w:rsidR="00177848" w:rsidRPr="00C6052E">
        <w:t xml:space="preserve"> </w:t>
      </w:r>
      <w:r w:rsidRPr="00C6052E">
        <w:t>revenue</w:t>
      </w:r>
      <w:r w:rsidR="00177848" w:rsidRPr="00C6052E">
        <w:t xml:space="preserve"> </w:t>
      </w:r>
      <w:r w:rsidRPr="00C6052E">
        <w:t>and</w:t>
      </w:r>
      <w:r w:rsidR="00177848" w:rsidRPr="00C6052E">
        <w:t xml:space="preserve"> </w:t>
      </w:r>
      <w:r w:rsidRPr="00C6052E">
        <w:t>income</w:t>
      </w:r>
      <w:r w:rsidR="00177848" w:rsidRPr="00C6052E">
        <w:t xml:space="preserve"> </w:t>
      </w:r>
      <w:r w:rsidRPr="00C6052E">
        <w:t>includes</w:t>
      </w:r>
      <w:r w:rsidR="00177848" w:rsidRPr="00C6052E">
        <w:t xml:space="preserve"> </w:t>
      </w:r>
      <w:r w:rsidRPr="00C6052E">
        <w:t>taxes,</w:t>
      </w:r>
      <w:r w:rsidR="00177848" w:rsidRPr="00C6052E">
        <w:t xml:space="preserve"> </w:t>
      </w:r>
      <w:r w:rsidRPr="00C6052E">
        <w:t>fees</w:t>
      </w:r>
      <w:r w:rsidR="00177848" w:rsidRPr="00C6052E">
        <w:t xml:space="preserve"> </w:t>
      </w:r>
      <w:r w:rsidRPr="00C6052E">
        <w:t>and</w:t>
      </w:r>
      <w:r w:rsidR="00177848" w:rsidRPr="00C6052E">
        <w:t xml:space="preserve"> </w:t>
      </w:r>
      <w:r w:rsidRPr="00C6052E">
        <w:t>fines</w:t>
      </w:r>
      <w:r w:rsidR="00177848" w:rsidRPr="00C6052E">
        <w:t xml:space="preserve"> </w:t>
      </w:r>
      <w:r w:rsidRPr="00C6052E">
        <w:t>and</w:t>
      </w:r>
      <w:r w:rsidR="00177848" w:rsidRPr="00C6052E">
        <w:t xml:space="preserve"> </w:t>
      </w:r>
      <w:r w:rsidRPr="00C6052E">
        <w:t>the</w:t>
      </w:r>
      <w:r w:rsidR="00177848" w:rsidRPr="00C6052E">
        <w:t xml:space="preserve"> </w:t>
      </w:r>
      <w:r w:rsidRPr="00C6052E">
        <w:t>proceeds</w:t>
      </w:r>
      <w:r w:rsidR="00177848" w:rsidRPr="00C6052E">
        <w:t xml:space="preserve"> </w:t>
      </w:r>
      <w:r w:rsidRPr="00C6052E">
        <w:t>from</w:t>
      </w:r>
      <w:r w:rsidR="00177848" w:rsidRPr="00C6052E">
        <w:t xml:space="preserve"> </w:t>
      </w:r>
      <w:r w:rsidRPr="00C6052E">
        <w:t>the</w:t>
      </w:r>
      <w:r w:rsidR="00177848" w:rsidRPr="00C6052E">
        <w:t xml:space="preserve"> </w:t>
      </w:r>
      <w:r w:rsidRPr="00C6052E">
        <w:t>sale</w:t>
      </w:r>
      <w:r w:rsidR="00177848" w:rsidRPr="00C6052E">
        <w:t xml:space="preserve"> </w:t>
      </w:r>
      <w:r w:rsidRPr="00C6052E">
        <w:t>of</w:t>
      </w:r>
      <w:r w:rsidR="00177848" w:rsidRPr="00C6052E">
        <w:t xml:space="preserve"> </w:t>
      </w:r>
      <w:r w:rsidRPr="00C6052E">
        <w:t>administered</w:t>
      </w:r>
      <w:r w:rsidR="00177848" w:rsidRPr="00C6052E">
        <w:t xml:space="preserve"> </w:t>
      </w:r>
      <w:r w:rsidRPr="00C6052E">
        <w:t>surplus</w:t>
      </w:r>
      <w:r w:rsidR="00177848" w:rsidRPr="00C6052E">
        <w:t xml:space="preserve"> </w:t>
      </w:r>
      <w:r w:rsidRPr="00C6052E">
        <w:t>land</w:t>
      </w:r>
      <w:r w:rsidR="00177848" w:rsidRPr="00C6052E">
        <w:t xml:space="preserve"> </w:t>
      </w:r>
      <w:r w:rsidRPr="00C6052E">
        <w:t>and</w:t>
      </w:r>
      <w:r w:rsidR="00177848" w:rsidRPr="00C6052E">
        <w:t xml:space="preserve"> </w:t>
      </w:r>
      <w:r w:rsidRPr="00C6052E">
        <w:t>buildings.</w:t>
      </w:r>
      <w:r w:rsidR="00177848" w:rsidRPr="00C6052E">
        <w:t xml:space="preserve"> </w:t>
      </w:r>
      <w:r w:rsidRPr="00C6052E">
        <w:t>Administered</w:t>
      </w:r>
      <w:r w:rsidR="00177848" w:rsidRPr="00C6052E">
        <w:t xml:space="preserve"> </w:t>
      </w:r>
      <w:r w:rsidRPr="00C6052E">
        <w:t>expenses</w:t>
      </w:r>
      <w:r w:rsidR="00177848" w:rsidRPr="00C6052E">
        <w:t xml:space="preserve"> </w:t>
      </w:r>
      <w:r w:rsidRPr="00C6052E">
        <w:t>include</w:t>
      </w:r>
      <w:r w:rsidR="00177848" w:rsidRPr="00C6052E">
        <w:t xml:space="preserve"> </w:t>
      </w:r>
      <w:r w:rsidRPr="00C6052E">
        <w:t>payments</w:t>
      </w:r>
      <w:r w:rsidR="00177848" w:rsidRPr="00C6052E">
        <w:t xml:space="preserve"> </w:t>
      </w:r>
      <w:r w:rsidRPr="00C6052E">
        <w:t>made</w:t>
      </w:r>
      <w:r w:rsidR="00177848" w:rsidRPr="00C6052E">
        <w:t xml:space="preserve"> </w:t>
      </w:r>
      <w:r w:rsidRPr="00C6052E">
        <w:t>on</w:t>
      </w:r>
      <w:r w:rsidR="00177848" w:rsidRPr="00C6052E">
        <w:t xml:space="preserve"> </w:t>
      </w:r>
      <w:r w:rsidRPr="00C6052E">
        <w:t>behalf</w:t>
      </w:r>
      <w:r w:rsidR="00177848" w:rsidRPr="00C6052E">
        <w:t xml:space="preserve"> </w:t>
      </w:r>
      <w:r w:rsidRPr="00C6052E">
        <w:t>of</w:t>
      </w:r>
      <w:r w:rsidR="00177848" w:rsidRPr="00C6052E">
        <w:t xml:space="preserve"> </w:t>
      </w:r>
      <w:r w:rsidRPr="00C6052E">
        <w:t>the</w:t>
      </w:r>
      <w:r w:rsidR="00177848" w:rsidRPr="00C6052E">
        <w:t xml:space="preserve"> </w:t>
      </w:r>
      <w:r w:rsidRPr="00C6052E">
        <w:t>State</w:t>
      </w:r>
      <w:r w:rsidR="00177848" w:rsidRPr="00C6052E">
        <w:t xml:space="preserve"> </w:t>
      </w:r>
      <w:r w:rsidRPr="00C6052E">
        <w:t>and</w:t>
      </w:r>
      <w:r w:rsidR="00177848" w:rsidRPr="00C6052E">
        <w:t xml:space="preserve"> </w:t>
      </w:r>
      <w:r w:rsidRPr="00C6052E">
        <w:t>payments</w:t>
      </w:r>
      <w:r w:rsidR="00177848" w:rsidRPr="00C6052E">
        <w:t xml:space="preserve"> </w:t>
      </w:r>
      <w:r w:rsidRPr="00C6052E">
        <w:t>into</w:t>
      </w:r>
      <w:r w:rsidR="00177848" w:rsidRPr="00C6052E">
        <w:t xml:space="preserve"> </w:t>
      </w:r>
      <w:r w:rsidRPr="00C6052E">
        <w:t>the</w:t>
      </w:r>
      <w:r w:rsidR="00177848" w:rsidRPr="00C6052E">
        <w:t xml:space="preserve"> </w:t>
      </w:r>
      <w:r w:rsidRPr="00C6052E">
        <w:t>Consolidated</w:t>
      </w:r>
      <w:r w:rsidR="00177848" w:rsidRPr="00C6052E">
        <w:t xml:space="preserve"> </w:t>
      </w:r>
      <w:r w:rsidRPr="00C6052E">
        <w:t>Fund.</w:t>
      </w:r>
      <w:r w:rsidR="00177848" w:rsidRPr="00C6052E">
        <w:t xml:space="preserve"> </w:t>
      </w:r>
      <w:r w:rsidRPr="00C6052E">
        <w:t>Administered</w:t>
      </w:r>
      <w:r w:rsidR="00177848" w:rsidRPr="00C6052E">
        <w:t xml:space="preserve"> </w:t>
      </w:r>
      <w:r w:rsidRPr="00C6052E">
        <w:t>assets</w:t>
      </w:r>
      <w:r w:rsidR="00177848" w:rsidRPr="00C6052E">
        <w:t xml:space="preserve"> </w:t>
      </w:r>
      <w:r w:rsidRPr="00C6052E">
        <w:t>include</w:t>
      </w:r>
      <w:r w:rsidR="00177848" w:rsidRPr="00C6052E">
        <w:t xml:space="preserve"> </w:t>
      </w:r>
      <w:r w:rsidRPr="00C6052E">
        <w:t>government</w:t>
      </w:r>
      <w:r w:rsidR="00177848" w:rsidRPr="00C6052E">
        <w:t xml:space="preserve"> </w:t>
      </w:r>
      <w:r w:rsidRPr="00C6052E">
        <w:t>income</w:t>
      </w:r>
      <w:r w:rsidR="00177848" w:rsidRPr="00C6052E">
        <w:t xml:space="preserve"> </w:t>
      </w:r>
      <w:r w:rsidRPr="00C6052E">
        <w:t>earned</w:t>
      </w:r>
      <w:r w:rsidR="00177848" w:rsidRPr="00C6052E">
        <w:t xml:space="preserve"> </w:t>
      </w:r>
      <w:r w:rsidRPr="00C6052E">
        <w:t>but</w:t>
      </w:r>
      <w:r w:rsidR="00177848" w:rsidRPr="00C6052E">
        <w:t xml:space="preserve"> </w:t>
      </w:r>
      <w:r w:rsidRPr="00C6052E">
        <w:t>yet</w:t>
      </w:r>
      <w:r w:rsidR="00177848" w:rsidRPr="00C6052E">
        <w:t xml:space="preserve"> </w:t>
      </w:r>
      <w:r w:rsidRPr="00C6052E">
        <w:t>to</w:t>
      </w:r>
      <w:r w:rsidR="00177848" w:rsidRPr="00C6052E">
        <w:t xml:space="preserve"> </w:t>
      </w:r>
      <w:r w:rsidRPr="00C6052E">
        <w:t>be</w:t>
      </w:r>
      <w:r w:rsidR="00177848" w:rsidRPr="00C6052E">
        <w:t xml:space="preserve"> </w:t>
      </w:r>
      <w:r w:rsidRPr="00C6052E">
        <w:t>collected.</w:t>
      </w:r>
      <w:r w:rsidR="00177848" w:rsidRPr="00C6052E">
        <w:t xml:space="preserve"> </w:t>
      </w:r>
      <w:r w:rsidRPr="00C6052E">
        <w:t>Administered</w:t>
      </w:r>
      <w:r w:rsidR="00177848" w:rsidRPr="00C6052E">
        <w:t xml:space="preserve"> </w:t>
      </w:r>
      <w:r w:rsidRPr="00C6052E">
        <w:t>liabilities</w:t>
      </w:r>
      <w:r w:rsidR="00177848" w:rsidRPr="00C6052E">
        <w:t xml:space="preserve"> </w:t>
      </w:r>
      <w:r w:rsidRPr="00C6052E">
        <w:t>include</w:t>
      </w:r>
      <w:r w:rsidR="00177848" w:rsidRPr="00C6052E">
        <w:t xml:space="preserve"> </w:t>
      </w:r>
      <w:r w:rsidRPr="00C6052E">
        <w:t>government</w:t>
      </w:r>
      <w:r w:rsidR="00177848" w:rsidRPr="00C6052E">
        <w:t xml:space="preserve"> </w:t>
      </w:r>
      <w:r w:rsidRPr="00C6052E">
        <w:t>expenses</w:t>
      </w:r>
      <w:r w:rsidR="00177848" w:rsidRPr="00C6052E">
        <w:t xml:space="preserve"> </w:t>
      </w:r>
      <w:r w:rsidRPr="00C6052E">
        <w:t>incurred</w:t>
      </w:r>
      <w:r w:rsidR="00177848" w:rsidRPr="00C6052E">
        <w:t xml:space="preserve"> </w:t>
      </w:r>
      <w:r w:rsidRPr="00C6052E">
        <w:t>but</w:t>
      </w:r>
      <w:r w:rsidR="00177848" w:rsidRPr="00C6052E">
        <w:t xml:space="preserve"> </w:t>
      </w:r>
      <w:r w:rsidRPr="00C6052E">
        <w:t>yet</w:t>
      </w:r>
      <w:r w:rsidR="00177848" w:rsidRPr="00C6052E">
        <w:t xml:space="preserve"> </w:t>
      </w:r>
      <w:r w:rsidRPr="00C6052E">
        <w:t>to</w:t>
      </w:r>
      <w:r w:rsidR="00177848" w:rsidRPr="00C6052E">
        <w:t xml:space="preserve"> </w:t>
      </w:r>
      <w:r w:rsidRPr="00C6052E">
        <w:t>be</w:t>
      </w:r>
      <w:r w:rsidR="00177848" w:rsidRPr="00C6052E">
        <w:t xml:space="preserve"> </w:t>
      </w:r>
      <w:r w:rsidRPr="00C6052E">
        <w:t>paid.</w:t>
      </w:r>
      <w:r w:rsidR="00177848" w:rsidRPr="00C6052E">
        <w:t xml:space="preserve"> </w:t>
      </w:r>
      <w:r w:rsidRPr="00C6052E">
        <w:t>Except</w:t>
      </w:r>
      <w:r w:rsidR="00177848" w:rsidRPr="00C6052E">
        <w:t xml:space="preserve"> </w:t>
      </w:r>
      <w:r w:rsidRPr="00C6052E">
        <w:t>as</w:t>
      </w:r>
      <w:r w:rsidR="00177848" w:rsidRPr="00C6052E">
        <w:t xml:space="preserve"> </w:t>
      </w:r>
      <w:r w:rsidRPr="00C6052E">
        <w:t>otherwise</w:t>
      </w:r>
      <w:r w:rsidR="00177848" w:rsidRPr="00C6052E">
        <w:t xml:space="preserve"> </w:t>
      </w:r>
      <w:r w:rsidRPr="00C6052E">
        <w:t>disclosed,</w:t>
      </w:r>
      <w:r w:rsidR="00177848" w:rsidRPr="00C6052E">
        <w:t xml:space="preserve"> </w:t>
      </w:r>
      <w:r w:rsidRPr="00C6052E">
        <w:t>administered</w:t>
      </w:r>
      <w:r w:rsidR="00177848" w:rsidRPr="00C6052E">
        <w:t xml:space="preserve"> </w:t>
      </w:r>
      <w:r w:rsidRPr="00C6052E">
        <w:t>resources</w:t>
      </w:r>
      <w:r w:rsidR="00177848" w:rsidRPr="00C6052E">
        <w:t xml:space="preserve"> </w:t>
      </w:r>
      <w:r w:rsidRPr="00C6052E">
        <w:t>are</w:t>
      </w:r>
      <w:r w:rsidR="00177848" w:rsidRPr="00C6052E">
        <w:t xml:space="preserve"> </w:t>
      </w:r>
      <w:r w:rsidRPr="00C6052E">
        <w:t>accounted</w:t>
      </w:r>
      <w:r w:rsidR="00177848" w:rsidRPr="00C6052E">
        <w:t xml:space="preserve"> </w:t>
      </w:r>
      <w:r w:rsidRPr="00C6052E">
        <w:t>for</w:t>
      </w:r>
      <w:r w:rsidR="00177848" w:rsidRPr="00C6052E">
        <w:t xml:space="preserve"> </w:t>
      </w:r>
      <w:r w:rsidRPr="00C6052E">
        <w:t>on</w:t>
      </w:r>
      <w:r w:rsidR="00177848" w:rsidRPr="00C6052E">
        <w:t xml:space="preserve"> </w:t>
      </w:r>
      <w:r w:rsidRPr="00C6052E">
        <w:t>an</w:t>
      </w:r>
      <w:r w:rsidR="00177848" w:rsidRPr="00C6052E">
        <w:t xml:space="preserve"> </w:t>
      </w:r>
      <w:r w:rsidRPr="00C6052E">
        <w:t>accrual</w:t>
      </w:r>
      <w:r w:rsidR="00177848" w:rsidRPr="00C6052E">
        <w:t xml:space="preserve"> </w:t>
      </w:r>
      <w:r w:rsidRPr="00C6052E">
        <w:t>basis</w:t>
      </w:r>
      <w:r w:rsidR="00177848" w:rsidRPr="00C6052E">
        <w:t xml:space="preserve"> </w:t>
      </w:r>
      <w:r w:rsidRPr="00C6052E">
        <w:t>using</w:t>
      </w:r>
      <w:r w:rsidR="00177848" w:rsidRPr="00C6052E">
        <w:t xml:space="preserve"> </w:t>
      </w:r>
      <w:r w:rsidRPr="00C6052E">
        <w:t>same</w:t>
      </w:r>
      <w:r w:rsidR="00177848" w:rsidRPr="00C6052E">
        <w:t xml:space="preserve"> </w:t>
      </w:r>
      <w:r w:rsidRPr="00C6052E">
        <w:t>accounting</w:t>
      </w:r>
      <w:r w:rsidR="00177848" w:rsidRPr="00C6052E">
        <w:t xml:space="preserve"> </w:t>
      </w:r>
      <w:r w:rsidRPr="00C6052E">
        <w:t>policies</w:t>
      </w:r>
      <w:r w:rsidR="00177848" w:rsidRPr="00C6052E">
        <w:t xml:space="preserve"> </w:t>
      </w:r>
      <w:r w:rsidRPr="00C6052E">
        <w:t>adopted</w:t>
      </w:r>
      <w:r w:rsidR="00177848" w:rsidRPr="00C6052E">
        <w:t xml:space="preserve"> </w:t>
      </w:r>
      <w:r w:rsidRPr="00C6052E">
        <w:t>for</w:t>
      </w:r>
      <w:r w:rsidR="00177848" w:rsidRPr="00C6052E">
        <w:t xml:space="preserve"> </w:t>
      </w:r>
      <w:r w:rsidRPr="00C6052E">
        <w:t>recognition</w:t>
      </w:r>
      <w:r w:rsidR="00177848" w:rsidRPr="00C6052E">
        <w:t xml:space="preserve"> </w:t>
      </w:r>
      <w:r w:rsidRPr="00C6052E">
        <w:t>of</w:t>
      </w:r>
      <w:r w:rsidR="00177848" w:rsidRPr="00C6052E">
        <w:t xml:space="preserve"> </w:t>
      </w:r>
      <w:r w:rsidRPr="00C6052E">
        <w:t>the</w:t>
      </w:r>
      <w:r w:rsidR="00177848" w:rsidRPr="00C6052E">
        <w:t xml:space="preserve"> </w:t>
      </w:r>
      <w:r w:rsidRPr="00C6052E">
        <w:t>departmental</w:t>
      </w:r>
      <w:r w:rsidR="00177848" w:rsidRPr="00C6052E">
        <w:t xml:space="preserve"> </w:t>
      </w:r>
      <w:r w:rsidRPr="00C6052E">
        <w:t>items</w:t>
      </w:r>
      <w:r w:rsidR="00177848" w:rsidRPr="00C6052E">
        <w:t xml:space="preserve"> </w:t>
      </w:r>
      <w:r w:rsidRPr="00C6052E">
        <w:t>in</w:t>
      </w:r>
      <w:r w:rsidR="00177848" w:rsidRPr="00C6052E">
        <w:t xml:space="preserve"> </w:t>
      </w:r>
      <w:r w:rsidRPr="00C6052E">
        <w:t>the</w:t>
      </w:r>
      <w:r w:rsidR="00177848" w:rsidRPr="00C6052E">
        <w:t xml:space="preserve"> </w:t>
      </w:r>
      <w:r w:rsidRPr="00C6052E">
        <w:t>financial</w:t>
      </w:r>
      <w:r w:rsidR="00177848" w:rsidRPr="00C6052E">
        <w:t xml:space="preserve"> </w:t>
      </w:r>
      <w:r w:rsidRPr="00C6052E">
        <w:t>statements.</w:t>
      </w:r>
      <w:r w:rsidR="00177848" w:rsidRPr="00C6052E">
        <w:t xml:space="preserve"> </w:t>
      </w:r>
      <w:r w:rsidRPr="00C6052E">
        <w:t>Both</w:t>
      </w:r>
      <w:r w:rsidR="00177848" w:rsidRPr="00C6052E">
        <w:t xml:space="preserve"> </w:t>
      </w:r>
      <w:r w:rsidRPr="00C6052E">
        <w:t>controlled</w:t>
      </w:r>
      <w:r w:rsidR="00177848" w:rsidRPr="00C6052E">
        <w:t xml:space="preserve"> </w:t>
      </w:r>
      <w:r w:rsidRPr="00C6052E">
        <w:t>and</w:t>
      </w:r>
      <w:r w:rsidR="00177848" w:rsidRPr="00C6052E">
        <w:t xml:space="preserve"> </w:t>
      </w:r>
      <w:r w:rsidRPr="00C6052E">
        <w:t>administered</w:t>
      </w:r>
      <w:r w:rsidR="00177848" w:rsidRPr="00C6052E">
        <w:t xml:space="preserve"> </w:t>
      </w:r>
      <w:r w:rsidRPr="00C6052E">
        <w:t>items</w:t>
      </w:r>
      <w:r w:rsidR="00177848" w:rsidRPr="00C6052E">
        <w:t xml:space="preserve"> </w:t>
      </w:r>
      <w:r w:rsidRPr="00C6052E">
        <w:t>of</w:t>
      </w:r>
      <w:r w:rsidR="00177848" w:rsidRPr="00C6052E">
        <w:t xml:space="preserve"> </w:t>
      </w:r>
      <w:r w:rsidRPr="00C6052E">
        <w:t>DJSIR</w:t>
      </w:r>
      <w:r w:rsidR="00177848" w:rsidRPr="00C6052E">
        <w:t xml:space="preserve"> </w:t>
      </w:r>
      <w:r w:rsidRPr="00C6052E">
        <w:t>are</w:t>
      </w:r>
      <w:r w:rsidR="00177848" w:rsidRPr="00C6052E">
        <w:t xml:space="preserve"> </w:t>
      </w:r>
      <w:r w:rsidRPr="00C6052E">
        <w:t>consolidated</w:t>
      </w:r>
      <w:r w:rsidR="00177848" w:rsidRPr="00C6052E">
        <w:t xml:space="preserve"> </w:t>
      </w:r>
      <w:r w:rsidRPr="00C6052E">
        <w:t>into</w:t>
      </w:r>
      <w:r w:rsidR="00177848" w:rsidRPr="00C6052E">
        <w:t xml:space="preserve"> </w:t>
      </w:r>
      <w:r w:rsidRPr="00C6052E">
        <w:t>the</w:t>
      </w:r>
      <w:r w:rsidR="00177848" w:rsidRPr="00C6052E">
        <w:t xml:space="preserve"> </w:t>
      </w:r>
      <w:r w:rsidRPr="00C6052E">
        <w:t>financial</w:t>
      </w:r>
      <w:r w:rsidR="00177848" w:rsidRPr="00C6052E">
        <w:t xml:space="preserve"> </w:t>
      </w:r>
      <w:r w:rsidRPr="00C6052E">
        <w:t>statements</w:t>
      </w:r>
      <w:r w:rsidR="00177848" w:rsidRPr="00C6052E">
        <w:t xml:space="preserve"> </w:t>
      </w:r>
      <w:r w:rsidRPr="00C6052E">
        <w:t>of</w:t>
      </w:r>
      <w:r w:rsidR="00177848" w:rsidRPr="00C6052E">
        <w:t xml:space="preserve"> </w:t>
      </w:r>
      <w:r w:rsidRPr="00C6052E">
        <w:t>the</w:t>
      </w:r>
      <w:r w:rsidR="00177848" w:rsidRPr="00C6052E">
        <w:t xml:space="preserve"> </w:t>
      </w:r>
      <w:r w:rsidRPr="00C6052E">
        <w:t>State.</w:t>
      </w:r>
    </w:p>
    <w:p w14:paraId="37CF027E" w14:textId="7ADBA5B9" w:rsidR="00EE5BB8" w:rsidRPr="00C6052E" w:rsidRDefault="00EE5BB8" w:rsidP="00EE5BB8">
      <w:r w:rsidRPr="00C6052E">
        <w:t>DJSIR</w:t>
      </w:r>
      <w:r w:rsidR="00177848" w:rsidRPr="00C6052E">
        <w:t xml:space="preserve"> </w:t>
      </w:r>
      <w:r w:rsidRPr="00C6052E">
        <w:t>does</w:t>
      </w:r>
      <w:r w:rsidR="00177848" w:rsidRPr="00C6052E">
        <w:t xml:space="preserve"> </w:t>
      </w:r>
      <w:r w:rsidRPr="00C6052E">
        <w:t>not</w:t>
      </w:r>
      <w:r w:rsidR="00177848" w:rsidRPr="00C6052E">
        <w:t xml:space="preserve"> </w:t>
      </w:r>
      <w:r w:rsidRPr="00C6052E">
        <w:t>gain</w:t>
      </w:r>
      <w:r w:rsidR="00177848" w:rsidRPr="00C6052E">
        <w:t xml:space="preserve"> </w:t>
      </w:r>
      <w:r w:rsidRPr="00C6052E">
        <w:t>control</w:t>
      </w:r>
      <w:r w:rsidR="00177848" w:rsidRPr="00C6052E">
        <w:t xml:space="preserve"> </w:t>
      </w:r>
      <w:r w:rsidRPr="00C6052E">
        <w:t>over</w:t>
      </w:r>
      <w:r w:rsidR="00177848" w:rsidRPr="00C6052E">
        <w:t xml:space="preserve"> </w:t>
      </w:r>
      <w:r w:rsidRPr="00C6052E">
        <w:t>assets</w:t>
      </w:r>
      <w:r w:rsidR="00177848" w:rsidRPr="00C6052E">
        <w:t xml:space="preserve"> </w:t>
      </w:r>
      <w:r w:rsidRPr="00C6052E">
        <w:t>arising</w:t>
      </w:r>
      <w:r w:rsidR="00177848" w:rsidRPr="00C6052E">
        <w:t xml:space="preserve"> </w:t>
      </w:r>
      <w:r w:rsidRPr="00C6052E">
        <w:t>from</w:t>
      </w:r>
      <w:r w:rsidR="00177848" w:rsidRPr="00C6052E">
        <w:t xml:space="preserve"> </w:t>
      </w:r>
      <w:r w:rsidRPr="00C6052E">
        <w:t>taxes,</w:t>
      </w:r>
      <w:r w:rsidR="00177848" w:rsidRPr="00C6052E">
        <w:t xml:space="preserve"> </w:t>
      </w:r>
      <w:r w:rsidRPr="00C6052E">
        <w:t>fines</w:t>
      </w:r>
      <w:r w:rsidR="00177848" w:rsidRPr="00C6052E">
        <w:t xml:space="preserve"> </w:t>
      </w:r>
      <w:r w:rsidRPr="00C6052E">
        <w:t>and</w:t>
      </w:r>
      <w:r w:rsidR="00177848" w:rsidRPr="00C6052E">
        <w:t xml:space="preserve"> </w:t>
      </w:r>
      <w:r w:rsidRPr="00C6052E">
        <w:t>regulatory</w:t>
      </w:r>
      <w:r w:rsidR="00177848" w:rsidRPr="00C6052E">
        <w:t xml:space="preserve"> </w:t>
      </w:r>
      <w:r w:rsidRPr="00C6052E">
        <w:t>fees,</w:t>
      </w:r>
      <w:r w:rsidR="00177848" w:rsidRPr="00C6052E">
        <w:t xml:space="preserve"> </w:t>
      </w:r>
      <w:r w:rsidRPr="00C6052E">
        <w:t>consequently</w:t>
      </w:r>
      <w:r w:rsidR="00177848" w:rsidRPr="00C6052E">
        <w:t xml:space="preserve"> </w:t>
      </w:r>
      <w:r w:rsidRPr="00C6052E">
        <w:t>no</w:t>
      </w:r>
      <w:r w:rsidR="00177848" w:rsidRPr="00C6052E">
        <w:t xml:space="preserve"> </w:t>
      </w:r>
      <w:r w:rsidRPr="00C6052E">
        <w:t>income</w:t>
      </w:r>
      <w:r w:rsidR="00177848" w:rsidRPr="00C6052E">
        <w:t xml:space="preserve"> </w:t>
      </w:r>
      <w:r w:rsidRPr="00C6052E">
        <w:t>is</w:t>
      </w:r>
      <w:r w:rsidR="00177848" w:rsidRPr="00C6052E">
        <w:t xml:space="preserve"> </w:t>
      </w:r>
      <w:r w:rsidRPr="00C6052E">
        <w:t>recognised</w:t>
      </w:r>
      <w:r w:rsidR="00177848" w:rsidRPr="00C6052E">
        <w:t xml:space="preserve"> </w:t>
      </w:r>
      <w:r w:rsidRPr="00C6052E">
        <w:t>in</w:t>
      </w:r>
      <w:r w:rsidR="00177848" w:rsidRPr="00C6052E">
        <w:t xml:space="preserve"> </w:t>
      </w:r>
      <w:r w:rsidRPr="00C6052E">
        <w:t>DJSIR’s</w:t>
      </w:r>
      <w:r w:rsidR="00177848" w:rsidRPr="00C6052E">
        <w:t xml:space="preserve"> </w:t>
      </w:r>
      <w:r w:rsidRPr="00C6052E">
        <w:t>financial</w:t>
      </w:r>
      <w:r w:rsidR="00177848" w:rsidRPr="00C6052E">
        <w:t xml:space="preserve"> </w:t>
      </w:r>
      <w:r w:rsidRPr="00C6052E">
        <w:t>statements.</w:t>
      </w:r>
      <w:r w:rsidR="00177848" w:rsidRPr="00C6052E">
        <w:t xml:space="preserve"> </w:t>
      </w:r>
      <w:r w:rsidRPr="00C6052E">
        <w:t>DJSIR</w:t>
      </w:r>
      <w:r w:rsidR="00177848" w:rsidRPr="00C6052E">
        <w:t xml:space="preserve"> </w:t>
      </w:r>
      <w:r w:rsidRPr="00C6052E">
        <w:t>collects</w:t>
      </w:r>
      <w:r w:rsidR="00177848" w:rsidRPr="00C6052E">
        <w:t xml:space="preserve"> </w:t>
      </w:r>
      <w:r w:rsidRPr="00C6052E">
        <w:t>these</w:t>
      </w:r>
      <w:r w:rsidR="00177848" w:rsidRPr="00C6052E">
        <w:t xml:space="preserve"> </w:t>
      </w:r>
      <w:r w:rsidRPr="00C6052E">
        <w:t>amounts</w:t>
      </w:r>
      <w:r w:rsidR="00177848" w:rsidRPr="00C6052E">
        <w:t xml:space="preserve"> </w:t>
      </w:r>
      <w:r w:rsidRPr="00C6052E">
        <w:t>on</w:t>
      </w:r>
      <w:r w:rsidR="00177848" w:rsidRPr="00C6052E">
        <w:t xml:space="preserve"> </w:t>
      </w:r>
      <w:r w:rsidRPr="00C6052E">
        <w:t>behalf</w:t>
      </w:r>
      <w:r w:rsidR="00177848" w:rsidRPr="00C6052E">
        <w:t xml:space="preserve"> </w:t>
      </w:r>
      <w:r w:rsidRPr="00C6052E">
        <w:t>of</w:t>
      </w:r>
      <w:r w:rsidR="00177848" w:rsidRPr="00C6052E">
        <w:t xml:space="preserve"> </w:t>
      </w:r>
      <w:r w:rsidRPr="00C6052E">
        <w:t>the</w:t>
      </w:r>
      <w:r w:rsidR="00177848" w:rsidRPr="00C6052E">
        <w:t xml:space="preserve"> </w:t>
      </w:r>
      <w:r w:rsidRPr="00C6052E">
        <w:t>State.</w:t>
      </w:r>
      <w:r w:rsidR="00177848" w:rsidRPr="00C6052E">
        <w:t xml:space="preserve"> </w:t>
      </w:r>
      <w:r w:rsidRPr="00C6052E">
        <w:t>Accordingly,</w:t>
      </w:r>
      <w:r w:rsidR="00177848" w:rsidRPr="00C6052E">
        <w:t xml:space="preserve"> </w:t>
      </w:r>
      <w:r w:rsidRPr="00C6052E">
        <w:t>transactions</w:t>
      </w:r>
      <w:r w:rsidR="00177848" w:rsidRPr="00C6052E">
        <w:t xml:space="preserve"> </w:t>
      </w:r>
      <w:r w:rsidRPr="00C6052E">
        <w:t>and</w:t>
      </w:r>
      <w:r w:rsidR="00177848" w:rsidRPr="00C6052E">
        <w:t xml:space="preserve"> </w:t>
      </w:r>
      <w:r w:rsidRPr="00C6052E">
        <w:t>balances</w:t>
      </w:r>
      <w:r w:rsidR="00177848" w:rsidRPr="00C6052E">
        <w:t xml:space="preserve"> </w:t>
      </w:r>
      <w:r w:rsidRPr="00C6052E">
        <w:t>relating</w:t>
      </w:r>
      <w:r w:rsidR="00177848" w:rsidRPr="00C6052E">
        <w:t xml:space="preserve"> </w:t>
      </w:r>
      <w:r w:rsidRPr="00C6052E">
        <w:t>to</w:t>
      </w:r>
      <w:r w:rsidR="00177848" w:rsidRPr="00C6052E">
        <w:t xml:space="preserve"> </w:t>
      </w:r>
      <w:r w:rsidRPr="00C6052E">
        <w:t>these</w:t>
      </w:r>
      <w:r w:rsidR="00177848" w:rsidRPr="00C6052E">
        <w:t xml:space="preserve"> </w:t>
      </w:r>
      <w:r w:rsidRPr="00C6052E">
        <w:t>administered</w:t>
      </w:r>
      <w:r w:rsidR="00177848" w:rsidRPr="00C6052E">
        <w:t xml:space="preserve"> </w:t>
      </w:r>
      <w:r w:rsidRPr="00C6052E">
        <w:t>resources</w:t>
      </w:r>
      <w:r w:rsidR="00177848" w:rsidRPr="00C6052E">
        <w:t xml:space="preserve"> </w:t>
      </w:r>
      <w:r w:rsidRPr="00C6052E">
        <w:t>are</w:t>
      </w:r>
      <w:r w:rsidR="00177848" w:rsidRPr="00C6052E">
        <w:t xml:space="preserve"> </w:t>
      </w:r>
      <w:r w:rsidRPr="00C6052E">
        <w:t>not</w:t>
      </w:r>
      <w:r w:rsidR="00177848" w:rsidRPr="00C6052E">
        <w:t xml:space="preserve"> </w:t>
      </w:r>
      <w:r w:rsidRPr="00C6052E">
        <w:t>recognised</w:t>
      </w:r>
      <w:r w:rsidR="00177848" w:rsidRPr="00C6052E">
        <w:t xml:space="preserve"> </w:t>
      </w:r>
      <w:r w:rsidRPr="00C6052E">
        <w:t>as</w:t>
      </w:r>
      <w:r w:rsidR="00177848" w:rsidRPr="00C6052E">
        <w:t xml:space="preserve"> </w:t>
      </w:r>
      <w:r w:rsidRPr="00C6052E">
        <w:t>departmental</w:t>
      </w:r>
      <w:r w:rsidR="00177848" w:rsidRPr="00C6052E">
        <w:t xml:space="preserve"> </w:t>
      </w:r>
      <w:r w:rsidRPr="00C6052E">
        <w:t>income,</w:t>
      </w:r>
      <w:r w:rsidR="00177848" w:rsidRPr="00C6052E">
        <w:t xml:space="preserve"> </w:t>
      </w:r>
      <w:r w:rsidRPr="00C6052E">
        <w:t>expenses,</w:t>
      </w:r>
      <w:r w:rsidR="00177848" w:rsidRPr="00C6052E">
        <w:t xml:space="preserve"> </w:t>
      </w:r>
      <w:r w:rsidRPr="00C6052E">
        <w:t>assets</w:t>
      </w:r>
      <w:r w:rsidR="00177848" w:rsidRPr="00C6052E">
        <w:t xml:space="preserve"> </w:t>
      </w:r>
      <w:r w:rsidRPr="00C6052E">
        <w:t>or</w:t>
      </w:r>
      <w:r w:rsidR="00177848" w:rsidRPr="00C6052E">
        <w:t xml:space="preserve"> </w:t>
      </w:r>
      <w:r w:rsidRPr="00C6052E">
        <w:t>liabilities</w:t>
      </w:r>
      <w:r w:rsidR="00177848" w:rsidRPr="00C6052E">
        <w:t xml:space="preserve"> </w:t>
      </w:r>
      <w:r w:rsidRPr="00C6052E">
        <w:t>within</w:t>
      </w:r>
      <w:r w:rsidR="00177848" w:rsidRPr="00C6052E">
        <w:t xml:space="preserve"> </w:t>
      </w:r>
      <w:r w:rsidRPr="00C6052E">
        <w:t>the</w:t>
      </w:r>
      <w:r w:rsidR="00177848" w:rsidRPr="00C6052E">
        <w:t xml:space="preserve"> </w:t>
      </w:r>
      <w:r w:rsidRPr="00C6052E">
        <w:t>body</w:t>
      </w:r>
      <w:r w:rsidR="00177848" w:rsidRPr="00C6052E">
        <w:t xml:space="preserve"> </w:t>
      </w:r>
      <w:r w:rsidRPr="00C6052E">
        <w:t>of</w:t>
      </w:r>
      <w:r w:rsidR="00177848" w:rsidRPr="00C6052E">
        <w:t xml:space="preserve"> </w:t>
      </w:r>
      <w:r w:rsidRPr="00C6052E">
        <w:t>the</w:t>
      </w:r>
      <w:r w:rsidR="00177848" w:rsidRPr="00C6052E">
        <w:t xml:space="preserve"> </w:t>
      </w:r>
      <w:r w:rsidRPr="00C6052E">
        <w:t>financial</w:t>
      </w:r>
      <w:r w:rsidR="00177848" w:rsidRPr="00C6052E">
        <w:t xml:space="preserve"> </w:t>
      </w:r>
      <w:r w:rsidRPr="00C6052E">
        <w:t>statements,</w:t>
      </w:r>
      <w:r w:rsidR="00177848" w:rsidRPr="00C6052E">
        <w:t xml:space="preserve"> </w:t>
      </w:r>
      <w:r w:rsidRPr="00C6052E">
        <w:t>but</w:t>
      </w:r>
      <w:r w:rsidR="00177848" w:rsidRPr="00C6052E">
        <w:t xml:space="preserve"> </w:t>
      </w:r>
      <w:r w:rsidRPr="00C6052E">
        <w:t>are</w:t>
      </w:r>
      <w:r w:rsidR="00177848" w:rsidRPr="00C6052E">
        <w:t xml:space="preserve"> </w:t>
      </w:r>
      <w:r w:rsidRPr="00C6052E">
        <w:t>disclosed</w:t>
      </w:r>
      <w:r w:rsidR="00177848" w:rsidRPr="00C6052E">
        <w:t xml:space="preserve"> </w:t>
      </w:r>
      <w:r w:rsidRPr="00C6052E">
        <w:t>separately</w:t>
      </w:r>
      <w:r w:rsidR="00177848" w:rsidRPr="00C6052E">
        <w:t xml:space="preserve"> </w:t>
      </w:r>
      <w:r w:rsidRPr="00C6052E">
        <w:t>in</w:t>
      </w:r>
      <w:r w:rsidR="00177848" w:rsidRPr="00C6052E">
        <w:t xml:space="preserve"> </w:t>
      </w:r>
      <w:r w:rsidRPr="00C6052E">
        <w:t>Notes</w:t>
      </w:r>
      <w:r w:rsidR="00177848" w:rsidRPr="00C6052E">
        <w:t xml:space="preserve"> </w:t>
      </w:r>
      <w:r w:rsidRPr="00C6052E">
        <w:fldChar w:fldCharType="begin"/>
      </w:r>
      <w:r w:rsidRPr="00C6052E">
        <w:instrText xml:space="preserve"> REF _Ref161823125 \r \h  \* MERGEFORMAT </w:instrText>
      </w:r>
      <w:r w:rsidRPr="00C6052E">
        <w:fldChar w:fldCharType="separate"/>
      </w:r>
      <w:r w:rsidRPr="00C6052E">
        <w:t>4.2.2</w:t>
      </w:r>
      <w:r w:rsidRPr="00C6052E">
        <w:fldChar w:fldCharType="end"/>
      </w:r>
      <w:r w:rsidR="00177848" w:rsidRPr="00C6052E">
        <w:t xml:space="preserve"> </w:t>
      </w:r>
      <w:r w:rsidRPr="00C6052E">
        <w:t>and</w:t>
      </w:r>
      <w:r w:rsidR="00177848" w:rsidRPr="00C6052E">
        <w:t xml:space="preserve"> </w:t>
      </w:r>
      <w:r w:rsidRPr="00C6052E">
        <w:fldChar w:fldCharType="begin"/>
      </w:r>
      <w:r w:rsidRPr="00C6052E">
        <w:instrText xml:space="preserve"> REF _Ref161823785 \r \h </w:instrText>
      </w:r>
      <w:r w:rsidRPr="00C6052E">
        <w:fldChar w:fldCharType="separate"/>
      </w:r>
      <w:r w:rsidRPr="00C6052E">
        <w:t>4.2.3</w:t>
      </w:r>
      <w:r w:rsidRPr="00C6052E">
        <w:fldChar w:fldCharType="end"/>
      </w:r>
      <w:r w:rsidRPr="00C6052E">
        <w:t>.</w:t>
      </w:r>
    </w:p>
    <w:p w14:paraId="1B9F7218" w14:textId="77777777" w:rsidR="00EE5BB8" w:rsidRPr="00C6052E" w:rsidRDefault="00EE5BB8" w:rsidP="00EE5BB8">
      <w:pPr>
        <w:sectPr w:rsidR="00EE5BB8" w:rsidRPr="00C6052E" w:rsidSect="00EE5BB8">
          <w:headerReference w:type="even" r:id="rId21"/>
          <w:endnotePr>
            <w:numFmt w:val="decimal"/>
          </w:endnotePr>
          <w:pgSz w:w="11907" w:h="16840" w:code="9"/>
          <w:pgMar w:top="1134" w:right="1134" w:bottom="1134" w:left="1134" w:header="567" w:footer="567" w:gutter="0"/>
          <w:cols w:space="708"/>
          <w:docGrid w:linePitch="360"/>
        </w:sectPr>
      </w:pPr>
    </w:p>
    <w:p w14:paraId="4EE8BFC9" w14:textId="3ED64A46" w:rsidR="00EE5BB8" w:rsidRPr="00C6052E" w:rsidRDefault="00EE5BB8" w:rsidP="000C0740">
      <w:pPr>
        <w:pStyle w:val="Heading3numbered0"/>
      </w:pPr>
      <w:bookmarkStart w:id="210" w:name="_Ref161823125"/>
      <w:r w:rsidRPr="00C6052E">
        <w:lastRenderedPageBreak/>
        <w:t>Administered</w:t>
      </w:r>
      <w:r w:rsidR="00177848" w:rsidRPr="00C6052E">
        <w:t xml:space="preserve"> </w:t>
      </w:r>
      <w:r w:rsidRPr="00C6052E">
        <w:t>revenue</w:t>
      </w:r>
      <w:r w:rsidR="00177848" w:rsidRPr="00C6052E">
        <w:t xml:space="preserve"> </w:t>
      </w:r>
      <w:r w:rsidRPr="00C6052E">
        <w:t>and</w:t>
      </w:r>
      <w:r w:rsidR="00177848" w:rsidRPr="00C6052E">
        <w:t xml:space="preserve"> </w:t>
      </w:r>
      <w:r w:rsidRPr="00C6052E">
        <w:t>income</w:t>
      </w:r>
      <w:r w:rsidR="00177848" w:rsidRPr="00C6052E">
        <w:t xml:space="preserve"> </w:t>
      </w:r>
      <w:r w:rsidRPr="00C6052E">
        <w:t>and</w:t>
      </w:r>
      <w:r w:rsidR="00177848" w:rsidRPr="00C6052E">
        <w:t xml:space="preserve"> </w:t>
      </w:r>
      <w:r w:rsidRPr="00C6052E">
        <w:t>expenses</w:t>
      </w:r>
      <w:r w:rsidR="00177848" w:rsidRPr="00C6052E">
        <w:t xml:space="preserve"> </w:t>
      </w:r>
      <w:r w:rsidRPr="00C6052E">
        <w:t>for</w:t>
      </w:r>
      <w:r w:rsidR="00177848" w:rsidRPr="00C6052E">
        <w:t xml:space="preserve"> </w:t>
      </w:r>
      <w:r w:rsidRPr="00C6052E">
        <w:t>the</w:t>
      </w:r>
      <w:r w:rsidR="00177848" w:rsidRPr="00C6052E">
        <w:t xml:space="preserve"> </w:t>
      </w:r>
      <w:r w:rsidRPr="00C6052E">
        <w:t>year</w:t>
      </w:r>
      <w:r w:rsidR="00177848" w:rsidRPr="00C6052E">
        <w:t xml:space="preserve"> </w:t>
      </w:r>
      <w:r w:rsidRPr="00C6052E">
        <w:t>ended</w:t>
      </w:r>
      <w:r w:rsidR="00177848" w:rsidRPr="00C6052E">
        <w:t xml:space="preserve"> </w:t>
      </w:r>
      <w:fldSimple w:instr=" DOCPROPERTY  pEnd  \* MERGEFORMAT ">
        <w:r w:rsidRPr="00C6052E">
          <w:t>30</w:t>
        </w:r>
        <w:r w:rsidR="00177848" w:rsidRPr="00C6052E">
          <w:t xml:space="preserve"> </w:t>
        </w:r>
        <w:r w:rsidRPr="00C6052E">
          <w:t>June</w:t>
        </w:r>
      </w:fldSimple>
      <w:r w:rsidR="00177848" w:rsidRPr="00C6052E">
        <w:t xml:space="preserve"> </w:t>
      </w:r>
      <w:fldSimple w:instr=" DOCPROPERTY  crYear_A  \* MERGEFORMAT ">
        <w:r w:rsidRPr="00C6052E">
          <w:t>2025</w:t>
        </w:r>
      </w:fldSimple>
      <w:r w:rsidR="00177848" w:rsidRPr="00C6052E">
        <w:t xml:space="preserve"> </w:t>
      </w:r>
      <w:r w:rsidRPr="00C6052E">
        <w:t>DJSIR</w:t>
      </w:r>
      <w:r w:rsidR="00177848" w:rsidRPr="00C6052E">
        <w:t xml:space="preserve"> </w:t>
      </w:r>
      <w:r w:rsidRPr="00C6052E">
        <w:t>Outputs</w:t>
      </w:r>
      <w:bookmarkEnd w:id="210"/>
      <w:r w:rsidR="00114908">
        <w:t xml:space="preserve"> </w:t>
      </w:r>
      <w:r w:rsidR="00114908" w:rsidRPr="00C6052E">
        <w:t>($ thousand)</w:t>
      </w:r>
    </w:p>
    <w:tbl>
      <w:tblPr>
        <w:tblStyle w:val="TableGrid"/>
        <w:tblW w:w="14763" w:type="dxa"/>
        <w:tblLayout w:type="fixed"/>
        <w:tblLook w:val="04E0" w:firstRow="1" w:lastRow="1" w:firstColumn="1" w:lastColumn="0" w:noHBand="0" w:noVBand="1"/>
      </w:tblPr>
      <w:tblGrid>
        <w:gridCol w:w="4673"/>
        <w:gridCol w:w="1247"/>
        <w:gridCol w:w="1247"/>
        <w:gridCol w:w="1304"/>
        <w:gridCol w:w="1304"/>
        <w:gridCol w:w="1077"/>
        <w:gridCol w:w="1077"/>
        <w:gridCol w:w="1417"/>
        <w:gridCol w:w="1417"/>
      </w:tblGrid>
      <w:tr w:rsidR="00EE5BB8" w:rsidRPr="00C6052E" w14:paraId="366237D7" w14:textId="77777777" w:rsidTr="004450EB">
        <w:trPr>
          <w:tblHeader/>
        </w:trPr>
        <w:tc>
          <w:tcPr>
            <w:tcW w:w="4673" w:type="dxa"/>
            <w:noWrap/>
            <w:hideMark/>
          </w:tcPr>
          <w:p w14:paraId="2463FC48" w14:textId="77777777" w:rsidR="00EE5BB8" w:rsidRPr="00C6052E" w:rsidRDefault="00EE5BB8" w:rsidP="00C34F64">
            <w:pPr>
              <w:pStyle w:val="TableColumnHeading"/>
            </w:pPr>
            <w:bookmarkStart w:id="211" w:name="TableColumnHeadings_62"/>
            <w:bookmarkEnd w:id="211"/>
          </w:p>
        </w:tc>
        <w:tc>
          <w:tcPr>
            <w:tcW w:w="1247" w:type="dxa"/>
            <w:hideMark/>
          </w:tcPr>
          <w:p w14:paraId="2AD22701" w14:textId="11B133DC" w:rsidR="00EE5BB8" w:rsidRPr="00C6052E" w:rsidRDefault="004450EB" w:rsidP="00B515DB">
            <w:pPr>
              <w:pStyle w:val="TableColumnHeading"/>
              <w:jc w:val="right"/>
            </w:pPr>
            <w:r w:rsidRPr="00C6052E">
              <w:rPr>
                <w:lang w:val="en-AU"/>
              </w:rPr>
              <w:t>Creative Industries Portfolio Agencies</w:t>
            </w:r>
            <w:r>
              <w:rPr>
                <w:lang w:val="en-AU"/>
              </w:rPr>
              <w:br/>
            </w:r>
            <w:r w:rsidR="00EE5BB8" w:rsidRPr="00C6052E">
              <w:t>2025</w:t>
            </w:r>
          </w:p>
        </w:tc>
        <w:tc>
          <w:tcPr>
            <w:tcW w:w="1247" w:type="dxa"/>
            <w:hideMark/>
          </w:tcPr>
          <w:p w14:paraId="5B2F2AD4" w14:textId="192D4E56" w:rsidR="00EE5BB8" w:rsidRPr="00C6052E" w:rsidRDefault="004450EB" w:rsidP="00B515DB">
            <w:pPr>
              <w:pStyle w:val="TableColumnHeading"/>
              <w:jc w:val="right"/>
            </w:pPr>
            <w:r w:rsidRPr="00C6052E">
              <w:rPr>
                <w:lang w:val="en-AU"/>
              </w:rPr>
              <w:t>Creative Industries Portfolio Agencies</w:t>
            </w:r>
            <w:r>
              <w:rPr>
                <w:lang w:val="en-AU"/>
              </w:rPr>
              <w:br/>
            </w:r>
            <w:r w:rsidR="00EE5BB8" w:rsidRPr="00C6052E">
              <w:t>2024</w:t>
            </w:r>
          </w:p>
        </w:tc>
        <w:tc>
          <w:tcPr>
            <w:tcW w:w="1304" w:type="dxa"/>
            <w:hideMark/>
          </w:tcPr>
          <w:p w14:paraId="3B8ADC36" w14:textId="2869989E" w:rsidR="00EE5BB8" w:rsidRPr="00C6052E" w:rsidRDefault="004450EB" w:rsidP="00B515DB">
            <w:pPr>
              <w:pStyle w:val="TableColumnHeading"/>
              <w:jc w:val="right"/>
            </w:pPr>
            <w:r w:rsidRPr="00C6052E">
              <w:rPr>
                <w:lang w:val="en-AU"/>
              </w:rPr>
              <w:t>Industry, Small Business and Medical Research</w:t>
            </w:r>
            <w:r>
              <w:rPr>
                <w:lang w:val="en-AU"/>
              </w:rPr>
              <w:br/>
            </w:r>
            <w:r w:rsidR="00EE5BB8" w:rsidRPr="00C6052E">
              <w:t>2025</w:t>
            </w:r>
          </w:p>
        </w:tc>
        <w:tc>
          <w:tcPr>
            <w:tcW w:w="1304" w:type="dxa"/>
            <w:hideMark/>
          </w:tcPr>
          <w:p w14:paraId="592ECB3F" w14:textId="54E43F4B" w:rsidR="00EE5BB8" w:rsidRPr="00C6052E" w:rsidRDefault="004450EB" w:rsidP="00B515DB">
            <w:pPr>
              <w:pStyle w:val="TableColumnHeading"/>
              <w:jc w:val="right"/>
            </w:pPr>
            <w:r w:rsidRPr="00C6052E">
              <w:rPr>
                <w:lang w:val="en-AU"/>
              </w:rPr>
              <w:t>Industry, Small Business and Medical Research</w:t>
            </w:r>
            <w:r>
              <w:rPr>
                <w:lang w:val="en-AU"/>
              </w:rPr>
              <w:br/>
            </w:r>
            <w:r w:rsidR="00EE5BB8" w:rsidRPr="00C6052E">
              <w:t>2024</w:t>
            </w:r>
          </w:p>
        </w:tc>
        <w:tc>
          <w:tcPr>
            <w:tcW w:w="1077" w:type="dxa"/>
            <w:hideMark/>
          </w:tcPr>
          <w:p w14:paraId="73382299" w14:textId="1EA97F68" w:rsidR="00EE5BB8" w:rsidRPr="00C6052E" w:rsidRDefault="004450EB" w:rsidP="00B515DB">
            <w:pPr>
              <w:pStyle w:val="TableColumnHeading"/>
              <w:jc w:val="right"/>
            </w:pPr>
            <w:r w:rsidRPr="00C6052E">
              <w:t>Jobs</w:t>
            </w:r>
            <w:r>
              <w:br/>
            </w:r>
            <w:r w:rsidR="00EE5BB8" w:rsidRPr="00C6052E">
              <w:t>2025</w:t>
            </w:r>
          </w:p>
        </w:tc>
        <w:tc>
          <w:tcPr>
            <w:tcW w:w="1077" w:type="dxa"/>
            <w:hideMark/>
          </w:tcPr>
          <w:p w14:paraId="4B944B4E" w14:textId="237707F5" w:rsidR="00EE5BB8" w:rsidRPr="00C6052E" w:rsidRDefault="004450EB" w:rsidP="00B515DB">
            <w:pPr>
              <w:pStyle w:val="TableColumnHeading"/>
              <w:jc w:val="right"/>
            </w:pPr>
            <w:r w:rsidRPr="00C6052E">
              <w:t>Jobs</w:t>
            </w:r>
            <w:r>
              <w:br/>
            </w:r>
            <w:r w:rsidR="00EE5BB8" w:rsidRPr="00C6052E">
              <w:t>2024</w:t>
            </w:r>
          </w:p>
        </w:tc>
        <w:tc>
          <w:tcPr>
            <w:tcW w:w="1417" w:type="dxa"/>
            <w:hideMark/>
          </w:tcPr>
          <w:p w14:paraId="1319D5C4" w14:textId="045A2C27" w:rsidR="00EE5BB8" w:rsidRPr="00C6052E" w:rsidRDefault="004450EB" w:rsidP="00B515DB">
            <w:pPr>
              <w:pStyle w:val="TableColumnHeading"/>
              <w:jc w:val="right"/>
            </w:pPr>
            <w:r w:rsidRPr="00C6052E">
              <w:rPr>
                <w:lang w:val="en-AU"/>
              </w:rPr>
              <w:t>Regional Development</w:t>
            </w:r>
            <w:r>
              <w:br/>
            </w:r>
            <w:r w:rsidR="00EE5BB8" w:rsidRPr="00C6052E">
              <w:t>2025</w:t>
            </w:r>
          </w:p>
        </w:tc>
        <w:tc>
          <w:tcPr>
            <w:tcW w:w="1417" w:type="dxa"/>
            <w:hideMark/>
          </w:tcPr>
          <w:p w14:paraId="612A7F4B" w14:textId="56094BDE" w:rsidR="00EE5BB8" w:rsidRPr="00C6052E" w:rsidRDefault="004450EB" w:rsidP="00B515DB">
            <w:pPr>
              <w:pStyle w:val="TableColumnHeading"/>
              <w:jc w:val="right"/>
            </w:pPr>
            <w:r w:rsidRPr="00C6052E">
              <w:rPr>
                <w:lang w:val="en-AU"/>
              </w:rPr>
              <w:t>Regional Development</w:t>
            </w:r>
            <w:r>
              <w:br/>
            </w:r>
            <w:r w:rsidR="00EE5BB8" w:rsidRPr="00C6052E">
              <w:t>2024</w:t>
            </w:r>
          </w:p>
        </w:tc>
      </w:tr>
      <w:tr w:rsidR="00B515DB" w:rsidRPr="00C6052E" w14:paraId="41088911" w14:textId="77777777" w:rsidTr="004450EB">
        <w:tc>
          <w:tcPr>
            <w:tcW w:w="4673" w:type="dxa"/>
          </w:tcPr>
          <w:p w14:paraId="36BA9F39" w14:textId="496FD206" w:rsidR="00B515DB" w:rsidRPr="00C6052E" w:rsidRDefault="00B515DB" w:rsidP="00B515DB">
            <w:pPr>
              <w:pStyle w:val="TableHeading"/>
            </w:pPr>
            <w:r w:rsidRPr="00C6052E">
              <w:t>Administered revenue and income from transactions</w:t>
            </w:r>
          </w:p>
        </w:tc>
        <w:tc>
          <w:tcPr>
            <w:tcW w:w="1247" w:type="dxa"/>
            <w:noWrap/>
          </w:tcPr>
          <w:p w14:paraId="307B1DA8" w14:textId="77777777" w:rsidR="00B515DB" w:rsidRPr="00C6052E" w:rsidRDefault="00B515DB" w:rsidP="00B515DB">
            <w:pPr>
              <w:pStyle w:val="TableHeading"/>
              <w:jc w:val="right"/>
            </w:pPr>
          </w:p>
        </w:tc>
        <w:tc>
          <w:tcPr>
            <w:tcW w:w="1247" w:type="dxa"/>
            <w:noWrap/>
          </w:tcPr>
          <w:p w14:paraId="7E2D8899" w14:textId="77777777" w:rsidR="00B515DB" w:rsidRPr="00C6052E" w:rsidRDefault="00B515DB" w:rsidP="00B515DB">
            <w:pPr>
              <w:pStyle w:val="TableHeading"/>
              <w:jc w:val="right"/>
            </w:pPr>
          </w:p>
        </w:tc>
        <w:tc>
          <w:tcPr>
            <w:tcW w:w="1304" w:type="dxa"/>
            <w:noWrap/>
          </w:tcPr>
          <w:p w14:paraId="33DE5C3B" w14:textId="77777777" w:rsidR="00B515DB" w:rsidRPr="00C6052E" w:rsidRDefault="00B515DB" w:rsidP="00B515DB">
            <w:pPr>
              <w:pStyle w:val="TableHeading"/>
              <w:jc w:val="right"/>
            </w:pPr>
          </w:p>
        </w:tc>
        <w:tc>
          <w:tcPr>
            <w:tcW w:w="1304" w:type="dxa"/>
            <w:noWrap/>
          </w:tcPr>
          <w:p w14:paraId="748506A4" w14:textId="77777777" w:rsidR="00B515DB" w:rsidRPr="00C6052E" w:rsidRDefault="00B515DB" w:rsidP="00B515DB">
            <w:pPr>
              <w:pStyle w:val="TableHeading"/>
              <w:jc w:val="right"/>
            </w:pPr>
          </w:p>
        </w:tc>
        <w:tc>
          <w:tcPr>
            <w:tcW w:w="1077" w:type="dxa"/>
            <w:noWrap/>
          </w:tcPr>
          <w:p w14:paraId="2E5CBF29" w14:textId="77777777" w:rsidR="00B515DB" w:rsidRPr="00C6052E" w:rsidRDefault="00B515DB" w:rsidP="00B515DB">
            <w:pPr>
              <w:pStyle w:val="TableHeading"/>
              <w:jc w:val="right"/>
            </w:pPr>
          </w:p>
        </w:tc>
        <w:tc>
          <w:tcPr>
            <w:tcW w:w="1077" w:type="dxa"/>
            <w:noWrap/>
          </w:tcPr>
          <w:p w14:paraId="371E4BDB" w14:textId="77777777" w:rsidR="00B515DB" w:rsidRPr="00C6052E" w:rsidRDefault="00B515DB" w:rsidP="00B515DB">
            <w:pPr>
              <w:pStyle w:val="TableHeading"/>
              <w:jc w:val="right"/>
            </w:pPr>
          </w:p>
        </w:tc>
        <w:tc>
          <w:tcPr>
            <w:tcW w:w="1417" w:type="dxa"/>
            <w:noWrap/>
          </w:tcPr>
          <w:p w14:paraId="2050E0BC" w14:textId="77777777" w:rsidR="00B515DB" w:rsidRPr="00C6052E" w:rsidRDefault="00B515DB" w:rsidP="00B515DB">
            <w:pPr>
              <w:pStyle w:val="TableHeading"/>
              <w:jc w:val="right"/>
            </w:pPr>
          </w:p>
        </w:tc>
        <w:tc>
          <w:tcPr>
            <w:tcW w:w="1417" w:type="dxa"/>
            <w:noWrap/>
          </w:tcPr>
          <w:p w14:paraId="59CA4D69" w14:textId="77777777" w:rsidR="00B515DB" w:rsidRPr="00C6052E" w:rsidRDefault="00B515DB" w:rsidP="00B515DB">
            <w:pPr>
              <w:pStyle w:val="TableHeading"/>
              <w:jc w:val="right"/>
            </w:pPr>
          </w:p>
        </w:tc>
      </w:tr>
      <w:tr w:rsidR="00EE5BB8" w:rsidRPr="00C6052E" w14:paraId="01AD86A9" w14:textId="77777777" w:rsidTr="004450EB">
        <w:tc>
          <w:tcPr>
            <w:tcW w:w="4673" w:type="dxa"/>
            <w:hideMark/>
          </w:tcPr>
          <w:p w14:paraId="28AA2806" w14:textId="6581B595" w:rsidR="00EE5BB8" w:rsidRPr="00C6052E" w:rsidRDefault="00EE5BB8" w:rsidP="0063097D">
            <w:pPr>
              <w:pStyle w:val="TableCopy"/>
            </w:pPr>
            <w:r w:rsidRPr="00C6052E">
              <w:t>Sale</w:t>
            </w:r>
            <w:r w:rsidR="00177848" w:rsidRPr="00C6052E">
              <w:t xml:space="preserve"> </w:t>
            </w:r>
            <w:r w:rsidRPr="00C6052E">
              <w:t>of</w:t>
            </w:r>
            <w:r w:rsidR="00177848" w:rsidRPr="00C6052E">
              <w:t xml:space="preserve"> </w:t>
            </w:r>
            <w:r w:rsidRPr="00C6052E">
              <w:t>goods</w:t>
            </w:r>
            <w:r w:rsidR="00177848" w:rsidRPr="00C6052E">
              <w:t xml:space="preserve"> </w:t>
            </w:r>
            <w:r w:rsidRPr="00C6052E">
              <w:t>and</w:t>
            </w:r>
            <w:r w:rsidR="00177848" w:rsidRPr="00C6052E">
              <w:t xml:space="preserve"> </w:t>
            </w:r>
            <w:r w:rsidRPr="00C6052E">
              <w:t>services</w:t>
            </w:r>
            <w:r w:rsidR="00177848" w:rsidRPr="00C6052E">
              <w:t xml:space="preserve"> </w:t>
            </w:r>
          </w:p>
        </w:tc>
        <w:tc>
          <w:tcPr>
            <w:tcW w:w="1247" w:type="dxa"/>
            <w:noWrap/>
            <w:hideMark/>
          </w:tcPr>
          <w:p w14:paraId="22CE3776" w14:textId="77777777" w:rsidR="00EE5BB8" w:rsidRPr="00C6052E" w:rsidRDefault="00EE5BB8" w:rsidP="00B515DB">
            <w:pPr>
              <w:pStyle w:val="TableCopy"/>
              <w:jc w:val="right"/>
            </w:pPr>
            <w:r w:rsidRPr="00C6052E">
              <w:t>–</w:t>
            </w:r>
          </w:p>
        </w:tc>
        <w:tc>
          <w:tcPr>
            <w:tcW w:w="1247" w:type="dxa"/>
            <w:noWrap/>
            <w:hideMark/>
          </w:tcPr>
          <w:p w14:paraId="5C327611" w14:textId="77777777" w:rsidR="00EE5BB8" w:rsidRPr="00C6052E" w:rsidRDefault="00EE5BB8" w:rsidP="00B515DB">
            <w:pPr>
              <w:pStyle w:val="TableCopy"/>
              <w:jc w:val="right"/>
            </w:pPr>
            <w:r w:rsidRPr="00C6052E">
              <w:t>–</w:t>
            </w:r>
          </w:p>
        </w:tc>
        <w:tc>
          <w:tcPr>
            <w:tcW w:w="1304" w:type="dxa"/>
            <w:noWrap/>
            <w:hideMark/>
          </w:tcPr>
          <w:p w14:paraId="16E85FF7" w14:textId="77777777" w:rsidR="00EE5BB8" w:rsidRPr="00C6052E" w:rsidRDefault="00EE5BB8" w:rsidP="00B515DB">
            <w:pPr>
              <w:pStyle w:val="TableCopy"/>
              <w:jc w:val="right"/>
            </w:pPr>
            <w:r w:rsidRPr="00C6052E">
              <w:t>–</w:t>
            </w:r>
          </w:p>
        </w:tc>
        <w:tc>
          <w:tcPr>
            <w:tcW w:w="1304" w:type="dxa"/>
            <w:noWrap/>
            <w:hideMark/>
          </w:tcPr>
          <w:p w14:paraId="6BB64EE2" w14:textId="77777777" w:rsidR="00EE5BB8" w:rsidRPr="00C6052E" w:rsidRDefault="00EE5BB8" w:rsidP="00B515DB">
            <w:pPr>
              <w:pStyle w:val="TableCopy"/>
              <w:jc w:val="right"/>
            </w:pPr>
            <w:r w:rsidRPr="00C6052E">
              <w:t>–</w:t>
            </w:r>
          </w:p>
        </w:tc>
        <w:tc>
          <w:tcPr>
            <w:tcW w:w="1077" w:type="dxa"/>
            <w:noWrap/>
            <w:hideMark/>
          </w:tcPr>
          <w:p w14:paraId="4BFD313B" w14:textId="77777777" w:rsidR="00EE5BB8" w:rsidRPr="00C6052E" w:rsidRDefault="00EE5BB8" w:rsidP="00B515DB">
            <w:pPr>
              <w:pStyle w:val="TableCopy"/>
              <w:jc w:val="right"/>
            </w:pPr>
            <w:r w:rsidRPr="00C6052E">
              <w:t>–</w:t>
            </w:r>
          </w:p>
        </w:tc>
        <w:tc>
          <w:tcPr>
            <w:tcW w:w="1077" w:type="dxa"/>
            <w:noWrap/>
            <w:hideMark/>
          </w:tcPr>
          <w:p w14:paraId="4B568B76" w14:textId="77777777" w:rsidR="00EE5BB8" w:rsidRPr="00C6052E" w:rsidRDefault="00EE5BB8" w:rsidP="00B515DB">
            <w:pPr>
              <w:pStyle w:val="TableCopy"/>
              <w:jc w:val="right"/>
            </w:pPr>
            <w:r w:rsidRPr="00C6052E">
              <w:t>–</w:t>
            </w:r>
          </w:p>
        </w:tc>
        <w:tc>
          <w:tcPr>
            <w:tcW w:w="1417" w:type="dxa"/>
            <w:noWrap/>
            <w:hideMark/>
          </w:tcPr>
          <w:p w14:paraId="5230FE57" w14:textId="77777777" w:rsidR="00EE5BB8" w:rsidRPr="00C6052E" w:rsidRDefault="00EE5BB8" w:rsidP="00B515DB">
            <w:pPr>
              <w:pStyle w:val="TableCopy"/>
              <w:jc w:val="right"/>
            </w:pPr>
            <w:r w:rsidRPr="00C6052E">
              <w:t>–</w:t>
            </w:r>
          </w:p>
        </w:tc>
        <w:tc>
          <w:tcPr>
            <w:tcW w:w="1417" w:type="dxa"/>
            <w:noWrap/>
            <w:hideMark/>
          </w:tcPr>
          <w:p w14:paraId="3C9A2C98" w14:textId="77777777" w:rsidR="00EE5BB8" w:rsidRPr="00C6052E" w:rsidRDefault="00EE5BB8" w:rsidP="00B515DB">
            <w:pPr>
              <w:pStyle w:val="TableCopy"/>
              <w:jc w:val="right"/>
            </w:pPr>
            <w:r w:rsidRPr="00C6052E">
              <w:t>–</w:t>
            </w:r>
          </w:p>
        </w:tc>
      </w:tr>
      <w:tr w:rsidR="00EE5BB8" w:rsidRPr="00C6052E" w14:paraId="1DD70729" w14:textId="77777777" w:rsidTr="004450EB">
        <w:tc>
          <w:tcPr>
            <w:tcW w:w="4673" w:type="dxa"/>
            <w:hideMark/>
          </w:tcPr>
          <w:p w14:paraId="7913A0C9" w14:textId="318F6137" w:rsidR="00EE5BB8" w:rsidRPr="00C6052E" w:rsidRDefault="00EE5BB8" w:rsidP="0063097D">
            <w:pPr>
              <w:pStyle w:val="TableCopy"/>
            </w:pPr>
            <w:r w:rsidRPr="00C6052E">
              <w:t>Other</w:t>
            </w:r>
            <w:r w:rsidR="00177848" w:rsidRPr="00C6052E">
              <w:t xml:space="preserve"> </w:t>
            </w:r>
            <w:r w:rsidRPr="00C6052E">
              <w:t>income</w:t>
            </w:r>
          </w:p>
        </w:tc>
        <w:tc>
          <w:tcPr>
            <w:tcW w:w="1247" w:type="dxa"/>
            <w:noWrap/>
            <w:hideMark/>
          </w:tcPr>
          <w:p w14:paraId="010C4359" w14:textId="77777777" w:rsidR="00EE5BB8" w:rsidRPr="00C6052E" w:rsidRDefault="00EE5BB8" w:rsidP="00B515DB">
            <w:pPr>
              <w:pStyle w:val="TableCopy"/>
              <w:jc w:val="right"/>
            </w:pPr>
            <w:r w:rsidRPr="00C6052E">
              <w:t>475</w:t>
            </w:r>
          </w:p>
        </w:tc>
        <w:tc>
          <w:tcPr>
            <w:tcW w:w="1247" w:type="dxa"/>
            <w:noWrap/>
            <w:hideMark/>
          </w:tcPr>
          <w:p w14:paraId="4E806F58" w14:textId="77777777" w:rsidR="00EE5BB8" w:rsidRPr="00C6052E" w:rsidRDefault="00EE5BB8" w:rsidP="00B515DB">
            <w:pPr>
              <w:pStyle w:val="TableCopy"/>
              <w:jc w:val="right"/>
            </w:pPr>
            <w:r w:rsidRPr="00C6052E">
              <w:t>1,220</w:t>
            </w:r>
          </w:p>
        </w:tc>
        <w:tc>
          <w:tcPr>
            <w:tcW w:w="1304" w:type="dxa"/>
            <w:noWrap/>
            <w:hideMark/>
          </w:tcPr>
          <w:p w14:paraId="303C5DC9" w14:textId="77777777" w:rsidR="00EE5BB8" w:rsidRPr="00C6052E" w:rsidRDefault="00EE5BB8" w:rsidP="00B515DB">
            <w:pPr>
              <w:pStyle w:val="TableCopy"/>
              <w:jc w:val="right"/>
            </w:pPr>
            <w:r w:rsidRPr="00C6052E">
              <w:t>8,025</w:t>
            </w:r>
          </w:p>
        </w:tc>
        <w:tc>
          <w:tcPr>
            <w:tcW w:w="1304" w:type="dxa"/>
            <w:noWrap/>
            <w:hideMark/>
          </w:tcPr>
          <w:p w14:paraId="16E6ACA8" w14:textId="77777777" w:rsidR="00EE5BB8" w:rsidRPr="00C6052E" w:rsidRDefault="00EE5BB8" w:rsidP="00B515DB">
            <w:pPr>
              <w:pStyle w:val="TableCopy"/>
              <w:jc w:val="right"/>
            </w:pPr>
            <w:r w:rsidRPr="00C6052E">
              <w:t>23,495</w:t>
            </w:r>
          </w:p>
        </w:tc>
        <w:tc>
          <w:tcPr>
            <w:tcW w:w="1077" w:type="dxa"/>
            <w:noWrap/>
            <w:hideMark/>
          </w:tcPr>
          <w:p w14:paraId="2A7A6B32" w14:textId="77777777" w:rsidR="00EE5BB8" w:rsidRPr="00C6052E" w:rsidRDefault="00EE5BB8" w:rsidP="00B515DB">
            <w:pPr>
              <w:pStyle w:val="TableCopy"/>
              <w:jc w:val="right"/>
            </w:pPr>
            <w:r w:rsidRPr="00C6052E">
              <w:t>822</w:t>
            </w:r>
          </w:p>
        </w:tc>
        <w:tc>
          <w:tcPr>
            <w:tcW w:w="1077" w:type="dxa"/>
            <w:noWrap/>
            <w:hideMark/>
          </w:tcPr>
          <w:p w14:paraId="356F1F8D" w14:textId="77777777" w:rsidR="00EE5BB8" w:rsidRPr="00C6052E" w:rsidRDefault="00EE5BB8" w:rsidP="00B515DB">
            <w:pPr>
              <w:pStyle w:val="TableCopy"/>
              <w:jc w:val="right"/>
            </w:pPr>
            <w:r w:rsidRPr="00C6052E">
              <w:t>–</w:t>
            </w:r>
          </w:p>
        </w:tc>
        <w:tc>
          <w:tcPr>
            <w:tcW w:w="1417" w:type="dxa"/>
            <w:noWrap/>
            <w:hideMark/>
          </w:tcPr>
          <w:p w14:paraId="031A3B85" w14:textId="77777777" w:rsidR="00EE5BB8" w:rsidRPr="00C6052E" w:rsidRDefault="00EE5BB8" w:rsidP="00B515DB">
            <w:pPr>
              <w:pStyle w:val="TableCopy"/>
              <w:jc w:val="right"/>
            </w:pPr>
            <w:r w:rsidRPr="00C6052E">
              <w:t>–</w:t>
            </w:r>
          </w:p>
        </w:tc>
        <w:tc>
          <w:tcPr>
            <w:tcW w:w="1417" w:type="dxa"/>
            <w:noWrap/>
            <w:hideMark/>
          </w:tcPr>
          <w:p w14:paraId="206A01E2" w14:textId="77777777" w:rsidR="00EE5BB8" w:rsidRPr="00C6052E" w:rsidRDefault="00EE5BB8" w:rsidP="00B515DB">
            <w:pPr>
              <w:pStyle w:val="TableCopy"/>
              <w:jc w:val="right"/>
            </w:pPr>
            <w:r w:rsidRPr="00C6052E">
              <w:t>–</w:t>
            </w:r>
          </w:p>
        </w:tc>
      </w:tr>
      <w:tr w:rsidR="00EE5BB8" w:rsidRPr="00C6052E" w14:paraId="4C81E181" w14:textId="77777777" w:rsidTr="004450EB">
        <w:tc>
          <w:tcPr>
            <w:tcW w:w="4673" w:type="dxa"/>
            <w:hideMark/>
          </w:tcPr>
          <w:p w14:paraId="5D3A6205" w14:textId="7F1283CF" w:rsidR="00EE5BB8" w:rsidRPr="00C6052E" w:rsidRDefault="00EE5BB8" w:rsidP="0063097D">
            <w:pPr>
              <w:pStyle w:val="TableCopy"/>
            </w:pPr>
            <w:r w:rsidRPr="00C6052E">
              <w:t>Regulatory</w:t>
            </w:r>
            <w:r w:rsidR="00177848" w:rsidRPr="00C6052E">
              <w:t xml:space="preserve"> </w:t>
            </w:r>
            <w:r w:rsidRPr="00C6052E">
              <w:t>fees,</w:t>
            </w:r>
            <w:r w:rsidR="00177848" w:rsidRPr="00C6052E">
              <w:t xml:space="preserve"> </w:t>
            </w:r>
            <w:r w:rsidRPr="00C6052E">
              <w:t>fines,</w:t>
            </w:r>
            <w:r w:rsidR="00177848" w:rsidRPr="00C6052E">
              <w:t xml:space="preserve"> </w:t>
            </w:r>
            <w:r w:rsidRPr="00C6052E">
              <w:t>leases</w:t>
            </w:r>
            <w:r w:rsidR="00177848" w:rsidRPr="00C6052E">
              <w:t xml:space="preserve"> </w:t>
            </w:r>
            <w:r w:rsidRPr="00C6052E">
              <w:t>and</w:t>
            </w:r>
            <w:r w:rsidR="00177848" w:rsidRPr="00C6052E">
              <w:t xml:space="preserve"> </w:t>
            </w:r>
            <w:r w:rsidRPr="00C6052E">
              <w:t>licences</w:t>
            </w:r>
            <w:r w:rsidR="00177848" w:rsidRPr="00C6052E">
              <w:t xml:space="preserve"> </w:t>
            </w:r>
          </w:p>
        </w:tc>
        <w:tc>
          <w:tcPr>
            <w:tcW w:w="1247" w:type="dxa"/>
            <w:noWrap/>
            <w:hideMark/>
          </w:tcPr>
          <w:p w14:paraId="23CF4783" w14:textId="77777777" w:rsidR="00EE5BB8" w:rsidRPr="00C6052E" w:rsidRDefault="00EE5BB8" w:rsidP="00B515DB">
            <w:pPr>
              <w:pStyle w:val="TableCopy"/>
              <w:jc w:val="right"/>
            </w:pPr>
            <w:r w:rsidRPr="00C6052E">
              <w:t>–</w:t>
            </w:r>
          </w:p>
        </w:tc>
        <w:tc>
          <w:tcPr>
            <w:tcW w:w="1247" w:type="dxa"/>
            <w:noWrap/>
            <w:hideMark/>
          </w:tcPr>
          <w:p w14:paraId="61F7436E" w14:textId="77777777" w:rsidR="00EE5BB8" w:rsidRPr="00C6052E" w:rsidRDefault="00EE5BB8" w:rsidP="00B515DB">
            <w:pPr>
              <w:pStyle w:val="TableCopy"/>
              <w:jc w:val="right"/>
            </w:pPr>
            <w:r w:rsidRPr="00C6052E">
              <w:t>–</w:t>
            </w:r>
          </w:p>
        </w:tc>
        <w:tc>
          <w:tcPr>
            <w:tcW w:w="1304" w:type="dxa"/>
            <w:noWrap/>
            <w:hideMark/>
          </w:tcPr>
          <w:p w14:paraId="65E2C0CE" w14:textId="77777777" w:rsidR="00EE5BB8" w:rsidRPr="00C6052E" w:rsidRDefault="00EE5BB8" w:rsidP="00B515DB">
            <w:pPr>
              <w:pStyle w:val="TableCopy"/>
              <w:jc w:val="right"/>
            </w:pPr>
            <w:r w:rsidRPr="00C6052E">
              <w:t>–</w:t>
            </w:r>
          </w:p>
        </w:tc>
        <w:tc>
          <w:tcPr>
            <w:tcW w:w="1304" w:type="dxa"/>
            <w:noWrap/>
            <w:hideMark/>
          </w:tcPr>
          <w:p w14:paraId="470B839D" w14:textId="77777777" w:rsidR="00EE5BB8" w:rsidRPr="00C6052E" w:rsidRDefault="00EE5BB8" w:rsidP="00B515DB">
            <w:pPr>
              <w:pStyle w:val="TableCopy"/>
              <w:jc w:val="right"/>
            </w:pPr>
            <w:r w:rsidRPr="00C6052E">
              <w:t>–</w:t>
            </w:r>
          </w:p>
        </w:tc>
        <w:tc>
          <w:tcPr>
            <w:tcW w:w="1077" w:type="dxa"/>
            <w:noWrap/>
            <w:hideMark/>
          </w:tcPr>
          <w:p w14:paraId="1FC503A4" w14:textId="77777777" w:rsidR="00EE5BB8" w:rsidRPr="00C6052E" w:rsidRDefault="00EE5BB8" w:rsidP="00B515DB">
            <w:pPr>
              <w:pStyle w:val="TableCopy"/>
              <w:jc w:val="right"/>
            </w:pPr>
            <w:r w:rsidRPr="00C6052E">
              <w:t>–</w:t>
            </w:r>
          </w:p>
        </w:tc>
        <w:tc>
          <w:tcPr>
            <w:tcW w:w="1077" w:type="dxa"/>
            <w:noWrap/>
            <w:hideMark/>
          </w:tcPr>
          <w:p w14:paraId="642969BE" w14:textId="77777777" w:rsidR="00EE5BB8" w:rsidRPr="00C6052E" w:rsidRDefault="00EE5BB8" w:rsidP="00B515DB">
            <w:pPr>
              <w:pStyle w:val="TableCopy"/>
              <w:jc w:val="right"/>
            </w:pPr>
            <w:r w:rsidRPr="00C6052E">
              <w:t>–</w:t>
            </w:r>
          </w:p>
        </w:tc>
        <w:tc>
          <w:tcPr>
            <w:tcW w:w="1417" w:type="dxa"/>
            <w:noWrap/>
            <w:hideMark/>
          </w:tcPr>
          <w:p w14:paraId="23CA7C96" w14:textId="77777777" w:rsidR="00EE5BB8" w:rsidRPr="00C6052E" w:rsidRDefault="00EE5BB8" w:rsidP="00B515DB">
            <w:pPr>
              <w:pStyle w:val="TableCopy"/>
              <w:jc w:val="right"/>
            </w:pPr>
            <w:r w:rsidRPr="00C6052E">
              <w:t>–</w:t>
            </w:r>
          </w:p>
        </w:tc>
        <w:tc>
          <w:tcPr>
            <w:tcW w:w="1417" w:type="dxa"/>
            <w:noWrap/>
            <w:hideMark/>
          </w:tcPr>
          <w:p w14:paraId="2A1A42D0" w14:textId="77777777" w:rsidR="00EE5BB8" w:rsidRPr="00C6052E" w:rsidRDefault="00EE5BB8" w:rsidP="00B515DB">
            <w:pPr>
              <w:pStyle w:val="TableCopy"/>
              <w:jc w:val="right"/>
            </w:pPr>
            <w:r w:rsidRPr="00C6052E">
              <w:t>–</w:t>
            </w:r>
          </w:p>
        </w:tc>
      </w:tr>
      <w:tr w:rsidR="00EE5BB8" w:rsidRPr="00C6052E" w14:paraId="508417A2" w14:textId="77777777" w:rsidTr="004450EB">
        <w:tc>
          <w:tcPr>
            <w:tcW w:w="4673" w:type="dxa"/>
            <w:hideMark/>
          </w:tcPr>
          <w:p w14:paraId="2DB4F7B1" w14:textId="31FAD770" w:rsidR="00EE5BB8" w:rsidRPr="00C6052E" w:rsidRDefault="00EE5BB8" w:rsidP="0063097D">
            <w:pPr>
              <w:pStyle w:val="TableCopy"/>
            </w:pPr>
            <w:r w:rsidRPr="00C6052E">
              <w:t>Interest</w:t>
            </w:r>
            <w:r w:rsidR="00177848" w:rsidRPr="00C6052E">
              <w:t xml:space="preserve"> </w:t>
            </w:r>
            <w:r w:rsidRPr="00C6052E">
              <w:t>income</w:t>
            </w:r>
          </w:p>
        </w:tc>
        <w:tc>
          <w:tcPr>
            <w:tcW w:w="1247" w:type="dxa"/>
            <w:noWrap/>
            <w:hideMark/>
          </w:tcPr>
          <w:p w14:paraId="128F1560" w14:textId="77777777" w:rsidR="00EE5BB8" w:rsidRPr="00C6052E" w:rsidRDefault="00EE5BB8" w:rsidP="00B515DB">
            <w:pPr>
              <w:pStyle w:val="TableCopy"/>
              <w:jc w:val="right"/>
            </w:pPr>
            <w:r w:rsidRPr="00C6052E">
              <w:t>–</w:t>
            </w:r>
          </w:p>
        </w:tc>
        <w:tc>
          <w:tcPr>
            <w:tcW w:w="1247" w:type="dxa"/>
            <w:noWrap/>
            <w:hideMark/>
          </w:tcPr>
          <w:p w14:paraId="1633AFB6" w14:textId="77777777" w:rsidR="00EE5BB8" w:rsidRPr="00C6052E" w:rsidRDefault="00EE5BB8" w:rsidP="00B515DB">
            <w:pPr>
              <w:pStyle w:val="TableCopy"/>
              <w:jc w:val="right"/>
            </w:pPr>
            <w:r w:rsidRPr="00C6052E">
              <w:t>–</w:t>
            </w:r>
          </w:p>
        </w:tc>
        <w:tc>
          <w:tcPr>
            <w:tcW w:w="1304" w:type="dxa"/>
            <w:noWrap/>
            <w:hideMark/>
          </w:tcPr>
          <w:p w14:paraId="57E8968F" w14:textId="77777777" w:rsidR="00EE5BB8" w:rsidRPr="00C6052E" w:rsidRDefault="00EE5BB8" w:rsidP="00B515DB">
            <w:pPr>
              <w:pStyle w:val="TableCopy"/>
              <w:jc w:val="right"/>
            </w:pPr>
            <w:r w:rsidRPr="00C6052E">
              <w:t>–</w:t>
            </w:r>
          </w:p>
        </w:tc>
        <w:tc>
          <w:tcPr>
            <w:tcW w:w="1304" w:type="dxa"/>
            <w:noWrap/>
            <w:hideMark/>
          </w:tcPr>
          <w:p w14:paraId="10E4C3B2" w14:textId="77777777" w:rsidR="00EE5BB8" w:rsidRPr="00C6052E" w:rsidRDefault="00EE5BB8" w:rsidP="00B515DB">
            <w:pPr>
              <w:pStyle w:val="TableCopy"/>
              <w:jc w:val="right"/>
            </w:pPr>
            <w:r w:rsidRPr="00C6052E">
              <w:t>22</w:t>
            </w:r>
          </w:p>
        </w:tc>
        <w:tc>
          <w:tcPr>
            <w:tcW w:w="1077" w:type="dxa"/>
            <w:noWrap/>
            <w:hideMark/>
          </w:tcPr>
          <w:p w14:paraId="33342BAD" w14:textId="77777777" w:rsidR="00EE5BB8" w:rsidRPr="00C6052E" w:rsidRDefault="00EE5BB8" w:rsidP="00B515DB">
            <w:pPr>
              <w:pStyle w:val="TableCopy"/>
              <w:jc w:val="right"/>
            </w:pPr>
            <w:r w:rsidRPr="00C6052E">
              <w:t>–</w:t>
            </w:r>
          </w:p>
        </w:tc>
        <w:tc>
          <w:tcPr>
            <w:tcW w:w="1077" w:type="dxa"/>
            <w:noWrap/>
            <w:hideMark/>
          </w:tcPr>
          <w:p w14:paraId="737C6589" w14:textId="77777777" w:rsidR="00EE5BB8" w:rsidRPr="00C6052E" w:rsidRDefault="00EE5BB8" w:rsidP="00B515DB">
            <w:pPr>
              <w:pStyle w:val="TableCopy"/>
              <w:jc w:val="right"/>
            </w:pPr>
            <w:r w:rsidRPr="00C6052E">
              <w:t>–</w:t>
            </w:r>
          </w:p>
        </w:tc>
        <w:tc>
          <w:tcPr>
            <w:tcW w:w="1417" w:type="dxa"/>
            <w:noWrap/>
            <w:hideMark/>
          </w:tcPr>
          <w:p w14:paraId="065022DF" w14:textId="77777777" w:rsidR="00EE5BB8" w:rsidRPr="00C6052E" w:rsidRDefault="00EE5BB8" w:rsidP="00B515DB">
            <w:pPr>
              <w:pStyle w:val="TableCopy"/>
              <w:jc w:val="right"/>
            </w:pPr>
            <w:r w:rsidRPr="00C6052E">
              <w:t>–</w:t>
            </w:r>
          </w:p>
        </w:tc>
        <w:tc>
          <w:tcPr>
            <w:tcW w:w="1417" w:type="dxa"/>
            <w:noWrap/>
            <w:hideMark/>
          </w:tcPr>
          <w:p w14:paraId="4B568048" w14:textId="77777777" w:rsidR="00EE5BB8" w:rsidRPr="00C6052E" w:rsidRDefault="00EE5BB8" w:rsidP="00B515DB">
            <w:pPr>
              <w:pStyle w:val="TableCopy"/>
              <w:jc w:val="right"/>
            </w:pPr>
            <w:r w:rsidRPr="00C6052E">
              <w:t>–</w:t>
            </w:r>
          </w:p>
        </w:tc>
      </w:tr>
      <w:tr w:rsidR="00EE5BB8" w:rsidRPr="00C6052E" w14:paraId="2397274E" w14:textId="77777777" w:rsidTr="004450EB">
        <w:tc>
          <w:tcPr>
            <w:tcW w:w="4673" w:type="dxa"/>
            <w:hideMark/>
          </w:tcPr>
          <w:p w14:paraId="768B74A5" w14:textId="3353CD92" w:rsidR="00EE5BB8" w:rsidRPr="00C6052E" w:rsidRDefault="00EE5BB8" w:rsidP="0063097D">
            <w:pPr>
              <w:pStyle w:val="TableCopy"/>
            </w:pPr>
            <w:r w:rsidRPr="00C6052E">
              <w:t>Grant</w:t>
            </w:r>
            <w:r w:rsidR="00177848" w:rsidRPr="00C6052E">
              <w:t xml:space="preserve"> </w:t>
            </w:r>
            <w:r w:rsidRPr="00C6052E">
              <w:t>income</w:t>
            </w:r>
          </w:p>
        </w:tc>
        <w:tc>
          <w:tcPr>
            <w:tcW w:w="1247" w:type="dxa"/>
            <w:noWrap/>
            <w:hideMark/>
          </w:tcPr>
          <w:p w14:paraId="5F06D321" w14:textId="77777777" w:rsidR="00EE5BB8" w:rsidRPr="00C6052E" w:rsidRDefault="00EE5BB8" w:rsidP="00B515DB">
            <w:pPr>
              <w:pStyle w:val="TableCopy"/>
              <w:jc w:val="right"/>
            </w:pPr>
            <w:r w:rsidRPr="00C6052E">
              <w:t>–</w:t>
            </w:r>
          </w:p>
        </w:tc>
        <w:tc>
          <w:tcPr>
            <w:tcW w:w="1247" w:type="dxa"/>
            <w:noWrap/>
            <w:hideMark/>
          </w:tcPr>
          <w:p w14:paraId="23DE7620" w14:textId="77777777" w:rsidR="00EE5BB8" w:rsidRPr="00C6052E" w:rsidRDefault="00EE5BB8" w:rsidP="00B515DB">
            <w:pPr>
              <w:pStyle w:val="TableCopy"/>
              <w:jc w:val="right"/>
            </w:pPr>
            <w:r w:rsidRPr="00C6052E">
              <w:t>–</w:t>
            </w:r>
          </w:p>
        </w:tc>
        <w:tc>
          <w:tcPr>
            <w:tcW w:w="1304" w:type="dxa"/>
            <w:noWrap/>
            <w:hideMark/>
          </w:tcPr>
          <w:p w14:paraId="28667B00" w14:textId="77777777" w:rsidR="00EE5BB8" w:rsidRPr="00C6052E" w:rsidRDefault="00EE5BB8" w:rsidP="00B515DB">
            <w:pPr>
              <w:pStyle w:val="TableCopy"/>
              <w:jc w:val="right"/>
            </w:pPr>
            <w:r w:rsidRPr="00C6052E">
              <w:t>–</w:t>
            </w:r>
          </w:p>
        </w:tc>
        <w:tc>
          <w:tcPr>
            <w:tcW w:w="1304" w:type="dxa"/>
            <w:noWrap/>
            <w:hideMark/>
          </w:tcPr>
          <w:p w14:paraId="7E896C83" w14:textId="77777777" w:rsidR="00EE5BB8" w:rsidRPr="00C6052E" w:rsidRDefault="00EE5BB8" w:rsidP="00B515DB">
            <w:pPr>
              <w:pStyle w:val="TableCopy"/>
              <w:jc w:val="right"/>
            </w:pPr>
            <w:r w:rsidRPr="00C6052E">
              <w:t>–</w:t>
            </w:r>
          </w:p>
        </w:tc>
        <w:tc>
          <w:tcPr>
            <w:tcW w:w="1077" w:type="dxa"/>
            <w:noWrap/>
            <w:hideMark/>
          </w:tcPr>
          <w:p w14:paraId="7914E2A9" w14:textId="77777777" w:rsidR="00EE5BB8" w:rsidRPr="00C6052E" w:rsidRDefault="00EE5BB8" w:rsidP="00B515DB">
            <w:pPr>
              <w:pStyle w:val="TableCopy"/>
              <w:jc w:val="right"/>
            </w:pPr>
            <w:r w:rsidRPr="00C6052E">
              <w:t>–</w:t>
            </w:r>
          </w:p>
        </w:tc>
        <w:tc>
          <w:tcPr>
            <w:tcW w:w="1077" w:type="dxa"/>
            <w:noWrap/>
            <w:hideMark/>
          </w:tcPr>
          <w:p w14:paraId="31485E03" w14:textId="77777777" w:rsidR="00EE5BB8" w:rsidRPr="00C6052E" w:rsidRDefault="00EE5BB8" w:rsidP="00B515DB">
            <w:pPr>
              <w:pStyle w:val="TableCopy"/>
              <w:jc w:val="right"/>
            </w:pPr>
            <w:r w:rsidRPr="00C6052E">
              <w:t>–</w:t>
            </w:r>
          </w:p>
        </w:tc>
        <w:tc>
          <w:tcPr>
            <w:tcW w:w="1417" w:type="dxa"/>
            <w:noWrap/>
            <w:hideMark/>
          </w:tcPr>
          <w:p w14:paraId="404B733B" w14:textId="77777777" w:rsidR="00EE5BB8" w:rsidRPr="00C6052E" w:rsidRDefault="00EE5BB8" w:rsidP="00B515DB">
            <w:pPr>
              <w:pStyle w:val="TableCopy"/>
              <w:jc w:val="right"/>
            </w:pPr>
            <w:r w:rsidRPr="00C6052E">
              <w:t>–</w:t>
            </w:r>
          </w:p>
        </w:tc>
        <w:tc>
          <w:tcPr>
            <w:tcW w:w="1417" w:type="dxa"/>
            <w:noWrap/>
            <w:hideMark/>
          </w:tcPr>
          <w:p w14:paraId="2990659E" w14:textId="77777777" w:rsidR="00EE5BB8" w:rsidRPr="00C6052E" w:rsidRDefault="00EE5BB8" w:rsidP="00B515DB">
            <w:pPr>
              <w:pStyle w:val="TableCopy"/>
              <w:jc w:val="right"/>
            </w:pPr>
            <w:r w:rsidRPr="00C6052E">
              <w:t>3,400</w:t>
            </w:r>
          </w:p>
        </w:tc>
      </w:tr>
      <w:tr w:rsidR="00EE5BB8" w:rsidRPr="00C6052E" w14:paraId="3FCAE234" w14:textId="77777777" w:rsidTr="004450EB">
        <w:tc>
          <w:tcPr>
            <w:tcW w:w="4673" w:type="dxa"/>
            <w:noWrap/>
            <w:hideMark/>
          </w:tcPr>
          <w:p w14:paraId="78CBAB0E" w14:textId="73620998" w:rsidR="00EE5BB8" w:rsidRPr="00C6052E" w:rsidRDefault="00EE5BB8" w:rsidP="0063097D">
            <w:pPr>
              <w:pStyle w:val="Tabletotal"/>
            </w:pPr>
            <w:r w:rsidRPr="00C6052E">
              <w:t>Total</w:t>
            </w:r>
            <w:r w:rsidR="00177848" w:rsidRPr="00C6052E">
              <w:t xml:space="preserve"> </w:t>
            </w:r>
            <w:r w:rsidRPr="00C6052E">
              <w:t>administered</w:t>
            </w:r>
            <w:r w:rsidR="00177848" w:rsidRPr="00C6052E">
              <w:t xml:space="preserve"> </w:t>
            </w:r>
            <w:r w:rsidRPr="00C6052E">
              <w:t>revenue</w:t>
            </w:r>
            <w:r w:rsidR="00177848" w:rsidRPr="00C6052E">
              <w:t xml:space="preserve"> </w:t>
            </w:r>
            <w:r w:rsidRPr="00C6052E">
              <w:t>and</w:t>
            </w:r>
            <w:r w:rsidR="00177848" w:rsidRPr="00C6052E">
              <w:t xml:space="preserve"> </w:t>
            </w:r>
            <w:r w:rsidRPr="00C6052E">
              <w:t>income</w:t>
            </w:r>
            <w:r w:rsidR="00177848" w:rsidRPr="00C6052E">
              <w:t xml:space="preserve"> </w:t>
            </w:r>
            <w:r w:rsidRPr="00C6052E">
              <w:t>from</w:t>
            </w:r>
            <w:r w:rsidR="00177848" w:rsidRPr="00C6052E">
              <w:t xml:space="preserve"> </w:t>
            </w:r>
            <w:r w:rsidRPr="00C6052E">
              <w:t>transactions</w:t>
            </w:r>
          </w:p>
        </w:tc>
        <w:tc>
          <w:tcPr>
            <w:tcW w:w="1247" w:type="dxa"/>
            <w:noWrap/>
            <w:hideMark/>
          </w:tcPr>
          <w:p w14:paraId="386E427B" w14:textId="77777777" w:rsidR="00EE5BB8" w:rsidRPr="00C6052E" w:rsidRDefault="00EE5BB8" w:rsidP="00B515DB">
            <w:pPr>
              <w:pStyle w:val="Tabletotal"/>
              <w:jc w:val="right"/>
            </w:pPr>
            <w:r w:rsidRPr="00C6052E">
              <w:t>475</w:t>
            </w:r>
          </w:p>
        </w:tc>
        <w:tc>
          <w:tcPr>
            <w:tcW w:w="1247" w:type="dxa"/>
            <w:noWrap/>
            <w:hideMark/>
          </w:tcPr>
          <w:p w14:paraId="78F92F0A" w14:textId="77777777" w:rsidR="00EE5BB8" w:rsidRPr="00C6052E" w:rsidRDefault="00EE5BB8" w:rsidP="00B515DB">
            <w:pPr>
              <w:pStyle w:val="Tabletotal"/>
              <w:jc w:val="right"/>
            </w:pPr>
            <w:r w:rsidRPr="00C6052E">
              <w:t>1,220</w:t>
            </w:r>
          </w:p>
        </w:tc>
        <w:tc>
          <w:tcPr>
            <w:tcW w:w="1304" w:type="dxa"/>
            <w:noWrap/>
            <w:hideMark/>
          </w:tcPr>
          <w:p w14:paraId="0A8E81FB" w14:textId="77777777" w:rsidR="00EE5BB8" w:rsidRPr="00C6052E" w:rsidRDefault="00EE5BB8" w:rsidP="00B515DB">
            <w:pPr>
              <w:pStyle w:val="Tabletotal"/>
              <w:jc w:val="right"/>
            </w:pPr>
            <w:r w:rsidRPr="00C6052E">
              <w:t>8,025</w:t>
            </w:r>
          </w:p>
        </w:tc>
        <w:tc>
          <w:tcPr>
            <w:tcW w:w="1304" w:type="dxa"/>
            <w:noWrap/>
            <w:hideMark/>
          </w:tcPr>
          <w:p w14:paraId="181D2AAA" w14:textId="77777777" w:rsidR="00EE5BB8" w:rsidRPr="00C6052E" w:rsidRDefault="00EE5BB8" w:rsidP="00B515DB">
            <w:pPr>
              <w:pStyle w:val="Tabletotal"/>
              <w:jc w:val="right"/>
            </w:pPr>
            <w:r w:rsidRPr="00C6052E">
              <w:t>23,517</w:t>
            </w:r>
          </w:p>
        </w:tc>
        <w:tc>
          <w:tcPr>
            <w:tcW w:w="1077" w:type="dxa"/>
            <w:noWrap/>
            <w:hideMark/>
          </w:tcPr>
          <w:p w14:paraId="31FA833E" w14:textId="77777777" w:rsidR="00EE5BB8" w:rsidRPr="00C6052E" w:rsidRDefault="00EE5BB8" w:rsidP="00B515DB">
            <w:pPr>
              <w:pStyle w:val="Tabletotal"/>
              <w:jc w:val="right"/>
            </w:pPr>
            <w:r w:rsidRPr="00C6052E">
              <w:t>822</w:t>
            </w:r>
          </w:p>
        </w:tc>
        <w:tc>
          <w:tcPr>
            <w:tcW w:w="1077" w:type="dxa"/>
            <w:noWrap/>
            <w:hideMark/>
          </w:tcPr>
          <w:p w14:paraId="72899FF0" w14:textId="77777777" w:rsidR="00EE5BB8" w:rsidRPr="00C6052E" w:rsidRDefault="00EE5BB8" w:rsidP="00B515DB">
            <w:pPr>
              <w:pStyle w:val="Tabletotal"/>
              <w:jc w:val="right"/>
            </w:pPr>
            <w:r w:rsidRPr="00C6052E">
              <w:t>–</w:t>
            </w:r>
          </w:p>
        </w:tc>
        <w:tc>
          <w:tcPr>
            <w:tcW w:w="1417" w:type="dxa"/>
            <w:noWrap/>
            <w:hideMark/>
          </w:tcPr>
          <w:p w14:paraId="24C99FCB" w14:textId="77777777" w:rsidR="00EE5BB8" w:rsidRPr="00C6052E" w:rsidRDefault="00EE5BB8" w:rsidP="00B515DB">
            <w:pPr>
              <w:pStyle w:val="Tabletotal"/>
              <w:jc w:val="right"/>
            </w:pPr>
            <w:r w:rsidRPr="00C6052E">
              <w:t>–</w:t>
            </w:r>
          </w:p>
        </w:tc>
        <w:tc>
          <w:tcPr>
            <w:tcW w:w="1417" w:type="dxa"/>
            <w:noWrap/>
            <w:hideMark/>
          </w:tcPr>
          <w:p w14:paraId="6603EDE9" w14:textId="77777777" w:rsidR="00EE5BB8" w:rsidRPr="00C6052E" w:rsidRDefault="00EE5BB8" w:rsidP="00B515DB">
            <w:pPr>
              <w:pStyle w:val="Tabletotal"/>
              <w:jc w:val="right"/>
            </w:pPr>
            <w:r w:rsidRPr="00C6052E">
              <w:t>3,400</w:t>
            </w:r>
          </w:p>
        </w:tc>
      </w:tr>
      <w:tr w:rsidR="00B515DB" w:rsidRPr="00C6052E" w14:paraId="7104691F" w14:textId="77777777" w:rsidTr="004450EB">
        <w:tc>
          <w:tcPr>
            <w:tcW w:w="4673" w:type="dxa"/>
          </w:tcPr>
          <w:p w14:paraId="69B9F60B" w14:textId="6F5C0FD5" w:rsidR="00B515DB" w:rsidRPr="00C6052E" w:rsidRDefault="00B515DB" w:rsidP="00B230B1">
            <w:pPr>
              <w:pStyle w:val="TableHeading"/>
            </w:pPr>
            <w:r w:rsidRPr="00C6052E">
              <w:t>Administered expenses from transactions</w:t>
            </w:r>
          </w:p>
        </w:tc>
        <w:tc>
          <w:tcPr>
            <w:tcW w:w="1247" w:type="dxa"/>
            <w:noWrap/>
          </w:tcPr>
          <w:p w14:paraId="1E20FF7B" w14:textId="77777777" w:rsidR="00B515DB" w:rsidRPr="00C6052E" w:rsidRDefault="00B515DB" w:rsidP="00B515DB">
            <w:pPr>
              <w:pStyle w:val="TableHeading"/>
              <w:jc w:val="right"/>
            </w:pPr>
          </w:p>
        </w:tc>
        <w:tc>
          <w:tcPr>
            <w:tcW w:w="1247" w:type="dxa"/>
            <w:noWrap/>
          </w:tcPr>
          <w:p w14:paraId="72F5D258" w14:textId="77777777" w:rsidR="00B515DB" w:rsidRPr="00C6052E" w:rsidRDefault="00B515DB" w:rsidP="00B515DB">
            <w:pPr>
              <w:pStyle w:val="TableHeading"/>
              <w:jc w:val="right"/>
            </w:pPr>
          </w:p>
        </w:tc>
        <w:tc>
          <w:tcPr>
            <w:tcW w:w="1304" w:type="dxa"/>
            <w:noWrap/>
          </w:tcPr>
          <w:p w14:paraId="5B9370CE" w14:textId="77777777" w:rsidR="00B515DB" w:rsidRPr="00C6052E" w:rsidRDefault="00B515DB" w:rsidP="00B515DB">
            <w:pPr>
              <w:pStyle w:val="TableHeading"/>
              <w:jc w:val="right"/>
            </w:pPr>
          </w:p>
        </w:tc>
        <w:tc>
          <w:tcPr>
            <w:tcW w:w="1304" w:type="dxa"/>
            <w:noWrap/>
          </w:tcPr>
          <w:p w14:paraId="425B6BF9" w14:textId="77777777" w:rsidR="00B515DB" w:rsidRPr="00C6052E" w:rsidRDefault="00B515DB" w:rsidP="00B515DB">
            <w:pPr>
              <w:pStyle w:val="TableHeading"/>
              <w:jc w:val="right"/>
            </w:pPr>
          </w:p>
        </w:tc>
        <w:tc>
          <w:tcPr>
            <w:tcW w:w="1077" w:type="dxa"/>
            <w:noWrap/>
          </w:tcPr>
          <w:p w14:paraId="484A00D4" w14:textId="77777777" w:rsidR="00B515DB" w:rsidRPr="00C6052E" w:rsidRDefault="00B515DB" w:rsidP="00B515DB">
            <w:pPr>
              <w:pStyle w:val="TableHeading"/>
              <w:jc w:val="right"/>
            </w:pPr>
          </w:p>
        </w:tc>
        <w:tc>
          <w:tcPr>
            <w:tcW w:w="1077" w:type="dxa"/>
            <w:noWrap/>
          </w:tcPr>
          <w:p w14:paraId="5A0EA8E5" w14:textId="77777777" w:rsidR="00B515DB" w:rsidRPr="00C6052E" w:rsidRDefault="00B515DB" w:rsidP="00B515DB">
            <w:pPr>
              <w:pStyle w:val="TableHeading"/>
              <w:jc w:val="right"/>
            </w:pPr>
          </w:p>
        </w:tc>
        <w:tc>
          <w:tcPr>
            <w:tcW w:w="1417" w:type="dxa"/>
            <w:noWrap/>
          </w:tcPr>
          <w:p w14:paraId="7F7237E6" w14:textId="77777777" w:rsidR="00B515DB" w:rsidRPr="00C6052E" w:rsidRDefault="00B515DB" w:rsidP="00B515DB">
            <w:pPr>
              <w:pStyle w:val="TableHeading"/>
              <w:jc w:val="right"/>
            </w:pPr>
          </w:p>
        </w:tc>
        <w:tc>
          <w:tcPr>
            <w:tcW w:w="1417" w:type="dxa"/>
            <w:noWrap/>
          </w:tcPr>
          <w:p w14:paraId="5BD7632C" w14:textId="77777777" w:rsidR="00B515DB" w:rsidRPr="00C6052E" w:rsidRDefault="00B515DB" w:rsidP="00B515DB">
            <w:pPr>
              <w:pStyle w:val="TableHeading"/>
              <w:jc w:val="right"/>
            </w:pPr>
          </w:p>
        </w:tc>
      </w:tr>
      <w:tr w:rsidR="00EE5BB8" w:rsidRPr="00C6052E" w14:paraId="2D39402A" w14:textId="77777777" w:rsidTr="004450EB">
        <w:tc>
          <w:tcPr>
            <w:tcW w:w="4673" w:type="dxa"/>
            <w:hideMark/>
          </w:tcPr>
          <w:p w14:paraId="3E44935F" w14:textId="2B4A7372" w:rsidR="00EE5BB8" w:rsidRPr="00C6052E" w:rsidRDefault="00EE5BB8" w:rsidP="0063097D">
            <w:pPr>
              <w:pStyle w:val="TableCopy"/>
            </w:pPr>
            <w:r w:rsidRPr="00C6052E">
              <w:t>Payments</w:t>
            </w:r>
            <w:r w:rsidR="00177848" w:rsidRPr="00C6052E">
              <w:t xml:space="preserve"> </w:t>
            </w:r>
            <w:r w:rsidRPr="00C6052E">
              <w:t>into</w:t>
            </w:r>
            <w:r w:rsidR="00177848" w:rsidRPr="00C6052E">
              <w:t xml:space="preserve"> </w:t>
            </w:r>
            <w:r w:rsidRPr="00C6052E">
              <w:t>Consolidated</w:t>
            </w:r>
            <w:r w:rsidR="00177848" w:rsidRPr="00C6052E">
              <w:t xml:space="preserve"> </w:t>
            </w:r>
            <w:r w:rsidRPr="00C6052E">
              <w:t>Fund</w:t>
            </w:r>
            <w:r w:rsidR="00177848" w:rsidRPr="00C6052E">
              <w:t xml:space="preserve"> </w:t>
            </w:r>
          </w:p>
        </w:tc>
        <w:tc>
          <w:tcPr>
            <w:tcW w:w="1247" w:type="dxa"/>
            <w:noWrap/>
            <w:hideMark/>
          </w:tcPr>
          <w:p w14:paraId="67D67F4D" w14:textId="77777777" w:rsidR="00EE5BB8" w:rsidRPr="00C6052E" w:rsidRDefault="00EE5BB8" w:rsidP="00B515DB">
            <w:pPr>
              <w:pStyle w:val="TableCopy"/>
              <w:jc w:val="right"/>
            </w:pPr>
            <w:r w:rsidRPr="00C6052E">
              <w:t>(520)</w:t>
            </w:r>
          </w:p>
        </w:tc>
        <w:tc>
          <w:tcPr>
            <w:tcW w:w="1247" w:type="dxa"/>
            <w:noWrap/>
            <w:hideMark/>
          </w:tcPr>
          <w:p w14:paraId="2ADE8B02" w14:textId="77777777" w:rsidR="00EE5BB8" w:rsidRPr="00C6052E" w:rsidRDefault="00EE5BB8" w:rsidP="00B515DB">
            <w:pPr>
              <w:pStyle w:val="TableCopy"/>
              <w:jc w:val="right"/>
            </w:pPr>
            <w:r w:rsidRPr="00C6052E">
              <w:t>(2,100)</w:t>
            </w:r>
          </w:p>
        </w:tc>
        <w:tc>
          <w:tcPr>
            <w:tcW w:w="1304" w:type="dxa"/>
            <w:noWrap/>
            <w:hideMark/>
          </w:tcPr>
          <w:p w14:paraId="3687A3FE" w14:textId="77777777" w:rsidR="00EE5BB8" w:rsidRPr="00C6052E" w:rsidRDefault="00EE5BB8" w:rsidP="00B515DB">
            <w:pPr>
              <w:pStyle w:val="TableCopy"/>
              <w:jc w:val="right"/>
            </w:pPr>
            <w:r w:rsidRPr="00C6052E">
              <w:t>(8,039)</w:t>
            </w:r>
          </w:p>
        </w:tc>
        <w:tc>
          <w:tcPr>
            <w:tcW w:w="1304" w:type="dxa"/>
            <w:noWrap/>
            <w:hideMark/>
          </w:tcPr>
          <w:p w14:paraId="0CAB2011" w14:textId="77777777" w:rsidR="00EE5BB8" w:rsidRPr="00C6052E" w:rsidRDefault="00EE5BB8" w:rsidP="00B515DB">
            <w:pPr>
              <w:pStyle w:val="TableCopy"/>
              <w:jc w:val="right"/>
            </w:pPr>
            <w:r w:rsidRPr="00C6052E">
              <w:t>(23,517)</w:t>
            </w:r>
          </w:p>
        </w:tc>
        <w:tc>
          <w:tcPr>
            <w:tcW w:w="1077" w:type="dxa"/>
            <w:noWrap/>
            <w:hideMark/>
          </w:tcPr>
          <w:p w14:paraId="1BF9E905" w14:textId="77777777" w:rsidR="00EE5BB8" w:rsidRPr="00C6052E" w:rsidRDefault="00EE5BB8" w:rsidP="00B515DB">
            <w:pPr>
              <w:pStyle w:val="TableCopy"/>
              <w:jc w:val="right"/>
            </w:pPr>
            <w:r w:rsidRPr="00C6052E">
              <w:t>(822)</w:t>
            </w:r>
          </w:p>
        </w:tc>
        <w:tc>
          <w:tcPr>
            <w:tcW w:w="1077" w:type="dxa"/>
            <w:noWrap/>
            <w:hideMark/>
          </w:tcPr>
          <w:p w14:paraId="5D6D2B2C" w14:textId="77777777" w:rsidR="00EE5BB8" w:rsidRPr="00C6052E" w:rsidRDefault="00EE5BB8" w:rsidP="00B515DB">
            <w:pPr>
              <w:pStyle w:val="TableCopy"/>
              <w:jc w:val="right"/>
            </w:pPr>
            <w:r w:rsidRPr="00C6052E">
              <w:t>(186)</w:t>
            </w:r>
          </w:p>
        </w:tc>
        <w:tc>
          <w:tcPr>
            <w:tcW w:w="1417" w:type="dxa"/>
            <w:noWrap/>
            <w:hideMark/>
          </w:tcPr>
          <w:p w14:paraId="401E2654" w14:textId="77777777" w:rsidR="00EE5BB8" w:rsidRPr="00C6052E" w:rsidRDefault="00EE5BB8" w:rsidP="00B515DB">
            <w:pPr>
              <w:pStyle w:val="TableCopy"/>
              <w:jc w:val="right"/>
            </w:pPr>
            <w:r w:rsidRPr="00C6052E">
              <w:t>(1,500)</w:t>
            </w:r>
          </w:p>
        </w:tc>
        <w:tc>
          <w:tcPr>
            <w:tcW w:w="1417" w:type="dxa"/>
            <w:noWrap/>
            <w:hideMark/>
          </w:tcPr>
          <w:p w14:paraId="5FB13B35" w14:textId="77777777" w:rsidR="00EE5BB8" w:rsidRPr="00C6052E" w:rsidRDefault="00EE5BB8" w:rsidP="00B515DB">
            <w:pPr>
              <w:pStyle w:val="TableCopy"/>
              <w:jc w:val="right"/>
            </w:pPr>
            <w:r w:rsidRPr="00C6052E">
              <w:t>(1,900)</w:t>
            </w:r>
          </w:p>
        </w:tc>
      </w:tr>
      <w:tr w:rsidR="00EE5BB8" w:rsidRPr="00C6052E" w14:paraId="48C01041" w14:textId="77777777" w:rsidTr="004450EB">
        <w:tc>
          <w:tcPr>
            <w:tcW w:w="4673" w:type="dxa"/>
            <w:hideMark/>
          </w:tcPr>
          <w:p w14:paraId="085F51EB" w14:textId="25AF459A" w:rsidR="00EE5BB8" w:rsidRPr="00C6052E" w:rsidRDefault="00EE5BB8" w:rsidP="0063097D">
            <w:pPr>
              <w:pStyle w:val="TableCopy"/>
            </w:pPr>
            <w:r w:rsidRPr="00C6052E">
              <w:t>Interest</w:t>
            </w:r>
            <w:r w:rsidR="00177848" w:rsidRPr="00C6052E">
              <w:t xml:space="preserve"> </w:t>
            </w:r>
            <w:r w:rsidRPr="00C6052E">
              <w:t>expense</w:t>
            </w:r>
          </w:p>
        </w:tc>
        <w:tc>
          <w:tcPr>
            <w:tcW w:w="1247" w:type="dxa"/>
            <w:noWrap/>
            <w:hideMark/>
          </w:tcPr>
          <w:p w14:paraId="4BD662DC" w14:textId="77777777" w:rsidR="00EE5BB8" w:rsidRPr="00C6052E" w:rsidRDefault="00EE5BB8" w:rsidP="00B515DB">
            <w:pPr>
              <w:pStyle w:val="TableCopy"/>
              <w:jc w:val="right"/>
            </w:pPr>
            <w:r w:rsidRPr="00C6052E">
              <w:t>–</w:t>
            </w:r>
          </w:p>
        </w:tc>
        <w:tc>
          <w:tcPr>
            <w:tcW w:w="1247" w:type="dxa"/>
            <w:noWrap/>
            <w:hideMark/>
          </w:tcPr>
          <w:p w14:paraId="7A9B7E7D" w14:textId="77777777" w:rsidR="00EE5BB8" w:rsidRPr="00C6052E" w:rsidRDefault="00EE5BB8" w:rsidP="00B515DB">
            <w:pPr>
              <w:pStyle w:val="TableCopy"/>
              <w:jc w:val="right"/>
            </w:pPr>
            <w:r w:rsidRPr="00C6052E">
              <w:t>–</w:t>
            </w:r>
          </w:p>
        </w:tc>
        <w:tc>
          <w:tcPr>
            <w:tcW w:w="1304" w:type="dxa"/>
            <w:noWrap/>
            <w:hideMark/>
          </w:tcPr>
          <w:p w14:paraId="3A50892E" w14:textId="77777777" w:rsidR="00EE5BB8" w:rsidRPr="00C6052E" w:rsidRDefault="00EE5BB8" w:rsidP="00B515DB">
            <w:pPr>
              <w:pStyle w:val="TableCopy"/>
              <w:jc w:val="right"/>
            </w:pPr>
            <w:r w:rsidRPr="00C6052E">
              <w:t>–</w:t>
            </w:r>
          </w:p>
        </w:tc>
        <w:tc>
          <w:tcPr>
            <w:tcW w:w="1304" w:type="dxa"/>
            <w:noWrap/>
            <w:hideMark/>
          </w:tcPr>
          <w:p w14:paraId="3EAB88A5" w14:textId="77777777" w:rsidR="00EE5BB8" w:rsidRPr="00C6052E" w:rsidRDefault="00EE5BB8" w:rsidP="00B515DB">
            <w:pPr>
              <w:pStyle w:val="TableCopy"/>
              <w:jc w:val="right"/>
            </w:pPr>
            <w:r w:rsidRPr="00C6052E">
              <w:t>–</w:t>
            </w:r>
          </w:p>
        </w:tc>
        <w:tc>
          <w:tcPr>
            <w:tcW w:w="1077" w:type="dxa"/>
            <w:noWrap/>
            <w:hideMark/>
          </w:tcPr>
          <w:p w14:paraId="55A60119" w14:textId="77777777" w:rsidR="00EE5BB8" w:rsidRPr="00C6052E" w:rsidRDefault="00EE5BB8" w:rsidP="00B515DB">
            <w:pPr>
              <w:pStyle w:val="TableCopy"/>
              <w:jc w:val="right"/>
            </w:pPr>
            <w:r w:rsidRPr="00C6052E">
              <w:t>–</w:t>
            </w:r>
          </w:p>
        </w:tc>
        <w:tc>
          <w:tcPr>
            <w:tcW w:w="1077" w:type="dxa"/>
            <w:noWrap/>
            <w:hideMark/>
          </w:tcPr>
          <w:p w14:paraId="5C851025" w14:textId="77777777" w:rsidR="00EE5BB8" w:rsidRPr="00C6052E" w:rsidRDefault="00EE5BB8" w:rsidP="00B515DB">
            <w:pPr>
              <w:pStyle w:val="TableCopy"/>
              <w:jc w:val="right"/>
            </w:pPr>
            <w:r w:rsidRPr="00C6052E">
              <w:t>–</w:t>
            </w:r>
          </w:p>
        </w:tc>
        <w:tc>
          <w:tcPr>
            <w:tcW w:w="1417" w:type="dxa"/>
            <w:noWrap/>
            <w:hideMark/>
          </w:tcPr>
          <w:p w14:paraId="77C94324" w14:textId="77777777" w:rsidR="00EE5BB8" w:rsidRPr="00C6052E" w:rsidRDefault="00EE5BB8" w:rsidP="00B515DB">
            <w:pPr>
              <w:pStyle w:val="TableCopy"/>
              <w:jc w:val="right"/>
            </w:pPr>
            <w:r w:rsidRPr="00C6052E">
              <w:t>–</w:t>
            </w:r>
          </w:p>
        </w:tc>
        <w:tc>
          <w:tcPr>
            <w:tcW w:w="1417" w:type="dxa"/>
            <w:noWrap/>
            <w:hideMark/>
          </w:tcPr>
          <w:p w14:paraId="7F21A4E6" w14:textId="77777777" w:rsidR="00EE5BB8" w:rsidRPr="00C6052E" w:rsidRDefault="00EE5BB8" w:rsidP="00B515DB">
            <w:pPr>
              <w:pStyle w:val="TableCopy"/>
              <w:jc w:val="right"/>
            </w:pPr>
            <w:r w:rsidRPr="00C6052E">
              <w:t>–</w:t>
            </w:r>
          </w:p>
        </w:tc>
      </w:tr>
      <w:tr w:rsidR="00EE5BB8" w:rsidRPr="00C6052E" w14:paraId="023E8CA9" w14:textId="77777777" w:rsidTr="004450EB">
        <w:tc>
          <w:tcPr>
            <w:tcW w:w="4673" w:type="dxa"/>
            <w:hideMark/>
          </w:tcPr>
          <w:p w14:paraId="0B3C5B78" w14:textId="3F42ACC0" w:rsidR="00EE5BB8" w:rsidRPr="00C6052E" w:rsidRDefault="00EE5BB8" w:rsidP="0063097D">
            <w:pPr>
              <w:pStyle w:val="TableCopy"/>
            </w:pPr>
            <w:r w:rsidRPr="00C6052E">
              <w:t>Other</w:t>
            </w:r>
            <w:r w:rsidR="00177848" w:rsidRPr="00C6052E">
              <w:t xml:space="preserve"> </w:t>
            </w:r>
            <w:r w:rsidRPr="00C6052E">
              <w:t>expenses</w:t>
            </w:r>
          </w:p>
        </w:tc>
        <w:tc>
          <w:tcPr>
            <w:tcW w:w="1247" w:type="dxa"/>
            <w:noWrap/>
            <w:hideMark/>
          </w:tcPr>
          <w:p w14:paraId="258DB382" w14:textId="77777777" w:rsidR="00EE5BB8" w:rsidRPr="00C6052E" w:rsidRDefault="00EE5BB8" w:rsidP="00B515DB">
            <w:pPr>
              <w:pStyle w:val="TableCopy"/>
              <w:jc w:val="right"/>
            </w:pPr>
            <w:r w:rsidRPr="00C6052E">
              <w:t>–</w:t>
            </w:r>
          </w:p>
        </w:tc>
        <w:tc>
          <w:tcPr>
            <w:tcW w:w="1247" w:type="dxa"/>
            <w:noWrap/>
            <w:hideMark/>
          </w:tcPr>
          <w:p w14:paraId="482C3C72" w14:textId="77777777" w:rsidR="00EE5BB8" w:rsidRPr="00C6052E" w:rsidRDefault="00EE5BB8" w:rsidP="00B515DB">
            <w:pPr>
              <w:pStyle w:val="TableCopy"/>
              <w:jc w:val="right"/>
            </w:pPr>
            <w:r w:rsidRPr="00C6052E">
              <w:t>–</w:t>
            </w:r>
          </w:p>
        </w:tc>
        <w:tc>
          <w:tcPr>
            <w:tcW w:w="1304" w:type="dxa"/>
            <w:noWrap/>
            <w:hideMark/>
          </w:tcPr>
          <w:p w14:paraId="6417C06C" w14:textId="77777777" w:rsidR="00EE5BB8" w:rsidRPr="00C6052E" w:rsidRDefault="00EE5BB8" w:rsidP="00B515DB">
            <w:pPr>
              <w:pStyle w:val="TableCopy"/>
              <w:jc w:val="right"/>
            </w:pPr>
            <w:r w:rsidRPr="00C6052E">
              <w:t>(27)</w:t>
            </w:r>
          </w:p>
        </w:tc>
        <w:tc>
          <w:tcPr>
            <w:tcW w:w="1304" w:type="dxa"/>
            <w:noWrap/>
            <w:hideMark/>
          </w:tcPr>
          <w:p w14:paraId="7E3DD55C" w14:textId="77777777" w:rsidR="00EE5BB8" w:rsidRPr="00C6052E" w:rsidRDefault="00EE5BB8" w:rsidP="00B515DB">
            <w:pPr>
              <w:pStyle w:val="TableCopy"/>
              <w:jc w:val="right"/>
            </w:pPr>
            <w:r w:rsidRPr="00C6052E">
              <w:t>(25)</w:t>
            </w:r>
          </w:p>
        </w:tc>
        <w:tc>
          <w:tcPr>
            <w:tcW w:w="1077" w:type="dxa"/>
            <w:noWrap/>
            <w:hideMark/>
          </w:tcPr>
          <w:p w14:paraId="252F1A5E" w14:textId="77777777" w:rsidR="00EE5BB8" w:rsidRPr="00C6052E" w:rsidRDefault="00EE5BB8" w:rsidP="00B515DB">
            <w:pPr>
              <w:pStyle w:val="TableCopy"/>
              <w:jc w:val="right"/>
            </w:pPr>
            <w:r w:rsidRPr="00C6052E">
              <w:t>–</w:t>
            </w:r>
          </w:p>
        </w:tc>
        <w:tc>
          <w:tcPr>
            <w:tcW w:w="1077" w:type="dxa"/>
            <w:noWrap/>
            <w:hideMark/>
          </w:tcPr>
          <w:p w14:paraId="1B134A03" w14:textId="77777777" w:rsidR="00EE5BB8" w:rsidRPr="00C6052E" w:rsidRDefault="00EE5BB8" w:rsidP="00B515DB">
            <w:pPr>
              <w:pStyle w:val="TableCopy"/>
              <w:jc w:val="right"/>
            </w:pPr>
            <w:r w:rsidRPr="00C6052E">
              <w:t>–</w:t>
            </w:r>
          </w:p>
        </w:tc>
        <w:tc>
          <w:tcPr>
            <w:tcW w:w="1417" w:type="dxa"/>
            <w:noWrap/>
            <w:hideMark/>
          </w:tcPr>
          <w:p w14:paraId="4E0B21F7" w14:textId="77777777" w:rsidR="00EE5BB8" w:rsidRPr="00C6052E" w:rsidRDefault="00EE5BB8" w:rsidP="00B515DB">
            <w:pPr>
              <w:pStyle w:val="TableCopy"/>
              <w:jc w:val="right"/>
            </w:pPr>
            <w:r w:rsidRPr="00C6052E">
              <w:t>–</w:t>
            </w:r>
          </w:p>
        </w:tc>
        <w:tc>
          <w:tcPr>
            <w:tcW w:w="1417" w:type="dxa"/>
            <w:noWrap/>
            <w:hideMark/>
          </w:tcPr>
          <w:p w14:paraId="1C22E882" w14:textId="77777777" w:rsidR="00EE5BB8" w:rsidRPr="00C6052E" w:rsidRDefault="00EE5BB8" w:rsidP="00B515DB">
            <w:pPr>
              <w:pStyle w:val="TableCopy"/>
              <w:jc w:val="right"/>
            </w:pPr>
            <w:r w:rsidRPr="00C6052E">
              <w:t>–</w:t>
            </w:r>
          </w:p>
        </w:tc>
      </w:tr>
      <w:tr w:rsidR="00EE5BB8" w:rsidRPr="00C6052E" w14:paraId="607E118A" w14:textId="77777777" w:rsidTr="004450EB">
        <w:tc>
          <w:tcPr>
            <w:tcW w:w="4673" w:type="dxa"/>
            <w:noWrap/>
            <w:hideMark/>
          </w:tcPr>
          <w:p w14:paraId="34A6E32C" w14:textId="6286BBE9" w:rsidR="00EE5BB8" w:rsidRPr="00C6052E" w:rsidRDefault="00EE5BB8" w:rsidP="0063097D">
            <w:pPr>
              <w:pStyle w:val="Tabletotal"/>
            </w:pPr>
            <w:r w:rsidRPr="00C6052E">
              <w:t>Total</w:t>
            </w:r>
            <w:r w:rsidR="00177848" w:rsidRPr="00C6052E">
              <w:t xml:space="preserve"> </w:t>
            </w:r>
            <w:r w:rsidRPr="00C6052E">
              <w:t>administered</w:t>
            </w:r>
            <w:r w:rsidR="00177848" w:rsidRPr="00C6052E">
              <w:t xml:space="preserve"> </w:t>
            </w:r>
            <w:r w:rsidRPr="00C6052E">
              <w:t>expenses</w:t>
            </w:r>
            <w:r w:rsidR="00177848" w:rsidRPr="00C6052E">
              <w:t xml:space="preserve"> </w:t>
            </w:r>
            <w:r w:rsidRPr="00C6052E">
              <w:t>from</w:t>
            </w:r>
            <w:r w:rsidR="00177848" w:rsidRPr="00C6052E">
              <w:t xml:space="preserve"> </w:t>
            </w:r>
            <w:r w:rsidRPr="00C6052E">
              <w:t>transactions</w:t>
            </w:r>
          </w:p>
        </w:tc>
        <w:tc>
          <w:tcPr>
            <w:tcW w:w="1247" w:type="dxa"/>
            <w:noWrap/>
            <w:hideMark/>
          </w:tcPr>
          <w:p w14:paraId="0165D62C" w14:textId="77777777" w:rsidR="00EE5BB8" w:rsidRPr="00C6052E" w:rsidRDefault="00EE5BB8" w:rsidP="00B515DB">
            <w:pPr>
              <w:pStyle w:val="Tabletotal"/>
              <w:jc w:val="right"/>
            </w:pPr>
            <w:r w:rsidRPr="00C6052E">
              <w:t>(520)</w:t>
            </w:r>
          </w:p>
        </w:tc>
        <w:tc>
          <w:tcPr>
            <w:tcW w:w="1247" w:type="dxa"/>
            <w:noWrap/>
            <w:hideMark/>
          </w:tcPr>
          <w:p w14:paraId="3AD60F88" w14:textId="77777777" w:rsidR="00EE5BB8" w:rsidRPr="00C6052E" w:rsidRDefault="00EE5BB8" w:rsidP="00B515DB">
            <w:pPr>
              <w:pStyle w:val="Tabletotal"/>
              <w:jc w:val="right"/>
            </w:pPr>
            <w:r w:rsidRPr="00C6052E">
              <w:t>(2,100)</w:t>
            </w:r>
          </w:p>
        </w:tc>
        <w:tc>
          <w:tcPr>
            <w:tcW w:w="1304" w:type="dxa"/>
            <w:noWrap/>
            <w:hideMark/>
          </w:tcPr>
          <w:p w14:paraId="411E9B11" w14:textId="77777777" w:rsidR="00EE5BB8" w:rsidRPr="00C6052E" w:rsidRDefault="00EE5BB8" w:rsidP="00B515DB">
            <w:pPr>
              <w:pStyle w:val="Tabletotal"/>
              <w:jc w:val="right"/>
            </w:pPr>
            <w:r w:rsidRPr="00C6052E">
              <w:t>(8,066)</w:t>
            </w:r>
          </w:p>
        </w:tc>
        <w:tc>
          <w:tcPr>
            <w:tcW w:w="1304" w:type="dxa"/>
            <w:noWrap/>
            <w:hideMark/>
          </w:tcPr>
          <w:p w14:paraId="4E2FA521" w14:textId="77777777" w:rsidR="00EE5BB8" w:rsidRPr="00C6052E" w:rsidRDefault="00EE5BB8" w:rsidP="00B515DB">
            <w:pPr>
              <w:pStyle w:val="Tabletotal"/>
              <w:jc w:val="right"/>
            </w:pPr>
            <w:r w:rsidRPr="00C6052E">
              <w:t>(23,542)</w:t>
            </w:r>
          </w:p>
        </w:tc>
        <w:tc>
          <w:tcPr>
            <w:tcW w:w="1077" w:type="dxa"/>
            <w:noWrap/>
            <w:hideMark/>
          </w:tcPr>
          <w:p w14:paraId="14DEC78C" w14:textId="77777777" w:rsidR="00EE5BB8" w:rsidRPr="00C6052E" w:rsidRDefault="00EE5BB8" w:rsidP="00B515DB">
            <w:pPr>
              <w:pStyle w:val="Tabletotal"/>
              <w:jc w:val="right"/>
            </w:pPr>
            <w:r w:rsidRPr="00C6052E">
              <w:t>(822)</w:t>
            </w:r>
          </w:p>
        </w:tc>
        <w:tc>
          <w:tcPr>
            <w:tcW w:w="1077" w:type="dxa"/>
            <w:noWrap/>
            <w:hideMark/>
          </w:tcPr>
          <w:p w14:paraId="4199F032" w14:textId="77777777" w:rsidR="00EE5BB8" w:rsidRPr="00C6052E" w:rsidRDefault="00EE5BB8" w:rsidP="00B515DB">
            <w:pPr>
              <w:pStyle w:val="Tabletotal"/>
              <w:jc w:val="right"/>
            </w:pPr>
            <w:r w:rsidRPr="00C6052E">
              <w:t>(186)</w:t>
            </w:r>
          </w:p>
        </w:tc>
        <w:tc>
          <w:tcPr>
            <w:tcW w:w="1417" w:type="dxa"/>
            <w:noWrap/>
            <w:hideMark/>
          </w:tcPr>
          <w:p w14:paraId="49A079B1" w14:textId="77777777" w:rsidR="00EE5BB8" w:rsidRPr="00C6052E" w:rsidRDefault="00EE5BB8" w:rsidP="00B515DB">
            <w:pPr>
              <w:pStyle w:val="Tabletotal"/>
              <w:jc w:val="right"/>
            </w:pPr>
            <w:r w:rsidRPr="00C6052E">
              <w:t>(1,500)</w:t>
            </w:r>
          </w:p>
        </w:tc>
        <w:tc>
          <w:tcPr>
            <w:tcW w:w="1417" w:type="dxa"/>
            <w:noWrap/>
            <w:hideMark/>
          </w:tcPr>
          <w:p w14:paraId="2C6958BD" w14:textId="77777777" w:rsidR="00EE5BB8" w:rsidRPr="00C6052E" w:rsidRDefault="00EE5BB8" w:rsidP="00B515DB">
            <w:pPr>
              <w:pStyle w:val="Tabletotal"/>
              <w:jc w:val="right"/>
            </w:pPr>
            <w:r w:rsidRPr="00C6052E">
              <w:t>(1,900)</w:t>
            </w:r>
          </w:p>
        </w:tc>
      </w:tr>
      <w:tr w:rsidR="00EE5BB8" w:rsidRPr="00C6052E" w14:paraId="48AF291A" w14:textId="77777777" w:rsidTr="004450EB">
        <w:tc>
          <w:tcPr>
            <w:tcW w:w="4673" w:type="dxa"/>
            <w:noWrap/>
            <w:hideMark/>
          </w:tcPr>
          <w:p w14:paraId="183CAECE" w14:textId="451CDB37" w:rsidR="00EE5BB8" w:rsidRPr="00C6052E" w:rsidRDefault="00EE5BB8" w:rsidP="0063097D">
            <w:pPr>
              <w:pStyle w:val="Tabletotal"/>
            </w:pPr>
            <w:r w:rsidRPr="00C6052E">
              <w:t>Total</w:t>
            </w:r>
            <w:r w:rsidR="00177848" w:rsidRPr="00C6052E">
              <w:t xml:space="preserve"> </w:t>
            </w:r>
            <w:r w:rsidRPr="00C6052E">
              <w:t>administered</w:t>
            </w:r>
            <w:r w:rsidR="00177848" w:rsidRPr="00C6052E">
              <w:t xml:space="preserve"> </w:t>
            </w:r>
            <w:r w:rsidRPr="00C6052E">
              <w:t>net</w:t>
            </w:r>
            <w:r w:rsidR="00177848" w:rsidRPr="00C6052E">
              <w:t xml:space="preserve"> </w:t>
            </w:r>
            <w:r w:rsidRPr="00C6052E">
              <w:t>results</w:t>
            </w:r>
            <w:r w:rsidR="00177848" w:rsidRPr="00C6052E">
              <w:t xml:space="preserve"> </w:t>
            </w:r>
            <w:r w:rsidRPr="00C6052E">
              <w:t>from</w:t>
            </w:r>
            <w:r w:rsidR="00177848" w:rsidRPr="00C6052E">
              <w:t xml:space="preserve"> </w:t>
            </w:r>
            <w:r w:rsidRPr="00C6052E">
              <w:t>transactions</w:t>
            </w:r>
          </w:p>
        </w:tc>
        <w:tc>
          <w:tcPr>
            <w:tcW w:w="1247" w:type="dxa"/>
            <w:noWrap/>
            <w:hideMark/>
          </w:tcPr>
          <w:p w14:paraId="6B0AC2EA" w14:textId="77777777" w:rsidR="00EE5BB8" w:rsidRPr="00C6052E" w:rsidRDefault="00EE5BB8" w:rsidP="00B515DB">
            <w:pPr>
              <w:pStyle w:val="Tabletotal"/>
              <w:jc w:val="right"/>
            </w:pPr>
            <w:r w:rsidRPr="00C6052E">
              <w:t>(45)</w:t>
            </w:r>
          </w:p>
        </w:tc>
        <w:tc>
          <w:tcPr>
            <w:tcW w:w="1247" w:type="dxa"/>
            <w:noWrap/>
            <w:hideMark/>
          </w:tcPr>
          <w:p w14:paraId="16E4800C" w14:textId="77777777" w:rsidR="00EE5BB8" w:rsidRPr="00C6052E" w:rsidRDefault="00EE5BB8" w:rsidP="00B515DB">
            <w:pPr>
              <w:pStyle w:val="Tabletotal"/>
              <w:jc w:val="right"/>
            </w:pPr>
            <w:r w:rsidRPr="00C6052E">
              <w:t>(880)</w:t>
            </w:r>
          </w:p>
        </w:tc>
        <w:tc>
          <w:tcPr>
            <w:tcW w:w="1304" w:type="dxa"/>
            <w:noWrap/>
            <w:hideMark/>
          </w:tcPr>
          <w:p w14:paraId="57111BB5" w14:textId="77777777" w:rsidR="00EE5BB8" w:rsidRPr="00C6052E" w:rsidRDefault="00EE5BB8" w:rsidP="00B515DB">
            <w:pPr>
              <w:pStyle w:val="Tabletotal"/>
              <w:jc w:val="right"/>
            </w:pPr>
            <w:r w:rsidRPr="00C6052E">
              <w:t>(41)</w:t>
            </w:r>
          </w:p>
        </w:tc>
        <w:tc>
          <w:tcPr>
            <w:tcW w:w="1304" w:type="dxa"/>
            <w:noWrap/>
            <w:hideMark/>
          </w:tcPr>
          <w:p w14:paraId="4660D64E" w14:textId="77777777" w:rsidR="00EE5BB8" w:rsidRPr="00C6052E" w:rsidRDefault="00EE5BB8" w:rsidP="00B515DB">
            <w:pPr>
              <w:pStyle w:val="Tabletotal"/>
              <w:jc w:val="right"/>
            </w:pPr>
            <w:r w:rsidRPr="00C6052E">
              <w:t>(25)</w:t>
            </w:r>
          </w:p>
        </w:tc>
        <w:tc>
          <w:tcPr>
            <w:tcW w:w="1077" w:type="dxa"/>
            <w:noWrap/>
            <w:hideMark/>
          </w:tcPr>
          <w:p w14:paraId="0C0A493A" w14:textId="77777777" w:rsidR="00EE5BB8" w:rsidRPr="00C6052E" w:rsidRDefault="00EE5BB8" w:rsidP="00B515DB">
            <w:pPr>
              <w:pStyle w:val="Tabletotal"/>
              <w:jc w:val="right"/>
            </w:pPr>
            <w:r w:rsidRPr="00C6052E">
              <w:t>–</w:t>
            </w:r>
          </w:p>
        </w:tc>
        <w:tc>
          <w:tcPr>
            <w:tcW w:w="1077" w:type="dxa"/>
            <w:noWrap/>
            <w:hideMark/>
          </w:tcPr>
          <w:p w14:paraId="01A7F637" w14:textId="77777777" w:rsidR="00EE5BB8" w:rsidRPr="00C6052E" w:rsidRDefault="00EE5BB8" w:rsidP="00B515DB">
            <w:pPr>
              <w:pStyle w:val="Tabletotal"/>
              <w:jc w:val="right"/>
            </w:pPr>
            <w:r w:rsidRPr="00C6052E">
              <w:t>(186)</w:t>
            </w:r>
          </w:p>
        </w:tc>
        <w:tc>
          <w:tcPr>
            <w:tcW w:w="1417" w:type="dxa"/>
            <w:noWrap/>
            <w:hideMark/>
          </w:tcPr>
          <w:p w14:paraId="239D3BAD" w14:textId="77777777" w:rsidR="00EE5BB8" w:rsidRPr="00C6052E" w:rsidRDefault="00EE5BB8" w:rsidP="00B515DB">
            <w:pPr>
              <w:pStyle w:val="Tabletotal"/>
              <w:jc w:val="right"/>
            </w:pPr>
            <w:r w:rsidRPr="00C6052E">
              <w:t>(1,500)</w:t>
            </w:r>
          </w:p>
        </w:tc>
        <w:tc>
          <w:tcPr>
            <w:tcW w:w="1417" w:type="dxa"/>
            <w:noWrap/>
            <w:hideMark/>
          </w:tcPr>
          <w:p w14:paraId="62072F51" w14:textId="77777777" w:rsidR="00EE5BB8" w:rsidRPr="00C6052E" w:rsidRDefault="00EE5BB8" w:rsidP="00B515DB">
            <w:pPr>
              <w:pStyle w:val="Tabletotal"/>
              <w:jc w:val="right"/>
            </w:pPr>
            <w:r w:rsidRPr="00C6052E">
              <w:t>1,500</w:t>
            </w:r>
          </w:p>
        </w:tc>
      </w:tr>
      <w:tr w:rsidR="00EE5BB8" w:rsidRPr="00C6052E" w14:paraId="223861A1" w14:textId="77777777" w:rsidTr="004450EB">
        <w:tc>
          <w:tcPr>
            <w:tcW w:w="4673" w:type="dxa"/>
            <w:hideMark/>
          </w:tcPr>
          <w:p w14:paraId="5ACEBD17" w14:textId="7BD1CDEA" w:rsidR="00EE5BB8" w:rsidRPr="00C6052E" w:rsidRDefault="00EE5BB8" w:rsidP="0063097D">
            <w:pPr>
              <w:pStyle w:val="Tabletotal"/>
            </w:pPr>
            <w:r w:rsidRPr="00C6052E">
              <w:lastRenderedPageBreak/>
              <w:t>Net</w:t>
            </w:r>
            <w:r w:rsidR="00177848" w:rsidRPr="00C6052E">
              <w:t xml:space="preserve"> </w:t>
            </w:r>
            <w:r w:rsidRPr="00C6052E">
              <w:t>gain</w:t>
            </w:r>
            <w:r w:rsidR="00177848" w:rsidRPr="00C6052E">
              <w:t xml:space="preserve"> </w:t>
            </w:r>
            <w:r w:rsidRPr="00C6052E">
              <w:t>on</w:t>
            </w:r>
            <w:r w:rsidR="00177848" w:rsidRPr="00C6052E">
              <w:t xml:space="preserve"> </w:t>
            </w:r>
            <w:r w:rsidRPr="00C6052E">
              <w:t>other</w:t>
            </w:r>
            <w:r w:rsidR="00177848" w:rsidRPr="00C6052E">
              <w:t xml:space="preserve"> </w:t>
            </w:r>
            <w:r w:rsidRPr="00C6052E">
              <w:t>economic</w:t>
            </w:r>
            <w:r w:rsidR="00177848" w:rsidRPr="00C6052E">
              <w:t xml:space="preserve"> </w:t>
            </w:r>
            <w:r w:rsidRPr="00C6052E">
              <w:t>flows</w:t>
            </w:r>
            <w:r w:rsidR="00177848" w:rsidRPr="00C6052E">
              <w:t xml:space="preserve"> </w:t>
            </w:r>
          </w:p>
        </w:tc>
        <w:tc>
          <w:tcPr>
            <w:tcW w:w="1247" w:type="dxa"/>
            <w:noWrap/>
            <w:hideMark/>
          </w:tcPr>
          <w:p w14:paraId="48391424" w14:textId="77777777" w:rsidR="00EE5BB8" w:rsidRPr="00C6052E" w:rsidRDefault="00EE5BB8" w:rsidP="00B515DB">
            <w:pPr>
              <w:pStyle w:val="Tabletotal"/>
              <w:jc w:val="right"/>
            </w:pPr>
            <w:r w:rsidRPr="00C6052E">
              <w:t>–</w:t>
            </w:r>
          </w:p>
        </w:tc>
        <w:tc>
          <w:tcPr>
            <w:tcW w:w="1247" w:type="dxa"/>
            <w:noWrap/>
            <w:hideMark/>
          </w:tcPr>
          <w:p w14:paraId="50C67B6C" w14:textId="77777777" w:rsidR="00EE5BB8" w:rsidRPr="00C6052E" w:rsidRDefault="00EE5BB8" w:rsidP="00B515DB">
            <w:pPr>
              <w:pStyle w:val="Tabletotal"/>
              <w:jc w:val="right"/>
            </w:pPr>
            <w:r w:rsidRPr="00C6052E">
              <w:t>–</w:t>
            </w:r>
          </w:p>
        </w:tc>
        <w:tc>
          <w:tcPr>
            <w:tcW w:w="1304" w:type="dxa"/>
            <w:noWrap/>
            <w:hideMark/>
          </w:tcPr>
          <w:p w14:paraId="6979CFF9" w14:textId="77777777" w:rsidR="00EE5BB8" w:rsidRPr="00C6052E" w:rsidRDefault="00EE5BB8" w:rsidP="00B515DB">
            <w:pPr>
              <w:pStyle w:val="Tabletotal"/>
              <w:jc w:val="right"/>
            </w:pPr>
            <w:r w:rsidRPr="00C6052E">
              <w:t>–</w:t>
            </w:r>
          </w:p>
        </w:tc>
        <w:tc>
          <w:tcPr>
            <w:tcW w:w="1304" w:type="dxa"/>
            <w:noWrap/>
            <w:hideMark/>
          </w:tcPr>
          <w:p w14:paraId="012C7953" w14:textId="77777777" w:rsidR="00EE5BB8" w:rsidRPr="00C6052E" w:rsidRDefault="00EE5BB8" w:rsidP="00B515DB">
            <w:pPr>
              <w:pStyle w:val="Tabletotal"/>
              <w:jc w:val="right"/>
            </w:pPr>
            <w:r w:rsidRPr="00C6052E">
              <w:t>–</w:t>
            </w:r>
          </w:p>
        </w:tc>
        <w:tc>
          <w:tcPr>
            <w:tcW w:w="1077" w:type="dxa"/>
            <w:noWrap/>
            <w:hideMark/>
          </w:tcPr>
          <w:p w14:paraId="22370DEA" w14:textId="77777777" w:rsidR="00EE5BB8" w:rsidRPr="00C6052E" w:rsidRDefault="00EE5BB8" w:rsidP="00B515DB">
            <w:pPr>
              <w:pStyle w:val="Tabletotal"/>
              <w:jc w:val="right"/>
            </w:pPr>
            <w:r w:rsidRPr="00C6052E">
              <w:t>–</w:t>
            </w:r>
          </w:p>
        </w:tc>
        <w:tc>
          <w:tcPr>
            <w:tcW w:w="1077" w:type="dxa"/>
            <w:noWrap/>
            <w:hideMark/>
          </w:tcPr>
          <w:p w14:paraId="351D9CA8" w14:textId="77777777" w:rsidR="00EE5BB8" w:rsidRPr="00C6052E" w:rsidRDefault="00EE5BB8" w:rsidP="00B515DB">
            <w:pPr>
              <w:pStyle w:val="Tabletotal"/>
              <w:jc w:val="right"/>
            </w:pPr>
            <w:r w:rsidRPr="00C6052E">
              <w:t>–</w:t>
            </w:r>
          </w:p>
        </w:tc>
        <w:tc>
          <w:tcPr>
            <w:tcW w:w="1417" w:type="dxa"/>
            <w:noWrap/>
            <w:hideMark/>
          </w:tcPr>
          <w:p w14:paraId="4C0FA56C" w14:textId="77777777" w:rsidR="00EE5BB8" w:rsidRPr="00C6052E" w:rsidRDefault="00EE5BB8" w:rsidP="00B515DB">
            <w:pPr>
              <w:pStyle w:val="Tabletotal"/>
              <w:jc w:val="right"/>
            </w:pPr>
            <w:r w:rsidRPr="00C6052E">
              <w:t>–</w:t>
            </w:r>
          </w:p>
        </w:tc>
        <w:tc>
          <w:tcPr>
            <w:tcW w:w="1417" w:type="dxa"/>
            <w:noWrap/>
            <w:hideMark/>
          </w:tcPr>
          <w:p w14:paraId="0F49EDE7" w14:textId="77777777" w:rsidR="00EE5BB8" w:rsidRPr="00C6052E" w:rsidRDefault="00EE5BB8" w:rsidP="00B515DB">
            <w:pPr>
              <w:pStyle w:val="Tabletotal"/>
              <w:jc w:val="right"/>
            </w:pPr>
            <w:r w:rsidRPr="00C6052E">
              <w:t>–</w:t>
            </w:r>
          </w:p>
        </w:tc>
      </w:tr>
      <w:tr w:rsidR="00EE5BB8" w:rsidRPr="00C6052E" w14:paraId="4B910EE7" w14:textId="77777777" w:rsidTr="004450EB">
        <w:tc>
          <w:tcPr>
            <w:tcW w:w="4673" w:type="dxa"/>
            <w:noWrap/>
            <w:hideMark/>
          </w:tcPr>
          <w:p w14:paraId="7FC48FD8" w14:textId="0F3D18AD" w:rsidR="00EE5BB8" w:rsidRPr="00C6052E" w:rsidRDefault="00EE5BB8" w:rsidP="0063097D">
            <w:pPr>
              <w:pStyle w:val="Tabletotal"/>
            </w:pPr>
            <w:r w:rsidRPr="00C6052E">
              <w:t>Total</w:t>
            </w:r>
            <w:r w:rsidR="00177848" w:rsidRPr="00C6052E">
              <w:t xml:space="preserve"> </w:t>
            </w:r>
            <w:r w:rsidRPr="00C6052E">
              <w:t>administered</w:t>
            </w:r>
            <w:r w:rsidR="00177848" w:rsidRPr="00C6052E">
              <w:t xml:space="preserve"> </w:t>
            </w:r>
            <w:r w:rsidRPr="00C6052E">
              <w:t>comprehensive</w:t>
            </w:r>
            <w:r w:rsidR="00177848" w:rsidRPr="00C6052E">
              <w:t xml:space="preserve"> </w:t>
            </w:r>
            <w:r w:rsidRPr="00C6052E">
              <w:t>result</w:t>
            </w:r>
          </w:p>
        </w:tc>
        <w:tc>
          <w:tcPr>
            <w:tcW w:w="1247" w:type="dxa"/>
            <w:noWrap/>
            <w:hideMark/>
          </w:tcPr>
          <w:p w14:paraId="32CF5FFC" w14:textId="77777777" w:rsidR="00EE5BB8" w:rsidRPr="00C6052E" w:rsidRDefault="00EE5BB8" w:rsidP="00B515DB">
            <w:pPr>
              <w:pStyle w:val="Tabletotal"/>
              <w:jc w:val="right"/>
            </w:pPr>
            <w:r w:rsidRPr="00C6052E">
              <w:t>(45)</w:t>
            </w:r>
          </w:p>
        </w:tc>
        <w:tc>
          <w:tcPr>
            <w:tcW w:w="1247" w:type="dxa"/>
            <w:noWrap/>
            <w:hideMark/>
          </w:tcPr>
          <w:p w14:paraId="58A20C9B" w14:textId="77777777" w:rsidR="00EE5BB8" w:rsidRPr="00C6052E" w:rsidRDefault="00EE5BB8" w:rsidP="00B515DB">
            <w:pPr>
              <w:pStyle w:val="Tabletotal"/>
              <w:jc w:val="right"/>
            </w:pPr>
            <w:r w:rsidRPr="00C6052E">
              <w:t>(880)</w:t>
            </w:r>
          </w:p>
        </w:tc>
        <w:tc>
          <w:tcPr>
            <w:tcW w:w="1304" w:type="dxa"/>
            <w:noWrap/>
            <w:hideMark/>
          </w:tcPr>
          <w:p w14:paraId="5BCA69C7" w14:textId="77777777" w:rsidR="00EE5BB8" w:rsidRPr="00C6052E" w:rsidRDefault="00EE5BB8" w:rsidP="00B515DB">
            <w:pPr>
              <w:pStyle w:val="Tabletotal"/>
              <w:jc w:val="right"/>
            </w:pPr>
            <w:r w:rsidRPr="00C6052E">
              <w:t>(41)</w:t>
            </w:r>
          </w:p>
        </w:tc>
        <w:tc>
          <w:tcPr>
            <w:tcW w:w="1304" w:type="dxa"/>
            <w:noWrap/>
            <w:hideMark/>
          </w:tcPr>
          <w:p w14:paraId="7F48DE77" w14:textId="77777777" w:rsidR="00EE5BB8" w:rsidRPr="00C6052E" w:rsidRDefault="00EE5BB8" w:rsidP="00B515DB">
            <w:pPr>
              <w:pStyle w:val="Tabletotal"/>
              <w:jc w:val="right"/>
            </w:pPr>
            <w:r w:rsidRPr="00C6052E">
              <w:t>(25)</w:t>
            </w:r>
          </w:p>
        </w:tc>
        <w:tc>
          <w:tcPr>
            <w:tcW w:w="1077" w:type="dxa"/>
            <w:noWrap/>
            <w:hideMark/>
          </w:tcPr>
          <w:p w14:paraId="298B8001" w14:textId="77777777" w:rsidR="00EE5BB8" w:rsidRPr="00C6052E" w:rsidRDefault="00EE5BB8" w:rsidP="00B515DB">
            <w:pPr>
              <w:pStyle w:val="Tabletotal"/>
              <w:jc w:val="right"/>
            </w:pPr>
            <w:r w:rsidRPr="00C6052E">
              <w:t>–</w:t>
            </w:r>
          </w:p>
        </w:tc>
        <w:tc>
          <w:tcPr>
            <w:tcW w:w="1077" w:type="dxa"/>
            <w:noWrap/>
            <w:hideMark/>
          </w:tcPr>
          <w:p w14:paraId="67BA7B1B" w14:textId="77777777" w:rsidR="00EE5BB8" w:rsidRPr="00C6052E" w:rsidRDefault="00EE5BB8" w:rsidP="00B515DB">
            <w:pPr>
              <w:pStyle w:val="Tabletotal"/>
              <w:jc w:val="right"/>
            </w:pPr>
            <w:r w:rsidRPr="00C6052E">
              <w:t>(186)</w:t>
            </w:r>
          </w:p>
        </w:tc>
        <w:tc>
          <w:tcPr>
            <w:tcW w:w="1417" w:type="dxa"/>
            <w:noWrap/>
            <w:hideMark/>
          </w:tcPr>
          <w:p w14:paraId="7811A55B" w14:textId="77777777" w:rsidR="00EE5BB8" w:rsidRPr="00C6052E" w:rsidRDefault="00EE5BB8" w:rsidP="00B515DB">
            <w:pPr>
              <w:pStyle w:val="Tabletotal"/>
              <w:jc w:val="right"/>
            </w:pPr>
            <w:r w:rsidRPr="00C6052E">
              <w:t>(1,500)</w:t>
            </w:r>
          </w:p>
        </w:tc>
        <w:tc>
          <w:tcPr>
            <w:tcW w:w="1417" w:type="dxa"/>
            <w:noWrap/>
            <w:hideMark/>
          </w:tcPr>
          <w:p w14:paraId="58017923" w14:textId="77777777" w:rsidR="00EE5BB8" w:rsidRPr="00C6052E" w:rsidRDefault="00EE5BB8" w:rsidP="00B515DB">
            <w:pPr>
              <w:pStyle w:val="Tabletotal"/>
              <w:jc w:val="right"/>
            </w:pPr>
            <w:r w:rsidRPr="00C6052E">
              <w:t>1,500</w:t>
            </w:r>
          </w:p>
        </w:tc>
      </w:tr>
    </w:tbl>
    <w:p w14:paraId="1F289A7C" w14:textId="39C194E1" w:rsidR="004450EB" w:rsidRDefault="004450EB">
      <w:pPr>
        <w:autoSpaceDE/>
        <w:autoSpaceDN/>
        <w:spacing w:after="160" w:line="278" w:lineRule="auto"/>
      </w:pPr>
      <w:r>
        <w:br w:type="page"/>
      </w:r>
    </w:p>
    <w:p w14:paraId="659F7965" w14:textId="4811443A" w:rsidR="00EE5BB8" w:rsidRPr="00C6052E" w:rsidRDefault="00EE5BB8" w:rsidP="004450EB">
      <w:pPr>
        <w:pStyle w:val="Heading3numbered0"/>
        <w:numPr>
          <w:ilvl w:val="0"/>
          <w:numId w:val="0"/>
        </w:numPr>
        <w:ind w:left="720" w:hanging="720"/>
      </w:pPr>
      <w:r w:rsidRPr="00C6052E">
        <w:lastRenderedPageBreak/>
        <w:fldChar w:fldCharType="begin"/>
      </w:r>
      <w:r w:rsidRPr="00C6052E">
        <w:instrText xml:space="preserve"> REF _Ref161823125 \r \h </w:instrText>
      </w:r>
      <w:r w:rsidRPr="00C6052E">
        <w:fldChar w:fldCharType="separate"/>
      </w:r>
      <w:r w:rsidRPr="00C6052E">
        <w:t>4.2.2</w:t>
      </w:r>
      <w:r w:rsidRPr="00C6052E">
        <w:fldChar w:fldCharType="end"/>
      </w:r>
      <w:r w:rsidRPr="00C6052E">
        <w:tab/>
      </w:r>
      <w:r w:rsidRPr="00C6052E">
        <w:fldChar w:fldCharType="begin"/>
      </w:r>
      <w:r w:rsidRPr="00C6052E">
        <w:instrText xml:space="preserve"> REF _Ref161823125 \h  \* MERGEFORMAT </w:instrText>
      </w:r>
      <w:r w:rsidRPr="00C6052E">
        <w:fldChar w:fldCharType="separate"/>
      </w:r>
      <w:r w:rsidRPr="00C6052E">
        <w:t>Administered</w:t>
      </w:r>
      <w:r w:rsidR="00177848" w:rsidRPr="00C6052E">
        <w:t xml:space="preserve"> </w:t>
      </w:r>
      <w:r w:rsidRPr="00C6052E">
        <w:t>revenue</w:t>
      </w:r>
      <w:r w:rsidR="00177848" w:rsidRPr="00C6052E">
        <w:t xml:space="preserve"> </w:t>
      </w:r>
      <w:r w:rsidRPr="00C6052E">
        <w:t>and</w:t>
      </w:r>
      <w:r w:rsidR="00177848" w:rsidRPr="00C6052E">
        <w:t xml:space="preserve"> </w:t>
      </w:r>
      <w:r w:rsidRPr="00C6052E">
        <w:t>income</w:t>
      </w:r>
      <w:r w:rsidR="00177848" w:rsidRPr="00C6052E">
        <w:t xml:space="preserve"> </w:t>
      </w:r>
      <w:r w:rsidRPr="00C6052E">
        <w:t>and</w:t>
      </w:r>
      <w:r w:rsidR="00177848" w:rsidRPr="00C6052E">
        <w:t xml:space="preserve"> </w:t>
      </w:r>
      <w:r w:rsidRPr="00C6052E">
        <w:t>expenses</w:t>
      </w:r>
      <w:r w:rsidR="00177848" w:rsidRPr="00C6052E">
        <w:t xml:space="preserve"> </w:t>
      </w:r>
      <w:r w:rsidRPr="00C6052E">
        <w:t>for</w:t>
      </w:r>
      <w:r w:rsidR="00177848" w:rsidRPr="00C6052E">
        <w:t xml:space="preserve"> </w:t>
      </w:r>
      <w:r w:rsidRPr="00C6052E">
        <w:t>the</w:t>
      </w:r>
      <w:r w:rsidR="00177848" w:rsidRPr="00C6052E">
        <w:t xml:space="preserve"> </w:t>
      </w:r>
      <w:r w:rsidRPr="00C6052E">
        <w:t>year</w:t>
      </w:r>
      <w:r w:rsidR="00177848" w:rsidRPr="00C6052E">
        <w:t xml:space="preserve"> </w:t>
      </w:r>
      <w:r w:rsidRPr="00C6052E">
        <w:t>ended</w:t>
      </w:r>
      <w:r w:rsidR="00177848" w:rsidRPr="00C6052E">
        <w:t xml:space="preserve"> </w:t>
      </w:r>
      <w:r w:rsidRPr="00C6052E">
        <w:t>30</w:t>
      </w:r>
      <w:r w:rsidR="00177848" w:rsidRPr="00C6052E">
        <w:t xml:space="preserve"> </w:t>
      </w:r>
      <w:r w:rsidRPr="00C6052E">
        <w:t>June</w:t>
      </w:r>
      <w:r w:rsidR="00177848" w:rsidRPr="00C6052E">
        <w:t xml:space="preserve"> </w:t>
      </w:r>
      <w:r w:rsidRPr="00C6052E">
        <w:t>2025</w:t>
      </w:r>
      <w:r w:rsidR="00177848" w:rsidRPr="00C6052E">
        <w:t xml:space="preserve"> </w:t>
      </w:r>
      <w:r w:rsidRPr="00C6052E">
        <w:t>DJSIR</w:t>
      </w:r>
      <w:r w:rsidR="00177848" w:rsidRPr="00C6052E">
        <w:t xml:space="preserve"> </w:t>
      </w:r>
      <w:r w:rsidRPr="00C6052E">
        <w:t>Outputs</w:t>
      </w:r>
      <w:r w:rsidRPr="00C6052E">
        <w:fldChar w:fldCharType="end"/>
      </w:r>
      <w:r w:rsidR="00177848" w:rsidRPr="00C6052E">
        <w:t xml:space="preserve"> </w:t>
      </w:r>
      <w:r w:rsidRPr="00C6052E">
        <w:t>(continued)</w:t>
      </w:r>
      <w:r w:rsidR="004450EB" w:rsidRPr="004450EB">
        <w:t xml:space="preserve"> </w:t>
      </w:r>
      <w:r w:rsidR="004450EB" w:rsidRPr="00C6052E">
        <w:t>($</w:t>
      </w:r>
      <w:r w:rsidR="004450EB">
        <w:t> </w:t>
      </w:r>
      <w:r w:rsidR="004450EB" w:rsidRPr="00C6052E">
        <w:t>thousand)</w:t>
      </w:r>
    </w:p>
    <w:tbl>
      <w:tblPr>
        <w:tblStyle w:val="TableGrid"/>
        <w:tblW w:w="14836" w:type="dxa"/>
        <w:tblInd w:w="-5" w:type="dxa"/>
        <w:tblLayout w:type="fixed"/>
        <w:tblLook w:val="04E0" w:firstRow="1" w:lastRow="1" w:firstColumn="1" w:lastColumn="0" w:noHBand="0" w:noVBand="1"/>
      </w:tblPr>
      <w:tblGrid>
        <w:gridCol w:w="3111"/>
        <w:gridCol w:w="850"/>
        <w:gridCol w:w="850"/>
        <w:gridCol w:w="907"/>
        <w:gridCol w:w="907"/>
        <w:gridCol w:w="907"/>
        <w:gridCol w:w="907"/>
        <w:gridCol w:w="974"/>
        <w:gridCol w:w="973"/>
        <w:gridCol w:w="1304"/>
        <w:gridCol w:w="1304"/>
        <w:gridCol w:w="921"/>
        <w:gridCol w:w="921"/>
      </w:tblGrid>
      <w:tr w:rsidR="00B515DB" w:rsidRPr="00C6052E" w14:paraId="3994A5D9" w14:textId="77777777" w:rsidTr="004450EB">
        <w:trPr>
          <w:tblHeader/>
        </w:trPr>
        <w:tc>
          <w:tcPr>
            <w:tcW w:w="3111" w:type="dxa"/>
            <w:noWrap/>
            <w:hideMark/>
          </w:tcPr>
          <w:p w14:paraId="03E310D4" w14:textId="77777777" w:rsidR="00EE5BB8" w:rsidRPr="00C6052E" w:rsidRDefault="00EE5BB8" w:rsidP="00B515DB">
            <w:pPr>
              <w:pStyle w:val="TableColumnHeading"/>
            </w:pPr>
            <w:bookmarkStart w:id="212" w:name="TableColumnHeadings_63"/>
            <w:bookmarkEnd w:id="212"/>
          </w:p>
        </w:tc>
        <w:tc>
          <w:tcPr>
            <w:tcW w:w="850" w:type="dxa"/>
            <w:hideMark/>
          </w:tcPr>
          <w:p w14:paraId="390958E7" w14:textId="26C4E338" w:rsidR="00EE5BB8" w:rsidRPr="00C6052E" w:rsidRDefault="004450EB" w:rsidP="00B515DB">
            <w:pPr>
              <w:pStyle w:val="TableColumnHeading"/>
              <w:jc w:val="right"/>
            </w:pPr>
            <w:r w:rsidRPr="00C6052E">
              <w:rPr>
                <w:lang w:val="en-AU"/>
              </w:rPr>
              <w:t>Trade and Invest</w:t>
            </w:r>
            <w:r>
              <w:rPr>
                <w:lang w:val="en-AU"/>
              </w:rPr>
              <w:softHyphen/>
            </w:r>
            <w:r w:rsidRPr="00C6052E">
              <w:rPr>
                <w:lang w:val="en-AU"/>
              </w:rPr>
              <w:t>ment</w:t>
            </w:r>
            <w:r>
              <w:br/>
            </w:r>
            <w:r w:rsidR="00EE5BB8" w:rsidRPr="00C6052E">
              <w:t>2025</w:t>
            </w:r>
          </w:p>
        </w:tc>
        <w:tc>
          <w:tcPr>
            <w:tcW w:w="850" w:type="dxa"/>
            <w:hideMark/>
          </w:tcPr>
          <w:p w14:paraId="36A45F20" w14:textId="31C6B63F" w:rsidR="00EE5BB8" w:rsidRPr="00C6052E" w:rsidRDefault="004450EB" w:rsidP="00B515DB">
            <w:pPr>
              <w:pStyle w:val="TableColumnHeading"/>
              <w:jc w:val="right"/>
            </w:pPr>
            <w:r w:rsidRPr="00C6052E">
              <w:rPr>
                <w:lang w:val="en-AU"/>
              </w:rPr>
              <w:t>Trade and Invest</w:t>
            </w:r>
            <w:r>
              <w:rPr>
                <w:lang w:val="en-AU"/>
              </w:rPr>
              <w:softHyphen/>
            </w:r>
            <w:r w:rsidRPr="00C6052E">
              <w:rPr>
                <w:lang w:val="en-AU"/>
              </w:rPr>
              <w:t>ment</w:t>
            </w:r>
            <w:r>
              <w:br/>
            </w:r>
            <w:r w:rsidR="00EE5BB8" w:rsidRPr="00C6052E">
              <w:t>2024</w:t>
            </w:r>
          </w:p>
        </w:tc>
        <w:tc>
          <w:tcPr>
            <w:tcW w:w="907" w:type="dxa"/>
            <w:hideMark/>
          </w:tcPr>
          <w:p w14:paraId="5AE213DC" w14:textId="3B882248" w:rsidR="00EE5BB8" w:rsidRPr="00C6052E" w:rsidRDefault="004450EB" w:rsidP="00B515DB">
            <w:pPr>
              <w:pStyle w:val="TableColumnHeading"/>
              <w:jc w:val="right"/>
            </w:pPr>
            <w:r w:rsidRPr="00C6052E">
              <w:rPr>
                <w:lang w:val="en-AU"/>
              </w:rPr>
              <w:t>Sport and Recrea</w:t>
            </w:r>
            <w:r>
              <w:rPr>
                <w:lang w:val="en-AU"/>
              </w:rPr>
              <w:softHyphen/>
            </w:r>
            <w:r w:rsidRPr="00C6052E">
              <w:rPr>
                <w:lang w:val="en-AU"/>
              </w:rPr>
              <w:t>tion</w:t>
            </w:r>
            <w:r>
              <w:br/>
            </w:r>
            <w:r w:rsidR="00EE5BB8" w:rsidRPr="00C6052E">
              <w:t>2025</w:t>
            </w:r>
          </w:p>
        </w:tc>
        <w:tc>
          <w:tcPr>
            <w:tcW w:w="907" w:type="dxa"/>
            <w:hideMark/>
          </w:tcPr>
          <w:p w14:paraId="2E20B278" w14:textId="15E6DEFC" w:rsidR="00EE5BB8" w:rsidRPr="00C6052E" w:rsidRDefault="004450EB" w:rsidP="00B515DB">
            <w:pPr>
              <w:pStyle w:val="TableColumnHeading"/>
              <w:jc w:val="right"/>
            </w:pPr>
            <w:r w:rsidRPr="00C6052E">
              <w:rPr>
                <w:lang w:val="en-AU"/>
              </w:rPr>
              <w:t>Sport and Recrea</w:t>
            </w:r>
            <w:r>
              <w:rPr>
                <w:lang w:val="en-AU"/>
              </w:rPr>
              <w:softHyphen/>
            </w:r>
            <w:r w:rsidRPr="00C6052E">
              <w:rPr>
                <w:lang w:val="en-AU"/>
              </w:rPr>
              <w:t>tion</w:t>
            </w:r>
            <w:r>
              <w:br/>
            </w:r>
            <w:r w:rsidR="00EE5BB8" w:rsidRPr="00C6052E">
              <w:t>2024</w:t>
            </w:r>
          </w:p>
        </w:tc>
        <w:tc>
          <w:tcPr>
            <w:tcW w:w="907" w:type="dxa"/>
            <w:hideMark/>
          </w:tcPr>
          <w:p w14:paraId="376B6D60" w14:textId="7B14B91D" w:rsidR="00EE5BB8" w:rsidRPr="00C6052E" w:rsidRDefault="004450EB" w:rsidP="00B515DB">
            <w:pPr>
              <w:pStyle w:val="TableColumnHeading"/>
              <w:jc w:val="right"/>
            </w:pPr>
            <w:r w:rsidRPr="00C6052E">
              <w:rPr>
                <w:lang w:val="en-AU"/>
              </w:rPr>
              <w:t>Tourism and Major Events</w:t>
            </w:r>
            <w:r>
              <w:br/>
            </w:r>
            <w:r w:rsidR="00EE5BB8" w:rsidRPr="00C6052E">
              <w:t>2025</w:t>
            </w:r>
          </w:p>
        </w:tc>
        <w:tc>
          <w:tcPr>
            <w:tcW w:w="907" w:type="dxa"/>
            <w:hideMark/>
          </w:tcPr>
          <w:p w14:paraId="2F4FD62A" w14:textId="1158825F" w:rsidR="00EE5BB8" w:rsidRPr="00C6052E" w:rsidRDefault="004450EB" w:rsidP="00B515DB">
            <w:pPr>
              <w:pStyle w:val="TableColumnHeading"/>
              <w:jc w:val="right"/>
            </w:pPr>
            <w:r w:rsidRPr="00C6052E">
              <w:rPr>
                <w:lang w:val="en-AU"/>
              </w:rPr>
              <w:t>Tourism and Major Events</w:t>
            </w:r>
            <w:r>
              <w:br/>
            </w:r>
            <w:r w:rsidR="00EE5BB8" w:rsidRPr="00C6052E">
              <w:t>2024</w:t>
            </w:r>
          </w:p>
        </w:tc>
        <w:tc>
          <w:tcPr>
            <w:tcW w:w="974" w:type="dxa"/>
            <w:hideMark/>
          </w:tcPr>
          <w:p w14:paraId="24D7DE61" w14:textId="51F9A082" w:rsidR="00EE5BB8" w:rsidRPr="00C6052E" w:rsidRDefault="004450EB" w:rsidP="00B515DB">
            <w:pPr>
              <w:pStyle w:val="TableColumnHeading"/>
              <w:jc w:val="right"/>
            </w:pPr>
            <w:r w:rsidRPr="00C6052E">
              <w:rPr>
                <w:lang w:val="en-AU"/>
              </w:rPr>
              <w:t>Fishing, Boating and Game Manage</w:t>
            </w:r>
            <w:r>
              <w:rPr>
                <w:lang w:val="en-AU"/>
              </w:rPr>
              <w:softHyphen/>
            </w:r>
            <w:r w:rsidRPr="00C6052E">
              <w:rPr>
                <w:lang w:val="en-AU"/>
              </w:rPr>
              <w:t>ment</w:t>
            </w:r>
            <w:r>
              <w:br/>
            </w:r>
            <w:r w:rsidR="00EE5BB8" w:rsidRPr="00C6052E">
              <w:t>2025</w:t>
            </w:r>
          </w:p>
        </w:tc>
        <w:tc>
          <w:tcPr>
            <w:tcW w:w="973" w:type="dxa"/>
            <w:hideMark/>
          </w:tcPr>
          <w:p w14:paraId="087AEFE8" w14:textId="741332EE" w:rsidR="00EE5BB8" w:rsidRPr="00C6052E" w:rsidRDefault="004450EB" w:rsidP="00B515DB">
            <w:pPr>
              <w:pStyle w:val="TableColumnHeading"/>
              <w:jc w:val="right"/>
            </w:pPr>
            <w:r w:rsidRPr="00C6052E">
              <w:rPr>
                <w:lang w:val="en-AU"/>
              </w:rPr>
              <w:t>Fishing, Boating and Game Manage</w:t>
            </w:r>
            <w:r>
              <w:rPr>
                <w:lang w:val="en-AU"/>
              </w:rPr>
              <w:softHyphen/>
            </w:r>
            <w:r w:rsidRPr="00C6052E">
              <w:rPr>
                <w:lang w:val="en-AU"/>
              </w:rPr>
              <w:t>ment</w:t>
            </w:r>
            <w:r>
              <w:br/>
            </w:r>
            <w:r w:rsidR="00EE5BB8" w:rsidRPr="00C6052E">
              <w:t>2024</w:t>
            </w:r>
          </w:p>
        </w:tc>
        <w:tc>
          <w:tcPr>
            <w:tcW w:w="1304" w:type="dxa"/>
            <w:hideMark/>
          </w:tcPr>
          <w:p w14:paraId="6F524163" w14:textId="5D588380" w:rsidR="00EE5BB8" w:rsidRPr="00C6052E" w:rsidRDefault="004450EB" w:rsidP="00B515DB">
            <w:pPr>
              <w:pStyle w:val="TableColumnHeading"/>
              <w:jc w:val="right"/>
            </w:pPr>
            <w:r w:rsidRPr="00C6052E">
              <w:rPr>
                <w:lang w:val="en-AU"/>
              </w:rPr>
              <w:t xml:space="preserve">Training, Higher Education </w:t>
            </w:r>
            <w:r>
              <w:rPr>
                <w:lang w:val="en-AU"/>
              </w:rPr>
              <w:t>&amp;</w:t>
            </w:r>
            <w:r w:rsidRPr="00C6052E">
              <w:rPr>
                <w:lang w:val="en-AU"/>
              </w:rPr>
              <w:t xml:space="preserve"> Workforce Develop</w:t>
            </w:r>
            <w:r>
              <w:rPr>
                <w:lang w:val="en-AU"/>
              </w:rPr>
              <w:softHyphen/>
            </w:r>
            <w:r w:rsidRPr="00C6052E">
              <w:rPr>
                <w:lang w:val="en-AU"/>
              </w:rPr>
              <w:t>ment</w:t>
            </w:r>
            <w:r>
              <w:br/>
            </w:r>
            <w:r w:rsidR="00EE5BB8" w:rsidRPr="00C6052E">
              <w:t>2025</w:t>
            </w:r>
          </w:p>
        </w:tc>
        <w:tc>
          <w:tcPr>
            <w:tcW w:w="1304" w:type="dxa"/>
            <w:hideMark/>
          </w:tcPr>
          <w:p w14:paraId="41A37650" w14:textId="52980F4B" w:rsidR="00EE5BB8" w:rsidRPr="00C6052E" w:rsidRDefault="004450EB" w:rsidP="00B515DB">
            <w:pPr>
              <w:pStyle w:val="TableColumnHeading"/>
              <w:jc w:val="right"/>
            </w:pPr>
            <w:r w:rsidRPr="00C6052E">
              <w:rPr>
                <w:lang w:val="en-AU"/>
              </w:rPr>
              <w:t xml:space="preserve">Training, Higher Education </w:t>
            </w:r>
            <w:r>
              <w:rPr>
                <w:lang w:val="en-AU"/>
              </w:rPr>
              <w:t>&amp;</w:t>
            </w:r>
            <w:r w:rsidRPr="00C6052E">
              <w:rPr>
                <w:lang w:val="en-AU"/>
              </w:rPr>
              <w:t xml:space="preserve"> Workforce Develop</w:t>
            </w:r>
            <w:r>
              <w:rPr>
                <w:lang w:val="en-AU"/>
              </w:rPr>
              <w:softHyphen/>
            </w:r>
            <w:r w:rsidRPr="00C6052E">
              <w:rPr>
                <w:lang w:val="en-AU"/>
              </w:rPr>
              <w:t>ment</w:t>
            </w:r>
            <w:r>
              <w:br/>
            </w:r>
            <w:r w:rsidR="00EE5BB8" w:rsidRPr="00C6052E">
              <w:t>2024</w:t>
            </w:r>
          </w:p>
        </w:tc>
        <w:tc>
          <w:tcPr>
            <w:tcW w:w="921" w:type="dxa"/>
            <w:hideMark/>
          </w:tcPr>
          <w:p w14:paraId="36FEC4F0" w14:textId="73DF73B0" w:rsidR="00EE5BB8" w:rsidRPr="00C6052E" w:rsidRDefault="004450EB" w:rsidP="00B515DB">
            <w:pPr>
              <w:pStyle w:val="TableColumnHeading"/>
              <w:jc w:val="right"/>
            </w:pPr>
            <w:r w:rsidRPr="00C6052E">
              <w:rPr>
                <w:lang w:val="en-AU"/>
              </w:rPr>
              <w:t>DJSIR Consolidated Total</w:t>
            </w:r>
            <w:r>
              <w:br/>
            </w:r>
            <w:r w:rsidR="00EE5BB8" w:rsidRPr="00C6052E">
              <w:t>2025</w:t>
            </w:r>
          </w:p>
        </w:tc>
        <w:tc>
          <w:tcPr>
            <w:tcW w:w="921" w:type="dxa"/>
            <w:hideMark/>
          </w:tcPr>
          <w:p w14:paraId="66D5F7E9" w14:textId="676FBFEC" w:rsidR="00EE5BB8" w:rsidRPr="00C6052E" w:rsidRDefault="004450EB" w:rsidP="00B515DB">
            <w:pPr>
              <w:pStyle w:val="TableColumnHeading"/>
              <w:jc w:val="right"/>
            </w:pPr>
            <w:r w:rsidRPr="00C6052E">
              <w:rPr>
                <w:lang w:val="en-AU"/>
              </w:rPr>
              <w:t>DJSIR Consolidated Total</w:t>
            </w:r>
            <w:r>
              <w:br/>
            </w:r>
            <w:r w:rsidR="00EE5BB8" w:rsidRPr="00C6052E">
              <w:t>2024</w:t>
            </w:r>
          </w:p>
        </w:tc>
      </w:tr>
      <w:tr w:rsidR="00B515DB" w:rsidRPr="00C6052E" w14:paraId="76958D25" w14:textId="77777777" w:rsidTr="004450EB">
        <w:tc>
          <w:tcPr>
            <w:tcW w:w="3111" w:type="dxa"/>
          </w:tcPr>
          <w:p w14:paraId="13FF175C" w14:textId="78A25E34" w:rsidR="00B515DB" w:rsidRPr="00C6052E" w:rsidRDefault="00B515DB" w:rsidP="00B515DB">
            <w:pPr>
              <w:pStyle w:val="TableHeading"/>
            </w:pPr>
            <w:r w:rsidRPr="00C6052E">
              <w:t>Administered revenue and income from transactions</w:t>
            </w:r>
          </w:p>
        </w:tc>
        <w:tc>
          <w:tcPr>
            <w:tcW w:w="850" w:type="dxa"/>
            <w:noWrap/>
          </w:tcPr>
          <w:p w14:paraId="3C2FED8D" w14:textId="77777777" w:rsidR="00B515DB" w:rsidRPr="00C6052E" w:rsidRDefault="00B515DB" w:rsidP="00B515DB">
            <w:pPr>
              <w:pStyle w:val="TableHeading"/>
              <w:jc w:val="right"/>
            </w:pPr>
          </w:p>
        </w:tc>
        <w:tc>
          <w:tcPr>
            <w:tcW w:w="850" w:type="dxa"/>
            <w:noWrap/>
          </w:tcPr>
          <w:p w14:paraId="15B91EDB" w14:textId="77777777" w:rsidR="00B515DB" w:rsidRPr="00C6052E" w:rsidRDefault="00B515DB" w:rsidP="00B515DB">
            <w:pPr>
              <w:pStyle w:val="TableHeading"/>
              <w:jc w:val="right"/>
            </w:pPr>
          </w:p>
        </w:tc>
        <w:tc>
          <w:tcPr>
            <w:tcW w:w="907" w:type="dxa"/>
            <w:noWrap/>
          </w:tcPr>
          <w:p w14:paraId="79E168DC" w14:textId="77777777" w:rsidR="00B515DB" w:rsidRPr="00C6052E" w:rsidRDefault="00B515DB" w:rsidP="00B515DB">
            <w:pPr>
              <w:pStyle w:val="TableHeading"/>
              <w:jc w:val="right"/>
            </w:pPr>
          </w:p>
        </w:tc>
        <w:tc>
          <w:tcPr>
            <w:tcW w:w="907" w:type="dxa"/>
            <w:noWrap/>
          </w:tcPr>
          <w:p w14:paraId="5780ADB1" w14:textId="77777777" w:rsidR="00B515DB" w:rsidRPr="00C6052E" w:rsidRDefault="00B515DB" w:rsidP="00B515DB">
            <w:pPr>
              <w:pStyle w:val="TableHeading"/>
              <w:jc w:val="right"/>
            </w:pPr>
          </w:p>
        </w:tc>
        <w:tc>
          <w:tcPr>
            <w:tcW w:w="907" w:type="dxa"/>
            <w:noWrap/>
          </w:tcPr>
          <w:p w14:paraId="7E943D2F" w14:textId="77777777" w:rsidR="00B515DB" w:rsidRPr="00C6052E" w:rsidRDefault="00B515DB" w:rsidP="00B515DB">
            <w:pPr>
              <w:pStyle w:val="TableHeading"/>
              <w:jc w:val="right"/>
            </w:pPr>
          </w:p>
        </w:tc>
        <w:tc>
          <w:tcPr>
            <w:tcW w:w="907" w:type="dxa"/>
            <w:noWrap/>
          </w:tcPr>
          <w:p w14:paraId="17FC24C5" w14:textId="77777777" w:rsidR="00B515DB" w:rsidRPr="00C6052E" w:rsidRDefault="00B515DB" w:rsidP="00B515DB">
            <w:pPr>
              <w:pStyle w:val="TableHeading"/>
              <w:jc w:val="right"/>
            </w:pPr>
          </w:p>
        </w:tc>
        <w:tc>
          <w:tcPr>
            <w:tcW w:w="974" w:type="dxa"/>
            <w:noWrap/>
          </w:tcPr>
          <w:p w14:paraId="3F1B543C" w14:textId="77777777" w:rsidR="00B515DB" w:rsidRPr="00C6052E" w:rsidRDefault="00B515DB" w:rsidP="00B515DB">
            <w:pPr>
              <w:pStyle w:val="TableHeading"/>
              <w:jc w:val="right"/>
            </w:pPr>
          </w:p>
        </w:tc>
        <w:tc>
          <w:tcPr>
            <w:tcW w:w="973" w:type="dxa"/>
            <w:noWrap/>
          </w:tcPr>
          <w:p w14:paraId="167B6441" w14:textId="77777777" w:rsidR="00B515DB" w:rsidRPr="00C6052E" w:rsidRDefault="00B515DB" w:rsidP="00B515DB">
            <w:pPr>
              <w:pStyle w:val="TableHeading"/>
              <w:jc w:val="right"/>
            </w:pPr>
          </w:p>
        </w:tc>
        <w:tc>
          <w:tcPr>
            <w:tcW w:w="1304" w:type="dxa"/>
            <w:noWrap/>
          </w:tcPr>
          <w:p w14:paraId="16C1DF04" w14:textId="77777777" w:rsidR="00B515DB" w:rsidRPr="00C6052E" w:rsidRDefault="00B515DB" w:rsidP="00B515DB">
            <w:pPr>
              <w:pStyle w:val="TableHeading"/>
              <w:jc w:val="right"/>
            </w:pPr>
          </w:p>
        </w:tc>
        <w:tc>
          <w:tcPr>
            <w:tcW w:w="1304" w:type="dxa"/>
            <w:noWrap/>
          </w:tcPr>
          <w:p w14:paraId="26956848" w14:textId="77777777" w:rsidR="00B515DB" w:rsidRPr="00C6052E" w:rsidRDefault="00B515DB" w:rsidP="00B515DB">
            <w:pPr>
              <w:pStyle w:val="TableHeading"/>
              <w:jc w:val="right"/>
            </w:pPr>
          </w:p>
        </w:tc>
        <w:tc>
          <w:tcPr>
            <w:tcW w:w="921" w:type="dxa"/>
            <w:noWrap/>
          </w:tcPr>
          <w:p w14:paraId="4CCE651A" w14:textId="77777777" w:rsidR="00B515DB" w:rsidRPr="00C6052E" w:rsidRDefault="00B515DB" w:rsidP="00B515DB">
            <w:pPr>
              <w:pStyle w:val="TableHeading"/>
              <w:jc w:val="right"/>
            </w:pPr>
          </w:p>
        </w:tc>
        <w:tc>
          <w:tcPr>
            <w:tcW w:w="921" w:type="dxa"/>
            <w:noWrap/>
          </w:tcPr>
          <w:p w14:paraId="25097335" w14:textId="77777777" w:rsidR="00B515DB" w:rsidRPr="00C6052E" w:rsidRDefault="00B515DB" w:rsidP="00B515DB">
            <w:pPr>
              <w:pStyle w:val="TableHeading"/>
              <w:jc w:val="right"/>
            </w:pPr>
          </w:p>
        </w:tc>
      </w:tr>
      <w:tr w:rsidR="00B515DB" w:rsidRPr="00C6052E" w14:paraId="37007517" w14:textId="77777777" w:rsidTr="004450EB">
        <w:tc>
          <w:tcPr>
            <w:tcW w:w="3111" w:type="dxa"/>
            <w:hideMark/>
          </w:tcPr>
          <w:p w14:paraId="758100D6" w14:textId="5ABA8E96" w:rsidR="00EE5BB8" w:rsidRPr="00C6052E" w:rsidRDefault="00EE5BB8" w:rsidP="0063097D">
            <w:pPr>
              <w:pStyle w:val="TableCopy"/>
            </w:pPr>
            <w:r w:rsidRPr="00C6052E">
              <w:t>Sale</w:t>
            </w:r>
            <w:r w:rsidR="00177848" w:rsidRPr="00C6052E">
              <w:t xml:space="preserve"> </w:t>
            </w:r>
            <w:r w:rsidRPr="00C6052E">
              <w:t>of</w:t>
            </w:r>
            <w:r w:rsidR="00177848" w:rsidRPr="00C6052E">
              <w:t xml:space="preserve"> </w:t>
            </w:r>
            <w:r w:rsidRPr="00C6052E">
              <w:t>goods</w:t>
            </w:r>
            <w:r w:rsidR="00177848" w:rsidRPr="00C6052E">
              <w:t xml:space="preserve"> </w:t>
            </w:r>
            <w:r w:rsidRPr="00C6052E">
              <w:t>and</w:t>
            </w:r>
            <w:r w:rsidR="00177848" w:rsidRPr="00C6052E">
              <w:t xml:space="preserve"> </w:t>
            </w:r>
            <w:r w:rsidRPr="00C6052E">
              <w:t>services</w:t>
            </w:r>
            <w:r w:rsidR="00177848" w:rsidRPr="00C6052E">
              <w:t xml:space="preserve"> </w:t>
            </w:r>
          </w:p>
        </w:tc>
        <w:tc>
          <w:tcPr>
            <w:tcW w:w="850" w:type="dxa"/>
            <w:noWrap/>
            <w:hideMark/>
          </w:tcPr>
          <w:p w14:paraId="710A03DB" w14:textId="77777777" w:rsidR="00EE5BB8" w:rsidRPr="00C6052E" w:rsidRDefault="00EE5BB8" w:rsidP="00B515DB">
            <w:pPr>
              <w:pStyle w:val="TableCopy"/>
              <w:jc w:val="right"/>
            </w:pPr>
            <w:r w:rsidRPr="00C6052E">
              <w:t>262</w:t>
            </w:r>
          </w:p>
        </w:tc>
        <w:tc>
          <w:tcPr>
            <w:tcW w:w="850" w:type="dxa"/>
            <w:noWrap/>
            <w:hideMark/>
          </w:tcPr>
          <w:p w14:paraId="2842DAFA" w14:textId="77777777" w:rsidR="00EE5BB8" w:rsidRPr="00C6052E" w:rsidRDefault="00EE5BB8" w:rsidP="00B515DB">
            <w:pPr>
              <w:pStyle w:val="TableCopy"/>
              <w:jc w:val="right"/>
            </w:pPr>
            <w:r w:rsidRPr="00C6052E">
              <w:t>–</w:t>
            </w:r>
          </w:p>
        </w:tc>
        <w:tc>
          <w:tcPr>
            <w:tcW w:w="907" w:type="dxa"/>
            <w:noWrap/>
            <w:hideMark/>
          </w:tcPr>
          <w:p w14:paraId="27D76A62" w14:textId="77777777" w:rsidR="00EE5BB8" w:rsidRPr="00C6052E" w:rsidRDefault="00EE5BB8" w:rsidP="00B515DB">
            <w:pPr>
              <w:pStyle w:val="TableCopy"/>
              <w:jc w:val="right"/>
            </w:pPr>
            <w:r w:rsidRPr="00C6052E">
              <w:t>188</w:t>
            </w:r>
          </w:p>
        </w:tc>
        <w:tc>
          <w:tcPr>
            <w:tcW w:w="907" w:type="dxa"/>
            <w:noWrap/>
            <w:hideMark/>
          </w:tcPr>
          <w:p w14:paraId="0E1908F9" w14:textId="77777777" w:rsidR="00EE5BB8" w:rsidRPr="00C6052E" w:rsidRDefault="00EE5BB8" w:rsidP="00B515DB">
            <w:pPr>
              <w:pStyle w:val="TableCopy"/>
              <w:jc w:val="right"/>
            </w:pPr>
            <w:r w:rsidRPr="00C6052E">
              <w:t>130</w:t>
            </w:r>
          </w:p>
        </w:tc>
        <w:tc>
          <w:tcPr>
            <w:tcW w:w="907" w:type="dxa"/>
            <w:noWrap/>
            <w:hideMark/>
          </w:tcPr>
          <w:p w14:paraId="7179E3FD" w14:textId="77777777" w:rsidR="00EE5BB8" w:rsidRPr="00C6052E" w:rsidRDefault="00EE5BB8" w:rsidP="00B515DB">
            <w:pPr>
              <w:pStyle w:val="TableCopy"/>
              <w:jc w:val="right"/>
            </w:pPr>
            <w:r w:rsidRPr="00C6052E">
              <w:t>–</w:t>
            </w:r>
          </w:p>
        </w:tc>
        <w:tc>
          <w:tcPr>
            <w:tcW w:w="907" w:type="dxa"/>
            <w:noWrap/>
            <w:hideMark/>
          </w:tcPr>
          <w:p w14:paraId="6C2C4F34" w14:textId="77777777" w:rsidR="00EE5BB8" w:rsidRPr="00C6052E" w:rsidRDefault="00EE5BB8" w:rsidP="00B515DB">
            <w:pPr>
              <w:pStyle w:val="TableCopy"/>
              <w:jc w:val="right"/>
            </w:pPr>
            <w:r w:rsidRPr="00C6052E">
              <w:t>3,570</w:t>
            </w:r>
          </w:p>
        </w:tc>
        <w:tc>
          <w:tcPr>
            <w:tcW w:w="974" w:type="dxa"/>
            <w:noWrap/>
            <w:hideMark/>
          </w:tcPr>
          <w:p w14:paraId="7AE7661D" w14:textId="77777777" w:rsidR="00EE5BB8" w:rsidRPr="00C6052E" w:rsidRDefault="00EE5BB8" w:rsidP="00B515DB">
            <w:pPr>
              <w:pStyle w:val="TableCopy"/>
              <w:jc w:val="right"/>
            </w:pPr>
            <w:r w:rsidRPr="00C6052E">
              <w:t>16</w:t>
            </w:r>
          </w:p>
        </w:tc>
        <w:tc>
          <w:tcPr>
            <w:tcW w:w="973" w:type="dxa"/>
            <w:noWrap/>
            <w:hideMark/>
          </w:tcPr>
          <w:p w14:paraId="1A4559DA" w14:textId="77777777" w:rsidR="00EE5BB8" w:rsidRPr="00C6052E" w:rsidRDefault="00EE5BB8" w:rsidP="00B515DB">
            <w:pPr>
              <w:pStyle w:val="TableCopy"/>
              <w:jc w:val="right"/>
            </w:pPr>
            <w:r w:rsidRPr="00C6052E">
              <w:t>54</w:t>
            </w:r>
          </w:p>
        </w:tc>
        <w:tc>
          <w:tcPr>
            <w:tcW w:w="1304" w:type="dxa"/>
            <w:noWrap/>
            <w:hideMark/>
          </w:tcPr>
          <w:p w14:paraId="7194C8A6" w14:textId="77777777" w:rsidR="00EE5BB8" w:rsidRPr="00C6052E" w:rsidRDefault="00EE5BB8" w:rsidP="00B515DB">
            <w:pPr>
              <w:pStyle w:val="TableCopy"/>
              <w:jc w:val="right"/>
            </w:pPr>
            <w:r w:rsidRPr="00C6052E">
              <w:t>–</w:t>
            </w:r>
          </w:p>
        </w:tc>
        <w:tc>
          <w:tcPr>
            <w:tcW w:w="1304" w:type="dxa"/>
            <w:noWrap/>
            <w:hideMark/>
          </w:tcPr>
          <w:p w14:paraId="73E27AF1" w14:textId="77777777" w:rsidR="00EE5BB8" w:rsidRPr="00C6052E" w:rsidRDefault="00EE5BB8" w:rsidP="00B515DB">
            <w:pPr>
              <w:pStyle w:val="TableCopy"/>
              <w:jc w:val="right"/>
            </w:pPr>
            <w:r w:rsidRPr="00C6052E">
              <w:t>–</w:t>
            </w:r>
          </w:p>
        </w:tc>
        <w:tc>
          <w:tcPr>
            <w:tcW w:w="921" w:type="dxa"/>
            <w:noWrap/>
            <w:hideMark/>
          </w:tcPr>
          <w:p w14:paraId="52936C75" w14:textId="77777777" w:rsidR="00EE5BB8" w:rsidRPr="00C6052E" w:rsidRDefault="00EE5BB8" w:rsidP="00B515DB">
            <w:pPr>
              <w:pStyle w:val="TableCopy"/>
              <w:jc w:val="right"/>
            </w:pPr>
            <w:r w:rsidRPr="00C6052E">
              <w:t>466</w:t>
            </w:r>
          </w:p>
        </w:tc>
        <w:tc>
          <w:tcPr>
            <w:tcW w:w="921" w:type="dxa"/>
            <w:noWrap/>
            <w:hideMark/>
          </w:tcPr>
          <w:p w14:paraId="7CB4968C" w14:textId="77777777" w:rsidR="00EE5BB8" w:rsidRPr="00C6052E" w:rsidRDefault="00EE5BB8" w:rsidP="00B515DB">
            <w:pPr>
              <w:pStyle w:val="TableCopy"/>
              <w:jc w:val="right"/>
            </w:pPr>
            <w:r w:rsidRPr="00C6052E">
              <w:t>3,754</w:t>
            </w:r>
          </w:p>
        </w:tc>
      </w:tr>
      <w:tr w:rsidR="00B515DB" w:rsidRPr="00C6052E" w14:paraId="796960FE" w14:textId="77777777" w:rsidTr="004450EB">
        <w:tc>
          <w:tcPr>
            <w:tcW w:w="3111" w:type="dxa"/>
            <w:hideMark/>
          </w:tcPr>
          <w:p w14:paraId="2798D37E" w14:textId="205D1D8B" w:rsidR="00EE5BB8" w:rsidRPr="00C6052E" w:rsidRDefault="00EE5BB8" w:rsidP="0063097D">
            <w:pPr>
              <w:pStyle w:val="TableCopy"/>
            </w:pPr>
            <w:r w:rsidRPr="00C6052E">
              <w:t>Other</w:t>
            </w:r>
            <w:r w:rsidR="00177848" w:rsidRPr="00C6052E">
              <w:t xml:space="preserve"> </w:t>
            </w:r>
            <w:r w:rsidRPr="00C6052E">
              <w:t>income</w:t>
            </w:r>
          </w:p>
        </w:tc>
        <w:tc>
          <w:tcPr>
            <w:tcW w:w="850" w:type="dxa"/>
            <w:noWrap/>
            <w:hideMark/>
          </w:tcPr>
          <w:p w14:paraId="2CF63DF9" w14:textId="77777777" w:rsidR="00EE5BB8" w:rsidRPr="00C6052E" w:rsidRDefault="00EE5BB8" w:rsidP="00B515DB">
            <w:pPr>
              <w:pStyle w:val="TableCopy"/>
              <w:jc w:val="right"/>
            </w:pPr>
            <w:r w:rsidRPr="00C6052E">
              <w:t>438</w:t>
            </w:r>
          </w:p>
        </w:tc>
        <w:tc>
          <w:tcPr>
            <w:tcW w:w="850" w:type="dxa"/>
            <w:noWrap/>
            <w:hideMark/>
          </w:tcPr>
          <w:p w14:paraId="7DB451F2" w14:textId="77777777" w:rsidR="00EE5BB8" w:rsidRPr="00C6052E" w:rsidRDefault="00EE5BB8" w:rsidP="00B515DB">
            <w:pPr>
              <w:pStyle w:val="TableCopy"/>
              <w:jc w:val="right"/>
            </w:pPr>
            <w:r w:rsidRPr="00C6052E">
              <w:t>1,184</w:t>
            </w:r>
          </w:p>
        </w:tc>
        <w:tc>
          <w:tcPr>
            <w:tcW w:w="907" w:type="dxa"/>
            <w:noWrap/>
            <w:hideMark/>
          </w:tcPr>
          <w:p w14:paraId="09B89E9D" w14:textId="77777777" w:rsidR="00EE5BB8" w:rsidRPr="00C6052E" w:rsidRDefault="00EE5BB8" w:rsidP="00B515DB">
            <w:pPr>
              <w:pStyle w:val="TableCopy"/>
              <w:jc w:val="right"/>
            </w:pPr>
            <w:r w:rsidRPr="00C6052E">
              <w:t>1,000</w:t>
            </w:r>
          </w:p>
        </w:tc>
        <w:tc>
          <w:tcPr>
            <w:tcW w:w="907" w:type="dxa"/>
            <w:noWrap/>
            <w:hideMark/>
          </w:tcPr>
          <w:p w14:paraId="0AA99D84" w14:textId="77777777" w:rsidR="00EE5BB8" w:rsidRPr="00C6052E" w:rsidRDefault="00EE5BB8" w:rsidP="00B515DB">
            <w:pPr>
              <w:pStyle w:val="TableCopy"/>
              <w:jc w:val="right"/>
            </w:pPr>
            <w:r w:rsidRPr="00C6052E">
              <w:t>10,205</w:t>
            </w:r>
          </w:p>
        </w:tc>
        <w:tc>
          <w:tcPr>
            <w:tcW w:w="907" w:type="dxa"/>
            <w:noWrap/>
            <w:hideMark/>
          </w:tcPr>
          <w:p w14:paraId="280C9870" w14:textId="77777777" w:rsidR="00EE5BB8" w:rsidRPr="00C6052E" w:rsidRDefault="00EE5BB8" w:rsidP="00B515DB">
            <w:pPr>
              <w:pStyle w:val="TableCopy"/>
              <w:jc w:val="right"/>
            </w:pPr>
            <w:r w:rsidRPr="00C6052E">
              <w:t>–</w:t>
            </w:r>
          </w:p>
        </w:tc>
        <w:tc>
          <w:tcPr>
            <w:tcW w:w="907" w:type="dxa"/>
            <w:noWrap/>
            <w:hideMark/>
          </w:tcPr>
          <w:p w14:paraId="0640BF1B" w14:textId="77777777" w:rsidR="00EE5BB8" w:rsidRPr="00C6052E" w:rsidRDefault="00EE5BB8" w:rsidP="00B515DB">
            <w:pPr>
              <w:pStyle w:val="TableCopy"/>
              <w:jc w:val="right"/>
            </w:pPr>
            <w:r w:rsidRPr="00C6052E">
              <w:t>6,502</w:t>
            </w:r>
          </w:p>
        </w:tc>
        <w:tc>
          <w:tcPr>
            <w:tcW w:w="974" w:type="dxa"/>
            <w:noWrap/>
            <w:hideMark/>
          </w:tcPr>
          <w:p w14:paraId="7CF02E0B" w14:textId="77777777" w:rsidR="00EE5BB8" w:rsidRPr="00C6052E" w:rsidRDefault="00EE5BB8" w:rsidP="00B515DB">
            <w:pPr>
              <w:pStyle w:val="TableCopy"/>
              <w:jc w:val="right"/>
            </w:pPr>
            <w:r w:rsidRPr="00C6052E">
              <w:t>4,233</w:t>
            </w:r>
          </w:p>
        </w:tc>
        <w:tc>
          <w:tcPr>
            <w:tcW w:w="973" w:type="dxa"/>
            <w:noWrap/>
            <w:hideMark/>
          </w:tcPr>
          <w:p w14:paraId="252367E4" w14:textId="77777777" w:rsidR="00EE5BB8" w:rsidRPr="00C6052E" w:rsidRDefault="00EE5BB8" w:rsidP="00B515DB">
            <w:pPr>
              <w:pStyle w:val="TableCopy"/>
              <w:jc w:val="right"/>
            </w:pPr>
            <w:r w:rsidRPr="00C6052E">
              <w:t>3,971</w:t>
            </w:r>
          </w:p>
        </w:tc>
        <w:tc>
          <w:tcPr>
            <w:tcW w:w="1304" w:type="dxa"/>
            <w:noWrap/>
            <w:hideMark/>
          </w:tcPr>
          <w:p w14:paraId="5A554E19" w14:textId="77777777" w:rsidR="00EE5BB8" w:rsidRPr="00C6052E" w:rsidRDefault="00EE5BB8" w:rsidP="00B515DB">
            <w:pPr>
              <w:pStyle w:val="TableCopy"/>
              <w:jc w:val="right"/>
            </w:pPr>
            <w:r w:rsidRPr="00C6052E">
              <w:t>21,556</w:t>
            </w:r>
          </w:p>
        </w:tc>
        <w:tc>
          <w:tcPr>
            <w:tcW w:w="1304" w:type="dxa"/>
            <w:noWrap/>
            <w:hideMark/>
          </w:tcPr>
          <w:p w14:paraId="15A1FEBC" w14:textId="77777777" w:rsidR="00EE5BB8" w:rsidRPr="00C6052E" w:rsidRDefault="00EE5BB8" w:rsidP="00B515DB">
            <w:pPr>
              <w:pStyle w:val="TableCopy"/>
              <w:jc w:val="right"/>
            </w:pPr>
            <w:r w:rsidRPr="00C6052E">
              <w:t>669</w:t>
            </w:r>
          </w:p>
        </w:tc>
        <w:tc>
          <w:tcPr>
            <w:tcW w:w="921" w:type="dxa"/>
            <w:noWrap/>
            <w:hideMark/>
          </w:tcPr>
          <w:p w14:paraId="02B62A1F" w14:textId="77777777" w:rsidR="00EE5BB8" w:rsidRPr="00C6052E" w:rsidRDefault="00EE5BB8" w:rsidP="00B515DB">
            <w:pPr>
              <w:pStyle w:val="TableCopy"/>
              <w:jc w:val="right"/>
            </w:pPr>
            <w:r w:rsidRPr="00C6052E">
              <w:t>36,549</w:t>
            </w:r>
          </w:p>
        </w:tc>
        <w:tc>
          <w:tcPr>
            <w:tcW w:w="921" w:type="dxa"/>
            <w:noWrap/>
            <w:hideMark/>
          </w:tcPr>
          <w:p w14:paraId="217AA71A" w14:textId="77777777" w:rsidR="00EE5BB8" w:rsidRPr="00C6052E" w:rsidRDefault="00EE5BB8" w:rsidP="00B515DB">
            <w:pPr>
              <w:pStyle w:val="TableCopy"/>
              <w:jc w:val="right"/>
            </w:pPr>
            <w:r w:rsidRPr="00C6052E">
              <w:t>47,246</w:t>
            </w:r>
          </w:p>
        </w:tc>
      </w:tr>
      <w:tr w:rsidR="00B515DB" w:rsidRPr="00C6052E" w14:paraId="1D768189" w14:textId="77777777" w:rsidTr="004450EB">
        <w:tc>
          <w:tcPr>
            <w:tcW w:w="3111" w:type="dxa"/>
            <w:hideMark/>
          </w:tcPr>
          <w:p w14:paraId="5ABAEB3B" w14:textId="4D6F109C" w:rsidR="00EE5BB8" w:rsidRPr="00C6052E" w:rsidRDefault="00EE5BB8" w:rsidP="0063097D">
            <w:pPr>
              <w:pStyle w:val="TableCopy"/>
            </w:pPr>
            <w:r w:rsidRPr="00C6052E">
              <w:t>Regulatory</w:t>
            </w:r>
            <w:r w:rsidR="00177848" w:rsidRPr="00C6052E">
              <w:t xml:space="preserve"> </w:t>
            </w:r>
            <w:r w:rsidRPr="00C6052E">
              <w:t>fees,</w:t>
            </w:r>
            <w:r w:rsidR="00177848" w:rsidRPr="00C6052E">
              <w:t xml:space="preserve"> </w:t>
            </w:r>
            <w:r w:rsidRPr="00C6052E">
              <w:t>fines,</w:t>
            </w:r>
            <w:r w:rsidR="00177848" w:rsidRPr="00C6052E">
              <w:t xml:space="preserve"> </w:t>
            </w:r>
            <w:r w:rsidRPr="00C6052E">
              <w:t>leases</w:t>
            </w:r>
            <w:r w:rsidR="00177848" w:rsidRPr="00C6052E">
              <w:t xml:space="preserve"> </w:t>
            </w:r>
            <w:r w:rsidRPr="00C6052E">
              <w:t>and</w:t>
            </w:r>
            <w:r w:rsidR="00177848" w:rsidRPr="00C6052E">
              <w:t xml:space="preserve"> </w:t>
            </w:r>
            <w:r w:rsidRPr="00C6052E">
              <w:t>licences</w:t>
            </w:r>
            <w:r w:rsidR="00177848" w:rsidRPr="00C6052E">
              <w:t xml:space="preserve"> </w:t>
            </w:r>
          </w:p>
        </w:tc>
        <w:tc>
          <w:tcPr>
            <w:tcW w:w="850" w:type="dxa"/>
            <w:noWrap/>
            <w:hideMark/>
          </w:tcPr>
          <w:p w14:paraId="4FDF131F" w14:textId="77777777" w:rsidR="00EE5BB8" w:rsidRPr="00C6052E" w:rsidRDefault="00EE5BB8" w:rsidP="00B515DB">
            <w:pPr>
              <w:pStyle w:val="TableCopy"/>
              <w:jc w:val="right"/>
            </w:pPr>
            <w:r w:rsidRPr="00C6052E">
              <w:t>–</w:t>
            </w:r>
          </w:p>
        </w:tc>
        <w:tc>
          <w:tcPr>
            <w:tcW w:w="850" w:type="dxa"/>
            <w:noWrap/>
            <w:hideMark/>
          </w:tcPr>
          <w:p w14:paraId="3BED5A30" w14:textId="77777777" w:rsidR="00EE5BB8" w:rsidRPr="00C6052E" w:rsidRDefault="00EE5BB8" w:rsidP="00B515DB">
            <w:pPr>
              <w:pStyle w:val="TableCopy"/>
              <w:jc w:val="right"/>
            </w:pPr>
            <w:r w:rsidRPr="00C6052E">
              <w:t>–</w:t>
            </w:r>
          </w:p>
        </w:tc>
        <w:tc>
          <w:tcPr>
            <w:tcW w:w="907" w:type="dxa"/>
            <w:noWrap/>
            <w:hideMark/>
          </w:tcPr>
          <w:p w14:paraId="1BA9B9AF" w14:textId="77777777" w:rsidR="00EE5BB8" w:rsidRPr="00C6052E" w:rsidRDefault="00EE5BB8" w:rsidP="00B515DB">
            <w:pPr>
              <w:pStyle w:val="TableCopy"/>
              <w:jc w:val="right"/>
            </w:pPr>
            <w:r w:rsidRPr="00C6052E">
              <w:t>–</w:t>
            </w:r>
          </w:p>
        </w:tc>
        <w:tc>
          <w:tcPr>
            <w:tcW w:w="907" w:type="dxa"/>
            <w:noWrap/>
            <w:hideMark/>
          </w:tcPr>
          <w:p w14:paraId="594524AC" w14:textId="77777777" w:rsidR="00EE5BB8" w:rsidRPr="00C6052E" w:rsidRDefault="00EE5BB8" w:rsidP="00B515DB">
            <w:pPr>
              <w:pStyle w:val="TableCopy"/>
              <w:jc w:val="right"/>
            </w:pPr>
            <w:r w:rsidRPr="00C6052E">
              <w:t>–</w:t>
            </w:r>
          </w:p>
        </w:tc>
        <w:tc>
          <w:tcPr>
            <w:tcW w:w="907" w:type="dxa"/>
            <w:noWrap/>
            <w:hideMark/>
          </w:tcPr>
          <w:p w14:paraId="4C9CB9DE" w14:textId="77777777" w:rsidR="00EE5BB8" w:rsidRPr="00C6052E" w:rsidRDefault="00EE5BB8" w:rsidP="00B515DB">
            <w:pPr>
              <w:pStyle w:val="TableCopy"/>
              <w:jc w:val="right"/>
            </w:pPr>
            <w:r w:rsidRPr="00C6052E">
              <w:t>–</w:t>
            </w:r>
          </w:p>
        </w:tc>
        <w:tc>
          <w:tcPr>
            <w:tcW w:w="907" w:type="dxa"/>
            <w:noWrap/>
            <w:hideMark/>
          </w:tcPr>
          <w:p w14:paraId="33935C41" w14:textId="77777777" w:rsidR="00EE5BB8" w:rsidRPr="00C6052E" w:rsidRDefault="00EE5BB8" w:rsidP="00B515DB">
            <w:pPr>
              <w:pStyle w:val="TableCopy"/>
              <w:jc w:val="right"/>
            </w:pPr>
            <w:r w:rsidRPr="00C6052E">
              <w:t>–</w:t>
            </w:r>
          </w:p>
        </w:tc>
        <w:tc>
          <w:tcPr>
            <w:tcW w:w="974" w:type="dxa"/>
            <w:noWrap/>
            <w:hideMark/>
          </w:tcPr>
          <w:p w14:paraId="374704F4" w14:textId="77777777" w:rsidR="00EE5BB8" w:rsidRPr="00C6052E" w:rsidRDefault="00EE5BB8" w:rsidP="00B515DB">
            <w:pPr>
              <w:pStyle w:val="TableCopy"/>
              <w:jc w:val="right"/>
            </w:pPr>
            <w:r w:rsidRPr="00C6052E">
              <w:t>4,904</w:t>
            </w:r>
          </w:p>
        </w:tc>
        <w:tc>
          <w:tcPr>
            <w:tcW w:w="973" w:type="dxa"/>
            <w:noWrap/>
            <w:hideMark/>
          </w:tcPr>
          <w:p w14:paraId="3A95C83A" w14:textId="77777777" w:rsidR="00EE5BB8" w:rsidRPr="00C6052E" w:rsidRDefault="00EE5BB8" w:rsidP="00B515DB">
            <w:pPr>
              <w:pStyle w:val="TableCopy"/>
              <w:jc w:val="right"/>
            </w:pPr>
            <w:r w:rsidRPr="00C6052E">
              <w:t>3,505</w:t>
            </w:r>
          </w:p>
        </w:tc>
        <w:tc>
          <w:tcPr>
            <w:tcW w:w="1304" w:type="dxa"/>
            <w:noWrap/>
            <w:hideMark/>
          </w:tcPr>
          <w:p w14:paraId="1F2F2CC4" w14:textId="77777777" w:rsidR="00EE5BB8" w:rsidRPr="00C6052E" w:rsidRDefault="00EE5BB8" w:rsidP="00B515DB">
            <w:pPr>
              <w:pStyle w:val="TableCopy"/>
              <w:jc w:val="right"/>
            </w:pPr>
            <w:r w:rsidRPr="00C6052E">
              <w:t>–</w:t>
            </w:r>
          </w:p>
        </w:tc>
        <w:tc>
          <w:tcPr>
            <w:tcW w:w="1304" w:type="dxa"/>
            <w:noWrap/>
            <w:hideMark/>
          </w:tcPr>
          <w:p w14:paraId="6FD530EB" w14:textId="77777777" w:rsidR="00EE5BB8" w:rsidRPr="00C6052E" w:rsidRDefault="00EE5BB8" w:rsidP="00B515DB">
            <w:pPr>
              <w:pStyle w:val="TableCopy"/>
              <w:jc w:val="right"/>
            </w:pPr>
            <w:r w:rsidRPr="00C6052E">
              <w:t>–</w:t>
            </w:r>
          </w:p>
        </w:tc>
        <w:tc>
          <w:tcPr>
            <w:tcW w:w="921" w:type="dxa"/>
            <w:noWrap/>
            <w:hideMark/>
          </w:tcPr>
          <w:p w14:paraId="60C29FC7" w14:textId="77777777" w:rsidR="00EE5BB8" w:rsidRPr="00C6052E" w:rsidRDefault="00EE5BB8" w:rsidP="00B515DB">
            <w:pPr>
              <w:pStyle w:val="TableCopy"/>
              <w:jc w:val="right"/>
            </w:pPr>
            <w:r w:rsidRPr="00C6052E">
              <w:t>4,904</w:t>
            </w:r>
          </w:p>
        </w:tc>
        <w:tc>
          <w:tcPr>
            <w:tcW w:w="921" w:type="dxa"/>
            <w:noWrap/>
            <w:hideMark/>
          </w:tcPr>
          <w:p w14:paraId="2578919A" w14:textId="77777777" w:rsidR="00EE5BB8" w:rsidRPr="00C6052E" w:rsidRDefault="00EE5BB8" w:rsidP="00B515DB">
            <w:pPr>
              <w:pStyle w:val="TableCopy"/>
              <w:jc w:val="right"/>
            </w:pPr>
            <w:r w:rsidRPr="00C6052E">
              <w:t>3,505</w:t>
            </w:r>
          </w:p>
        </w:tc>
      </w:tr>
      <w:tr w:rsidR="00B515DB" w:rsidRPr="00C6052E" w14:paraId="1836690C" w14:textId="77777777" w:rsidTr="004450EB">
        <w:tc>
          <w:tcPr>
            <w:tcW w:w="3111" w:type="dxa"/>
            <w:hideMark/>
          </w:tcPr>
          <w:p w14:paraId="66542E46" w14:textId="147B8329" w:rsidR="00EE5BB8" w:rsidRPr="00C6052E" w:rsidRDefault="00EE5BB8" w:rsidP="0063097D">
            <w:pPr>
              <w:pStyle w:val="TableCopy"/>
            </w:pPr>
            <w:r w:rsidRPr="00C6052E">
              <w:t>Interest</w:t>
            </w:r>
            <w:r w:rsidR="00177848" w:rsidRPr="00C6052E">
              <w:t xml:space="preserve"> </w:t>
            </w:r>
            <w:r w:rsidRPr="00C6052E">
              <w:t>income</w:t>
            </w:r>
          </w:p>
        </w:tc>
        <w:tc>
          <w:tcPr>
            <w:tcW w:w="850" w:type="dxa"/>
            <w:noWrap/>
            <w:hideMark/>
          </w:tcPr>
          <w:p w14:paraId="46801489" w14:textId="77777777" w:rsidR="00EE5BB8" w:rsidRPr="00C6052E" w:rsidRDefault="00EE5BB8" w:rsidP="00B515DB">
            <w:pPr>
              <w:pStyle w:val="TableCopy"/>
              <w:jc w:val="right"/>
            </w:pPr>
            <w:r w:rsidRPr="00C6052E">
              <w:t>–</w:t>
            </w:r>
          </w:p>
        </w:tc>
        <w:tc>
          <w:tcPr>
            <w:tcW w:w="850" w:type="dxa"/>
            <w:noWrap/>
            <w:hideMark/>
          </w:tcPr>
          <w:p w14:paraId="3AA0B532" w14:textId="77777777" w:rsidR="00EE5BB8" w:rsidRPr="00C6052E" w:rsidRDefault="00EE5BB8" w:rsidP="00B515DB">
            <w:pPr>
              <w:pStyle w:val="TableCopy"/>
              <w:jc w:val="right"/>
            </w:pPr>
            <w:r w:rsidRPr="00C6052E">
              <w:t>–</w:t>
            </w:r>
          </w:p>
        </w:tc>
        <w:tc>
          <w:tcPr>
            <w:tcW w:w="907" w:type="dxa"/>
            <w:noWrap/>
            <w:hideMark/>
          </w:tcPr>
          <w:p w14:paraId="42540872" w14:textId="77777777" w:rsidR="00EE5BB8" w:rsidRPr="00C6052E" w:rsidRDefault="00EE5BB8" w:rsidP="00B515DB">
            <w:pPr>
              <w:pStyle w:val="TableCopy"/>
              <w:jc w:val="right"/>
            </w:pPr>
            <w:r w:rsidRPr="00C6052E">
              <w:t>–</w:t>
            </w:r>
          </w:p>
        </w:tc>
        <w:tc>
          <w:tcPr>
            <w:tcW w:w="907" w:type="dxa"/>
            <w:noWrap/>
            <w:hideMark/>
          </w:tcPr>
          <w:p w14:paraId="2CD4C99E" w14:textId="77777777" w:rsidR="00EE5BB8" w:rsidRPr="00C6052E" w:rsidRDefault="00EE5BB8" w:rsidP="00B515DB">
            <w:pPr>
              <w:pStyle w:val="TableCopy"/>
              <w:jc w:val="right"/>
            </w:pPr>
            <w:r w:rsidRPr="00C6052E">
              <w:t>–</w:t>
            </w:r>
          </w:p>
        </w:tc>
        <w:tc>
          <w:tcPr>
            <w:tcW w:w="907" w:type="dxa"/>
            <w:noWrap/>
            <w:hideMark/>
          </w:tcPr>
          <w:p w14:paraId="7A4781D2" w14:textId="77777777" w:rsidR="00EE5BB8" w:rsidRPr="00C6052E" w:rsidRDefault="00EE5BB8" w:rsidP="00B515DB">
            <w:pPr>
              <w:pStyle w:val="TableCopy"/>
              <w:jc w:val="right"/>
            </w:pPr>
            <w:r w:rsidRPr="00C6052E">
              <w:t>3</w:t>
            </w:r>
          </w:p>
        </w:tc>
        <w:tc>
          <w:tcPr>
            <w:tcW w:w="907" w:type="dxa"/>
            <w:noWrap/>
            <w:hideMark/>
          </w:tcPr>
          <w:p w14:paraId="244C43CF" w14:textId="77777777" w:rsidR="00EE5BB8" w:rsidRPr="00C6052E" w:rsidRDefault="00EE5BB8" w:rsidP="00B515DB">
            <w:pPr>
              <w:pStyle w:val="TableCopy"/>
              <w:jc w:val="right"/>
            </w:pPr>
            <w:r w:rsidRPr="00C6052E">
              <w:t>3</w:t>
            </w:r>
          </w:p>
        </w:tc>
        <w:tc>
          <w:tcPr>
            <w:tcW w:w="974" w:type="dxa"/>
            <w:noWrap/>
            <w:hideMark/>
          </w:tcPr>
          <w:p w14:paraId="1CD2330B" w14:textId="77777777" w:rsidR="00EE5BB8" w:rsidRPr="00C6052E" w:rsidRDefault="00EE5BB8" w:rsidP="00B515DB">
            <w:pPr>
              <w:pStyle w:val="TableCopy"/>
              <w:jc w:val="right"/>
            </w:pPr>
            <w:r w:rsidRPr="00C6052E">
              <w:t>–</w:t>
            </w:r>
          </w:p>
        </w:tc>
        <w:tc>
          <w:tcPr>
            <w:tcW w:w="973" w:type="dxa"/>
            <w:noWrap/>
            <w:hideMark/>
          </w:tcPr>
          <w:p w14:paraId="46FCF47A" w14:textId="77777777" w:rsidR="00EE5BB8" w:rsidRPr="00C6052E" w:rsidRDefault="00EE5BB8" w:rsidP="00B515DB">
            <w:pPr>
              <w:pStyle w:val="TableCopy"/>
              <w:jc w:val="right"/>
            </w:pPr>
            <w:r w:rsidRPr="00C6052E">
              <w:t>340</w:t>
            </w:r>
          </w:p>
        </w:tc>
        <w:tc>
          <w:tcPr>
            <w:tcW w:w="1304" w:type="dxa"/>
            <w:noWrap/>
            <w:hideMark/>
          </w:tcPr>
          <w:p w14:paraId="713BD119" w14:textId="77777777" w:rsidR="00EE5BB8" w:rsidRPr="00C6052E" w:rsidRDefault="00EE5BB8" w:rsidP="00B515DB">
            <w:pPr>
              <w:pStyle w:val="TableCopy"/>
              <w:jc w:val="right"/>
            </w:pPr>
            <w:r w:rsidRPr="00C6052E">
              <w:t>–</w:t>
            </w:r>
          </w:p>
        </w:tc>
        <w:tc>
          <w:tcPr>
            <w:tcW w:w="1304" w:type="dxa"/>
            <w:noWrap/>
            <w:hideMark/>
          </w:tcPr>
          <w:p w14:paraId="1ED191B0" w14:textId="77777777" w:rsidR="00EE5BB8" w:rsidRPr="00C6052E" w:rsidRDefault="00EE5BB8" w:rsidP="00B515DB">
            <w:pPr>
              <w:pStyle w:val="TableCopy"/>
              <w:jc w:val="right"/>
            </w:pPr>
            <w:r w:rsidRPr="00C6052E">
              <w:t>–</w:t>
            </w:r>
          </w:p>
        </w:tc>
        <w:tc>
          <w:tcPr>
            <w:tcW w:w="921" w:type="dxa"/>
            <w:noWrap/>
            <w:hideMark/>
          </w:tcPr>
          <w:p w14:paraId="68CECC1A" w14:textId="77777777" w:rsidR="00EE5BB8" w:rsidRPr="00C6052E" w:rsidRDefault="00EE5BB8" w:rsidP="00B515DB">
            <w:pPr>
              <w:pStyle w:val="TableCopy"/>
              <w:jc w:val="right"/>
            </w:pPr>
            <w:r w:rsidRPr="00C6052E">
              <w:t>3</w:t>
            </w:r>
          </w:p>
        </w:tc>
        <w:tc>
          <w:tcPr>
            <w:tcW w:w="921" w:type="dxa"/>
            <w:noWrap/>
            <w:hideMark/>
          </w:tcPr>
          <w:p w14:paraId="6078E001" w14:textId="77777777" w:rsidR="00EE5BB8" w:rsidRPr="00C6052E" w:rsidRDefault="00EE5BB8" w:rsidP="00B515DB">
            <w:pPr>
              <w:pStyle w:val="TableCopy"/>
              <w:jc w:val="right"/>
            </w:pPr>
            <w:r w:rsidRPr="00C6052E">
              <w:t>365</w:t>
            </w:r>
          </w:p>
        </w:tc>
      </w:tr>
      <w:tr w:rsidR="00B515DB" w:rsidRPr="00C6052E" w14:paraId="27838CE1" w14:textId="77777777" w:rsidTr="004450EB">
        <w:tc>
          <w:tcPr>
            <w:tcW w:w="3111" w:type="dxa"/>
            <w:hideMark/>
          </w:tcPr>
          <w:p w14:paraId="7A68AD4C" w14:textId="3E69A48C" w:rsidR="00EE5BB8" w:rsidRPr="00C6052E" w:rsidRDefault="00EE5BB8" w:rsidP="0063097D">
            <w:pPr>
              <w:pStyle w:val="TableCopy"/>
            </w:pPr>
            <w:r w:rsidRPr="00C6052E">
              <w:t>Grant</w:t>
            </w:r>
            <w:r w:rsidR="00177848" w:rsidRPr="00C6052E">
              <w:t xml:space="preserve"> </w:t>
            </w:r>
            <w:r w:rsidRPr="00C6052E">
              <w:t>income</w:t>
            </w:r>
          </w:p>
        </w:tc>
        <w:tc>
          <w:tcPr>
            <w:tcW w:w="850" w:type="dxa"/>
            <w:noWrap/>
            <w:hideMark/>
          </w:tcPr>
          <w:p w14:paraId="1CCD48CD" w14:textId="77777777" w:rsidR="00EE5BB8" w:rsidRPr="00C6052E" w:rsidRDefault="00EE5BB8" w:rsidP="00B515DB">
            <w:pPr>
              <w:pStyle w:val="TableCopy"/>
              <w:jc w:val="right"/>
            </w:pPr>
            <w:r w:rsidRPr="00C6052E">
              <w:t>–</w:t>
            </w:r>
          </w:p>
        </w:tc>
        <w:tc>
          <w:tcPr>
            <w:tcW w:w="850" w:type="dxa"/>
            <w:noWrap/>
            <w:hideMark/>
          </w:tcPr>
          <w:p w14:paraId="0A6EB49F" w14:textId="77777777" w:rsidR="00EE5BB8" w:rsidRPr="00C6052E" w:rsidRDefault="00EE5BB8" w:rsidP="00B515DB">
            <w:pPr>
              <w:pStyle w:val="TableCopy"/>
              <w:jc w:val="right"/>
            </w:pPr>
            <w:r w:rsidRPr="00C6052E">
              <w:t>–</w:t>
            </w:r>
          </w:p>
        </w:tc>
        <w:tc>
          <w:tcPr>
            <w:tcW w:w="907" w:type="dxa"/>
            <w:noWrap/>
            <w:hideMark/>
          </w:tcPr>
          <w:p w14:paraId="5413EA90" w14:textId="77777777" w:rsidR="00EE5BB8" w:rsidRPr="00C6052E" w:rsidRDefault="00EE5BB8" w:rsidP="00B515DB">
            <w:pPr>
              <w:pStyle w:val="TableCopy"/>
              <w:jc w:val="right"/>
            </w:pPr>
            <w:r w:rsidRPr="00C6052E">
              <w:t>72</w:t>
            </w:r>
          </w:p>
        </w:tc>
        <w:tc>
          <w:tcPr>
            <w:tcW w:w="907" w:type="dxa"/>
            <w:noWrap/>
            <w:hideMark/>
          </w:tcPr>
          <w:p w14:paraId="1B1A7600" w14:textId="77777777" w:rsidR="00EE5BB8" w:rsidRPr="00C6052E" w:rsidRDefault="00EE5BB8" w:rsidP="00B515DB">
            <w:pPr>
              <w:pStyle w:val="TableCopy"/>
              <w:jc w:val="right"/>
            </w:pPr>
            <w:r w:rsidRPr="00C6052E">
              <w:t>112</w:t>
            </w:r>
          </w:p>
        </w:tc>
        <w:tc>
          <w:tcPr>
            <w:tcW w:w="907" w:type="dxa"/>
            <w:noWrap/>
            <w:hideMark/>
          </w:tcPr>
          <w:p w14:paraId="612D8FC0" w14:textId="77777777" w:rsidR="00EE5BB8" w:rsidRPr="00C6052E" w:rsidRDefault="00EE5BB8" w:rsidP="00B515DB">
            <w:pPr>
              <w:pStyle w:val="TableCopy"/>
              <w:jc w:val="right"/>
            </w:pPr>
            <w:r w:rsidRPr="00C6052E">
              <w:t>–</w:t>
            </w:r>
          </w:p>
        </w:tc>
        <w:tc>
          <w:tcPr>
            <w:tcW w:w="907" w:type="dxa"/>
            <w:noWrap/>
            <w:hideMark/>
          </w:tcPr>
          <w:p w14:paraId="2BF0A9F8" w14:textId="77777777" w:rsidR="00EE5BB8" w:rsidRPr="00C6052E" w:rsidRDefault="00EE5BB8" w:rsidP="00B515DB">
            <w:pPr>
              <w:pStyle w:val="TableCopy"/>
              <w:jc w:val="right"/>
            </w:pPr>
            <w:r w:rsidRPr="00C6052E">
              <w:t>9,737</w:t>
            </w:r>
          </w:p>
        </w:tc>
        <w:tc>
          <w:tcPr>
            <w:tcW w:w="974" w:type="dxa"/>
            <w:noWrap/>
            <w:hideMark/>
          </w:tcPr>
          <w:p w14:paraId="4AB5542D" w14:textId="77777777" w:rsidR="00EE5BB8" w:rsidRPr="00C6052E" w:rsidRDefault="00EE5BB8" w:rsidP="00B515DB">
            <w:pPr>
              <w:pStyle w:val="TableCopy"/>
              <w:jc w:val="right"/>
            </w:pPr>
            <w:r w:rsidRPr="00C6052E">
              <w:t>–</w:t>
            </w:r>
          </w:p>
        </w:tc>
        <w:tc>
          <w:tcPr>
            <w:tcW w:w="973" w:type="dxa"/>
            <w:noWrap/>
            <w:hideMark/>
          </w:tcPr>
          <w:p w14:paraId="296B2E52" w14:textId="77777777" w:rsidR="00EE5BB8" w:rsidRPr="00C6052E" w:rsidRDefault="00EE5BB8" w:rsidP="00B515DB">
            <w:pPr>
              <w:pStyle w:val="TableCopy"/>
              <w:jc w:val="right"/>
            </w:pPr>
            <w:r w:rsidRPr="00C6052E">
              <w:t>–</w:t>
            </w:r>
          </w:p>
        </w:tc>
        <w:tc>
          <w:tcPr>
            <w:tcW w:w="1304" w:type="dxa"/>
            <w:noWrap/>
            <w:hideMark/>
          </w:tcPr>
          <w:p w14:paraId="0FDCCFD1" w14:textId="77777777" w:rsidR="00EE5BB8" w:rsidRPr="00C6052E" w:rsidRDefault="00EE5BB8" w:rsidP="00B515DB">
            <w:pPr>
              <w:pStyle w:val="TableCopy"/>
              <w:jc w:val="right"/>
            </w:pPr>
            <w:r w:rsidRPr="00C6052E">
              <w:t>–</w:t>
            </w:r>
          </w:p>
        </w:tc>
        <w:tc>
          <w:tcPr>
            <w:tcW w:w="1304" w:type="dxa"/>
            <w:noWrap/>
            <w:hideMark/>
          </w:tcPr>
          <w:p w14:paraId="251D381B" w14:textId="77777777" w:rsidR="00EE5BB8" w:rsidRPr="00C6052E" w:rsidRDefault="00EE5BB8" w:rsidP="00B515DB">
            <w:pPr>
              <w:pStyle w:val="TableCopy"/>
              <w:jc w:val="right"/>
            </w:pPr>
            <w:r w:rsidRPr="00C6052E">
              <w:t>–</w:t>
            </w:r>
          </w:p>
        </w:tc>
        <w:tc>
          <w:tcPr>
            <w:tcW w:w="921" w:type="dxa"/>
            <w:noWrap/>
            <w:hideMark/>
          </w:tcPr>
          <w:p w14:paraId="6CFE199B" w14:textId="77777777" w:rsidR="00EE5BB8" w:rsidRPr="00C6052E" w:rsidRDefault="00EE5BB8" w:rsidP="00B515DB">
            <w:pPr>
              <w:pStyle w:val="TableCopy"/>
              <w:jc w:val="right"/>
            </w:pPr>
            <w:r w:rsidRPr="00C6052E">
              <w:t>72</w:t>
            </w:r>
          </w:p>
        </w:tc>
        <w:tc>
          <w:tcPr>
            <w:tcW w:w="921" w:type="dxa"/>
            <w:noWrap/>
            <w:hideMark/>
          </w:tcPr>
          <w:p w14:paraId="6B29392E" w14:textId="77777777" w:rsidR="00EE5BB8" w:rsidRPr="00C6052E" w:rsidRDefault="00EE5BB8" w:rsidP="00B515DB">
            <w:pPr>
              <w:pStyle w:val="TableCopy"/>
              <w:jc w:val="right"/>
            </w:pPr>
            <w:r w:rsidRPr="00C6052E">
              <w:t>13,249</w:t>
            </w:r>
          </w:p>
        </w:tc>
      </w:tr>
      <w:tr w:rsidR="00B515DB" w:rsidRPr="00C6052E" w14:paraId="66224739" w14:textId="77777777" w:rsidTr="004450EB">
        <w:tc>
          <w:tcPr>
            <w:tcW w:w="3111" w:type="dxa"/>
            <w:noWrap/>
            <w:hideMark/>
          </w:tcPr>
          <w:p w14:paraId="7CC04E41" w14:textId="72A36D7B" w:rsidR="00EE5BB8" w:rsidRPr="00C6052E" w:rsidRDefault="00EE5BB8" w:rsidP="0063097D">
            <w:pPr>
              <w:pStyle w:val="Tabletotal"/>
            </w:pPr>
            <w:r w:rsidRPr="00C6052E">
              <w:t>Total</w:t>
            </w:r>
            <w:r w:rsidR="00177848" w:rsidRPr="00C6052E">
              <w:t xml:space="preserve"> </w:t>
            </w:r>
            <w:r w:rsidRPr="00C6052E">
              <w:t>administered</w:t>
            </w:r>
            <w:r w:rsidR="00177848" w:rsidRPr="00C6052E">
              <w:t xml:space="preserve"> </w:t>
            </w:r>
            <w:r w:rsidRPr="00C6052E">
              <w:t>revenue</w:t>
            </w:r>
            <w:r w:rsidR="00177848" w:rsidRPr="00C6052E">
              <w:t xml:space="preserve"> </w:t>
            </w:r>
            <w:r w:rsidRPr="00C6052E">
              <w:t>and</w:t>
            </w:r>
            <w:r w:rsidR="00177848" w:rsidRPr="00C6052E">
              <w:t xml:space="preserve"> </w:t>
            </w:r>
            <w:r w:rsidRPr="00C6052E">
              <w:t>income</w:t>
            </w:r>
            <w:r w:rsidR="00177848" w:rsidRPr="00C6052E">
              <w:t xml:space="preserve"> </w:t>
            </w:r>
            <w:r w:rsidRPr="00C6052E">
              <w:t>from</w:t>
            </w:r>
            <w:r w:rsidR="00177848" w:rsidRPr="00C6052E">
              <w:t xml:space="preserve"> </w:t>
            </w:r>
            <w:r w:rsidRPr="00C6052E">
              <w:t>transactions</w:t>
            </w:r>
          </w:p>
        </w:tc>
        <w:tc>
          <w:tcPr>
            <w:tcW w:w="850" w:type="dxa"/>
            <w:noWrap/>
            <w:hideMark/>
          </w:tcPr>
          <w:p w14:paraId="78870E7E" w14:textId="77777777" w:rsidR="00EE5BB8" w:rsidRPr="00C6052E" w:rsidRDefault="00EE5BB8" w:rsidP="00B515DB">
            <w:pPr>
              <w:pStyle w:val="Tabletotal"/>
              <w:jc w:val="right"/>
            </w:pPr>
            <w:r w:rsidRPr="00C6052E">
              <w:t>700</w:t>
            </w:r>
          </w:p>
        </w:tc>
        <w:tc>
          <w:tcPr>
            <w:tcW w:w="850" w:type="dxa"/>
            <w:noWrap/>
            <w:hideMark/>
          </w:tcPr>
          <w:p w14:paraId="7043F3C7" w14:textId="77777777" w:rsidR="00EE5BB8" w:rsidRPr="00C6052E" w:rsidRDefault="00EE5BB8" w:rsidP="00B515DB">
            <w:pPr>
              <w:pStyle w:val="Tabletotal"/>
              <w:jc w:val="right"/>
            </w:pPr>
            <w:r w:rsidRPr="00C6052E">
              <w:t>1,184</w:t>
            </w:r>
          </w:p>
        </w:tc>
        <w:tc>
          <w:tcPr>
            <w:tcW w:w="907" w:type="dxa"/>
            <w:noWrap/>
            <w:hideMark/>
          </w:tcPr>
          <w:p w14:paraId="79EC0ACE" w14:textId="77777777" w:rsidR="00EE5BB8" w:rsidRPr="00C6052E" w:rsidRDefault="00EE5BB8" w:rsidP="00B515DB">
            <w:pPr>
              <w:pStyle w:val="Tabletotal"/>
              <w:jc w:val="right"/>
            </w:pPr>
            <w:r w:rsidRPr="00C6052E">
              <w:t>1,260</w:t>
            </w:r>
          </w:p>
        </w:tc>
        <w:tc>
          <w:tcPr>
            <w:tcW w:w="907" w:type="dxa"/>
            <w:noWrap/>
            <w:hideMark/>
          </w:tcPr>
          <w:p w14:paraId="6F67883B" w14:textId="77777777" w:rsidR="00EE5BB8" w:rsidRPr="00C6052E" w:rsidRDefault="00EE5BB8" w:rsidP="00B515DB">
            <w:pPr>
              <w:pStyle w:val="Tabletotal"/>
              <w:jc w:val="right"/>
            </w:pPr>
            <w:r w:rsidRPr="00C6052E">
              <w:t>10,447</w:t>
            </w:r>
          </w:p>
        </w:tc>
        <w:tc>
          <w:tcPr>
            <w:tcW w:w="907" w:type="dxa"/>
            <w:noWrap/>
            <w:hideMark/>
          </w:tcPr>
          <w:p w14:paraId="71E221F6" w14:textId="77777777" w:rsidR="00EE5BB8" w:rsidRPr="00C6052E" w:rsidRDefault="00EE5BB8" w:rsidP="00B515DB">
            <w:pPr>
              <w:pStyle w:val="Tabletotal"/>
              <w:jc w:val="right"/>
            </w:pPr>
            <w:r w:rsidRPr="00C6052E">
              <w:t>3</w:t>
            </w:r>
          </w:p>
        </w:tc>
        <w:tc>
          <w:tcPr>
            <w:tcW w:w="907" w:type="dxa"/>
            <w:noWrap/>
            <w:hideMark/>
          </w:tcPr>
          <w:p w14:paraId="0B3DD52E" w14:textId="77777777" w:rsidR="00EE5BB8" w:rsidRPr="00C6052E" w:rsidRDefault="00EE5BB8" w:rsidP="00B515DB">
            <w:pPr>
              <w:pStyle w:val="Tabletotal"/>
              <w:jc w:val="right"/>
            </w:pPr>
            <w:r w:rsidRPr="00C6052E">
              <w:t>19,812</w:t>
            </w:r>
          </w:p>
        </w:tc>
        <w:tc>
          <w:tcPr>
            <w:tcW w:w="974" w:type="dxa"/>
            <w:noWrap/>
            <w:hideMark/>
          </w:tcPr>
          <w:p w14:paraId="5E27EE19" w14:textId="77777777" w:rsidR="00EE5BB8" w:rsidRPr="00C6052E" w:rsidRDefault="00EE5BB8" w:rsidP="00B515DB">
            <w:pPr>
              <w:pStyle w:val="Tabletotal"/>
              <w:jc w:val="right"/>
            </w:pPr>
            <w:r w:rsidRPr="00C6052E">
              <w:t>9,153</w:t>
            </w:r>
          </w:p>
        </w:tc>
        <w:tc>
          <w:tcPr>
            <w:tcW w:w="973" w:type="dxa"/>
            <w:noWrap/>
            <w:hideMark/>
          </w:tcPr>
          <w:p w14:paraId="3CE60B40" w14:textId="77777777" w:rsidR="00EE5BB8" w:rsidRPr="00C6052E" w:rsidRDefault="00EE5BB8" w:rsidP="00B515DB">
            <w:pPr>
              <w:pStyle w:val="Tabletotal"/>
              <w:jc w:val="right"/>
            </w:pPr>
            <w:r w:rsidRPr="00C6052E">
              <w:t>7,870</w:t>
            </w:r>
          </w:p>
        </w:tc>
        <w:tc>
          <w:tcPr>
            <w:tcW w:w="1304" w:type="dxa"/>
            <w:noWrap/>
            <w:hideMark/>
          </w:tcPr>
          <w:p w14:paraId="604A6BBE" w14:textId="77777777" w:rsidR="00EE5BB8" w:rsidRPr="00C6052E" w:rsidRDefault="00EE5BB8" w:rsidP="00B515DB">
            <w:pPr>
              <w:pStyle w:val="Tabletotal"/>
              <w:jc w:val="right"/>
            </w:pPr>
            <w:r w:rsidRPr="00C6052E">
              <w:t>21,556</w:t>
            </w:r>
          </w:p>
        </w:tc>
        <w:tc>
          <w:tcPr>
            <w:tcW w:w="1304" w:type="dxa"/>
            <w:noWrap/>
            <w:hideMark/>
          </w:tcPr>
          <w:p w14:paraId="22143B88" w14:textId="77777777" w:rsidR="00EE5BB8" w:rsidRPr="00C6052E" w:rsidRDefault="00EE5BB8" w:rsidP="00B515DB">
            <w:pPr>
              <w:pStyle w:val="Tabletotal"/>
              <w:jc w:val="right"/>
            </w:pPr>
            <w:r w:rsidRPr="00C6052E">
              <w:t>669</w:t>
            </w:r>
          </w:p>
        </w:tc>
        <w:tc>
          <w:tcPr>
            <w:tcW w:w="921" w:type="dxa"/>
            <w:noWrap/>
            <w:hideMark/>
          </w:tcPr>
          <w:p w14:paraId="7D3C8C45" w14:textId="77777777" w:rsidR="00EE5BB8" w:rsidRPr="00C6052E" w:rsidRDefault="00EE5BB8" w:rsidP="00B515DB">
            <w:pPr>
              <w:pStyle w:val="Tabletotal"/>
              <w:jc w:val="right"/>
            </w:pPr>
            <w:r w:rsidRPr="00C6052E">
              <w:t>41,994</w:t>
            </w:r>
          </w:p>
        </w:tc>
        <w:tc>
          <w:tcPr>
            <w:tcW w:w="921" w:type="dxa"/>
            <w:noWrap/>
            <w:hideMark/>
          </w:tcPr>
          <w:p w14:paraId="16DE384B" w14:textId="77777777" w:rsidR="00EE5BB8" w:rsidRPr="00C6052E" w:rsidRDefault="00EE5BB8" w:rsidP="00B515DB">
            <w:pPr>
              <w:pStyle w:val="Tabletotal"/>
              <w:jc w:val="right"/>
            </w:pPr>
            <w:r w:rsidRPr="00C6052E">
              <w:t>68,119</w:t>
            </w:r>
          </w:p>
        </w:tc>
      </w:tr>
      <w:tr w:rsidR="00B515DB" w:rsidRPr="00C6052E" w14:paraId="16CB1E5F" w14:textId="77777777" w:rsidTr="004450EB">
        <w:tc>
          <w:tcPr>
            <w:tcW w:w="3111" w:type="dxa"/>
          </w:tcPr>
          <w:p w14:paraId="4783B870" w14:textId="199EA13D" w:rsidR="00B515DB" w:rsidRPr="00C6052E" w:rsidRDefault="00B515DB" w:rsidP="00705BE7">
            <w:pPr>
              <w:pStyle w:val="TableHeading"/>
            </w:pPr>
            <w:r w:rsidRPr="00C6052E">
              <w:t>Administered expenses from transactions</w:t>
            </w:r>
          </w:p>
        </w:tc>
        <w:tc>
          <w:tcPr>
            <w:tcW w:w="850" w:type="dxa"/>
            <w:noWrap/>
          </w:tcPr>
          <w:p w14:paraId="2347700A" w14:textId="77777777" w:rsidR="00B515DB" w:rsidRPr="00C6052E" w:rsidRDefault="00B515DB" w:rsidP="00B515DB">
            <w:pPr>
              <w:pStyle w:val="TableHeading"/>
              <w:jc w:val="right"/>
            </w:pPr>
          </w:p>
        </w:tc>
        <w:tc>
          <w:tcPr>
            <w:tcW w:w="850" w:type="dxa"/>
            <w:noWrap/>
          </w:tcPr>
          <w:p w14:paraId="06A1F0D3" w14:textId="77777777" w:rsidR="00B515DB" w:rsidRPr="00C6052E" w:rsidRDefault="00B515DB" w:rsidP="00B515DB">
            <w:pPr>
              <w:pStyle w:val="TableHeading"/>
              <w:jc w:val="right"/>
            </w:pPr>
          </w:p>
        </w:tc>
        <w:tc>
          <w:tcPr>
            <w:tcW w:w="907" w:type="dxa"/>
            <w:noWrap/>
          </w:tcPr>
          <w:p w14:paraId="0DA0832E" w14:textId="77777777" w:rsidR="00B515DB" w:rsidRPr="00C6052E" w:rsidRDefault="00B515DB" w:rsidP="00B515DB">
            <w:pPr>
              <w:pStyle w:val="TableHeading"/>
              <w:jc w:val="right"/>
            </w:pPr>
          </w:p>
        </w:tc>
        <w:tc>
          <w:tcPr>
            <w:tcW w:w="907" w:type="dxa"/>
            <w:noWrap/>
          </w:tcPr>
          <w:p w14:paraId="61D53BD9" w14:textId="77777777" w:rsidR="00B515DB" w:rsidRPr="00C6052E" w:rsidRDefault="00B515DB" w:rsidP="00B515DB">
            <w:pPr>
              <w:pStyle w:val="TableHeading"/>
              <w:jc w:val="right"/>
            </w:pPr>
          </w:p>
        </w:tc>
        <w:tc>
          <w:tcPr>
            <w:tcW w:w="907" w:type="dxa"/>
            <w:noWrap/>
          </w:tcPr>
          <w:p w14:paraId="4C65E041" w14:textId="77777777" w:rsidR="00B515DB" w:rsidRPr="00C6052E" w:rsidRDefault="00B515DB" w:rsidP="00B515DB">
            <w:pPr>
              <w:pStyle w:val="TableHeading"/>
              <w:jc w:val="right"/>
            </w:pPr>
          </w:p>
        </w:tc>
        <w:tc>
          <w:tcPr>
            <w:tcW w:w="907" w:type="dxa"/>
            <w:noWrap/>
          </w:tcPr>
          <w:p w14:paraId="7B58F115" w14:textId="77777777" w:rsidR="00B515DB" w:rsidRPr="00C6052E" w:rsidRDefault="00B515DB" w:rsidP="00B515DB">
            <w:pPr>
              <w:pStyle w:val="TableHeading"/>
              <w:jc w:val="right"/>
            </w:pPr>
          </w:p>
        </w:tc>
        <w:tc>
          <w:tcPr>
            <w:tcW w:w="974" w:type="dxa"/>
            <w:noWrap/>
          </w:tcPr>
          <w:p w14:paraId="1E2599CF" w14:textId="77777777" w:rsidR="00B515DB" w:rsidRPr="00C6052E" w:rsidRDefault="00B515DB" w:rsidP="00B515DB">
            <w:pPr>
              <w:pStyle w:val="TableHeading"/>
              <w:jc w:val="right"/>
            </w:pPr>
          </w:p>
        </w:tc>
        <w:tc>
          <w:tcPr>
            <w:tcW w:w="973" w:type="dxa"/>
            <w:noWrap/>
          </w:tcPr>
          <w:p w14:paraId="238A5253" w14:textId="77777777" w:rsidR="00B515DB" w:rsidRPr="00C6052E" w:rsidRDefault="00B515DB" w:rsidP="00B515DB">
            <w:pPr>
              <w:pStyle w:val="TableHeading"/>
              <w:jc w:val="right"/>
            </w:pPr>
          </w:p>
        </w:tc>
        <w:tc>
          <w:tcPr>
            <w:tcW w:w="1304" w:type="dxa"/>
            <w:noWrap/>
          </w:tcPr>
          <w:p w14:paraId="0C84EF81" w14:textId="77777777" w:rsidR="00B515DB" w:rsidRPr="00C6052E" w:rsidRDefault="00B515DB" w:rsidP="00B515DB">
            <w:pPr>
              <w:pStyle w:val="TableHeading"/>
              <w:jc w:val="right"/>
            </w:pPr>
          </w:p>
        </w:tc>
        <w:tc>
          <w:tcPr>
            <w:tcW w:w="1304" w:type="dxa"/>
            <w:noWrap/>
          </w:tcPr>
          <w:p w14:paraId="62E4E7ED" w14:textId="77777777" w:rsidR="00B515DB" w:rsidRPr="00C6052E" w:rsidRDefault="00B515DB" w:rsidP="00B515DB">
            <w:pPr>
              <w:pStyle w:val="TableHeading"/>
              <w:jc w:val="right"/>
            </w:pPr>
          </w:p>
        </w:tc>
        <w:tc>
          <w:tcPr>
            <w:tcW w:w="921" w:type="dxa"/>
            <w:noWrap/>
          </w:tcPr>
          <w:p w14:paraId="02A2548E" w14:textId="77777777" w:rsidR="00B515DB" w:rsidRPr="00C6052E" w:rsidRDefault="00B515DB" w:rsidP="00B515DB">
            <w:pPr>
              <w:pStyle w:val="TableHeading"/>
              <w:jc w:val="right"/>
            </w:pPr>
          </w:p>
        </w:tc>
        <w:tc>
          <w:tcPr>
            <w:tcW w:w="921" w:type="dxa"/>
            <w:noWrap/>
          </w:tcPr>
          <w:p w14:paraId="28927CD1" w14:textId="77777777" w:rsidR="00B515DB" w:rsidRPr="00C6052E" w:rsidRDefault="00B515DB" w:rsidP="00B515DB">
            <w:pPr>
              <w:pStyle w:val="TableHeading"/>
              <w:jc w:val="right"/>
            </w:pPr>
          </w:p>
        </w:tc>
      </w:tr>
      <w:tr w:rsidR="00B515DB" w:rsidRPr="00C6052E" w14:paraId="0E1FE97C" w14:textId="77777777" w:rsidTr="004450EB">
        <w:tc>
          <w:tcPr>
            <w:tcW w:w="3111" w:type="dxa"/>
            <w:hideMark/>
          </w:tcPr>
          <w:p w14:paraId="5741EA38" w14:textId="110C50FF" w:rsidR="00EE5BB8" w:rsidRPr="00C6052E" w:rsidRDefault="00EE5BB8" w:rsidP="0063097D">
            <w:pPr>
              <w:pStyle w:val="TableCopy"/>
            </w:pPr>
            <w:r w:rsidRPr="00C6052E">
              <w:t>Payments</w:t>
            </w:r>
            <w:r w:rsidR="00177848" w:rsidRPr="00C6052E">
              <w:t xml:space="preserve"> </w:t>
            </w:r>
            <w:r w:rsidRPr="00C6052E">
              <w:t>into</w:t>
            </w:r>
            <w:r w:rsidR="00177848" w:rsidRPr="00C6052E">
              <w:t xml:space="preserve"> </w:t>
            </w:r>
            <w:r w:rsidRPr="00C6052E">
              <w:t>Consolidated</w:t>
            </w:r>
            <w:r w:rsidR="00177848" w:rsidRPr="00C6052E">
              <w:t xml:space="preserve"> </w:t>
            </w:r>
            <w:r w:rsidRPr="00C6052E">
              <w:t>Fund</w:t>
            </w:r>
            <w:r w:rsidR="00177848" w:rsidRPr="00C6052E">
              <w:t xml:space="preserve"> </w:t>
            </w:r>
          </w:p>
        </w:tc>
        <w:tc>
          <w:tcPr>
            <w:tcW w:w="850" w:type="dxa"/>
            <w:noWrap/>
            <w:hideMark/>
          </w:tcPr>
          <w:p w14:paraId="16C34F19" w14:textId="77777777" w:rsidR="00EE5BB8" w:rsidRPr="00C6052E" w:rsidRDefault="00EE5BB8" w:rsidP="00B515DB">
            <w:pPr>
              <w:pStyle w:val="TableCopy"/>
              <w:jc w:val="right"/>
            </w:pPr>
            <w:r w:rsidRPr="00C6052E">
              <w:t>(589)</w:t>
            </w:r>
          </w:p>
        </w:tc>
        <w:tc>
          <w:tcPr>
            <w:tcW w:w="850" w:type="dxa"/>
            <w:noWrap/>
            <w:hideMark/>
          </w:tcPr>
          <w:p w14:paraId="5DBE2302" w14:textId="77777777" w:rsidR="00EE5BB8" w:rsidRPr="00C6052E" w:rsidRDefault="00EE5BB8" w:rsidP="00B515DB">
            <w:pPr>
              <w:pStyle w:val="TableCopy"/>
              <w:jc w:val="right"/>
            </w:pPr>
            <w:r w:rsidRPr="00C6052E">
              <w:t>(1,184)</w:t>
            </w:r>
          </w:p>
        </w:tc>
        <w:tc>
          <w:tcPr>
            <w:tcW w:w="907" w:type="dxa"/>
            <w:noWrap/>
            <w:hideMark/>
          </w:tcPr>
          <w:p w14:paraId="6251F504" w14:textId="77777777" w:rsidR="00EE5BB8" w:rsidRPr="00C6052E" w:rsidRDefault="00EE5BB8" w:rsidP="00B515DB">
            <w:pPr>
              <w:pStyle w:val="TableCopy"/>
              <w:jc w:val="right"/>
            </w:pPr>
            <w:r w:rsidRPr="00C6052E">
              <w:t>(1,189)</w:t>
            </w:r>
          </w:p>
        </w:tc>
        <w:tc>
          <w:tcPr>
            <w:tcW w:w="907" w:type="dxa"/>
            <w:noWrap/>
            <w:hideMark/>
          </w:tcPr>
          <w:p w14:paraId="7D318CDD" w14:textId="77777777" w:rsidR="00EE5BB8" w:rsidRPr="00C6052E" w:rsidRDefault="00EE5BB8" w:rsidP="00B515DB">
            <w:pPr>
              <w:pStyle w:val="TableCopy"/>
              <w:jc w:val="right"/>
            </w:pPr>
            <w:r w:rsidRPr="00C6052E">
              <w:t>(10,134)</w:t>
            </w:r>
          </w:p>
        </w:tc>
        <w:tc>
          <w:tcPr>
            <w:tcW w:w="907" w:type="dxa"/>
            <w:noWrap/>
            <w:hideMark/>
          </w:tcPr>
          <w:p w14:paraId="70F6087F" w14:textId="77777777" w:rsidR="00EE5BB8" w:rsidRPr="00C6052E" w:rsidRDefault="00EE5BB8" w:rsidP="00B515DB">
            <w:pPr>
              <w:pStyle w:val="TableCopy"/>
              <w:jc w:val="right"/>
            </w:pPr>
            <w:r w:rsidRPr="00C6052E">
              <w:t>(263)</w:t>
            </w:r>
          </w:p>
        </w:tc>
        <w:tc>
          <w:tcPr>
            <w:tcW w:w="907" w:type="dxa"/>
            <w:noWrap/>
            <w:hideMark/>
          </w:tcPr>
          <w:p w14:paraId="29B0E70D" w14:textId="77777777" w:rsidR="00EE5BB8" w:rsidRPr="00C6052E" w:rsidRDefault="00EE5BB8" w:rsidP="00B515DB">
            <w:pPr>
              <w:pStyle w:val="TableCopy"/>
              <w:jc w:val="right"/>
            </w:pPr>
            <w:r w:rsidRPr="00C6052E">
              <w:t>(4,467)</w:t>
            </w:r>
          </w:p>
        </w:tc>
        <w:tc>
          <w:tcPr>
            <w:tcW w:w="974" w:type="dxa"/>
            <w:noWrap/>
            <w:hideMark/>
          </w:tcPr>
          <w:p w14:paraId="029C9B65" w14:textId="77777777" w:rsidR="00EE5BB8" w:rsidRPr="00C6052E" w:rsidRDefault="00EE5BB8" w:rsidP="00B515DB">
            <w:pPr>
              <w:pStyle w:val="TableCopy"/>
              <w:jc w:val="right"/>
            </w:pPr>
            <w:r w:rsidRPr="00C6052E">
              <w:t>(9,349)</w:t>
            </w:r>
          </w:p>
        </w:tc>
        <w:tc>
          <w:tcPr>
            <w:tcW w:w="973" w:type="dxa"/>
            <w:noWrap/>
            <w:hideMark/>
          </w:tcPr>
          <w:p w14:paraId="4D02119C" w14:textId="77777777" w:rsidR="00EE5BB8" w:rsidRPr="00C6052E" w:rsidRDefault="00EE5BB8" w:rsidP="00B515DB">
            <w:pPr>
              <w:pStyle w:val="TableCopy"/>
              <w:jc w:val="right"/>
            </w:pPr>
            <w:r w:rsidRPr="00C6052E">
              <w:t>(7,597)</w:t>
            </w:r>
          </w:p>
        </w:tc>
        <w:tc>
          <w:tcPr>
            <w:tcW w:w="1304" w:type="dxa"/>
            <w:noWrap/>
            <w:hideMark/>
          </w:tcPr>
          <w:p w14:paraId="636A760C" w14:textId="77777777" w:rsidR="00EE5BB8" w:rsidRPr="00C6052E" w:rsidRDefault="00EE5BB8" w:rsidP="00B515DB">
            <w:pPr>
              <w:pStyle w:val="TableCopy"/>
              <w:jc w:val="right"/>
            </w:pPr>
            <w:r w:rsidRPr="00C6052E">
              <w:t>(21,747)</w:t>
            </w:r>
          </w:p>
        </w:tc>
        <w:tc>
          <w:tcPr>
            <w:tcW w:w="1304" w:type="dxa"/>
            <w:noWrap/>
            <w:hideMark/>
          </w:tcPr>
          <w:p w14:paraId="063F9C2E" w14:textId="77777777" w:rsidR="00EE5BB8" w:rsidRPr="00C6052E" w:rsidRDefault="00EE5BB8" w:rsidP="00B515DB">
            <w:pPr>
              <w:pStyle w:val="TableCopy"/>
              <w:jc w:val="right"/>
            </w:pPr>
            <w:r w:rsidRPr="00C6052E">
              <w:t>(669)</w:t>
            </w:r>
          </w:p>
        </w:tc>
        <w:tc>
          <w:tcPr>
            <w:tcW w:w="921" w:type="dxa"/>
            <w:noWrap/>
            <w:hideMark/>
          </w:tcPr>
          <w:p w14:paraId="515740D0" w14:textId="77777777" w:rsidR="00EE5BB8" w:rsidRPr="00C6052E" w:rsidRDefault="00EE5BB8" w:rsidP="00B515DB">
            <w:pPr>
              <w:pStyle w:val="TableCopy"/>
              <w:jc w:val="right"/>
            </w:pPr>
            <w:r w:rsidRPr="00C6052E">
              <w:t>(44,018)</w:t>
            </w:r>
          </w:p>
        </w:tc>
        <w:tc>
          <w:tcPr>
            <w:tcW w:w="921" w:type="dxa"/>
            <w:noWrap/>
            <w:hideMark/>
          </w:tcPr>
          <w:p w14:paraId="1B5E5CEE" w14:textId="77777777" w:rsidR="00EE5BB8" w:rsidRPr="00C6052E" w:rsidRDefault="00EE5BB8" w:rsidP="00B515DB">
            <w:pPr>
              <w:pStyle w:val="TableCopy"/>
              <w:jc w:val="right"/>
            </w:pPr>
            <w:r w:rsidRPr="00C6052E">
              <w:t>(51,754)</w:t>
            </w:r>
          </w:p>
        </w:tc>
      </w:tr>
      <w:tr w:rsidR="00B515DB" w:rsidRPr="00C6052E" w14:paraId="4232A41B" w14:textId="77777777" w:rsidTr="004450EB">
        <w:tc>
          <w:tcPr>
            <w:tcW w:w="3111" w:type="dxa"/>
            <w:hideMark/>
          </w:tcPr>
          <w:p w14:paraId="794CF769" w14:textId="370F44CD" w:rsidR="00EE5BB8" w:rsidRPr="00C6052E" w:rsidRDefault="00EE5BB8" w:rsidP="0063097D">
            <w:pPr>
              <w:pStyle w:val="TableCopy"/>
            </w:pPr>
            <w:r w:rsidRPr="00C6052E">
              <w:t>Interest</w:t>
            </w:r>
            <w:r w:rsidR="00177848" w:rsidRPr="00C6052E">
              <w:t xml:space="preserve"> </w:t>
            </w:r>
            <w:r w:rsidRPr="00C6052E">
              <w:t>expense</w:t>
            </w:r>
          </w:p>
        </w:tc>
        <w:tc>
          <w:tcPr>
            <w:tcW w:w="850" w:type="dxa"/>
            <w:noWrap/>
            <w:hideMark/>
          </w:tcPr>
          <w:p w14:paraId="18BC6E49" w14:textId="77777777" w:rsidR="00EE5BB8" w:rsidRPr="00C6052E" w:rsidRDefault="00EE5BB8" w:rsidP="00B515DB">
            <w:pPr>
              <w:pStyle w:val="TableCopy"/>
              <w:jc w:val="right"/>
            </w:pPr>
            <w:r w:rsidRPr="00C6052E">
              <w:t>–</w:t>
            </w:r>
          </w:p>
        </w:tc>
        <w:tc>
          <w:tcPr>
            <w:tcW w:w="850" w:type="dxa"/>
            <w:noWrap/>
            <w:hideMark/>
          </w:tcPr>
          <w:p w14:paraId="0FDF92CE" w14:textId="77777777" w:rsidR="00EE5BB8" w:rsidRPr="00C6052E" w:rsidRDefault="00EE5BB8" w:rsidP="00B515DB">
            <w:pPr>
              <w:pStyle w:val="TableCopy"/>
              <w:jc w:val="right"/>
            </w:pPr>
            <w:r w:rsidRPr="00C6052E">
              <w:t>–</w:t>
            </w:r>
          </w:p>
        </w:tc>
        <w:tc>
          <w:tcPr>
            <w:tcW w:w="907" w:type="dxa"/>
            <w:noWrap/>
            <w:hideMark/>
          </w:tcPr>
          <w:p w14:paraId="0F0FA9BA" w14:textId="77777777" w:rsidR="00EE5BB8" w:rsidRPr="00C6052E" w:rsidRDefault="00EE5BB8" w:rsidP="00B515DB">
            <w:pPr>
              <w:pStyle w:val="TableCopy"/>
              <w:jc w:val="right"/>
            </w:pPr>
            <w:r w:rsidRPr="00C6052E">
              <w:t>–</w:t>
            </w:r>
          </w:p>
        </w:tc>
        <w:tc>
          <w:tcPr>
            <w:tcW w:w="907" w:type="dxa"/>
            <w:noWrap/>
            <w:hideMark/>
          </w:tcPr>
          <w:p w14:paraId="66EF0395" w14:textId="77777777" w:rsidR="00EE5BB8" w:rsidRPr="00C6052E" w:rsidRDefault="00EE5BB8" w:rsidP="00B515DB">
            <w:pPr>
              <w:pStyle w:val="TableCopy"/>
              <w:jc w:val="right"/>
            </w:pPr>
            <w:r w:rsidRPr="00C6052E">
              <w:t>–</w:t>
            </w:r>
          </w:p>
        </w:tc>
        <w:tc>
          <w:tcPr>
            <w:tcW w:w="907" w:type="dxa"/>
            <w:noWrap/>
            <w:hideMark/>
          </w:tcPr>
          <w:p w14:paraId="7A69621D" w14:textId="77777777" w:rsidR="00EE5BB8" w:rsidRPr="00C6052E" w:rsidRDefault="00EE5BB8" w:rsidP="00B515DB">
            <w:pPr>
              <w:pStyle w:val="TableCopy"/>
              <w:jc w:val="right"/>
            </w:pPr>
            <w:r w:rsidRPr="00C6052E">
              <w:t>–</w:t>
            </w:r>
          </w:p>
        </w:tc>
        <w:tc>
          <w:tcPr>
            <w:tcW w:w="907" w:type="dxa"/>
            <w:noWrap/>
            <w:hideMark/>
          </w:tcPr>
          <w:p w14:paraId="37E5DD75" w14:textId="77777777" w:rsidR="00EE5BB8" w:rsidRPr="00C6052E" w:rsidRDefault="00EE5BB8" w:rsidP="00B515DB">
            <w:pPr>
              <w:pStyle w:val="TableCopy"/>
              <w:jc w:val="right"/>
            </w:pPr>
            <w:r w:rsidRPr="00C6052E">
              <w:t>(3,174)</w:t>
            </w:r>
          </w:p>
        </w:tc>
        <w:tc>
          <w:tcPr>
            <w:tcW w:w="974" w:type="dxa"/>
            <w:noWrap/>
            <w:hideMark/>
          </w:tcPr>
          <w:p w14:paraId="086DB324" w14:textId="77777777" w:rsidR="00EE5BB8" w:rsidRPr="00C6052E" w:rsidRDefault="00EE5BB8" w:rsidP="00B515DB">
            <w:pPr>
              <w:pStyle w:val="TableCopy"/>
              <w:jc w:val="right"/>
            </w:pPr>
            <w:r w:rsidRPr="00C6052E">
              <w:t>–</w:t>
            </w:r>
          </w:p>
        </w:tc>
        <w:tc>
          <w:tcPr>
            <w:tcW w:w="973" w:type="dxa"/>
            <w:noWrap/>
            <w:hideMark/>
          </w:tcPr>
          <w:p w14:paraId="737E1330" w14:textId="77777777" w:rsidR="00EE5BB8" w:rsidRPr="00C6052E" w:rsidRDefault="00EE5BB8" w:rsidP="00B515DB">
            <w:pPr>
              <w:pStyle w:val="TableCopy"/>
              <w:jc w:val="right"/>
            </w:pPr>
            <w:r w:rsidRPr="00C6052E">
              <w:t>–</w:t>
            </w:r>
          </w:p>
        </w:tc>
        <w:tc>
          <w:tcPr>
            <w:tcW w:w="1304" w:type="dxa"/>
            <w:noWrap/>
            <w:hideMark/>
          </w:tcPr>
          <w:p w14:paraId="46B31199" w14:textId="77777777" w:rsidR="00EE5BB8" w:rsidRPr="00C6052E" w:rsidRDefault="00EE5BB8" w:rsidP="00B515DB">
            <w:pPr>
              <w:pStyle w:val="TableCopy"/>
              <w:jc w:val="right"/>
            </w:pPr>
            <w:r w:rsidRPr="00C6052E">
              <w:t>–</w:t>
            </w:r>
          </w:p>
        </w:tc>
        <w:tc>
          <w:tcPr>
            <w:tcW w:w="1304" w:type="dxa"/>
            <w:noWrap/>
            <w:hideMark/>
          </w:tcPr>
          <w:p w14:paraId="5EB6E97B" w14:textId="77777777" w:rsidR="00EE5BB8" w:rsidRPr="00C6052E" w:rsidRDefault="00EE5BB8" w:rsidP="00B515DB">
            <w:pPr>
              <w:pStyle w:val="TableCopy"/>
              <w:jc w:val="right"/>
            </w:pPr>
            <w:r w:rsidRPr="00C6052E">
              <w:t>–</w:t>
            </w:r>
          </w:p>
        </w:tc>
        <w:tc>
          <w:tcPr>
            <w:tcW w:w="921" w:type="dxa"/>
            <w:noWrap/>
            <w:hideMark/>
          </w:tcPr>
          <w:p w14:paraId="2A27F7CA" w14:textId="77777777" w:rsidR="00EE5BB8" w:rsidRPr="00C6052E" w:rsidRDefault="00EE5BB8" w:rsidP="00B515DB">
            <w:pPr>
              <w:pStyle w:val="TableCopy"/>
              <w:jc w:val="right"/>
            </w:pPr>
            <w:r w:rsidRPr="00C6052E">
              <w:t>–</w:t>
            </w:r>
          </w:p>
        </w:tc>
        <w:tc>
          <w:tcPr>
            <w:tcW w:w="921" w:type="dxa"/>
            <w:noWrap/>
            <w:hideMark/>
          </w:tcPr>
          <w:p w14:paraId="5A59CDA2" w14:textId="77777777" w:rsidR="00EE5BB8" w:rsidRPr="00C6052E" w:rsidRDefault="00EE5BB8" w:rsidP="00B515DB">
            <w:pPr>
              <w:pStyle w:val="TableCopy"/>
              <w:jc w:val="right"/>
            </w:pPr>
            <w:r w:rsidRPr="00C6052E">
              <w:t>(3,174)</w:t>
            </w:r>
          </w:p>
        </w:tc>
      </w:tr>
      <w:tr w:rsidR="00B515DB" w:rsidRPr="00C6052E" w14:paraId="5C176B8E" w14:textId="77777777" w:rsidTr="004450EB">
        <w:tc>
          <w:tcPr>
            <w:tcW w:w="3111" w:type="dxa"/>
            <w:hideMark/>
          </w:tcPr>
          <w:p w14:paraId="2BCE7AFF" w14:textId="2B2B7ADE" w:rsidR="00EE5BB8" w:rsidRPr="00C6052E" w:rsidRDefault="00EE5BB8" w:rsidP="0063097D">
            <w:pPr>
              <w:pStyle w:val="TableCopy"/>
            </w:pPr>
            <w:r w:rsidRPr="00C6052E">
              <w:lastRenderedPageBreak/>
              <w:t>Other</w:t>
            </w:r>
            <w:r w:rsidR="00177848" w:rsidRPr="00C6052E">
              <w:t xml:space="preserve"> </w:t>
            </w:r>
            <w:r w:rsidRPr="00C6052E">
              <w:t>expenses</w:t>
            </w:r>
          </w:p>
        </w:tc>
        <w:tc>
          <w:tcPr>
            <w:tcW w:w="850" w:type="dxa"/>
            <w:noWrap/>
            <w:hideMark/>
          </w:tcPr>
          <w:p w14:paraId="2B5164A6" w14:textId="77777777" w:rsidR="00EE5BB8" w:rsidRPr="00C6052E" w:rsidRDefault="00EE5BB8" w:rsidP="00B515DB">
            <w:pPr>
              <w:pStyle w:val="TableCopy"/>
              <w:jc w:val="right"/>
            </w:pPr>
            <w:r w:rsidRPr="00C6052E">
              <w:t>–</w:t>
            </w:r>
          </w:p>
        </w:tc>
        <w:tc>
          <w:tcPr>
            <w:tcW w:w="850" w:type="dxa"/>
            <w:noWrap/>
            <w:hideMark/>
          </w:tcPr>
          <w:p w14:paraId="6C8F103D" w14:textId="77777777" w:rsidR="00EE5BB8" w:rsidRPr="00C6052E" w:rsidRDefault="00EE5BB8" w:rsidP="00B515DB">
            <w:pPr>
              <w:pStyle w:val="TableCopy"/>
              <w:jc w:val="right"/>
            </w:pPr>
            <w:r w:rsidRPr="00C6052E">
              <w:t>–</w:t>
            </w:r>
          </w:p>
        </w:tc>
        <w:tc>
          <w:tcPr>
            <w:tcW w:w="907" w:type="dxa"/>
            <w:noWrap/>
            <w:hideMark/>
          </w:tcPr>
          <w:p w14:paraId="476EEF7E" w14:textId="77777777" w:rsidR="00EE5BB8" w:rsidRPr="00C6052E" w:rsidRDefault="00EE5BB8" w:rsidP="00B515DB">
            <w:pPr>
              <w:pStyle w:val="TableCopy"/>
              <w:jc w:val="right"/>
            </w:pPr>
            <w:r w:rsidRPr="00C6052E">
              <w:t>68</w:t>
            </w:r>
          </w:p>
        </w:tc>
        <w:tc>
          <w:tcPr>
            <w:tcW w:w="907" w:type="dxa"/>
            <w:noWrap/>
            <w:hideMark/>
          </w:tcPr>
          <w:p w14:paraId="05E68E04" w14:textId="77777777" w:rsidR="00EE5BB8" w:rsidRPr="00C6052E" w:rsidRDefault="00EE5BB8" w:rsidP="00B515DB">
            <w:pPr>
              <w:pStyle w:val="TableCopy"/>
              <w:jc w:val="right"/>
            </w:pPr>
            <w:r w:rsidRPr="00C6052E">
              <w:t>(187)</w:t>
            </w:r>
          </w:p>
        </w:tc>
        <w:tc>
          <w:tcPr>
            <w:tcW w:w="907" w:type="dxa"/>
            <w:noWrap/>
            <w:hideMark/>
          </w:tcPr>
          <w:p w14:paraId="78E2EFBD" w14:textId="77777777" w:rsidR="00EE5BB8" w:rsidRPr="00C6052E" w:rsidRDefault="00EE5BB8" w:rsidP="00B515DB">
            <w:pPr>
              <w:pStyle w:val="TableCopy"/>
              <w:jc w:val="right"/>
            </w:pPr>
            <w:r w:rsidRPr="00C6052E">
              <w:t>–</w:t>
            </w:r>
          </w:p>
        </w:tc>
        <w:tc>
          <w:tcPr>
            <w:tcW w:w="907" w:type="dxa"/>
            <w:noWrap/>
            <w:hideMark/>
          </w:tcPr>
          <w:p w14:paraId="35142005" w14:textId="77777777" w:rsidR="00EE5BB8" w:rsidRPr="00C6052E" w:rsidRDefault="00EE5BB8" w:rsidP="00B515DB">
            <w:pPr>
              <w:pStyle w:val="TableCopy"/>
              <w:jc w:val="right"/>
            </w:pPr>
            <w:r w:rsidRPr="00C6052E">
              <w:t>(3,473)</w:t>
            </w:r>
          </w:p>
        </w:tc>
        <w:tc>
          <w:tcPr>
            <w:tcW w:w="974" w:type="dxa"/>
            <w:noWrap/>
            <w:hideMark/>
          </w:tcPr>
          <w:p w14:paraId="601D2B1E" w14:textId="77777777" w:rsidR="00EE5BB8" w:rsidRPr="00C6052E" w:rsidRDefault="00EE5BB8" w:rsidP="00B515DB">
            <w:pPr>
              <w:pStyle w:val="TableCopy"/>
              <w:jc w:val="right"/>
            </w:pPr>
            <w:r w:rsidRPr="00C6052E">
              <w:t>–</w:t>
            </w:r>
          </w:p>
        </w:tc>
        <w:tc>
          <w:tcPr>
            <w:tcW w:w="973" w:type="dxa"/>
            <w:noWrap/>
            <w:hideMark/>
          </w:tcPr>
          <w:p w14:paraId="5A0C0CCB" w14:textId="77777777" w:rsidR="00EE5BB8" w:rsidRPr="00C6052E" w:rsidRDefault="00EE5BB8" w:rsidP="00B515DB">
            <w:pPr>
              <w:pStyle w:val="TableCopy"/>
              <w:jc w:val="right"/>
            </w:pPr>
            <w:r w:rsidRPr="00C6052E">
              <w:t>7</w:t>
            </w:r>
          </w:p>
        </w:tc>
        <w:tc>
          <w:tcPr>
            <w:tcW w:w="1304" w:type="dxa"/>
            <w:noWrap/>
            <w:hideMark/>
          </w:tcPr>
          <w:p w14:paraId="1B539AFE" w14:textId="77777777" w:rsidR="00EE5BB8" w:rsidRPr="00C6052E" w:rsidRDefault="00EE5BB8" w:rsidP="00B515DB">
            <w:pPr>
              <w:pStyle w:val="TableCopy"/>
              <w:jc w:val="right"/>
            </w:pPr>
            <w:r w:rsidRPr="00C6052E">
              <w:t>–</w:t>
            </w:r>
          </w:p>
        </w:tc>
        <w:tc>
          <w:tcPr>
            <w:tcW w:w="1304" w:type="dxa"/>
            <w:noWrap/>
            <w:hideMark/>
          </w:tcPr>
          <w:p w14:paraId="716DD48B" w14:textId="77777777" w:rsidR="00EE5BB8" w:rsidRPr="00C6052E" w:rsidRDefault="00EE5BB8" w:rsidP="00B515DB">
            <w:pPr>
              <w:pStyle w:val="TableCopy"/>
              <w:jc w:val="right"/>
            </w:pPr>
            <w:r w:rsidRPr="00C6052E">
              <w:t>–</w:t>
            </w:r>
          </w:p>
        </w:tc>
        <w:tc>
          <w:tcPr>
            <w:tcW w:w="921" w:type="dxa"/>
            <w:noWrap/>
            <w:hideMark/>
          </w:tcPr>
          <w:p w14:paraId="1D7FC345" w14:textId="77777777" w:rsidR="00EE5BB8" w:rsidRPr="00C6052E" w:rsidRDefault="00EE5BB8" w:rsidP="00B515DB">
            <w:pPr>
              <w:pStyle w:val="TableCopy"/>
              <w:jc w:val="right"/>
            </w:pPr>
            <w:r w:rsidRPr="00C6052E">
              <w:t>41</w:t>
            </w:r>
          </w:p>
        </w:tc>
        <w:tc>
          <w:tcPr>
            <w:tcW w:w="921" w:type="dxa"/>
            <w:noWrap/>
            <w:hideMark/>
          </w:tcPr>
          <w:p w14:paraId="497301C3" w14:textId="77777777" w:rsidR="00EE5BB8" w:rsidRPr="00C6052E" w:rsidRDefault="00EE5BB8" w:rsidP="00B515DB">
            <w:pPr>
              <w:pStyle w:val="TableCopy"/>
              <w:jc w:val="right"/>
            </w:pPr>
            <w:r w:rsidRPr="00C6052E">
              <w:t>(3,678)</w:t>
            </w:r>
          </w:p>
        </w:tc>
      </w:tr>
      <w:tr w:rsidR="00B515DB" w:rsidRPr="00C6052E" w14:paraId="7F4AD2C0" w14:textId="77777777" w:rsidTr="004450EB">
        <w:tc>
          <w:tcPr>
            <w:tcW w:w="3111" w:type="dxa"/>
            <w:noWrap/>
            <w:hideMark/>
          </w:tcPr>
          <w:p w14:paraId="09861F00" w14:textId="76760EF7" w:rsidR="00EE5BB8" w:rsidRPr="00C6052E" w:rsidRDefault="00EE5BB8" w:rsidP="0063097D">
            <w:pPr>
              <w:pStyle w:val="Tabletotal"/>
            </w:pPr>
            <w:r w:rsidRPr="00C6052E">
              <w:t>Total</w:t>
            </w:r>
            <w:r w:rsidR="00177848" w:rsidRPr="00C6052E">
              <w:t xml:space="preserve"> </w:t>
            </w:r>
            <w:r w:rsidRPr="00C6052E">
              <w:t>administered</w:t>
            </w:r>
            <w:r w:rsidR="00177848" w:rsidRPr="00C6052E">
              <w:t xml:space="preserve"> </w:t>
            </w:r>
            <w:r w:rsidRPr="00C6052E">
              <w:t>expenses</w:t>
            </w:r>
            <w:r w:rsidR="00177848" w:rsidRPr="00C6052E">
              <w:t xml:space="preserve"> </w:t>
            </w:r>
            <w:r w:rsidRPr="00C6052E">
              <w:t>from</w:t>
            </w:r>
            <w:r w:rsidR="00177848" w:rsidRPr="00C6052E">
              <w:t xml:space="preserve"> </w:t>
            </w:r>
            <w:r w:rsidRPr="00C6052E">
              <w:t>transactions</w:t>
            </w:r>
          </w:p>
        </w:tc>
        <w:tc>
          <w:tcPr>
            <w:tcW w:w="850" w:type="dxa"/>
            <w:noWrap/>
            <w:hideMark/>
          </w:tcPr>
          <w:p w14:paraId="795FF280" w14:textId="77777777" w:rsidR="00EE5BB8" w:rsidRPr="00C6052E" w:rsidRDefault="00EE5BB8" w:rsidP="00B515DB">
            <w:pPr>
              <w:pStyle w:val="Tabletotal"/>
              <w:jc w:val="right"/>
            </w:pPr>
            <w:r w:rsidRPr="00C6052E">
              <w:t>(589)</w:t>
            </w:r>
          </w:p>
        </w:tc>
        <w:tc>
          <w:tcPr>
            <w:tcW w:w="850" w:type="dxa"/>
            <w:noWrap/>
            <w:hideMark/>
          </w:tcPr>
          <w:p w14:paraId="70E71ED8" w14:textId="77777777" w:rsidR="00EE5BB8" w:rsidRPr="00C6052E" w:rsidRDefault="00EE5BB8" w:rsidP="00B515DB">
            <w:pPr>
              <w:pStyle w:val="Tabletotal"/>
              <w:jc w:val="right"/>
            </w:pPr>
            <w:r w:rsidRPr="00C6052E">
              <w:t>(1,184)</w:t>
            </w:r>
          </w:p>
        </w:tc>
        <w:tc>
          <w:tcPr>
            <w:tcW w:w="907" w:type="dxa"/>
            <w:noWrap/>
            <w:hideMark/>
          </w:tcPr>
          <w:p w14:paraId="6D973888" w14:textId="77777777" w:rsidR="00EE5BB8" w:rsidRPr="00C6052E" w:rsidRDefault="00EE5BB8" w:rsidP="00B515DB">
            <w:pPr>
              <w:pStyle w:val="Tabletotal"/>
              <w:jc w:val="right"/>
            </w:pPr>
            <w:r w:rsidRPr="00C6052E">
              <w:t>(1,121)</w:t>
            </w:r>
          </w:p>
        </w:tc>
        <w:tc>
          <w:tcPr>
            <w:tcW w:w="907" w:type="dxa"/>
            <w:noWrap/>
            <w:hideMark/>
          </w:tcPr>
          <w:p w14:paraId="5D60A12E" w14:textId="77777777" w:rsidR="00EE5BB8" w:rsidRPr="00C6052E" w:rsidRDefault="00EE5BB8" w:rsidP="00B515DB">
            <w:pPr>
              <w:pStyle w:val="Tabletotal"/>
              <w:jc w:val="right"/>
            </w:pPr>
            <w:r w:rsidRPr="00C6052E">
              <w:t>(10,321)</w:t>
            </w:r>
          </w:p>
        </w:tc>
        <w:tc>
          <w:tcPr>
            <w:tcW w:w="907" w:type="dxa"/>
            <w:noWrap/>
            <w:hideMark/>
          </w:tcPr>
          <w:p w14:paraId="5F145194" w14:textId="77777777" w:rsidR="00EE5BB8" w:rsidRPr="00C6052E" w:rsidRDefault="00EE5BB8" w:rsidP="00B515DB">
            <w:pPr>
              <w:pStyle w:val="Tabletotal"/>
              <w:jc w:val="right"/>
            </w:pPr>
            <w:r w:rsidRPr="00C6052E">
              <w:t>(263)</w:t>
            </w:r>
          </w:p>
        </w:tc>
        <w:tc>
          <w:tcPr>
            <w:tcW w:w="907" w:type="dxa"/>
            <w:noWrap/>
            <w:hideMark/>
          </w:tcPr>
          <w:p w14:paraId="298A7BE0" w14:textId="77777777" w:rsidR="00EE5BB8" w:rsidRPr="00C6052E" w:rsidRDefault="00EE5BB8" w:rsidP="00B515DB">
            <w:pPr>
              <w:pStyle w:val="Tabletotal"/>
              <w:jc w:val="right"/>
            </w:pPr>
            <w:r w:rsidRPr="00C6052E">
              <w:t>(11,114)</w:t>
            </w:r>
          </w:p>
        </w:tc>
        <w:tc>
          <w:tcPr>
            <w:tcW w:w="974" w:type="dxa"/>
            <w:noWrap/>
            <w:hideMark/>
          </w:tcPr>
          <w:p w14:paraId="40BF0370" w14:textId="77777777" w:rsidR="00EE5BB8" w:rsidRPr="00C6052E" w:rsidRDefault="00EE5BB8" w:rsidP="00B515DB">
            <w:pPr>
              <w:pStyle w:val="Tabletotal"/>
              <w:jc w:val="right"/>
            </w:pPr>
            <w:r w:rsidRPr="00C6052E">
              <w:t>(9,349)</w:t>
            </w:r>
          </w:p>
        </w:tc>
        <w:tc>
          <w:tcPr>
            <w:tcW w:w="973" w:type="dxa"/>
            <w:noWrap/>
            <w:hideMark/>
          </w:tcPr>
          <w:p w14:paraId="7AF3A8F7" w14:textId="77777777" w:rsidR="00EE5BB8" w:rsidRPr="00C6052E" w:rsidRDefault="00EE5BB8" w:rsidP="00B515DB">
            <w:pPr>
              <w:pStyle w:val="Tabletotal"/>
              <w:jc w:val="right"/>
            </w:pPr>
            <w:r w:rsidRPr="00C6052E">
              <w:t>(7,590)</w:t>
            </w:r>
          </w:p>
        </w:tc>
        <w:tc>
          <w:tcPr>
            <w:tcW w:w="1304" w:type="dxa"/>
            <w:noWrap/>
            <w:hideMark/>
          </w:tcPr>
          <w:p w14:paraId="70A5FE4B" w14:textId="77777777" w:rsidR="00EE5BB8" w:rsidRPr="00C6052E" w:rsidRDefault="00EE5BB8" w:rsidP="00B515DB">
            <w:pPr>
              <w:pStyle w:val="Tabletotal"/>
              <w:jc w:val="right"/>
            </w:pPr>
            <w:r w:rsidRPr="00C6052E">
              <w:t>(21,747)</w:t>
            </w:r>
          </w:p>
        </w:tc>
        <w:tc>
          <w:tcPr>
            <w:tcW w:w="1304" w:type="dxa"/>
            <w:noWrap/>
            <w:hideMark/>
          </w:tcPr>
          <w:p w14:paraId="2B19791C" w14:textId="77777777" w:rsidR="00EE5BB8" w:rsidRPr="00C6052E" w:rsidRDefault="00EE5BB8" w:rsidP="00B515DB">
            <w:pPr>
              <w:pStyle w:val="Tabletotal"/>
              <w:jc w:val="right"/>
            </w:pPr>
            <w:r w:rsidRPr="00C6052E">
              <w:t>(669)</w:t>
            </w:r>
          </w:p>
        </w:tc>
        <w:tc>
          <w:tcPr>
            <w:tcW w:w="921" w:type="dxa"/>
            <w:noWrap/>
            <w:hideMark/>
          </w:tcPr>
          <w:p w14:paraId="0B47F660" w14:textId="77777777" w:rsidR="00EE5BB8" w:rsidRPr="00C6052E" w:rsidRDefault="00EE5BB8" w:rsidP="00B515DB">
            <w:pPr>
              <w:pStyle w:val="Tabletotal"/>
              <w:jc w:val="right"/>
            </w:pPr>
            <w:r w:rsidRPr="00C6052E">
              <w:t>(43,977)</w:t>
            </w:r>
          </w:p>
        </w:tc>
        <w:tc>
          <w:tcPr>
            <w:tcW w:w="921" w:type="dxa"/>
            <w:noWrap/>
            <w:hideMark/>
          </w:tcPr>
          <w:p w14:paraId="62C37420" w14:textId="77777777" w:rsidR="00EE5BB8" w:rsidRPr="00C6052E" w:rsidRDefault="00EE5BB8" w:rsidP="00B515DB">
            <w:pPr>
              <w:pStyle w:val="Tabletotal"/>
              <w:jc w:val="right"/>
            </w:pPr>
            <w:r w:rsidRPr="00C6052E">
              <w:t>(58,606)</w:t>
            </w:r>
          </w:p>
        </w:tc>
      </w:tr>
      <w:tr w:rsidR="00B515DB" w:rsidRPr="00C6052E" w14:paraId="129ADAC2" w14:textId="77777777" w:rsidTr="004450EB">
        <w:tc>
          <w:tcPr>
            <w:tcW w:w="3111" w:type="dxa"/>
            <w:noWrap/>
            <w:hideMark/>
          </w:tcPr>
          <w:p w14:paraId="7A19BBE1" w14:textId="58CEA7B6" w:rsidR="00EE5BB8" w:rsidRPr="00C6052E" w:rsidRDefault="00EE5BB8" w:rsidP="0063097D">
            <w:pPr>
              <w:pStyle w:val="Tabletotal"/>
            </w:pPr>
            <w:r w:rsidRPr="00C6052E">
              <w:t>Total</w:t>
            </w:r>
            <w:r w:rsidR="00177848" w:rsidRPr="00C6052E">
              <w:t xml:space="preserve"> </w:t>
            </w:r>
            <w:r w:rsidRPr="00C6052E">
              <w:t>administered</w:t>
            </w:r>
            <w:r w:rsidR="00177848" w:rsidRPr="00C6052E">
              <w:t xml:space="preserve"> </w:t>
            </w:r>
            <w:r w:rsidRPr="00C6052E">
              <w:t>net</w:t>
            </w:r>
            <w:r w:rsidR="00177848" w:rsidRPr="00C6052E">
              <w:t xml:space="preserve"> </w:t>
            </w:r>
            <w:r w:rsidRPr="00C6052E">
              <w:t>results</w:t>
            </w:r>
            <w:r w:rsidR="00177848" w:rsidRPr="00C6052E">
              <w:t xml:space="preserve"> </w:t>
            </w:r>
            <w:r w:rsidRPr="00C6052E">
              <w:t>from</w:t>
            </w:r>
            <w:r w:rsidR="00177848" w:rsidRPr="00C6052E">
              <w:t xml:space="preserve"> </w:t>
            </w:r>
            <w:r w:rsidRPr="00C6052E">
              <w:t>transactions</w:t>
            </w:r>
          </w:p>
        </w:tc>
        <w:tc>
          <w:tcPr>
            <w:tcW w:w="850" w:type="dxa"/>
            <w:noWrap/>
            <w:hideMark/>
          </w:tcPr>
          <w:p w14:paraId="4849AF42" w14:textId="77777777" w:rsidR="00EE5BB8" w:rsidRPr="00C6052E" w:rsidRDefault="00EE5BB8" w:rsidP="00B515DB">
            <w:pPr>
              <w:pStyle w:val="Tabletotal"/>
              <w:jc w:val="right"/>
            </w:pPr>
            <w:r w:rsidRPr="00C6052E">
              <w:t>111</w:t>
            </w:r>
          </w:p>
        </w:tc>
        <w:tc>
          <w:tcPr>
            <w:tcW w:w="850" w:type="dxa"/>
            <w:noWrap/>
            <w:hideMark/>
          </w:tcPr>
          <w:p w14:paraId="4DD54F04" w14:textId="77777777" w:rsidR="00EE5BB8" w:rsidRPr="00C6052E" w:rsidRDefault="00EE5BB8" w:rsidP="00B515DB">
            <w:pPr>
              <w:pStyle w:val="Tabletotal"/>
              <w:jc w:val="right"/>
            </w:pPr>
            <w:r w:rsidRPr="00C6052E">
              <w:t>–</w:t>
            </w:r>
          </w:p>
        </w:tc>
        <w:tc>
          <w:tcPr>
            <w:tcW w:w="907" w:type="dxa"/>
            <w:noWrap/>
            <w:hideMark/>
          </w:tcPr>
          <w:p w14:paraId="0B4536B4" w14:textId="77777777" w:rsidR="00EE5BB8" w:rsidRPr="00C6052E" w:rsidRDefault="00EE5BB8" w:rsidP="00B515DB">
            <w:pPr>
              <w:pStyle w:val="Tabletotal"/>
              <w:jc w:val="right"/>
            </w:pPr>
            <w:r w:rsidRPr="00C6052E">
              <w:t>139</w:t>
            </w:r>
          </w:p>
        </w:tc>
        <w:tc>
          <w:tcPr>
            <w:tcW w:w="907" w:type="dxa"/>
            <w:noWrap/>
            <w:hideMark/>
          </w:tcPr>
          <w:p w14:paraId="79506098" w14:textId="77777777" w:rsidR="00EE5BB8" w:rsidRPr="00C6052E" w:rsidRDefault="00EE5BB8" w:rsidP="00B515DB">
            <w:pPr>
              <w:pStyle w:val="Tabletotal"/>
              <w:jc w:val="right"/>
            </w:pPr>
            <w:r w:rsidRPr="00C6052E">
              <w:t>126</w:t>
            </w:r>
          </w:p>
        </w:tc>
        <w:tc>
          <w:tcPr>
            <w:tcW w:w="907" w:type="dxa"/>
            <w:noWrap/>
            <w:hideMark/>
          </w:tcPr>
          <w:p w14:paraId="1B9692D1" w14:textId="77777777" w:rsidR="00EE5BB8" w:rsidRPr="00C6052E" w:rsidRDefault="00EE5BB8" w:rsidP="00B515DB">
            <w:pPr>
              <w:pStyle w:val="Tabletotal"/>
              <w:jc w:val="right"/>
            </w:pPr>
            <w:r w:rsidRPr="00C6052E">
              <w:t>(260)</w:t>
            </w:r>
          </w:p>
        </w:tc>
        <w:tc>
          <w:tcPr>
            <w:tcW w:w="907" w:type="dxa"/>
            <w:noWrap/>
            <w:hideMark/>
          </w:tcPr>
          <w:p w14:paraId="7A8B2F78" w14:textId="77777777" w:rsidR="00EE5BB8" w:rsidRPr="00C6052E" w:rsidRDefault="00EE5BB8" w:rsidP="00B515DB">
            <w:pPr>
              <w:pStyle w:val="Tabletotal"/>
              <w:jc w:val="right"/>
            </w:pPr>
            <w:r w:rsidRPr="00C6052E">
              <w:t>8,698</w:t>
            </w:r>
          </w:p>
        </w:tc>
        <w:tc>
          <w:tcPr>
            <w:tcW w:w="974" w:type="dxa"/>
            <w:noWrap/>
            <w:hideMark/>
          </w:tcPr>
          <w:p w14:paraId="48A8FCBD" w14:textId="77777777" w:rsidR="00EE5BB8" w:rsidRPr="00C6052E" w:rsidRDefault="00EE5BB8" w:rsidP="00B515DB">
            <w:pPr>
              <w:pStyle w:val="Tabletotal"/>
              <w:jc w:val="right"/>
            </w:pPr>
            <w:r w:rsidRPr="00C6052E">
              <w:t>(196)</w:t>
            </w:r>
          </w:p>
        </w:tc>
        <w:tc>
          <w:tcPr>
            <w:tcW w:w="973" w:type="dxa"/>
            <w:noWrap/>
            <w:hideMark/>
          </w:tcPr>
          <w:p w14:paraId="15F4B91A" w14:textId="77777777" w:rsidR="00EE5BB8" w:rsidRPr="00C6052E" w:rsidRDefault="00EE5BB8" w:rsidP="00B515DB">
            <w:pPr>
              <w:pStyle w:val="Tabletotal"/>
              <w:jc w:val="right"/>
            </w:pPr>
            <w:r w:rsidRPr="00C6052E">
              <w:t>280</w:t>
            </w:r>
          </w:p>
        </w:tc>
        <w:tc>
          <w:tcPr>
            <w:tcW w:w="1304" w:type="dxa"/>
            <w:noWrap/>
            <w:hideMark/>
          </w:tcPr>
          <w:p w14:paraId="686DD723" w14:textId="77777777" w:rsidR="00EE5BB8" w:rsidRPr="00C6052E" w:rsidRDefault="00EE5BB8" w:rsidP="00B515DB">
            <w:pPr>
              <w:pStyle w:val="Tabletotal"/>
              <w:jc w:val="right"/>
            </w:pPr>
            <w:r w:rsidRPr="00C6052E">
              <w:t>(191)</w:t>
            </w:r>
          </w:p>
        </w:tc>
        <w:tc>
          <w:tcPr>
            <w:tcW w:w="1304" w:type="dxa"/>
            <w:noWrap/>
            <w:hideMark/>
          </w:tcPr>
          <w:p w14:paraId="58E3387F" w14:textId="77777777" w:rsidR="00EE5BB8" w:rsidRPr="00C6052E" w:rsidRDefault="00EE5BB8" w:rsidP="00B515DB">
            <w:pPr>
              <w:pStyle w:val="Tabletotal"/>
              <w:jc w:val="right"/>
            </w:pPr>
            <w:r w:rsidRPr="00C6052E">
              <w:t>–</w:t>
            </w:r>
          </w:p>
        </w:tc>
        <w:tc>
          <w:tcPr>
            <w:tcW w:w="921" w:type="dxa"/>
            <w:noWrap/>
            <w:hideMark/>
          </w:tcPr>
          <w:p w14:paraId="1FFB57B9" w14:textId="77777777" w:rsidR="00EE5BB8" w:rsidRPr="00C6052E" w:rsidRDefault="00EE5BB8" w:rsidP="00B515DB">
            <w:pPr>
              <w:pStyle w:val="Tabletotal"/>
              <w:jc w:val="right"/>
            </w:pPr>
            <w:r w:rsidRPr="00C6052E">
              <w:t>(1,983)</w:t>
            </w:r>
          </w:p>
        </w:tc>
        <w:tc>
          <w:tcPr>
            <w:tcW w:w="921" w:type="dxa"/>
            <w:noWrap/>
            <w:hideMark/>
          </w:tcPr>
          <w:p w14:paraId="08612A27" w14:textId="77777777" w:rsidR="00EE5BB8" w:rsidRPr="00C6052E" w:rsidRDefault="00EE5BB8" w:rsidP="00B515DB">
            <w:pPr>
              <w:pStyle w:val="Tabletotal"/>
              <w:jc w:val="right"/>
            </w:pPr>
            <w:r w:rsidRPr="00C6052E">
              <w:t>9,513</w:t>
            </w:r>
          </w:p>
        </w:tc>
      </w:tr>
      <w:tr w:rsidR="00B515DB" w:rsidRPr="00C6052E" w14:paraId="2BAEB77A" w14:textId="77777777" w:rsidTr="004450EB">
        <w:tc>
          <w:tcPr>
            <w:tcW w:w="3111" w:type="dxa"/>
            <w:hideMark/>
          </w:tcPr>
          <w:p w14:paraId="2005FB4F" w14:textId="43BA1C19" w:rsidR="00EE5BB8" w:rsidRPr="00C6052E" w:rsidRDefault="00EE5BB8" w:rsidP="0063097D">
            <w:pPr>
              <w:pStyle w:val="Tabletotal"/>
            </w:pPr>
            <w:r w:rsidRPr="00C6052E">
              <w:t>Net</w:t>
            </w:r>
            <w:r w:rsidR="00177848" w:rsidRPr="00C6052E">
              <w:t xml:space="preserve"> </w:t>
            </w:r>
            <w:r w:rsidRPr="00C6052E">
              <w:t>gain</w:t>
            </w:r>
            <w:r w:rsidR="00177848" w:rsidRPr="00C6052E">
              <w:t xml:space="preserve"> </w:t>
            </w:r>
            <w:r w:rsidRPr="00C6052E">
              <w:t>on</w:t>
            </w:r>
            <w:r w:rsidR="00177848" w:rsidRPr="00C6052E">
              <w:t xml:space="preserve"> </w:t>
            </w:r>
            <w:r w:rsidRPr="00C6052E">
              <w:t>other</w:t>
            </w:r>
            <w:r w:rsidR="00177848" w:rsidRPr="00C6052E">
              <w:t xml:space="preserve"> </w:t>
            </w:r>
            <w:r w:rsidRPr="00C6052E">
              <w:t>economic</w:t>
            </w:r>
            <w:r w:rsidR="00177848" w:rsidRPr="00C6052E">
              <w:t xml:space="preserve"> </w:t>
            </w:r>
            <w:r w:rsidRPr="00C6052E">
              <w:t>flows</w:t>
            </w:r>
            <w:r w:rsidR="00177848" w:rsidRPr="00C6052E">
              <w:t xml:space="preserve"> </w:t>
            </w:r>
          </w:p>
        </w:tc>
        <w:tc>
          <w:tcPr>
            <w:tcW w:w="850" w:type="dxa"/>
            <w:noWrap/>
            <w:hideMark/>
          </w:tcPr>
          <w:p w14:paraId="2086CEFB" w14:textId="77777777" w:rsidR="00EE5BB8" w:rsidRPr="00C6052E" w:rsidRDefault="00EE5BB8" w:rsidP="00B515DB">
            <w:pPr>
              <w:pStyle w:val="Tabletotal"/>
              <w:jc w:val="right"/>
            </w:pPr>
            <w:r w:rsidRPr="00C6052E">
              <w:t>–</w:t>
            </w:r>
          </w:p>
        </w:tc>
        <w:tc>
          <w:tcPr>
            <w:tcW w:w="850" w:type="dxa"/>
            <w:noWrap/>
            <w:hideMark/>
          </w:tcPr>
          <w:p w14:paraId="6EBF3F62" w14:textId="77777777" w:rsidR="00EE5BB8" w:rsidRPr="00C6052E" w:rsidRDefault="00EE5BB8" w:rsidP="00B515DB">
            <w:pPr>
              <w:pStyle w:val="Tabletotal"/>
              <w:jc w:val="right"/>
            </w:pPr>
            <w:r w:rsidRPr="00C6052E">
              <w:t>–</w:t>
            </w:r>
          </w:p>
        </w:tc>
        <w:tc>
          <w:tcPr>
            <w:tcW w:w="907" w:type="dxa"/>
            <w:noWrap/>
            <w:hideMark/>
          </w:tcPr>
          <w:p w14:paraId="39EF8864" w14:textId="77777777" w:rsidR="00EE5BB8" w:rsidRPr="00C6052E" w:rsidRDefault="00EE5BB8" w:rsidP="00B515DB">
            <w:pPr>
              <w:pStyle w:val="Tabletotal"/>
              <w:jc w:val="right"/>
            </w:pPr>
            <w:r w:rsidRPr="00C6052E">
              <w:t>–</w:t>
            </w:r>
          </w:p>
        </w:tc>
        <w:tc>
          <w:tcPr>
            <w:tcW w:w="907" w:type="dxa"/>
            <w:noWrap/>
            <w:hideMark/>
          </w:tcPr>
          <w:p w14:paraId="35502C7C" w14:textId="77777777" w:rsidR="00EE5BB8" w:rsidRPr="00C6052E" w:rsidRDefault="00EE5BB8" w:rsidP="00B515DB">
            <w:pPr>
              <w:pStyle w:val="Tabletotal"/>
              <w:jc w:val="right"/>
            </w:pPr>
            <w:r w:rsidRPr="00C6052E">
              <w:t>–</w:t>
            </w:r>
          </w:p>
        </w:tc>
        <w:tc>
          <w:tcPr>
            <w:tcW w:w="907" w:type="dxa"/>
            <w:noWrap/>
            <w:hideMark/>
          </w:tcPr>
          <w:p w14:paraId="5FC767D0" w14:textId="77777777" w:rsidR="00EE5BB8" w:rsidRPr="00C6052E" w:rsidRDefault="00EE5BB8" w:rsidP="00B515DB">
            <w:pPr>
              <w:pStyle w:val="Tabletotal"/>
              <w:jc w:val="right"/>
            </w:pPr>
            <w:r w:rsidRPr="00C6052E">
              <w:t>–</w:t>
            </w:r>
          </w:p>
        </w:tc>
        <w:tc>
          <w:tcPr>
            <w:tcW w:w="907" w:type="dxa"/>
            <w:noWrap/>
            <w:hideMark/>
          </w:tcPr>
          <w:p w14:paraId="7FE67D6F" w14:textId="77777777" w:rsidR="00EE5BB8" w:rsidRPr="00C6052E" w:rsidRDefault="00EE5BB8" w:rsidP="00B515DB">
            <w:pPr>
              <w:pStyle w:val="Tabletotal"/>
              <w:jc w:val="right"/>
            </w:pPr>
            <w:r w:rsidRPr="00C6052E">
              <w:t>–</w:t>
            </w:r>
          </w:p>
        </w:tc>
        <w:tc>
          <w:tcPr>
            <w:tcW w:w="974" w:type="dxa"/>
            <w:noWrap/>
            <w:hideMark/>
          </w:tcPr>
          <w:p w14:paraId="48671A96" w14:textId="77777777" w:rsidR="00EE5BB8" w:rsidRPr="00C6052E" w:rsidRDefault="00EE5BB8" w:rsidP="00B515DB">
            <w:pPr>
              <w:pStyle w:val="Tabletotal"/>
              <w:jc w:val="right"/>
            </w:pPr>
            <w:r w:rsidRPr="00C6052E">
              <w:t>–</w:t>
            </w:r>
          </w:p>
        </w:tc>
        <w:tc>
          <w:tcPr>
            <w:tcW w:w="973" w:type="dxa"/>
            <w:noWrap/>
            <w:hideMark/>
          </w:tcPr>
          <w:p w14:paraId="3673D1B9" w14:textId="77777777" w:rsidR="00EE5BB8" w:rsidRPr="00C6052E" w:rsidRDefault="00EE5BB8" w:rsidP="00B515DB">
            <w:pPr>
              <w:pStyle w:val="Tabletotal"/>
              <w:jc w:val="right"/>
            </w:pPr>
            <w:r w:rsidRPr="00C6052E">
              <w:t>–</w:t>
            </w:r>
          </w:p>
        </w:tc>
        <w:tc>
          <w:tcPr>
            <w:tcW w:w="1304" w:type="dxa"/>
            <w:noWrap/>
            <w:hideMark/>
          </w:tcPr>
          <w:p w14:paraId="144168E5" w14:textId="77777777" w:rsidR="00EE5BB8" w:rsidRPr="00C6052E" w:rsidRDefault="00EE5BB8" w:rsidP="00B515DB">
            <w:pPr>
              <w:pStyle w:val="Tabletotal"/>
              <w:jc w:val="right"/>
            </w:pPr>
            <w:r w:rsidRPr="00C6052E">
              <w:t>–</w:t>
            </w:r>
          </w:p>
        </w:tc>
        <w:tc>
          <w:tcPr>
            <w:tcW w:w="1304" w:type="dxa"/>
            <w:noWrap/>
            <w:hideMark/>
          </w:tcPr>
          <w:p w14:paraId="2C61E5FF" w14:textId="77777777" w:rsidR="00EE5BB8" w:rsidRPr="00C6052E" w:rsidRDefault="00EE5BB8" w:rsidP="00B515DB">
            <w:pPr>
              <w:pStyle w:val="Tabletotal"/>
              <w:jc w:val="right"/>
            </w:pPr>
            <w:r w:rsidRPr="00C6052E">
              <w:t>–</w:t>
            </w:r>
          </w:p>
        </w:tc>
        <w:tc>
          <w:tcPr>
            <w:tcW w:w="921" w:type="dxa"/>
            <w:noWrap/>
            <w:hideMark/>
          </w:tcPr>
          <w:p w14:paraId="42C12215" w14:textId="77777777" w:rsidR="00EE5BB8" w:rsidRPr="00C6052E" w:rsidRDefault="00EE5BB8" w:rsidP="00B515DB">
            <w:pPr>
              <w:pStyle w:val="Tabletotal"/>
              <w:jc w:val="right"/>
            </w:pPr>
            <w:r w:rsidRPr="00C6052E">
              <w:t>–</w:t>
            </w:r>
          </w:p>
        </w:tc>
        <w:tc>
          <w:tcPr>
            <w:tcW w:w="921" w:type="dxa"/>
            <w:noWrap/>
            <w:hideMark/>
          </w:tcPr>
          <w:p w14:paraId="06454D2F" w14:textId="77777777" w:rsidR="00EE5BB8" w:rsidRPr="00C6052E" w:rsidRDefault="00EE5BB8" w:rsidP="00B515DB">
            <w:pPr>
              <w:pStyle w:val="Tabletotal"/>
              <w:jc w:val="right"/>
            </w:pPr>
            <w:r w:rsidRPr="00C6052E">
              <w:t>–</w:t>
            </w:r>
          </w:p>
        </w:tc>
      </w:tr>
      <w:tr w:rsidR="00B515DB" w:rsidRPr="00C6052E" w14:paraId="2C2243DE" w14:textId="77777777" w:rsidTr="004450EB">
        <w:tc>
          <w:tcPr>
            <w:tcW w:w="3111" w:type="dxa"/>
            <w:noWrap/>
            <w:hideMark/>
          </w:tcPr>
          <w:p w14:paraId="11E7A928" w14:textId="6CBB01B7" w:rsidR="00EE5BB8" w:rsidRPr="00C6052E" w:rsidRDefault="00EE5BB8" w:rsidP="0063097D">
            <w:pPr>
              <w:pStyle w:val="Tabletotal"/>
            </w:pPr>
            <w:r w:rsidRPr="00C6052E">
              <w:t>Total</w:t>
            </w:r>
            <w:r w:rsidR="00177848" w:rsidRPr="00C6052E">
              <w:t xml:space="preserve"> </w:t>
            </w:r>
            <w:r w:rsidRPr="00C6052E">
              <w:t>administered</w:t>
            </w:r>
            <w:r w:rsidR="00177848" w:rsidRPr="00C6052E">
              <w:t xml:space="preserve"> </w:t>
            </w:r>
            <w:r w:rsidRPr="00C6052E">
              <w:t>comprehensive</w:t>
            </w:r>
            <w:r w:rsidR="00177848" w:rsidRPr="00C6052E">
              <w:t xml:space="preserve"> </w:t>
            </w:r>
            <w:r w:rsidRPr="00C6052E">
              <w:t>result</w:t>
            </w:r>
          </w:p>
        </w:tc>
        <w:tc>
          <w:tcPr>
            <w:tcW w:w="850" w:type="dxa"/>
            <w:noWrap/>
            <w:hideMark/>
          </w:tcPr>
          <w:p w14:paraId="7F510C70" w14:textId="77777777" w:rsidR="00EE5BB8" w:rsidRPr="00C6052E" w:rsidRDefault="00EE5BB8" w:rsidP="00B515DB">
            <w:pPr>
              <w:pStyle w:val="Tabletotal"/>
              <w:jc w:val="right"/>
            </w:pPr>
            <w:r w:rsidRPr="00C6052E">
              <w:t>111</w:t>
            </w:r>
          </w:p>
        </w:tc>
        <w:tc>
          <w:tcPr>
            <w:tcW w:w="850" w:type="dxa"/>
            <w:noWrap/>
            <w:hideMark/>
          </w:tcPr>
          <w:p w14:paraId="63572BA2" w14:textId="77777777" w:rsidR="00EE5BB8" w:rsidRPr="00C6052E" w:rsidRDefault="00EE5BB8" w:rsidP="00B515DB">
            <w:pPr>
              <w:pStyle w:val="Tabletotal"/>
              <w:jc w:val="right"/>
            </w:pPr>
            <w:r w:rsidRPr="00C6052E">
              <w:t>–</w:t>
            </w:r>
          </w:p>
        </w:tc>
        <w:tc>
          <w:tcPr>
            <w:tcW w:w="907" w:type="dxa"/>
            <w:noWrap/>
            <w:hideMark/>
          </w:tcPr>
          <w:p w14:paraId="2231C4F0" w14:textId="77777777" w:rsidR="00EE5BB8" w:rsidRPr="00C6052E" w:rsidRDefault="00EE5BB8" w:rsidP="00B515DB">
            <w:pPr>
              <w:pStyle w:val="Tabletotal"/>
              <w:jc w:val="right"/>
            </w:pPr>
            <w:r w:rsidRPr="00C6052E">
              <w:t>139</w:t>
            </w:r>
          </w:p>
        </w:tc>
        <w:tc>
          <w:tcPr>
            <w:tcW w:w="907" w:type="dxa"/>
            <w:noWrap/>
            <w:hideMark/>
          </w:tcPr>
          <w:p w14:paraId="6A5CF1EB" w14:textId="77777777" w:rsidR="00EE5BB8" w:rsidRPr="00C6052E" w:rsidRDefault="00EE5BB8" w:rsidP="00B515DB">
            <w:pPr>
              <w:pStyle w:val="Tabletotal"/>
              <w:jc w:val="right"/>
            </w:pPr>
            <w:r w:rsidRPr="00C6052E">
              <w:t>126</w:t>
            </w:r>
          </w:p>
        </w:tc>
        <w:tc>
          <w:tcPr>
            <w:tcW w:w="907" w:type="dxa"/>
            <w:noWrap/>
            <w:hideMark/>
          </w:tcPr>
          <w:p w14:paraId="0AB9B032" w14:textId="77777777" w:rsidR="00EE5BB8" w:rsidRPr="00C6052E" w:rsidRDefault="00EE5BB8" w:rsidP="00B515DB">
            <w:pPr>
              <w:pStyle w:val="Tabletotal"/>
              <w:jc w:val="right"/>
            </w:pPr>
            <w:r w:rsidRPr="00C6052E">
              <w:t>(260)</w:t>
            </w:r>
          </w:p>
        </w:tc>
        <w:tc>
          <w:tcPr>
            <w:tcW w:w="907" w:type="dxa"/>
            <w:noWrap/>
            <w:hideMark/>
          </w:tcPr>
          <w:p w14:paraId="10A93041" w14:textId="77777777" w:rsidR="00EE5BB8" w:rsidRPr="00C6052E" w:rsidRDefault="00EE5BB8" w:rsidP="00B515DB">
            <w:pPr>
              <w:pStyle w:val="Tabletotal"/>
              <w:jc w:val="right"/>
            </w:pPr>
            <w:r w:rsidRPr="00C6052E">
              <w:t>8,698</w:t>
            </w:r>
          </w:p>
        </w:tc>
        <w:tc>
          <w:tcPr>
            <w:tcW w:w="974" w:type="dxa"/>
            <w:noWrap/>
            <w:hideMark/>
          </w:tcPr>
          <w:p w14:paraId="45ACE908" w14:textId="77777777" w:rsidR="00EE5BB8" w:rsidRPr="00C6052E" w:rsidRDefault="00EE5BB8" w:rsidP="00B515DB">
            <w:pPr>
              <w:pStyle w:val="Tabletotal"/>
              <w:jc w:val="right"/>
            </w:pPr>
            <w:r w:rsidRPr="00C6052E">
              <w:t>(196)</w:t>
            </w:r>
          </w:p>
        </w:tc>
        <w:tc>
          <w:tcPr>
            <w:tcW w:w="973" w:type="dxa"/>
            <w:noWrap/>
            <w:hideMark/>
          </w:tcPr>
          <w:p w14:paraId="1574B352" w14:textId="77777777" w:rsidR="00EE5BB8" w:rsidRPr="00C6052E" w:rsidRDefault="00EE5BB8" w:rsidP="00B515DB">
            <w:pPr>
              <w:pStyle w:val="Tabletotal"/>
              <w:jc w:val="right"/>
            </w:pPr>
            <w:r w:rsidRPr="00C6052E">
              <w:t>280</w:t>
            </w:r>
          </w:p>
        </w:tc>
        <w:tc>
          <w:tcPr>
            <w:tcW w:w="1304" w:type="dxa"/>
            <w:noWrap/>
            <w:hideMark/>
          </w:tcPr>
          <w:p w14:paraId="39101B58" w14:textId="77777777" w:rsidR="00EE5BB8" w:rsidRPr="00C6052E" w:rsidRDefault="00EE5BB8" w:rsidP="00B515DB">
            <w:pPr>
              <w:pStyle w:val="Tabletotal"/>
              <w:jc w:val="right"/>
            </w:pPr>
            <w:r w:rsidRPr="00C6052E">
              <w:t>(191)</w:t>
            </w:r>
          </w:p>
        </w:tc>
        <w:tc>
          <w:tcPr>
            <w:tcW w:w="1304" w:type="dxa"/>
            <w:noWrap/>
            <w:hideMark/>
          </w:tcPr>
          <w:p w14:paraId="39F5CE8B" w14:textId="77777777" w:rsidR="00EE5BB8" w:rsidRPr="00C6052E" w:rsidRDefault="00EE5BB8" w:rsidP="00B515DB">
            <w:pPr>
              <w:pStyle w:val="Tabletotal"/>
              <w:jc w:val="right"/>
            </w:pPr>
            <w:r w:rsidRPr="00C6052E">
              <w:t>–</w:t>
            </w:r>
          </w:p>
        </w:tc>
        <w:tc>
          <w:tcPr>
            <w:tcW w:w="921" w:type="dxa"/>
            <w:noWrap/>
            <w:hideMark/>
          </w:tcPr>
          <w:p w14:paraId="26018097" w14:textId="77777777" w:rsidR="00EE5BB8" w:rsidRPr="00C6052E" w:rsidRDefault="00EE5BB8" w:rsidP="00B515DB">
            <w:pPr>
              <w:pStyle w:val="Tabletotal"/>
              <w:jc w:val="right"/>
            </w:pPr>
            <w:r w:rsidRPr="00C6052E">
              <w:t>(1,983)</w:t>
            </w:r>
          </w:p>
        </w:tc>
        <w:tc>
          <w:tcPr>
            <w:tcW w:w="921" w:type="dxa"/>
            <w:noWrap/>
            <w:hideMark/>
          </w:tcPr>
          <w:p w14:paraId="22AEEF62" w14:textId="77777777" w:rsidR="00EE5BB8" w:rsidRPr="00C6052E" w:rsidRDefault="00EE5BB8" w:rsidP="00B515DB">
            <w:pPr>
              <w:pStyle w:val="Tabletotal"/>
              <w:jc w:val="right"/>
            </w:pPr>
            <w:r w:rsidRPr="00C6052E">
              <w:t>9,513</w:t>
            </w:r>
          </w:p>
        </w:tc>
      </w:tr>
    </w:tbl>
    <w:p w14:paraId="39925724" w14:textId="77777777" w:rsidR="00EE5BB8" w:rsidRPr="005C6D11" w:rsidRDefault="00EE5BB8" w:rsidP="00C34F64">
      <w:r w:rsidRPr="005C6D11">
        <w:br w:type="page"/>
      </w:r>
    </w:p>
    <w:p w14:paraId="3E25E276" w14:textId="5E40B7CF" w:rsidR="00EE5BB8" w:rsidRPr="00C6052E" w:rsidRDefault="00EE5BB8" w:rsidP="000C0740">
      <w:pPr>
        <w:pStyle w:val="Heading3numbered0"/>
      </w:pPr>
      <w:bookmarkStart w:id="213" w:name="_Ref161823785"/>
      <w:r w:rsidRPr="00C6052E">
        <w:lastRenderedPageBreak/>
        <w:t>Administered</w:t>
      </w:r>
      <w:r w:rsidR="00177848" w:rsidRPr="00C6052E">
        <w:t xml:space="preserve"> </w:t>
      </w:r>
      <w:r w:rsidRPr="00C6052E">
        <w:t>assets</w:t>
      </w:r>
      <w:r w:rsidR="00177848" w:rsidRPr="00C6052E">
        <w:t xml:space="preserve"> </w:t>
      </w:r>
      <w:r w:rsidRPr="00C6052E">
        <w:t>and</w:t>
      </w:r>
      <w:r w:rsidR="00177848" w:rsidRPr="00C6052E">
        <w:t xml:space="preserve"> </w:t>
      </w:r>
      <w:r w:rsidRPr="00C6052E">
        <w:t>liabilities</w:t>
      </w:r>
      <w:r w:rsidR="00177848" w:rsidRPr="00C6052E">
        <w:t xml:space="preserve"> </w:t>
      </w:r>
      <w:r w:rsidRPr="00C6052E">
        <w:t>at</w:t>
      </w:r>
      <w:r w:rsidR="00177848" w:rsidRPr="00C6052E">
        <w:t xml:space="preserve"> </w:t>
      </w:r>
      <w:fldSimple w:instr=" DOCPROPERTY  pEnd  \* MERGEFORMAT ">
        <w:r w:rsidRPr="00C6052E">
          <w:t>30</w:t>
        </w:r>
        <w:r w:rsidR="00177848" w:rsidRPr="00C6052E">
          <w:t xml:space="preserve"> </w:t>
        </w:r>
        <w:r w:rsidRPr="00C6052E">
          <w:t>June</w:t>
        </w:r>
      </w:fldSimple>
      <w:r w:rsidR="00177848" w:rsidRPr="00C6052E">
        <w:t xml:space="preserve"> </w:t>
      </w:r>
      <w:fldSimple w:instr=" DOCPROPERTY  crYear  \* MERGEFORMAT ">
        <w:r w:rsidRPr="00C6052E">
          <w:t>2025</w:t>
        </w:r>
      </w:fldSimple>
      <w:r w:rsidR="00177848" w:rsidRPr="00C6052E">
        <w:t xml:space="preserve"> </w:t>
      </w:r>
      <w:r w:rsidRPr="00C6052E">
        <w:t>DJSIR</w:t>
      </w:r>
      <w:r w:rsidR="00177848" w:rsidRPr="00C6052E">
        <w:t xml:space="preserve"> </w:t>
      </w:r>
      <w:r w:rsidRPr="00C6052E">
        <w:t>Outputs</w:t>
      </w:r>
      <w:bookmarkEnd w:id="213"/>
      <w:r w:rsidR="00A6480E">
        <w:t xml:space="preserve"> </w:t>
      </w:r>
      <w:r w:rsidR="00A6480E" w:rsidRPr="00C6052E">
        <w:t>($ thousand)</w:t>
      </w:r>
    </w:p>
    <w:tbl>
      <w:tblPr>
        <w:tblStyle w:val="TableGrid"/>
        <w:tblW w:w="14633" w:type="dxa"/>
        <w:tblInd w:w="-5" w:type="dxa"/>
        <w:tblLayout w:type="fixed"/>
        <w:tblLook w:val="04E0" w:firstRow="1" w:lastRow="1" w:firstColumn="1" w:lastColumn="0" w:noHBand="0" w:noVBand="1"/>
      </w:tblPr>
      <w:tblGrid>
        <w:gridCol w:w="3544"/>
        <w:gridCol w:w="1928"/>
        <w:gridCol w:w="1928"/>
        <w:gridCol w:w="1757"/>
        <w:gridCol w:w="1757"/>
        <w:gridCol w:w="1857"/>
        <w:gridCol w:w="1862"/>
      </w:tblGrid>
      <w:tr w:rsidR="00EE5BB8" w:rsidRPr="00C6052E" w14:paraId="2CFDF5AE" w14:textId="77777777" w:rsidTr="00A6480E">
        <w:tc>
          <w:tcPr>
            <w:tcW w:w="3544" w:type="dxa"/>
            <w:noWrap/>
            <w:hideMark/>
          </w:tcPr>
          <w:p w14:paraId="1837529F" w14:textId="77777777" w:rsidR="00EE5BB8" w:rsidRPr="00C6052E" w:rsidRDefault="00EE5BB8" w:rsidP="005C6D11">
            <w:pPr>
              <w:pStyle w:val="TableColumnHeading"/>
            </w:pPr>
            <w:bookmarkStart w:id="214" w:name="TableColumnHeadings_64"/>
            <w:bookmarkEnd w:id="214"/>
          </w:p>
        </w:tc>
        <w:tc>
          <w:tcPr>
            <w:tcW w:w="1928" w:type="dxa"/>
            <w:hideMark/>
          </w:tcPr>
          <w:p w14:paraId="1D695FED" w14:textId="15088B78" w:rsidR="00EE5BB8" w:rsidRPr="00C6052E" w:rsidRDefault="00A6480E" w:rsidP="005C6D11">
            <w:pPr>
              <w:pStyle w:val="TableColumnHeading"/>
              <w:jc w:val="right"/>
            </w:pPr>
            <w:r w:rsidRPr="00C6052E">
              <w:rPr>
                <w:lang w:val="en-AU"/>
              </w:rPr>
              <w:t>Creative Industries Access,</w:t>
            </w:r>
            <w:r>
              <w:rPr>
                <w:lang w:val="en-AU"/>
              </w:rPr>
              <w:t xml:space="preserve"> </w:t>
            </w:r>
            <w:r w:rsidRPr="00C6052E">
              <w:rPr>
                <w:lang w:val="en-AU"/>
              </w:rPr>
              <w:t>Development and Innovation</w:t>
            </w:r>
            <w:r w:rsidRPr="00C6052E">
              <w:t xml:space="preserve"> </w:t>
            </w:r>
            <w:r>
              <w:br/>
            </w:r>
            <w:r w:rsidR="00EE5BB8" w:rsidRPr="00C6052E">
              <w:t>2025</w:t>
            </w:r>
          </w:p>
        </w:tc>
        <w:tc>
          <w:tcPr>
            <w:tcW w:w="1928" w:type="dxa"/>
            <w:hideMark/>
          </w:tcPr>
          <w:p w14:paraId="6E91C97B" w14:textId="214FFF79" w:rsidR="00EE5BB8" w:rsidRPr="00C6052E" w:rsidRDefault="00A6480E" w:rsidP="005C6D11">
            <w:pPr>
              <w:pStyle w:val="TableColumnHeading"/>
              <w:jc w:val="right"/>
            </w:pPr>
            <w:r w:rsidRPr="00C6052E">
              <w:rPr>
                <w:lang w:val="en-AU"/>
              </w:rPr>
              <w:t>Creative Industries Access,</w:t>
            </w:r>
            <w:r>
              <w:rPr>
                <w:lang w:val="en-AU"/>
              </w:rPr>
              <w:t xml:space="preserve"> </w:t>
            </w:r>
            <w:r w:rsidRPr="00C6052E">
              <w:rPr>
                <w:lang w:val="en-AU"/>
              </w:rPr>
              <w:t>Development and Innovation</w:t>
            </w:r>
            <w:r w:rsidRPr="00C6052E">
              <w:t xml:space="preserve"> </w:t>
            </w:r>
            <w:r>
              <w:br/>
            </w:r>
            <w:r w:rsidR="00EE5BB8" w:rsidRPr="00C6052E">
              <w:t>2024</w:t>
            </w:r>
          </w:p>
        </w:tc>
        <w:tc>
          <w:tcPr>
            <w:tcW w:w="1757" w:type="dxa"/>
            <w:hideMark/>
          </w:tcPr>
          <w:p w14:paraId="69EB7156" w14:textId="03DB2B27" w:rsidR="00EE5BB8" w:rsidRPr="00C6052E" w:rsidRDefault="00A6480E" w:rsidP="005C6D11">
            <w:pPr>
              <w:pStyle w:val="TableColumnHeading"/>
              <w:jc w:val="right"/>
            </w:pPr>
            <w:r w:rsidRPr="00C6052E">
              <w:rPr>
                <w:lang w:val="en-AU"/>
              </w:rPr>
              <w:t>Cultural Infrastructure</w:t>
            </w:r>
            <w:r>
              <w:rPr>
                <w:lang w:val="en-AU"/>
              </w:rPr>
              <w:t xml:space="preserve"> </w:t>
            </w:r>
            <w:r w:rsidRPr="00C6052E">
              <w:rPr>
                <w:lang w:val="en-AU"/>
              </w:rPr>
              <w:t>and Facilities</w:t>
            </w:r>
            <w:r w:rsidRPr="00C6052E">
              <w:t xml:space="preserve"> </w:t>
            </w:r>
            <w:r>
              <w:br/>
            </w:r>
            <w:r w:rsidR="00EE5BB8" w:rsidRPr="00C6052E">
              <w:t>2025</w:t>
            </w:r>
          </w:p>
        </w:tc>
        <w:tc>
          <w:tcPr>
            <w:tcW w:w="1757" w:type="dxa"/>
            <w:hideMark/>
          </w:tcPr>
          <w:p w14:paraId="0867E19D" w14:textId="0A131F42" w:rsidR="00EE5BB8" w:rsidRPr="00C6052E" w:rsidRDefault="00A6480E" w:rsidP="005C6D11">
            <w:pPr>
              <w:pStyle w:val="TableColumnHeading"/>
              <w:jc w:val="right"/>
            </w:pPr>
            <w:r w:rsidRPr="00C6052E">
              <w:rPr>
                <w:lang w:val="en-AU"/>
              </w:rPr>
              <w:t>Cultural Infrastructure</w:t>
            </w:r>
            <w:r>
              <w:rPr>
                <w:lang w:val="en-AU"/>
              </w:rPr>
              <w:t xml:space="preserve"> </w:t>
            </w:r>
            <w:r w:rsidRPr="00C6052E">
              <w:rPr>
                <w:lang w:val="en-AU"/>
              </w:rPr>
              <w:t>and Facilities</w:t>
            </w:r>
            <w:r w:rsidRPr="00C6052E">
              <w:t xml:space="preserve"> </w:t>
            </w:r>
            <w:r>
              <w:br/>
            </w:r>
            <w:r w:rsidR="00EE5BB8" w:rsidRPr="00C6052E">
              <w:t>2024</w:t>
            </w:r>
          </w:p>
        </w:tc>
        <w:tc>
          <w:tcPr>
            <w:tcW w:w="1857" w:type="dxa"/>
            <w:hideMark/>
          </w:tcPr>
          <w:p w14:paraId="1446F0B2" w14:textId="0FA9BC9D" w:rsidR="00EE5BB8" w:rsidRPr="00C6052E" w:rsidRDefault="00A6480E" w:rsidP="005C6D11">
            <w:pPr>
              <w:pStyle w:val="TableColumnHeading"/>
              <w:jc w:val="right"/>
            </w:pPr>
            <w:r w:rsidRPr="00C6052E">
              <w:rPr>
                <w:lang w:val="en-AU"/>
              </w:rPr>
              <w:t>Industry, Small Business and Medical Research</w:t>
            </w:r>
            <w:r w:rsidRPr="00C6052E">
              <w:t xml:space="preserve"> </w:t>
            </w:r>
            <w:r w:rsidR="00EE5BB8" w:rsidRPr="00C6052E">
              <w:t>2025</w:t>
            </w:r>
          </w:p>
        </w:tc>
        <w:tc>
          <w:tcPr>
            <w:tcW w:w="1862" w:type="dxa"/>
            <w:hideMark/>
          </w:tcPr>
          <w:p w14:paraId="008C9A09" w14:textId="2192E5AE" w:rsidR="00EE5BB8" w:rsidRPr="00C6052E" w:rsidRDefault="00A6480E" w:rsidP="005C6D11">
            <w:pPr>
              <w:pStyle w:val="TableColumnHeading"/>
              <w:jc w:val="right"/>
            </w:pPr>
            <w:r w:rsidRPr="00C6052E">
              <w:rPr>
                <w:lang w:val="en-AU"/>
              </w:rPr>
              <w:t>Industry, Small Business and Medical Research</w:t>
            </w:r>
            <w:r w:rsidRPr="00C6052E">
              <w:t xml:space="preserve"> </w:t>
            </w:r>
            <w:r w:rsidR="00EE5BB8" w:rsidRPr="00C6052E">
              <w:t>2024</w:t>
            </w:r>
          </w:p>
        </w:tc>
      </w:tr>
      <w:tr w:rsidR="005C6D11" w:rsidRPr="00C6052E" w14:paraId="55DE3C71" w14:textId="77777777" w:rsidTr="00A6480E">
        <w:tc>
          <w:tcPr>
            <w:tcW w:w="3544" w:type="dxa"/>
          </w:tcPr>
          <w:p w14:paraId="62C4E82A" w14:textId="3632FE2A" w:rsidR="005C6D11" w:rsidRPr="00C6052E" w:rsidRDefault="005C6D11" w:rsidP="005C6D11">
            <w:pPr>
              <w:pStyle w:val="TableHeading"/>
            </w:pPr>
            <w:r w:rsidRPr="00C6052E">
              <w:t>Administered assets</w:t>
            </w:r>
          </w:p>
        </w:tc>
        <w:tc>
          <w:tcPr>
            <w:tcW w:w="1928" w:type="dxa"/>
            <w:noWrap/>
          </w:tcPr>
          <w:p w14:paraId="370B6B86" w14:textId="77777777" w:rsidR="005C6D11" w:rsidRPr="00C6052E" w:rsidRDefault="005C6D11" w:rsidP="005C6D11">
            <w:pPr>
              <w:pStyle w:val="TableHeading"/>
              <w:jc w:val="right"/>
            </w:pPr>
          </w:p>
        </w:tc>
        <w:tc>
          <w:tcPr>
            <w:tcW w:w="1928" w:type="dxa"/>
            <w:noWrap/>
          </w:tcPr>
          <w:p w14:paraId="4C28CC78" w14:textId="77777777" w:rsidR="005C6D11" w:rsidRPr="00C6052E" w:rsidRDefault="005C6D11" w:rsidP="005C6D11">
            <w:pPr>
              <w:pStyle w:val="TableHeading"/>
              <w:jc w:val="right"/>
            </w:pPr>
          </w:p>
        </w:tc>
        <w:tc>
          <w:tcPr>
            <w:tcW w:w="1757" w:type="dxa"/>
            <w:noWrap/>
          </w:tcPr>
          <w:p w14:paraId="5438FACC" w14:textId="77777777" w:rsidR="005C6D11" w:rsidRPr="00C6052E" w:rsidRDefault="005C6D11" w:rsidP="005C6D11">
            <w:pPr>
              <w:pStyle w:val="TableHeading"/>
              <w:jc w:val="right"/>
            </w:pPr>
          </w:p>
        </w:tc>
        <w:tc>
          <w:tcPr>
            <w:tcW w:w="1757" w:type="dxa"/>
            <w:noWrap/>
          </w:tcPr>
          <w:p w14:paraId="28FA50D5" w14:textId="77777777" w:rsidR="005C6D11" w:rsidRPr="00C6052E" w:rsidRDefault="005C6D11" w:rsidP="005C6D11">
            <w:pPr>
              <w:pStyle w:val="TableHeading"/>
              <w:jc w:val="right"/>
            </w:pPr>
          </w:p>
        </w:tc>
        <w:tc>
          <w:tcPr>
            <w:tcW w:w="1857" w:type="dxa"/>
            <w:noWrap/>
          </w:tcPr>
          <w:p w14:paraId="25FBC45C" w14:textId="77777777" w:rsidR="005C6D11" w:rsidRPr="00C6052E" w:rsidRDefault="005C6D11" w:rsidP="005C6D11">
            <w:pPr>
              <w:pStyle w:val="TableHeading"/>
              <w:jc w:val="right"/>
            </w:pPr>
          </w:p>
        </w:tc>
        <w:tc>
          <w:tcPr>
            <w:tcW w:w="1862" w:type="dxa"/>
            <w:noWrap/>
          </w:tcPr>
          <w:p w14:paraId="46A8D41D" w14:textId="77777777" w:rsidR="005C6D11" w:rsidRPr="00C6052E" w:rsidRDefault="005C6D11" w:rsidP="005C6D11">
            <w:pPr>
              <w:pStyle w:val="TableHeading"/>
              <w:jc w:val="right"/>
            </w:pPr>
          </w:p>
        </w:tc>
      </w:tr>
      <w:tr w:rsidR="00EE5BB8" w:rsidRPr="00C6052E" w14:paraId="07BA68A1" w14:textId="77777777" w:rsidTr="00A6480E">
        <w:tc>
          <w:tcPr>
            <w:tcW w:w="3544" w:type="dxa"/>
            <w:hideMark/>
          </w:tcPr>
          <w:p w14:paraId="043CC0F3" w14:textId="4CAD6609" w:rsidR="00EE5BB8" w:rsidRPr="00C6052E" w:rsidRDefault="00EE5BB8" w:rsidP="0063097D">
            <w:pPr>
              <w:pStyle w:val="TableCopy"/>
            </w:pPr>
            <w:r w:rsidRPr="00C6052E">
              <w:t>Financial</w:t>
            </w:r>
            <w:r w:rsidR="00177848" w:rsidRPr="00C6052E">
              <w:t xml:space="preserve"> </w:t>
            </w:r>
            <w:r w:rsidRPr="00C6052E">
              <w:t>assets</w:t>
            </w:r>
          </w:p>
        </w:tc>
        <w:tc>
          <w:tcPr>
            <w:tcW w:w="1928" w:type="dxa"/>
            <w:noWrap/>
            <w:hideMark/>
          </w:tcPr>
          <w:p w14:paraId="29C2D43D" w14:textId="77777777" w:rsidR="00EE5BB8" w:rsidRPr="00C6052E" w:rsidRDefault="00EE5BB8" w:rsidP="005C6D11">
            <w:pPr>
              <w:pStyle w:val="TableCopy"/>
              <w:jc w:val="right"/>
            </w:pPr>
            <w:r w:rsidRPr="00C6052E">
              <w:t>30</w:t>
            </w:r>
          </w:p>
        </w:tc>
        <w:tc>
          <w:tcPr>
            <w:tcW w:w="1928" w:type="dxa"/>
            <w:noWrap/>
            <w:hideMark/>
          </w:tcPr>
          <w:p w14:paraId="3254F736" w14:textId="77777777" w:rsidR="00EE5BB8" w:rsidRPr="00C6052E" w:rsidRDefault="00EE5BB8" w:rsidP="005C6D11">
            <w:pPr>
              <w:pStyle w:val="TableCopy"/>
              <w:jc w:val="right"/>
            </w:pPr>
            <w:r w:rsidRPr="00C6052E">
              <w:t>45</w:t>
            </w:r>
          </w:p>
        </w:tc>
        <w:tc>
          <w:tcPr>
            <w:tcW w:w="1757" w:type="dxa"/>
            <w:noWrap/>
            <w:hideMark/>
          </w:tcPr>
          <w:p w14:paraId="009C9E4D" w14:textId="77777777" w:rsidR="00EE5BB8" w:rsidRPr="00C6052E" w:rsidRDefault="00EE5BB8" w:rsidP="005C6D11">
            <w:pPr>
              <w:pStyle w:val="TableCopy"/>
              <w:jc w:val="right"/>
            </w:pPr>
            <w:r w:rsidRPr="00C6052E">
              <w:t>–</w:t>
            </w:r>
          </w:p>
        </w:tc>
        <w:tc>
          <w:tcPr>
            <w:tcW w:w="1757" w:type="dxa"/>
            <w:noWrap/>
            <w:hideMark/>
          </w:tcPr>
          <w:p w14:paraId="13718E9F" w14:textId="77777777" w:rsidR="00EE5BB8" w:rsidRPr="00C6052E" w:rsidRDefault="00EE5BB8" w:rsidP="005C6D11">
            <w:pPr>
              <w:pStyle w:val="TableCopy"/>
              <w:jc w:val="right"/>
            </w:pPr>
            <w:r w:rsidRPr="00C6052E">
              <w:t>–</w:t>
            </w:r>
          </w:p>
        </w:tc>
        <w:tc>
          <w:tcPr>
            <w:tcW w:w="1857" w:type="dxa"/>
            <w:noWrap/>
            <w:hideMark/>
          </w:tcPr>
          <w:p w14:paraId="06792868" w14:textId="77777777" w:rsidR="00EE5BB8" w:rsidRPr="00C6052E" w:rsidRDefault="00EE5BB8" w:rsidP="005C6D11">
            <w:pPr>
              <w:pStyle w:val="TableCopy"/>
              <w:jc w:val="right"/>
            </w:pPr>
            <w:r w:rsidRPr="00C6052E">
              <w:t>48,090</w:t>
            </w:r>
          </w:p>
        </w:tc>
        <w:tc>
          <w:tcPr>
            <w:tcW w:w="1862" w:type="dxa"/>
            <w:noWrap/>
            <w:hideMark/>
          </w:tcPr>
          <w:p w14:paraId="710FD710" w14:textId="77777777" w:rsidR="00EE5BB8" w:rsidRPr="00C6052E" w:rsidRDefault="00EE5BB8" w:rsidP="005C6D11">
            <w:pPr>
              <w:pStyle w:val="TableCopy"/>
              <w:jc w:val="right"/>
            </w:pPr>
            <w:r w:rsidRPr="00C6052E">
              <w:t>45,906</w:t>
            </w:r>
          </w:p>
        </w:tc>
      </w:tr>
      <w:tr w:rsidR="00EE5BB8" w:rsidRPr="00C6052E" w14:paraId="68FEEF35" w14:textId="77777777" w:rsidTr="00A6480E">
        <w:tc>
          <w:tcPr>
            <w:tcW w:w="3544" w:type="dxa"/>
            <w:hideMark/>
          </w:tcPr>
          <w:p w14:paraId="154CA243" w14:textId="5C83C940" w:rsidR="00EE5BB8" w:rsidRPr="00C6052E" w:rsidRDefault="00EE5BB8" w:rsidP="0063097D">
            <w:pPr>
              <w:pStyle w:val="TableCopy"/>
            </w:pPr>
            <w:r w:rsidRPr="00C6052E">
              <w:t>Non-financial</w:t>
            </w:r>
            <w:r w:rsidR="00177848" w:rsidRPr="00C6052E">
              <w:t xml:space="preserve"> </w:t>
            </w:r>
            <w:r w:rsidRPr="00C6052E">
              <w:t>assets</w:t>
            </w:r>
          </w:p>
        </w:tc>
        <w:tc>
          <w:tcPr>
            <w:tcW w:w="1928" w:type="dxa"/>
            <w:noWrap/>
            <w:hideMark/>
          </w:tcPr>
          <w:p w14:paraId="37F9998A" w14:textId="77777777" w:rsidR="00EE5BB8" w:rsidRPr="00C6052E" w:rsidRDefault="00EE5BB8" w:rsidP="005C6D11">
            <w:pPr>
              <w:pStyle w:val="TableCopy"/>
              <w:jc w:val="right"/>
            </w:pPr>
            <w:r w:rsidRPr="00C6052E">
              <w:t>–</w:t>
            </w:r>
          </w:p>
        </w:tc>
        <w:tc>
          <w:tcPr>
            <w:tcW w:w="1928" w:type="dxa"/>
            <w:noWrap/>
            <w:hideMark/>
          </w:tcPr>
          <w:p w14:paraId="7D841B9F" w14:textId="77777777" w:rsidR="00EE5BB8" w:rsidRPr="00C6052E" w:rsidRDefault="00EE5BB8" w:rsidP="005C6D11">
            <w:pPr>
              <w:pStyle w:val="TableCopy"/>
              <w:jc w:val="right"/>
            </w:pPr>
            <w:r w:rsidRPr="00C6052E">
              <w:t>–</w:t>
            </w:r>
          </w:p>
        </w:tc>
        <w:tc>
          <w:tcPr>
            <w:tcW w:w="1757" w:type="dxa"/>
            <w:noWrap/>
            <w:hideMark/>
          </w:tcPr>
          <w:p w14:paraId="50249075" w14:textId="77777777" w:rsidR="00EE5BB8" w:rsidRPr="00C6052E" w:rsidRDefault="00EE5BB8" w:rsidP="005C6D11">
            <w:pPr>
              <w:pStyle w:val="TableCopy"/>
              <w:jc w:val="right"/>
            </w:pPr>
            <w:r w:rsidRPr="00C6052E">
              <w:t>25,282</w:t>
            </w:r>
          </w:p>
        </w:tc>
        <w:tc>
          <w:tcPr>
            <w:tcW w:w="1757" w:type="dxa"/>
            <w:noWrap/>
            <w:hideMark/>
          </w:tcPr>
          <w:p w14:paraId="25C6AF59" w14:textId="77777777" w:rsidR="00EE5BB8" w:rsidRPr="00C6052E" w:rsidRDefault="00EE5BB8" w:rsidP="005C6D11">
            <w:pPr>
              <w:pStyle w:val="TableCopy"/>
              <w:jc w:val="right"/>
            </w:pPr>
            <w:r w:rsidRPr="00C6052E">
              <w:t>–</w:t>
            </w:r>
          </w:p>
        </w:tc>
        <w:tc>
          <w:tcPr>
            <w:tcW w:w="1857" w:type="dxa"/>
            <w:noWrap/>
            <w:hideMark/>
          </w:tcPr>
          <w:p w14:paraId="5241B0D0" w14:textId="77777777" w:rsidR="00EE5BB8" w:rsidRPr="00C6052E" w:rsidRDefault="00EE5BB8" w:rsidP="005C6D11">
            <w:pPr>
              <w:pStyle w:val="TableCopy"/>
              <w:jc w:val="right"/>
            </w:pPr>
            <w:r w:rsidRPr="00C6052E">
              <w:t>–</w:t>
            </w:r>
          </w:p>
        </w:tc>
        <w:tc>
          <w:tcPr>
            <w:tcW w:w="1862" w:type="dxa"/>
            <w:noWrap/>
            <w:hideMark/>
          </w:tcPr>
          <w:p w14:paraId="3D290057" w14:textId="77777777" w:rsidR="00EE5BB8" w:rsidRPr="00C6052E" w:rsidRDefault="00EE5BB8" w:rsidP="005C6D11">
            <w:pPr>
              <w:pStyle w:val="TableCopy"/>
              <w:jc w:val="right"/>
            </w:pPr>
            <w:r w:rsidRPr="00C6052E">
              <w:t>–</w:t>
            </w:r>
          </w:p>
        </w:tc>
      </w:tr>
      <w:tr w:rsidR="00EE5BB8" w:rsidRPr="00C6052E" w14:paraId="5076DC67" w14:textId="77777777" w:rsidTr="00A6480E">
        <w:tc>
          <w:tcPr>
            <w:tcW w:w="3544" w:type="dxa"/>
            <w:noWrap/>
            <w:hideMark/>
          </w:tcPr>
          <w:p w14:paraId="172BA9C9" w14:textId="6C052092" w:rsidR="00EE5BB8" w:rsidRPr="00C6052E" w:rsidRDefault="00EE5BB8" w:rsidP="0063097D">
            <w:pPr>
              <w:pStyle w:val="Tabletotal"/>
            </w:pPr>
            <w:r w:rsidRPr="00C6052E">
              <w:t>Total</w:t>
            </w:r>
            <w:r w:rsidR="00177848" w:rsidRPr="00C6052E">
              <w:t xml:space="preserve"> </w:t>
            </w:r>
            <w:r w:rsidRPr="00C6052E">
              <w:t>administered</w:t>
            </w:r>
            <w:r w:rsidR="00177848" w:rsidRPr="00C6052E">
              <w:t xml:space="preserve"> </w:t>
            </w:r>
            <w:r w:rsidRPr="00C6052E">
              <w:t>assets</w:t>
            </w:r>
            <w:r w:rsidR="00177848" w:rsidRPr="00C6052E">
              <w:t xml:space="preserve"> </w:t>
            </w:r>
          </w:p>
        </w:tc>
        <w:tc>
          <w:tcPr>
            <w:tcW w:w="1928" w:type="dxa"/>
            <w:noWrap/>
            <w:hideMark/>
          </w:tcPr>
          <w:p w14:paraId="011D3C38" w14:textId="77777777" w:rsidR="00EE5BB8" w:rsidRPr="00C6052E" w:rsidRDefault="00EE5BB8" w:rsidP="005C6D11">
            <w:pPr>
              <w:pStyle w:val="Tabletotal"/>
              <w:jc w:val="right"/>
            </w:pPr>
            <w:r w:rsidRPr="00C6052E">
              <w:t>30</w:t>
            </w:r>
          </w:p>
        </w:tc>
        <w:tc>
          <w:tcPr>
            <w:tcW w:w="1928" w:type="dxa"/>
            <w:noWrap/>
            <w:hideMark/>
          </w:tcPr>
          <w:p w14:paraId="599BECA9" w14:textId="77777777" w:rsidR="00EE5BB8" w:rsidRPr="00C6052E" w:rsidRDefault="00EE5BB8" w:rsidP="005C6D11">
            <w:pPr>
              <w:pStyle w:val="Tabletotal"/>
              <w:jc w:val="right"/>
            </w:pPr>
            <w:r w:rsidRPr="00C6052E">
              <w:t>45</w:t>
            </w:r>
          </w:p>
        </w:tc>
        <w:tc>
          <w:tcPr>
            <w:tcW w:w="1757" w:type="dxa"/>
            <w:noWrap/>
            <w:hideMark/>
          </w:tcPr>
          <w:p w14:paraId="4DD2F1B3" w14:textId="77777777" w:rsidR="00EE5BB8" w:rsidRPr="00C6052E" w:rsidRDefault="00EE5BB8" w:rsidP="005C6D11">
            <w:pPr>
              <w:pStyle w:val="Tabletotal"/>
              <w:jc w:val="right"/>
            </w:pPr>
            <w:r w:rsidRPr="00C6052E">
              <w:t>25,282</w:t>
            </w:r>
          </w:p>
        </w:tc>
        <w:tc>
          <w:tcPr>
            <w:tcW w:w="1757" w:type="dxa"/>
            <w:noWrap/>
            <w:hideMark/>
          </w:tcPr>
          <w:p w14:paraId="308F5152" w14:textId="77777777" w:rsidR="00EE5BB8" w:rsidRPr="00C6052E" w:rsidRDefault="00EE5BB8" w:rsidP="005C6D11">
            <w:pPr>
              <w:pStyle w:val="Tabletotal"/>
              <w:jc w:val="right"/>
            </w:pPr>
            <w:r w:rsidRPr="00C6052E">
              <w:t>-</w:t>
            </w:r>
          </w:p>
        </w:tc>
        <w:tc>
          <w:tcPr>
            <w:tcW w:w="1857" w:type="dxa"/>
            <w:noWrap/>
            <w:hideMark/>
          </w:tcPr>
          <w:p w14:paraId="052F82D8" w14:textId="77777777" w:rsidR="00EE5BB8" w:rsidRPr="00C6052E" w:rsidRDefault="00EE5BB8" w:rsidP="005C6D11">
            <w:pPr>
              <w:pStyle w:val="Tabletotal"/>
              <w:jc w:val="right"/>
            </w:pPr>
            <w:r w:rsidRPr="00C6052E">
              <w:t>48,090</w:t>
            </w:r>
          </w:p>
        </w:tc>
        <w:tc>
          <w:tcPr>
            <w:tcW w:w="1862" w:type="dxa"/>
            <w:noWrap/>
            <w:hideMark/>
          </w:tcPr>
          <w:p w14:paraId="0ABB59F6" w14:textId="77777777" w:rsidR="00EE5BB8" w:rsidRPr="00C6052E" w:rsidRDefault="00EE5BB8" w:rsidP="005C6D11">
            <w:pPr>
              <w:pStyle w:val="Tabletotal"/>
              <w:jc w:val="right"/>
            </w:pPr>
            <w:r w:rsidRPr="00C6052E">
              <w:t>45,906</w:t>
            </w:r>
          </w:p>
        </w:tc>
      </w:tr>
      <w:tr w:rsidR="00EE5BB8" w:rsidRPr="00C6052E" w14:paraId="199D7695" w14:textId="77777777" w:rsidTr="00A6480E">
        <w:tc>
          <w:tcPr>
            <w:tcW w:w="3544" w:type="dxa"/>
            <w:noWrap/>
            <w:hideMark/>
          </w:tcPr>
          <w:p w14:paraId="3D88FF59" w14:textId="471D2A35" w:rsidR="00EE5BB8" w:rsidRPr="00C6052E" w:rsidRDefault="00EE5BB8" w:rsidP="0063097D">
            <w:pPr>
              <w:pStyle w:val="Tabletotal"/>
            </w:pPr>
            <w:r w:rsidRPr="00C6052E">
              <w:t>Total</w:t>
            </w:r>
            <w:r w:rsidR="00177848" w:rsidRPr="00C6052E">
              <w:t xml:space="preserve"> </w:t>
            </w:r>
            <w:r w:rsidRPr="00C6052E">
              <w:t>administered</w:t>
            </w:r>
            <w:r w:rsidR="00177848" w:rsidRPr="00C6052E">
              <w:t xml:space="preserve"> </w:t>
            </w:r>
            <w:r w:rsidRPr="00C6052E">
              <w:t>liabilities</w:t>
            </w:r>
            <w:r w:rsidR="00177848" w:rsidRPr="00C6052E">
              <w:t xml:space="preserve"> </w:t>
            </w:r>
          </w:p>
        </w:tc>
        <w:tc>
          <w:tcPr>
            <w:tcW w:w="1928" w:type="dxa"/>
            <w:noWrap/>
            <w:hideMark/>
          </w:tcPr>
          <w:p w14:paraId="4BB8BB6B" w14:textId="77777777" w:rsidR="00EE5BB8" w:rsidRPr="00C6052E" w:rsidRDefault="00EE5BB8" w:rsidP="005C6D11">
            <w:pPr>
              <w:pStyle w:val="Tabletotal"/>
              <w:jc w:val="right"/>
            </w:pPr>
            <w:r w:rsidRPr="00C6052E">
              <w:t>–</w:t>
            </w:r>
          </w:p>
        </w:tc>
        <w:tc>
          <w:tcPr>
            <w:tcW w:w="1928" w:type="dxa"/>
            <w:noWrap/>
            <w:hideMark/>
          </w:tcPr>
          <w:p w14:paraId="08FAD9A8" w14:textId="77777777" w:rsidR="00EE5BB8" w:rsidRPr="00C6052E" w:rsidRDefault="00EE5BB8" w:rsidP="005C6D11">
            <w:pPr>
              <w:pStyle w:val="Tabletotal"/>
              <w:jc w:val="right"/>
            </w:pPr>
            <w:r w:rsidRPr="00C6052E">
              <w:t>10</w:t>
            </w:r>
          </w:p>
        </w:tc>
        <w:tc>
          <w:tcPr>
            <w:tcW w:w="1757" w:type="dxa"/>
            <w:noWrap/>
            <w:hideMark/>
          </w:tcPr>
          <w:p w14:paraId="1A7CB715" w14:textId="77777777" w:rsidR="00EE5BB8" w:rsidRPr="00C6052E" w:rsidRDefault="00EE5BB8" w:rsidP="005C6D11">
            <w:pPr>
              <w:pStyle w:val="Tabletotal"/>
              <w:jc w:val="right"/>
            </w:pPr>
            <w:r w:rsidRPr="00C6052E">
              <w:t>–</w:t>
            </w:r>
          </w:p>
        </w:tc>
        <w:tc>
          <w:tcPr>
            <w:tcW w:w="1757" w:type="dxa"/>
            <w:noWrap/>
            <w:hideMark/>
          </w:tcPr>
          <w:p w14:paraId="3D886B2F" w14:textId="77777777" w:rsidR="00EE5BB8" w:rsidRPr="00C6052E" w:rsidRDefault="00EE5BB8" w:rsidP="005C6D11">
            <w:pPr>
              <w:pStyle w:val="Tabletotal"/>
              <w:jc w:val="right"/>
            </w:pPr>
            <w:r w:rsidRPr="00C6052E">
              <w:t>–</w:t>
            </w:r>
          </w:p>
        </w:tc>
        <w:tc>
          <w:tcPr>
            <w:tcW w:w="1857" w:type="dxa"/>
            <w:noWrap/>
            <w:hideMark/>
          </w:tcPr>
          <w:p w14:paraId="3584B9A6" w14:textId="77777777" w:rsidR="00EE5BB8" w:rsidRPr="00C6052E" w:rsidRDefault="00EE5BB8" w:rsidP="005C6D11">
            <w:pPr>
              <w:pStyle w:val="Tabletotal"/>
              <w:jc w:val="right"/>
            </w:pPr>
            <w:r w:rsidRPr="00C6052E">
              <w:t>4</w:t>
            </w:r>
          </w:p>
        </w:tc>
        <w:tc>
          <w:tcPr>
            <w:tcW w:w="1862" w:type="dxa"/>
            <w:noWrap/>
            <w:hideMark/>
          </w:tcPr>
          <w:p w14:paraId="3FD2EB66" w14:textId="77777777" w:rsidR="00EE5BB8" w:rsidRPr="00C6052E" w:rsidRDefault="00EE5BB8" w:rsidP="005C6D11">
            <w:pPr>
              <w:pStyle w:val="Tabletotal"/>
              <w:jc w:val="right"/>
            </w:pPr>
            <w:r w:rsidRPr="00C6052E">
              <w:t>80</w:t>
            </w:r>
          </w:p>
        </w:tc>
      </w:tr>
      <w:tr w:rsidR="00EE5BB8" w:rsidRPr="00C6052E" w14:paraId="1AD11151" w14:textId="77777777" w:rsidTr="00A6480E">
        <w:tc>
          <w:tcPr>
            <w:tcW w:w="3544" w:type="dxa"/>
            <w:noWrap/>
            <w:hideMark/>
          </w:tcPr>
          <w:p w14:paraId="3D775E75" w14:textId="162CD9B8" w:rsidR="00EE5BB8" w:rsidRPr="00C6052E" w:rsidRDefault="00EE5BB8" w:rsidP="0063097D">
            <w:pPr>
              <w:pStyle w:val="Tabletotal"/>
            </w:pPr>
            <w:r w:rsidRPr="00C6052E">
              <w:t>Total</w:t>
            </w:r>
            <w:r w:rsidR="00177848" w:rsidRPr="00C6052E">
              <w:t xml:space="preserve"> </w:t>
            </w:r>
            <w:r w:rsidRPr="00C6052E">
              <w:t>administered</w:t>
            </w:r>
            <w:r w:rsidR="00177848" w:rsidRPr="00C6052E">
              <w:t xml:space="preserve"> </w:t>
            </w:r>
            <w:r w:rsidRPr="00C6052E">
              <w:t>net</w:t>
            </w:r>
            <w:r w:rsidR="00177848" w:rsidRPr="00C6052E">
              <w:t xml:space="preserve"> </w:t>
            </w:r>
            <w:r w:rsidRPr="00C6052E">
              <w:t>assets</w:t>
            </w:r>
          </w:p>
        </w:tc>
        <w:tc>
          <w:tcPr>
            <w:tcW w:w="1928" w:type="dxa"/>
            <w:noWrap/>
            <w:hideMark/>
          </w:tcPr>
          <w:p w14:paraId="276F74F0" w14:textId="77777777" w:rsidR="00EE5BB8" w:rsidRPr="00C6052E" w:rsidRDefault="00EE5BB8" w:rsidP="005C6D11">
            <w:pPr>
              <w:pStyle w:val="Tabletotal"/>
              <w:jc w:val="right"/>
            </w:pPr>
            <w:r w:rsidRPr="00C6052E">
              <w:t>30</w:t>
            </w:r>
          </w:p>
        </w:tc>
        <w:tc>
          <w:tcPr>
            <w:tcW w:w="1928" w:type="dxa"/>
            <w:noWrap/>
            <w:hideMark/>
          </w:tcPr>
          <w:p w14:paraId="79E5EB22" w14:textId="77777777" w:rsidR="00EE5BB8" w:rsidRPr="00C6052E" w:rsidRDefault="00EE5BB8" w:rsidP="005C6D11">
            <w:pPr>
              <w:pStyle w:val="Tabletotal"/>
              <w:jc w:val="right"/>
            </w:pPr>
            <w:r w:rsidRPr="00C6052E">
              <w:t>35</w:t>
            </w:r>
          </w:p>
        </w:tc>
        <w:tc>
          <w:tcPr>
            <w:tcW w:w="1757" w:type="dxa"/>
            <w:noWrap/>
            <w:hideMark/>
          </w:tcPr>
          <w:p w14:paraId="047A704A" w14:textId="77777777" w:rsidR="00EE5BB8" w:rsidRPr="00C6052E" w:rsidRDefault="00EE5BB8" w:rsidP="005C6D11">
            <w:pPr>
              <w:pStyle w:val="Tabletotal"/>
              <w:jc w:val="right"/>
            </w:pPr>
            <w:r w:rsidRPr="00C6052E">
              <w:t>25,282</w:t>
            </w:r>
          </w:p>
        </w:tc>
        <w:tc>
          <w:tcPr>
            <w:tcW w:w="1757" w:type="dxa"/>
            <w:noWrap/>
            <w:hideMark/>
          </w:tcPr>
          <w:p w14:paraId="683280F3" w14:textId="77777777" w:rsidR="00EE5BB8" w:rsidRPr="00C6052E" w:rsidRDefault="00EE5BB8" w:rsidP="005C6D11">
            <w:pPr>
              <w:pStyle w:val="Tabletotal"/>
              <w:jc w:val="right"/>
            </w:pPr>
            <w:r w:rsidRPr="00C6052E">
              <w:t>–</w:t>
            </w:r>
          </w:p>
        </w:tc>
        <w:tc>
          <w:tcPr>
            <w:tcW w:w="1857" w:type="dxa"/>
            <w:noWrap/>
            <w:hideMark/>
          </w:tcPr>
          <w:p w14:paraId="7489E1B6" w14:textId="77777777" w:rsidR="00EE5BB8" w:rsidRPr="00C6052E" w:rsidRDefault="00EE5BB8" w:rsidP="005C6D11">
            <w:pPr>
              <w:pStyle w:val="Tabletotal"/>
              <w:jc w:val="right"/>
            </w:pPr>
            <w:r w:rsidRPr="00C6052E">
              <w:t>48,086</w:t>
            </w:r>
          </w:p>
        </w:tc>
        <w:tc>
          <w:tcPr>
            <w:tcW w:w="1862" w:type="dxa"/>
            <w:noWrap/>
            <w:hideMark/>
          </w:tcPr>
          <w:p w14:paraId="68A4F17C" w14:textId="77777777" w:rsidR="00EE5BB8" w:rsidRPr="00C6052E" w:rsidRDefault="00EE5BB8" w:rsidP="005C6D11">
            <w:pPr>
              <w:pStyle w:val="Tabletotal"/>
              <w:jc w:val="right"/>
            </w:pPr>
            <w:r w:rsidRPr="00C6052E">
              <w:t>45,826</w:t>
            </w:r>
          </w:p>
        </w:tc>
      </w:tr>
    </w:tbl>
    <w:p w14:paraId="61922026" w14:textId="77777777" w:rsidR="00EE5BB8" w:rsidRPr="00C6052E" w:rsidRDefault="00EE5BB8" w:rsidP="00A6480E">
      <w:pPr>
        <w:spacing w:after="0"/>
      </w:pPr>
    </w:p>
    <w:tbl>
      <w:tblPr>
        <w:tblStyle w:val="TableGrid"/>
        <w:tblW w:w="14652" w:type="dxa"/>
        <w:tblLayout w:type="fixed"/>
        <w:tblLook w:val="04E0" w:firstRow="1" w:lastRow="1" w:firstColumn="1" w:lastColumn="0" w:noHBand="0" w:noVBand="1"/>
      </w:tblPr>
      <w:tblGrid>
        <w:gridCol w:w="3539"/>
        <w:gridCol w:w="1851"/>
        <w:gridCol w:w="1852"/>
        <w:gridCol w:w="1852"/>
        <w:gridCol w:w="1852"/>
        <w:gridCol w:w="1852"/>
        <w:gridCol w:w="1854"/>
      </w:tblGrid>
      <w:tr w:rsidR="00EE5BB8" w:rsidRPr="00C6052E" w14:paraId="0EE33A90" w14:textId="77777777" w:rsidTr="005C6D11">
        <w:trPr>
          <w:tblHeader/>
        </w:trPr>
        <w:tc>
          <w:tcPr>
            <w:tcW w:w="3539" w:type="dxa"/>
            <w:noWrap/>
            <w:hideMark/>
          </w:tcPr>
          <w:p w14:paraId="5A9883B2" w14:textId="77777777" w:rsidR="00EE5BB8" w:rsidRPr="00C6052E" w:rsidRDefault="00EE5BB8" w:rsidP="005C6D11">
            <w:pPr>
              <w:pStyle w:val="TableColumnHeading"/>
            </w:pPr>
            <w:bookmarkStart w:id="215" w:name="TableColumnHeadings_65"/>
            <w:bookmarkEnd w:id="215"/>
          </w:p>
        </w:tc>
        <w:tc>
          <w:tcPr>
            <w:tcW w:w="1851" w:type="dxa"/>
            <w:hideMark/>
          </w:tcPr>
          <w:p w14:paraId="28013CE6" w14:textId="11DB8581" w:rsidR="00EE5BB8" w:rsidRPr="00C6052E" w:rsidRDefault="00A6480E" w:rsidP="005C6D11">
            <w:pPr>
              <w:pStyle w:val="TableColumnHeading"/>
              <w:jc w:val="right"/>
            </w:pPr>
            <w:r w:rsidRPr="00C6052E">
              <w:rPr>
                <w:lang w:val="en-AU"/>
              </w:rPr>
              <w:t>Regional Development</w:t>
            </w:r>
            <w:r w:rsidRPr="00C6052E">
              <w:t xml:space="preserve"> </w:t>
            </w:r>
            <w:r w:rsidR="00EE5BB8" w:rsidRPr="00C6052E">
              <w:t>2025</w:t>
            </w:r>
          </w:p>
        </w:tc>
        <w:tc>
          <w:tcPr>
            <w:tcW w:w="1852" w:type="dxa"/>
            <w:hideMark/>
          </w:tcPr>
          <w:p w14:paraId="528A1959" w14:textId="55085D73" w:rsidR="00EE5BB8" w:rsidRPr="00C6052E" w:rsidRDefault="00A6480E" w:rsidP="005C6D11">
            <w:pPr>
              <w:pStyle w:val="TableColumnHeading"/>
              <w:jc w:val="right"/>
            </w:pPr>
            <w:r w:rsidRPr="00C6052E">
              <w:rPr>
                <w:lang w:val="en-AU"/>
              </w:rPr>
              <w:t>Regional Development</w:t>
            </w:r>
            <w:r w:rsidRPr="00C6052E">
              <w:t xml:space="preserve"> </w:t>
            </w:r>
            <w:r w:rsidR="00EE5BB8" w:rsidRPr="00C6052E">
              <w:t>2024</w:t>
            </w:r>
          </w:p>
        </w:tc>
        <w:tc>
          <w:tcPr>
            <w:tcW w:w="1852" w:type="dxa"/>
            <w:hideMark/>
          </w:tcPr>
          <w:p w14:paraId="16FB445A" w14:textId="39A5F54E" w:rsidR="00EE5BB8" w:rsidRPr="00C6052E" w:rsidRDefault="00A6480E" w:rsidP="005C6D11">
            <w:pPr>
              <w:pStyle w:val="TableColumnHeading"/>
              <w:jc w:val="right"/>
            </w:pPr>
            <w:r w:rsidRPr="00C6052E">
              <w:rPr>
                <w:lang w:val="en-AU"/>
              </w:rPr>
              <w:t>Sport and Recreation</w:t>
            </w:r>
            <w:r w:rsidRPr="00C6052E">
              <w:t xml:space="preserve"> </w:t>
            </w:r>
            <w:r>
              <w:br/>
            </w:r>
            <w:r w:rsidR="00EE5BB8" w:rsidRPr="00C6052E">
              <w:t>2025</w:t>
            </w:r>
          </w:p>
        </w:tc>
        <w:tc>
          <w:tcPr>
            <w:tcW w:w="1852" w:type="dxa"/>
            <w:hideMark/>
          </w:tcPr>
          <w:p w14:paraId="4079DC14" w14:textId="2EC07D64" w:rsidR="00EE5BB8" w:rsidRPr="00C6052E" w:rsidRDefault="00A6480E" w:rsidP="005C6D11">
            <w:pPr>
              <w:pStyle w:val="TableColumnHeading"/>
              <w:jc w:val="right"/>
            </w:pPr>
            <w:r w:rsidRPr="00C6052E">
              <w:rPr>
                <w:lang w:val="en-AU"/>
              </w:rPr>
              <w:t>Sport and Recreation</w:t>
            </w:r>
            <w:r w:rsidRPr="00C6052E">
              <w:t xml:space="preserve"> </w:t>
            </w:r>
            <w:r>
              <w:br/>
            </w:r>
            <w:r w:rsidR="00EE5BB8" w:rsidRPr="00C6052E">
              <w:t>2024</w:t>
            </w:r>
          </w:p>
        </w:tc>
        <w:tc>
          <w:tcPr>
            <w:tcW w:w="1852" w:type="dxa"/>
            <w:hideMark/>
          </w:tcPr>
          <w:p w14:paraId="1DFCCBA0" w14:textId="299726D1" w:rsidR="00EE5BB8" w:rsidRPr="00C6052E" w:rsidRDefault="00A6480E" w:rsidP="005C6D11">
            <w:pPr>
              <w:pStyle w:val="TableColumnHeading"/>
              <w:jc w:val="right"/>
            </w:pPr>
            <w:r w:rsidRPr="00C6052E">
              <w:rPr>
                <w:lang w:val="en-AU"/>
              </w:rPr>
              <w:t xml:space="preserve">Trade and Investment </w:t>
            </w:r>
            <w:r>
              <w:rPr>
                <w:lang w:val="en-AU"/>
              </w:rPr>
              <w:br/>
            </w:r>
            <w:r w:rsidR="00EE5BB8" w:rsidRPr="00C6052E">
              <w:t>2025</w:t>
            </w:r>
          </w:p>
        </w:tc>
        <w:tc>
          <w:tcPr>
            <w:tcW w:w="1854" w:type="dxa"/>
            <w:hideMark/>
          </w:tcPr>
          <w:p w14:paraId="061C833C" w14:textId="26B8F053" w:rsidR="00EE5BB8" w:rsidRPr="00C6052E" w:rsidRDefault="00A6480E" w:rsidP="005C6D11">
            <w:pPr>
              <w:pStyle w:val="TableColumnHeading"/>
              <w:jc w:val="right"/>
            </w:pPr>
            <w:r w:rsidRPr="00C6052E">
              <w:rPr>
                <w:lang w:val="en-AU"/>
              </w:rPr>
              <w:t xml:space="preserve">Trade and Investment </w:t>
            </w:r>
            <w:r>
              <w:rPr>
                <w:lang w:val="en-AU"/>
              </w:rPr>
              <w:br/>
            </w:r>
            <w:r w:rsidR="00EE5BB8" w:rsidRPr="00C6052E">
              <w:t>2024</w:t>
            </w:r>
          </w:p>
        </w:tc>
      </w:tr>
      <w:tr w:rsidR="005C6D11" w:rsidRPr="00C6052E" w14:paraId="4367E8C6" w14:textId="77777777" w:rsidTr="005C6D11">
        <w:tc>
          <w:tcPr>
            <w:tcW w:w="3539" w:type="dxa"/>
          </w:tcPr>
          <w:p w14:paraId="478204F2" w14:textId="5D83E545" w:rsidR="005C6D11" w:rsidRPr="00C6052E" w:rsidRDefault="005C6D11" w:rsidP="005C6D11">
            <w:pPr>
              <w:pStyle w:val="TableHeading"/>
            </w:pPr>
            <w:r w:rsidRPr="00C6052E">
              <w:t>Administered assets</w:t>
            </w:r>
          </w:p>
        </w:tc>
        <w:tc>
          <w:tcPr>
            <w:tcW w:w="1851" w:type="dxa"/>
            <w:noWrap/>
          </w:tcPr>
          <w:p w14:paraId="62049D98" w14:textId="77777777" w:rsidR="005C6D11" w:rsidRPr="00C6052E" w:rsidRDefault="005C6D11" w:rsidP="005C6D11">
            <w:pPr>
              <w:pStyle w:val="TableHeading"/>
              <w:jc w:val="right"/>
            </w:pPr>
          </w:p>
        </w:tc>
        <w:tc>
          <w:tcPr>
            <w:tcW w:w="1852" w:type="dxa"/>
            <w:noWrap/>
          </w:tcPr>
          <w:p w14:paraId="661EAD5A" w14:textId="77777777" w:rsidR="005C6D11" w:rsidRPr="00C6052E" w:rsidRDefault="005C6D11" w:rsidP="005C6D11">
            <w:pPr>
              <w:pStyle w:val="TableHeading"/>
              <w:jc w:val="right"/>
            </w:pPr>
          </w:p>
        </w:tc>
        <w:tc>
          <w:tcPr>
            <w:tcW w:w="1852" w:type="dxa"/>
            <w:noWrap/>
          </w:tcPr>
          <w:p w14:paraId="41ED4D6E" w14:textId="77777777" w:rsidR="005C6D11" w:rsidRPr="00C6052E" w:rsidRDefault="005C6D11" w:rsidP="005C6D11">
            <w:pPr>
              <w:pStyle w:val="TableHeading"/>
              <w:jc w:val="right"/>
            </w:pPr>
          </w:p>
        </w:tc>
        <w:tc>
          <w:tcPr>
            <w:tcW w:w="1852" w:type="dxa"/>
            <w:noWrap/>
          </w:tcPr>
          <w:p w14:paraId="47C058D7" w14:textId="77777777" w:rsidR="005C6D11" w:rsidRPr="00C6052E" w:rsidRDefault="005C6D11" w:rsidP="005C6D11">
            <w:pPr>
              <w:pStyle w:val="TableHeading"/>
              <w:jc w:val="right"/>
            </w:pPr>
          </w:p>
        </w:tc>
        <w:tc>
          <w:tcPr>
            <w:tcW w:w="1852" w:type="dxa"/>
            <w:noWrap/>
          </w:tcPr>
          <w:p w14:paraId="391D0ED1" w14:textId="77777777" w:rsidR="005C6D11" w:rsidRPr="00C6052E" w:rsidRDefault="005C6D11" w:rsidP="005C6D11">
            <w:pPr>
              <w:pStyle w:val="TableHeading"/>
              <w:jc w:val="right"/>
            </w:pPr>
          </w:p>
        </w:tc>
        <w:tc>
          <w:tcPr>
            <w:tcW w:w="1854" w:type="dxa"/>
            <w:noWrap/>
          </w:tcPr>
          <w:p w14:paraId="2ACE322E" w14:textId="77777777" w:rsidR="005C6D11" w:rsidRPr="00C6052E" w:rsidRDefault="005C6D11" w:rsidP="005C6D11">
            <w:pPr>
              <w:pStyle w:val="TableHeading"/>
              <w:jc w:val="right"/>
            </w:pPr>
          </w:p>
        </w:tc>
      </w:tr>
      <w:tr w:rsidR="00EE5BB8" w:rsidRPr="00C6052E" w14:paraId="2351C16D" w14:textId="77777777" w:rsidTr="005C6D11">
        <w:tc>
          <w:tcPr>
            <w:tcW w:w="3539" w:type="dxa"/>
            <w:hideMark/>
          </w:tcPr>
          <w:p w14:paraId="2F38FFDD" w14:textId="25CEAC93" w:rsidR="00EE5BB8" w:rsidRPr="00C6052E" w:rsidRDefault="00EE5BB8" w:rsidP="0063097D">
            <w:pPr>
              <w:pStyle w:val="TableCopy"/>
            </w:pPr>
            <w:r w:rsidRPr="00C6052E">
              <w:t>Financial</w:t>
            </w:r>
            <w:r w:rsidR="00177848" w:rsidRPr="00C6052E">
              <w:t xml:space="preserve"> </w:t>
            </w:r>
            <w:r w:rsidRPr="00C6052E">
              <w:t>assets</w:t>
            </w:r>
          </w:p>
        </w:tc>
        <w:tc>
          <w:tcPr>
            <w:tcW w:w="1851" w:type="dxa"/>
            <w:noWrap/>
            <w:hideMark/>
          </w:tcPr>
          <w:p w14:paraId="38BC8552" w14:textId="77777777" w:rsidR="00EE5BB8" w:rsidRPr="00C6052E" w:rsidRDefault="00EE5BB8" w:rsidP="005C6D11">
            <w:pPr>
              <w:pStyle w:val="TableCopy"/>
              <w:jc w:val="right"/>
            </w:pPr>
            <w:r w:rsidRPr="00C6052E">
              <w:t>–</w:t>
            </w:r>
          </w:p>
        </w:tc>
        <w:tc>
          <w:tcPr>
            <w:tcW w:w="1852" w:type="dxa"/>
            <w:noWrap/>
            <w:hideMark/>
          </w:tcPr>
          <w:p w14:paraId="335371EF" w14:textId="77777777" w:rsidR="00EE5BB8" w:rsidRPr="00C6052E" w:rsidRDefault="00EE5BB8" w:rsidP="005C6D11">
            <w:pPr>
              <w:pStyle w:val="TableCopy"/>
              <w:jc w:val="right"/>
            </w:pPr>
            <w:r w:rsidRPr="00C6052E">
              <w:t>1,500</w:t>
            </w:r>
          </w:p>
        </w:tc>
        <w:tc>
          <w:tcPr>
            <w:tcW w:w="1852" w:type="dxa"/>
            <w:noWrap/>
            <w:hideMark/>
          </w:tcPr>
          <w:p w14:paraId="23469AD1" w14:textId="77777777" w:rsidR="00EE5BB8" w:rsidRPr="00C6052E" w:rsidRDefault="00EE5BB8" w:rsidP="005C6D11">
            <w:pPr>
              <w:pStyle w:val="TableCopy"/>
              <w:jc w:val="right"/>
            </w:pPr>
            <w:r w:rsidRPr="00C6052E">
              <w:t>2,092</w:t>
            </w:r>
          </w:p>
        </w:tc>
        <w:tc>
          <w:tcPr>
            <w:tcW w:w="1852" w:type="dxa"/>
            <w:noWrap/>
            <w:hideMark/>
          </w:tcPr>
          <w:p w14:paraId="66AE1838" w14:textId="77777777" w:rsidR="00EE5BB8" w:rsidRPr="00C6052E" w:rsidRDefault="00EE5BB8" w:rsidP="005C6D11">
            <w:pPr>
              <w:pStyle w:val="TableCopy"/>
              <w:jc w:val="right"/>
            </w:pPr>
            <w:r w:rsidRPr="00C6052E">
              <w:t>(244)</w:t>
            </w:r>
          </w:p>
        </w:tc>
        <w:tc>
          <w:tcPr>
            <w:tcW w:w="1852" w:type="dxa"/>
            <w:noWrap/>
            <w:hideMark/>
          </w:tcPr>
          <w:p w14:paraId="3FE40372" w14:textId="77777777" w:rsidR="00EE5BB8" w:rsidRPr="00C6052E" w:rsidRDefault="00EE5BB8" w:rsidP="005C6D11">
            <w:pPr>
              <w:pStyle w:val="TableCopy"/>
              <w:jc w:val="right"/>
            </w:pPr>
            <w:r w:rsidRPr="00C6052E">
              <w:t>67</w:t>
            </w:r>
          </w:p>
        </w:tc>
        <w:tc>
          <w:tcPr>
            <w:tcW w:w="1854" w:type="dxa"/>
            <w:noWrap/>
            <w:hideMark/>
          </w:tcPr>
          <w:p w14:paraId="296503DB" w14:textId="77777777" w:rsidR="00EE5BB8" w:rsidRPr="00C6052E" w:rsidRDefault="00EE5BB8" w:rsidP="005C6D11">
            <w:pPr>
              <w:pStyle w:val="TableCopy"/>
              <w:jc w:val="right"/>
            </w:pPr>
            <w:r w:rsidRPr="00C6052E">
              <w:t>–</w:t>
            </w:r>
          </w:p>
        </w:tc>
      </w:tr>
      <w:tr w:rsidR="00EE5BB8" w:rsidRPr="00C6052E" w14:paraId="533A6B33" w14:textId="77777777" w:rsidTr="005C6D11">
        <w:tc>
          <w:tcPr>
            <w:tcW w:w="3539" w:type="dxa"/>
            <w:hideMark/>
          </w:tcPr>
          <w:p w14:paraId="12763669" w14:textId="383015D3" w:rsidR="00EE5BB8" w:rsidRPr="00C6052E" w:rsidRDefault="00EE5BB8" w:rsidP="0063097D">
            <w:pPr>
              <w:pStyle w:val="TableCopy"/>
            </w:pPr>
            <w:r w:rsidRPr="00C6052E">
              <w:t>Non-financial</w:t>
            </w:r>
            <w:r w:rsidR="00177848" w:rsidRPr="00C6052E">
              <w:t xml:space="preserve"> </w:t>
            </w:r>
            <w:r w:rsidRPr="00C6052E">
              <w:t>assets</w:t>
            </w:r>
          </w:p>
        </w:tc>
        <w:tc>
          <w:tcPr>
            <w:tcW w:w="1851" w:type="dxa"/>
            <w:noWrap/>
            <w:hideMark/>
          </w:tcPr>
          <w:p w14:paraId="5C121C61" w14:textId="77777777" w:rsidR="00EE5BB8" w:rsidRPr="00C6052E" w:rsidRDefault="00EE5BB8" w:rsidP="005C6D11">
            <w:pPr>
              <w:pStyle w:val="TableCopy"/>
              <w:jc w:val="right"/>
            </w:pPr>
            <w:r w:rsidRPr="00C6052E">
              <w:t>–</w:t>
            </w:r>
          </w:p>
        </w:tc>
        <w:tc>
          <w:tcPr>
            <w:tcW w:w="1852" w:type="dxa"/>
            <w:noWrap/>
            <w:hideMark/>
          </w:tcPr>
          <w:p w14:paraId="3DD7A4F5" w14:textId="77777777" w:rsidR="00EE5BB8" w:rsidRPr="00C6052E" w:rsidRDefault="00EE5BB8" w:rsidP="005C6D11">
            <w:pPr>
              <w:pStyle w:val="TableCopy"/>
              <w:jc w:val="right"/>
            </w:pPr>
            <w:r w:rsidRPr="00C6052E">
              <w:t>–</w:t>
            </w:r>
          </w:p>
        </w:tc>
        <w:tc>
          <w:tcPr>
            <w:tcW w:w="1852" w:type="dxa"/>
            <w:noWrap/>
            <w:hideMark/>
          </w:tcPr>
          <w:p w14:paraId="14E01E2D" w14:textId="77777777" w:rsidR="00EE5BB8" w:rsidRPr="00C6052E" w:rsidRDefault="00EE5BB8" w:rsidP="005C6D11">
            <w:pPr>
              <w:pStyle w:val="TableCopy"/>
              <w:jc w:val="right"/>
            </w:pPr>
            <w:r w:rsidRPr="00C6052E">
              <w:t>–</w:t>
            </w:r>
          </w:p>
        </w:tc>
        <w:tc>
          <w:tcPr>
            <w:tcW w:w="1852" w:type="dxa"/>
            <w:noWrap/>
            <w:hideMark/>
          </w:tcPr>
          <w:p w14:paraId="74F26FA6" w14:textId="77777777" w:rsidR="00EE5BB8" w:rsidRPr="00C6052E" w:rsidRDefault="00EE5BB8" w:rsidP="005C6D11">
            <w:pPr>
              <w:pStyle w:val="TableCopy"/>
              <w:jc w:val="right"/>
            </w:pPr>
            <w:r w:rsidRPr="00C6052E">
              <w:t>–</w:t>
            </w:r>
          </w:p>
        </w:tc>
        <w:tc>
          <w:tcPr>
            <w:tcW w:w="1852" w:type="dxa"/>
            <w:noWrap/>
            <w:hideMark/>
          </w:tcPr>
          <w:p w14:paraId="13B22234" w14:textId="77777777" w:rsidR="00EE5BB8" w:rsidRPr="00C6052E" w:rsidRDefault="00EE5BB8" w:rsidP="005C6D11">
            <w:pPr>
              <w:pStyle w:val="TableCopy"/>
              <w:jc w:val="right"/>
            </w:pPr>
            <w:r w:rsidRPr="00C6052E">
              <w:t>–</w:t>
            </w:r>
          </w:p>
        </w:tc>
        <w:tc>
          <w:tcPr>
            <w:tcW w:w="1854" w:type="dxa"/>
            <w:noWrap/>
            <w:hideMark/>
          </w:tcPr>
          <w:p w14:paraId="33D6D1C6" w14:textId="77777777" w:rsidR="00EE5BB8" w:rsidRPr="00C6052E" w:rsidRDefault="00EE5BB8" w:rsidP="005C6D11">
            <w:pPr>
              <w:pStyle w:val="TableCopy"/>
              <w:jc w:val="right"/>
            </w:pPr>
            <w:r w:rsidRPr="00C6052E">
              <w:t>–</w:t>
            </w:r>
          </w:p>
        </w:tc>
      </w:tr>
      <w:tr w:rsidR="00EE5BB8" w:rsidRPr="00C6052E" w14:paraId="2E5BC705" w14:textId="77777777" w:rsidTr="005C6D11">
        <w:tc>
          <w:tcPr>
            <w:tcW w:w="3539" w:type="dxa"/>
            <w:noWrap/>
            <w:hideMark/>
          </w:tcPr>
          <w:p w14:paraId="032F6E4E" w14:textId="1962FA68" w:rsidR="00EE5BB8" w:rsidRPr="00C6052E" w:rsidRDefault="00EE5BB8" w:rsidP="0063097D">
            <w:pPr>
              <w:pStyle w:val="Tabletotal"/>
            </w:pPr>
            <w:r w:rsidRPr="00C6052E">
              <w:t>Total</w:t>
            </w:r>
            <w:r w:rsidR="00177848" w:rsidRPr="00C6052E">
              <w:t xml:space="preserve"> </w:t>
            </w:r>
            <w:r w:rsidRPr="00C6052E">
              <w:t>administered</w:t>
            </w:r>
            <w:r w:rsidR="00177848" w:rsidRPr="00C6052E">
              <w:t xml:space="preserve"> </w:t>
            </w:r>
            <w:r w:rsidRPr="00C6052E">
              <w:t>assets</w:t>
            </w:r>
            <w:r w:rsidR="00177848" w:rsidRPr="00C6052E">
              <w:t xml:space="preserve"> </w:t>
            </w:r>
          </w:p>
        </w:tc>
        <w:tc>
          <w:tcPr>
            <w:tcW w:w="1851" w:type="dxa"/>
            <w:noWrap/>
            <w:hideMark/>
          </w:tcPr>
          <w:p w14:paraId="4DA75398" w14:textId="77777777" w:rsidR="00EE5BB8" w:rsidRPr="00C6052E" w:rsidRDefault="00EE5BB8" w:rsidP="005C6D11">
            <w:pPr>
              <w:pStyle w:val="Tabletotal"/>
              <w:jc w:val="right"/>
            </w:pPr>
            <w:r w:rsidRPr="00C6052E">
              <w:t>–</w:t>
            </w:r>
          </w:p>
        </w:tc>
        <w:tc>
          <w:tcPr>
            <w:tcW w:w="1852" w:type="dxa"/>
            <w:noWrap/>
            <w:hideMark/>
          </w:tcPr>
          <w:p w14:paraId="273EBCF9" w14:textId="77777777" w:rsidR="00EE5BB8" w:rsidRPr="00C6052E" w:rsidRDefault="00EE5BB8" w:rsidP="005C6D11">
            <w:pPr>
              <w:pStyle w:val="Tabletotal"/>
              <w:jc w:val="right"/>
            </w:pPr>
            <w:r w:rsidRPr="00C6052E">
              <w:t>1,500</w:t>
            </w:r>
          </w:p>
        </w:tc>
        <w:tc>
          <w:tcPr>
            <w:tcW w:w="1852" w:type="dxa"/>
            <w:noWrap/>
            <w:hideMark/>
          </w:tcPr>
          <w:p w14:paraId="2CE46344" w14:textId="77777777" w:rsidR="00EE5BB8" w:rsidRPr="00C6052E" w:rsidRDefault="00EE5BB8" w:rsidP="005C6D11">
            <w:pPr>
              <w:pStyle w:val="Tabletotal"/>
              <w:jc w:val="right"/>
            </w:pPr>
            <w:r w:rsidRPr="00C6052E">
              <w:t>2,092</w:t>
            </w:r>
          </w:p>
        </w:tc>
        <w:tc>
          <w:tcPr>
            <w:tcW w:w="1852" w:type="dxa"/>
            <w:noWrap/>
            <w:hideMark/>
          </w:tcPr>
          <w:p w14:paraId="50C0F421" w14:textId="77777777" w:rsidR="00EE5BB8" w:rsidRPr="00C6052E" w:rsidRDefault="00EE5BB8" w:rsidP="005C6D11">
            <w:pPr>
              <w:pStyle w:val="Tabletotal"/>
              <w:jc w:val="right"/>
            </w:pPr>
            <w:r w:rsidRPr="00C6052E">
              <w:t>(244)</w:t>
            </w:r>
          </w:p>
        </w:tc>
        <w:tc>
          <w:tcPr>
            <w:tcW w:w="1852" w:type="dxa"/>
            <w:noWrap/>
            <w:hideMark/>
          </w:tcPr>
          <w:p w14:paraId="15627A52" w14:textId="77777777" w:rsidR="00EE5BB8" w:rsidRPr="00C6052E" w:rsidRDefault="00EE5BB8" w:rsidP="005C6D11">
            <w:pPr>
              <w:pStyle w:val="Tabletotal"/>
              <w:jc w:val="right"/>
            </w:pPr>
            <w:r w:rsidRPr="00C6052E">
              <w:t>67</w:t>
            </w:r>
          </w:p>
        </w:tc>
        <w:tc>
          <w:tcPr>
            <w:tcW w:w="1854" w:type="dxa"/>
            <w:noWrap/>
            <w:hideMark/>
          </w:tcPr>
          <w:p w14:paraId="7DFB5794" w14:textId="77777777" w:rsidR="00EE5BB8" w:rsidRPr="00C6052E" w:rsidRDefault="00EE5BB8" w:rsidP="005C6D11">
            <w:pPr>
              <w:pStyle w:val="Tabletotal"/>
              <w:jc w:val="right"/>
            </w:pPr>
            <w:r w:rsidRPr="00C6052E">
              <w:t>–</w:t>
            </w:r>
          </w:p>
        </w:tc>
      </w:tr>
      <w:tr w:rsidR="00EE5BB8" w:rsidRPr="00C6052E" w14:paraId="43F0E2DF" w14:textId="77777777" w:rsidTr="005C6D11">
        <w:tc>
          <w:tcPr>
            <w:tcW w:w="3539" w:type="dxa"/>
            <w:noWrap/>
            <w:hideMark/>
          </w:tcPr>
          <w:p w14:paraId="4FE82D10" w14:textId="173679AC" w:rsidR="00EE5BB8" w:rsidRPr="00C6052E" w:rsidRDefault="00EE5BB8" w:rsidP="0063097D">
            <w:pPr>
              <w:pStyle w:val="Tabletotal"/>
            </w:pPr>
            <w:r w:rsidRPr="00C6052E">
              <w:t>Total</w:t>
            </w:r>
            <w:r w:rsidR="00177848" w:rsidRPr="00C6052E">
              <w:t xml:space="preserve"> </w:t>
            </w:r>
            <w:r w:rsidRPr="00C6052E">
              <w:t>administered</w:t>
            </w:r>
            <w:r w:rsidR="00177848" w:rsidRPr="00C6052E">
              <w:t xml:space="preserve"> </w:t>
            </w:r>
            <w:r w:rsidRPr="00C6052E">
              <w:t>liabilities</w:t>
            </w:r>
            <w:r w:rsidR="00177848" w:rsidRPr="00C6052E">
              <w:t xml:space="preserve"> </w:t>
            </w:r>
          </w:p>
        </w:tc>
        <w:tc>
          <w:tcPr>
            <w:tcW w:w="1851" w:type="dxa"/>
            <w:noWrap/>
            <w:hideMark/>
          </w:tcPr>
          <w:p w14:paraId="191599C7" w14:textId="77777777" w:rsidR="00EE5BB8" w:rsidRPr="00C6052E" w:rsidRDefault="00EE5BB8" w:rsidP="005C6D11">
            <w:pPr>
              <w:pStyle w:val="Tabletotal"/>
              <w:jc w:val="right"/>
            </w:pPr>
            <w:r w:rsidRPr="00C6052E">
              <w:t>–</w:t>
            </w:r>
          </w:p>
        </w:tc>
        <w:tc>
          <w:tcPr>
            <w:tcW w:w="1852" w:type="dxa"/>
            <w:noWrap/>
            <w:hideMark/>
          </w:tcPr>
          <w:p w14:paraId="6CB92E66" w14:textId="77777777" w:rsidR="00EE5BB8" w:rsidRPr="00C6052E" w:rsidRDefault="00EE5BB8" w:rsidP="005C6D11">
            <w:pPr>
              <w:pStyle w:val="Tabletotal"/>
              <w:jc w:val="right"/>
            </w:pPr>
            <w:r w:rsidRPr="00C6052E">
              <w:t>5</w:t>
            </w:r>
          </w:p>
        </w:tc>
        <w:tc>
          <w:tcPr>
            <w:tcW w:w="1852" w:type="dxa"/>
            <w:noWrap/>
            <w:hideMark/>
          </w:tcPr>
          <w:p w14:paraId="1735E75C" w14:textId="77777777" w:rsidR="00EE5BB8" w:rsidRPr="00C6052E" w:rsidRDefault="00EE5BB8" w:rsidP="005C6D11">
            <w:pPr>
              <w:pStyle w:val="Tabletotal"/>
              <w:jc w:val="right"/>
            </w:pPr>
            <w:r w:rsidRPr="00C6052E">
              <w:t>329</w:t>
            </w:r>
          </w:p>
        </w:tc>
        <w:tc>
          <w:tcPr>
            <w:tcW w:w="1852" w:type="dxa"/>
            <w:noWrap/>
            <w:hideMark/>
          </w:tcPr>
          <w:p w14:paraId="09F961E8" w14:textId="77777777" w:rsidR="00EE5BB8" w:rsidRPr="00C6052E" w:rsidRDefault="00EE5BB8" w:rsidP="005C6D11">
            <w:pPr>
              <w:pStyle w:val="Tabletotal"/>
              <w:jc w:val="right"/>
            </w:pPr>
            <w:r w:rsidRPr="00C6052E">
              <w:t>15</w:t>
            </w:r>
          </w:p>
        </w:tc>
        <w:tc>
          <w:tcPr>
            <w:tcW w:w="1852" w:type="dxa"/>
            <w:noWrap/>
            <w:hideMark/>
          </w:tcPr>
          <w:p w14:paraId="3F2DBE93" w14:textId="77777777" w:rsidR="00EE5BB8" w:rsidRPr="00C6052E" w:rsidRDefault="00EE5BB8" w:rsidP="005C6D11">
            <w:pPr>
              <w:pStyle w:val="Tabletotal"/>
              <w:jc w:val="right"/>
            </w:pPr>
            <w:r w:rsidRPr="00C6052E">
              <w:t>–</w:t>
            </w:r>
          </w:p>
        </w:tc>
        <w:tc>
          <w:tcPr>
            <w:tcW w:w="1854" w:type="dxa"/>
            <w:noWrap/>
            <w:hideMark/>
          </w:tcPr>
          <w:p w14:paraId="58F4D735" w14:textId="77777777" w:rsidR="00EE5BB8" w:rsidRPr="00C6052E" w:rsidRDefault="00EE5BB8" w:rsidP="005C6D11">
            <w:pPr>
              <w:pStyle w:val="Tabletotal"/>
              <w:jc w:val="right"/>
            </w:pPr>
            <w:r w:rsidRPr="00C6052E">
              <w:t>–</w:t>
            </w:r>
          </w:p>
        </w:tc>
      </w:tr>
      <w:tr w:rsidR="00EE5BB8" w:rsidRPr="00C6052E" w14:paraId="1F67A6FE" w14:textId="77777777" w:rsidTr="005C6D11">
        <w:tc>
          <w:tcPr>
            <w:tcW w:w="3539" w:type="dxa"/>
            <w:noWrap/>
            <w:hideMark/>
          </w:tcPr>
          <w:p w14:paraId="159B015A" w14:textId="79D0CA4D" w:rsidR="00EE5BB8" w:rsidRPr="00C6052E" w:rsidRDefault="00EE5BB8" w:rsidP="0063097D">
            <w:pPr>
              <w:pStyle w:val="Tabletotal"/>
            </w:pPr>
            <w:r w:rsidRPr="00C6052E">
              <w:t>Total</w:t>
            </w:r>
            <w:r w:rsidR="00177848" w:rsidRPr="00C6052E">
              <w:t xml:space="preserve"> </w:t>
            </w:r>
            <w:r w:rsidRPr="00C6052E">
              <w:t>administered</w:t>
            </w:r>
            <w:r w:rsidR="00177848" w:rsidRPr="00C6052E">
              <w:t xml:space="preserve"> </w:t>
            </w:r>
            <w:r w:rsidRPr="00C6052E">
              <w:t>net</w:t>
            </w:r>
            <w:r w:rsidR="00177848" w:rsidRPr="00C6052E">
              <w:t xml:space="preserve"> </w:t>
            </w:r>
            <w:r w:rsidRPr="00C6052E">
              <w:t>assets</w:t>
            </w:r>
          </w:p>
        </w:tc>
        <w:tc>
          <w:tcPr>
            <w:tcW w:w="1851" w:type="dxa"/>
            <w:noWrap/>
            <w:hideMark/>
          </w:tcPr>
          <w:p w14:paraId="768FA36C" w14:textId="77777777" w:rsidR="00EE5BB8" w:rsidRPr="00C6052E" w:rsidRDefault="00EE5BB8" w:rsidP="005C6D11">
            <w:pPr>
              <w:pStyle w:val="Tabletotal"/>
              <w:jc w:val="right"/>
            </w:pPr>
            <w:r w:rsidRPr="00C6052E">
              <w:t>–</w:t>
            </w:r>
          </w:p>
        </w:tc>
        <w:tc>
          <w:tcPr>
            <w:tcW w:w="1852" w:type="dxa"/>
            <w:noWrap/>
            <w:hideMark/>
          </w:tcPr>
          <w:p w14:paraId="7F7D5C3E" w14:textId="77777777" w:rsidR="00EE5BB8" w:rsidRPr="00C6052E" w:rsidRDefault="00EE5BB8" w:rsidP="005C6D11">
            <w:pPr>
              <w:pStyle w:val="Tabletotal"/>
              <w:jc w:val="right"/>
            </w:pPr>
            <w:r w:rsidRPr="00C6052E">
              <w:t>1,495</w:t>
            </w:r>
          </w:p>
        </w:tc>
        <w:tc>
          <w:tcPr>
            <w:tcW w:w="1852" w:type="dxa"/>
            <w:noWrap/>
            <w:hideMark/>
          </w:tcPr>
          <w:p w14:paraId="0748BA07" w14:textId="77777777" w:rsidR="00EE5BB8" w:rsidRPr="00C6052E" w:rsidRDefault="00EE5BB8" w:rsidP="005C6D11">
            <w:pPr>
              <w:pStyle w:val="Tabletotal"/>
              <w:jc w:val="right"/>
            </w:pPr>
            <w:r w:rsidRPr="00C6052E">
              <w:t>1,763</w:t>
            </w:r>
          </w:p>
        </w:tc>
        <w:tc>
          <w:tcPr>
            <w:tcW w:w="1852" w:type="dxa"/>
            <w:noWrap/>
            <w:hideMark/>
          </w:tcPr>
          <w:p w14:paraId="0C1549A1" w14:textId="77777777" w:rsidR="00EE5BB8" w:rsidRPr="00C6052E" w:rsidRDefault="00EE5BB8" w:rsidP="005C6D11">
            <w:pPr>
              <w:pStyle w:val="Tabletotal"/>
              <w:jc w:val="right"/>
            </w:pPr>
            <w:r w:rsidRPr="00C6052E">
              <w:t>(259)</w:t>
            </w:r>
          </w:p>
        </w:tc>
        <w:tc>
          <w:tcPr>
            <w:tcW w:w="1852" w:type="dxa"/>
            <w:noWrap/>
            <w:hideMark/>
          </w:tcPr>
          <w:p w14:paraId="27B669F9" w14:textId="77777777" w:rsidR="00EE5BB8" w:rsidRPr="00C6052E" w:rsidRDefault="00EE5BB8" w:rsidP="005C6D11">
            <w:pPr>
              <w:pStyle w:val="Tabletotal"/>
              <w:jc w:val="right"/>
            </w:pPr>
            <w:r w:rsidRPr="00C6052E">
              <w:t>67</w:t>
            </w:r>
          </w:p>
        </w:tc>
        <w:tc>
          <w:tcPr>
            <w:tcW w:w="1854" w:type="dxa"/>
            <w:noWrap/>
            <w:hideMark/>
          </w:tcPr>
          <w:p w14:paraId="1C0C500C" w14:textId="77777777" w:rsidR="00EE5BB8" w:rsidRPr="00C6052E" w:rsidRDefault="00EE5BB8" w:rsidP="005C6D11">
            <w:pPr>
              <w:pStyle w:val="Tabletotal"/>
              <w:jc w:val="right"/>
            </w:pPr>
            <w:r w:rsidRPr="00C6052E">
              <w:t>–</w:t>
            </w:r>
          </w:p>
        </w:tc>
      </w:tr>
    </w:tbl>
    <w:p w14:paraId="667E0E73" w14:textId="77777777" w:rsidR="00EE5BB8" w:rsidRPr="00C34F64" w:rsidRDefault="00EE5BB8" w:rsidP="00C34F64">
      <w:pPr>
        <w:spacing w:after="0" w:line="240" w:lineRule="auto"/>
        <w:rPr>
          <w:sz w:val="14"/>
          <w:szCs w:val="14"/>
        </w:rPr>
      </w:pPr>
    </w:p>
    <w:tbl>
      <w:tblPr>
        <w:tblStyle w:val="TableGrid"/>
        <w:tblW w:w="14615" w:type="dxa"/>
        <w:tblLayout w:type="fixed"/>
        <w:tblLook w:val="04E0" w:firstRow="1" w:lastRow="1" w:firstColumn="1" w:lastColumn="0" w:noHBand="0" w:noVBand="1"/>
      </w:tblPr>
      <w:tblGrid>
        <w:gridCol w:w="3539"/>
        <w:gridCol w:w="1846"/>
        <w:gridCol w:w="1846"/>
        <w:gridCol w:w="1846"/>
        <w:gridCol w:w="1846"/>
        <w:gridCol w:w="1846"/>
        <w:gridCol w:w="1846"/>
      </w:tblGrid>
      <w:tr w:rsidR="00EE5BB8" w:rsidRPr="00C6052E" w14:paraId="28383960" w14:textId="77777777" w:rsidTr="006E345D">
        <w:tc>
          <w:tcPr>
            <w:tcW w:w="3539" w:type="dxa"/>
            <w:noWrap/>
            <w:hideMark/>
          </w:tcPr>
          <w:p w14:paraId="44487AEA" w14:textId="77777777" w:rsidR="00EE5BB8" w:rsidRPr="00C6052E" w:rsidRDefault="00EE5BB8" w:rsidP="006E345D">
            <w:pPr>
              <w:pStyle w:val="TableColumnHeading"/>
            </w:pPr>
            <w:bookmarkStart w:id="216" w:name="TableColumnHeadings_66"/>
            <w:bookmarkEnd w:id="216"/>
          </w:p>
        </w:tc>
        <w:tc>
          <w:tcPr>
            <w:tcW w:w="1846" w:type="dxa"/>
            <w:hideMark/>
          </w:tcPr>
          <w:p w14:paraId="2BA0350E" w14:textId="450740A8" w:rsidR="00EE5BB8" w:rsidRPr="00C6052E" w:rsidRDefault="00A6480E" w:rsidP="006E345D">
            <w:pPr>
              <w:pStyle w:val="TableColumnHeading"/>
              <w:jc w:val="right"/>
            </w:pPr>
            <w:r w:rsidRPr="00C6052E">
              <w:rPr>
                <w:lang w:val="en-AU"/>
              </w:rPr>
              <w:t xml:space="preserve">Tourism and Major Events </w:t>
            </w:r>
            <w:r w:rsidR="00EE5BB8" w:rsidRPr="00C6052E">
              <w:t>2025</w:t>
            </w:r>
          </w:p>
        </w:tc>
        <w:tc>
          <w:tcPr>
            <w:tcW w:w="1846" w:type="dxa"/>
            <w:hideMark/>
          </w:tcPr>
          <w:p w14:paraId="3C202FF4" w14:textId="0506B3EA" w:rsidR="00EE5BB8" w:rsidRPr="00C6052E" w:rsidRDefault="00A6480E" w:rsidP="006E345D">
            <w:pPr>
              <w:pStyle w:val="TableColumnHeading"/>
              <w:jc w:val="right"/>
            </w:pPr>
            <w:r w:rsidRPr="00C6052E">
              <w:rPr>
                <w:lang w:val="en-AU"/>
              </w:rPr>
              <w:t xml:space="preserve">Tourism and Major Events </w:t>
            </w:r>
            <w:r w:rsidR="00EE5BB8" w:rsidRPr="00C6052E">
              <w:t>2024</w:t>
            </w:r>
          </w:p>
        </w:tc>
        <w:tc>
          <w:tcPr>
            <w:tcW w:w="1846" w:type="dxa"/>
            <w:hideMark/>
          </w:tcPr>
          <w:p w14:paraId="39DC83A0" w14:textId="3DFA91A3" w:rsidR="00EE5BB8" w:rsidRPr="00C6052E" w:rsidRDefault="00A6480E" w:rsidP="006E345D">
            <w:pPr>
              <w:pStyle w:val="TableColumnHeading"/>
              <w:jc w:val="right"/>
            </w:pPr>
            <w:r w:rsidRPr="00C6052E">
              <w:rPr>
                <w:lang w:val="en-AU"/>
              </w:rPr>
              <w:t xml:space="preserve">Fishing, Boating and Game Management </w:t>
            </w:r>
            <w:r>
              <w:rPr>
                <w:lang w:val="en-AU"/>
              </w:rPr>
              <w:br/>
            </w:r>
            <w:r w:rsidR="00EE5BB8" w:rsidRPr="00C6052E">
              <w:t>2025</w:t>
            </w:r>
          </w:p>
        </w:tc>
        <w:tc>
          <w:tcPr>
            <w:tcW w:w="1846" w:type="dxa"/>
            <w:hideMark/>
          </w:tcPr>
          <w:p w14:paraId="5BB25EC0" w14:textId="50B1EDFC" w:rsidR="00EE5BB8" w:rsidRPr="00C6052E" w:rsidRDefault="00A6480E" w:rsidP="006E345D">
            <w:pPr>
              <w:pStyle w:val="TableColumnHeading"/>
              <w:jc w:val="right"/>
            </w:pPr>
            <w:r w:rsidRPr="00C6052E">
              <w:rPr>
                <w:lang w:val="en-AU"/>
              </w:rPr>
              <w:t xml:space="preserve">Fishing, Boating and Game Management </w:t>
            </w:r>
            <w:r>
              <w:rPr>
                <w:lang w:val="en-AU"/>
              </w:rPr>
              <w:br/>
            </w:r>
            <w:r w:rsidR="00EE5BB8" w:rsidRPr="00C6052E">
              <w:t>2024</w:t>
            </w:r>
          </w:p>
        </w:tc>
        <w:tc>
          <w:tcPr>
            <w:tcW w:w="1846" w:type="dxa"/>
            <w:hideMark/>
          </w:tcPr>
          <w:p w14:paraId="64E9CC7B" w14:textId="5503B93B" w:rsidR="00EE5BB8" w:rsidRPr="00C6052E" w:rsidRDefault="00A6480E" w:rsidP="006E345D">
            <w:pPr>
              <w:pStyle w:val="TableColumnHeading"/>
              <w:jc w:val="right"/>
            </w:pPr>
            <w:r w:rsidRPr="00C6052E">
              <w:rPr>
                <w:lang w:val="en-AU"/>
              </w:rPr>
              <w:t>DJSIR Consolidated Total</w:t>
            </w:r>
            <w:r w:rsidRPr="00C6052E">
              <w:t xml:space="preserve"> </w:t>
            </w:r>
            <w:r>
              <w:br/>
            </w:r>
            <w:r w:rsidR="00EE5BB8" w:rsidRPr="00C6052E">
              <w:t>2025</w:t>
            </w:r>
          </w:p>
        </w:tc>
        <w:tc>
          <w:tcPr>
            <w:tcW w:w="1846" w:type="dxa"/>
            <w:hideMark/>
          </w:tcPr>
          <w:p w14:paraId="785677A0" w14:textId="0AE600BA" w:rsidR="00EE5BB8" w:rsidRPr="00C6052E" w:rsidRDefault="00A6480E" w:rsidP="006E345D">
            <w:pPr>
              <w:pStyle w:val="TableColumnHeading"/>
              <w:jc w:val="right"/>
            </w:pPr>
            <w:r w:rsidRPr="00C6052E">
              <w:rPr>
                <w:lang w:val="en-AU"/>
              </w:rPr>
              <w:t>DJSIR Consolidated Total</w:t>
            </w:r>
            <w:r w:rsidRPr="00C6052E">
              <w:t xml:space="preserve"> </w:t>
            </w:r>
            <w:r>
              <w:br/>
            </w:r>
            <w:r w:rsidR="00EE5BB8" w:rsidRPr="00C6052E">
              <w:t>2024</w:t>
            </w:r>
          </w:p>
        </w:tc>
      </w:tr>
      <w:tr w:rsidR="006E345D" w:rsidRPr="00C6052E" w14:paraId="4342FB30" w14:textId="77777777" w:rsidTr="006E345D">
        <w:tc>
          <w:tcPr>
            <w:tcW w:w="3539" w:type="dxa"/>
          </w:tcPr>
          <w:p w14:paraId="29BC1016" w14:textId="09156D62" w:rsidR="006E345D" w:rsidRPr="00C6052E" w:rsidRDefault="006E345D" w:rsidP="006E345D">
            <w:pPr>
              <w:pStyle w:val="TableHeading"/>
            </w:pPr>
            <w:r w:rsidRPr="00C6052E">
              <w:t>Administered assets</w:t>
            </w:r>
          </w:p>
        </w:tc>
        <w:tc>
          <w:tcPr>
            <w:tcW w:w="1846" w:type="dxa"/>
            <w:noWrap/>
          </w:tcPr>
          <w:p w14:paraId="2EC1D28B" w14:textId="77777777" w:rsidR="006E345D" w:rsidRPr="00C6052E" w:rsidRDefault="006E345D" w:rsidP="006E345D">
            <w:pPr>
              <w:pStyle w:val="TableHeading"/>
              <w:jc w:val="right"/>
            </w:pPr>
          </w:p>
        </w:tc>
        <w:tc>
          <w:tcPr>
            <w:tcW w:w="1846" w:type="dxa"/>
            <w:noWrap/>
          </w:tcPr>
          <w:p w14:paraId="5CB6DAF6" w14:textId="77777777" w:rsidR="006E345D" w:rsidRPr="00C6052E" w:rsidRDefault="006E345D" w:rsidP="006E345D">
            <w:pPr>
              <w:pStyle w:val="TableHeading"/>
              <w:jc w:val="right"/>
            </w:pPr>
          </w:p>
        </w:tc>
        <w:tc>
          <w:tcPr>
            <w:tcW w:w="1846" w:type="dxa"/>
            <w:noWrap/>
          </w:tcPr>
          <w:p w14:paraId="6DFAFF9B" w14:textId="77777777" w:rsidR="006E345D" w:rsidRPr="00C6052E" w:rsidRDefault="006E345D" w:rsidP="006E345D">
            <w:pPr>
              <w:pStyle w:val="TableHeading"/>
              <w:jc w:val="right"/>
            </w:pPr>
          </w:p>
        </w:tc>
        <w:tc>
          <w:tcPr>
            <w:tcW w:w="1846" w:type="dxa"/>
            <w:noWrap/>
          </w:tcPr>
          <w:p w14:paraId="512CE142" w14:textId="77777777" w:rsidR="006E345D" w:rsidRPr="00C6052E" w:rsidRDefault="006E345D" w:rsidP="006E345D">
            <w:pPr>
              <w:pStyle w:val="TableHeading"/>
              <w:jc w:val="right"/>
            </w:pPr>
          </w:p>
        </w:tc>
        <w:tc>
          <w:tcPr>
            <w:tcW w:w="1846" w:type="dxa"/>
            <w:noWrap/>
          </w:tcPr>
          <w:p w14:paraId="41CA75DF" w14:textId="77777777" w:rsidR="006E345D" w:rsidRPr="00C6052E" w:rsidRDefault="006E345D" w:rsidP="006E345D">
            <w:pPr>
              <w:pStyle w:val="TableHeading"/>
              <w:jc w:val="right"/>
            </w:pPr>
          </w:p>
        </w:tc>
        <w:tc>
          <w:tcPr>
            <w:tcW w:w="1846" w:type="dxa"/>
            <w:noWrap/>
          </w:tcPr>
          <w:p w14:paraId="0F18BE23" w14:textId="77777777" w:rsidR="006E345D" w:rsidRPr="00C6052E" w:rsidRDefault="006E345D" w:rsidP="006E345D">
            <w:pPr>
              <w:pStyle w:val="TableHeading"/>
              <w:jc w:val="right"/>
            </w:pPr>
          </w:p>
        </w:tc>
      </w:tr>
      <w:tr w:rsidR="00EE5BB8" w:rsidRPr="00C6052E" w14:paraId="54E638D6" w14:textId="77777777" w:rsidTr="006E345D">
        <w:tc>
          <w:tcPr>
            <w:tcW w:w="3539" w:type="dxa"/>
            <w:hideMark/>
          </w:tcPr>
          <w:p w14:paraId="0D8B3B16" w14:textId="53EF753F" w:rsidR="00EE5BB8" w:rsidRPr="00C6052E" w:rsidRDefault="00EE5BB8" w:rsidP="0063097D">
            <w:pPr>
              <w:pStyle w:val="TableCopy"/>
            </w:pPr>
            <w:r w:rsidRPr="00C6052E">
              <w:t>Financial</w:t>
            </w:r>
            <w:r w:rsidR="00177848" w:rsidRPr="00C6052E">
              <w:t xml:space="preserve"> </w:t>
            </w:r>
            <w:r w:rsidRPr="00C6052E">
              <w:t>assets</w:t>
            </w:r>
          </w:p>
        </w:tc>
        <w:tc>
          <w:tcPr>
            <w:tcW w:w="1846" w:type="dxa"/>
            <w:noWrap/>
            <w:hideMark/>
          </w:tcPr>
          <w:p w14:paraId="31666268" w14:textId="77777777" w:rsidR="00EE5BB8" w:rsidRPr="00C6052E" w:rsidRDefault="00EE5BB8" w:rsidP="006E345D">
            <w:pPr>
              <w:pStyle w:val="TableCopy"/>
              <w:jc w:val="right"/>
            </w:pPr>
            <w:r w:rsidRPr="00C6052E">
              <w:t>(4,999)</w:t>
            </w:r>
          </w:p>
        </w:tc>
        <w:tc>
          <w:tcPr>
            <w:tcW w:w="1846" w:type="dxa"/>
            <w:noWrap/>
            <w:hideMark/>
          </w:tcPr>
          <w:p w14:paraId="3FD9F816" w14:textId="77777777" w:rsidR="00EE5BB8" w:rsidRPr="00C6052E" w:rsidRDefault="00EE5BB8" w:rsidP="006E345D">
            <w:pPr>
              <w:pStyle w:val="TableCopy"/>
              <w:jc w:val="right"/>
            </w:pPr>
            <w:r w:rsidRPr="00C6052E">
              <w:t>193</w:t>
            </w:r>
          </w:p>
        </w:tc>
        <w:tc>
          <w:tcPr>
            <w:tcW w:w="1846" w:type="dxa"/>
            <w:noWrap/>
            <w:hideMark/>
          </w:tcPr>
          <w:p w14:paraId="280F48B3" w14:textId="77777777" w:rsidR="00EE5BB8" w:rsidRPr="00C6052E" w:rsidRDefault="00EE5BB8" w:rsidP="006E345D">
            <w:pPr>
              <w:pStyle w:val="TableCopy"/>
              <w:jc w:val="right"/>
            </w:pPr>
            <w:r w:rsidRPr="00C6052E">
              <w:t>444</w:t>
            </w:r>
          </w:p>
        </w:tc>
        <w:tc>
          <w:tcPr>
            <w:tcW w:w="1846" w:type="dxa"/>
            <w:noWrap/>
            <w:hideMark/>
          </w:tcPr>
          <w:p w14:paraId="6D64B34C" w14:textId="77777777" w:rsidR="00EE5BB8" w:rsidRPr="00C6052E" w:rsidRDefault="00EE5BB8" w:rsidP="006E345D">
            <w:pPr>
              <w:pStyle w:val="TableCopy"/>
              <w:jc w:val="right"/>
            </w:pPr>
            <w:r w:rsidRPr="00C6052E">
              <w:t>92</w:t>
            </w:r>
          </w:p>
        </w:tc>
        <w:tc>
          <w:tcPr>
            <w:tcW w:w="1846" w:type="dxa"/>
            <w:noWrap/>
            <w:hideMark/>
          </w:tcPr>
          <w:p w14:paraId="4B3F5442" w14:textId="77777777" w:rsidR="00EE5BB8" w:rsidRPr="00C6052E" w:rsidRDefault="00EE5BB8" w:rsidP="006E345D">
            <w:pPr>
              <w:pStyle w:val="TableCopy"/>
              <w:jc w:val="right"/>
            </w:pPr>
            <w:r w:rsidRPr="00C6052E">
              <w:t>45,724</w:t>
            </w:r>
          </w:p>
        </w:tc>
        <w:tc>
          <w:tcPr>
            <w:tcW w:w="1846" w:type="dxa"/>
            <w:noWrap/>
            <w:hideMark/>
          </w:tcPr>
          <w:p w14:paraId="5790464F" w14:textId="77777777" w:rsidR="00EE5BB8" w:rsidRPr="00C6052E" w:rsidRDefault="00EE5BB8" w:rsidP="006E345D">
            <w:pPr>
              <w:pStyle w:val="TableCopy"/>
              <w:jc w:val="right"/>
            </w:pPr>
            <w:r w:rsidRPr="00C6052E">
              <w:t>47,492</w:t>
            </w:r>
          </w:p>
        </w:tc>
      </w:tr>
      <w:tr w:rsidR="00EE5BB8" w:rsidRPr="00C6052E" w14:paraId="3E7A1CA8" w14:textId="77777777" w:rsidTr="006E345D">
        <w:tc>
          <w:tcPr>
            <w:tcW w:w="3539" w:type="dxa"/>
            <w:hideMark/>
          </w:tcPr>
          <w:p w14:paraId="1F1F586A" w14:textId="3BE0D8E8" w:rsidR="00EE5BB8" w:rsidRPr="00C6052E" w:rsidRDefault="00EE5BB8" w:rsidP="0063097D">
            <w:pPr>
              <w:pStyle w:val="TableCopy"/>
            </w:pPr>
            <w:r w:rsidRPr="00C6052E">
              <w:t>Non-financial</w:t>
            </w:r>
            <w:r w:rsidR="00177848" w:rsidRPr="00C6052E">
              <w:t xml:space="preserve"> </w:t>
            </w:r>
            <w:r w:rsidRPr="00C6052E">
              <w:t>assets</w:t>
            </w:r>
          </w:p>
        </w:tc>
        <w:tc>
          <w:tcPr>
            <w:tcW w:w="1846" w:type="dxa"/>
            <w:noWrap/>
            <w:hideMark/>
          </w:tcPr>
          <w:p w14:paraId="108F98DA" w14:textId="77777777" w:rsidR="00EE5BB8" w:rsidRPr="00C6052E" w:rsidRDefault="00EE5BB8" w:rsidP="006E345D">
            <w:pPr>
              <w:pStyle w:val="TableCopy"/>
              <w:jc w:val="right"/>
            </w:pPr>
            <w:r w:rsidRPr="00C6052E">
              <w:t>–</w:t>
            </w:r>
          </w:p>
        </w:tc>
        <w:tc>
          <w:tcPr>
            <w:tcW w:w="1846" w:type="dxa"/>
            <w:noWrap/>
            <w:hideMark/>
          </w:tcPr>
          <w:p w14:paraId="6FE79B77" w14:textId="77777777" w:rsidR="00EE5BB8" w:rsidRPr="00C6052E" w:rsidRDefault="00EE5BB8" w:rsidP="006E345D">
            <w:pPr>
              <w:pStyle w:val="TableCopy"/>
              <w:jc w:val="right"/>
            </w:pPr>
            <w:r w:rsidRPr="00C6052E">
              <w:t>–</w:t>
            </w:r>
          </w:p>
        </w:tc>
        <w:tc>
          <w:tcPr>
            <w:tcW w:w="1846" w:type="dxa"/>
            <w:noWrap/>
            <w:hideMark/>
          </w:tcPr>
          <w:p w14:paraId="23440DE2" w14:textId="77777777" w:rsidR="00EE5BB8" w:rsidRPr="00C6052E" w:rsidRDefault="00EE5BB8" w:rsidP="006E345D">
            <w:pPr>
              <w:pStyle w:val="TableCopy"/>
              <w:jc w:val="right"/>
            </w:pPr>
            <w:r w:rsidRPr="00C6052E">
              <w:t>–</w:t>
            </w:r>
          </w:p>
        </w:tc>
        <w:tc>
          <w:tcPr>
            <w:tcW w:w="1846" w:type="dxa"/>
            <w:noWrap/>
            <w:hideMark/>
          </w:tcPr>
          <w:p w14:paraId="04D54F14" w14:textId="77777777" w:rsidR="00EE5BB8" w:rsidRPr="00C6052E" w:rsidRDefault="00EE5BB8" w:rsidP="006E345D">
            <w:pPr>
              <w:pStyle w:val="TableCopy"/>
              <w:jc w:val="right"/>
            </w:pPr>
            <w:r w:rsidRPr="00C6052E">
              <w:t>–</w:t>
            </w:r>
          </w:p>
        </w:tc>
        <w:tc>
          <w:tcPr>
            <w:tcW w:w="1846" w:type="dxa"/>
            <w:noWrap/>
            <w:hideMark/>
          </w:tcPr>
          <w:p w14:paraId="064759AF" w14:textId="77777777" w:rsidR="00EE5BB8" w:rsidRPr="00C6052E" w:rsidRDefault="00EE5BB8" w:rsidP="006E345D">
            <w:pPr>
              <w:pStyle w:val="TableCopy"/>
              <w:jc w:val="right"/>
            </w:pPr>
            <w:r w:rsidRPr="00C6052E">
              <w:t>25,282</w:t>
            </w:r>
          </w:p>
        </w:tc>
        <w:tc>
          <w:tcPr>
            <w:tcW w:w="1846" w:type="dxa"/>
            <w:noWrap/>
            <w:hideMark/>
          </w:tcPr>
          <w:p w14:paraId="7A483083" w14:textId="77777777" w:rsidR="00EE5BB8" w:rsidRPr="00C6052E" w:rsidRDefault="00EE5BB8" w:rsidP="006E345D">
            <w:pPr>
              <w:pStyle w:val="TableCopy"/>
              <w:jc w:val="right"/>
            </w:pPr>
            <w:r w:rsidRPr="00C6052E">
              <w:t>–</w:t>
            </w:r>
          </w:p>
        </w:tc>
      </w:tr>
      <w:tr w:rsidR="00EE5BB8" w:rsidRPr="00C6052E" w14:paraId="60698BFF" w14:textId="77777777" w:rsidTr="006E345D">
        <w:tc>
          <w:tcPr>
            <w:tcW w:w="3539" w:type="dxa"/>
            <w:noWrap/>
            <w:hideMark/>
          </w:tcPr>
          <w:p w14:paraId="6DAA37AA" w14:textId="770A07F6" w:rsidR="00EE5BB8" w:rsidRPr="00C6052E" w:rsidRDefault="00EE5BB8" w:rsidP="0063097D">
            <w:pPr>
              <w:pStyle w:val="Tabletotal"/>
            </w:pPr>
            <w:r w:rsidRPr="00C6052E">
              <w:t>Total</w:t>
            </w:r>
            <w:r w:rsidR="00177848" w:rsidRPr="00C6052E">
              <w:t xml:space="preserve"> </w:t>
            </w:r>
            <w:r w:rsidRPr="00C6052E">
              <w:t>administered</w:t>
            </w:r>
            <w:r w:rsidR="00177848" w:rsidRPr="00C6052E">
              <w:t xml:space="preserve"> </w:t>
            </w:r>
            <w:r w:rsidRPr="00C6052E">
              <w:t>assets</w:t>
            </w:r>
            <w:r w:rsidR="00177848" w:rsidRPr="00C6052E">
              <w:t xml:space="preserve"> </w:t>
            </w:r>
          </w:p>
        </w:tc>
        <w:tc>
          <w:tcPr>
            <w:tcW w:w="1846" w:type="dxa"/>
            <w:noWrap/>
            <w:hideMark/>
          </w:tcPr>
          <w:p w14:paraId="36265E68" w14:textId="77777777" w:rsidR="00EE5BB8" w:rsidRPr="00C6052E" w:rsidRDefault="00EE5BB8" w:rsidP="006E345D">
            <w:pPr>
              <w:pStyle w:val="Tabletotal"/>
              <w:jc w:val="right"/>
            </w:pPr>
            <w:r w:rsidRPr="00C6052E">
              <w:t>(4,999)</w:t>
            </w:r>
          </w:p>
        </w:tc>
        <w:tc>
          <w:tcPr>
            <w:tcW w:w="1846" w:type="dxa"/>
            <w:noWrap/>
            <w:hideMark/>
          </w:tcPr>
          <w:p w14:paraId="79009A1D" w14:textId="77777777" w:rsidR="00EE5BB8" w:rsidRPr="00C6052E" w:rsidRDefault="00EE5BB8" w:rsidP="006E345D">
            <w:pPr>
              <w:pStyle w:val="Tabletotal"/>
              <w:jc w:val="right"/>
            </w:pPr>
            <w:r w:rsidRPr="00C6052E">
              <w:t>193</w:t>
            </w:r>
          </w:p>
        </w:tc>
        <w:tc>
          <w:tcPr>
            <w:tcW w:w="1846" w:type="dxa"/>
            <w:noWrap/>
            <w:hideMark/>
          </w:tcPr>
          <w:p w14:paraId="27253EAD" w14:textId="77777777" w:rsidR="00EE5BB8" w:rsidRPr="00C6052E" w:rsidRDefault="00EE5BB8" w:rsidP="006E345D">
            <w:pPr>
              <w:pStyle w:val="Tabletotal"/>
              <w:jc w:val="right"/>
            </w:pPr>
            <w:r w:rsidRPr="00C6052E">
              <w:t>444</w:t>
            </w:r>
          </w:p>
        </w:tc>
        <w:tc>
          <w:tcPr>
            <w:tcW w:w="1846" w:type="dxa"/>
            <w:noWrap/>
            <w:hideMark/>
          </w:tcPr>
          <w:p w14:paraId="5AE23B4D" w14:textId="77777777" w:rsidR="00EE5BB8" w:rsidRPr="00C6052E" w:rsidRDefault="00EE5BB8" w:rsidP="006E345D">
            <w:pPr>
              <w:pStyle w:val="Tabletotal"/>
              <w:jc w:val="right"/>
            </w:pPr>
            <w:r w:rsidRPr="00C6052E">
              <w:t>92</w:t>
            </w:r>
          </w:p>
        </w:tc>
        <w:tc>
          <w:tcPr>
            <w:tcW w:w="1846" w:type="dxa"/>
            <w:noWrap/>
            <w:hideMark/>
          </w:tcPr>
          <w:p w14:paraId="3409EB9D" w14:textId="77777777" w:rsidR="00EE5BB8" w:rsidRPr="00C6052E" w:rsidRDefault="00EE5BB8" w:rsidP="006E345D">
            <w:pPr>
              <w:pStyle w:val="Tabletotal"/>
              <w:jc w:val="right"/>
            </w:pPr>
            <w:r w:rsidRPr="00C6052E">
              <w:t>71,006</w:t>
            </w:r>
          </w:p>
        </w:tc>
        <w:tc>
          <w:tcPr>
            <w:tcW w:w="1846" w:type="dxa"/>
            <w:noWrap/>
            <w:hideMark/>
          </w:tcPr>
          <w:p w14:paraId="7BA0BC6D" w14:textId="77777777" w:rsidR="00EE5BB8" w:rsidRPr="00C6052E" w:rsidRDefault="00EE5BB8" w:rsidP="006E345D">
            <w:pPr>
              <w:pStyle w:val="Tabletotal"/>
              <w:jc w:val="right"/>
            </w:pPr>
            <w:r w:rsidRPr="00C6052E">
              <w:t>47,492</w:t>
            </w:r>
          </w:p>
        </w:tc>
      </w:tr>
      <w:tr w:rsidR="00EE5BB8" w:rsidRPr="00C6052E" w14:paraId="2EC51C6E" w14:textId="77777777" w:rsidTr="006E345D">
        <w:tc>
          <w:tcPr>
            <w:tcW w:w="3539" w:type="dxa"/>
            <w:noWrap/>
            <w:hideMark/>
          </w:tcPr>
          <w:p w14:paraId="76DD6199" w14:textId="04E552F4" w:rsidR="00EE5BB8" w:rsidRPr="00C6052E" w:rsidRDefault="00EE5BB8" w:rsidP="0063097D">
            <w:pPr>
              <w:pStyle w:val="Tabletotal"/>
            </w:pPr>
            <w:r w:rsidRPr="00C6052E">
              <w:t>Total</w:t>
            </w:r>
            <w:r w:rsidR="00177848" w:rsidRPr="00C6052E">
              <w:t xml:space="preserve"> </w:t>
            </w:r>
            <w:r w:rsidRPr="00C6052E">
              <w:t>administered</w:t>
            </w:r>
            <w:r w:rsidR="00177848" w:rsidRPr="00C6052E">
              <w:t xml:space="preserve"> </w:t>
            </w:r>
            <w:r w:rsidRPr="00C6052E">
              <w:t>liabilities</w:t>
            </w:r>
            <w:r w:rsidR="00177848" w:rsidRPr="00C6052E">
              <w:t xml:space="preserve"> </w:t>
            </w:r>
          </w:p>
        </w:tc>
        <w:tc>
          <w:tcPr>
            <w:tcW w:w="1846" w:type="dxa"/>
            <w:noWrap/>
            <w:hideMark/>
          </w:tcPr>
          <w:p w14:paraId="25F611AF" w14:textId="77777777" w:rsidR="00EE5BB8" w:rsidRPr="00C6052E" w:rsidRDefault="00EE5BB8" w:rsidP="006E345D">
            <w:pPr>
              <w:pStyle w:val="Tabletotal"/>
              <w:jc w:val="right"/>
            </w:pPr>
            <w:r w:rsidRPr="00C6052E">
              <w:t>36</w:t>
            </w:r>
          </w:p>
        </w:tc>
        <w:tc>
          <w:tcPr>
            <w:tcW w:w="1846" w:type="dxa"/>
            <w:noWrap/>
            <w:hideMark/>
          </w:tcPr>
          <w:p w14:paraId="6C113E03" w14:textId="77777777" w:rsidR="00EE5BB8" w:rsidRPr="00C6052E" w:rsidRDefault="00EE5BB8" w:rsidP="006E345D">
            <w:pPr>
              <w:pStyle w:val="Tabletotal"/>
              <w:jc w:val="right"/>
            </w:pPr>
            <w:r w:rsidRPr="00C6052E">
              <w:t>43</w:t>
            </w:r>
          </w:p>
        </w:tc>
        <w:tc>
          <w:tcPr>
            <w:tcW w:w="1846" w:type="dxa"/>
            <w:noWrap/>
            <w:hideMark/>
          </w:tcPr>
          <w:p w14:paraId="6C84F851" w14:textId="77777777" w:rsidR="00EE5BB8" w:rsidRPr="00C6052E" w:rsidRDefault="00EE5BB8" w:rsidP="006E345D">
            <w:pPr>
              <w:pStyle w:val="Tabletotal"/>
              <w:jc w:val="right"/>
            </w:pPr>
            <w:r w:rsidRPr="00C6052E">
              <w:t>–</w:t>
            </w:r>
          </w:p>
        </w:tc>
        <w:tc>
          <w:tcPr>
            <w:tcW w:w="1846" w:type="dxa"/>
            <w:noWrap/>
            <w:hideMark/>
          </w:tcPr>
          <w:p w14:paraId="443725C0" w14:textId="77777777" w:rsidR="00EE5BB8" w:rsidRPr="00C6052E" w:rsidRDefault="00EE5BB8" w:rsidP="006E345D">
            <w:pPr>
              <w:pStyle w:val="Tabletotal"/>
              <w:jc w:val="right"/>
            </w:pPr>
            <w:r w:rsidRPr="00C6052E">
              <w:t>2</w:t>
            </w:r>
          </w:p>
        </w:tc>
        <w:tc>
          <w:tcPr>
            <w:tcW w:w="1846" w:type="dxa"/>
            <w:noWrap/>
            <w:hideMark/>
          </w:tcPr>
          <w:p w14:paraId="12B00700" w14:textId="77777777" w:rsidR="00EE5BB8" w:rsidRPr="00C6052E" w:rsidRDefault="00EE5BB8" w:rsidP="006E345D">
            <w:pPr>
              <w:pStyle w:val="Tabletotal"/>
              <w:jc w:val="right"/>
            </w:pPr>
            <w:r w:rsidRPr="00C6052E">
              <w:t>369</w:t>
            </w:r>
          </w:p>
        </w:tc>
        <w:tc>
          <w:tcPr>
            <w:tcW w:w="1846" w:type="dxa"/>
            <w:noWrap/>
            <w:hideMark/>
          </w:tcPr>
          <w:p w14:paraId="06095316" w14:textId="77777777" w:rsidR="00EE5BB8" w:rsidRPr="00C6052E" w:rsidRDefault="00EE5BB8" w:rsidP="006E345D">
            <w:pPr>
              <w:pStyle w:val="Tabletotal"/>
              <w:jc w:val="right"/>
            </w:pPr>
            <w:r w:rsidRPr="00C6052E">
              <w:t>155</w:t>
            </w:r>
          </w:p>
        </w:tc>
      </w:tr>
      <w:tr w:rsidR="00EE5BB8" w:rsidRPr="00C6052E" w14:paraId="295B6610" w14:textId="77777777" w:rsidTr="006E345D">
        <w:tc>
          <w:tcPr>
            <w:tcW w:w="3539" w:type="dxa"/>
            <w:noWrap/>
            <w:hideMark/>
          </w:tcPr>
          <w:p w14:paraId="610AC0C6" w14:textId="7F76E1B5" w:rsidR="00EE5BB8" w:rsidRPr="00C6052E" w:rsidRDefault="00EE5BB8" w:rsidP="0063097D">
            <w:pPr>
              <w:pStyle w:val="Tabletotal"/>
            </w:pPr>
            <w:r w:rsidRPr="00C6052E">
              <w:t>Total</w:t>
            </w:r>
            <w:r w:rsidR="00177848" w:rsidRPr="00C6052E">
              <w:t xml:space="preserve"> </w:t>
            </w:r>
            <w:r w:rsidRPr="00C6052E">
              <w:t>administered</w:t>
            </w:r>
            <w:r w:rsidR="00177848" w:rsidRPr="00C6052E">
              <w:t xml:space="preserve"> </w:t>
            </w:r>
            <w:r w:rsidRPr="00C6052E">
              <w:t>net</w:t>
            </w:r>
            <w:r w:rsidR="00177848" w:rsidRPr="00C6052E">
              <w:t xml:space="preserve"> </w:t>
            </w:r>
            <w:r w:rsidRPr="00C6052E">
              <w:t>assets</w:t>
            </w:r>
          </w:p>
        </w:tc>
        <w:tc>
          <w:tcPr>
            <w:tcW w:w="1846" w:type="dxa"/>
            <w:noWrap/>
            <w:hideMark/>
          </w:tcPr>
          <w:p w14:paraId="7492435E" w14:textId="77777777" w:rsidR="00EE5BB8" w:rsidRPr="00C6052E" w:rsidRDefault="00EE5BB8" w:rsidP="006E345D">
            <w:pPr>
              <w:pStyle w:val="Tabletotal"/>
              <w:jc w:val="right"/>
            </w:pPr>
            <w:r w:rsidRPr="00C6052E">
              <w:t>(5,035)</w:t>
            </w:r>
          </w:p>
        </w:tc>
        <w:tc>
          <w:tcPr>
            <w:tcW w:w="1846" w:type="dxa"/>
            <w:noWrap/>
            <w:hideMark/>
          </w:tcPr>
          <w:p w14:paraId="2A2F6C61" w14:textId="77777777" w:rsidR="00EE5BB8" w:rsidRPr="00C6052E" w:rsidRDefault="00EE5BB8" w:rsidP="006E345D">
            <w:pPr>
              <w:pStyle w:val="Tabletotal"/>
              <w:jc w:val="right"/>
            </w:pPr>
            <w:r w:rsidRPr="00C6052E">
              <w:t>150</w:t>
            </w:r>
          </w:p>
        </w:tc>
        <w:tc>
          <w:tcPr>
            <w:tcW w:w="1846" w:type="dxa"/>
            <w:noWrap/>
            <w:hideMark/>
          </w:tcPr>
          <w:p w14:paraId="785D8932" w14:textId="77777777" w:rsidR="00EE5BB8" w:rsidRPr="00C6052E" w:rsidRDefault="00EE5BB8" w:rsidP="006E345D">
            <w:pPr>
              <w:pStyle w:val="Tabletotal"/>
              <w:jc w:val="right"/>
            </w:pPr>
            <w:r w:rsidRPr="00C6052E">
              <w:t>444</w:t>
            </w:r>
          </w:p>
        </w:tc>
        <w:tc>
          <w:tcPr>
            <w:tcW w:w="1846" w:type="dxa"/>
            <w:noWrap/>
            <w:hideMark/>
          </w:tcPr>
          <w:p w14:paraId="376539B4" w14:textId="77777777" w:rsidR="00EE5BB8" w:rsidRPr="00C6052E" w:rsidRDefault="00EE5BB8" w:rsidP="006E345D">
            <w:pPr>
              <w:pStyle w:val="Tabletotal"/>
              <w:jc w:val="right"/>
            </w:pPr>
            <w:r w:rsidRPr="00C6052E">
              <w:t>90</w:t>
            </w:r>
          </w:p>
        </w:tc>
        <w:tc>
          <w:tcPr>
            <w:tcW w:w="1846" w:type="dxa"/>
            <w:noWrap/>
            <w:hideMark/>
          </w:tcPr>
          <w:p w14:paraId="41636FA7" w14:textId="77777777" w:rsidR="00EE5BB8" w:rsidRPr="00C6052E" w:rsidRDefault="00EE5BB8" w:rsidP="006E345D">
            <w:pPr>
              <w:pStyle w:val="Tabletotal"/>
              <w:jc w:val="right"/>
            </w:pPr>
            <w:r w:rsidRPr="00C6052E">
              <w:t>70,637</w:t>
            </w:r>
          </w:p>
        </w:tc>
        <w:tc>
          <w:tcPr>
            <w:tcW w:w="1846" w:type="dxa"/>
            <w:noWrap/>
            <w:hideMark/>
          </w:tcPr>
          <w:p w14:paraId="1EBF3B87" w14:textId="77777777" w:rsidR="00EE5BB8" w:rsidRPr="00C6052E" w:rsidRDefault="00EE5BB8" w:rsidP="006E345D">
            <w:pPr>
              <w:pStyle w:val="Tabletotal"/>
              <w:jc w:val="right"/>
            </w:pPr>
            <w:r w:rsidRPr="00C6052E">
              <w:t>47,337</w:t>
            </w:r>
          </w:p>
        </w:tc>
      </w:tr>
    </w:tbl>
    <w:p w14:paraId="32673A3F" w14:textId="77777777" w:rsidR="00EE5BB8" w:rsidRPr="00C6052E" w:rsidRDefault="00EE5BB8" w:rsidP="00EE5BB8"/>
    <w:p w14:paraId="3D3252D6" w14:textId="77777777" w:rsidR="00EE5BB8" w:rsidRPr="00C6052E" w:rsidRDefault="00EE5BB8" w:rsidP="00EE5BB8">
      <w:pPr>
        <w:sectPr w:rsidR="00EE5BB8" w:rsidRPr="00C6052E" w:rsidSect="00EE5BB8">
          <w:headerReference w:type="even" r:id="rId22"/>
          <w:headerReference w:type="default" r:id="rId23"/>
          <w:endnotePr>
            <w:numFmt w:val="decimal"/>
          </w:endnotePr>
          <w:pgSz w:w="16840" w:h="11907" w:code="9"/>
          <w:pgMar w:top="1134" w:right="1134" w:bottom="1134" w:left="1134" w:header="567" w:footer="567" w:gutter="0"/>
          <w:cols w:space="708"/>
          <w:docGrid w:linePitch="360"/>
        </w:sectPr>
      </w:pPr>
    </w:p>
    <w:p w14:paraId="4EA0AE50" w14:textId="0A12AA35" w:rsidR="00EE5BB8" w:rsidRPr="00C6052E" w:rsidRDefault="00EE5BB8" w:rsidP="00EE5BB8">
      <w:pPr>
        <w:pStyle w:val="Heading1numbered0"/>
        <w:ind w:left="284" w:hanging="284"/>
      </w:pPr>
      <w:bookmarkStart w:id="217" w:name="_Toc163565963"/>
      <w:bookmarkStart w:id="218" w:name="_Toc214618239"/>
      <w:bookmarkEnd w:id="167"/>
      <w:r w:rsidRPr="00C6052E">
        <w:lastRenderedPageBreak/>
        <w:t>Key</w:t>
      </w:r>
      <w:r w:rsidR="00177848" w:rsidRPr="00C6052E">
        <w:t xml:space="preserve"> </w:t>
      </w:r>
      <w:r w:rsidRPr="00C6052E">
        <w:t>Assets</w:t>
      </w:r>
      <w:r w:rsidR="00177848" w:rsidRPr="00C6052E">
        <w:t xml:space="preserve"> </w:t>
      </w:r>
      <w:r w:rsidRPr="00C6052E">
        <w:t>Available</w:t>
      </w:r>
      <w:r w:rsidR="00177848" w:rsidRPr="00C6052E">
        <w:t xml:space="preserve"> </w:t>
      </w:r>
      <w:r w:rsidRPr="00C6052E">
        <w:t>to</w:t>
      </w:r>
      <w:r w:rsidR="00177848" w:rsidRPr="00C6052E">
        <w:t xml:space="preserve"> </w:t>
      </w:r>
      <w:r w:rsidRPr="00C6052E">
        <w:t>Support</w:t>
      </w:r>
      <w:r w:rsidR="00177848" w:rsidRPr="00C6052E">
        <w:t xml:space="preserve"> </w:t>
      </w:r>
      <w:r w:rsidRPr="00C6052E">
        <w:t>Output</w:t>
      </w:r>
      <w:r w:rsidR="00177848" w:rsidRPr="00C6052E">
        <w:t xml:space="preserve"> </w:t>
      </w:r>
      <w:r w:rsidRPr="00C6052E">
        <w:t>Delivery</w:t>
      </w:r>
      <w:bookmarkEnd w:id="217"/>
      <w:bookmarkEnd w:id="218"/>
    </w:p>
    <w:p w14:paraId="528F0078" w14:textId="77777777" w:rsidR="00EE5BB8" w:rsidRPr="00C6052E" w:rsidRDefault="00EE5BB8" w:rsidP="00E97D0C">
      <w:pPr>
        <w:pStyle w:val="Heading3"/>
      </w:pPr>
      <w:bookmarkStart w:id="219" w:name="_Toc163565964"/>
      <w:bookmarkStart w:id="220" w:name="_Toc163566571"/>
      <w:bookmarkStart w:id="221" w:name="_Toc174009493"/>
      <w:r w:rsidRPr="00C6052E">
        <w:t>Introduction</w:t>
      </w:r>
      <w:bookmarkEnd w:id="219"/>
      <w:bookmarkEnd w:id="220"/>
      <w:bookmarkEnd w:id="221"/>
    </w:p>
    <w:p w14:paraId="5311CBD7" w14:textId="38403077" w:rsidR="00EE5BB8" w:rsidRPr="00C6052E" w:rsidRDefault="00EE5BB8" w:rsidP="00EE5BB8">
      <w:r w:rsidRPr="00C6052E">
        <w:t>DJSIR</w:t>
      </w:r>
      <w:r w:rsidR="00177848" w:rsidRPr="00C6052E">
        <w:t xml:space="preserve"> </w:t>
      </w:r>
      <w:r w:rsidRPr="00C6052E">
        <w:t>controls</w:t>
      </w:r>
      <w:r w:rsidR="00177848" w:rsidRPr="00C6052E">
        <w:t xml:space="preserve"> </w:t>
      </w:r>
      <w:r w:rsidRPr="00C6052E">
        <w:t>infrastructure</w:t>
      </w:r>
      <w:r w:rsidR="00177848" w:rsidRPr="00C6052E">
        <w:t xml:space="preserve"> </w:t>
      </w:r>
      <w:r w:rsidRPr="00C6052E">
        <w:t>and</w:t>
      </w:r>
      <w:r w:rsidR="00177848" w:rsidRPr="00C6052E">
        <w:t xml:space="preserve"> </w:t>
      </w:r>
      <w:r w:rsidRPr="00C6052E">
        <w:t>other</w:t>
      </w:r>
      <w:r w:rsidR="00177848" w:rsidRPr="00C6052E">
        <w:t xml:space="preserve"> </w:t>
      </w:r>
      <w:r w:rsidRPr="00C6052E">
        <w:t>investments</w:t>
      </w:r>
      <w:r w:rsidR="00177848" w:rsidRPr="00C6052E">
        <w:t xml:space="preserve"> </w:t>
      </w:r>
      <w:r w:rsidRPr="00C6052E">
        <w:rPr>
          <w:spacing w:val="-2"/>
        </w:rPr>
        <w:t>that</w:t>
      </w:r>
      <w:r w:rsidR="00177848" w:rsidRPr="00C6052E">
        <w:rPr>
          <w:spacing w:val="-2"/>
        </w:rPr>
        <w:t xml:space="preserve"> </w:t>
      </w:r>
      <w:r w:rsidRPr="00C6052E">
        <w:rPr>
          <w:spacing w:val="-2"/>
        </w:rPr>
        <w:t>are</w:t>
      </w:r>
      <w:r w:rsidR="00177848" w:rsidRPr="00C6052E">
        <w:rPr>
          <w:spacing w:val="-2"/>
        </w:rPr>
        <w:t xml:space="preserve"> </w:t>
      </w:r>
      <w:r w:rsidRPr="00C6052E">
        <w:rPr>
          <w:spacing w:val="-2"/>
        </w:rPr>
        <w:t>utilised</w:t>
      </w:r>
      <w:r w:rsidR="00177848" w:rsidRPr="00C6052E">
        <w:rPr>
          <w:spacing w:val="-2"/>
        </w:rPr>
        <w:t xml:space="preserve"> </w:t>
      </w:r>
      <w:r w:rsidRPr="00C6052E">
        <w:rPr>
          <w:spacing w:val="-2"/>
        </w:rPr>
        <w:t>in</w:t>
      </w:r>
      <w:r w:rsidR="00177848" w:rsidRPr="00C6052E">
        <w:rPr>
          <w:spacing w:val="-2"/>
        </w:rPr>
        <w:t xml:space="preserve"> </w:t>
      </w:r>
      <w:r w:rsidRPr="00C6052E">
        <w:rPr>
          <w:spacing w:val="-2"/>
        </w:rPr>
        <w:t>fulfilling</w:t>
      </w:r>
      <w:r w:rsidR="00177848" w:rsidRPr="00C6052E">
        <w:rPr>
          <w:spacing w:val="-2"/>
        </w:rPr>
        <w:t xml:space="preserve"> </w:t>
      </w:r>
      <w:r w:rsidRPr="00C6052E">
        <w:rPr>
          <w:spacing w:val="-2"/>
        </w:rPr>
        <w:t>its</w:t>
      </w:r>
      <w:r w:rsidR="00177848" w:rsidRPr="00C6052E">
        <w:rPr>
          <w:spacing w:val="-2"/>
        </w:rPr>
        <w:t xml:space="preserve"> </w:t>
      </w:r>
      <w:r w:rsidRPr="00C6052E">
        <w:rPr>
          <w:spacing w:val="-2"/>
        </w:rPr>
        <w:t>objectives</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conducting</w:t>
      </w:r>
      <w:r w:rsidR="00177848" w:rsidRPr="00C6052E">
        <w:t xml:space="preserve"> </w:t>
      </w:r>
      <w:r w:rsidRPr="00C6052E">
        <w:t>its</w:t>
      </w:r>
      <w:r w:rsidR="00177848" w:rsidRPr="00C6052E">
        <w:t xml:space="preserve"> </w:t>
      </w:r>
      <w:r w:rsidRPr="00C6052E">
        <w:t>activities.</w:t>
      </w:r>
      <w:r w:rsidR="00177848" w:rsidRPr="00C6052E">
        <w:t xml:space="preserve"> </w:t>
      </w:r>
      <w:r w:rsidRPr="00C6052E">
        <w:t>They</w:t>
      </w:r>
      <w:r w:rsidR="00177848" w:rsidRPr="00C6052E">
        <w:t xml:space="preserve"> </w:t>
      </w:r>
      <w:r w:rsidRPr="00C6052E">
        <w:t>represent</w:t>
      </w:r>
      <w:r w:rsidR="00177848" w:rsidRPr="00C6052E">
        <w:t xml:space="preserve"> </w:t>
      </w:r>
      <w:r w:rsidRPr="00C6052E">
        <w:t>the</w:t>
      </w:r>
      <w:r w:rsidR="00177848" w:rsidRPr="00C6052E">
        <w:t xml:space="preserve"> </w:t>
      </w:r>
      <w:r w:rsidRPr="00C6052E">
        <w:t>resources</w:t>
      </w:r>
      <w:r w:rsidR="00177848" w:rsidRPr="00C6052E">
        <w:t xml:space="preserve"> </w:t>
      </w:r>
      <w:r w:rsidRPr="00C6052E">
        <w:t>that</w:t>
      </w:r>
      <w:r w:rsidR="00177848" w:rsidRPr="00C6052E">
        <w:t xml:space="preserve"> </w:t>
      </w:r>
      <w:r w:rsidRPr="00C6052E">
        <w:t>have</w:t>
      </w:r>
      <w:r w:rsidR="00177848" w:rsidRPr="00C6052E">
        <w:t xml:space="preserve"> </w:t>
      </w:r>
      <w:r w:rsidRPr="00C6052E">
        <w:t>been</w:t>
      </w:r>
      <w:r w:rsidR="00177848" w:rsidRPr="00C6052E">
        <w:t xml:space="preserve"> </w:t>
      </w:r>
      <w:r w:rsidRPr="00C6052E">
        <w:t>entrusted</w:t>
      </w:r>
      <w:r w:rsidR="00177848" w:rsidRPr="00C6052E">
        <w:t xml:space="preserve"> </w:t>
      </w:r>
      <w:r w:rsidRPr="00C6052E">
        <w:t>to</w:t>
      </w:r>
      <w:r w:rsidR="00177848" w:rsidRPr="00C6052E">
        <w:t xml:space="preserve"> </w:t>
      </w:r>
      <w:r w:rsidRPr="00C6052E">
        <w:t>DJSIR</w:t>
      </w:r>
      <w:r w:rsidR="00177848" w:rsidRPr="00C6052E">
        <w:t xml:space="preserve"> </w:t>
      </w:r>
      <w:r w:rsidRPr="00C6052E">
        <w:t>for</w:t>
      </w:r>
      <w:r w:rsidR="00177848" w:rsidRPr="00C6052E">
        <w:t xml:space="preserve"> </w:t>
      </w:r>
      <w:r w:rsidRPr="00C6052E">
        <w:t>delivery</w:t>
      </w:r>
      <w:r w:rsidR="00177848" w:rsidRPr="00C6052E">
        <w:t xml:space="preserve"> </w:t>
      </w:r>
      <w:r w:rsidRPr="00C6052E">
        <w:t>of</w:t>
      </w:r>
      <w:r w:rsidR="00177848" w:rsidRPr="00C6052E">
        <w:t xml:space="preserve"> </w:t>
      </w:r>
      <w:r w:rsidRPr="00C6052E">
        <w:t>those</w:t>
      </w:r>
      <w:r w:rsidR="00177848" w:rsidRPr="00C6052E">
        <w:t xml:space="preserve"> </w:t>
      </w:r>
      <w:r w:rsidRPr="00C6052E">
        <w:t>outputs.</w:t>
      </w:r>
    </w:p>
    <w:p w14:paraId="6CC5E58C" w14:textId="77777777" w:rsidR="00EE5BB8" w:rsidRPr="00C6052E" w:rsidRDefault="00EE5BB8" w:rsidP="00E97D0C">
      <w:pPr>
        <w:pStyle w:val="Heading3"/>
      </w:pPr>
      <w:bookmarkStart w:id="222" w:name="_Toc163565965"/>
      <w:bookmarkStart w:id="223" w:name="_Toc163566572"/>
      <w:bookmarkStart w:id="224" w:name="_Toc174009494"/>
      <w:r w:rsidRPr="00C6052E">
        <w:t>Structure</w:t>
      </w:r>
      <w:bookmarkEnd w:id="222"/>
      <w:bookmarkEnd w:id="223"/>
      <w:bookmarkEnd w:id="224"/>
    </w:p>
    <w:p w14:paraId="7F042205" w14:textId="3246708A" w:rsidR="00EE5BB8" w:rsidRPr="00C6052E" w:rsidRDefault="00EE5BB8" w:rsidP="00EE5BB8">
      <w:pPr>
        <w:pStyle w:val="Structurepoints"/>
        <w:spacing w:after="240"/>
      </w:pPr>
      <w:r w:rsidRPr="00C6052E">
        <w:fldChar w:fldCharType="begin"/>
      </w:r>
      <w:r w:rsidRPr="00C6052E">
        <w:instrText xml:space="preserve"> REF _Ref209439364 \r \h </w:instrText>
      </w:r>
      <w:r w:rsidRPr="00C6052E">
        <w:fldChar w:fldCharType="separate"/>
      </w:r>
      <w:r w:rsidRPr="00C6052E">
        <w:t>5.1</w:t>
      </w:r>
      <w:r w:rsidRPr="00C6052E">
        <w:fldChar w:fldCharType="end"/>
      </w:r>
      <w:r w:rsidRPr="00C6052E">
        <w:tab/>
      </w:r>
      <w:r w:rsidRPr="00C6052E">
        <w:fldChar w:fldCharType="begin"/>
      </w:r>
      <w:r w:rsidRPr="00C6052E">
        <w:instrText xml:space="preserve"> REF _Ref209439364 \h </w:instrText>
      </w:r>
      <w:r w:rsidRPr="00C6052E">
        <w:fldChar w:fldCharType="separate"/>
      </w:r>
      <w:r w:rsidRPr="00C6052E">
        <w:t>Total</w:t>
      </w:r>
      <w:r w:rsidR="00177848" w:rsidRPr="00C6052E">
        <w:t xml:space="preserve"> </w:t>
      </w:r>
      <w:r w:rsidRPr="00C6052E">
        <w:t>property,</w:t>
      </w:r>
      <w:r w:rsidR="00177848" w:rsidRPr="00C6052E">
        <w:t xml:space="preserve"> </w:t>
      </w:r>
      <w:r w:rsidRPr="00C6052E">
        <w:t>plant</w:t>
      </w:r>
      <w:r w:rsidR="00177848" w:rsidRPr="00C6052E">
        <w:t xml:space="preserve"> </w:t>
      </w:r>
      <w:r w:rsidRPr="00C6052E">
        <w:t>and</w:t>
      </w:r>
      <w:r w:rsidR="00177848" w:rsidRPr="00C6052E">
        <w:t xml:space="preserve"> </w:t>
      </w:r>
      <w:r w:rsidRPr="00C6052E">
        <w:t>equipment</w:t>
      </w:r>
      <w:r w:rsidRPr="00C6052E">
        <w:fldChar w:fldCharType="end"/>
      </w:r>
    </w:p>
    <w:p w14:paraId="5C9A04E3" w14:textId="7286E810" w:rsidR="00EE5BB8" w:rsidRPr="00C6052E" w:rsidRDefault="00EE5BB8" w:rsidP="007C69B9">
      <w:pPr>
        <w:pStyle w:val="Heading2numbered0"/>
      </w:pPr>
      <w:bookmarkStart w:id="225" w:name="_Toc163565966"/>
      <w:bookmarkStart w:id="226" w:name="_Ref209439364"/>
      <w:r w:rsidRPr="00C6052E">
        <w:t>Total</w:t>
      </w:r>
      <w:r w:rsidR="00177848" w:rsidRPr="00C6052E">
        <w:t xml:space="preserve"> </w:t>
      </w:r>
      <w:r w:rsidRPr="00C6052E">
        <w:t>property,</w:t>
      </w:r>
      <w:r w:rsidR="00177848" w:rsidRPr="00C6052E">
        <w:t xml:space="preserve"> </w:t>
      </w:r>
      <w:r w:rsidRPr="00C6052E">
        <w:t>plant</w:t>
      </w:r>
      <w:r w:rsidR="00177848" w:rsidRPr="00C6052E">
        <w:t xml:space="preserve"> </w:t>
      </w:r>
      <w:r w:rsidRPr="00C6052E">
        <w:t>and</w:t>
      </w:r>
      <w:r w:rsidR="00177848" w:rsidRPr="00C6052E">
        <w:t xml:space="preserve"> </w:t>
      </w:r>
      <w:r w:rsidRPr="00C6052E">
        <w:t>equipment</w:t>
      </w:r>
      <w:bookmarkEnd w:id="225"/>
      <w:bookmarkEnd w:id="226"/>
      <w:r w:rsidR="00177848" w:rsidRPr="00C6052E">
        <w:t xml:space="preserve"> </w:t>
      </w:r>
      <w:r w:rsidR="00A6480E" w:rsidRPr="00C6052E">
        <w:t>($ thousand)</w:t>
      </w:r>
    </w:p>
    <w:tbl>
      <w:tblPr>
        <w:tblStyle w:val="TableGrid"/>
        <w:tblW w:w="9775" w:type="dxa"/>
        <w:tblLayout w:type="fixed"/>
        <w:tblLook w:val="04E0" w:firstRow="1" w:lastRow="1" w:firstColumn="1" w:lastColumn="0" w:noHBand="0" w:noVBand="1"/>
      </w:tblPr>
      <w:tblGrid>
        <w:gridCol w:w="3539"/>
        <w:gridCol w:w="907"/>
        <w:gridCol w:w="907"/>
        <w:gridCol w:w="1304"/>
        <w:gridCol w:w="1304"/>
        <w:gridCol w:w="907"/>
        <w:gridCol w:w="907"/>
      </w:tblGrid>
      <w:tr w:rsidR="00EE5BB8" w:rsidRPr="00C6052E" w14:paraId="3406AFF1" w14:textId="77777777" w:rsidTr="00C34F64">
        <w:tc>
          <w:tcPr>
            <w:tcW w:w="3539" w:type="dxa"/>
            <w:noWrap/>
            <w:hideMark/>
          </w:tcPr>
          <w:p w14:paraId="3C04A8DA" w14:textId="2805FCF7" w:rsidR="00EE5BB8" w:rsidRPr="00C6052E" w:rsidRDefault="00EE5BB8" w:rsidP="00B1545C">
            <w:pPr>
              <w:pStyle w:val="TableColumnHeading"/>
              <w:rPr>
                <w:lang w:val="en-AU"/>
              </w:rPr>
            </w:pPr>
            <w:bookmarkStart w:id="227" w:name="TableColumnHeadings_67"/>
            <w:bookmarkEnd w:id="227"/>
          </w:p>
        </w:tc>
        <w:tc>
          <w:tcPr>
            <w:tcW w:w="907" w:type="dxa"/>
            <w:hideMark/>
          </w:tcPr>
          <w:p w14:paraId="19CE76A2" w14:textId="3CC871E3" w:rsidR="00EE5BB8" w:rsidRPr="00C6052E" w:rsidRDefault="00A6480E" w:rsidP="006E345D">
            <w:pPr>
              <w:pStyle w:val="TableColumnHeading"/>
              <w:jc w:val="right"/>
            </w:pPr>
            <w:r w:rsidRPr="00C6052E">
              <w:rPr>
                <w:lang w:val="en-AU"/>
              </w:rPr>
              <w:t>Gross carrying amount</w:t>
            </w:r>
            <w:r w:rsidRPr="00C6052E">
              <w:t xml:space="preserve"> </w:t>
            </w:r>
            <w:r w:rsidR="00EE5BB8" w:rsidRPr="00C6052E">
              <w:t>2025</w:t>
            </w:r>
          </w:p>
        </w:tc>
        <w:tc>
          <w:tcPr>
            <w:tcW w:w="907" w:type="dxa"/>
            <w:hideMark/>
          </w:tcPr>
          <w:p w14:paraId="20A9EA9D" w14:textId="3751901E" w:rsidR="00EE5BB8" w:rsidRPr="00C6052E" w:rsidRDefault="00A6480E" w:rsidP="006E345D">
            <w:pPr>
              <w:pStyle w:val="TableColumnHeading"/>
              <w:jc w:val="right"/>
            </w:pPr>
            <w:r w:rsidRPr="00C6052E">
              <w:rPr>
                <w:lang w:val="en-AU"/>
              </w:rPr>
              <w:t>Gross carrying amount</w:t>
            </w:r>
            <w:r w:rsidRPr="00C6052E">
              <w:t xml:space="preserve"> </w:t>
            </w:r>
            <w:r w:rsidR="00EE5BB8" w:rsidRPr="00C6052E">
              <w:t>2024</w:t>
            </w:r>
          </w:p>
        </w:tc>
        <w:tc>
          <w:tcPr>
            <w:tcW w:w="1304" w:type="dxa"/>
            <w:hideMark/>
          </w:tcPr>
          <w:p w14:paraId="319A40A2" w14:textId="4971FC24" w:rsidR="00EE5BB8" w:rsidRPr="00C6052E" w:rsidRDefault="00A6480E" w:rsidP="006E345D">
            <w:pPr>
              <w:pStyle w:val="TableColumnHeading"/>
              <w:jc w:val="right"/>
            </w:pPr>
            <w:r w:rsidRPr="00C6052E">
              <w:rPr>
                <w:lang w:val="en-AU"/>
              </w:rPr>
              <w:t>Accumu</w:t>
            </w:r>
            <w:r>
              <w:rPr>
                <w:lang w:val="en-AU"/>
              </w:rPr>
              <w:softHyphen/>
            </w:r>
            <w:r w:rsidRPr="00C6052E">
              <w:rPr>
                <w:lang w:val="en-AU"/>
              </w:rPr>
              <w:t>lated depreciation</w:t>
            </w:r>
            <w:r w:rsidRPr="00C6052E">
              <w:t xml:space="preserve"> </w:t>
            </w:r>
            <w:r w:rsidR="00EE5BB8" w:rsidRPr="00C6052E">
              <w:t>2025</w:t>
            </w:r>
          </w:p>
        </w:tc>
        <w:tc>
          <w:tcPr>
            <w:tcW w:w="1304" w:type="dxa"/>
            <w:hideMark/>
          </w:tcPr>
          <w:p w14:paraId="05AE5827" w14:textId="7AF2E553" w:rsidR="00EE5BB8" w:rsidRPr="00C6052E" w:rsidRDefault="00A6480E" w:rsidP="006E345D">
            <w:pPr>
              <w:pStyle w:val="TableColumnHeading"/>
              <w:jc w:val="right"/>
            </w:pPr>
            <w:r w:rsidRPr="00C6052E">
              <w:rPr>
                <w:lang w:val="en-AU"/>
              </w:rPr>
              <w:t>Accumu</w:t>
            </w:r>
            <w:r>
              <w:rPr>
                <w:lang w:val="en-AU"/>
              </w:rPr>
              <w:softHyphen/>
            </w:r>
            <w:r w:rsidRPr="00C6052E">
              <w:rPr>
                <w:lang w:val="en-AU"/>
              </w:rPr>
              <w:t>lated depreciation</w:t>
            </w:r>
            <w:r w:rsidRPr="00C6052E">
              <w:t xml:space="preserve"> </w:t>
            </w:r>
            <w:r w:rsidR="00EE5BB8" w:rsidRPr="00C6052E">
              <w:t>2024</w:t>
            </w:r>
          </w:p>
        </w:tc>
        <w:tc>
          <w:tcPr>
            <w:tcW w:w="907" w:type="dxa"/>
            <w:hideMark/>
          </w:tcPr>
          <w:p w14:paraId="0C7886B8" w14:textId="07C71131" w:rsidR="00EE5BB8" w:rsidRPr="00C6052E" w:rsidRDefault="00A6480E" w:rsidP="006E345D">
            <w:pPr>
              <w:pStyle w:val="TableColumnHeading"/>
              <w:jc w:val="right"/>
            </w:pPr>
            <w:r w:rsidRPr="00C6052E">
              <w:rPr>
                <w:lang w:val="en-AU"/>
              </w:rPr>
              <w:t>Net carrying amount</w:t>
            </w:r>
            <w:r w:rsidRPr="00C6052E">
              <w:t xml:space="preserve"> </w:t>
            </w:r>
            <w:r w:rsidR="00EE5BB8" w:rsidRPr="00C6052E">
              <w:t>2025</w:t>
            </w:r>
          </w:p>
        </w:tc>
        <w:tc>
          <w:tcPr>
            <w:tcW w:w="907" w:type="dxa"/>
            <w:hideMark/>
          </w:tcPr>
          <w:p w14:paraId="06D4FD51" w14:textId="18337E81" w:rsidR="00EE5BB8" w:rsidRPr="00C6052E" w:rsidRDefault="00A6480E" w:rsidP="006E345D">
            <w:pPr>
              <w:pStyle w:val="TableColumnHeading"/>
              <w:jc w:val="right"/>
            </w:pPr>
            <w:r w:rsidRPr="00C6052E">
              <w:rPr>
                <w:lang w:val="en-AU"/>
              </w:rPr>
              <w:t>Net carrying amount</w:t>
            </w:r>
            <w:r w:rsidRPr="00C6052E">
              <w:t xml:space="preserve"> </w:t>
            </w:r>
            <w:r w:rsidR="00EE5BB8" w:rsidRPr="00C6052E">
              <w:t>2024</w:t>
            </w:r>
          </w:p>
        </w:tc>
      </w:tr>
      <w:tr w:rsidR="00EE5BB8" w:rsidRPr="00C6052E" w14:paraId="433829C4" w14:textId="77777777" w:rsidTr="00C34F64">
        <w:tc>
          <w:tcPr>
            <w:tcW w:w="3539" w:type="dxa"/>
            <w:hideMark/>
          </w:tcPr>
          <w:p w14:paraId="7F988E22" w14:textId="65B5DF3F" w:rsidR="00EE5BB8" w:rsidRPr="00C6052E" w:rsidRDefault="00EE5BB8" w:rsidP="0063097D">
            <w:pPr>
              <w:pStyle w:val="TableCopy"/>
            </w:pPr>
            <w:r w:rsidRPr="00C6052E">
              <w:t>Land</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r w:rsidR="00177848" w:rsidRPr="00C6052E">
              <w:t xml:space="preserve"> </w:t>
            </w:r>
          </w:p>
        </w:tc>
        <w:tc>
          <w:tcPr>
            <w:tcW w:w="907" w:type="dxa"/>
            <w:noWrap/>
            <w:hideMark/>
          </w:tcPr>
          <w:p w14:paraId="1A91A989" w14:textId="77777777" w:rsidR="00EE5BB8" w:rsidRPr="00C6052E" w:rsidRDefault="00EE5BB8" w:rsidP="006E345D">
            <w:pPr>
              <w:pStyle w:val="TableCopy"/>
              <w:jc w:val="right"/>
            </w:pPr>
            <w:r w:rsidRPr="00C6052E">
              <w:t>365,451</w:t>
            </w:r>
          </w:p>
        </w:tc>
        <w:tc>
          <w:tcPr>
            <w:tcW w:w="907" w:type="dxa"/>
            <w:noWrap/>
            <w:hideMark/>
          </w:tcPr>
          <w:p w14:paraId="6121B7EC" w14:textId="77777777" w:rsidR="00EE5BB8" w:rsidRPr="00C6052E" w:rsidRDefault="00EE5BB8" w:rsidP="006E345D">
            <w:pPr>
              <w:pStyle w:val="TableCopy"/>
              <w:jc w:val="right"/>
            </w:pPr>
            <w:r w:rsidRPr="00C6052E">
              <w:t>398,620</w:t>
            </w:r>
          </w:p>
        </w:tc>
        <w:tc>
          <w:tcPr>
            <w:tcW w:w="1304" w:type="dxa"/>
            <w:noWrap/>
            <w:hideMark/>
          </w:tcPr>
          <w:p w14:paraId="6599B9B1" w14:textId="77777777" w:rsidR="00EE5BB8" w:rsidRPr="00C6052E" w:rsidRDefault="00EE5BB8" w:rsidP="006E345D">
            <w:pPr>
              <w:pStyle w:val="TableCopy"/>
              <w:jc w:val="right"/>
            </w:pPr>
            <w:r w:rsidRPr="00C6052E">
              <w:t>–</w:t>
            </w:r>
          </w:p>
        </w:tc>
        <w:tc>
          <w:tcPr>
            <w:tcW w:w="1304" w:type="dxa"/>
            <w:noWrap/>
            <w:hideMark/>
          </w:tcPr>
          <w:p w14:paraId="557596CA" w14:textId="77777777" w:rsidR="00EE5BB8" w:rsidRPr="00C6052E" w:rsidRDefault="00EE5BB8" w:rsidP="006E345D">
            <w:pPr>
              <w:pStyle w:val="TableCopy"/>
              <w:jc w:val="right"/>
            </w:pPr>
            <w:r w:rsidRPr="00C6052E">
              <w:t>–</w:t>
            </w:r>
          </w:p>
        </w:tc>
        <w:tc>
          <w:tcPr>
            <w:tcW w:w="907" w:type="dxa"/>
            <w:noWrap/>
            <w:hideMark/>
          </w:tcPr>
          <w:p w14:paraId="1B2694E8" w14:textId="77777777" w:rsidR="00EE5BB8" w:rsidRPr="00C6052E" w:rsidRDefault="00EE5BB8" w:rsidP="006E345D">
            <w:pPr>
              <w:pStyle w:val="TableCopy"/>
              <w:jc w:val="right"/>
            </w:pPr>
            <w:r w:rsidRPr="00C6052E">
              <w:t>365,451</w:t>
            </w:r>
          </w:p>
        </w:tc>
        <w:tc>
          <w:tcPr>
            <w:tcW w:w="907" w:type="dxa"/>
            <w:noWrap/>
            <w:hideMark/>
          </w:tcPr>
          <w:p w14:paraId="322B53BC" w14:textId="77777777" w:rsidR="00EE5BB8" w:rsidRPr="00C6052E" w:rsidRDefault="00EE5BB8" w:rsidP="006E345D">
            <w:pPr>
              <w:pStyle w:val="TableCopy"/>
              <w:jc w:val="right"/>
            </w:pPr>
            <w:r w:rsidRPr="00C6052E">
              <w:t>398,620</w:t>
            </w:r>
          </w:p>
        </w:tc>
      </w:tr>
      <w:tr w:rsidR="00EE5BB8" w:rsidRPr="00C6052E" w14:paraId="2E91B46D" w14:textId="77777777" w:rsidTr="00C34F64">
        <w:tc>
          <w:tcPr>
            <w:tcW w:w="3539" w:type="dxa"/>
            <w:hideMark/>
          </w:tcPr>
          <w:p w14:paraId="5CA70F34" w14:textId="74324476" w:rsidR="00EE5BB8" w:rsidRPr="00C6052E" w:rsidRDefault="00EE5BB8" w:rsidP="0063097D">
            <w:pPr>
              <w:pStyle w:val="TableCopy"/>
            </w:pPr>
            <w:r w:rsidRPr="00C6052E">
              <w:t>Buildings</w:t>
            </w:r>
            <w:r w:rsidR="00177848" w:rsidRPr="00C6052E">
              <w:t xml:space="preserve"> </w:t>
            </w:r>
            <w:r w:rsidRPr="00C6052E">
              <w:t>and</w:t>
            </w:r>
            <w:r w:rsidR="00177848" w:rsidRPr="00C6052E">
              <w:t xml:space="preserve"> </w:t>
            </w:r>
            <w:r w:rsidRPr="00C6052E">
              <w:t>structures</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p>
        </w:tc>
        <w:tc>
          <w:tcPr>
            <w:tcW w:w="907" w:type="dxa"/>
            <w:noWrap/>
            <w:hideMark/>
          </w:tcPr>
          <w:p w14:paraId="0FFF3747" w14:textId="77777777" w:rsidR="00EE5BB8" w:rsidRPr="00C6052E" w:rsidRDefault="00EE5BB8" w:rsidP="006E345D">
            <w:pPr>
              <w:pStyle w:val="TableCopy"/>
              <w:jc w:val="right"/>
            </w:pPr>
            <w:r w:rsidRPr="00C6052E">
              <w:t>164,493</w:t>
            </w:r>
          </w:p>
        </w:tc>
        <w:tc>
          <w:tcPr>
            <w:tcW w:w="907" w:type="dxa"/>
            <w:noWrap/>
            <w:hideMark/>
          </w:tcPr>
          <w:p w14:paraId="4CF85C29" w14:textId="77777777" w:rsidR="00EE5BB8" w:rsidRPr="00C6052E" w:rsidRDefault="00EE5BB8" w:rsidP="006E345D">
            <w:pPr>
              <w:pStyle w:val="TableCopy"/>
              <w:jc w:val="right"/>
            </w:pPr>
            <w:r w:rsidRPr="00C6052E">
              <w:t>193,346</w:t>
            </w:r>
          </w:p>
        </w:tc>
        <w:tc>
          <w:tcPr>
            <w:tcW w:w="1304" w:type="dxa"/>
            <w:noWrap/>
            <w:hideMark/>
          </w:tcPr>
          <w:p w14:paraId="6EF461AA" w14:textId="77777777" w:rsidR="00EE5BB8" w:rsidRPr="00C6052E" w:rsidRDefault="00EE5BB8" w:rsidP="006E345D">
            <w:pPr>
              <w:pStyle w:val="TableCopy"/>
              <w:jc w:val="right"/>
            </w:pPr>
            <w:r w:rsidRPr="00C6052E">
              <w:t>(49,716)</w:t>
            </w:r>
          </w:p>
        </w:tc>
        <w:tc>
          <w:tcPr>
            <w:tcW w:w="1304" w:type="dxa"/>
            <w:noWrap/>
            <w:hideMark/>
          </w:tcPr>
          <w:p w14:paraId="3053AF9E" w14:textId="77777777" w:rsidR="00EE5BB8" w:rsidRPr="00C6052E" w:rsidRDefault="00EE5BB8" w:rsidP="006E345D">
            <w:pPr>
              <w:pStyle w:val="TableCopy"/>
              <w:jc w:val="right"/>
            </w:pPr>
            <w:r w:rsidRPr="00C6052E">
              <w:t>(48,185)</w:t>
            </w:r>
          </w:p>
        </w:tc>
        <w:tc>
          <w:tcPr>
            <w:tcW w:w="907" w:type="dxa"/>
            <w:noWrap/>
            <w:hideMark/>
          </w:tcPr>
          <w:p w14:paraId="158519CA" w14:textId="77777777" w:rsidR="00EE5BB8" w:rsidRPr="00C6052E" w:rsidRDefault="00EE5BB8" w:rsidP="006E345D">
            <w:pPr>
              <w:pStyle w:val="TableCopy"/>
              <w:jc w:val="right"/>
            </w:pPr>
            <w:r w:rsidRPr="00C6052E">
              <w:t>114,777</w:t>
            </w:r>
          </w:p>
        </w:tc>
        <w:tc>
          <w:tcPr>
            <w:tcW w:w="907" w:type="dxa"/>
            <w:noWrap/>
            <w:hideMark/>
          </w:tcPr>
          <w:p w14:paraId="2E3B289C" w14:textId="77777777" w:rsidR="00EE5BB8" w:rsidRPr="00C6052E" w:rsidRDefault="00EE5BB8" w:rsidP="006E345D">
            <w:pPr>
              <w:pStyle w:val="TableCopy"/>
              <w:jc w:val="right"/>
            </w:pPr>
            <w:r w:rsidRPr="00C6052E">
              <w:t>145,161</w:t>
            </w:r>
          </w:p>
        </w:tc>
      </w:tr>
      <w:tr w:rsidR="00EE5BB8" w:rsidRPr="00C6052E" w14:paraId="4C26DED2" w14:textId="77777777" w:rsidTr="00C34F64">
        <w:tc>
          <w:tcPr>
            <w:tcW w:w="3539" w:type="dxa"/>
            <w:hideMark/>
          </w:tcPr>
          <w:p w14:paraId="26C38594" w14:textId="1A8C371C" w:rsidR="00EE5BB8" w:rsidRPr="00C6052E" w:rsidRDefault="00EE5BB8" w:rsidP="0063097D">
            <w:pPr>
              <w:pStyle w:val="TableCopy"/>
            </w:pPr>
            <w:r w:rsidRPr="00C6052E">
              <w:t>Leasehold</w:t>
            </w:r>
            <w:r w:rsidR="00177848" w:rsidRPr="00C6052E">
              <w:t xml:space="preserve"> </w:t>
            </w:r>
            <w:r w:rsidRPr="00C6052E">
              <w:t>Improvements</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p>
        </w:tc>
        <w:tc>
          <w:tcPr>
            <w:tcW w:w="907" w:type="dxa"/>
            <w:noWrap/>
            <w:hideMark/>
          </w:tcPr>
          <w:p w14:paraId="35E83949" w14:textId="77777777" w:rsidR="00EE5BB8" w:rsidRPr="00C6052E" w:rsidRDefault="00EE5BB8" w:rsidP="006E345D">
            <w:pPr>
              <w:pStyle w:val="TableCopy"/>
              <w:jc w:val="right"/>
            </w:pPr>
            <w:r w:rsidRPr="00C6052E">
              <w:t>18,737</w:t>
            </w:r>
          </w:p>
        </w:tc>
        <w:tc>
          <w:tcPr>
            <w:tcW w:w="907" w:type="dxa"/>
            <w:noWrap/>
            <w:hideMark/>
          </w:tcPr>
          <w:p w14:paraId="28EA7A0A" w14:textId="77777777" w:rsidR="00EE5BB8" w:rsidRPr="00C6052E" w:rsidRDefault="00EE5BB8" w:rsidP="006E345D">
            <w:pPr>
              <w:pStyle w:val="TableCopy"/>
              <w:jc w:val="right"/>
            </w:pPr>
            <w:r w:rsidRPr="00C6052E">
              <w:t>26,265</w:t>
            </w:r>
          </w:p>
        </w:tc>
        <w:tc>
          <w:tcPr>
            <w:tcW w:w="1304" w:type="dxa"/>
            <w:noWrap/>
            <w:hideMark/>
          </w:tcPr>
          <w:p w14:paraId="4658A747" w14:textId="77777777" w:rsidR="00EE5BB8" w:rsidRPr="00C6052E" w:rsidRDefault="00EE5BB8" w:rsidP="006E345D">
            <w:pPr>
              <w:pStyle w:val="TableCopy"/>
              <w:jc w:val="right"/>
            </w:pPr>
            <w:r w:rsidRPr="00C6052E">
              <w:t>(12,245)</w:t>
            </w:r>
          </w:p>
        </w:tc>
        <w:tc>
          <w:tcPr>
            <w:tcW w:w="1304" w:type="dxa"/>
            <w:noWrap/>
            <w:hideMark/>
          </w:tcPr>
          <w:p w14:paraId="521619DF" w14:textId="77777777" w:rsidR="00EE5BB8" w:rsidRPr="00C6052E" w:rsidRDefault="00EE5BB8" w:rsidP="006E345D">
            <w:pPr>
              <w:pStyle w:val="TableCopy"/>
              <w:jc w:val="right"/>
            </w:pPr>
            <w:r w:rsidRPr="00C6052E">
              <w:t>(20,389)</w:t>
            </w:r>
          </w:p>
        </w:tc>
        <w:tc>
          <w:tcPr>
            <w:tcW w:w="907" w:type="dxa"/>
            <w:noWrap/>
            <w:hideMark/>
          </w:tcPr>
          <w:p w14:paraId="34EB5A00" w14:textId="77777777" w:rsidR="00EE5BB8" w:rsidRPr="00C6052E" w:rsidRDefault="00EE5BB8" w:rsidP="006E345D">
            <w:pPr>
              <w:pStyle w:val="TableCopy"/>
              <w:jc w:val="right"/>
            </w:pPr>
            <w:r w:rsidRPr="00C6052E">
              <w:t>6,492</w:t>
            </w:r>
          </w:p>
        </w:tc>
        <w:tc>
          <w:tcPr>
            <w:tcW w:w="907" w:type="dxa"/>
            <w:noWrap/>
            <w:hideMark/>
          </w:tcPr>
          <w:p w14:paraId="43E8919C" w14:textId="77777777" w:rsidR="00EE5BB8" w:rsidRPr="00C6052E" w:rsidRDefault="00EE5BB8" w:rsidP="006E345D">
            <w:pPr>
              <w:pStyle w:val="TableCopy"/>
              <w:jc w:val="right"/>
            </w:pPr>
            <w:r w:rsidRPr="00C6052E">
              <w:t>5,876</w:t>
            </w:r>
          </w:p>
        </w:tc>
      </w:tr>
      <w:tr w:rsidR="00EE5BB8" w:rsidRPr="00C6052E" w14:paraId="51D8990B" w14:textId="77777777" w:rsidTr="00C34F64">
        <w:tc>
          <w:tcPr>
            <w:tcW w:w="3539" w:type="dxa"/>
            <w:hideMark/>
          </w:tcPr>
          <w:p w14:paraId="0A3EED44" w14:textId="6C3C442C" w:rsidR="00EE5BB8" w:rsidRPr="00C6052E" w:rsidRDefault="00EE5BB8" w:rsidP="0063097D">
            <w:pPr>
              <w:pStyle w:val="TableCopy"/>
            </w:pPr>
            <w:r w:rsidRPr="00C6052E">
              <w:t>Plant</w:t>
            </w:r>
            <w:r w:rsidR="00177848" w:rsidRPr="00C6052E">
              <w:t xml:space="preserve"> </w:t>
            </w:r>
            <w:r w:rsidRPr="00C6052E">
              <w:t>and</w:t>
            </w:r>
            <w:r w:rsidR="00177848" w:rsidRPr="00C6052E">
              <w:t xml:space="preserve"> </w:t>
            </w:r>
            <w:r w:rsidRPr="00C6052E">
              <w:t>equipment</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p>
        </w:tc>
        <w:tc>
          <w:tcPr>
            <w:tcW w:w="907" w:type="dxa"/>
            <w:noWrap/>
            <w:hideMark/>
          </w:tcPr>
          <w:p w14:paraId="2B210E6A" w14:textId="77777777" w:rsidR="00EE5BB8" w:rsidRPr="00C6052E" w:rsidRDefault="00EE5BB8" w:rsidP="006E345D">
            <w:pPr>
              <w:pStyle w:val="TableCopy"/>
              <w:jc w:val="right"/>
            </w:pPr>
            <w:r w:rsidRPr="00C6052E">
              <w:t>1,489</w:t>
            </w:r>
          </w:p>
        </w:tc>
        <w:tc>
          <w:tcPr>
            <w:tcW w:w="907" w:type="dxa"/>
            <w:noWrap/>
            <w:hideMark/>
          </w:tcPr>
          <w:p w14:paraId="2E32C1A4" w14:textId="77777777" w:rsidR="00EE5BB8" w:rsidRPr="00C6052E" w:rsidRDefault="00EE5BB8" w:rsidP="006E345D">
            <w:pPr>
              <w:pStyle w:val="TableCopy"/>
              <w:jc w:val="right"/>
            </w:pPr>
            <w:r w:rsidRPr="00C6052E">
              <w:t>1,348</w:t>
            </w:r>
          </w:p>
        </w:tc>
        <w:tc>
          <w:tcPr>
            <w:tcW w:w="1304" w:type="dxa"/>
            <w:noWrap/>
            <w:hideMark/>
          </w:tcPr>
          <w:p w14:paraId="6C3B6ED7" w14:textId="77777777" w:rsidR="00EE5BB8" w:rsidRPr="00C6052E" w:rsidRDefault="00EE5BB8" w:rsidP="006E345D">
            <w:pPr>
              <w:pStyle w:val="TableCopy"/>
              <w:jc w:val="right"/>
            </w:pPr>
            <w:r w:rsidRPr="00C6052E">
              <w:t>(1,012)</w:t>
            </w:r>
          </w:p>
        </w:tc>
        <w:tc>
          <w:tcPr>
            <w:tcW w:w="1304" w:type="dxa"/>
            <w:noWrap/>
            <w:hideMark/>
          </w:tcPr>
          <w:p w14:paraId="3F182C23" w14:textId="77777777" w:rsidR="00EE5BB8" w:rsidRPr="00C6052E" w:rsidRDefault="00EE5BB8" w:rsidP="006E345D">
            <w:pPr>
              <w:pStyle w:val="TableCopy"/>
              <w:jc w:val="right"/>
            </w:pPr>
            <w:r w:rsidRPr="00C6052E">
              <w:t>(729)</w:t>
            </w:r>
          </w:p>
        </w:tc>
        <w:tc>
          <w:tcPr>
            <w:tcW w:w="907" w:type="dxa"/>
            <w:noWrap/>
            <w:hideMark/>
          </w:tcPr>
          <w:p w14:paraId="1D620246" w14:textId="77777777" w:rsidR="00EE5BB8" w:rsidRPr="00C6052E" w:rsidRDefault="00EE5BB8" w:rsidP="006E345D">
            <w:pPr>
              <w:pStyle w:val="TableCopy"/>
              <w:jc w:val="right"/>
            </w:pPr>
            <w:r w:rsidRPr="00C6052E">
              <w:t>477</w:t>
            </w:r>
          </w:p>
        </w:tc>
        <w:tc>
          <w:tcPr>
            <w:tcW w:w="907" w:type="dxa"/>
            <w:noWrap/>
            <w:hideMark/>
          </w:tcPr>
          <w:p w14:paraId="53FDFCD0" w14:textId="77777777" w:rsidR="00EE5BB8" w:rsidRPr="00C6052E" w:rsidRDefault="00EE5BB8" w:rsidP="006E345D">
            <w:pPr>
              <w:pStyle w:val="TableCopy"/>
              <w:jc w:val="right"/>
            </w:pPr>
            <w:r w:rsidRPr="00C6052E">
              <w:t>619</w:t>
            </w:r>
          </w:p>
        </w:tc>
      </w:tr>
      <w:tr w:rsidR="00EE5BB8" w:rsidRPr="00C6052E" w14:paraId="2BC9A7BA" w14:textId="77777777" w:rsidTr="00C34F64">
        <w:tc>
          <w:tcPr>
            <w:tcW w:w="3539" w:type="dxa"/>
            <w:hideMark/>
          </w:tcPr>
          <w:p w14:paraId="7D7420E5" w14:textId="79899D06" w:rsidR="00EE5BB8" w:rsidRPr="00C6052E" w:rsidRDefault="00EE5BB8" w:rsidP="0063097D">
            <w:pPr>
              <w:pStyle w:val="TableCopy"/>
            </w:pPr>
            <w:r w:rsidRPr="00C6052E">
              <w:t>Motor</w:t>
            </w:r>
            <w:r w:rsidR="00177848" w:rsidRPr="00C6052E">
              <w:t xml:space="preserve"> </w:t>
            </w:r>
            <w:r w:rsidRPr="00C6052E">
              <w:t>vehicles</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p>
        </w:tc>
        <w:tc>
          <w:tcPr>
            <w:tcW w:w="907" w:type="dxa"/>
            <w:noWrap/>
            <w:hideMark/>
          </w:tcPr>
          <w:p w14:paraId="6B1EF297" w14:textId="77777777" w:rsidR="00EE5BB8" w:rsidRPr="00C6052E" w:rsidRDefault="00EE5BB8" w:rsidP="006E345D">
            <w:pPr>
              <w:pStyle w:val="TableCopy"/>
              <w:jc w:val="right"/>
            </w:pPr>
            <w:r w:rsidRPr="00C6052E">
              <w:t>6,003</w:t>
            </w:r>
          </w:p>
        </w:tc>
        <w:tc>
          <w:tcPr>
            <w:tcW w:w="907" w:type="dxa"/>
            <w:noWrap/>
            <w:hideMark/>
          </w:tcPr>
          <w:p w14:paraId="1D4D7F5F" w14:textId="77777777" w:rsidR="00EE5BB8" w:rsidRPr="00C6052E" w:rsidRDefault="00EE5BB8" w:rsidP="006E345D">
            <w:pPr>
              <w:pStyle w:val="TableCopy"/>
              <w:jc w:val="right"/>
            </w:pPr>
            <w:r w:rsidRPr="00C6052E">
              <w:t>5,528</w:t>
            </w:r>
          </w:p>
        </w:tc>
        <w:tc>
          <w:tcPr>
            <w:tcW w:w="1304" w:type="dxa"/>
            <w:noWrap/>
            <w:hideMark/>
          </w:tcPr>
          <w:p w14:paraId="411C245F" w14:textId="77777777" w:rsidR="00EE5BB8" w:rsidRPr="00C6052E" w:rsidRDefault="00EE5BB8" w:rsidP="006E345D">
            <w:pPr>
              <w:pStyle w:val="TableCopy"/>
              <w:jc w:val="right"/>
            </w:pPr>
            <w:r w:rsidRPr="00C6052E">
              <w:t>(1,538)</w:t>
            </w:r>
          </w:p>
        </w:tc>
        <w:tc>
          <w:tcPr>
            <w:tcW w:w="1304" w:type="dxa"/>
            <w:noWrap/>
            <w:hideMark/>
          </w:tcPr>
          <w:p w14:paraId="6FAC2793" w14:textId="77777777" w:rsidR="00EE5BB8" w:rsidRPr="00C6052E" w:rsidRDefault="00EE5BB8" w:rsidP="006E345D">
            <w:pPr>
              <w:pStyle w:val="TableCopy"/>
              <w:jc w:val="right"/>
            </w:pPr>
            <w:r w:rsidRPr="00C6052E">
              <w:t>(1,476)</w:t>
            </w:r>
          </w:p>
        </w:tc>
        <w:tc>
          <w:tcPr>
            <w:tcW w:w="907" w:type="dxa"/>
            <w:noWrap/>
            <w:hideMark/>
          </w:tcPr>
          <w:p w14:paraId="3A773527" w14:textId="77777777" w:rsidR="00EE5BB8" w:rsidRPr="00C6052E" w:rsidRDefault="00EE5BB8" w:rsidP="006E345D">
            <w:pPr>
              <w:pStyle w:val="TableCopy"/>
              <w:jc w:val="right"/>
            </w:pPr>
            <w:r w:rsidRPr="00C6052E">
              <w:t>4,465</w:t>
            </w:r>
          </w:p>
        </w:tc>
        <w:tc>
          <w:tcPr>
            <w:tcW w:w="907" w:type="dxa"/>
            <w:noWrap/>
            <w:hideMark/>
          </w:tcPr>
          <w:p w14:paraId="0A3EF1A9" w14:textId="77777777" w:rsidR="00EE5BB8" w:rsidRPr="00C6052E" w:rsidRDefault="00EE5BB8" w:rsidP="006E345D">
            <w:pPr>
              <w:pStyle w:val="TableCopy"/>
              <w:jc w:val="right"/>
            </w:pPr>
            <w:r w:rsidRPr="00C6052E">
              <w:t>4,052</w:t>
            </w:r>
          </w:p>
        </w:tc>
      </w:tr>
      <w:tr w:rsidR="00EE5BB8" w:rsidRPr="00C6052E" w14:paraId="45AAF250" w14:textId="77777777" w:rsidTr="00C34F64">
        <w:tc>
          <w:tcPr>
            <w:tcW w:w="3539" w:type="dxa"/>
            <w:hideMark/>
          </w:tcPr>
          <w:p w14:paraId="72346169" w14:textId="104FB424" w:rsidR="00EE5BB8" w:rsidRPr="00C6052E" w:rsidRDefault="00EE5BB8" w:rsidP="0063097D">
            <w:pPr>
              <w:pStyle w:val="TableCopy"/>
            </w:pPr>
            <w:r w:rsidRPr="00C6052E">
              <w:t>Assets</w:t>
            </w:r>
            <w:r w:rsidR="00177848" w:rsidRPr="00C6052E">
              <w:t xml:space="preserve"> </w:t>
            </w:r>
            <w:r w:rsidRPr="00C6052E">
              <w:t>under</w:t>
            </w:r>
            <w:r w:rsidR="00177848" w:rsidRPr="00C6052E">
              <w:t xml:space="preserve"> </w:t>
            </w:r>
            <w:r w:rsidRPr="00C6052E">
              <w:t>construction</w:t>
            </w:r>
            <w:r w:rsidR="00177848" w:rsidRPr="00C6052E">
              <w:t xml:space="preserve"> </w:t>
            </w:r>
            <w:r w:rsidRPr="00C6052E">
              <w:t>at</w:t>
            </w:r>
            <w:r w:rsidR="00177848" w:rsidRPr="00C6052E">
              <w:t xml:space="preserve"> </w:t>
            </w:r>
            <w:r w:rsidRPr="00C6052E">
              <w:t>cost</w:t>
            </w:r>
          </w:p>
        </w:tc>
        <w:tc>
          <w:tcPr>
            <w:tcW w:w="907" w:type="dxa"/>
            <w:noWrap/>
            <w:hideMark/>
          </w:tcPr>
          <w:p w14:paraId="5E89E6FD" w14:textId="77777777" w:rsidR="00EE5BB8" w:rsidRPr="00C6052E" w:rsidRDefault="00EE5BB8" w:rsidP="006E345D">
            <w:pPr>
              <w:pStyle w:val="TableCopy"/>
              <w:jc w:val="right"/>
            </w:pPr>
            <w:r w:rsidRPr="00C6052E">
              <w:t>3,551</w:t>
            </w:r>
          </w:p>
        </w:tc>
        <w:tc>
          <w:tcPr>
            <w:tcW w:w="907" w:type="dxa"/>
            <w:noWrap/>
            <w:hideMark/>
          </w:tcPr>
          <w:p w14:paraId="6B6F5CD6" w14:textId="77777777" w:rsidR="00EE5BB8" w:rsidRPr="00C6052E" w:rsidRDefault="00EE5BB8" w:rsidP="006E345D">
            <w:pPr>
              <w:pStyle w:val="TableCopy"/>
              <w:jc w:val="right"/>
            </w:pPr>
            <w:r w:rsidRPr="00C6052E">
              <w:t>12,444</w:t>
            </w:r>
          </w:p>
        </w:tc>
        <w:tc>
          <w:tcPr>
            <w:tcW w:w="1304" w:type="dxa"/>
            <w:noWrap/>
            <w:hideMark/>
          </w:tcPr>
          <w:p w14:paraId="2A497149" w14:textId="77777777" w:rsidR="00EE5BB8" w:rsidRPr="00C6052E" w:rsidRDefault="00EE5BB8" w:rsidP="006E345D">
            <w:pPr>
              <w:pStyle w:val="TableCopy"/>
              <w:jc w:val="right"/>
            </w:pPr>
            <w:r w:rsidRPr="00C6052E">
              <w:t>–</w:t>
            </w:r>
          </w:p>
        </w:tc>
        <w:tc>
          <w:tcPr>
            <w:tcW w:w="1304" w:type="dxa"/>
            <w:noWrap/>
            <w:hideMark/>
          </w:tcPr>
          <w:p w14:paraId="5E8BB497" w14:textId="77777777" w:rsidR="00EE5BB8" w:rsidRPr="00C6052E" w:rsidRDefault="00EE5BB8" w:rsidP="006E345D">
            <w:pPr>
              <w:pStyle w:val="TableCopy"/>
              <w:jc w:val="right"/>
            </w:pPr>
            <w:r w:rsidRPr="00C6052E">
              <w:t>–</w:t>
            </w:r>
          </w:p>
        </w:tc>
        <w:tc>
          <w:tcPr>
            <w:tcW w:w="907" w:type="dxa"/>
            <w:noWrap/>
            <w:hideMark/>
          </w:tcPr>
          <w:p w14:paraId="309BF21A" w14:textId="77777777" w:rsidR="00EE5BB8" w:rsidRPr="00C6052E" w:rsidRDefault="00EE5BB8" w:rsidP="006E345D">
            <w:pPr>
              <w:pStyle w:val="TableCopy"/>
              <w:jc w:val="right"/>
            </w:pPr>
            <w:r w:rsidRPr="00C6052E">
              <w:t>3,551</w:t>
            </w:r>
          </w:p>
        </w:tc>
        <w:tc>
          <w:tcPr>
            <w:tcW w:w="907" w:type="dxa"/>
            <w:noWrap/>
            <w:hideMark/>
          </w:tcPr>
          <w:p w14:paraId="69A3A2D7" w14:textId="77777777" w:rsidR="00EE5BB8" w:rsidRPr="00C6052E" w:rsidRDefault="00EE5BB8" w:rsidP="006E345D">
            <w:pPr>
              <w:pStyle w:val="TableCopy"/>
              <w:jc w:val="right"/>
            </w:pPr>
            <w:r w:rsidRPr="00C6052E">
              <w:t>12,444</w:t>
            </w:r>
          </w:p>
        </w:tc>
      </w:tr>
      <w:tr w:rsidR="00EE5BB8" w:rsidRPr="00C6052E" w14:paraId="6197A46F" w14:textId="77777777" w:rsidTr="00C34F64">
        <w:tc>
          <w:tcPr>
            <w:tcW w:w="3539" w:type="dxa"/>
            <w:hideMark/>
          </w:tcPr>
          <w:p w14:paraId="4A1EC998" w14:textId="302746E6" w:rsidR="00EE5BB8" w:rsidRPr="00C6052E" w:rsidRDefault="00EE5BB8" w:rsidP="0063097D">
            <w:pPr>
              <w:pStyle w:val="TableCopy"/>
            </w:pPr>
            <w:r w:rsidRPr="00C6052E">
              <w:t>Cultural</w:t>
            </w:r>
            <w:r w:rsidR="00177848" w:rsidRPr="00C6052E">
              <w:t xml:space="preserve"> </w:t>
            </w:r>
            <w:r w:rsidRPr="00C6052E">
              <w:t>assets</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p>
        </w:tc>
        <w:tc>
          <w:tcPr>
            <w:tcW w:w="907" w:type="dxa"/>
            <w:noWrap/>
            <w:hideMark/>
          </w:tcPr>
          <w:p w14:paraId="1A28A097" w14:textId="77777777" w:rsidR="00EE5BB8" w:rsidRPr="00C6052E" w:rsidRDefault="00EE5BB8" w:rsidP="006E345D">
            <w:pPr>
              <w:pStyle w:val="TableCopy"/>
              <w:jc w:val="right"/>
            </w:pPr>
            <w:r w:rsidRPr="00C6052E">
              <w:t>2,842</w:t>
            </w:r>
          </w:p>
        </w:tc>
        <w:tc>
          <w:tcPr>
            <w:tcW w:w="907" w:type="dxa"/>
            <w:noWrap/>
            <w:hideMark/>
          </w:tcPr>
          <w:p w14:paraId="23A58890" w14:textId="77777777" w:rsidR="00EE5BB8" w:rsidRPr="00C6052E" w:rsidRDefault="00EE5BB8" w:rsidP="006E345D">
            <w:pPr>
              <w:pStyle w:val="TableCopy"/>
              <w:jc w:val="right"/>
            </w:pPr>
            <w:r w:rsidRPr="00C6052E">
              <w:t>2,842</w:t>
            </w:r>
          </w:p>
        </w:tc>
        <w:tc>
          <w:tcPr>
            <w:tcW w:w="1304" w:type="dxa"/>
            <w:noWrap/>
            <w:hideMark/>
          </w:tcPr>
          <w:p w14:paraId="2074CFA3" w14:textId="77777777" w:rsidR="00EE5BB8" w:rsidRPr="00C6052E" w:rsidRDefault="00EE5BB8" w:rsidP="006E345D">
            <w:pPr>
              <w:pStyle w:val="TableCopy"/>
              <w:jc w:val="right"/>
            </w:pPr>
            <w:r w:rsidRPr="00C6052E">
              <w:t>(208)</w:t>
            </w:r>
          </w:p>
        </w:tc>
        <w:tc>
          <w:tcPr>
            <w:tcW w:w="1304" w:type="dxa"/>
            <w:noWrap/>
            <w:hideMark/>
          </w:tcPr>
          <w:p w14:paraId="3C4E5317" w14:textId="77777777" w:rsidR="00EE5BB8" w:rsidRPr="00C6052E" w:rsidRDefault="00EE5BB8" w:rsidP="006E345D">
            <w:pPr>
              <w:pStyle w:val="TableCopy"/>
              <w:jc w:val="right"/>
            </w:pPr>
            <w:r w:rsidRPr="00C6052E">
              <w:t>(162)</w:t>
            </w:r>
          </w:p>
        </w:tc>
        <w:tc>
          <w:tcPr>
            <w:tcW w:w="907" w:type="dxa"/>
            <w:noWrap/>
            <w:hideMark/>
          </w:tcPr>
          <w:p w14:paraId="23D68002" w14:textId="77777777" w:rsidR="00EE5BB8" w:rsidRPr="00C6052E" w:rsidRDefault="00EE5BB8" w:rsidP="006E345D">
            <w:pPr>
              <w:pStyle w:val="TableCopy"/>
              <w:jc w:val="right"/>
            </w:pPr>
            <w:r w:rsidRPr="00C6052E">
              <w:t>2,634</w:t>
            </w:r>
          </w:p>
        </w:tc>
        <w:tc>
          <w:tcPr>
            <w:tcW w:w="907" w:type="dxa"/>
            <w:noWrap/>
            <w:hideMark/>
          </w:tcPr>
          <w:p w14:paraId="76F9A0B8" w14:textId="77777777" w:rsidR="00EE5BB8" w:rsidRPr="00C6052E" w:rsidRDefault="00EE5BB8" w:rsidP="006E345D">
            <w:pPr>
              <w:pStyle w:val="TableCopy"/>
              <w:jc w:val="right"/>
            </w:pPr>
            <w:r w:rsidRPr="00C6052E">
              <w:t>2,680</w:t>
            </w:r>
          </w:p>
        </w:tc>
      </w:tr>
      <w:tr w:rsidR="00EE5BB8" w:rsidRPr="00C6052E" w14:paraId="71ED7464" w14:textId="77777777" w:rsidTr="00C34F64">
        <w:tc>
          <w:tcPr>
            <w:tcW w:w="3539" w:type="dxa"/>
            <w:noWrap/>
            <w:hideMark/>
          </w:tcPr>
          <w:p w14:paraId="118C1E41" w14:textId="3EABBF55" w:rsidR="00EE5BB8" w:rsidRPr="00C6052E" w:rsidRDefault="00EE5BB8" w:rsidP="0063097D">
            <w:pPr>
              <w:pStyle w:val="Tabletotal"/>
            </w:pPr>
            <w:r w:rsidRPr="00C6052E">
              <w:t>Total</w:t>
            </w:r>
            <w:r w:rsidR="00177848" w:rsidRPr="00C6052E">
              <w:t xml:space="preserve"> </w:t>
            </w:r>
            <w:r w:rsidRPr="00C6052E">
              <w:t>property,</w:t>
            </w:r>
            <w:r w:rsidR="00177848" w:rsidRPr="00C6052E">
              <w:t xml:space="preserve"> </w:t>
            </w:r>
            <w:r w:rsidRPr="00C6052E">
              <w:t>plant</w:t>
            </w:r>
            <w:r w:rsidR="00177848" w:rsidRPr="00C6052E">
              <w:t xml:space="preserve"> </w:t>
            </w:r>
            <w:r w:rsidRPr="00C6052E">
              <w:t>and</w:t>
            </w:r>
            <w:r w:rsidR="00177848" w:rsidRPr="00C6052E">
              <w:t xml:space="preserve"> </w:t>
            </w:r>
            <w:r w:rsidRPr="00C6052E">
              <w:t>equipment</w:t>
            </w:r>
          </w:p>
        </w:tc>
        <w:tc>
          <w:tcPr>
            <w:tcW w:w="907" w:type="dxa"/>
            <w:noWrap/>
            <w:hideMark/>
          </w:tcPr>
          <w:p w14:paraId="4771549E" w14:textId="77777777" w:rsidR="00EE5BB8" w:rsidRPr="00C6052E" w:rsidRDefault="00EE5BB8" w:rsidP="006E345D">
            <w:pPr>
              <w:pStyle w:val="Tabletotal"/>
              <w:jc w:val="right"/>
            </w:pPr>
            <w:r w:rsidRPr="00C6052E">
              <w:t>562,566</w:t>
            </w:r>
          </w:p>
        </w:tc>
        <w:tc>
          <w:tcPr>
            <w:tcW w:w="907" w:type="dxa"/>
            <w:noWrap/>
            <w:hideMark/>
          </w:tcPr>
          <w:p w14:paraId="61C8034B" w14:textId="77777777" w:rsidR="00EE5BB8" w:rsidRPr="00C6052E" w:rsidRDefault="00EE5BB8" w:rsidP="006E345D">
            <w:pPr>
              <w:pStyle w:val="Tabletotal"/>
              <w:jc w:val="right"/>
            </w:pPr>
            <w:r w:rsidRPr="00C6052E">
              <w:t>640,393</w:t>
            </w:r>
          </w:p>
        </w:tc>
        <w:tc>
          <w:tcPr>
            <w:tcW w:w="1304" w:type="dxa"/>
            <w:noWrap/>
            <w:hideMark/>
          </w:tcPr>
          <w:p w14:paraId="5133428A" w14:textId="77777777" w:rsidR="00EE5BB8" w:rsidRPr="00C6052E" w:rsidRDefault="00EE5BB8" w:rsidP="006E345D">
            <w:pPr>
              <w:pStyle w:val="Tabletotal"/>
              <w:jc w:val="right"/>
            </w:pPr>
            <w:r w:rsidRPr="00C6052E">
              <w:t>(64,719)</w:t>
            </w:r>
          </w:p>
        </w:tc>
        <w:tc>
          <w:tcPr>
            <w:tcW w:w="1304" w:type="dxa"/>
            <w:noWrap/>
            <w:hideMark/>
          </w:tcPr>
          <w:p w14:paraId="368C905C" w14:textId="77777777" w:rsidR="00EE5BB8" w:rsidRPr="00C6052E" w:rsidRDefault="00EE5BB8" w:rsidP="006E345D">
            <w:pPr>
              <w:pStyle w:val="Tabletotal"/>
              <w:jc w:val="right"/>
            </w:pPr>
            <w:r w:rsidRPr="00C6052E">
              <w:t>(70,941)</w:t>
            </w:r>
          </w:p>
        </w:tc>
        <w:tc>
          <w:tcPr>
            <w:tcW w:w="907" w:type="dxa"/>
            <w:noWrap/>
            <w:hideMark/>
          </w:tcPr>
          <w:p w14:paraId="498AE64C" w14:textId="77777777" w:rsidR="00EE5BB8" w:rsidRPr="00C6052E" w:rsidRDefault="00EE5BB8" w:rsidP="006E345D">
            <w:pPr>
              <w:pStyle w:val="Tabletotal"/>
              <w:jc w:val="right"/>
            </w:pPr>
            <w:r w:rsidRPr="00C6052E">
              <w:t>497,847</w:t>
            </w:r>
          </w:p>
        </w:tc>
        <w:tc>
          <w:tcPr>
            <w:tcW w:w="907" w:type="dxa"/>
            <w:noWrap/>
            <w:hideMark/>
          </w:tcPr>
          <w:p w14:paraId="70B1D962" w14:textId="77777777" w:rsidR="00EE5BB8" w:rsidRPr="00C6052E" w:rsidRDefault="00EE5BB8" w:rsidP="006E345D">
            <w:pPr>
              <w:pStyle w:val="Tabletotal"/>
              <w:jc w:val="right"/>
            </w:pPr>
            <w:r w:rsidRPr="00C6052E">
              <w:t>569,452</w:t>
            </w:r>
          </w:p>
        </w:tc>
      </w:tr>
    </w:tbl>
    <w:p w14:paraId="3D9720D5" w14:textId="77777777" w:rsidR="00EE5BB8" w:rsidRPr="00C6052E" w:rsidRDefault="00EE5BB8" w:rsidP="00EE5BB8"/>
    <w:p w14:paraId="69D352A2" w14:textId="4C832360" w:rsidR="00EE5BB8" w:rsidRPr="00C6052E" w:rsidRDefault="00A6480E" w:rsidP="00A6480E">
      <w:pPr>
        <w:autoSpaceDE/>
        <w:autoSpaceDN/>
        <w:spacing w:after="160" w:line="278" w:lineRule="auto"/>
        <w:rPr>
          <w:b/>
          <w:bCs/>
        </w:rPr>
      </w:pPr>
      <w:r>
        <w:rPr>
          <w:b/>
          <w:bCs/>
        </w:rPr>
        <w:br w:type="page"/>
      </w:r>
      <w:r w:rsidR="00EE5BB8" w:rsidRPr="00C6052E">
        <w:rPr>
          <w:b/>
          <w:bCs/>
        </w:rPr>
        <w:lastRenderedPageBreak/>
        <w:t>The</w:t>
      </w:r>
      <w:r w:rsidR="00177848" w:rsidRPr="00C6052E">
        <w:rPr>
          <w:b/>
          <w:bCs/>
        </w:rPr>
        <w:t xml:space="preserve"> </w:t>
      </w:r>
      <w:r w:rsidR="00EE5BB8" w:rsidRPr="00C6052E">
        <w:rPr>
          <w:b/>
          <w:bCs/>
        </w:rPr>
        <w:t>following</w:t>
      </w:r>
      <w:r w:rsidR="00177848" w:rsidRPr="00C6052E">
        <w:rPr>
          <w:b/>
          <w:bCs/>
        </w:rPr>
        <w:t xml:space="preserve"> </w:t>
      </w:r>
      <w:r w:rsidR="00EE5BB8" w:rsidRPr="00C6052E">
        <w:rPr>
          <w:b/>
          <w:bCs/>
        </w:rPr>
        <w:t>tables</w:t>
      </w:r>
      <w:r w:rsidR="00177848" w:rsidRPr="00C6052E">
        <w:rPr>
          <w:b/>
          <w:bCs/>
        </w:rPr>
        <w:t xml:space="preserve"> </w:t>
      </w:r>
      <w:r w:rsidR="00EE5BB8" w:rsidRPr="00C6052E">
        <w:rPr>
          <w:b/>
          <w:bCs/>
        </w:rPr>
        <w:t>are</w:t>
      </w:r>
      <w:r w:rsidR="00177848" w:rsidRPr="00C6052E">
        <w:rPr>
          <w:b/>
          <w:bCs/>
        </w:rPr>
        <w:t xml:space="preserve"> </w:t>
      </w:r>
      <w:r w:rsidR="00EE5BB8" w:rsidRPr="00C6052E">
        <w:rPr>
          <w:b/>
          <w:bCs/>
        </w:rPr>
        <w:t>subsets</w:t>
      </w:r>
      <w:r w:rsidR="00177848" w:rsidRPr="00C6052E">
        <w:rPr>
          <w:b/>
          <w:bCs/>
        </w:rPr>
        <w:t xml:space="preserve"> </w:t>
      </w:r>
      <w:r w:rsidR="00EE5BB8" w:rsidRPr="00C6052E">
        <w:rPr>
          <w:b/>
          <w:bCs/>
        </w:rPr>
        <w:t>of</w:t>
      </w:r>
      <w:r w:rsidR="00177848" w:rsidRPr="00C6052E">
        <w:rPr>
          <w:b/>
          <w:bCs/>
        </w:rPr>
        <w:t xml:space="preserve"> </w:t>
      </w:r>
      <w:r w:rsidR="00EE5BB8" w:rsidRPr="00C6052E">
        <w:rPr>
          <w:b/>
          <w:bCs/>
        </w:rPr>
        <w:t>buildings</w:t>
      </w:r>
      <w:r w:rsidR="00177848" w:rsidRPr="00C6052E">
        <w:rPr>
          <w:b/>
          <w:bCs/>
        </w:rPr>
        <w:t xml:space="preserve"> </w:t>
      </w:r>
      <w:r w:rsidR="00EE5BB8" w:rsidRPr="00C6052E">
        <w:rPr>
          <w:b/>
          <w:bCs/>
        </w:rPr>
        <w:t>and</w:t>
      </w:r>
      <w:r w:rsidR="00177848" w:rsidRPr="00C6052E">
        <w:rPr>
          <w:b/>
          <w:bCs/>
        </w:rPr>
        <w:t xml:space="preserve"> </w:t>
      </w:r>
      <w:r w:rsidR="00EE5BB8" w:rsidRPr="00C6052E">
        <w:rPr>
          <w:b/>
          <w:bCs/>
        </w:rPr>
        <w:t>motor</w:t>
      </w:r>
      <w:r w:rsidR="00177848" w:rsidRPr="00C6052E">
        <w:rPr>
          <w:b/>
          <w:bCs/>
        </w:rPr>
        <w:t xml:space="preserve"> </w:t>
      </w:r>
      <w:r w:rsidR="00EE5BB8" w:rsidRPr="00C6052E">
        <w:rPr>
          <w:b/>
          <w:bCs/>
        </w:rPr>
        <w:t>vehicle</w:t>
      </w:r>
      <w:r w:rsidR="00177848" w:rsidRPr="00C6052E">
        <w:rPr>
          <w:b/>
          <w:bCs/>
        </w:rPr>
        <w:t xml:space="preserve"> </w:t>
      </w:r>
      <w:r w:rsidR="00EE5BB8" w:rsidRPr="00C6052E">
        <w:rPr>
          <w:b/>
          <w:bCs/>
        </w:rPr>
        <w:t>by</w:t>
      </w:r>
      <w:r w:rsidR="00177848" w:rsidRPr="00C6052E">
        <w:rPr>
          <w:b/>
          <w:bCs/>
        </w:rPr>
        <w:t xml:space="preserve"> </w:t>
      </w:r>
      <w:r w:rsidR="00EE5BB8" w:rsidRPr="00C6052E">
        <w:rPr>
          <w:b/>
          <w:bCs/>
        </w:rPr>
        <w:t>right-of-use</w:t>
      </w:r>
      <w:r w:rsidR="00177848" w:rsidRPr="00C6052E">
        <w:rPr>
          <w:b/>
          <w:bCs/>
        </w:rPr>
        <w:t xml:space="preserve"> </w:t>
      </w:r>
      <w:r w:rsidR="00EE5BB8" w:rsidRPr="00C6052E">
        <w:rPr>
          <w:b/>
          <w:bCs/>
        </w:rPr>
        <w:t>assets</w:t>
      </w:r>
    </w:p>
    <w:p w14:paraId="6B160716" w14:textId="46322EA2" w:rsidR="00EE5BB8" w:rsidRPr="00C6052E" w:rsidRDefault="00EE5BB8" w:rsidP="000C0740">
      <w:pPr>
        <w:pStyle w:val="Heading3numbered0"/>
      </w:pPr>
      <w:bookmarkStart w:id="228" w:name="_Ref163500084"/>
      <w:r w:rsidRPr="00C6052E">
        <w:t>Total</w:t>
      </w:r>
      <w:r w:rsidR="00177848" w:rsidRPr="00C6052E">
        <w:t xml:space="preserve"> </w:t>
      </w:r>
      <w:r w:rsidRPr="00C6052E">
        <w:t>right-of-use</w:t>
      </w:r>
      <w:r w:rsidR="00177848" w:rsidRPr="00C6052E">
        <w:t xml:space="preserve"> </w:t>
      </w:r>
      <w:r w:rsidRPr="00C6052E">
        <w:t>assets:</w:t>
      </w:r>
      <w:r w:rsidR="00177848" w:rsidRPr="00C6052E">
        <w:t xml:space="preserve"> </w:t>
      </w:r>
      <w:r w:rsidRPr="00C6052E">
        <w:t>buildings</w:t>
      </w:r>
      <w:r w:rsidR="00177848" w:rsidRPr="00C6052E">
        <w:t xml:space="preserve"> </w:t>
      </w:r>
      <w:r w:rsidRPr="00C6052E">
        <w:t>and</w:t>
      </w:r>
      <w:r w:rsidR="00177848" w:rsidRPr="00C6052E">
        <w:t xml:space="preserve"> </w:t>
      </w:r>
      <w:r w:rsidRPr="00C6052E">
        <w:t>motor</w:t>
      </w:r>
      <w:r w:rsidR="00177848" w:rsidRPr="00C6052E">
        <w:t xml:space="preserve"> </w:t>
      </w:r>
      <w:r w:rsidRPr="00C6052E">
        <w:t>vehicles</w:t>
      </w:r>
      <w:bookmarkEnd w:id="228"/>
      <w:r w:rsidR="00A6480E">
        <w:t xml:space="preserve"> </w:t>
      </w:r>
      <w:r w:rsidR="00A6480E" w:rsidRPr="00C6052E">
        <w:t>($ thousand)</w:t>
      </w:r>
    </w:p>
    <w:tbl>
      <w:tblPr>
        <w:tblStyle w:val="TableGrid"/>
        <w:tblW w:w="9634" w:type="dxa"/>
        <w:tblLayout w:type="fixed"/>
        <w:tblLook w:val="04E0" w:firstRow="1" w:lastRow="1" w:firstColumn="1" w:lastColumn="0" w:noHBand="0" w:noVBand="1"/>
      </w:tblPr>
      <w:tblGrid>
        <w:gridCol w:w="3539"/>
        <w:gridCol w:w="2031"/>
        <w:gridCol w:w="2032"/>
        <w:gridCol w:w="2032"/>
      </w:tblGrid>
      <w:tr w:rsidR="00EE5BB8" w:rsidRPr="00C6052E" w14:paraId="57FEAB45" w14:textId="77777777" w:rsidTr="007C69B9">
        <w:tc>
          <w:tcPr>
            <w:tcW w:w="3539" w:type="dxa"/>
            <w:noWrap/>
            <w:hideMark/>
          </w:tcPr>
          <w:p w14:paraId="63AB62F1" w14:textId="77777777" w:rsidR="00EE5BB8" w:rsidRPr="00C6052E" w:rsidRDefault="00EE5BB8" w:rsidP="000F5B20">
            <w:pPr>
              <w:pStyle w:val="TableColumnHeading"/>
            </w:pPr>
            <w:bookmarkStart w:id="229" w:name="TableColumnHeadings_68"/>
            <w:bookmarkEnd w:id="229"/>
          </w:p>
        </w:tc>
        <w:tc>
          <w:tcPr>
            <w:tcW w:w="2031" w:type="dxa"/>
            <w:hideMark/>
          </w:tcPr>
          <w:p w14:paraId="40FF949D" w14:textId="7052E8CC" w:rsidR="00EE5BB8" w:rsidRPr="00C6052E" w:rsidRDefault="00EE5BB8" w:rsidP="007C69B9">
            <w:pPr>
              <w:pStyle w:val="TableColumnHeading"/>
              <w:jc w:val="right"/>
              <w:rPr>
                <w:lang w:val="en-AU"/>
              </w:rPr>
            </w:pPr>
            <w:r w:rsidRPr="00C6052E">
              <w:rPr>
                <w:lang w:val="en-AU"/>
              </w:rPr>
              <w:t>Gross</w:t>
            </w:r>
            <w:r w:rsidR="00B1545C" w:rsidRPr="00C6052E">
              <w:rPr>
                <w:lang w:val="en-AU"/>
              </w:rPr>
              <w:t xml:space="preserve"> </w:t>
            </w:r>
            <w:r w:rsidRPr="00C6052E">
              <w:rPr>
                <w:lang w:val="en-AU"/>
              </w:rPr>
              <w:t>carrying</w:t>
            </w:r>
            <w:r w:rsidR="00177848" w:rsidRPr="00C6052E">
              <w:rPr>
                <w:lang w:val="en-AU"/>
              </w:rPr>
              <w:t xml:space="preserve"> </w:t>
            </w:r>
            <w:r w:rsidRPr="00C6052E">
              <w:rPr>
                <w:lang w:val="en-AU"/>
              </w:rPr>
              <w:t>amount</w:t>
            </w:r>
            <w:r w:rsidR="00A6480E">
              <w:rPr>
                <w:lang w:val="en-AU"/>
              </w:rPr>
              <w:br/>
            </w:r>
            <w:r w:rsidR="00A6480E" w:rsidRPr="00C6052E">
              <w:t>2025</w:t>
            </w:r>
          </w:p>
        </w:tc>
        <w:tc>
          <w:tcPr>
            <w:tcW w:w="2032" w:type="dxa"/>
            <w:hideMark/>
          </w:tcPr>
          <w:p w14:paraId="27F51571" w14:textId="619C5E47" w:rsidR="00EE5BB8" w:rsidRPr="00C6052E" w:rsidRDefault="00EE5BB8" w:rsidP="007C69B9">
            <w:pPr>
              <w:pStyle w:val="TableColumnHeading"/>
              <w:jc w:val="right"/>
              <w:rPr>
                <w:lang w:val="en-AU"/>
              </w:rPr>
            </w:pPr>
            <w:r w:rsidRPr="00C6052E">
              <w:rPr>
                <w:lang w:val="en-AU"/>
              </w:rPr>
              <w:t>Accumulated</w:t>
            </w:r>
            <w:r w:rsidR="00B1545C" w:rsidRPr="00C6052E">
              <w:rPr>
                <w:lang w:val="en-AU"/>
              </w:rPr>
              <w:t xml:space="preserve"> </w:t>
            </w:r>
            <w:r w:rsidRPr="00C6052E">
              <w:rPr>
                <w:lang w:val="en-AU"/>
              </w:rPr>
              <w:t>depreciation</w:t>
            </w:r>
            <w:r w:rsidR="00A6480E">
              <w:rPr>
                <w:lang w:val="en-AU"/>
              </w:rPr>
              <w:br/>
            </w:r>
            <w:r w:rsidR="00A6480E" w:rsidRPr="00C6052E">
              <w:t>2025</w:t>
            </w:r>
          </w:p>
        </w:tc>
        <w:tc>
          <w:tcPr>
            <w:tcW w:w="2032" w:type="dxa"/>
            <w:hideMark/>
          </w:tcPr>
          <w:p w14:paraId="004451B1" w14:textId="0E1FBC13" w:rsidR="00EE5BB8" w:rsidRPr="00C6052E" w:rsidRDefault="00EE5BB8" w:rsidP="007C69B9">
            <w:pPr>
              <w:pStyle w:val="TableColumnHeading"/>
              <w:jc w:val="right"/>
              <w:rPr>
                <w:lang w:val="en-AU"/>
              </w:rPr>
            </w:pPr>
            <w:r w:rsidRPr="00C6052E">
              <w:rPr>
                <w:lang w:val="en-AU"/>
              </w:rPr>
              <w:t>Net</w:t>
            </w:r>
            <w:r w:rsidR="00B1545C" w:rsidRPr="00C6052E">
              <w:rPr>
                <w:lang w:val="en-AU"/>
              </w:rPr>
              <w:t xml:space="preserve"> </w:t>
            </w:r>
            <w:r w:rsidRPr="00C6052E">
              <w:rPr>
                <w:lang w:val="en-AU"/>
              </w:rPr>
              <w:t>carrying</w:t>
            </w:r>
            <w:r w:rsidR="00177848" w:rsidRPr="00C6052E">
              <w:rPr>
                <w:lang w:val="en-AU"/>
              </w:rPr>
              <w:t xml:space="preserve"> </w:t>
            </w:r>
            <w:r w:rsidRPr="00C6052E">
              <w:rPr>
                <w:lang w:val="en-AU"/>
              </w:rPr>
              <w:t>amount</w:t>
            </w:r>
            <w:r w:rsidR="00A6480E">
              <w:rPr>
                <w:lang w:val="en-AU"/>
              </w:rPr>
              <w:br/>
            </w:r>
            <w:r w:rsidR="00A6480E" w:rsidRPr="00C6052E">
              <w:t>2025</w:t>
            </w:r>
          </w:p>
        </w:tc>
      </w:tr>
      <w:tr w:rsidR="00EE5BB8" w:rsidRPr="00C6052E" w14:paraId="6941CD02" w14:textId="77777777" w:rsidTr="007C69B9">
        <w:tc>
          <w:tcPr>
            <w:tcW w:w="3539" w:type="dxa"/>
            <w:hideMark/>
          </w:tcPr>
          <w:p w14:paraId="361491CB" w14:textId="45DD5F33" w:rsidR="00EE5BB8" w:rsidRPr="00C6052E" w:rsidRDefault="00EE5BB8" w:rsidP="0063097D">
            <w:pPr>
              <w:pStyle w:val="TableCopy"/>
            </w:pPr>
            <w:r w:rsidRPr="00C6052E">
              <w:t>Buildings</w:t>
            </w:r>
            <w:r w:rsidR="00177848" w:rsidRPr="00C6052E">
              <w:t xml:space="preserve"> </w:t>
            </w:r>
            <w:r w:rsidRPr="00C6052E">
              <w:t>and</w:t>
            </w:r>
            <w:r w:rsidR="00177848" w:rsidRPr="00C6052E">
              <w:t xml:space="preserve"> </w:t>
            </w:r>
            <w:r w:rsidRPr="00C6052E">
              <w:t>structures</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p>
        </w:tc>
        <w:tc>
          <w:tcPr>
            <w:tcW w:w="2031" w:type="dxa"/>
            <w:noWrap/>
            <w:hideMark/>
          </w:tcPr>
          <w:p w14:paraId="4E29FA27" w14:textId="77777777" w:rsidR="00EE5BB8" w:rsidRPr="00C6052E" w:rsidRDefault="00EE5BB8" w:rsidP="007C69B9">
            <w:pPr>
              <w:pStyle w:val="TableCopy"/>
              <w:jc w:val="right"/>
            </w:pPr>
            <w:r w:rsidRPr="00C6052E">
              <w:t>16,244</w:t>
            </w:r>
          </w:p>
        </w:tc>
        <w:tc>
          <w:tcPr>
            <w:tcW w:w="2032" w:type="dxa"/>
            <w:noWrap/>
            <w:hideMark/>
          </w:tcPr>
          <w:p w14:paraId="3B6E891A" w14:textId="77777777" w:rsidR="00EE5BB8" w:rsidRPr="00C6052E" w:rsidRDefault="00EE5BB8" w:rsidP="007C69B9">
            <w:pPr>
              <w:pStyle w:val="TableCopy"/>
              <w:jc w:val="right"/>
            </w:pPr>
            <w:r w:rsidRPr="00C6052E">
              <w:t>(8,393)</w:t>
            </w:r>
          </w:p>
        </w:tc>
        <w:tc>
          <w:tcPr>
            <w:tcW w:w="2032" w:type="dxa"/>
            <w:noWrap/>
            <w:hideMark/>
          </w:tcPr>
          <w:p w14:paraId="1A8E899B" w14:textId="77777777" w:rsidR="00EE5BB8" w:rsidRPr="00C6052E" w:rsidRDefault="00EE5BB8" w:rsidP="007C69B9">
            <w:pPr>
              <w:pStyle w:val="TableCopy"/>
              <w:jc w:val="right"/>
            </w:pPr>
            <w:r w:rsidRPr="00C6052E">
              <w:t>7,851</w:t>
            </w:r>
          </w:p>
        </w:tc>
      </w:tr>
      <w:tr w:rsidR="00EE5BB8" w:rsidRPr="00C6052E" w14:paraId="17E78E59" w14:textId="77777777" w:rsidTr="007C69B9">
        <w:tc>
          <w:tcPr>
            <w:tcW w:w="3539" w:type="dxa"/>
            <w:hideMark/>
          </w:tcPr>
          <w:p w14:paraId="1C62AD6E" w14:textId="74DA25F7" w:rsidR="00EE5BB8" w:rsidRPr="00C6052E" w:rsidRDefault="00EE5BB8" w:rsidP="0063097D">
            <w:pPr>
              <w:pStyle w:val="TableCopy"/>
            </w:pPr>
            <w:r w:rsidRPr="00C6052E">
              <w:t>Motor</w:t>
            </w:r>
            <w:r w:rsidR="00177848" w:rsidRPr="00C6052E">
              <w:t xml:space="preserve"> </w:t>
            </w:r>
            <w:r w:rsidRPr="00C6052E">
              <w:t>vehicles</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p>
        </w:tc>
        <w:tc>
          <w:tcPr>
            <w:tcW w:w="2031" w:type="dxa"/>
            <w:noWrap/>
            <w:hideMark/>
          </w:tcPr>
          <w:p w14:paraId="10A4176D" w14:textId="77777777" w:rsidR="00EE5BB8" w:rsidRPr="00C6052E" w:rsidRDefault="00EE5BB8" w:rsidP="007C69B9">
            <w:pPr>
              <w:pStyle w:val="TableCopy"/>
              <w:jc w:val="right"/>
            </w:pPr>
            <w:r w:rsidRPr="00C6052E">
              <w:t>5,880</w:t>
            </w:r>
          </w:p>
        </w:tc>
        <w:tc>
          <w:tcPr>
            <w:tcW w:w="2032" w:type="dxa"/>
            <w:noWrap/>
            <w:hideMark/>
          </w:tcPr>
          <w:p w14:paraId="02236880" w14:textId="77777777" w:rsidR="00EE5BB8" w:rsidRPr="00C6052E" w:rsidRDefault="00EE5BB8" w:rsidP="007C69B9">
            <w:pPr>
              <w:pStyle w:val="TableCopy"/>
              <w:jc w:val="right"/>
            </w:pPr>
            <w:r w:rsidRPr="00C6052E">
              <w:t>(1,480)</w:t>
            </w:r>
          </w:p>
        </w:tc>
        <w:tc>
          <w:tcPr>
            <w:tcW w:w="2032" w:type="dxa"/>
            <w:noWrap/>
            <w:hideMark/>
          </w:tcPr>
          <w:p w14:paraId="236C96F2" w14:textId="77777777" w:rsidR="00EE5BB8" w:rsidRPr="00C6052E" w:rsidRDefault="00EE5BB8" w:rsidP="007C69B9">
            <w:pPr>
              <w:pStyle w:val="TableCopy"/>
              <w:jc w:val="right"/>
            </w:pPr>
            <w:r w:rsidRPr="00C6052E">
              <w:t>4,400</w:t>
            </w:r>
          </w:p>
        </w:tc>
      </w:tr>
      <w:tr w:rsidR="00EE5BB8" w:rsidRPr="00C6052E" w14:paraId="46B860B6" w14:textId="77777777" w:rsidTr="007C69B9">
        <w:tc>
          <w:tcPr>
            <w:tcW w:w="3539" w:type="dxa"/>
            <w:noWrap/>
            <w:hideMark/>
          </w:tcPr>
          <w:p w14:paraId="294C9AF0" w14:textId="1F279E54" w:rsidR="00EE5BB8" w:rsidRPr="00C6052E" w:rsidRDefault="00EE5BB8" w:rsidP="0063097D">
            <w:pPr>
              <w:pStyle w:val="Tabletotal"/>
            </w:pPr>
            <w:r w:rsidRPr="00C6052E">
              <w:t>Net</w:t>
            </w:r>
            <w:r w:rsidR="00177848" w:rsidRPr="00C6052E">
              <w:t xml:space="preserve"> </w:t>
            </w:r>
            <w:r w:rsidRPr="00C6052E">
              <w:t>carrying</w:t>
            </w:r>
            <w:r w:rsidR="00177848" w:rsidRPr="00C6052E">
              <w:t xml:space="preserve"> </w:t>
            </w:r>
            <w:r w:rsidRPr="00C6052E">
              <w:t>amount</w:t>
            </w:r>
          </w:p>
        </w:tc>
        <w:tc>
          <w:tcPr>
            <w:tcW w:w="2031" w:type="dxa"/>
            <w:noWrap/>
            <w:hideMark/>
          </w:tcPr>
          <w:p w14:paraId="7AE0C246" w14:textId="77777777" w:rsidR="00EE5BB8" w:rsidRPr="00C6052E" w:rsidRDefault="00EE5BB8" w:rsidP="0063097D">
            <w:pPr>
              <w:pStyle w:val="Tabletotal"/>
              <w:jc w:val="right"/>
            </w:pPr>
            <w:r w:rsidRPr="00C6052E">
              <w:t>22,124</w:t>
            </w:r>
          </w:p>
        </w:tc>
        <w:tc>
          <w:tcPr>
            <w:tcW w:w="2032" w:type="dxa"/>
            <w:noWrap/>
            <w:hideMark/>
          </w:tcPr>
          <w:p w14:paraId="1B89F683" w14:textId="77777777" w:rsidR="00EE5BB8" w:rsidRPr="00C6052E" w:rsidRDefault="00EE5BB8" w:rsidP="0063097D">
            <w:pPr>
              <w:pStyle w:val="Tabletotal"/>
              <w:jc w:val="right"/>
            </w:pPr>
            <w:r w:rsidRPr="00C6052E">
              <w:t>(9,873)</w:t>
            </w:r>
          </w:p>
        </w:tc>
        <w:tc>
          <w:tcPr>
            <w:tcW w:w="2032" w:type="dxa"/>
            <w:noWrap/>
            <w:hideMark/>
          </w:tcPr>
          <w:p w14:paraId="16C2B577" w14:textId="77777777" w:rsidR="00EE5BB8" w:rsidRPr="00C6052E" w:rsidRDefault="00EE5BB8" w:rsidP="0063097D">
            <w:pPr>
              <w:pStyle w:val="Tabletotal"/>
              <w:jc w:val="right"/>
            </w:pPr>
            <w:r w:rsidRPr="00C6052E">
              <w:t>12,251</w:t>
            </w:r>
          </w:p>
        </w:tc>
      </w:tr>
    </w:tbl>
    <w:p w14:paraId="26424A2F" w14:textId="77777777" w:rsidR="007C69B9" w:rsidRDefault="007C69B9" w:rsidP="00291743">
      <w:pPr>
        <w:spacing w:after="0"/>
      </w:pPr>
    </w:p>
    <w:tbl>
      <w:tblPr>
        <w:tblStyle w:val="TableGrid"/>
        <w:tblW w:w="9634" w:type="dxa"/>
        <w:tblLayout w:type="fixed"/>
        <w:tblLook w:val="04E0" w:firstRow="1" w:lastRow="1" w:firstColumn="1" w:lastColumn="0" w:noHBand="0" w:noVBand="1"/>
      </w:tblPr>
      <w:tblGrid>
        <w:gridCol w:w="3539"/>
        <w:gridCol w:w="2031"/>
        <w:gridCol w:w="2032"/>
        <w:gridCol w:w="2032"/>
      </w:tblGrid>
      <w:tr w:rsidR="00EE5BB8" w:rsidRPr="00C6052E" w14:paraId="611C5384" w14:textId="77777777" w:rsidTr="007C69B9">
        <w:tc>
          <w:tcPr>
            <w:tcW w:w="3539" w:type="dxa"/>
            <w:noWrap/>
            <w:hideMark/>
          </w:tcPr>
          <w:p w14:paraId="620F4262" w14:textId="77777777" w:rsidR="00EE5BB8" w:rsidRPr="00C6052E" w:rsidRDefault="00EE5BB8" w:rsidP="000F5B20">
            <w:pPr>
              <w:pStyle w:val="TableColumnHeading"/>
            </w:pPr>
            <w:bookmarkStart w:id="230" w:name="TableColumnHeadings_69"/>
            <w:bookmarkEnd w:id="230"/>
          </w:p>
        </w:tc>
        <w:tc>
          <w:tcPr>
            <w:tcW w:w="2031" w:type="dxa"/>
            <w:hideMark/>
          </w:tcPr>
          <w:p w14:paraId="7E7294BF" w14:textId="5A5DCAFF" w:rsidR="00EE5BB8" w:rsidRPr="00C6052E" w:rsidRDefault="00EE5BB8" w:rsidP="007C69B9">
            <w:pPr>
              <w:pStyle w:val="TableColumnHeading"/>
              <w:ind w:left="363" w:hanging="363"/>
              <w:jc w:val="right"/>
              <w:rPr>
                <w:lang w:val="en-AU"/>
              </w:rPr>
            </w:pPr>
            <w:r w:rsidRPr="00C6052E">
              <w:rPr>
                <w:lang w:val="en-AU"/>
              </w:rPr>
              <w:t>Gross</w:t>
            </w:r>
            <w:r w:rsidR="00B1545C" w:rsidRPr="00C6052E">
              <w:rPr>
                <w:lang w:val="en-AU"/>
              </w:rPr>
              <w:t xml:space="preserve"> </w:t>
            </w:r>
            <w:r w:rsidRPr="00C6052E">
              <w:rPr>
                <w:lang w:val="en-AU"/>
              </w:rPr>
              <w:t>carrying</w:t>
            </w:r>
            <w:r w:rsidR="00177848" w:rsidRPr="00C6052E">
              <w:rPr>
                <w:lang w:val="en-AU"/>
              </w:rPr>
              <w:t xml:space="preserve"> </w:t>
            </w:r>
            <w:r w:rsidRPr="00C6052E">
              <w:rPr>
                <w:lang w:val="en-AU"/>
              </w:rPr>
              <w:t>amount</w:t>
            </w:r>
            <w:r w:rsidR="00A6480E">
              <w:rPr>
                <w:lang w:val="en-AU"/>
              </w:rPr>
              <w:br/>
            </w:r>
            <w:r w:rsidR="00A6480E" w:rsidRPr="00C6052E">
              <w:t>2024</w:t>
            </w:r>
          </w:p>
        </w:tc>
        <w:tc>
          <w:tcPr>
            <w:tcW w:w="2032" w:type="dxa"/>
            <w:hideMark/>
          </w:tcPr>
          <w:p w14:paraId="0CC159DA" w14:textId="0882D82E" w:rsidR="00EE5BB8" w:rsidRPr="00C6052E" w:rsidRDefault="00EE5BB8" w:rsidP="007C69B9">
            <w:pPr>
              <w:pStyle w:val="TableColumnHeading"/>
              <w:jc w:val="right"/>
              <w:rPr>
                <w:lang w:val="en-AU"/>
              </w:rPr>
            </w:pPr>
            <w:r w:rsidRPr="00C6052E">
              <w:rPr>
                <w:lang w:val="en-AU"/>
              </w:rPr>
              <w:t>Accumulated</w:t>
            </w:r>
            <w:r w:rsidR="00B1545C" w:rsidRPr="00C6052E">
              <w:rPr>
                <w:lang w:val="en-AU"/>
              </w:rPr>
              <w:t xml:space="preserve"> </w:t>
            </w:r>
            <w:r w:rsidRPr="00C6052E">
              <w:rPr>
                <w:lang w:val="en-AU"/>
              </w:rPr>
              <w:t>depreciation</w:t>
            </w:r>
            <w:r w:rsidR="00A6480E">
              <w:rPr>
                <w:lang w:val="en-AU"/>
              </w:rPr>
              <w:br/>
            </w:r>
            <w:r w:rsidR="00A6480E" w:rsidRPr="00C6052E">
              <w:t>2024</w:t>
            </w:r>
          </w:p>
        </w:tc>
        <w:tc>
          <w:tcPr>
            <w:tcW w:w="2032" w:type="dxa"/>
            <w:hideMark/>
          </w:tcPr>
          <w:p w14:paraId="70A0BA69" w14:textId="016BC8B9" w:rsidR="00EE5BB8" w:rsidRPr="00C6052E" w:rsidRDefault="00EE5BB8" w:rsidP="007C69B9">
            <w:pPr>
              <w:pStyle w:val="TableColumnHeading"/>
              <w:jc w:val="right"/>
              <w:rPr>
                <w:lang w:val="en-AU"/>
              </w:rPr>
            </w:pPr>
            <w:r w:rsidRPr="00C6052E">
              <w:rPr>
                <w:lang w:val="en-AU"/>
              </w:rPr>
              <w:t>Net</w:t>
            </w:r>
            <w:r w:rsidR="00B1545C" w:rsidRPr="00C6052E">
              <w:rPr>
                <w:lang w:val="en-AU"/>
              </w:rPr>
              <w:t xml:space="preserve"> </w:t>
            </w:r>
            <w:r w:rsidRPr="00C6052E">
              <w:rPr>
                <w:lang w:val="en-AU"/>
              </w:rPr>
              <w:t>carrying</w:t>
            </w:r>
            <w:r w:rsidR="00177848" w:rsidRPr="00C6052E">
              <w:rPr>
                <w:lang w:val="en-AU"/>
              </w:rPr>
              <w:t xml:space="preserve"> </w:t>
            </w:r>
            <w:r w:rsidRPr="00C6052E">
              <w:rPr>
                <w:lang w:val="en-AU"/>
              </w:rPr>
              <w:t>amount</w:t>
            </w:r>
            <w:r w:rsidR="00A6480E">
              <w:rPr>
                <w:lang w:val="en-AU"/>
              </w:rPr>
              <w:br/>
            </w:r>
            <w:r w:rsidR="00A6480E" w:rsidRPr="00C6052E">
              <w:t>2024</w:t>
            </w:r>
          </w:p>
        </w:tc>
      </w:tr>
      <w:tr w:rsidR="00EE5BB8" w:rsidRPr="00C6052E" w14:paraId="392BF036" w14:textId="77777777" w:rsidTr="007C69B9">
        <w:tc>
          <w:tcPr>
            <w:tcW w:w="3539" w:type="dxa"/>
            <w:hideMark/>
          </w:tcPr>
          <w:p w14:paraId="7413C997" w14:textId="0578B6E5" w:rsidR="00EE5BB8" w:rsidRPr="00C6052E" w:rsidRDefault="00EE5BB8" w:rsidP="0063097D">
            <w:pPr>
              <w:pStyle w:val="TableCopy"/>
            </w:pPr>
            <w:r w:rsidRPr="00C6052E">
              <w:t>Buildings</w:t>
            </w:r>
            <w:r w:rsidR="00177848" w:rsidRPr="00C6052E">
              <w:t xml:space="preserve"> </w:t>
            </w:r>
            <w:r w:rsidRPr="00C6052E">
              <w:t>and</w:t>
            </w:r>
            <w:r w:rsidR="00177848" w:rsidRPr="00C6052E">
              <w:t xml:space="preserve"> </w:t>
            </w:r>
            <w:r w:rsidRPr="00C6052E">
              <w:t>structures</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p>
        </w:tc>
        <w:tc>
          <w:tcPr>
            <w:tcW w:w="2031" w:type="dxa"/>
            <w:noWrap/>
            <w:hideMark/>
          </w:tcPr>
          <w:p w14:paraId="3629AD8D" w14:textId="77777777" w:rsidR="00EE5BB8" w:rsidRPr="00C6052E" w:rsidRDefault="00EE5BB8" w:rsidP="007C69B9">
            <w:pPr>
              <w:pStyle w:val="TableCopy"/>
              <w:jc w:val="right"/>
            </w:pPr>
            <w:r w:rsidRPr="00C6052E">
              <w:t>16,481</w:t>
            </w:r>
          </w:p>
        </w:tc>
        <w:tc>
          <w:tcPr>
            <w:tcW w:w="2032" w:type="dxa"/>
            <w:noWrap/>
            <w:hideMark/>
          </w:tcPr>
          <w:p w14:paraId="77F3D243" w14:textId="77777777" w:rsidR="00EE5BB8" w:rsidRPr="00C6052E" w:rsidRDefault="00EE5BB8" w:rsidP="007C69B9">
            <w:pPr>
              <w:pStyle w:val="TableCopy"/>
              <w:jc w:val="right"/>
            </w:pPr>
            <w:r w:rsidRPr="00C6052E">
              <w:t>(7,984)</w:t>
            </w:r>
          </w:p>
        </w:tc>
        <w:tc>
          <w:tcPr>
            <w:tcW w:w="2032" w:type="dxa"/>
            <w:noWrap/>
            <w:hideMark/>
          </w:tcPr>
          <w:p w14:paraId="5FD63E96" w14:textId="77777777" w:rsidR="00EE5BB8" w:rsidRPr="00C6052E" w:rsidRDefault="00EE5BB8" w:rsidP="007C69B9">
            <w:pPr>
              <w:pStyle w:val="TableCopy"/>
              <w:jc w:val="right"/>
            </w:pPr>
            <w:r w:rsidRPr="00C6052E">
              <w:t>8,497</w:t>
            </w:r>
          </w:p>
        </w:tc>
      </w:tr>
      <w:tr w:rsidR="00EE5BB8" w:rsidRPr="00C6052E" w14:paraId="0EB5D261" w14:textId="77777777" w:rsidTr="007C69B9">
        <w:tc>
          <w:tcPr>
            <w:tcW w:w="3539" w:type="dxa"/>
            <w:hideMark/>
          </w:tcPr>
          <w:p w14:paraId="65AB1AC9" w14:textId="37627291" w:rsidR="00EE5BB8" w:rsidRPr="00C6052E" w:rsidRDefault="00EE5BB8" w:rsidP="0063097D">
            <w:pPr>
              <w:pStyle w:val="TableCopy"/>
            </w:pPr>
            <w:r w:rsidRPr="00C6052E">
              <w:t>Motor</w:t>
            </w:r>
            <w:r w:rsidR="00177848" w:rsidRPr="00C6052E">
              <w:t xml:space="preserve"> </w:t>
            </w:r>
            <w:r w:rsidRPr="00C6052E">
              <w:t>vehicles</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p>
        </w:tc>
        <w:tc>
          <w:tcPr>
            <w:tcW w:w="2031" w:type="dxa"/>
            <w:noWrap/>
            <w:hideMark/>
          </w:tcPr>
          <w:p w14:paraId="702F82AF" w14:textId="77777777" w:rsidR="00EE5BB8" w:rsidRPr="00C6052E" w:rsidRDefault="00EE5BB8" w:rsidP="007C69B9">
            <w:pPr>
              <w:pStyle w:val="TableCopy"/>
              <w:jc w:val="right"/>
            </w:pPr>
            <w:r w:rsidRPr="00C6052E">
              <w:t>5,406</w:t>
            </w:r>
          </w:p>
        </w:tc>
        <w:tc>
          <w:tcPr>
            <w:tcW w:w="2032" w:type="dxa"/>
            <w:noWrap/>
            <w:hideMark/>
          </w:tcPr>
          <w:p w14:paraId="69B56277" w14:textId="77777777" w:rsidR="00EE5BB8" w:rsidRPr="00C6052E" w:rsidRDefault="00EE5BB8" w:rsidP="007C69B9">
            <w:pPr>
              <w:pStyle w:val="TableCopy"/>
              <w:jc w:val="right"/>
            </w:pPr>
            <w:r w:rsidRPr="00C6052E">
              <w:t>(1,440)</w:t>
            </w:r>
          </w:p>
        </w:tc>
        <w:tc>
          <w:tcPr>
            <w:tcW w:w="2032" w:type="dxa"/>
            <w:noWrap/>
            <w:hideMark/>
          </w:tcPr>
          <w:p w14:paraId="6E8F68D6" w14:textId="77777777" w:rsidR="00EE5BB8" w:rsidRPr="00C6052E" w:rsidRDefault="00EE5BB8" w:rsidP="007C69B9">
            <w:pPr>
              <w:pStyle w:val="TableCopy"/>
              <w:jc w:val="right"/>
            </w:pPr>
            <w:r w:rsidRPr="00C6052E">
              <w:t>3,966</w:t>
            </w:r>
          </w:p>
        </w:tc>
      </w:tr>
      <w:tr w:rsidR="00EE5BB8" w:rsidRPr="00C6052E" w14:paraId="75B96EE1" w14:textId="77777777" w:rsidTr="007C69B9">
        <w:tc>
          <w:tcPr>
            <w:tcW w:w="3539" w:type="dxa"/>
            <w:noWrap/>
            <w:hideMark/>
          </w:tcPr>
          <w:p w14:paraId="705497CC" w14:textId="3714F7C1" w:rsidR="00EE5BB8" w:rsidRPr="00C6052E" w:rsidRDefault="00EE5BB8" w:rsidP="0063097D">
            <w:pPr>
              <w:pStyle w:val="Tabletotal"/>
            </w:pPr>
            <w:r w:rsidRPr="00C6052E">
              <w:t>Net</w:t>
            </w:r>
            <w:r w:rsidR="00177848" w:rsidRPr="00C6052E">
              <w:t xml:space="preserve"> </w:t>
            </w:r>
            <w:r w:rsidRPr="00C6052E">
              <w:t>carrying</w:t>
            </w:r>
            <w:r w:rsidR="00177848" w:rsidRPr="00C6052E">
              <w:t xml:space="preserve"> </w:t>
            </w:r>
            <w:r w:rsidRPr="00C6052E">
              <w:t>amount</w:t>
            </w:r>
          </w:p>
        </w:tc>
        <w:tc>
          <w:tcPr>
            <w:tcW w:w="2031" w:type="dxa"/>
            <w:noWrap/>
            <w:hideMark/>
          </w:tcPr>
          <w:p w14:paraId="78504EAA" w14:textId="77777777" w:rsidR="00EE5BB8" w:rsidRPr="00C6052E" w:rsidRDefault="00EE5BB8" w:rsidP="0063097D">
            <w:pPr>
              <w:pStyle w:val="Tabletotal"/>
              <w:jc w:val="right"/>
            </w:pPr>
            <w:r w:rsidRPr="00C6052E">
              <w:t>21,887</w:t>
            </w:r>
          </w:p>
        </w:tc>
        <w:tc>
          <w:tcPr>
            <w:tcW w:w="2032" w:type="dxa"/>
            <w:noWrap/>
            <w:hideMark/>
          </w:tcPr>
          <w:p w14:paraId="3BE6BCC7" w14:textId="77777777" w:rsidR="00EE5BB8" w:rsidRPr="00C6052E" w:rsidRDefault="00EE5BB8" w:rsidP="0063097D">
            <w:pPr>
              <w:pStyle w:val="Tabletotal"/>
              <w:jc w:val="right"/>
            </w:pPr>
            <w:r w:rsidRPr="00C6052E">
              <w:t>(9,424)</w:t>
            </w:r>
          </w:p>
        </w:tc>
        <w:tc>
          <w:tcPr>
            <w:tcW w:w="2032" w:type="dxa"/>
            <w:noWrap/>
            <w:hideMark/>
          </w:tcPr>
          <w:p w14:paraId="1DE50339" w14:textId="77777777" w:rsidR="00EE5BB8" w:rsidRPr="00C6052E" w:rsidRDefault="00EE5BB8" w:rsidP="0063097D">
            <w:pPr>
              <w:pStyle w:val="Tabletotal"/>
              <w:jc w:val="right"/>
            </w:pPr>
            <w:r w:rsidRPr="00C6052E">
              <w:t>12,463</w:t>
            </w:r>
          </w:p>
        </w:tc>
      </w:tr>
    </w:tbl>
    <w:p w14:paraId="65DFB163" w14:textId="77777777" w:rsidR="00EE5BB8" w:rsidRPr="00C6052E" w:rsidRDefault="00EE5BB8" w:rsidP="00291743">
      <w:pPr>
        <w:spacing w:after="0"/>
      </w:pPr>
    </w:p>
    <w:tbl>
      <w:tblPr>
        <w:tblStyle w:val="TableGrid"/>
        <w:tblW w:w="9634" w:type="dxa"/>
        <w:tblLayout w:type="fixed"/>
        <w:tblLook w:val="04E0" w:firstRow="1" w:lastRow="1" w:firstColumn="1" w:lastColumn="0" w:noHBand="0" w:noVBand="1"/>
      </w:tblPr>
      <w:tblGrid>
        <w:gridCol w:w="3964"/>
        <w:gridCol w:w="2835"/>
        <w:gridCol w:w="2835"/>
      </w:tblGrid>
      <w:tr w:rsidR="00EE5BB8" w:rsidRPr="00C6052E" w14:paraId="455CA3CB" w14:textId="77777777" w:rsidTr="00291743">
        <w:trPr>
          <w:tblHeader/>
        </w:trPr>
        <w:tc>
          <w:tcPr>
            <w:tcW w:w="3964" w:type="dxa"/>
            <w:noWrap/>
            <w:hideMark/>
          </w:tcPr>
          <w:p w14:paraId="4DC04AA1" w14:textId="77777777" w:rsidR="00EE5BB8" w:rsidRPr="00C34F64" w:rsidRDefault="00EE5BB8" w:rsidP="00C34F64">
            <w:pPr>
              <w:pStyle w:val="TableColumnHeading"/>
            </w:pPr>
            <w:bookmarkStart w:id="231" w:name="TableColumnHeadings_70"/>
            <w:bookmarkEnd w:id="231"/>
          </w:p>
        </w:tc>
        <w:tc>
          <w:tcPr>
            <w:tcW w:w="2835" w:type="dxa"/>
            <w:hideMark/>
          </w:tcPr>
          <w:p w14:paraId="64FBD62E" w14:textId="0886E89B" w:rsidR="00EE5BB8" w:rsidRPr="00C6052E" w:rsidRDefault="00EE5BB8" w:rsidP="007C69B9">
            <w:pPr>
              <w:pStyle w:val="TableColumnHeading"/>
              <w:jc w:val="right"/>
              <w:rPr>
                <w:lang w:val="en-AU"/>
              </w:rPr>
            </w:pPr>
            <w:r w:rsidRPr="00C6052E">
              <w:rPr>
                <w:lang w:val="en-AU"/>
              </w:rPr>
              <w:t>Buildings</w:t>
            </w:r>
            <w:r w:rsidR="00B1545C" w:rsidRPr="00C6052E">
              <w:rPr>
                <w:lang w:val="en-AU"/>
              </w:rPr>
              <w:t xml:space="preserve"> </w:t>
            </w:r>
            <w:r w:rsidRPr="00C6052E">
              <w:rPr>
                <w:lang w:val="en-AU"/>
              </w:rPr>
              <w:t>and</w:t>
            </w:r>
            <w:r w:rsidR="00177848" w:rsidRPr="00C6052E">
              <w:rPr>
                <w:lang w:val="en-AU"/>
              </w:rPr>
              <w:t xml:space="preserve"> </w:t>
            </w:r>
            <w:r w:rsidRPr="00C6052E">
              <w:rPr>
                <w:lang w:val="en-AU"/>
              </w:rPr>
              <w:t>structures</w:t>
            </w:r>
            <w:r w:rsidR="00177848" w:rsidRPr="00C6052E">
              <w:rPr>
                <w:lang w:val="en-AU"/>
              </w:rPr>
              <w:t xml:space="preserve"> </w:t>
            </w:r>
            <w:r w:rsidRPr="00C6052E">
              <w:rPr>
                <w:lang w:val="en-AU"/>
              </w:rPr>
              <w:br/>
              <w:t>at</w:t>
            </w:r>
            <w:r w:rsidR="00177848" w:rsidRPr="00C6052E">
              <w:rPr>
                <w:lang w:val="en-AU"/>
              </w:rPr>
              <w:t xml:space="preserve"> </w:t>
            </w:r>
            <w:r w:rsidRPr="00C6052E">
              <w:rPr>
                <w:lang w:val="en-AU"/>
              </w:rPr>
              <w:t>fair</w:t>
            </w:r>
            <w:r w:rsidR="00177848" w:rsidRPr="00C6052E">
              <w:rPr>
                <w:lang w:val="en-AU"/>
              </w:rPr>
              <w:t xml:space="preserve"> </w:t>
            </w:r>
            <w:r w:rsidRPr="00C6052E">
              <w:rPr>
                <w:lang w:val="en-AU"/>
              </w:rPr>
              <w:t>value</w:t>
            </w:r>
          </w:p>
        </w:tc>
        <w:tc>
          <w:tcPr>
            <w:tcW w:w="2835" w:type="dxa"/>
            <w:hideMark/>
          </w:tcPr>
          <w:p w14:paraId="2C549ECB" w14:textId="2DDF859C" w:rsidR="00EE5BB8" w:rsidRPr="00C6052E" w:rsidRDefault="00EE5BB8" w:rsidP="007C69B9">
            <w:pPr>
              <w:pStyle w:val="TableColumnHeading"/>
              <w:jc w:val="right"/>
              <w:rPr>
                <w:lang w:val="en-AU"/>
              </w:rPr>
            </w:pPr>
            <w:r w:rsidRPr="00C6052E">
              <w:rPr>
                <w:lang w:val="en-AU"/>
              </w:rPr>
              <w:t>Motor</w:t>
            </w:r>
            <w:r w:rsidR="00B1545C" w:rsidRPr="00C6052E">
              <w:rPr>
                <w:lang w:val="en-AU"/>
              </w:rPr>
              <w:t xml:space="preserve"> </w:t>
            </w:r>
            <w:r w:rsidRPr="00C6052E">
              <w:rPr>
                <w:lang w:val="en-AU"/>
              </w:rPr>
              <w:t>vehicles</w:t>
            </w:r>
            <w:r w:rsidR="00177848" w:rsidRPr="00C6052E">
              <w:rPr>
                <w:lang w:val="en-AU"/>
              </w:rPr>
              <w:t xml:space="preserve"> </w:t>
            </w:r>
            <w:r w:rsidRPr="00C6052E">
              <w:rPr>
                <w:lang w:val="en-AU"/>
              </w:rPr>
              <w:br/>
              <w:t>at</w:t>
            </w:r>
            <w:r w:rsidR="00177848" w:rsidRPr="00C6052E">
              <w:rPr>
                <w:lang w:val="en-AU"/>
              </w:rPr>
              <w:t xml:space="preserve"> </w:t>
            </w:r>
            <w:r w:rsidRPr="00C6052E">
              <w:rPr>
                <w:lang w:val="en-AU"/>
              </w:rPr>
              <w:t>fair</w:t>
            </w:r>
            <w:r w:rsidR="00177848" w:rsidRPr="00C6052E">
              <w:rPr>
                <w:lang w:val="en-AU"/>
              </w:rPr>
              <w:t xml:space="preserve"> </w:t>
            </w:r>
            <w:r w:rsidRPr="00C6052E">
              <w:rPr>
                <w:lang w:val="en-AU"/>
              </w:rPr>
              <w:t>value</w:t>
            </w:r>
          </w:p>
        </w:tc>
      </w:tr>
      <w:tr w:rsidR="00EE5BB8" w:rsidRPr="00C6052E" w14:paraId="266E3FC9" w14:textId="77777777" w:rsidTr="00291743">
        <w:tc>
          <w:tcPr>
            <w:tcW w:w="3964" w:type="dxa"/>
            <w:noWrap/>
            <w:hideMark/>
          </w:tcPr>
          <w:p w14:paraId="0E04789E" w14:textId="75F7C8C1" w:rsidR="00EE5BB8" w:rsidRPr="00C6052E" w:rsidRDefault="00EE5BB8" w:rsidP="0063097D">
            <w:pPr>
              <w:pStyle w:val="TableCopy"/>
              <w:rPr>
                <w:rStyle w:val="Medium"/>
              </w:rPr>
            </w:pPr>
            <w:r w:rsidRPr="00C6052E">
              <w:rPr>
                <w:rStyle w:val="Medium"/>
              </w:rPr>
              <w:t>Opening</w:t>
            </w:r>
            <w:r w:rsidR="00177848" w:rsidRPr="00C6052E">
              <w:rPr>
                <w:rStyle w:val="Medium"/>
              </w:rPr>
              <w:t xml:space="preserve"> </w:t>
            </w:r>
            <w:r w:rsidRPr="00C6052E">
              <w:rPr>
                <w:rStyle w:val="Medium"/>
              </w:rPr>
              <w:t>balance</w:t>
            </w:r>
            <w:r w:rsidR="00177848" w:rsidRPr="00C6052E">
              <w:rPr>
                <w:rStyle w:val="Medium"/>
              </w:rPr>
              <w:t xml:space="preserve"> </w:t>
            </w:r>
            <w:r w:rsidRPr="00C6052E">
              <w:rPr>
                <w:rStyle w:val="Medium"/>
              </w:rPr>
              <w:t>–</w:t>
            </w:r>
            <w:r w:rsidR="00177848" w:rsidRPr="00C6052E">
              <w:rPr>
                <w:rStyle w:val="Medium"/>
              </w:rPr>
              <w:t xml:space="preserve"> </w:t>
            </w:r>
            <w:r w:rsidRPr="00C6052E">
              <w:rPr>
                <w:rStyle w:val="Medium"/>
              </w:rPr>
              <w:t>1</w:t>
            </w:r>
            <w:r w:rsidR="00177848" w:rsidRPr="00C6052E">
              <w:rPr>
                <w:rStyle w:val="Medium"/>
              </w:rPr>
              <w:t xml:space="preserve"> </w:t>
            </w:r>
            <w:r w:rsidRPr="00C6052E">
              <w:rPr>
                <w:rStyle w:val="Medium"/>
              </w:rPr>
              <w:t>July</w:t>
            </w:r>
            <w:r w:rsidR="00177848" w:rsidRPr="00C6052E">
              <w:rPr>
                <w:rStyle w:val="Medium"/>
              </w:rPr>
              <w:t xml:space="preserve"> </w:t>
            </w:r>
            <w:r w:rsidRPr="00C6052E">
              <w:rPr>
                <w:rStyle w:val="Medium"/>
              </w:rPr>
              <w:t>2024</w:t>
            </w:r>
          </w:p>
        </w:tc>
        <w:tc>
          <w:tcPr>
            <w:tcW w:w="2835" w:type="dxa"/>
            <w:noWrap/>
            <w:hideMark/>
          </w:tcPr>
          <w:p w14:paraId="5C93FF04" w14:textId="77777777" w:rsidR="00EE5BB8" w:rsidRPr="00C6052E" w:rsidRDefault="00EE5BB8" w:rsidP="007C69B9">
            <w:pPr>
              <w:pStyle w:val="TableCopy"/>
              <w:jc w:val="right"/>
              <w:rPr>
                <w:rStyle w:val="Medium"/>
              </w:rPr>
            </w:pPr>
            <w:r w:rsidRPr="00C6052E">
              <w:rPr>
                <w:rStyle w:val="Medium"/>
              </w:rPr>
              <w:t>8,497</w:t>
            </w:r>
          </w:p>
        </w:tc>
        <w:tc>
          <w:tcPr>
            <w:tcW w:w="2835" w:type="dxa"/>
            <w:noWrap/>
            <w:hideMark/>
          </w:tcPr>
          <w:p w14:paraId="34AB3071" w14:textId="77777777" w:rsidR="00EE5BB8" w:rsidRPr="00C6052E" w:rsidRDefault="00EE5BB8" w:rsidP="007C69B9">
            <w:pPr>
              <w:pStyle w:val="TableCopy"/>
              <w:jc w:val="right"/>
              <w:rPr>
                <w:rStyle w:val="Medium"/>
              </w:rPr>
            </w:pPr>
            <w:r w:rsidRPr="00C6052E">
              <w:rPr>
                <w:rStyle w:val="Medium"/>
              </w:rPr>
              <w:t>3,966</w:t>
            </w:r>
          </w:p>
        </w:tc>
      </w:tr>
      <w:tr w:rsidR="00EE5BB8" w:rsidRPr="00C6052E" w14:paraId="2984C2A9" w14:textId="77777777" w:rsidTr="00291743">
        <w:tc>
          <w:tcPr>
            <w:tcW w:w="3964" w:type="dxa"/>
            <w:hideMark/>
          </w:tcPr>
          <w:p w14:paraId="6E91C899" w14:textId="7833BD4F" w:rsidR="00EE5BB8" w:rsidRPr="00C6052E" w:rsidRDefault="00EE5BB8" w:rsidP="0063097D">
            <w:pPr>
              <w:pStyle w:val="TableCopy"/>
            </w:pPr>
            <w:r w:rsidRPr="00C6052E">
              <w:t>Additions</w:t>
            </w:r>
            <w:r w:rsidR="00177848" w:rsidRPr="00C6052E">
              <w:t xml:space="preserve"> </w:t>
            </w:r>
          </w:p>
        </w:tc>
        <w:tc>
          <w:tcPr>
            <w:tcW w:w="2835" w:type="dxa"/>
            <w:noWrap/>
            <w:hideMark/>
          </w:tcPr>
          <w:p w14:paraId="69C999D4" w14:textId="77777777" w:rsidR="00EE5BB8" w:rsidRPr="00C6052E" w:rsidRDefault="00EE5BB8" w:rsidP="007C69B9">
            <w:pPr>
              <w:pStyle w:val="TableCopy"/>
              <w:jc w:val="right"/>
            </w:pPr>
            <w:r w:rsidRPr="00C6052E">
              <w:t>2,645</w:t>
            </w:r>
          </w:p>
        </w:tc>
        <w:tc>
          <w:tcPr>
            <w:tcW w:w="2835" w:type="dxa"/>
            <w:noWrap/>
            <w:hideMark/>
          </w:tcPr>
          <w:p w14:paraId="761F4AC8" w14:textId="77777777" w:rsidR="00EE5BB8" w:rsidRPr="00C6052E" w:rsidRDefault="00EE5BB8" w:rsidP="007C69B9">
            <w:pPr>
              <w:pStyle w:val="TableCopy"/>
              <w:jc w:val="right"/>
            </w:pPr>
            <w:r w:rsidRPr="00C6052E">
              <w:t>2,017</w:t>
            </w:r>
          </w:p>
        </w:tc>
      </w:tr>
      <w:tr w:rsidR="00EE5BB8" w:rsidRPr="00C6052E" w14:paraId="0669C433" w14:textId="77777777" w:rsidTr="00291743">
        <w:tc>
          <w:tcPr>
            <w:tcW w:w="3964" w:type="dxa"/>
            <w:hideMark/>
          </w:tcPr>
          <w:p w14:paraId="652C855D" w14:textId="76DAE90A" w:rsidR="00EE5BB8" w:rsidRPr="00C6052E" w:rsidRDefault="00EE5BB8" w:rsidP="0063097D">
            <w:pPr>
              <w:pStyle w:val="TableCopy"/>
            </w:pPr>
            <w:r w:rsidRPr="00C6052E">
              <w:t>Transfers</w:t>
            </w:r>
            <w:r w:rsidR="00177848" w:rsidRPr="00C6052E">
              <w:t xml:space="preserve"> </w:t>
            </w:r>
            <w:r w:rsidRPr="00C6052E">
              <w:t>to</w:t>
            </w:r>
            <w:r w:rsidR="00177848" w:rsidRPr="00C6052E">
              <w:t xml:space="preserve"> </w:t>
            </w:r>
            <w:r w:rsidRPr="00C6052E">
              <w:t>assets</w:t>
            </w:r>
            <w:r w:rsidR="00177848" w:rsidRPr="00C6052E">
              <w:t xml:space="preserve"> </w:t>
            </w:r>
            <w:r w:rsidRPr="00C6052E">
              <w:t>held</w:t>
            </w:r>
            <w:r w:rsidR="00177848" w:rsidRPr="00C6052E">
              <w:t xml:space="preserve"> </w:t>
            </w:r>
            <w:r w:rsidRPr="00C6052E">
              <w:t>for</w:t>
            </w:r>
            <w:r w:rsidR="00177848" w:rsidRPr="00C6052E">
              <w:t xml:space="preserve"> </w:t>
            </w:r>
            <w:r w:rsidRPr="00C6052E">
              <w:t>sale</w:t>
            </w:r>
          </w:p>
        </w:tc>
        <w:tc>
          <w:tcPr>
            <w:tcW w:w="2835" w:type="dxa"/>
            <w:noWrap/>
            <w:hideMark/>
          </w:tcPr>
          <w:p w14:paraId="780534EC" w14:textId="77777777" w:rsidR="00EE5BB8" w:rsidRPr="00C6052E" w:rsidRDefault="00EE5BB8" w:rsidP="007C69B9">
            <w:pPr>
              <w:pStyle w:val="TableCopy"/>
              <w:jc w:val="right"/>
            </w:pPr>
            <w:r w:rsidRPr="00C6052E">
              <w:t>–</w:t>
            </w:r>
          </w:p>
        </w:tc>
        <w:tc>
          <w:tcPr>
            <w:tcW w:w="2835" w:type="dxa"/>
            <w:noWrap/>
            <w:hideMark/>
          </w:tcPr>
          <w:p w14:paraId="7ACC3066" w14:textId="77777777" w:rsidR="00EE5BB8" w:rsidRPr="00C6052E" w:rsidRDefault="00EE5BB8" w:rsidP="007C69B9">
            <w:pPr>
              <w:pStyle w:val="TableCopy"/>
              <w:jc w:val="right"/>
            </w:pPr>
            <w:r w:rsidRPr="00C6052E">
              <w:t>(97)</w:t>
            </w:r>
          </w:p>
        </w:tc>
      </w:tr>
      <w:tr w:rsidR="00EE5BB8" w:rsidRPr="00C6052E" w14:paraId="2A753FA9" w14:textId="77777777" w:rsidTr="00291743">
        <w:tc>
          <w:tcPr>
            <w:tcW w:w="3964" w:type="dxa"/>
            <w:hideMark/>
          </w:tcPr>
          <w:p w14:paraId="229897D8" w14:textId="5E9287A8" w:rsidR="00EE5BB8" w:rsidRPr="00C6052E" w:rsidRDefault="00EE5BB8" w:rsidP="0063097D">
            <w:pPr>
              <w:pStyle w:val="TableCopy"/>
            </w:pPr>
            <w:r w:rsidRPr="00C6052E">
              <w:t>Disposals</w:t>
            </w:r>
            <w:r w:rsidR="00177848" w:rsidRPr="00C6052E">
              <w:t xml:space="preserve"> </w:t>
            </w:r>
          </w:p>
        </w:tc>
        <w:tc>
          <w:tcPr>
            <w:tcW w:w="2835" w:type="dxa"/>
            <w:noWrap/>
            <w:hideMark/>
          </w:tcPr>
          <w:p w14:paraId="5305FF9A" w14:textId="77777777" w:rsidR="00EE5BB8" w:rsidRPr="00C6052E" w:rsidRDefault="00EE5BB8" w:rsidP="007C69B9">
            <w:pPr>
              <w:pStyle w:val="TableCopy"/>
              <w:jc w:val="right"/>
            </w:pPr>
            <w:r w:rsidRPr="00C6052E">
              <w:t>–</w:t>
            </w:r>
          </w:p>
        </w:tc>
        <w:tc>
          <w:tcPr>
            <w:tcW w:w="2835" w:type="dxa"/>
            <w:noWrap/>
            <w:hideMark/>
          </w:tcPr>
          <w:p w14:paraId="282B9163" w14:textId="77777777" w:rsidR="00EE5BB8" w:rsidRPr="00C6052E" w:rsidRDefault="00EE5BB8" w:rsidP="007C69B9">
            <w:pPr>
              <w:pStyle w:val="TableCopy"/>
              <w:jc w:val="right"/>
            </w:pPr>
            <w:r w:rsidRPr="00C6052E">
              <w:t>(723)</w:t>
            </w:r>
          </w:p>
        </w:tc>
      </w:tr>
      <w:tr w:rsidR="00EE5BB8" w:rsidRPr="00C6052E" w14:paraId="40D4B257" w14:textId="77777777" w:rsidTr="00291743">
        <w:tc>
          <w:tcPr>
            <w:tcW w:w="3964" w:type="dxa"/>
            <w:hideMark/>
          </w:tcPr>
          <w:p w14:paraId="6F17EED0" w14:textId="45658080" w:rsidR="00EE5BB8" w:rsidRPr="00C6052E" w:rsidRDefault="00EE5BB8" w:rsidP="0063097D">
            <w:pPr>
              <w:pStyle w:val="TableCopy"/>
            </w:pPr>
            <w:r w:rsidRPr="00C6052E">
              <w:t>Depreciation</w:t>
            </w:r>
            <w:r w:rsidR="00177848" w:rsidRPr="00C6052E">
              <w:t xml:space="preserve"> </w:t>
            </w:r>
          </w:p>
        </w:tc>
        <w:tc>
          <w:tcPr>
            <w:tcW w:w="2835" w:type="dxa"/>
            <w:noWrap/>
            <w:hideMark/>
          </w:tcPr>
          <w:p w14:paraId="04319927" w14:textId="77777777" w:rsidR="00EE5BB8" w:rsidRPr="00C6052E" w:rsidRDefault="00EE5BB8" w:rsidP="007C69B9">
            <w:pPr>
              <w:pStyle w:val="TableCopy"/>
              <w:jc w:val="right"/>
            </w:pPr>
            <w:r w:rsidRPr="00C6052E">
              <w:t>(3,291)</w:t>
            </w:r>
          </w:p>
        </w:tc>
        <w:tc>
          <w:tcPr>
            <w:tcW w:w="2835" w:type="dxa"/>
            <w:noWrap/>
            <w:hideMark/>
          </w:tcPr>
          <w:p w14:paraId="7DCD1CBE" w14:textId="77777777" w:rsidR="00EE5BB8" w:rsidRPr="00C6052E" w:rsidRDefault="00EE5BB8" w:rsidP="007C69B9">
            <w:pPr>
              <w:pStyle w:val="TableCopy"/>
              <w:jc w:val="right"/>
            </w:pPr>
            <w:r w:rsidRPr="00C6052E">
              <w:t>(763)</w:t>
            </w:r>
          </w:p>
        </w:tc>
      </w:tr>
      <w:tr w:rsidR="00EE5BB8" w:rsidRPr="00C6052E" w14:paraId="5F356307" w14:textId="77777777" w:rsidTr="00291743">
        <w:tc>
          <w:tcPr>
            <w:tcW w:w="3964" w:type="dxa"/>
            <w:hideMark/>
          </w:tcPr>
          <w:p w14:paraId="3ACA7D43" w14:textId="26AE32FB" w:rsidR="00EE5BB8" w:rsidRPr="00C6052E" w:rsidRDefault="00EE5BB8" w:rsidP="0063097D">
            <w:pPr>
              <w:pStyle w:val="Tabletotal"/>
            </w:pPr>
            <w:r w:rsidRPr="00C6052E">
              <w:t>Closing</w:t>
            </w:r>
            <w:r w:rsidR="00177848" w:rsidRPr="00C6052E">
              <w:t xml:space="preserve"> </w:t>
            </w:r>
            <w:r w:rsidRPr="00C6052E">
              <w:t>balance</w:t>
            </w:r>
            <w:r w:rsidR="00177848" w:rsidRPr="00C6052E">
              <w:t xml:space="preserve"> </w:t>
            </w:r>
            <w:r w:rsidRPr="00C6052E">
              <w:t>–</w:t>
            </w:r>
            <w:r w:rsidR="00177848" w:rsidRPr="00C6052E">
              <w:t xml:space="preserve"> </w:t>
            </w:r>
            <w:r w:rsidRPr="00C6052E">
              <w:t>30</w:t>
            </w:r>
            <w:r w:rsidR="00177848" w:rsidRPr="00C6052E">
              <w:t xml:space="preserve"> </w:t>
            </w:r>
            <w:r w:rsidRPr="00C6052E">
              <w:t>June</w:t>
            </w:r>
            <w:r w:rsidR="00177848" w:rsidRPr="00C6052E">
              <w:t xml:space="preserve"> </w:t>
            </w:r>
            <w:r w:rsidRPr="00C6052E">
              <w:t>2025</w:t>
            </w:r>
          </w:p>
        </w:tc>
        <w:tc>
          <w:tcPr>
            <w:tcW w:w="2835" w:type="dxa"/>
            <w:noWrap/>
            <w:hideMark/>
          </w:tcPr>
          <w:p w14:paraId="05343C06" w14:textId="77777777" w:rsidR="00EE5BB8" w:rsidRPr="00C6052E" w:rsidRDefault="00EE5BB8" w:rsidP="0063097D">
            <w:pPr>
              <w:pStyle w:val="Tabletotal"/>
              <w:jc w:val="right"/>
            </w:pPr>
            <w:r w:rsidRPr="00C6052E">
              <w:t>7,851</w:t>
            </w:r>
          </w:p>
        </w:tc>
        <w:tc>
          <w:tcPr>
            <w:tcW w:w="2835" w:type="dxa"/>
            <w:noWrap/>
            <w:hideMark/>
          </w:tcPr>
          <w:p w14:paraId="3FEF6D00" w14:textId="77777777" w:rsidR="00EE5BB8" w:rsidRPr="00C6052E" w:rsidRDefault="00EE5BB8" w:rsidP="0063097D">
            <w:pPr>
              <w:pStyle w:val="Tabletotal"/>
              <w:jc w:val="right"/>
            </w:pPr>
            <w:r w:rsidRPr="00C6052E">
              <w:t>4,400</w:t>
            </w:r>
          </w:p>
        </w:tc>
      </w:tr>
      <w:tr w:rsidR="00EE5BB8" w:rsidRPr="00C6052E" w14:paraId="53FA0E5E" w14:textId="77777777" w:rsidTr="00291743">
        <w:tc>
          <w:tcPr>
            <w:tcW w:w="3964" w:type="dxa"/>
            <w:hideMark/>
          </w:tcPr>
          <w:p w14:paraId="1E24EF11" w14:textId="0A640140" w:rsidR="00EE5BB8" w:rsidRPr="00C6052E" w:rsidRDefault="00EE5BB8" w:rsidP="0063097D">
            <w:pPr>
              <w:pStyle w:val="Tabletotal"/>
            </w:pPr>
            <w:r w:rsidRPr="00C6052E">
              <w:t>Opening</w:t>
            </w:r>
            <w:r w:rsidR="00177848" w:rsidRPr="00C6052E">
              <w:t xml:space="preserve"> </w:t>
            </w:r>
            <w:r w:rsidRPr="00C6052E">
              <w:t>balance</w:t>
            </w:r>
            <w:r w:rsidR="00177848" w:rsidRPr="00C6052E">
              <w:t xml:space="preserve"> </w:t>
            </w:r>
            <w:r w:rsidRPr="00C6052E">
              <w:t>–</w:t>
            </w:r>
            <w:r w:rsidR="00177848" w:rsidRPr="00C6052E">
              <w:t xml:space="preserve"> </w:t>
            </w:r>
            <w:r w:rsidRPr="00C6052E">
              <w:t>1</w:t>
            </w:r>
            <w:r w:rsidR="00177848" w:rsidRPr="00C6052E">
              <w:t xml:space="preserve"> </w:t>
            </w:r>
            <w:r w:rsidRPr="00C6052E">
              <w:t>July</w:t>
            </w:r>
            <w:r w:rsidR="00177848" w:rsidRPr="00C6052E">
              <w:t xml:space="preserve"> </w:t>
            </w:r>
            <w:r w:rsidRPr="00C6052E">
              <w:t>2023</w:t>
            </w:r>
          </w:p>
        </w:tc>
        <w:tc>
          <w:tcPr>
            <w:tcW w:w="2835" w:type="dxa"/>
            <w:noWrap/>
            <w:hideMark/>
          </w:tcPr>
          <w:p w14:paraId="09F42BC2" w14:textId="77777777" w:rsidR="00EE5BB8" w:rsidRPr="00C6052E" w:rsidRDefault="00EE5BB8" w:rsidP="0063097D">
            <w:pPr>
              <w:pStyle w:val="Tabletotal"/>
              <w:jc w:val="right"/>
            </w:pPr>
            <w:r w:rsidRPr="00C6052E">
              <w:t>9,981</w:t>
            </w:r>
          </w:p>
        </w:tc>
        <w:tc>
          <w:tcPr>
            <w:tcW w:w="2835" w:type="dxa"/>
            <w:noWrap/>
            <w:hideMark/>
          </w:tcPr>
          <w:p w14:paraId="773F5703" w14:textId="77777777" w:rsidR="00EE5BB8" w:rsidRPr="00C6052E" w:rsidRDefault="00EE5BB8" w:rsidP="0063097D">
            <w:pPr>
              <w:pStyle w:val="Tabletotal"/>
              <w:jc w:val="right"/>
            </w:pPr>
            <w:r w:rsidRPr="00C6052E">
              <w:t>3,588</w:t>
            </w:r>
          </w:p>
        </w:tc>
      </w:tr>
      <w:tr w:rsidR="00EE5BB8" w:rsidRPr="00C6052E" w14:paraId="48BAFE5F" w14:textId="77777777" w:rsidTr="00291743">
        <w:tc>
          <w:tcPr>
            <w:tcW w:w="3964" w:type="dxa"/>
            <w:hideMark/>
          </w:tcPr>
          <w:p w14:paraId="3B0604CA" w14:textId="7F652662" w:rsidR="00EE5BB8" w:rsidRPr="00C6052E" w:rsidRDefault="00EE5BB8" w:rsidP="0063097D">
            <w:pPr>
              <w:pStyle w:val="TableCopy"/>
            </w:pPr>
            <w:r w:rsidRPr="00C6052E">
              <w:t>Additions</w:t>
            </w:r>
            <w:r w:rsidR="00177848" w:rsidRPr="00C6052E">
              <w:t xml:space="preserve"> </w:t>
            </w:r>
          </w:p>
        </w:tc>
        <w:tc>
          <w:tcPr>
            <w:tcW w:w="2835" w:type="dxa"/>
            <w:noWrap/>
            <w:hideMark/>
          </w:tcPr>
          <w:p w14:paraId="70F28EA6" w14:textId="77777777" w:rsidR="00EE5BB8" w:rsidRPr="00C6052E" w:rsidRDefault="00EE5BB8" w:rsidP="007C69B9">
            <w:pPr>
              <w:pStyle w:val="TableCopy"/>
              <w:jc w:val="right"/>
            </w:pPr>
            <w:r w:rsidRPr="00C6052E">
              <w:t>2,230</w:t>
            </w:r>
          </w:p>
        </w:tc>
        <w:tc>
          <w:tcPr>
            <w:tcW w:w="2835" w:type="dxa"/>
            <w:noWrap/>
            <w:hideMark/>
          </w:tcPr>
          <w:p w14:paraId="24576B45" w14:textId="77777777" w:rsidR="00EE5BB8" w:rsidRPr="00C6052E" w:rsidRDefault="00EE5BB8" w:rsidP="007C69B9">
            <w:pPr>
              <w:pStyle w:val="TableCopy"/>
              <w:jc w:val="right"/>
            </w:pPr>
            <w:r w:rsidRPr="00C6052E">
              <w:t>1,697</w:t>
            </w:r>
          </w:p>
        </w:tc>
      </w:tr>
      <w:tr w:rsidR="00EE5BB8" w:rsidRPr="00C6052E" w14:paraId="666DC6C2" w14:textId="77777777" w:rsidTr="00291743">
        <w:tc>
          <w:tcPr>
            <w:tcW w:w="3964" w:type="dxa"/>
            <w:hideMark/>
          </w:tcPr>
          <w:p w14:paraId="48BD6737" w14:textId="7459A63E" w:rsidR="00EE5BB8" w:rsidRPr="00C6052E" w:rsidRDefault="00EE5BB8" w:rsidP="0063097D">
            <w:pPr>
              <w:pStyle w:val="TableCopy"/>
            </w:pPr>
            <w:r w:rsidRPr="00C6052E">
              <w:t>Transfers</w:t>
            </w:r>
            <w:r w:rsidR="00177848" w:rsidRPr="00C6052E">
              <w:t xml:space="preserve"> </w:t>
            </w:r>
            <w:r w:rsidRPr="00C6052E">
              <w:t>to</w:t>
            </w:r>
            <w:r w:rsidR="00177848" w:rsidRPr="00C6052E">
              <w:t xml:space="preserve"> </w:t>
            </w:r>
            <w:r w:rsidRPr="00C6052E">
              <w:t>assets</w:t>
            </w:r>
            <w:r w:rsidR="00177848" w:rsidRPr="00C6052E">
              <w:t xml:space="preserve"> </w:t>
            </w:r>
            <w:r w:rsidRPr="00C6052E">
              <w:t>held</w:t>
            </w:r>
            <w:r w:rsidR="00177848" w:rsidRPr="00C6052E">
              <w:t xml:space="preserve"> </w:t>
            </w:r>
            <w:r w:rsidRPr="00C6052E">
              <w:t>for</w:t>
            </w:r>
            <w:r w:rsidR="00177848" w:rsidRPr="00C6052E">
              <w:t xml:space="preserve"> </w:t>
            </w:r>
            <w:r w:rsidRPr="00C6052E">
              <w:t>sale</w:t>
            </w:r>
          </w:p>
        </w:tc>
        <w:tc>
          <w:tcPr>
            <w:tcW w:w="2835" w:type="dxa"/>
            <w:noWrap/>
            <w:hideMark/>
          </w:tcPr>
          <w:p w14:paraId="252D879E" w14:textId="77777777" w:rsidR="00EE5BB8" w:rsidRPr="00C6052E" w:rsidRDefault="00EE5BB8" w:rsidP="007C69B9">
            <w:pPr>
              <w:pStyle w:val="TableCopy"/>
              <w:jc w:val="right"/>
            </w:pPr>
            <w:r w:rsidRPr="00C6052E">
              <w:t>–</w:t>
            </w:r>
          </w:p>
        </w:tc>
        <w:tc>
          <w:tcPr>
            <w:tcW w:w="2835" w:type="dxa"/>
            <w:noWrap/>
            <w:hideMark/>
          </w:tcPr>
          <w:p w14:paraId="5EB87BAF" w14:textId="77777777" w:rsidR="00EE5BB8" w:rsidRPr="00C6052E" w:rsidRDefault="00EE5BB8" w:rsidP="007C69B9">
            <w:pPr>
              <w:pStyle w:val="TableCopy"/>
              <w:jc w:val="right"/>
            </w:pPr>
            <w:r w:rsidRPr="00C6052E">
              <w:t>(36)</w:t>
            </w:r>
          </w:p>
        </w:tc>
      </w:tr>
      <w:tr w:rsidR="00EE5BB8" w:rsidRPr="00C6052E" w14:paraId="5BD978A3" w14:textId="77777777" w:rsidTr="00291743">
        <w:tc>
          <w:tcPr>
            <w:tcW w:w="3964" w:type="dxa"/>
            <w:hideMark/>
          </w:tcPr>
          <w:p w14:paraId="1C6EE6AE" w14:textId="22FE6276" w:rsidR="00EE5BB8" w:rsidRPr="00C6052E" w:rsidRDefault="00EE5BB8" w:rsidP="0063097D">
            <w:pPr>
              <w:pStyle w:val="TableCopy"/>
            </w:pPr>
            <w:r w:rsidRPr="00C6052E">
              <w:t>Disposals</w:t>
            </w:r>
            <w:r w:rsidR="00177848" w:rsidRPr="00C6052E">
              <w:t xml:space="preserve"> </w:t>
            </w:r>
          </w:p>
        </w:tc>
        <w:tc>
          <w:tcPr>
            <w:tcW w:w="2835" w:type="dxa"/>
            <w:noWrap/>
            <w:hideMark/>
          </w:tcPr>
          <w:p w14:paraId="659471C2" w14:textId="77777777" w:rsidR="00EE5BB8" w:rsidRPr="00C6052E" w:rsidRDefault="00EE5BB8" w:rsidP="007C69B9">
            <w:pPr>
              <w:pStyle w:val="TableCopy"/>
              <w:jc w:val="right"/>
            </w:pPr>
            <w:r w:rsidRPr="00C6052E">
              <w:t>(493)</w:t>
            </w:r>
          </w:p>
        </w:tc>
        <w:tc>
          <w:tcPr>
            <w:tcW w:w="2835" w:type="dxa"/>
            <w:noWrap/>
            <w:hideMark/>
          </w:tcPr>
          <w:p w14:paraId="0ADD036F" w14:textId="77777777" w:rsidR="00EE5BB8" w:rsidRPr="00C6052E" w:rsidRDefault="00EE5BB8" w:rsidP="007C69B9">
            <w:pPr>
              <w:pStyle w:val="TableCopy"/>
              <w:jc w:val="right"/>
            </w:pPr>
            <w:r w:rsidRPr="00C6052E">
              <w:t>(531)</w:t>
            </w:r>
          </w:p>
        </w:tc>
      </w:tr>
      <w:tr w:rsidR="00EE5BB8" w:rsidRPr="00C6052E" w14:paraId="6701895C" w14:textId="77777777" w:rsidTr="00291743">
        <w:tc>
          <w:tcPr>
            <w:tcW w:w="3964" w:type="dxa"/>
            <w:hideMark/>
          </w:tcPr>
          <w:p w14:paraId="40F5F1B6" w14:textId="63256FB1" w:rsidR="00EE5BB8" w:rsidRPr="00C6052E" w:rsidRDefault="00EE5BB8" w:rsidP="0063097D">
            <w:pPr>
              <w:pStyle w:val="TableCopy"/>
            </w:pPr>
            <w:r w:rsidRPr="00C6052E">
              <w:t>Depreciation</w:t>
            </w:r>
            <w:r w:rsidR="00177848" w:rsidRPr="00C6052E">
              <w:t xml:space="preserve"> </w:t>
            </w:r>
          </w:p>
        </w:tc>
        <w:tc>
          <w:tcPr>
            <w:tcW w:w="2835" w:type="dxa"/>
            <w:noWrap/>
            <w:hideMark/>
          </w:tcPr>
          <w:p w14:paraId="3646AD8E" w14:textId="77777777" w:rsidR="00EE5BB8" w:rsidRPr="00C6052E" w:rsidRDefault="00EE5BB8" w:rsidP="007C69B9">
            <w:pPr>
              <w:pStyle w:val="TableCopy"/>
              <w:jc w:val="right"/>
            </w:pPr>
            <w:r w:rsidRPr="00C6052E">
              <w:t>(3,221)</w:t>
            </w:r>
          </w:p>
        </w:tc>
        <w:tc>
          <w:tcPr>
            <w:tcW w:w="2835" w:type="dxa"/>
            <w:noWrap/>
            <w:hideMark/>
          </w:tcPr>
          <w:p w14:paraId="507D03A4" w14:textId="77777777" w:rsidR="00EE5BB8" w:rsidRPr="00C6052E" w:rsidRDefault="00EE5BB8" w:rsidP="007C69B9">
            <w:pPr>
              <w:pStyle w:val="TableCopy"/>
              <w:jc w:val="right"/>
            </w:pPr>
            <w:r w:rsidRPr="00C6052E">
              <w:t>(752)</w:t>
            </w:r>
          </w:p>
        </w:tc>
      </w:tr>
      <w:tr w:rsidR="00EE5BB8" w:rsidRPr="00C6052E" w14:paraId="552FFD68" w14:textId="77777777" w:rsidTr="00291743">
        <w:tc>
          <w:tcPr>
            <w:tcW w:w="3964" w:type="dxa"/>
            <w:hideMark/>
          </w:tcPr>
          <w:p w14:paraId="40FF8602" w14:textId="391D5551" w:rsidR="00EE5BB8" w:rsidRPr="00C6052E" w:rsidRDefault="00EE5BB8" w:rsidP="0063097D">
            <w:pPr>
              <w:pStyle w:val="Tabletotal"/>
            </w:pPr>
            <w:r w:rsidRPr="00C6052E">
              <w:t>Closing</w:t>
            </w:r>
            <w:r w:rsidR="00177848" w:rsidRPr="00C6052E">
              <w:t xml:space="preserve"> </w:t>
            </w:r>
            <w:r w:rsidRPr="00C6052E">
              <w:t>balance</w:t>
            </w:r>
            <w:r w:rsidR="00177848" w:rsidRPr="00C6052E">
              <w:t xml:space="preserve"> </w:t>
            </w:r>
            <w:r w:rsidRPr="00C6052E">
              <w:t>–</w:t>
            </w:r>
            <w:r w:rsidR="00177848" w:rsidRPr="00C6052E">
              <w:t xml:space="preserve"> </w:t>
            </w:r>
            <w:r w:rsidRPr="00C6052E">
              <w:t>30</w:t>
            </w:r>
            <w:r w:rsidR="00177848" w:rsidRPr="00C6052E">
              <w:t xml:space="preserve"> </w:t>
            </w:r>
            <w:r w:rsidRPr="00C6052E">
              <w:t>June</w:t>
            </w:r>
            <w:r w:rsidR="00177848" w:rsidRPr="00C6052E">
              <w:t xml:space="preserve"> </w:t>
            </w:r>
            <w:r w:rsidRPr="00C6052E">
              <w:t>2024</w:t>
            </w:r>
          </w:p>
        </w:tc>
        <w:tc>
          <w:tcPr>
            <w:tcW w:w="2835" w:type="dxa"/>
            <w:noWrap/>
            <w:hideMark/>
          </w:tcPr>
          <w:p w14:paraId="25C4D0AC" w14:textId="77777777" w:rsidR="00EE5BB8" w:rsidRPr="00C6052E" w:rsidRDefault="00EE5BB8" w:rsidP="0063097D">
            <w:pPr>
              <w:pStyle w:val="Tabletotal"/>
              <w:jc w:val="right"/>
            </w:pPr>
            <w:r w:rsidRPr="00C6052E">
              <w:t>8,497</w:t>
            </w:r>
          </w:p>
        </w:tc>
        <w:tc>
          <w:tcPr>
            <w:tcW w:w="2835" w:type="dxa"/>
            <w:noWrap/>
            <w:hideMark/>
          </w:tcPr>
          <w:p w14:paraId="0A861713" w14:textId="77777777" w:rsidR="00EE5BB8" w:rsidRPr="00C6052E" w:rsidRDefault="00EE5BB8" w:rsidP="0063097D">
            <w:pPr>
              <w:pStyle w:val="Tabletotal"/>
              <w:jc w:val="right"/>
            </w:pPr>
            <w:r w:rsidRPr="00C6052E">
              <w:t>3,966</w:t>
            </w:r>
          </w:p>
        </w:tc>
      </w:tr>
    </w:tbl>
    <w:p w14:paraId="2D195FE4" w14:textId="77777777" w:rsidR="00EE5BB8" w:rsidRPr="00C6052E" w:rsidRDefault="00EE5BB8" w:rsidP="00EE5BB8"/>
    <w:p w14:paraId="418070E4" w14:textId="13848840" w:rsidR="00EE5BB8" w:rsidRPr="00C6052E" w:rsidRDefault="00EE5BB8" w:rsidP="00EE5BB8">
      <w:pPr>
        <w:pStyle w:val="Heading4"/>
      </w:pPr>
      <w:r w:rsidRPr="00C6052E">
        <w:lastRenderedPageBreak/>
        <w:t>Initial</w:t>
      </w:r>
      <w:r w:rsidR="00177848" w:rsidRPr="00C6052E">
        <w:t xml:space="preserve"> </w:t>
      </w:r>
      <w:r w:rsidRPr="00C6052E">
        <w:t>recognition</w:t>
      </w:r>
    </w:p>
    <w:p w14:paraId="7777A41B" w14:textId="4F0DCD7A" w:rsidR="00EE5BB8" w:rsidRPr="00C6052E" w:rsidRDefault="00EE5BB8" w:rsidP="00EE5BB8">
      <w:r w:rsidRPr="00C6052E">
        <w:t>Items</w:t>
      </w:r>
      <w:r w:rsidR="00177848" w:rsidRPr="00C6052E">
        <w:t xml:space="preserve"> </w:t>
      </w:r>
      <w:r w:rsidRPr="00C6052E">
        <w:t>of</w:t>
      </w:r>
      <w:r w:rsidR="00177848" w:rsidRPr="00C6052E">
        <w:t xml:space="preserve"> </w:t>
      </w:r>
      <w:r w:rsidRPr="00C6052E">
        <w:t>property,</w:t>
      </w:r>
      <w:r w:rsidR="00177848" w:rsidRPr="00C6052E">
        <w:t xml:space="preserve"> </w:t>
      </w:r>
      <w:r w:rsidRPr="00C6052E">
        <w:t>plant</w:t>
      </w:r>
      <w:r w:rsidR="00177848" w:rsidRPr="00C6052E">
        <w:t xml:space="preserve"> </w:t>
      </w:r>
      <w:r w:rsidRPr="00C6052E">
        <w:t>and</w:t>
      </w:r>
      <w:r w:rsidR="00177848" w:rsidRPr="00C6052E">
        <w:t xml:space="preserve"> </w:t>
      </w:r>
      <w:r w:rsidRPr="00C6052E">
        <w:t>equipment,</w:t>
      </w:r>
      <w:r w:rsidR="00177848" w:rsidRPr="00C6052E">
        <w:t xml:space="preserve"> </w:t>
      </w:r>
      <w:r w:rsidRPr="00C6052E">
        <w:t>are</w:t>
      </w:r>
      <w:r w:rsidR="00177848" w:rsidRPr="00C6052E">
        <w:t xml:space="preserve"> </w:t>
      </w:r>
      <w:r w:rsidRPr="00C6052E">
        <w:t>measured</w:t>
      </w:r>
      <w:r w:rsidR="00177848" w:rsidRPr="00C6052E">
        <w:t xml:space="preserve"> </w:t>
      </w:r>
      <w:r w:rsidRPr="00C6052E">
        <w:t>initially</w:t>
      </w:r>
      <w:r w:rsidR="00177848" w:rsidRPr="00C6052E">
        <w:t xml:space="preserve"> </w:t>
      </w:r>
      <w:r w:rsidRPr="00C6052E">
        <w:t>at</w:t>
      </w:r>
      <w:r w:rsidR="00177848" w:rsidRPr="00C6052E">
        <w:t xml:space="preserve"> </w:t>
      </w:r>
      <w:r w:rsidRPr="00C6052E">
        <w:t>cost</w:t>
      </w:r>
      <w:r w:rsidR="00177848" w:rsidRPr="00C6052E">
        <w:t xml:space="preserve"> </w:t>
      </w:r>
      <w:r w:rsidRPr="00C6052E">
        <w:t>and</w:t>
      </w:r>
      <w:r w:rsidR="00177848" w:rsidRPr="00C6052E">
        <w:t xml:space="preserve"> </w:t>
      </w:r>
      <w:r w:rsidRPr="00C6052E">
        <w:t>subsequently</w:t>
      </w:r>
      <w:r w:rsidR="00177848" w:rsidRPr="00C6052E">
        <w:t xml:space="preserve"> </w:t>
      </w:r>
      <w:r w:rsidRPr="00C6052E">
        <w:t>revalued</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r w:rsidR="00177848" w:rsidRPr="00C6052E">
        <w:t xml:space="preserve"> </w:t>
      </w:r>
      <w:r w:rsidRPr="00C6052E">
        <w:t>less</w:t>
      </w:r>
      <w:r w:rsidR="00177848" w:rsidRPr="00C6052E">
        <w:t xml:space="preserve"> </w:t>
      </w:r>
      <w:r w:rsidRPr="00C6052E">
        <w:t>accumulated</w:t>
      </w:r>
      <w:r w:rsidR="00177848" w:rsidRPr="00C6052E">
        <w:t xml:space="preserve"> </w:t>
      </w:r>
      <w:r w:rsidRPr="00C6052E">
        <w:t>depreciation</w:t>
      </w:r>
      <w:r w:rsidR="00177848" w:rsidRPr="00C6052E">
        <w:t xml:space="preserve"> </w:t>
      </w:r>
      <w:r w:rsidRPr="00C6052E">
        <w:t>and</w:t>
      </w:r>
      <w:r w:rsidR="00177848" w:rsidRPr="00C6052E">
        <w:t xml:space="preserve"> </w:t>
      </w:r>
      <w:r w:rsidRPr="00C6052E">
        <w:t>impairment.</w:t>
      </w:r>
      <w:r w:rsidR="00177848" w:rsidRPr="00C6052E">
        <w:t xml:space="preserve"> </w:t>
      </w:r>
      <w:r w:rsidRPr="00C6052E">
        <w:t>Where</w:t>
      </w:r>
      <w:r w:rsidR="00177848" w:rsidRPr="00C6052E">
        <w:t xml:space="preserve"> </w:t>
      </w:r>
      <w:r w:rsidRPr="00C6052E">
        <w:t>an</w:t>
      </w:r>
      <w:r w:rsidR="00177848" w:rsidRPr="00C6052E">
        <w:t xml:space="preserve"> </w:t>
      </w:r>
      <w:r w:rsidRPr="00C6052E">
        <w:t>asset</w:t>
      </w:r>
      <w:r w:rsidR="00177848" w:rsidRPr="00C6052E">
        <w:t xml:space="preserve"> </w:t>
      </w:r>
      <w:r w:rsidRPr="00C6052E">
        <w:t>is</w:t>
      </w:r>
      <w:r w:rsidR="00177848" w:rsidRPr="00C6052E">
        <w:t xml:space="preserve"> </w:t>
      </w:r>
      <w:r w:rsidRPr="00C6052E">
        <w:t>acquired</w:t>
      </w:r>
      <w:r w:rsidR="00177848" w:rsidRPr="00C6052E">
        <w:t xml:space="preserve"> </w:t>
      </w:r>
      <w:r w:rsidRPr="00C6052E">
        <w:t>for</w:t>
      </w:r>
      <w:r w:rsidR="00177848" w:rsidRPr="00C6052E">
        <w:t xml:space="preserve"> </w:t>
      </w:r>
      <w:r w:rsidRPr="00C6052E">
        <w:t>no</w:t>
      </w:r>
      <w:r w:rsidR="00177848" w:rsidRPr="00C6052E">
        <w:t xml:space="preserve"> </w:t>
      </w:r>
      <w:r w:rsidRPr="00C6052E">
        <w:t>or</w:t>
      </w:r>
      <w:r w:rsidR="00177848" w:rsidRPr="00C6052E">
        <w:t xml:space="preserve"> </w:t>
      </w:r>
      <w:r w:rsidRPr="00C6052E">
        <w:t>nominal</w:t>
      </w:r>
      <w:r w:rsidR="00177848" w:rsidRPr="00C6052E">
        <w:t xml:space="preserve"> </w:t>
      </w:r>
      <w:r w:rsidRPr="00C6052E">
        <w:t>cost,</w:t>
      </w:r>
      <w:r w:rsidR="00177848" w:rsidRPr="00C6052E">
        <w:t xml:space="preserve"> </w:t>
      </w:r>
      <w:r w:rsidRPr="00C6052E">
        <w:t>the</w:t>
      </w:r>
      <w:r w:rsidR="00177848" w:rsidRPr="00C6052E">
        <w:t xml:space="preserve"> </w:t>
      </w:r>
      <w:r w:rsidRPr="00C6052E">
        <w:t>cost</w:t>
      </w:r>
      <w:r w:rsidR="00177848" w:rsidRPr="00C6052E">
        <w:t xml:space="preserve"> </w:t>
      </w:r>
      <w:r w:rsidRPr="00C6052E">
        <w:t>is</w:t>
      </w:r>
      <w:r w:rsidR="00177848" w:rsidRPr="00C6052E">
        <w:t xml:space="preserve"> </w:t>
      </w:r>
      <w:r w:rsidRPr="00C6052E">
        <w:t>its</w:t>
      </w:r>
      <w:r w:rsidR="00177848" w:rsidRPr="00C6052E">
        <w:t xml:space="preserve"> </w:t>
      </w:r>
      <w:r w:rsidRPr="00C6052E">
        <w:t>fair</w:t>
      </w:r>
      <w:r w:rsidR="00177848" w:rsidRPr="00C6052E">
        <w:t xml:space="preserve"> </w:t>
      </w:r>
      <w:r w:rsidRPr="00C6052E">
        <w:t>value</w:t>
      </w:r>
      <w:r w:rsidR="00177848" w:rsidRPr="00C6052E">
        <w:t xml:space="preserve"> </w:t>
      </w:r>
      <w:r w:rsidRPr="00C6052E">
        <w:t>at</w:t>
      </w:r>
      <w:r w:rsidR="00177848" w:rsidRPr="00C6052E">
        <w:t xml:space="preserve"> </w:t>
      </w:r>
      <w:r w:rsidRPr="00C6052E">
        <w:t>the</w:t>
      </w:r>
      <w:r w:rsidR="00177848" w:rsidRPr="00C6052E">
        <w:t xml:space="preserve"> </w:t>
      </w:r>
      <w:r w:rsidRPr="00C6052E">
        <w:t>date</w:t>
      </w:r>
      <w:r w:rsidR="00177848" w:rsidRPr="00C6052E">
        <w:t xml:space="preserve"> </w:t>
      </w:r>
      <w:r w:rsidRPr="00C6052E">
        <w:t>of</w:t>
      </w:r>
      <w:r w:rsidR="00177848" w:rsidRPr="00C6052E">
        <w:t xml:space="preserve"> </w:t>
      </w:r>
      <w:r w:rsidRPr="00C6052E">
        <w:t>acquisition.</w:t>
      </w:r>
      <w:r w:rsidR="00177848" w:rsidRPr="00C6052E">
        <w:t xml:space="preserve"> </w:t>
      </w:r>
      <w:r w:rsidRPr="00C6052E">
        <w:rPr>
          <w:spacing w:val="-2"/>
        </w:rPr>
        <w:t>Assets</w:t>
      </w:r>
      <w:r w:rsidR="00177848" w:rsidRPr="00C6052E">
        <w:rPr>
          <w:spacing w:val="-2"/>
        </w:rPr>
        <w:t xml:space="preserve"> </w:t>
      </w:r>
      <w:r w:rsidRPr="00C6052E">
        <w:rPr>
          <w:spacing w:val="-2"/>
        </w:rPr>
        <w:t>transferred</w:t>
      </w:r>
      <w:r w:rsidR="00177848" w:rsidRPr="00C6052E">
        <w:rPr>
          <w:spacing w:val="-2"/>
        </w:rPr>
        <w:t xml:space="preserve"> </w:t>
      </w:r>
      <w:r w:rsidRPr="00C6052E">
        <w:rPr>
          <w:spacing w:val="-2"/>
        </w:rPr>
        <w:t>as</w:t>
      </w:r>
      <w:r w:rsidR="00177848" w:rsidRPr="00C6052E">
        <w:rPr>
          <w:spacing w:val="-2"/>
        </w:rPr>
        <w:t xml:space="preserve"> </w:t>
      </w:r>
      <w:r w:rsidRPr="00C6052E">
        <w:rPr>
          <w:spacing w:val="-2"/>
        </w:rPr>
        <w:t>part</w:t>
      </w:r>
      <w:r w:rsidR="00177848" w:rsidRPr="00C6052E">
        <w:rPr>
          <w:spacing w:val="-2"/>
        </w:rPr>
        <w:t xml:space="preserve"> </w:t>
      </w:r>
      <w:r w:rsidRPr="00C6052E">
        <w:rPr>
          <w:spacing w:val="-2"/>
        </w:rPr>
        <w:t>of</w:t>
      </w:r>
      <w:r w:rsidR="00177848" w:rsidRPr="00C6052E">
        <w:rPr>
          <w:spacing w:val="-2"/>
        </w:rPr>
        <w:t xml:space="preserve"> </w:t>
      </w:r>
      <w:r w:rsidRPr="00C6052E">
        <w:rPr>
          <w:spacing w:val="-2"/>
        </w:rPr>
        <w:t>a</w:t>
      </w:r>
      <w:r w:rsidR="00177848" w:rsidRPr="00C6052E">
        <w:rPr>
          <w:spacing w:val="-2"/>
        </w:rPr>
        <w:t xml:space="preserve"> </w:t>
      </w:r>
      <w:r w:rsidRPr="00C6052E">
        <w:rPr>
          <w:spacing w:val="-2"/>
        </w:rPr>
        <w:t>machinery</w:t>
      </w:r>
      <w:r w:rsidR="00177848" w:rsidRPr="00C6052E">
        <w:rPr>
          <w:spacing w:val="-2"/>
        </w:rPr>
        <w:t xml:space="preserve"> </w:t>
      </w:r>
      <w:r w:rsidRPr="00C6052E">
        <w:rPr>
          <w:spacing w:val="-2"/>
        </w:rPr>
        <w:t>of</w:t>
      </w:r>
      <w:r w:rsidR="00177848" w:rsidRPr="00C6052E">
        <w:rPr>
          <w:spacing w:val="-2"/>
        </w:rPr>
        <w:t xml:space="preserve"> </w:t>
      </w:r>
      <w:r w:rsidRPr="00C6052E">
        <w:rPr>
          <w:spacing w:val="-2"/>
        </w:rPr>
        <w:t>government</w:t>
      </w:r>
      <w:r w:rsidR="00177848" w:rsidRPr="00C6052E">
        <w:t xml:space="preserve"> </w:t>
      </w:r>
      <w:r w:rsidRPr="00C6052E">
        <w:t>change</w:t>
      </w:r>
      <w:r w:rsidR="00177848" w:rsidRPr="00C6052E">
        <w:t xml:space="preserve"> </w:t>
      </w:r>
      <w:r w:rsidRPr="00C6052E">
        <w:t>are</w:t>
      </w:r>
      <w:r w:rsidR="00177848" w:rsidRPr="00C6052E">
        <w:t xml:space="preserve"> </w:t>
      </w:r>
      <w:r w:rsidRPr="00C6052E">
        <w:t>transferred</w:t>
      </w:r>
      <w:r w:rsidR="00177848" w:rsidRPr="00C6052E">
        <w:t xml:space="preserve"> </w:t>
      </w:r>
      <w:r w:rsidRPr="00C6052E">
        <w:t>at</w:t>
      </w:r>
      <w:r w:rsidR="00177848" w:rsidRPr="00C6052E">
        <w:t xml:space="preserve"> </w:t>
      </w:r>
      <w:r w:rsidRPr="00C6052E">
        <w:t>their</w:t>
      </w:r>
      <w:r w:rsidR="00177848" w:rsidRPr="00C6052E">
        <w:t xml:space="preserve"> </w:t>
      </w:r>
      <w:r w:rsidRPr="00C6052E">
        <w:t>carrying</w:t>
      </w:r>
      <w:r w:rsidR="00177848" w:rsidRPr="00C6052E">
        <w:t xml:space="preserve"> </w:t>
      </w:r>
      <w:r w:rsidRPr="00C6052E">
        <w:t>amount.</w:t>
      </w:r>
    </w:p>
    <w:p w14:paraId="43DF9260" w14:textId="1B7D3E06" w:rsidR="00EE5BB8" w:rsidRPr="00C6052E" w:rsidRDefault="00EE5BB8" w:rsidP="00EE5BB8">
      <w:r w:rsidRPr="00C6052E">
        <w:t>The</w:t>
      </w:r>
      <w:r w:rsidR="00177848" w:rsidRPr="00C6052E">
        <w:t xml:space="preserve"> </w:t>
      </w:r>
      <w:r w:rsidRPr="00C6052E">
        <w:t>cost</w:t>
      </w:r>
      <w:r w:rsidR="00177848" w:rsidRPr="00C6052E">
        <w:t xml:space="preserve"> </w:t>
      </w:r>
      <w:r w:rsidRPr="00C6052E">
        <w:t>of</w:t>
      </w:r>
      <w:r w:rsidR="00177848" w:rsidRPr="00C6052E">
        <w:t xml:space="preserve"> </w:t>
      </w:r>
      <w:r w:rsidRPr="00C6052E">
        <w:t>constructed</w:t>
      </w:r>
      <w:r w:rsidR="00177848" w:rsidRPr="00C6052E">
        <w:t xml:space="preserve"> </w:t>
      </w:r>
      <w:r w:rsidRPr="00C6052E">
        <w:t>non-financial</w:t>
      </w:r>
      <w:r w:rsidR="00177848" w:rsidRPr="00C6052E">
        <w:t xml:space="preserve"> </w:t>
      </w:r>
      <w:r w:rsidRPr="00C6052E">
        <w:t>physical</w:t>
      </w:r>
      <w:r w:rsidR="00177848" w:rsidRPr="00C6052E">
        <w:t xml:space="preserve"> </w:t>
      </w:r>
      <w:r w:rsidRPr="00C6052E">
        <w:t>assets</w:t>
      </w:r>
      <w:r w:rsidR="00177848" w:rsidRPr="00C6052E">
        <w:t xml:space="preserve"> </w:t>
      </w:r>
      <w:r w:rsidRPr="00C6052E">
        <w:t>includes</w:t>
      </w:r>
      <w:r w:rsidR="00177848" w:rsidRPr="00C6052E">
        <w:t xml:space="preserve"> </w:t>
      </w:r>
      <w:r w:rsidRPr="00C6052E">
        <w:t>the</w:t>
      </w:r>
      <w:r w:rsidR="00177848" w:rsidRPr="00C6052E">
        <w:t xml:space="preserve"> </w:t>
      </w:r>
      <w:r w:rsidRPr="00C6052E">
        <w:t>cost</w:t>
      </w:r>
      <w:r w:rsidR="00177848" w:rsidRPr="00C6052E">
        <w:t xml:space="preserve"> </w:t>
      </w:r>
      <w:r w:rsidRPr="00C6052E">
        <w:t>of</w:t>
      </w:r>
      <w:r w:rsidR="00177848" w:rsidRPr="00C6052E">
        <w:t xml:space="preserve"> </w:t>
      </w:r>
      <w:r w:rsidRPr="00C6052E">
        <w:t>all</w:t>
      </w:r>
      <w:r w:rsidR="00177848" w:rsidRPr="00C6052E">
        <w:t xml:space="preserve"> </w:t>
      </w:r>
      <w:r w:rsidRPr="00C6052E">
        <w:t>materials</w:t>
      </w:r>
      <w:r w:rsidR="00177848" w:rsidRPr="00C6052E">
        <w:t xml:space="preserve"> </w:t>
      </w:r>
      <w:r w:rsidRPr="00C6052E">
        <w:t>used</w:t>
      </w:r>
      <w:r w:rsidR="00177848" w:rsidRPr="00C6052E">
        <w:t xml:space="preserve"> </w:t>
      </w:r>
      <w:r w:rsidRPr="00C6052E">
        <w:t>in</w:t>
      </w:r>
      <w:r w:rsidR="00177848" w:rsidRPr="00C6052E">
        <w:t xml:space="preserve"> </w:t>
      </w:r>
      <w:r w:rsidRPr="00C6052E">
        <w:t>construction,</w:t>
      </w:r>
      <w:r w:rsidR="00177848" w:rsidRPr="00C6052E">
        <w:t xml:space="preserve"> </w:t>
      </w:r>
      <w:r w:rsidRPr="00C6052E">
        <w:t>direct</w:t>
      </w:r>
      <w:r w:rsidR="00177848" w:rsidRPr="00C6052E">
        <w:t xml:space="preserve"> </w:t>
      </w:r>
      <w:r w:rsidRPr="00C6052E">
        <w:t>labour</w:t>
      </w:r>
      <w:r w:rsidR="00177848" w:rsidRPr="00C6052E">
        <w:t xml:space="preserve"> </w:t>
      </w:r>
      <w:r w:rsidRPr="00C6052E">
        <w:t>on</w:t>
      </w:r>
      <w:r w:rsidR="00177848" w:rsidRPr="00C6052E">
        <w:t xml:space="preserve"> </w:t>
      </w:r>
      <w:r w:rsidRPr="00C6052E">
        <w:t>the</w:t>
      </w:r>
      <w:r w:rsidR="00177848" w:rsidRPr="00C6052E">
        <w:t xml:space="preserve"> </w:t>
      </w:r>
      <w:r w:rsidRPr="00C6052E">
        <w:t>project,</w:t>
      </w:r>
      <w:r w:rsidR="00177848" w:rsidRPr="00C6052E">
        <w:t xml:space="preserve"> </w:t>
      </w:r>
      <w:r w:rsidRPr="00C6052E">
        <w:t>and</w:t>
      </w:r>
      <w:r w:rsidR="00177848" w:rsidRPr="00C6052E">
        <w:t xml:space="preserve"> </w:t>
      </w:r>
      <w:r w:rsidRPr="00C6052E">
        <w:t>an</w:t>
      </w:r>
      <w:r w:rsidR="00177848" w:rsidRPr="00C6052E">
        <w:t xml:space="preserve"> </w:t>
      </w:r>
      <w:r w:rsidRPr="00C6052E">
        <w:t>appropriate</w:t>
      </w:r>
      <w:r w:rsidR="00177848" w:rsidRPr="00C6052E">
        <w:t xml:space="preserve"> </w:t>
      </w:r>
      <w:r w:rsidRPr="00C6052E">
        <w:t>proportion</w:t>
      </w:r>
      <w:r w:rsidR="00177848" w:rsidRPr="00C6052E">
        <w:t xml:space="preserve"> </w:t>
      </w:r>
      <w:r w:rsidRPr="00C6052E">
        <w:t>of</w:t>
      </w:r>
      <w:r w:rsidR="00177848" w:rsidRPr="00C6052E">
        <w:t xml:space="preserve"> </w:t>
      </w:r>
      <w:r w:rsidRPr="00C6052E">
        <w:t>variable</w:t>
      </w:r>
      <w:r w:rsidR="00177848" w:rsidRPr="00C6052E">
        <w:t xml:space="preserve"> </w:t>
      </w:r>
      <w:r w:rsidRPr="00C6052E">
        <w:t>and</w:t>
      </w:r>
      <w:r w:rsidR="00177848" w:rsidRPr="00C6052E">
        <w:t xml:space="preserve"> </w:t>
      </w:r>
      <w:r w:rsidRPr="00C6052E">
        <w:t>fixed</w:t>
      </w:r>
      <w:r w:rsidR="00177848" w:rsidRPr="00C6052E">
        <w:t xml:space="preserve"> </w:t>
      </w:r>
      <w:r w:rsidRPr="00C6052E">
        <w:t>overheads.</w:t>
      </w:r>
    </w:p>
    <w:p w14:paraId="72FF3C5F" w14:textId="02B3C9C5" w:rsidR="00EE5BB8" w:rsidRPr="00C6052E" w:rsidRDefault="00EE5BB8" w:rsidP="00EE5BB8">
      <w:r w:rsidRPr="00C6052E">
        <w:t>The</w:t>
      </w:r>
      <w:r w:rsidR="00177848" w:rsidRPr="00C6052E">
        <w:t xml:space="preserve"> </w:t>
      </w:r>
      <w:r w:rsidRPr="00C6052E">
        <w:t>costs</w:t>
      </w:r>
      <w:r w:rsidR="00177848" w:rsidRPr="00C6052E">
        <w:t xml:space="preserve"> </w:t>
      </w:r>
      <w:r w:rsidRPr="00C6052E">
        <w:t>of</w:t>
      </w:r>
      <w:r w:rsidR="00177848" w:rsidRPr="00C6052E">
        <w:t xml:space="preserve"> </w:t>
      </w:r>
      <w:r w:rsidRPr="00C6052E">
        <w:t>leasehold</w:t>
      </w:r>
      <w:r w:rsidR="00177848" w:rsidRPr="00C6052E">
        <w:t xml:space="preserve"> </w:t>
      </w:r>
      <w:r w:rsidRPr="00C6052E">
        <w:t>improvements</w:t>
      </w:r>
      <w:r w:rsidR="00177848" w:rsidRPr="00C6052E">
        <w:t xml:space="preserve"> </w:t>
      </w:r>
      <w:r w:rsidRPr="00C6052E">
        <w:t>are</w:t>
      </w:r>
      <w:r w:rsidR="00177848" w:rsidRPr="00C6052E">
        <w:t xml:space="preserve"> </w:t>
      </w:r>
      <w:r w:rsidRPr="00C6052E">
        <w:t>capitalised</w:t>
      </w:r>
      <w:r w:rsidR="00177848" w:rsidRPr="00C6052E">
        <w:t xml:space="preserve"> </w:t>
      </w:r>
      <w:r w:rsidRPr="00C6052E">
        <w:t>as</w:t>
      </w:r>
      <w:r w:rsidR="00177848" w:rsidRPr="00C6052E">
        <w:t xml:space="preserve"> </w:t>
      </w:r>
      <w:r w:rsidRPr="00C6052E">
        <w:t>assets</w:t>
      </w:r>
      <w:r w:rsidR="00177848" w:rsidRPr="00C6052E">
        <w:t xml:space="preserve"> </w:t>
      </w:r>
      <w:r w:rsidRPr="00C6052E">
        <w:t>and</w:t>
      </w:r>
      <w:r w:rsidR="00177848" w:rsidRPr="00C6052E">
        <w:t xml:space="preserve"> </w:t>
      </w:r>
      <w:r w:rsidRPr="00C6052E">
        <w:t>depreciated</w:t>
      </w:r>
      <w:r w:rsidR="00177848" w:rsidRPr="00C6052E">
        <w:t xml:space="preserve"> </w:t>
      </w:r>
      <w:r w:rsidRPr="00C6052E">
        <w:t>over</w:t>
      </w:r>
      <w:r w:rsidR="00177848" w:rsidRPr="00C6052E">
        <w:t xml:space="preserve"> </w:t>
      </w:r>
      <w:r w:rsidRPr="00C6052E">
        <w:t>the</w:t>
      </w:r>
      <w:r w:rsidR="00177848" w:rsidRPr="00C6052E">
        <w:t xml:space="preserve"> </w:t>
      </w:r>
      <w:r w:rsidRPr="00C6052E">
        <w:t>shorter</w:t>
      </w:r>
      <w:r w:rsidR="00177848" w:rsidRPr="00C6052E">
        <w:t xml:space="preserve"> </w:t>
      </w:r>
      <w:r w:rsidRPr="00C6052E">
        <w:t>of</w:t>
      </w:r>
      <w:r w:rsidR="00177848" w:rsidRPr="00C6052E">
        <w:t xml:space="preserve"> </w:t>
      </w:r>
      <w:r w:rsidRPr="00C6052E">
        <w:t>the</w:t>
      </w:r>
      <w:r w:rsidR="00177848" w:rsidRPr="00C6052E">
        <w:t xml:space="preserve"> </w:t>
      </w:r>
      <w:r w:rsidRPr="00C6052E">
        <w:t>remaining</w:t>
      </w:r>
      <w:r w:rsidR="00177848" w:rsidRPr="00C6052E">
        <w:t xml:space="preserve"> </w:t>
      </w:r>
      <w:r w:rsidRPr="00C6052E">
        <w:t>term</w:t>
      </w:r>
      <w:r w:rsidR="00177848" w:rsidRPr="00C6052E">
        <w:t xml:space="preserve"> </w:t>
      </w:r>
      <w:r w:rsidRPr="00C6052E">
        <w:t>of</w:t>
      </w:r>
      <w:r w:rsidR="00177848" w:rsidRPr="00C6052E">
        <w:t xml:space="preserve"> </w:t>
      </w:r>
      <w:r w:rsidRPr="00C6052E">
        <w:t>the</w:t>
      </w:r>
      <w:r w:rsidR="00177848" w:rsidRPr="00C6052E">
        <w:t xml:space="preserve"> </w:t>
      </w:r>
      <w:r w:rsidRPr="00C6052E">
        <w:t>leases</w:t>
      </w:r>
      <w:r w:rsidR="00177848" w:rsidRPr="00C6052E">
        <w:t xml:space="preserve"> </w:t>
      </w:r>
      <w:r w:rsidRPr="00C6052E">
        <w:t>or</w:t>
      </w:r>
      <w:r w:rsidR="00177848" w:rsidRPr="00C6052E">
        <w:t xml:space="preserve"> </w:t>
      </w:r>
      <w:r w:rsidRPr="00C6052E">
        <w:t>the</w:t>
      </w:r>
      <w:r w:rsidR="00177848" w:rsidRPr="00C6052E">
        <w:t xml:space="preserve"> </w:t>
      </w:r>
      <w:r w:rsidRPr="00C6052E">
        <w:t>estimated</w:t>
      </w:r>
      <w:r w:rsidR="00177848" w:rsidRPr="00C6052E">
        <w:t xml:space="preserve"> </w:t>
      </w:r>
      <w:r w:rsidRPr="00C6052E">
        <w:t>useful</w:t>
      </w:r>
      <w:r w:rsidR="00177848" w:rsidRPr="00C6052E">
        <w:t xml:space="preserve"> </w:t>
      </w:r>
      <w:r w:rsidRPr="00C6052E">
        <w:t>life</w:t>
      </w:r>
      <w:r w:rsidR="00177848" w:rsidRPr="00C6052E">
        <w:t xml:space="preserve"> </w:t>
      </w:r>
      <w:r w:rsidRPr="00C6052E">
        <w:t>of</w:t>
      </w:r>
      <w:r w:rsidR="00177848" w:rsidRPr="00C6052E">
        <w:t xml:space="preserve"> </w:t>
      </w:r>
      <w:r w:rsidRPr="00C6052E">
        <w:t>the</w:t>
      </w:r>
      <w:r w:rsidR="00177848" w:rsidRPr="00C6052E">
        <w:t xml:space="preserve"> </w:t>
      </w:r>
      <w:r w:rsidRPr="00C6052E">
        <w:t>improvements.</w:t>
      </w:r>
      <w:r w:rsidR="00177848" w:rsidRPr="00C6052E">
        <w:t xml:space="preserve"> </w:t>
      </w:r>
    </w:p>
    <w:p w14:paraId="44BBFE00" w14:textId="1E67BF62" w:rsidR="00EE5BB8" w:rsidRPr="00C6052E" w:rsidRDefault="00EE5BB8" w:rsidP="00EE5BB8">
      <w:pPr>
        <w:pStyle w:val="Heading4"/>
      </w:pPr>
      <w:r w:rsidRPr="00C6052E">
        <w:t>Right-of-use</w:t>
      </w:r>
      <w:r w:rsidR="00177848" w:rsidRPr="00C6052E">
        <w:t xml:space="preserve"> </w:t>
      </w:r>
      <w:r w:rsidRPr="00C6052E">
        <w:t>asset</w:t>
      </w:r>
      <w:r w:rsidR="00177848" w:rsidRPr="00C6052E">
        <w:t xml:space="preserve"> </w:t>
      </w:r>
      <w:r w:rsidRPr="00C6052E">
        <w:t>acquired</w:t>
      </w:r>
      <w:r w:rsidR="00177848" w:rsidRPr="00C6052E">
        <w:t xml:space="preserve"> </w:t>
      </w:r>
      <w:r w:rsidRPr="00C6052E">
        <w:t>by</w:t>
      </w:r>
      <w:r w:rsidR="00177848" w:rsidRPr="00C6052E">
        <w:t xml:space="preserve"> </w:t>
      </w:r>
      <w:r w:rsidRPr="00C6052E">
        <w:t>leases</w:t>
      </w:r>
      <w:r w:rsidR="00177848" w:rsidRPr="00C6052E">
        <w:t xml:space="preserve"> </w:t>
      </w:r>
      <w:r w:rsidRPr="00C6052E">
        <w:t>–</w:t>
      </w:r>
      <w:r w:rsidR="00177848" w:rsidRPr="00C6052E">
        <w:t xml:space="preserve"> </w:t>
      </w:r>
      <w:r w:rsidRPr="00C6052E">
        <w:t>Initial</w:t>
      </w:r>
      <w:r w:rsidR="00177848" w:rsidRPr="00C6052E">
        <w:t xml:space="preserve"> </w:t>
      </w:r>
      <w:r w:rsidRPr="00C6052E">
        <w:t>measurement</w:t>
      </w:r>
      <w:r w:rsidR="00177848" w:rsidRPr="00C6052E">
        <w:t xml:space="preserve"> </w:t>
      </w:r>
    </w:p>
    <w:p w14:paraId="7B0C18A5" w14:textId="662577F3" w:rsidR="00EE5BB8" w:rsidRPr="00C6052E" w:rsidRDefault="00EE5BB8" w:rsidP="0028635E">
      <w:pPr>
        <w:pStyle w:val="Normalbeforebullets"/>
      </w:pPr>
      <w:r w:rsidRPr="00C6052E">
        <w:t>DJSIR</w:t>
      </w:r>
      <w:r w:rsidR="00177848" w:rsidRPr="00C6052E">
        <w:t xml:space="preserve"> </w:t>
      </w:r>
      <w:r w:rsidRPr="00C6052E">
        <w:t>recognises</w:t>
      </w:r>
      <w:r w:rsidR="00177848" w:rsidRPr="00C6052E">
        <w:t xml:space="preserve"> </w:t>
      </w:r>
      <w:r w:rsidRPr="00C6052E">
        <w:t>a</w:t>
      </w:r>
      <w:r w:rsidR="00177848" w:rsidRPr="00C6052E">
        <w:t xml:space="preserve"> </w:t>
      </w:r>
      <w:r w:rsidRPr="00C6052E">
        <w:t>right-of-use</w:t>
      </w:r>
      <w:r w:rsidR="00177848" w:rsidRPr="00C6052E">
        <w:t xml:space="preserve"> </w:t>
      </w:r>
      <w:r w:rsidRPr="00C6052E">
        <w:t>asset</w:t>
      </w:r>
      <w:r w:rsidR="00177848" w:rsidRPr="00C6052E">
        <w:t xml:space="preserve"> </w:t>
      </w:r>
      <w:r w:rsidRPr="00C6052E">
        <w:t>and</w:t>
      </w:r>
      <w:r w:rsidR="00177848" w:rsidRPr="00C6052E">
        <w:t xml:space="preserve"> </w:t>
      </w:r>
      <w:r w:rsidRPr="00C6052E">
        <w:t>a</w:t>
      </w:r>
      <w:r w:rsidR="00177848" w:rsidRPr="00C6052E">
        <w:t xml:space="preserve"> </w:t>
      </w:r>
      <w:r w:rsidRPr="00C6052E">
        <w:t>lease</w:t>
      </w:r>
      <w:r w:rsidR="00177848" w:rsidRPr="00C6052E">
        <w:t xml:space="preserve"> </w:t>
      </w:r>
      <w:r w:rsidRPr="00C6052E">
        <w:t>liability</w:t>
      </w:r>
      <w:r w:rsidR="00177848" w:rsidRPr="00C6052E">
        <w:t xml:space="preserve"> </w:t>
      </w:r>
      <w:r w:rsidRPr="00C6052E">
        <w:t>at</w:t>
      </w:r>
      <w:r w:rsidR="00177848" w:rsidRPr="00C6052E">
        <w:t xml:space="preserve"> </w:t>
      </w:r>
      <w:r w:rsidRPr="00C6052E">
        <w:t>the</w:t>
      </w:r>
      <w:r w:rsidR="00177848" w:rsidRPr="00C6052E">
        <w:t xml:space="preserve"> </w:t>
      </w:r>
      <w:r w:rsidRPr="00C6052E">
        <w:t>lease</w:t>
      </w:r>
      <w:r w:rsidR="00177848" w:rsidRPr="00C6052E">
        <w:t xml:space="preserve"> </w:t>
      </w:r>
      <w:r w:rsidRPr="00C6052E">
        <w:t>commencement</w:t>
      </w:r>
      <w:r w:rsidR="00177848" w:rsidRPr="00C6052E">
        <w:t xml:space="preserve"> </w:t>
      </w:r>
      <w:r w:rsidRPr="00C6052E">
        <w:t>date.</w:t>
      </w:r>
      <w:r w:rsidR="00177848" w:rsidRPr="00C6052E">
        <w:t xml:space="preserve"> </w:t>
      </w:r>
      <w:r w:rsidRPr="00C6052E">
        <w:t>The</w:t>
      </w:r>
      <w:r w:rsidR="00177848" w:rsidRPr="00C6052E">
        <w:t xml:space="preserve"> </w:t>
      </w:r>
      <w:r w:rsidRPr="00C6052E">
        <w:t>right-of-use</w:t>
      </w:r>
      <w:r w:rsidR="00177848" w:rsidRPr="00C6052E">
        <w:t xml:space="preserve"> </w:t>
      </w:r>
      <w:r w:rsidRPr="00C6052E">
        <w:t>asset</w:t>
      </w:r>
      <w:r w:rsidR="00177848" w:rsidRPr="00C6052E">
        <w:t xml:space="preserve"> </w:t>
      </w:r>
      <w:r w:rsidRPr="00C6052E">
        <w:t>is</w:t>
      </w:r>
      <w:r w:rsidR="00177848" w:rsidRPr="00C6052E">
        <w:t xml:space="preserve"> </w:t>
      </w:r>
      <w:r w:rsidRPr="00C6052E">
        <w:t>initially</w:t>
      </w:r>
      <w:r w:rsidR="00177848" w:rsidRPr="00C6052E">
        <w:t xml:space="preserve"> </w:t>
      </w:r>
      <w:r w:rsidRPr="00C6052E">
        <w:t>measured</w:t>
      </w:r>
      <w:r w:rsidR="00177848" w:rsidRPr="00C6052E">
        <w:t xml:space="preserve"> </w:t>
      </w:r>
      <w:r w:rsidRPr="00C6052E">
        <w:t>at</w:t>
      </w:r>
      <w:r w:rsidR="00177848" w:rsidRPr="00C6052E">
        <w:t xml:space="preserve"> </w:t>
      </w:r>
      <w:r w:rsidRPr="00C6052E">
        <w:t>cost</w:t>
      </w:r>
      <w:r w:rsidR="00177848" w:rsidRPr="00C6052E">
        <w:t xml:space="preserve"> </w:t>
      </w:r>
      <w:r w:rsidRPr="00C6052E">
        <w:t>which</w:t>
      </w:r>
      <w:r w:rsidR="00177848" w:rsidRPr="00C6052E">
        <w:t xml:space="preserve"> </w:t>
      </w:r>
      <w:r w:rsidRPr="00C6052E">
        <w:t>comprises</w:t>
      </w:r>
      <w:r w:rsidR="00177848" w:rsidRPr="00C6052E">
        <w:t xml:space="preserve"> </w:t>
      </w:r>
      <w:r w:rsidRPr="00C6052E">
        <w:t>the</w:t>
      </w:r>
      <w:r w:rsidR="00177848" w:rsidRPr="00C6052E">
        <w:t xml:space="preserve"> </w:t>
      </w:r>
      <w:r w:rsidRPr="00C6052E">
        <w:t>initial</w:t>
      </w:r>
      <w:r w:rsidR="00177848" w:rsidRPr="00C6052E">
        <w:t xml:space="preserve"> </w:t>
      </w:r>
      <w:r w:rsidRPr="00C6052E">
        <w:t>amount</w:t>
      </w:r>
      <w:r w:rsidR="00177848" w:rsidRPr="00C6052E">
        <w:t xml:space="preserve"> </w:t>
      </w:r>
      <w:r w:rsidRPr="00C6052E">
        <w:t>of</w:t>
      </w:r>
      <w:r w:rsidR="00177848" w:rsidRPr="00C6052E">
        <w:t xml:space="preserve"> </w:t>
      </w:r>
      <w:r w:rsidRPr="00C6052E">
        <w:t>the</w:t>
      </w:r>
      <w:r w:rsidR="00177848" w:rsidRPr="00C6052E">
        <w:t xml:space="preserve"> </w:t>
      </w:r>
      <w:r w:rsidRPr="00C6052E">
        <w:t>lease</w:t>
      </w:r>
      <w:r w:rsidR="00177848" w:rsidRPr="00C6052E">
        <w:t xml:space="preserve"> </w:t>
      </w:r>
      <w:r w:rsidRPr="00C6052E">
        <w:t>liability</w:t>
      </w:r>
      <w:r w:rsidR="00177848" w:rsidRPr="00C6052E">
        <w:t xml:space="preserve"> </w:t>
      </w:r>
      <w:r w:rsidRPr="00C6052E">
        <w:t>adjust</w:t>
      </w:r>
      <w:r w:rsidR="00177848" w:rsidRPr="00C6052E">
        <w:t xml:space="preserve"> </w:t>
      </w:r>
      <w:r w:rsidRPr="00C6052E">
        <w:t>for:</w:t>
      </w:r>
    </w:p>
    <w:p w14:paraId="1A1A5932" w14:textId="6D4AE896" w:rsidR="00EE5BB8" w:rsidRPr="00C6052E" w:rsidRDefault="00EE5BB8" w:rsidP="00EE5BB8">
      <w:pPr>
        <w:pStyle w:val="Bullet1"/>
        <w:numPr>
          <w:ilvl w:val="0"/>
          <w:numId w:val="1"/>
        </w:numPr>
        <w:spacing w:line="278" w:lineRule="auto"/>
        <w:ind w:left="284" w:hanging="284"/>
        <w:rPr>
          <w:lang w:val="en-AU"/>
        </w:rPr>
      </w:pPr>
      <w:r w:rsidRPr="00C6052E">
        <w:rPr>
          <w:lang w:val="en-AU"/>
        </w:rPr>
        <w:t>any</w:t>
      </w:r>
      <w:r w:rsidR="00177848" w:rsidRPr="00C6052E">
        <w:rPr>
          <w:lang w:val="en-AU"/>
        </w:rPr>
        <w:t xml:space="preserve"> </w:t>
      </w:r>
      <w:r w:rsidRPr="00C6052E">
        <w:rPr>
          <w:lang w:val="en-AU"/>
        </w:rPr>
        <w:t>lease</w:t>
      </w:r>
      <w:r w:rsidR="00177848" w:rsidRPr="00C6052E">
        <w:rPr>
          <w:lang w:val="en-AU"/>
        </w:rPr>
        <w:t xml:space="preserve"> </w:t>
      </w:r>
      <w:r w:rsidRPr="00C6052E">
        <w:rPr>
          <w:lang w:val="en-AU"/>
        </w:rPr>
        <w:t>payments</w:t>
      </w:r>
      <w:r w:rsidR="00177848" w:rsidRPr="00C6052E">
        <w:rPr>
          <w:lang w:val="en-AU"/>
        </w:rPr>
        <w:t xml:space="preserve"> </w:t>
      </w:r>
      <w:r w:rsidRPr="00C6052E">
        <w:rPr>
          <w:lang w:val="en-AU"/>
        </w:rPr>
        <w:t>made</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or</w:t>
      </w:r>
      <w:r w:rsidR="00177848" w:rsidRPr="00C6052E">
        <w:rPr>
          <w:lang w:val="en-AU"/>
        </w:rPr>
        <w:t xml:space="preserve"> </w:t>
      </w:r>
      <w:r w:rsidRPr="00C6052E">
        <w:rPr>
          <w:lang w:val="en-AU"/>
        </w:rPr>
        <w:t>before</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commencement</w:t>
      </w:r>
      <w:r w:rsidR="00177848" w:rsidRPr="00C6052E">
        <w:rPr>
          <w:lang w:val="en-AU"/>
        </w:rPr>
        <w:t xml:space="preserve"> </w:t>
      </w:r>
      <w:r w:rsidRPr="00C6052E">
        <w:rPr>
          <w:lang w:val="en-AU"/>
        </w:rPr>
        <w:t>date</w:t>
      </w:r>
      <w:r w:rsidR="00177848" w:rsidRPr="00C6052E">
        <w:rPr>
          <w:lang w:val="en-AU"/>
        </w:rPr>
        <w:t xml:space="preserve"> </w:t>
      </w:r>
      <w:r w:rsidRPr="00C6052E">
        <w:rPr>
          <w:lang w:val="en-AU"/>
        </w:rPr>
        <w:t>less</w:t>
      </w:r>
      <w:r w:rsidR="00177848" w:rsidRPr="00C6052E">
        <w:rPr>
          <w:lang w:val="en-AU"/>
        </w:rPr>
        <w:t xml:space="preserve"> </w:t>
      </w:r>
      <w:r w:rsidRPr="00C6052E">
        <w:rPr>
          <w:lang w:val="en-AU"/>
        </w:rPr>
        <w:t>any</w:t>
      </w:r>
      <w:r w:rsidR="00177848" w:rsidRPr="00C6052E">
        <w:rPr>
          <w:lang w:val="en-AU"/>
        </w:rPr>
        <w:t xml:space="preserve"> </w:t>
      </w:r>
      <w:r w:rsidRPr="00C6052E">
        <w:rPr>
          <w:lang w:val="en-AU"/>
        </w:rPr>
        <w:t>lease</w:t>
      </w:r>
      <w:r w:rsidR="00177848" w:rsidRPr="00C6052E">
        <w:rPr>
          <w:lang w:val="en-AU"/>
        </w:rPr>
        <w:t xml:space="preserve"> </w:t>
      </w:r>
      <w:r w:rsidRPr="00C6052E">
        <w:rPr>
          <w:lang w:val="en-AU"/>
        </w:rPr>
        <w:t>incentive</w:t>
      </w:r>
      <w:r w:rsidR="00177848" w:rsidRPr="00C6052E">
        <w:rPr>
          <w:lang w:val="en-AU"/>
        </w:rPr>
        <w:t xml:space="preserve"> </w:t>
      </w:r>
      <w:r w:rsidRPr="00C6052E">
        <w:rPr>
          <w:lang w:val="en-AU"/>
        </w:rPr>
        <w:t>received;</w:t>
      </w:r>
      <w:r w:rsidR="00177848" w:rsidRPr="00C6052E">
        <w:rPr>
          <w:lang w:val="en-AU"/>
        </w:rPr>
        <w:t xml:space="preserve"> </w:t>
      </w:r>
      <w:r w:rsidRPr="00C6052E">
        <w:rPr>
          <w:lang w:val="en-AU"/>
        </w:rPr>
        <w:t>plus</w:t>
      </w:r>
    </w:p>
    <w:p w14:paraId="7FDC9253" w14:textId="42A7BE3A" w:rsidR="00EE5BB8" w:rsidRPr="00C6052E" w:rsidRDefault="00EE5BB8" w:rsidP="00EE5BB8">
      <w:pPr>
        <w:pStyle w:val="Bullet1"/>
        <w:numPr>
          <w:ilvl w:val="0"/>
          <w:numId w:val="1"/>
        </w:numPr>
        <w:spacing w:line="278" w:lineRule="auto"/>
        <w:ind w:left="284" w:hanging="284"/>
        <w:rPr>
          <w:lang w:val="en-AU"/>
        </w:rPr>
      </w:pPr>
      <w:r w:rsidRPr="00C6052E">
        <w:rPr>
          <w:lang w:val="en-AU"/>
        </w:rPr>
        <w:t>any</w:t>
      </w:r>
      <w:r w:rsidR="00177848" w:rsidRPr="00C6052E">
        <w:rPr>
          <w:lang w:val="en-AU"/>
        </w:rPr>
        <w:t xml:space="preserve"> </w:t>
      </w:r>
      <w:r w:rsidRPr="00C6052E">
        <w:rPr>
          <w:lang w:val="en-AU"/>
        </w:rPr>
        <w:t>initial</w:t>
      </w:r>
      <w:r w:rsidR="00177848" w:rsidRPr="00C6052E">
        <w:rPr>
          <w:lang w:val="en-AU"/>
        </w:rPr>
        <w:t xml:space="preserve"> </w:t>
      </w:r>
      <w:r w:rsidRPr="00C6052E">
        <w:rPr>
          <w:lang w:val="en-AU"/>
        </w:rPr>
        <w:t>direct</w:t>
      </w:r>
      <w:r w:rsidR="00177848" w:rsidRPr="00C6052E">
        <w:rPr>
          <w:lang w:val="en-AU"/>
        </w:rPr>
        <w:t xml:space="preserve"> </w:t>
      </w:r>
      <w:r w:rsidRPr="00C6052E">
        <w:rPr>
          <w:lang w:val="en-AU"/>
        </w:rPr>
        <w:t>costs</w:t>
      </w:r>
      <w:r w:rsidR="00177848" w:rsidRPr="00C6052E">
        <w:rPr>
          <w:lang w:val="en-AU"/>
        </w:rPr>
        <w:t xml:space="preserve"> </w:t>
      </w:r>
      <w:r w:rsidRPr="00C6052E">
        <w:rPr>
          <w:lang w:val="en-AU"/>
        </w:rPr>
        <w:t>incurred;</w:t>
      </w:r>
      <w:r w:rsidR="00177848" w:rsidRPr="00C6052E">
        <w:rPr>
          <w:lang w:val="en-AU"/>
        </w:rPr>
        <w:t xml:space="preserve"> </w:t>
      </w:r>
      <w:r w:rsidRPr="00C6052E">
        <w:rPr>
          <w:lang w:val="en-AU"/>
        </w:rPr>
        <w:t>and</w:t>
      </w:r>
    </w:p>
    <w:p w14:paraId="4BE67F13" w14:textId="60FF56EF" w:rsidR="00EE5BB8" w:rsidRPr="00C6052E" w:rsidRDefault="00EE5BB8" w:rsidP="00EE5BB8">
      <w:pPr>
        <w:pStyle w:val="Bullet1last"/>
        <w:numPr>
          <w:ilvl w:val="0"/>
          <w:numId w:val="1"/>
        </w:numPr>
        <w:spacing w:line="278" w:lineRule="auto"/>
        <w:ind w:left="284" w:hanging="284"/>
        <w:rPr>
          <w:lang w:val="en-AU"/>
        </w:rPr>
      </w:pPr>
      <w:r w:rsidRPr="00C6052E">
        <w:rPr>
          <w:lang w:val="en-AU"/>
        </w:rPr>
        <w:t>an</w:t>
      </w:r>
      <w:r w:rsidR="00177848" w:rsidRPr="00C6052E">
        <w:rPr>
          <w:lang w:val="en-AU"/>
        </w:rPr>
        <w:t xml:space="preserve"> </w:t>
      </w:r>
      <w:r w:rsidRPr="00C6052E">
        <w:rPr>
          <w:lang w:val="en-AU"/>
        </w:rPr>
        <w:t>estimate</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costs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dismantle</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remove</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underlying</w:t>
      </w:r>
      <w:r w:rsidR="00177848" w:rsidRPr="00C6052E">
        <w:rPr>
          <w:lang w:val="en-AU"/>
        </w:rPr>
        <w:t xml:space="preserve"> </w:t>
      </w:r>
      <w:r w:rsidRPr="00C6052E">
        <w:rPr>
          <w:lang w:val="en-AU"/>
        </w:rPr>
        <w:t>asset</w:t>
      </w:r>
      <w:r w:rsidR="00177848" w:rsidRPr="00C6052E">
        <w:rPr>
          <w:lang w:val="en-AU"/>
        </w:rPr>
        <w:t xml:space="preserve"> </w:t>
      </w:r>
      <w:r w:rsidRPr="00C6052E">
        <w:rPr>
          <w:lang w:val="en-AU"/>
        </w:rPr>
        <w:t>or</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restore</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underlying</w:t>
      </w:r>
      <w:r w:rsidR="00177848" w:rsidRPr="00C6052E">
        <w:rPr>
          <w:lang w:val="en-AU"/>
        </w:rPr>
        <w:t xml:space="preserve"> </w:t>
      </w:r>
      <w:r w:rsidRPr="00C6052E">
        <w:rPr>
          <w:lang w:val="en-AU"/>
        </w:rPr>
        <w:t>asset</w:t>
      </w:r>
      <w:r w:rsidR="00177848" w:rsidRPr="00C6052E">
        <w:rPr>
          <w:lang w:val="en-AU"/>
        </w:rPr>
        <w:t xml:space="preserve"> </w:t>
      </w:r>
      <w:r w:rsidRPr="00C6052E">
        <w:rPr>
          <w:lang w:val="en-AU"/>
        </w:rPr>
        <w:t>or</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site</w:t>
      </w:r>
      <w:r w:rsidR="00177848" w:rsidRPr="00C6052E">
        <w:rPr>
          <w:lang w:val="en-AU"/>
        </w:rPr>
        <w:t xml:space="preserve"> </w:t>
      </w:r>
      <w:r w:rsidRPr="00C6052E">
        <w:rPr>
          <w:lang w:val="en-AU"/>
        </w:rPr>
        <w:t>on</w:t>
      </w:r>
      <w:r w:rsidR="00177848" w:rsidRPr="00C6052E">
        <w:rPr>
          <w:lang w:val="en-AU"/>
        </w:rPr>
        <w:t xml:space="preserve"> </w:t>
      </w:r>
      <w:r w:rsidRPr="00C6052E">
        <w:rPr>
          <w:lang w:val="en-AU"/>
        </w:rPr>
        <w:t>which</w:t>
      </w:r>
      <w:r w:rsidR="00177848" w:rsidRPr="00C6052E">
        <w:rPr>
          <w:lang w:val="en-AU"/>
        </w:rPr>
        <w:t xml:space="preserve"> </w:t>
      </w:r>
      <w:r w:rsidRPr="00C6052E">
        <w:rPr>
          <w:lang w:val="en-AU"/>
        </w:rPr>
        <w:t>it</w:t>
      </w:r>
      <w:r w:rsidR="00177848" w:rsidRPr="00C6052E">
        <w:rPr>
          <w:lang w:val="en-AU"/>
        </w:rPr>
        <w:t xml:space="preserve"> </w:t>
      </w:r>
      <w:r w:rsidRPr="00C6052E">
        <w:rPr>
          <w:lang w:val="en-AU"/>
        </w:rPr>
        <w:t>is</w:t>
      </w:r>
      <w:r w:rsidR="00177848" w:rsidRPr="00C6052E">
        <w:rPr>
          <w:lang w:val="en-AU"/>
        </w:rPr>
        <w:t xml:space="preserve"> </w:t>
      </w:r>
      <w:r w:rsidRPr="00C6052E">
        <w:rPr>
          <w:lang w:val="en-AU"/>
        </w:rPr>
        <w:t>located.</w:t>
      </w:r>
    </w:p>
    <w:p w14:paraId="64A5DEBB" w14:textId="0F2D1834" w:rsidR="00EE5BB8" w:rsidRPr="00C6052E" w:rsidRDefault="00EE5BB8" w:rsidP="00EE5BB8">
      <w:pPr>
        <w:pStyle w:val="Heading4"/>
      </w:pPr>
      <w:r w:rsidRPr="00C6052E">
        <w:t>Subsequent</w:t>
      </w:r>
      <w:r w:rsidR="00177848" w:rsidRPr="00C6052E">
        <w:t xml:space="preserve"> </w:t>
      </w:r>
      <w:r w:rsidRPr="00C6052E">
        <w:t>measurement</w:t>
      </w:r>
    </w:p>
    <w:p w14:paraId="4A5E9C2D" w14:textId="6EDAFA88" w:rsidR="00EE5BB8" w:rsidRPr="00C6052E" w:rsidRDefault="00EE5BB8" w:rsidP="007C69B9">
      <w:pPr>
        <w:keepLines/>
      </w:pPr>
      <w:r w:rsidRPr="00C6052E">
        <w:t>Property,</w:t>
      </w:r>
      <w:r w:rsidR="00177848" w:rsidRPr="00C6052E">
        <w:t xml:space="preserve"> </w:t>
      </w:r>
      <w:r w:rsidRPr="00C6052E">
        <w:t>plant</w:t>
      </w:r>
      <w:r w:rsidR="00177848" w:rsidRPr="00C6052E">
        <w:t xml:space="preserve"> </w:t>
      </w:r>
      <w:r w:rsidRPr="00C6052E">
        <w:t>and</w:t>
      </w:r>
      <w:r w:rsidR="00177848" w:rsidRPr="00C6052E">
        <w:t xml:space="preserve"> </w:t>
      </w:r>
      <w:r w:rsidRPr="00C6052E">
        <w:t>equipment</w:t>
      </w:r>
      <w:r w:rsidR="00177848" w:rsidRPr="00C6052E">
        <w:t xml:space="preserve"> </w:t>
      </w:r>
      <w:r w:rsidRPr="00C6052E">
        <w:t>(PPE)</w:t>
      </w:r>
      <w:r w:rsidR="00177848" w:rsidRPr="00C6052E">
        <w:t xml:space="preserve"> </w:t>
      </w:r>
      <w:r w:rsidRPr="00C6052E">
        <w:t>as</w:t>
      </w:r>
      <w:r w:rsidR="00177848" w:rsidRPr="00C6052E">
        <w:t xml:space="preserve"> </w:t>
      </w:r>
      <w:r w:rsidRPr="00C6052E">
        <w:t>well</w:t>
      </w:r>
      <w:r w:rsidR="00177848" w:rsidRPr="00C6052E">
        <w:t xml:space="preserve"> </w:t>
      </w:r>
      <w:r w:rsidRPr="00C6052E">
        <w:t>as</w:t>
      </w:r>
      <w:r w:rsidR="00177848" w:rsidRPr="00C6052E">
        <w:t xml:space="preserve"> </w:t>
      </w:r>
      <w:r w:rsidRPr="00C6052E">
        <w:t>right-of</w:t>
      </w:r>
      <w:r w:rsidRPr="00C6052E">
        <w:noBreakHyphen/>
        <w:t>use</w:t>
      </w:r>
      <w:r w:rsidR="00177848" w:rsidRPr="00C6052E">
        <w:t xml:space="preserve"> </w:t>
      </w:r>
      <w:r w:rsidRPr="00C6052E">
        <w:t>assets</w:t>
      </w:r>
      <w:r w:rsidR="00177848" w:rsidRPr="00C6052E">
        <w:t xml:space="preserve"> </w:t>
      </w:r>
      <w:r w:rsidRPr="00C6052E">
        <w:t>under</w:t>
      </w:r>
      <w:r w:rsidR="00177848" w:rsidRPr="00C6052E">
        <w:t xml:space="preserve"> </w:t>
      </w:r>
      <w:r w:rsidRPr="00C6052E">
        <w:t>leases</w:t>
      </w:r>
      <w:r w:rsidR="00177848" w:rsidRPr="00C6052E">
        <w:t xml:space="preserve"> </w:t>
      </w:r>
      <w:r w:rsidRPr="00C6052E">
        <w:t>are</w:t>
      </w:r>
      <w:r w:rsidR="00177848" w:rsidRPr="00C6052E">
        <w:t xml:space="preserve"> </w:t>
      </w:r>
      <w:r w:rsidRPr="00C6052E">
        <w:t>subsequently</w:t>
      </w:r>
      <w:r w:rsidR="00177848" w:rsidRPr="00C6052E">
        <w:t xml:space="preserve"> </w:t>
      </w:r>
      <w:r w:rsidRPr="00C6052E">
        <w:t>measured</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r w:rsidR="00177848" w:rsidRPr="00C6052E">
        <w:t xml:space="preserve"> </w:t>
      </w:r>
      <w:r w:rsidRPr="00C6052E">
        <w:t>less</w:t>
      </w:r>
      <w:r w:rsidR="00177848" w:rsidRPr="00C6052E">
        <w:t xml:space="preserve"> </w:t>
      </w:r>
      <w:r w:rsidRPr="00C6052E">
        <w:t>accumulated</w:t>
      </w:r>
      <w:r w:rsidR="00177848" w:rsidRPr="00C6052E">
        <w:t xml:space="preserve"> </w:t>
      </w:r>
      <w:r w:rsidRPr="00C6052E">
        <w:t>depreciation</w:t>
      </w:r>
      <w:r w:rsidR="00177848" w:rsidRPr="00C6052E">
        <w:t xml:space="preserve"> </w:t>
      </w:r>
      <w:r w:rsidRPr="00C6052E">
        <w:t>and</w:t>
      </w:r>
      <w:r w:rsidR="00177848" w:rsidRPr="00C6052E">
        <w:t xml:space="preserve"> </w:t>
      </w:r>
      <w:r w:rsidRPr="00C6052E">
        <w:t>impairment</w:t>
      </w:r>
      <w:r w:rsidR="00177848" w:rsidRPr="00C6052E">
        <w:t xml:space="preserve"> </w:t>
      </w:r>
      <w:r w:rsidRPr="00C6052E">
        <w:t>except</w:t>
      </w:r>
      <w:r w:rsidR="00177848" w:rsidRPr="00C6052E">
        <w:t xml:space="preserve"> </w:t>
      </w:r>
      <w:r w:rsidRPr="00C6052E">
        <w:t>for</w:t>
      </w:r>
      <w:r w:rsidR="00177848" w:rsidRPr="00C6052E">
        <w:t xml:space="preserve"> </w:t>
      </w:r>
      <w:r w:rsidRPr="00C6052E">
        <w:t>concessionary</w:t>
      </w:r>
      <w:r w:rsidR="00177848" w:rsidRPr="00C6052E">
        <w:t xml:space="preserve"> </w:t>
      </w:r>
      <w:r w:rsidRPr="00C6052E">
        <w:t>leases</w:t>
      </w:r>
      <w:r w:rsidR="00177848" w:rsidRPr="00C6052E">
        <w:t xml:space="preserve"> </w:t>
      </w:r>
      <w:r w:rsidRPr="00C6052E">
        <w:t>which</w:t>
      </w:r>
      <w:r w:rsidR="00177848" w:rsidRPr="00C6052E">
        <w:t xml:space="preserve"> </w:t>
      </w:r>
      <w:r w:rsidRPr="00C6052E">
        <w:t>are</w:t>
      </w:r>
      <w:r w:rsidR="00177848" w:rsidRPr="00C6052E">
        <w:t xml:space="preserve"> </w:t>
      </w:r>
      <w:r w:rsidRPr="00C6052E">
        <w:t>carried</w:t>
      </w:r>
      <w:r w:rsidR="00177848" w:rsidRPr="00C6052E">
        <w:t xml:space="preserve"> </w:t>
      </w:r>
      <w:r w:rsidRPr="00C6052E">
        <w:t>at</w:t>
      </w:r>
      <w:r w:rsidR="00177848" w:rsidRPr="00C6052E">
        <w:t xml:space="preserve"> </w:t>
      </w:r>
      <w:r w:rsidRPr="00C6052E">
        <w:t>cost.</w:t>
      </w:r>
      <w:r w:rsidR="00177848" w:rsidRPr="00C6052E">
        <w:t xml:space="preserve"> </w:t>
      </w:r>
      <w:r w:rsidRPr="00C6052E">
        <w:t>Fair</w:t>
      </w:r>
      <w:r w:rsidR="00177848" w:rsidRPr="00C6052E">
        <w:t xml:space="preserve"> </w:t>
      </w:r>
      <w:r w:rsidRPr="00C6052E">
        <w:t>value</w:t>
      </w:r>
      <w:r w:rsidR="00177848" w:rsidRPr="00C6052E">
        <w:t xml:space="preserve"> </w:t>
      </w:r>
      <w:r w:rsidRPr="00C6052E">
        <w:t>is</w:t>
      </w:r>
      <w:r w:rsidR="00177848" w:rsidRPr="00C6052E">
        <w:t xml:space="preserve"> </w:t>
      </w:r>
      <w:r w:rsidRPr="00C6052E">
        <w:t>determined</w:t>
      </w:r>
      <w:r w:rsidR="00177848" w:rsidRPr="00C6052E">
        <w:t xml:space="preserve"> </w:t>
      </w:r>
      <w:r w:rsidRPr="00C6052E">
        <w:t>with</w:t>
      </w:r>
      <w:r w:rsidR="00177848" w:rsidRPr="00C6052E">
        <w:t xml:space="preserve"> </w:t>
      </w:r>
      <w:r w:rsidRPr="00C6052E">
        <w:t>regard</w:t>
      </w:r>
      <w:r w:rsidR="00177848" w:rsidRPr="00C6052E">
        <w:t xml:space="preserve"> </w:t>
      </w:r>
      <w:r w:rsidRPr="00C6052E">
        <w:t>to</w:t>
      </w:r>
      <w:r w:rsidR="00177848" w:rsidRPr="00C6052E">
        <w:t xml:space="preserve"> </w:t>
      </w:r>
      <w:r w:rsidRPr="00C6052E">
        <w:t>the</w:t>
      </w:r>
      <w:r w:rsidR="00177848" w:rsidRPr="00C6052E">
        <w:t xml:space="preserve"> </w:t>
      </w:r>
      <w:r w:rsidRPr="00C6052E">
        <w:t>asset’s</w:t>
      </w:r>
      <w:r w:rsidR="00177848" w:rsidRPr="00C6052E">
        <w:t xml:space="preserve"> </w:t>
      </w:r>
      <w:r w:rsidRPr="00C6052E">
        <w:t>highest</w:t>
      </w:r>
      <w:r w:rsidR="00177848" w:rsidRPr="00C6052E">
        <w:t xml:space="preserve"> </w:t>
      </w:r>
      <w:r w:rsidRPr="00C6052E">
        <w:t>and</w:t>
      </w:r>
      <w:r w:rsidR="00177848" w:rsidRPr="00C6052E">
        <w:t xml:space="preserve"> </w:t>
      </w:r>
      <w:r w:rsidRPr="00C6052E">
        <w:t>best</w:t>
      </w:r>
      <w:r w:rsidR="00177848" w:rsidRPr="00C6052E">
        <w:t xml:space="preserve"> </w:t>
      </w:r>
      <w:r w:rsidRPr="00C6052E">
        <w:t>use</w:t>
      </w:r>
      <w:r w:rsidR="00177848" w:rsidRPr="00C6052E">
        <w:t xml:space="preserve"> </w:t>
      </w:r>
      <w:r w:rsidRPr="00C6052E">
        <w:t>(considering</w:t>
      </w:r>
      <w:r w:rsidR="00177848" w:rsidRPr="00C6052E">
        <w:t xml:space="preserve"> </w:t>
      </w:r>
      <w:r w:rsidRPr="00C6052E">
        <w:t>legal</w:t>
      </w:r>
      <w:r w:rsidR="00177848" w:rsidRPr="00C6052E">
        <w:t xml:space="preserve"> </w:t>
      </w:r>
      <w:r w:rsidRPr="00C6052E">
        <w:t>or</w:t>
      </w:r>
      <w:r w:rsidR="00177848" w:rsidRPr="00C6052E">
        <w:t xml:space="preserve"> </w:t>
      </w:r>
      <w:r w:rsidRPr="00C6052E">
        <w:t>physical</w:t>
      </w:r>
      <w:r w:rsidR="00177848" w:rsidRPr="00C6052E">
        <w:t xml:space="preserve"> </w:t>
      </w:r>
      <w:r w:rsidRPr="00C6052E">
        <w:t>restrictions</w:t>
      </w:r>
      <w:r w:rsidR="00177848" w:rsidRPr="00C6052E">
        <w:t xml:space="preserve"> </w:t>
      </w:r>
      <w:r w:rsidRPr="00C6052E">
        <w:t>imposed</w:t>
      </w:r>
      <w:r w:rsidR="00177848" w:rsidRPr="00C6052E">
        <w:t xml:space="preserve"> </w:t>
      </w:r>
      <w:r w:rsidRPr="00C6052E">
        <w:t>on</w:t>
      </w:r>
      <w:r w:rsidR="00177848" w:rsidRPr="00C6052E">
        <w:t xml:space="preserve"> </w:t>
      </w:r>
      <w:r w:rsidRPr="00C6052E">
        <w:t>the</w:t>
      </w:r>
      <w:r w:rsidR="00177848" w:rsidRPr="00C6052E">
        <w:t xml:space="preserve"> </w:t>
      </w:r>
      <w:r w:rsidRPr="00C6052E">
        <w:t>asset,</w:t>
      </w:r>
      <w:r w:rsidR="00177848" w:rsidRPr="00C6052E">
        <w:t xml:space="preserve"> </w:t>
      </w:r>
      <w:r w:rsidRPr="00C6052E">
        <w:t>public</w:t>
      </w:r>
      <w:r w:rsidR="00177848" w:rsidRPr="00C6052E">
        <w:t xml:space="preserve"> </w:t>
      </w:r>
      <w:r w:rsidRPr="00C6052E">
        <w:t>announcements</w:t>
      </w:r>
      <w:r w:rsidR="00177848" w:rsidRPr="00C6052E">
        <w:t xml:space="preserve"> </w:t>
      </w:r>
      <w:r w:rsidRPr="00C6052E">
        <w:t>or</w:t>
      </w:r>
      <w:r w:rsidR="00177848" w:rsidRPr="00C6052E">
        <w:t xml:space="preserve"> </w:t>
      </w:r>
      <w:r w:rsidRPr="00C6052E">
        <w:t>commitments</w:t>
      </w:r>
      <w:r w:rsidR="00177848" w:rsidRPr="00C6052E">
        <w:t xml:space="preserve"> </w:t>
      </w:r>
      <w:r w:rsidRPr="00C6052E">
        <w:t>made</w:t>
      </w:r>
      <w:r w:rsidR="00177848" w:rsidRPr="00C6052E">
        <w:t xml:space="preserve"> </w:t>
      </w:r>
      <w:r w:rsidRPr="00C6052E">
        <w:t>in</w:t>
      </w:r>
      <w:r w:rsidR="00177848" w:rsidRPr="00C6052E">
        <w:t xml:space="preserve"> </w:t>
      </w:r>
      <w:r w:rsidRPr="00C6052E">
        <w:t>relation</w:t>
      </w:r>
      <w:r w:rsidR="00177848" w:rsidRPr="00C6052E">
        <w:t xml:space="preserve"> </w:t>
      </w:r>
      <w:r w:rsidRPr="00C6052E">
        <w:t>to</w:t>
      </w:r>
      <w:r w:rsidR="00177848" w:rsidRPr="00C6052E">
        <w:t xml:space="preserve"> </w:t>
      </w:r>
      <w:r w:rsidRPr="00C6052E">
        <w:t>the</w:t>
      </w:r>
      <w:r w:rsidR="00177848" w:rsidRPr="00C6052E">
        <w:t xml:space="preserve"> </w:t>
      </w:r>
      <w:r w:rsidRPr="00C6052E">
        <w:t>intended</w:t>
      </w:r>
      <w:r w:rsidR="00177848" w:rsidRPr="00C6052E">
        <w:t xml:space="preserve"> </w:t>
      </w:r>
      <w:r w:rsidRPr="00C6052E">
        <w:t>use</w:t>
      </w:r>
      <w:r w:rsidR="00177848" w:rsidRPr="00C6052E">
        <w:t xml:space="preserve"> </w:t>
      </w:r>
      <w:r w:rsidRPr="00C6052E">
        <w:t>of</w:t>
      </w:r>
      <w:r w:rsidR="00177848" w:rsidRPr="00C6052E">
        <w:t xml:space="preserve"> </w:t>
      </w:r>
      <w:r w:rsidRPr="00C6052E">
        <w:t>the</w:t>
      </w:r>
      <w:r w:rsidR="00177848" w:rsidRPr="00C6052E">
        <w:t xml:space="preserve"> </w:t>
      </w:r>
      <w:r w:rsidRPr="00C6052E">
        <w:t>asset)</w:t>
      </w:r>
      <w:r w:rsidR="00177848" w:rsidRPr="00C6052E">
        <w:t xml:space="preserve"> </w:t>
      </w:r>
      <w:r w:rsidRPr="00C6052E">
        <w:t>and</w:t>
      </w:r>
      <w:r w:rsidR="00177848" w:rsidRPr="00C6052E">
        <w:t xml:space="preserve"> </w:t>
      </w:r>
      <w:r w:rsidRPr="00C6052E">
        <w:t>is</w:t>
      </w:r>
      <w:r w:rsidR="00177848" w:rsidRPr="00C6052E">
        <w:t xml:space="preserve"> </w:t>
      </w:r>
      <w:r w:rsidRPr="00C6052E">
        <w:t>summarised</w:t>
      </w:r>
      <w:r w:rsidR="00177848" w:rsidRPr="00C6052E">
        <w:t xml:space="preserve"> </w:t>
      </w:r>
      <w:r w:rsidRPr="00C6052E">
        <w:t>below</w:t>
      </w:r>
      <w:r w:rsidR="00177848" w:rsidRPr="00C6052E">
        <w:t xml:space="preserve"> </w:t>
      </w:r>
      <w:r w:rsidRPr="00C6052E">
        <w:t>by</w:t>
      </w:r>
      <w:r w:rsidR="00177848" w:rsidRPr="00C6052E">
        <w:t xml:space="preserve"> </w:t>
      </w:r>
      <w:r w:rsidRPr="00C6052E">
        <w:t>asset</w:t>
      </w:r>
      <w:r w:rsidR="00177848" w:rsidRPr="00C6052E">
        <w:t xml:space="preserve"> </w:t>
      </w:r>
      <w:r w:rsidRPr="00C6052E">
        <w:t>category.</w:t>
      </w:r>
    </w:p>
    <w:p w14:paraId="2A9A47EF" w14:textId="51D843C4" w:rsidR="00EE5BB8" w:rsidRPr="00C6052E" w:rsidRDefault="00EE5BB8" w:rsidP="00EE5BB8">
      <w:pPr>
        <w:rPr>
          <w:spacing w:val="-2"/>
        </w:rPr>
      </w:pPr>
      <w:r w:rsidRPr="00C6052E">
        <w:rPr>
          <w:rStyle w:val="Medium"/>
        </w:rPr>
        <w:t>Non-specialised</w:t>
      </w:r>
      <w:r w:rsidR="00177848" w:rsidRPr="00C6052E">
        <w:rPr>
          <w:rStyle w:val="Medium"/>
        </w:rPr>
        <w:t xml:space="preserve"> </w:t>
      </w:r>
      <w:r w:rsidRPr="00C6052E">
        <w:rPr>
          <w:rStyle w:val="Medium"/>
        </w:rPr>
        <w:t>land</w:t>
      </w:r>
      <w:r w:rsidR="00177848" w:rsidRPr="00C6052E">
        <w:rPr>
          <w:spacing w:val="-2"/>
        </w:rPr>
        <w:t xml:space="preserve"> </w:t>
      </w:r>
      <w:r w:rsidRPr="00C6052E">
        <w:rPr>
          <w:spacing w:val="-2"/>
        </w:rPr>
        <w:t>is</w:t>
      </w:r>
      <w:r w:rsidR="00177848" w:rsidRPr="00C6052E">
        <w:rPr>
          <w:spacing w:val="-2"/>
        </w:rPr>
        <w:t xml:space="preserve"> </w:t>
      </w:r>
      <w:r w:rsidRPr="00C6052E">
        <w:rPr>
          <w:spacing w:val="-2"/>
        </w:rPr>
        <w:t>held</w:t>
      </w:r>
      <w:r w:rsidR="00177848" w:rsidRPr="00C6052E">
        <w:rPr>
          <w:spacing w:val="-2"/>
        </w:rPr>
        <w:t xml:space="preserve"> </w:t>
      </w:r>
      <w:r w:rsidRPr="00C6052E">
        <w:rPr>
          <w:spacing w:val="-2"/>
        </w:rPr>
        <w:t>at</w:t>
      </w:r>
      <w:r w:rsidR="00177848" w:rsidRPr="00C6052E">
        <w:rPr>
          <w:spacing w:val="-2"/>
        </w:rPr>
        <w:t xml:space="preserve"> </w:t>
      </w:r>
      <w:r w:rsidRPr="00C6052E">
        <w:rPr>
          <w:spacing w:val="-2"/>
        </w:rPr>
        <w:t>fair</w:t>
      </w:r>
      <w:r w:rsidR="00177848" w:rsidRPr="00C6052E">
        <w:rPr>
          <w:spacing w:val="-2"/>
        </w:rPr>
        <w:t xml:space="preserve"> </w:t>
      </w:r>
      <w:r w:rsidRPr="00C6052E">
        <w:rPr>
          <w:spacing w:val="-2"/>
        </w:rPr>
        <w:t>value</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revalued</w:t>
      </w:r>
      <w:r w:rsidR="00177848" w:rsidRPr="00C6052E">
        <w:rPr>
          <w:spacing w:val="-2"/>
        </w:rPr>
        <w:t xml:space="preserve"> </w:t>
      </w:r>
      <w:r w:rsidRPr="00C6052E">
        <w:rPr>
          <w:spacing w:val="-2"/>
        </w:rPr>
        <w:t>based</w:t>
      </w:r>
      <w:r w:rsidR="00177848" w:rsidRPr="00C6052E">
        <w:rPr>
          <w:spacing w:val="-2"/>
        </w:rPr>
        <w:t xml:space="preserve"> </w:t>
      </w:r>
      <w:r w:rsidRPr="00C6052E">
        <w:rPr>
          <w:spacing w:val="-2"/>
        </w:rPr>
        <w:t>on</w:t>
      </w:r>
      <w:r w:rsidR="00177848" w:rsidRPr="00C6052E">
        <w:rPr>
          <w:spacing w:val="-2"/>
        </w:rPr>
        <w:t xml:space="preserve"> </w:t>
      </w:r>
      <w:r w:rsidRPr="00C6052E">
        <w:rPr>
          <w:spacing w:val="-2"/>
        </w:rPr>
        <w:t>market</w:t>
      </w:r>
      <w:r w:rsidR="00177848" w:rsidRPr="00C6052E">
        <w:rPr>
          <w:spacing w:val="-2"/>
        </w:rPr>
        <w:t xml:space="preserve"> </w:t>
      </w:r>
      <w:r w:rsidRPr="00C6052E">
        <w:rPr>
          <w:spacing w:val="-2"/>
        </w:rPr>
        <w:t>approach.</w:t>
      </w:r>
      <w:r w:rsidR="00177848" w:rsidRPr="00C6052E">
        <w:rPr>
          <w:spacing w:val="-2"/>
        </w:rPr>
        <w:t xml:space="preserve"> </w:t>
      </w:r>
      <w:r w:rsidRPr="00C6052E">
        <w:rPr>
          <w:spacing w:val="-2"/>
        </w:rPr>
        <w:t>Under</w:t>
      </w:r>
      <w:r w:rsidR="00177848" w:rsidRPr="00C6052E">
        <w:rPr>
          <w:spacing w:val="-2"/>
        </w:rPr>
        <w:t xml:space="preserve"> </w:t>
      </w:r>
      <w:r w:rsidRPr="00C6052E">
        <w:rPr>
          <w:spacing w:val="-2"/>
        </w:rPr>
        <w:t>this</w:t>
      </w:r>
      <w:r w:rsidR="00177848" w:rsidRPr="00C6052E">
        <w:rPr>
          <w:spacing w:val="-2"/>
        </w:rPr>
        <w:t xml:space="preserve"> </w:t>
      </w:r>
      <w:r w:rsidRPr="00C6052E">
        <w:rPr>
          <w:spacing w:val="-2"/>
        </w:rPr>
        <w:t>valuation</w:t>
      </w:r>
      <w:r w:rsidR="00177848" w:rsidRPr="00C6052E">
        <w:rPr>
          <w:spacing w:val="-2"/>
        </w:rPr>
        <w:t xml:space="preserve"> </w:t>
      </w:r>
      <w:r w:rsidRPr="00C6052E">
        <w:rPr>
          <w:spacing w:val="-2"/>
        </w:rPr>
        <w:t>method,</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assets</w:t>
      </w:r>
      <w:r w:rsidR="00177848" w:rsidRPr="00C6052E">
        <w:rPr>
          <w:spacing w:val="-2"/>
        </w:rPr>
        <w:t xml:space="preserve"> </w:t>
      </w:r>
      <w:r w:rsidRPr="00C6052E">
        <w:rPr>
          <w:spacing w:val="-2"/>
        </w:rPr>
        <w:t>are</w:t>
      </w:r>
      <w:r w:rsidR="00177848" w:rsidRPr="00C6052E">
        <w:rPr>
          <w:spacing w:val="-2"/>
        </w:rPr>
        <w:t xml:space="preserve"> </w:t>
      </w:r>
      <w:r w:rsidRPr="00C6052E">
        <w:rPr>
          <w:spacing w:val="-2"/>
        </w:rPr>
        <w:t>compared</w:t>
      </w:r>
      <w:r w:rsidR="00177848" w:rsidRPr="00C6052E">
        <w:rPr>
          <w:spacing w:val="-2"/>
        </w:rPr>
        <w:t xml:space="preserve"> </w:t>
      </w:r>
      <w:r w:rsidRPr="00C6052E">
        <w:rPr>
          <w:spacing w:val="-2"/>
        </w:rPr>
        <w:t>to</w:t>
      </w:r>
      <w:r w:rsidR="00177848" w:rsidRPr="00C6052E">
        <w:rPr>
          <w:spacing w:val="-2"/>
        </w:rPr>
        <w:t xml:space="preserve"> </w:t>
      </w:r>
      <w:r w:rsidRPr="00C6052E">
        <w:rPr>
          <w:spacing w:val="-2"/>
        </w:rPr>
        <w:t>recent</w:t>
      </w:r>
      <w:r w:rsidR="00177848" w:rsidRPr="00C6052E">
        <w:rPr>
          <w:spacing w:val="-2"/>
        </w:rPr>
        <w:t xml:space="preserve"> </w:t>
      </w:r>
      <w:r w:rsidRPr="00C6052E">
        <w:rPr>
          <w:spacing w:val="-2"/>
        </w:rPr>
        <w:t>comparable</w:t>
      </w:r>
      <w:r w:rsidR="00177848" w:rsidRPr="00C6052E">
        <w:rPr>
          <w:spacing w:val="-2"/>
        </w:rPr>
        <w:t xml:space="preserve"> </w:t>
      </w:r>
      <w:r w:rsidRPr="00C6052E">
        <w:rPr>
          <w:spacing w:val="-2"/>
        </w:rPr>
        <w:t>sales</w:t>
      </w:r>
      <w:r w:rsidR="00177848" w:rsidRPr="00C6052E">
        <w:rPr>
          <w:spacing w:val="-2"/>
        </w:rPr>
        <w:t xml:space="preserve"> </w:t>
      </w:r>
      <w:r w:rsidRPr="00C6052E">
        <w:rPr>
          <w:spacing w:val="-2"/>
        </w:rPr>
        <w:t>or</w:t>
      </w:r>
      <w:r w:rsidR="00177848" w:rsidRPr="00C6052E">
        <w:rPr>
          <w:spacing w:val="-2"/>
        </w:rPr>
        <w:t xml:space="preserve"> </w:t>
      </w:r>
      <w:r w:rsidRPr="00C6052E">
        <w:rPr>
          <w:spacing w:val="-2"/>
        </w:rPr>
        <w:t>sales</w:t>
      </w:r>
      <w:r w:rsidR="00177848" w:rsidRPr="00C6052E">
        <w:rPr>
          <w:spacing w:val="-2"/>
        </w:rPr>
        <w:t xml:space="preserve"> </w:t>
      </w:r>
      <w:r w:rsidRPr="00C6052E">
        <w:rPr>
          <w:spacing w:val="-2"/>
        </w:rPr>
        <w:t>of</w:t>
      </w:r>
      <w:r w:rsidR="00177848" w:rsidRPr="00C6052E">
        <w:rPr>
          <w:spacing w:val="-2"/>
        </w:rPr>
        <w:t xml:space="preserve"> </w:t>
      </w:r>
      <w:r w:rsidRPr="00C6052E">
        <w:rPr>
          <w:spacing w:val="-2"/>
        </w:rPr>
        <w:t>comparable</w:t>
      </w:r>
      <w:r w:rsidR="00177848" w:rsidRPr="00C6052E">
        <w:rPr>
          <w:spacing w:val="-2"/>
        </w:rPr>
        <w:t xml:space="preserve"> </w:t>
      </w:r>
      <w:r w:rsidRPr="00C6052E">
        <w:rPr>
          <w:spacing w:val="-2"/>
        </w:rPr>
        <w:t>assets</w:t>
      </w:r>
      <w:r w:rsidR="00177848" w:rsidRPr="00C6052E">
        <w:rPr>
          <w:spacing w:val="-2"/>
        </w:rPr>
        <w:t xml:space="preserve"> </w:t>
      </w:r>
      <w:r w:rsidRPr="00C6052E">
        <w:rPr>
          <w:spacing w:val="-2"/>
        </w:rPr>
        <w:t>which</w:t>
      </w:r>
      <w:r w:rsidR="00177848" w:rsidRPr="00C6052E">
        <w:rPr>
          <w:spacing w:val="-2"/>
        </w:rPr>
        <w:t xml:space="preserve"> </w:t>
      </w:r>
      <w:r w:rsidRPr="00C6052E">
        <w:rPr>
          <w:spacing w:val="-2"/>
        </w:rPr>
        <w:t>are</w:t>
      </w:r>
      <w:r w:rsidR="00177848" w:rsidRPr="00C6052E">
        <w:rPr>
          <w:spacing w:val="-2"/>
        </w:rPr>
        <w:t xml:space="preserve"> </w:t>
      </w:r>
      <w:r w:rsidRPr="00C6052E">
        <w:rPr>
          <w:spacing w:val="-2"/>
        </w:rPr>
        <w:t>considered</w:t>
      </w:r>
      <w:r w:rsidR="00177848" w:rsidRPr="00C6052E">
        <w:rPr>
          <w:spacing w:val="-2"/>
        </w:rPr>
        <w:t xml:space="preserve"> </w:t>
      </w:r>
      <w:r w:rsidRPr="00C6052E">
        <w:rPr>
          <w:spacing w:val="-2"/>
        </w:rPr>
        <w:t>to</w:t>
      </w:r>
      <w:r w:rsidR="00177848" w:rsidRPr="00C6052E">
        <w:rPr>
          <w:spacing w:val="-2"/>
        </w:rPr>
        <w:t xml:space="preserve"> </w:t>
      </w:r>
      <w:r w:rsidRPr="00C6052E">
        <w:rPr>
          <w:spacing w:val="-2"/>
        </w:rPr>
        <w:t>have</w:t>
      </w:r>
      <w:r w:rsidR="00177848" w:rsidRPr="00C6052E">
        <w:rPr>
          <w:spacing w:val="-2"/>
        </w:rPr>
        <w:t xml:space="preserve"> </w:t>
      </w:r>
      <w:r w:rsidRPr="00C6052E">
        <w:rPr>
          <w:spacing w:val="-2"/>
        </w:rPr>
        <w:t>nominal</w:t>
      </w:r>
      <w:r w:rsidR="00177848" w:rsidRPr="00C6052E">
        <w:rPr>
          <w:spacing w:val="-2"/>
        </w:rPr>
        <w:t xml:space="preserve"> </w:t>
      </w:r>
      <w:r w:rsidRPr="00C6052E">
        <w:rPr>
          <w:spacing w:val="-2"/>
        </w:rPr>
        <w:t>or</w:t>
      </w:r>
      <w:r w:rsidR="00177848" w:rsidRPr="00C6052E">
        <w:rPr>
          <w:spacing w:val="-2"/>
        </w:rPr>
        <w:t xml:space="preserve"> </w:t>
      </w:r>
      <w:r w:rsidRPr="00C6052E">
        <w:rPr>
          <w:spacing w:val="-2"/>
        </w:rPr>
        <w:t>no</w:t>
      </w:r>
      <w:r w:rsidR="00177848" w:rsidRPr="00C6052E">
        <w:rPr>
          <w:spacing w:val="-2"/>
        </w:rPr>
        <w:t xml:space="preserve"> </w:t>
      </w:r>
      <w:r w:rsidRPr="00C6052E">
        <w:rPr>
          <w:spacing w:val="-2"/>
        </w:rPr>
        <w:t>added</w:t>
      </w:r>
      <w:r w:rsidR="00177848" w:rsidRPr="00C6052E">
        <w:rPr>
          <w:spacing w:val="-2"/>
        </w:rPr>
        <w:t xml:space="preserve"> </w:t>
      </w:r>
      <w:r w:rsidRPr="00C6052E">
        <w:rPr>
          <w:spacing w:val="-2"/>
        </w:rPr>
        <w:t>improvement</w:t>
      </w:r>
      <w:r w:rsidR="00177848" w:rsidRPr="00C6052E">
        <w:rPr>
          <w:spacing w:val="-2"/>
        </w:rPr>
        <w:t xml:space="preserve"> </w:t>
      </w:r>
      <w:r w:rsidRPr="00C6052E">
        <w:rPr>
          <w:spacing w:val="-2"/>
        </w:rPr>
        <w:t>value.</w:t>
      </w:r>
    </w:p>
    <w:p w14:paraId="7BC670A4" w14:textId="26890A85" w:rsidR="00EE5BB8" w:rsidRPr="00C6052E" w:rsidRDefault="00EE5BB8" w:rsidP="00EE5BB8">
      <w:r w:rsidRPr="00C6052E">
        <w:rPr>
          <w:rStyle w:val="Medium"/>
        </w:rPr>
        <w:t>Specialised</w:t>
      </w:r>
      <w:r w:rsidR="00177848" w:rsidRPr="00C6052E">
        <w:rPr>
          <w:rStyle w:val="Medium"/>
        </w:rPr>
        <w:t xml:space="preserve"> </w:t>
      </w:r>
      <w:r w:rsidRPr="00C6052E">
        <w:rPr>
          <w:rStyle w:val="Medium"/>
        </w:rPr>
        <w:t>land</w:t>
      </w:r>
      <w:r w:rsidR="00177848" w:rsidRPr="00C6052E">
        <w:rPr>
          <w:rStyle w:val="Medium"/>
        </w:rPr>
        <w:t xml:space="preserve"> </w:t>
      </w:r>
      <w:r w:rsidRPr="00C6052E">
        <w:rPr>
          <w:rStyle w:val="Medium"/>
        </w:rPr>
        <w:t>and</w:t>
      </w:r>
      <w:r w:rsidR="00177848" w:rsidRPr="00C6052E">
        <w:rPr>
          <w:rStyle w:val="Medium"/>
        </w:rPr>
        <w:t xml:space="preserve"> </w:t>
      </w:r>
      <w:r w:rsidRPr="00C6052E">
        <w:rPr>
          <w:rStyle w:val="Medium"/>
        </w:rPr>
        <w:t>specialised</w:t>
      </w:r>
      <w:r w:rsidR="00177848" w:rsidRPr="00C6052E">
        <w:rPr>
          <w:rStyle w:val="Medium"/>
        </w:rPr>
        <w:t xml:space="preserve"> </w:t>
      </w:r>
      <w:r w:rsidRPr="00C6052E">
        <w:rPr>
          <w:rStyle w:val="Medium"/>
        </w:rPr>
        <w:t>buildings</w:t>
      </w:r>
      <w:r w:rsidRPr="00C6052E">
        <w:t>:</w:t>
      </w:r>
      <w:r w:rsidR="00177848" w:rsidRPr="00C6052E">
        <w:t xml:space="preserve"> </w:t>
      </w:r>
      <w:r w:rsidRPr="00C6052E">
        <w:t>The</w:t>
      </w:r>
      <w:r w:rsidR="00177848" w:rsidRPr="00C6052E">
        <w:t xml:space="preserve"> </w:t>
      </w:r>
      <w:r w:rsidRPr="00C6052E">
        <w:t>market</w:t>
      </w:r>
      <w:r w:rsidR="00177848" w:rsidRPr="00C6052E">
        <w:t xml:space="preserve"> </w:t>
      </w:r>
      <w:r w:rsidRPr="00C6052E">
        <w:t>approach</w:t>
      </w:r>
      <w:r w:rsidR="00177848" w:rsidRPr="00C6052E">
        <w:t xml:space="preserve"> </w:t>
      </w:r>
      <w:r w:rsidRPr="00C6052E">
        <w:t>is</w:t>
      </w:r>
      <w:r w:rsidR="00177848" w:rsidRPr="00C6052E">
        <w:t xml:space="preserve"> </w:t>
      </w:r>
      <w:r w:rsidRPr="00C6052E">
        <w:t>also</w:t>
      </w:r>
      <w:r w:rsidR="00177848" w:rsidRPr="00C6052E">
        <w:t xml:space="preserve"> </w:t>
      </w:r>
      <w:r w:rsidRPr="00C6052E">
        <w:t>used</w:t>
      </w:r>
      <w:r w:rsidR="00177848" w:rsidRPr="00C6052E">
        <w:t xml:space="preserve"> </w:t>
      </w:r>
      <w:r w:rsidRPr="00C6052E">
        <w:t>for</w:t>
      </w:r>
      <w:r w:rsidR="00177848" w:rsidRPr="00C6052E">
        <w:t xml:space="preserve"> </w:t>
      </w:r>
      <w:r w:rsidRPr="00C6052E">
        <w:t>specialised</w:t>
      </w:r>
      <w:r w:rsidR="00177848" w:rsidRPr="00C6052E">
        <w:t xml:space="preserve"> </w:t>
      </w:r>
      <w:r w:rsidRPr="00C6052E">
        <w:t>land,</w:t>
      </w:r>
      <w:r w:rsidR="00177848" w:rsidRPr="00C6052E">
        <w:t xml:space="preserve"> </w:t>
      </w:r>
      <w:r w:rsidRPr="00C6052E">
        <w:t>although</w:t>
      </w:r>
      <w:r w:rsidR="00177848" w:rsidRPr="00C6052E">
        <w:t xml:space="preserve"> </w:t>
      </w:r>
      <w:r w:rsidRPr="00C6052E">
        <w:t>is</w:t>
      </w:r>
      <w:r w:rsidR="00177848" w:rsidRPr="00C6052E">
        <w:t xml:space="preserve"> </w:t>
      </w:r>
      <w:r w:rsidRPr="00C6052E">
        <w:t>adjusted</w:t>
      </w:r>
      <w:r w:rsidR="00177848" w:rsidRPr="00C6052E">
        <w:t xml:space="preserve"> </w:t>
      </w:r>
      <w:r w:rsidRPr="00C6052E">
        <w:t>for</w:t>
      </w:r>
      <w:r w:rsidR="00177848" w:rsidRPr="00C6052E">
        <w:t xml:space="preserve"> </w:t>
      </w:r>
      <w:r w:rsidRPr="00C6052E">
        <w:t>the</w:t>
      </w:r>
      <w:r w:rsidR="00177848" w:rsidRPr="00C6052E">
        <w:t xml:space="preserve"> </w:t>
      </w:r>
      <w:r w:rsidRPr="00C6052E">
        <w:t>community</w:t>
      </w:r>
      <w:r w:rsidR="00177848" w:rsidRPr="00C6052E">
        <w:t xml:space="preserve"> </w:t>
      </w:r>
      <w:r w:rsidRPr="00C6052E">
        <w:t>service</w:t>
      </w:r>
      <w:r w:rsidR="00177848" w:rsidRPr="00C6052E">
        <w:t xml:space="preserve"> </w:t>
      </w:r>
      <w:r w:rsidRPr="00C6052E">
        <w:t>obligation</w:t>
      </w:r>
      <w:r w:rsidR="00177848" w:rsidRPr="00C6052E">
        <w:t xml:space="preserve"> </w:t>
      </w:r>
      <w:r w:rsidRPr="00C6052E">
        <w:t>(CSO)</w:t>
      </w:r>
      <w:r w:rsidR="00177848" w:rsidRPr="00C6052E">
        <w:t xml:space="preserve"> </w:t>
      </w:r>
      <w:r w:rsidRPr="00C6052E">
        <w:t>to</w:t>
      </w:r>
      <w:r w:rsidR="00177848" w:rsidRPr="00C6052E">
        <w:t xml:space="preserve"> </w:t>
      </w:r>
      <w:r w:rsidRPr="00C6052E">
        <w:t>reflect</w:t>
      </w:r>
      <w:r w:rsidR="00177848" w:rsidRPr="00C6052E">
        <w:t xml:space="preserve"> </w:t>
      </w:r>
      <w:r w:rsidRPr="00C6052E">
        <w:t>the</w:t>
      </w:r>
      <w:r w:rsidR="00177848" w:rsidRPr="00C6052E">
        <w:t xml:space="preserve"> </w:t>
      </w:r>
      <w:r w:rsidRPr="00C6052E">
        <w:t>specialised</w:t>
      </w:r>
      <w:r w:rsidR="00177848" w:rsidRPr="00C6052E">
        <w:t xml:space="preserve"> </w:t>
      </w:r>
      <w:r w:rsidRPr="00C6052E">
        <w:t>nature</w:t>
      </w:r>
      <w:r w:rsidR="00177848" w:rsidRPr="00C6052E">
        <w:t xml:space="preserve"> </w:t>
      </w:r>
      <w:r w:rsidRPr="00C6052E">
        <w:t>of</w:t>
      </w:r>
      <w:r w:rsidR="00177848" w:rsidRPr="00C6052E">
        <w:t xml:space="preserve"> </w:t>
      </w:r>
      <w:r w:rsidRPr="00C6052E">
        <w:t>the</w:t>
      </w:r>
      <w:r w:rsidR="00177848" w:rsidRPr="00C6052E">
        <w:t xml:space="preserve"> </w:t>
      </w:r>
      <w:r w:rsidRPr="00C6052E">
        <w:t>land</w:t>
      </w:r>
      <w:r w:rsidR="00177848" w:rsidRPr="00C6052E">
        <w:t xml:space="preserve"> </w:t>
      </w:r>
      <w:r w:rsidRPr="00C6052E">
        <w:t>being</w:t>
      </w:r>
      <w:r w:rsidR="00177848" w:rsidRPr="00C6052E">
        <w:t xml:space="preserve"> </w:t>
      </w:r>
      <w:r w:rsidRPr="00C6052E">
        <w:t>valued.</w:t>
      </w:r>
    </w:p>
    <w:p w14:paraId="06DC3519" w14:textId="2DFAD030" w:rsidR="00EE5BB8" w:rsidRPr="00C6052E" w:rsidRDefault="00EE5BB8" w:rsidP="00EE5BB8">
      <w:r w:rsidRPr="00C6052E">
        <w:t>The</w:t>
      </w:r>
      <w:r w:rsidR="00177848" w:rsidRPr="00C6052E">
        <w:t xml:space="preserve"> </w:t>
      </w:r>
      <w:r w:rsidRPr="00C6052E">
        <w:t>CSO</w:t>
      </w:r>
      <w:r w:rsidR="00177848" w:rsidRPr="00C6052E">
        <w:t xml:space="preserve"> </w:t>
      </w:r>
      <w:r w:rsidRPr="00C6052E">
        <w:t>adjustment</w:t>
      </w:r>
      <w:r w:rsidR="00177848" w:rsidRPr="00C6052E">
        <w:t xml:space="preserve"> </w:t>
      </w:r>
      <w:r w:rsidRPr="00C6052E">
        <w:t>is</w:t>
      </w:r>
      <w:r w:rsidR="00177848" w:rsidRPr="00C6052E">
        <w:t xml:space="preserve"> </w:t>
      </w:r>
      <w:r w:rsidRPr="00C6052E">
        <w:t>a</w:t>
      </w:r>
      <w:r w:rsidR="00177848" w:rsidRPr="00C6052E">
        <w:t xml:space="preserve"> </w:t>
      </w:r>
      <w:r w:rsidRPr="00C6052E">
        <w:t>reflection</w:t>
      </w:r>
      <w:r w:rsidR="00177848" w:rsidRPr="00C6052E">
        <w:t xml:space="preserve"> </w:t>
      </w:r>
      <w:r w:rsidRPr="00C6052E">
        <w:t>of</w:t>
      </w:r>
      <w:r w:rsidR="00177848" w:rsidRPr="00C6052E">
        <w:t xml:space="preserve"> </w:t>
      </w:r>
      <w:r w:rsidRPr="00C6052E">
        <w:t>the</w:t>
      </w:r>
      <w:r w:rsidR="00177848" w:rsidRPr="00C6052E">
        <w:t xml:space="preserve"> </w:t>
      </w:r>
      <w:r w:rsidRPr="00C6052E">
        <w:t>valuer’s</w:t>
      </w:r>
      <w:r w:rsidR="00177848" w:rsidRPr="00C6052E">
        <w:t xml:space="preserve"> </w:t>
      </w:r>
      <w:r w:rsidRPr="00C6052E">
        <w:t>assessment</w:t>
      </w:r>
      <w:r w:rsidR="00177848" w:rsidRPr="00C6052E">
        <w:t xml:space="preserve"> </w:t>
      </w:r>
      <w:r w:rsidRPr="00C6052E">
        <w:t>of</w:t>
      </w:r>
      <w:r w:rsidR="00177848" w:rsidRPr="00C6052E">
        <w:t xml:space="preserve"> </w:t>
      </w:r>
      <w:r w:rsidRPr="00C6052E">
        <w:t>the</w:t>
      </w:r>
      <w:r w:rsidR="00177848" w:rsidRPr="00C6052E">
        <w:t xml:space="preserve"> </w:t>
      </w:r>
      <w:r w:rsidRPr="00C6052E">
        <w:t>impact</w:t>
      </w:r>
      <w:r w:rsidR="00177848" w:rsidRPr="00C6052E">
        <w:t xml:space="preserve"> </w:t>
      </w:r>
      <w:r w:rsidRPr="00C6052E">
        <w:t>of</w:t>
      </w:r>
      <w:r w:rsidR="00177848" w:rsidRPr="00C6052E">
        <w:t xml:space="preserve"> </w:t>
      </w:r>
      <w:r w:rsidRPr="00C6052E">
        <w:t>restrictions</w:t>
      </w:r>
      <w:r w:rsidR="00177848" w:rsidRPr="00C6052E">
        <w:t xml:space="preserve"> </w:t>
      </w:r>
      <w:r w:rsidRPr="00C6052E">
        <w:t>associated</w:t>
      </w:r>
      <w:r w:rsidR="00177848" w:rsidRPr="00C6052E">
        <w:t xml:space="preserve"> </w:t>
      </w:r>
      <w:r w:rsidRPr="00C6052E">
        <w:t>with</w:t>
      </w:r>
      <w:r w:rsidR="00177848" w:rsidRPr="00C6052E">
        <w:t xml:space="preserve"> </w:t>
      </w:r>
      <w:r w:rsidRPr="00C6052E">
        <w:t>an</w:t>
      </w:r>
      <w:r w:rsidR="00177848" w:rsidRPr="00C6052E">
        <w:t xml:space="preserve"> </w:t>
      </w:r>
      <w:r w:rsidRPr="00C6052E">
        <w:t>asset</w:t>
      </w:r>
      <w:r w:rsidR="00177848" w:rsidRPr="00C6052E">
        <w:t xml:space="preserve"> </w:t>
      </w:r>
      <w:r w:rsidRPr="00C6052E">
        <w:t>to</w:t>
      </w:r>
      <w:r w:rsidR="00177848" w:rsidRPr="00C6052E">
        <w:t xml:space="preserve"> </w:t>
      </w:r>
      <w:r w:rsidRPr="00C6052E">
        <w:t>the</w:t>
      </w:r>
      <w:r w:rsidR="00177848" w:rsidRPr="00C6052E">
        <w:t xml:space="preserve"> </w:t>
      </w:r>
      <w:r w:rsidRPr="00C6052E">
        <w:t>extent</w:t>
      </w:r>
      <w:r w:rsidR="00177848" w:rsidRPr="00C6052E">
        <w:t xml:space="preserve"> </w:t>
      </w:r>
      <w:r w:rsidRPr="00C6052E">
        <w:t>that</w:t>
      </w:r>
      <w:r w:rsidR="00177848" w:rsidRPr="00C6052E">
        <w:t xml:space="preserve"> </w:t>
      </w:r>
      <w:r w:rsidRPr="00C6052E">
        <w:t>is</w:t>
      </w:r>
      <w:r w:rsidR="00177848" w:rsidRPr="00C6052E">
        <w:t xml:space="preserve"> </w:t>
      </w:r>
      <w:r w:rsidRPr="00C6052E">
        <w:t>also</w:t>
      </w:r>
      <w:r w:rsidR="00177848" w:rsidRPr="00C6052E">
        <w:t xml:space="preserve"> </w:t>
      </w:r>
      <w:r w:rsidRPr="00C6052E">
        <w:t>equally</w:t>
      </w:r>
      <w:r w:rsidR="00177848" w:rsidRPr="00C6052E">
        <w:t xml:space="preserve"> </w:t>
      </w:r>
      <w:r w:rsidRPr="00C6052E">
        <w:t>applicable</w:t>
      </w:r>
      <w:r w:rsidR="00177848" w:rsidRPr="00C6052E">
        <w:t xml:space="preserve"> </w:t>
      </w:r>
      <w:r w:rsidRPr="00C6052E">
        <w:t>to</w:t>
      </w:r>
      <w:r w:rsidR="00177848" w:rsidRPr="00C6052E">
        <w:t xml:space="preserve"> </w:t>
      </w:r>
      <w:r w:rsidRPr="00C6052E">
        <w:t>market</w:t>
      </w:r>
      <w:r w:rsidR="00177848" w:rsidRPr="00C6052E">
        <w:t xml:space="preserve"> </w:t>
      </w:r>
      <w:r w:rsidRPr="00C6052E">
        <w:t>participants.</w:t>
      </w:r>
    </w:p>
    <w:p w14:paraId="48EDBAC0" w14:textId="110D9750" w:rsidR="00EE5BB8" w:rsidRPr="00C6052E" w:rsidRDefault="00EE5BB8" w:rsidP="00EE5BB8">
      <w:r w:rsidRPr="00C6052E">
        <w:lastRenderedPageBreak/>
        <w:t>For</w:t>
      </w:r>
      <w:r w:rsidR="00177848" w:rsidRPr="00C6052E">
        <w:t xml:space="preserve"> </w:t>
      </w:r>
      <w:r w:rsidRPr="00C6052E">
        <w:t>DJSIR’s</w:t>
      </w:r>
      <w:r w:rsidR="00177848" w:rsidRPr="00C6052E">
        <w:t xml:space="preserve"> </w:t>
      </w:r>
      <w:r w:rsidRPr="00C6052E">
        <w:t>specialised</w:t>
      </w:r>
      <w:r w:rsidR="00177848" w:rsidRPr="00C6052E">
        <w:t xml:space="preserve"> </w:t>
      </w:r>
      <w:r w:rsidRPr="00C6052E">
        <w:t>buildings,</w:t>
      </w:r>
      <w:r w:rsidR="00177848" w:rsidRPr="00C6052E">
        <w:t xml:space="preserve"> </w:t>
      </w:r>
      <w:r w:rsidRPr="00C6052E">
        <w:t>the</w:t>
      </w:r>
      <w:r w:rsidR="00177848" w:rsidRPr="00C6052E">
        <w:t xml:space="preserve"> </w:t>
      </w:r>
      <w:r w:rsidRPr="00C6052E">
        <w:t>current</w:t>
      </w:r>
      <w:r w:rsidR="00177848" w:rsidRPr="00C6052E">
        <w:t xml:space="preserve"> </w:t>
      </w:r>
      <w:r w:rsidRPr="00C6052E">
        <w:t>replacement</w:t>
      </w:r>
      <w:r w:rsidR="00177848" w:rsidRPr="00C6052E">
        <w:t xml:space="preserve"> </w:t>
      </w:r>
      <w:r w:rsidRPr="00C6052E">
        <w:t>cost</w:t>
      </w:r>
      <w:r w:rsidR="00177848" w:rsidRPr="00C6052E">
        <w:t xml:space="preserve"> </w:t>
      </w:r>
      <w:r w:rsidRPr="00C6052E">
        <w:t>method</w:t>
      </w:r>
      <w:r w:rsidR="00177848" w:rsidRPr="00C6052E">
        <w:t xml:space="preserve"> </w:t>
      </w:r>
      <w:r w:rsidRPr="00C6052E">
        <w:t>is</w:t>
      </w:r>
      <w:r w:rsidR="00177848" w:rsidRPr="00C6052E">
        <w:t xml:space="preserve"> </w:t>
      </w:r>
      <w:r w:rsidRPr="00C6052E">
        <w:t>used,</w:t>
      </w:r>
      <w:r w:rsidR="00177848" w:rsidRPr="00C6052E">
        <w:t xml:space="preserve"> </w:t>
      </w:r>
      <w:r w:rsidRPr="00C6052E">
        <w:t>adjusting</w:t>
      </w:r>
      <w:r w:rsidR="00177848" w:rsidRPr="00C6052E">
        <w:t xml:space="preserve"> </w:t>
      </w:r>
      <w:r w:rsidRPr="00C6052E">
        <w:t>for</w:t>
      </w:r>
      <w:r w:rsidR="00177848" w:rsidRPr="00C6052E">
        <w:t xml:space="preserve"> </w:t>
      </w:r>
      <w:r w:rsidRPr="00C6052E">
        <w:t>the</w:t>
      </w:r>
      <w:r w:rsidR="00177848" w:rsidRPr="00C6052E">
        <w:t xml:space="preserve"> </w:t>
      </w:r>
      <w:r w:rsidRPr="00C6052E">
        <w:t>associated</w:t>
      </w:r>
      <w:r w:rsidR="00177848" w:rsidRPr="00C6052E">
        <w:t xml:space="preserve"> </w:t>
      </w:r>
      <w:r w:rsidRPr="00C6052E">
        <w:t>depreciation.</w:t>
      </w:r>
      <w:r w:rsidR="00177848" w:rsidRPr="00C6052E">
        <w:t xml:space="preserve"> </w:t>
      </w:r>
    </w:p>
    <w:p w14:paraId="63223A34" w14:textId="7E06AAE3" w:rsidR="00EE5BB8" w:rsidRPr="00C6052E" w:rsidRDefault="00EE5BB8" w:rsidP="00EE5BB8">
      <w:r w:rsidRPr="00C6052E">
        <w:rPr>
          <w:rStyle w:val="Medium"/>
        </w:rPr>
        <w:t>Motor</w:t>
      </w:r>
      <w:r w:rsidR="00177848" w:rsidRPr="00C6052E">
        <w:rPr>
          <w:rStyle w:val="Medium"/>
        </w:rPr>
        <w:t xml:space="preserve"> </w:t>
      </w:r>
      <w:r w:rsidRPr="00C6052E">
        <w:rPr>
          <w:rStyle w:val="Medium"/>
        </w:rPr>
        <w:t>Vehicles</w:t>
      </w:r>
      <w:r w:rsidR="00177848" w:rsidRPr="00C6052E">
        <w:rPr>
          <w:spacing w:val="-2"/>
        </w:rPr>
        <w:t xml:space="preserve"> </w:t>
      </w:r>
      <w:r w:rsidRPr="00C6052E">
        <w:rPr>
          <w:spacing w:val="-2"/>
        </w:rPr>
        <w:t>are</w:t>
      </w:r>
      <w:r w:rsidR="00177848" w:rsidRPr="00C6052E">
        <w:rPr>
          <w:spacing w:val="-2"/>
        </w:rPr>
        <w:t xml:space="preserve"> </w:t>
      </w:r>
      <w:r w:rsidRPr="00C6052E">
        <w:rPr>
          <w:spacing w:val="-2"/>
        </w:rPr>
        <w:t>valued</w:t>
      </w:r>
      <w:r w:rsidR="00177848" w:rsidRPr="00C6052E">
        <w:rPr>
          <w:spacing w:val="-2"/>
        </w:rPr>
        <w:t xml:space="preserve"> </w:t>
      </w:r>
      <w:r w:rsidRPr="00C6052E">
        <w:rPr>
          <w:spacing w:val="-2"/>
        </w:rPr>
        <w:t>using</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current</w:t>
      </w:r>
      <w:r w:rsidR="00177848" w:rsidRPr="00C6052E">
        <w:rPr>
          <w:spacing w:val="-2"/>
        </w:rPr>
        <w:t xml:space="preserve"> </w:t>
      </w:r>
      <w:r w:rsidRPr="00C6052E">
        <w:rPr>
          <w:spacing w:val="-2"/>
        </w:rPr>
        <w:t>replacement</w:t>
      </w:r>
      <w:r w:rsidR="00177848" w:rsidRPr="00C6052E">
        <w:t xml:space="preserve"> </w:t>
      </w:r>
      <w:r w:rsidRPr="00C6052E">
        <w:t>cost</w:t>
      </w:r>
      <w:r w:rsidR="00177848" w:rsidRPr="00C6052E">
        <w:t xml:space="preserve"> </w:t>
      </w:r>
      <w:r w:rsidRPr="00C6052E">
        <w:t>method.</w:t>
      </w:r>
      <w:r w:rsidR="00177848" w:rsidRPr="00C6052E">
        <w:t xml:space="preserve"> </w:t>
      </w:r>
      <w:r w:rsidRPr="00C6052E">
        <w:t>DJSIR</w:t>
      </w:r>
      <w:r w:rsidR="00177848" w:rsidRPr="00C6052E">
        <w:t xml:space="preserve"> </w:t>
      </w:r>
      <w:r w:rsidRPr="00C6052E">
        <w:t>acquires</w:t>
      </w:r>
      <w:r w:rsidR="00177848" w:rsidRPr="00C6052E">
        <w:t xml:space="preserve"> </w:t>
      </w:r>
      <w:r w:rsidRPr="00C6052E">
        <w:t>new</w:t>
      </w:r>
      <w:r w:rsidR="00177848" w:rsidRPr="00C6052E">
        <w:t xml:space="preserve"> </w:t>
      </w:r>
      <w:r w:rsidRPr="00C6052E">
        <w:t>motor</w:t>
      </w:r>
      <w:r w:rsidR="00177848" w:rsidRPr="00C6052E">
        <w:t xml:space="preserve"> </w:t>
      </w:r>
      <w:r w:rsidRPr="00C6052E">
        <w:t>vehicles</w:t>
      </w:r>
      <w:r w:rsidR="00177848" w:rsidRPr="00C6052E">
        <w:t xml:space="preserve"> </w:t>
      </w:r>
      <w:r w:rsidRPr="00C6052E">
        <w:t>and</w:t>
      </w:r>
      <w:r w:rsidR="00177848" w:rsidRPr="00C6052E">
        <w:t xml:space="preserve"> </w:t>
      </w:r>
      <w:r w:rsidRPr="00C6052E">
        <w:t>at</w:t>
      </w:r>
      <w:r w:rsidR="00177848" w:rsidRPr="00C6052E">
        <w:t xml:space="preserve"> </w:t>
      </w:r>
      <w:r w:rsidRPr="00C6052E">
        <w:t>times</w:t>
      </w:r>
      <w:r w:rsidR="00177848" w:rsidRPr="00C6052E">
        <w:t xml:space="preserve"> </w:t>
      </w:r>
      <w:r w:rsidRPr="00C6052E">
        <w:t>disposes</w:t>
      </w:r>
      <w:r w:rsidR="00177848" w:rsidRPr="00C6052E">
        <w:t xml:space="preserve"> </w:t>
      </w:r>
      <w:r w:rsidRPr="00C6052E">
        <w:t>of</w:t>
      </w:r>
      <w:r w:rsidR="00177848" w:rsidRPr="00C6052E">
        <w:t xml:space="preserve"> </w:t>
      </w:r>
      <w:r w:rsidRPr="00C6052E">
        <w:t>them</w:t>
      </w:r>
      <w:r w:rsidR="00177848" w:rsidRPr="00C6052E">
        <w:t xml:space="preserve"> </w:t>
      </w:r>
      <w:r w:rsidRPr="00C6052E">
        <w:t>before</w:t>
      </w:r>
      <w:r w:rsidR="00177848" w:rsidRPr="00C6052E">
        <w:t xml:space="preserve"> </w:t>
      </w:r>
      <w:r w:rsidRPr="00C6052E">
        <w:t>the</w:t>
      </w:r>
      <w:r w:rsidR="00177848" w:rsidRPr="00C6052E">
        <w:t xml:space="preserve"> </w:t>
      </w:r>
      <w:r w:rsidRPr="00C6052E">
        <w:t>end</w:t>
      </w:r>
      <w:r w:rsidR="00177848" w:rsidRPr="00C6052E">
        <w:t xml:space="preserve"> </w:t>
      </w:r>
      <w:r w:rsidRPr="00C6052E">
        <w:t>of</w:t>
      </w:r>
      <w:r w:rsidR="00177848" w:rsidRPr="00C6052E">
        <w:t xml:space="preserve"> </w:t>
      </w:r>
      <w:r w:rsidRPr="00C6052E">
        <w:t>their</w:t>
      </w:r>
      <w:r w:rsidR="00177848" w:rsidRPr="00C6052E">
        <w:t xml:space="preserve"> </w:t>
      </w:r>
      <w:r w:rsidRPr="00C6052E">
        <w:t>economic</w:t>
      </w:r>
      <w:r w:rsidR="00177848" w:rsidRPr="00C6052E">
        <w:t xml:space="preserve"> </w:t>
      </w:r>
      <w:r w:rsidRPr="00C6052E">
        <w:t>life.</w:t>
      </w:r>
      <w:r w:rsidR="00177848" w:rsidRPr="00C6052E">
        <w:t xml:space="preserve"> </w:t>
      </w:r>
      <w:r w:rsidRPr="00C6052E">
        <w:t>The</w:t>
      </w:r>
      <w:r w:rsidR="00177848" w:rsidRPr="00C6052E">
        <w:t xml:space="preserve"> </w:t>
      </w:r>
      <w:r w:rsidRPr="00C6052E">
        <w:t>process</w:t>
      </w:r>
      <w:r w:rsidR="00177848" w:rsidRPr="00C6052E">
        <w:t xml:space="preserve"> </w:t>
      </w:r>
      <w:r w:rsidRPr="00C6052E">
        <w:t>of</w:t>
      </w:r>
      <w:r w:rsidR="00177848" w:rsidRPr="00C6052E">
        <w:t xml:space="preserve"> </w:t>
      </w:r>
      <w:r w:rsidRPr="00C6052E">
        <w:t>acquisition,</w:t>
      </w:r>
      <w:r w:rsidR="00177848" w:rsidRPr="00C6052E">
        <w:t xml:space="preserve"> </w:t>
      </w:r>
      <w:r w:rsidRPr="00C6052E">
        <w:t>use</w:t>
      </w:r>
      <w:r w:rsidR="00177848" w:rsidRPr="00C6052E">
        <w:t xml:space="preserve"> </w:t>
      </w:r>
      <w:r w:rsidRPr="00C6052E">
        <w:t>and</w:t>
      </w:r>
      <w:r w:rsidR="00177848" w:rsidRPr="00C6052E">
        <w:t xml:space="preserve"> </w:t>
      </w:r>
      <w:r w:rsidRPr="00C6052E">
        <w:t>disposal</w:t>
      </w:r>
      <w:r w:rsidR="00177848" w:rsidRPr="00C6052E">
        <w:t xml:space="preserve"> </w:t>
      </w:r>
      <w:r w:rsidRPr="00C6052E">
        <w:t>in</w:t>
      </w:r>
      <w:r w:rsidR="00177848" w:rsidRPr="00C6052E">
        <w:t xml:space="preserve"> </w:t>
      </w:r>
      <w:r w:rsidRPr="00C6052E">
        <w:t>the</w:t>
      </w:r>
      <w:r w:rsidR="00177848" w:rsidRPr="00C6052E">
        <w:t xml:space="preserve"> </w:t>
      </w:r>
      <w:r w:rsidRPr="00C6052E">
        <w:t>market</w:t>
      </w:r>
      <w:r w:rsidR="00177848" w:rsidRPr="00C6052E">
        <w:t xml:space="preserve"> </w:t>
      </w:r>
      <w:r w:rsidRPr="00C6052E">
        <w:t>is</w:t>
      </w:r>
      <w:r w:rsidR="00177848" w:rsidRPr="00C6052E">
        <w:t xml:space="preserve"> </w:t>
      </w:r>
      <w:r w:rsidRPr="00C6052E">
        <w:t>managed</w:t>
      </w:r>
      <w:r w:rsidR="00177848" w:rsidRPr="00C6052E">
        <w:t xml:space="preserve"> </w:t>
      </w:r>
      <w:r w:rsidRPr="00C6052E">
        <w:t>by</w:t>
      </w:r>
      <w:r w:rsidR="00177848" w:rsidRPr="00C6052E">
        <w:t xml:space="preserve"> </w:t>
      </w:r>
      <w:r w:rsidRPr="00C6052E">
        <w:t>experienced</w:t>
      </w:r>
      <w:r w:rsidR="00177848" w:rsidRPr="00C6052E">
        <w:t xml:space="preserve"> </w:t>
      </w:r>
      <w:r w:rsidRPr="00C6052E">
        <w:t>fleet</w:t>
      </w:r>
      <w:r w:rsidR="00177848" w:rsidRPr="00C6052E">
        <w:t xml:space="preserve"> </w:t>
      </w:r>
      <w:r w:rsidRPr="00C6052E">
        <w:t>managers</w:t>
      </w:r>
      <w:r w:rsidR="00177848" w:rsidRPr="00C6052E">
        <w:t xml:space="preserve"> </w:t>
      </w:r>
      <w:r w:rsidRPr="00C6052E">
        <w:t>in</w:t>
      </w:r>
      <w:r w:rsidR="00177848" w:rsidRPr="00C6052E">
        <w:t xml:space="preserve"> </w:t>
      </w:r>
      <w:r w:rsidRPr="00C6052E">
        <w:t>DJSIR</w:t>
      </w:r>
      <w:r w:rsidR="00177848" w:rsidRPr="00C6052E">
        <w:t xml:space="preserve"> </w:t>
      </w:r>
      <w:r w:rsidRPr="00C6052E">
        <w:t>who</w:t>
      </w:r>
      <w:r w:rsidR="00177848" w:rsidRPr="00C6052E">
        <w:t xml:space="preserve"> </w:t>
      </w:r>
      <w:r w:rsidRPr="00C6052E">
        <w:t>set</w:t>
      </w:r>
      <w:r w:rsidR="00177848" w:rsidRPr="00C6052E">
        <w:t xml:space="preserve"> </w:t>
      </w:r>
      <w:r w:rsidRPr="00C6052E">
        <w:t>relevant</w:t>
      </w:r>
      <w:r w:rsidR="00177848" w:rsidRPr="00C6052E">
        <w:t xml:space="preserve"> </w:t>
      </w:r>
      <w:r w:rsidRPr="00C6052E">
        <w:t>depreciation</w:t>
      </w:r>
      <w:r w:rsidR="00177848" w:rsidRPr="00C6052E">
        <w:t xml:space="preserve"> </w:t>
      </w:r>
      <w:r w:rsidRPr="00C6052E">
        <w:t>rates</w:t>
      </w:r>
      <w:r w:rsidR="00177848" w:rsidRPr="00C6052E">
        <w:t xml:space="preserve"> </w:t>
      </w:r>
      <w:r w:rsidRPr="00C6052E">
        <w:t>during</w:t>
      </w:r>
      <w:r w:rsidR="00177848" w:rsidRPr="00C6052E">
        <w:t xml:space="preserve"> </w:t>
      </w:r>
      <w:r w:rsidRPr="00C6052E">
        <w:t>use</w:t>
      </w:r>
      <w:r w:rsidR="00177848" w:rsidRPr="00C6052E">
        <w:t xml:space="preserve"> </w:t>
      </w:r>
      <w:r w:rsidRPr="00C6052E">
        <w:t>to</w:t>
      </w:r>
      <w:r w:rsidR="00177848" w:rsidRPr="00C6052E">
        <w:t xml:space="preserve"> </w:t>
      </w:r>
      <w:r w:rsidRPr="00C6052E">
        <w:t>reflect</w:t>
      </w:r>
      <w:r w:rsidR="00177848" w:rsidRPr="00C6052E">
        <w:t xml:space="preserve"> </w:t>
      </w:r>
      <w:r w:rsidRPr="00C6052E">
        <w:t>the</w:t>
      </w:r>
      <w:r w:rsidR="00177848" w:rsidRPr="00C6052E">
        <w:t xml:space="preserve"> </w:t>
      </w:r>
      <w:r w:rsidRPr="00C6052E">
        <w:t>utilisation</w:t>
      </w:r>
      <w:r w:rsidR="00177848" w:rsidRPr="00C6052E">
        <w:t xml:space="preserve"> </w:t>
      </w:r>
      <w:r w:rsidRPr="00C6052E">
        <w:t>of</w:t>
      </w:r>
      <w:r w:rsidR="00177848" w:rsidRPr="00C6052E">
        <w:t xml:space="preserve"> </w:t>
      </w:r>
      <w:r w:rsidRPr="00C6052E">
        <w:t>the</w:t>
      </w:r>
      <w:r w:rsidR="00177848" w:rsidRPr="00C6052E">
        <w:t xml:space="preserve"> </w:t>
      </w:r>
      <w:r w:rsidRPr="00C6052E">
        <w:t>motor</w:t>
      </w:r>
      <w:r w:rsidR="00177848" w:rsidRPr="00C6052E">
        <w:t xml:space="preserve"> </w:t>
      </w:r>
      <w:r w:rsidRPr="00C6052E">
        <w:t>vehicles.</w:t>
      </w:r>
    </w:p>
    <w:p w14:paraId="331FD0A8" w14:textId="40414AFC" w:rsidR="00EE5BB8" w:rsidRPr="00C6052E" w:rsidRDefault="00EE5BB8" w:rsidP="00EE5BB8">
      <w:r w:rsidRPr="00C6052E">
        <w:t>Fair</w:t>
      </w:r>
      <w:r w:rsidR="00177848" w:rsidRPr="00C6052E">
        <w:t xml:space="preserve"> </w:t>
      </w:r>
      <w:r w:rsidRPr="00C6052E">
        <w:t>value</w:t>
      </w:r>
      <w:r w:rsidR="00177848" w:rsidRPr="00C6052E">
        <w:t xml:space="preserve"> </w:t>
      </w:r>
      <w:r w:rsidRPr="00C6052E">
        <w:t>for</w:t>
      </w:r>
      <w:r w:rsidR="00177848" w:rsidRPr="00C6052E">
        <w:t xml:space="preserve"> </w:t>
      </w:r>
      <w:r w:rsidRPr="00C6052E">
        <w:rPr>
          <w:rStyle w:val="Medium"/>
        </w:rPr>
        <w:t>plant</w:t>
      </w:r>
      <w:r w:rsidR="00177848" w:rsidRPr="00C6052E">
        <w:rPr>
          <w:rStyle w:val="Medium"/>
        </w:rPr>
        <w:t xml:space="preserve"> </w:t>
      </w:r>
      <w:r w:rsidRPr="00C6052E">
        <w:rPr>
          <w:rStyle w:val="Medium"/>
        </w:rPr>
        <w:t>and</w:t>
      </w:r>
      <w:r w:rsidR="00177848" w:rsidRPr="00C6052E">
        <w:rPr>
          <w:rStyle w:val="Medium"/>
        </w:rPr>
        <w:t xml:space="preserve"> </w:t>
      </w:r>
      <w:r w:rsidRPr="00C6052E">
        <w:rPr>
          <w:rStyle w:val="Medium"/>
        </w:rPr>
        <w:t>equipment</w:t>
      </w:r>
      <w:r w:rsidR="00177848" w:rsidRPr="00C6052E">
        <w:t xml:space="preserve"> </w:t>
      </w:r>
      <w:r w:rsidRPr="00C6052E">
        <w:t>that</w:t>
      </w:r>
      <w:r w:rsidR="00177848" w:rsidRPr="00C6052E">
        <w:t xml:space="preserve"> </w:t>
      </w:r>
      <w:r w:rsidRPr="00C6052E">
        <w:t>are</w:t>
      </w:r>
      <w:r w:rsidR="00177848" w:rsidRPr="00C6052E">
        <w:t xml:space="preserve"> </w:t>
      </w:r>
      <w:r w:rsidRPr="00C6052E">
        <w:t>specialised</w:t>
      </w:r>
      <w:r w:rsidR="00177848" w:rsidRPr="00C6052E">
        <w:t xml:space="preserve"> </w:t>
      </w:r>
      <w:r w:rsidRPr="00C6052E">
        <w:t>in</w:t>
      </w:r>
      <w:r w:rsidR="00177848" w:rsidRPr="00C6052E">
        <w:t xml:space="preserve"> </w:t>
      </w:r>
      <w:r w:rsidRPr="00C6052E">
        <w:t>use</w:t>
      </w:r>
      <w:r w:rsidR="00177848" w:rsidRPr="00C6052E">
        <w:t xml:space="preserve"> </w:t>
      </w:r>
      <w:r w:rsidRPr="00C6052E">
        <w:t>(such</w:t>
      </w:r>
      <w:r w:rsidR="00177848" w:rsidRPr="00C6052E">
        <w:t xml:space="preserve"> </w:t>
      </w:r>
      <w:r w:rsidRPr="00C6052E">
        <w:t>that</w:t>
      </w:r>
      <w:r w:rsidR="00177848" w:rsidRPr="00C6052E">
        <w:t xml:space="preserve"> </w:t>
      </w:r>
      <w:r w:rsidRPr="00C6052E">
        <w:t>it</w:t>
      </w:r>
      <w:r w:rsidR="00177848" w:rsidRPr="00C6052E">
        <w:t xml:space="preserve"> </w:t>
      </w:r>
      <w:r w:rsidRPr="00C6052E">
        <w:t>is</w:t>
      </w:r>
      <w:r w:rsidR="00177848" w:rsidRPr="00C6052E">
        <w:t xml:space="preserve"> </w:t>
      </w:r>
      <w:r w:rsidRPr="00C6052E">
        <w:t>rarely</w:t>
      </w:r>
      <w:r w:rsidR="00177848" w:rsidRPr="00C6052E">
        <w:t xml:space="preserve"> </w:t>
      </w:r>
      <w:r w:rsidRPr="00C6052E">
        <w:t>sold</w:t>
      </w:r>
      <w:r w:rsidR="00177848" w:rsidRPr="00C6052E">
        <w:t xml:space="preserve"> </w:t>
      </w:r>
      <w:r w:rsidRPr="00C6052E">
        <w:t>other</w:t>
      </w:r>
      <w:r w:rsidR="00177848" w:rsidRPr="00C6052E">
        <w:t xml:space="preserve"> </w:t>
      </w:r>
      <w:r w:rsidRPr="00C6052E">
        <w:t>than</w:t>
      </w:r>
      <w:r w:rsidR="00177848" w:rsidRPr="00C6052E">
        <w:t xml:space="preserve"> </w:t>
      </w:r>
      <w:r w:rsidRPr="00C6052E">
        <w:t>as</w:t>
      </w:r>
      <w:r w:rsidR="00177848" w:rsidRPr="00C6052E">
        <w:t xml:space="preserve"> </w:t>
      </w:r>
      <w:r w:rsidRPr="00C6052E">
        <w:t>part</w:t>
      </w:r>
      <w:r w:rsidR="00177848" w:rsidRPr="00C6052E">
        <w:t xml:space="preserve"> </w:t>
      </w:r>
      <w:r w:rsidRPr="00C6052E">
        <w:t>of</w:t>
      </w:r>
      <w:r w:rsidR="00177848" w:rsidRPr="00C6052E">
        <w:t xml:space="preserve"> </w:t>
      </w:r>
      <w:r w:rsidRPr="00C6052E">
        <w:t>a</w:t>
      </w:r>
      <w:r w:rsidR="00177848" w:rsidRPr="00C6052E">
        <w:t xml:space="preserve"> </w:t>
      </w:r>
      <w:r w:rsidRPr="00C6052E">
        <w:t>going</w:t>
      </w:r>
      <w:r w:rsidR="00177848" w:rsidRPr="00C6052E">
        <w:t xml:space="preserve"> </w:t>
      </w:r>
      <w:r w:rsidRPr="00C6052E">
        <w:t>concern)</w:t>
      </w:r>
      <w:r w:rsidR="00177848" w:rsidRPr="00C6052E">
        <w:t xml:space="preserve"> </w:t>
      </w:r>
      <w:r w:rsidRPr="00C6052E">
        <w:t>is</w:t>
      </w:r>
      <w:r w:rsidR="00177848" w:rsidRPr="00C6052E">
        <w:t xml:space="preserve"> </w:t>
      </w:r>
      <w:r w:rsidRPr="00C6052E">
        <w:t>determined</w:t>
      </w:r>
      <w:r w:rsidR="00177848" w:rsidRPr="00C6052E">
        <w:t xml:space="preserve"> </w:t>
      </w:r>
      <w:r w:rsidRPr="00C6052E">
        <w:t>using</w:t>
      </w:r>
      <w:r w:rsidR="00177848" w:rsidRPr="00C6052E">
        <w:t xml:space="preserve"> </w:t>
      </w:r>
      <w:r w:rsidRPr="00C6052E">
        <w:t>the</w:t>
      </w:r>
      <w:r w:rsidR="00177848" w:rsidRPr="00C6052E">
        <w:t xml:space="preserve"> </w:t>
      </w:r>
      <w:r w:rsidRPr="00C6052E">
        <w:t>current</w:t>
      </w:r>
      <w:r w:rsidR="00177848" w:rsidRPr="00C6052E">
        <w:t xml:space="preserve"> </w:t>
      </w:r>
      <w:r w:rsidRPr="00C6052E">
        <w:t>replacement</w:t>
      </w:r>
      <w:r w:rsidR="00177848" w:rsidRPr="00C6052E">
        <w:t xml:space="preserve"> </w:t>
      </w:r>
      <w:r w:rsidRPr="00C6052E">
        <w:t>cost</w:t>
      </w:r>
      <w:r w:rsidR="00177848" w:rsidRPr="00C6052E">
        <w:t xml:space="preserve"> </w:t>
      </w:r>
      <w:r w:rsidRPr="00C6052E">
        <w:t>method.</w:t>
      </w:r>
    </w:p>
    <w:p w14:paraId="669488DB" w14:textId="573F61D9" w:rsidR="00EE5BB8" w:rsidRPr="00C6052E" w:rsidRDefault="00EE5BB8" w:rsidP="00EE5BB8">
      <w:r w:rsidRPr="00C6052E">
        <w:t>Refer</w:t>
      </w:r>
      <w:r w:rsidR="00177848" w:rsidRPr="00C6052E">
        <w:t xml:space="preserve"> </w:t>
      </w:r>
      <w:r w:rsidRPr="00C6052E">
        <w:t>to</w:t>
      </w:r>
      <w:r w:rsidR="00177848" w:rsidRPr="00C6052E">
        <w:t xml:space="preserve"> </w:t>
      </w:r>
      <w:r w:rsidRPr="00C6052E">
        <w:t>Note</w:t>
      </w:r>
      <w:r w:rsidR="00177848" w:rsidRPr="00C6052E">
        <w:t xml:space="preserve"> </w:t>
      </w:r>
      <w:r w:rsidRPr="00C6052E">
        <w:fldChar w:fldCharType="begin"/>
      </w:r>
      <w:r w:rsidRPr="00C6052E">
        <w:instrText xml:space="preserve"> REF _Ref163567374 \r \h  \* MERGEFORMAT </w:instrText>
      </w:r>
      <w:r w:rsidRPr="00C6052E">
        <w:fldChar w:fldCharType="separate"/>
      </w:r>
      <w:r w:rsidRPr="00C6052E">
        <w:t>8.3</w:t>
      </w:r>
      <w:r w:rsidRPr="00C6052E">
        <w:fldChar w:fldCharType="end"/>
      </w:r>
      <w:r w:rsidR="00177848" w:rsidRPr="00C6052E">
        <w:t xml:space="preserve"> </w:t>
      </w:r>
      <w:r w:rsidRPr="00C6052E">
        <w:fldChar w:fldCharType="begin"/>
      </w:r>
      <w:r w:rsidRPr="00C6052E">
        <w:instrText xml:space="preserve"> REF _Ref163567380 \h  \* MERGEFORMAT </w:instrText>
      </w:r>
      <w:r w:rsidRPr="00C6052E">
        <w:fldChar w:fldCharType="separate"/>
      </w:r>
      <w:r w:rsidRPr="00C6052E">
        <w:t>Fair</w:t>
      </w:r>
      <w:r w:rsidR="00177848" w:rsidRPr="00C6052E">
        <w:t xml:space="preserve"> </w:t>
      </w:r>
      <w:r w:rsidRPr="00C6052E">
        <w:t>value</w:t>
      </w:r>
      <w:r w:rsidR="00177848" w:rsidRPr="00C6052E">
        <w:t xml:space="preserve"> </w:t>
      </w:r>
      <w:r w:rsidRPr="00C6052E">
        <w:t>determination</w:t>
      </w:r>
      <w:r w:rsidRPr="00C6052E">
        <w:fldChar w:fldCharType="end"/>
      </w:r>
      <w:r w:rsidRPr="00C6052E">
        <w:t>,</w:t>
      </w:r>
      <w:r w:rsidR="00177848" w:rsidRPr="00C6052E">
        <w:t xml:space="preserve"> </w:t>
      </w:r>
      <w:r w:rsidRPr="00C6052E">
        <w:t>for</w:t>
      </w:r>
      <w:r w:rsidR="00177848" w:rsidRPr="00C6052E">
        <w:t xml:space="preserve"> </w:t>
      </w:r>
      <w:r w:rsidRPr="00C6052E">
        <w:t>additional</w:t>
      </w:r>
      <w:r w:rsidR="00177848" w:rsidRPr="00C6052E">
        <w:t xml:space="preserve"> </w:t>
      </w:r>
      <w:r w:rsidRPr="00C6052E">
        <w:t>information</w:t>
      </w:r>
      <w:r w:rsidR="00177848" w:rsidRPr="00C6052E">
        <w:t xml:space="preserve"> </w:t>
      </w:r>
      <w:r w:rsidRPr="00C6052E">
        <w:t>on</w:t>
      </w:r>
      <w:r w:rsidR="00177848" w:rsidRPr="00C6052E">
        <w:t xml:space="preserve"> </w:t>
      </w:r>
      <w:r w:rsidRPr="00C6052E">
        <w:t>fair</w:t>
      </w:r>
      <w:r w:rsidR="00177848" w:rsidRPr="00C6052E">
        <w:t xml:space="preserve"> </w:t>
      </w:r>
      <w:r w:rsidRPr="00C6052E">
        <w:t>value</w:t>
      </w:r>
      <w:r w:rsidR="00177848" w:rsidRPr="00C6052E">
        <w:t xml:space="preserve"> </w:t>
      </w:r>
      <w:r w:rsidRPr="00C6052E">
        <w:t>determination</w:t>
      </w:r>
      <w:r w:rsidR="00177848" w:rsidRPr="00C6052E">
        <w:t xml:space="preserve"> </w:t>
      </w:r>
      <w:r w:rsidRPr="00C6052E">
        <w:t>of</w:t>
      </w:r>
      <w:r w:rsidR="00177848" w:rsidRPr="00C6052E">
        <w:t xml:space="preserve"> </w:t>
      </w:r>
      <w:r w:rsidRPr="00C6052E">
        <w:t>property,</w:t>
      </w:r>
      <w:r w:rsidR="00177848" w:rsidRPr="00C6052E">
        <w:t xml:space="preserve"> </w:t>
      </w:r>
      <w:r w:rsidRPr="00C6052E">
        <w:t>plant</w:t>
      </w:r>
      <w:r w:rsidR="00177848" w:rsidRPr="00C6052E">
        <w:t xml:space="preserve"> </w:t>
      </w:r>
      <w:r w:rsidRPr="00C6052E">
        <w:t>and</w:t>
      </w:r>
      <w:r w:rsidR="00177848" w:rsidRPr="00C6052E">
        <w:t xml:space="preserve"> </w:t>
      </w:r>
      <w:r w:rsidRPr="00C6052E">
        <w:t>equipment.</w:t>
      </w:r>
    </w:p>
    <w:p w14:paraId="6B5332DD" w14:textId="11EC6F37" w:rsidR="00EE5BB8" w:rsidRPr="00C6052E" w:rsidRDefault="00EE5BB8" w:rsidP="00EE5BB8">
      <w:pPr>
        <w:pStyle w:val="Heading4"/>
      </w:pPr>
      <w:r w:rsidRPr="00C6052E">
        <w:t>Revaluations</w:t>
      </w:r>
      <w:r w:rsidR="00177848" w:rsidRPr="00C6052E">
        <w:t xml:space="preserve"> </w:t>
      </w:r>
      <w:r w:rsidRPr="00C6052E">
        <w:t>of</w:t>
      </w:r>
      <w:r w:rsidR="00177848" w:rsidRPr="00C6052E">
        <w:t xml:space="preserve"> </w:t>
      </w:r>
      <w:r w:rsidRPr="00C6052E">
        <w:t>Property</w:t>
      </w:r>
      <w:r w:rsidR="00177848" w:rsidRPr="00C6052E">
        <w:t xml:space="preserve"> </w:t>
      </w:r>
      <w:r w:rsidRPr="00C6052E">
        <w:t>Plant</w:t>
      </w:r>
      <w:r w:rsidR="00177848" w:rsidRPr="00C6052E">
        <w:t xml:space="preserve"> </w:t>
      </w:r>
      <w:r w:rsidRPr="00C6052E">
        <w:t>and</w:t>
      </w:r>
      <w:r w:rsidR="00177848" w:rsidRPr="00C6052E">
        <w:t xml:space="preserve"> </w:t>
      </w:r>
      <w:r w:rsidRPr="00C6052E">
        <w:t>Equipment</w:t>
      </w:r>
    </w:p>
    <w:p w14:paraId="71D34B68" w14:textId="7DDB761B" w:rsidR="00EE5BB8" w:rsidRPr="00C6052E" w:rsidRDefault="00EE5BB8" w:rsidP="00EE5BB8">
      <w:r w:rsidRPr="00C6052E">
        <w:t>Non-financial</w:t>
      </w:r>
      <w:r w:rsidR="00177848" w:rsidRPr="00C6052E">
        <w:t xml:space="preserve"> </w:t>
      </w:r>
      <w:r w:rsidRPr="00C6052E">
        <w:t>physical</w:t>
      </w:r>
      <w:r w:rsidR="00177848" w:rsidRPr="00C6052E">
        <w:t xml:space="preserve"> </w:t>
      </w:r>
      <w:r w:rsidRPr="00C6052E">
        <w:t>assets</w:t>
      </w:r>
      <w:r w:rsidR="00177848" w:rsidRPr="00C6052E">
        <w:t xml:space="preserve"> </w:t>
      </w:r>
      <w:r w:rsidRPr="00C6052E">
        <w:t>are</w:t>
      </w:r>
      <w:r w:rsidR="00177848" w:rsidRPr="00C6052E">
        <w:t xml:space="preserve"> </w:t>
      </w:r>
      <w:r w:rsidRPr="00C6052E">
        <w:t>revalued</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r w:rsidR="00177848" w:rsidRPr="00C6052E">
        <w:t xml:space="preserve"> </w:t>
      </w:r>
      <w:r w:rsidRPr="00C6052E">
        <w:t>every</w:t>
      </w:r>
      <w:r w:rsidR="00177848" w:rsidRPr="00C6052E">
        <w:t xml:space="preserve"> </w:t>
      </w:r>
      <w:r w:rsidRPr="00C6052E">
        <w:t>five</w:t>
      </w:r>
      <w:r w:rsidR="00177848" w:rsidRPr="00C6052E">
        <w:t xml:space="preserve"> </w:t>
      </w:r>
      <w:r w:rsidRPr="00C6052E">
        <w:t>years</w:t>
      </w:r>
      <w:r w:rsidR="00177848" w:rsidRPr="00C6052E">
        <w:t xml:space="preserve"> </w:t>
      </w:r>
      <w:r w:rsidRPr="00C6052E">
        <w:t>in</w:t>
      </w:r>
      <w:r w:rsidR="00177848" w:rsidRPr="00C6052E">
        <w:t xml:space="preserve"> </w:t>
      </w:r>
      <w:r w:rsidRPr="00C6052E">
        <w:t>accordance</w:t>
      </w:r>
      <w:r w:rsidR="00177848" w:rsidRPr="00C6052E">
        <w:t xml:space="preserve"> </w:t>
      </w:r>
      <w:r w:rsidRPr="00C6052E">
        <w:t>with</w:t>
      </w:r>
      <w:r w:rsidR="00177848" w:rsidRPr="00C6052E">
        <w:t xml:space="preserve"> </w:t>
      </w:r>
      <w:r w:rsidRPr="00C6052E">
        <w:t>the</w:t>
      </w:r>
      <w:r w:rsidR="00177848" w:rsidRPr="00C6052E">
        <w:t xml:space="preserve"> </w:t>
      </w:r>
      <w:r w:rsidRPr="00C6052E">
        <w:t>Government</w:t>
      </w:r>
      <w:r w:rsidR="00177848" w:rsidRPr="00C6052E">
        <w:t xml:space="preserve"> </w:t>
      </w:r>
      <w:r w:rsidRPr="00C6052E">
        <w:t>purpose</w:t>
      </w:r>
      <w:r w:rsidR="00177848" w:rsidRPr="00C6052E">
        <w:t xml:space="preserve"> </w:t>
      </w:r>
      <w:r w:rsidRPr="00C6052E">
        <w:t>classifications</w:t>
      </w:r>
      <w:r w:rsidR="00177848" w:rsidRPr="00C6052E">
        <w:t xml:space="preserve"> </w:t>
      </w:r>
      <w:r w:rsidRPr="00C6052E">
        <w:t>defined</w:t>
      </w:r>
      <w:r w:rsidR="00177848" w:rsidRPr="00C6052E">
        <w:t xml:space="preserve"> </w:t>
      </w:r>
      <w:r w:rsidRPr="00C6052E">
        <w:t>in</w:t>
      </w:r>
      <w:r w:rsidR="00177848" w:rsidRPr="00C6052E">
        <w:t xml:space="preserve"> </w:t>
      </w:r>
      <w:r w:rsidRPr="00C6052E">
        <w:t>Financial</w:t>
      </w:r>
      <w:r w:rsidR="00177848" w:rsidRPr="00C6052E">
        <w:t xml:space="preserve"> </w:t>
      </w:r>
      <w:r w:rsidRPr="00C6052E">
        <w:t>Reporting</w:t>
      </w:r>
      <w:r w:rsidR="00177848" w:rsidRPr="00C6052E">
        <w:t xml:space="preserve"> </w:t>
      </w:r>
      <w:r w:rsidRPr="00C6052E">
        <w:t>Direction</w:t>
      </w:r>
      <w:r w:rsidR="00177848" w:rsidRPr="00C6052E">
        <w:t xml:space="preserve"> </w:t>
      </w:r>
      <w:r w:rsidRPr="00C6052E">
        <w:t>103</w:t>
      </w:r>
      <w:r w:rsidR="00177848" w:rsidRPr="00C6052E">
        <w:t xml:space="preserve"> </w:t>
      </w:r>
      <w:r w:rsidRPr="00C6052E">
        <w:rPr>
          <w:i/>
          <w:iCs/>
        </w:rPr>
        <w:t>Non-Financial</w:t>
      </w:r>
      <w:r w:rsidR="00177848" w:rsidRPr="00C6052E">
        <w:rPr>
          <w:i/>
          <w:iCs/>
        </w:rPr>
        <w:t xml:space="preserve"> </w:t>
      </w:r>
      <w:r w:rsidRPr="00C6052E">
        <w:rPr>
          <w:i/>
          <w:iCs/>
        </w:rPr>
        <w:t>Physical</w:t>
      </w:r>
      <w:r w:rsidR="00177848" w:rsidRPr="00C6052E">
        <w:rPr>
          <w:i/>
          <w:iCs/>
        </w:rPr>
        <w:t xml:space="preserve"> </w:t>
      </w:r>
      <w:r w:rsidRPr="00C6052E">
        <w:rPr>
          <w:i/>
          <w:iCs/>
        </w:rPr>
        <w:t>Assets</w:t>
      </w:r>
      <w:r w:rsidR="00177848" w:rsidRPr="00C6052E">
        <w:t xml:space="preserve"> </w:t>
      </w:r>
      <w:r w:rsidRPr="00C6052E">
        <w:t>(FRD</w:t>
      </w:r>
      <w:r w:rsidR="00177848" w:rsidRPr="00C6052E">
        <w:t xml:space="preserve"> </w:t>
      </w:r>
      <w:r w:rsidRPr="00C6052E">
        <w:t>103).</w:t>
      </w:r>
    </w:p>
    <w:p w14:paraId="5200D030" w14:textId="56471206" w:rsidR="00EE5BB8" w:rsidRPr="00C6052E" w:rsidRDefault="00EE5BB8" w:rsidP="00EE5BB8">
      <w:r w:rsidRPr="00C6052E">
        <w:t>The</w:t>
      </w:r>
      <w:r w:rsidR="00177848" w:rsidRPr="00C6052E">
        <w:t xml:space="preserve"> </w:t>
      </w:r>
      <w:r w:rsidRPr="00C6052E">
        <w:t>Valuer-General</w:t>
      </w:r>
      <w:r w:rsidR="00177848" w:rsidRPr="00C6052E">
        <w:t xml:space="preserve"> </w:t>
      </w:r>
      <w:r w:rsidRPr="00C6052E">
        <w:t>Victoria</w:t>
      </w:r>
      <w:r w:rsidR="00177848" w:rsidRPr="00C6052E">
        <w:t xml:space="preserve"> </w:t>
      </w:r>
      <w:r w:rsidRPr="00C6052E">
        <w:t>(VGV)</w:t>
      </w:r>
      <w:r w:rsidR="00177848" w:rsidRPr="00C6052E">
        <w:t xml:space="preserve"> </w:t>
      </w:r>
      <w:r w:rsidRPr="00C6052E">
        <w:t>is</w:t>
      </w:r>
      <w:r w:rsidR="00177848" w:rsidRPr="00C6052E">
        <w:t xml:space="preserve"> </w:t>
      </w:r>
      <w:r w:rsidRPr="00C6052E">
        <w:t>the</w:t>
      </w:r>
      <w:r w:rsidR="00177848" w:rsidRPr="00C6052E">
        <w:t xml:space="preserve"> </w:t>
      </w:r>
      <w:r w:rsidRPr="00C6052E">
        <w:t>Government’s</w:t>
      </w:r>
      <w:r w:rsidR="00177848" w:rsidRPr="00C6052E">
        <w:t xml:space="preserve"> </w:t>
      </w:r>
      <w:r w:rsidRPr="00C6052E">
        <w:t>independent</w:t>
      </w:r>
      <w:r w:rsidR="00177848" w:rsidRPr="00C6052E">
        <w:t xml:space="preserve"> </w:t>
      </w:r>
      <w:r w:rsidRPr="00C6052E">
        <w:t>valuation</w:t>
      </w:r>
      <w:r w:rsidR="00177848" w:rsidRPr="00C6052E">
        <w:t xml:space="preserve"> </w:t>
      </w:r>
      <w:r w:rsidRPr="00C6052E">
        <w:t>agency</w:t>
      </w:r>
      <w:r w:rsidR="00177848" w:rsidRPr="00C6052E">
        <w:t xml:space="preserve"> </w:t>
      </w:r>
      <w:r w:rsidRPr="00C6052E">
        <w:t>and</w:t>
      </w:r>
      <w:r w:rsidR="00177848" w:rsidRPr="00C6052E">
        <w:t xml:space="preserve"> </w:t>
      </w:r>
      <w:r w:rsidRPr="00C6052E">
        <w:t>is</w:t>
      </w:r>
      <w:r w:rsidR="00177848" w:rsidRPr="00C6052E">
        <w:t xml:space="preserve"> </w:t>
      </w:r>
      <w:r w:rsidRPr="00C6052E">
        <w:t>used</w:t>
      </w:r>
      <w:r w:rsidR="00177848" w:rsidRPr="00C6052E">
        <w:t xml:space="preserve"> </w:t>
      </w:r>
      <w:r w:rsidRPr="00C6052E">
        <w:t>by</w:t>
      </w:r>
      <w:r w:rsidR="00177848" w:rsidRPr="00C6052E">
        <w:t xml:space="preserve"> </w:t>
      </w:r>
      <w:r w:rsidRPr="00C6052E">
        <w:t>DJSIR</w:t>
      </w:r>
      <w:r w:rsidR="00177848" w:rsidRPr="00C6052E">
        <w:t xml:space="preserve"> </w:t>
      </w:r>
      <w:r w:rsidRPr="00C6052E">
        <w:t>to</w:t>
      </w:r>
      <w:r w:rsidR="00177848" w:rsidRPr="00C6052E">
        <w:t xml:space="preserve"> </w:t>
      </w:r>
      <w:r w:rsidRPr="00C6052E">
        <w:t>conduct</w:t>
      </w:r>
      <w:r w:rsidR="00177848" w:rsidRPr="00C6052E">
        <w:t xml:space="preserve"> </w:t>
      </w:r>
      <w:r w:rsidRPr="00C6052E">
        <w:t>these</w:t>
      </w:r>
      <w:r w:rsidR="00177848" w:rsidRPr="00C6052E">
        <w:t xml:space="preserve"> </w:t>
      </w:r>
      <w:r w:rsidRPr="00C6052E">
        <w:t>scheduled</w:t>
      </w:r>
      <w:r w:rsidR="00177848" w:rsidRPr="00C6052E">
        <w:t xml:space="preserve"> </w:t>
      </w:r>
      <w:r w:rsidRPr="00C6052E">
        <w:t>revaluations.</w:t>
      </w:r>
    </w:p>
    <w:p w14:paraId="043FA193" w14:textId="05C433F9" w:rsidR="00EE5BB8" w:rsidRPr="00C6052E" w:rsidRDefault="00EE5BB8" w:rsidP="00EE5BB8">
      <w:r w:rsidRPr="00C6052E">
        <w:t>Revaluations</w:t>
      </w:r>
      <w:r w:rsidR="00177848" w:rsidRPr="00C6052E">
        <w:t xml:space="preserve"> </w:t>
      </w:r>
      <w:r w:rsidRPr="00C6052E">
        <w:t>may</w:t>
      </w:r>
      <w:r w:rsidR="00177848" w:rsidRPr="00C6052E">
        <w:t xml:space="preserve"> </w:t>
      </w:r>
      <w:r w:rsidRPr="00C6052E">
        <w:t>occur</w:t>
      </w:r>
      <w:r w:rsidR="00177848" w:rsidRPr="00C6052E">
        <w:t xml:space="preserve"> </w:t>
      </w:r>
      <w:r w:rsidRPr="00C6052E">
        <w:t>more</w:t>
      </w:r>
      <w:r w:rsidR="00177848" w:rsidRPr="00C6052E">
        <w:t xml:space="preserve"> </w:t>
      </w:r>
      <w:r w:rsidRPr="00C6052E">
        <w:t>frequently</w:t>
      </w:r>
      <w:r w:rsidR="00177848" w:rsidRPr="00C6052E">
        <w:t xml:space="preserve"> </w:t>
      </w:r>
      <w:r w:rsidRPr="00C6052E">
        <w:t>if</w:t>
      </w:r>
      <w:r w:rsidR="00177848" w:rsidRPr="00C6052E">
        <w:t xml:space="preserve"> </w:t>
      </w:r>
      <w:r w:rsidRPr="00C6052E">
        <w:t>fair</w:t>
      </w:r>
      <w:r w:rsidR="00177848" w:rsidRPr="00C6052E">
        <w:t xml:space="preserve"> </w:t>
      </w:r>
      <w:r w:rsidRPr="00C6052E">
        <w:t>value</w:t>
      </w:r>
      <w:r w:rsidR="00177848" w:rsidRPr="00C6052E">
        <w:t xml:space="preserve"> </w:t>
      </w:r>
      <w:r w:rsidRPr="00C6052E">
        <w:t>assessments</w:t>
      </w:r>
      <w:r w:rsidR="00177848" w:rsidRPr="00C6052E">
        <w:t xml:space="preserve"> </w:t>
      </w:r>
      <w:r w:rsidRPr="00C6052E">
        <w:t>indicate</w:t>
      </w:r>
      <w:r w:rsidR="00177848" w:rsidRPr="00C6052E">
        <w:t xml:space="preserve"> </w:t>
      </w:r>
      <w:r w:rsidRPr="00C6052E">
        <w:t>material</w:t>
      </w:r>
      <w:r w:rsidR="00177848" w:rsidRPr="00C6052E">
        <w:t xml:space="preserve"> </w:t>
      </w:r>
      <w:r w:rsidRPr="00C6052E">
        <w:t>changes</w:t>
      </w:r>
      <w:r w:rsidR="00177848" w:rsidRPr="00C6052E">
        <w:t xml:space="preserve"> </w:t>
      </w:r>
      <w:r w:rsidRPr="00C6052E">
        <w:t>in</w:t>
      </w:r>
      <w:r w:rsidR="00177848" w:rsidRPr="00C6052E">
        <w:t xml:space="preserve"> </w:t>
      </w:r>
      <w:r w:rsidRPr="00C6052E">
        <w:t>values.</w:t>
      </w:r>
      <w:r w:rsidR="00177848" w:rsidRPr="00C6052E">
        <w:t xml:space="preserve"> </w:t>
      </w:r>
      <w:r w:rsidRPr="00C6052E">
        <w:t>In</w:t>
      </w:r>
      <w:r w:rsidR="00177848" w:rsidRPr="00C6052E">
        <w:t xml:space="preserve"> </w:t>
      </w:r>
      <w:r w:rsidRPr="00C6052E">
        <w:t>such</w:t>
      </w:r>
      <w:r w:rsidR="00177848" w:rsidRPr="00C6052E">
        <w:t xml:space="preserve"> </w:t>
      </w:r>
      <w:r w:rsidRPr="00C6052E">
        <w:t>instances,</w:t>
      </w:r>
      <w:r w:rsidR="00177848" w:rsidRPr="00C6052E">
        <w:t xml:space="preserve"> </w:t>
      </w:r>
      <w:r w:rsidRPr="00C6052E">
        <w:t>interim</w:t>
      </w:r>
      <w:r w:rsidR="00177848" w:rsidRPr="00C6052E">
        <w:t xml:space="preserve"> </w:t>
      </w:r>
      <w:r w:rsidRPr="00C6052E">
        <w:t>managerial</w:t>
      </w:r>
      <w:r w:rsidR="00177848" w:rsidRPr="00C6052E">
        <w:t xml:space="preserve"> </w:t>
      </w:r>
      <w:r w:rsidRPr="00C6052E">
        <w:t>revaluations</w:t>
      </w:r>
      <w:r w:rsidR="00177848" w:rsidRPr="00C6052E">
        <w:t xml:space="preserve"> </w:t>
      </w:r>
      <w:r w:rsidRPr="00C6052E">
        <w:t>are</w:t>
      </w:r>
      <w:r w:rsidR="00177848" w:rsidRPr="00C6052E">
        <w:t xml:space="preserve"> </w:t>
      </w:r>
      <w:r w:rsidRPr="00C6052E">
        <w:t>undertaken</w:t>
      </w:r>
      <w:r w:rsidR="00177848" w:rsidRPr="00C6052E">
        <w:t xml:space="preserve"> </w:t>
      </w:r>
      <w:r w:rsidRPr="00C6052E">
        <w:t>in</w:t>
      </w:r>
      <w:r w:rsidR="00177848" w:rsidRPr="00C6052E">
        <w:t xml:space="preserve"> </w:t>
      </w:r>
      <w:r w:rsidRPr="00C6052E">
        <w:t>accordance</w:t>
      </w:r>
      <w:r w:rsidR="00177848" w:rsidRPr="00C6052E">
        <w:t xml:space="preserve"> </w:t>
      </w:r>
      <w:r w:rsidRPr="00C6052E">
        <w:t>with</w:t>
      </w:r>
      <w:r w:rsidR="00177848" w:rsidRPr="00C6052E">
        <w:t xml:space="preserve"> </w:t>
      </w:r>
      <w:r w:rsidRPr="00C6052E">
        <w:t>the</w:t>
      </w:r>
      <w:r w:rsidR="00177848" w:rsidRPr="00C6052E">
        <w:t xml:space="preserve"> </w:t>
      </w:r>
      <w:r w:rsidRPr="00C6052E">
        <w:t>requirements</w:t>
      </w:r>
      <w:r w:rsidR="00177848" w:rsidRPr="00C6052E">
        <w:t xml:space="preserve"> </w:t>
      </w:r>
      <w:r w:rsidRPr="00C6052E">
        <w:t>of</w:t>
      </w:r>
      <w:r w:rsidR="00177848" w:rsidRPr="00C6052E">
        <w:t xml:space="preserve"> </w:t>
      </w:r>
      <w:r w:rsidRPr="00C6052E">
        <w:t>FRD</w:t>
      </w:r>
      <w:r w:rsidR="00177848" w:rsidRPr="00C6052E">
        <w:t xml:space="preserve"> </w:t>
      </w:r>
      <w:r w:rsidRPr="00C6052E">
        <w:t>103.</w:t>
      </w:r>
    </w:p>
    <w:p w14:paraId="1826399B" w14:textId="549FB19B" w:rsidR="00EE5BB8" w:rsidRPr="00C6052E" w:rsidRDefault="00EE5BB8" w:rsidP="00EE5BB8">
      <w:r w:rsidRPr="00C6052E">
        <w:t>DJSIR</w:t>
      </w:r>
      <w:r w:rsidR="00177848" w:rsidRPr="00C6052E">
        <w:t xml:space="preserve"> </w:t>
      </w:r>
      <w:r w:rsidRPr="00C6052E">
        <w:t>in</w:t>
      </w:r>
      <w:r w:rsidR="00177848" w:rsidRPr="00C6052E">
        <w:t xml:space="preserve"> </w:t>
      </w:r>
      <w:r w:rsidRPr="00C6052E">
        <w:t>conjunction</w:t>
      </w:r>
      <w:r w:rsidR="00177848" w:rsidRPr="00C6052E">
        <w:t xml:space="preserve"> </w:t>
      </w:r>
      <w:r w:rsidRPr="00C6052E">
        <w:t>with</w:t>
      </w:r>
      <w:r w:rsidR="00177848" w:rsidRPr="00C6052E">
        <w:t xml:space="preserve"> </w:t>
      </w:r>
      <w:r w:rsidRPr="00C6052E">
        <w:t>VGV,</w:t>
      </w:r>
      <w:r w:rsidR="00177848" w:rsidRPr="00C6052E">
        <w:t xml:space="preserve"> </w:t>
      </w:r>
      <w:r w:rsidRPr="00C6052E">
        <w:t>monitors</w:t>
      </w:r>
      <w:r w:rsidR="00177848" w:rsidRPr="00C6052E">
        <w:t xml:space="preserve"> </w:t>
      </w:r>
      <w:r w:rsidRPr="00C6052E">
        <w:t>changes</w:t>
      </w:r>
      <w:r w:rsidR="00177848" w:rsidRPr="00C6052E">
        <w:t xml:space="preserve"> </w:t>
      </w:r>
      <w:r w:rsidRPr="00C6052E">
        <w:t>in</w:t>
      </w:r>
      <w:r w:rsidR="00177848" w:rsidRPr="00C6052E">
        <w:t xml:space="preserve"> </w:t>
      </w:r>
      <w:r w:rsidRPr="00C6052E">
        <w:t>the</w:t>
      </w:r>
      <w:r w:rsidR="00177848" w:rsidRPr="00C6052E">
        <w:t xml:space="preserve"> </w:t>
      </w:r>
      <w:r w:rsidRPr="00C6052E">
        <w:t>fair</w:t>
      </w:r>
      <w:r w:rsidR="00177848" w:rsidRPr="00C6052E">
        <w:t xml:space="preserve"> </w:t>
      </w:r>
      <w:r w:rsidRPr="00C6052E">
        <w:t>value</w:t>
      </w:r>
      <w:r w:rsidR="00177848" w:rsidRPr="00C6052E">
        <w:t xml:space="preserve"> </w:t>
      </w:r>
      <w:r w:rsidRPr="00C6052E">
        <w:t>of</w:t>
      </w:r>
      <w:r w:rsidR="00177848" w:rsidRPr="00C6052E">
        <w:t xml:space="preserve"> </w:t>
      </w:r>
      <w:r w:rsidRPr="00C6052E">
        <w:t>each</w:t>
      </w:r>
      <w:r w:rsidR="00177848" w:rsidRPr="00C6052E">
        <w:t xml:space="preserve"> </w:t>
      </w:r>
      <w:r w:rsidRPr="00C6052E">
        <w:t>asset</w:t>
      </w:r>
      <w:r w:rsidR="00177848" w:rsidRPr="00C6052E">
        <w:t xml:space="preserve"> </w:t>
      </w:r>
      <w:r w:rsidRPr="00C6052E">
        <w:t>class</w:t>
      </w:r>
      <w:r w:rsidR="00177848" w:rsidRPr="00C6052E">
        <w:t xml:space="preserve"> </w:t>
      </w:r>
      <w:r w:rsidRPr="00C6052E">
        <w:t>through</w:t>
      </w:r>
      <w:r w:rsidR="00177848" w:rsidRPr="00C6052E">
        <w:t xml:space="preserve"> </w:t>
      </w:r>
      <w:r w:rsidRPr="00C6052E">
        <w:t>relevant</w:t>
      </w:r>
      <w:r w:rsidR="00177848" w:rsidRPr="00C6052E">
        <w:t xml:space="preserve"> </w:t>
      </w:r>
      <w:r w:rsidRPr="00C6052E">
        <w:t>data</w:t>
      </w:r>
      <w:r w:rsidR="00177848" w:rsidRPr="00C6052E">
        <w:t xml:space="preserve"> </w:t>
      </w:r>
      <w:r w:rsidRPr="00C6052E">
        <w:t>sources,</w:t>
      </w:r>
      <w:r w:rsidR="00177848" w:rsidRPr="00C6052E">
        <w:t xml:space="preserve"> </w:t>
      </w:r>
      <w:r w:rsidRPr="00C6052E">
        <w:t>in</w:t>
      </w:r>
      <w:r w:rsidR="00177848" w:rsidRPr="00C6052E">
        <w:t xml:space="preserve"> </w:t>
      </w:r>
      <w:r w:rsidRPr="00C6052E">
        <w:t>order</w:t>
      </w:r>
      <w:r w:rsidR="00177848" w:rsidRPr="00C6052E">
        <w:t xml:space="preserve"> </w:t>
      </w:r>
      <w:r w:rsidRPr="00C6052E">
        <w:t>to</w:t>
      </w:r>
      <w:r w:rsidR="00177848" w:rsidRPr="00C6052E">
        <w:t xml:space="preserve"> </w:t>
      </w:r>
      <w:r w:rsidRPr="00C6052E">
        <w:t>determine</w:t>
      </w:r>
      <w:r w:rsidR="00177848" w:rsidRPr="00C6052E">
        <w:t xml:space="preserve"> </w:t>
      </w:r>
      <w:r w:rsidRPr="00C6052E">
        <w:t>whether</w:t>
      </w:r>
      <w:r w:rsidR="00177848" w:rsidRPr="00C6052E">
        <w:t xml:space="preserve"> </w:t>
      </w:r>
      <w:r w:rsidRPr="00C6052E">
        <w:t>a</w:t>
      </w:r>
      <w:r w:rsidR="00177848" w:rsidRPr="00C6052E">
        <w:t xml:space="preserve"> </w:t>
      </w:r>
      <w:r w:rsidRPr="00C6052E">
        <w:t>revaluation</w:t>
      </w:r>
      <w:r w:rsidR="00177848" w:rsidRPr="00C6052E">
        <w:t xml:space="preserve"> </w:t>
      </w:r>
      <w:r w:rsidRPr="00C6052E">
        <w:t>is</w:t>
      </w:r>
      <w:r w:rsidR="00177848" w:rsidRPr="00C6052E">
        <w:t xml:space="preserve"> </w:t>
      </w:r>
      <w:r w:rsidRPr="00C6052E">
        <w:t>required.</w:t>
      </w:r>
    </w:p>
    <w:p w14:paraId="0D7CA170" w14:textId="1C32111E" w:rsidR="00EE5BB8" w:rsidRPr="00C6052E" w:rsidRDefault="00EE5BB8" w:rsidP="00EE5BB8">
      <w:pPr>
        <w:rPr>
          <w:spacing w:val="-2"/>
        </w:rPr>
      </w:pPr>
      <w:r w:rsidRPr="00C6052E">
        <w:rPr>
          <w:spacing w:val="-2"/>
        </w:rPr>
        <w:t>DJSIR</w:t>
      </w:r>
      <w:r w:rsidR="00177848" w:rsidRPr="00C6052E">
        <w:rPr>
          <w:spacing w:val="-2"/>
        </w:rPr>
        <w:t xml:space="preserve"> </w:t>
      </w:r>
      <w:r w:rsidRPr="00C6052E">
        <w:rPr>
          <w:spacing w:val="-2"/>
        </w:rPr>
        <w:t>assets</w:t>
      </w:r>
      <w:r w:rsidR="00177848" w:rsidRPr="00C6052E">
        <w:rPr>
          <w:spacing w:val="-2"/>
        </w:rPr>
        <w:t xml:space="preserve"> </w:t>
      </w:r>
      <w:r w:rsidRPr="00C6052E">
        <w:rPr>
          <w:spacing w:val="-2"/>
        </w:rPr>
        <w:t>under</w:t>
      </w:r>
      <w:r w:rsidR="00177848" w:rsidRPr="00C6052E">
        <w:rPr>
          <w:spacing w:val="-2"/>
        </w:rPr>
        <w:t xml:space="preserve"> </w:t>
      </w:r>
      <w:r w:rsidRPr="00C6052E">
        <w:rPr>
          <w:spacing w:val="-2"/>
        </w:rPr>
        <w:t>Recreation,</w:t>
      </w:r>
      <w:r w:rsidR="00177848" w:rsidRPr="00C6052E">
        <w:rPr>
          <w:spacing w:val="-2"/>
        </w:rPr>
        <w:t xml:space="preserve"> </w:t>
      </w:r>
      <w:r w:rsidRPr="00C6052E">
        <w:rPr>
          <w:spacing w:val="-2"/>
        </w:rPr>
        <w:t>Culture</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Religion</w:t>
      </w:r>
      <w:r w:rsidR="00177848" w:rsidRPr="00C6052E">
        <w:rPr>
          <w:spacing w:val="-2"/>
        </w:rPr>
        <w:t xml:space="preserve"> </w:t>
      </w:r>
      <w:r w:rsidRPr="00C6052E">
        <w:rPr>
          <w:spacing w:val="-2"/>
        </w:rPr>
        <w:t>were</w:t>
      </w:r>
      <w:r w:rsidR="00177848" w:rsidRPr="00C6052E">
        <w:rPr>
          <w:spacing w:val="-2"/>
        </w:rPr>
        <w:t xml:space="preserve"> </w:t>
      </w:r>
      <w:r w:rsidRPr="00C6052E">
        <w:rPr>
          <w:spacing w:val="-2"/>
        </w:rPr>
        <w:t>last</w:t>
      </w:r>
      <w:r w:rsidR="00177848" w:rsidRPr="00C6052E">
        <w:rPr>
          <w:spacing w:val="-2"/>
        </w:rPr>
        <w:t xml:space="preserve"> </w:t>
      </w:r>
      <w:r w:rsidRPr="00C6052E">
        <w:rPr>
          <w:spacing w:val="-2"/>
        </w:rPr>
        <w:t>independently</w:t>
      </w:r>
      <w:r w:rsidR="00177848" w:rsidRPr="00C6052E">
        <w:rPr>
          <w:spacing w:val="-2"/>
        </w:rPr>
        <w:t xml:space="preserve"> </w:t>
      </w:r>
      <w:r w:rsidRPr="00C6052E">
        <w:rPr>
          <w:spacing w:val="-2"/>
        </w:rPr>
        <w:t>valued</w:t>
      </w:r>
      <w:r w:rsidR="00177848" w:rsidRPr="00C6052E">
        <w:rPr>
          <w:spacing w:val="-2"/>
        </w:rPr>
        <w:t xml:space="preserve"> </w:t>
      </w:r>
      <w:r w:rsidRPr="00C6052E">
        <w:rPr>
          <w:spacing w:val="-2"/>
        </w:rPr>
        <w:t>by</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VGV</w:t>
      </w:r>
      <w:r w:rsidR="00177848" w:rsidRPr="00C6052E">
        <w:rPr>
          <w:spacing w:val="-2"/>
        </w:rPr>
        <w:t xml:space="preserve"> </w:t>
      </w:r>
      <w:r w:rsidRPr="00C6052E">
        <w:rPr>
          <w:spacing w:val="-2"/>
        </w:rPr>
        <w:t>in</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FY2020-21</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assets</w:t>
      </w:r>
      <w:r w:rsidR="00177848" w:rsidRPr="00C6052E">
        <w:rPr>
          <w:spacing w:val="-2"/>
        </w:rPr>
        <w:t xml:space="preserve"> </w:t>
      </w:r>
      <w:r w:rsidRPr="00C6052E">
        <w:rPr>
          <w:spacing w:val="-2"/>
        </w:rPr>
        <w:t>under</w:t>
      </w:r>
      <w:r w:rsidR="00177848" w:rsidRPr="00C6052E">
        <w:rPr>
          <w:spacing w:val="-2"/>
        </w:rPr>
        <w:t xml:space="preserve"> </w:t>
      </w:r>
      <w:r w:rsidRPr="00C6052E">
        <w:rPr>
          <w:spacing w:val="-2"/>
        </w:rPr>
        <w:t>Skills</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Training</w:t>
      </w:r>
      <w:r w:rsidR="00177848" w:rsidRPr="00C6052E">
        <w:rPr>
          <w:spacing w:val="-2"/>
        </w:rPr>
        <w:t xml:space="preserve"> </w:t>
      </w:r>
      <w:r w:rsidRPr="00C6052E">
        <w:rPr>
          <w:spacing w:val="-2"/>
        </w:rPr>
        <w:t>category</w:t>
      </w:r>
      <w:r w:rsidR="00177848" w:rsidRPr="00C6052E">
        <w:rPr>
          <w:spacing w:val="-2"/>
        </w:rPr>
        <w:t xml:space="preserve"> </w:t>
      </w:r>
      <w:r w:rsidRPr="00C6052E">
        <w:rPr>
          <w:spacing w:val="-2"/>
        </w:rPr>
        <w:t>were</w:t>
      </w:r>
      <w:r w:rsidR="00177848" w:rsidRPr="00C6052E">
        <w:rPr>
          <w:spacing w:val="-2"/>
        </w:rPr>
        <w:t xml:space="preserve"> </w:t>
      </w:r>
      <w:r w:rsidRPr="00C6052E">
        <w:rPr>
          <w:spacing w:val="-2"/>
        </w:rPr>
        <w:t>last</w:t>
      </w:r>
      <w:r w:rsidR="00177848" w:rsidRPr="00C6052E">
        <w:rPr>
          <w:spacing w:val="-2"/>
        </w:rPr>
        <w:t xml:space="preserve"> </w:t>
      </w:r>
      <w:r w:rsidRPr="00C6052E">
        <w:rPr>
          <w:spacing w:val="-2"/>
        </w:rPr>
        <w:t>revalued</w:t>
      </w:r>
      <w:r w:rsidR="00177848" w:rsidRPr="00C6052E">
        <w:rPr>
          <w:spacing w:val="-2"/>
        </w:rPr>
        <w:t xml:space="preserve"> </w:t>
      </w:r>
      <w:r w:rsidRPr="00C6052E">
        <w:rPr>
          <w:spacing w:val="-2"/>
        </w:rPr>
        <w:t>in</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FY2022-23.</w:t>
      </w:r>
      <w:r w:rsidR="00177848" w:rsidRPr="00C6052E">
        <w:rPr>
          <w:spacing w:val="-2"/>
        </w:rPr>
        <w:t xml:space="preserve"> </w:t>
      </w:r>
      <w:r w:rsidRPr="00C6052E">
        <w:rPr>
          <w:spacing w:val="-2"/>
        </w:rPr>
        <w:t>In</w:t>
      </w:r>
      <w:r w:rsidR="00177848" w:rsidRPr="00C6052E">
        <w:rPr>
          <w:spacing w:val="-2"/>
        </w:rPr>
        <w:t xml:space="preserve"> </w:t>
      </w:r>
      <w:r w:rsidRPr="00C6052E">
        <w:rPr>
          <w:spacing w:val="-2"/>
        </w:rPr>
        <w:t>accordance</w:t>
      </w:r>
      <w:r w:rsidR="00177848" w:rsidRPr="00C6052E">
        <w:rPr>
          <w:spacing w:val="-2"/>
        </w:rPr>
        <w:t xml:space="preserve"> </w:t>
      </w:r>
      <w:r w:rsidRPr="00C6052E">
        <w:rPr>
          <w:spacing w:val="-2"/>
        </w:rPr>
        <w:t>with</w:t>
      </w:r>
      <w:r w:rsidR="00177848" w:rsidRPr="00C6052E">
        <w:rPr>
          <w:spacing w:val="-2"/>
        </w:rPr>
        <w:t xml:space="preserve"> </w:t>
      </w:r>
      <w:r w:rsidRPr="00C6052E">
        <w:rPr>
          <w:spacing w:val="-2"/>
        </w:rPr>
        <w:t>Financial</w:t>
      </w:r>
      <w:r w:rsidR="00177848" w:rsidRPr="00C6052E">
        <w:rPr>
          <w:spacing w:val="-2"/>
        </w:rPr>
        <w:t xml:space="preserve"> </w:t>
      </w:r>
      <w:r w:rsidRPr="00C6052E">
        <w:rPr>
          <w:spacing w:val="-2"/>
        </w:rPr>
        <w:t>Reporting</w:t>
      </w:r>
      <w:r w:rsidR="00177848" w:rsidRPr="00C6052E">
        <w:rPr>
          <w:spacing w:val="-2"/>
        </w:rPr>
        <w:t xml:space="preserve"> </w:t>
      </w:r>
      <w:r w:rsidRPr="00C6052E">
        <w:rPr>
          <w:spacing w:val="-2"/>
        </w:rPr>
        <w:t>Direction</w:t>
      </w:r>
      <w:r w:rsidR="00177848" w:rsidRPr="00C6052E">
        <w:rPr>
          <w:spacing w:val="-2"/>
        </w:rPr>
        <w:t xml:space="preserve"> </w:t>
      </w:r>
      <w:r w:rsidRPr="00C6052E">
        <w:rPr>
          <w:spacing w:val="-2"/>
        </w:rPr>
        <w:t>(FRD)</w:t>
      </w:r>
      <w:r w:rsidR="00177848" w:rsidRPr="00C6052E">
        <w:rPr>
          <w:spacing w:val="-2"/>
        </w:rPr>
        <w:t xml:space="preserve"> </w:t>
      </w:r>
      <w:r w:rsidRPr="00C6052E">
        <w:rPr>
          <w:spacing w:val="-2"/>
        </w:rPr>
        <w:t>103</w:t>
      </w:r>
      <w:r w:rsidR="00177848" w:rsidRPr="00C6052E">
        <w:rPr>
          <w:spacing w:val="-2"/>
        </w:rPr>
        <w:t xml:space="preserve"> </w:t>
      </w:r>
      <w:r w:rsidRPr="00C6052E">
        <w:rPr>
          <w:spacing w:val="-2"/>
        </w:rPr>
        <w:t>–</w:t>
      </w:r>
      <w:r w:rsidR="00177848" w:rsidRPr="00C6052E">
        <w:rPr>
          <w:spacing w:val="-2"/>
        </w:rPr>
        <w:t xml:space="preserve"> </w:t>
      </w:r>
      <w:r w:rsidRPr="00C6052E">
        <w:rPr>
          <w:i/>
          <w:iCs/>
        </w:rPr>
        <w:t>Non-financial</w:t>
      </w:r>
      <w:r w:rsidR="00177848" w:rsidRPr="00C6052E">
        <w:rPr>
          <w:i/>
          <w:iCs/>
        </w:rPr>
        <w:t xml:space="preserve"> </w:t>
      </w:r>
      <w:r w:rsidRPr="00C6052E">
        <w:rPr>
          <w:i/>
          <w:iCs/>
        </w:rPr>
        <w:t>physical</w:t>
      </w:r>
      <w:r w:rsidR="00177848" w:rsidRPr="00C6052E">
        <w:rPr>
          <w:i/>
          <w:iCs/>
        </w:rPr>
        <w:t xml:space="preserve"> </w:t>
      </w:r>
      <w:r w:rsidRPr="00C6052E">
        <w:rPr>
          <w:i/>
          <w:iCs/>
        </w:rPr>
        <w:t>assets</w:t>
      </w:r>
      <w:r w:rsidRPr="00C6052E">
        <w:rPr>
          <w:spacing w:val="-2"/>
        </w:rPr>
        <w:t>,</w:t>
      </w:r>
      <w:r w:rsidR="00177848" w:rsidRPr="00C6052E">
        <w:rPr>
          <w:spacing w:val="-2"/>
        </w:rPr>
        <w:t xml:space="preserve"> </w:t>
      </w:r>
      <w:r w:rsidRPr="00C6052E">
        <w:rPr>
          <w:spacing w:val="-2"/>
        </w:rPr>
        <w:t>DJSIR</w:t>
      </w:r>
      <w:r w:rsidR="00177848" w:rsidRPr="00C6052E">
        <w:rPr>
          <w:spacing w:val="-2"/>
        </w:rPr>
        <w:t xml:space="preserve"> </w:t>
      </w:r>
      <w:r w:rsidRPr="00C6052E">
        <w:rPr>
          <w:spacing w:val="-2"/>
        </w:rPr>
        <w:t>annually</w:t>
      </w:r>
      <w:r w:rsidR="00177848" w:rsidRPr="00C6052E">
        <w:rPr>
          <w:spacing w:val="-2"/>
        </w:rPr>
        <w:t xml:space="preserve"> </w:t>
      </w:r>
      <w:r w:rsidRPr="00C6052E">
        <w:rPr>
          <w:spacing w:val="-2"/>
        </w:rPr>
        <w:t>assesses</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fair</w:t>
      </w:r>
      <w:r w:rsidR="00177848" w:rsidRPr="00C6052E">
        <w:rPr>
          <w:spacing w:val="-2"/>
        </w:rPr>
        <w:t xml:space="preserve"> </w:t>
      </w:r>
      <w:r w:rsidRPr="00C6052E">
        <w:rPr>
          <w:spacing w:val="-2"/>
        </w:rPr>
        <w:t>values</w:t>
      </w:r>
      <w:r w:rsidR="00177848" w:rsidRPr="00C6052E">
        <w:rPr>
          <w:spacing w:val="-2"/>
        </w:rPr>
        <w:t xml:space="preserve"> </w:t>
      </w:r>
      <w:r w:rsidRPr="00C6052E">
        <w:rPr>
          <w:spacing w:val="-2"/>
        </w:rPr>
        <w:t>of</w:t>
      </w:r>
      <w:r w:rsidR="00177848" w:rsidRPr="00C6052E">
        <w:rPr>
          <w:spacing w:val="-2"/>
        </w:rPr>
        <w:t xml:space="preserve"> </w:t>
      </w:r>
      <w:r w:rsidRPr="00C6052E">
        <w:rPr>
          <w:spacing w:val="-2"/>
        </w:rPr>
        <w:t>its</w:t>
      </w:r>
      <w:r w:rsidR="00177848" w:rsidRPr="00C6052E">
        <w:rPr>
          <w:spacing w:val="-2"/>
        </w:rPr>
        <w:t xml:space="preserve"> </w:t>
      </w:r>
      <w:r w:rsidRPr="00C6052E">
        <w:rPr>
          <w:spacing w:val="-2"/>
        </w:rPr>
        <w:t>land</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buildings</w:t>
      </w:r>
      <w:r w:rsidR="00177848" w:rsidRPr="00C6052E">
        <w:rPr>
          <w:spacing w:val="-2"/>
        </w:rPr>
        <w:t xml:space="preserve"> </w:t>
      </w:r>
      <w:r w:rsidRPr="00C6052E">
        <w:rPr>
          <w:spacing w:val="-2"/>
        </w:rPr>
        <w:t>using</w:t>
      </w:r>
      <w:r w:rsidR="00177848" w:rsidRPr="00C6052E">
        <w:rPr>
          <w:spacing w:val="-2"/>
        </w:rPr>
        <w:t xml:space="preserve"> </w:t>
      </w:r>
      <w:r w:rsidRPr="00C6052E">
        <w:rPr>
          <w:spacing w:val="-2"/>
        </w:rPr>
        <w:t>indices</w:t>
      </w:r>
      <w:r w:rsidR="00177848" w:rsidRPr="00C6052E">
        <w:rPr>
          <w:spacing w:val="-2"/>
        </w:rPr>
        <w:t xml:space="preserve"> </w:t>
      </w:r>
      <w:r w:rsidRPr="00C6052E">
        <w:rPr>
          <w:spacing w:val="-2"/>
        </w:rPr>
        <w:t>recommended</w:t>
      </w:r>
      <w:r w:rsidR="00177848" w:rsidRPr="00C6052E">
        <w:rPr>
          <w:spacing w:val="-2"/>
        </w:rPr>
        <w:t xml:space="preserve"> </w:t>
      </w:r>
      <w:r w:rsidRPr="00C6052E">
        <w:rPr>
          <w:spacing w:val="-2"/>
        </w:rPr>
        <w:t>by</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VGV.</w:t>
      </w:r>
      <w:r w:rsidR="00177848" w:rsidRPr="00C6052E">
        <w:rPr>
          <w:spacing w:val="-2"/>
        </w:rPr>
        <w:t xml:space="preserve"> </w:t>
      </w:r>
    </w:p>
    <w:p w14:paraId="014A0D06" w14:textId="6530C363" w:rsidR="00EE5BB8" w:rsidRPr="00C6052E" w:rsidRDefault="00EE5BB8" w:rsidP="00EE5BB8">
      <w:r w:rsidRPr="00C6052E">
        <w:t>In</w:t>
      </w:r>
      <w:r w:rsidR="00177848" w:rsidRPr="00C6052E">
        <w:t xml:space="preserve"> </w:t>
      </w:r>
      <w:r w:rsidRPr="00C6052E">
        <w:t>the</w:t>
      </w:r>
      <w:r w:rsidR="00177848" w:rsidRPr="00C6052E">
        <w:t xml:space="preserve"> </w:t>
      </w:r>
      <w:r w:rsidRPr="00C6052E">
        <w:t>2025</w:t>
      </w:r>
      <w:r w:rsidR="00177848" w:rsidRPr="00C6052E">
        <w:t xml:space="preserve"> </w:t>
      </w:r>
      <w:r w:rsidRPr="00C6052E">
        <w:t>financial</w:t>
      </w:r>
      <w:r w:rsidR="00177848" w:rsidRPr="00C6052E">
        <w:t xml:space="preserve"> </w:t>
      </w:r>
      <w:r w:rsidRPr="00C6052E">
        <w:t>year,</w:t>
      </w:r>
      <w:r w:rsidR="00177848" w:rsidRPr="00C6052E">
        <w:t xml:space="preserve"> </w:t>
      </w:r>
      <w:r w:rsidRPr="00C6052E">
        <w:t>the</w:t>
      </w:r>
      <w:r w:rsidR="00177848" w:rsidRPr="00C6052E">
        <w:t xml:space="preserve"> </w:t>
      </w:r>
      <w:r w:rsidRPr="00C6052E">
        <w:t>fair</w:t>
      </w:r>
      <w:r w:rsidR="00177848" w:rsidRPr="00C6052E">
        <w:t xml:space="preserve"> </w:t>
      </w:r>
      <w:r w:rsidRPr="00C6052E">
        <w:t>value</w:t>
      </w:r>
      <w:r w:rsidR="00177848" w:rsidRPr="00C6052E">
        <w:t xml:space="preserve"> </w:t>
      </w:r>
      <w:r w:rsidRPr="00C6052E">
        <w:t>assessment</w:t>
      </w:r>
      <w:r w:rsidR="00177848" w:rsidRPr="00C6052E">
        <w:t xml:space="preserve"> </w:t>
      </w:r>
      <w:r w:rsidRPr="00C6052E">
        <w:t>undertaken</w:t>
      </w:r>
      <w:r w:rsidR="00177848" w:rsidRPr="00C6052E">
        <w:t xml:space="preserve"> </w:t>
      </w:r>
      <w:r w:rsidRPr="00C6052E">
        <w:t>by</w:t>
      </w:r>
      <w:r w:rsidR="00177848" w:rsidRPr="00C6052E">
        <w:t xml:space="preserve"> </w:t>
      </w:r>
      <w:r w:rsidRPr="00C6052E">
        <w:t>DJSIR</w:t>
      </w:r>
      <w:r w:rsidR="00177848" w:rsidRPr="00C6052E">
        <w:t xml:space="preserve"> </w:t>
      </w:r>
      <w:r w:rsidRPr="00C6052E">
        <w:t>determined</w:t>
      </w:r>
      <w:r w:rsidR="00177848" w:rsidRPr="00C6052E">
        <w:t xml:space="preserve"> </w:t>
      </w:r>
      <w:r w:rsidRPr="00C6052E">
        <w:t>that</w:t>
      </w:r>
      <w:r w:rsidR="00177848" w:rsidRPr="00C6052E">
        <w:t xml:space="preserve"> </w:t>
      </w:r>
      <w:r w:rsidRPr="00C6052E">
        <w:t>there</w:t>
      </w:r>
      <w:r w:rsidR="00177848" w:rsidRPr="00C6052E">
        <w:t xml:space="preserve"> </w:t>
      </w:r>
      <w:r w:rsidRPr="00C6052E">
        <w:t>were</w:t>
      </w:r>
      <w:r w:rsidR="00177848" w:rsidRPr="00C6052E">
        <w:t xml:space="preserve"> </w:t>
      </w:r>
      <w:r w:rsidRPr="00C6052E">
        <w:t>no</w:t>
      </w:r>
      <w:r w:rsidR="00177848" w:rsidRPr="00C6052E">
        <w:t xml:space="preserve"> </w:t>
      </w:r>
      <w:r w:rsidRPr="00C6052E">
        <w:t>material</w:t>
      </w:r>
      <w:r w:rsidR="00177848" w:rsidRPr="00C6052E">
        <w:t xml:space="preserve"> </w:t>
      </w:r>
      <w:r w:rsidRPr="00C6052E">
        <w:t>movements</w:t>
      </w:r>
      <w:r w:rsidR="00177848" w:rsidRPr="00C6052E">
        <w:t xml:space="preserve"> </w:t>
      </w:r>
      <w:r w:rsidRPr="00C6052E">
        <w:t>in</w:t>
      </w:r>
      <w:r w:rsidR="00177848" w:rsidRPr="00C6052E">
        <w:t xml:space="preserve"> </w:t>
      </w:r>
      <w:r w:rsidRPr="00C6052E">
        <w:t>the</w:t>
      </w:r>
      <w:r w:rsidR="00177848" w:rsidRPr="00C6052E">
        <w:t xml:space="preserve"> </w:t>
      </w:r>
      <w:r w:rsidRPr="00C6052E">
        <w:t>carrying</w:t>
      </w:r>
      <w:r w:rsidR="00177848" w:rsidRPr="00C6052E">
        <w:t xml:space="preserve"> </w:t>
      </w:r>
      <w:r w:rsidRPr="00C6052E">
        <w:t>value</w:t>
      </w:r>
      <w:r w:rsidR="00177848" w:rsidRPr="00C6052E">
        <w:t xml:space="preserve"> </w:t>
      </w:r>
      <w:r w:rsidRPr="00C6052E">
        <w:t>of</w:t>
      </w:r>
      <w:r w:rsidR="00177848" w:rsidRPr="00C6052E">
        <w:t xml:space="preserve"> </w:t>
      </w:r>
      <w:r w:rsidRPr="00C6052E">
        <w:t>building</w:t>
      </w:r>
      <w:r w:rsidR="00177848" w:rsidRPr="00C6052E">
        <w:t xml:space="preserve"> </w:t>
      </w:r>
      <w:r w:rsidRPr="00C6052E">
        <w:t>assets</w:t>
      </w:r>
      <w:r w:rsidR="00177848" w:rsidRPr="00C6052E">
        <w:t xml:space="preserve"> </w:t>
      </w:r>
      <w:r w:rsidRPr="00C6052E">
        <w:t>as</w:t>
      </w:r>
      <w:r w:rsidR="00177848" w:rsidRPr="00C6052E">
        <w:t xml:space="preserve"> </w:t>
      </w:r>
      <w:r w:rsidRPr="00C6052E">
        <w:t>at</w:t>
      </w:r>
      <w:r w:rsidR="00177848" w:rsidRPr="00C6052E">
        <w:t xml:space="preserve"> </w:t>
      </w:r>
      <w:r w:rsidRPr="00C6052E">
        <w:t>30</w:t>
      </w:r>
      <w:r w:rsidR="00177848" w:rsidRPr="00C6052E">
        <w:t xml:space="preserve"> </w:t>
      </w:r>
      <w:r w:rsidRPr="00C6052E">
        <w:t>June</w:t>
      </w:r>
      <w:r w:rsidR="00177848" w:rsidRPr="00C6052E">
        <w:t xml:space="preserve"> </w:t>
      </w:r>
      <w:r w:rsidRPr="00C6052E">
        <w:t>2025.</w:t>
      </w:r>
      <w:r w:rsidR="00177848" w:rsidRPr="00C6052E">
        <w:t xml:space="preserve"> </w:t>
      </w:r>
    </w:p>
    <w:p w14:paraId="10E24FA9" w14:textId="59D0BFA6" w:rsidR="00EE5BB8" w:rsidRPr="00C6052E" w:rsidRDefault="00EE5BB8" w:rsidP="00EE5BB8">
      <w:r w:rsidRPr="00C6052E">
        <w:t>The</w:t>
      </w:r>
      <w:r w:rsidR="00177848" w:rsidRPr="00C6052E">
        <w:t xml:space="preserve"> </w:t>
      </w:r>
      <w:r w:rsidRPr="00C6052E">
        <w:t>assessment</w:t>
      </w:r>
      <w:r w:rsidR="00177848" w:rsidRPr="00C6052E">
        <w:t xml:space="preserve"> </w:t>
      </w:r>
      <w:r w:rsidRPr="00C6052E">
        <w:t>indicated</w:t>
      </w:r>
      <w:r w:rsidR="00177848" w:rsidRPr="00C6052E">
        <w:t xml:space="preserve"> </w:t>
      </w:r>
      <w:r w:rsidRPr="00C6052E">
        <w:t>a</w:t>
      </w:r>
      <w:r w:rsidR="00177848" w:rsidRPr="00C6052E">
        <w:t xml:space="preserve"> </w:t>
      </w:r>
      <w:r w:rsidRPr="00C6052E">
        <w:t>compounded</w:t>
      </w:r>
      <w:r w:rsidR="00177848" w:rsidRPr="00C6052E">
        <w:t xml:space="preserve"> </w:t>
      </w:r>
      <w:r w:rsidRPr="00C6052E">
        <w:t>decrease</w:t>
      </w:r>
      <w:r w:rsidR="00177848" w:rsidRPr="00C6052E">
        <w:t xml:space="preserve"> </w:t>
      </w:r>
      <w:r w:rsidRPr="00C6052E">
        <w:t>of</w:t>
      </w:r>
      <w:r w:rsidR="00177848" w:rsidRPr="00C6052E">
        <w:t xml:space="preserve"> </w:t>
      </w:r>
      <w:r w:rsidRPr="00C6052E">
        <w:t>11.29%</w:t>
      </w:r>
      <w:r w:rsidR="00177848" w:rsidRPr="00C6052E">
        <w:t xml:space="preserve"> </w:t>
      </w:r>
      <w:r w:rsidRPr="00C6052E">
        <w:t>($42.67</w:t>
      </w:r>
      <w:r w:rsidR="00177848" w:rsidRPr="00C6052E">
        <w:t xml:space="preserve"> </w:t>
      </w:r>
      <w:r w:rsidRPr="00C6052E">
        <w:t>million)</w:t>
      </w:r>
      <w:r w:rsidR="00177848" w:rsidRPr="00C6052E">
        <w:t xml:space="preserve"> </w:t>
      </w:r>
      <w:r w:rsidRPr="00C6052E">
        <w:t>in</w:t>
      </w:r>
      <w:r w:rsidR="00177848" w:rsidRPr="00C6052E">
        <w:t xml:space="preserve"> </w:t>
      </w:r>
      <w:r w:rsidRPr="00C6052E">
        <w:t>fair</w:t>
      </w:r>
      <w:r w:rsidR="00177848" w:rsidRPr="00C6052E">
        <w:t xml:space="preserve"> </w:t>
      </w:r>
      <w:r w:rsidRPr="00C6052E">
        <w:t>value</w:t>
      </w:r>
      <w:r w:rsidR="00177848" w:rsidRPr="00C6052E">
        <w:t xml:space="preserve"> </w:t>
      </w:r>
      <w:r w:rsidRPr="00C6052E">
        <w:t>of</w:t>
      </w:r>
      <w:r w:rsidR="00177848" w:rsidRPr="00C6052E">
        <w:t xml:space="preserve"> </w:t>
      </w:r>
      <w:r w:rsidRPr="00C6052E">
        <w:t>land</w:t>
      </w:r>
      <w:r w:rsidR="00177848" w:rsidRPr="00C6052E">
        <w:t xml:space="preserve"> </w:t>
      </w:r>
      <w:r w:rsidRPr="00C6052E">
        <w:t>assets</w:t>
      </w:r>
      <w:r w:rsidR="00177848" w:rsidRPr="00C6052E">
        <w:t xml:space="preserve"> </w:t>
      </w:r>
      <w:r w:rsidRPr="00C6052E">
        <w:t>as</w:t>
      </w:r>
      <w:r w:rsidR="00177848" w:rsidRPr="00C6052E">
        <w:t xml:space="preserve"> </w:t>
      </w:r>
      <w:r w:rsidRPr="00C6052E">
        <w:t>at</w:t>
      </w:r>
      <w:r w:rsidR="00177848" w:rsidRPr="00C6052E">
        <w:t xml:space="preserve"> </w:t>
      </w:r>
      <w:r w:rsidRPr="00C6052E">
        <w:t>30</w:t>
      </w:r>
      <w:r w:rsidR="00177848" w:rsidRPr="00C6052E">
        <w:t xml:space="preserve"> </w:t>
      </w:r>
      <w:r w:rsidRPr="00C6052E">
        <w:t>June</w:t>
      </w:r>
      <w:r w:rsidR="00177848" w:rsidRPr="00C6052E">
        <w:t xml:space="preserve"> </w:t>
      </w:r>
      <w:r w:rsidRPr="00C6052E">
        <w:t>2025.</w:t>
      </w:r>
      <w:r w:rsidR="00177848" w:rsidRPr="00C6052E">
        <w:t xml:space="preserve"> </w:t>
      </w:r>
      <w:r w:rsidRPr="00C6052E">
        <w:t>A</w:t>
      </w:r>
      <w:r w:rsidR="00177848" w:rsidRPr="00C6052E">
        <w:t xml:space="preserve"> </w:t>
      </w:r>
      <w:r w:rsidRPr="00C6052E">
        <w:t>management-initiated</w:t>
      </w:r>
      <w:r w:rsidR="00177848" w:rsidRPr="00C6052E">
        <w:t xml:space="preserve"> </w:t>
      </w:r>
      <w:r w:rsidRPr="00C6052E">
        <w:t>revaluation</w:t>
      </w:r>
      <w:r w:rsidR="00177848" w:rsidRPr="00C6052E">
        <w:t xml:space="preserve"> </w:t>
      </w:r>
      <w:r w:rsidRPr="00C6052E">
        <w:t>adjustment</w:t>
      </w:r>
      <w:r w:rsidR="00177848" w:rsidRPr="00C6052E">
        <w:t xml:space="preserve"> </w:t>
      </w:r>
      <w:r w:rsidRPr="00C6052E">
        <w:t>has</w:t>
      </w:r>
      <w:r w:rsidR="00177848" w:rsidRPr="00C6052E">
        <w:t xml:space="preserve"> </w:t>
      </w:r>
      <w:r w:rsidRPr="00C6052E">
        <w:t>been</w:t>
      </w:r>
      <w:r w:rsidR="00177848" w:rsidRPr="00C6052E">
        <w:t xml:space="preserve"> </w:t>
      </w:r>
      <w:r w:rsidRPr="00C6052E">
        <w:t>recognised</w:t>
      </w:r>
      <w:r w:rsidR="00177848" w:rsidRPr="00C6052E">
        <w:t xml:space="preserve"> </w:t>
      </w:r>
      <w:r w:rsidRPr="00C6052E">
        <w:t>to</w:t>
      </w:r>
      <w:r w:rsidR="00177848" w:rsidRPr="00C6052E">
        <w:t xml:space="preserve"> </w:t>
      </w:r>
      <w:r w:rsidRPr="00C6052E">
        <w:t>reflect</w:t>
      </w:r>
      <w:r w:rsidR="00177848" w:rsidRPr="00C6052E">
        <w:t xml:space="preserve"> </w:t>
      </w:r>
      <w:r w:rsidRPr="00C6052E">
        <w:t>this</w:t>
      </w:r>
      <w:r w:rsidR="00177848" w:rsidRPr="00C6052E">
        <w:t xml:space="preserve"> </w:t>
      </w:r>
      <w:r w:rsidRPr="00C6052E">
        <w:t>decrease,</w:t>
      </w:r>
      <w:r w:rsidR="00177848" w:rsidRPr="00C6052E">
        <w:t xml:space="preserve"> </w:t>
      </w:r>
      <w:r w:rsidRPr="00C6052E">
        <w:t>ensuring</w:t>
      </w:r>
      <w:r w:rsidR="00177848" w:rsidRPr="00C6052E">
        <w:t xml:space="preserve"> </w:t>
      </w:r>
      <w:r w:rsidRPr="00C6052E">
        <w:t>that</w:t>
      </w:r>
      <w:r w:rsidR="00177848" w:rsidRPr="00C6052E">
        <w:t xml:space="preserve"> </w:t>
      </w:r>
      <w:r w:rsidRPr="00C6052E">
        <w:t>the</w:t>
      </w:r>
      <w:r w:rsidR="00177848" w:rsidRPr="00C6052E">
        <w:t xml:space="preserve"> </w:t>
      </w:r>
      <w:r w:rsidRPr="00C6052E">
        <w:t>carrying</w:t>
      </w:r>
      <w:r w:rsidR="00177848" w:rsidRPr="00C6052E">
        <w:t xml:space="preserve"> </w:t>
      </w:r>
      <w:r w:rsidRPr="00C6052E">
        <w:t>value</w:t>
      </w:r>
      <w:r w:rsidR="00177848" w:rsidRPr="00C6052E">
        <w:t xml:space="preserve"> </w:t>
      </w:r>
      <w:r w:rsidRPr="00C6052E">
        <w:t>of</w:t>
      </w:r>
      <w:r w:rsidR="00177848" w:rsidRPr="00C6052E">
        <w:t xml:space="preserve"> </w:t>
      </w:r>
      <w:r w:rsidRPr="00C6052E">
        <w:t>land</w:t>
      </w:r>
      <w:r w:rsidR="00177848" w:rsidRPr="00C6052E">
        <w:t xml:space="preserve"> </w:t>
      </w:r>
      <w:r w:rsidRPr="00C6052E">
        <w:t>assets</w:t>
      </w:r>
      <w:r w:rsidR="00177848" w:rsidRPr="00C6052E">
        <w:t xml:space="preserve"> </w:t>
      </w:r>
      <w:r w:rsidRPr="00C6052E">
        <w:t>is</w:t>
      </w:r>
      <w:r w:rsidR="00177848" w:rsidRPr="00C6052E">
        <w:t xml:space="preserve"> </w:t>
      </w:r>
      <w:r w:rsidRPr="00C6052E">
        <w:t>fairly</w:t>
      </w:r>
      <w:r w:rsidR="00177848" w:rsidRPr="00C6052E">
        <w:t xml:space="preserve"> </w:t>
      </w:r>
      <w:r w:rsidRPr="00C6052E">
        <w:t>presented</w:t>
      </w:r>
      <w:r w:rsidR="00177848" w:rsidRPr="00C6052E">
        <w:t xml:space="preserve"> </w:t>
      </w:r>
      <w:r w:rsidRPr="00C6052E">
        <w:t>and</w:t>
      </w:r>
      <w:r w:rsidR="00177848" w:rsidRPr="00C6052E">
        <w:t xml:space="preserve"> </w:t>
      </w:r>
      <w:r w:rsidRPr="00C6052E">
        <w:t>remains</w:t>
      </w:r>
      <w:r w:rsidR="00177848" w:rsidRPr="00C6052E">
        <w:t xml:space="preserve"> </w:t>
      </w:r>
      <w:r w:rsidRPr="00C6052E">
        <w:t>in</w:t>
      </w:r>
      <w:r w:rsidR="00177848" w:rsidRPr="00C6052E">
        <w:t xml:space="preserve"> </w:t>
      </w:r>
      <w:r w:rsidRPr="00C6052E">
        <w:t>compliance</w:t>
      </w:r>
      <w:r w:rsidR="00177848" w:rsidRPr="00C6052E">
        <w:t xml:space="preserve"> </w:t>
      </w:r>
      <w:r w:rsidRPr="00C6052E">
        <w:t>with</w:t>
      </w:r>
      <w:r w:rsidR="00177848" w:rsidRPr="00C6052E">
        <w:t xml:space="preserve"> </w:t>
      </w:r>
      <w:r w:rsidRPr="00C6052E">
        <w:t>the</w:t>
      </w:r>
      <w:r w:rsidR="00177848" w:rsidRPr="00C6052E">
        <w:t xml:space="preserve"> </w:t>
      </w:r>
      <w:r w:rsidRPr="00C6052E">
        <w:t>requirements</w:t>
      </w:r>
      <w:r w:rsidR="00177848" w:rsidRPr="00C6052E">
        <w:t xml:space="preserve"> </w:t>
      </w:r>
      <w:r w:rsidRPr="00C6052E">
        <w:t>of</w:t>
      </w:r>
      <w:r w:rsidR="00177848" w:rsidRPr="00C6052E">
        <w:t xml:space="preserve"> </w:t>
      </w:r>
      <w:r w:rsidRPr="00C6052E">
        <w:t>FRD</w:t>
      </w:r>
      <w:r w:rsidR="00177848" w:rsidRPr="00C6052E">
        <w:t xml:space="preserve"> </w:t>
      </w:r>
      <w:r w:rsidRPr="00C6052E">
        <w:t>103</w:t>
      </w:r>
      <w:r w:rsidR="00177848" w:rsidRPr="00C6052E">
        <w:t xml:space="preserve"> </w:t>
      </w:r>
      <w:r w:rsidRPr="00C6052E">
        <w:t>–</w:t>
      </w:r>
      <w:r w:rsidR="00177848" w:rsidRPr="00C6052E">
        <w:t xml:space="preserve"> </w:t>
      </w:r>
      <w:r w:rsidRPr="00C6052E">
        <w:rPr>
          <w:i/>
          <w:iCs/>
        </w:rPr>
        <w:t>Non-financial</w:t>
      </w:r>
      <w:r w:rsidR="00177848" w:rsidRPr="00C6052E">
        <w:rPr>
          <w:i/>
          <w:iCs/>
        </w:rPr>
        <w:t xml:space="preserve"> </w:t>
      </w:r>
      <w:r w:rsidRPr="00C6052E">
        <w:rPr>
          <w:i/>
          <w:iCs/>
        </w:rPr>
        <w:t>physical</w:t>
      </w:r>
      <w:r w:rsidR="00177848" w:rsidRPr="00C6052E">
        <w:rPr>
          <w:i/>
          <w:iCs/>
        </w:rPr>
        <w:t xml:space="preserve"> </w:t>
      </w:r>
      <w:r w:rsidRPr="00C6052E">
        <w:rPr>
          <w:i/>
          <w:iCs/>
        </w:rPr>
        <w:t>assets</w:t>
      </w:r>
      <w:r w:rsidRPr="00C6052E">
        <w:t>.</w:t>
      </w:r>
    </w:p>
    <w:p w14:paraId="5516CDE0" w14:textId="404AEE4B" w:rsidR="00EE5BB8" w:rsidRPr="00C6052E" w:rsidRDefault="00EE5BB8" w:rsidP="00EE5BB8">
      <w:pPr>
        <w:pStyle w:val="Heading4"/>
      </w:pPr>
      <w:r w:rsidRPr="00C6052E">
        <w:lastRenderedPageBreak/>
        <w:t>Accounting</w:t>
      </w:r>
      <w:r w:rsidR="00177848" w:rsidRPr="00C6052E">
        <w:t xml:space="preserve"> </w:t>
      </w:r>
      <w:r w:rsidRPr="00C6052E">
        <w:t>for</w:t>
      </w:r>
      <w:r w:rsidR="00177848" w:rsidRPr="00C6052E">
        <w:t xml:space="preserve"> </w:t>
      </w:r>
      <w:r w:rsidRPr="00C6052E">
        <w:t>revaluation</w:t>
      </w:r>
      <w:r w:rsidR="00177848" w:rsidRPr="00C6052E">
        <w:t xml:space="preserve"> </w:t>
      </w:r>
      <w:r w:rsidRPr="00C6052E">
        <w:t>movements</w:t>
      </w:r>
      <w:r w:rsidR="00177848" w:rsidRPr="00C6052E">
        <w:t xml:space="preserve"> </w:t>
      </w:r>
    </w:p>
    <w:p w14:paraId="66E4FAA7" w14:textId="32088345" w:rsidR="00EE5BB8" w:rsidRPr="00C6052E" w:rsidRDefault="00EE5BB8" w:rsidP="00EE5BB8">
      <w:r w:rsidRPr="00C6052E">
        <w:t>Revaluation</w:t>
      </w:r>
      <w:r w:rsidR="00177848" w:rsidRPr="00C6052E">
        <w:t xml:space="preserve"> </w:t>
      </w:r>
      <w:r w:rsidRPr="00C6052E">
        <w:t>increases</w:t>
      </w:r>
      <w:r w:rsidR="00177848" w:rsidRPr="00C6052E">
        <w:t xml:space="preserve"> </w:t>
      </w:r>
      <w:r w:rsidRPr="00C6052E">
        <w:t>or</w:t>
      </w:r>
      <w:r w:rsidR="00177848" w:rsidRPr="00C6052E">
        <w:t xml:space="preserve"> </w:t>
      </w:r>
      <w:r w:rsidRPr="00C6052E">
        <w:t>decreases</w:t>
      </w:r>
      <w:r w:rsidR="00177848" w:rsidRPr="00C6052E">
        <w:t xml:space="preserve"> </w:t>
      </w:r>
      <w:r w:rsidRPr="00C6052E">
        <w:t>arise</w:t>
      </w:r>
      <w:r w:rsidR="00177848" w:rsidRPr="00C6052E">
        <w:t xml:space="preserve"> </w:t>
      </w:r>
      <w:r w:rsidRPr="00C6052E">
        <w:t>from</w:t>
      </w:r>
      <w:r w:rsidR="00177848" w:rsidRPr="00C6052E">
        <w:t xml:space="preserve"> </w:t>
      </w:r>
      <w:r w:rsidRPr="00C6052E">
        <w:t>differences</w:t>
      </w:r>
      <w:r w:rsidR="00177848" w:rsidRPr="00C6052E">
        <w:t xml:space="preserve"> </w:t>
      </w:r>
      <w:r w:rsidRPr="00C6052E">
        <w:t>between</w:t>
      </w:r>
      <w:r w:rsidR="00177848" w:rsidRPr="00C6052E">
        <w:t xml:space="preserve"> </w:t>
      </w:r>
      <w:r w:rsidRPr="00C6052E">
        <w:t>an</w:t>
      </w:r>
      <w:r w:rsidR="00177848" w:rsidRPr="00C6052E">
        <w:t xml:space="preserve"> </w:t>
      </w:r>
      <w:r w:rsidRPr="00C6052E">
        <w:t>asset’s</w:t>
      </w:r>
      <w:r w:rsidR="00177848" w:rsidRPr="00C6052E">
        <w:t xml:space="preserve"> </w:t>
      </w:r>
      <w:r w:rsidRPr="00C6052E">
        <w:t>carrying</w:t>
      </w:r>
      <w:r w:rsidR="00177848" w:rsidRPr="00C6052E">
        <w:t xml:space="preserve"> </w:t>
      </w:r>
      <w:r w:rsidRPr="00C6052E">
        <w:t>value</w:t>
      </w:r>
      <w:r w:rsidR="00177848" w:rsidRPr="00C6052E">
        <w:t xml:space="preserve"> </w:t>
      </w:r>
      <w:r w:rsidRPr="00C6052E">
        <w:t>and</w:t>
      </w:r>
      <w:r w:rsidR="00177848" w:rsidRPr="00C6052E">
        <w:t xml:space="preserve"> </w:t>
      </w:r>
      <w:r w:rsidRPr="00C6052E">
        <w:t>its</w:t>
      </w:r>
      <w:r w:rsidR="00177848" w:rsidRPr="00C6052E">
        <w:t xml:space="preserve"> </w:t>
      </w:r>
      <w:r w:rsidRPr="00C6052E">
        <w:t>fair</w:t>
      </w:r>
      <w:r w:rsidR="00177848" w:rsidRPr="00C6052E">
        <w:t xml:space="preserve"> </w:t>
      </w:r>
      <w:r w:rsidRPr="00C6052E">
        <w:t>value.</w:t>
      </w:r>
      <w:r w:rsidR="00177848" w:rsidRPr="00C6052E">
        <w:t xml:space="preserve"> </w:t>
      </w:r>
      <w:r w:rsidRPr="00C6052E">
        <w:t>Revaluation</w:t>
      </w:r>
      <w:r w:rsidR="00177848" w:rsidRPr="00C6052E">
        <w:t xml:space="preserve"> </w:t>
      </w:r>
      <w:r w:rsidRPr="00C6052E">
        <w:t>increases</w:t>
      </w:r>
      <w:r w:rsidR="00177848" w:rsidRPr="00C6052E">
        <w:t xml:space="preserve"> </w:t>
      </w:r>
      <w:r w:rsidRPr="00C6052E">
        <w:t>and</w:t>
      </w:r>
      <w:r w:rsidR="00177848" w:rsidRPr="00C6052E">
        <w:t xml:space="preserve"> </w:t>
      </w:r>
      <w:r w:rsidRPr="00C6052E">
        <w:t>decreases</w:t>
      </w:r>
      <w:r w:rsidR="00177848" w:rsidRPr="00C6052E">
        <w:t xml:space="preserve"> </w:t>
      </w:r>
      <w:r w:rsidRPr="00C6052E">
        <w:t>relating</w:t>
      </w:r>
      <w:r w:rsidR="00177848" w:rsidRPr="00C6052E">
        <w:t xml:space="preserve"> </w:t>
      </w:r>
      <w:r w:rsidRPr="00C6052E">
        <w:t>to</w:t>
      </w:r>
      <w:r w:rsidR="00177848" w:rsidRPr="00C6052E">
        <w:t xml:space="preserve"> </w:t>
      </w:r>
      <w:r w:rsidRPr="00C6052E">
        <w:t>individual</w:t>
      </w:r>
      <w:r w:rsidR="00177848" w:rsidRPr="00C6052E">
        <w:t xml:space="preserve"> </w:t>
      </w:r>
      <w:r w:rsidRPr="00C6052E">
        <w:t>assets</w:t>
      </w:r>
      <w:r w:rsidR="00177848" w:rsidRPr="00C6052E">
        <w:t xml:space="preserve"> </w:t>
      </w:r>
      <w:r w:rsidRPr="00C6052E">
        <w:t>in</w:t>
      </w:r>
      <w:r w:rsidR="00177848" w:rsidRPr="00C6052E">
        <w:t xml:space="preserve"> </w:t>
      </w:r>
      <w:r w:rsidRPr="00C6052E">
        <w:t>a</w:t>
      </w:r>
      <w:r w:rsidR="00177848" w:rsidRPr="00C6052E">
        <w:t xml:space="preserve"> </w:t>
      </w:r>
      <w:r w:rsidRPr="00C6052E">
        <w:t>class</w:t>
      </w:r>
      <w:r w:rsidR="00177848" w:rsidRPr="00C6052E">
        <w:t xml:space="preserve"> </w:t>
      </w:r>
      <w:r w:rsidRPr="00C6052E">
        <w:t>of</w:t>
      </w:r>
      <w:r w:rsidR="00177848" w:rsidRPr="00C6052E">
        <w:t xml:space="preserve"> </w:t>
      </w:r>
      <w:r w:rsidRPr="00C6052E">
        <w:t>PPE,</w:t>
      </w:r>
      <w:r w:rsidR="00177848" w:rsidRPr="00C6052E">
        <w:t xml:space="preserve"> </w:t>
      </w:r>
      <w:r w:rsidRPr="00C6052E">
        <w:t>are</w:t>
      </w:r>
      <w:r w:rsidR="00177848" w:rsidRPr="00C6052E">
        <w:t xml:space="preserve"> </w:t>
      </w:r>
      <w:r w:rsidRPr="00C6052E">
        <w:t>offset</w:t>
      </w:r>
      <w:r w:rsidR="00177848" w:rsidRPr="00C6052E">
        <w:t xml:space="preserve"> </w:t>
      </w:r>
      <w:r w:rsidRPr="00C6052E">
        <w:t>against</w:t>
      </w:r>
      <w:r w:rsidR="00177848" w:rsidRPr="00C6052E">
        <w:t xml:space="preserve"> </w:t>
      </w:r>
      <w:r w:rsidRPr="00C6052E">
        <w:t>other</w:t>
      </w:r>
      <w:r w:rsidR="00177848" w:rsidRPr="00C6052E">
        <w:t xml:space="preserve"> </w:t>
      </w:r>
      <w:r w:rsidRPr="00C6052E">
        <w:t>assets</w:t>
      </w:r>
      <w:r w:rsidR="00177848" w:rsidRPr="00C6052E">
        <w:t xml:space="preserve"> </w:t>
      </w:r>
      <w:r w:rsidRPr="00C6052E">
        <w:t>in</w:t>
      </w:r>
      <w:r w:rsidR="00177848" w:rsidRPr="00C6052E">
        <w:t xml:space="preserve"> </w:t>
      </w:r>
      <w:r w:rsidRPr="00C6052E">
        <w:t>that</w:t>
      </w:r>
      <w:r w:rsidR="00177848" w:rsidRPr="00C6052E">
        <w:t xml:space="preserve"> </w:t>
      </w:r>
      <w:r w:rsidRPr="00C6052E">
        <w:t>class</w:t>
      </w:r>
      <w:r w:rsidR="00177848" w:rsidRPr="00C6052E">
        <w:t xml:space="preserve"> </w:t>
      </w:r>
      <w:r w:rsidRPr="00C6052E">
        <w:t>but</w:t>
      </w:r>
      <w:r w:rsidR="00177848" w:rsidRPr="00C6052E">
        <w:t xml:space="preserve"> </w:t>
      </w:r>
      <w:r w:rsidRPr="00C6052E">
        <w:t>are</w:t>
      </w:r>
      <w:r w:rsidR="00177848" w:rsidRPr="00C6052E">
        <w:t xml:space="preserve"> </w:t>
      </w:r>
      <w:r w:rsidRPr="00C6052E">
        <w:t>not</w:t>
      </w:r>
      <w:r w:rsidR="00177848" w:rsidRPr="00C6052E">
        <w:t xml:space="preserve"> </w:t>
      </w:r>
      <w:r w:rsidRPr="00C6052E">
        <w:t>offset</w:t>
      </w:r>
      <w:r w:rsidR="00177848" w:rsidRPr="00C6052E">
        <w:t xml:space="preserve"> </w:t>
      </w:r>
      <w:r w:rsidRPr="00C6052E">
        <w:t>against</w:t>
      </w:r>
      <w:r w:rsidR="00177848" w:rsidRPr="00C6052E">
        <w:t xml:space="preserve"> </w:t>
      </w:r>
      <w:r w:rsidRPr="00C6052E">
        <w:t>assets</w:t>
      </w:r>
      <w:r w:rsidR="00177848" w:rsidRPr="00C6052E">
        <w:t xml:space="preserve"> </w:t>
      </w:r>
      <w:r w:rsidRPr="00C6052E">
        <w:t>in</w:t>
      </w:r>
      <w:r w:rsidR="00177848" w:rsidRPr="00C6052E">
        <w:t xml:space="preserve"> </w:t>
      </w:r>
      <w:r w:rsidRPr="00C6052E">
        <w:t>different</w:t>
      </w:r>
      <w:r w:rsidR="00177848" w:rsidRPr="00C6052E">
        <w:t xml:space="preserve"> </w:t>
      </w:r>
      <w:r w:rsidRPr="00C6052E">
        <w:t>classes.</w:t>
      </w:r>
      <w:r w:rsidR="00177848" w:rsidRPr="00C6052E">
        <w:t xml:space="preserve"> </w:t>
      </w:r>
      <w:r w:rsidRPr="00C6052E">
        <w:t>An</w:t>
      </w:r>
      <w:r w:rsidR="00177848" w:rsidRPr="00C6052E">
        <w:t xml:space="preserve"> </w:t>
      </w:r>
      <w:r w:rsidRPr="00C6052E">
        <w:t>asset</w:t>
      </w:r>
      <w:r w:rsidR="00177848" w:rsidRPr="00C6052E">
        <w:t xml:space="preserve"> </w:t>
      </w:r>
      <w:r w:rsidRPr="00C6052E">
        <w:t>revaluation</w:t>
      </w:r>
      <w:r w:rsidR="00177848" w:rsidRPr="00C6052E">
        <w:t xml:space="preserve"> </w:t>
      </w:r>
      <w:r w:rsidRPr="00C6052E">
        <w:t>surplus</w:t>
      </w:r>
      <w:r w:rsidR="00177848" w:rsidRPr="00C6052E">
        <w:t xml:space="preserve"> </w:t>
      </w:r>
      <w:r w:rsidRPr="00C6052E">
        <w:t>is</w:t>
      </w:r>
      <w:r w:rsidR="00177848" w:rsidRPr="00C6052E">
        <w:t xml:space="preserve"> </w:t>
      </w:r>
      <w:r w:rsidRPr="00C6052E">
        <w:t>not</w:t>
      </w:r>
      <w:r w:rsidR="00177848" w:rsidRPr="00C6052E">
        <w:t xml:space="preserve"> </w:t>
      </w:r>
      <w:r w:rsidRPr="00C6052E">
        <w:t>transferred</w:t>
      </w:r>
      <w:r w:rsidR="00177848" w:rsidRPr="00C6052E">
        <w:t xml:space="preserve"> </w:t>
      </w:r>
      <w:r w:rsidRPr="00C6052E">
        <w:t>to</w:t>
      </w:r>
      <w:r w:rsidR="00177848" w:rsidRPr="00C6052E">
        <w:t xml:space="preserve"> </w:t>
      </w:r>
      <w:r w:rsidRPr="00C6052E">
        <w:t>accumulated</w:t>
      </w:r>
      <w:r w:rsidR="00177848" w:rsidRPr="00C6052E">
        <w:t xml:space="preserve"> </w:t>
      </w:r>
      <w:r w:rsidRPr="00C6052E">
        <w:t>funds</w:t>
      </w:r>
      <w:r w:rsidR="00177848" w:rsidRPr="00C6052E">
        <w:t xml:space="preserve"> </w:t>
      </w:r>
      <w:r w:rsidRPr="00C6052E">
        <w:t>on</w:t>
      </w:r>
      <w:r w:rsidR="00177848" w:rsidRPr="00C6052E">
        <w:t xml:space="preserve"> </w:t>
      </w:r>
      <w:r w:rsidRPr="00C6052E">
        <w:t>the</w:t>
      </w:r>
      <w:r w:rsidR="00177848" w:rsidRPr="00C6052E">
        <w:t xml:space="preserve"> </w:t>
      </w:r>
      <w:r w:rsidRPr="00C6052E">
        <w:t>de-recognition</w:t>
      </w:r>
      <w:r w:rsidR="00177848" w:rsidRPr="00C6052E">
        <w:t xml:space="preserve"> </w:t>
      </w:r>
      <w:r w:rsidRPr="00C6052E">
        <w:t>of</w:t>
      </w:r>
      <w:r w:rsidR="00177848" w:rsidRPr="00C6052E">
        <w:t xml:space="preserve"> </w:t>
      </w:r>
      <w:r w:rsidRPr="00C6052E">
        <w:t>the</w:t>
      </w:r>
      <w:r w:rsidR="00177848" w:rsidRPr="00C6052E">
        <w:t xml:space="preserve"> </w:t>
      </w:r>
      <w:r w:rsidRPr="00C6052E">
        <w:t>related</w:t>
      </w:r>
      <w:r w:rsidR="00177848" w:rsidRPr="00C6052E">
        <w:t xml:space="preserve"> </w:t>
      </w:r>
      <w:r w:rsidRPr="00C6052E">
        <w:t>asset.</w:t>
      </w:r>
    </w:p>
    <w:p w14:paraId="7970CCF4" w14:textId="6AFCFDA7" w:rsidR="00EE5BB8" w:rsidRPr="00C6052E" w:rsidRDefault="00EE5BB8" w:rsidP="00EE5BB8">
      <w:r w:rsidRPr="00C6052E">
        <w:t>Revaluation</w:t>
      </w:r>
      <w:r w:rsidR="00177848" w:rsidRPr="00C6052E">
        <w:t xml:space="preserve"> </w:t>
      </w:r>
      <w:r w:rsidRPr="00C6052E">
        <w:t>increments</w:t>
      </w:r>
      <w:r w:rsidR="00177848" w:rsidRPr="00C6052E">
        <w:t xml:space="preserve"> </w:t>
      </w:r>
      <w:r w:rsidRPr="00C6052E">
        <w:t>are</w:t>
      </w:r>
      <w:r w:rsidR="00177848" w:rsidRPr="00C6052E">
        <w:t xml:space="preserve"> </w:t>
      </w:r>
      <w:r w:rsidRPr="00C6052E">
        <w:t>credited</w:t>
      </w:r>
      <w:r w:rsidR="00177848" w:rsidRPr="00C6052E">
        <w:t xml:space="preserve"> </w:t>
      </w:r>
      <w:r w:rsidRPr="00C6052E">
        <w:t>directly</w:t>
      </w:r>
      <w:r w:rsidR="00177848" w:rsidRPr="00C6052E">
        <w:t xml:space="preserve"> </w:t>
      </w:r>
      <w:r w:rsidRPr="00C6052E">
        <w:t>to</w:t>
      </w:r>
      <w:r w:rsidR="00177848" w:rsidRPr="00C6052E">
        <w:t xml:space="preserve"> </w:t>
      </w:r>
      <w:r w:rsidRPr="00C6052E">
        <w:t>the</w:t>
      </w:r>
      <w:r w:rsidR="00177848" w:rsidRPr="00C6052E">
        <w:t xml:space="preserve"> </w:t>
      </w:r>
      <w:r w:rsidRPr="00C6052E">
        <w:t>asset</w:t>
      </w:r>
      <w:r w:rsidR="00177848" w:rsidRPr="00C6052E">
        <w:t xml:space="preserve"> </w:t>
      </w:r>
      <w:r w:rsidRPr="00C6052E">
        <w:t>revaluation</w:t>
      </w:r>
      <w:r w:rsidR="00177848" w:rsidRPr="00C6052E">
        <w:t xml:space="preserve"> </w:t>
      </w:r>
      <w:r w:rsidRPr="00C6052E">
        <w:t>reserve,</w:t>
      </w:r>
      <w:r w:rsidR="00177848" w:rsidRPr="00C6052E">
        <w:t xml:space="preserve"> </w:t>
      </w:r>
      <w:r w:rsidRPr="00C6052E">
        <w:t>except</w:t>
      </w:r>
      <w:r w:rsidR="00177848" w:rsidRPr="00C6052E">
        <w:t xml:space="preserve"> </w:t>
      </w:r>
      <w:r w:rsidRPr="00C6052E">
        <w:t>to</w:t>
      </w:r>
      <w:r w:rsidR="00177848" w:rsidRPr="00C6052E">
        <w:t xml:space="preserve"> </w:t>
      </w:r>
      <w:r w:rsidRPr="00C6052E">
        <w:t>the</w:t>
      </w:r>
      <w:r w:rsidR="00177848" w:rsidRPr="00C6052E">
        <w:t xml:space="preserve"> </w:t>
      </w:r>
      <w:r w:rsidRPr="00C6052E">
        <w:t>extent</w:t>
      </w:r>
      <w:r w:rsidR="00177848" w:rsidRPr="00C6052E">
        <w:t xml:space="preserve"> </w:t>
      </w:r>
      <w:r w:rsidRPr="00C6052E">
        <w:t>that</w:t>
      </w:r>
      <w:r w:rsidR="00177848" w:rsidRPr="00C6052E">
        <w:t xml:space="preserve"> </w:t>
      </w:r>
      <w:r w:rsidRPr="00C6052E">
        <w:t>an</w:t>
      </w:r>
      <w:r w:rsidR="00177848" w:rsidRPr="00C6052E">
        <w:t xml:space="preserve"> </w:t>
      </w:r>
      <w:r w:rsidRPr="00C6052E">
        <w:t>increment</w:t>
      </w:r>
      <w:r w:rsidR="00177848" w:rsidRPr="00C6052E">
        <w:t xml:space="preserve"> </w:t>
      </w:r>
      <w:r w:rsidRPr="00C6052E">
        <w:t>reverses</w:t>
      </w:r>
      <w:r w:rsidR="00177848" w:rsidRPr="00C6052E">
        <w:t xml:space="preserve"> </w:t>
      </w:r>
      <w:r w:rsidRPr="00C6052E">
        <w:t>a</w:t>
      </w:r>
      <w:r w:rsidR="00177848" w:rsidRPr="00C6052E">
        <w:t xml:space="preserve"> </w:t>
      </w:r>
      <w:r w:rsidRPr="00C6052E">
        <w:t>revaluation</w:t>
      </w:r>
      <w:r w:rsidR="00177848" w:rsidRPr="00C6052E">
        <w:t xml:space="preserve"> </w:t>
      </w:r>
      <w:r w:rsidRPr="00C6052E">
        <w:t>decrement</w:t>
      </w:r>
      <w:r w:rsidR="00177848" w:rsidRPr="00C6052E">
        <w:t xml:space="preserve"> </w:t>
      </w:r>
      <w:r w:rsidRPr="00C6052E">
        <w:t>in</w:t>
      </w:r>
      <w:r w:rsidR="00177848" w:rsidRPr="00C6052E">
        <w:t xml:space="preserve"> </w:t>
      </w:r>
      <w:r w:rsidRPr="00C6052E">
        <w:t>respect</w:t>
      </w:r>
      <w:r w:rsidR="00177848" w:rsidRPr="00C6052E">
        <w:t xml:space="preserve"> </w:t>
      </w:r>
      <w:r w:rsidRPr="00C6052E">
        <w:t>of</w:t>
      </w:r>
      <w:r w:rsidR="00177848" w:rsidRPr="00C6052E">
        <w:t xml:space="preserve"> </w:t>
      </w:r>
      <w:r w:rsidRPr="00C6052E">
        <w:t>that</w:t>
      </w:r>
      <w:r w:rsidR="00177848" w:rsidRPr="00C6052E">
        <w:t xml:space="preserve"> </w:t>
      </w:r>
      <w:r w:rsidRPr="00C6052E">
        <w:t>class</w:t>
      </w:r>
      <w:r w:rsidR="00177848" w:rsidRPr="00C6052E">
        <w:t xml:space="preserve"> </w:t>
      </w:r>
      <w:r w:rsidRPr="00C6052E">
        <w:t>of</w:t>
      </w:r>
      <w:r w:rsidR="00177848" w:rsidRPr="00C6052E">
        <w:t xml:space="preserve"> </w:t>
      </w:r>
      <w:r w:rsidRPr="00C6052E">
        <w:t>asset</w:t>
      </w:r>
      <w:r w:rsidR="00177848" w:rsidRPr="00C6052E">
        <w:t xml:space="preserve"> </w:t>
      </w:r>
      <w:r w:rsidRPr="00C6052E">
        <w:t>previously</w:t>
      </w:r>
      <w:r w:rsidR="00177848" w:rsidRPr="00C6052E">
        <w:t xml:space="preserve"> </w:t>
      </w:r>
      <w:r w:rsidRPr="00C6052E">
        <w:t>recognised</w:t>
      </w:r>
      <w:r w:rsidR="00177848" w:rsidRPr="00C6052E">
        <w:t xml:space="preserve"> </w:t>
      </w:r>
      <w:r w:rsidRPr="00C6052E">
        <w:t>as</w:t>
      </w:r>
      <w:r w:rsidR="00177848" w:rsidRPr="00C6052E">
        <w:t xml:space="preserve"> </w:t>
      </w:r>
      <w:r w:rsidRPr="00C6052E">
        <w:t>an</w:t>
      </w:r>
      <w:r w:rsidR="00177848" w:rsidRPr="00C6052E">
        <w:t xml:space="preserve"> </w:t>
      </w:r>
      <w:r w:rsidRPr="00C6052E">
        <w:t>expense,</w:t>
      </w:r>
      <w:r w:rsidR="00177848" w:rsidRPr="00C6052E">
        <w:t xml:space="preserve"> </w:t>
      </w:r>
      <w:r w:rsidRPr="00C6052E">
        <w:t>in</w:t>
      </w:r>
      <w:r w:rsidR="00177848" w:rsidRPr="00C6052E">
        <w:t xml:space="preserve"> </w:t>
      </w:r>
      <w:r w:rsidRPr="00C6052E">
        <w:t>which</w:t>
      </w:r>
      <w:r w:rsidR="00177848" w:rsidRPr="00C6052E">
        <w:t xml:space="preserve"> </w:t>
      </w:r>
      <w:r w:rsidRPr="00C6052E">
        <w:t>case</w:t>
      </w:r>
      <w:r w:rsidR="00177848" w:rsidRPr="00C6052E">
        <w:t xml:space="preserve"> </w:t>
      </w:r>
      <w:r w:rsidRPr="00C6052E">
        <w:t>the</w:t>
      </w:r>
      <w:r w:rsidR="00177848" w:rsidRPr="00C6052E">
        <w:t xml:space="preserve"> </w:t>
      </w:r>
      <w:r w:rsidRPr="00C6052E">
        <w:t>increment</w:t>
      </w:r>
      <w:r w:rsidR="00177848" w:rsidRPr="00C6052E">
        <w:t xml:space="preserve"> </w:t>
      </w:r>
      <w:r w:rsidRPr="00C6052E">
        <w:t>is</w:t>
      </w:r>
      <w:r w:rsidR="00177848" w:rsidRPr="00C6052E">
        <w:t xml:space="preserve"> </w:t>
      </w:r>
      <w:r w:rsidRPr="00C6052E">
        <w:t>recognised</w:t>
      </w:r>
      <w:r w:rsidR="00177848" w:rsidRPr="00C6052E">
        <w:t xml:space="preserve"> </w:t>
      </w:r>
      <w:r w:rsidRPr="00C6052E">
        <w:t>immediately</w:t>
      </w:r>
      <w:r w:rsidR="00177848" w:rsidRPr="00C6052E">
        <w:t xml:space="preserve"> </w:t>
      </w:r>
      <w:r w:rsidRPr="00C6052E">
        <w:t>as</w:t>
      </w:r>
      <w:r w:rsidR="00177848" w:rsidRPr="00C6052E">
        <w:t xml:space="preserve"> </w:t>
      </w:r>
      <w:r w:rsidRPr="00C6052E">
        <w:t>revenue.</w:t>
      </w:r>
    </w:p>
    <w:p w14:paraId="7773A93E" w14:textId="00178695" w:rsidR="00EE5BB8" w:rsidRPr="00C6052E" w:rsidRDefault="00EE5BB8" w:rsidP="00EE5BB8">
      <w:r w:rsidRPr="00C6052E">
        <w:t>Revaluation</w:t>
      </w:r>
      <w:r w:rsidR="00177848" w:rsidRPr="00C6052E">
        <w:t xml:space="preserve"> </w:t>
      </w:r>
      <w:r w:rsidRPr="00C6052E">
        <w:t>decrements</w:t>
      </w:r>
      <w:r w:rsidR="00177848" w:rsidRPr="00C6052E">
        <w:t xml:space="preserve"> </w:t>
      </w:r>
      <w:r w:rsidRPr="00C6052E">
        <w:t>are</w:t>
      </w:r>
      <w:r w:rsidR="00177848" w:rsidRPr="00C6052E">
        <w:t xml:space="preserve"> </w:t>
      </w:r>
      <w:r w:rsidRPr="00C6052E">
        <w:t>recognised</w:t>
      </w:r>
      <w:r w:rsidR="00177848" w:rsidRPr="00C6052E">
        <w:t xml:space="preserve"> </w:t>
      </w:r>
      <w:r w:rsidRPr="00C6052E">
        <w:t>immediately</w:t>
      </w:r>
      <w:r w:rsidR="00177848" w:rsidRPr="00C6052E">
        <w:t xml:space="preserve"> </w:t>
      </w:r>
      <w:r w:rsidRPr="00C6052E">
        <w:t>as</w:t>
      </w:r>
      <w:r w:rsidR="00177848" w:rsidRPr="00C6052E">
        <w:t xml:space="preserve"> </w:t>
      </w:r>
      <w:r w:rsidRPr="00C6052E">
        <w:t>an</w:t>
      </w:r>
      <w:r w:rsidR="00177848" w:rsidRPr="00C6052E">
        <w:t xml:space="preserve"> </w:t>
      </w:r>
      <w:r w:rsidRPr="00C6052E">
        <w:t>expense,</w:t>
      </w:r>
      <w:r w:rsidR="00177848" w:rsidRPr="00C6052E">
        <w:t xml:space="preserve"> </w:t>
      </w:r>
      <w:r w:rsidRPr="00C6052E">
        <w:t>except</w:t>
      </w:r>
      <w:r w:rsidR="00177848" w:rsidRPr="00C6052E">
        <w:t xml:space="preserve"> </w:t>
      </w:r>
      <w:r w:rsidRPr="00C6052E">
        <w:t>to</w:t>
      </w:r>
      <w:r w:rsidR="00177848" w:rsidRPr="00C6052E">
        <w:t xml:space="preserve"> </w:t>
      </w:r>
      <w:r w:rsidRPr="00C6052E">
        <w:t>the</w:t>
      </w:r>
      <w:r w:rsidR="00177848" w:rsidRPr="00C6052E">
        <w:t xml:space="preserve"> </w:t>
      </w:r>
      <w:r w:rsidRPr="00C6052E">
        <w:t>extent</w:t>
      </w:r>
      <w:r w:rsidR="00177848" w:rsidRPr="00C6052E">
        <w:t xml:space="preserve"> </w:t>
      </w:r>
      <w:r w:rsidRPr="00C6052E">
        <w:t>that</w:t>
      </w:r>
      <w:r w:rsidR="00177848" w:rsidRPr="00C6052E">
        <w:t xml:space="preserve"> </w:t>
      </w:r>
      <w:r w:rsidRPr="00C6052E">
        <w:t>a</w:t>
      </w:r>
      <w:r w:rsidR="00177848" w:rsidRPr="00C6052E">
        <w:t xml:space="preserve"> </w:t>
      </w:r>
      <w:r w:rsidRPr="00C6052E">
        <w:t>credit</w:t>
      </w:r>
      <w:r w:rsidR="00177848" w:rsidRPr="00C6052E">
        <w:t xml:space="preserve"> </w:t>
      </w:r>
      <w:r w:rsidRPr="00C6052E">
        <w:t>balance</w:t>
      </w:r>
      <w:r w:rsidR="00177848" w:rsidRPr="00C6052E">
        <w:t xml:space="preserve"> </w:t>
      </w:r>
      <w:r w:rsidRPr="00C6052E">
        <w:t>exists</w:t>
      </w:r>
      <w:r w:rsidR="00177848" w:rsidRPr="00C6052E">
        <w:t xml:space="preserve"> </w:t>
      </w:r>
      <w:r w:rsidRPr="00C6052E">
        <w:t>in</w:t>
      </w:r>
      <w:r w:rsidR="00177848" w:rsidRPr="00C6052E">
        <w:t xml:space="preserve"> </w:t>
      </w:r>
      <w:r w:rsidRPr="00C6052E">
        <w:t>the</w:t>
      </w:r>
      <w:r w:rsidR="00177848" w:rsidRPr="00C6052E">
        <w:t xml:space="preserve"> </w:t>
      </w:r>
      <w:r w:rsidRPr="00C6052E">
        <w:t>asset</w:t>
      </w:r>
      <w:r w:rsidR="00177848" w:rsidRPr="00C6052E">
        <w:t xml:space="preserve"> </w:t>
      </w:r>
      <w:r w:rsidRPr="00C6052E">
        <w:t>revaluation</w:t>
      </w:r>
      <w:r w:rsidR="00177848" w:rsidRPr="00C6052E">
        <w:t xml:space="preserve"> </w:t>
      </w:r>
      <w:r w:rsidRPr="00C6052E">
        <w:t>reserve</w:t>
      </w:r>
      <w:r w:rsidR="00177848" w:rsidRPr="00C6052E">
        <w:t xml:space="preserve"> </w:t>
      </w:r>
      <w:r w:rsidRPr="00C6052E">
        <w:t>applicable</w:t>
      </w:r>
      <w:r w:rsidR="00177848" w:rsidRPr="00C6052E">
        <w:t xml:space="preserve"> </w:t>
      </w:r>
      <w:r w:rsidRPr="00C6052E">
        <w:t>to</w:t>
      </w:r>
      <w:r w:rsidR="00177848" w:rsidRPr="00C6052E">
        <w:t xml:space="preserve"> </w:t>
      </w:r>
      <w:r w:rsidRPr="00C6052E">
        <w:t>the</w:t>
      </w:r>
      <w:r w:rsidR="00177848" w:rsidRPr="00C6052E">
        <w:t xml:space="preserve"> </w:t>
      </w:r>
      <w:r w:rsidRPr="00C6052E">
        <w:t>same</w:t>
      </w:r>
      <w:r w:rsidR="00177848" w:rsidRPr="00C6052E">
        <w:t xml:space="preserve"> </w:t>
      </w:r>
      <w:r w:rsidRPr="00C6052E">
        <w:t>class</w:t>
      </w:r>
      <w:r w:rsidR="00177848" w:rsidRPr="00C6052E">
        <w:t xml:space="preserve"> </w:t>
      </w:r>
      <w:r w:rsidRPr="00C6052E">
        <w:t>of</w:t>
      </w:r>
      <w:r w:rsidR="00177848" w:rsidRPr="00C6052E">
        <w:t xml:space="preserve"> </w:t>
      </w:r>
      <w:r w:rsidRPr="00C6052E">
        <w:t>assets,</w:t>
      </w:r>
      <w:r w:rsidR="00177848" w:rsidRPr="00C6052E">
        <w:t xml:space="preserve"> </w:t>
      </w:r>
      <w:r w:rsidRPr="00C6052E">
        <w:t>in</w:t>
      </w:r>
      <w:r w:rsidR="00177848" w:rsidRPr="00C6052E">
        <w:t xml:space="preserve"> </w:t>
      </w:r>
      <w:r w:rsidRPr="00C6052E">
        <w:t>which</w:t>
      </w:r>
      <w:r w:rsidR="00177848" w:rsidRPr="00C6052E">
        <w:t xml:space="preserve"> </w:t>
      </w:r>
      <w:r w:rsidRPr="00C6052E">
        <w:t>case</w:t>
      </w:r>
      <w:r w:rsidR="00177848" w:rsidRPr="00C6052E">
        <w:t xml:space="preserve"> </w:t>
      </w:r>
      <w:r w:rsidRPr="00C6052E">
        <w:t>the</w:t>
      </w:r>
      <w:r w:rsidR="00177848" w:rsidRPr="00C6052E">
        <w:t xml:space="preserve"> </w:t>
      </w:r>
      <w:r w:rsidRPr="00C6052E">
        <w:t>decrement</w:t>
      </w:r>
      <w:r w:rsidR="00177848" w:rsidRPr="00C6052E">
        <w:t xml:space="preserve"> </w:t>
      </w:r>
      <w:r w:rsidRPr="00C6052E">
        <w:t>is</w:t>
      </w:r>
      <w:r w:rsidR="00177848" w:rsidRPr="00C6052E">
        <w:t xml:space="preserve"> </w:t>
      </w:r>
      <w:r w:rsidRPr="00C6052E">
        <w:t>debited</w:t>
      </w:r>
      <w:r w:rsidR="00177848" w:rsidRPr="00C6052E">
        <w:t xml:space="preserve"> </w:t>
      </w:r>
      <w:r w:rsidRPr="00C6052E">
        <w:t>directly</w:t>
      </w:r>
      <w:r w:rsidR="00177848" w:rsidRPr="00C6052E">
        <w:t xml:space="preserve"> </w:t>
      </w:r>
      <w:r w:rsidRPr="00C6052E">
        <w:t>to</w:t>
      </w:r>
      <w:r w:rsidR="00177848" w:rsidRPr="00C6052E">
        <w:t xml:space="preserve"> </w:t>
      </w:r>
      <w:r w:rsidRPr="00C6052E">
        <w:t>the</w:t>
      </w:r>
      <w:r w:rsidR="00177848" w:rsidRPr="00C6052E">
        <w:t xml:space="preserve"> </w:t>
      </w:r>
      <w:r w:rsidRPr="00C6052E">
        <w:t>asset</w:t>
      </w:r>
      <w:r w:rsidR="00177848" w:rsidRPr="00C6052E">
        <w:t xml:space="preserve"> </w:t>
      </w:r>
      <w:r w:rsidRPr="00C6052E">
        <w:t>revaluation</w:t>
      </w:r>
      <w:r w:rsidR="00177848" w:rsidRPr="00C6052E">
        <w:t xml:space="preserve"> </w:t>
      </w:r>
      <w:r w:rsidRPr="00C6052E">
        <w:t>reserve.</w:t>
      </w:r>
    </w:p>
    <w:p w14:paraId="2B30B26D" w14:textId="2112AD58" w:rsidR="00EE5BB8" w:rsidRPr="00C6052E" w:rsidRDefault="007C69B9" w:rsidP="007C69B9">
      <w:pPr>
        <w:pStyle w:val="Heading4"/>
      </w:pPr>
      <w:r w:rsidRPr="00C6052E">
        <w:t>Impairment</w:t>
      </w:r>
    </w:p>
    <w:p w14:paraId="0639BFAA" w14:textId="396E654E" w:rsidR="00EE5BB8" w:rsidRPr="00C6052E" w:rsidRDefault="00EE5BB8" w:rsidP="00EE5BB8">
      <w:r w:rsidRPr="00C6052E">
        <w:t>The</w:t>
      </w:r>
      <w:r w:rsidR="00177848" w:rsidRPr="00C6052E">
        <w:t xml:space="preserve"> </w:t>
      </w:r>
      <w:r w:rsidRPr="00C6052E">
        <w:t>recoverable</w:t>
      </w:r>
      <w:r w:rsidR="00177848" w:rsidRPr="00C6052E">
        <w:t xml:space="preserve"> </w:t>
      </w:r>
      <w:r w:rsidRPr="00C6052E">
        <w:t>amount</w:t>
      </w:r>
      <w:r w:rsidR="00177848" w:rsidRPr="00C6052E">
        <w:t xml:space="preserve"> </w:t>
      </w:r>
      <w:r w:rsidRPr="00C6052E">
        <w:t>of</w:t>
      </w:r>
      <w:r w:rsidR="00177848" w:rsidRPr="00C6052E">
        <w:t xml:space="preserve"> </w:t>
      </w:r>
      <w:r w:rsidRPr="00C6052E">
        <w:t>primarily</w:t>
      </w:r>
      <w:r w:rsidR="00177848" w:rsidRPr="00C6052E">
        <w:t xml:space="preserve"> </w:t>
      </w:r>
      <w:r w:rsidRPr="00C6052E">
        <w:t>non-cash-generating</w:t>
      </w:r>
      <w:r w:rsidR="00177848" w:rsidRPr="00C6052E">
        <w:t xml:space="preserve"> </w:t>
      </w:r>
      <w:r w:rsidRPr="00C6052E">
        <w:t>assets</w:t>
      </w:r>
      <w:r w:rsidR="00177848" w:rsidRPr="00C6052E">
        <w:t xml:space="preserve"> </w:t>
      </w:r>
      <w:r w:rsidRPr="00C6052E">
        <w:t>of</w:t>
      </w:r>
      <w:r w:rsidR="00177848" w:rsidRPr="00C6052E">
        <w:t xml:space="preserve"> </w:t>
      </w:r>
      <w:r w:rsidRPr="00C6052E">
        <w:t>not-for-profit</w:t>
      </w:r>
      <w:r w:rsidR="00177848" w:rsidRPr="00C6052E">
        <w:t xml:space="preserve"> </w:t>
      </w:r>
      <w:r w:rsidRPr="00C6052E">
        <w:t>entities,</w:t>
      </w:r>
      <w:r w:rsidR="00177848" w:rsidRPr="00C6052E">
        <w:t xml:space="preserve"> </w:t>
      </w:r>
      <w:r w:rsidRPr="00C6052E">
        <w:t>which</w:t>
      </w:r>
      <w:r w:rsidR="00177848" w:rsidRPr="00C6052E">
        <w:t xml:space="preserve"> </w:t>
      </w:r>
      <w:r w:rsidRPr="00C6052E">
        <w:t>are</w:t>
      </w:r>
      <w:r w:rsidR="00177848" w:rsidRPr="00C6052E">
        <w:t xml:space="preserve"> </w:t>
      </w:r>
      <w:r w:rsidRPr="00C6052E">
        <w:t>typically</w:t>
      </w:r>
      <w:r w:rsidR="00177848" w:rsidRPr="00C6052E">
        <w:t xml:space="preserve"> </w:t>
      </w:r>
      <w:r w:rsidRPr="00C6052E">
        <w:t>specialised</w:t>
      </w:r>
      <w:r w:rsidR="00177848" w:rsidRPr="00C6052E">
        <w:t xml:space="preserve"> </w:t>
      </w:r>
      <w:r w:rsidRPr="00C6052E">
        <w:t>in</w:t>
      </w:r>
      <w:r w:rsidR="00177848" w:rsidRPr="00C6052E">
        <w:t xml:space="preserve"> </w:t>
      </w:r>
      <w:r w:rsidRPr="00C6052E">
        <w:t>nature</w:t>
      </w:r>
      <w:r w:rsidR="00177848" w:rsidRPr="00C6052E">
        <w:t xml:space="preserve"> </w:t>
      </w:r>
      <w:r w:rsidRPr="00C6052E">
        <w:t>and</w:t>
      </w:r>
      <w:r w:rsidR="00177848" w:rsidRPr="00C6052E">
        <w:t xml:space="preserve"> </w:t>
      </w:r>
      <w:r w:rsidRPr="00C6052E">
        <w:t>held</w:t>
      </w:r>
      <w:r w:rsidR="00177848" w:rsidRPr="00C6052E">
        <w:t xml:space="preserve"> </w:t>
      </w:r>
      <w:r w:rsidRPr="00C6052E">
        <w:t>for</w:t>
      </w:r>
      <w:r w:rsidR="00177848" w:rsidRPr="00C6052E">
        <w:t xml:space="preserve"> </w:t>
      </w:r>
      <w:r w:rsidRPr="00C6052E">
        <w:t>continuing</w:t>
      </w:r>
      <w:r w:rsidR="00177848" w:rsidRPr="00C6052E">
        <w:t xml:space="preserve"> </w:t>
      </w:r>
      <w:r w:rsidRPr="00C6052E">
        <w:t>use</w:t>
      </w:r>
      <w:r w:rsidR="00177848" w:rsidRPr="00C6052E">
        <w:t xml:space="preserve"> </w:t>
      </w:r>
      <w:r w:rsidRPr="00C6052E">
        <w:t>of</w:t>
      </w:r>
      <w:r w:rsidR="00177848" w:rsidRPr="00C6052E">
        <w:t xml:space="preserve"> </w:t>
      </w:r>
      <w:r w:rsidRPr="00C6052E">
        <w:t>their</w:t>
      </w:r>
      <w:r w:rsidR="00177848" w:rsidRPr="00C6052E">
        <w:t xml:space="preserve"> </w:t>
      </w:r>
      <w:r w:rsidRPr="00C6052E">
        <w:t>service</w:t>
      </w:r>
      <w:r w:rsidR="00177848" w:rsidRPr="00C6052E">
        <w:t xml:space="preserve"> </w:t>
      </w:r>
      <w:r w:rsidRPr="00C6052E">
        <w:t>capacity,</w:t>
      </w:r>
      <w:r w:rsidR="00177848" w:rsidRPr="00C6052E">
        <w:t xml:space="preserve"> </w:t>
      </w:r>
      <w:r w:rsidRPr="00C6052E">
        <w:t>is</w:t>
      </w:r>
      <w:r w:rsidR="00177848" w:rsidRPr="00C6052E">
        <w:t xml:space="preserve"> </w:t>
      </w:r>
      <w:r w:rsidRPr="00C6052E">
        <w:t>expected</w:t>
      </w:r>
      <w:r w:rsidR="00177848" w:rsidRPr="00C6052E">
        <w:t xml:space="preserve"> </w:t>
      </w:r>
      <w:r w:rsidRPr="00C6052E">
        <w:t>to</w:t>
      </w:r>
      <w:r w:rsidR="00177848" w:rsidRPr="00C6052E">
        <w:t xml:space="preserve"> </w:t>
      </w:r>
      <w:r w:rsidRPr="00C6052E">
        <w:t>be</w:t>
      </w:r>
      <w:r w:rsidR="00177848" w:rsidRPr="00C6052E">
        <w:t xml:space="preserve"> </w:t>
      </w:r>
      <w:r w:rsidRPr="00C6052E">
        <w:t>materially</w:t>
      </w:r>
      <w:r w:rsidR="00177848" w:rsidRPr="00C6052E">
        <w:t xml:space="preserve"> </w:t>
      </w:r>
      <w:r w:rsidRPr="00C6052E">
        <w:t>the</w:t>
      </w:r>
      <w:r w:rsidR="00177848" w:rsidRPr="00C6052E">
        <w:t xml:space="preserve"> </w:t>
      </w:r>
      <w:r w:rsidRPr="00C6052E">
        <w:t>same</w:t>
      </w:r>
      <w:r w:rsidR="00177848" w:rsidRPr="00C6052E">
        <w:t xml:space="preserve"> </w:t>
      </w:r>
      <w:r w:rsidRPr="00C6052E">
        <w:t>as</w:t>
      </w:r>
      <w:r w:rsidR="00177848" w:rsidRPr="00C6052E">
        <w:t xml:space="preserve"> </w:t>
      </w:r>
      <w:r w:rsidRPr="00C6052E">
        <w:t>fair</w:t>
      </w:r>
      <w:r w:rsidR="00177848" w:rsidRPr="00C6052E">
        <w:t xml:space="preserve"> </w:t>
      </w:r>
      <w:r w:rsidRPr="00C6052E">
        <w:t>value</w:t>
      </w:r>
      <w:r w:rsidR="00177848" w:rsidRPr="00C6052E">
        <w:t xml:space="preserve"> </w:t>
      </w:r>
      <w:r w:rsidRPr="00C6052E">
        <w:t>determined</w:t>
      </w:r>
      <w:r w:rsidR="00177848" w:rsidRPr="00C6052E">
        <w:t xml:space="preserve"> </w:t>
      </w:r>
      <w:r w:rsidRPr="00C6052E">
        <w:t>under</w:t>
      </w:r>
      <w:r w:rsidR="00177848" w:rsidRPr="00C6052E">
        <w:t xml:space="preserve"> </w:t>
      </w:r>
      <w:r w:rsidRPr="00C6052E">
        <w:t>AASB</w:t>
      </w:r>
      <w:r w:rsidR="00177848" w:rsidRPr="00C6052E">
        <w:t xml:space="preserve"> </w:t>
      </w:r>
      <w:r w:rsidRPr="00C6052E">
        <w:t>13</w:t>
      </w:r>
      <w:r w:rsidR="00177848" w:rsidRPr="00C6052E">
        <w:t xml:space="preserve"> </w:t>
      </w:r>
      <w:r w:rsidRPr="00C6052E">
        <w:rPr>
          <w:i/>
          <w:iCs/>
        </w:rPr>
        <w:t>Fair</w:t>
      </w:r>
      <w:r w:rsidR="00177848" w:rsidRPr="00C6052E">
        <w:rPr>
          <w:i/>
          <w:iCs/>
        </w:rPr>
        <w:t xml:space="preserve"> </w:t>
      </w:r>
      <w:r w:rsidRPr="00C6052E">
        <w:rPr>
          <w:i/>
          <w:iCs/>
        </w:rPr>
        <w:t>Value</w:t>
      </w:r>
      <w:r w:rsidR="00177848" w:rsidRPr="00C6052E">
        <w:rPr>
          <w:i/>
          <w:iCs/>
        </w:rPr>
        <w:t xml:space="preserve"> </w:t>
      </w:r>
      <w:r w:rsidRPr="00C6052E">
        <w:rPr>
          <w:i/>
          <w:iCs/>
        </w:rPr>
        <w:t>Measurement</w:t>
      </w:r>
      <w:r w:rsidRPr="00C6052E">
        <w:t>,</w:t>
      </w:r>
      <w:r w:rsidR="00177848" w:rsidRPr="00C6052E">
        <w:t xml:space="preserve"> </w:t>
      </w:r>
      <w:r w:rsidRPr="00C6052E">
        <w:t>with</w:t>
      </w:r>
      <w:r w:rsidR="00177848" w:rsidRPr="00C6052E">
        <w:t xml:space="preserve"> </w:t>
      </w:r>
      <w:r w:rsidRPr="00C6052E">
        <w:t>the</w:t>
      </w:r>
      <w:r w:rsidR="00177848" w:rsidRPr="00C6052E">
        <w:t xml:space="preserve"> </w:t>
      </w:r>
      <w:r w:rsidRPr="00C6052E">
        <w:t>consequence</w:t>
      </w:r>
      <w:r w:rsidR="00177848" w:rsidRPr="00C6052E">
        <w:t xml:space="preserve"> </w:t>
      </w:r>
      <w:r w:rsidRPr="00C6052E">
        <w:t>that</w:t>
      </w:r>
      <w:r w:rsidR="00177848" w:rsidRPr="00C6052E">
        <w:t xml:space="preserve"> </w:t>
      </w:r>
      <w:r w:rsidRPr="00C6052E">
        <w:t>AASB</w:t>
      </w:r>
      <w:r w:rsidR="00177848" w:rsidRPr="00C6052E">
        <w:t xml:space="preserve"> </w:t>
      </w:r>
      <w:r w:rsidRPr="00C6052E">
        <w:t>136</w:t>
      </w:r>
      <w:r w:rsidR="00177848" w:rsidRPr="00C6052E">
        <w:t xml:space="preserve"> </w:t>
      </w:r>
      <w:r w:rsidRPr="00C6052E">
        <w:t>does</w:t>
      </w:r>
      <w:r w:rsidR="00177848" w:rsidRPr="00C6052E">
        <w:t xml:space="preserve"> </w:t>
      </w:r>
      <w:r w:rsidRPr="00C6052E">
        <w:t>not</w:t>
      </w:r>
      <w:r w:rsidR="00177848" w:rsidRPr="00C6052E">
        <w:t xml:space="preserve"> </w:t>
      </w:r>
      <w:r w:rsidRPr="00C6052E">
        <w:t>apply</w:t>
      </w:r>
      <w:r w:rsidR="00177848" w:rsidRPr="00C6052E">
        <w:t xml:space="preserve"> </w:t>
      </w:r>
      <w:r w:rsidRPr="00C6052E">
        <w:t>to</w:t>
      </w:r>
      <w:r w:rsidR="00177848" w:rsidRPr="00C6052E">
        <w:t xml:space="preserve"> </w:t>
      </w:r>
      <w:r w:rsidRPr="00C6052E">
        <w:t>such</w:t>
      </w:r>
      <w:r w:rsidR="00177848" w:rsidRPr="00C6052E">
        <w:t xml:space="preserve"> </w:t>
      </w:r>
      <w:r w:rsidRPr="00C6052E">
        <w:t>assets</w:t>
      </w:r>
      <w:r w:rsidR="00177848" w:rsidRPr="00C6052E">
        <w:t xml:space="preserve"> </w:t>
      </w:r>
      <w:r w:rsidRPr="00C6052E">
        <w:t>that</w:t>
      </w:r>
      <w:r w:rsidR="00177848" w:rsidRPr="00C6052E">
        <w:t xml:space="preserve"> </w:t>
      </w:r>
      <w:r w:rsidRPr="00C6052E">
        <w:t>are</w:t>
      </w:r>
      <w:r w:rsidR="00177848" w:rsidRPr="00C6052E">
        <w:t xml:space="preserve"> </w:t>
      </w:r>
      <w:r w:rsidRPr="00C6052E">
        <w:t>regularly</w:t>
      </w:r>
      <w:r w:rsidR="00177848" w:rsidRPr="00C6052E">
        <w:t xml:space="preserve"> </w:t>
      </w:r>
      <w:r w:rsidRPr="00C6052E">
        <w:t>revalued.</w:t>
      </w:r>
    </w:p>
    <w:p w14:paraId="707A9BD8" w14:textId="255ADDC4" w:rsidR="00EE5BB8" w:rsidRPr="00C6052E" w:rsidRDefault="00EE5BB8" w:rsidP="000C0740">
      <w:pPr>
        <w:pStyle w:val="Heading3numbered0"/>
      </w:pPr>
      <w:bookmarkStart w:id="232" w:name="_Ref163548719"/>
      <w:bookmarkStart w:id="233" w:name="_Ref209689311"/>
      <w:r w:rsidRPr="00C6052E">
        <w:t>Depreciation</w:t>
      </w:r>
      <w:r w:rsidR="00177848" w:rsidRPr="00C6052E">
        <w:t xml:space="preserve"> </w:t>
      </w:r>
      <w:r w:rsidRPr="00C6052E">
        <w:t>and</w:t>
      </w:r>
      <w:r w:rsidR="00177848" w:rsidRPr="00C6052E">
        <w:t xml:space="preserve"> </w:t>
      </w:r>
      <w:r w:rsidRPr="00C6052E">
        <w:t>amortisation</w:t>
      </w:r>
      <w:bookmarkEnd w:id="232"/>
      <w:bookmarkEnd w:id="233"/>
      <w:r w:rsidR="00291743">
        <w:t xml:space="preserve"> </w:t>
      </w:r>
      <w:r w:rsidR="00291743" w:rsidRPr="00C6052E">
        <w:t>($ thousand)</w:t>
      </w:r>
    </w:p>
    <w:p w14:paraId="2AB9AB6D" w14:textId="51887528" w:rsidR="00EE5BB8" w:rsidRPr="00C6052E" w:rsidRDefault="00EE5BB8" w:rsidP="00EE5BB8">
      <w:r w:rsidRPr="00C6052E">
        <w:t>All</w:t>
      </w:r>
      <w:r w:rsidR="00177848" w:rsidRPr="00C6052E">
        <w:t xml:space="preserve"> </w:t>
      </w:r>
      <w:r w:rsidRPr="00C6052E">
        <w:t>buildings,</w:t>
      </w:r>
      <w:r w:rsidR="00177848" w:rsidRPr="00C6052E">
        <w:t xml:space="preserve"> </w:t>
      </w:r>
      <w:r w:rsidRPr="00C6052E">
        <w:t>plant</w:t>
      </w:r>
      <w:r w:rsidR="00177848" w:rsidRPr="00C6052E">
        <w:t xml:space="preserve"> </w:t>
      </w:r>
      <w:r w:rsidRPr="00C6052E">
        <w:t>and</w:t>
      </w:r>
      <w:r w:rsidR="00177848" w:rsidRPr="00C6052E">
        <w:t xml:space="preserve"> </w:t>
      </w:r>
      <w:r w:rsidRPr="00C6052E">
        <w:t>equipment</w:t>
      </w:r>
      <w:r w:rsidR="00177848" w:rsidRPr="00C6052E">
        <w:t xml:space="preserve"> </w:t>
      </w:r>
      <w:r w:rsidRPr="00C6052E">
        <w:t>and</w:t>
      </w:r>
      <w:r w:rsidR="00177848" w:rsidRPr="00C6052E">
        <w:t xml:space="preserve"> </w:t>
      </w:r>
      <w:r w:rsidRPr="00C6052E">
        <w:t>other</w:t>
      </w:r>
      <w:r w:rsidR="00177848" w:rsidRPr="00C6052E">
        <w:t xml:space="preserve"> </w:t>
      </w:r>
      <w:r w:rsidRPr="00C6052E">
        <w:t>non-financial</w:t>
      </w:r>
      <w:r w:rsidR="00177848" w:rsidRPr="00C6052E">
        <w:t xml:space="preserve"> </w:t>
      </w:r>
      <w:r w:rsidRPr="00C6052E">
        <w:t>physical</w:t>
      </w:r>
      <w:r w:rsidR="00177848" w:rsidRPr="00C6052E">
        <w:t xml:space="preserve"> </w:t>
      </w:r>
      <w:r w:rsidRPr="00C6052E">
        <w:t>assets</w:t>
      </w:r>
      <w:r w:rsidR="00177848" w:rsidRPr="00C6052E">
        <w:t xml:space="preserve"> </w:t>
      </w:r>
      <w:r w:rsidRPr="00C6052E">
        <w:t>that</w:t>
      </w:r>
      <w:r w:rsidR="00177848" w:rsidRPr="00C6052E">
        <w:t xml:space="preserve"> </w:t>
      </w:r>
      <w:r w:rsidRPr="00C6052E">
        <w:t>have</w:t>
      </w:r>
      <w:r w:rsidR="00177848" w:rsidRPr="00C6052E">
        <w:t xml:space="preserve"> </w:t>
      </w:r>
      <w:r w:rsidRPr="00C6052E">
        <w:t>finite</w:t>
      </w:r>
      <w:r w:rsidR="00177848" w:rsidRPr="00C6052E">
        <w:t xml:space="preserve"> </w:t>
      </w:r>
      <w:r w:rsidRPr="00C6052E">
        <w:t>useful</w:t>
      </w:r>
      <w:r w:rsidR="00177848" w:rsidRPr="00C6052E">
        <w:t xml:space="preserve"> </w:t>
      </w:r>
      <w:r w:rsidRPr="00C6052E">
        <w:t>lives</w:t>
      </w:r>
      <w:r w:rsidR="00177848" w:rsidRPr="00C6052E">
        <w:t xml:space="preserve"> </w:t>
      </w:r>
      <w:r w:rsidRPr="00C6052E">
        <w:t>are</w:t>
      </w:r>
      <w:r w:rsidR="00177848" w:rsidRPr="00C6052E">
        <w:t xml:space="preserve"> </w:t>
      </w:r>
      <w:r w:rsidRPr="00C6052E">
        <w:t>depreciated.</w:t>
      </w:r>
    </w:p>
    <w:tbl>
      <w:tblPr>
        <w:tblStyle w:val="TableGrid"/>
        <w:tblW w:w="7938" w:type="dxa"/>
        <w:tblInd w:w="-5" w:type="dxa"/>
        <w:tblLayout w:type="fixed"/>
        <w:tblLook w:val="04E0" w:firstRow="1" w:lastRow="1" w:firstColumn="1" w:lastColumn="0" w:noHBand="0" w:noVBand="1"/>
      </w:tblPr>
      <w:tblGrid>
        <w:gridCol w:w="4962"/>
        <w:gridCol w:w="1488"/>
        <w:gridCol w:w="1488"/>
      </w:tblGrid>
      <w:tr w:rsidR="00EE5BB8" w:rsidRPr="00C6052E" w14:paraId="2A94B712" w14:textId="77777777" w:rsidTr="007C69B9">
        <w:tc>
          <w:tcPr>
            <w:tcW w:w="4962" w:type="dxa"/>
            <w:noWrap/>
            <w:hideMark/>
          </w:tcPr>
          <w:p w14:paraId="1EBE5F54" w14:textId="40DBBE9F" w:rsidR="00EE5BB8" w:rsidRPr="00C6052E" w:rsidRDefault="00EE5BB8" w:rsidP="00B1545C">
            <w:pPr>
              <w:pStyle w:val="TableColumnHeading"/>
              <w:rPr>
                <w:lang w:val="en-AU"/>
              </w:rPr>
            </w:pPr>
            <w:bookmarkStart w:id="234" w:name="TableColumnHeadings_71"/>
            <w:bookmarkEnd w:id="234"/>
          </w:p>
        </w:tc>
        <w:tc>
          <w:tcPr>
            <w:tcW w:w="1488" w:type="dxa"/>
            <w:hideMark/>
          </w:tcPr>
          <w:p w14:paraId="085BED5D" w14:textId="77777777" w:rsidR="00EE5BB8" w:rsidRPr="00C6052E" w:rsidRDefault="00EE5BB8" w:rsidP="007C69B9">
            <w:pPr>
              <w:pStyle w:val="TableColumnHeading"/>
              <w:jc w:val="right"/>
            </w:pPr>
            <w:r w:rsidRPr="00C6052E">
              <w:t>2025</w:t>
            </w:r>
          </w:p>
        </w:tc>
        <w:tc>
          <w:tcPr>
            <w:tcW w:w="1488" w:type="dxa"/>
            <w:hideMark/>
          </w:tcPr>
          <w:p w14:paraId="49ADC614" w14:textId="77777777" w:rsidR="00EE5BB8" w:rsidRPr="00C6052E" w:rsidRDefault="00EE5BB8" w:rsidP="007C69B9">
            <w:pPr>
              <w:pStyle w:val="TableColumnHeading"/>
              <w:jc w:val="right"/>
            </w:pPr>
            <w:r w:rsidRPr="00C6052E">
              <w:t>2024</w:t>
            </w:r>
          </w:p>
        </w:tc>
      </w:tr>
      <w:tr w:rsidR="00EE5BB8" w:rsidRPr="00C6052E" w14:paraId="2E52AFC7" w14:textId="77777777" w:rsidTr="007C69B9">
        <w:tc>
          <w:tcPr>
            <w:tcW w:w="4962" w:type="dxa"/>
            <w:hideMark/>
          </w:tcPr>
          <w:p w14:paraId="26400428" w14:textId="11310F84" w:rsidR="00EE5BB8" w:rsidRPr="00C6052E" w:rsidRDefault="00EE5BB8" w:rsidP="0063097D">
            <w:pPr>
              <w:pStyle w:val="TableCopy"/>
            </w:pPr>
            <w:r w:rsidRPr="00C6052E">
              <w:t>Buildings</w:t>
            </w:r>
            <w:r w:rsidR="00177848" w:rsidRPr="00C6052E">
              <w:t xml:space="preserve"> </w:t>
            </w:r>
            <w:r w:rsidRPr="00C6052E">
              <w:t>and</w:t>
            </w:r>
            <w:r w:rsidR="00177848" w:rsidRPr="00C6052E">
              <w:t xml:space="preserve"> </w:t>
            </w:r>
            <w:r w:rsidRPr="00C6052E">
              <w:t>structures</w:t>
            </w:r>
          </w:p>
        </w:tc>
        <w:tc>
          <w:tcPr>
            <w:tcW w:w="1488" w:type="dxa"/>
            <w:noWrap/>
            <w:hideMark/>
          </w:tcPr>
          <w:p w14:paraId="00EC4B7A" w14:textId="77777777" w:rsidR="00EE5BB8" w:rsidRPr="00C6052E" w:rsidRDefault="00EE5BB8" w:rsidP="007C69B9">
            <w:pPr>
              <w:pStyle w:val="TableCopy"/>
              <w:jc w:val="right"/>
            </w:pPr>
            <w:r w:rsidRPr="00C6052E">
              <w:t>7,728</w:t>
            </w:r>
          </w:p>
        </w:tc>
        <w:tc>
          <w:tcPr>
            <w:tcW w:w="1488" w:type="dxa"/>
            <w:noWrap/>
            <w:hideMark/>
          </w:tcPr>
          <w:p w14:paraId="04182BBD" w14:textId="77777777" w:rsidR="00EE5BB8" w:rsidRPr="00C6052E" w:rsidRDefault="00EE5BB8" w:rsidP="007C69B9">
            <w:pPr>
              <w:pStyle w:val="TableCopy"/>
              <w:jc w:val="right"/>
            </w:pPr>
            <w:r w:rsidRPr="00C6052E">
              <w:t>7,054</w:t>
            </w:r>
          </w:p>
        </w:tc>
      </w:tr>
      <w:tr w:rsidR="00EE5BB8" w:rsidRPr="00C6052E" w14:paraId="1AB5C9E4" w14:textId="77777777" w:rsidTr="007C69B9">
        <w:tc>
          <w:tcPr>
            <w:tcW w:w="4962" w:type="dxa"/>
            <w:hideMark/>
          </w:tcPr>
          <w:p w14:paraId="352E3A85" w14:textId="611FE58E" w:rsidR="00EE5BB8" w:rsidRPr="00C6052E" w:rsidRDefault="00EE5BB8" w:rsidP="0063097D">
            <w:pPr>
              <w:pStyle w:val="TableCopy"/>
            </w:pPr>
            <w:r w:rsidRPr="00C6052E">
              <w:t>Right-of-use</w:t>
            </w:r>
            <w:r w:rsidR="00177848" w:rsidRPr="00C6052E">
              <w:t xml:space="preserve"> </w:t>
            </w:r>
            <w:r w:rsidRPr="00C6052E">
              <w:t>building</w:t>
            </w:r>
            <w:r w:rsidR="00177848" w:rsidRPr="00C6052E">
              <w:t xml:space="preserve"> </w:t>
            </w:r>
            <w:r w:rsidRPr="00C6052E">
              <w:t>assets</w:t>
            </w:r>
          </w:p>
        </w:tc>
        <w:tc>
          <w:tcPr>
            <w:tcW w:w="1488" w:type="dxa"/>
            <w:noWrap/>
            <w:hideMark/>
          </w:tcPr>
          <w:p w14:paraId="4987D6F9" w14:textId="77777777" w:rsidR="00EE5BB8" w:rsidRPr="00C6052E" w:rsidRDefault="00EE5BB8" w:rsidP="007C69B9">
            <w:pPr>
              <w:pStyle w:val="TableCopy"/>
              <w:jc w:val="right"/>
            </w:pPr>
            <w:r w:rsidRPr="00C6052E">
              <w:t>3,291</w:t>
            </w:r>
          </w:p>
        </w:tc>
        <w:tc>
          <w:tcPr>
            <w:tcW w:w="1488" w:type="dxa"/>
            <w:noWrap/>
            <w:hideMark/>
          </w:tcPr>
          <w:p w14:paraId="7B4ED7B2" w14:textId="77777777" w:rsidR="00EE5BB8" w:rsidRPr="00C6052E" w:rsidRDefault="00EE5BB8" w:rsidP="007C69B9">
            <w:pPr>
              <w:pStyle w:val="TableCopy"/>
              <w:jc w:val="right"/>
            </w:pPr>
            <w:r w:rsidRPr="00C6052E">
              <w:t>3,221</w:t>
            </w:r>
          </w:p>
        </w:tc>
      </w:tr>
      <w:tr w:rsidR="00EE5BB8" w:rsidRPr="00C6052E" w14:paraId="06762450" w14:textId="77777777" w:rsidTr="007C69B9">
        <w:tc>
          <w:tcPr>
            <w:tcW w:w="4962" w:type="dxa"/>
            <w:hideMark/>
          </w:tcPr>
          <w:p w14:paraId="4B0EFDFA" w14:textId="30DB2D64" w:rsidR="00EE5BB8" w:rsidRPr="00C6052E" w:rsidRDefault="00EE5BB8" w:rsidP="0063097D">
            <w:pPr>
              <w:pStyle w:val="TableCopy"/>
            </w:pPr>
            <w:r w:rsidRPr="00C6052E">
              <w:t>Leasehold</w:t>
            </w:r>
            <w:r w:rsidR="00177848" w:rsidRPr="00C6052E">
              <w:t xml:space="preserve"> </w:t>
            </w:r>
            <w:r w:rsidRPr="00C6052E">
              <w:t>improvements</w:t>
            </w:r>
          </w:p>
        </w:tc>
        <w:tc>
          <w:tcPr>
            <w:tcW w:w="1488" w:type="dxa"/>
            <w:noWrap/>
            <w:hideMark/>
          </w:tcPr>
          <w:p w14:paraId="19324AF8" w14:textId="77777777" w:rsidR="00EE5BB8" w:rsidRPr="00C6052E" w:rsidRDefault="00EE5BB8" w:rsidP="007C69B9">
            <w:pPr>
              <w:pStyle w:val="TableCopy"/>
              <w:jc w:val="right"/>
            </w:pPr>
            <w:r w:rsidRPr="00C6052E">
              <w:t>2,013</w:t>
            </w:r>
          </w:p>
        </w:tc>
        <w:tc>
          <w:tcPr>
            <w:tcW w:w="1488" w:type="dxa"/>
            <w:noWrap/>
            <w:hideMark/>
          </w:tcPr>
          <w:p w14:paraId="3972DC31" w14:textId="77777777" w:rsidR="00EE5BB8" w:rsidRPr="00C6052E" w:rsidRDefault="00EE5BB8" w:rsidP="007C69B9">
            <w:pPr>
              <w:pStyle w:val="TableCopy"/>
              <w:jc w:val="right"/>
            </w:pPr>
            <w:r w:rsidRPr="00C6052E">
              <w:t>1,999</w:t>
            </w:r>
          </w:p>
        </w:tc>
      </w:tr>
      <w:tr w:rsidR="00EE5BB8" w:rsidRPr="00C6052E" w14:paraId="21201D2C" w14:textId="77777777" w:rsidTr="007C69B9">
        <w:tc>
          <w:tcPr>
            <w:tcW w:w="4962" w:type="dxa"/>
            <w:hideMark/>
          </w:tcPr>
          <w:p w14:paraId="7D5BC2BD" w14:textId="4CC0271C" w:rsidR="00EE5BB8" w:rsidRPr="00C6052E" w:rsidRDefault="00EE5BB8" w:rsidP="0063097D">
            <w:pPr>
              <w:pStyle w:val="TableCopy"/>
            </w:pPr>
            <w:r w:rsidRPr="00C6052E">
              <w:t>Plant</w:t>
            </w:r>
            <w:r w:rsidR="00177848" w:rsidRPr="00C6052E">
              <w:t xml:space="preserve"> </w:t>
            </w:r>
            <w:r w:rsidRPr="00C6052E">
              <w:t>and</w:t>
            </w:r>
            <w:r w:rsidR="00177848" w:rsidRPr="00C6052E">
              <w:t xml:space="preserve"> </w:t>
            </w:r>
            <w:r w:rsidRPr="00C6052E">
              <w:t>equipment</w:t>
            </w:r>
          </w:p>
        </w:tc>
        <w:tc>
          <w:tcPr>
            <w:tcW w:w="1488" w:type="dxa"/>
            <w:noWrap/>
            <w:hideMark/>
          </w:tcPr>
          <w:p w14:paraId="444AB6E9" w14:textId="77777777" w:rsidR="00EE5BB8" w:rsidRPr="00C6052E" w:rsidRDefault="00EE5BB8" w:rsidP="007C69B9">
            <w:pPr>
              <w:pStyle w:val="TableCopy"/>
              <w:jc w:val="right"/>
            </w:pPr>
            <w:r w:rsidRPr="00C6052E">
              <w:t>291</w:t>
            </w:r>
          </w:p>
        </w:tc>
        <w:tc>
          <w:tcPr>
            <w:tcW w:w="1488" w:type="dxa"/>
            <w:noWrap/>
            <w:hideMark/>
          </w:tcPr>
          <w:p w14:paraId="0157D201" w14:textId="77777777" w:rsidR="00EE5BB8" w:rsidRPr="00C6052E" w:rsidRDefault="00EE5BB8" w:rsidP="007C69B9">
            <w:pPr>
              <w:pStyle w:val="TableCopy"/>
              <w:jc w:val="right"/>
            </w:pPr>
            <w:r w:rsidRPr="00C6052E">
              <w:t>284</w:t>
            </w:r>
          </w:p>
        </w:tc>
      </w:tr>
      <w:tr w:rsidR="00EE5BB8" w:rsidRPr="00C6052E" w14:paraId="79A940AA" w14:textId="77777777" w:rsidTr="007C69B9">
        <w:tc>
          <w:tcPr>
            <w:tcW w:w="4962" w:type="dxa"/>
            <w:hideMark/>
          </w:tcPr>
          <w:p w14:paraId="680BEC49" w14:textId="27EFAF3D" w:rsidR="00EE5BB8" w:rsidRPr="00C6052E" w:rsidRDefault="00EE5BB8" w:rsidP="0063097D">
            <w:pPr>
              <w:pStyle w:val="TableCopy"/>
            </w:pPr>
            <w:r w:rsidRPr="00C6052E">
              <w:t>Motor</w:t>
            </w:r>
            <w:r w:rsidR="00177848" w:rsidRPr="00C6052E">
              <w:t xml:space="preserve"> </w:t>
            </w:r>
            <w:r w:rsidRPr="00C6052E">
              <w:t>vehicles</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r w:rsidR="00177848" w:rsidRPr="00C6052E">
              <w:t xml:space="preserve"> </w:t>
            </w:r>
            <w:r w:rsidRPr="00C6052E">
              <w:t>(including</w:t>
            </w:r>
            <w:r w:rsidR="00177848" w:rsidRPr="00C6052E">
              <w:t xml:space="preserve"> </w:t>
            </w:r>
            <w:r w:rsidRPr="00C6052E">
              <w:t>leased</w:t>
            </w:r>
            <w:r w:rsidR="00177848" w:rsidRPr="00C6052E">
              <w:t xml:space="preserve"> </w:t>
            </w:r>
            <w:r w:rsidRPr="00C6052E">
              <w:t>assets)</w:t>
            </w:r>
          </w:p>
        </w:tc>
        <w:tc>
          <w:tcPr>
            <w:tcW w:w="1488" w:type="dxa"/>
            <w:noWrap/>
            <w:hideMark/>
          </w:tcPr>
          <w:p w14:paraId="2C74A6EB" w14:textId="77777777" w:rsidR="00EE5BB8" w:rsidRPr="00C6052E" w:rsidRDefault="00EE5BB8" w:rsidP="007C69B9">
            <w:pPr>
              <w:pStyle w:val="TableCopy"/>
              <w:jc w:val="right"/>
            </w:pPr>
            <w:r w:rsidRPr="00C6052E">
              <w:t>783</w:t>
            </w:r>
          </w:p>
        </w:tc>
        <w:tc>
          <w:tcPr>
            <w:tcW w:w="1488" w:type="dxa"/>
            <w:noWrap/>
            <w:hideMark/>
          </w:tcPr>
          <w:p w14:paraId="123440DE" w14:textId="77777777" w:rsidR="00EE5BB8" w:rsidRPr="00C6052E" w:rsidRDefault="00EE5BB8" w:rsidP="007C69B9">
            <w:pPr>
              <w:pStyle w:val="TableCopy"/>
              <w:jc w:val="right"/>
            </w:pPr>
            <w:r w:rsidRPr="00C6052E">
              <w:t>768</w:t>
            </w:r>
          </w:p>
        </w:tc>
      </w:tr>
      <w:tr w:rsidR="00EE5BB8" w:rsidRPr="00C6052E" w14:paraId="10B2C8C3" w14:textId="77777777" w:rsidTr="007C69B9">
        <w:tc>
          <w:tcPr>
            <w:tcW w:w="4962" w:type="dxa"/>
            <w:hideMark/>
          </w:tcPr>
          <w:p w14:paraId="6D22A68D" w14:textId="11E8AF4D" w:rsidR="00EE5BB8" w:rsidRPr="00C6052E" w:rsidRDefault="00EE5BB8" w:rsidP="0063097D">
            <w:pPr>
              <w:pStyle w:val="TableCopy"/>
            </w:pPr>
            <w:r w:rsidRPr="00C6052E">
              <w:t>Cultural</w:t>
            </w:r>
            <w:r w:rsidR="00177848" w:rsidRPr="00C6052E">
              <w:t xml:space="preserve"> </w:t>
            </w:r>
            <w:r w:rsidRPr="00C6052E">
              <w:t>assets</w:t>
            </w:r>
          </w:p>
        </w:tc>
        <w:tc>
          <w:tcPr>
            <w:tcW w:w="1488" w:type="dxa"/>
            <w:noWrap/>
            <w:hideMark/>
          </w:tcPr>
          <w:p w14:paraId="655C6588" w14:textId="77777777" w:rsidR="00EE5BB8" w:rsidRPr="00C6052E" w:rsidRDefault="00EE5BB8" w:rsidP="007C69B9">
            <w:pPr>
              <w:pStyle w:val="TableCopy"/>
              <w:jc w:val="right"/>
            </w:pPr>
            <w:r w:rsidRPr="00C6052E">
              <w:t>46</w:t>
            </w:r>
          </w:p>
        </w:tc>
        <w:tc>
          <w:tcPr>
            <w:tcW w:w="1488" w:type="dxa"/>
            <w:noWrap/>
            <w:hideMark/>
          </w:tcPr>
          <w:p w14:paraId="24B00B6B" w14:textId="77777777" w:rsidR="00EE5BB8" w:rsidRPr="00C6052E" w:rsidRDefault="00EE5BB8" w:rsidP="007C69B9">
            <w:pPr>
              <w:pStyle w:val="TableCopy"/>
              <w:jc w:val="right"/>
            </w:pPr>
            <w:r w:rsidRPr="00C6052E">
              <w:t>46</w:t>
            </w:r>
          </w:p>
        </w:tc>
      </w:tr>
      <w:tr w:rsidR="00EE5BB8" w:rsidRPr="00C6052E" w14:paraId="3DB6A869" w14:textId="77777777" w:rsidTr="007C69B9">
        <w:tc>
          <w:tcPr>
            <w:tcW w:w="4962" w:type="dxa"/>
            <w:hideMark/>
          </w:tcPr>
          <w:p w14:paraId="35CC9FDB" w14:textId="3BC5815C" w:rsidR="00EE5BB8" w:rsidRPr="00C6052E" w:rsidRDefault="00EE5BB8" w:rsidP="0063097D">
            <w:pPr>
              <w:pStyle w:val="Tabletotal"/>
            </w:pPr>
            <w:r w:rsidRPr="00C6052E">
              <w:t>Total</w:t>
            </w:r>
            <w:r w:rsidR="00177848" w:rsidRPr="00C6052E">
              <w:t xml:space="preserve"> </w:t>
            </w:r>
            <w:r w:rsidRPr="00C6052E">
              <w:t>depreciation</w:t>
            </w:r>
            <w:r w:rsidR="00177848" w:rsidRPr="00C6052E">
              <w:t xml:space="preserve"> </w:t>
            </w:r>
            <w:r w:rsidRPr="00C6052E">
              <w:t>and</w:t>
            </w:r>
            <w:r w:rsidR="00177848" w:rsidRPr="00C6052E">
              <w:t xml:space="preserve"> </w:t>
            </w:r>
            <w:r w:rsidRPr="00C6052E">
              <w:t>amortisation</w:t>
            </w:r>
          </w:p>
        </w:tc>
        <w:tc>
          <w:tcPr>
            <w:tcW w:w="1488" w:type="dxa"/>
            <w:noWrap/>
            <w:hideMark/>
          </w:tcPr>
          <w:p w14:paraId="061D652F" w14:textId="77777777" w:rsidR="00EE5BB8" w:rsidRPr="00C6052E" w:rsidRDefault="00EE5BB8" w:rsidP="007C69B9">
            <w:pPr>
              <w:pStyle w:val="Tabletotal"/>
              <w:jc w:val="right"/>
            </w:pPr>
            <w:r w:rsidRPr="00C6052E">
              <w:t>14,152</w:t>
            </w:r>
          </w:p>
        </w:tc>
        <w:tc>
          <w:tcPr>
            <w:tcW w:w="1488" w:type="dxa"/>
            <w:noWrap/>
            <w:hideMark/>
          </w:tcPr>
          <w:p w14:paraId="30BF80A3" w14:textId="77777777" w:rsidR="00EE5BB8" w:rsidRPr="00C6052E" w:rsidRDefault="00EE5BB8" w:rsidP="007C69B9">
            <w:pPr>
              <w:pStyle w:val="Tabletotal"/>
              <w:jc w:val="right"/>
            </w:pPr>
            <w:r w:rsidRPr="00C6052E">
              <w:t>13,372</w:t>
            </w:r>
          </w:p>
        </w:tc>
      </w:tr>
    </w:tbl>
    <w:p w14:paraId="23678AA7" w14:textId="77777777" w:rsidR="00EE5BB8" w:rsidRPr="00C6052E" w:rsidRDefault="00EE5BB8" w:rsidP="00EE5BB8"/>
    <w:p w14:paraId="563EFF95" w14:textId="58353F76" w:rsidR="00EE5BB8" w:rsidRPr="00C6052E" w:rsidRDefault="00EE5BB8" w:rsidP="00EE5BB8">
      <w:r w:rsidRPr="00C6052E">
        <w:t>Depreciation</w:t>
      </w:r>
      <w:r w:rsidR="00177848" w:rsidRPr="00C6052E">
        <w:t xml:space="preserve"> </w:t>
      </w:r>
      <w:r w:rsidRPr="00C6052E">
        <w:t>is</w:t>
      </w:r>
      <w:r w:rsidR="00177848" w:rsidRPr="00C6052E">
        <w:t xml:space="preserve"> </w:t>
      </w:r>
      <w:r w:rsidRPr="00C6052E">
        <w:t>generally</w:t>
      </w:r>
      <w:r w:rsidR="00177848" w:rsidRPr="00C6052E">
        <w:t xml:space="preserve"> </w:t>
      </w:r>
      <w:r w:rsidRPr="00C6052E">
        <w:t>calculated</w:t>
      </w:r>
      <w:r w:rsidR="00177848" w:rsidRPr="00C6052E">
        <w:t xml:space="preserve"> </w:t>
      </w:r>
      <w:r w:rsidRPr="00C6052E">
        <w:t>on</w:t>
      </w:r>
      <w:r w:rsidR="00177848" w:rsidRPr="00C6052E">
        <w:t xml:space="preserve"> </w:t>
      </w:r>
      <w:r w:rsidRPr="00C6052E">
        <w:t>a</w:t>
      </w:r>
      <w:r w:rsidR="00177848" w:rsidRPr="00C6052E">
        <w:t xml:space="preserve"> </w:t>
      </w:r>
      <w:r w:rsidRPr="00C6052E">
        <w:t>straight-line</w:t>
      </w:r>
      <w:r w:rsidR="00177848" w:rsidRPr="00C6052E">
        <w:t xml:space="preserve"> </w:t>
      </w:r>
      <w:r w:rsidRPr="00C6052E">
        <w:t>basis,</w:t>
      </w:r>
      <w:r w:rsidR="00177848" w:rsidRPr="00C6052E">
        <w:t xml:space="preserve"> </w:t>
      </w:r>
      <w:r w:rsidRPr="00C6052E">
        <w:t>at</w:t>
      </w:r>
      <w:r w:rsidR="00177848" w:rsidRPr="00C6052E">
        <w:t xml:space="preserve"> </w:t>
      </w:r>
      <w:r w:rsidRPr="00C6052E">
        <w:t>rates</w:t>
      </w:r>
      <w:r w:rsidR="00177848" w:rsidRPr="00C6052E">
        <w:t xml:space="preserve"> </w:t>
      </w:r>
      <w:r w:rsidRPr="00C6052E">
        <w:t>that</w:t>
      </w:r>
      <w:r w:rsidR="00177848" w:rsidRPr="00C6052E">
        <w:t xml:space="preserve"> </w:t>
      </w:r>
      <w:r w:rsidRPr="00C6052E">
        <w:t>allocate</w:t>
      </w:r>
      <w:r w:rsidR="00177848" w:rsidRPr="00C6052E">
        <w:t xml:space="preserve"> </w:t>
      </w:r>
      <w:r w:rsidRPr="00C6052E">
        <w:t>the</w:t>
      </w:r>
      <w:r w:rsidR="00177848" w:rsidRPr="00C6052E">
        <w:t xml:space="preserve"> </w:t>
      </w:r>
      <w:r w:rsidRPr="00C6052E">
        <w:t>asset’s</w:t>
      </w:r>
      <w:r w:rsidR="00177848" w:rsidRPr="00C6052E">
        <w:t xml:space="preserve"> </w:t>
      </w:r>
      <w:r w:rsidRPr="00C6052E">
        <w:t>value,</w:t>
      </w:r>
      <w:r w:rsidR="00177848" w:rsidRPr="00C6052E">
        <w:t xml:space="preserve"> </w:t>
      </w:r>
      <w:r w:rsidRPr="00C6052E">
        <w:t>less</w:t>
      </w:r>
      <w:r w:rsidR="00177848" w:rsidRPr="00C6052E">
        <w:t xml:space="preserve"> </w:t>
      </w:r>
      <w:r w:rsidRPr="00C6052E">
        <w:t>any</w:t>
      </w:r>
      <w:r w:rsidR="00177848" w:rsidRPr="00C6052E">
        <w:t xml:space="preserve"> </w:t>
      </w:r>
      <w:r w:rsidRPr="00C6052E">
        <w:t>estimated</w:t>
      </w:r>
      <w:r w:rsidR="00177848" w:rsidRPr="00C6052E">
        <w:t xml:space="preserve"> </w:t>
      </w:r>
      <w:r w:rsidRPr="00C6052E">
        <w:t>residual</w:t>
      </w:r>
      <w:r w:rsidR="00177848" w:rsidRPr="00C6052E">
        <w:t xml:space="preserve"> </w:t>
      </w:r>
      <w:r w:rsidRPr="00C6052E">
        <w:t>value,</w:t>
      </w:r>
      <w:r w:rsidR="00177848" w:rsidRPr="00C6052E">
        <w:t xml:space="preserve"> </w:t>
      </w:r>
      <w:r w:rsidRPr="00C6052E">
        <w:t>over</w:t>
      </w:r>
      <w:r w:rsidR="00177848" w:rsidRPr="00C6052E">
        <w:t xml:space="preserve"> </w:t>
      </w:r>
      <w:r w:rsidRPr="00C6052E">
        <w:t>its</w:t>
      </w:r>
      <w:r w:rsidR="00177848" w:rsidRPr="00C6052E">
        <w:t xml:space="preserve"> </w:t>
      </w:r>
      <w:r w:rsidRPr="00C6052E">
        <w:t>estimated</w:t>
      </w:r>
      <w:r w:rsidR="00177848" w:rsidRPr="00C6052E">
        <w:t xml:space="preserve"> </w:t>
      </w:r>
      <w:r w:rsidRPr="00C6052E">
        <w:t>useful</w:t>
      </w:r>
      <w:r w:rsidR="00177848" w:rsidRPr="00C6052E">
        <w:t xml:space="preserve"> </w:t>
      </w:r>
      <w:r w:rsidRPr="00C6052E">
        <w:t>life.</w:t>
      </w:r>
      <w:r w:rsidR="00177848" w:rsidRPr="00C6052E">
        <w:t xml:space="preserve"> </w:t>
      </w:r>
      <w:r w:rsidRPr="00C6052E">
        <w:t>The</w:t>
      </w:r>
      <w:r w:rsidR="00177848" w:rsidRPr="00C6052E">
        <w:t xml:space="preserve"> </w:t>
      </w:r>
      <w:r w:rsidRPr="00C6052E">
        <w:t>typical</w:t>
      </w:r>
      <w:r w:rsidR="00177848" w:rsidRPr="00C6052E">
        <w:t xml:space="preserve"> </w:t>
      </w:r>
      <w:r w:rsidRPr="00C6052E">
        <w:t>estimated</w:t>
      </w:r>
      <w:r w:rsidR="00177848" w:rsidRPr="00C6052E">
        <w:t xml:space="preserve"> </w:t>
      </w:r>
      <w:r w:rsidRPr="00C6052E">
        <w:t>useful</w:t>
      </w:r>
      <w:r w:rsidR="00177848" w:rsidRPr="00C6052E">
        <w:t xml:space="preserve"> </w:t>
      </w:r>
      <w:r w:rsidRPr="00C6052E">
        <w:t>life</w:t>
      </w:r>
      <w:r w:rsidR="00177848" w:rsidRPr="00C6052E">
        <w:t xml:space="preserve"> </w:t>
      </w:r>
      <w:r w:rsidRPr="00C6052E">
        <w:t>for</w:t>
      </w:r>
      <w:r w:rsidR="00177848" w:rsidRPr="00C6052E">
        <w:t xml:space="preserve"> </w:t>
      </w:r>
      <w:r w:rsidRPr="00C6052E">
        <w:t>the</w:t>
      </w:r>
      <w:r w:rsidR="00177848" w:rsidRPr="00C6052E">
        <w:t xml:space="preserve"> </w:t>
      </w:r>
      <w:r w:rsidRPr="00C6052E">
        <w:t>different</w:t>
      </w:r>
      <w:r w:rsidR="00177848" w:rsidRPr="00C6052E">
        <w:t xml:space="preserve"> </w:t>
      </w:r>
      <w:r w:rsidRPr="00C6052E">
        <w:t>asset</w:t>
      </w:r>
      <w:r w:rsidR="00177848" w:rsidRPr="00C6052E">
        <w:t xml:space="preserve"> </w:t>
      </w:r>
      <w:r w:rsidRPr="00C6052E">
        <w:t>classes</w:t>
      </w:r>
      <w:r w:rsidR="00177848" w:rsidRPr="00C6052E">
        <w:t xml:space="preserve"> </w:t>
      </w:r>
      <w:r w:rsidRPr="00C6052E">
        <w:t>has</w:t>
      </w:r>
      <w:r w:rsidR="00177848" w:rsidRPr="00C6052E">
        <w:t xml:space="preserve"> </w:t>
      </w:r>
      <w:r w:rsidRPr="00C6052E">
        <w:t>not</w:t>
      </w:r>
      <w:r w:rsidR="00177848" w:rsidRPr="00C6052E">
        <w:t xml:space="preserve"> </w:t>
      </w:r>
      <w:r w:rsidRPr="00C6052E">
        <w:t>changed</w:t>
      </w:r>
      <w:r w:rsidR="00177848" w:rsidRPr="00C6052E">
        <w:t xml:space="preserve"> </w:t>
      </w:r>
      <w:r w:rsidRPr="00C6052E">
        <w:t>and</w:t>
      </w:r>
      <w:r w:rsidR="00177848" w:rsidRPr="00C6052E">
        <w:t xml:space="preserve"> </w:t>
      </w:r>
      <w:r w:rsidRPr="00C6052E">
        <w:t>are</w:t>
      </w:r>
      <w:r w:rsidR="00177848" w:rsidRPr="00C6052E">
        <w:t xml:space="preserve"> </w:t>
      </w:r>
      <w:r w:rsidRPr="00C6052E">
        <w:t>included</w:t>
      </w:r>
      <w:r w:rsidR="00177848" w:rsidRPr="00C6052E">
        <w:t xml:space="preserve"> </w:t>
      </w:r>
      <w:r w:rsidRPr="00C6052E">
        <w:t>in</w:t>
      </w:r>
      <w:r w:rsidR="00177848" w:rsidRPr="00C6052E">
        <w:t xml:space="preserve"> </w:t>
      </w:r>
      <w:r w:rsidRPr="00C6052E">
        <w:t>the</w:t>
      </w:r>
      <w:r w:rsidR="00177848" w:rsidRPr="00C6052E">
        <w:t xml:space="preserve"> </w:t>
      </w:r>
      <w:r w:rsidRPr="00C6052E">
        <w:t>table</w:t>
      </w:r>
      <w:r w:rsidR="00177848" w:rsidRPr="00C6052E">
        <w:t xml:space="preserve"> </w:t>
      </w:r>
      <w:r w:rsidRPr="00C6052E">
        <w:t>below:</w:t>
      </w:r>
    </w:p>
    <w:p w14:paraId="49DFEBF1" w14:textId="0876AFEC" w:rsidR="00EE5BB8" w:rsidRPr="00C6052E" w:rsidRDefault="00D41E95" w:rsidP="00D41E95">
      <w:pPr>
        <w:pStyle w:val="TableHeading"/>
      </w:pPr>
      <w:r w:rsidRPr="00C6052E">
        <w:lastRenderedPageBreak/>
        <w:t>Useful</w:t>
      </w:r>
      <w:r w:rsidR="00177848" w:rsidRPr="00C6052E">
        <w:t xml:space="preserve"> </w:t>
      </w:r>
      <w:r w:rsidRPr="00C6052E">
        <w:t>life</w:t>
      </w:r>
      <w:r w:rsidR="00177848" w:rsidRPr="00C6052E">
        <w:t xml:space="preserve"> </w:t>
      </w:r>
      <w:r w:rsidRPr="00C6052E">
        <w:t>by</w:t>
      </w:r>
      <w:r w:rsidR="00177848" w:rsidRPr="00C6052E">
        <w:t xml:space="preserve"> </w:t>
      </w:r>
      <w:r w:rsidRPr="00C6052E">
        <w:t>asset</w:t>
      </w:r>
      <w:r w:rsidR="00177848" w:rsidRPr="00C6052E">
        <w:t xml:space="preserve"> </w:t>
      </w:r>
      <w:r w:rsidRPr="00C6052E">
        <w:t>class</w:t>
      </w:r>
    </w:p>
    <w:tbl>
      <w:tblPr>
        <w:tblStyle w:val="TableGrid"/>
        <w:tblW w:w="6232" w:type="dxa"/>
        <w:tblLook w:val="0480" w:firstRow="0" w:lastRow="0" w:firstColumn="1" w:lastColumn="0" w:noHBand="0" w:noVBand="1"/>
      </w:tblPr>
      <w:tblGrid>
        <w:gridCol w:w="4106"/>
        <w:gridCol w:w="2126"/>
      </w:tblGrid>
      <w:tr w:rsidR="00EE5BB8" w:rsidRPr="00C6052E" w14:paraId="2286D971" w14:textId="77777777" w:rsidTr="00D41E95">
        <w:trPr>
          <w:trHeight w:val="264"/>
        </w:trPr>
        <w:tc>
          <w:tcPr>
            <w:tcW w:w="4106" w:type="dxa"/>
            <w:hideMark/>
          </w:tcPr>
          <w:p w14:paraId="2E6B5D36" w14:textId="68803D5F" w:rsidR="00EE5BB8" w:rsidRPr="00C6052E" w:rsidRDefault="00EE5BB8" w:rsidP="0063097D">
            <w:pPr>
              <w:pStyle w:val="TableCopy"/>
            </w:pPr>
            <w:r w:rsidRPr="00C6052E">
              <w:t>Buildings</w:t>
            </w:r>
            <w:r w:rsidR="00177848" w:rsidRPr="00C6052E">
              <w:t xml:space="preserve"> </w:t>
            </w:r>
            <w:r w:rsidRPr="00C6052E">
              <w:t>and</w:t>
            </w:r>
            <w:r w:rsidR="00177848" w:rsidRPr="00C6052E">
              <w:t xml:space="preserve"> </w:t>
            </w:r>
            <w:r w:rsidRPr="00C6052E">
              <w:t>structures</w:t>
            </w:r>
          </w:p>
        </w:tc>
        <w:tc>
          <w:tcPr>
            <w:tcW w:w="2126" w:type="dxa"/>
            <w:hideMark/>
          </w:tcPr>
          <w:p w14:paraId="67E3A03B" w14:textId="58B226A6" w:rsidR="00EE5BB8" w:rsidRPr="00C6052E" w:rsidRDefault="00EE5BB8" w:rsidP="00D41E95">
            <w:pPr>
              <w:pStyle w:val="TableCopy"/>
              <w:jc w:val="right"/>
            </w:pPr>
            <w:r w:rsidRPr="00C6052E">
              <w:t>5</w:t>
            </w:r>
            <w:r w:rsidR="00177848" w:rsidRPr="00C6052E">
              <w:t xml:space="preserve"> </w:t>
            </w:r>
            <w:r w:rsidRPr="00C6052E">
              <w:t>to</w:t>
            </w:r>
            <w:r w:rsidR="00177848" w:rsidRPr="00C6052E">
              <w:t xml:space="preserve"> </w:t>
            </w:r>
            <w:r w:rsidRPr="00C6052E">
              <w:t>55</w:t>
            </w:r>
            <w:r w:rsidR="00177848" w:rsidRPr="00C6052E">
              <w:t xml:space="preserve"> </w:t>
            </w:r>
            <w:r w:rsidRPr="00C6052E">
              <w:t>years</w:t>
            </w:r>
          </w:p>
        </w:tc>
      </w:tr>
      <w:tr w:rsidR="00EE5BB8" w:rsidRPr="00C6052E" w14:paraId="027E2813" w14:textId="77777777" w:rsidTr="00D41E95">
        <w:trPr>
          <w:trHeight w:val="264"/>
        </w:trPr>
        <w:tc>
          <w:tcPr>
            <w:tcW w:w="4106" w:type="dxa"/>
            <w:hideMark/>
          </w:tcPr>
          <w:p w14:paraId="2A508E02" w14:textId="172DEFA6" w:rsidR="00EE5BB8" w:rsidRPr="00C6052E" w:rsidRDefault="00EE5BB8" w:rsidP="0063097D">
            <w:pPr>
              <w:pStyle w:val="TableCopy"/>
            </w:pPr>
            <w:r w:rsidRPr="00C6052E">
              <w:t>Right-of-use</w:t>
            </w:r>
            <w:r w:rsidR="00177848" w:rsidRPr="00C6052E">
              <w:t xml:space="preserve"> </w:t>
            </w:r>
            <w:r w:rsidRPr="00C6052E">
              <w:t>assets</w:t>
            </w:r>
          </w:p>
        </w:tc>
        <w:tc>
          <w:tcPr>
            <w:tcW w:w="2126" w:type="dxa"/>
            <w:hideMark/>
          </w:tcPr>
          <w:p w14:paraId="6F64A0EA" w14:textId="20844E92" w:rsidR="00EE5BB8" w:rsidRPr="00C6052E" w:rsidRDefault="00EE5BB8" w:rsidP="00D41E95">
            <w:pPr>
              <w:pStyle w:val="TableCopy"/>
              <w:jc w:val="right"/>
            </w:pPr>
            <w:r w:rsidRPr="00C6052E">
              <w:t>2</w:t>
            </w:r>
            <w:r w:rsidR="00177848" w:rsidRPr="00C6052E">
              <w:t xml:space="preserve"> </w:t>
            </w:r>
            <w:r w:rsidRPr="00C6052E">
              <w:t>to</w:t>
            </w:r>
            <w:r w:rsidR="00177848" w:rsidRPr="00C6052E">
              <w:t xml:space="preserve"> </w:t>
            </w:r>
            <w:r w:rsidRPr="00C6052E">
              <w:t>13</w:t>
            </w:r>
            <w:r w:rsidR="00177848" w:rsidRPr="00C6052E">
              <w:t xml:space="preserve"> </w:t>
            </w:r>
            <w:r w:rsidRPr="00C6052E">
              <w:t>years</w:t>
            </w:r>
          </w:p>
        </w:tc>
      </w:tr>
      <w:tr w:rsidR="00EE5BB8" w:rsidRPr="00C6052E" w14:paraId="6C80A9CF" w14:textId="77777777" w:rsidTr="00D41E95">
        <w:trPr>
          <w:trHeight w:val="264"/>
        </w:trPr>
        <w:tc>
          <w:tcPr>
            <w:tcW w:w="4106" w:type="dxa"/>
            <w:hideMark/>
          </w:tcPr>
          <w:p w14:paraId="3CD40624" w14:textId="39EFFA5B" w:rsidR="00EE5BB8" w:rsidRPr="00C6052E" w:rsidRDefault="00EE5BB8" w:rsidP="0063097D">
            <w:pPr>
              <w:pStyle w:val="TableCopy"/>
            </w:pPr>
            <w:r w:rsidRPr="00C6052E">
              <w:t>Cultural</w:t>
            </w:r>
            <w:r w:rsidR="00177848" w:rsidRPr="00C6052E">
              <w:t xml:space="preserve"> </w:t>
            </w:r>
            <w:r w:rsidRPr="00C6052E">
              <w:t>assets</w:t>
            </w:r>
            <w:r w:rsidR="00177848" w:rsidRPr="00C6052E">
              <w:t xml:space="preserve"> </w:t>
            </w:r>
            <w:r w:rsidRPr="00C6052E">
              <w:t>(with</w:t>
            </w:r>
            <w:r w:rsidR="00177848" w:rsidRPr="00C6052E">
              <w:t xml:space="preserve"> </w:t>
            </w:r>
            <w:r w:rsidRPr="00C6052E">
              <w:t>finite</w:t>
            </w:r>
            <w:r w:rsidR="00177848" w:rsidRPr="00C6052E">
              <w:t xml:space="preserve"> </w:t>
            </w:r>
            <w:r w:rsidRPr="00C6052E">
              <w:t>useful</w:t>
            </w:r>
            <w:r w:rsidR="00177848" w:rsidRPr="00C6052E">
              <w:t xml:space="preserve"> </w:t>
            </w:r>
            <w:r w:rsidRPr="00C6052E">
              <w:t>life)</w:t>
            </w:r>
          </w:p>
        </w:tc>
        <w:tc>
          <w:tcPr>
            <w:tcW w:w="2126" w:type="dxa"/>
            <w:hideMark/>
          </w:tcPr>
          <w:p w14:paraId="2CFC777C" w14:textId="559EAA7D" w:rsidR="00EE5BB8" w:rsidRPr="00C6052E" w:rsidRDefault="00EE5BB8" w:rsidP="00D41E95">
            <w:pPr>
              <w:pStyle w:val="TableCopy"/>
              <w:jc w:val="right"/>
            </w:pPr>
            <w:r w:rsidRPr="00C6052E">
              <w:t>28</w:t>
            </w:r>
            <w:r w:rsidR="00177848" w:rsidRPr="00C6052E">
              <w:t xml:space="preserve"> </w:t>
            </w:r>
            <w:r w:rsidRPr="00C6052E">
              <w:t>to</w:t>
            </w:r>
            <w:r w:rsidR="00177848" w:rsidRPr="00C6052E">
              <w:t xml:space="preserve"> </w:t>
            </w:r>
            <w:r w:rsidRPr="00C6052E">
              <w:t>84</w:t>
            </w:r>
            <w:r w:rsidR="00177848" w:rsidRPr="00C6052E">
              <w:t xml:space="preserve"> </w:t>
            </w:r>
            <w:r w:rsidRPr="00C6052E">
              <w:t>years</w:t>
            </w:r>
          </w:p>
        </w:tc>
      </w:tr>
      <w:tr w:rsidR="00EE5BB8" w:rsidRPr="00C6052E" w14:paraId="203974B4" w14:textId="77777777" w:rsidTr="00D41E95">
        <w:trPr>
          <w:trHeight w:val="264"/>
        </w:trPr>
        <w:tc>
          <w:tcPr>
            <w:tcW w:w="4106" w:type="dxa"/>
            <w:hideMark/>
          </w:tcPr>
          <w:p w14:paraId="1EFF5B45" w14:textId="5CA8770B" w:rsidR="00EE5BB8" w:rsidRPr="00C6052E" w:rsidRDefault="00EE5BB8" w:rsidP="0063097D">
            <w:pPr>
              <w:pStyle w:val="TableCopy"/>
            </w:pPr>
            <w:r w:rsidRPr="00C6052E">
              <w:t>Leasehold</w:t>
            </w:r>
            <w:r w:rsidR="00177848" w:rsidRPr="00C6052E">
              <w:t xml:space="preserve"> </w:t>
            </w:r>
            <w:r w:rsidRPr="00C6052E">
              <w:t>improvements</w:t>
            </w:r>
          </w:p>
        </w:tc>
        <w:tc>
          <w:tcPr>
            <w:tcW w:w="2126" w:type="dxa"/>
            <w:hideMark/>
          </w:tcPr>
          <w:p w14:paraId="455D1D4A" w14:textId="430E79F9" w:rsidR="00EE5BB8" w:rsidRPr="00C6052E" w:rsidRDefault="00EE5BB8" w:rsidP="00D41E95">
            <w:pPr>
              <w:pStyle w:val="TableCopy"/>
              <w:jc w:val="right"/>
            </w:pPr>
            <w:r w:rsidRPr="00C6052E">
              <w:t>3</w:t>
            </w:r>
            <w:r w:rsidR="00177848" w:rsidRPr="00C6052E">
              <w:t xml:space="preserve"> </w:t>
            </w:r>
            <w:r w:rsidRPr="00C6052E">
              <w:t>to</w:t>
            </w:r>
            <w:r w:rsidR="00177848" w:rsidRPr="00C6052E">
              <w:t xml:space="preserve"> </w:t>
            </w:r>
            <w:r w:rsidRPr="00C6052E">
              <w:t>19</w:t>
            </w:r>
            <w:r w:rsidR="00177848" w:rsidRPr="00C6052E">
              <w:t xml:space="preserve"> </w:t>
            </w:r>
            <w:r w:rsidRPr="00C6052E">
              <w:t>years</w:t>
            </w:r>
          </w:p>
        </w:tc>
      </w:tr>
      <w:tr w:rsidR="00EE5BB8" w:rsidRPr="00C6052E" w14:paraId="00E726A2" w14:textId="77777777" w:rsidTr="00D41E95">
        <w:trPr>
          <w:trHeight w:val="264"/>
        </w:trPr>
        <w:tc>
          <w:tcPr>
            <w:tcW w:w="4106" w:type="dxa"/>
            <w:hideMark/>
          </w:tcPr>
          <w:p w14:paraId="573EE88B" w14:textId="373C28B2" w:rsidR="00EE5BB8" w:rsidRPr="00C6052E" w:rsidRDefault="00EE5BB8" w:rsidP="0063097D">
            <w:pPr>
              <w:pStyle w:val="TableCopy"/>
            </w:pPr>
            <w:r w:rsidRPr="00C6052E">
              <w:t>Plant</w:t>
            </w:r>
            <w:r w:rsidR="00177848" w:rsidRPr="00C6052E">
              <w:t xml:space="preserve"> </w:t>
            </w:r>
            <w:r w:rsidRPr="00C6052E">
              <w:t>and</w:t>
            </w:r>
            <w:r w:rsidR="00177848" w:rsidRPr="00C6052E">
              <w:t xml:space="preserve"> </w:t>
            </w:r>
            <w:r w:rsidRPr="00C6052E">
              <w:t>equipment</w:t>
            </w:r>
          </w:p>
        </w:tc>
        <w:tc>
          <w:tcPr>
            <w:tcW w:w="2126" w:type="dxa"/>
            <w:hideMark/>
          </w:tcPr>
          <w:p w14:paraId="236BFD75" w14:textId="365C2236" w:rsidR="00EE5BB8" w:rsidRPr="00C6052E" w:rsidRDefault="00EE5BB8" w:rsidP="00D41E95">
            <w:pPr>
              <w:pStyle w:val="TableCopy"/>
              <w:jc w:val="right"/>
            </w:pPr>
            <w:r w:rsidRPr="00C6052E">
              <w:t>3</w:t>
            </w:r>
            <w:r w:rsidR="00177848" w:rsidRPr="00C6052E">
              <w:t xml:space="preserve"> </w:t>
            </w:r>
            <w:r w:rsidRPr="00C6052E">
              <w:t>to</w:t>
            </w:r>
            <w:r w:rsidR="00177848" w:rsidRPr="00C6052E">
              <w:t xml:space="preserve"> </w:t>
            </w:r>
            <w:r w:rsidRPr="00C6052E">
              <w:t>20</w:t>
            </w:r>
            <w:r w:rsidR="00177848" w:rsidRPr="00C6052E">
              <w:t xml:space="preserve"> </w:t>
            </w:r>
            <w:r w:rsidRPr="00C6052E">
              <w:t>years</w:t>
            </w:r>
          </w:p>
        </w:tc>
      </w:tr>
      <w:tr w:rsidR="00EE5BB8" w:rsidRPr="00C6052E" w14:paraId="7704FC6D" w14:textId="77777777" w:rsidTr="00D41E95">
        <w:trPr>
          <w:trHeight w:val="264"/>
        </w:trPr>
        <w:tc>
          <w:tcPr>
            <w:tcW w:w="4106" w:type="dxa"/>
            <w:hideMark/>
          </w:tcPr>
          <w:p w14:paraId="3EC1C003" w14:textId="56EC5DCE" w:rsidR="00EE5BB8" w:rsidRPr="00C6052E" w:rsidRDefault="00EE5BB8" w:rsidP="0063097D">
            <w:pPr>
              <w:pStyle w:val="TableCopy"/>
            </w:pPr>
            <w:r w:rsidRPr="00C6052E">
              <w:t>Motor</w:t>
            </w:r>
            <w:r w:rsidR="00177848" w:rsidRPr="00C6052E">
              <w:t xml:space="preserve"> </w:t>
            </w:r>
            <w:r w:rsidRPr="00C6052E">
              <w:t>vehicles</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r w:rsidR="00177848" w:rsidRPr="00C6052E">
              <w:t xml:space="preserve"> </w:t>
            </w:r>
          </w:p>
        </w:tc>
        <w:tc>
          <w:tcPr>
            <w:tcW w:w="2126" w:type="dxa"/>
            <w:hideMark/>
          </w:tcPr>
          <w:p w14:paraId="29EFFE8C" w14:textId="677BE282" w:rsidR="00EE5BB8" w:rsidRPr="00C6052E" w:rsidRDefault="00EE5BB8" w:rsidP="00D41E95">
            <w:pPr>
              <w:pStyle w:val="TableCopy"/>
              <w:jc w:val="right"/>
            </w:pPr>
            <w:r w:rsidRPr="00C6052E">
              <w:t>3</w:t>
            </w:r>
            <w:r w:rsidR="00177848" w:rsidRPr="00C6052E">
              <w:t xml:space="preserve"> </w:t>
            </w:r>
            <w:r w:rsidRPr="00C6052E">
              <w:t>to</w:t>
            </w:r>
            <w:r w:rsidR="00177848" w:rsidRPr="00C6052E">
              <w:t xml:space="preserve"> </w:t>
            </w:r>
            <w:r w:rsidRPr="00C6052E">
              <w:t>10</w:t>
            </w:r>
            <w:r w:rsidR="00177848" w:rsidRPr="00C6052E">
              <w:t xml:space="preserve"> </w:t>
            </w:r>
            <w:r w:rsidRPr="00C6052E">
              <w:t>years</w:t>
            </w:r>
          </w:p>
        </w:tc>
      </w:tr>
    </w:tbl>
    <w:p w14:paraId="1554CAF3" w14:textId="77777777" w:rsidR="00EE5BB8" w:rsidRPr="00C6052E" w:rsidRDefault="00EE5BB8" w:rsidP="00EE5BB8"/>
    <w:p w14:paraId="70FA8EBC" w14:textId="7CF504D0" w:rsidR="00EE5BB8" w:rsidRPr="00C6052E" w:rsidRDefault="00EE5BB8" w:rsidP="00EE5BB8">
      <w:r w:rsidRPr="00C6052E">
        <w:t>The</w:t>
      </w:r>
      <w:r w:rsidR="00177848" w:rsidRPr="00C6052E">
        <w:t xml:space="preserve"> </w:t>
      </w:r>
      <w:r w:rsidRPr="00C6052E">
        <w:t>estimated</w:t>
      </w:r>
      <w:r w:rsidR="00177848" w:rsidRPr="00C6052E">
        <w:t xml:space="preserve"> </w:t>
      </w:r>
      <w:r w:rsidRPr="00C6052E">
        <w:t>useful</w:t>
      </w:r>
      <w:r w:rsidR="00177848" w:rsidRPr="00C6052E">
        <w:t xml:space="preserve"> </w:t>
      </w:r>
      <w:r w:rsidRPr="00C6052E">
        <w:t>lives,</w:t>
      </w:r>
      <w:r w:rsidR="00177848" w:rsidRPr="00C6052E">
        <w:t xml:space="preserve"> </w:t>
      </w:r>
      <w:r w:rsidRPr="00C6052E">
        <w:t>residual</w:t>
      </w:r>
      <w:r w:rsidR="00177848" w:rsidRPr="00C6052E">
        <w:t xml:space="preserve"> </w:t>
      </w:r>
      <w:r w:rsidRPr="00C6052E">
        <w:t>values</w:t>
      </w:r>
      <w:r w:rsidR="00177848" w:rsidRPr="00C6052E">
        <w:t xml:space="preserve"> </w:t>
      </w:r>
      <w:r w:rsidRPr="00C6052E">
        <w:t>and</w:t>
      </w:r>
      <w:r w:rsidR="00177848" w:rsidRPr="00C6052E">
        <w:t xml:space="preserve"> </w:t>
      </w:r>
      <w:r w:rsidRPr="00C6052E">
        <w:t>depreciation</w:t>
      </w:r>
      <w:r w:rsidR="00177848" w:rsidRPr="00C6052E">
        <w:t xml:space="preserve"> </w:t>
      </w:r>
      <w:r w:rsidRPr="00C6052E">
        <w:t>methods</w:t>
      </w:r>
      <w:r w:rsidR="00177848" w:rsidRPr="00C6052E">
        <w:t xml:space="preserve"> </w:t>
      </w:r>
      <w:r w:rsidRPr="00C6052E">
        <w:t>are</w:t>
      </w:r>
      <w:r w:rsidR="00177848" w:rsidRPr="00C6052E">
        <w:t xml:space="preserve"> </w:t>
      </w:r>
      <w:r w:rsidRPr="00C6052E">
        <w:t>reviewed</w:t>
      </w:r>
      <w:r w:rsidR="00177848" w:rsidRPr="00C6052E">
        <w:t xml:space="preserve"> </w:t>
      </w:r>
      <w:r w:rsidRPr="00C6052E">
        <w:t>at</w:t>
      </w:r>
      <w:r w:rsidR="00177848" w:rsidRPr="00C6052E">
        <w:t xml:space="preserve"> </w:t>
      </w:r>
      <w:r w:rsidRPr="00C6052E">
        <w:t>the</w:t>
      </w:r>
      <w:r w:rsidR="00177848" w:rsidRPr="00C6052E">
        <w:t xml:space="preserve"> </w:t>
      </w:r>
      <w:r w:rsidRPr="00C6052E">
        <w:t>end</w:t>
      </w:r>
      <w:r w:rsidR="00177848" w:rsidRPr="00C6052E">
        <w:t xml:space="preserve"> </w:t>
      </w:r>
      <w:r w:rsidRPr="00C6052E">
        <w:t>of</w:t>
      </w:r>
      <w:r w:rsidR="00177848" w:rsidRPr="00C6052E">
        <w:t xml:space="preserve"> </w:t>
      </w:r>
      <w:r w:rsidRPr="00C6052E">
        <w:t>each</w:t>
      </w:r>
      <w:r w:rsidR="00177848" w:rsidRPr="00C6052E">
        <w:t xml:space="preserve"> </w:t>
      </w:r>
      <w:r w:rsidRPr="00C6052E">
        <w:t>annual</w:t>
      </w:r>
      <w:r w:rsidR="00177848" w:rsidRPr="00C6052E">
        <w:t xml:space="preserve"> </w:t>
      </w:r>
      <w:r w:rsidRPr="00C6052E">
        <w:t>reporting</w:t>
      </w:r>
      <w:r w:rsidR="00177848" w:rsidRPr="00C6052E">
        <w:t xml:space="preserve"> </w:t>
      </w:r>
      <w:r w:rsidRPr="00C6052E">
        <w:t>period</w:t>
      </w:r>
      <w:r w:rsidR="00177848" w:rsidRPr="00C6052E">
        <w:t xml:space="preserve"> </w:t>
      </w:r>
      <w:r w:rsidRPr="00C6052E">
        <w:t>and</w:t>
      </w:r>
      <w:r w:rsidR="00177848" w:rsidRPr="00C6052E">
        <w:t xml:space="preserve"> </w:t>
      </w:r>
      <w:r w:rsidRPr="00C6052E">
        <w:t>adjustments</w:t>
      </w:r>
      <w:r w:rsidR="00177848" w:rsidRPr="00C6052E">
        <w:t xml:space="preserve"> </w:t>
      </w:r>
      <w:r w:rsidRPr="00C6052E">
        <w:t>made</w:t>
      </w:r>
      <w:r w:rsidR="00177848" w:rsidRPr="00C6052E">
        <w:t xml:space="preserve"> </w:t>
      </w:r>
      <w:r w:rsidRPr="00C6052E">
        <w:t>where</w:t>
      </w:r>
      <w:r w:rsidR="00177848" w:rsidRPr="00C6052E">
        <w:t xml:space="preserve"> </w:t>
      </w:r>
      <w:r w:rsidRPr="00C6052E">
        <w:t>appropriate.</w:t>
      </w:r>
      <w:r w:rsidR="00177848" w:rsidRPr="00C6052E">
        <w:t xml:space="preserve"> </w:t>
      </w:r>
    </w:p>
    <w:p w14:paraId="5742C6EB" w14:textId="36B1F6C9" w:rsidR="00EE5BB8" w:rsidRPr="00C6052E" w:rsidRDefault="00EE5BB8" w:rsidP="00EE5BB8">
      <w:r w:rsidRPr="00C6052E">
        <w:t>Right-of-use</w:t>
      </w:r>
      <w:r w:rsidR="00177848" w:rsidRPr="00C6052E">
        <w:t xml:space="preserve"> </w:t>
      </w:r>
      <w:r w:rsidRPr="00C6052E">
        <w:t>assets</w:t>
      </w:r>
      <w:r w:rsidR="00177848" w:rsidRPr="00C6052E">
        <w:t xml:space="preserve"> </w:t>
      </w:r>
      <w:r w:rsidRPr="00C6052E">
        <w:t>are</w:t>
      </w:r>
      <w:r w:rsidR="00177848" w:rsidRPr="00C6052E">
        <w:t xml:space="preserve"> </w:t>
      </w:r>
      <w:r w:rsidRPr="00C6052E">
        <w:t>generally</w:t>
      </w:r>
      <w:r w:rsidR="00177848" w:rsidRPr="00C6052E">
        <w:t xml:space="preserve"> </w:t>
      </w:r>
      <w:r w:rsidRPr="00C6052E">
        <w:t>depreciated</w:t>
      </w:r>
      <w:r w:rsidR="00177848" w:rsidRPr="00C6052E">
        <w:t xml:space="preserve"> </w:t>
      </w:r>
      <w:r w:rsidRPr="00C6052E">
        <w:t>over</w:t>
      </w:r>
      <w:r w:rsidR="00177848" w:rsidRPr="00C6052E">
        <w:t xml:space="preserve"> </w:t>
      </w:r>
      <w:r w:rsidRPr="00C6052E">
        <w:t>the</w:t>
      </w:r>
      <w:r w:rsidR="00177848" w:rsidRPr="00C6052E">
        <w:t xml:space="preserve"> </w:t>
      </w:r>
      <w:r w:rsidRPr="00C6052E">
        <w:t>shorter</w:t>
      </w:r>
      <w:r w:rsidR="00177848" w:rsidRPr="00C6052E">
        <w:t xml:space="preserve"> </w:t>
      </w:r>
      <w:r w:rsidRPr="00C6052E">
        <w:t>of</w:t>
      </w:r>
      <w:r w:rsidR="00177848" w:rsidRPr="00C6052E">
        <w:t xml:space="preserve"> </w:t>
      </w:r>
      <w:r w:rsidRPr="00C6052E">
        <w:t>the</w:t>
      </w:r>
      <w:r w:rsidR="00177848" w:rsidRPr="00C6052E">
        <w:t xml:space="preserve"> </w:t>
      </w:r>
      <w:r w:rsidRPr="00C6052E">
        <w:t>asset’s</w:t>
      </w:r>
      <w:r w:rsidR="00177848" w:rsidRPr="00C6052E">
        <w:t xml:space="preserve"> </w:t>
      </w:r>
      <w:r w:rsidRPr="00C6052E">
        <w:t>useful</w:t>
      </w:r>
      <w:r w:rsidR="00177848" w:rsidRPr="00C6052E">
        <w:t xml:space="preserve"> </w:t>
      </w:r>
      <w:r w:rsidRPr="00C6052E">
        <w:t>life</w:t>
      </w:r>
      <w:r w:rsidR="00177848" w:rsidRPr="00C6052E">
        <w:t xml:space="preserve"> </w:t>
      </w:r>
      <w:r w:rsidRPr="00C6052E">
        <w:t>and</w:t>
      </w:r>
      <w:r w:rsidR="00177848" w:rsidRPr="00C6052E">
        <w:t xml:space="preserve"> </w:t>
      </w:r>
      <w:r w:rsidRPr="00C6052E">
        <w:t>the</w:t>
      </w:r>
      <w:r w:rsidR="00177848" w:rsidRPr="00C6052E">
        <w:t xml:space="preserve"> </w:t>
      </w:r>
      <w:r w:rsidRPr="00C6052E">
        <w:t>lease</w:t>
      </w:r>
      <w:r w:rsidR="00177848" w:rsidRPr="00C6052E">
        <w:t xml:space="preserve"> </w:t>
      </w:r>
      <w:r w:rsidRPr="00C6052E">
        <w:t>term.</w:t>
      </w:r>
      <w:r w:rsidR="00177848" w:rsidRPr="00C6052E">
        <w:t xml:space="preserve"> </w:t>
      </w:r>
      <w:r w:rsidRPr="00C6052E">
        <w:t>Where</w:t>
      </w:r>
      <w:r w:rsidR="00177848" w:rsidRPr="00C6052E">
        <w:t xml:space="preserve"> </w:t>
      </w:r>
      <w:r w:rsidRPr="00C6052E">
        <w:t>DJSIR</w:t>
      </w:r>
      <w:r w:rsidR="00177848" w:rsidRPr="00C6052E">
        <w:t xml:space="preserve"> </w:t>
      </w:r>
      <w:r w:rsidRPr="00C6052E">
        <w:t>obtains</w:t>
      </w:r>
      <w:r w:rsidR="00177848" w:rsidRPr="00C6052E">
        <w:t xml:space="preserve"> </w:t>
      </w:r>
      <w:r w:rsidRPr="00C6052E">
        <w:t>ownership</w:t>
      </w:r>
      <w:r w:rsidR="00177848" w:rsidRPr="00C6052E">
        <w:t xml:space="preserve"> </w:t>
      </w:r>
      <w:r w:rsidRPr="00C6052E">
        <w:t>of</w:t>
      </w:r>
      <w:r w:rsidR="00177848" w:rsidRPr="00C6052E">
        <w:t xml:space="preserve"> </w:t>
      </w:r>
      <w:r w:rsidRPr="00C6052E">
        <w:t>the</w:t>
      </w:r>
      <w:r w:rsidR="00177848" w:rsidRPr="00C6052E">
        <w:t xml:space="preserve"> </w:t>
      </w:r>
      <w:r w:rsidRPr="00C6052E">
        <w:t>underlying</w:t>
      </w:r>
      <w:r w:rsidR="00177848" w:rsidRPr="00C6052E">
        <w:t xml:space="preserve"> </w:t>
      </w:r>
      <w:r w:rsidRPr="00C6052E">
        <w:t>leased</w:t>
      </w:r>
      <w:r w:rsidR="00177848" w:rsidRPr="00C6052E">
        <w:t xml:space="preserve"> </w:t>
      </w:r>
      <w:r w:rsidRPr="00C6052E">
        <w:t>asset</w:t>
      </w:r>
      <w:r w:rsidR="00177848" w:rsidRPr="00C6052E">
        <w:t xml:space="preserve"> </w:t>
      </w:r>
      <w:r w:rsidRPr="00C6052E">
        <w:t>or</w:t>
      </w:r>
      <w:r w:rsidR="00177848" w:rsidRPr="00C6052E">
        <w:t xml:space="preserve"> </w:t>
      </w:r>
      <w:r w:rsidRPr="00C6052E">
        <w:t>if</w:t>
      </w:r>
      <w:r w:rsidR="00177848" w:rsidRPr="00C6052E">
        <w:t xml:space="preserve"> </w:t>
      </w:r>
      <w:r w:rsidRPr="00C6052E">
        <w:t>the</w:t>
      </w:r>
      <w:r w:rsidR="00177848" w:rsidRPr="00C6052E">
        <w:t xml:space="preserve"> </w:t>
      </w:r>
      <w:r w:rsidRPr="00C6052E">
        <w:t>cost</w:t>
      </w:r>
      <w:r w:rsidR="00177848" w:rsidRPr="00C6052E">
        <w:t xml:space="preserve"> </w:t>
      </w:r>
      <w:r w:rsidRPr="00C6052E">
        <w:t>of</w:t>
      </w:r>
      <w:r w:rsidR="00177848" w:rsidRPr="00C6052E">
        <w:t xml:space="preserve"> </w:t>
      </w:r>
      <w:r w:rsidRPr="00C6052E">
        <w:t>the</w:t>
      </w:r>
      <w:r w:rsidR="00177848" w:rsidRPr="00C6052E">
        <w:t xml:space="preserve"> </w:t>
      </w:r>
      <w:r w:rsidRPr="00C6052E">
        <w:t>right-of-use</w:t>
      </w:r>
      <w:r w:rsidR="00177848" w:rsidRPr="00C6052E">
        <w:t xml:space="preserve"> </w:t>
      </w:r>
      <w:r w:rsidRPr="00C6052E">
        <w:t>asset</w:t>
      </w:r>
      <w:r w:rsidR="00177848" w:rsidRPr="00C6052E">
        <w:t xml:space="preserve"> </w:t>
      </w:r>
      <w:r w:rsidRPr="00C6052E">
        <w:t>reflects</w:t>
      </w:r>
      <w:r w:rsidR="00177848" w:rsidRPr="00C6052E">
        <w:t xml:space="preserve"> </w:t>
      </w:r>
      <w:r w:rsidRPr="00C6052E">
        <w:t>that</w:t>
      </w:r>
      <w:r w:rsidR="00177848" w:rsidRPr="00C6052E">
        <w:t xml:space="preserve"> </w:t>
      </w:r>
      <w:r w:rsidRPr="00C6052E">
        <w:t>the</w:t>
      </w:r>
      <w:r w:rsidR="00177848" w:rsidRPr="00C6052E">
        <w:t xml:space="preserve"> </w:t>
      </w:r>
      <w:r w:rsidRPr="00C6052E">
        <w:t>entity</w:t>
      </w:r>
      <w:r w:rsidR="00177848" w:rsidRPr="00C6052E">
        <w:t xml:space="preserve"> </w:t>
      </w:r>
      <w:r w:rsidRPr="00C6052E">
        <w:t>will</w:t>
      </w:r>
      <w:r w:rsidR="00177848" w:rsidRPr="00C6052E">
        <w:t xml:space="preserve"> </w:t>
      </w:r>
      <w:r w:rsidRPr="00C6052E">
        <w:t>exercise</w:t>
      </w:r>
      <w:r w:rsidR="00177848" w:rsidRPr="00C6052E">
        <w:t xml:space="preserve"> </w:t>
      </w:r>
      <w:r w:rsidRPr="00C6052E">
        <w:t>a</w:t>
      </w:r>
      <w:r w:rsidR="00177848" w:rsidRPr="00C6052E">
        <w:t xml:space="preserve"> </w:t>
      </w:r>
      <w:r w:rsidRPr="00C6052E">
        <w:t>purchase</w:t>
      </w:r>
      <w:r w:rsidR="00177848" w:rsidRPr="00C6052E">
        <w:t xml:space="preserve"> </w:t>
      </w:r>
      <w:r w:rsidRPr="00C6052E">
        <w:t>option,</w:t>
      </w:r>
      <w:r w:rsidR="00177848" w:rsidRPr="00C6052E">
        <w:t xml:space="preserve"> </w:t>
      </w:r>
      <w:r w:rsidRPr="00C6052E">
        <w:t>the</w:t>
      </w:r>
      <w:r w:rsidR="00177848" w:rsidRPr="00C6052E">
        <w:t xml:space="preserve"> </w:t>
      </w:r>
      <w:r w:rsidRPr="00C6052E">
        <w:t>entity</w:t>
      </w:r>
      <w:r w:rsidR="00177848" w:rsidRPr="00C6052E">
        <w:t xml:space="preserve"> </w:t>
      </w:r>
      <w:r w:rsidRPr="00C6052E">
        <w:t>depreciates</w:t>
      </w:r>
      <w:r w:rsidR="00177848" w:rsidRPr="00C6052E">
        <w:t xml:space="preserve"> </w:t>
      </w:r>
      <w:r w:rsidRPr="00C6052E">
        <w:t>the</w:t>
      </w:r>
      <w:r w:rsidR="00177848" w:rsidRPr="00C6052E">
        <w:t xml:space="preserve"> </w:t>
      </w:r>
      <w:r w:rsidRPr="00C6052E">
        <w:t>right-of-use</w:t>
      </w:r>
      <w:r w:rsidR="00177848" w:rsidRPr="00C6052E">
        <w:t xml:space="preserve"> </w:t>
      </w:r>
      <w:r w:rsidRPr="00C6052E">
        <w:t>asset</w:t>
      </w:r>
      <w:r w:rsidR="00177848" w:rsidRPr="00C6052E">
        <w:t xml:space="preserve"> </w:t>
      </w:r>
      <w:r w:rsidRPr="00C6052E">
        <w:t>over</w:t>
      </w:r>
      <w:r w:rsidR="00177848" w:rsidRPr="00C6052E">
        <w:t xml:space="preserve"> </w:t>
      </w:r>
      <w:r w:rsidRPr="00C6052E">
        <w:t>its</w:t>
      </w:r>
      <w:r w:rsidR="00177848" w:rsidRPr="00C6052E">
        <w:t xml:space="preserve"> </w:t>
      </w:r>
      <w:r w:rsidRPr="00C6052E">
        <w:t>useful</w:t>
      </w:r>
      <w:r w:rsidR="00177848" w:rsidRPr="00C6052E">
        <w:t xml:space="preserve"> </w:t>
      </w:r>
      <w:r w:rsidRPr="00C6052E">
        <w:t>life.</w:t>
      </w:r>
    </w:p>
    <w:p w14:paraId="37D612B1" w14:textId="5376E6F2" w:rsidR="00EE5BB8" w:rsidRPr="00C6052E" w:rsidRDefault="00EE5BB8" w:rsidP="00EE5BB8">
      <w:r w:rsidRPr="00C6052E">
        <w:t>Leasehold</w:t>
      </w:r>
      <w:r w:rsidR="00177848" w:rsidRPr="00C6052E">
        <w:t xml:space="preserve"> </w:t>
      </w:r>
      <w:r w:rsidRPr="00C6052E">
        <w:t>improvements</w:t>
      </w:r>
      <w:r w:rsidR="00177848" w:rsidRPr="00C6052E">
        <w:t xml:space="preserve"> </w:t>
      </w:r>
      <w:r w:rsidRPr="00C6052E">
        <w:t>are</w:t>
      </w:r>
      <w:r w:rsidR="00177848" w:rsidRPr="00C6052E">
        <w:t xml:space="preserve"> </w:t>
      </w:r>
      <w:r w:rsidRPr="00C6052E">
        <w:t>depreciated</w:t>
      </w:r>
      <w:r w:rsidR="00177848" w:rsidRPr="00C6052E">
        <w:t xml:space="preserve"> </w:t>
      </w:r>
      <w:r w:rsidRPr="00C6052E">
        <w:t>over</w:t>
      </w:r>
      <w:r w:rsidR="00177848" w:rsidRPr="00C6052E">
        <w:t xml:space="preserve"> </w:t>
      </w:r>
      <w:r w:rsidRPr="00C6052E">
        <w:t>the</w:t>
      </w:r>
      <w:r w:rsidR="00177848" w:rsidRPr="00C6052E">
        <w:t xml:space="preserve"> </w:t>
      </w:r>
      <w:r w:rsidRPr="00C6052E">
        <w:t>shorter</w:t>
      </w:r>
      <w:r w:rsidR="00177848" w:rsidRPr="00C6052E">
        <w:t xml:space="preserve"> </w:t>
      </w:r>
      <w:r w:rsidRPr="00C6052E">
        <w:t>of</w:t>
      </w:r>
      <w:r w:rsidR="00177848" w:rsidRPr="00C6052E">
        <w:t xml:space="preserve"> </w:t>
      </w:r>
      <w:r w:rsidRPr="00C6052E">
        <w:t>the</w:t>
      </w:r>
      <w:r w:rsidR="00177848" w:rsidRPr="00C6052E">
        <w:t xml:space="preserve"> </w:t>
      </w:r>
      <w:r w:rsidRPr="00C6052E">
        <w:t>lease</w:t>
      </w:r>
      <w:r w:rsidR="00177848" w:rsidRPr="00C6052E">
        <w:t xml:space="preserve"> </w:t>
      </w:r>
      <w:r w:rsidRPr="00C6052E">
        <w:t>term</w:t>
      </w:r>
      <w:r w:rsidR="00177848" w:rsidRPr="00C6052E">
        <w:t xml:space="preserve"> </w:t>
      </w:r>
      <w:r w:rsidRPr="00C6052E">
        <w:t>and</w:t>
      </w:r>
      <w:r w:rsidR="00177848" w:rsidRPr="00C6052E">
        <w:t xml:space="preserve"> </w:t>
      </w:r>
      <w:r w:rsidRPr="00C6052E">
        <w:t>their</w:t>
      </w:r>
      <w:r w:rsidR="00177848" w:rsidRPr="00C6052E">
        <w:t xml:space="preserve"> </w:t>
      </w:r>
      <w:r w:rsidRPr="00C6052E">
        <w:t>useful</w:t>
      </w:r>
      <w:r w:rsidR="00177848" w:rsidRPr="00C6052E">
        <w:t xml:space="preserve"> </w:t>
      </w:r>
      <w:r w:rsidRPr="00C6052E">
        <w:t>lives.</w:t>
      </w:r>
    </w:p>
    <w:p w14:paraId="2A97EAAA" w14:textId="7C026FA8" w:rsidR="00EE5BB8" w:rsidRPr="00C6052E" w:rsidRDefault="00EE5BB8" w:rsidP="00EE5BB8">
      <w:r w:rsidRPr="00C6052E">
        <w:t>In</w:t>
      </w:r>
      <w:r w:rsidR="00177848" w:rsidRPr="00C6052E">
        <w:t xml:space="preserve"> </w:t>
      </w:r>
      <w:r w:rsidRPr="00C6052E">
        <w:t>the</w:t>
      </w:r>
      <w:r w:rsidR="00177848" w:rsidRPr="00C6052E">
        <w:t xml:space="preserve"> </w:t>
      </w:r>
      <w:r w:rsidRPr="00C6052E">
        <w:t>event</w:t>
      </w:r>
      <w:r w:rsidR="00177848" w:rsidRPr="00C6052E">
        <w:t xml:space="preserve"> </w:t>
      </w:r>
      <w:r w:rsidRPr="00C6052E">
        <w:t>of</w:t>
      </w:r>
      <w:r w:rsidR="00177848" w:rsidRPr="00C6052E">
        <w:t xml:space="preserve"> </w:t>
      </w:r>
      <w:r w:rsidRPr="00C6052E">
        <w:t>the</w:t>
      </w:r>
      <w:r w:rsidR="00177848" w:rsidRPr="00C6052E">
        <w:t xml:space="preserve"> </w:t>
      </w:r>
      <w:r w:rsidRPr="00C6052E">
        <w:t>loss</w:t>
      </w:r>
      <w:r w:rsidR="00177848" w:rsidRPr="00C6052E">
        <w:t xml:space="preserve"> </w:t>
      </w:r>
      <w:r w:rsidRPr="00C6052E">
        <w:t>or</w:t>
      </w:r>
      <w:r w:rsidR="00177848" w:rsidRPr="00C6052E">
        <w:t xml:space="preserve"> </w:t>
      </w:r>
      <w:r w:rsidRPr="00C6052E">
        <w:t>destruction</w:t>
      </w:r>
      <w:r w:rsidR="00177848" w:rsidRPr="00C6052E">
        <w:t xml:space="preserve"> </w:t>
      </w:r>
      <w:r w:rsidRPr="00C6052E">
        <w:t>of</w:t>
      </w:r>
      <w:r w:rsidR="00177848" w:rsidRPr="00C6052E">
        <w:t xml:space="preserve"> </w:t>
      </w:r>
      <w:r w:rsidRPr="00C6052E">
        <w:t>an</w:t>
      </w:r>
      <w:r w:rsidR="00177848" w:rsidRPr="00C6052E">
        <w:t xml:space="preserve"> </w:t>
      </w:r>
      <w:r w:rsidRPr="00C6052E">
        <w:t>asset,</w:t>
      </w:r>
      <w:r w:rsidR="00177848" w:rsidRPr="00C6052E">
        <w:t xml:space="preserve"> </w:t>
      </w:r>
      <w:r w:rsidRPr="00C6052E">
        <w:t>the</w:t>
      </w:r>
      <w:r w:rsidR="00177848" w:rsidRPr="00C6052E">
        <w:t xml:space="preserve"> </w:t>
      </w:r>
      <w:r w:rsidRPr="00C6052E">
        <w:t>future</w:t>
      </w:r>
      <w:r w:rsidR="00177848" w:rsidRPr="00C6052E">
        <w:t xml:space="preserve"> </w:t>
      </w:r>
      <w:r w:rsidRPr="00C6052E">
        <w:t>economic</w:t>
      </w:r>
      <w:r w:rsidR="00177848" w:rsidRPr="00C6052E">
        <w:t xml:space="preserve"> </w:t>
      </w:r>
      <w:r w:rsidRPr="00C6052E">
        <w:t>benefits</w:t>
      </w:r>
      <w:r w:rsidR="00177848" w:rsidRPr="00C6052E">
        <w:t xml:space="preserve"> </w:t>
      </w:r>
      <w:r w:rsidRPr="00C6052E">
        <w:t>arising</w:t>
      </w:r>
      <w:r w:rsidR="00177848" w:rsidRPr="00C6052E">
        <w:t xml:space="preserve"> </w:t>
      </w:r>
      <w:r w:rsidRPr="00C6052E">
        <w:t>from</w:t>
      </w:r>
      <w:r w:rsidR="00177848" w:rsidRPr="00C6052E">
        <w:t xml:space="preserve"> </w:t>
      </w:r>
      <w:r w:rsidRPr="00C6052E">
        <w:t>the</w:t>
      </w:r>
      <w:r w:rsidR="00177848" w:rsidRPr="00C6052E">
        <w:t xml:space="preserve"> </w:t>
      </w:r>
      <w:r w:rsidRPr="00C6052E">
        <w:t>use</w:t>
      </w:r>
      <w:r w:rsidR="00177848" w:rsidRPr="00C6052E">
        <w:t xml:space="preserve"> </w:t>
      </w:r>
      <w:r w:rsidRPr="00C6052E">
        <w:t>of</w:t>
      </w:r>
      <w:r w:rsidR="00177848" w:rsidRPr="00C6052E">
        <w:t xml:space="preserve"> </w:t>
      </w:r>
      <w:r w:rsidRPr="00C6052E">
        <w:t>the</w:t>
      </w:r>
      <w:r w:rsidR="00177848" w:rsidRPr="00C6052E">
        <w:t xml:space="preserve"> </w:t>
      </w:r>
      <w:r w:rsidRPr="00C6052E">
        <w:t>asset</w:t>
      </w:r>
      <w:r w:rsidR="00177848" w:rsidRPr="00C6052E">
        <w:t xml:space="preserve"> </w:t>
      </w:r>
      <w:r w:rsidRPr="00C6052E">
        <w:t>will</w:t>
      </w:r>
      <w:r w:rsidR="00177848" w:rsidRPr="00C6052E">
        <w:t xml:space="preserve"> </w:t>
      </w:r>
      <w:r w:rsidRPr="00C6052E">
        <w:t>be</w:t>
      </w:r>
      <w:r w:rsidR="00177848" w:rsidRPr="00C6052E">
        <w:t xml:space="preserve"> </w:t>
      </w:r>
      <w:r w:rsidRPr="00C6052E">
        <w:t>replaced</w:t>
      </w:r>
      <w:r w:rsidR="00177848" w:rsidRPr="00C6052E">
        <w:t xml:space="preserve"> </w:t>
      </w:r>
      <w:r w:rsidRPr="00C6052E">
        <w:t>(unless</w:t>
      </w:r>
      <w:r w:rsidR="00177848" w:rsidRPr="00C6052E">
        <w:t xml:space="preserve"> </w:t>
      </w:r>
      <w:r w:rsidRPr="00C6052E">
        <w:t>a</w:t>
      </w:r>
      <w:r w:rsidR="00177848" w:rsidRPr="00C6052E">
        <w:t xml:space="preserve"> </w:t>
      </w:r>
      <w:r w:rsidRPr="00C6052E">
        <w:t>specific</w:t>
      </w:r>
      <w:r w:rsidR="00177848" w:rsidRPr="00C6052E">
        <w:t xml:space="preserve"> </w:t>
      </w:r>
      <w:r w:rsidRPr="00C6052E">
        <w:t>decision</w:t>
      </w:r>
      <w:r w:rsidR="00177848" w:rsidRPr="00C6052E">
        <w:t xml:space="preserve"> </w:t>
      </w:r>
      <w:r w:rsidRPr="00C6052E">
        <w:t>to</w:t>
      </w:r>
      <w:r w:rsidR="00177848" w:rsidRPr="00C6052E">
        <w:t xml:space="preserve"> </w:t>
      </w:r>
      <w:r w:rsidRPr="00C6052E">
        <w:t>the</w:t>
      </w:r>
      <w:r w:rsidR="00177848" w:rsidRPr="00C6052E">
        <w:t xml:space="preserve"> </w:t>
      </w:r>
      <w:r w:rsidRPr="00C6052E">
        <w:t>contrary</w:t>
      </w:r>
      <w:r w:rsidR="00177848" w:rsidRPr="00C6052E">
        <w:t xml:space="preserve"> </w:t>
      </w:r>
      <w:r w:rsidRPr="00C6052E">
        <w:t>has</w:t>
      </w:r>
      <w:r w:rsidR="00177848" w:rsidRPr="00C6052E">
        <w:t xml:space="preserve"> </w:t>
      </w:r>
      <w:r w:rsidRPr="00C6052E">
        <w:t>been</w:t>
      </w:r>
      <w:r w:rsidR="00177848" w:rsidRPr="00C6052E">
        <w:t xml:space="preserve"> </w:t>
      </w:r>
      <w:r w:rsidRPr="00C6052E">
        <w:t>made).</w:t>
      </w:r>
    </w:p>
    <w:p w14:paraId="211257D9" w14:textId="77777777" w:rsidR="00EE5BB8" w:rsidRPr="00C6052E" w:rsidRDefault="00EE5BB8" w:rsidP="00EE5BB8"/>
    <w:p w14:paraId="57C0DC5F" w14:textId="77777777" w:rsidR="00EE5BB8" w:rsidRPr="00C6052E" w:rsidRDefault="00EE5BB8" w:rsidP="00EE5BB8">
      <w:pPr>
        <w:sectPr w:rsidR="00EE5BB8" w:rsidRPr="00C6052E" w:rsidSect="00EE5BB8">
          <w:headerReference w:type="even" r:id="rId24"/>
          <w:endnotePr>
            <w:numFmt w:val="decimal"/>
          </w:endnotePr>
          <w:pgSz w:w="11907" w:h="16840" w:code="9"/>
          <w:pgMar w:top="1134" w:right="1134" w:bottom="1134" w:left="1134" w:header="567" w:footer="567" w:gutter="0"/>
          <w:cols w:space="340"/>
          <w:docGrid w:linePitch="360"/>
        </w:sectPr>
      </w:pPr>
    </w:p>
    <w:p w14:paraId="1CD31FBA" w14:textId="71B79D3A" w:rsidR="00EE5BB8" w:rsidRPr="00C6052E" w:rsidRDefault="00EE5BB8" w:rsidP="000C0740">
      <w:pPr>
        <w:pStyle w:val="Heading3numbered0"/>
      </w:pPr>
      <w:r w:rsidRPr="00C6052E">
        <w:lastRenderedPageBreak/>
        <w:t>Reconciliation</w:t>
      </w:r>
      <w:r w:rsidR="00177848" w:rsidRPr="00C6052E">
        <w:t xml:space="preserve"> </w:t>
      </w:r>
      <w:r w:rsidRPr="00C6052E">
        <w:t>of</w:t>
      </w:r>
      <w:r w:rsidR="00177848" w:rsidRPr="00C6052E">
        <w:t xml:space="preserve"> </w:t>
      </w:r>
      <w:r w:rsidRPr="00C6052E">
        <w:t>movements</w:t>
      </w:r>
      <w:r w:rsidR="00177848" w:rsidRPr="00C6052E">
        <w:t xml:space="preserve"> </w:t>
      </w:r>
      <w:r w:rsidRPr="00C6052E">
        <w:t>in</w:t>
      </w:r>
      <w:r w:rsidR="00177848" w:rsidRPr="00C6052E">
        <w:t xml:space="preserve"> </w:t>
      </w:r>
      <w:r w:rsidRPr="00C6052E">
        <w:t>carrying</w:t>
      </w:r>
      <w:r w:rsidR="00177848" w:rsidRPr="00C6052E">
        <w:t xml:space="preserve"> </w:t>
      </w:r>
      <w:r w:rsidRPr="00C6052E">
        <w:t>amount</w:t>
      </w:r>
      <w:r w:rsidR="00291743">
        <w:t xml:space="preserve"> </w:t>
      </w:r>
      <w:r w:rsidR="00291743" w:rsidRPr="00C34F64">
        <w:t>($ thousand)</w:t>
      </w:r>
    </w:p>
    <w:tbl>
      <w:tblPr>
        <w:tblStyle w:val="TableGrid"/>
        <w:tblW w:w="15064" w:type="dxa"/>
        <w:tblInd w:w="-5" w:type="dxa"/>
        <w:tblLayout w:type="fixed"/>
        <w:tblLook w:val="04E0" w:firstRow="1" w:lastRow="1" w:firstColumn="1" w:lastColumn="0" w:noHBand="0" w:noVBand="1"/>
      </w:tblPr>
      <w:tblGrid>
        <w:gridCol w:w="1691"/>
        <w:gridCol w:w="794"/>
        <w:gridCol w:w="907"/>
        <w:gridCol w:w="935"/>
        <w:gridCol w:w="935"/>
        <w:gridCol w:w="850"/>
        <w:gridCol w:w="850"/>
        <w:gridCol w:w="737"/>
        <w:gridCol w:w="737"/>
        <w:gridCol w:w="794"/>
        <w:gridCol w:w="794"/>
        <w:gridCol w:w="861"/>
        <w:gridCol w:w="862"/>
        <w:gridCol w:w="794"/>
        <w:gridCol w:w="794"/>
        <w:gridCol w:w="794"/>
        <w:gridCol w:w="935"/>
      </w:tblGrid>
      <w:tr w:rsidR="006232BC" w:rsidRPr="006232BC" w14:paraId="55320E10" w14:textId="77777777" w:rsidTr="00291743">
        <w:trPr>
          <w:tblHeader/>
        </w:trPr>
        <w:tc>
          <w:tcPr>
            <w:tcW w:w="1691" w:type="dxa"/>
            <w:noWrap/>
            <w:hideMark/>
          </w:tcPr>
          <w:p w14:paraId="47C3559C" w14:textId="77777777" w:rsidR="00EE5BB8" w:rsidRPr="006232BC" w:rsidRDefault="00EE5BB8" w:rsidP="00EA7A88">
            <w:pPr>
              <w:pStyle w:val="TableColumnHeading"/>
            </w:pPr>
            <w:bookmarkStart w:id="235" w:name="TableColumnHeadings_72"/>
            <w:bookmarkEnd w:id="235"/>
          </w:p>
        </w:tc>
        <w:tc>
          <w:tcPr>
            <w:tcW w:w="794" w:type="dxa"/>
            <w:hideMark/>
          </w:tcPr>
          <w:p w14:paraId="2BB815AB" w14:textId="76216F84" w:rsidR="00EE5BB8" w:rsidRPr="006232BC" w:rsidRDefault="00291743" w:rsidP="006232BC">
            <w:pPr>
              <w:pStyle w:val="TableColumnHeading"/>
              <w:jc w:val="right"/>
              <w:rPr>
                <w:sz w:val="18"/>
                <w:szCs w:val="32"/>
              </w:rPr>
            </w:pPr>
            <w:r w:rsidRPr="006232BC">
              <w:rPr>
                <w:sz w:val="18"/>
                <w:szCs w:val="32"/>
                <w:lang w:val="en-AU"/>
              </w:rPr>
              <w:t xml:space="preserve">Land at fair value </w:t>
            </w:r>
            <w:r w:rsidR="00EE5BB8" w:rsidRPr="006232BC">
              <w:rPr>
                <w:sz w:val="18"/>
                <w:szCs w:val="32"/>
              </w:rPr>
              <w:t>2025</w:t>
            </w:r>
          </w:p>
        </w:tc>
        <w:tc>
          <w:tcPr>
            <w:tcW w:w="907" w:type="dxa"/>
            <w:hideMark/>
          </w:tcPr>
          <w:p w14:paraId="50240C59" w14:textId="77C1E249" w:rsidR="00EE5BB8" w:rsidRPr="006232BC" w:rsidRDefault="00291743" w:rsidP="006232BC">
            <w:pPr>
              <w:pStyle w:val="TableColumnHeading"/>
              <w:jc w:val="right"/>
              <w:rPr>
                <w:sz w:val="18"/>
                <w:szCs w:val="32"/>
              </w:rPr>
            </w:pPr>
            <w:r w:rsidRPr="006232BC">
              <w:rPr>
                <w:sz w:val="18"/>
                <w:szCs w:val="32"/>
                <w:lang w:val="en-AU"/>
              </w:rPr>
              <w:t xml:space="preserve">Land at fair value </w:t>
            </w:r>
            <w:r w:rsidR="00EE5BB8" w:rsidRPr="006232BC">
              <w:rPr>
                <w:sz w:val="18"/>
                <w:szCs w:val="32"/>
              </w:rPr>
              <w:t>2024</w:t>
            </w:r>
          </w:p>
        </w:tc>
        <w:tc>
          <w:tcPr>
            <w:tcW w:w="935" w:type="dxa"/>
            <w:hideMark/>
          </w:tcPr>
          <w:p w14:paraId="11FA9A43" w14:textId="1603F76C" w:rsidR="00EE5BB8" w:rsidRPr="006232BC" w:rsidRDefault="00291743" w:rsidP="006232BC">
            <w:pPr>
              <w:pStyle w:val="TableColumnHeading"/>
              <w:jc w:val="right"/>
              <w:rPr>
                <w:sz w:val="18"/>
                <w:szCs w:val="32"/>
              </w:rPr>
            </w:pPr>
            <w:r w:rsidRPr="006232BC">
              <w:rPr>
                <w:sz w:val="18"/>
                <w:szCs w:val="32"/>
                <w:lang w:val="en-AU"/>
              </w:rPr>
              <w:t xml:space="preserve">Buildings </w:t>
            </w:r>
            <w:r>
              <w:rPr>
                <w:sz w:val="18"/>
                <w:szCs w:val="32"/>
                <w:lang w:val="en-AU"/>
              </w:rPr>
              <w:t>&amp;</w:t>
            </w:r>
            <w:r w:rsidRPr="006232BC">
              <w:rPr>
                <w:sz w:val="18"/>
                <w:szCs w:val="32"/>
                <w:lang w:val="en-AU"/>
              </w:rPr>
              <w:t xml:space="preserve"> struc</w:t>
            </w:r>
            <w:r>
              <w:rPr>
                <w:sz w:val="18"/>
                <w:szCs w:val="32"/>
                <w:lang w:val="en-AU"/>
              </w:rPr>
              <w:softHyphen/>
            </w:r>
            <w:r w:rsidRPr="006232BC">
              <w:rPr>
                <w:sz w:val="18"/>
                <w:szCs w:val="32"/>
                <w:lang w:val="en-AU"/>
              </w:rPr>
              <w:t>tures at fair value</w:t>
            </w:r>
            <w:r w:rsidRPr="006232BC">
              <w:rPr>
                <w:sz w:val="18"/>
                <w:szCs w:val="32"/>
                <w:vertAlign w:val="superscript"/>
                <w:lang w:val="en-AU"/>
              </w:rPr>
              <w:t>(iii)</w:t>
            </w:r>
            <w:r>
              <w:rPr>
                <w:sz w:val="18"/>
                <w:szCs w:val="32"/>
                <w:vertAlign w:val="superscript"/>
                <w:lang w:val="en-AU"/>
              </w:rPr>
              <w:t xml:space="preserve"> </w:t>
            </w:r>
            <w:r w:rsidR="00EE5BB8" w:rsidRPr="006232BC">
              <w:rPr>
                <w:sz w:val="18"/>
                <w:szCs w:val="32"/>
              </w:rPr>
              <w:t>2025</w:t>
            </w:r>
          </w:p>
        </w:tc>
        <w:tc>
          <w:tcPr>
            <w:tcW w:w="935" w:type="dxa"/>
            <w:hideMark/>
          </w:tcPr>
          <w:p w14:paraId="55FCAD58" w14:textId="2C95CF01" w:rsidR="00EE5BB8" w:rsidRPr="006232BC" w:rsidRDefault="00291743" w:rsidP="006232BC">
            <w:pPr>
              <w:pStyle w:val="TableColumnHeading"/>
              <w:jc w:val="right"/>
              <w:rPr>
                <w:sz w:val="18"/>
                <w:szCs w:val="32"/>
              </w:rPr>
            </w:pPr>
            <w:r w:rsidRPr="006232BC">
              <w:rPr>
                <w:sz w:val="18"/>
                <w:szCs w:val="32"/>
                <w:lang w:val="en-AU"/>
              </w:rPr>
              <w:t xml:space="preserve">Buildings </w:t>
            </w:r>
            <w:r>
              <w:rPr>
                <w:sz w:val="18"/>
                <w:szCs w:val="32"/>
                <w:lang w:val="en-AU"/>
              </w:rPr>
              <w:t>&amp;</w:t>
            </w:r>
            <w:r w:rsidRPr="006232BC">
              <w:rPr>
                <w:sz w:val="18"/>
                <w:szCs w:val="32"/>
                <w:lang w:val="en-AU"/>
              </w:rPr>
              <w:t xml:space="preserve"> struc</w:t>
            </w:r>
            <w:r>
              <w:rPr>
                <w:sz w:val="18"/>
                <w:szCs w:val="32"/>
                <w:lang w:val="en-AU"/>
              </w:rPr>
              <w:softHyphen/>
            </w:r>
            <w:r w:rsidRPr="006232BC">
              <w:rPr>
                <w:sz w:val="18"/>
                <w:szCs w:val="32"/>
                <w:lang w:val="en-AU"/>
              </w:rPr>
              <w:t>tures at fair value</w:t>
            </w:r>
            <w:r w:rsidRPr="006232BC">
              <w:rPr>
                <w:sz w:val="18"/>
                <w:szCs w:val="32"/>
                <w:vertAlign w:val="superscript"/>
                <w:lang w:val="en-AU"/>
              </w:rPr>
              <w:t>(iii)</w:t>
            </w:r>
            <w:r>
              <w:rPr>
                <w:sz w:val="18"/>
                <w:szCs w:val="32"/>
                <w:vertAlign w:val="superscript"/>
                <w:lang w:val="en-AU"/>
              </w:rPr>
              <w:t xml:space="preserve"> </w:t>
            </w:r>
            <w:r w:rsidR="00EE5BB8" w:rsidRPr="006232BC">
              <w:rPr>
                <w:sz w:val="18"/>
                <w:szCs w:val="32"/>
              </w:rPr>
              <w:t>2024</w:t>
            </w:r>
          </w:p>
        </w:tc>
        <w:tc>
          <w:tcPr>
            <w:tcW w:w="850" w:type="dxa"/>
            <w:hideMark/>
          </w:tcPr>
          <w:p w14:paraId="5992DADD" w14:textId="681A577E" w:rsidR="00EE5BB8" w:rsidRPr="006232BC" w:rsidRDefault="00291743" w:rsidP="006232BC">
            <w:pPr>
              <w:pStyle w:val="TableColumnHeading"/>
              <w:jc w:val="right"/>
              <w:rPr>
                <w:sz w:val="18"/>
                <w:szCs w:val="32"/>
              </w:rPr>
            </w:pPr>
            <w:r w:rsidRPr="006232BC">
              <w:rPr>
                <w:sz w:val="18"/>
                <w:szCs w:val="32"/>
                <w:lang w:val="en-AU"/>
              </w:rPr>
              <w:t>Lease</w:t>
            </w:r>
            <w:r>
              <w:rPr>
                <w:sz w:val="18"/>
                <w:szCs w:val="32"/>
                <w:lang w:val="en-AU"/>
              </w:rPr>
              <w:softHyphen/>
            </w:r>
            <w:r w:rsidRPr="006232BC">
              <w:rPr>
                <w:sz w:val="18"/>
                <w:szCs w:val="32"/>
                <w:lang w:val="en-AU"/>
              </w:rPr>
              <w:t>hold improve</w:t>
            </w:r>
            <w:r w:rsidR="00104228">
              <w:rPr>
                <w:sz w:val="18"/>
                <w:szCs w:val="32"/>
                <w:lang w:val="en-AU"/>
              </w:rPr>
              <w:softHyphen/>
            </w:r>
            <w:r w:rsidRPr="006232BC">
              <w:rPr>
                <w:sz w:val="18"/>
                <w:szCs w:val="32"/>
                <w:lang w:val="en-AU"/>
              </w:rPr>
              <w:t>ments</w:t>
            </w:r>
            <w:r w:rsidRPr="006232BC">
              <w:rPr>
                <w:sz w:val="18"/>
                <w:szCs w:val="32"/>
              </w:rPr>
              <w:t xml:space="preserve"> </w:t>
            </w:r>
            <w:r w:rsidR="00EE5BB8" w:rsidRPr="006232BC">
              <w:rPr>
                <w:sz w:val="18"/>
                <w:szCs w:val="32"/>
              </w:rPr>
              <w:t>2025</w:t>
            </w:r>
          </w:p>
        </w:tc>
        <w:tc>
          <w:tcPr>
            <w:tcW w:w="850" w:type="dxa"/>
            <w:hideMark/>
          </w:tcPr>
          <w:p w14:paraId="71E33E94" w14:textId="2CACCDF2" w:rsidR="00EE5BB8" w:rsidRPr="006232BC" w:rsidRDefault="00291743" w:rsidP="006232BC">
            <w:pPr>
              <w:pStyle w:val="TableColumnHeading"/>
              <w:jc w:val="right"/>
              <w:rPr>
                <w:sz w:val="18"/>
                <w:szCs w:val="32"/>
              </w:rPr>
            </w:pPr>
            <w:r w:rsidRPr="006232BC">
              <w:rPr>
                <w:sz w:val="18"/>
                <w:szCs w:val="32"/>
                <w:lang w:val="en-AU"/>
              </w:rPr>
              <w:t>Lease</w:t>
            </w:r>
            <w:r>
              <w:rPr>
                <w:sz w:val="18"/>
                <w:szCs w:val="32"/>
                <w:lang w:val="en-AU"/>
              </w:rPr>
              <w:softHyphen/>
            </w:r>
            <w:r w:rsidRPr="006232BC">
              <w:rPr>
                <w:sz w:val="18"/>
                <w:szCs w:val="32"/>
                <w:lang w:val="en-AU"/>
              </w:rPr>
              <w:t>hold improve</w:t>
            </w:r>
            <w:r w:rsidR="00104228">
              <w:rPr>
                <w:sz w:val="18"/>
                <w:szCs w:val="32"/>
                <w:lang w:val="en-AU"/>
              </w:rPr>
              <w:softHyphen/>
            </w:r>
            <w:r w:rsidRPr="006232BC">
              <w:rPr>
                <w:sz w:val="18"/>
                <w:szCs w:val="32"/>
                <w:lang w:val="en-AU"/>
              </w:rPr>
              <w:t>ments</w:t>
            </w:r>
            <w:r w:rsidRPr="006232BC">
              <w:rPr>
                <w:sz w:val="18"/>
                <w:szCs w:val="32"/>
              </w:rPr>
              <w:t xml:space="preserve"> </w:t>
            </w:r>
            <w:r w:rsidR="00EE5BB8" w:rsidRPr="006232BC">
              <w:rPr>
                <w:sz w:val="18"/>
                <w:szCs w:val="32"/>
              </w:rPr>
              <w:t>2024</w:t>
            </w:r>
          </w:p>
        </w:tc>
        <w:tc>
          <w:tcPr>
            <w:tcW w:w="737" w:type="dxa"/>
            <w:hideMark/>
          </w:tcPr>
          <w:p w14:paraId="35E49BFE" w14:textId="2308EEB0" w:rsidR="00EE5BB8" w:rsidRPr="006232BC" w:rsidRDefault="00291743" w:rsidP="006232BC">
            <w:pPr>
              <w:pStyle w:val="TableColumnHeading"/>
              <w:jc w:val="right"/>
              <w:rPr>
                <w:sz w:val="18"/>
                <w:szCs w:val="32"/>
              </w:rPr>
            </w:pPr>
            <w:r w:rsidRPr="006232BC">
              <w:rPr>
                <w:sz w:val="18"/>
                <w:szCs w:val="32"/>
                <w:lang w:val="en-AU"/>
              </w:rPr>
              <w:t>Plant and equip</w:t>
            </w:r>
            <w:r>
              <w:rPr>
                <w:sz w:val="18"/>
                <w:szCs w:val="32"/>
                <w:lang w:val="en-AU"/>
              </w:rPr>
              <w:softHyphen/>
            </w:r>
            <w:r w:rsidRPr="006232BC">
              <w:rPr>
                <w:sz w:val="18"/>
                <w:szCs w:val="32"/>
                <w:lang w:val="en-AU"/>
              </w:rPr>
              <w:t>ment</w:t>
            </w:r>
            <w:r w:rsidRPr="006232BC">
              <w:rPr>
                <w:sz w:val="18"/>
                <w:szCs w:val="32"/>
              </w:rPr>
              <w:t xml:space="preserve"> </w:t>
            </w:r>
            <w:r w:rsidR="00EE5BB8" w:rsidRPr="006232BC">
              <w:rPr>
                <w:sz w:val="18"/>
                <w:szCs w:val="32"/>
              </w:rPr>
              <w:t>2025</w:t>
            </w:r>
          </w:p>
        </w:tc>
        <w:tc>
          <w:tcPr>
            <w:tcW w:w="737" w:type="dxa"/>
            <w:hideMark/>
          </w:tcPr>
          <w:p w14:paraId="1E412C3A" w14:textId="41C9BD7A" w:rsidR="00EE5BB8" w:rsidRPr="006232BC" w:rsidRDefault="00291743" w:rsidP="006232BC">
            <w:pPr>
              <w:pStyle w:val="TableColumnHeading"/>
              <w:jc w:val="right"/>
              <w:rPr>
                <w:sz w:val="18"/>
                <w:szCs w:val="32"/>
              </w:rPr>
            </w:pPr>
            <w:r w:rsidRPr="006232BC">
              <w:rPr>
                <w:sz w:val="18"/>
                <w:szCs w:val="32"/>
                <w:lang w:val="en-AU"/>
              </w:rPr>
              <w:t>Plant and equip</w:t>
            </w:r>
            <w:r>
              <w:rPr>
                <w:sz w:val="18"/>
                <w:szCs w:val="32"/>
                <w:lang w:val="en-AU"/>
              </w:rPr>
              <w:softHyphen/>
            </w:r>
            <w:r w:rsidRPr="006232BC">
              <w:rPr>
                <w:sz w:val="18"/>
                <w:szCs w:val="32"/>
                <w:lang w:val="en-AU"/>
              </w:rPr>
              <w:t>ment</w:t>
            </w:r>
            <w:r w:rsidRPr="006232BC">
              <w:rPr>
                <w:sz w:val="18"/>
                <w:szCs w:val="32"/>
              </w:rPr>
              <w:t xml:space="preserve"> </w:t>
            </w:r>
            <w:r w:rsidR="00EE5BB8" w:rsidRPr="006232BC">
              <w:rPr>
                <w:sz w:val="18"/>
                <w:szCs w:val="32"/>
              </w:rPr>
              <w:t>2024</w:t>
            </w:r>
          </w:p>
        </w:tc>
        <w:tc>
          <w:tcPr>
            <w:tcW w:w="794" w:type="dxa"/>
            <w:hideMark/>
          </w:tcPr>
          <w:p w14:paraId="454A7573" w14:textId="2D06D078" w:rsidR="00EE5BB8" w:rsidRPr="006232BC" w:rsidRDefault="00291743" w:rsidP="006232BC">
            <w:pPr>
              <w:pStyle w:val="TableColumnHeading"/>
              <w:jc w:val="right"/>
              <w:rPr>
                <w:sz w:val="18"/>
                <w:szCs w:val="32"/>
              </w:rPr>
            </w:pPr>
            <w:r w:rsidRPr="006232BC">
              <w:rPr>
                <w:sz w:val="18"/>
                <w:szCs w:val="32"/>
                <w:lang w:val="en-AU"/>
              </w:rPr>
              <w:t>Motor vehicles at fair value</w:t>
            </w:r>
            <w:r w:rsidRPr="006232BC">
              <w:rPr>
                <w:sz w:val="18"/>
                <w:szCs w:val="32"/>
                <w:vertAlign w:val="superscript"/>
                <w:lang w:val="en-AU"/>
              </w:rPr>
              <w:t>(iii)</w:t>
            </w:r>
            <w:r w:rsidR="00EE5BB8" w:rsidRPr="006232BC">
              <w:rPr>
                <w:sz w:val="18"/>
                <w:szCs w:val="32"/>
              </w:rPr>
              <w:t>2025</w:t>
            </w:r>
          </w:p>
        </w:tc>
        <w:tc>
          <w:tcPr>
            <w:tcW w:w="794" w:type="dxa"/>
            <w:hideMark/>
          </w:tcPr>
          <w:p w14:paraId="5488A873" w14:textId="1706D0F8" w:rsidR="00EE5BB8" w:rsidRPr="006232BC" w:rsidRDefault="00291743" w:rsidP="006232BC">
            <w:pPr>
              <w:pStyle w:val="TableColumnHeading"/>
              <w:jc w:val="right"/>
              <w:rPr>
                <w:sz w:val="18"/>
                <w:szCs w:val="32"/>
              </w:rPr>
            </w:pPr>
            <w:r w:rsidRPr="006232BC">
              <w:rPr>
                <w:sz w:val="18"/>
                <w:szCs w:val="32"/>
                <w:lang w:val="en-AU"/>
              </w:rPr>
              <w:t>Motor vehicles at fair value</w:t>
            </w:r>
            <w:r w:rsidRPr="006232BC">
              <w:rPr>
                <w:sz w:val="18"/>
                <w:szCs w:val="32"/>
                <w:vertAlign w:val="superscript"/>
                <w:lang w:val="en-AU"/>
              </w:rPr>
              <w:t>(iii)</w:t>
            </w:r>
            <w:r w:rsidR="00EE5BB8" w:rsidRPr="006232BC">
              <w:rPr>
                <w:sz w:val="18"/>
                <w:szCs w:val="32"/>
              </w:rPr>
              <w:t>2024</w:t>
            </w:r>
          </w:p>
        </w:tc>
        <w:tc>
          <w:tcPr>
            <w:tcW w:w="861" w:type="dxa"/>
            <w:hideMark/>
          </w:tcPr>
          <w:p w14:paraId="19B31E4B" w14:textId="73E96E16" w:rsidR="00EE5BB8" w:rsidRPr="006232BC" w:rsidRDefault="00291743" w:rsidP="006232BC">
            <w:pPr>
              <w:pStyle w:val="TableColumnHeading"/>
              <w:jc w:val="right"/>
              <w:rPr>
                <w:sz w:val="18"/>
                <w:szCs w:val="32"/>
              </w:rPr>
            </w:pPr>
            <w:r w:rsidRPr="006232BC">
              <w:rPr>
                <w:sz w:val="18"/>
                <w:szCs w:val="32"/>
                <w:lang w:val="en-AU"/>
              </w:rPr>
              <w:t>Asset under con</w:t>
            </w:r>
            <w:r>
              <w:rPr>
                <w:sz w:val="18"/>
                <w:szCs w:val="32"/>
                <w:lang w:val="en-AU"/>
              </w:rPr>
              <w:softHyphen/>
            </w:r>
            <w:r w:rsidRPr="006232BC">
              <w:rPr>
                <w:sz w:val="18"/>
                <w:szCs w:val="32"/>
                <w:lang w:val="en-AU"/>
              </w:rPr>
              <w:t>struction</w:t>
            </w:r>
            <w:r w:rsidRPr="006232BC">
              <w:rPr>
                <w:sz w:val="18"/>
                <w:szCs w:val="32"/>
              </w:rPr>
              <w:t xml:space="preserve"> </w:t>
            </w:r>
            <w:r w:rsidR="00EE5BB8" w:rsidRPr="006232BC">
              <w:rPr>
                <w:sz w:val="18"/>
                <w:szCs w:val="32"/>
              </w:rPr>
              <w:t>2025</w:t>
            </w:r>
          </w:p>
        </w:tc>
        <w:tc>
          <w:tcPr>
            <w:tcW w:w="862" w:type="dxa"/>
            <w:hideMark/>
          </w:tcPr>
          <w:p w14:paraId="079DE6E9" w14:textId="3FD1BC52" w:rsidR="00EE5BB8" w:rsidRPr="006232BC" w:rsidRDefault="00291743" w:rsidP="006232BC">
            <w:pPr>
              <w:pStyle w:val="TableColumnHeading"/>
              <w:jc w:val="right"/>
              <w:rPr>
                <w:sz w:val="18"/>
                <w:szCs w:val="32"/>
              </w:rPr>
            </w:pPr>
            <w:r w:rsidRPr="006232BC">
              <w:rPr>
                <w:sz w:val="18"/>
                <w:szCs w:val="32"/>
                <w:lang w:val="en-AU"/>
              </w:rPr>
              <w:t>Asset under con</w:t>
            </w:r>
            <w:r>
              <w:rPr>
                <w:sz w:val="18"/>
                <w:szCs w:val="32"/>
                <w:lang w:val="en-AU"/>
              </w:rPr>
              <w:softHyphen/>
            </w:r>
            <w:r w:rsidRPr="006232BC">
              <w:rPr>
                <w:sz w:val="18"/>
                <w:szCs w:val="32"/>
                <w:lang w:val="en-AU"/>
              </w:rPr>
              <w:t>struction</w:t>
            </w:r>
            <w:r w:rsidRPr="006232BC">
              <w:rPr>
                <w:sz w:val="18"/>
                <w:szCs w:val="32"/>
              </w:rPr>
              <w:t xml:space="preserve"> </w:t>
            </w:r>
            <w:r w:rsidR="00EE5BB8" w:rsidRPr="006232BC">
              <w:rPr>
                <w:sz w:val="18"/>
                <w:szCs w:val="32"/>
              </w:rPr>
              <w:t>2024</w:t>
            </w:r>
          </w:p>
        </w:tc>
        <w:tc>
          <w:tcPr>
            <w:tcW w:w="794" w:type="dxa"/>
            <w:hideMark/>
          </w:tcPr>
          <w:p w14:paraId="4FB02CF2" w14:textId="7C0F141D" w:rsidR="00EE5BB8" w:rsidRPr="006232BC" w:rsidRDefault="00291743" w:rsidP="006232BC">
            <w:pPr>
              <w:pStyle w:val="TableColumnHeading"/>
              <w:jc w:val="right"/>
              <w:rPr>
                <w:sz w:val="18"/>
                <w:szCs w:val="32"/>
              </w:rPr>
            </w:pPr>
            <w:r w:rsidRPr="006232BC">
              <w:rPr>
                <w:sz w:val="18"/>
                <w:szCs w:val="32"/>
                <w:lang w:val="en-AU"/>
              </w:rPr>
              <w:t>Cul</w:t>
            </w:r>
            <w:r>
              <w:rPr>
                <w:sz w:val="18"/>
                <w:szCs w:val="32"/>
                <w:lang w:val="en-AU"/>
              </w:rPr>
              <w:softHyphen/>
            </w:r>
            <w:r w:rsidRPr="006232BC">
              <w:rPr>
                <w:sz w:val="18"/>
                <w:szCs w:val="32"/>
                <w:lang w:val="en-AU"/>
              </w:rPr>
              <w:t>tural assets at fair value</w:t>
            </w:r>
            <w:r w:rsidRPr="006232BC">
              <w:rPr>
                <w:sz w:val="18"/>
                <w:szCs w:val="32"/>
              </w:rPr>
              <w:t xml:space="preserve"> </w:t>
            </w:r>
            <w:r w:rsidR="00EE5BB8" w:rsidRPr="006232BC">
              <w:rPr>
                <w:sz w:val="18"/>
                <w:szCs w:val="32"/>
              </w:rPr>
              <w:t>2025</w:t>
            </w:r>
          </w:p>
        </w:tc>
        <w:tc>
          <w:tcPr>
            <w:tcW w:w="794" w:type="dxa"/>
            <w:hideMark/>
          </w:tcPr>
          <w:p w14:paraId="34B91183" w14:textId="0ABD980F" w:rsidR="00EE5BB8" w:rsidRPr="006232BC" w:rsidRDefault="00291743" w:rsidP="006232BC">
            <w:pPr>
              <w:pStyle w:val="TableColumnHeading"/>
              <w:jc w:val="right"/>
              <w:rPr>
                <w:sz w:val="18"/>
                <w:szCs w:val="32"/>
              </w:rPr>
            </w:pPr>
            <w:r w:rsidRPr="006232BC">
              <w:rPr>
                <w:sz w:val="18"/>
                <w:szCs w:val="32"/>
                <w:lang w:val="en-AU"/>
              </w:rPr>
              <w:t>Cul</w:t>
            </w:r>
            <w:r>
              <w:rPr>
                <w:sz w:val="18"/>
                <w:szCs w:val="32"/>
                <w:lang w:val="en-AU"/>
              </w:rPr>
              <w:softHyphen/>
            </w:r>
            <w:r w:rsidRPr="006232BC">
              <w:rPr>
                <w:sz w:val="18"/>
                <w:szCs w:val="32"/>
                <w:lang w:val="en-AU"/>
              </w:rPr>
              <w:t>tural assets at fair value</w:t>
            </w:r>
            <w:r w:rsidRPr="006232BC">
              <w:rPr>
                <w:sz w:val="18"/>
                <w:szCs w:val="32"/>
              </w:rPr>
              <w:t xml:space="preserve"> </w:t>
            </w:r>
            <w:r w:rsidR="00EE5BB8" w:rsidRPr="006232BC">
              <w:rPr>
                <w:sz w:val="18"/>
                <w:szCs w:val="32"/>
              </w:rPr>
              <w:t>2024</w:t>
            </w:r>
          </w:p>
        </w:tc>
        <w:tc>
          <w:tcPr>
            <w:tcW w:w="794" w:type="dxa"/>
            <w:hideMark/>
          </w:tcPr>
          <w:p w14:paraId="3AE1A103" w14:textId="459D7D48" w:rsidR="00EE5BB8" w:rsidRPr="006232BC" w:rsidRDefault="00291743" w:rsidP="006232BC">
            <w:pPr>
              <w:pStyle w:val="TableColumnHeading"/>
              <w:jc w:val="right"/>
              <w:rPr>
                <w:sz w:val="18"/>
                <w:szCs w:val="32"/>
              </w:rPr>
            </w:pPr>
            <w:r w:rsidRPr="006232BC">
              <w:rPr>
                <w:sz w:val="18"/>
                <w:szCs w:val="32"/>
              </w:rPr>
              <w:t xml:space="preserve">Total </w:t>
            </w:r>
            <w:r w:rsidR="00EE5BB8" w:rsidRPr="006232BC">
              <w:rPr>
                <w:sz w:val="18"/>
                <w:szCs w:val="32"/>
              </w:rPr>
              <w:t>2025</w:t>
            </w:r>
          </w:p>
        </w:tc>
        <w:tc>
          <w:tcPr>
            <w:tcW w:w="935" w:type="dxa"/>
            <w:hideMark/>
          </w:tcPr>
          <w:p w14:paraId="7CEAC26F" w14:textId="48DF276D" w:rsidR="00EE5BB8" w:rsidRPr="006232BC" w:rsidRDefault="00291743" w:rsidP="006232BC">
            <w:pPr>
              <w:pStyle w:val="TableColumnHeading"/>
              <w:jc w:val="right"/>
              <w:rPr>
                <w:sz w:val="18"/>
                <w:szCs w:val="32"/>
              </w:rPr>
            </w:pPr>
            <w:r w:rsidRPr="006232BC">
              <w:rPr>
                <w:sz w:val="18"/>
                <w:szCs w:val="32"/>
              </w:rPr>
              <w:t xml:space="preserve">Total </w:t>
            </w:r>
            <w:r w:rsidR="00EE5BB8" w:rsidRPr="006232BC">
              <w:rPr>
                <w:sz w:val="18"/>
                <w:szCs w:val="32"/>
              </w:rPr>
              <w:t>2024</w:t>
            </w:r>
          </w:p>
        </w:tc>
      </w:tr>
      <w:tr w:rsidR="006232BC" w:rsidRPr="006232BC" w14:paraId="2F13EC77" w14:textId="77777777" w:rsidTr="00291743">
        <w:tc>
          <w:tcPr>
            <w:tcW w:w="1691" w:type="dxa"/>
            <w:noWrap/>
            <w:hideMark/>
          </w:tcPr>
          <w:p w14:paraId="7C5271D2" w14:textId="542CD9D6" w:rsidR="00EE5BB8" w:rsidRPr="006232BC" w:rsidRDefault="00EE5BB8" w:rsidP="0063097D">
            <w:pPr>
              <w:pStyle w:val="Tabletotal"/>
              <w:rPr>
                <w:sz w:val="18"/>
                <w:szCs w:val="32"/>
              </w:rPr>
            </w:pPr>
            <w:r w:rsidRPr="006232BC">
              <w:rPr>
                <w:sz w:val="18"/>
                <w:szCs w:val="32"/>
              </w:rPr>
              <w:t>Opening</w:t>
            </w:r>
            <w:r w:rsidR="00177848" w:rsidRPr="006232BC">
              <w:rPr>
                <w:sz w:val="18"/>
                <w:szCs w:val="32"/>
              </w:rPr>
              <w:t xml:space="preserve"> </w:t>
            </w:r>
            <w:r w:rsidRPr="006232BC">
              <w:rPr>
                <w:sz w:val="18"/>
                <w:szCs w:val="32"/>
              </w:rPr>
              <w:t>balance</w:t>
            </w:r>
          </w:p>
        </w:tc>
        <w:tc>
          <w:tcPr>
            <w:tcW w:w="794" w:type="dxa"/>
            <w:noWrap/>
            <w:hideMark/>
          </w:tcPr>
          <w:p w14:paraId="01E588B8" w14:textId="77777777" w:rsidR="00EE5BB8" w:rsidRPr="006232BC" w:rsidRDefault="00EE5BB8" w:rsidP="006232BC">
            <w:pPr>
              <w:pStyle w:val="Tabletotal"/>
              <w:jc w:val="right"/>
              <w:rPr>
                <w:sz w:val="18"/>
                <w:szCs w:val="32"/>
              </w:rPr>
            </w:pPr>
            <w:r w:rsidRPr="006232BC">
              <w:rPr>
                <w:sz w:val="18"/>
                <w:szCs w:val="32"/>
              </w:rPr>
              <w:t>398,620</w:t>
            </w:r>
          </w:p>
        </w:tc>
        <w:tc>
          <w:tcPr>
            <w:tcW w:w="907" w:type="dxa"/>
            <w:noWrap/>
            <w:hideMark/>
          </w:tcPr>
          <w:p w14:paraId="5DBA9F08" w14:textId="77777777" w:rsidR="00EE5BB8" w:rsidRPr="006232BC" w:rsidRDefault="00EE5BB8" w:rsidP="006232BC">
            <w:pPr>
              <w:pStyle w:val="Tabletotal"/>
              <w:jc w:val="right"/>
              <w:rPr>
                <w:sz w:val="18"/>
                <w:szCs w:val="32"/>
              </w:rPr>
            </w:pPr>
            <w:r w:rsidRPr="006232BC">
              <w:rPr>
                <w:sz w:val="18"/>
                <w:szCs w:val="32"/>
              </w:rPr>
              <w:t>824,366</w:t>
            </w:r>
          </w:p>
        </w:tc>
        <w:tc>
          <w:tcPr>
            <w:tcW w:w="935" w:type="dxa"/>
            <w:noWrap/>
            <w:hideMark/>
          </w:tcPr>
          <w:p w14:paraId="5B73EBD8" w14:textId="77777777" w:rsidR="00EE5BB8" w:rsidRPr="006232BC" w:rsidRDefault="00EE5BB8" w:rsidP="006232BC">
            <w:pPr>
              <w:pStyle w:val="Tabletotal"/>
              <w:jc w:val="right"/>
              <w:rPr>
                <w:sz w:val="18"/>
                <w:szCs w:val="32"/>
              </w:rPr>
            </w:pPr>
            <w:r w:rsidRPr="006232BC">
              <w:rPr>
                <w:sz w:val="18"/>
                <w:szCs w:val="32"/>
              </w:rPr>
              <w:t>145,161</w:t>
            </w:r>
          </w:p>
        </w:tc>
        <w:tc>
          <w:tcPr>
            <w:tcW w:w="935" w:type="dxa"/>
            <w:noWrap/>
            <w:hideMark/>
          </w:tcPr>
          <w:p w14:paraId="092BAA91" w14:textId="77777777" w:rsidR="00EE5BB8" w:rsidRPr="006232BC" w:rsidRDefault="00EE5BB8" w:rsidP="006232BC">
            <w:pPr>
              <w:pStyle w:val="Tabletotal"/>
              <w:jc w:val="right"/>
              <w:rPr>
                <w:sz w:val="18"/>
                <w:szCs w:val="32"/>
              </w:rPr>
            </w:pPr>
            <w:r w:rsidRPr="006232BC">
              <w:rPr>
                <w:sz w:val="18"/>
                <w:szCs w:val="32"/>
              </w:rPr>
              <w:t>197,522</w:t>
            </w:r>
          </w:p>
        </w:tc>
        <w:tc>
          <w:tcPr>
            <w:tcW w:w="850" w:type="dxa"/>
            <w:noWrap/>
            <w:hideMark/>
          </w:tcPr>
          <w:p w14:paraId="6B3B4222" w14:textId="77777777" w:rsidR="00EE5BB8" w:rsidRPr="006232BC" w:rsidRDefault="00EE5BB8" w:rsidP="006232BC">
            <w:pPr>
              <w:pStyle w:val="Tabletotal"/>
              <w:jc w:val="right"/>
              <w:rPr>
                <w:sz w:val="18"/>
                <w:szCs w:val="32"/>
              </w:rPr>
            </w:pPr>
            <w:r w:rsidRPr="006232BC">
              <w:rPr>
                <w:sz w:val="18"/>
                <w:szCs w:val="32"/>
              </w:rPr>
              <w:t>5,876</w:t>
            </w:r>
          </w:p>
        </w:tc>
        <w:tc>
          <w:tcPr>
            <w:tcW w:w="850" w:type="dxa"/>
            <w:noWrap/>
            <w:hideMark/>
          </w:tcPr>
          <w:p w14:paraId="5B64FACD" w14:textId="77777777" w:rsidR="00EE5BB8" w:rsidRPr="006232BC" w:rsidRDefault="00EE5BB8" w:rsidP="006232BC">
            <w:pPr>
              <w:pStyle w:val="Tabletotal"/>
              <w:jc w:val="right"/>
              <w:rPr>
                <w:sz w:val="18"/>
                <w:szCs w:val="32"/>
              </w:rPr>
            </w:pPr>
            <w:r w:rsidRPr="006232BC">
              <w:rPr>
                <w:sz w:val="18"/>
                <w:szCs w:val="32"/>
              </w:rPr>
              <w:t>7,546</w:t>
            </w:r>
          </w:p>
        </w:tc>
        <w:tc>
          <w:tcPr>
            <w:tcW w:w="737" w:type="dxa"/>
            <w:noWrap/>
            <w:hideMark/>
          </w:tcPr>
          <w:p w14:paraId="4BF66C67" w14:textId="77777777" w:rsidR="00EE5BB8" w:rsidRPr="006232BC" w:rsidRDefault="00EE5BB8" w:rsidP="006232BC">
            <w:pPr>
              <w:pStyle w:val="Tabletotal"/>
              <w:jc w:val="right"/>
              <w:rPr>
                <w:sz w:val="18"/>
                <w:szCs w:val="32"/>
              </w:rPr>
            </w:pPr>
            <w:r w:rsidRPr="006232BC">
              <w:rPr>
                <w:sz w:val="18"/>
                <w:szCs w:val="32"/>
              </w:rPr>
              <w:t>619</w:t>
            </w:r>
          </w:p>
        </w:tc>
        <w:tc>
          <w:tcPr>
            <w:tcW w:w="737" w:type="dxa"/>
            <w:noWrap/>
            <w:hideMark/>
          </w:tcPr>
          <w:p w14:paraId="47A994C4" w14:textId="77777777" w:rsidR="00EE5BB8" w:rsidRPr="006232BC" w:rsidRDefault="00EE5BB8" w:rsidP="006232BC">
            <w:pPr>
              <w:pStyle w:val="Tabletotal"/>
              <w:jc w:val="right"/>
              <w:rPr>
                <w:sz w:val="18"/>
                <w:szCs w:val="32"/>
              </w:rPr>
            </w:pPr>
            <w:r w:rsidRPr="006232BC">
              <w:rPr>
                <w:sz w:val="18"/>
                <w:szCs w:val="32"/>
              </w:rPr>
              <w:t>891</w:t>
            </w:r>
          </w:p>
        </w:tc>
        <w:tc>
          <w:tcPr>
            <w:tcW w:w="794" w:type="dxa"/>
            <w:noWrap/>
            <w:hideMark/>
          </w:tcPr>
          <w:p w14:paraId="4FBD0BE1" w14:textId="77777777" w:rsidR="00EE5BB8" w:rsidRPr="006232BC" w:rsidRDefault="00EE5BB8" w:rsidP="006232BC">
            <w:pPr>
              <w:pStyle w:val="Tabletotal"/>
              <w:jc w:val="right"/>
              <w:rPr>
                <w:sz w:val="18"/>
                <w:szCs w:val="32"/>
              </w:rPr>
            </w:pPr>
            <w:r w:rsidRPr="006232BC">
              <w:rPr>
                <w:sz w:val="18"/>
                <w:szCs w:val="32"/>
              </w:rPr>
              <w:t>4,052</w:t>
            </w:r>
          </w:p>
        </w:tc>
        <w:tc>
          <w:tcPr>
            <w:tcW w:w="794" w:type="dxa"/>
            <w:noWrap/>
            <w:hideMark/>
          </w:tcPr>
          <w:p w14:paraId="227D8710" w14:textId="77777777" w:rsidR="00EE5BB8" w:rsidRPr="006232BC" w:rsidRDefault="00EE5BB8" w:rsidP="006232BC">
            <w:pPr>
              <w:pStyle w:val="Tabletotal"/>
              <w:jc w:val="right"/>
              <w:rPr>
                <w:sz w:val="18"/>
                <w:szCs w:val="32"/>
              </w:rPr>
            </w:pPr>
            <w:r w:rsidRPr="006232BC">
              <w:rPr>
                <w:sz w:val="18"/>
                <w:szCs w:val="32"/>
              </w:rPr>
              <w:t>3,690</w:t>
            </w:r>
          </w:p>
        </w:tc>
        <w:tc>
          <w:tcPr>
            <w:tcW w:w="861" w:type="dxa"/>
            <w:noWrap/>
            <w:hideMark/>
          </w:tcPr>
          <w:p w14:paraId="44B33FDD" w14:textId="77777777" w:rsidR="00EE5BB8" w:rsidRPr="006232BC" w:rsidRDefault="00EE5BB8" w:rsidP="006232BC">
            <w:pPr>
              <w:pStyle w:val="Tabletotal"/>
              <w:jc w:val="right"/>
              <w:rPr>
                <w:sz w:val="18"/>
                <w:szCs w:val="32"/>
              </w:rPr>
            </w:pPr>
            <w:r w:rsidRPr="006232BC">
              <w:rPr>
                <w:sz w:val="18"/>
                <w:szCs w:val="32"/>
              </w:rPr>
              <w:t>12,444</w:t>
            </w:r>
          </w:p>
        </w:tc>
        <w:tc>
          <w:tcPr>
            <w:tcW w:w="862" w:type="dxa"/>
            <w:noWrap/>
            <w:hideMark/>
          </w:tcPr>
          <w:p w14:paraId="2BA5CCF7" w14:textId="77777777" w:rsidR="00EE5BB8" w:rsidRPr="006232BC" w:rsidRDefault="00EE5BB8" w:rsidP="006232BC">
            <w:pPr>
              <w:pStyle w:val="Tabletotal"/>
              <w:jc w:val="right"/>
              <w:rPr>
                <w:sz w:val="18"/>
                <w:szCs w:val="32"/>
              </w:rPr>
            </w:pPr>
            <w:r w:rsidRPr="006232BC">
              <w:rPr>
                <w:sz w:val="18"/>
                <w:szCs w:val="32"/>
              </w:rPr>
              <w:t>10,390</w:t>
            </w:r>
          </w:p>
        </w:tc>
        <w:tc>
          <w:tcPr>
            <w:tcW w:w="794" w:type="dxa"/>
            <w:noWrap/>
            <w:hideMark/>
          </w:tcPr>
          <w:p w14:paraId="12B4E4BE" w14:textId="77777777" w:rsidR="00EE5BB8" w:rsidRPr="006232BC" w:rsidRDefault="00EE5BB8" w:rsidP="006232BC">
            <w:pPr>
              <w:pStyle w:val="Tabletotal"/>
              <w:jc w:val="right"/>
              <w:rPr>
                <w:sz w:val="18"/>
                <w:szCs w:val="32"/>
              </w:rPr>
            </w:pPr>
            <w:r w:rsidRPr="006232BC">
              <w:rPr>
                <w:sz w:val="18"/>
                <w:szCs w:val="32"/>
              </w:rPr>
              <w:t>2,680</w:t>
            </w:r>
          </w:p>
        </w:tc>
        <w:tc>
          <w:tcPr>
            <w:tcW w:w="794" w:type="dxa"/>
            <w:noWrap/>
            <w:hideMark/>
          </w:tcPr>
          <w:p w14:paraId="40B80BAA" w14:textId="77777777" w:rsidR="00EE5BB8" w:rsidRPr="006232BC" w:rsidRDefault="00EE5BB8" w:rsidP="006232BC">
            <w:pPr>
              <w:pStyle w:val="Tabletotal"/>
              <w:jc w:val="right"/>
              <w:rPr>
                <w:sz w:val="18"/>
                <w:szCs w:val="32"/>
              </w:rPr>
            </w:pPr>
            <w:r w:rsidRPr="006232BC">
              <w:rPr>
                <w:sz w:val="18"/>
                <w:szCs w:val="32"/>
              </w:rPr>
              <w:t>2,726</w:t>
            </w:r>
          </w:p>
        </w:tc>
        <w:tc>
          <w:tcPr>
            <w:tcW w:w="794" w:type="dxa"/>
            <w:noWrap/>
            <w:hideMark/>
          </w:tcPr>
          <w:p w14:paraId="6FA44CE6" w14:textId="77777777" w:rsidR="00EE5BB8" w:rsidRPr="006232BC" w:rsidRDefault="00EE5BB8" w:rsidP="006232BC">
            <w:pPr>
              <w:pStyle w:val="Tabletotal"/>
              <w:jc w:val="right"/>
              <w:rPr>
                <w:sz w:val="18"/>
                <w:szCs w:val="32"/>
              </w:rPr>
            </w:pPr>
            <w:r w:rsidRPr="006232BC">
              <w:rPr>
                <w:sz w:val="18"/>
                <w:szCs w:val="32"/>
              </w:rPr>
              <w:t>569,452</w:t>
            </w:r>
          </w:p>
        </w:tc>
        <w:tc>
          <w:tcPr>
            <w:tcW w:w="935" w:type="dxa"/>
            <w:noWrap/>
            <w:hideMark/>
          </w:tcPr>
          <w:p w14:paraId="0D271316" w14:textId="77777777" w:rsidR="00EE5BB8" w:rsidRPr="006232BC" w:rsidRDefault="00EE5BB8" w:rsidP="006232BC">
            <w:pPr>
              <w:pStyle w:val="Tabletotal"/>
              <w:jc w:val="right"/>
              <w:rPr>
                <w:sz w:val="18"/>
                <w:szCs w:val="32"/>
              </w:rPr>
            </w:pPr>
            <w:r w:rsidRPr="006232BC">
              <w:rPr>
                <w:sz w:val="18"/>
                <w:szCs w:val="32"/>
              </w:rPr>
              <w:t>1,047,130</w:t>
            </w:r>
          </w:p>
        </w:tc>
      </w:tr>
      <w:tr w:rsidR="006232BC" w:rsidRPr="006232BC" w14:paraId="432134E0" w14:textId="77777777" w:rsidTr="00291743">
        <w:tc>
          <w:tcPr>
            <w:tcW w:w="1691" w:type="dxa"/>
            <w:hideMark/>
          </w:tcPr>
          <w:p w14:paraId="2A6350EC" w14:textId="3224D67C" w:rsidR="00EE5BB8" w:rsidRPr="006232BC" w:rsidRDefault="00EE5BB8" w:rsidP="0063097D">
            <w:pPr>
              <w:pStyle w:val="TableCopy"/>
              <w:rPr>
                <w:sz w:val="18"/>
                <w:szCs w:val="32"/>
              </w:rPr>
            </w:pPr>
            <w:r w:rsidRPr="006232BC">
              <w:rPr>
                <w:sz w:val="18"/>
                <w:szCs w:val="32"/>
              </w:rPr>
              <w:t>Assets</w:t>
            </w:r>
            <w:r w:rsidR="00177848" w:rsidRPr="006232BC">
              <w:rPr>
                <w:sz w:val="18"/>
                <w:szCs w:val="32"/>
              </w:rPr>
              <w:t xml:space="preserve"> </w:t>
            </w:r>
            <w:r w:rsidRPr="006232BC">
              <w:rPr>
                <w:sz w:val="18"/>
                <w:szCs w:val="32"/>
              </w:rPr>
              <w:t>received</w:t>
            </w:r>
            <w:r w:rsidR="00177848" w:rsidRPr="006232BC">
              <w:rPr>
                <w:sz w:val="18"/>
                <w:szCs w:val="32"/>
              </w:rPr>
              <w:t xml:space="preserve"> </w:t>
            </w:r>
            <w:r w:rsidRPr="006232BC">
              <w:rPr>
                <w:sz w:val="18"/>
                <w:szCs w:val="32"/>
              </w:rPr>
              <w:t>free</w:t>
            </w:r>
            <w:r w:rsidR="00177848" w:rsidRPr="006232BC">
              <w:rPr>
                <w:sz w:val="18"/>
                <w:szCs w:val="32"/>
              </w:rPr>
              <w:t xml:space="preserve"> </w:t>
            </w:r>
            <w:r w:rsidRPr="006232BC">
              <w:rPr>
                <w:sz w:val="18"/>
                <w:szCs w:val="32"/>
              </w:rPr>
              <w:t>of</w:t>
            </w:r>
            <w:r w:rsidR="00177848" w:rsidRPr="006232BC">
              <w:rPr>
                <w:sz w:val="18"/>
                <w:szCs w:val="32"/>
              </w:rPr>
              <w:t xml:space="preserve"> </w:t>
            </w:r>
            <w:r w:rsidRPr="006232BC">
              <w:rPr>
                <w:sz w:val="18"/>
                <w:szCs w:val="32"/>
              </w:rPr>
              <w:t>charge</w:t>
            </w:r>
          </w:p>
        </w:tc>
        <w:tc>
          <w:tcPr>
            <w:tcW w:w="794" w:type="dxa"/>
            <w:noWrap/>
            <w:hideMark/>
          </w:tcPr>
          <w:p w14:paraId="3F243059" w14:textId="77777777" w:rsidR="00EE5BB8" w:rsidRPr="006232BC" w:rsidRDefault="00EE5BB8" w:rsidP="006232BC">
            <w:pPr>
              <w:pStyle w:val="TableCopy"/>
              <w:jc w:val="right"/>
              <w:rPr>
                <w:sz w:val="18"/>
                <w:szCs w:val="32"/>
              </w:rPr>
            </w:pPr>
            <w:r w:rsidRPr="006232BC">
              <w:rPr>
                <w:sz w:val="18"/>
                <w:szCs w:val="32"/>
              </w:rPr>
              <w:t>36,440</w:t>
            </w:r>
          </w:p>
        </w:tc>
        <w:tc>
          <w:tcPr>
            <w:tcW w:w="907" w:type="dxa"/>
            <w:noWrap/>
            <w:hideMark/>
          </w:tcPr>
          <w:p w14:paraId="6A5F8C2A" w14:textId="77777777" w:rsidR="00EE5BB8" w:rsidRPr="006232BC" w:rsidRDefault="00EE5BB8" w:rsidP="006232BC">
            <w:pPr>
              <w:pStyle w:val="TableCopy"/>
              <w:jc w:val="right"/>
              <w:rPr>
                <w:sz w:val="18"/>
                <w:szCs w:val="32"/>
              </w:rPr>
            </w:pPr>
            <w:r w:rsidRPr="006232BC">
              <w:rPr>
                <w:sz w:val="18"/>
                <w:szCs w:val="32"/>
              </w:rPr>
              <w:t>–</w:t>
            </w:r>
          </w:p>
        </w:tc>
        <w:tc>
          <w:tcPr>
            <w:tcW w:w="935" w:type="dxa"/>
            <w:noWrap/>
            <w:hideMark/>
          </w:tcPr>
          <w:p w14:paraId="6E910C2F" w14:textId="77777777" w:rsidR="00EE5BB8" w:rsidRPr="006232BC" w:rsidRDefault="00EE5BB8" w:rsidP="006232BC">
            <w:pPr>
              <w:pStyle w:val="TableCopy"/>
              <w:jc w:val="right"/>
              <w:rPr>
                <w:sz w:val="18"/>
                <w:szCs w:val="32"/>
              </w:rPr>
            </w:pPr>
            <w:r w:rsidRPr="006232BC">
              <w:rPr>
                <w:sz w:val="18"/>
                <w:szCs w:val="32"/>
              </w:rPr>
              <w:t>–</w:t>
            </w:r>
          </w:p>
        </w:tc>
        <w:tc>
          <w:tcPr>
            <w:tcW w:w="935" w:type="dxa"/>
            <w:noWrap/>
            <w:hideMark/>
          </w:tcPr>
          <w:p w14:paraId="4D8D5A9D" w14:textId="77777777" w:rsidR="00EE5BB8" w:rsidRPr="006232BC" w:rsidRDefault="00EE5BB8" w:rsidP="006232BC">
            <w:pPr>
              <w:pStyle w:val="TableCopy"/>
              <w:jc w:val="right"/>
              <w:rPr>
                <w:sz w:val="18"/>
                <w:szCs w:val="32"/>
              </w:rPr>
            </w:pPr>
            <w:r w:rsidRPr="006232BC">
              <w:rPr>
                <w:sz w:val="18"/>
                <w:szCs w:val="32"/>
              </w:rPr>
              <w:t>–</w:t>
            </w:r>
          </w:p>
        </w:tc>
        <w:tc>
          <w:tcPr>
            <w:tcW w:w="850" w:type="dxa"/>
            <w:noWrap/>
            <w:hideMark/>
          </w:tcPr>
          <w:p w14:paraId="42DA1679" w14:textId="77777777" w:rsidR="00EE5BB8" w:rsidRPr="006232BC" w:rsidRDefault="00EE5BB8" w:rsidP="006232BC">
            <w:pPr>
              <w:pStyle w:val="TableCopy"/>
              <w:jc w:val="right"/>
              <w:rPr>
                <w:sz w:val="18"/>
                <w:szCs w:val="32"/>
              </w:rPr>
            </w:pPr>
            <w:r w:rsidRPr="006232BC">
              <w:rPr>
                <w:sz w:val="18"/>
                <w:szCs w:val="32"/>
              </w:rPr>
              <w:t>–</w:t>
            </w:r>
          </w:p>
        </w:tc>
        <w:tc>
          <w:tcPr>
            <w:tcW w:w="850" w:type="dxa"/>
            <w:noWrap/>
            <w:hideMark/>
          </w:tcPr>
          <w:p w14:paraId="439CE6D7" w14:textId="77777777" w:rsidR="00EE5BB8" w:rsidRPr="006232BC" w:rsidRDefault="00EE5BB8" w:rsidP="006232BC">
            <w:pPr>
              <w:pStyle w:val="TableCopy"/>
              <w:jc w:val="right"/>
              <w:rPr>
                <w:sz w:val="18"/>
                <w:szCs w:val="32"/>
              </w:rPr>
            </w:pPr>
            <w:r w:rsidRPr="006232BC">
              <w:rPr>
                <w:sz w:val="18"/>
                <w:szCs w:val="32"/>
              </w:rPr>
              <w:t>–</w:t>
            </w:r>
          </w:p>
        </w:tc>
        <w:tc>
          <w:tcPr>
            <w:tcW w:w="737" w:type="dxa"/>
            <w:noWrap/>
            <w:hideMark/>
          </w:tcPr>
          <w:p w14:paraId="7550997F" w14:textId="77777777" w:rsidR="00EE5BB8" w:rsidRPr="006232BC" w:rsidRDefault="00EE5BB8" w:rsidP="006232BC">
            <w:pPr>
              <w:pStyle w:val="TableCopy"/>
              <w:jc w:val="right"/>
              <w:rPr>
                <w:sz w:val="18"/>
                <w:szCs w:val="32"/>
              </w:rPr>
            </w:pPr>
            <w:r w:rsidRPr="006232BC">
              <w:rPr>
                <w:sz w:val="18"/>
                <w:szCs w:val="32"/>
              </w:rPr>
              <w:t>–</w:t>
            </w:r>
          </w:p>
        </w:tc>
        <w:tc>
          <w:tcPr>
            <w:tcW w:w="737" w:type="dxa"/>
            <w:noWrap/>
            <w:hideMark/>
          </w:tcPr>
          <w:p w14:paraId="301DA3B6"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7C1E3948"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2E8879E4" w14:textId="77777777" w:rsidR="00EE5BB8" w:rsidRPr="006232BC" w:rsidRDefault="00EE5BB8" w:rsidP="006232BC">
            <w:pPr>
              <w:pStyle w:val="TableCopy"/>
              <w:jc w:val="right"/>
              <w:rPr>
                <w:sz w:val="18"/>
                <w:szCs w:val="32"/>
              </w:rPr>
            </w:pPr>
            <w:r w:rsidRPr="006232BC">
              <w:rPr>
                <w:sz w:val="18"/>
                <w:szCs w:val="32"/>
              </w:rPr>
              <w:t>–</w:t>
            </w:r>
          </w:p>
        </w:tc>
        <w:tc>
          <w:tcPr>
            <w:tcW w:w="861" w:type="dxa"/>
            <w:noWrap/>
            <w:hideMark/>
          </w:tcPr>
          <w:p w14:paraId="44B8E7AF" w14:textId="77777777" w:rsidR="00EE5BB8" w:rsidRPr="006232BC" w:rsidRDefault="00EE5BB8" w:rsidP="006232BC">
            <w:pPr>
              <w:pStyle w:val="TableCopy"/>
              <w:jc w:val="right"/>
              <w:rPr>
                <w:sz w:val="18"/>
                <w:szCs w:val="32"/>
              </w:rPr>
            </w:pPr>
            <w:r w:rsidRPr="006232BC">
              <w:rPr>
                <w:sz w:val="18"/>
                <w:szCs w:val="32"/>
              </w:rPr>
              <w:t>–</w:t>
            </w:r>
          </w:p>
        </w:tc>
        <w:tc>
          <w:tcPr>
            <w:tcW w:w="862" w:type="dxa"/>
            <w:noWrap/>
            <w:hideMark/>
          </w:tcPr>
          <w:p w14:paraId="049D05D6"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16F58D61"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653D8346"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03E207C0" w14:textId="77777777" w:rsidR="00EE5BB8" w:rsidRPr="006232BC" w:rsidRDefault="00EE5BB8" w:rsidP="006232BC">
            <w:pPr>
              <w:pStyle w:val="TableCopy"/>
              <w:jc w:val="right"/>
              <w:rPr>
                <w:sz w:val="18"/>
                <w:szCs w:val="32"/>
              </w:rPr>
            </w:pPr>
            <w:r w:rsidRPr="006232BC">
              <w:rPr>
                <w:sz w:val="18"/>
                <w:szCs w:val="32"/>
              </w:rPr>
              <w:t>36,440</w:t>
            </w:r>
          </w:p>
        </w:tc>
        <w:tc>
          <w:tcPr>
            <w:tcW w:w="935" w:type="dxa"/>
            <w:noWrap/>
            <w:hideMark/>
          </w:tcPr>
          <w:p w14:paraId="114FF2C5" w14:textId="77777777" w:rsidR="00EE5BB8" w:rsidRPr="006232BC" w:rsidRDefault="00EE5BB8" w:rsidP="006232BC">
            <w:pPr>
              <w:pStyle w:val="TableCopy"/>
              <w:jc w:val="right"/>
              <w:rPr>
                <w:sz w:val="18"/>
                <w:szCs w:val="32"/>
              </w:rPr>
            </w:pPr>
            <w:r w:rsidRPr="006232BC">
              <w:rPr>
                <w:sz w:val="18"/>
                <w:szCs w:val="32"/>
              </w:rPr>
              <w:t>–</w:t>
            </w:r>
          </w:p>
        </w:tc>
      </w:tr>
      <w:tr w:rsidR="006232BC" w:rsidRPr="006232BC" w14:paraId="6BA248C9" w14:textId="77777777" w:rsidTr="00291743">
        <w:tc>
          <w:tcPr>
            <w:tcW w:w="1691" w:type="dxa"/>
            <w:hideMark/>
          </w:tcPr>
          <w:p w14:paraId="6BF64FE3" w14:textId="1315F72E" w:rsidR="00EE5BB8" w:rsidRPr="006232BC" w:rsidRDefault="00EE5BB8" w:rsidP="0063097D">
            <w:pPr>
              <w:pStyle w:val="TableCopy"/>
              <w:rPr>
                <w:sz w:val="18"/>
                <w:szCs w:val="32"/>
              </w:rPr>
            </w:pPr>
            <w:r w:rsidRPr="006232BC">
              <w:rPr>
                <w:sz w:val="18"/>
                <w:szCs w:val="32"/>
              </w:rPr>
              <w:t>Assets</w:t>
            </w:r>
            <w:r w:rsidR="00177848" w:rsidRPr="006232BC">
              <w:rPr>
                <w:sz w:val="18"/>
                <w:szCs w:val="32"/>
              </w:rPr>
              <w:t xml:space="preserve"> </w:t>
            </w:r>
            <w:r w:rsidRPr="006232BC">
              <w:rPr>
                <w:sz w:val="18"/>
                <w:szCs w:val="32"/>
              </w:rPr>
              <w:t>provided</w:t>
            </w:r>
            <w:r w:rsidR="00177848" w:rsidRPr="006232BC">
              <w:rPr>
                <w:sz w:val="18"/>
                <w:szCs w:val="32"/>
              </w:rPr>
              <w:t xml:space="preserve"> </w:t>
            </w:r>
            <w:r w:rsidRPr="006232BC">
              <w:rPr>
                <w:sz w:val="18"/>
                <w:szCs w:val="32"/>
              </w:rPr>
              <w:t>free</w:t>
            </w:r>
            <w:r w:rsidR="00177848" w:rsidRPr="006232BC">
              <w:rPr>
                <w:sz w:val="18"/>
                <w:szCs w:val="32"/>
              </w:rPr>
              <w:t xml:space="preserve"> </w:t>
            </w:r>
            <w:r w:rsidRPr="006232BC">
              <w:rPr>
                <w:sz w:val="18"/>
                <w:szCs w:val="32"/>
              </w:rPr>
              <w:t>of</w:t>
            </w:r>
            <w:r w:rsidR="00177848" w:rsidRPr="006232BC">
              <w:rPr>
                <w:sz w:val="18"/>
                <w:szCs w:val="32"/>
              </w:rPr>
              <w:t xml:space="preserve"> </w:t>
            </w:r>
            <w:r w:rsidRPr="006232BC">
              <w:rPr>
                <w:sz w:val="18"/>
                <w:szCs w:val="32"/>
              </w:rPr>
              <w:t>charge</w:t>
            </w:r>
          </w:p>
        </w:tc>
        <w:tc>
          <w:tcPr>
            <w:tcW w:w="794" w:type="dxa"/>
            <w:noWrap/>
            <w:hideMark/>
          </w:tcPr>
          <w:p w14:paraId="6363A17D" w14:textId="77777777" w:rsidR="00EE5BB8" w:rsidRPr="006232BC" w:rsidRDefault="00EE5BB8" w:rsidP="006232BC">
            <w:pPr>
              <w:pStyle w:val="TableCopy"/>
              <w:jc w:val="right"/>
              <w:rPr>
                <w:sz w:val="18"/>
                <w:szCs w:val="32"/>
              </w:rPr>
            </w:pPr>
            <w:r w:rsidRPr="006232BC">
              <w:rPr>
                <w:sz w:val="18"/>
                <w:szCs w:val="32"/>
              </w:rPr>
              <w:t>–</w:t>
            </w:r>
          </w:p>
        </w:tc>
        <w:tc>
          <w:tcPr>
            <w:tcW w:w="907" w:type="dxa"/>
            <w:noWrap/>
            <w:hideMark/>
          </w:tcPr>
          <w:p w14:paraId="00371327" w14:textId="77777777" w:rsidR="00EE5BB8" w:rsidRPr="006232BC" w:rsidRDefault="00EE5BB8" w:rsidP="006232BC">
            <w:pPr>
              <w:pStyle w:val="TableCopy"/>
              <w:jc w:val="right"/>
              <w:rPr>
                <w:sz w:val="18"/>
                <w:szCs w:val="32"/>
              </w:rPr>
            </w:pPr>
            <w:r w:rsidRPr="006232BC">
              <w:rPr>
                <w:sz w:val="18"/>
                <w:szCs w:val="32"/>
              </w:rPr>
              <w:t>–</w:t>
            </w:r>
          </w:p>
        </w:tc>
        <w:tc>
          <w:tcPr>
            <w:tcW w:w="935" w:type="dxa"/>
            <w:noWrap/>
            <w:hideMark/>
          </w:tcPr>
          <w:p w14:paraId="5BE6715E" w14:textId="77777777" w:rsidR="00EE5BB8" w:rsidRPr="006232BC" w:rsidRDefault="00EE5BB8" w:rsidP="006232BC">
            <w:pPr>
              <w:pStyle w:val="TableCopy"/>
              <w:jc w:val="right"/>
              <w:rPr>
                <w:sz w:val="18"/>
                <w:szCs w:val="32"/>
              </w:rPr>
            </w:pPr>
            <w:r w:rsidRPr="006232BC">
              <w:rPr>
                <w:sz w:val="18"/>
                <w:szCs w:val="32"/>
              </w:rPr>
              <w:t>–</w:t>
            </w:r>
          </w:p>
        </w:tc>
        <w:tc>
          <w:tcPr>
            <w:tcW w:w="935" w:type="dxa"/>
            <w:noWrap/>
            <w:hideMark/>
          </w:tcPr>
          <w:p w14:paraId="329817D0" w14:textId="77777777" w:rsidR="00EE5BB8" w:rsidRPr="006232BC" w:rsidRDefault="00EE5BB8" w:rsidP="006232BC">
            <w:pPr>
              <w:pStyle w:val="TableCopy"/>
              <w:jc w:val="right"/>
              <w:rPr>
                <w:sz w:val="18"/>
                <w:szCs w:val="32"/>
              </w:rPr>
            </w:pPr>
            <w:r w:rsidRPr="006232BC">
              <w:rPr>
                <w:sz w:val="18"/>
                <w:szCs w:val="32"/>
              </w:rPr>
              <w:t>–</w:t>
            </w:r>
          </w:p>
        </w:tc>
        <w:tc>
          <w:tcPr>
            <w:tcW w:w="850" w:type="dxa"/>
            <w:noWrap/>
            <w:hideMark/>
          </w:tcPr>
          <w:p w14:paraId="0FD667AC" w14:textId="77777777" w:rsidR="00EE5BB8" w:rsidRPr="006232BC" w:rsidRDefault="00EE5BB8" w:rsidP="006232BC">
            <w:pPr>
              <w:pStyle w:val="TableCopy"/>
              <w:jc w:val="right"/>
              <w:rPr>
                <w:sz w:val="18"/>
                <w:szCs w:val="32"/>
              </w:rPr>
            </w:pPr>
            <w:r w:rsidRPr="006232BC">
              <w:rPr>
                <w:sz w:val="18"/>
                <w:szCs w:val="32"/>
              </w:rPr>
              <w:t>(803)</w:t>
            </w:r>
          </w:p>
        </w:tc>
        <w:tc>
          <w:tcPr>
            <w:tcW w:w="850" w:type="dxa"/>
            <w:noWrap/>
            <w:hideMark/>
          </w:tcPr>
          <w:p w14:paraId="2F53F48C" w14:textId="77777777" w:rsidR="00EE5BB8" w:rsidRPr="006232BC" w:rsidRDefault="00EE5BB8" w:rsidP="006232BC">
            <w:pPr>
              <w:pStyle w:val="TableCopy"/>
              <w:jc w:val="right"/>
              <w:rPr>
                <w:sz w:val="18"/>
                <w:szCs w:val="32"/>
              </w:rPr>
            </w:pPr>
            <w:r w:rsidRPr="006232BC">
              <w:rPr>
                <w:sz w:val="18"/>
                <w:szCs w:val="32"/>
              </w:rPr>
              <w:t>–</w:t>
            </w:r>
          </w:p>
        </w:tc>
        <w:tc>
          <w:tcPr>
            <w:tcW w:w="737" w:type="dxa"/>
            <w:noWrap/>
            <w:hideMark/>
          </w:tcPr>
          <w:p w14:paraId="42D96824" w14:textId="77777777" w:rsidR="00EE5BB8" w:rsidRPr="006232BC" w:rsidRDefault="00EE5BB8" w:rsidP="006232BC">
            <w:pPr>
              <w:pStyle w:val="TableCopy"/>
              <w:jc w:val="right"/>
              <w:rPr>
                <w:sz w:val="18"/>
                <w:szCs w:val="32"/>
              </w:rPr>
            </w:pPr>
            <w:r w:rsidRPr="006232BC">
              <w:rPr>
                <w:sz w:val="18"/>
                <w:szCs w:val="32"/>
              </w:rPr>
              <w:t>–</w:t>
            </w:r>
          </w:p>
        </w:tc>
        <w:tc>
          <w:tcPr>
            <w:tcW w:w="737" w:type="dxa"/>
            <w:noWrap/>
            <w:hideMark/>
          </w:tcPr>
          <w:p w14:paraId="297CF948"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3A740E95"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1160324A" w14:textId="77777777" w:rsidR="00EE5BB8" w:rsidRPr="006232BC" w:rsidRDefault="00EE5BB8" w:rsidP="006232BC">
            <w:pPr>
              <w:pStyle w:val="TableCopy"/>
              <w:jc w:val="right"/>
              <w:rPr>
                <w:sz w:val="18"/>
                <w:szCs w:val="32"/>
              </w:rPr>
            </w:pPr>
            <w:r w:rsidRPr="006232BC">
              <w:rPr>
                <w:sz w:val="18"/>
                <w:szCs w:val="32"/>
              </w:rPr>
              <w:t>–</w:t>
            </w:r>
          </w:p>
        </w:tc>
        <w:tc>
          <w:tcPr>
            <w:tcW w:w="861" w:type="dxa"/>
            <w:noWrap/>
            <w:hideMark/>
          </w:tcPr>
          <w:p w14:paraId="3275F14A" w14:textId="77777777" w:rsidR="00EE5BB8" w:rsidRPr="006232BC" w:rsidRDefault="00EE5BB8" w:rsidP="006232BC">
            <w:pPr>
              <w:pStyle w:val="TableCopy"/>
              <w:jc w:val="right"/>
              <w:rPr>
                <w:sz w:val="18"/>
                <w:szCs w:val="32"/>
              </w:rPr>
            </w:pPr>
            <w:r w:rsidRPr="006232BC">
              <w:rPr>
                <w:sz w:val="18"/>
                <w:szCs w:val="32"/>
              </w:rPr>
              <w:t>–</w:t>
            </w:r>
          </w:p>
        </w:tc>
        <w:tc>
          <w:tcPr>
            <w:tcW w:w="862" w:type="dxa"/>
            <w:noWrap/>
            <w:hideMark/>
          </w:tcPr>
          <w:p w14:paraId="71B66465"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7D365F96"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29FE0916"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11AF53C2" w14:textId="77777777" w:rsidR="00EE5BB8" w:rsidRPr="006232BC" w:rsidRDefault="00EE5BB8" w:rsidP="006232BC">
            <w:pPr>
              <w:pStyle w:val="TableCopy"/>
              <w:jc w:val="right"/>
              <w:rPr>
                <w:sz w:val="18"/>
                <w:szCs w:val="32"/>
              </w:rPr>
            </w:pPr>
            <w:r w:rsidRPr="006232BC">
              <w:rPr>
                <w:sz w:val="18"/>
                <w:szCs w:val="32"/>
              </w:rPr>
              <w:t>(803)</w:t>
            </w:r>
          </w:p>
        </w:tc>
        <w:tc>
          <w:tcPr>
            <w:tcW w:w="935" w:type="dxa"/>
            <w:noWrap/>
            <w:hideMark/>
          </w:tcPr>
          <w:p w14:paraId="0E2CE6E3" w14:textId="77777777" w:rsidR="00EE5BB8" w:rsidRPr="006232BC" w:rsidRDefault="00EE5BB8" w:rsidP="006232BC">
            <w:pPr>
              <w:pStyle w:val="TableCopy"/>
              <w:jc w:val="right"/>
              <w:rPr>
                <w:sz w:val="18"/>
                <w:szCs w:val="32"/>
              </w:rPr>
            </w:pPr>
            <w:r w:rsidRPr="006232BC">
              <w:rPr>
                <w:sz w:val="18"/>
                <w:szCs w:val="32"/>
              </w:rPr>
              <w:t>–</w:t>
            </w:r>
          </w:p>
        </w:tc>
      </w:tr>
      <w:tr w:rsidR="006232BC" w:rsidRPr="006232BC" w14:paraId="51283AF5" w14:textId="77777777" w:rsidTr="00291743">
        <w:tc>
          <w:tcPr>
            <w:tcW w:w="1691" w:type="dxa"/>
            <w:hideMark/>
          </w:tcPr>
          <w:p w14:paraId="4BCF3B4F" w14:textId="580E3694" w:rsidR="00EE5BB8" w:rsidRPr="006232BC" w:rsidRDefault="00EE5BB8" w:rsidP="0063097D">
            <w:pPr>
              <w:pStyle w:val="TableCopy"/>
              <w:rPr>
                <w:sz w:val="18"/>
                <w:szCs w:val="32"/>
              </w:rPr>
            </w:pPr>
            <w:r w:rsidRPr="006232BC">
              <w:rPr>
                <w:sz w:val="18"/>
                <w:szCs w:val="32"/>
              </w:rPr>
              <w:t>Additions</w:t>
            </w:r>
            <w:r w:rsidR="00177848" w:rsidRPr="006232BC">
              <w:rPr>
                <w:sz w:val="18"/>
                <w:szCs w:val="32"/>
              </w:rPr>
              <w:t xml:space="preserve"> </w:t>
            </w:r>
          </w:p>
        </w:tc>
        <w:tc>
          <w:tcPr>
            <w:tcW w:w="794" w:type="dxa"/>
            <w:noWrap/>
            <w:hideMark/>
          </w:tcPr>
          <w:p w14:paraId="68231BF1" w14:textId="77777777" w:rsidR="00EE5BB8" w:rsidRPr="006232BC" w:rsidRDefault="00EE5BB8" w:rsidP="006232BC">
            <w:pPr>
              <w:pStyle w:val="TableCopy"/>
              <w:jc w:val="right"/>
              <w:rPr>
                <w:sz w:val="18"/>
                <w:szCs w:val="32"/>
              </w:rPr>
            </w:pPr>
            <w:r w:rsidRPr="006232BC">
              <w:rPr>
                <w:sz w:val="18"/>
                <w:szCs w:val="32"/>
              </w:rPr>
              <w:t>4,333</w:t>
            </w:r>
          </w:p>
        </w:tc>
        <w:tc>
          <w:tcPr>
            <w:tcW w:w="907" w:type="dxa"/>
            <w:noWrap/>
            <w:hideMark/>
          </w:tcPr>
          <w:p w14:paraId="25F3C904" w14:textId="77777777" w:rsidR="00EE5BB8" w:rsidRPr="006232BC" w:rsidRDefault="00EE5BB8" w:rsidP="006232BC">
            <w:pPr>
              <w:pStyle w:val="TableCopy"/>
              <w:jc w:val="right"/>
              <w:rPr>
                <w:sz w:val="18"/>
                <w:szCs w:val="32"/>
              </w:rPr>
            </w:pPr>
            <w:r w:rsidRPr="006232BC">
              <w:rPr>
                <w:sz w:val="18"/>
                <w:szCs w:val="32"/>
              </w:rPr>
              <w:t>–</w:t>
            </w:r>
          </w:p>
        </w:tc>
        <w:tc>
          <w:tcPr>
            <w:tcW w:w="935" w:type="dxa"/>
            <w:noWrap/>
            <w:hideMark/>
          </w:tcPr>
          <w:p w14:paraId="1473577A" w14:textId="77777777" w:rsidR="00EE5BB8" w:rsidRPr="006232BC" w:rsidRDefault="00EE5BB8" w:rsidP="006232BC">
            <w:pPr>
              <w:pStyle w:val="TableCopy"/>
              <w:jc w:val="right"/>
              <w:rPr>
                <w:sz w:val="18"/>
                <w:szCs w:val="32"/>
              </w:rPr>
            </w:pPr>
            <w:r w:rsidRPr="006232BC">
              <w:rPr>
                <w:sz w:val="18"/>
                <w:szCs w:val="32"/>
              </w:rPr>
              <w:t>2,644</w:t>
            </w:r>
          </w:p>
        </w:tc>
        <w:tc>
          <w:tcPr>
            <w:tcW w:w="935" w:type="dxa"/>
            <w:noWrap/>
            <w:hideMark/>
          </w:tcPr>
          <w:p w14:paraId="27EF9F91" w14:textId="77777777" w:rsidR="00EE5BB8" w:rsidRPr="006232BC" w:rsidRDefault="00EE5BB8" w:rsidP="006232BC">
            <w:pPr>
              <w:pStyle w:val="TableCopy"/>
              <w:jc w:val="right"/>
              <w:rPr>
                <w:sz w:val="18"/>
                <w:szCs w:val="32"/>
              </w:rPr>
            </w:pPr>
            <w:r w:rsidRPr="006232BC">
              <w:rPr>
                <w:sz w:val="18"/>
                <w:szCs w:val="32"/>
              </w:rPr>
              <w:t>2,232</w:t>
            </w:r>
          </w:p>
        </w:tc>
        <w:tc>
          <w:tcPr>
            <w:tcW w:w="850" w:type="dxa"/>
            <w:noWrap/>
            <w:hideMark/>
          </w:tcPr>
          <w:p w14:paraId="2EC932A7" w14:textId="77777777" w:rsidR="00EE5BB8" w:rsidRPr="006232BC" w:rsidRDefault="00EE5BB8" w:rsidP="006232BC">
            <w:pPr>
              <w:pStyle w:val="TableCopy"/>
              <w:jc w:val="right"/>
              <w:rPr>
                <w:sz w:val="18"/>
                <w:szCs w:val="32"/>
              </w:rPr>
            </w:pPr>
            <w:r w:rsidRPr="006232BC">
              <w:rPr>
                <w:sz w:val="18"/>
                <w:szCs w:val="32"/>
              </w:rPr>
              <w:t>–</w:t>
            </w:r>
          </w:p>
        </w:tc>
        <w:tc>
          <w:tcPr>
            <w:tcW w:w="850" w:type="dxa"/>
            <w:noWrap/>
            <w:hideMark/>
          </w:tcPr>
          <w:p w14:paraId="77A8F440" w14:textId="77777777" w:rsidR="00EE5BB8" w:rsidRPr="006232BC" w:rsidRDefault="00EE5BB8" w:rsidP="006232BC">
            <w:pPr>
              <w:pStyle w:val="TableCopy"/>
              <w:jc w:val="right"/>
              <w:rPr>
                <w:sz w:val="18"/>
                <w:szCs w:val="32"/>
              </w:rPr>
            </w:pPr>
            <w:r w:rsidRPr="006232BC">
              <w:rPr>
                <w:sz w:val="18"/>
                <w:szCs w:val="32"/>
              </w:rPr>
              <w:t>–</w:t>
            </w:r>
          </w:p>
        </w:tc>
        <w:tc>
          <w:tcPr>
            <w:tcW w:w="737" w:type="dxa"/>
            <w:noWrap/>
            <w:hideMark/>
          </w:tcPr>
          <w:p w14:paraId="27AF354F" w14:textId="77777777" w:rsidR="00EE5BB8" w:rsidRPr="006232BC" w:rsidRDefault="00EE5BB8" w:rsidP="006232BC">
            <w:pPr>
              <w:pStyle w:val="TableCopy"/>
              <w:jc w:val="right"/>
              <w:rPr>
                <w:sz w:val="18"/>
                <w:szCs w:val="32"/>
              </w:rPr>
            </w:pPr>
            <w:r w:rsidRPr="006232BC">
              <w:rPr>
                <w:sz w:val="18"/>
                <w:szCs w:val="32"/>
              </w:rPr>
              <w:t>38</w:t>
            </w:r>
          </w:p>
        </w:tc>
        <w:tc>
          <w:tcPr>
            <w:tcW w:w="737" w:type="dxa"/>
            <w:noWrap/>
            <w:hideMark/>
          </w:tcPr>
          <w:p w14:paraId="079CED7F" w14:textId="77777777" w:rsidR="00EE5BB8" w:rsidRPr="006232BC" w:rsidRDefault="00EE5BB8" w:rsidP="006232BC">
            <w:pPr>
              <w:pStyle w:val="TableCopy"/>
              <w:jc w:val="right"/>
              <w:rPr>
                <w:sz w:val="18"/>
                <w:szCs w:val="32"/>
              </w:rPr>
            </w:pPr>
            <w:r w:rsidRPr="006232BC">
              <w:rPr>
                <w:sz w:val="18"/>
                <w:szCs w:val="32"/>
              </w:rPr>
              <w:t>55</w:t>
            </w:r>
          </w:p>
        </w:tc>
        <w:tc>
          <w:tcPr>
            <w:tcW w:w="794" w:type="dxa"/>
            <w:noWrap/>
            <w:hideMark/>
          </w:tcPr>
          <w:p w14:paraId="2A4FD3CA" w14:textId="77777777" w:rsidR="00EE5BB8" w:rsidRPr="006232BC" w:rsidRDefault="00EE5BB8" w:rsidP="006232BC">
            <w:pPr>
              <w:pStyle w:val="TableCopy"/>
              <w:jc w:val="right"/>
              <w:rPr>
                <w:sz w:val="18"/>
                <w:szCs w:val="32"/>
              </w:rPr>
            </w:pPr>
            <w:r w:rsidRPr="006232BC">
              <w:rPr>
                <w:sz w:val="18"/>
                <w:szCs w:val="32"/>
              </w:rPr>
              <w:t>2,017</w:t>
            </w:r>
          </w:p>
        </w:tc>
        <w:tc>
          <w:tcPr>
            <w:tcW w:w="794" w:type="dxa"/>
            <w:noWrap/>
            <w:hideMark/>
          </w:tcPr>
          <w:p w14:paraId="537CBE21" w14:textId="77777777" w:rsidR="00EE5BB8" w:rsidRPr="006232BC" w:rsidRDefault="00EE5BB8" w:rsidP="006232BC">
            <w:pPr>
              <w:pStyle w:val="TableCopy"/>
              <w:jc w:val="right"/>
              <w:rPr>
                <w:sz w:val="18"/>
                <w:szCs w:val="32"/>
              </w:rPr>
            </w:pPr>
            <w:r w:rsidRPr="006232BC">
              <w:rPr>
                <w:sz w:val="18"/>
                <w:szCs w:val="32"/>
              </w:rPr>
              <w:t>1,697</w:t>
            </w:r>
          </w:p>
        </w:tc>
        <w:tc>
          <w:tcPr>
            <w:tcW w:w="861" w:type="dxa"/>
            <w:noWrap/>
            <w:hideMark/>
          </w:tcPr>
          <w:p w14:paraId="7396D858" w14:textId="77777777" w:rsidR="00EE5BB8" w:rsidRPr="006232BC" w:rsidRDefault="00EE5BB8" w:rsidP="006232BC">
            <w:pPr>
              <w:pStyle w:val="TableCopy"/>
              <w:jc w:val="right"/>
              <w:rPr>
                <w:sz w:val="18"/>
                <w:szCs w:val="32"/>
              </w:rPr>
            </w:pPr>
            <w:r w:rsidRPr="006232BC">
              <w:rPr>
                <w:sz w:val="18"/>
                <w:szCs w:val="32"/>
              </w:rPr>
              <w:t>1,410</w:t>
            </w:r>
          </w:p>
        </w:tc>
        <w:tc>
          <w:tcPr>
            <w:tcW w:w="862" w:type="dxa"/>
            <w:noWrap/>
            <w:hideMark/>
          </w:tcPr>
          <w:p w14:paraId="7CF6986F" w14:textId="77777777" w:rsidR="00EE5BB8" w:rsidRPr="006232BC" w:rsidRDefault="00EE5BB8" w:rsidP="006232BC">
            <w:pPr>
              <w:pStyle w:val="TableCopy"/>
              <w:jc w:val="right"/>
              <w:rPr>
                <w:sz w:val="18"/>
                <w:szCs w:val="32"/>
              </w:rPr>
            </w:pPr>
            <w:r w:rsidRPr="006232BC">
              <w:rPr>
                <w:sz w:val="18"/>
                <w:szCs w:val="32"/>
              </w:rPr>
              <w:t>4,491</w:t>
            </w:r>
          </w:p>
        </w:tc>
        <w:tc>
          <w:tcPr>
            <w:tcW w:w="794" w:type="dxa"/>
            <w:noWrap/>
            <w:hideMark/>
          </w:tcPr>
          <w:p w14:paraId="1B42CCE4"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6CBB1653"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605463A3" w14:textId="77777777" w:rsidR="00EE5BB8" w:rsidRPr="006232BC" w:rsidRDefault="00EE5BB8" w:rsidP="006232BC">
            <w:pPr>
              <w:pStyle w:val="TableCopy"/>
              <w:jc w:val="right"/>
              <w:rPr>
                <w:sz w:val="18"/>
                <w:szCs w:val="32"/>
              </w:rPr>
            </w:pPr>
            <w:r w:rsidRPr="006232BC">
              <w:rPr>
                <w:sz w:val="18"/>
                <w:szCs w:val="32"/>
              </w:rPr>
              <w:t>10,442</w:t>
            </w:r>
          </w:p>
        </w:tc>
        <w:tc>
          <w:tcPr>
            <w:tcW w:w="935" w:type="dxa"/>
            <w:noWrap/>
            <w:hideMark/>
          </w:tcPr>
          <w:p w14:paraId="207F5D3A" w14:textId="77777777" w:rsidR="00EE5BB8" w:rsidRPr="006232BC" w:rsidRDefault="00EE5BB8" w:rsidP="006232BC">
            <w:pPr>
              <w:pStyle w:val="TableCopy"/>
              <w:jc w:val="right"/>
              <w:rPr>
                <w:sz w:val="18"/>
                <w:szCs w:val="32"/>
              </w:rPr>
            </w:pPr>
            <w:r w:rsidRPr="006232BC">
              <w:rPr>
                <w:sz w:val="18"/>
                <w:szCs w:val="32"/>
              </w:rPr>
              <w:t>8,475</w:t>
            </w:r>
          </w:p>
        </w:tc>
      </w:tr>
      <w:tr w:rsidR="006232BC" w:rsidRPr="006232BC" w14:paraId="4B3483F2" w14:textId="77777777" w:rsidTr="00291743">
        <w:tc>
          <w:tcPr>
            <w:tcW w:w="1691" w:type="dxa"/>
            <w:hideMark/>
          </w:tcPr>
          <w:p w14:paraId="0F6AAE63" w14:textId="1957AA28" w:rsidR="00EE5BB8" w:rsidRPr="006232BC" w:rsidRDefault="00EE5BB8" w:rsidP="0063097D">
            <w:pPr>
              <w:pStyle w:val="TableCopy"/>
              <w:rPr>
                <w:sz w:val="18"/>
                <w:szCs w:val="32"/>
              </w:rPr>
            </w:pPr>
            <w:r w:rsidRPr="006232BC">
              <w:rPr>
                <w:sz w:val="18"/>
                <w:szCs w:val="32"/>
              </w:rPr>
              <w:t>Disposals</w:t>
            </w:r>
            <w:r w:rsidR="00177848" w:rsidRPr="006232BC">
              <w:rPr>
                <w:sz w:val="18"/>
                <w:szCs w:val="32"/>
              </w:rPr>
              <w:t xml:space="preserve"> </w:t>
            </w:r>
          </w:p>
        </w:tc>
        <w:tc>
          <w:tcPr>
            <w:tcW w:w="794" w:type="dxa"/>
            <w:noWrap/>
            <w:hideMark/>
          </w:tcPr>
          <w:p w14:paraId="0AB0B63A" w14:textId="77777777" w:rsidR="00EE5BB8" w:rsidRPr="006232BC" w:rsidRDefault="00EE5BB8" w:rsidP="006232BC">
            <w:pPr>
              <w:pStyle w:val="TableCopy"/>
              <w:jc w:val="right"/>
              <w:rPr>
                <w:sz w:val="18"/>
                <w:szCs w:val="32"/>
              </w:rPr>
            </w:pPr>
            <w:r w:rsidRPr="006232BC">
              <w:rPr>
                <w:sz w:val="18"/>
                <w:szCs w:val="32"/>
              </w:rPr>
              <w:t>–</w:t>
            </w:r>
          </w:p>
        </w:tc>
        <w:tc>
          <w:tcPr>
            <w:tcW w:w="907" w:type="dxa"/>
            <w:noWrap/>
            <w:hideMark/>
          </w:tcPr>
          <w:p w14:paraId="384B93A1" w14:textId="77777777" w:rsidR="00EE5BB8" w:rsidRPr="006232BC" w:rsidRDefault="00EE5BB8" w:rsidP="006232BC">
            <w:pPr>
              <w:pStyle w:val="TableCopy"/>
              <w:jc w:val="right"/>
              <w:rPr>
                <w:sz w:val="18"/>
                <w:szCs w:val="32"/>
              </w:rPr>
            </w:pPr>
            <w:r w:rsidRPr="006232BC">
              <w:rPr>
                <w:sz w:val="18"/>
                <w:szCs w:val="32"/>
              </w:rPr>
              <w:t>–</w:t>
            </w:r>
          </w:p>
        </w:tc>
        <w:tc>
          <w:tcPr>
            <w:tcW w:w="935" w:type="dxa"/>
            <w:noWrap/>
            <w:hideMark/>
          </w:tcPr>
          <w:p w14:paraId="466B690B" w14:textId="77777777" w:rsidR="00EE5BB8" w:rsidRPr="006232BC" w:rsidRDefault="00EE5BB8" w:rsidP="006232BC">
            <w:pPr>
              <w:pStyle w:val="TableCopy"/>
              <w:jc w:val="right"/>
              <w:rPr>
                <w:sz w:val="18"/>
                <w:szCs w:val="32"/>
              </w:rPr>
            </w:pPr>
            <w:r w:rsidRPr="006232BC">
              <w:rPr>
                <w:sz w:val="18"/>
                <w:szCs w:val="32"/>
              </w:rPr>
              <w:t>–</w:t>
            </w:r>
          </w:p>
        </w:tc>
        <w:tc>
          <w:tcPr>
            <w:tcW w:w="935" w:type="dxa"/>
            <w:noWrap/>
            <w:hideMark/>
          </w:tcPr>
          <w:p w14:paraId="21A9B7DE" w14:textId="77777777" w:rsidR="00EE5BB8" w:rsidRPr="006232BC" w:rsidRDefault="00EE5BB8" w:rsidP="006232BC">
            <w:pPr>
              <w:pStyle w:val="TableCopy"/>
              <w:jc w:val="right"/>
              <w:rPr>
                <w:sz w:val="18"/>
                <w:szCs w:val="32"/>
              </w:rPr>
            </w:pPr>
            <w:r w:rsidRPr="006232BC">
              <w:rPr>
                <w:sz w:val="18"/>
                <w:szCs w:val="32"/>
              </w:rPr>
              <w:t>(545)</w:t>
            </w:r>
          </w:p>
        </w:tc>
        <w:tc>
          <w:tcPr>
            <w:tcW w:w="850" w:type="dxa"/>
            <w:noWrap/>
            <w:hideMark/>
          </w:tcPr>
          <w:p w14:paraId="06FF9692" w14:textId="77777777" w:rsidR="00EE5BB8" w:rsidRPr="006232BC" w:rsidRDefault="00EE5BB8" w:rsidP="006232BC">
            <w:pPr>
              <w:pStyle w:val="TableCopy"/>
              <w:jc w:val="right"/>
              <w:rPr>
                <w:sz w:val="18"/>
                <w:szCs w:val="32"/>
              </w:rPr>
            </w:pPr>
            <w:r w:rsidRPr="006232BC">
              <w:rPr>
                <w:sz w:val="18"/>
                <w:szCs w:val="32"/>
              </w:rPr>
              <w:t>(1,031)</w:t>
            </w:r>
          </w:p>
        </w:tc>
        <w:tc>
          <w:tcPr>
            <w:tcW w:w="850" w:type="dxa"/>
            <w:noWrap/>
            <w:hideMark/>
          </w:tcPr>
          <w:p w14:paraId="16400721" w14:textId="77777777" w:rsidR="00EE5BB8" w:rsidRPr="006232BC" w:rsidRDefault="00EE5BB8" w:rsidP="006232BC">
            <w:pPr>
              <w:pStyle w:val="TableCopy"/>
              <w:jc w:val="right"/>
              <w:rPr>
                <w:sz w:val="18"/>
                <w:szCs w:val="32"/>
              </w:rPr>
            </w:pPr>
            <w:r w:rsidRPr="006232BC">
              <w:rPr>
                <w:sz w:val="18"/>
                <w:szCs w:val="32"/>
              </w:rPr>
              <w:t>(272)</w:t>
            </w:r>
          </w:p>
        </w:tc>
        <w:tc>
          <w:tcPr>
            <w:tcW w:w="737" w:type="dxa"/>
            <w:noWrap/>
            <w:hideMark/>
          </w:tcPr>
          <w:p w14:paraId="315E3749" w14:textId="77777777" w:rsidR="00EE5BB8" w:rsidRPr="006232BC" w:rsidRDefault="00EE5BB8" w:rsidP="006232BC">
            <w:pPr>
              <w:pStyle w:val="TableCopy"/>
              <w:jc w:val="right"/>
              <w:rPr>
                <w:sz w:val="18"/>
                <w:szCs w:val="32"/>
              </w:rPr>
            </w:pPr>
            <w:r w:rsidRPr="006232BC">
              <w:rPr>
                <w:sz w:val="18"/>
                <w:szCs w:val="32"/>
              </w:rPr>
              <w:t>(3)</w:t>
            </w:r>
          </w:p>
        </w:tc>
        <w:tc>
          <w:tcPr>
            <w:tcW w:w="737" w:type="dxa"/>
            <w:noWrap/>
            <w:hideMark/>
          </w:tcPr>
          <w:p w14:paraId="067BAB23" w14:textId="77777777" w:rsidR="00EE5BB8" w:rsidRPr="006232BC" w:rsidRDefault="00EE5BB8" w:rsidP="006232BC">
            <w:pPr>
              <w:pStyle w:val="TableCopy"/>
              <w:jc w:val="right"/>
              <w:rPr>
                <w:sz w:val="18"/>
                <w:szCs w:val="32"/>
              </w:rPr>
            </w:pPr>
            <w:r w:rsidRPr="006232BC">
              <w:rPr>
                <w:sz w:val="18"/>
                <w:szCs w:val="32"/>
              </w:rPr>
              <w:t>(175)</w:t>
            </w:r>
          </w:p>
        </w:tc>
        <w:tc>
          <w:tcPr>
            <w:tcW w:w="794" w:type="dxa"/>
            <w:noWrap/>
            <w:hideMark/>
          </w:tcPr>
          <w:p w14:paraId="5161195B" w14:textId="77777777" w:rsidR="00EE5BB8" w:rsidRPr="006232BC" w:rsidRDefault="00EE5BB8" w:rsidP="006232BC">
            <w:pPr>
              <w:pStyle w:val="TableCopy"/>
              <w:jc w:val="right"/>
              <w:rPr>
                <w:sz w:val="18"/>
                <w:szCs w:val="32"/>
              </w:rPr>
            </w:pPr>
            <w:r w:rsidRPr="006232BC">
              <w:rPr>
                <w:sz w:val="18"/>
                <w:szCs w:val="32"/>
              </w:rPr>
              <w:t>(724)</w:t>
            </w:r>
          </w:p>
        </w:tc>
        <w:tc>
          <w:tcPr>
            <w:tcW w:w="794" w:type="dxa"/>
            <w:noWrap/>
            <w:hideMark/>
          </w:tcPr>
          <w:p w14:paraId="1516A861" w14:textId="77777777" w:rsidR="00EE5BB8" w:rsidRPr="006232BC" w:rsidRDefault="00EE5BB8" w:rsidP="006232BC">
            <w:pPr>
              <w:pStyle w:val="TableCopy"/>
              <w:jc w:val="right"/>
              <w:rPr>
                <w:sz w:val="18"/>
                <w:szCs w:val="32"/>
              </w:rPr>
            </w:pPr>
            <w:r w:rsidRPr="006232BC">
              <w:rPr>
                <w:sz w:val="18"/>
                <w:szCs w:val="32"/>
              </w:rPr>
              <w:t>(531)</w:t>
            </w:r>
          </w:p>
        </w:tc>
        <w:tc>
          <w:tcPr>
            <w:tcW w:w="861" w:type="dxa"/>
            <w:noWrap/>
            <w:hideMark/>
          </w:tcPr>
          <w:p w14:paraId="21464F6E" w14:textId="77777777" w:rsidR="00EE5BB8" w:rsidRPr="006232BC" w:rsidRDefault="00EE5BB8" w:rsidP="006232BC">
            <w:pPr>
              <w:pStyle w:val="TableCopy"/>
              <w:jc w:val="right"/>
              <w:rPr>
                <w:sz w:val="18"/>
                <w:szCs w:val="32"/>
              </w:rPr>
            </w:pPr>
            <w:r w:rsidRPr="006232BC">
              <w:rPr>
                <w:sz w:val="18"/>
                <w:szCs w:val="32"/>
              </w:rPr>
              <w:t>(56)</w:t>
            </w:r>
          </w:p>
        </w:tc>
        <w:tc>
          <w:tcPr>
            <w:tcW w:w="862" w:type="dxa"/>
            <w:noWrap/>
            <w:hideMark/>
          </w:tcPr>
          <w:p w14:paraId="2161FFA9" w14:textId="77777777" w:rsidR="00EE5BB8" w:rsidRPr="006232BC" w:rsidRDefault="00EE5BB8" w:rsidP="006232BC">
            <w:pPr>
              <w:pStyle w:val="TableCopy"/>
              <w:jc w:val="right"/>
              <w:rPr>
                <w:sz w:val="18"/>
                <w:szCs w:val="32"/>
              </w:rPr>
            </w:pPr>
            <w:r w:rsidRPr="006232BC">
              <w:rPr>
                <w:sz w:val="18"/>
                <w:szCs w:val="32"/>
              </w:rPr>
              <w:t>(606)</w:t>
            </w:r>
          </w:p>
        </w:tc>
        <w:tc>
          <w:tcPr>
            <w:tcW w:w="794" w:type="dxa"/>
            <w:noWrap/>
            <w:hideMark/>
          </w:tcPr>
          <w:p w14:paraId="4799C1EC"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70B1582B"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5E9056DD" w14:textId="77777777" w:rsidR="00EE5BB8" w:rsidRPr="006232BC" w:rsidRDefault="00EE5BB8" w:rsidP="006232BC">
            <w:pPr>
              <w:pStyle w:val="TableCopy"/>
              <w:jc w:val="right"/>
              <w:rPr>
                <w:sz w:val="18"/>
                <w:szCs w:val="32"/>
              </w:rPr>
            </w:pPr>
            <w:r w:rsidRPr="006232BC">
              <w:rPr>
                <w:sz w:val="18"/>
                <w:szCs w:val="32"/>
              </w:rPr>
              <w:t>(1,814)</w:t>
            </w:r>
          </w:p>
        </w:tc>
        <w:tc>
          <w:tcPr>
            <w:tcW w:w="935" w:type="dxa"/>
            <w:noWrap/>
            <w:hideMark/>
          </w:tcPr>
          <w:p w14:paraId="62615631" w14:textId="77777777" w:rsidR="00EE5BB8" w:rsidRPr="006232BC" w:rsidRDefault="00EE5BB8" w:rsidP="006232BC">
            <w:pPr>
              <w:pStyle w:val="TableCopy"/>
              <w:jc w:val="right"/>
              <w:rPr>
                <w:sz w:val="18"/>
                <w:szCs w:val="32"/>
              </w:rPr>
            </w:pPr>
            <w:r w:rsidRPr="006232BC">
              <w:rPr>
                <w:sz w:val="18"/>
                <w:szCs w:val="32"/>
              </w:rPr>
              <w:t>(2,129)</w:t>
            </w:r>
          </w:p>
        </w:tc>
      </w:tr>
      <w:tr w:rsidR="006232BC" w:rsidRPr="006232BC" w14:paraId="36AB3BD9" w14:textId="77777777" w:rsidTr="00291743">
        <w:tc>
          <w:tcPr>
            <w:tcW w:w="1691" w:type="dxa"/>
            <w:hideMark/>
          </w:tcPr>
          <w:p w14:paraId="38B6B534" w14:textId="633BEEC5" w:rsidR="00EE5BB8" w:rsidRPr="006232BC" w:rsidRDefault="00EE5BB8" w:rsidP="0063097D">
            <w:pPr>
              <w:pStyle w:val="TableCopy"/>
              <w:rPr>
                <w:sz w:val="18"/>
                <w:szCs w:val="32"/>
              </w:rPr>
            </w:pPr>
            <w:r w:rsidRPr="006232BC">
              <w:rPr>
                <w:spacing w:val="-2"/>
                <w:sz w:val="18"/>
                <w:szCs w:val="32"/>
              </w:rPr>
              <w:t>Transfers</w:t>
            </w:r>
            <w:r w:rsidR="00177848" w:rsidRPr="006232BC">
              <w:rPr>
                <w:spacing w:val="-2"/>
                <w:sz w:val="18"/>
                <w:szCs w:val="32"/>
              </w:rPr>
              <w:t xml:space="preserve"> </w:t>
            </w:r>
            <w:r w:rsidRPr="006232BC">
              <w:rPr>
                <w:spacing w:val="-2"/>
                <w:sz w:val="18"/>
                <w:szCs w:val="32"/>
              </w:rPr>
              <w:t>via</w:t>
            </w:r>
            <w:r w:rsidR="00177848" w:rsidRPr="006232BC">
              <w:rPr>
                <w:spacing w:val="-2"/>
                <w:sz w:val="18"/>
                <w:szCs w:val="32"/>
              </w:rPr>
              <w:t xml:space="preserve"> </w:t>
            </w:r>
            <w:r w:rsidRPr="006232BC">
              <w:rPr>
                <w:spacing w:val="-2"/>
                <w:sz w:val="18"/>
                <w:szCs w:val="32"/>
              </w:rPr>
              <w:t>contributed</w:t>
            </w:r>
            <w:r w:rsidR="00177848" w:rsidRPr="006232BC">
              <w:rPr>
                <w:spacing w:val="-2"/>
                <w:sz w:val="18"/>
                <w:szCs w:val="32"/>
              </w:rPr>
              <w:t xml:space="preserve"> </w:t>
            </w:r>
            <w:r w:rsidRPr="006232BC">
              <w:rPr>
                <w:spacing w:val="-2"/>
                <w:sz w:val="18"/>
                <w:szCs w:val="32"/>
              </w:rPr>
              <w:t>capital</w:t>
            </w:r>
            <w:r w:rsidRPr="006232BC">
              <w:rPr>
                <w:spacing w:val="-2"/>
                <w:sz w:val="18"/>
                <w:szCs w:val="32"/>
                <w:vertAlign w:val="superscript"/>
              </w:rPr>
              <w:t>(i)</w:t>
            </w:r>
          </w:p>
        </w:tc>
        <w:tc>
          <w:tcPr>
            <w:tcW w:w="794" w:type="dxa"/>
            <w:noWrap/>
            <w:hideMark/>
          </w:tcPr>
          <w:p w14:paraId="54526102" w14:textId="77777777" w:rsidR="00EE5BB8" w:rsidRPr="006232BC" w:rsidRDefault="00EE5BB8" w:rsidP="006232BC">
            <w:pPr>
              <w:pStyle w:val="TableCopy"/>
              <w:jc w:val="right"/>
              <w:rPr>
                <w:sz w:val="18"/>
                <w:szCs w:val="32"/>
              </w:rPr>
            </w:pPr>
            <w:r w:rsidRPr="006232BC">
              <w:rPr>
                <w:sz w:val="18"/>
                <w:szCs w:val="32"/>
              </w:rPr>
              <w:t>–</w:t>
            </w:r>
          </w:p>
        </w:tc>
        <w:tc>
          <w:tcPr>
            <w:tcW w:w="907" w:type="dxa"/>
            <w:noWrap/>
            <w:hideMark/>
          </w:tcPr>
          <w:p w14:paraId="776070C0" w14:textId="77777777" w:rsidR="00EE5BB8" w:rsidRPr="006232BC" w:rsidRDefault="00EE5BB8" w:rsidP="006232BC">
            <w:pPr>
              <w:pStyle w:val="TableCopy"/>
              <w:jc w:val="right"/>
              <w:rPr>
                <w:sz w:val="18"/>
                <w:szCs w:val="32"/>
              </w:rPr>
            </w:pPr>
            <w:r w:rsidRPr="006232BC">
              <w:rPr>
                <w:sz w:val="18"/>
                <w:szCs w:val="32"/>
              </w:rPr>
              <w:t>(425,746)</w:t>
            </w:r>
          </w:p>
        </w:tc>
        <w:tc>
          <w:tcPr>
            <w:tcW w:w="935" w:type="dxa"/>
            <w:noWrap/>
            <w:hideMark/>
          </w:tcPr>
          <w:p w14:paraId="49D26C96" w14:textId="77777777" w:rsidR="00EE5BB8" w:rsidRPr="006232BC" w:rsidRDefault="00EE5BB8" w:rsidP="006232BC">
            <w:pPr>
              <w:pStyle w:val="TableCopy"/>
              <w:jc w:val="right"/>
              <w:rPr>
                <w:sz w:val="18"/>
                <w:szCs w:val="32"/>
              </w:rPr>
            </w:pPr>
            <w:r w:rsidRPr="006232BC">
              <w:rPr>
                <w:sz w:val="18"/>
                <w:szCs w:val="32"/>
              </w:rPr>
              <w:t>–</w:t>
            </w:r>
          </w:p>
        </w:tc>
        <w:tc>
          <w:tcPr>
            <w:tcW w:w="935" w:type="dxa"/>
            <w:noWrap/>
            <w:hideMark/>
          </w:tcPr>
          <w:p w14:paraId="289C93A1" w14:textId="77777777" w:rsidR="00EE5BB8" w:rsidRPr="006232BC" w:rsidRDefault="00EE5BB8" w:rsidP="006232BC">
            <w:pPr>
              <w:pStyle w:val="TableCopy"/>
              <w:jc w:val="right"/>
              <w:rPr>
                <w:sz w:val="18"/>
                <w:szCs w:val="32"/>
              </w:rPr>
            </w:pPr>
            <w:r w:rsidRPr="006232BC">
              <w:rPr>
                <w:sz w:val="18"/>
                <w:szCs w:val="32"/>
              </w:rPr>
              <w:t>(46,632)</w:t>
            </w:r>
          </w:p>
        </w:tc>
        <w:tc>
          <w:tcPr>
            <w:tcW w:w="850" w:type="dxa"/>
            <w:noWrap/>
            <w:hideMark/>
          </w:tcPr>
          <w:p w14:paraId="19D858DD" w14:textId="77777777" w:rsidR="00EE5BB8" w:rsidRPr="006232BC" w:rsidRDefault="00EE5BB8" w:rsidP="006232BC">
            <w:pPr>
              <w:pStyle w:val="TableCopy"/>
              <w:jc w:val="right"/>
              <w:rPr>
                <w:sz w:val="18"/>
                <w:szCs w:val="32"/>
              </w:rPr>
            </w:pPr>
            <w:r w:rsidRPr="006232BC">
              <w:rPr>
                <w:sz w:val="18"/>
                <w:szCs w:val="32"/>
              </w:rPr>
              <w:t>–</w:t>
            </w:r>
          </w:p>
        </w:tc>
        <w:tc>
          <w:tcPr>
            <w:tcW w:w="850" w:type="dxa"/>
            <w:noWrap/>
            <w:hideMark/>
          </w:tcPr>
          <w:p w14:paraId="1BD5D3CE" w14:textId="77777777" w:rsidR="00EE5BB8" w:rsidRPr="006232BC" w:rsidRDefault="00EE5BB8" w:rsidP="006232BC">
            <w:pPr>
              <w:pStyle w:val="TableCopy"/>
              <w:jc w:val="right"/>
              <w:rPr>
                <w:sz w:val="18"/>
                <w:szCs w:val="32"/>
              </w:rPr>
            </w:pPr>
            <w:r w:rsidRPr="006232BC">
              <w:rPr>
                <w:sz w:val="18"/>
                <w:szCs w:val="32"/>
              </w:rPr>
              <w:t>–</w:t>
            </w:r>
          </w:p>
        </w:tc>
        <w:tc>
          <w:tcPr>
            <w:tcW w:w="737" w:type="dxa"/>
            <w:noWrap/>
            <w:hideMark/>
          </w:tcPr>
          <w:p w14:paraId="752B3E2E" w14:textId="77777777" w:rsidR="00EE5BB8" w:rsidRPr="006232BC" w:rsidRDefault="00EE5BB8" w:rsidP="006232BC">
            <w:pPr>
              <w:pStyle w:val="TableCopy"/>
              <w:jc w:val="right"/>
              <w:rPr>
                <w:sz w:val="18"/>
                <w:szCs w:val="32"/>
              </w:rPr>
            </w:pPr>
            <w:r w:rsidRPr="006232BC">
              <w:rPr>
                <w:sz w:val="18"/>
                <w:szCs w:val="32"/>
              </w:rPr>
              <w:t>–</w:t>
            </w:r>
          </w:p>
        </w:tc>
        <w:tc>
          <w:tcPr>
            <w:tcW w:w="737" w:type="dxa"/>
            <w:noWrap/>
            <w:hideMark/>
          </w:tcPr>
          <w:p w14:paraId="16FD5B55"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10A57FA8"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381F1737" w14:textId="77777777" w:rsidR="00EE5BB8" w:rsidRPr="006232BC" w:rsidRDefault="00EE5BB8" w:rsidP="006232BC">
            <w:pPr>
              <w:pStyle w:val="TableCopy"/>
              <w:jc w:val="right"/>
              <w:rPr>
                <w:sz w:val="18"/>
                <w:szCs w:val="32"/>
              </w:rPr>
            </w:pPr>
            <w:r w:rsidRPr="006232BC">
              <w:rPr>
                <w:sz w:val="18"/>
                <w:szCs w:val="32"/>
              </w:rPr>
              <w:t>–</w:t>
            </w:r>
          </w:p>
        </w:tc>
        <w:tc>
          <w:tcPr>
            <w:tcW w:w="861" w:type="dxa"/>
            <w:noWrap/>
            <w:hideMark/>
          </w:tcPr>
          <w:p w14:paraId="1BCA61E3" w14:textId="77777777" w:rsidR="00EE5BB8" w:rsidRPr="006232BC" w:rsidRDefault="00EE5BB8" w:rsidP="006232BC">
            <w:pPr>
              <w:pStyle w:val="TableCopy"/>
              <w:jc w:val="right"/>
              <w:rPr>
                <w:sz w:val="18"/>
                <w:szCs w:val="32"/>
              </w:rPr>
            </w:pPr>
            <w:r w:rsidRPr="006232BC">
              <w:rPr>
                <w:sz w:val="18"/>
                <w:szCs w:val="32"/>
              </w:rPr>
              <w:t>–</w:t>
            </w:r>
          </w:p>
        </w:tc>
        <w:tc>
          <w:tcPr>
            <w:tcW w:w="862" w:type="dxa"/>
            <w:noWrap/>
            <w:hideMark/>
          </w:tcPr>
          <w:p w14:paraId="3E1A1130" w14:textId="77777777" w:rsidR="00EE5BB8" w:rsidRPr="006232BC" w:rsidRDefault="00EE5BB8" w:rsidP="006232BC">
            <w:pPr>
              <w:pStyle w:val="TableCopy"/>
              <w:jc w:val="right"/>
              <w:rPr>
                <w:sz w:val="18"/>
                <w:szCs w:val="32"/>
              </w:rPr>
            </w:pPr>
            <w:r w:rsidRPr="006232BC">
              <w:rPr>
                <w:sz w:val="18"/>
                <w:szCs w:val="32"/>
              </w:rPr>
              <w:t>1,761</w:t>
            </w:r>
          </w:p>
        </w:tc>
        <w:tc>
          <w:tcPr>
            <w:tcW w:w="794" w:type="dxa"/>
            <w:noWrap/>
            <w:hideMark/>
          </w:tcPr>
          <w:p w14:paraId="09124278"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1C8CBBE1"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5E1068C0" w14:textId="77777777" w:rsidR="00EE5BB8" w:rsidRPr="006232BC" w:rsidRDefault="00EE5BB8" w:rsidP="006232BC">
            <w:pPr>
              <w:pStyle w:val="TableCopy"/>
              <w:jc w:val="right"/>
              <w:rPr>
                <w:sz w:val="18"/>
                <w:szCs w:val="32"/>
              </w:rPr>
            </w:pPr>
            <w:r w:rsidRPr="006232BC">
              <w:rPr>
                <w:sz w:val="18"/>
                <w:szCs w:val="32"/>
              </w:rPr>
              <w:t>–</w:t>
            </w:r>
          </w:p>
        </w:tc>
        <w:tc>
          <w:tcPr>
            <w:tcW w:w="935" w:type="dxa"/>
            <w:noWrap/>
            <w:hideMark/>
          </w:tcPr>
          <w:p w14:paraId="368F6890" w14:textId="77777777" w:rsidR="00EE5BB8" w:rsidRPr="006232BC" w:rsidRDefault="00EE5BB8" w:rsidP="006232BC">
            <w:pPr>
              <w:pStyle w:val="TableCopy"/>
              <w:jc w:val="right"/>
              <w:rPr>
                <w:sz w:val="18"/>
                <w:szCs w:val="32"/>
              </w:rPr>
            </w:pPr>
            <w:r w:rsidRPr="006232BC">
              <w:rPr>
                <w:sz w:val="18"/>
                <w:szCs w:val="32"/>
              </w:rPr>
              <w:t>(470,617)</w:t>
            </w:r>
          </w:p>
        </w:tc>
      </w:tr>
      <w:tr w:rsidR="006232BC" w:rsidRPr="006232BC" w14:paraId="129A228B" w14:textId="77777777" w:rsidTr="00291743">
        <w:tc>
          <w:tcPr>
            <w:tcW w:w="1691" w:type="dxa"/>
            <w:hideMark/>
          </w:tcPr>
          <w:p w14:paraId="6223BE02" w14:textId="4163EC59" w:rsidR="00EE5BB8" w:rsidRPr="006232BC" w:rsidRDefault="00EE5BB8" w:rsidP="0063097D">
            <w:pPr>
              <w:pStyle w:val="TableCopy"/>
              <w:rPr>
                <w:sz w:val="18"/>
                <w:szCs w:val="32"/>
              </w:rPr>
            </w:pPr>
            <w:r w:rsidRPr="006232BC">
              <w:rPr>
                <w:sz w:val="18"/>
                <w:szCs w:val="32"/>
              </w:rPr>
              <w:t>Return</w:t>
            </w:r>
            <w:r w:rsidR="00177848" w:rsidRPr="006232BC">
              <w:rPr>
                <w:sz w:val="18"/>
                <w:szCs w:val="32"/>
              </w:rPr>
              <w:t xml:space="preserve"> </w:t>
            </w:r>
            <w:r w:rsidRPr="006232BC">
              <w:rPr>
                <w:sz w:val="18"/>
                <w:szCs w:val="32"/>
              </w:rPr>
              <w:t>of</w:t>
            </w:r>
            <w:r w:rsidR="00177848" w:rsidRPr="006232BC">
              <w:rPr>
                <w:sz w:val="18"/>
                <w:szCs w:val="32"/>
              </w:rPr>
              <w:t xml:space="preserve"> </w:t>
            </w:r>
            <w:r w:rsidRPr="006232BC">
              <w:rPr>
                <w:sz w:val="18"/>
                <w:szCs w:val="32"/>
              </w:rPr>
              <w:t>capital</w:t>
            </w:r>
          </w:p>
        </w:tc>
        <w:tc>
          <w:tcPr>
            <w:tcW w:w="794" w:type="dxa"/>
            <w:noWrap/>
            <w:hideMark/>
          </w:tcPr>
          <w:p w14:paraId="103D4C30" w14:textId="77777777" w:rsidR="00EE5BB8" w:rsidRPr="006232BC" w:rsidRDefault="00EE5BB8" w:rsidP="006232BC">
            <w:pPr>
              <w:pStyle w:val="TableCopy"/>
              <w:jc w:val="right"/>
              <w:rPr>
                <w:sz w:val="18"/>
                <w:szCs w:val="32"/>
              </w:rPr>
            </w:pPr>
            <w:r w:rsidRPr="006232BC">
              <w:rPr>
                <w:sz w:val="18"/>
                <w:szCs w:val="32"/>
              </w:rPr>
              <w:t>(20,629)</w:t>
            </w:r>
          </w:p>
        </w:tc>
        <w:tc>
          <w:tcPr>
            <w:tcW w:w="907" w:type="dxa"/>
            <w:noWrap/>
            <w:hideMark/>
          </w:tcPr>
          <w:p w14:paraId="1AA091C6" w14:textId="77777777" w:rsidR="00EE5BB8" w:rsidRPr="006232BC" w:rsidRDefault="00EE5BB8" w:rsidP="006232BC">
            <w:pPr>
              <w:pStyle w:val="TableCopy"/>
              <w:jc w:val="right"/>
              <w:rPr>
                <w:sz w:val="18"/>
                <w:szCs w:val="32"/>
              </w:rPr>
            </w:pPr>
            <w:r w:rsidRPr="006232BC">
              <w:rPr>
                <w:sz w:val="18"/>
                <w:szCs w:val="32"/>
              </w:rPr>
              <w:t>–</w:t>
            </w:r>
          </w:p>
        </w:tc>
        <w:tc>
          <w:tcPr>
            <w:tcW w:w="935" w:type="dxa"/>
            <w:noWrap/>
            <w:hideMark/>
          </w:tcPr>
          <w:p w14:paraId="1D052595" w14:textId="77777777" w:rsidR="00EE5BB8" w:rsidRPr="006232BC" w:rsidRDefault="00EE5BB8" w:rsidP="006232BC">
            <w:pPr>
              <w:pStyle w:val="TableCopy"/>
              <w:jc w:val="right"/>
              <w:rPr>
                <w:sz w:val="18"/>
                <w:szCs w:val="32"/>
              </w:rPr>
            </w:pPr>
            <w:r w:rsidRPr="006232BC">
              <w:rPr>
                <w:sz w:val="18"/>
                <w:szCs w:val="32"/>
              </w:rPr>
              <w:t>(27,672)</w:t>
            </w:r>
          </w:p>
        </w:tc>
        <w:tc>
          <w:tcPr>
            <w:tcW w:w="935" w:type="dxa"/>
            <w:noWrap/>
            <w:hideMark/>
          </w:tcPr>
          <w:p w14:paraId="697F97FF" w14:textId="77777777" w:rsidR="00EE5BB8" w:rsidRPr="006232BC" w:rsidRDefault="00EE5BB8" w:rsidP="006232BC">
            <w:pPr>
              <w:pStyle w:val="TableCopy"/>
              <w:jc w:val="right"/>
              <w:rPr>
                <w:sz w:val="18"/>
                <w:szCs w:val="32"/>
              </w:rPr>
            </w:pPr>
            <w:r w:rsidRPr="006232BC">
              <w:rPr>
                <w:sz w:val="18"/>
                <w:szCs w:val="32"/>
              </w:rPr>
              <w:t>–</w:t>
            </w:r>
          </w:p>
        </w:tc>
        <w:tc>
          <w:tcPr>
            <w:tcW w:w="850" w:type="dxa"/>
            <w:noWrap/>
            <w:hideMark/>
          </w:tcPr>
          <w:p w14:paraId="5EF70DCB" w14:textId="77777777" w:rsidR="00EE5BB8" w:rsidRPr="006232BC" w:rsidRDefault="00EE5BB8" w:rsidP="006232BC">
            <w:pPr>
              <w:pStyle w:val="TableCopy"/>
              <w:jc w:val="right"/>
              <w:rPr>
                <w:sz w:val="18"/>
                <w:szCs w:val="32"/>
              </w:rPr>
            </w:pPr>
            <w:r w:rsidRPr="006232BC">
              <w:rPr>
                <w:sz w:val="18"/>
                <w:szCs w:val="32"/>
              </w:rPr>
              <w:t>–</w:t>
            </w:r>
          </w:p>
        </w:tc>
        <w:tc>
          <w:tcPr>
            <w:tcW w:w="850" w:type="dxa"/>
            <w:noWrap/>
            <w:hideMark/>
          </w:tcPr>
          <w:p w14:paraId="46D8FDC3" w14:textId="77777777" w:rsidR="00EE5BB8" w:rsidRPr="006232BC" w:rsidRDefault="00EE5BB8" w:rsidP="006232BC">
            <w:pPr>
              <w:pStyle w:val="TableCopy"/>
              <w:jc w:val="right"/>
              <w:rPr>
                <w:sz w:val="18"/>
                <w:szCs w:val="32"/>
              </w:rPr>
            </w:pPr>
            <w:r w:rsidRPr="006232BC">
              <w:rPr>
                <w:sz w:val="18"/>
                <w:szCs w:val="32"/>
              </w:rPr>
              <w:t>–</w:t>
            </w:r>
          </w:p>
        </w:tc>
        <w:tc>
          <w:tcPr>
            <w:tcW w:w="737" w:type="dxa"/>
            <w:noWrap/>
            <w:hideMark/>
          </w:tcPr>
          <w:p w14:paraId="0D8BF397" w14:textId="77777777" w:rsidR="00EE5BB8" w:rsidRPr="006232BC" w:rsidRDefault="00EE5BB8" w:rsidP="006232BC">
            <w:pPr>
              <w:pStyle w:val="TableCopy"/>
              <w:jc w:val="right"/>
              <w:rPr>
                <w:sz w:val="18"/>
                <w:szCs w:val="32"/>
              </w:rPr>
            </w:pPr>
            <w:r w:rsidRPr="006232BC">
              <w:rPr>
                <w:sz w:val="18"/>
                <w:szCs w:val="32"/>
              </w:rPr>
              <w:t>(7)</w:t>
            </w:r>
          </w:p>
        </w:tc>
        <w:tc>
          <w:tcPr>
            <w:tcW w:w="737" w:type="dxa"/>
            <w:noWrap/>
            <w:hideMark/>
          </w:tcPr>
          <w:p w14:paraId="4D0CA1D9"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78A9F24C"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2AC1401A" w14:textId="77777777" w:rsidR="00EE5BB8" w:rsidRPr="006232BC" w:rsidRDefault="00EE5BB8" w:rsidP="006232BC">
            <w:pPr>
              <w:pStyle w:val="TableCopy"/>
              <w:jc w:val="right"/>
              <w:rPr>
                <w:sz w:val="18"/>
                <w:szCs w:val="32"/>
              </w:rPr>
            </w:pPr>
            <w:r w:rsidRPr="006232BC">
              <w:rPr>
                <w:sz w:val="18"/>
                <w:szCs w:val="32"/>
              </w:rPr>
              <w:t>–</w:t>
            </w:r>
          </w:p>
        </w:tc>
        <w:tc>
          <w:tcPr>
            <w:tcW w:w="861" w:type="dxa"/>
            <w:noWrap/>
            <w:hideMark/>
          </w:tcPr>
          <w:p w14:paraId="52C4EDE6" w14:textId="77777777" w:rsidR="00EE5BB8" w:rsidRPr="006232BC" w:rsidRDefault="00EE5BB8" w:rsidP="006232BC">
            <w:pPr>
              <w:pStyle w:val="TableCopy"/>
              <w:jc w:val="right"/>
              <w:rPr>
                <w:sz w:val="18"/>
                <w:szCs w:val="32"/>
              </w:rPr>
            </w:pPr>
            <w:r w:rsidRPr="006232BC">
              <w:rPr>
                <w:sz w:val="18"/>
                <w:szCs w:val="32"/>
              </w:rPr>
              <w:t>–</w:t>
            </w:r>
          </w:p>
        </w:tc>
        <w:tc>
          <w:tcPr>
            <w:tcW w:w="862" w:type="dxa"/>
            <w:noWrap/>
            <w:hideMark/>
          </w:tcPr>
          <w:p w14:paraId="67E78331"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37A0EB8F"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337990FC"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59BBEAB0" w14:textId="77777777" w:rsidR="00EE5BB8" w:rsidRPr="006232BC" w:rsidRDefault="00EE5BB8" w:rsidP="006232BC">
            <w:pPr>
              <w:pStyle w:val="TableCopy"/>
              <w:jc w:val="right"/>
              <w:rPr>
                <w:sz w:val="18"/>
                <w:szCs w:val="32"/>
              </w:rPr>
            </w:pPr>
            <w:r w:rsidRPr="006232BC">
              <w:rPr>
                <w:sz w:val="18"/>
                <w:szCs w:val="32"/>
              </w:rPr>
              <w:t>(48,308)</w:t>
            </w:r>
          </w:p>
        </w:tc>
        <w:tc>
          <w:tcPr>
            <w:tcW w:w="935" w:type="dxa"/>
            <w:noWrap/>
            <w:hideMark/>
          </w:tcPr>
          <w:p w14:paraId="1927454C" w14:textId="77777777" w:rsidR="00EE5BB8" w:rsidRPr="006232BC" w:rsidRDefault="00EE5BB8" w:rsidP="006232BC">
            <w:pPr>
              <w:pStyle w:val="TableCopy"/>
              <w:jc w:val="right"/>
              <w:rPr>
                <w:sz w:val="18"/>
                <w:szCs w:val="32"/>
              </w:rPr>
            </w:pPr>
            <w:r w:rsidRPr="006232BC">
              <w:rPr>
                <w:sz w:val="18"/>
                <w:szCs w:val="32"/>
              </w:rPr>
              <w:t>–</w:t>
            </w:r>
          </w:p>
        </w:tc>
      </w:tr>
      <w:tr w:rsidR="006232BC" w:rsidRPr="006232BC" w14:paraId="7AD30028" w14:textId="77777777" w:rsidTr="00291743">
        <w:tc>
          <w:tcPr>
            <w:tcW w:w="1691" w:type="dxa"/>
            <w:hideMark/>
          </w:tcPr>
          <w:p w14:paraId="3E2BEF3C" w14:textId="3624B6B5" w:rsidR="00EE5BB8" w:rsidRPr="006232BC" w:rsidRDefault="00EE5BB8" w:rsidP="0063097D">
            <w:pPr>
              <w:pStyle w:val="TableCopy"/>
              <w:rPr>
                <w:sz w:val="18"/>
                <w:szCs w:val="32"/>
              </w:rPr>
            </w:pPr>
            <w:r w:rsidRPr="006232BC">
              <w:rPr>
                <w:sz w:val="18"/>
                <w:szCs w:val="32"/>
              </w:rPr>
              <w:t>Transfers</w:t>
            </w:r>
            <w:r w:rsidR="00177848" w:rsidRPr="006232BC">
              <w:rPr>
                <w:sz w:val="18"/>
                <w:szCs w:val="32"/>
              </w:rPr>
              <w:t xml:space="preserve"> </w:t>
            </w:r>
            <w:r w:rsidRPr="006232BC">
              <w:rPr>
                <w:sz w:val="18"/>
                <w:szCs w:val="32"/>
              </w:rPr>
              <w:t>between</w:t>
            </w:r>
            <w:r w:rsidR="00177848" w:rsidRPr="006232BC">
              <w:rPr>
                <w:sz w:val="18"/>
                <w:szCs w:val="32"/>
              </w:rPr>
              <w:t xml:space="preserve"> </w:t>
            </w:r>
            <w:r w:rsidRPr="006232BC">
              <w:rPr>
                <w:sz w:val="18"/>
                <w:szCs w:val="32"/>
              </w:rPr>
              <w:t>classes</w:t>
            </w:r>
          </w:p>
        </w:tc>
        <w:tc>
          <w:tcPr>
            <w:tcW w:w="794" w:type="dxa"/>
            <w:noWrap/>
            <w:hideMark/>
          </w:tcPr>
          <w:p w14:paraId="3685A83D" w14:textId="77777777" w:rsidR="00EE5BB8" w:rsidRPr="006232BC" w:rsidRDefault="00EE5BB8" w:rsidP="006232BC">
            <w:pPr>
              <w:pStyle w:val="TableCopy"/>
              <w:jc w:val="right"/>
              <w:rPr>
                <w:sz w:val="18"/>
                <w:szCs w:val="32"/>
              </w:rPr>
            </w:pPr>
            <w:r w:rsidRPr="006232BC">
              <w:rPr>
                <w:sz w:val="18"/>
                <w:szCs w:val="32"/>
              </w:rPr>
              <w:t>–</w:t>
            </w:r>
          </w:p>
        </w:tc>
        <w:tc>
          <w:tcPr>
            <w:tcW w:w="907" w:type="dxa"/>
            <w:noWrap/>
            <w:hideMark/>
          </w:tcPr>
          <w:p w14:paraId="40940507" w14:textId="77777777" w:rsidR="00EE5BB8" w:rsidRPr="006232BC" w:rsidRDefault="00EE5BB8" w:rsidP="006232BC">
            <w:pPr>
              <w:pStyle w:val="TableCopy"/>
              <w:jc w:val="right"/>
              <w:rPr>
                <w:sz w:val="18"/>
                <w:szCs w:val="32"/>
              </w:rPr>
            </w:pPr>
            <w:r w:rsidRPr="006232BC">
              <w:rPr>
                <w:sz w:val="18"/>
                <w:szCs w:val="32"/>
              </w:rPr>
              <w:t>–</w:t>
            </w:r>
          </w:p>
        </w:tc>
        <w:tc>
          <w:tcPr>
            <w:tcW w:w="935" w:type="dxa"/>
            <w:noWrap/>
            <w:hideMark/>
          </w:tcPr>
          <w:p w14:paraId="0991A15B" w14:textId="77777777" w:rsidR="00EE5BB8" w:rsidRPr="006232BC" w:rsidRDefault="00EE5BB8" w:rsidP="006232BC">
            <w:pPr>
              <w:pStyle w:val="TableCopy"/>
              <w:jc w:val="right"/>
              <w:rPr>
                <w:sz w:val="18"/>
                <w:szCs w:val="32"/>
              </w:rPr>
            </w:pPr>
            <w:r w:rsidRPr="006232BC">
              <w:rPr>
                <w:sz w:val="18"/>
                <w:szCs w:val="32"/>
              </w:rPr>
              <w:t>5,663</w:t>
            </w:r>
          </w:p>
        </w:tc>
        <w:tc>
          <w:tcPr>
            <w:tcW w:w="935" w:type="dxa"/>
            <w:noWrap/>
            <w:hideMark/>
          </w:tcPr>
          <w:p w14:paraId="32E7E24C" w14:textId="77777777" w:rsidR="00EE5BB8" w:rsidRPr="006232BC" w:rsidRDefault="00EE5BB8" w:rsidP="006232BC">
            <w:pPr>
              <w:pStyle w:val="TableCopy"/>
              <w:jc w:val="right"/>
              <w:rPr>
                <w:sz w:val="18"/>
                <w:szCs w:val="32"/>
              </w:rPr>
            </w:pPr>
            <w:r w:rsidRPr="006232BC">
              <w:rPr>
                <w:sz w:val="18"/>
                <w:szCs w:val="32"/>
              </w:rPr>
              <w:t>2,859</w:t>
            </w:r>
          </w:p>
        </w:tc>
        <w:tc>
          <w:tcPr>
            <w:tcW w:w="850" w:type="dxa"/>
            <w:noWrap/>
            <w:hideMark/>
          </w:tcPr>
          <w:p w14:paraId="04E146F8" w14:textId="77777777" w:rsidR="00EE5BB8" w:rsidRPr="006232BC" w:rsidRDefault="00EE5BB8" w:rsidP="006232BC">
            <w:pPr>
              <w:pStyle w:val="TableCopy"/>
              <w:jc w:val="right"/>
              <w:rPr>
                <w:sz w:val="18"/>
                <w:szCs w:val="32"/>
              </w:rPr>
            </w:pPr>
            <w:r w:rsidRPr="006232BC">
              <w:rPr>
                <w:sz w:val="18"/>
                <w:szCs w:val="32"/>
              </w:rPr>
              <w:t>4,463</w:t>
            </w:r>
          </w:p>
        </w:tc>
        <w:tc>
          <w:tcPr>
            <w:tcW w:w="850" w:type="dxa"/>
            <w:noWrap/>
            <w:hideMark/>
          </w:tcPr>
          <w:p w14:paraId="516C44E6" w14:textId="77777777" w:rsidR="00EE5BB8" w:rsidRPr="006232BC" w:rsidRDefault="00EE5BB8" w:rsidP="006232BC">
            <w:pPr>
              <w:pStyle w:val="TableCopy"/>
              <w:jc w:val="right"/>
              <w:rPr>
                <w:sz w:val="18"/>
                <w:szCs w:val="32"/>
              </w:rPr>
            </w:pPr>
            <w:r w:rsidRPr="006232BC">
              <w:rPr>
                <w:sz w:val="18"/>
                <w:szCs w:val="32"/>
              </w:rPr>
              <w:t>601</w:t>
            </w:r>
          </w:p>
        </w:tc>
        <w:tc>
          <w:tcPr>
            <w:tcW w:w="737" w:type="dxa"/>
            <w:noWrap/>
            <w:hideMark/>
          </w:tcPr>
          <w:p w14:paraId="419C1D39" w14:textId="77777777" w:rsidR="00EE5BB8" w:rsidRPr="006232BC" w:rsidRDefault="00EE5BB8" w:rsidP="006232BC">
            <w:pPr>
              <w:pStyle w:val="TableCopy"/>
              <w:jc w:val="right"/>
              <w:rPr>
                <w:sz w:val="18"/>
                <w:szCs w:val="32"/>
              </w:rPr>
            </w:pPr>
            <w:r w:rsidRPr="006232BC">
              <w:rPr>
                <w:sz w:val="18"/>
                <w:szCs w:val="32"/>
              </w:rPr>
              <w:t>121</w:t>
            </w:r>
          </w:p>
        </w:tc>
        <w:tc>
          <w:tcPr>
            <w:tcW w:w="737" w:type="dxa"/>
            <w:noWrap/>
            <w:hideMark/>
          </w:tcPr>
          <w:p w14:paraId="1D19DC3D" w14:textId="77777777" w:rsidR="00EE5BB8" w:rsidRPr="006232BC" w:rsidRDefault="00EE5BB8" w:rsidP="006232BC">
            <w:pPr>
              <w:pStyle w:val="TableCopy"/>
              <w:jc w:val="right"/>
              <w:rPr>
                <w:sz w:val="18"/>
                <w:szCs w:val="32"/>
              </w:rPr>
            </w:pPr>
            <w:r w:rsidRPr="006232BC">
              <w:rPr>
                <w:sz w:val="18"/>
                <w:szCs w:val="32"/>
              </w:rPr>
              <w:t>132</w:t>
            </w:r>
          </w:p>
        </w:tc>
        <w:tc>
          <w:tcPr>
            <w:tcW w:w="794" w:type="dxa"/>
            <w:noWrap/>
            <w:hideMark/>
          </w:tcPr>
          <w:p w14:paraId="0422E369"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497ADF0D" w14:textId="77777777" w:rsidR="00EE5BB8" w:rsidRPr="006232BC" w:rsidRDefault="00EE5BB8" w:rsidP="006232BC">
            <w:pPr>
              <w:pStyle w:val="TableCopy"/>
              <w:jc w:val="right"/>
              <w:rPr>
                <w:sz w:val="18"/>
                <w:szCs w:val="32"/>
              </w:rPr>
            </w:pPr>
            <w:r w:rsidRPr="006232BC">
              <w:rPr>
                <w:sz w:val="18"/>
                <w:szCs w:val="32"/>
              </w:rPr>
              <w:t>–</w:t>
            </w:r>
          </w:p>
        </w:tc>
        <w:tc>
          <w:tcPr>
            <w:tcW w:w="861" w:type="dxa"/>
            <w:noWrap/>
            <w:hideMark/>
          </w:tcPr>
          <w:p w14:paraId="09CBE080" w14:textId="77777777" w:rsidR="00EE5BB8" w:rsidRPr="006232BC" w:rsidRDefault="00EE5BB8" w:rsidP="006232BC">
            <w:pPr>
              <w:pStyle w:val="TableCopy"/>
              <w:jc w:val="right"/>
              <w:rPr>
                <w:sz w:val="18"/>
                <w:szCs w:val="32"/>
              </w:rPr>
            </w:pPr>
            <w:r w:rsidRPr="006232BC">
              <w:rPr>
                <w:sz w:val="18"/>
                <w:szCs w:val="32"/>
              </w:rPr>
              <w:t>(10,247)</w:t>
            </w:r>
          </w:p>
        </w:tc>
        <w:tc>
          <w:tcPr>
            <w:tcW w:w="862" w:type="dxa"/>
            <w:noWrap/>
            <w:hideMark/>
          </w:tcPr>
          <w:p w14:paraId="6D703BC1" w14:textId="77777777" w:rsidR="00EE5BB8" w:rsidRPr="006232BC" w:rsidRDefault="00EE5BB8" w:rsidP="006232BC">
            <w:pPr>
              <w:pStyle w:val="TableCopy"/>
              <w:jc w:val="right"/>
              <w:rPr>
                <w:sz w:val="18"/>
                <w:szCs w:val="32"/>
              </w:rPr>
            </w:pPr>
            <w:r w:rsidRPr="006232BC">
              <w:rPr>
                <w:sz w:val="18"/>
                <w:szCs w:val="32"/>
              </w:rPr>
              <w:t>(3,592)</w:t>
            </w:r>
          </w:p>
        </w:tc>
        <w:tc>
          <w:tcPr>
            <w:tcW w:w="794" w:type="dxa"/>
            <w:noWrap/>
            <w:hideMark/>
          </w:tcPr>
          <w:p w14:paraId="05B1503B"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7E5F974F"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343CB486" w14:textId="77777777" w:rsidR="00EE5BB8" w:rsidRPr="006232BC" w:rsidRDefault="00EE5BB8" w:rsidP="006232BC">
            <w:pPr>
              <w:pStyle w:val="TableCopy"/>
              <w:jc w:val="right"/>
              <w:rPr>
                <w:sz w:val="18"/>
                <w:szCs w:val="32"/>
              </w:rPr>
            </w:pPr>
            <w:r w:rsidRPr="006232BC">
              <w:rPr>
                <w:sz w:val="18"/>
                <w:szCs w:val="32"/>
              </w:rPr>
              <w:t>–</w:t>
            </w:r>
          </w:p>
        </w:tc>
        <w:tc>
          <w:tcPr>
            <w:tcW w:w="935" w:type="dxa"/>
            <w:noWrap/>
            <w:hideMark/>
          </w:tcPr>
          <w:p w14:paraId="17E65837" w14:textId="77777777" w:rsidR="00EE5BB8" w:rsidRPr="006232BC" w:rsidRDefault="00EE5BB8" w:rsidP="006232BC">
            <w:pPr>
              <w:pStyle w:val="TableCopy"/>
              <w:jc w:val="right"/>
              <w:rPr>
                <w:sz w:val="18"/>
                <w:szCs w:val="32"/>
              </w:rPr>
            </w:pPr>
            <w:r w:rsidRPr="006232BC">
              <w:rPr>
                <w:sz w:val="18"/>
                <w:szCs w:val="32"/>
              </w:rPr>
              <w:t>–</w:t>
            </w:r>
          </w:p>
        </w:tc>
      </w:tr>
      <w:tr w:rsidR="006232BC" w:rsidRPr="006232BC" w14:paraId="27990542" w14:textId="77777777" w:rsidTr="00291743">
        <w:tc>
          <w:tcPr>
            <w:tcW w:w="1691" w:type="dxa"/>
            <w:hideMark/>
          </w:tcPr>
          <w:p w14:paraId="0BB9F7FE" w14:textId="6891114A" w:rsidR="00EE5BB8" w:rsidRPr="006232BC" w:rsidRDefault="00EE5BB8" w:rsidP="0063097D">
            <w:pPr>
              <w:pStyle w:val="TableCopy"/>
              <w:rPr>
                <w:sz w:val="18"/>
                <w:szCs w:val="32"/>
              </w:rPr>
            </w:pPr>
            <w:r w:rsidRPr="006232BC">
              <w:rPr>
                <w:sz w:val="18"/>
                <w:szCs w:val="32"/>
              </w:rPr>
              <w:t>Transfers</w:t>
            </w:r>
            <w:r w:rsidR="00177848" w:rsidRPr="006232BC">
              <w:rPr>
                <w:sz w:val="18"/>
                <w:szCs w:val="32"/>
              </w:rPr>
              <w:t xml:space="preserve"> </w:t>
            </w:r>
            <w:r w:rsidRPr="006232BC">
              <w:rPr>
                <w:sz w:val="18"/>
                <w:szCs w:val="32"/>
              </w:rPr>
              <w:t>to</w:t>
            </w:r>
            <w:r w:rsidR="00177848" w:rsidRPr="006232BC">
              <w:rPr>
                <w:sz w:val="18"/>
                <w:szCs w:val="32"/>
              </w:rPr>
              <w:t xml:space="preserve"> </w:t>
            </w:r>
            <w:r w:rsidRPr="006232BC">
              <w:rPr>
                <w:sz w:val="18"/>
                <w:szCs w:val="32"/>
              </w:rPr>
              <w:t>classified</w:t>
            </w:r>
            <w:r w:rsidR="00177848" w:rsidRPr="006232BC">
              <w:rPr>
                <w:sz w:val="18"/>
                <w:szCs w:val="32"/>
              </w:rPr>
              <w:t xml:space="preserve"> </w:t>
            </w:r>
            <w:r w:rsidRPr="006232BC">
              <w:rPr>
                <w:sz w:val="18"/>
                <w:szCs w:val="32"/>
              </w:rPr>
              <w:t>as</w:t>
            </w:r>
            <w:r w:rsidR="00177848" w:rsidRPr="006232BC">
              <w:rPr>
                <w:sz w:val="18"/>
                <w:szCs w:val="32"/>
              </w:rPr>
              <w:t xml:space="preserve"> </w:t>
            </w:r>
            <w:r w:rsidRPr="006232BC">
              <w:rPr>
                <w:sz w:val="18"/>
                <w:szCs w:val="32"/>
              </w:rPr>
              <w:t>held</w:t>
            </w:r>
            <w:r w:rsidR="00177848" w:rsidRPr="006232BC">
              <w:rPr>
                <w:sz w:val="18"/>
                <w:szCs w:val="32"/>
              </w:rPr>
              <w:t xml:space="preserve"> </w:t>
            </w:r>
            <w:r w:rsidRPr="006232BC">
              <w:rPr>
                <w:sz w:val="18"/>
                <w:szCs w:val="32"/>
              </w:rPr>
              <w:t>for</w:t>
            </w:r>
            <w:r w:rsidR="00177848" w:rsidRPr="006232BC">
              <w:rPr>
                <w:sz w:val="18"/>
                <w:szCs w:val="32"/>
              </w:rPr>
              <w:t xml:space="preserve"> </w:t>
            </w:r>
            <w:r w:rsidRPr="006232BC">
              <w:rPr>
                <w:sz w:val="18"/>
                <w:szCs w:val="32"/>
              </w:rPr>
              <w:t>sale</w:t>
            </w:r>
          </w:p>
        </w:tc>
        <w:tc>
          <w:tcPr>
            <w:tcW w:w="794" w:type="dxa"/>
            <w:noWrap/>
            <w:hideMark/>
          </w:tcPr>
          <w:p w14:paraId="786B8FAE" w14:textId="77777777" w:rsidR="00EE5BB8" w:rsidRPr="006232BC" w:rsidRDefault="00EE5BB8" w:rsidP="006232BC">
            <w:pPr>
              <w:pStyle w:val="TableCopy"/>
              <w:jc w:val="right"/>
              <w:rPr>
                <w:sz w:val="18"/>
                <w:szCs w:val="32"/>
              </w:rPr>
            </w:pPr>
            <w:r w:rsidRPr="006232BC">
              <w:rPr>
                <w:sz w:val="18"/>
                <w:szCs w:val="32"/>
              </w:rPr>
              <w:t>(10,640)</w:t>
            </w:r>
          </w:p>
        </w:tc>
        <w:tc>
          <w:tcPr>
            <w:tcW w:w="907" w:type="dxa"/>
            <w:noWrap/>
            <w:hideMark/>
          </w:tcPr>
          <w:p w14:paraId="51740032" w14:textId="77777777" w:rsidR="00EE5BB8" w:rsidRPr="006232BC" w:rsidRDefault="00EE5BB8" w:rsidP="006232BC">
            <w:pPr>
              <w:pStyle w:val="TableCopy"/>
              <w:jc w:val="right"/>
              <w:rPr>
                <w:sz w:val="18"/>
                <w:szCs w:val="32"/>
              </w:rPr>
            </w:pPr>
            <w:r w:rsidRPr="006232BC">
              <w:rPr>
                <w:sz w:val="18"/>
                <w:szCs w:val="32"/>
              </w:rPr>
              <w:t>–</w:t>
            </w:r>
          </w:p>
        </w:tc>
        <w:tc>
          <w:tcPr>
            <w:tcW w:w="935" w:type="dxa"/>
            <w:noWrap/>
            <w:hideMark/>
          </w:tcPr>
          <w:p w14:paraId="6A384CE9" w14:textId="77777777" w:rsidR="00EE5BB8" w:rsidRPr="006232BC" w:rsidRDefault="00EE5BB8" w:rsidP="006232BC">
            <w:pPr>
              <w:pStyle w:val="TableCopy"/>
              <w:jc w:val="right"/>
              <w:rPr>
                <w:sz w:val="18"/>
                <w:szCs w:val="32"/>
              </w:rPr>
            </w:pPr>
            <w:r w:rsidRPr="006232BC">
              <w:rPr>
                <w:sz w:val="18"/>
                <w:szCs w:val="32"/>
              </w:rPr>
              <w:t>–</w:t>
            </w:r>
          </w:p>
        </w:tc>
        <w:tc>
          <w:tcPr>
            <w:tcW w:w="935" w:type="dxa"/>
            <w:noWrap/>
            <w:hideMark/>
          </w:tcPr>
          <w:p w14:paraId="0CEB832E" w14:textId="77777777" w:rsidR="00EE5BB8" w:rsidRPr="006232BC" w:rsidRDefault="00EE5BB8" w:rsidP="006232BC">
            <w:pPr>
              <w:pStyle w:val="TableCopy"/>
              <w:jc w:val="right"/>
              <w:rPr>
                <w:sz w:val="18"/>
                <w:szCs w:val="32"/>
              </w:rPr>
            </w:pPr>
            <w:r w:rsidRPr="006232BC">
              <w:rPr>
                <w:sz w:val="18"/>
                <w:szCs w:val="32"/>
              </w:rPr>
              <w:t>–</w:t>
            </w:r>
          </w:p>
        </w:tc>
        <w:tc>
          <w:tcPr>
            <w:tcW w:w="850" w:type="dxa"/>
            <w:noWrap/>
            <w:hideMark/>
          </w:tcPr>
          <w:p w14:paraId="42142AD7" w14:textId="77777777" w:rsidR="00EE5BB8" w:rsidRPr="006232BC" w:rsidRDefault="00EE5BB8" w:rsidP="006232BC">
            <w:pPr>
              <w:pStyle w:val="TableCopy"/>
              <w:jc w:val="right"/>
              <w:rPr>
                <w:sz w:val="18"/>
                <w:szCs w:val="32"/>
              </w:rPr>
            </w:pPr>
            <w:r w:rsidRPr="006232BC">
              <w:rPr>
                <w:sz w:val="18"/>
                <w:szCs w:val="32"/>
              </w:rPr>
              <w:t>–</w:t>
            </w:r>
          </w:p>
        </w:tc>
        <w:tc>
          <w:tcPr>
            <w:tcW w:w="850" w:type="dxa"/>
            <w:noWrap/>
            <w:hideMark/>
          </w:tcPr>
          <w:p w14:paraId="1ABC5D9D" w14:textId="77777777" w:rsidR="00EE5BB8" w:rsidRPr="006232BC" w:rsidRDefault="00EE5BB8" w:rsidP="006232BC">
            <w:pPr>
              <w:pStyle w:val="TableCopy"/>
              <w:jc w:val="right"/>
              <w:rPr>
                <w:sz w:val="18"/>
                <w:szCs w:val="32"/>
              </w:rPr>
            </w:pPr>
            <w:r w:rsidRPr="006232BC">
              <w:rPr>
                <w:sz w:val="18"/>
                <w:szCs w:val="32"/>
              </w:rPr>
              <w:t>–</w:t>
            </w:r>
          </w:p>
        </w:tc>
        <w:tc>
          <w:tcPr>
            <w:tcW w:w="737" w:type="dxa"/>
            <w:noWrap/>
            <w:hideMark/>
          </w:tcPr>
          <w:p w14:paraId="47600BE7" w14:textId="77777777" w:rsidR="00EE5BB8" w:rsidRPr="006232BC" w:rsidRDefault="00EE5BB8" w:rsidP="006232BC">
            <w:pPr>
              <w:pStyle w:val="TableCopy"/>
              <w:jc w:val="right"/>
              <w:rPr>
                <w:sz w:val="18"/>
                <w:szCs w:val="32"/>
              </w:rPr>
            </w:pPr>
            <w:r w:rsidRPr="006232BC">
              <w:rPr>
                <w:sz w:val="18"/>
                <w:szCs w:val="32"/>
              </w:rPr>
              <w:t>–</w:t>
            </w:r>
          </w:p>
        </w:tc>
        <w:tc>
          <w:tcPr>
            <w:tcW w:w="737" w:type="dxa"/>
            <w:noWrap/>
            <w:hideMark/>
          </w:tcPr>
          <w:p w14:paraId="4AB57BC7"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2F5A597C" w14:textId="77777777" w:rsidR="00EE5BB8" w:rsidRPr="006232BC" w:rsidRDefault="00EE5BB8" w:rsidP="006232BC">
            <w:pPr>
              <w:pStyle w:val="TableCopy"/>
              <w:jc w:val="right"/>
              <w:rPr>
                <w:sz w:val="18"/>
                <w:szCs w:val="32"/>
              </w:rPr>
            </w:pPr>
            <w:r w:rsidRPr="006232BC">
              <w:rPr>
                <w:sz w:val="18"/>
                <w:szCs w:val="32"/>
              </w:rPr>
              <w:t>(97)</w:t>
            </w:r>
          </w:p>
        </w:tc>
        <w:tc>
          <w:tcPr>
            <w:tcW w:w="794" w:type="dxa"/>
            <w:noWrap/>
            <w:hideMark/>
          </w:tcPr>
          <w:p w14:paraId="3827BBDF" w14:textId="77777777" w:rsidR="00EE5BB8" w:rsidRPr="006232BC" w:rsidRDefault="00EE5BB8" w:rsidP="006232BC">
            <w:pPr>
              <w:pStyle w:val="TableCopy"/>
              <w:jc w:val="right"/>
              <w:rPr>
                <w:sz w:val="18"/>
                <w:szCs w:val="32"/>
              </w:rPr>
            </w:pPr>
            <w:r w:rsidRPr="006232BC">
              <w:rPr>
                <w:sz w:val="18"/>
                <w:szCs w:val="32"/>
              </w:rPr>
              <w:t>(36)</w:t>
            </w:r>
          </w:p>
        </w:tc>
        <w:tc>
          <w:tcPr>
            <w:tcW w:w="861" w:type="dxa"/>
            <w:noWrap/>
            <w:hideMark/>
          </w:tcPr>
          <w:p w14:paraId="675F1AF9" w14:textId="77777777" w:rsidR="00EE5BB8" w:rsidRPr="006232BC" w:rsidRDefault="00EE5BB8" w:rsidP="006232BC">
            <w:pPr>
              <w:pStyle w:val="TableCopy"/>
              <w:jc w:val="right"/>
              <w:rPr>
                <w:sz w:val="18"/>
                <w:szCs w:val="32"/>
              </w:rPr>
            </w:pPr>
            <w:r w:rsidRPr="006232BC">
              <w:rPr>
                <w:sz w:val="18"/>
                <w:szCs w:val="32"/>
              </w:rPr>
              <w:t>–</w:t>
            </w:r>
          </w:p>
        </w:tc>
        <w:tc>
          <w:tcPr>
            <w:tcW w:w="862" w:type="dxa"/>
            <w:noWrap/>
            <w:hideMark/>
          </w:tcPr>
          <w:p w14:paraId="469AAECE"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3730E157"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69418B8A"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12930B2C" w14:textId="77777777" w:rsidR="00EE5BB8" w:rsidRPr="006232BC" w:rsidRDefault="00EE5BB8" w:rsidP="006232BC">
            <w:pPr>
              <w:pStyle w:val="TableCopy"/>
              <w:jc w:val="right"/>
              <w:rPr>
                <w:sz w:val="18"/>
                <w:szCs w:val="32"/>
              </w:rPr>
            </w:pPr>
            <w:r w:rsidRPr="006232BC">
              <w:rPr>
                <w:sz w:val="18"/>
                <w:szCs w:val="32"/>
              </w:rPr>
              <w:t>(10,737)</w:t>
            </w:r>
          </w:p>
        </w:tc>
        <w:tc>
          <w:tcPr>
            <w:tcW w:w="935" w:type="dxa"/>
            <w:noWrap/>
            <w:hideMark/>
          </w:tcPr>
          <w:p w14:paraId="2E2048E3" w14:textId="77777777" w:rsidR="00EE5BB8" w:rsidRPr="006232BC" w:rsidRDefault="00EE5BB8" w:rsidP="006232BC">
            <w:pPr>
              <w:pStyle w:val="TableCopy"/>
              <w:jc w:val="right"/>
              <w:rPr>
                <w:sz w:val="18"/>
                <w:szCs w:val="32"/>
              </w:rPr>
            </w:pPr>
            <w:r w:rsidRPr="006232BC">
              <w:rPr>
                <w:sz w:val="18"/>
                <w:szCs w:val="32"/>
              </w:rPr>
              <w:t>(36)</w:t>
            </w:r>
          </w:p>
        </w:tc>
      </w:tr>
      <w:tr w:rsidR="006232BC" w:rsidRPr="006232BC" w14:paraId="154AAE14" w14:textId="77777777" w:rsidTr="00291743">
        <w:tc>
          <w:tcPr>
            <w:tcW w:w="1691" w:type="dxa"/>
            <w:hideMark/>
          </w:tcPr>
          <w:p w14:paraId="346B71D2" w14:textId="00DF7713" w:rsidR="00EE5BB8" w:rsidRPr="006232BC" w:rsidRDefault="00EE5BB8" w:rsidP="0063097D">
            <w:pPr>
              <w:pStyle w:val="TableCopy"/>
              <w:rPr>
                <w:sz w:val="18"/>
                <w:szCs w:val="32"/>
              </w:rPr>
            </w:pPr>
            <w:r w:rsidRPr="006232BC">
              <w:rPr>
                <w:sz w:val="18"/>
                <w:szCs w:val="32"/>
              </w:rPr>
              <w:t>Revaluation</w:t>
            </w:r>
            <w:r w:rsidR="00177848" w:rsidRPr="006232BC">
              <w:rPr>
                <w:sz w:val="18"/>
                <w:szCs w:val="32"/>
              </w:rPr>
              <w:t xml:space="preserve"> </w:t>
            </w:r>
            <w:r w:rsidRPr="006232BC">
              <w:rPr>
                <w:sz w:val="18"/>
                <w:szCs w:val="32"/>
              </w:rPr>
              <w:t>increment/</w:t>
            </w:r>
            <w:r w:rsidR="00177848" w:rsidRPr="006232BC">
              <w:rPr>
                <w:sz w:val="18"/>
                <w:szCs w:val="32"/>
              </w:rPr>
              <w:t xml:space="preserve"> </w:t>
            </w:r>
            <w:r w:rsidRPr="006232BC">
              <w:rPr>
                <w:sz w:val="18"/>
                <w:szCs w:val="32"/>
              </w:rPr>
              <w:t>(decrement)</w:t>
            </w:r>
            <w:r w:rsidRPr="006232BC">
              <w:rPr>
                <w:sz w:val="18"/>
                <w:szCs w:val="32"/>
                <w:vertAlign w:val="superscript"/>
              </w:rPr>
              <w:t>(ii)</w:t>
            </w:r>
          </w:p>
        </w:tc>
        <w:tc>
          <w:tcPr>
            <w:tcW w:w="794" w:type="dxa"/>
            <w:noWrap/>
            <w:hideMark/>
          </w:tcPr>
          <w:p w14:paraId="18FA4BA6" w14:textId="77777777" w:rsidR="00EE5BB8" w:rsidRPr="006232BC" w:rsidRDefault="00EE5BB8" w:rsidP="006232BC">
            <w:pPr>
              <w:pStyle w:val="TableCopy"/>
              <w:jc w:val="right"/>
              <w:rPr>
                <w:sz w:val="18"/>
                <w:szCs w:val="32"/>
              </w:rPr>
            </w:pPr>
            <w:r w:rsidRPr="006232BC">
              <w:rPr>
                <w:sz w:val="18"/>
                <w:szCs w:val="32"/>
              </w:rPr>
              <w:t>(42,673)</w:t>
            </w:r>
          </w:p>
        </w:tc>
        <w:tc>
          <w:tcPr>
            <w:tcW w:w="907" w:type="dxa"/>
            <w:noWrap/>
            <w:hideMark/>
          </w:tcPr>
          <w:p w14:paraId="5534E849" w14:textId="77777777" w:rsidR="00EE5BB8" w:rsidRPr="006232BC" w:rsidRDefault="00EE5BB8" w:rsidP="006232BC">
            <w:pPr>
              <w:pStyle w:val="TableCopy"/>
              <w:jc w:val="right"/>
              <w:rPr>
                <w:sz w:val="18"/>
                <w:szCs w:val="32"/>
              </w:rPr>
            </w:pPr>
            <w:r w:rsidRPr="006232BC">
              <w:rPr>
                <w:sz w:val="18"/>
                <w:szCs w:val="32"/>
              </w:rPr>
              <w:t>–</w:t>
            </w:r>
          </w:p>
        </w:tc>
        <w:tc>
          <w:tcPr>
            <w:tcW w:w="935" w:type="dxa"/>
            <w:noWrap/>
            <w:hideMark/>
          </w:tcPr>
          <w:p w14:paraId="69C00F36" w14:textId="77777777" w:rsidR="00EE5BB8" w:rsidRPr="006232BC" w:rsidRDefault="00EE5BB8" w:rsidP="006232BC">
            <w:pPr>
              <w:pStyle w:val="TableCopy"/>
              <w:jc w:val="right"/>
              <w:rPr>
                <w:sz w:val="18"/>
                <w:szCs w:val="32"/>
              </w:rPr>
            </w:pPr>
            <w:r w:rsidRPr="006232BC">
              <w:rPr>
                <w:sz w:val="18"/>
                <w:szCs w:val="32"/>
              </w:rPr>
              <w:t>–</w:t>
            </w:r>
          </w:p>
        </w:tc>
        <w:tc>
          <w:tcPr>
            <w:tcW w:w="935" w:type="dxa"/>
            <w:noWrap/>
            <w:hideMark/>
          </w:tcPr>
          <w:p w14:paraId="08146A87" w14:textId="77777777" w:rsidR="00EE5BB8" w:rsidRPr="006232BC" w:rsidRDefault="00EE5BB8" w:rsidP="006232BC">
            <w:pPr>
              <w:pStyle w:val="TableCopy"/>
              <w:jc w:val="right"/>
              <w:rPr>
                <w:sz w:val="18"/>
                <w:szCs w:val="32"/>
              </w:rPr>
            </w:pPr>
            <w:r w:rsidRPr="006232BC">
              <w:rPr>
                <w:sz w:val="18"/>
                <w:szCs w:val="32"/>
              </w:rPr>
              <w:t>–</w:t>
            </w:r>
          </w:p>
        </w:tc>
        <w:tc>
          <w:tcPr>
            <w:tcW w:w="850" w:type="dxa"/>
            <w:noWrap/>
            <w:hideMark/>
          </w:tcPr>
          <w:p w14:paraId="124783B4" w14:textId="77777777" w:rsidR="00EE5BB8" w:rsidRPr="006232BC" w:rsidRDefault="00EE5BB8" w:rsidP="006232BC">
            <w:pPr>
              <w:pStyle w:val="TableCopy"/>
              <w:jc w:val="right"/>
              <w:rPr>
                <w:sz w:val="18"/>
                <w:szCs w:val="32"/>
              </w:rPr>
            </w:pPr>
            <w:r w:rsidRPr="006232BC">
              <w:rPr>
                <w:sz w:val="18"/>
                <w:szCs w:val="32"/>
              </w:rPr>
              <w:t>–</w:t>
            </w:r>
          </w:p>
        </w:tc>
        <w:tc>
          <w:tcPr>
            <w:tcW w:w="850" w:type="dxa"/>
            <w:noWrap/>
            <w:hideMark/>
          </w:tcPr>
          <w:p w14:paraId="5C944EE1" w14:textId="77777777" w:rsidR="00EE5BB8" w:rsidRPr="006232BC" w:rsidRDefault="00EE5BB8" w:rsidP="006232BC">
            <w:pPr>
              <w:pStyle w:val="TableCopy"/>
              <w:jc w:val="right"/>
              <w:rPr>
                <w:sz w:val="18"/>
                <w:szCs w:val="32"/>
              </w:rPr>
            </w:pPr>
            <w:r w:rsidRPr="006232BC">
              <w:rPr>
                <w:sz w:val="18"/>
                <w:szCs w:val="32"/>
              </w:rPr>
              <w:t>–</w:t>
            </w:r>
          </w:p>
        </w:tc>
        <w:tc>
          <w:tcPr>
            <w:tcW w:w="737" w:type="dxa"/>
            <w:noWrap/>
            <w:hideMark/>
          </w:tcPr>
          <w:p w14:paraId="40A2FA4F" w14:textId="77777777" w:rsidR="00EE5BB8" w:rsidRPr="006232BC" w:rsidRDefault="00EE5BB8" w:rsidP="006232BC">
            <w:pPr>
              <w:pStyle w:val="TableCopy"/>
              <w:jc w:val="right"/>
              <w:rPr>
                <w:sz w:val="18"/>
                <w:szCs w:val="32"/>
              </w:rPr>
            </w:pPr>
            <w:r w:rsidRPr="006232BC">
              <w:rPr>
                <w:sz w:val="18"/>
                <w:szCs w:val="32"/>
              </w:rPr>
              <w:t>–</w:t>
            </w:r>
          </w:p>
        </w:tc>
        <w:tc>
          <w:tcPr>
            <w:tcW w:w="737" w:type="dxa"/>
            <w:noWrap/>
            <w:hideMark/>
          </w:tcPr>
          <w:p w14:paraId="47698A1B"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36E40CBE"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65C9B42E" w14:textId="77777777" w:rsidR="00EE5BB8" w:rsidRPr="006232BC" w:rsidRDefault="00EE5BB8" w:rsidP="006232BC">
            <w:pPr>
              <w:pStyle w:val="TableCopy"/>
              <w:jc w:val="right"/>
              <w:rPr>
                <w:sz w:val="18"/>
                <w:szCs w:val="32"/>
              </w:rPr>
            </w:pPr>
            <w:r w:rsidRPr="006232BC">
              <w:rPr>
                <w:sz w:val="18"/>
                <w:szCs w:val="32"/>
              </w:rPr>
              <w:t>–</w:t>
            </w:r>
          </w:p>
        </w:tc>
        <w:tc>
          <w:tcPr>
            <w:tcW w:w="861" w:type="dxa"/>
            <w:noWrap/>
            <w:hideMark/>
          </w:tcPr>
          <w:p w14:paraId="06123CC7" w14:textId="77777777" w:rsidR="00EE5BB8" w:rsidRPr="006232BC" w:rsidRDefault="00EE5BB8" w:rsidP="006232BC">
            <w:pPr>
              <w:pStyle w:val="TableCopy"/>
              <w:jc w:val="right"/>
              <w:rPr>
                <w:sz w:val="18"/>
                <w:szCs w:val="32"/>
              </w:rPr>
            </w:pPr>
            <w:r w:rsidRPr="006232BC">
              <w:rPr>
                <w:sz w:val="18"/>
                <w:szCs w:val="32"/>
              </w:rPr>
              <w:t>–</w:t>
            </w:r>
          </w:p>
        </w:tc>
        <w:tc>
          <w:tcPr>
            <w:tcW w:w="862" w:type="dxa"/>
            <w:noWrap/>
            <w:hideMark/>
          </w:tcPr>
          <w:p w14:paraId="04B25FA2"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4A0B8C50"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3812B753"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410FB1F6" w14:textId="77777777" w:rsidR="00EE5BB8" w:rsidRPr="006232BC" w:rsidRDefault="00EE5BB8" w:rsidP="006232BC">
            <w:pPr>
              <w:pStyle w:val="TableCopy"/>
              <w:jc w:val="right"/>
              <w:rPr>
                <w:sz w:val="18"/>
                <w:szCs w:val="32"/>
              </w:rPr>
            </w:pPr>
            <w:r w:rsidRPr="006232BC">
              <w:rPr>
                <w:sz w:val="18"/>
                <w:szCs w:val="32"/>
              </w:rPr>
              <w:t>(42,673)</w:t>
            </w:r>
          </w:p>
        </w:tc>
        <w:tc>
          <w:tcPr>
            <w:tcW w:w="935" w:type="dxa"/>
            <w:noWrap/>
            <w:hideMark/>
          </w:tcPr>
          <w:p w14:paraId="122AF6CC" w14:textId="77777777" w:rsidR="00EE5BB8" w:rsidRPr="006232BC" w:rsidRDefault="00EE5BB8" w:rsidP="006232BC">
            <w:pPr>
              <w:pStyle w:val="TableCopy"/>
              <w:jc w:val="right"/>
              <w:rPr>
                <w:sz w:val="18"/>
                <w:szCs w:val="32"/>
              </w:rPr>
            </w:pPr>
            <w:r w:rsidRPr="006232BC">
              <w:rPr>
                <w:sz w:val="18"/>
                <w:szCs w:val="32"/>
              </w:rPr>
              <w:t>–</w:t>
            </w:r>
          </w:p>
        </w:tc>
      </w:tr>
      <w:tr w:rsidR="006232BC" w:rsidRPr="006232BC" w14:paraId="0665BE47" w14:textId="77777777" w:rsidTr="00291743">
        <w:tc>
          <w:tcPr>
            <w:tcW w:w="1691" w:type="dxa"/>
            <w:hideMark/>
          </w:tcPr>
          <w:p w14:paraId="6D04F10E" w14:textId="32E11A04" w:rsidR="00EE5BB8" w:rsidRPr="006232BC" w:rsidRDefault="00EE5BB8" w:rsidP="0063097D">
            <w:pPr>
              <w:pStyle w:val="TableCopy"/>
              <w:rPr>
                <w:sz w:val="18"/>
                <w:szCs w:val="32"/>
              </w:rPr>
            </w:pPr>
            <w:r w:rsidRPr="006232BC">
              <w:rPr>
                <w:sz w:val="18"/>
                <w:szCs w:val="32"/>
              </w:rPr>
              <w:t>Depreciation</w:t>
            </w:r>
            <w:r w:rsidR="00177848" w:rsidRPr="006232BC">
              <w:rPr>
                <w:sz w:val="18"/>
                <w:szCs w:val="32"/>
              </w:rPr>
              <w:t xml:space="preserve"> </w:t>
            </w:r>
            <w:r w:rsidRPr="006232BC">
              <w:rPr>
                <w:sz w:val="18"/>
                <w:szCs w:val="32"/>
              </w:rPr>
              <w:t>expense</w:t>
            </w:r>
          </w:p>
        </w:tc>
        <w:tc>
          <w:tcPr>
            <w:tcW w:w="794" w:type="dxa"/>
            <w:noWrap/>
            <w:hideMark/>
          </w:tcPr>
          <w:p w14:paraId="71A0A456" w14:textId="77777777" w:rsidR="00EE5BB8" w:rsidRPr="006232BC" w:rsidRDefault="00EE5BB8" w:rsidP="006232BC">
            <w:pPr>
              <w:pStyle w:val="TableCopy"/>
              <w:jc w:val="right"/>
              <w:rPr>
                <w:sz w:val="18"/>
                <w:szCs w:val="32"/>
              </w:rPr>
            </w:pPr>
            <w:r w:rsidRPr="006232BC">
              <w:rPr>
                <w:sz w:val="18"/>
                <w:szCs w:val="32"/>
              </w:rPr>
              <w:t>–</w:t>
            </w:r>
          </w:p>
        </w:tc>
        <w:tc>
          <w:tcPr>
            <w:tcW w:w="907" w:type="dxa"/>
            <w:noWrap/>
            <w:hideMark/>
          </w:tcPr>
          <w:p w14:paraId="3ACD79FE" w14:textId="77777777" w:rsidR="00EE5BB8" w:rsidRPr="006232BC" w:rsidRDefault="00EE5BB8" w:rsidP="006232BC">
            <w:pPr>
              <w:pStyle w:val="TableCopy"/>
              <w:jc w:val="right"/>
              <w:rPr>
                <w:sz w:val="18"/>
                <w:szCs w:val="32"/>
              </w:rPr>
            </w:pPr>
            <w:r w:rsidRPr="006232BC">
              <w:rPr>
                <w:sz w:val="18"/>
                <w:szCs w:val="32"/>
              </w:rPr>
              <w:t>–</w:t>
            </w:r>
          </w:p>
        </w:tc>
        <w:tc>
          <w:tcPr>
            <w:tcW w:w="935" w:type="dxa"/>
            <w:noWrap/>
            <w:hideMark/>
          </w:tcPr>
          <w:p w14:paraId="77CDDDC3" w14:textId="77777777" w:rsidR="00EE5BB8" w:rsidRPr="006232BC" w:rsidRDefault="00EE5BB8" w:rsidP="006232BC">
            <w:pPr>
              <w:pStyle w:val="TableCopy"/>
              <w:jc w:val="right"/>
              <w:rPr>
                <w:sz w:val="18"/>
                <w:szCs w:val="32"/>
              </w:rPr>
            </w:pPr>
            <w:r w:rsidRPr="006232BC">
              <w:rPr>
                <w:sz w:val="18"/>
                <w:szCs w:val="32"/>
              </w:rPr>
              <w:t>(11,019)</w:t>
            </w:r>
          </w:p>
        </w:tc>
        <w:tc>
          <w:tcPr>
            <w:tcW w:w="935" w:type="dxa"/>
            <w:noWrap/>
            <w:hideMark/>
          </w:tcPr>
          <w:p w14:paraId="2FC16F89" w14:textId="77777777" w:rsidR="00EE5BB8" w:rsidRPr="006232BC" w:rsidRDefault="00EE5BB8" w:rsidP="006232BC">
            <w:pPr>
              <w:pStyle w:val="TableCopy"/>
              <w:jc w:val="right"/>
              <w:rPr>
                <w:sz w:val="18"/>
                <w:szCs w:val="32"/>
              </w:rPr>
            </w:pPr>
            <w:r w:rsidRPr="006232BC">
              <w:rPr>
                <w:sz w:val="18"/>
                <w:szCs w:val="32"/>
              </w:rPr>
              <w:t>(10,275)</w:t>
            </w:r>
          </w:p>
        </w:tc>
        <w:tc>
          <w:tcPr>
            <w:tcW w:w="850" w:type="dxa"/>
            <w:noWrap/>
            <w:hideMark/>
          </w:tcPr>
          <w:p w14:paraId="2AE0B19D" w14:textId="77777777" w:rsidR="00EE5BB8" w:rsidRPr="006232BC" w:rsidRDefault="00EE5BB8" w:rsidP="006232BC">
            <w:pPr>
              <w:pStyle w:val="TableCopy"/>
              <w:jc w:val="right"/>
              <w:rPr>
                <w:sz w:val="18"/>
                <w:szCs w:val="32"/>
              </w:rPr>
            </w:pPr>
            <w:r w:rsidRPr="006232BC">
              <w:rPr>
                <w:sz w:val="18"/>
                <w:szCs w:val="32"/>
              </w:rPr>
              <w:t>(2,013)</w:t>
            </w:r>
          </w:p>
        </w:tc>
        <w:tc>
          <w:tcPr>
            <w:tcW w:w="850" w:type="dxa"/>
            <w:noWrap/>
            <w:hideMark/>
          </w:tcPr>
          <w:p w14:paraId="090A9B85" w14:textId="77777777" w:rsidR="00EE5BB8" w:rsidRPr="006232BC" w:rsidRDefault="00EE5BB8" w:rsidP="006232BC">
            <w:pPr>
              <w:pStyle w:val="TableCopy"/>
              <w:jc w:val="right"/>
              <w:rPr>
                <w:sz w:val="18"/>
                <w:szCs w:val="32"/>
              </w:rPr>
            </w:pPr>
            <w:r w:rsidRPr="006232BC">
              <w:rPr>
                <w:sz w:val="18"/>
                <w:szCs w:val="32"/>
              </w:rPr>
              <w:t>(1,999)</w:t>
            </w:r>
          </w:p>
        </w:tc>
        <w:tc>
          <w:tcPr>
            <w:tcW w:w="737" w:type="dxa"/>
            <w:noWrap/>
            <w:hideMark/>
          </w:tcPr>
          <w:p w14:paraId="76FCFBBB" w14:textId="77777777" w:rsidR="00EE5BB8" w:rsidRPr="006232BC" w:rsidRDefault="00EE5BB8" w:rsidP="006232BC">
            <w:pPr>
              <w:pStyle w:val="TableCopy"/>
              <w:jc w:val="right"/>
              <w:rPr>
                <w:sz w:val="18"/>
                <w:szCs w:val="32"/>
              </w:rPr>
            </w:pPr>
            <w:r w:rsidRPr="006232BC">
              <w:rPr>
                <w:sz w:val="18"/>
                <w:szCs w:val="32"/>
              </w:rPr>
              <w:t>(291)</w:t>
            </w:r>
          </w:p>
        </w:tc>
        <w:tc>
          <w:tcPr>
            <w:tcW w:w="737" w:type="dxa"/>
            <w:noWrap/>
            <w:hideMark/>
          </w:tcPr>
          <w:p w14:paraId="62521A89" w14:textId="77777777" w:rsidR="00EE5BB8" w:rsidRPr="006232BC" w:rsidRDefault="00EE5BB8" w:rsidP="006232BC">
            <w:pPr>
              <w:pStyle w:val="TableCopy"/>
              <w:jc w:val="right"/>
              <w:rPr>
                <w:sz w:val="18"/>
                <w:szCs w:val="32"/>
              </w:rPr>
            </w:pPr>
            <w:r w:rsidRPr="006232BC">
              <w:rPr>
                <w:sz w:val="18"/>
                <w:szCs w:val="32"/>
              </w:rPr>
              <w:t>(284)</w:t>
            </w:r>
          </w:p>
        </w:tc>
        <w:tc>
          <w:tcPr>
            <w:tcW w:w="794" w:type="dxa"/>
            <w:noWrap/>
            <w:hideMark/>
          </w:tcPr>
          <w:p w14:paraId="02D0DF4D" w14:textId="77777777" w:rsidR="00EE5BB8" w:rsidRPr="006232BC" w:rsidRDefault="00EE5BB8" w:rsidP="006232BC">
            <w:pPr>
              <w:pStyle w:val="TableCopy"/>
              <w:jc w:val="right"/>
              <w:rPr>
                <w:sz w:val="18"/>
                <w:szCs w:val="32"/>
              </w:rPr>
            </w:pPr>
            <w:r w:rsidRPr="006232BC">
              <w:rPr>
                <w:sz w:val="18"/>
                <w:szCs w:val="32"/>
              </w:rPr>
              <w:t>(783)</w:t>
            </w:r>
          </w:p>
        </w:tc>
        <w:tc>
          <w:tcPr>
            <w:tcW w:w="794" w:type="dxa"/>
            <w:noWrap/>
            <w:hideMark/>
          </w:tcPr>
          <w:p w14:paraId="2213452C" w14:textId="77777777" w:rsidR="00EE5BB8" w:rsidRPr="006232BC" w:rsidRDefault="00EE5BB8" w:rsidP="006232BC">
            <w:pPr>
              <w:pStyle w:val="TableCopy"/>
              <w:jc w:val="right"/>
              <w:rPr>
                <w:sz w:val="18"/>
                <w:szCs w:val="32"/>
              </w:rPr>
            </w:pPr>
            <w:r w:rsidRPr="006232BC">
              <w:rPr>
                <w:sz w:val="18"/>
                <w:szCs w:val="32"/>
              </w:rPr>
              <w:t>(768)</w:t>
            </w:r>
          </w:p>
        </w:tc>
        <w:tc>
          <w:tcPr>
            <w:tcW w:w="861" w:type="dxa"/>
            <w:noWrap/>
            <w:hideMark/>
          </w:tcPr>
          <w:p w14:paraId="5851654E" w14:textId="77777777" w:rsidR="00EE5BB8" w:rsidRPr="006232BC" w:rsidRDefault="00EE5BB8" w:rsidP="006232BC">
            <w:pPr>
              <w:pStyle w:val="TableCopy"/>
              <w:jc w:val="right"/>
              <w:rPr>
                <w:sz w:val="18"/>
                <w:szCs w:val="32"/>
              </w:rPr>
            </w:pPr>
            <w:r w:rsidRPr="006232BC">
              <w:rPr>
                <w:sz w:val="18"/>
                <w:szCs w:val="32"/>
              </w:rPr>
              <w:t>–</w:t>
            </w:r>
          </w:p>
        </w:tc>
        <w:tc>
          <w:tcPr>
            <w:tcW w:w="862" w:type="dxa"/>
            <w:noWrap/>
            <w:hideMark/>
          </w:tcPr>
          <w:p w14:paraId="45A83448" w14:textId="77777777" w:rsidR="00EE5BB8" w:rsidRPr="006232BC" w:rsidRDefault="00EE5BB8" w:rsidP="006232BC">
            <w:pPr>
              <w:pStyle w:val="TableCopy"/>
              <w:jc w:val="right"/>
              <w:rPr>
                <w:sz w:val="18"/>
                <w:szCs w:val="32"/>
              </w:rPr>
            </w:pPr>
            <w:r w:rsidRPr="006232BC">
              <w:rPr>
                <w:sz w:val="18"/>
                <w:szCs w:val="32"/>
              </w:rPr>
              <w:t>–</w:t>
            </w:r>
          </w:p>
        </w:tc>
        <w:tc>
          <w:tcPr>
            <w:tcW w:w="794" w:type="dxa"/>
            <w:noWrap/>
            <w:hideMark/>
          </w:tcPr>
          <w:p w14:paraId="60EA8AEA" w14:textId="77777777" w:rsidR="00EE5BB8" w:rsidRPr="006232BC" w:rsidRDefault="00EE5BB8" w:rsidP="006232BC">
            <w:pPr>
              <w:pStyle w:val="TableCopy"/>
              <w:jc w:val="right"/>
              <w:rPr>
                <w:sz w:val="18"/>
                <w:szCs w:val="32"/>
              </w:rPr>
            </w:pPr>
            <w:r w:rsidRPr="006232BC">
              <w:rPr>
                <w:sz w:val="18"/>
                <w:szCs w:val="32"/>
              </w:rPr>
              <w:t>(46)</w:t>
            </w:r>
          </w:p>
        </w:tc>
        <w:tc>
          <w:tcPr>
            <w:tcW w:w="794" w:type="dxa"/>
            <w:noWrap/>
            <w:hideMark/>
          </w:tcPr>
          <w:p w14:paraId="20E02E44" w14:textId="77777777" w:rsidR="00EE5BB8" w:rsidRPr="006232BC" w:rsidRDefault="00EE5BB8" w:rsidP="006232BC">
            <w:pPr>
              <w:pStyle w:val="TableCopy"/>
              <w:jc w:val="right"/>
              <w:rPr>
                <w:sz w:val="18"/>
                <w:szCs w:val="32"/>
              </w:rPr>
            </w:pPr>
            <w:r w:rsidRPr="006232BC">
              <w:rPr>
                <w:sz w:val="18"/>
                <w:szCs w:val="32"/>
              </w:rPr>
              <w:t>(46)</w:t>
            </w:r>
          </w:p>
        </w:tc>
        <w:tc>
          <w:tcPr>
            <w:tcW w:w="794" w:type="dxa"/>
            <w:noWrap/>
            <w:hideMark/>
          </w:tcPr>
          <w:p w14:paraId="535BB8D3" w14:textId="77777777" w:rsidR="00EE5BB8" w:rsidRPr="006232BC" w:rsidRDefault="00EE5BB8" w:rsidP="006232BC">
            <w:pPr>
              <w:pStyle w:val="TableCopy"/>
              <w:jc w:val="right"/>
              <w:rPr>
                <w:sz w:val="18"/>
                <w:szCs w:val="32"/>
              </w:rPr>
            </w:pPr>
            <w:r w:rsidRPr="006232BC">
              <w:rPr>
                <w:sz w:val="18"/>
                <w:szCs w:val="32"/>
              </w:rPr>
              <w:t>(14,152)</w:t>
            </w:r>
          </w:p>
        </w:tc>
        <w:tc>
          <w:tcPr>
            <w:tcW w:w="935" w:type="dxa"/>
            <w:noWrap/>
            <w:hideMark/>
          </w:tcPr>
          <w:p w14:paraId="00CE537E" w14:textId="77777777" w:rsidR="00EE5BB8" w:rsidRPr="006232BC" w:rsidRDefault="00EE5BB8" w:rsidP="006232BC">
            <w:pPr>
              <w:pStyle w:val="TableCopy"/>
              <w:jc w:val="right"/>
              <w:rPr>
                <w:sz w:val="18"/>
                <w:szCs w:val="32"/>
              </w:rPr>
            </w:pPr>
            <w:r w:rsidRPr="006232BC">
              <w:rPr>
                <w:sz w:val="18"/>
                <w:szCs w:val="32"/>
              </w:rPr>
              <w:t>(13,372)</w:t>
            </w:r>
          </w:p>
        </w:tc>
      </w:tr>
      <w:tr w:rsidR="006232BC" w:rsidRPr="006232BC" w14:paraId="6BF8D2E7" w14:textId="77777777" w:rsidTr="00291743">
        <w:tc>
          <w:tcPr>
            <w:tcW w:w="1691" w:type="dxa"/>
            <w:noWrap/>
            <w:hideMark/>
          </w:tcPr>
          <w:p w14:paraId="0841516F" w14:textId="7390F74B" w:rsidR="00EE5BB8" w:rsidRPr="006232BC" w:rsidRDefault="00EE5BB8" w:rsidP="0063097D">
            <w:pPr>
              <w:pStyle w:val="Tabletotal"/>
              <w:rPr>
                <w:sz w:val="18"/>
                <w:szCs w:val="32"/>
              </w:rPr>
            </w:pPr>
            <w:r w:rsidRPr="006232BC">
              <w:rPr>
                <w:sz w:val="18"/>
                <w:szCs w:val="32"/>
              </w:rPr>
              <w:lastRenderedPageBreak/>
              <w:t>Closing</w:t>
            </w:r>
            <w:r w:rsidR="00177848" w:rsidRPr="006232BC">
              <w:rPr>
                <w:sz w:val="18"/>
                <w:szCs w:val="32"/>
              </w:rPr>
              <w:t xml:space="preserve"> </w:t>
            </w:r>
            <w:r w:rsidRPr="006232BC">
              <w:rPr>
                <w:sz w:val="18"/>
                <w:szCs w:val="32"/>
              </w:rPr>
              <w:t>balance</w:t>
            </w:r>
          </w:p>
        </w:tc>
        <w:tc>
          <w:tcPr>
            <w:tcW w:w="794" w:type="dxa"/>
            <w:noWrap/>
            <w:hideMark/>
          </w:tcPr>
          <w:p w14:paraId="4CDDD1AB" w14:textId="77777777" w:rsidR="00EE5BB8" w:rsidRPr="006232BC" w:rsidRDefault="00EE5BB8" w:rsidP="006232BC">
            <w:pPr>
              <w:pStyle w:val="Tabletotal"/>
              <w:jc w:val="right"/>
              <w:rPr>
                <w:sz w:val="18"/>
                <w:szCs w:val="32"/>
              </w:rPr>
            </w:pPr>
            <w:r w:rsidRPr="006232BC">
              <w:rPr>
                <w:sz w:val="18"/>
                <w:szCs w:val="32"/>
              </w:rPr>
              <w:t>365,451</w:t>
            </w:r>
          </w:p>
        </w:tc>
        <w:tc>
          <w:tcPr>
            <w:tcW w:w="907" w:type="dxa"/>
            <w:noWrap/>
            <w:hideMark/>
          </w:tcPr>
          <w:p w14:paraId="74C16C7C" w14:textId="77777777" w:rsidR="00EE5BB8" w:rsidRPr="006232BC" w:rsidRDefault="00EE5BB8" w:rsidP="006232BC">
            <w:pPr>
              <w:pStyle w:val="Tabletotal"/>
              <w:jc w:val="right"/>
              <w:rPr>
                <w:sz w:val="18"/>
                <w:szCs w:val="32"/>
              </w:rPr>
            </w:pPr>
            <w:r w:rsidRPr="006232BC">
              <w:rPr>
                <w:sz w:val="18"/>
                <w:szCs w:val="32"/>
              </w:rPr>
              <w:t>398,620</w:t>
            </w:r>
          </w:p>
        </w:tc>
        <w:tc>
          <w:tcPr>
            <w:tcW w:w="935" w:type="dxa"/>
            <w:noWrap/>
            <w:hideMark/>
          </w:tcPr>
          <w:p w14:paraId="3B6BBB85" w14:textId="77777777" w:rsidR="00EE5BB8" w:rsidRPr="006232BC" w:rsidRDefault="00EE5BB8" w:rsidP="006232BC">
            <w:pPr>
              <w:pStyle w:val="Tabletotal"/>
              <w:jc w:val="right"/>
              <w:rPr>
                <w:sz w:val="18"/>
                <w:szCs w:val="32"/>
              </w:rPr>
            </w:pPr>
            <w:r w:rsidRPr="006232BC">
              <w:rPr>
                <w:sz w:val="18"/>
                <w:szCs w:val="32"/>
              </w:rPr>
              <w:t>114,777</w:t>
            </w:r>
          </w:p>
        </w:tc>
        <w:tc>
          <w:tcPr>
            <w:tcW w:w="935" w:type="dxa"/>
            <w:noWrap/>
            <w:hideMark/>
          </w:tcPr>
          <w:p w14:paraId="2F05BB81" w14:textId="77777777" w:rsidR="00EE5BB8" w:rsidRPr="006232BC" w:rsidRDefault="00EE5BB8" w:rsidP="006232BC">
            <w:pPr>
              <w:pStyle w:val="Tabletotal"/>
              <w:jc w:val="right"/>
              <w:rPr>
                <w:sz w:val="18"/>
                <w:szCs w:val="32"/>
              </w:rPr>
            </w:pPr>
            <w:r w:rsidRPr="006232BC">
              <w:rPr>
                <w:sz w:val="18"/>
                <w:szCs w:val="32"/>
              </w:rPr>
              <w:t>145,161</w:t>
            </w:r>
          </w:p>
        </w:tc>
        <w:tc>
          <w:tcPr>
            <w:tcW w:w="850" w:type="dxa"/>
            <w:noWrap/>
            <w:hideMark/>
          </w:tcPr>
          <w:p w14:paraId="09F703B5" w14:textId="77777777" w:rsidR="00EE5BB8" w:rsidRPr="006232BC" w:rsidRDefault="00EE5BB8" w:rsidP="006232BC">
            <w:pPr>
              <w:pStyle w:val="Tabletotal"/>
              <w:jc w:val="right"/>
              <w:rPr>
                <w:sz w:val="18"/>
                <w:szCs w:val="32"/>
              </w:rPr>
            </w:pPr>
            <w:r w:rsidRPr="006232BC">
              <w:rPr>
                <w:sz w:val="18"/>
                <w:szCs w:val="32"/>
              </w:rPr>
              <w:t>6,492</w:t>
            </w:r>
          </w:p>
        </w:tc>
        <w:tc>
          <w:tcPr>
            <w:tcW w:w="850" w:type="dxa"/>
            <w:noWrap/>
            <w:hideMark/>
          </w:tcPr>
          <w:p w14:paraId="6455E0F0" w14:textId="77777777" w:rsidR="00EE5BB8" w:rsidRPr="006232BC" w:rsidRDefault="00EE5BB8" w:rsidP="006232BC">
            <w:pPr>
              <w:pStyle w:val="Tabletotal"/>
              <w:jc w:val="right"/>
              <w:rPr>
                <w:sz w:val="18"/>
                <w:szCs w:val="32"/>
              </w:rPr>
            </w:pPr>
            <w:r w:rsidRPr="006232BC">
              <w:rPr>
                <w:sz w:val="18"/>
                <w:szCs w:val="32"/>
              </w:rPr>
              <w:t>5,876</w:t>
            </w:r>
          </w:p>
        </w:tc>
        <w:tc>
          <w:tcPr>
            <w:tcW w:w="737" w:type="dxa"/>
            <w:noWrap/>
            <w:hideMark/>
          </w:tcPr>
          <w:p w14:paraId="4DA33B24" w14:textId="77777777" w:rsidR="00EE5BB8" w:rsidRPr="006232BC" w:rsidRDefault="00EE5BB8" w:rsidP="006232BC">
            <w:pPr>
              <w:pStyle w:val="Tabletotal"/>
              <w:jc w:val="right"/>
              <w:rPr>
                <w:sz w:val="18"/>
                <w:szCs w:val="32"/>
              </w:rPr>
            </w:pPr>
            <w:r w:rsidRPr="006232BC">
              <w:rPr>
                <w:sz w:val="18"/>
                <w:szCs w:val="32"/>
              </w:rPr>
              <w:t>477</w:t>
            </w:r>
          </w:p>
        </w:tc>
        <w:tc>
          <w:tcPr>
            <w:tcW w:w="737" w:type="dxa"/>
            <w:noWrap/>
            <w:hideMark/>
          </w:tcPr>
          <w:p w14:paraId="0A20B9C2" w14:textId="77777777" w:rsidR="00EE5BB8" w:rsidRPr="006232BC" w:rsidRDefault="00EE5BB8" w:rsidP="006232BC">
            <w:pPr>
              <w:pStyle w:val="Tabletotal"/>
              <w:jc w:val="right"/>
              <w:rPr>
                <w:sz w:val="18"/>
                <w:szCs w:val="32"/>
              </w:rPr>
            </w:pPr>
            <w:r w:rsidRPr="006232BC">
              <w:rPr>
                <w:sz w:val="18"/>
                <w:szCs w:val="32"/>
              </w:rPr>
              <w:t>619</w:t>
            </w:r>
          </w:p>
        </w:tc>
        <w:tc>
          <w:tcPr>
            <w:tcW w:w="794" w:type="dxa"/>
            <w:noWrap/>
            <w:hideMark/>
          </w:tcPr>
          <w:p w14:paraId="24830D9D" w14:textId="77777777" w:rsidR="00EE5BB8" w:rsidRPr="006232BC" w:rsidRDefault="00EE5BB8" w:rsidP="006232BC">
            <w:pPr>
              <w:pStyle w:val="Tabletotal"/>
              <w:jc w:val="right"/>
              <w:rPr>
                <w:sz w:val="18"/>
                <w:szCs w:val="32"/>
              </w:rPr>
            </w:pPr>
            <w:r w:rsidRPr="006232BC">
              <w:rPr>
                <w:sz w:val="18"/>
                <w:szCs w:val="32"/>
              </w:rPr>
              <w:t>4,465</w:t>
            </w:r>
          </w:p>
        </w:tc>
        <w:tc>
          <w:tcPr>
            <w:tcW w:w="794" w:type="dxa"/>
            <w:noWrap/>
            <w:hideMark/>
          </w:tcPr>
          <w:p w14:paraId="52ADF41C" w14:textId="77777777" w:rsidR="00EE5BB8" w:rsidRPr="006232BC" w:rsidRDefault="00EE5BB8" w:rsidP="006232BC">
            <w:pPr>
              <w:pStyle w:val="Tabletotal"/>
              <w:jc w:val="right"/>
              <w:rPr>
                <w:sz w:val="18"/>
                <w:szCs w:val="32"/>
              </w:rPr>
            </w:pPr>
            <w:r w:rsidRPr="006232BC">
              <w:rPr>
                <w:sz w:val="18"/>
                <w:szCs w:val="32"/>
              </w:rPr>
              <w:t>4,052</w:t>
            </w:r>
          </w:p>
        </w:tc>
        <w:tc>
          <w:tcPr>
            <w:tcW w:w="861" w:type="dxa"/>
            <w:noWrap/>
            <w:hideMark/>
          </w:tcPr>
          <w:p w14:paraId="767AB939" w14:textId="77777777" w:rsidR="00EE5BB8" w:rsidRPr="006232BC" w:rsidRDefault="00EE5BB8" w:rsidP="006232BC">
            <w:pPr>
              <w:pStyle w:val="Tabletotal"/>
              <w:jc w:val="right"/>
              <w:rPr>
                <w:sz w:val="18"/>
                <w:szCs w:val="32"/>
              </w:rPr>
            </w:pPr>
            <w:r w:rsidRPr="006232BC">
              <w:rPr>
                <w:sz w:val="18"/>
                <w:szCs w:val="32"/>
              </w:rPr>
              <w:t>3,551</w:t>
            </w:r>
          </w:p>
        </w:tc>
        <w:tc>
          <w:tcPr>
            <w:tcW w:w="862" w:type="dxa"/>
            <w:noWrap/>
            <w:hideMark/>
          </w:tcPr>
          <w:p w14:paraId="5D20C4DA" w14:textId="77777777" w:rsidR="00EE5BB8" w:rsidRPr="006232BC" w:rsidRDefault="00EE5BB8" w:rsidP="006232BC">
            <w:pPr>
              <w:pStyle w:val="Tabletotal"/>
              <w:jc w:val="right"/>
              <w:rPr>
                <w:sz w:val="18"/>
                <w:szCs w:val="32"/>
              </w:rPr>
            </w:pPr>
            <w:r w:rsidRPr="006232BC">
              <w:rPr>
                <w:sz w:val="18"/>
                <w:szCs w:val="32"/>
              </w:rPr>
              <w:t>12,444</w:t>
            </w:r>
          </w:p>
        </w:tc>
        <w:tc>
          <w:tcPr>
            <w:tcW w:w="794" w:type="dxa"/>
            <w:noWrap/>
            <w:hideMark/>
          </w:tcPr>
          <w:p w14:paraId="4D2CD6DB" w14:textId="77777777" w:rsidR="00EE5BB8" w:rsidRPr="006232BC" w:rsidRDefault="00EE5BB8" w:rsidP="006232BC">
            <w:pPr>
              <w:pStyle w:val="Tabletotal"/>
              <w:jc w:val="right"/>
              <w:rPr>
                <w:sz w:val="18"/>
                <w:szCs w:val="32"/>
              </w:rPr>
            </w:pPr>
            <w:r w:rsidRPr="006232BC">
              <w:rPr>
                <w:sz w:val="18"/>
                <w:szCs w:val="32"/>
              </w:rPr>
              <w:t>2,634</w:t>
            </w:r>
          </w:p>
        </w:tc>
        <w:tc>
          <w:tcPr>
            <w:tcW w:w="794" w:type="dxa"/>
            <w:noWrap/>
            <w:hideMark/>
          </w:tcPr>
          <w:p w14:paraId="4C3B6C78" w14:textId="77777777" w:rsidR="00EE5BB8" w:rsidRPr="006232BC" w:rsidRDefault="00EE5BB8" w:rsidP="006232BC">
            <w:pPr>
              <w:pStyle w:val="Tabletotal"/>
              <w:jc w:val="right"/>
              <w:rPr>
                <w:sz w:val="18"/>
                <w:szCs w:val="32"/>
              </w:rPr>
            </w:pPr>
            <w:r w:rsidRPr="006232BC">
              <w:rPr>
                <w:sz w:val="18"/>
                <w:szCs w:val="32"/>
              </w:rPr>
              <w:t>2,680</w:t>
            </w:r>
          </w:p>
        </w:tc>
        <w:tc>
          <w:tcPr>
            <w:tcW w:w="794" w:type="dxa"/>
            <w:noWrap/>
            <w:hideMark/>
          </w:tcPr>
          <w:p w14:paraId="1EBD1A6D" w14:textId="77777777" w:rsidR="00EE5BB8" w:rsidRPr="006232BC" w:rsidRDefault="00EE5BB8" w:rsidP="006232BC">
            <w:pPr>
              <w:pStyle w:val="Tabletotal"/>
              <w:jc w:val="right"/>
              <w:rPr>
                <w:sz w:val="18"/>
                <w:szCs w:val="32"/>
              </w:rPr>
            </w:pPr>
            <w:r w:rsidRPr="006232BC">
              <w:rPr>
                <w:sz w:val="18"/>
                <w:szCs w:val="32"/>
              </w:rPr>
              <w:t>497,847</w:t>
            </w:r>
          </w:p>
        </w:tc>
        <w:tc>
          <w:tcPr>
            <w:tcW w:w="935" w:type="dxa"/>
            <w:noWrap/>
            <w:hideMark/>
          </w:tcPr>
          <w:p w14:paraId="57AB917A" w14:textId="77777777" w:rsidR="00EE5BB8" w:rsidRPr="006232BC" w:rsidRDefault="00EE5BB8" w:rsidP="006232BC">
            <w:pPr>
              <w:pStyle w:val="Tabletotal"/>
              <w:jc w:val="right"/>
              <w:rPr>
                <w:sz w:val="18"/>
                <w:szCs w:val="32"/>
              </w:rPr>
            </w:pPr>
            <w:r w:rsidRPr="006232BC">
              <w:rPr>
                <w:sz w:val="18"/>
                <w:szCs w:val="32"/>
              </w:rPr>
              <w:t>569,452</w:t>
            </w:r>
          </w:p>
        </w:tc>
      </w:tr>
    </w:tbl>
    <w:p w14:paraId="43BFE31A" w14:textId="0645E87F" w:rsidR="00EE5BB8" w:rsidRPr="00C6052E" w:rsidRDefault="00EE5BB8" w:rsidP="00EE5BB8">
      <w:pPr>
        <w:pStyle w:val="Tablenotes-numbered"/>
        <w:numPr>
          <w:ilvl w:val="0"/>
          <w:numId w:val="24"/>
        </w:numPr>
      </w:pPr>
      <w:r w:rsidRPr="00C6052E">
        <w:t>In</w:t>
      </w:r>
      <w:r w:rsidR="00177848" w:rsidRPr="00C6052E">
        <w:t xml:space="preserve"> </w:t>
      </w:r>
      <w:r w:rsidRPr="00C6052E">
        <w:t>the</w:t>
      </w:r>
      <w:r w:rsidR="00177848" w:rsidRPr="00C6052E">
        <w:t xml:space="preserve"> </w:t>
      </w:r>
      <w:r w:rsidRPr="00C6052E">
        <w:t>prior</w:t>
      </w:r>
      <w:r w:rsidR="00177848" w:rsidRPr="00C6052E">
        <w:t xml:space="preserve"> </w:t>
      </w:r>
      <w:r w:rsidRPr="00C6052E">
        <w:t>year,</w:t>
      </w:r>
      <w:r w:rsidR="00177848" w:rsidRPr="00C6052E">
        <w:t xml:space="preserve"> </w:t>
      </w:r>
      <w:r w:rsidRPr="00C6052E">
        <w:t>$470</w:t>
      </w:r>
      <w:r w:rsidR="00177848" w:rsidRPr="00C6052E">
        <w:t xml:space="preserve"> </w:t>
      </w:r>
      <w:r w:rsidRPr="00C6052E">
        <w:t>million</w:t>
      </w:r>
      <w:r w:rsidR="00177848" w:rsidRPr="00C6052E">
        <w:t xml:space="preserve"> </w:t>
      </w:r>
      <w:r w:rsidRPr="00C6052E">
        <w:t>of</w:t>
      </w:r>
      <w:r w:rsidR="00177848" w:rsidRPr="00C6052E">
        <w:t xml:space="preserve"> </w:t>
      </w:r>
      <w:r w:rsidRPr="00C6052E">
        <w:t>the</w:t>
      </w:r>
      <w:r w:rsidR="00177848" w:rsidRPr="00C6052E">
        <w:t xml:space="preserve"> </w:t>
      </w:r>
      <w:r w:rsidRPr="00C6052E">
        <w:t>net</w:t>
      </w:r>
      <w:r w:rsidR="00177848" w:rsidRPr="00C6052E">
        <w:t xml:space="preserve"> </w:t>
      </w:r>
      <w:r w:rsidRPr="00C6052E">
        <w:t>assets</w:t>
      </w:r>
      <w:r w:rsidR="00177848" w:rsidRPr="00C6052E">
        <w:t xml:space="preserve"> </w:t>
      </w:r>
      <w:r w:rsidRPr="00C6052E">
        <w:t>transferred</w:t>
      </w:r>
      <w:r w:rsidR="00177848" w:rsidRPr="00C6052E">
        <w:t xml:space="preserve"> </w:t>
      </w:r>
      <w:r w:rsidRPr="00C6052E">
        <w:t>out</w:t>
      </w:r>
      <w:r w:rsidR="00177848" w:rsidRPr="00C6052E">
        <w:t xml:space="preserve"> </w:t>
      </w:r>
      <w:r w:rsidRPr="00C6052E">
        <w:t>relates</w:t>
      </w:r>
      <w:r w:rsidR="00177848" w:rsidRPr="00C6052E">
        <w:t xml:space="preserve"> </w:t>
      </w:r>
      <w:r w:rsidRPr="00C6052E">
        <w:t>to</w:t>
      </w:r>
      <w:r w:rsidR="00177848" w:rsidRPr="00C6052E">
        <w:t xml:space="preserve"> </w:t>
      </w:r>
      <w:r w:rsidRPr="00C6052E">
        <w:t>a</w:t>
      </w:r>
      <w:r w:rsidR="00177848" w:rsidRPr="00C6052E">
        <w:t xml:space="preserve"> </w:t>
      </w:r>
      <w:r w:rsidRPr="00C6052E">
        <w:t>transfer</w:t>
      </w:r>
      <w:r w:rsidR="00177848" w:rsidRPr="00C6052E">
        <w:t xml:space="preserve"> </w:t>
      </w:r>
      <w:r w:rsidRPr="00C6052E">
        <w:t>from</w:t>
      </w:r>
      <w:r w:rsidR="00177848" w:rsidRPr="00C6052E">
        <w:t xml:space="preserve"> </w:t>
      </w:r>
      <w:r w:rsidRPr="00C6052E">
        <w:t>DJSIR</w:t>
      </w:r>
      <w:r w:rsidR="00177848" w:rsidRPr="00C6052E">
        <w:t xml:space="preserve"> </w:t>
      </w:r>
      <w:r w:rsidRPr="00C6052E">
        <w:t>via</w:t>
      </w:r>
      <w:r w:rsidR="00177848" w:rsidRPr="00C6052E">
        <w:t xml:space="preserve"> </w:t>
      </w:r>
      <w:r w:rsidRPr="00C6052E">
        <w:t>contributed</w:t>
      </w:r>
      <w:r w:rsidR="00177848" w:rsidRPr="00C6052E">
        <w:t xml:space="preserve"> </w:t>
      </w:r>
      <w:r w:rsidRPr="00C6052E">
        <w:t>capital</w:t>
      </w:r>
      <w:r w:rsidR="00177848" w:rsidRPr="00C6052E">
        <w:t xml:space="preserve"> </w:t>
      </w:r>
      <w:r w:rsidRPr="00C6052E">
        <w:t>to</w:t>
      </w:r>
      <w:r w:rsidR="00177848" w:rsidRPr="00C6052E">
        <w:t xml:space="preserve"> </w:t>
      </w:r>
      <w:r w:rsidRPr="00C6052E">
        <w:t>Department</w:t>
      </w:r>
      <w:r w:rsidR="00177848" w:rsidRPr="00C6052E">
        <w:t xml:space="preserve"> </w:t>
      </w:r>
      <w:r w:rsidRPr="00C6052E">
        <w:t>of</w:t>
      </w:r>
      <w:r w:rsidR="00177848" w:rsidRPr="00C6052E">
        <w:t xml:space="preserve"> </w:t>
      </w:r>
      <w:r w:rsidRPr="00C6052E">
        <w:t>Transport</w:t>
      </w:r>
      <w:r w:rsidR="00177848" w:rsidRPr="00C6052E">
        <w:t xml:space="preserve"> </w:t>
      </w:r>
      <w:r w:rsidRPr="00C6052E">
        <w:t>and</w:t>
      </w:r>
      <w:r w:rsidR="00177848" w:rsidRPr="00C6052E">
        <w:t xml:space="preserve"> </w:t>
      </w:r>
      <w:r w:rsidRPr="00C6052E">
        <w:t>Planning</w:t>
      </w:r>
      <w:r w:rsidR="00177848" w:rsidRPr="00C6052E">
        <w:t xml:space="preserve"> </w:t>
      </w:r>
      <w:r w:rsidRPr="00C6052E">
        <w:t>(DTP)</w:t>
      </w:r>
      <w:r w:rsidR="00177848" w:rsidRPr="00C6052E">
        <w:t xml:space="preserve"> </w:t>
      </w:r>
      <w:r w:rsidRPr="00C6052E">
        <w:t>by</w:t>
      </w:r>
      <w:r w:rsidR="00177848" w:rsidRPr="00C6052E">
        <w:t xml:space="preserve"> </w:t>
      </w:r>
      <w:r w:rsidRPr="00C6052E">
        <w:t>Order</w:t>
      </w:r>
      <w:r w:rsidR="00177848" w:rsidRPr="00C6052E">
        <w:t xml:space="preserve"> </w:t>
      </w:r>
      <w:r w:rsidRPr="00C6052E">
        <w:t>made</w:t>
      </w:r>
      <w:r w:rsidR="00177848" w:rsidRPr="00C6052E">
        <w:t xml:space="preserve"> </w:t>
      </w:r>
      <w:r w:rsidRPr="00C6052E">
        <w:t>under</w:t>
      </w:r>
      <w:r w:rsidR="00177848" w:rsidRPr="00C6052E">
        <w:t xml:space="preserve"> </w:t>
      </w:r>
      <w:r w:rsidRPr="00C6052E">
        <w:t>section</w:t>
      </w:r>
      <w:r w:rsidR="00177848" w:rsidRPr="00C6052E">
        <w:t xml:space="preserve"> </w:t>
      </w:r>
      <w:r w:rsidRPr="00C6052E">
        <w:t>41A</w:t>
      </w:r>
      <w:r w:rsidR="00177848" w:rsidRPr="00C6052E">
        <w:t xml:space="preserve"> </w:t>
      </w:r>
      <w:r w:rsidRPr="00C6052E">
        <w:t>of</w:t>
      </w:r>
      <w:r w:rsidR="00177848" w:rsidRPr="00C6052E">
        <w:t xml:space="preserve"> </w:t>
      </w:r>
      <w:r w:rsidRPr="00C6052E">
        <w:t>the</w:t>
      </w:r>
      <w:r w:rsidR="00177848" w:rsidRPr="00C6052E">
        <w:t xml:space="preserve"> </w:t>
      </w:r>
      <w:r w:rsidRPr="00C6052E">
        <w:t>Project</w:t>
      </w:r>
      <w:r w:rsidR="00177848" w:rsidRPr="00C6052E">
        <w:t xml:space="preserve"> </w:t>
      </w:r>
      <w:r w:rsidRPr="00C6052E">
        <w:t>Development</w:t>
      </w:r>
      <w:r w:rsidR="00177848" w:rsidRPr="00C6052E">
        <w:t xml:space="preserve"> </w:t>
      </w:r>
      <w:r w:rsidRPr="00C6052E">
        <w:t>and</w:t>
      </w:r>
      <w:r w:rsidR="00177848" w:rsidRPr="00C6052E">
        <w:t xml:space="preserve"> </w:t>
      </w:r>
      <w:r w:rsidRPr="00C6052E">
        <w:t>Construction</w:t>
      </w:r>
      <w:r w:rsidR="00177848" w:rsidRPr="00C6052E">
        <w:t xml:space="preserve"> </w:t>
      </w:r>
      <w:r w:rsidRPr="00C6052E">
        <w:t>Management</w:t>
      </w:r>
      <w:r w:rsidR="00177848" w:rsidRPr="00C6052E">
        <w:t xml:space="preserve"> </w:t>
      </w:r>
      <w:r w:rsidRPr="00C6052E">
        <w:t>Act</w:t>
      </w:r>
      <w:r w:rsidR="00177848" w:rsidRPr="00C6052E">
        <w:t xml:space="preserve"> </w:t>
      </w:r>
      <w:r w:rsidRPr="00C6052E">
        <w:t>1994,</w:t>
      </w:r>
      <w:r w:rsidR="00177848" w:rsidRPr="00C6052E">
        <w:t xml:space="preserve"> </w:t>
      </w:r>
      <w:r w:rsidRPr="00C6052E">
        <w:t>effective</w:t>
      </w:r>
      <w:r w:rsidR="00177848" w:rsidRPr="00C6052E">
        <w:t xml:space="preserve"> </w:t>
      </w:r>
      <w:r w:rsidRPr="00C6052E">
        <w:t>on</w:t>
      </w:r>
      <w:r w:rsidR="00177848" w:rsidRPr="00C6052E">
        <w:t xml:space="preserve"> </w:t>
      </w:r>
      <w:r w:rsidRPr="00C6052E">
        <w:t>1</w:t>
      </w:r>
      <w:r w:rsidR="00177848" w:rsidRPr="00C6052E">
        <w:t xml:space="preserve"> </w:t>
      </w:r>
      <w:r w:rsidRPr="00C6052E">
        <w:t>August</w:t>
      </w:r>
      <w:r w:rsidR="00177848" w:rsidRPr="00C6052E">
        <w:t xml:space="preserve"> </w:t>
      </w:r>
      <w:r w:rsidRPr="00C6052E">
        <w:t>2023.</w:t>
      </w:r>
      <w:r w:rsidR="00177848" w:rsidRPr="00C6052E">
        <w:t xml:space="preserve"> </w:t>
      </w:r>
    </w:p>
    <w:p w14:paraId="33782799" w14:textId="29BD7EA5" w:rsidR="00EE5BB8" w:rsidRPr="00C6052E" w:rsidRDefault="00EE5BB8" w:rsidP="00EE5BB8">
      <w:pPr>
        <w:pStyle w:val="Tablenotes-numbered"/>
        <w:numPr>
          <w:ilvl w:val="0"/>
          <w:numId w:val="24"/>
        </w:numPr>
      </w:pPr>
      <w:r w:rsidRPr="00C6052E">
        <w:t>Fair</w:t>
      </w:r>
      <w:r w:rsidR="00177848" w:rsidRPr="00C6052E">
        <w:t xml:space="preserve"> </w:t>
      </w:r>
      <w:r w:rsidRPr="00C6052E">
        <w:t>value</w:t>
      </w:r>
      <w:r w:rsidR="00177848" w:rsidRPr="00C6052E">
        <w:t xml:space="preserve"> </w:t>
      </w:r>
      <w:r w:rsidRPr="00C6052E">
        <w:t>assessments</w:t>
      </w:r>
      <w:r w:rsidR="00177848" w:rsidRPr="00C6052E">
        <w:t xml:space="preserve"> </w:t>
      </w:r>
      <w:r w:rsidRPr="00C6052E">
        <w:t>as</w:t>
      </w:r>
      <w:r w:rsidR="00177848" w:rsidRPr="00C6052E">
        <w:t xml:space="preserve"> </w:t>
      </w:r>
      <w:r w:rsidRPr="00C6052E">
        <w:t>at</w:t>
      </w:r>
      <w:r w:rsidR="00177848" w:rsidRPr="00C6052E">
        <w:t xml:space="preserve"> </w:t>
      </w:r>
      <w:r w:rsidRPr="00C6052E">
        <w:t>30</w:t>
      </w:r>
      <w:r w:rsidR="00177848" w:rsidRPr="00C6052E">
        <w:t xml:space="preserve"> </w:t>
      </w:r>
      <w:r w:rsidRPr="00C6052E">
        <w:t>June</w:t>
      </w:r>
      <w:r w:rsidR="00177848" w:rsidRPr="00C6052E">
        <w:t xml:space="preserve"> </w:t>
      </w:r>
      <w:r w:rsidRPr="00C6052E">
        <w:t>2025</w:t>
      </w:r>
      <w:r w:rsidR="00177848" w:rsidRPr="00C6052E">
        <w:t xml:space="preserve"> </w:t>
      </w:r>
      <w:r w:rsidRPr="00C6052E">
        <w:t>indicated</w:t>
      </w:r>
      <w:r w:rsidR="00177848" w:rsidRPr="00C6052E">
        <w:t xml:space="preserve"> </w:t>
      </w:r>
      <w:r w:rsidRPr="00C6052E">
        <w:t>no</w:t>
      </w:r>
      <w:r w:rsidR="00177848" w:rsidRPr="00C6052E">
        <w:t xml:space="preserve"> </w:t>
      </w:r>
      <w:r w:rsidRPr="00C6052E">
        <w:t>material</w:t>
      </w:r>
      <w:r w:rsidR="00177848" w:rsidRPr="00C6052E">
        <w:t xml:space="preserve"> </w:t>
      </w:r>
      <w:r w:rsidRPr="00C6052E">
        <w:t>movement</w:t>
      </w:r>
      <w:r w:rsidR="00177848" w:rsidRPr="00C6052E">
        <w:t xml:space="preserve"> </w:t>
      </w:r>
      <w:r w:rsidRPr="00C6052E">
        <w:t>for</w:t>
      </w:r>
      <w:r w:rsidR="00177848" w:rsidRPr="00C6052E">
        <w:t xml:space="preserve"> </w:t>
      </w:r>
      <w:r w:rsidRPr="00C6052E">
        <w:t>building</w:t>
      </w:r>
      <w:r w:rsidR="00177848" w:rsidRPr="00C6052E">
        <w:t xml:space="preserve"> </w:t>
      </w:r>
      <w:r w:rsidRPr="00C6052E">
        <w:t>assets</w:t>
      </w:r>
      <w:r w:rsidR="00177848" w:rsidRPr="00C6052E">
        <w:t xml:space="preserve"> </w:t>
      </w:r>
      <w:r w:rsidRPr="00C6052E">
        <w:t>and</w:t>
      </w:r>
      <w:r w:rsidR="00177848" w:rsidRPr="00C6052E">
        <w:t xml:space="preserve"> </w:t>
      </w:r>
      <w:r w:rsidRPr="00C6052E">
        <w:t>an</w:t>
      </w:r>
      <w:r w:rsidR="00177848" w:rsidRPr="00C6052E">
        <w:t xml:space="preserve"> </w:t>
      </w:r>
      <w:r w:rsidRPr="00C6052E">
        <w:t>11.29%</w:t>
      </w:r>
      <w:r w:rsidR="00177848" w:rsidRPr="00C6052E">
        <w:t xml:space="preserve"> </w:t>
      </w:r>
      <w:r w:rsidRPr="00C6052E">
        <w:t>decrease</w:t>
      </w:r>
      <w:r w:rsidR="00177848" w:rsidRPr="00C6052E">
        <w:t xml:space="preserve"> </w:t>
      </w:r>
      <w:r w:rsidRPr="00C6052E">
        <w:t>for</w:t>
      </w:r>
      <w:r w:rsidR="00177848" w:rsidRPr="00C6052E">
        <w:t xml:space="preserve"> </w:t>
      </w:r>
      <w:r w:rsidRPr="00C6052E">
        <w:t>land</w:t>
      </w:r>
      <w:r w:rsidR="00177848" w:rsidRPr="00C6052E">
        <w:t xml:space="preserve"> </w:t>
      </w:r>
      <w:r w:rsidRPr="00C6052E">
        <w:t>assets,</w:t>
      </w:r>
      <w:r w:rsidR="00177848" w:rsidRPr="00C6052E">
        <w:t xml:space="preserve"> </w:t>
      </w:r>
      <w:r w:rsidRPr="00C6052E">
        <w:t>for</w:t>
      </w:r>
      <w:r w:rsidR="00177848" w:rsidRPr="00C6052E">
        <w:t xml:space="preserve"> </w:t>
      </w:r>
      <w:r w:rsidRPr="00C6052E">
        <w:t>which</w:t>
      </w:r>
      <w:r w:rsidR="00177848" w:rsidRPr="00C6052E">
        <w:t xml:space="preserve"> </w:t>
      </w:r>
      <w:r w:rsidRPr="00C6052E">
        <w:t>a</w:t>
      </w:r>
      <w:r w:rsidR="00177848" w:rsidRPr="00C6052E">
        <w:t xml:space="preserve"> </w:t>
      </w:r>
      <w:r w:rsidRPr="00C6052E">
        <w:t>managerial</w:t>
      </w:r>
      <w:r w:rsidR="00177848" w:rsidRPr="00C6052E">
        <w:t xml:space="preserve"> </w:t>
      </w:r>
      <w:r w:rsidRPr="00C6052E">
        <w:t>adjustment</w:t>
      </w:r>
      <w:r w:rsidR="00177848" w:rsidRPr="00C6052E">
        <w:t xml:space="preserve"> </w:t>
      </w:r>
      <w:r w:rsidRPr="00C6052E">
        <w:t>has</w:t>
      </w:r>
      <w:r w:rsidR="00177848" w:rsidRPr="00C6052E">
        <w:t xml:space="preserve"> </w:t>
      </w:r>
      <w:r w:rsidRPr="00C6052E">
        <w:t>been</w:t>
      </w:r>
      <w:r w:rsidR="00177848" w:rsidRPr="00C6052E">
        <w:t xml:space="preserve"> </w:t>
      </w:r>
      <w:r w:rsidRPr="00C6052E">
        <w:t>recorded.</w:t>
      </w:r>
      <w:r w:rsidR="00177848" w:rsidRPr="00C6052E">
        <w:t xml:space="preserve"> </w:t>
      </w:r>
      <w:r w:rsidRPr="00C6052E">
        <w:t>The</w:t>
      </w:r>
      <w:r w:rsidR="00177848" w:rsidRPr="00C6052E">
        <w:t xml:space="preserve"> </w:t>
      </w:r>
      <w:r w:rsidRPr="00C6052E">
        <w:t>next</w:t>
      </w:r>
      <w:r w:rsidR="00177848" w:rsidRPr="00C6052E">
        <w:t xml:space="preserve"> </w:t>
      </w:r>
      <w:r w:rsidRPr="00C6052E">
        <w:t>scheduled</w:t>
      </w:r>
      <w:r w:rsidR="00177848" w:rsidRPr="00C6052E">
        <w:t xml:space="preserve"> </w:t>
      </w:r>
      <w:r w:rsidRPr="00C6052E">
        <w:t>full</w:t>
      </w:r>
      <w:r w:rsidR="00177848" w:rsidRPr="00C6052E">
        <w:t xml:space="preserve"> </w:t>
      </w:r>
      <w:r w:rsidRPr="00C6052E">
        <w:t>revaluation</w:t>
      </w:r>
      <w:r w:rsidR="00177848" w:rsidRPr="00C6052E">
        <w:t xml:space="preserve"> </w:t>
      </w:r>
      <w:r w:rsidRPr="00C6052E">
        <w:t>for</w:t>
      </w:r>
      <w:r w:rsidR="00177848" w:rsidRPr="00C6052E">
        <w:t xml:space="preserve"> </w:t>
      </w:r>
      <w:r w:rsidRPr="00C6052E">
        <w:t>this</w:t>
      </w:r>
      <w:r w:rsidR="00177848" w:rsidRPr="00C6052E">
        <w:t xml:space="preserve"> </w:t>
      </w:r>
      <w:r w:rsidRPr="00C6052E">
        <w:t>purpose</w:t>
      </w:r>
      <w:r w:rsidR="00177848" w:rsidRPr="00C6052E">
        <w:t xml:space="preserve"> </w:t>
      </w:r>
      <w:r w:rsidRPr="00C6052E">
        <w:t>group</w:t>
      </w:r>
      <w:r w:rsidR="00177848" w:rsidRPr="00C6052E">
        <w:t xml:space="preserve"> </w:t>
      </w:r>
      <w:r w:rsidRPr="00C6052E">
        <w:t>will</w:t>
      </w:r>
      <w:r w:rsidR="00177848" w:rsidRPr="00C6052E">
        <w:t xml:space="preserve"> </w:t>
      </w:r>
      <w:r w:rsidRPr="00C6052E">
        <w:t>be</w:t>
      </w:r>
      <w:r w:rsidR="00177848" w:rsidRPr="00C6052E">
        <w:t xml:space="preserve"> </w:t>
      </w:r>
      <w:r w:rsidRPr="00C6052E">
        <w:t>conducted</w:t>
      </w:r>
      <w:r w:rsidR="00177848" w:rsidRPr="00C6052E">
        <w:t xml:space="preserve"> </w:t>
      </w:r>
      <w:r w:rsidRPr="00C6052E">
        <w:t>in</w:t>
      </w:r>
      <w:r w:rsidR="00177848" w:rsidRPr="00C6052E">
        <w:t xml:space="preserve"> </w:t>
      </w:r>
      <w:r w:rsidRPr="00C6052E">
        <w:t>2026</w:t>
      </w:r>
      <w:r w:rsidR="00177848" w:rsidRPr="00C6052E">
        <w:t xml:space="preserve"> </w:t>
      </w:r>
      <w:r w:rsidRPr="00C6052E">
        <w:t>except</w:t>
      </w:r>
      <w:r w:rsidR="00177848" w:rsidRPr="00C6052E">
        <w:t xml:space="preserve"> </w:t>
      </w:r>
      <w:r w:rsidRPr="00C6052E">
        <w:t>for</w:t>
      </w:r>
      <w:r w:rsidR="00177848" w:rsidRPr="00C6052E">
        <w:t xml:space="preserve"> </w:t>
      </w:r>
      <w:r w:rsidRPr="00C6052E">
        <w:t>assets</w:t>
      </w:r>
      <w:r w:rsidR="00177848" w:rsidRPr="00C6052E">
        <w:t xml:space="preserve"> </w:t>
      </w:r>
      <w:r w:rsidRPr="00C6052E">
        <w:t>transferred</w:t>
      </w:r>
      <w:r w:rsidR="00177848" w:rsidRPr="00C6052E">
        <w:t xml:space="preserve"> </w:t>
      </w:r>
      <w:r w:rsidRPr="00C6052E">
        <w:t>in</w:t>
      </w:r>
      <w:r w:rsidR="00177848" w:rsidRPr="00C6052E">
        <w:t xml:space="preserve"> </w:t>
      </w:r>
      <w:r w:rsidRPr="00C6052E">
        <w:t>from</w:t>
      </w:r>
      <w:r w:rsidR="00177848" w:rsidRPr="00C6052E">
        <w:t xml:space="preserve"> </w:t>
      </w:r>
      <w:r w:rsidRPr="00C6052E">
        <w:t>Department</w:t>
      </w:r>
      <w:r w:rsidR="00177848" w:rsidRPr="00C6052E">
        <w:t xml:space="preserve"> </w:t>
      </w:r>
      <w:r w:rsidRPr="00C6052E">
        <w:t>of</w:t>
      </w:r>
      <w:r w:rsidR="00177848" w:rsidRPr="00C6052E">
        <w:t xml:space="preserve"> </w:t>
      </w:r>
      <w:r w:rsidRPr="00C6052E">
        <w:t>Education</w:t>
      </w:r>
      <w:r w:rsidR="00177848" w:rsidRPr="00C6052E">
        <w:t xml:space="preserve"> </w:t>
      </w:r>
      <w:r w:rsidRPr="00C6052E">
        <w:t>(DE)</w:t>
      </w:r>
      <w:r w:rsidR="00177848" w:rsidRPr="00C6052E">
        <w:t xml:space="preserve"> </w:t>
      </w:r>
      <w:r w:rsidRPr="00C6052E">
        <w:t>through</w:t>
      </w:r>
      <w:r w:rsidR="00177848" w:rsidRPr="00C6052E">
        <w:t xml:space="preserve"> </w:t>
      </w:r>
      <w:r w:rsidRPr="00C6052E">
        <w:t>the</w:t>
      </w:r>
      <w:r w:rsidR="00177848" w:rsidRPr="00C6052E">
        <w:t xml:space="preserve"> </w:t>
      </w:r>
      <w:r w:rsidRPr="00C6052E">
        <w:t>MOG,</w:t>
      </w:r>
      <w:r w:rsidR="00177848" w:rsidRPr="00C6052E">
        <w:t xml:space="preserve"> </w:t>
      </w:r>
      <w:r w:rsidRPr="00C6052E">
        <w:t>the</w:t>
      </w:r>
      <w:r w:rsidR="00177848" w:rsidRPr="00C6052E">
        <w:t xml:space="preserve"> </w:t>
      </w:r>
      <w:r w:rsidRPr="00C6052E">
        <w:t>existing</w:t>
      </w:r>
      <w:r w:rsidR="00177848" w:rsidRPr="00C6052E">
        <w:t xml:space="preserve"> </w:t>
      </w:r>
      <w:r w:rsidRPr="00C6052E">
        <w:t>revaluation</w:t>
      </w:r>
      <w:r w:rsidR="00177848" w:rsidRPr="00C6052E">
        <w:t xml:space="preserve"> </w:t>
      </w:r>
      <w:r w:rsidRPr="00C6052E">
        <w:t>cycle</w:t>
      </w:r>
      <w:r w:rsidR="00177848" w:rsidRPr="00C6052E">
        <w:t xml:space="preserve"> </w:t>
      </w:r>
      <w:r w:rsidRPr="00C6052E">
        <w:t>applicable</w:t>
      </w:r>
      <w:r w:rsidR="00177848" w:rsidRPr="00C6052E">
        <w:t xml:space="preserve"> </w:t>
      </w:r>
      <w:r w:rsidRPr="00C6052E">
        <w:t>to</w:t>
      </w:r>
      <w:r w:rsidR="00177848" w:rsidRPr="00C6052E">
        <w:t xml:space="preserve"> </w:t>
      </w:r>
      <w:r w:rsidRPr="00C6052E">
        <w:t>these</w:t>
      </w:r>
      <w:r w:rsidR="00177848" w:rsidRPr="00C6052E">
        <w:t xml:space="preserve"> </w:t>
      </w:r>
      <w:r w:rsidRPr="00C6052E">
        <w:t>assets</w:t>
      </w:r>
      <w:r w:rsidR="00177848" w:rsidRPr="00C6052E">
        <w:t xml:space="preserve"> </w:t>
      </w:r>
      <w:r w:rsidRPr="00C6052E">
        <w:t>will</w:t>
      </w:r>
      <w:r w:rsidR="00177848" w:rsidRPr="00C6052E">
        <w:t xml:space="preserve"> </w:t>
      </w:r>
      <w:r w:rsidRPr="00C6052E">
        <w:t>continue</w:t>
      </w:r>
      <w:r w:rsidR="00177848" w:rsidRPr="00C6052E">
        <w:t xml:space="preserve"> </w:t>
      </w:r>
      <w:r w:rsidRPr="00C6052E">
        <w:t>unchanged</w:t>
      </w:r>
      <w:r w:rsidR="00177848" w:rsidRPr="00C6052E">
        <w:t xml:space="preserve"> </w:t>
      </w:r>
      <w:r w:rsidRPr="00C6052E">
        <w:t>in</w:t>
      </w:r>
      <w:r w:rsidR="00177848" w:rsidRPr="00C6052E">
        <w:t xml:space="preserve"> </w:t>
      </w:r>
      <w:r w:rsidRPr="00C6052E">
        <w:t>DJSIR,</w:t>
      </w:r>
      <w:r w:rsidR="00177848" w:rsidRPr="00C6052E">
        <w:t xml:space="preserve"> </w:t>
      </w:r>
      <w:r w:rsidRPr="00C6052E">
        <w:t>so</w:t>
      </w:r>
      <w:r w:rsidR="00177848" w:rsidRPr="00C6052E">
        <w:t xml:space="preserve"> </w:t>
      </w:r>
      <w:r w:rsidRPr="00C6052E">
        <w:t>they</w:t>
      </w:r>
      <w:r w:rsidR="00177848" w:rsidRPr="00C6052E">
        <w:t xml:space="preserve"> </w:t>
      </w:r>
      <w:r w:rsidRPr="00C6052E">
        <w:t>will</w:t>
      </w:r>
      <w:r w:rsidR="00177848" w:rsidRPr="00C6052E">
        <w:t xml:space="preserve"> </w:t>
      </w:r>
      <w:r w:rsidRPr="00C6052E">
        <w:t>follow</w:t>
      </w:r>
      <w:r w:rsidR="00177848" w:rsidRPr="00C6052E">
        <w:t xml:space="preserve"> </w:t>
      </w:r>
      <w:r w:rsidRPr="00C6052E">
        <w:t>a</w:t>
      </w:r>
      <w:r w:rsidR="00177848" w:rsidRPr="00C6052E">
        <w:t xml:space="preserve"> </w:t>
      </w:r>
      <w:r w:rsidRPr="00C6052E">
        <w:t>different</w:t>
      </w:r>
      <w:r w:rsidR="00177848" w:rsidRPr="00C6052E">
        <w:t xml:space="preserve"> </w:t>
      </w:r>
      <w:r w:rsidRPr="00C6052E">
        <w:t>revaluation</w:t>
      </w:r>
      <w:r w:rsidR="00177848" w:rsidRPr="00C6052E">
        <w:t xml:space="preserve"> </w:t>
      </w:r>
      <w:r w:rsidRPr="00C6052E">
        <w:t>cycle</w:t>
      </w:r>
      <w:r w:rsidR="00177848" w:rsidRPr="00C6052E">
        <w:t xml:space="preserve"> </w:t>
      </w:r>
      <w:r w:rsidRPr="00C6052E">
        <w:t>(FY2027-28).</w:t>
      </w:r>
    </w:p>
    <w:p w14:paraId="2393F98B" w14:textId="29E760FD" w:rsidR="00EE5BB8" w:rsidRPr="00C6052E" w:rsidRDefault="00EE5BB8" w:rsidP="00EE5BB8">
      <w:pPr>
        <w:pStyle w:val="Tablenotes-numbered"/>
        <w:numPr>
          <w:ilvl w:val="0"/>
          <w:numId w:val="24"/>
        </w:numPr>
      </w:pPr>
      <w:r w:rsidRPr="00C6052E">
        <w:t>The</w:t>
      </w:r>
      <w:r w:rsidR="00177848" w:rsidRPr="00C6052E">
        <w:t xml:space="preserve"> </w:t>
      </w:r>
      <w:r w:rsidRPr="00C6052E">
        <w:t>asset</w:t>
      </w:r>
      <w:r w:rsidR="00177848" w:rsidRPr="00C6052E">
        <w:t xml:space="preserve"> </w:t>
      </w:r>
      <w:r w:rsidRPr="00C6052E">
        <w:t>categories</w:t>
      </w:r>
      <w:r w:rsidR="00177848" w:rsidRPr="00C6052E">
        <w:t xml:space="preserve"> </w:t>
      </w:r>
      <w:r w:rsidRPr="00C6052E">
        <w:t>include</w:t>
      </w:r>
      <w:r w:rsidR="00177848" w:rsidRPr="00C6052E">
        <w:t xml:space="preserve"> </w:t>
      </w:r>
      <w:r w:rsidRPr="00C6052E">
        <w:t>right-of-use</w:t>
      </w:r>
      <w:r w:rsidR="00177848" w:rsidRPr="00C6052E">
        <w:t xml:space="preserve"> </w:t>
      </w:r>
      <w:r w:rsidRPr="00C6052E">
        <w:t>assets.</w:t>
      </w:r>
    </w:p>
    <w:p w14:paraId="7ED8FE9E" w14:textId="77777777" w:rsidR="00EE5BB8" w:rsidRPr="00C6052E" w:rsidRDefault="00EE5BB8" w:rsidP="00EE5BB8">
      <w:pPr>
        <w:sectPr w:rsidR="00EE5BB8" w:rsidRPr="00C6052E" w:rsidSect="00EE5BB8">
          <w:headerReference w:type="even" r:id="rId25"/>
          <w:endnotePr>
            <w:numFmt w:val="decimal"/>
          </w:endnotePr>
          <w:pgSz w:w="16840" w:h="11907" w:code="9"/>
          <w:pgMar w:top="1134" w:right="1134" w:bottom="1134" w:left="1134" w:header="567" w:footer="567" w:gutter="0"/>
          <w:cols w:space="708"/>
          <w:docGrid w:linePitch="360"/>
        </w:sectPr>
      </w:pPr>
    </w:p>
    <w:p w14:paraId="65ACEB48" w14:textId="2D4D8299" w:rsidR="00EE5BB8" w:rsidRPr="00C6052E" w:rsidRDefault="00EE5BB8" w:rsidP="00EE5BB8">
      <w:pPr>
        <w:pStyle w:val="Heading1numbered0"/>
        <w:ind w:left="284" w:hanging="284"/>
      </w:pPr>
      <w:bookmarkStart w:id="236" w:name="_Toc163565968"/>
      <w:bookmarkStart w:id="237" w:name="_Toc214618240"/>
      <w:r w:rsidRPr="00C6052E">
        <w:lastRenderedPageBreak/>
        <w:t>Other</w:t>
      </w:r>
      <w:r w:rsidR="00177848" w:rsidRPr="00C6052E">
        <w:t xml:space="preserve"> </w:t>
      </w:r>
      <w:r w:rsidRPr="00C6052E">
        <w:t>Assets</w:t>
      </w:r>
      <w:r w:rsidR="00177848" w:rsidRPr="00C6052E">
        <w:t xml:space="preserve"> </w:t>
      </w:r>
      <w:r w:rsidRPr="00C6052E">
        <w:t>and</w:t>
      </w:r>
      <w:r w:rsidR="00177848" w:rsidRPr="00C6052E">
        <w:t xml:space="preserve"> </w:t>
      </w:r>
      <w:r w:rsidRPr="00C6052E">
        <w:t>Liabilities</w:t>
      </w:r>
      <w:bookmarkEnd w:id="236"/>
      <w:bookmarkEnd w:id="237"/>
    </w:p>
    <w:p w14:paraId="35CB1AF9" w14:textId="77777777" w:rsidR="00EE5BB8" w:rsidRPr="00C6052E" w:rsidRDefault="00EE5BB8" w:rsidP="00E97D0C">
      <w:pPr>
        <w:pStyle w:val="Heading3"/>
      </w:pPr>
      <w:bookmarkStart w:id="238" w:name="_Toc163565969"/>
      <w:bookmarkStart w:id="239" w:name="_Toc163566576"/>
      <w:bookmarkStart w:id="240" w:name="_Toc174009498"/>
      <w:r w:rsidRPr="00C6052E">
        <w:t>Introduction</w:t>
      </w:r>
      <w:bookmarkEnd w:id="238"/>
      <w:bookmarkEnd w:id="239"/>
      <w:bookmarkEnd w:id="240"/>
    </w:p>
    <w:p w14:paraId="4BD698ED" w14:textId="1A7A6A8A" w:rsidR="00EE5BB8" w:rsidRPr="00C6052E" w:rsidRDefault="00EE5BB8" w:rsidP="00EE5BB8">
      <w:r w:rsidRPr="00C6052E">
        <w:t>This</w:t>
      </w:r>
      <w:r w:rsidR="00177848" w:rsidRPr="00C6052E">
        <w:t xml:space="preserve"> </w:t>
      </w:r>
      <w:r w:rsidRPr="00C6052E">
        <w:t>section</w:t>
      </w:r>
      <w:r w:rsidR="00177848" w:rsidRPr="00C6052E">
        <w:t xml:space="preserve"> </w:t>
      </w:r>
      <w:r w:rsidRPr="00C6052E">
        <w:t>sets</w:t>
      </w:r>
      <w:r w:rsidR="00177848" w:rsidRPr="00C6052E">
        <w:t xml:space="preserve"> </w:t>
      </w:r>
      <w:r w:rsidRPr="00C6052E">
        <w:t>out</w:t>
      </w:r>
      <w:r w:rsidR="00177848" w:rsidRPr="00C6052E">
        <w:t xml:space="preserve"> </w:t>
      </w:r>
      <w:r w:rsidRPr="00C6052E">
        <w:t>those</w:t>
      </w:r>
      <w:r w:rsidR="00177848" w:rsidRPr="00C6052E">
        <w:t xml:space="preserve"> </w:t>
      </w:r>
      <w:r w:rsidRPr="00C6052E">
        <w:t>assets</w:t>
      </w:r>
      <w:r w:rsidR="00177848" w:rsidRPr="00C6052E">
        <w:t xml:space="preserve"> </w:t>
      </w:r>
      <w:r w:rsidRPr="00C6052E">
        <w:t>and</w:t>
      </w:r>
      <w:r w:rsidR="00177848" w:rsidRPr="00C6052E">
        <w:t xml:space="preserve"> </w:t>
      </w:r>
      <w:r w:rsidRPr="00C6052E">
        <w:t>liabilities</w:t>
      </w:r>
      <w:r w:rsidR="00177848" w:rsidRPr="00C6052E">
        <w:t xml:space="preserve"> </w:t>
      </w:r>
      <w:r w:rsidRPr="00C6052E">
        <w:t>that</w:t>
      </w:r>
      <w:r w:rsidR="00177848" w:rsidRPr="00C6052E">
        <w:t xml:space="preserve"> </w:t>
      </w:r>
      <w:r w:rsidRPr="00C6052E">
        <w:t>arose</w:t>
      </w:r>
      <w:r w:rsidR="00177848" w:rsidRPr="00C6052E">
        <w:t xml:space="preserve"> </w:t>
      </w:r>
      <w:r w:rsidRPr="00C6052E">
        <w:t>from</w:t>
      </w:r>
      <w:r w:rsidR="00177848" w:rsidRPr="00C6052E">
        <w:t xml:space="preserve"> </w:t>
      </w:r>
      <w:r w:rsidRPr="00C6052E">
        <w:t>DJSIR’s</w:t>
      </w:r>
      <w:r w:rsidR="00177848" w:rsidRPr="00C6052E">
        <w:t xml:space="preserve"> </w:t>
      </w:r>
      <w:r w:rsidRPr="00C6052E">
        <w:t>controlled</w:t>
      </w:r>
      <w:r w:rsidR="00177848" w:rsidRPr="00C6052E">
        <w:t xml:space="preserve"> </w:t>
      </w:r>
      <w:r w:rsidRPr="00C6052E">
        <w:t>operations.</w:t>
      </w:r>
    </w:p>
    <w:p w14:paraId="02B5871B" w14:textId="77777777" w:rsidR="00EE5BB8" w:rsidRPr="00C6052E" w:rsidRDefault="00EE5BB8" w:rsidP="00E97D0C">
      <w:pPr>
        <w:pStyle w:val="Heading3"/>
      </w:pPr>
      <w:bookmarkStart w:id="241" w:name="_Toc163565970"/>
      <w:bookmarkStart w:id="242" w:name="_Toc163566577"/>
      <w:bookmarkStart w:id="243" w:name="_Toc174009499"/>
      <w:r w:rsidRPr="00C6052E">
        <w:t>Structure</w:t>
      </w:r>
      <w:bookmarkEnd w:id="241"/>
      <w:bookmarkEnd w:id="242"/>
      <w:bookmarkEnd w:id="243"/>
    </w:p>
    <w:p w14:paraId="090CC378" w14:textId="77777777" w:rsidR="00EE5BB8" w:rsidRPr="00C6052E" w:rsidRDefault="00EE5BB8" w:rsidP="00EE5BB8">
      <w:pPr>
        <w:pStyle w:val="Structurepoints"/>
      </w:pPr>
      <w:r w:rsidRPr="00C6052E">
        <w:fldChar w:fldCharType="begin"/>
      </w:r>
      <w:r w:rsidRPr="00C6052E">
        <w:instrText xml:space="preserve"> REF _Ref209444914 \r \h </w:instrText>
      </w:r>
      <w:r w:rsidRPr="00C6052E">
        <w:fldChar w:fldCharType="separate"/>
      </w:r>
      <w:r w:rsidRPr="00C6052E">
        <w:t>6.1</w:t>
      </w:r>
      <w:r w:rsidRPr="00C6052E">
        <w:fldChar w:fldCharType="end"/>
      </w:r>
      <w:r w:rsidRPr="00C6052E">
        <w:tab/>
      </w:r>
      <w:r w:rsidRPr="00C6052E">
        <w:fldChar w:fldCharType="begin"/>
      </w:r>
      <w:r w:rsidRPr="00C6052E">
        <w:instrText xml:space="preserve"> REF _Ref209444914 \h </w:instrText>
      </w:r>
      <w:r w:rsidRPr="00C6052E">
        <w:fldChar w:fldCharType="separate"/>
      </w:r>
      <w:r w:rsidRPr="00C6052E">
        <w:t>Receivables</w:t>
      </w:r>
      <w:r w:rsidRPr="00C6052E">
        <w:fldChar w:fldCharType="end"/>
      </w:r>
    </w:p>
    <w:p w14:paraId="49B38FF6" w14:textId="77777777" w:rsidR="00EE5BB8" w:rsidRPr="00C6052E" w:rsidRDefault="00EE5BB8" w:rsidP="00EE5BB8">
      <w:pPr>
        <w:pStyle w:val="Structurepoints"/>
      </w:pPr>
      <w:r w:rsidRPr="00C6052E">
        <w:fldChar w:fldCharType="begin"/>
      </w:r>
      <w:r w:rsidRPr="00C6052E">
        <w:instrText xml:space="preserve"> REF _Ref209444935 \r \h </w:instrText>
      </w:r>
      <w:r w:rsidRPr="00C6052E">
        <w:fldChar w:fldCharType="separate"/>
      </w:r>
      <w:r w:rsidRPr="00C6052E">
        <w:t>6.2</w:t>
      </w:r>
      <w:r w:rsidRPr="00C6052E">
        <w:fldChar w:fldCharType="end"/>
      </w:r>
      <w:r w:rsidRPr="00C6052E">
        <w:tab/>
      </w:r>
      <w:r w:rsidRPr="00C6052E">
        <w:fldChar w:fldCharType="begin"/>
      </w:r>
      <w:r w:rsidRPr="00C6052E">
        <w:instrText xml:space="preserve"> REF _Ref209444944 \h </w:instrText>
      </w:r>
      <w:r w:rsidRPr="00C6052E">
        <w:fldChar w:fldCharType="separate"/>
      </w:r>
      <w:r w:rsidRPr="00C6052E">
        <w:t>Payables</w:t>
      </w:r>
      <w:r w:rsidRPr="00C6052E">
        <w:fldChar w:fldCharType="end"/>
      </w:r>
    </w:p>
    <w:p w14:paraId="08A6B823" w14:textId="5D2ED505" w:rsidR="00EE5BB8" w:rsidRPr="00C6052E" w:rsidRDefault="00EE5BB8" w:rsidP="00EE5BB8">
      <w:pPr>
        <w:pStyle w:val="Structurepoints"/>
      </w:pPr>
      <w:r w:rsidRPr="00C6052E">
        <w:fldChar w:fldCharType="begin"/>
      </w:r>
      <w:r w:rsidRPr="00C6052E">
        <w:instrText xml:space="preserve"> REF _Ref209444966 \r \h </w:instrText>
      </w:r>
      <w:r w:rsidRPr="00C6052E">
        <w:fldChar w:fldCharType="separate"/>
      </w:r>
      <w:r w:rsidRPr="00C6052E">
        <w:t>6.3</w:t>
      </w:r>
      <w:r w:rsidRPr="00C6052E">
        <w:fldChar w:fldCharType="end"/>
      </w:r>
      <w:r w:rsidRPr="00C6052E">
        <w:tab/>
      </w:r>
      <w:r w:rsidRPr="00C6052E">
        <w:fldChar w:fldCharType="begin"/>
      </w:r>
      <w:r w:rsidRPr="00C6052E">
        <w:instrText xml:space="preserve"> REF _Ref209444978 \h </w:instrText>
      </w:r>
      <w:r w:rsidRPr="00C6052E">
        <w:fldChar w:fldCharType="separate"/>
      </w:r>
      <w:r w:rsidRPr="00C6052E">
        <w:t>Other</w:t>
      </w:r>
      <w:r w:rsidR="00177848" w:rsidRPr="00C6052E">
        <w:t xml:space="preserve"> </w:t>
      </w:r>
      <w:r w:rsidRPr="00C6052E">
        <w:t>non-financial</w:t>
      </w:r>
      <w:r w:rsidR="00177848" w:rsidRPr="00C6052E">
        <w:t xml:space="preserve"> </w:t>
      </w:r>
      <w:r w:rsidRPr="00C6052E">
        <w:t>assets</w:t>
      </w:r>
      <w:r w:rsidRPr="00C6052E">
        <w:fldChar w:fldCharType="end"/>
      </w:r>
    </w:p>
    <w:p w14:paraId="7EF2D0DB" w14:textId="1DAA3B7F" w:rsidR="00EE5BB8" w:rsidRPr="00C6052E" w:rsidRDefault="00EE5BB8" w:rsidP="00EE5BB8">
      <w:pPr>
        <w:pStyle w:val="Structurepoints"/>
        <w:spacing w:after="240"/>
      </w:pPr>
      <w:r w:rsidRPr="00C6052E">
        <w:fldChar w:fldCharType="begin"/>
      </w:r>
      <w:r w:rsidRPr="00C6052E">
        <w:instrText xml:space="preserve"> REF _Ref209444989 \r \h </w:instrText>
      </w:r>
      <w:r w:rsidRPr="00C6052E">
        <w:fldChar w:fldCharType="separate"/>
      </w:r>
      <w:r w:rsidRPr="00C6052E">
        <w:t>6.4</w:t>
      </w:r>
      <w:r w:rsidRPr="00C6052E">
        <w:fldChar w:fldCharType="end"/>
      </w:r>
      <w:r w:rsidRPr="00C6052E">
        <w:tab/>
      </w:r>
      <w:r w:rsidRPr="00C6052E">
        <w:fldChar w:fldCharType="begin"/>
      </w:r>
      <w:r w:rsidRPr="00C6052E">
        <w:instrText xml:space="preserve"> REF _Ref209444996 \h </w:instrText>
      </w:r>
      <w:r w:rsidRPr="00C6052E">
        <w:fldChar w:fldCharType="separate"/>
      </w:r>
      <w:r w:rsidRPr="00C6052E">
        <w:t>Other</w:t>
      </w:r>
      <w:r w:rsidR="00177848" w:rsidRPr="00C6052E">
        <w:t xml:space="preserve"> </w:t>
      </w:r>
      <w:r w:rsidRPr="00C6052E">
        <w:t>provisions</w:t>
      </w:r>
      <w:r w:rsidRPr="00C6052E">
        <w:fldChar w:fldCharType="end"/>
      </w:r>
    </w:p>
    <w:p w14:paraId="44435FF6" w14:textId="0E069D11" w:rsidR="00EE5BB8" w:rsidRPr="00C6052E" w:rsidRDefault="00EE5BB8" w:rsidP="00C6052E">
      <w:pPr>
        <w:pStyle w:val="Heading2numbered0"/>
      </w:pPr>
      <w:bookmarkStart w:id="244" w:name="_Toc163565971"/>
      <w:bookmarkStart w:id="245" w:name="_Ref209444914"/>
      <w:r w:rsidRPr="00C6052E">
        <w:t>Receivables</w:t>
      </w:r>
      <w:bookmarkEnd w:id="244"/>
      <w:bookmarkEnd w:id="245"/>
      <w:r w:rsidR="00177848" w:rsidRPr="00C6052E">
        <w:t xml:space="preserve"> </w:t>
      </w:r>
    </w:p>
    <w:p w14:paraId="67C54AB0" w14:textId="3D91B51C" w:rsidR="00EE5BB8" w:rsidRPr="00C6052E" w:rsidRDefault="00EE5BB8" w:rsidP="00EE5BB8">
      <w:r w:rsidRPr="00C6052E">
        <w:t>Receivables</w:t>
      </w:r>
      <w:r w:rsidR="00177848" w:rsidRPr="00C6052E">
        <w:t xml:space="preserve"> </w:t>
      </w:r>
      <w:r w:rsidRPr="00C6052E">
        <w:t>includes</w:t>
      </w:r>
      <w:r w:rsidR="00177848" w:rsidRPr="00C6052E">
        <w:t xml:space="preserve"> </w:t>
      </w:r>
      <w:r w:rsidRPr="00C6052E">
        <w:t>amounts</w:t>
      </w:r>
      <w:r w:rsidR="00177848" w:rsidRPr="00C6052E">
        <w:t xml:space="preserve"> </w:t>
      </w:r>
      <w:r w:rsidRPr="00C6052E">
        <w:t>owing</w:t>
      </w:r>
      <w:r w:rsidR="00177848" w:rsidRPr="00C6052E">
        <w:t xml:space="preserve"> </w:t>
      </w:r>
      <w:r w:rsidRPr="00C6052E">
        <w:t>from</w:t>
      </w:r>
      <w:r w:rsidR="00177848" w:rsidRPr="00C6052E">
        <w:t xml:space="preserve"> </w:t>
      </w:r>
      <w:r w:rsidRPr="00C6052E">
        <w:t>government</w:t>
      </w:r>
      <w:r w:rsidR="00177848" w:rsidRPr="00C6052E">
        <w:t xml:space="preserve"> </w:t>
      </w:r>
      <w:r w:rsidRPr="00C6052E">
        <w:t>through</w:t>
      </w:r>
      <w:r w:rsidR="00177848" w:rsidRPr="00C6052E">
        <w:t xml:space="preserve"> </w:t>
      </w:r>
      <w:r w:rsidRPr="00C6052E">
        <w:t>appropriation</w:t>
      </w:r>
      <w:r w:rsidR="00177848" w:rsidRPr="00C6052E">
        <w:t xml:space="preserve"> </w:t>
      </w:r>
      <w:r w:rsidRPr="00C6052E">
        <w:t>receivable,</w:t>
      </w:r>
      <w:r w:rsidR="00177848" w:rsidRPr="00C6052E">
        <w:t xml:space="preserve"> </w:t>
      </w:r>
      <w:r w:rsidRPr="00C6052E">
        <w:t>short-term</w:t>
      </w:r>
      <w:r w:rsidR="00177848" w:rsidRPr="00C6052E">
        <w:t xml:space="preserve"> </w:t>
      </w:r>
      <w:r w:rsidRPr="00C6052E">
        <w:t>and</w:t>
      </w:r>
      <w:r w:rsidR="00177848" w:rsidRPr="00C6052E">
        <w:t xml:space="preserve"> </w:t>
      </w:r>
      <w:r w:rsidRPr="00C6052E">
        <w:t>long-term</w:t>
      </w:r>
      <w:r w:rsidR="00177848" w:rsidRPr="00C6052E">
        <w:t xml:space="preserve"> </w:t>
      </w:r>
      <w:r w:rsidRPr="00C6052E">
        <w:t>advances</w:t>
      </w:r>
      <w:r w:rsidR="00177848" w:rsidRPr="00C6052E">
        <w:t xml:space="preserve"> </w:t>
      </w:r>
      <w:r w:rsidRPr="00C6052E">
        <w:t>and</w:t>
      </w:r>
      <w:r w:rsidR="00177848" w:rsidRPr="00C6052E">
        <w:t xml:space="preserve"> </w:t>
      </w:r>
      <w:r w:rsidRPr="00C6052E">
        <w:t>accounts</w:t>
      </w:r>
      <w:r w:rsidR="00177848" w:rsidRPr="00C6052E">
        <w:t xml:space="preserve"> </w:t>
      </w:r>
      <w:r w:rsidRPr="00C6052E">
        <w:t>receivable,</w:t>
      </w:r>
      <w:r w:rsidR="00177848" w:rsidRPr="00C6052E">
        <w:t xml:space="preserve"> </w:t>
      </w:r>
      <w:r w:rsidRPr="00C6052E">
        <w:t>accrued</w:t>
      </w:r>
      <w:r w:rsidR="00177848" w:rsidRPr="00C6052E">
        <w:t xml:space="preserve"> </w:t>
      </w:r>
      <w:r w:rsidRPr="00C6052E">
        <w:t>investment</w:t>
      </w:r>
      <w:r w:rsidR="00177848" w:rsidRPr="00C6052E">
        <w:t xml:space="preserve"> </w:t>
      </w:r>
      <w:r w:rsidRPr="00C6052E">
        <w:t>income,</w:t>
      </w:r>
      <w:r w:rsidR="00177848" w:rsidRPr="00C6052E">
        <w:t xml:space="preserve"> </w:t>
      </w:r>
      <w:r w:rsidRPr="00C6052E">
        <w:t>grants,</w:t>
      </w:r>
      <w:r w:rsidR="00177848" w:rsidRPr="00C6052E">
        <w:t xml:space="preserve"> </w:t>
      </w:r>
      <w:r w:rsidRPr="00C6052E">
        <w:t>taxes</w:t>
      </w:r>
      <w:r w:rsidR="00177848" w:rsidRPr="00C6052E">
        <w:t xml:space="preserve"> </w:t>
      </w:r>
      <w:r w:rsidRPr="00C6052E">
        <w:t>and</w:t>
      </w:r>
      <w:r w:rsidR="00177848" w:rsidRPr="00C6052E">
        <w:t xml:space="preserve"> </w:t>
      </w:r>
      <w:r w:rsidRPr="00C6052E">
        <w:t>interest</w:t>
      </w:r>
      <w:r w:rsidR="00177848" w:rsidRPr="00C6052E">
        <w:t xml:space="preserve"> </w:t>
      </w:r>
      <w:r w:rsidRPr="00C6052E">
        <w:t>receivable.</w:t>
      </w:r>
    </w:p>
    <w:tbl>
      <w:tblPr>
        <w:tblStyle w:val="TableGrid"/>
        <w:tblW w:w="9701" w:type="dxa"/>
        <w:tblLayout w:type="fixed"/>
        <w:tblLook w:val="04A0" w:firstRow="1" w:lastRow="0" w:firstColumn="1" w:lastColumn="0" w:noHBand="0" w:noVBand="1"/>
      </w:tblPr>
      <w:tblGrid>
        <w:gridCol w:w="6799"/>
        <w:gridCol w:w="1451"/>
        <w:gridCol w:w="1451"/>
      </w:tblGrid>
      <w:tr w:rsidR="00EE5BB8" w:rsidRPr="00C6052E" w14:paraId="530CE9D6" w14:textId="77777777" w:rsidTr="00EA7A88">
        <w:tc>
          <w:tcPr>
            <w:tcW w:w="6799" w:type="dxa"/>
            <w:noWrap/>
            <w:hideMark/>
          </w:tcPr>
          <w:p w14:paraId="3E1D3C26" w14:textId="77777777" w:rsidR="00EE5BB8" w:rsidRPr="00C6052E" w:rsidRDefault="00EE5BB8" w:rsidP="00EA7A88">
            <w:pPr>
              <w:pStyle w:val="TableColumnHeading"/>
            </w:pPr>
            <w:bookmarkStart w:id="246" w:name="TableColumnHeadings_73"/>
            <w:bookmarkEnd w:id="246"/>
          </w:p>
        </w:tc>
        <w:tc>
          <w:tcPr>
            <w:tcW w:w="1451" w:type="dxa"/>
            <w:hideMark/>
          </w:tcPr>
          <w:p w14:paraId="0299437E" w14:textId="2EC443B5" w:rsidR="00EE5BB8" w:rsidRPr="00C6052E" w:rsidRDefault="00EE5BB8" w:rsidP="00EA7A88">
            <w:pPr>
              <w:pStyle w:val="TableColumnHeading"/>
              <w:jc w:val="right"/>
            </w:pPr>
            <w:r w:rsidRPr="00C6052E">
              <w:t>2025</w:t>
            </w:r>
            <w:r w:rsidR="00104228">
              <w:br/>
            </w:r>
            <w:r w:rsidR="00104228" w:rsidRPr="00C6052E">
              <w:rPr>
                <w:lang w:val="en-AU"/>
              </w:rPr>
              <w:t>($ thousand)</w:t>
            </w:r>
          </w:p>
        </w:tc>
        <w:tc>
          <w:tcPr>
            <w:tcW w:w="1451" w:type="dxa"/>
            <w:hideMark/>
          </w:tcPr>
          <w:p w14:paraId="4CBEE967" w14:textId="2DF1D0C7" w:rsidR="00EE5BB8" w:rsidRPr="00C6052E" w:rsidRDefault="00EE5BB8" w:rsidP="00EA7A88">
            <w:pPr>
              <w:pStyle w:val="TableColumnHeading"/>
              <w:jc w:val="right"/>
            </w:pPr>
            <w:r w:rsidRPr="00C6052E">
              <w:t>2024</w:t>
            </w:r>
            <w:r w:rsidR="00104228">
              <w:br/>
            </w:r>
            <w:r w:rsidR="00104228" w:rsidRPr="00C6052E">
              <w:rPr>
                <w:lang w:val="en-AU"/>
              </w:rPr>
              <w:t>($ thousand)</w:t>
            </w:r>
          </w:p>
        </w:tc>
      </w:tr>
      <w:tr w:rsidR="00EA7A88" w:rsidRPr="00C6052E" w14:paraId="41A38A1D" w14:textId="77777777" w:rsidTr="00EA7A88">
        <w:tc>
          <w:tcPr>
            <w:tcW w:w="6799" w:type="dxa"/>
          </w:tcPr>
          <w:p w14:paraId="68C1DB61" w14:textId="09977234" w:rsidR="00EA7A88" w:rsidRPr="00C6052E" w:rsidRDefault="00EA7A88" w:rsidP="00EA7A88">
            <w:pPr>
              <w:pStyle w:val="TableHeading"/>
            </w:pPr>
            <w:r w:rsidRPr="00C6052E">
              <w:t>Contractual</w:t>
            </w:r>
          </w:p>
        </w:tc>
        <w:tc>
          <w:tcPr>
            <w:tcW w:w="1451" w:type="dxa"/>
            <w:noWrap/>
          </w:tcPr>
          <w:p w14:paraId="7009FA9E" w14:textId="77777777" w:rsidR="00EA7A88" w:rsidRPr="00C6052E" w:rsidRDefault="00EA7A88" w:rsidP="00EA7A88">
            <w:pPr>
              <w:pStyle w:val="TableHeading"/>
              <w:jc w:val="right"/>
            </w:pPr>
          </w:p>
        </w:tc>
        <w:tc>
          <w:tcPr>
            <w:tcW w:w="1451" w:type="dxa"/>
            <w:noWrap/>
          </w:tcPr>
          <w:p w14:paraId="49E06C32" w14:textId="77777777" w:rsidR="00EA7A88" w:rsidRPr="00C6052E" w:rsidRDefault="00EA7A88" w:rsidP="00EA7A88">
            <w:pPr>
              <w:pStyle w:val="TableHeading"/>
              <w:jc w:val="right"/>
            </w:pPr>
          </w:p>
        </w:tc>
      </w:tr>
      <w:tr w:rsidR="00EE5BB8" w:rsidRPr="00C6052E" w14:paraId="1ECFDFDC" w14:textId="77777777" w:rsidTr="00EA7A88">
        <w:tc>
          <w:tcPr>
            <w:tcW w:w="6799" w:type="dxa"/>
            <w:hideMark/>
          </w:tcPr>
          <w:p w14:paraId="03D1F35D" w14:textId="6828E7F2" w:rsidR="00EE5BB8" w:rsidRPr="00C6052E" w:rsidRDefault="00EE5BB8" w:rsidP="0063097D">
            <w:pPr>
              <w:pStyle w:val="TableCopy"/>
            </w:pPr>
            <w:r w:rsidRPr="00C6052E">
              <w:t>Receivables</w:t>
            </w:r>
            <w:r w:rsidR="00177848" w:rsidRPr="00C6052E">
              <w:t xml:space="preserve"> </w:t>
            </w:r>
            <w:r w:rsidRPr="00C6052E">
              <w:t>–</w:t>
            </w:r>
            <w:r w:rsidR="00177848" w:rsidRPr="00C6052E">
              <w:t xml:space="preserve"> </w:t>
            </w:r>
            <w:r w:rsidRPr="00C6052E">
              <w:t>government</w:t>
            </w:r>
          </w:p>
        </w:tc>
        <w:tc>
          <w:tcPr>
            <w:tcW w:w="1451" w:type="dxa"/>
            <w:noWrap/>
            <w:hideMark/>
          </w:tcPr>
          <w:p w14:paraId="2871EC10" w14:textId="77777777" w:rsidR="00EE5BB8" w:rsidRPr="00C6052E" w:rsidRDefault="00EE5BB8" w:rsidP="00EA7A88">
            <w:pPr>
              <w:pStyle w:val="TableCopy"/>
              <w:jc w:val="right"/>
            </w:pPr>
            <w:r w:rsidRPr="00C6052E">
              <w:t>126,092</w:t>
            </w:r>
          </w:p>
        </w:tc>
        <w:tc>
          <w:tcPr>
            <w:tcW w:w="1451" w:type="dxa"/>
            <w:noWrap/>
            <w:hideMark/>
          </w:tcPr>
          <w:p w14:paraId="3579DAE9" w14:textId="77777777" w:rsidR="00EE5BB8" w:rsidRPr="00C6052E" w:rsidRDefault="00EE5BB8" w:rsidP="00EA7A88">
            <w:pPr>
              <w:pStyle w:val="TableCopy"/>
              <w:jc w:val="right"/>
            </w:pPr>
            <w:r w:rsidRPr="00C6052E">
              <w:t>132,110</w:t>
            </w:r>
          </w:p>
        </w:tc>
      </w:tr>
      <w:tr w:rsidR="00EE5BB8" w:rsidRPr="00C6052E" w14:paraId="500A5C7F" w14:textId="77777777" w:rsidTr="00EA7A88">
        <w:tc>
          <w:tcPr>
            <w:tcW w:w="6799" w:type="dxa"/>
            <w:hideMark/>
          </w:tcPr>
          <w:p w14:paraId="27CBABC7" w14:textId="0C039CC6" w:rsidR="00EE5BB8" w:rsidRPr="00C6052E" w:rsidRDefault="00EE5BB8" w:rsidP="0063097D">
            <w:pPr>
              <w:pStyle w:val="TableCopy"/>
            </w:pPr>
            <w:r w:rsidRPr="00C6052E">
              <w:t>Receivables</w:t>
            </w:r>
            <w:r w:rsidR="00177848" w:rsidRPr="00C6052E">
              <w:t xml:space="preserve"> </w:t>
            </w:r>
            <w:r w:rsidRPr="00C6052E">
              <w:t>–</w:t>
            </w:r>
            <w:r w:rsidR="00177848" w:rsidRPr="00C6052E">
              <w:t xml:space="preserve"> </w:t>
            </w:r>
            <w:r w:rsidRPr="00C6052E">
              <w:t>non-government</w:t>
            </w:r>
            <w:r w:rsidRPr="00C6052E">
              <w:rPr>
                <w:vertAlign w:val="superscript"/>
              </w:rPr>
              <w:t>(i)</w:t>
            </w:r>
          </w:p>
        </w:tc>
        <w:tc>
          <w:tcPr>
            <w:tcW w:w="1451" w:type="dxa"/>
            <w:noWrap/>
            <w:hideMark/>
          </w:tcPr>
          <w:p w14:paraId="4B89B541" w14:textId="77777777" w:rsidR="00EE5BB8" w:rsidRPr="00C6052E" w:rsidRDefault="00EE5BB8" w:rsidP="00EA7A88">
            <w:pPr>
              <w:pStyle w:val="TableCopy"/>
              <w:jc w:val="right"/>
            </w:pPr>
            <w:r w:rsidRPr="00C6052E">
              <w:t>39,549</w:t>
            </w:r>
          </w:p>
        </w:tc>
        <w:tc>
          <w:tcPr>
            <w:tcW w:w="1451" w:type="dxa"/>
            <w:noWrap/>
            <w:hideMark/>
          </w:tcPr>
          <w:p w14:paraId="7CFB4EC8" w14:textId="77777777" w:rsidR="00EE5BB8" w:rsidRPr="00C6052E" w:rsidRDefault="00EE5BB8" w:rsidP="00EA7A88">
            <w:pPr>
              <w:pStyle w:val="TableCopy"/>
              <w:jc w:val="right"/>
            </w:pPr>
            <w:r w:rsidRPr="00C6052E">
              <w:t>67,673</w:t>
            </w:r>
          </w:p>
        </w:tc>
      </w:tr>
      <w:tr w:rsidR="00EE5BB8" w:rsidRPr="00C6052E" w14:paraId="419EA1AB" w14:textId="77777777" w:rsidTr="00EA7A88">
        <w:tc>
          <w:tcPr>
            <w:tcW w:w="6799" w:type="dxa"/>
            <w:hideMark/>
          </w:tcPr>
          <w:p w14:paraId="388B4822" w14:textId="3E3C2FFF" w:rsidR="00EE5BB8" w:rsidRPr="00C6052E" w:rsidRDefault="00EE5BB8" w:rsidP="0063097D">
            <w:pPr>
              <w:pStyle w:val="TableCopy"/>
              <w:rPr>
                <w:rStyle w:val="Italics"/>
              </w:rPr>
            </w:pPr>
            <w:r w:rsidRPr="00C6052E">
              <w:rPr>
                <w:rStyle w:val="Italics"/>
              </w:rPr>
              <w:t>Less</w:t>
            </w:r>
            <w:r w:rsidR="00177848" w:rsidRPr="00C6052E">
              <w:rPr>
                <w:rStyle w:val="Italics"/>
              </w:rPr>
              <w:t xml:space="preserve"> </w:t>
            </w:r>
            <w:r w:rsidRPr="00C6052E">
              <w:rPr>
                <w:rStyle w:val="Italics"/>
              </w:rPr>
              <w:t>allowance</w:t>
            </w:r>
            <w:r w:rsidR="00177848" w:rsidRPr="00C6052E">
              <w:rPr>
                <w:rStyle w:val="Italics"/>
              </w:rPr>
              <w:t xml:space="preserve"> </w:t>
            </w:r>
            <w:r w:rsidRPr="00C6052E">
              <w:rPr>
                <w:rStyle w:val="Italics"/>
              </w:rPr>
              <w:t>for</w:t>
            </w:r>
            <w:r w:rsidR="00177848" w:rsidRPr="00C6052E">
              <w:rPr>
                <w:rStyle w:val="Italics"/>
              </w:rPr>
              <w:t xml:space="preserve"> </w:t>
            </w:r>
            <w:r w:rsidRPr="00C6052E">
              <w:rPr>
                <w:rStyle w:val="Italics"/>
              </w:rPr>
              <w:t>impairment</w:t>
            </w:r>
            <w:r w:rsidR="00177848" w:rsidRPr="00C6052E">
              <w:rPr>
                <w:rStyle w:val="Italics"/>
              </w:rPr>
              <w:t xml:space="preserve"> </w:t>
            </w:r>
            <w:r w:rsidRPr="00C6052E">
              <w:rPr>
                <w:rStyle w:val="Italics"/>
              </w:rPr>
              <w:t>losses</w:t>
            </w:r>
            <w:r w:rsidR="00177848" w:rsidRPr="00C6052E">
              <w:rPr>
                <w:rStyle w:val="Italics"/>
              </w:rPr>
              <w:t xml:space="preserve"> </w:t>
            </w:r>
            <w:r w:rsidRPr="00C6052E">
              <w:rPr>
                <w:rStyle w:val="Italics"/>
              </w:rPr>
              <w:t>of</w:t>
            </w:r>
            <w:r w:rsidR="00177848" w:rsidRPr="00C6052E">
              <w:rPr>
                <w:rStyle w:val="Italics"/>
              </w:rPr>
              <w:t xml:space="preserve"> </w:t>
            </w:r>
            <w:r w:rsidRPr="00C6052E">
              <w:rPr>
                <w:rStyle w:val="Italics"/>
              </w:rPr>
              <w:t>contractual</w:t>
            </w:r>
            <w:r w:rsidR="00177848" w:rsidRPr="00C6052E">
              <w:rPr>
                <w:rStyle w:val="Italics"/>
              </w:rPr>
              <w:t xml:space="preserve"> </w:t>
            </w:r>
            <w:r w:rsidRPr="00C6052E">
              <w:rPr>
                <w:rStyle w:val="Italics"/>
              </w:rPr>
              <w:t>receivables</w:t>
            </w:r>
            <w:r w:rsidRPr="00C6052E">
              <w:rPr>
                <w:rStyle w:val="Italics"/>
                <w:vertAlign w:val="superscript"/>
              </w:rPr>
              <w:t>(ii)</w:t>
            </w:r>
          </w:p>
        </w:tc>
        <w:tc>
          <w:tcPr>
            <w:tcW w:w="1451" w:type="dxa"/>
            <w:noWrap/>
            <w:hideMark/>
          </w:tcPr>
          <w:p w14:paraId="525B0B94" w14:textId="77777777" w:rsidR="00EE5BB8" w:rsidRPr="00C6052E" w:rsidRDefault="00EE5BB8" w:rsidP="00EA7A88">
            <w:pPr>
              <w:pStyle w:val="TableCopy"/>
              <w:jc w:val="right"/>
            </w:pPr>
            <w:r w:rsidRPr="00C6052E">
              <w:t>(13,822)</w:t>
            </w:r>
          </w:p>
        </w:tc>
        <w:tc>
          <w:tcPr>
            <w:tcW w:w="1451" w:type="dxa"/>
            <w:noWrap/>
            <w:hideMark/>
          </w:tcPr>
          <w:p w14:paraId="09D814B2" w14:textId="77777777" w:rsidR="00EE5BB8" w:rsidRPr="00C6052E" w:rsidRDefault="00EE5BB8" w:rsidP="00EA7A88">
            <w:pPr>
              <w:pStyle w:val="TableCopy"/>
              <w:jc w:val="right"/>
            </w:pPr>
            <w:r w:rsidRPr="00C6052E">
              <w:t>(42,639)</w:t>
            </w:r>
          </w:p>
        </w:tc>
      </w:tr>
      <w:tr w:rsidR="00EA7A88" w:rsidRPr="00C6052E" w14:paraId="6A613AD2" w14:textId="77777777" w:rsidTr="00232DEA">
        <w:tc>
          <w:tcPr>
            <w:tcW w:w="6799" w:type="dxa"/>
          </w:tcPr>
          <w:p w14:paraId="1FAFDD75" w14:textId="55E92AF4" w:rsidR="00EA7A88" w:rsidRPr="00C6052E" w:rsidRDefault="00EA7A88" w:rsidP="00232DEA">
            <w:pPr>
              <w:pStyle w:val="TableHeading"/>
            </w:pPr>
            <w:r w:rsidRPr="00C6052E">
              <w:t>Statutory</w:t>
            </w:r>
          </w:p>
        </w:tc>
        <w:tc>
          <w:tcPr>
            <w:tcW w:w="1451" w:type="dxa"/>
            <w:noWrap/>
          </w:tcPr>
          <w:p w14:paraId="38CFA20E" w14:textId="77777777" w:rsidR="00EA7A88" w:rsidRPr="00C6052E" w:rsidRDefault="00EA7A88" w:rsidP="00232DEA">
            <w:pPr>
              <w:pStyle w:val="TableHeading"/>
              <w:jc w:val="right"/>
            </w:pPr>
          </w:p>
        </w:tc>
        <w:tc>
          <w:tcPr>
            <w:tcW w:w="1451" w:type="dxa"/>
            <w:noWrap/>
          </w:tcPr>
          <w:p w14:paraId="1088C7AF" w14:textId="77777777" w:rsidR="00EA7A88" w:rsidRPr="00C6052E" w:rsidRDefault="00EA7A88" w:rsidP="00232DEA">
            <w:pPr>
              <w:pStyle w:val="TableHeading"/>
              <w:jc w:val="right"/>
            </w:pPr>
          </w:p>
        </w:tc>
      </w:tr>
      <w:tr w:rsidR="00EE5BB8" w:rsidRPr="00C6052E" w14:paraId="5C7C76FA" w14:textId="77777777" w:rsidTr="00EA7A88">
        <w:tc>
          <w:tcPr>
            <w:tcW w:w="6799" w:type="dxa"/>
            <w:hideMark/>
          </w:tcPr>
          <w:p w14:paraId="7D109A4A" w14:textId="33F19C16" w:rsidR="00EE5BB8" w:rsidRPr="00C6052E" w:rsidRDefault="00EE5BB8" w:rsidP="0063097D">
            <w:pPr>
              <w:pStyle w:val="TableCopy"/>
            </w:pPr>
            <w:r w:rsidRPr="00C6052E">
              <w:t>Amounts</w:t>
            </w:r>
            <w:r w:rsidR="00177848" w:rsidRPr="00C6052E">
              <w:t xml:space="preserve"> </w:t>
            </w:r>
            <w:r w:rsidRPr="00C6052E">
              <w:t>owing</w:t>
            </w:r>
            <w:r w:rsidR="00177848" w:rsidRPr="00C6052E">
              <w:t xml:space="preserve"> </w:t>
            </w:r>
            <w:r w:rsidRPr="00C6052E">
              <w:t>from</w:t>
            </w:r>
            <w:r w:rsidR="00177848" w:rsidRPr="00C6052E">
              <w:t xml:space="preserve"> </w:t>
            </w:r>
            <w:r w:rsidRPr="00C6052E">
              <w:t>Victorian</w:t>
            </w:r>
            <w:r w:rsidR="00177848" w:rsidRPr="00C6052E">
              <w:t xml:space="preserve"> </w:t>
            </w:r>
            <w:r w:rsidRPr="00C6052E">
              <w:t>Government</w:t>
            </w:r>
            <w:r w:rsidRPr="00C6052E">
              <w:rPr>
                <w:vertAlign w:val="superscript"/>
              </w:rPr>
              <w:t>(iii)</w:t>
            </w:r>
            <w:r w:rsidR="00177848" w:rsidRPr="00C6052E">
              <w:t xml:space="preserve"> </w:t>
            </w:r>
          </w:p>
        </w:tc>
        <w:tc>
          <w:tcPr>
            <w:tcW w:w="1451" w:type="dxa"/>
            <w:noWrap/>
            <w:hideMark/>
          </w:tcPr>
          <w:p w14:paraId="00FBF48F" w14:textId="77777777" w:rsidR="00EE5BB8" w:rsidRPr="00C6052E" w:rsidRDefault="00EE5BB8" w:rsidP="00EA7A88">
            <w:pPr>
              <w:pStyle w:val="TableCopy"/>
              <w:jc w:val="right"/>
            </w:pPr>
            <w:r w:rsidRPr="00C6052E">
              <w:t>372,582</w:t>
            </w:r>
          </w:p>
        </w:tc>
        <w:tc>
          <w:tcPr>
            <w:tcW w:w="1451" w:type="dxa"/>
            <w:noWrap/>
            <w:hideMark/>
          </w:tcPr>
          <w:p w14:paraId="5CE1C62C" w14:textId="77777777" w:rsidR="00EE5BB8" w:rsidRPr="00C6052E" w:rsidRDefault="00EE5BB8" w:rsidP="00EA7A88">
            <w:pPr>
              <w:pStyle w:val="TableCopy"/>
              <w:jc w:val="right"/>
            </w:pPr>
            <w:r w:rsidRPr="00C6052E">
              <w:t>595,998</w:t>
            </w:r>
          </w:p>
        </w:tc>
      </w:tr>
      <w:tr w:rsidR="00EE5BB8" w:rsidRPr="00C6052E" w14:paraId="510C5301" w14:textId="77777777" w:rsidTr="00EA7A88">
        <w:tc>
          <w:tcPr>
            <w:tcW w:w="6799" w:type="dxa"/>
            <w:hideMark/>
          </w:tcPr>
          <w:p w14:paraId="2DED36D4" w14:textId="18D05B38" w:rsidR="00EE5BB8" w:rsidRPr="00C6052E" w:rsidRDefault="00EE5BB8" w:rsidP="0063097D">
            <w:pPr>
              <w:pStyle w:val="TableCopy"/>
            </w:pPr>
            <w:r w:rsidRPr="00C6052E">
              <w:t>GST</w:t>
            </w:r>
            <w:r w:rsidR="00177848" w:rsidRPr="00C6052E">
              <w:t xml:space="preserve"> </w:t>
            </w:r>
            <w:r w:rsidRPr="00C6052E">
              <w:t>input</w:t>
            </w:r>
            <w:r w:rsidR="00177848" w:rsidRPr="00C6052E">
              <w:t xml:space="preserve"> </w:t>
            </w:r>
            <w:r w:rsidRPr="00C6052E">
              <w:t>tax</w:t>
            </w:r>
            <w:r w:rsidR="00177848" w:rsidRPr="00C6052E">
              <w:t xml:space="preserve"> </w:t>
            </w:r>
            <w:r w:rsidRPr="00C6052E">
              <w:t>credit</w:t>
            </w:r>
            <w:r w:rsidR="00177848" w:rsidRPr="00C6052E">
              <w:t xml:space="preserve"> </w:t>
            </w:r>
            <w:r w:rsidRPr="00C6052E">
              <w:t>recoverable</w:t>
            </w:r>
            <w:r w:rsidR="00177848" w:rsidRPr="00C6052E">
              <w:t xml:space="preserve"> </w:t>
            </w:r>
            <w:r w:rsidRPr="00C6052E">
              <w:t>from</w:t>
            </w:r>
            <w:r w:rsidR="00177848" w:rsidRPr="00C6052E">
              <w:t xml:space="preserve"> </w:t>
            </w:r>
            <w:r w:rsidRPr="00C6052E">
              <w:t>the</w:t>
            </w:r>
            <w:r w:rsidR="00177848" w:rsidRPr="00C6052E">
              <w:t xml:space="preserve"> </w:t>
            </w:r>
            <w:r w:rsidRPr="00C6052E">
              <w:t>ATO</w:t>
            </w:r>
          </w:p>
        </w:tc>
        <w:tc>
          <w:tcPr>
            <w:tcW w:w="1451" w:type="dxa"/>
            <w:noWrap/>
            <w:hideMark/>
          </w:tcPr>
          <w:p w14:paraId="005D2CF9" w14:textId="77777777" w:rsidR="00EE5BB8" w:rsidRPr="00C6052E" w:rsidRDefault="00EE5BB8" w:rsidP="00EA7A88">
            <w:pPr>
              <w:pStyle w:val="TableCopy"/>
              <w:jc w:val="right"/>
            </w:pPr>
            <w:r w:rsidRPr="00C6052E">
              <w:t>37,617</w:t>
            </w:r>
          </w:p>
        </w:tc>
        <w:tc>
          <w:tcPr>
            <w:tcW w:w="1451" w:type="dxa"/>
            <w:noWrap/>
            <w:hideMark/>
          </w:tcPr>
          <w:p w14:paraId="11930AA7" w14:textId="77777777" w:rsidR="00EE5BB8" w:rsidRPr="00C6052E" w:rsidRDefault="00EE5BB8" w:rsidP="00EA7A88">
            <w:pPr>
              <w:pStyle w:val="TableCopy"/>
              <w:jc w:val="right"/>
            </w:pPr>
            <w:r w:rsidRPr="00C6052E">
              <w:t>25,091</w:t>
            </w:r>
          </w:p>
        </w:tc>
      </w:tr>
      <w:tr w:rsidR="00EE5BB8" w:rsidRPr="00C6052E" w14:paraId="1EF2763E" w14:textId="77777777" w:rsidTr="00EA7A88">
        <w:tc>
          <w:tcPr>
            <w:tcW w:w="6799" w:type="dxa"/>
            <w:hideMark/>
          </w:tcPr>
          <w:p w14:paraId="60D92742" w14:textId="4B3647B9" w:rsidR="00EE5BB8" w:rsidRPr="00C6052E" w:rsidRDefault="00EE5BB8" w:rsidP="0063097D">
            <w:pPr>
              <w:pStyle w:val="TableCopy"/>
            </w:pPr>
            <w:r w:rsidRPr="00C6052E">
              <w:t>Other</w:t>
            </w:r>
            <w:r w:rsidR="00177848" w:rsidRPr="00C6052E">
              <w:t xml:space="preserve"> </w:t>
            </w:r>
            <w:r w:rsidRPr="00C6052E">
              <w:t>taxes</w:t>
            </w:r>
          </w:p>
        </w:tc>
        <w:tc>
          <w:tcPr>
            <w:tcW w:w="1451" w:type="dxa"/>
            <w:noWrap/>
            <w:hideMark/>
          </w:tcPr>
          <w:p w14:paraId="05C3EF7D" w14:textId="77777777" w:rsidR="00EE5BB8" w:rsidRPr="00C6052E" w:rsidRDefault="00EE5BB8" w:rsidP="00EA7A88">
            <w:pPr>
              <w:pStyle w:val="TableCopy"/>
              <w:jc w:val="right"/>
            </w:pPr>
            <w:r w:rsidRPr="00C6052E">
              <w:t>–</w:t>
            </w:r>
          </w:p>
        </w:tc>
        <w:tc>
          <w:tcPr>
            <w:tcW w:w="1451" w:type="dxa"/>
            <w:noWrap/>
            <w:hideMark/>
          </w:tcPr>
          <w:p w14:paraId="48C74016" w14:textId="77777777" w:rsidR="00EE5BB8" w:rsidRPr="00C6052E" w:rsidRDefault="00EE5BB8" w:rsidP="00EA7A88">
            <w:pPr>
              <w:pStyle w:val="TableCopy"/>
              <w:jc w:val="right"/>
            </w:pPr>
            <w:r w:rsidRPr="00C6052E">
              <w:t>124</w:t>
            </w:r>
          </w:p>
        </w:tc>
      </w:tr>
      <w:tr w:rsidR="00EE5BB8" w:rsidRPr="00C6052E" w14:paraId="33EA6267" w14:textId="77777777" w:rsidTr="00EA7A88">
        <w:tc>
          <w:tcPr>
            <w:tcW w:w="6799" w:type="dxa"/>
            <w:hideMark/>
          </w:tcPr>
          <w:p w14:paraId="56AEF1BA" w14:textId="6A687964" w:rsidR="00EE5BB8" w:rsidRPr="00C6052E" w:rsidRDefault="00EE5BB8" w:rsidP="0063097D">
            <w:pPr>
              <w:pStyle w:val="Tabletotal"/>
            </w:pPr>
            <w:r w:rsidRPr="00C6052E">
              <w:t>Total</w:t>
            </w:r>
            <w:r w:rsidR="00177848" w:rsidRPr="00C6052E">
              <w:t xml:space="preserve"> </w:t>
            </w:r>
            <w:r w:rsidRPr="00C6052E">
              <w:t>receivables</w:t>
            </w:r>
            <w:r w:rsidR="00177848" w:rsidRPr="00C6052E">
              <w:t xml:space="preserve"> </w:t>
            </w:r>
          </w:p>
        </w:tc>
        <w:tc>
          <w:tcPr>
            <w:tcW w:w="1451" w:type="dxa"/>
            <w:noWrap/>
            <w:hideMark/>
          </w:tcPr>
          <w:p w14:paraId="107C582C" w14:textId="77777777" w:rsidR="00EE5BB8" w:rsidRPr="00C6052E" w:rsidRDefault="00EE5BB8" w:rsidP="00EA7A88">
            <w:pPr>
              <w:pStyle w:val="Tabletotal"/>
              <w:jc w:val="right"/>
            </w:pPr>
            <w:r w:rsidRPr="00C6052E">
              <w:t>562,018</w:t>
            </w:r>
          </w:p>
        </w:tc>
        <w:tc>
          <w:tcPr>
            <w:tcW w:w="1451" w:type="dxa"/>
            <w:noWrap/>
            <w:hideMark/>
          </w:tcPr>
          <w:p w14:paraId="0D4F3D2B" w14:textId="77777777" w:rsidR="00EE5BB8" w:rsidRPr="00C6052E" w:rsidRDefault="00EE5BB8" w:rsidP="00EA7A88">
            <w:pPr>
              <w:pStyle w:val="Tabletotal"/>
              <w:jc w:val="right"/>
            </w:pPr>
            <w:r w:rsidRPr="00C6052E">
              <w:t>778,357</w:t>
            </w:r>
          </w:p>
        </w:tc>
      </w:tr>
      <w:tr w:rsidR="00EE5BB8" w:rsidRPr="00C6052E" w14:paraId="73EE1D1A" w14:textId="77777777" w:rsidTr="00EA7A88">
        <w:tc>
          <w:tcPr>
            <w:tcW w:w="6799" w:type="dxa"/>
            <w:hideMark/>
          </w:tcPr>
          <w:p w14:paraId="41CDE3B5" w14:textId="0BF96F28" w:rsidR="00EE5BB8" w:rsidRPr="00C6052E" w:rsidRDefault="00EE5BB8" w:rsidP="0063097D">
            <w:pPr>
              <w:pStyle w:val="TableCopy"/>
              <w:rPr>
                <w:rStyle w:val="Italics"/>
              </w:rPr>
            </w:pPr>
            <w:r w:rsidRPr="00C6052E">
              <w:rPr>
                <w:rStyle w:val="Italics"/>
              </w:rPr>
              <w:t>Represented</w:t>
            </w:r>
            <w:r w:rsidR="00177848" w:rsidRPr="00C6052E">
              <w:rPr>
                <w:rStyle w:val="Italics"/>
              </w:rPr>
              <w:t xml:space="preserve"> </w:t>
            </w:r>
            <w:r w:rsidRPr="00C6052E">
              <w:rPr>
                <w:rStyle w:val="Italics"/>
              </w:rPr>
              <w:t>by:</w:t>
            </w:r>
          </w:p>
        </w:tc>
        <w:tc>
          <w:tcPr>
            <w:tcW w:w="1451" w:type="dxa"/>
            <w:noWrap/>
            <w:hideMark/>
          </w:tcPr>
          <w:p w14:paraId="12A56BE0" w14:textId="77777777" w:rsidR="00EE5BB8" w:rsidRPr="00C6052E" w:rsidRDefault="00EE5BB8" w:rsidP="00EA7A88">
            <w:pPr>
              <w:pStyle w:val="Tabletext"/>
              <w:jc w:val="right"/>
            </w:pPr>
          </w:p>
        </w:tc>
        <w:tc>
          <w:tcPr>
            <w:tcW w:w="1451" w:type="dxa"/>
            <w:noWrap/>
            <w:hideMark/>
          </w:tcPr>
          <w:p w14:paraId="6F283109" w14:textId="77777777" w:rsidR="00EE5BB8" w:rsidRPr="00C6052E" w:rsidRDefault="00EE5BB8" w:rsidP="00EA7A88">
            <w:pPr>
              <w:pStyle w:val="TableCopy"/>
              <w:jc w:val="right"/>
            </w:pPr>
          </w:p>
        </w:tc>
      </w:tr>
      <w:tr w:rsidR="00EE5BB8" w:rsidRPr="00C6052E" w14:paraId="333247A8" w14:textId="77777777" w:rsidTr="00EA7A88">
        <w:tc>
          <w:tcPr>
            <w:tcW w:w="6799" w:type="dxa"/>
            <w:hideMark/>
          </w:tcPr>
          <w:p w14:paraId="10DF71F3" w14:textId="62454DF7" w:rsidR="00EE5BB8" w:rsidRPr="00C6052E" w:rsidRDefault="00EE5BB8" w:rsidP="0063097D">
            <w:pPr>
              <w:pStyle w:val="TableCopy"/>
            </w:pPr>
            <w:r w:rsidRPr="00C6052E">
              <w:t>Current</w:t>
            </w:r>
            <w:r w:rsidR="00177848" w:rsidRPr="00C6052E">
              <w:t xml:space="preserve"> </w:t>
            </w:r>
            <w:r w:rsidRPr="00C6052E">
              <w:t>receivables</w:t>
            </w:r>
            <w:r w:rsidR="00177848" w:rsidRPr="00C6052E">
              <w:t xml:space="preserve"> </w:t>
            </w:r>
          </w:p>
        </w:tc>
        <w:tc>
          <w:tcPr>
            <w:tcW w:w="1451" w:type="dxa"/>
            <w:noWrap/>
            <w:hideMark/>
          </w:tcPr>
          <w:p w14:paraId="6723225C" w14:textId="77777777" w:rsidR="00EE5BB8" w:rsidRPr="00C6052E" w:rsidRDefault="00EE5BB8" w:rsidP="00EA7A88">
            <w:pPr>
              <w:pStyle w:val="TableCopy"/>
              <w:jc w:val="right"/>
            </w:pPr>
            <w:r w:rsidRPr="00C6052E">
              <w:t>551,513</w:t>
            </w:r>
          </w:p>
        </w:tc>
        <w:tc>
          <w:tcPr>
            <w:tcW w:w="1451" w:type="dxa"/>
            <w:noWrap/>
            <w:hideMark/>
          </w:tcPr>
          <w:p w14:paraId="49EA0E45" w14:textId="77777777" w:rsidR="00EE5BB8" w:rsidRPr="00C6052E" w:rsidRDefault="00EE5BB8" w:rsidP="00EA7A88">
            <w:pPr>
              <w:pStyle w:val="TableCopy"/>
              <w:jc w:val="right"/>
            </w:pPr>
            <w:r w:rsidRPr="00C6052E">
              <w:t>767,068</w:t>
            </w:r>
          </w:p>
        </w:tc>
      </w:tr>
      <w:tr w:rsidR="00EE5BB8" w:rsidRPr="00C6052E" w14:paraId="7A2FF3CA" w14:textId="77777777" w:rsidTr="00EA7A88">
        <w:tc>
          <w:tcPr>
            <w:tcW w:w="6799" w:type="dxa"/>
            <w:hideMark/>
          </w:tcPr>
          <w:p w14:paraId="2AF3C2A9" w14:textId="3BBF4709" w:rsidR="00EE5BB8" w:rsidRPr="00C6052E" w:rsidRDefault="00EE5BB8" w:rsidP="0063097D">
            <w:pPr>
              <w:pStyle w:val="TableCopy"/>
            </w:pPr>
            <w:r w:rsidRPr="00C6052E">
              <w:t>Non-current</w:t>
            </w:r>
            <w:r w:rsidR="00177848" w:rsidRPr="00C6052E">
              <w:t xml:space="preserve"> </w:t>
            </w:r>
            <w:r w:rsidRPr="00C6052E">
              <w:t>receivables</w:t>
            </w:r>
            <w:r w:rsidR="00177848" w:rsidRPr="00C6052E">
              <w:t xml:space="preserve"> </w:t>
            </w:r>
          </w:p>
        </w:tc>
        <w:tc>
          <w:tcPr>
            <w:tcW w:w="1451" w:type="dxa"/>
            <w:noWrap/>
            <w:hideMark/>
          </w:tcPr>
          <w:p w14:paraId="647FA3EF" w14:textId="77777777" w:rsidR="00EE5BB8" w:rsidRPr="00C6052E" w:rsidRDefault="00EE5BB8" w:rsidP="00EA7A88">
            <w:pPr>
              <w:pStyle w:val="TableCopy"/>
              <w:jc w:val="right"/>
            </w:pPr>
            <w:r w:rsidRPr="00C6052E">
              <w:t>10,505</w:t>
            </w:r>
          </w:p>
        </w:tc>
        <w:tc>
          <w:tcPr>
            <w:tcW w:w="1451" w:type="dxa"/>
            <w:noWrap/>
            <w:hideMark/>
          </w:tcPr>
          <w:p w14:paraId="0FC1002A" w14:textId="77777777" w:rsidR="00EE5BB8" w:rsidRPr="00C6052E" w:rsidRDefault="00EE5BB8" w:rsidP="00EA7A88">
            <w:pPr>
              <w:pStyle w:val="TableCopy"/>
              <w:jc w:val="right"/>
            </w:pPr>
            <w:r w:rsidRPr="00C6052E">
              <w:t>11,289</w:t>
            </w:r>
          </w:p>
        </w:tc>
      </w:tr>
    </w:tbl>
    <w:p w14:paraId="1CA896DA" w14:textId="2A67E987" w:rsidR="00EE5BB8" w:rsidRPr="00C6052E" w:rsidRDefault="00EE5BB8" w:rsidP="00EE5BB8">
      <w:pPr>
        <w:pStyle w:val="Tablenotes-numbered"/>
        <w:numPr>
          <w:ilvl w:val="0"/>
          <w:numId w:val="25"/>
        </w:numPr>
      </w:pPr>
      <w:r w:rsidRPr="00C6052E">
        <w:t>Includes</w:t>
      </w:r>
      <w:r w:rsidR="00177848" w:rsidRPr="00C6052E">
        <w:t xml:space="preserve"> </w:t>
      </w:r>
      <w:r w:rsidRPr="00C6052E">
        <w:t>commercial</w:t>
      </w:r>
      <w:r w:rsidR="00177848" w:rsidRPr="00C6052E">
        <w:t xml:space="preserve"> </w:t>
      </w:r>
      <w:r w:rsidRPr="00C6052E">
        <w:t>loans</w:t>
      </w:r>
      <w:r w:rsidR="00177848" w:rsidRPr="00C6052E">
        <w:t xml:space="preserve"> </w:t>
      </w:r>
      <w:r w:rsidRPr="00C6052E">
        <w:t>to</w:t>
      </w:r>
      <w:r w:rsidR="00177848" w:rsidRPr="00C6052E">
        <w:t xml:space="preserve"> </w:t>
      </w:r>
      <w:r w:rsidRPr="00C6052E">
        <w:t>third</w:t>
      </w:r>
      <w:r w:rsidR="00177848" w:rsidRPr="00C6052E">
        <w:t xml:space="preserve"> </w:t>
      </w:r>
      <w:r w:rsidRPr="00C6052E">
        <w:t>parties</w:t>
      </w:r>
      <w:r w:rsidR="00177848" w:rsidRPr="00C6052E">
        <w:t xml:space="preserve"> </w:t>
      </w:r>
      <w:r w:rsidRPr="00C6052E">
        <w:t>and</w:t>
      </w:r>
      <w:r w:rsidR="00177848" w:rsidRPr="00C6052E">
        <w:t xml:space="preserve"> </w:t>
      </w:r>
      <w:r w:rsidRPr="00C6052E">
        <w:t>other</w:t>
      </w:r>
      <w:r w:rsidR="00177848" w:rsidRPr="00C6052E">
        <w:t xml:space="preserve"> </w:t>
      </w:r>
      <w:r w:rsidRPr="00C6052E">
        <w:t>receivables.</w:t>
      </w:r>
      <w:r w:rsidR="00177848" w:rsidRPr="00C6052E">
        <w:t xml:space="preserve"> </w:t>
      </w:r>
      <w:r w:rsidRPr="00C6052E">
        <w:t>Amounts</w:t>
      </w:r>
      <w:r w:rsidR="00177848" w:rsidRPr="00C6052E">
        <w:t xml:space="preserve"> </w:t>
      </w:r>
      <w:r w:rsidRPr="00C6052E">
        <w:t>are</w:t>
      </w:r>
      <w:r w:rsidR="00177848" w:rsidRPr="00C6052E">
        <w:t xml:space="preserve"> </w:t>
      </w:r>
      <w:r w:rsidRPr="00C6052E">
        <w:t>recognised</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r w:rsidR="00177848" w:rsidRPr="00C6052E">
        <w:t xml:space="preserve"> </w:t>
      </w:r>
      <w:r w:rsidRPr="00C6052E">
        <w:t>in</w:t>
      </w:r>
      <w:r w:rsidR="00177848" w:rsidRPr="00C6052E">
        <w:t xml:space="preserve"> </w:t>
      </w:r>
      <w:r w:rsidRPr="00C6052E">
        <w:t>accordance</w:t>
      </w:r>
      <w:r w:rsidR="00177848" w:rsidRPr="00C6052E">
        <w:t xml:space="preserve"> </w:t>
      </w:r>
      <w:r w:rsidRPr="00C6052E">
        <w:t>with</w:t>
      </w:r>
      <w:r w:rsidR="00177848" w:rsidRPr="00C6052E">
        <w:t xml:space="preserve"> </w:t>
      </w:r>
      <w:r w:rsidRPr="00C6052E">
        <w:t>AASB</w:t>
      </w:r>
      <w:r w:rsidR="00177848" w:rsidRPr="00C6052E">
        <w:t xml:space="preserve"> </w:t>
      </w:r>
      <w:r w:rsidRPr="00C6052E">
        <w:t>9</w:t>
      </w:r>
      <w:r w:rsidR="00177848" w:rsidRPr="00C6052E">
        <w:t xml:space="preserve"> </w:t>
      </w:r>
      <w:r w:rsidRPr="00C6052E">
        <w:t>at</w:t>
      </w:r>
      <w:r w:rsidR="00177848" w:rsidRPr="00C6052E">
        <w:t xml:space="preserve"> </w:t>
      </w:r>
      <w:r w:rsidRPr="00C6052E">
        <w:t>initial</w:t>
      </w:r>
      <w:r w:rsidR="00177848" w:rsidRPr="00C6052E">
        <w:t xml:space="preserve"> </w:t>
      </w:r>
      <w:r w:rsidRPr="00C6052E">
        <w:t>recognition</w:t>
      </w:r>
      <w:r w:rsidR="00177848" w:rsidRPr="00C6052E">
        <w:t xml:space="preserve"> </w:t>
      </w:r>
      <w:r w:rsidRPr="00C6052E">
        <w:t>and</w:t>
      </w:r>
      <w:r w:rsidR="00177848" w:rsidRPr="00C6052E">
        <w:t xml:space="preserve"> </w:t>
      </w:r>
      <w:r w:rsidRPr="00C6052E">
        <w:t>subsequently</w:t>
      </w:r>
      <w:r w:rsidR="00177848" w:rsidRPr="00C6052E">
        <w:t xml:space="preserve"> </w:t>
      </w:r>
      <w:r w:rsidRPr="00C6052E">
        <w:t>measured</w:t>
      </w:r>
      <w:r w:rsidR="00177848" w:rsidRPr="00C6052E">
        <w:t xml:space="preserve"> </w:t>
      </w:r>
      <w:r w:rsidRPr="00C6052E">
        <w:t>on</w:t>
      </w:r>
      <w:r w:rsidR="00177848" w:rsidRPr="00C6052E">
        <w:t xml:space="preserve"> </w:t>
      </w:r>
      <w:r w:rsidRPr="00C6052E">
        <w:t>a</w:t>
      </w:r>
      <w:r w:rsidR="00177848" w:rsidRPr="00C6052E">
        <w:t xml:space="preserve"> </w:t>
      </w:r>
      <w:r w:rsidRPr="00C6052E">
        <w:t>straight-line</w:t>
      </w:r>
      <w:r w:rsidR="00177848" w:rsidRPr="00C6052E">
        <w:t xml:space="preserve"> </w:t>
      </w:r>
      <w:r w:rsidRPr="00C6052E">
        <w:t>basis</w:t>
      </w:r>
      <w:r w:rsidR="00177848" w:rsidRPr="00C6052E">
        <w:t xml:space="preserve"> </w:t>
      </w:r>
      <w:r w:rsidRPr="00C6052E">
        <w:t>at</w:t>
      </w:r>
      <w:r w:rsidR="00177848" w:rsidRPr="00C6052E">
        <w:t xml:space="preserve"> </w:t>
      </w:r>
      <w:r w:rsidRPr="00C6052E">
        <w:t>amortised</w:t>
      </w:r>
      <w:r w:rsidR="00177848" w:rsidRPr="00C6052E">
        <w:t xml:space="preserve"> </w:t>
      </w:r>
      <w:r w:rsidRPr="00C6052E">
        <w:t>cost.</w:t>
      </w:r>
      <w:r w:rsidR="00177848" w:rsidRPr="00C6052E">
        <w:t xml:space="preserve"> </w:t>
      </w:r>
    </w:p>
    <w:p w14:paraId="0AAFF673" w14:textId="1688A460" w:rsidR="00EE5BB8" w:rsidRPr="00C6052E" w:rsidRDefault="00EE5BB8" w:rsidP="00EE5BB8">
      <w:pPr>
        <w:pStyle w:val="Tablenotes-numbered"/>
        <w:numPr>
          <w:ilvl w:val="0"/>
          <w:numId w:val="25"/>
        </w:numPr>
      </w:pPr>
      <w:r w:rsidRPr="00C6052E">
        <w:t>Included</w:t>
      </w:r>
      <w:r w:rsidR="00177848" w:rsidRPr="00C6052E">
        <w:t xml:space="preserve"> </w:t>
      </w:r>
      <w:r w:rsidRPr="00C6052E">
        <w:t>in</w:t>
      </w:r>
      <w:r w:rsidR="00177848" w:rsidRPr="00C6052E">
        <w:t xml:space="preserve"> </w:t>
      </w:r>
      <w:r w:rsidRPr="00C6052E">
        <w:t>the</w:t>
      </w:r>
      <w:r w:rsidR="00177848" w:rsidRPr="00C6052E">
        <w:t xml:space="preserve"> </w:t>
      </w:r>
      <w:r w:rsidRPr="00C6052E">
        <w:t>prior</w:t>
      </w:r>
      <w:r w:rsidR="00177848" w:rsidRPr="00C6052E">
        <w:t xml:space="preserve"> </w:t>
      </w:r>
      <w:r w:rsidRPr="00C6052E">
        <w:t>year</w:t>
      </w:r>
      <w:r w:rsidR="00177848" w:rsidRPr="00C6052E">
        <w:t xml:space="preserve"> </w:t>
      </w:r>
      <w:r w:rsidRPr="00C6052E">
        <w:t>amount</w:t>
      </w:r>
      <w:r w:rsidR="00177848" w:rsidRPr="00C6052E">
        <w:t xml:space="preserve"> </w:t>
      </w:r>
      <w:r w:rsidRPr="00C6052E">
        <w:t>are</w:t>
      </w:r>
      <w:r w:rsidR="00177848" w:rsidRPr="00C6052E">
        <w:t xml:space="preserve"> </w:t>
      </w:r>
      <w:r w:rsidRPr="00C6052E">
        <w:t>payments</w:t>
      </w:r>
      <w:r w:rsidR="00177848" w:rsidRPr="00C6052E">
        <w:t xml:space="preserve"> </w:t>
      </w:r>
      <w:r w:rsidRPr="00C6052E">
        <w:t>that</w:t>
      </w:r>
      <w:r w:rsidR="00177848" w:rsidRPr="00C6052E">
        <w:t xml:space="preserve"> </w:t>
      </w:r>
      <w:r w:rsidRPr="00C6052E">
        <w:t>were</w:t>
      </w:r>
      <w:r w:rsidR="00177848" w:rsidRPr="00C6052E">
        <w:t xml:space="preserve"> </w:t>
      </w:r>
      <w:r w:rsidRPr="00C6052E">
        <w:t>made</w:t>
      </w:r>
      <w:r w:rsidR="00177848" w:rsidRPr="00C6052E">
        <w:t xml:space="preserve"> </w:t>
      </w:r>
      <w:r w:rsidRPr="00C6052E">
        <w:t>to</w:t>
      </w:r>
      <w:r w:rsidR="00177848" w:rsidRPr="00C6052E">
        <w:t xml:space="preserve"> </w:t>
      </w:r>
      <w:r w:rsidRPr="00C6052E">
        <w:t>potentially</w:t>
      </w:r>
      <w:r w:rsidR="00177848" w:rsidRPr="00C6052E">
        <w:t xml:space="preserve"> </w:t>
      </w:r>
      <w:r w:rsidRPr="00C6052E">
        <w:t>ineligible</w:t>
      </w:r>
      <w:r w:rsidR="00177848" w:rsidRPr="00C6052E">
        <w:t xml:space="preserve"> </w:t>
      </w:r>
      <w:r w:rsidRPr="00C6052E">
        <w:t>COVID-19</w:t>
      </w:r>
      <w:r w:rsidR="00177848" w:rsidRPr="00C6052E">
        <w:t xml:space="preserve"> </w:t>
      </w:r>
      <w:r w:rsidRPr="00C6052E">
        <w:t>and</w:t>
      </w:r>
      <w:r w:rsidR="00177848" w:rsidRPr="00C6052E">
        <w:t xml:space="preserve"> </w:t>
      </w:r>
      <w:r w:rsidRPr="00C6052E">
        <w:t>flood</w:t>
      </w:r>
      <w:r w:rsidR="00177848" w:rsidRPr="00C6052E">
        <w:t xml:space="preserve"> </w:t>
      </w:r>
      <w:r w:rsidRPr="00C6052E">
        <w:t>grantees</w:t>
      </w:r>
      <w:r w:rsidR="00177848" w:rsidRPr="00C6052E">
        <w:t xml:space="preserve"> </w:t>
      </w:r>
      <w:r w:rsidRPr="00C6052E">
        <w:t>which</w:t>
      </w:r>
      <w:r w:rsidR="00177848" w:rsidRPr="00C6052E">
        <w:t xml:space="preserve"> </w:t>
      </w:r>
      <w:r w:rsidRPr="00C6052E">
        <w:t>have</w:t>
      </w:r>
      <w:r w:rsidR="00177848" w:rsidRPr="00C6052E">
        <w:t xml:space="preserve"> </w:t>
      </w:r>
      <w:r w:rsidRPr="00C6052E">
        <w:t>been</w:t>
      </w:r>
      <w:r w:rsidR="00177848" w:rsidRPr="00C6052E">
        <w:t xml:space="preserve"> </w:t>
      </w:r>
      <w:r w:rsidRPr="00C6052E">
        <w:t>recognised</w:t>
      </w:r>
      <w:r w:rsidR="00177848" w:rsidRPr="00C6052E">
        <w:t xml:space="preserve"> </w:t>
      </w:r>
      <w:r w:rsidRPr="00C6052E">
        <w:t>as</w:t>
      </w:r>
      <w:r w:rsidR="00177848" w:rsidRPr="00C6052E">
        <w:t xml:space="preserve"> </w:t>
      </w:r>
      <w:r w:rsidRPr="00C6052E">
        <w:t>other</w:t>
      </w:r>
      <w:r w:rsidR="00177848" w:rsidRPr="00C6052E">
        <w:t xml:space="preserve"> </w:t>
      </w:r>
      <w:r w:rsidRPr="00C6052E">
        <w:t>receivables</w:t>
      </w:r>
      <w:r w:rsidR="00177848" w:rsidRPr="00C6052E">
        <w:t xml:space="preserve"> </w:t>
      </w:r>
      <w:r w:rsidRPr="00C6052E">
        <w:t>and</w:t>
      </w:r>
      <w:r w:rsidR="00177848" w:rsidRPr="00C6052E">
        <w:t xml:space="preserve"> </w:t>
      </w:r>
      <w:r w:rsidRPr="00C6052E">
        <w:t>an</w:t>
      </w:r>
      <w:r w:rsidR="00177848" w:rsidRPr="00C6052E">
        <w:t xml:space="preserve"> </w:t>
      </w:r>
      <w:r w:rsidRPr="00C6052E">
        <w:t>allowance</w:t>
      </w:r>
      <w:r w:rsidR="00177848" w:rsidRPr="00C6052E">
        <w:t xml:space="preserve"> </w:t>
      </w:r>
      <w:r w:rsidRPr="00C6052E">
        <w:t>for</w:t>
      </w:r>
      <w:r w:rsidR="00177848" w:rsidRPr="00C6052E">
        <w:t xml:space="preserve"> </w:t>
      </w:r>
      <w:r w:rsidRPr="00C6052E">
        <w:t>impairment</w:t>
      </w:r>
      <w:r w:rsidR="00177848" w:rsidRPr="00C6052E">
        <w:t xml:space="preserve"> </w:t>
      </w:r>
      <w:r w:rsidRPr="00C6052E">
        <w:t>losses</w:t>
      </w:r>
      <w:r w:rsidR="00177848" w:rsidRPr="00C6052E">
        <w:t xml:space="preserve"> </w:t>
      </w:r>
      <w:r w:rsidRPr="00C6052E">
        <w:t>recognised.</w:t>
      </w:r>
      <w:r w:rsidR="00177848" w:rsidRPr="00C6052E">
        <w:t xml:space="preserve"> </w:t>
      </w:r>
      <w:r w:rsidRPr="00C6052E">
        <w:t>In</w:t>
      </w:r>
      <w:r w:rsidR="00177848" w:rsidRPr="00C6052E">
        <w:t xml:space="preserve"> </w:t>
      </w:r>
      <w:r w:rsidRPr="00C6052E">
        <w:t>FY2024-25,</w:t>
      </w:r>
      <w:r w:rsidR="00177848" w:rsidRPr="00C6052E">
        <w:t xml:space="preserve"> </w:t>
      </w:r>
      <w:r w:rsidRPr="00C6052E">
        <w:lastRenderedPageBreak/>
        <w:t>these</w:t>
      </w:r>
      <w:r w:rsidR="00177848" w:rsidRPr="00C6052E">
        <w:t xml:space="preserve"> </w:t>
      </w:r>
      <w:r w:rsidRPr="00C6052E">
        <w:t>impairment</w:t>
      </w:r>
      <w:r w:rsidR="00177848" w:rsidRPr="00C6052E">
        <w:t xml:space="preserve"> </w:t>
      </w:r>
      <w:r w:rsidRPr="00C6052E">
        <w:t>losses</w:t>
      </w:r>
      <w:r w:rsidR="00177848" w:rsidRPr="00C6052E">
        <w:t xml:space="preserve"> </w:t>
      </w:r>
      <w:r w:rsidRPr="00C6052E">
        <w:t>have</w:t>
      </w:r>
      <w:r w:rsidR="00177848" w:rsidRPr="00C6052E">
        <w:t xml:space="preserve"> </w:t>
      </w:r>
      <w:r w:rsidRPr="00C6052E">
        <w:t>been</w:t>
      </w:r>
      <w:r w:rsidR="00177848" w:rsidRPr="00C6052E">
        <w:t xml:space="preserve"> </w:t>
      </w:r>
      <w:r w:rsidRPr="00C6052E">
        <w:t>reversed</w:t>
      </w:r>
      <w:r w:rsidR="00177848" w:rsidRPr="00C6052E">
        <w:t xml:space="preserve"> </w:t>
      </w:r>
      <w:r w:rsidRPr="00C6052E">
        <w:t>and</w:t>
      </w:r>
      <w:r w:rsidR="00177848" w:rsidRPr="00C6052E">
        <w:t xml:space="preserve"> </w:t>
      </w:r>
      <w:r w:rsidRPr="00C6052E">
        <w:t>recognised</w:t>
      </w:r>
      <w:r w:rsidR="00177848" w:rsidRPr="00C6052E">
        <w:t xml:space="preserve"> </w:t>
      </w:r>
      <w:r w:rsidRPr="00C6052E">
        <w:t>as</w:t>
      </w:r>
      <w:r w:rsidR="00177848" w:rsidRPr="00C6052E">
        <w:t xml:space="preserve"> </w:t>
      </w:r>
      <w:r w:rsidRPr="00C6052E">
        <w:t>ex-gratia</w:t>
      </w:r>
      <w:r w:rsidR="00177848" w:rsidRPr="00C6052E">
        <w:t xml:space="preserve"> </w:t>
      </w:r>
      <w:r w:rsidRPr="00C6052E">
        <w:t>expenses.</w:t>
      </w:r>
      <w:r w:rsidR="00177848" w:rsidRPr="00C6052E">
        <w:t xml:space="preserve"> </w:t>
      </w:r>
      <w:r w:rsidRPr="00C6052E">
        <w:t>Refer</w:t>
      </w:r>
      <w:r w:rsidR="00177848" w:rsidRPr="00C6052E">
        <w:t xml:space="preserve"> </w:t>
      </w:r>
      <w:r w:rsidRPr="00C6052E">
        <w:t>to</w:t>
      </w:r>
      <w:r w:rsidR="00177848" w:rsidRPr="00C6052E">
        <w:t xml:space="preserve"> </w:t>
      </w:r>
      <w:r w:rsidRPr="00C6052E">
        <w:t>note</w:t>
      </w:r>
      <w:r w:rsidR="00177848" w:rsidRPr="00C6052E">
        <w:t xml:space="preserve"> </w:t>
      </w:r>
      <w:r w:rsidRPr="00C6052E">
        <w:t>3.4</w:t>
      </w:r>
      <w:r w:rsidR="00177848" w:rsidRPr="00C6052E">
        <w:t xml:space="preserve"> </w:t>
      </w:r>
      <w:r w:rsidRPr="00C6052E">
        <w:t>Other</w:t>
      </w:r>
      <w:r w:rsidR="00177848" w:rsidRPr="00C6052E">
        <w:t xml:space="preserve"> </w:t>
      </w:r>
      <w:r w:rsidRPr="00C6052E">
        <w:t>operating</w:t>
      </w:r>
      <w:r w:rsidR="00177848" w:rsidRPr="00C6052E">
        <w:t xml:space="preserve"> </w:t>
      </w:r>
      <w:r w:rsidRPr="00C6052E">
        <w:t>expenses.</w:t>
      </w:r>
    </w:p>
    <w:p w14:paraId="1B8E57AC" w14:textId="34CDA825" w:rsidR="00EE5BB8" w:rsidRPr="00C6052E" w:rsidRDefault="00EE5BB8" w:rsidP="00EA7A88">
      <w:pPr>
        <w:pStyle w:val="Tablenotes-numbered"/>
        <w:numPr>
          <w:ilvl w:val="0"/>
          <w:numId w:val="25"/>
        </w:numPr>
        <w:spacing w:after="240"/>
      </w:pPr>
      <w:r w:rsidRPr="00C6052E">
        <w:t>The</w:t>
      </w:r>
      <w:r w:rsidR="00177848" w:rsidRPr="00C6052E">
        <w:t xml:space="preserve"> </w:t>
      </w:r>
      <w:r w:rsidRPr="00C6052E">
        <w:t>amounts</w:t>
      </w:r>
      <w:r w:rsidR="00177848" w:rsidRPr="00C6052E">
        <w:t xml:space="preserve"> </w:t>
      </w:r>
      <w:r w:rsidRPr="00C6052E">
        <w:t>recognised</w:t>
      </w:r>
      <w:r w:rsidR="00177848" w:rsidRPr="00C6052E">
        <w:t xml:space="preserve"> </w:t>
      </w:r>
      <w:r w:rsidRPr="00C6052E">
        <w:t>from</w:t>
      </w:r>
      <w:r w:rsidR="00177848" w:rsidRPr="00C6052E">
        <w:t xml:space="preserve"> </w:t>
      </w:r>
      <w:r w:rsidRPr="00C6052E">
        <w:t>the</w:t>
      </w:r>
      <w:r w:rsidR="00177848" w:rsidRPr="00C6052E">
        <w:t xml:space="preserve"> </w:t>
      </w:r>
      <w:r w:rsidRPr="00C6052E">
        <w:t>Victorian</w:t>
      </w:r>
      <w:r w:rsidR="00177848" w:rsidRPr="00C6052E">
        <w:t xml:space="preserve"> </w:t>
      </w:r>
      <w:r w:rsidRPr="00C6052E">
        <w:t>Government</w:t>
      </w:r>
      <w:r w:rsidR="00177848" w:rsidRPr="00C6052E">
        <w:t xml:space="preserve"> </w:t>
      </w:r>
      <w:r w:rsidRPr="00C6052E">
        <w:t>represent</w:t>
      </w:r>
      <w:r w:rsidR="00177848" w:rsidRPr="00C6052E">
        <w:t xml:space="preserve"> </w:t>
      </w:r>
      <w:r w:rsidRPr="00C6052E">
        <w:t>funding</w:t>
      </w:r>
      <w:r w:rsidR="00177848" w:rsidRPr="00C6052E">
        <w:t xml:space="preserve"> </w:t>
      </w:r>
      <w:r w:rsidRPr="00C6052E">
        <w:t>for</w:t>
      </w:r>
      <w:r w:rsidR="00177848" w:rsidRPr="00C6052E">
        <w:t xml:space="preserve"> </w:t>
      </w:r>
      <w:r w:rsidRPr="00C6052E">
        <w:t>all</w:t>
      </w:r>
      <w:r w:rsidR="00177848" w:rsidRPr="00C6052E">
        <w:t xml:space="preserve"> </w:t>
      </w:r>
      <w:r w:rsidRPr="00C6052E">
        <w:t>commitments</w:t>
      </w:r>
      <w:r w:rsidR="00177848" w:rsidRPr="00C6052E">
        <w:t xml:space="preserve"> </w:t>
      </w:r>
      <w:r w:rsidRPr="00C6052E">
        <w:t>incurred</w:t>
      </w:r>
      <w:r w:rsidR="00177848" w:rsidRPr="00C6052E">
        <w:t xml:space="preserve"> </w:t>
      </w:r>
      <w:r w:rsidRPr="00C6052E">
        <w:t>through</w:t>
      </w:r>
      <w:r w:rsidR="00177848" w:rsidRPr="00C6052E">
        <w:t xml:space="preserve"> </w:t>
      </w:r>
      <w:r w:rsidRPr="00C6052E">
        <w:t>the</w:t>
      </w:r>
      <w:r w:rsidR="00177848" w:rsidRPr="00C6052E">
        <w:t xml:space="preserve"> </w:t>
      </w:r>
      <w:r w:rsidRPr="00C6052E">
        <w:t>appropriations</w:t>
      </w:r>
      <w:r w:rsidR="00177848" w:rsidRPr="00C6052E">
        <w:t xml:space="preserve"> </w:t>
      </w:r>
      <w:r w:rsidRPr="00C6052E">
        <w:t>and</w:t>
      </w:r>
      <w:r w:rsidR="00177848" w:rsidRPr="00C6052E">
        <w:t xml:space="preserve"> </w:t>
      </w:r>
      <w:r w:rsidRPr="00C6052E">
        <w:t>are</w:t>
      </w:r>
      <w:r w:rsidR="00177848" w:rsidRPr="00C6052E">
        <w:t xml:space="preserve"> </w:t>
      </w:r>
      <w:r w:rsidRPr="00C6052E">
        <w:t>drawn</w:t>
      </w:r>
      <w:r w:rsidR="00177848" w:rsidRPr="00C6052E">
        <w:t xml:space="preserve"> </w:t>
      </w:r>
      <w:r w:rsidRPr="00C6052E">
        <w:t>from</w:t>
      </w:r>
      <w:r w:rsidR="00177848" w:rsidRPr="00C6052E">
        <w:t xml:space="preserve"> </w:t>
      </w:r>
      <w:r w:rsidRPr="00C6052E">
        <w:t>the</w:t>
      </w:r>
      <w:r w:rsidR="00177848" w:rsidRPr="00C6052E">
        <w:t xml:space="preserve"> </w:t>
      </w:r>
      <w:r w:rsidRPr="00C6052E">
        <w:t>Consolidated</w:t>
      </w:r>
      <w:r w:rsidR="00177848" w:rsidRPr="00C6052E">
        <w:t xml:space="preserve"> </w:t>
      </w:r>
      <w:r w:rsidRPr="00C6052E">
        <w:t>Fund</w:t>
      </w:r>
      <w:r w:rsidR="00177848" w:rsidRPr="00C6052E">
        <w:t xml:space="preserve"> </w:t>
      </w:r>
      <w:r w:rsidRPr="00C6052E">
        <w:t>as</w:t>
      </w:r>
      <w:r w:rsidR="00177848" w:rsidRPr="00C6052E">
        <w:t xml:space="preserve"> </w:t>
      </w:r>
      <w:r w:rsidRPr="00C6052E">
        <w:t>the</w:t>
      </w:r>
      <w:r w:rsidR="00177848" w:rsidRPr="00C6052E">
        <w:t xml:space="preserve"> </w:t>
      </w:r>
      <w:r w:rsidRPr="00C6052E">
        <w:t>commitments</w:t>
      </w:r>
      <w:r w:rsidR="00177848" w:rsidRPr="00C6052E">
        <w:t xml:space="preserve"> </w:t>
      </w:r>
      <w:r w:rsidRPr="00C6052E">
        <w:t>fall</w:t>
      </w:r>
      <w:r w:rsidR="00177848" w:rsidRPr="00C6052E">
        <w:t xml:space="preserve"> </w:t>
      </w:r>
      <w:r w:rsidRPr="00C6052E">
        <w:t>due.</w:t>
      </w:r>
    </w:p>
    <w:p w14:paraId="3EC6164F" w14:textId="03606AD1" w:rsidR="00EE5BB8" w:rsidRPr="00C6052E" w:rsidRDefault="00EE5BB8" w:rsidP="00EE5BB8">
      <w:r w:rsidRPr="00C6052E">
        <w:rPr>
          <w:rStyle w:val="Medium"/>
        </w:rPr>
        <w:t>Contractual</w:t>
      </w:r>
      <w:r w:rsidR="00177848" w:rsidRPr="00C6052E">
        <w:rPr>
          <w:rStyle w:val="Medium"/>
        </w:rPr>
        <w:t xml:space="preserve"> </w:t>
      </w:r>
      <w:r w:rsidRPr="00C6052E">
        <w:rPr>
          <w:rStyle w:val="Medium"/>
        </w:rPr>
        <w:t>receivables</w:t>
      </w:r>
      <w:r w:rsidR="00177848" w:rsidRPr="00C6052E">
        <w:t xml:space="preserve"> </w:t>
      </w:r>
      <w:r w:rsidRPr="00C6052E">
        <w:t>are</w:t>
      </w:r>
      <w:r w:rsidR="00177848" w:rsidRPr="00C6052E">
        <w:t xml:space="preserve"> </w:t>
      </w:r>
      <w:r w:rsidRPr="00C6052E">
        <w:t>classified</w:t>
      </w:r>
      <w:r w:rsidR="00177848" w:rsidRPr="00C6052E">
        <w:t xml:space="preserve"> </w:t>
      </w:r>
      <w:r w:rsidRPr="00C6052E">
        <w:t>as</w:t>
      </w:r>
      <w:r w:rsidR="00177848" w:rsidRPr="00C6052E">
        <w:t xml:space="preserve"> </w:t>
      </w:r>
      <w:r w:rsidRPr="00C6052E">
        <w:t>financial</w:t>
      </w:r>
      <w:r w:rsidR="00177848" w:rsidRPr="00C6052E">
        <w:t xml:space="preserve"> </w:t>
      </w:r>
      <w:r w:rsidRPr="00C6052E">
        <w:t>instruments</w:t>
      </w:r>
      <w:r w:rsidR="00177848" w:rsidRPr="00C6052E">
        <w:t xml:space="preserve"> </w:t>
      </w:r>
      <w:r w:rsidRPr="00C6052E">
        <w:t>and</w:t>
      </w:r>
      <w:r w:rsidR="00177848" w:rsidRPr="00C6052E">
        <w:t xml:space="preserve"> </w:t>
      </w:r>
      <w:r w:rsidRPr="00C6052E">
        <w:t>categorised</w:t>
      </w:r>
      <w:r w:rsidR="00177848" w:rsidRPr="00C6052E">
        <w:t xml:space="preserve"> </w:t>
      </w:r>
      <w:r w:rsidRPr="00C6052E">
        <w:t>as</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at</w:t>
      </w:r>
      <w:r w:rsidR="00177848" w:rsidRPr="00C6052E">
        <w:t xml:space="preserve"> </w:t>
      </w:r>
      <w:r w:rsidRPr="00C6052E">
        <w:t>amortised</w:t>
      </w:r>
      <w:r w:rsidR="00177848" w:rsidRPr="00C6052E">
        <w:t xml:space="preserve"> </w:t>
      </w:r>
      <w:r w:rsidRPr="00C6052E">
        <w:t>costs’.</w:t>
      </w:r>
      <w:r w:rsidR="00177848" w:rsidRPr="00C6052E">
        <w:t xml:space="preserve"> </w:t>
      </w:r>
      <w:r w:rsidRPr="00C6052E">
        <w:t>They</w:t>
      </w:r>
      <w:r w:rsidR="00177848" w:rsidRPr="00C6052E">
        <w:t xml:space="preserve"> </w:t>
      </w:r>
      <w:r w:rsidRPr="00C6052E">
        <w:t>are</w:t>
      </w:r>
      <w:r w:rsidR="00177848" w:rsidRPr="00C6052E">
        <w:t xml:space="preserve"> </w:t>
      </w:r>
      <w:r w:rsidRPr="00C6052E">
        <w:t>initially</w:t>
      </w:r>
      <w:r w:rsidR="00177848" w:rsidRPr="00C6052E">
        <w:t xml:space="preserve"> </w:t>
      </w:r>
      <w:r w:rsidRPr="00C6052E">
        <w:t>recognised</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r w:rsidR="00177848" w:rsidRPr="00C6052E">
        <w:t xml:space="preserve"> </w:t>
      </w:r>
      <w:r w:rsidRPr="00C6052E">
        <w:t>plus</w:t>
      </w:r>
      <w:r w:rsidR="00177848" w:rsidRPr="00C6052E">
        <w:t xml:space="preserve"> </w:t>
      </w:r>
      <w:r w:rsidRPr="00C6052E">
        <w:t>any</w:t>
      </w:r>
      <w:r w:rsidR="00177848" w:rsidRPr="00C6052E">
        <w:t xml:space="preserve"> </w:t>
      </w:r>
      <w:r w:rsidRPr="00C6052E">
        <w:t>directly</w:t>
      </w:r>
      <w:r w:rsidR="00177848" w:rsidRPr="00C6052E">
        <w:t xml:space="preserve"> </w:t>
      </w:r>
      <w:r w:rsidRPr="00C6052E">
        <w:t>attributable</w:t>
      </w:r>
      <w:r w:rsidR="00177848" w:rsidRPr="00C6052E">
        <w:t xml:space="preserve"> </w:t>
      </w:r>
      <w:r w:rsidRPr="00C6052E">
        <w:t>transaction</w:t>
      </w:r>
      <w:r w:rsidR="00177848" w:rsidRPr="00C6052E">
        <w:t xml:space="preserve"> </w:t>
      </w:r>
      <w:r w:rsidRPr="00C6052E">
        <w:t>costs.</w:t>
      </w:r>
      <w:r w:rsidR="00177848" w:rsidRPr="00C6052E">
        <w:t xml:space="preserve"> </w:t>
      </w:r>
      <w:r w:rsidRPr="00C6052E">
        <w:t>DJSIR</w:t>
      </w:r>
      <w:r w:rsidR="00177848" w:rsidRPr="00C6052E">
        <w:t xml:space="preserve"> </w:t>
      </w:r>
      <w:r w:rsidRPr="00C6052E">
        <w:t>holds</w:t>
      </w:r>
      <w:r w:rsidR="00177848" w:rsidRPr="00C6052E">
        <w:t xml:space="preserve"> </w:t>
      </w:r>
      <w:r w:rsidRPr="00C6052E">
        <w:t>the</w:t>
      </w:r>
      <w:r w:rsidR="00177848" w:rsidRPr="00C6052E">
        <w:t xml:space="preserve"> </w:t>
      </w:r>
      <w:r w:rsidRPr="00C6052E">
        <w:t>contractual</w:t>
      </w:r>
      <w:r w:rsidR="00177848" w:rsidRPr="00C6052E">
        <w:t xml:space="preserve"> </w:t>
      </w:r>
      <w:r w:rsidRPr="00C6052E">
        <w:t>receivables</w:t>
      </w:r>
      <w:r w:rsidR="00177848" w:rsidRPr="00C6052E">
        <w:t xml:space="preserve"> </w:t>
      </w:r>
      <w:r w:rsidRPr="00C6052E">
        <w:t>with</w:t>
      </w:r>
      <w:r w:rsidR="00177848" w:rsidRPr="00C6052E">
        <w:t xml:space="preserve"> </w:t>
      </w:r>
      <w:r w:rsidRPr="00C6052E">
        <w:t>the</w:t>
      </w:r>
      <w:r w:rsidR="00177848" w:rsidRPr="00C6052E">
        <w:t xml:space="preserve"> </w:t>
      </w:r>
      <w:r w:rsidRPr="00C6052E">
        <w:t>objective</w:t>
      </w:r>
      <w:r w:rsidR="00177848" w:rsidRPr="00C6052E">
        <w:t xml:space="preserve"> </w:t>
      </w:r>
      <w:r w:rsidRPr="00C6052E">
        <w:t>to</w:t>
      </w:r>
      <w:r w:rsidR="00177848" w:rsidRPr="00C6052E">
        <w:t xml:space="preserve"> </w:t>
      </w:r>
      <w:r w:rsidRPr="00C6052E">
        <w:t>collect</w:t>
      </w:r>
      <w:r w:rsidR="00177848" w:rsidRPr="00C6052E">
        <w:t xml:space="preserve"> </w:t>
      </w:r>
      <w:r w:rsidRPr="00C6052E">
        <w:t>the</w:t>
      </w:r>
      <w:r w:rsidR="00177848" w:rsidRPr="00C6052E">
        <w:t xml:space="preserve"> </w:t>
      </w:r>
      <w:r w:rsidRPr="00C6052E">
        <w:t>contractual</w:t>
      </w:r>
      <w:r w:rsidR="00177848" w:rsidRPr="00C6052E">
        <w:t xml:space="preserve"> </w:t>
      </w:r>
      <w:r w:rsidRPr="00C6052E">
        <w:t>cash</w:t>
      </w:r>
      <w:r w:rsidR="00177848" w:rsidRPr="00C6052E">
        <w:t xml:space="preserve"> </w:t>
      </w:r>
      <w:r w:rsidRPr="00C6052E">
        <w:t>flows</w:t>
      </w:r>
      <w:r w:rsidR="00177848" w:rsidRPr="00C6052E">
        <w:t xml:space="preserve"> </w:t>
      </w:r>
      <w:r w:rsidRPr="00C6052E">
        <w:t>and</w:t>
      </w:r>
      <w:r w:rsidR="00177848" w:rsidRPr="00C6052E">
        <w:t xml:space="preserve"> </w:t>
      </w:r>
      <w:r w:rsidRPr="00C6052E">
        <w:t>therefore</w:t>
      </w:r>
      <w:r w:rsidR="00177848" w:rsidRPr="00C6052E">
        <w:t xml:space="preserve"> </w:t>
      </w:r>
      <w:r w:rsidRPr="00C6052E">
        <w:t>subsequently</w:t>
      </w:r>
      <w:r w:rsidR="00177848" w:rsidRPr="00C6052E">
        <w:t xml:space="preserve"> </w:t>
      </w:r>
      <w:r w:rsidRPr="00C6052E">
        <w:t>measured</w:t>
      </w:r>
      <w:r w:rsidR="00177848" w:rsidRPr="00C6052E">
        <w:t xml:space="preserve"> </w:t>
      </w:r>
      <w:r w:rsidRPr="00C6052E">
        <w:t>at</w:t>
      </w:r>
      <w:r w:rsidR="00177848" w:rsidRPr="00C6052E">
        <w:t xml:space="preserve"> </w:t>
      </w:r>
      <w:r w:rsidRPr="00C6052E">
        <w:t>amortised</w:t>
      </w:r>
      <w:r w:rsidR="00177848" w:rsidRPr="00C6052E">
        <w:t xml:space="preserve"> </w:t>
      </w:r>
      <w:r w:rsidRPr="00C6052E">
        <w:t>cost</w:t>
      </w:r>
      <w:r w:rsidR="00177848" w:rsidRPr="00C6052E">
        <w:t xml:space="preserve"> </w:t>
      </w:r>
      <w:r w:rsidRPr="00C6052E">
        <w:t>using</w:t>
      </w:r>
      <w:r w:rsidR="00177848" w:rsidRPr="00C6052E">
        <w:t xml:space="preserve"> </w:t>
      </w:r>
      <w:r w:rsidRPr="00C6052E">
        <w:t>the</w:t>
      </w:r>
      <w:r w:rsidR="00177848" w:rsidRPr="00C6052E">
        <w:t xml:space="preserve"> </w:t>
      </w:r>
      <w:r w:rsidRPr="00C6052E">
        <w:t>effective</w:t>
      </w:r>
      <w:r w:rsidR="00177848" w:rsidRPr="00C6052E">
        <w:t xml:space="preserve"> </w:t>
      </w:r>
      <w:r w:rsidRPr="00C6052E">
        <w:t>interest</w:t>
      </w:r>
      <w:r w:rsidR="00177848" w:rsidRPr="00C6052E">
        <w:t xml:space="preserve"> </w:t>
      </w:r>
      <w:r w:rsidRPr="00C6052E">
        <w:t>method,</w:t>
      </w:r>
      <w:r w:rsidR="00177848" w:rsidRPr="00C6052E">
        <w:t xml:space="preserve"> </w:t>
      </w:r>
      <w:r w:rsidRPr="00C6052E">
        <w:t>less</w:t>
      </w:r>
      <w:r w:rsidR="00177848" w:rsidRPr="00C6052E">
        <w:t xml:space="preserve"> </w:t>
      </w:r>
      <w:r w:rsidRPr="00C6052E">
        <w:t>any</w:t>
      </w:r>
      <w:r w:rsidR="00177848" w:rsidRPr="00C6052E">
        <w:t xml:space="preserve"> </w:t>
      </w:r>
      <w:r w:rsidRPr="00C6052E">
        <w:t>impairment.</w:t>
      </w:r>
    </w:p>
    <w:p w14:paraId="5052B0B6" w14:textId="757F7098" w:rsidR="00EE5BB8" w:rsidRPr="00C6052E" w:rsidRDefault="00EE5BB8" w:rsidP="00EE5BB8">
      <w:r w:rsidRPr="00C6052E">
        <w:rPr>
          <w:rStyle w:val="Medium"/>
        </w:rPr>
        <w:t>Statutory</w:t>
      </w:r>
      <w:r w:rsidR="00177848" w:rsidRPr="00C6052E">
        <w:rPr>
          <w:rStyle w:val="Medium"/>
        </w:rPr>
        <w:t xml:space="preserve"> </w:t>
      </w:r>
      <w:r w:rsidRPr="00C6052E">
        <w:rPr>
          <w:rStyle w:val="Medium"/>
        </w:rPr>
        <w:t>receivables</w:t>
      </w:r>
      <w:r w:rsidR="00177848" w:rsidRPr="00C6052E">
        <w:t xml:space="preserve"> </w:t>
      </w:r>
      <w:r w:rsidRPr="00C6052E">
        <w:t>do</w:t>
      </w:r>
      <w:r w:rsidR="00177848" w:rsidRPr="00C6052E">
        <w:t xml:space="preserve"> </w:t>
      </w:r>
      <w:r w:rsidRPr="00C6052E">
        <w:t>not</w:t>
      </w:r>
      <w:r w:rsidR="00177848" w:rsidRPr="00C6052E">
        <w:t xml:space="preserve"> </w:t>
      </w:r>
      <w:r w:rsidRPr="00C6052E">
        <w:t>arise</w:t>
      </w:r>
      <w:r w:rsidR="00177848" w:rsidRPr="00C6052E">
        <w:t xml:space="preserve"> </w:t>
      </w:r>
      <w:r w:rsidRPr="00C6052E">
        <w:t>from</w:t>
      </w:r>
      <w:r w:rsidR="00177848" w:rsidRPr="00C6052E">
        <w:t xml:space="preserve"> </w:t>
      </w:r>
      <w:r w:rsidRPr="00C6052E">
        <w:t>contracts</w:t>
      </w:r>
      <w:r w:rsidR="00177848" w:rsidRPr="00C6052E">
        <w:t xml:space="preserve"> </w:t>
      </w:r>
      <w:r w:rsidRPr="00C6052E">
        <w:t>and</w:t>
      </w:r>
      <w:r w:rsidR="00177848" w:rsidRPr="00C6052E">
        <w:t xml:space="preserve"> </w:t>
      </w:r>
      <w:r w:rsidRPr="00C6052E">
        <w:t>are</w:t>
      </w:r>
      <w:r w:rsidR="00177848" w:rsidRPr="00C6052E">
        <w:t xml:space="preserve"> </w:t>
      </w:r>
      <w:r w:rsidRPr="00C6052E">
        <w:t>recognised</w:t>
      </w:r>
      <w:r w:rsidR="00177848" w:rsidRPr="00C6052E">
        <w:t xml:space="preserve"> </w:t>
      </w:r>
      <w:r w:rsidRPr="00C6052E">
        <w:t>and</w:t>
      </w:r>
      <w:r w:rsidR="00177848" w:rsidRPr="00C6052E">
        <w:t xml:space="preserve"> </w:t>
      </w:r>
      <w:r w:rsidRPr="00C6052E">
        <w:t>measured</w:t>
      </w:r>
      <w:r w:rsidR="00177848" w:rsidRPr="00C6052E">
        <w:t xml:space="preserve"> </w:t>
      </w:r>
      <w:r w:rsidRPr="00C6052E">
        <w:t>similarly</w:t>
      </w:r>
      <w:r w:rsidR="00177848" w:rsidRPr="00C6052E">
        <w:t xml:space="preserve"> </w:t>
      </w:r>
      <w:r w:rsidRPr="00C6052E">
        <w:t>to</w:t>
      </w:r>
      <w:r w:rsidR="00177848" w:rsidRPr="00C6052E">
        <w:t xml:space="preserve"> </w:t>
      </w:r>
      <w:r w:rsidRPr="00C6052E">
        <w:t>contractual</w:t>
      </w:r>
      <w:r w:rsidR="00177848" w:rsidRPr="00C6052E">
        <w:t xml:space="preserve"> </w:t>
      </w:r>
      <w:r w:rsidRPr="00C6052E">
        <w:t>receivables</w:t>
      </w:r>
      <w:r w:rsidR="00177848" w:rsidRPr="00C6052E">
        <w:t xml:space="preserve"> </w:t>
      </w:r>
      <w:r w:rsidRPr="00C6052E">
        <w:t>(except</w:t>
      </w:r>
      <w:r w:rsidR="00177848" w:rsidRPr="00C6052E">
        <w:t xml:space="preserve"> </w:t>
      </w:r>
      <w:r w:rsidRPr="00C6052E">
        <w:t>for</w:t>
      </w:r>
      <w:r w:rsidR="00177848" w:rsidRPr="00C6052E">
        <w:t xml:space="preserve"> </w:t>
      </w:r>
      <w:r w:rsidRPr="00C6052E">
        <w:t>impairment)</w:t>
      </w:r>
      <w:r w:rsidR="00177848" w:rsidRPr="00C6052E">
        <w:t xml:space="preserve"> </w:t>
      </w:r>
      <w:r w:rsidRPr="00C6052E">
        <w:t>but</w:t>
      </w:r>
      <w:r w:rsidR="00177848" w:rsidRPr="00C6052E">
        <w:t xml:space="preserve"> </w:t>
      </w:r>
      <w:r w:rsidRPr="00C6052E">
        <w:t>are</w:t>
      </w:r>
      <w:r w:rsidR="00177848" w:rsidRPr="00C6052E">
        <w:t xml:space="preserve"> </w:t>
      </w:r>
      <w:r w:rsidRPr="00C6052E">
        <w:t>not</w:t>
      </w:r>
      <w:r w:rsidR="00177848" w:rsidRPr="00C6052E">
        <w:t xml:space="preserve"> </w:t>
      </w:r>
      <w:r w:rsidRPr="00C6052E">
        <w:t>classified</w:t>
      </w:r>
      <w:r w:rsidR="00177848" w:rsidRPr="00C6052E">
        <w:t xml:space="preserve"> </w:t>
      </w:r>
      <w:r w:rsidRPr="00C6052E">
        <w:t>as</w:t>
      </w:r>
      <w:r w:rsidR="00177848" w:rsidRPr="00C6052E">
        <w:t xml:space="preserve"> </w:t>
      </w:r>
      <w:r w:rsidRPr="00C6052E">
        <w:t>financial</w:t>
      </w:r>
      <w:r w:rsidR="00177848" w:rsidRPr="00C6052E">
        <w:t xml:space="preserve"> </w:t>
      </w:r>
      <w:r w:rsidRPr="00C6052E">
        <w:t>instruments</w:t>
      </w:r>
      <w:r w:rsidR="00177848" w:rsidRPr="00C6052E">
        <w:t xml:space="preserve"> </w:t>
      </w:r>
      <w:r w:rsidRPr="00C6052E">
        <w:t>for</w:t>
      </w:r>
      <w:r w:rsidR="00177848" w:rsidRPr="00C6052E">
        <w:t xml:space="preserve"> </w:t>
      </w:r>
      <w:r w:rsidRPr="00C6052E">
        <w:t>disclosure</w:t>
      </w:r>
      <w:r w:rsidR="00177848" w:rsidRPr="00C6052E">
        <w:t xml:space="preserve"> </w:t>
      </w:r>
      <w:r w:rsidRPr="00C6052E">
        <w:t>purposes.</w:t>
      </w:r>
      <w:r w:rsidR="00177848" w:rsidRPr="00C6052E">
        <w:t xml:space="preserve"> </w:t>
      </w:r>
      <w:r w:rsidRPr="00C6052E">
        <w:t>DJSIR</w:t>
      </w:r>
      <w:r w:rsidR="00177848" w:rsidRPr="00C6052E">
        <w:t xml:space="preserve"> </w:t>
      </w:r>
      <w:r w:rsidRPr="00C6052E">
        <w:t>applies</w:t>
      </w:r>
      <w:r w:rsidR="00177848" w:rsidRPr="00C6052E">
        <w:t xml:space="preserve"> </w:t>
      </w:r>
      <w:r w:rsidRPr="00C6052E">
        <w:t>AASB</w:t>
      </w:r>
      <w:r w:rsidR="00177848" w:rsidRPr="00C6052E">
        <w:t xml:space="preserve"> </w:t>
      </w:r>
      <w:r w:rsidRPr="00C6052E">
        <w:t>9</w:t>
      </w:r>
      <w:r w:rsidR="00177848" w:rsidRPr="00C6052E">
        <w:t xml:space="preserve"> </w:t>
      </w:r>
      <w:r w:rsidRPr="00C6052E">
        <w:t>for</w:t>
      </w:r>
      <w:r w:rsidR="00177848" w:rsidRPr="00C6052E">
        <w:t xml:space="preserve"> </w:t>
      </w:r>
      <w:r w:rsidRPr="00C6052E">
        <w:t>initial</w:t>
      </w:r>
      <w:r w:rsidR="00177848" w:rsidRPr="00C6052E">
        <w:t xml:space="preserve"> </w:t>
      </w:r>
      <w:r w:rsidRPr="00C6052E">
        <w:t>measurement</w:t>
      </w:r>
      <w:r w:rsidR="00177848" w:rsidRPr="00C6052E">
        <w:t xml:space="preserve"> </w:t>
      </w:r>
      <w:r w:rsidRPr="00C6052E">
        <w:t>of</w:t>
      </w:r>
      <w:r w:rsidR="00177848" w:rsidRPr="00C6052E">
        <w:t xml:space="preserve"> </w:t>
      </w:r>
      <w:r w:rsidRPr="00C6052E">
        <w:t>the</w:t>
      </w:r>
      <w:r w:rsidR="00177848" w:rsidRPr="00C6052E">
        <w:t xml:space="preserve"> </w:t>
      </w:r>
      <w:r w:rsidRPr="00C6052E">
        <w:t>statutory</w:t>
      </w:r>
      <w:r w:rsidR="00177848" w:rsidRPr="00C6052E">
        <w:t xml:space="preserve"> </w:t>
      </w:r>
      <w:r w:rsidRPr="00C6052E">
        <w:t>receivables</w:t>
      </w:r>
      <w:r w:rsidR="00177848" w:rsidRPr="00C6052E">
        <w:t xml:space="preserve"> </w:t>
      </w:r>
      <w:r w:rsidRPr="00C6052E">
        <w:t>and</w:t>
      </w:r>
      <w:r w:rsidR="00177848" w:rsidRPr="00C6052E">
        <w:t xml:space="preserve"> </w:t>
      </w:r>
      <w:r w:rsidRPr="00C6052E">
        <w:t>as</w:t>
      </w:r>
      <w:r w:rsidR="00177848" w:rsidRPr="00C6052E">
        <w:t xml:space="preserve"> </w:t>
      </w:r>
      <w:r w:rsidRPr="00C6052E">
        <w:t>a</w:t>
      </w:r>
      <w:r w:rsidR="00177848" w:rsidRPr="00C6052E">
        <w:t xml:space="preserve"> </w:t>
      </w:r>
      <w:r w:rsidRPr="00C6052E">
        <w:t>result</w:t>
      </w:r>
      <w:r w:rsidR="00177848" w:rsidRPr="00C6052E">
        <w:t xml:space="preserve"> </w:t>
      </w:r>
      <w:r w:rsidRPr="00C6052E">
        <w:t>statutory</w:t>
      </w:r>
      <w:r w:rsidR="00177848" w:rsidRPr="00C6052E">
        <w:t xml:space="preserve"> </w:t>
      </w:r>
      <w:r w:rsidRPr="00C6052E">
        <w:t>receivables</w:t>
      </w:r>
      <w:r w:rsidR="00177848" w:rsidRPr="00C6052E">
        <w:t xml:space="preserve"> </w:t>
      </w:r>
      <w:r w:rsidRPr="00C6052E">
        <w:t>are</w:t>
      </w:r>
      <w:r w:rsidR="00177848" w:rsidRPr="00C6052E">
        <w:t xml:space="preserve"> </w:t>
      </w:r>
      <w:r w:rsidRPr="00C6052E">
        <w:t>initially</w:t>
      </w:r>
      <w:r w:rsidR="00177848" w:rsidRPr="00C6052E">
        <w:t xml:space="preserve"> </w:t>
      </w:r>
      <w:r w:rsidRPr="00C6052E">
        <w:t>recognised</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r w:rsidR="00177848" w:rsidRPr="00C6052E">
        <w:t xml:space="preserve"> </w:t>
      </w:r>
      <w:r w:rsidRPr="00C6052E">
        <w:t>plus</w:t>
      </w:r>
      <w:r w:rsidR="00177848" w:rsidRPr="00C6052E">
        <w:t xml:space="preserve"> </w:t>
      </w:r>
      <w:r w:rsidRPr="00C6052E">
        <w:t>any</w:t>
      </w:r>
      <w:r w:rsidR="00177848" w:rsidRPr="00C6052E">
        <w:t xml:space="preserve"> </w:t>
      </w:r>
      <w:r w:rsidRPr="00C6052E">
        <w:t>directly</w:t>
      </w:r>
      <w:r w:rsidR="00177848" w:rsidRPr="00C6052E">
        <w:t xml:space="preserve"> </w:t>
      </w:r>
      <w:r w:rsidRPr="00C6052E">
        <w:t>attributable</w:t>
      </w:r>
      <w:r w:rsidR="00177848" w:rsidRPr="00C6052E">
        <w:t xml:space="preserve"> </w:t>
      </w:r>
      <w:r w:rsidRPr="00C6052E">
        <w:t>transaction</w:t>
      </w:r>
      <w:r w:rsidR="00177848" w:rsidRPr="00C6052E">
        <w:t xml:space="preserve"> </w:t>
      </w:r>
      <w:r w:rsidRPr="00C6052E">
        <w:t>cost.</w:t>
      </w:r>
      <w:r w:rsidR="00177848" w:rsidRPr="00C6052E">
        <w:t xml:space="preserve"> </w:t>
      </w:r>
      <w:r w:rsidRPr="00C6052E">
        <w:t>Amounts</w:t>
      </w:r>
      <w:r w:rsidR="00177848" w:rsidRPr="00C6052E">
        <w:t xml:space="preserve"> </w:t>
      </w:r>
      <w:r w:rsidRPr="00C6052E">
        <w:t>recognised</w:t>
      </w:r>
      <w:r w:rsidR="00177848" w:rsidRPr="00C6052E">
        <w:t xml:space="preserve"> </w:t>
      </w:r>
      <w:r w:rsidRPr="00C6052E">
        <w:t>from</w:t>
      </w:r>
      <w:r w:rsidR="00177848" w:rsidRPr="00C6052E">
        <w:t xml:space="preserve"> </w:t>
      </w:r>
      <w:r w:rsidRPr="00C6052E">
        <w:t>the</w:t>
      </w:r>
      <w:r w:rsidR="00177848" w:rsidRPr="00C6052E">
        <w:t xml:space="preserve"> </w:t>
      </w:r>
      <w:r w:rsidRPr="00C6052E">
        <w:t>Victorian</w:t>
      </w:r>
      <w:r w:rsidR="00177848" w:rsidRPr="00C6052E">
        <w:t xml:space="preserve"> </w:t>
      </w:r>
      <w:r w:rsidRPr="00C6052E">
        <w:t>Government</w:t>
      </w:r>
      <w:r w:rsidR="00177848" w:rsidRPr="00C6052E">
        <w:t xml:space="preserve"> </w:t>
      </w:r>
      <w:r w:rsidRPr="00C6052E">
        <w:t>represent</w:t>
      </w:r>
      <w:r w:rsidR="00177848" w:rsidRPr="00C6052E">
        <w:t xml:space="preserve"> </w:t>
      </w:r>
      <w:r w:rsidRPr="00C6052E">
        <w:t>funding</w:t>
      </w:r>
      <w:r w:rsidR="00177848" w:rsidRPr="00C6052E">
        <w:t xml:space="preserve"> </w:t>
      </w:r>
      <w:r w:rsidRPr="00C6052E">
        <w:t>for</w:t>
      </w:r>
      <w:r w:rsidR="00177848" w:rsidRPr="00C6052E">
        <w:t xml:space="preserve"> </w:t>
      </w:r>
      <w:r w:rsidRPr="00C6052E">
        <w:t>all</w:t>
      </w:r>
      <w:r w:rsidR="00177848" w:rsidRPr="00C6052E">
        <w:t xml:space="preserve"> </w:t>
      </w:r>
      <w:r w:rsidRPr="00C6052E">
        <w:t>commitments</w:t>
      </w:r>
      <w:r w:rsidR="00177848" w:rsidRPr="00C6052E">
        <w:t xml:space="preserve"> </w:t>
      </w:r>
      <w:r w:rsidRPr="00C6052E">
        <w:t>incurred</w:t>
      </w:r>
      <w:r w:rsidR="00177848" w:rsidRPr="00C6052E">
        <w:t xml:space="preserve"> </w:t>
      </w:r>
      <w:r w:rsidRPr="00C6052E">
        <w:t>and</w:t>
      </w:r>
      <w:r w:rsidR="00177848" w:rsidRPr="00C6052E">
        <w:t xml:space="preserve"> </w:t>
      </w:r>
      <w:r w:rsidRPr="00C6052E">
        <w:t>are</w:t>
      </w:r>
      <w:r w:rsidR="00177848" w:rsidRPr="00C6052E">
        <w:t xml:space="preserve"> </w:t>
      </w:r>
      <w:r w:rsidRPr="00C6052E">
        <w:t>drawn</w:t>
      </w:r>
      <w:r w:rsidR="00177848" w:rsidRPr="00C6052E">
        <w:t xml:space="preserve"> </w:t>
      </w:r>
      <w:r w:rsidRPr="00C6052E">
        <w:t>from</w:t>
      </w:r>
      <w:r w:rsidR="00177848" w:rsidRPr="00C6052E">
        <w:t xml:space="preserve"> </w:t>
      </w:r>
      <w:r w:rsidRPr="00C6052E">
        <w:t>the</w:t>
      </w:r>
      <w:r w:rsidR="00177848" w:rsidRPr="00C6052E">
        <w:t xml:space="preserve"> </w:t>
      </w:r>
      <w:r w:rsidRPr="00C6052E">
        <w:t>Consolidated</w:t>
      </w:r>
      <w:r w:rsidR="00177848" w:rsidRPr="00C6052E">
        <w:t xml:space="preserve"> </w:t>
      </w:r>
      <w:r w:rsidRPr="00C6052E">
        <w:t>Fund</w:t>
      </w:r>
      <w:r w:rsidR="00177848" w:rsidRPr="00C6052E">
        <w:t xml:space="preserve"> </w:t>
      </w:r>
      <w:r w:rsidRPr="00C6052E">
        <w:t>as</w:t>
      </w:r>
      <w:r w:rsidR="00177848" w:rsidRPr="00C6052E">
        <w:t xml:space="preserve"> </w:t>
      </w:r>
      <w:r w:rsidRPr="00C6052E">
        <w:t>the</w:t>
      </w:r>
      <w:r w:rsidR="00177848" w:rsidRPr="00C6052E">
        <w:t xml:space="preserve"> </w:t>
      </w:r>
      <w:r w:rsidRPr="00C6052E">
        <w:t>commitments</w:t>
      </w:r>
      <w:r w:rsidR="00177848" w:rsidRPr="00C6052E">
        <w:t xml:space="preserve"> </w:t>
      </w:r>
      <w:r w:rsidRPr="00C6052E">
        <w:t>fall</w:t>
      </w:r>
      <w:r w:rsidR="00177848" w:rsidRPr="00C6052E">
        <w:t xml:space="preserve"> </w:t>
      </w:r>
      <w:r w:rsidRPr="00C6052E">
        <w:t>due.</w:t>
      </w:r>
    </w:p>
    <w:p w14:paraId="0F52120F" w14:textId="7BEDB5A3" w:rsidR="00EE5BB8" w:rsidRPr="00C6052E" w:rsidRDefault="00EE5BB8" w:rsidP="00EE5BB8">
      <w:r w:rsidRPr="00C6052E">
        <w:t>Details</w:t>
      </w:r>
      <w:r w:rsidR="00177848" w:rsidRPr="00C6052E">
        <w:t xml:space="preserve"> </w:t>
      </w:r>
      <w:r w:rsidRPr="00C6052E">
        <w:t>about</w:t>
      </w:r>
      <w:r w:rsidR="00177848" w:rsidRPr="00C6052E">
        <w:t xml:space="preserve"> </w:t>
      </w:r>
      <w:r w:rsidRPr="00C6052E">
        <w:t>DJSIR’s</w:t>
      </w:r>
      <w:r w:rsidR="00177848" w:rsidRPr="00C6052E">
        <w:t xml:space="preserve"> </w:t>
      </w:r>
      <w:r w:rsidRPr="00C6052E">
        <w:t>impairment</w:t>
      </w:r>
      <w:r w:rsidR="00177848" w:rsidRPr="00C6052E">
        <w:t xml:space="preserve"> </w:t>
      </w:r>
      <w:r w:rsidRPr="00C6052E">
        <w:t>policies</w:t>
      </w:r>
      <w:r w:rsidR="00177848" w:rsidRPr="00C6052E">
        <w:t xml:space="preserve"> </w:t>
      </w:r>
      <w:r w:rsidRPr="00C6052E">
        <w:t>and</w:t>
      </w:r>
      <w:r w:rsidR="00177848" w:rsidRPr="00C6052E">
        <w:t xml:space="preserve"> </w:t>
      </w:r>
      <w:r w:rsidRPr="00C6052E">
        <w:t>the</w:t>
      </w:r>
      <w:r w:rsidR="00177848" w:rsidRPr="00C6052E">
        <w:t xml:space="preserve"> </w:t>
      </w:r>
      <w:r w:rsidRPr="00C6052E">
        <w:t>exposure</w:t>
      </w:r>
      <w:r w:rsidR="00177848" w:rsidRPr="00C6052E">
        <w:t xml:space="preserve"> </w:t>
      </w:r>
      <w:r w:rsidRPr="00C6052E">
        <w:t>to</w:t>
      </w:r>
      <w:r w:rsidR="00177848" w:rsidRPr="00C6052E">
        <w:t xml:space="preserve"> </w:t>
      </w:r>
      <w:r w:rsidRPr="00C6052E">
        <w:t>credit</w:t>
      </w:r>
      <w:r w:rsidR="00177848" w:rsidRPr="00C6052E">
        <w:t xml:space="preserve"> </w:t>
      </w:r>
      <w:r w:rsidRPr="00C6052E">
        <w:t>risk</w:t>
      </w:r>
      <w:r w:rsidR="00177848" w:rsidRPr="00C6052E">
        <w:t xml:space="preserve"> </w:t>
      </w:r>
      <w:r w:rsidRPr="00C6052E">
        <w:t>are</w:t>
      </w:r>
      <w:r w:rsidR="00177848" w:rsidRPr="00C6052E">
        <w:t xml:space="preserve"> </w:t>
      </w:r>
      <w:r w:rsidRPr="00C6052E">
        <w:t>set</w:t>
      </w:r>
      <w:r w:rsidR="00177848" w:rsidRPr="00C6052E">
        <w:t xml:space="preserve"> </w:t>
      </w:r>
      <w:r w:rsidRPr="00C6052E">
        <w:t>out</w:t>
      </w:r>
      <w:r w:rsidR="00177848" w:rsidRPr="00C6052E">
        <w:t xml:space="preserve"> </w:t>
      </w:r>
      <w:r w:rsidRPr="00C6052E">
        <w:t>in</w:t>
      </w:r>
      <w:r w:rsidR="00177848" w:rsidRPr="00C6052E">
        <w:t xml:space="preserve"> </w:t>
      </w:r>
      <w:r w:rsidRPr="00C6052E">
        <w:t>Note</w:t>
      </w:r>
      <w:r w:rsidR="00177848" w:rsidRPr="00C6052E">
        <w:t xml:space="preserve"> </w:t>
      </w:r>
      <w:r w:rsidRPr="00C6052E">
        <w:fldChar w:fldCharType="begin"/>
      </w:r>
      <w:r w:rsidRPr="00C6052E">
        <w:instrText xml:space="preserve"> REF _Ref190163863 \r \h </w:instrText>
      </w:r>
      <w:r w:rsidRPr="00C6052E">
        <w:fldChar w:fldCharType="separate"/>
      </w:r>
      <w:r w:rsidRPr="00C6052E">
        <w:t>8.1.3</w:t>
      </w:r>
      <w:r w:rsidRPr="00C6052E">
        <w:fldChar w:fldCharType="end"/>
      </w:r>
      <w:r w:rsidRPr="00C6052E">
        <w:t>.</w:t>
      </w:r>
    </w:p>
    <w:p w14:paraId="5A8B780E" w14:textId="50A04851" w:rsidR="00EE5BB8" w:rsidRPr="00C6052E" w:rsidRDefault="00EE5BB8" w:rsidP="00C6052E">
      <w:pPr>
        <w:pStyle w:val="Heading2numbered0"/>
      </w:pPr>
      <w:bookmarkStart w:id="247" w:name="_Toc163565972"/>
      <w:bookmarkStart w:id="248" w:name="_Ref209444935"/>
      <w:bookmarkStart w:id="249" w:name="_Ref209444944"/>
      <w:r w:rsidRPr="00C6052E">
        <w:t>Payables</w:t>
      </w:r>
      <w:bookmarkEnd w:id="247"/>
      <w:bookmarkEnd w:id="248"/>
      <w:bookmarkEnd w:id="249"/>
      <w:r w:rsidR="002A4825">
        <w:t xml:space="preserve"> </w:t>
      </w:r>
    </w:p>
    <w:tbl>
      <w:tblPr>
        <w:tblStyle w:val="TableGrid"/>
        <w:tblW w:w="9701" w:type="dxa"/>
        <w:tblLayout w:type="fixed"/>
        <w:tblLook w:val="04A0" w:firstRow="1" w:lastRow="0" w:firstColumn="1" w:lastColumn="0" w:noHBand="0" w:noVBand="1"/>
      </w:tblPr>
      <w:tblGrid>
        <w:gridCol w:w="6799"/>
        <w:gridCol w:w="1451"/>
        <w:gridCol w:w="1451"/>
      </w:tblGrid>
      <w:tr w:rsidR="00EE5BB8" w:rsidRPr="00C6052E" w14:paraId="2F73A7D9" w14:textId="77777777" w:rsidTr="00EA7A88">
        <w:tc>
          <w:tcPr>
            <w:tcW w:w="6799" w:type="dxa"/>
            <w:noWrap/>
            <w:hideMark/>
          </w:tcPr>
          <w:p w14:paraId="48C1F833" w14:textId="77777777" w:rsidR="00EE5BB8" w:rsidRPr="00C6052E" w:rsidRDefault="00EE5BB8" w:rsidP="00EA7A88">
            <w:pPr>
              <w:pStyle w:val="TableColumnHeading"/>
            </w:pPr>
            <w:bookmarkStart w:id="250" w:name="TableColumnHeadings_74"/>
            <w:bookmarkEnd w:id="250"/>
          </w:p>
        </w:tc>
        <w:tc>
          <w:tcPr>
            <w:tcW w:w="1451" w:type="dxa"/>
            <w:hideMark/>
          </w:tcPr>
          <w:p w14:paraId="545BAB7F" w14:textId="300322A5" w:rsidR="00EE5BB8" w:rsidRPr="00C6052E" w:rsidRDefault="00EE5BB8" w:rsidP="00EA7A88">
            <w:pPr>
              <w:pStyle w:val="TableColumnHeading"/>
              <w:jc w:val="right"/>
            </w:pPr>
            <w:r w:rsidRPr="00C6052E">
              <w:t>2025</w:t>
            </w:r>
            <w:r w:rsidR="00104228">
              <w:br/>
            </w:r>
            <w:r w:rsidR="00104228" w:rsidRPr="00C6052E">
              <w:t>($ thousand)</w:t>
            </w:r>
          </w:p>
        </w:tc>
        <w:tc>
          <w:tcPr>
            <w:tcW w:w="1451" w:type="dxa"/>
            <w:hideMark/>
          </w:tcPr>
          <w:p w14:paraId="5BCF0159" w14:textId="4051278F" w:rsidR="00EE5BB8" w:rsidRPr="00C6052E" w:rsidRDefault="00EE5BB8" w:rsidP="00EA7A88">
            <w:pPr>
              <w:pStyle w:val="TableColumnHeading"/>
              <w:jc w:val="right"/>
            </w:pPr>
            <w:r w:rsidRPr="00C6052E">
              <w:t>2024</w:t>
            </w:r>
            <w:r w:rsidR="00104228">
              <w:br/>
            </w:r>
            <w:r w:rsidR="00104228" w:rsidRPr="00C6052E">
              <w:t>($ thousand)</w:t>
            </w:r>
          </w:p>
        </w:tc>
      </w:tr>
      <w:tr w:rsidR="00EA7A88" w:rsidRPr="00C6052E" w14:paraId="706DD225" w14:textId="77777777" w:rsidTr="00C8077F">
        <w:tc>
          <w:tcPr>
            <w:tcW w:w="6799" w:type="dxa"/>
          </w:tcPr>
          <w:p w14:paraId="564EB63D" w14:textId="099D42F8" w:rsidR="00EA7A88" w:rsidRPr="00C6052E" w:rsidRDefault="00EA7A88" w:rsidP="00EA7A88">
            <w:pPr>
              <w:pStyle w:val="TableHeading"/>
            </w:pPr>
            <w:r w:rsidRPr="00C6052E">
              <w:t>Contractual</w:t>
            </w:r>
          </w:p>
        </w:tc>
        <w:tc>
          <w:tcPr>
            <w:tcW w:w="1451" w:type="dxa"/>
            <w:noWrap/>
          </w:tcPr>
          <w:p w14:paraId="24B22777" w14:textId="77777777" w:rsidR="00EA7A88" w:rsidRPr="00C6052E" w:rsidRDefault="00EA7A88" w:rsidP="00EA7A88">
            <w:pPr>
              <w:pStyle w:val="TableHeading"/>
              <w:jc w:val="right"/>
            </w:pPr>
          </w:p>
        </w:tc>
        <w:tc>
          <w:tcPr>
            <w:tcW w:w="1451" w:type="dxa"/>
            <w:noWrap/>
          </w:tcPr>
          <w:p w14:paraId="61A0C9E2" w14:textId="77777777" w:rsidR="00EA7A88" w:rsidRPr="00C6052E" w:rsidRDefault="00EA7A88" w:rsidP="00EA7A88">
            <w:pPr>
              <w:pStyle w:val="TableHeading"/>
              <w:jc w:val="right"/>
            </w:pPr>
          </w:p>
        </w:tc>
      </w:tr>
      <w:tr w:rsidR="00EE5BB8" w:rsidRPr="00C6052E" w14:paraId="6E3E2F00" w14:textId="77777777" w:rsidTr="00EA7A88">
        <w:tc>
          <w:tcPr>
            <w:tcW w:w="6799" w:type="dxa"/>
            <w:hideMark/>
          </w:tcPr>
          <w:p w14:paraId="0B1CE5A6" w14:textId="067BF3BE" w:rsidR="00EE5BB8" w:rsidRPr="00C6052E" w:rsidRDefault="00EE5BB8" w:rsidP="0063097D">
            <w:pPr>
              <w:pStyle w:val="TableCopy"/>
            </w:pPr>
            <w:r w:rsidRPr="00C6052E">
              <w:t>Supplies</w:t>
            </w:r>
            <w:r w:rsidR="00177848" w:rsidRPr="00C6052E">
              <w:t xml:space="preserve"> </w:t>
            </w:r>
            <w:r w:rsidRPr="00C6052E">
              <w:t>and</w:t>
            </w:r>
            <w:r w:rsidR="00177848" w:rsidRPr="00C6052E">
              <w:t xml:space="preserve"> </w:t>
            </w:r>
            <w:r w:rsidRPr="00C6052E">
              <w:t>services</w:t>
            </w:r>
            <w:r w:rsidR="00177848" w:rsidRPr="00C6052E">
              <w:t xml:space="preserve"> </w:t>
            </w:r>
          </w:p>
        </w:tc>
        <w:tc>
          <w:tcPr>
            <w:tcW w:w="1451" w:type="dxa"/>
            <w:noWrap/>
            <w:hideMark/>
          </w:tcPr>
          <w:p w14:paraId="6EA2DA0F" w14:textId="77777777" w:rsidR="00EE5BB8" w:rsidRPr="00C6052E" w:rsidRDefault="00EE5BB8" w:rsidP="00EA7A88">
            <w:pPr>
              <w:pStyle w:val="TableCopy"/>
              <w:jc w:val="right"/>
            </w:pPr>
            <w:r w:rsidRPr="00C6052E">
              <w:t>13,205</w:t>
            </w:r>
          </w:p>
        </w:tc>
        <w:tc>
          <w:tcPr>
            <w:tcW w:w="1451" w:type="dxa"/>
            <w:noWrap/>
            <w:hideMark/>
          </w:tcPr>
          <w:p w14:paraId="78945999" w14:textId="77777777" w:rsidR="00EE5BB8" w:rsidRPr="00C6052E" w:rsidRDefault="00EE5BB8" w:rsidP="00EA7A88">
            <w:pPr>
              <w:pStyle w:val="TableCopy"/>
              <w:jc w:val="right"/>
            </w:pPr>
            <w:r w:rsidRPr="00C6052E">
              <w:t>90,326</w:t>
            </w:r>
          </w:p>
        </w:tc>
      </w:tr>
      <w:tr w:rsidR="00EE5BB8" w:rsidRPr="00C6052E" w14:paraId="5F5C5479" w14:textId="77777777" w:rsidTr="00EA7A88">
        <w:tc>
          <w:tcPr>
            <w:tcW w:w="6799" w:type="dxa"/>
            <w:hideMark/>
          </w:tcPr>
          <w:p w14:paraId="629E0CE8" w14:textId="7BEE4BD3" w:rsidR="00EE5BB8" w:rsidRPr="00C6052E" w:rsidRDefault="00EE5BB8" w:rsidP="0063097D">
            <w:pPr>
              <w:pStyle w:val="TableCopy"/>
            </w:pPr>
            <w:r w:rsidRPr="00C6052E">
              <w:t>Accrued</w:t>
            </w:r>
            <w:r w:rsidR="00177848" w:rsidRPr="00C6052E">
              <w:t xml:space="preserve"> </w:t>
            </w:r>
            <w:r w:rsidRPr="00C6052E">
              <w:t>grants</w:t>
            </w:r>
          </w:p>
        </w:tc>
        <w:tc>
          <w:tcPr>
            <w:tcW w:w="1451" w:type="dxa"/>
            <w:noWrap/>
            <w:hideMark/>
          </w:tcPr>
          <w:p w14:paraId="64620E80" w14:textId="77777777" w:rsidR="00EE5BB8" w:rsidRPr="00C6052E" w:rsidRDefault="00EE5BB8" w:rsidP="00EA7A88">
            <w:pPr>
              <w:pStyle w:val="TableCopy"/>
              <w:jc w:val="right"/>
            </w:pPr>
            <w:r w:rsidRPr="00C6052E">
              <w:t>329,363</w:t>
            </w:r>
          </w:p>
        </w:tc>
        <w:tc>
          <w:tcPr>
            <w:tcW w:w="1451" w:type="dxa"/>
            <w:noWrap/>
            <w:hideMark/>
          </w:tcPr>
          <w:p w14:paraId="20D325C2" w14:textId="77777777" w:rsidR="00EE5BB8" w:rsidRPr="00C6052E" w:rsidRDefault="00EE5BB8" w:rsidP="00EA7A88">
            <w:pPr>
              <w:pStyle w:val="TableCopy"/>
              <w:jc w:val="right"/>
            </w:pPr>
            <w:r w:rsidRPr="00C6052E">
              <w:t>443,835</w:t>
            </w:r>
          </w:p>
        </w:tc>
      </w:tr>
      <w:tr w:rsidR="00EE5BB8" w:rsidRPr="00C6052E" w14:paraId="00C7AF29" w14:textId="77777777" w:rsidTr="00EA7A88">
        <w:tc>
          <w:tcPr>
            <w:tcW w:w="6799" w:type="dxa"/>
            <w:hideMark/>
          </w:tcPr>
          <w:p w14:paraId="74218D5B" w14:textId="549AC3A2" w:rsidR="00EE5BB8" w:rsidRPr="00C6052E" w:rsidRDefault="00EE5BB8" w:rsidP="0063097D">
            <w:pPr>
              <w:pStyle w:val="TableCopy"/>
            </w:pPr>
            <w:r w:rsidRPr="00C6052E">
              <w:t>Other</w:t>
            </w:r>
            <w:r w:rsidR="00177848" w:rsidRPr="00C6052E">
              <w:t xml:space="preserve"> </w:t>
            </w:r>
            <w:r w:rsidRPr="00C6052E">
              <w:t>amounts</w:t>
            </w:r>
            <w:r w:rsidR="00177848" w:rsidRPr="00C6052E">
              <w:t xml:space="preserve"> </w:t>
            </w:r>
            <w:r w:rsidRPr="00C6052E">
              <w:t>payable</w:t>
            </w:r>
          </w:p>
        </w:tc>
        <w:tc>
          <w:tcPr>
            <w:tcW w:w="1451" w:type="dxa"/>
            <w:noWrap/>
            <w:hideMark/>
          </w:tcPr>
          <w:p w14:paraId="4638CF60" w14:textId="77777777" w:rsidR="00EE5BB8" w:rsidRPr="00C6052E" w:rsidRDefault="00EE5BB8" w:rsidP="00EA7A88">
            <w:pPr>
              <w:pStyle w:val="TableCopy"/>
              <w:jc w:val="right"/>
            </w:pPr>
            <w:r w:rsidRPr="00C6052E">
              <w:t>41,273</w:t>
            </w:r>
          </w:p>
        </w:tc>
        <w:tc>
          <w:tcPr>
            <w:tcW w:w="1451" w:type="dxa"/>
            <w:noWrap/>
            <w:hideMark/>
          </w:tcPr>
          <w:p w14:paraId="0C785E56" w14:textId="77777777" w:rsidR="00EE5BB8" w:rsidRPr="00C6052E" w:rsidRDefault="00EE5BB8" w:rsidP="00EA7A88">
            <w:pPr>
              <w:pStyle w:val="TableCopy"/>
              <w:jc w:val="right"/>
            </w:pPr>
            <w:r w:rsidRPr="00C6052E">
              <w:t>103,043</w:t>
            </w:r>
          </w:p>
        </w:tc>
      </w:tr>
      <w:tr w:rsidR="00EA7A88" w:rsidRPr="00C6052E" w14:paraId="440D1A77" w14:textId="77777777" w:rsidTr="00F60A90">
        <w:tc>
          <w:tcPr>
            <w:tcW w:w="6799" w:type="dxa"/>
          </w:tcPr>
          <w:p w14:paraId="282027DF" w14:textId="61EE0145" w:rsidR="00EA7A88" w:rsidRPr="00C6052E" w:rsidRDefault="00EA7A88" w:rsidP="00F60A90">
            <w:pPr>
              <w:pStyle w:val="TableHeading"/>
            </w:pPr>
            <w:r w:rsidRPr="00C6052E">
              <w:t>Statutory</w:t>
            </w:r>
          </w:p>
        </w:tc>
        <w:tc>
          <w:tcPr>
            <w:tcW w:w="1451" w:type="dxa"/>
            <w:noWrap/>
          </w:tcPr>
          <w:p w14:paraId="74A66296" w14:textId="77777777" w:rsidR="00EA7A88" w:rsidRPr="00C6052E" w:rsidRDefault="00EA7A88" w:rsidP="00EA7A88">
            <w:pPr>
              <w:pStyle w:val="TableHeading"/>
              <w:jc w:val="right"/>
            </w:pPr>
          </w:p>
        </w:tc>
        <w:tc>
          <w:tcPr>
            <w:tcW w:w="1451" w:type="dxa"/>
            <w:noWrap/>
          </w:tcPr>
          <w:p w14:paraId="2E2106C2" w14:textId="77777777" w:rsidR="00EA7A88" w:rsidRPr="00C6052E" w:rsidRDefault="00EA7A88" w:rsidP="00EA7A88">
            <w:pPr>
              <w:pStyle w:val="TableHeading"/>
              <w:jc w:val="right"/>
            </w:pPr>
          </w:p>
        </w:tc>
      </w:tr>
      <w:tr w:rsidR="00EE5BB8" w:rsidRPr="00C6052E" w14:paraId="1FFB6654" w14:textId="77777777" w:rsidTr="00EA7A88">
        <w:tc>
          <w:tcPr>
            <w:tcW w:w="6799" w:type="dxa"/>
            <w:hideMark/>
          </w:tcPr>
          <w:p w14:paraId="3C3701FF" w14:textId="3FB4283A" w:rsidR="00EE5BB8" w:rsidRPr="00C6052E" w:rsidRDefault="00EE5BB8" w:rsidP="0063097D">
            <w:pPr>
              <w:pStyle w:val="TableCopy"/>
            </w:pPr>
            <w:r w:rsidRPr="00C6052E">
              <w:t>Other</w:t>
            </w:r>
            <w:r w:rsidR="00177848" w:rsidRPr="00C6052E">
              <w:t xml:space="preserve"> </w:t>
            </w:r>
            <w:r w:rsidRPr="00C6052E">
              <w:t>taxes</w:t>
            </w:r>
            <w:r w:rsidR="00177848" w:rsidRPr="00C6052E">
              <w:t xml:space="preserve"> </w:t>
            </w:r>
            <w:r w:rsidRPr="00C6052E">
              <w:t>payable</w:t>
            </w:r>
          </w:p>
        </w:tc>
        <w:tc>
          <w:tcPr>
            <w:tcW w:w="1451" w:type="dxa"/>
            <w:noWrap/>
            <w:hideMark/>
          </w:tcPr>
          <w:p w14:paraId="25545F51" w14:textId="77777777" w:rsidR="00EE5BB8" w:rsidRPr="00C6052E" w:rsidRDefault="00EE5BB8" w:rsidP="00EA7A88">
            <w:pPr>
              <w:pStyle w:val="TableCopy"/>
              <w:jc w:val="right"/>
            </w:pPr>
            <w:r w:rsidRPr="00C6052E">
              <w:t>717</w:t>
            </w:r>
          </w:p>
        </w:tc>
        <w:tc>
          <w:tcPr>
            <w:tcW w:w="1451" w:type="dxa"/>
            <w:noWrap/>
            <w:hideMark/>
          </w:tcPr>
          <w:p w14:paraId="30D96B70" w14:textId="77777777" w:rsidR="00EE5BB8" w:rsidRPr="00C6052E" w:rsidRDefault="00EE5BB8" w:rsidP="00EA7A88">
            <w:pPr>
              <w:pStyle w:val="TableCopy"/>
              <w:jc w:val="right"/>
            </w:pPr>
            <w:r w:rsidRPr="00C6052E">
              <w:t>428</w:t>
            </w:r>
          </w:p>
        </w:tc>
      </w:tr>
      <w:tr w:rsidR="00EE5BB8" w:rsidRPr="00C6052E" w14:paraId="2414FBF8" w14:textId="77777777" w:rsidTr="00EA7A88">
        <w:tc>
          <w:tcPr>
            <w:tcW w:w="6799" w:type="dxa"/>
            <w:hideMark/>
          </w:tcPr>
          <w:p w14:paraId="0A9178AA" w14:textId="7FFF02E5" w:rsidR="00EE5BB8" w:rsidRPr="00C6052E" w:rsidRDefault="00EE5BB8" w:rsidP="0063097D">
            <w:pPr>
              <w:pStyle w:val="Tabletotal"/>
            </w:pPr>
            <w:r w:rsidRPr="00C6052E">
              <w:t>Total</w:t>
            </w:r>
            <w:r w:rsidR="00177848" w:rsidRPr="00C6052E">
              <w:t xml:space="preserve"> </w:t>
            </w:r>
            <w:r w:rsidRPr="00C6052E">
              <w:t>payables</w:t>
            </w:r>
          </w:p>
        </w:tc>
        <w:tc>
          <w:tcPr>
            <w:tcW w:w="1451" w:type="dxa"/>
            <w:noWrap/>
            <w:hideMark/>
          </w:tcPr>
          <w:p w14:paraId="09CEC490" w14:textId="77777777" w:rsidR="00EE5BB8" w:rsidRPr="00C6052E" w:rsidRDefault="00EE5BB8" w:rsidP="00EA7A88">
            <w:pPr>
              <w:pStyle w:val="Tabletotal"/>
              <w:jc w:val="right"/>
            </w:pPr>
            <w:r w:rsidRPr="00C6052E">
              <w:t>384,558</w:t>
            </w:r>
          </w:p>
        </w:tc>
        <w:tc>
          <w:tcPr>
            <w:tcW w:w="1451" w:type="dxa"/>
            <w:noWrap/>
            <w:hideMark/>
          </w:tcPr>
          <w:p w14:paraId="5C5781A2" w14:textId="77777777" w:rsidR="00EE5BB8" w:rsidRPr="00C6052E" w:rsidRDefault="00EE5BB8" w:rsidP="00EA7A88">
            <w:pPr>
              <w:pStyle w:val="Tabletotal"/>
              <w:jc w:val="right"/>
            </w:pPr>
            <w:r w:rsidRPr="00C6052E">
              <w:t>637,632</w:t>
            </w:r>
          </w:p>
        </w:tc>
      </w:tr>
      <w:tr w:rsidR="00EE5BB8" w:rsidRPr="00C6052E" w14:paraId="15B649CB" w14:textId="77777777" w:rsidTr="00EA7A88">
        <w:tc>
          <w:tcPr>
            <w:tcW w:w="6799" w:type="dxa"/>
            <w:hideMark/>
          </w:tcPr>
          <w:p w14:paraId="541323F2" w14:textId="41784549" w:rsidR="00EE5BB8" w:rsidRPr="00C6052E" w:rsidRDefault="00EE5BB8" w:rsidP="0063097D">
            <w:pPr>
              <w:pStyle w:val="TableCopy"/>
              <w:rPr>
                <w:rStyle w:val="Italics"/>
              </w:rPr>
            </w:pPr>
            <w:r w:rsidRPr="00C6052E">
              <w:rPr>
                <w:rStyle w:val="Italics"/>
              </w:rPr>
              <w:t>Represented</w:t>
            </w:r>
            <w:r w:rsidR="00177848" w:rsidRPr="00C6052E">
              <w:rPr>
                <w:rStyle w:val="Italics"/>
              </w:rPr>
              <w:t xml:space="preserve"> </w:t>
            </w:r>
            <w:r w:rsidRPr="00C6052E">
              <w:rPr>
                <w:rStyle w:val="Italics"/>
              </w:rPr>
              <w:t>by:</w:t>
            </w:r>
          </w:p>
        </w:tc>
        <w:tc>
          <w:tcPr>
            <w:tcW w:w="1451" w:type="dxa"/>
            <w:noWrap/>
            <w:hideMark/>
          </w:tcPr>
          <w:p w14:paraId="7D56E65C" w14:textId="77777777" w:rsidR="00EE5BB8" w:rsidRPr="00C6052E" w:rsidRDefault="00EE5BB8" w:rsidP="00EA7A88">
            <w:pPr>
              <w:pStyle w:val="Tabletext"/>
              <w:jc w:val="right"/>
            </w:pPr>
          </w:p>
        </w:tc>
        <w:tc>
          <w:tcPr>
            <w:tcW w:w="1451" w:type="dxa"/>
            <w:noWrap/>
            <w:hideMark/>
          </w:tcPr>
          <w:p w14:paraId="09D04366" w14:textId="77777777" w:rsidR="00EE5BB8" w:rsidRPr="00C6052E" w:rsidRDefault="00EE5BB8" w:rsidP="00EA7A88">
            <w:pPr>
              <w:pStyle w:val="TableCopy"/>
              <w:jc w:val="right"/>
            </w:pPr>
          </w:p>
        </w:tc>
      </w:tr>
      <w:tr w:rsidR="00EE5BB8" w:rsidRPr="00C6052E" w14:paraId="4D1CDAE9" w14:textId="77777777" w:rsidTr="00EA7A88">
        <w:tc>
          <w:tcPr>
            <w:tcW w:w="6799" w:type="dxa"/>
            <w:hideMark/>
          </w:tcPr>
          <w:p w14:paraId="0D39AAE5" w14:textId="28146A5B" w:rsidR="00EE5BB8" w:rsidRPr="00C6052E" w:rsidRDefault="00EE5BB8" w:rsidP="0063097D">
            <w:pPr>
              <w:pStyle w:val="TableCopy"/>
            </w:pPr>
            <w:r w:rsidRPr="00C6052E">
              <w:t>Current</w:t>
            </w:r>
            <w:r w:rsidR="00177848" w:rsidRPr="00C6052E">
              <w:t xml:space="preserve"> </w:t>
            </w:r>
            <w:r w:rsidRPr="00C6052E">
              <w:t>payables</w:t>
            </w:r>
          </w:p>
        </w:tc>
        <w:tc>
          <w:tcPr>
            <w:tcW w:w="1451" w:type="dxa"/>
            <w:noWrap/>
            <w:hideMark/>
          </w:tcPr>
          <w:p w14:paraId="785DC4DE" w14:textId="77777777" w:rsidR="00EE5BB8" w:rsidRPr="00C6052E" w:rsidRDefault="00EE5BB8" w:rsidP="00EA7A88">
            <w:pPr>
              <w:pStyle w:val="TableCopy"/>
              <w:jc w:val="right"/>
            </w:pPr>
            <w:r w:rsidRPr="00C6052E">
              <w:t>384,558</w:t>
            </w:r>
          </w:p>
        </w:tc>
        <w:tc>
          <w:tcPr>
            <w:tcW w:w="1451" w:type="dxa"/>
            <w:noWrap/>
            <w:hideMark/>
          </w:tcPr>
          <w:p w14:paraId="405662E6" w14:textId="77777777" w:rsidR="00EE5BB8" w:rsidRPr="00C6052E" w:rsidRDefault="00EE5BB8" w:rsidP="00EA7A88">
            <w:pPr>
              <w:pStyle w:val="TableCopy"/>
              <w:jc w:val="right"/>
            </w:pPr>
            <w:r w:rsidRPr="00C6052E">
              <w:t>637,632</w:t>
            </w:r>
          </w:p>
        </w:tc>
      </w:tr>
    </w:tbl>
    <w:p w14:paraId="6706EFD0" w14:textId="77777777" w:rsidR="00EE5BB8" w:rsidRPr="00C6052E" w:rsidRDefault="00EE5BB8" w:rsidP="00EA7A88"/>
    <w:p w14:paraId="102AF03B" w14:textId="2DE060BD" w:rsidR="00EE5BB8" w:rsidRPr="00C6052E" w:rsidRDefault="00EE5BB8" w:rsidP="00EE5BB8">
      <w:r w:rsidRPr="00C6052E">
        <w:rPr>
          <w:rStyle w:val="Medium"/>
        </w:rPr>
        <w:t>Contractual</w:t>
      </w:r>
      <w:r w:rsidR="00177848" w:rsidRPr="00C6052E">
        <w:rPr>
          <w:rStyle w:val="Medium"/>
        </w:rPr>
        <w:t xml:space="preserve"> </w:t>
      </w:r>
      <w:r w:rsidRPr="00C6052E">
        <w:rPr>
          <w:rStyle w:val="Medium"/>
        </w:rPr>
        <w:t>payables:</w:t>
      </w:r>
      <w:r w:rsidR="00177848" w:rsidRPr="00C6052E">
        <w:t xml:space="preserve"> </w:t>
      </w:r>
      <w:r w:rsidRPr="00C6052E">
        <w:t>classified</w:t>
      </w:r>
      <w:r w:rsidR="00177848" w:rsidRPr="00C6052E">
        <w:t xml:space="preserve"> </w:t>
      </w:r>
      <w:r w:rsidRPr="00C6052E">
        <w:t>as</w:t>
      </w:r>
      <w:r w:rsidR="00177848" w:rsidRPr="00C6052E">
        <w:t xml:space="preserve"> </w:t>
      </w:r>
      <w:r w:rsidRPr="00C6052E">
        <w:t>financial</w:t>
      </w:r>
      <w:r w:rsidR="00177848" w:rsidRPr="00C6052E">
        <w:t xml:space="preserve"> </w:t>
      </w:r>
      <w:r w:rsidRPr="00C6052E">
        <w:t>instruments</w:t>
      </w:r>
      <w:r w:rsidR="00177848" w:rsidRPr="00C6052E">
        <w:t xml:space="preserve"> </w:t>
      </w:r>
      <w:r w:rsidRPr="00C6052E">
        <w:t>and</w:t>
      </w:r>
      <w:r w:rsidR="00177848" w:rsidRPr="00C6052E">
        <w:t xml:space="preserve"> </w:t>
      </w:r>
      <w:r w:rsidRPr="00C6052E">
        <w:t>measured</w:t>
      </w:r>
      <w:r w:rsidR="00177848" w:rsidRPr="00C6052E">
        <w:t xml:space="preserve"> </w:t>
      </w:r>
      <w:r w:rsidRPr="00C6052E">
        <w:t>at</w:t>
      </w:r>
      <w:r w:rsidR="00177848" w:rsidRPr="00C6052E">
        <w:t xml:space="preserve"> </w:t>
      </w:r>
      <w:r w:rsidRPr="00C6052E">
        <w:t>amortised</w:t>
      </w:r>
      <w:r w:rsidR="00177848" w:rsidRPr="00C6052E">
        <w:t xml:space="preserve"> </w:t>
      </w:r>
      <w:r w:rsidRPr="00C6052E">
        <w:t>cost.</w:t>
      </w:r>
      <w:r w:rsidR="00177848" w:rsidRPr="00C6052E">
        <w:t xml:space="preserve"> </w:t>
      </w:r>
      <w:r w:rsidRPr="00C6052E">
        <w:t>Accounts</w:t>
      </w:r>
      <w:r w:rsidR="00177848" w:rsidRPr="00C6052E">
        <w:t xml:space="preserve"> </w:t>
      </w:r>
      <w:r w:rsidRPr="00C6052E">
        <w:t>payable</w:t>
      </w:r>
      <w:r w:rsidR="00177848" w:rsidRPr="00C6052E">
        <w:t xml:space="preserve"> </w:t>
      </w:r>
      <w:r w:rsidRPr="00C6052E">
        <w:t>represents</w:t>
      </w:r>
      <w:r w:rsidR="00177848" w:rsidRPr="00C6052E">
        <w:t xml:space="preserve"> </w:t>
      </w:r>
      <w:r w:rsidRPr="00C6052E">
        <w:t>liabilities</w:t>
      </w:r>
      <w:r w:rsidR="00177848" w:rsidRPr="00C6052E">
        <w:t xml:space="preserve"> </w:t>
      </w:r>
      <w:r w:rsidRPr="00C6052E">
        <w:t>for</w:t>
      </w:r>
      <w:r w:rsidR="00177848" w:rsidRPr="00C6052E">
        <w:t xml:space="preserve"> </w:t>
      </w:r>
      <w:r w:rsidRPr="00C6052E">
        <w:t>goods</w:t>
      </w:r>
      <w:r w:rsidR="00177848" w:rsidRPr="00C6052E">
        <w:t xml:space="preserve"> </w:t>
      </w:r>
      <w:r w:rsidRPr="00C6052E">
        <w:t>and</w:t>
      </w:r>
      <w:r w:rsidR="00177848" w:rsidRPr="00C6052E">
        <w:t xml:space="preserve"> </w:t>
      </w:r>
      <w:r w:rsidRPr="00C6052E">
        <w:t>services</w:t>
      </w:r>
      <w:r w:rsidR="00177848" w:rsidRPr="00C6052E">
        <w:t xml:space="preserve"> </w:t>
      </w:r>
      <w:r w:rsidRPr="00C6052E">
        <w:t>provided</w:t>
      </w:r>
      <w:r w:rsidR="00177848" w:rsidRPr="00C6052E">
        <w:t xml:space="preserve"> </w:t>
      </w:r>
      <w:r w:rsidRPr="00C6052E">
        <w:t>to</w:t>
      </w:r>
      <w:r w:rsidR="00177848" w:rsidRPr="00C6052E">
        <w:t xml:space="preserve"> </w:t>
      </w:r>
      <w:r w:rsidRPr="00C6052E">
        <w:t>DJSIR</w:t>
      </w:r>
      <w:r w:rsidR="00177848" w:rsidRPr="00C6052E">
        <w:t xml:space="preserve"> </w:t>
      </w:r>
      <w:r w:rsidRPr="00C6052E">
        <w:t>prior</w:t>
      </w:r>
      <w:r w:rsidR="00177848" w:rsidRPr="00C6052E">
        <w:t xml:space="preserve"> </w:t>
      </w:r>
      <w:r w:rsidRPr="00C6052E">
        <w:t>to</w:t>
      </w:r>
      <w:r w:rsidR="00177848" w:rsidRPr="00C6052E">
        <w:t xml:space="preserve"> </w:t>
      </w:r>
      <w:r w:rsidRPr="00C6052E">
        <w:t>the</w:t>
      </w:r>
      <w:r w:rsidR="00177848" w:rsidRPr="00C6052E">
        <w:t xml:space="preserve"> </w:t>
      </w:r>
      <w:r w:rsidRPr="00C6052E">
        <w:t>end</w:t>
      </w:r>
      <w:r w:rsidR="00177848" w:rsidRPr="00C6052E">
        <w:t xml:space="preserve"> </w:t>
      </w:r>
      <w:r w:rsidRPr="00C6052E">
        <w:t>of</w:t>
      </w:r>
      <w:r w:rsidR="00177848" w:rsidRPr="00C6052E">
        <w:t xml:space="preserve"> </w:t>
      </w:r>
      <w:r w:rsidRPr="00C6052E">
        <w:t>the</w:t>
      </w:r>
      <w:r w:rsidR="00177848" w:rsidRPr="00C6052E">
        <w:t xml:space="preserve"> </w:t>
      </w:r>
      <w:r w:rsidRPr="00C6052E">
        <w:t>financial</w:t>
      </w:r>
      <w:r w:rsidR="00177848" w:rsidRPr="00C6052E">
        <w:t xml:space="preserve"> </w:t>
      </w:r>
      <w:r w:rsidRPr="00C6052E">
        <w:t>year</w:t>
      </w:r>
      <w:r w:rsidR="00177848" w:rsidRPr="00C6052E">
        <w:t xml:space="preserve"> </w:t>
      </w:r>
      <w:r w:rsidRPr="00C6052E">
        <w:t>that</w:t>
      </w:r>
      <w:r w:rsidR="00177848" w:rsidRPr="00C6052E">
        <w:t xml:space="preserve"> </w:t>
      </w:r>
      <w:r w:rsidRPr="00C6052E">
        <w:t>are</w:t>
      </w:r>
      <w:r w:rsidR="00177848" w:rsidRPr="00C6052E">
        <w:t xml:space="preserve"> </w:t>
      </w:r>
      <w:r w:rsidRPr="00C6052E">
        <w:t>unpaid.</w:t>
      </w:r>
    </w:p>
    <w:p w14:paraId="5A4ECFF7" w14:textId="6943A9E5" w:rsidR="00EE5BB8" w:rsidRPr="00C6052E" w:rsidRDefault="00EE5BB8" w:rsidP="00EE5BB8">
      <w:r w:rsidRPr="00C6052E">
        <w:t>Payables</w:t>
      </w:r>
      <w:r w:rsidR="00177848" w:rsidRPr="00C6052E">
        <w:t xml:space="preserve"> </w:t>
      </w:r>
      <w:r w:rsidRPr="00C6052E">
        <w:t>for</w:t>
      </w:r>
      <w:r w:rsidR="00177848" w:rsidRPr="00C6052E">
        <w:t xml:space="preserve"> </w:t>
      </w:r>
      <w:r w:rsidRPr="00C6052E">
        <w:t>supplies</w:t>
      </w:r>
      <w:r w:rsidR="00177848" w:rsidRPr="00C6052E">
        <w:t xml:space="preserve"> </w:t>
      </w:r>
      <w:r w:rsidRPr="00C6052E">
        <w:t>and</w:t>
      </w:r>
      <w:r w:rsidR="00177848" w:rsidRPr="00C6052E">
        <w:t xml:space="preserve"> </w:t>
      </w:r>
      <w:r w:rsidRPr="00C6052E">
        <w:t>services</w:t>
      </w:r>
      <w:r w:rsidR="00177848" w:rsidRPr="00C6052E">
        <w:t xml:space="preserve"> </w:t>
      </w:r>
      <w:r w:rsidRPr="00C6052E">
        <w:t>have</w:t>
      </w:r>
      <w:r w:rsidR="00177848" w:rsidRPr="00C6052E">
        <w:t xml:space="preserve"> </w:t>
      </w:r>
      <w:r w:rsidRPr="00C6052E">
        <w:t>an</w:t>
      </w:r>
      <w:r w:rsidR="00177848" w:rsidRPr="00C6052E">
        <w:t xml:space="preserve"> </w:t>
      </w:r>
      <w:r w:rsidRPr="00C6052E">
        <w:t>average</w:t>
      </w:r>
      <w:r w:rsidR="00177848" w:rsidRPr="00C6052E">
        <w:t xml:space="preserve"> </w:t>
      </w:r>
      <w:r w:rsidRPr="00C6052E">
        <w:t>credit</w:t>
      </w:r>
      <w:r w:rsidR="00177848" w:rsidRPr="00C6052E">
        <w:t xml:space="preserve"> </w:t>
      </w:r>
      <w:r w:rsidRPr="00C6052E">
        <w:t>period</w:t>
      </w:r>
      <w:r w:rsidR="00177848" w:rsidRPr="00C6052E">
        <w:t xml:space="preserve"> </w:t>
      </w:r>
      <w:r w:rsidRPr="00C6052E">
        <w:t>of</w:t>
      </w:r>
      <w:r w:rsidR="00177848" w:rsidRPr="00C6052E">
        <w:t xml:space="preserve"> </w:t>
      </w:r>
      <w:r w:rsidRPr="00C6052E">
        <w:t>30</w:t>
      </w:r>
      <w:r w:rsidR="00177848" w:rsidRPr="00C6052E">
        <w:t xml:space="preserve"> </w:t>
      </w:r>
      <w:r w:rsidRPr="00C6052E">
        <w:t>days.</w:t>
      </w:r>
    </w:p>
    <w:p w14:paraId="1C8D09FA" w14:textId="1455D25B" w:rsidR="00EE5BB8" w:rsidRPr="00C6052E" w:rsidRDefault="00EE5BB8" w:rsidP="00EE5BB8">
      <w:r w:rsidRPr="00C6052E">
        <w:rPr>
          <w:rStyle w:val="Medium"/>
        </w:rPr>
        <w:lastRenderedPageBreak/>
        <w:t>Statutory</w:t>
      </w:r>
      <w:r w:rsidR="00177848" w:rsidRPr="00C6052E">
        <w:rPr>
          <w:rStyle w:val="Medium"/>
        </w:rPr>
        <w:t xml:space="preserve"> </w:t>
      </w:r>
      <w:r w:rsidRPr="00C6052E">
        <w:rPr>
          <w:rStyle w:val="Medium"/>
        </w:rPr>
        <w:t>payables:</w:t>
      </w:r>
      <w:r w:rsidR="00177848" w:rsidRPr="00C6052E">
        <w:t xml:space="preserve"> </w:t>
      </w:r>
      <w:r w:rsidRPr="00C6052E">
        <w:t>recognised</w:t>
      </w:r>
      <w:r w:rsidR="00177848" w:rsidRPr="00C6052E">
        <w:t xml:space="preserve"> </w:t>
      </w:r>
      <w:r w:rsidRPr="00C6052E">
        <w:t>and</w:t>
      </w:r>
      <w:r w:rsidR="00177848" w:rsidRPr="00C6052E">
        <w:t xml:space="preserve"> </w:t>
      </w:r>
      <w:r w:rsidRPr="00C6052E">
        <w:t>measured</w:t>
      </w:r>
      <w:r w:rsidR="00177848" w:rsidRPr="00C6052E">
        <w:t xml:space="preserve"> </w:t>
      </w:r>
      <w:r w:rsidRPr="00C6052E">
        <w:t>similarly</w:t>
      </w:r>
      <w:r w:rsidR="00177848" w:rsidRPr="00C6052E">
        <w:t xml:space="preserve"> </w:t>
      </w:r>
      <w:r w:rsidRPr="00C6052E">
        <w:t>to</w:t>
      </w:r>
      <w:r w:rsidR="00177848" w:rsidRPr="00C6052E">
        <w:t xml:space="preserve"> </w:t>
      </w:r>
      <w:r w:rsidRPr="00C6052E">
        <w:t>contractual</w:t>
      </w:r>
      <w:r w:rsidR="00177848" w:rsidRPr="00C6052E">
        <w:t xml:space="preserve"> </w:t>
      </w:r>
      <w:r w:rsidRPr="00C6052E">
        <w:t>payables</w:t>
      </w:r>
      <w:r w:rsidR="00177848" w:rsidRPr="00C6052E">
        <w:t xml:space="preserve"> </w:t>
      </w:r>
      <w:r w:rsidRPr="00C6052E">
        <w:t>but</w:t>
      </w:r>
      <w:r w:rsidR="00177848" w:rsidRPr="00C6052E">
        <w:t xml:space="preserve"> </w:t>
      </w:r>
      <w:r w:rsidRPr="00C6052E">
        <w:t>are</w:t>
      </w:r>
      <w:r w:rsidR="00177848" w:rsidRPr="00C6052E">
        <w:t xml:space="preserve"> </w:t>
      </w:r>
      <w:r w:rsidRPr="00C6052E">
        <w:t>not</w:t>
      </w:r>
      <w:r w:rsidR="00177848" w:rsidRPr="00C6052E">
        <w:t xml:space="preserve"> </w:t>
      </w:r>
      <w:r w:rsidRPr="00C6052E">
        <w:t>classified</w:t>
      </w:r>
      <w:r w:rsidR="00177848" w:rsidRPr="00C6052E">
        <w:t xml:space="preserve"> </w:t>
      </w:r>
      <w:r w:rsidRPr="00C6052E">
        <w:t>as</w:t>
      </w:r>
      <w:r w:rsidR="00177848" w:rsidRPr="00C6052E">
        <w:t xml:space="preserve"> </w:t>
      </w:r>
      <w:r w:rsidRPr="00C6052E">
        <w:t>financial</w:t>
      </w:r>
      <w:r w:rsidR="00177848" w:rsidRPr="00C6052E">
        <w:t xml:space="preserve"> </w:t>
      </w:r>
      <w:r w:rsidRPr="00C6052E">
        <w:t>instruments</w:t>
      </w:r>
      <w:r w:rsidR="00177848" w:rsidRPr="00C6052E">
        <w:t xml:space="preserve"> </w:t>
      </w:r>
      <w:r w:rsidRPr="00C6052E">
        <w:t>and</w:t>
      </w:r>
      <w:r w:rsidR="00177848" w:rsidRPr="00C6052E">
        <w:t xml:space="preserve"> </w:t>
      </w:r>
      <w:r w:rsidRPr="00C6052E">
        <w:t>not</w:t>
      </w:r>
      <w:r w:rsidR="00177848" w:rsidRPr="00C6052E">
        <w:t xml:space="preserve"> </w:t>
      </w:r>
      <w:r w:rsidRPr="00C6052E">
        <w:t>included</w:t>
      </w:r>
      <w:r w:rsidR="00177848" w:rsidRPr="00C6052E">
        <w:t xml:space="preserve"> </w:t>
      </w:r>
      <w:r w:rsidRPr="00C6052E">
        <w:t>in</w:t>
      </w:r>
      <w:r w:rsidR="00177848" w:rsidRPr="00C6052E">
        <w:t xml:space="preserve"> </w:t>
      </w:r>
      <w:r w:rsidRPr="00C6052E">
        <w:t>the</w:t>
      </w:r>
      <w:r w:rsidR="00177848" w:rsidRPr="00C6052E">
        <w:t xml:space="preserve"> </w:t>
      </w:r>
      <w:r w:rsidRPr="00C6052E">
        <w:t>category</w:t>
      </w:r>
      <w:r w:rsidR="00177848" w:rsidRPr="00C6052E">
        <w:t xml:space="preserve"> </w:t>
      </w:r>
      <w:r w:rsidRPr="00C6052E">
        <w:t>of</w:t>
      </w:r>
      <w:r w:rsidR="00177848" w:rsidRPr="00C6052E">
        <w:t xml:space="preserve"> </w:t>
      </w:r>
      <w:r w:rsidRPr="00C6052E">
        <w:t>financial</w:t>
      </w:r>
      <w:r w:rsidR="00177848" w:rsidRPr="00C6052E">
        <w:t xml:space="preserve"> </w:t>
      </w:r>
      <w:r w:rsidRPr="00C6052E">
        <w:t>liabilities</w:t>
      </w:r>
      <w:r w:rsidR="00177848" w:rsidRPr="00C6052E">
        <w:t xml:space="preserve"> </w:t>
      </w:r>
      <w:r w:rsidRPr="00C6052E">
        <w:t>at</w:t>
      </w:r>
      <w:r w:rsidR="00177848" w:rsidRPr="00C6052E">
        <w:t xml:space="preserve"> </w:t>
      </w:r>
      <w:r w:rsidRPr="00C6052E">
        <w:t>amortised</w:t>
      </w:r>
      <w:r w:rsidR="00177848" w:rsidRPr="00C6052E">
        <w:t xml:space="preserve"> </w:t>
      </w:r>
      <w:r w:rsidRPr="00C6052E">
        <w:t>cost,</w:t>
      </w:r>
      <w:r w:rsidR="00177848" w:rsidRPr="00C6052E">
        <w:t xml:space="preserve"> </w:t>
      </w:r>
      <w:r w:rsidRPr="00C6052E">
        <w:t>because</w:t>
      </w:r>
      <w:r w:rsidR="00177848" w:rsidRPr="00C6052E">
        <w:t xml:space="preserve"> </w:t>
      </w:r>
      <w:r w:rsidRPr="00C6052E">
        <w:t>they</w:t>
      </w:r>
      <w:r w:rsidR="00177848" w:rsidRPr="00C6052E">
        <w:t xml:space="preserve"> </w:t>
      </w:r>
      <w:r w:rsidRPr="00C6052E">
        <w:t>do</w:t>
      </w:r>
      <w:r w:rsidR="00177848" w:rsidRPr="00C6052E">
        <w:t xml:space="preserve"> </w:t>
      </w:r>
      <w:r w:rsidRPr="00C6052E">
        <w:t>not</w:t>
      </w:r>
      <w:r w:rsidR="00177848" w:rsidRPr="00C6052E">
        <w:t xml:space="preserve"> </w:t>
      </w:r>
      <w:r w:rsidRPr="00C6052E">
        <w:t>arise</w:t>
      </w:r>
      <w:r w:rsidR="00177848" w:rsidRPr="00C6052E">
        <w:t xml:space="preserve"> </w:t>
      </w:r>
      <w:r w:rsidRPr="00C6052E">
        <w:t>from</w:t>
      </w:r>
      <w:r w:rsidR="00177848" w:rsidRPr="00C6052E">
        <w:t xml:space="preserve"> </w:t>
      </w:r>
      <w:r w:rsidRPr="00C6052E">
        <w:t>contracts.</w:t>
      </w:r>
      <w:r w:rsidR="00177848" w:rsidRPr="00C6052E">
        <w:t xml:space="preserve"> </w:t>
      </w:r>
    </w:p>
    <w:p w14:paraId="69C48E17" w14:textId="3CD37EFA" w:rsidR="00EE5BB8" w:rsidRPr="00C6052E" w:rsidRDefault="00EE5BB8" w:rsidP="00EE5BB8">
      <w:r w:rsidRPr="00C6052E">
        <w:rPr>
          <w:rStyle w:val="Medium"/>
        </w:rPr>
        <w:t>Accrued</w:t>
      </w:r>
      <w:r w:rsidR="00177848" w:rsidRPr="00C6052E">
        <w:rPr>
          <w:rStyle w:val="Medium"/>
        </w:rPr>
        <w:t xml:space="preserve"> </w:t>
      </w:r>
      <w:r w:rsidRPr="00C6052E">
        <w:rPr>
          <w:rStyle w:val="Medium"/>
        </w:rPr>
        <w:t>Grants</w:t>
      </w:r>
      <w:r w:rsidRPr="00C6052E">
        <w:rPr>
          <w:b/>
        </w:rPr>
        <w:t>:</w:t>
      </w:r>
      <w:r w:rsidR="00177848" w:rsidRPr="00C6052E">
        <w:t xml:space="preserve"> </w:t>
      </w:r>
      <w:r w:rsidRPr="00C6052E">
        <w:t>represent</w:t>
      </w:r>
      <w:r w:rsidR="00177848" w:rsidRPr="00C6052E">
        <w:t xml:space="preserve"> </w:t>
      </w:r>
      <w:r w:rsidRPr="00C6052E">
        <w:t>amounts</w:t>
      </w:r>
      <w:r w:rsidR="00177848" w:rsidRPr="00C6052E">
        <w:t xml:space="preserve"> </w:t>
      </w:r>
      <w:r w:rsidRPr="00C6052E">
        <w:t>that</w:t>
      </w:r>
      <w:r w:rsidR="00177848" w:rsidRPr="00C6052E">
        <w:t xml:space="preserve"> </w:t>
      </w:r>
      <w:r w:rsidRPr="00C6052E">
        <w:t>have</w:t>
      </w:r>
      <w:r w:rsidR="00177848" w:rsidRPr="00C6052E">
        <w:t xml:space="preserve"> </w:t>
      </w:r>
      <w:r w:rsidRPr="00C6052E">
        <w:t>been</w:t>
      </w:r>
      <w:r w:rsidR="00177848" w:rsidRPr="00C6052E">
        <w:t xml:space="preserve"> </w:t>
      </w:r>
      <w:r w:rsidRPr="00C6052E">
        <w:t>incurred</w:t>
      </w:r>
      <w:r w:rsidR="00177848" w:rsidRPr="00C6052E">
        <w:t xml:space="preserve"> </w:t>
      </w:r>
      <w:r w:rsidRPr="00C6052E">
        <w:t>under</w:t>
      </w:r>
      <w:r w:rsidR="00177848" w:rsidRPr="00C6052E">
        <w:t xml:space="preserve"> </w:t>
      </w:r>
      <w:r w:rsidRPr="00C6052E">
        <w:t>the</w:t>
      </w:r>
      <w:r w:rsidR="00177848" w:rsidRPr="00C6052E">
        <w:t xml:space="preserve"> </w:t>
      </w:r>
      <w:r w:rsidRPr="00C6052E">
        <w:t>terms</w:t>
      </w:r>
      <w:r w:rsidR="00177848" w:rsidRPr="00C6052E">
        <w:t xml:space="preserve"> </w:t>
      </w:r>
      <w:r w:rsidRPr="00C6052E">
        <w:t>of</w:t>
      </w:r>
      <w:r w:rsidR="00177848" w:rsidRPr="00C6052E">
        <w:t xml:space="preserve"> </w:t>
      </w:r>
      <w:r w:rsidRPr="00C6052E">
        <w:t>the</w:t>
      </w:r>
      <w:r w:rsidR="00177848" w:rsidRPr="00C6052E">
        <w:t xml:space="preserve"> </w:t>
      </w:r>
      <w:r w:rsidRPr="00C6052E">
        <w:t>grant</w:t>
      </w:r>
      <w:r w:rsidR="00177848" w:rsidRPr="00C6052E">
        <w:t xml:space="preserve"> </w:t>
      </w:r>
      <w:r w:rsidRPr="00C6052E">
        <w:t>but</w:t>
      </w:r>
      <w:r w:rsidR="00177848" w:rsidRPr="00C6052E">
        <w:t xml:space="preserve"> </w:t>
      </w:r>
      <w:r w:rsidRPr="00C6052E">
        <w:t>have</w:t>
      </w:r>
      <w:r w:rsidR="00177848" w:rsidRPr="00C6052E">
        <w:t xml:space="preserve"> </w:t>
      </w:r>
      <w:r w:rsidRPr="00C6052E">
        <w:t>not</w:t>
      </w:r>
      <w:r w:rsidR="00177848" w:rsidRPr="00C6052E">
        <w:t xml:space="preserve"> </w:t>
      </w:r>
      <w:r w:rsidRPr="00C6052E">
        <w:t>yet</w:t>
      </w:r>
      <w:r w:rsidR="00177848" w:rsidRPr="00C6052E">
        <w:t xml:space="preserve"> </w:t>
      </w:r>
      <w:r w:rsidRPr="00C6052E">
        <w:t>been</w:t>
      </w:r>
      <w:r w:rsidR="00177848" w:rsidRPr="00C6052E">
        <w:t xml:space="preserve"> </w:t>
      </w:r>
      <w:r w:rsidRPr="00C6052E">
        <w:t>paid</w:t>
      </w:r>
      <w:r w:rsidR="00177848" w:rsidRPr="00C6052E">
        <w:t xml:space="preserve"> </w:t>
      </w:r>
      <w:r w:rsidRPr="00C6052E">
        <w:t>by</w:t>
      </w:r>
      <w:r w:rsidR="00177848" w:rsidRPr="00C6052E">
        <w:t xml:space="preserve"> </w:t>
      </w:r>
      <w:r w:rsidRPr="00C6052E">
        <w:t>DJSIR</w:t>
      </w:r>
      <w:r w:rsidR="00177848" w:rsidRPr="00C6052E">
        <w:t xml:space="preserve"> </w:t>
      </w:r>
      <w:r w:rsidRPr="00C6052E">
        <w:t>at</w:t>
      </w:r>
      <w:r w:rsidR="00177848" w:rsidRPr="00C6052E">
        <w:t xml:space="preserve"> </w:t>
      </w:r>
      <w:r w:rsidRPr="00C6052E">
        <w:t>the</w:t>
      </w:r>
      <w:r w:rsidR="00177848" w:rsidRPr="00C6052E">
        <w:t xml:space="preserve"> </w:t>
      </w:r>
      <w:r w:rsidRPr="00C6052E">
        <w:t>reporting</w:t>
      </w:r>
      <w:r w:rsidR="00177848" w:rsidRPr="00C6052E">
        <w:t xml:space="preserve"> </w:t>
      </w:r>
      <w:r w:rsidRPr="00C6052E">
        <w:t>date.</w:t>
      </w:r>
      <w:r w:rsidR="00177848" w:rsidRPr="00C6052E">
        <w:t xml:space="preserve"> </w:t>
      </w:r>
    </w:p>
    <w:p w14:paraId="348BF321" w14:textId="45B92FCF" w:rsidR="00EE5BB8" w:rsidRPr="00C6052E" w:rsidRDefault="00EA7A88" w:rsidP="00EA7A88">
      <w:pPr>
        <w:pStyle w:val="TableHeading"/>
      </w:pPr>
      <w:r w:rsidRPr="00C6052E">
        <w:t>Maturity</w:t>
      </w:r>
      <w:r w:rsidR="00177848" w:rsidRPr="00C6052E">
        <w:t xml:space="preserve"> </w:t>
      </w:r>
      <w:r w:rsidRPr="00C6052E">
        <w:t>analysis</w:t>
      </w:r>
      <w:r w:rsidR="00177848" w:rsidRPr="00C6052E">
        <w:t xml:space="preserve"> </w:t>
      </w:r>
      <w:r w:rsidRPr="00C6052E">
        <w:t>of</w:t>
      </w:r>
      <w:r w:rsidR="00177848" w:rsidRPr="00C6052E">
        <w:t xml:space="preserve"> </w:t>
      </w:r>
      <w:r w:rsidRPr="00C6052E">
        <w:t>contractual</w:t>
      </w:r>
      <w:r w:rsidR="00177848" w:rsidRPr="00C6052E">
        <w:t xml:space="preserve"> </w:t>
      </w:r>
      <w:r w:rsidRPr="00C6052E">
        <w:t>payables</w:t>
      </w:r>
      <w:r w:rsidR="00EE5BB8" w:rsidRPr="00C6052E">
        <w:rPr>
          <w:vertAlign w:val="superscript"/>
        </w:rPr>
        <w:t>(i)</w:t>
      </w:r>
      <w:r w:rsidR="002A4825" w:rsidRPr="002A4825">
        <w:t xml:space="preserve"> </w:t>
      </w:r>
      <w:r w:rsidR="002A4825" w:rsidRPr="00C6052E">
        <w:t>($ thousand)</w:t>
      </w:r>
    </w:p>
    <w:tbl>
      <w:tblPr>
        <w:tblStyle w:val="TableGrid"/>
        <w:tblW w:w="9844" w:type="dxa"/>
        <w:tblLayout w:type="fixed"/>
        <w:tblLook w:val="04E0" w:firstRow="1" w:lastRow="1" w:firstColumn="1" w:lastColumn="0" w:noHBand="0" w:noVBand="1"/>
      </w:tblPr>
      <w:tblGrid>
        <w:gridCol w:w="2625"/>
        <w:gridCol w:w="1020"/>
        <w:gridCol w:w="951"/>
        <w:gridCol w:w="1156"/>
        <w:gridCol w:w="992"/>
        <w:gridCol w:w="1116"/>
        <w:gridCol w:w="1010"/>
        <w:gridCol w:w="974"/>
      </w:tblGrid>
      <w:tr w:rsidR="00EE5BB8" w:rsidRPr="00C6052E" w14:paraId="2A2CE754" w14:textId="77777777" w:rsidTr="002A4825">
        <w:tc>
          <w:tcPr>
            <w:tcW w:w="2625" w:type="dxa"/>
            <w:noWrap/>
            <w:hideMark/>
          </w:tcPr>
          <w:p w14:paraId="4FE4FD98" w14:textId="77777777" w:rsidR="00EE5BB8" w:rsidRPr="00C6052E" w:rsidRDefault="00EE5BB8" w:rsidP="000F5B20">
            <w:pPr>
              <w:pStyle w:val="TableColumnHeading"/>
            </w:pPr>
            <w:bookmarkStart w:id="251" w:name="TableColumnHeadings_75"/>
            <w:bookmarkEnd w:id="251"/>
          </w:p>
        </w:tc>
        <w:tc>
          <w:tcPr>
            <w:tcW w:w="1020" w:type="dxa"/>
            <w:hideMark/>
          </w:tcPr>
          <w:p w14:paraId="1EE187D1" w14:textId="72E75688" w:rsidR="00EE5BB8" w:rsidRPr="00C6052E" w:rsidRDefault="00EE5BB8" w:rsidP="002A4825">
            <w:pPr>
              <w:pStyle w:val="TableColumnHeading"/>
              <w:jc w:val="right"/>
              <w:rPr>
                <w:lang w:val="en-AU"/>
              </w:rPr>
            </w:pPr>
            <w:r w:rsidRPr="00C6052E">
              <w:rPr>
                <w:lang w:val="en-AU"/>
              </w:rPr>
              <w:t>Carrying</w:t>
            </w:r>
            <w:r w:rsidR="00B1545C" w:rsidRPr="00C6052E">
              <w:rPr>
                <w:lang w:val="en-AU"/>
              </w:rPr>
              <w:t xml:space="preserve"> </w:t>
            </w:r>
            <w:r w:rsidRPr="00C6052E">
              <w:rPr>
                <w:lang w:val="en-AU"/>
              </w:rPr>
              <w:t>amount</w:t>
            </w:r>
          </w:p>
        </w:tc>
        <w:tc>
          <w:tcPr>
            <w:tcW w:w="951" w:type="dxa"/>
            <w:hideMark/>
          </w:tcPr>
          <w:p w14:paraId="4D240E01" w14:textId="16077E37" w:rsidR="00EE5BB8" w:rsidRPr="00C6052E" w:rsidRDefault="00EE5BB8" w:rsidP="002A4825">
            <w:pPr>
              <w:pStyle w:val="TableColumnHeading"/>
              <w:jc w:val="right"/>
              <w:rPr>
                <w:lang w:val="en-AU"/>
              </w:rPr>
            </w:pPr>
            <w:r w:rsidRPr="00C6052E">
              <w:rPr>
                <w:lang w:val="en-AU"/>
              </w:rPr>
              <w:t>Nominal</w:t>
            </w:r>
            <w:r w:rsidR="00B1545C" w:rsidRPr="00C6052E">
              <w:rPr>
                <w:lang w:val="en-AU"/>
              </w:rPr>
              <w:t xml:space="preserve"> </w:t>
            </w:r>
            <w:r w:rsidRPr="00C6052E">
              <w:rPr>
                <w:lang w:val="en-AU"/>
              </w:rPr>
              <w:t>amount</w:t>
            </w:r>
          </w:p>
        </w:tc>
        <w:tc>
          <w:tcPr>
            <w:tcW w:w="1156" w:type="dxa"/>
            <w:hideMark/>
          </w:tcPr>
          <w:p w14:paraId="7B3A153A" w14:textId="7ECA43A8" w:rsidR="00EE5BB8" w:rsidRPr="00C6052E" w:rsidRDefault="002A4825" w:rsidP="002A4825">
            <w:pPr>
              <w:pStyle w:val="TableColumnHeading"/>
              <w:jc w:val="right"/>
              <w:rPr>
                <w:lang w:val="en-AU"/>
              </w:rPr>
            </w:pPr>
            <w:r w:rsidRPr="00C6052E">
              <w:rPr>
                <w:lang w:val="en-AU"/>
              </w:rPr>
              <w:t xml:space="preserve">Maturity dates </w:t>
            </w:r>
            <w:r w:rsidR="00EE5BB8" w:rsidRPr="00C6052E">
              <w:rPr>
                <w:lang w:val="en-AU"/>
              </w:rPr>
              <w:t>Less</w:t>
            </w:r>
            <w:r w:rsidR="00B1545C" w:rsidRPr="00C6052E">
              <w:rPr>
                <w:lang w:val="en-AU"/>
              </w:rPr>
              <w:t xml:space="preserve"> </w:t>
            </w:r>
            <w:r w:rsidR="00EE5BB8" w:rsidRPr="00C6052E">
              <w:rPr>
                <w:lang w:val="en-AU"/>
              </w:rPr>
              <w:t>than</w:t>
            </w:r>
            <w:r w:rsidR="00177848" w:rsidRPr="00C6052E">
              <w:rPr>
                <w:lang w:val="en-AU"/>
              </w:rPr>
              <w:t xml:space="preserve"> </w:t>
            </w:r>
            <w:r w:rsidR="00EE5BB8" w:rsidRPr="00C6052E">
              <w:rPr>
                <w:lang w:val="en-AU"/>
              </w:rPr>
              <w:t>1</w:t>
            </w:r>
            <w:r w:rsidR="00177848" w:rsidRPr="00C6052E">
              <w:rPr>
                <w:lang w:val="en-AU"/>
              </w:rPr>
              <w:t xml:space="preserve"> </w:t>
            </w:r>
            <w:r w:rsidR="00EE5BB8" w:rsidRPr="00C6052E">
              <w:rPr>
                <w:lang w:val="en-AU"/>
              </w:rPr>
              <w:t>month</w:t>
            </w:r>
          </w:p>
        </w:tc>
        <w:tc>
          <w:tcPr>
            <w:tcW w:w="992" w:type="dxa"/>
            <w:hideMark/>
          </w:tcPr>
          <w:p w14:paraId="7E4D3C3D" w14:textId="54F587DB" w:rsidR="00EE5BB8" w:rsidRPr="00C6052E" w:rsidRDefault="002A4825" w:rsidP="002A4825">
            <w:pPr>
              <w:pStyle w:val="TableColumnHeading"/>
              <w:jc w:val="right"/>
              <w:rPr>
                <w:lang w:val="en-AU"/>
              </w:rPr>
            </w:pPr>
            <w:r w:rsidRPr="00C6052E">
              <w:rPr>
                <w:lang w:val="en-AU"/>
              </w:rPr>
              <w:t xml:space="preserve">Maturity dates </w:t>
            </w:r>
            <w:r w:rsidR="00EE5BB8" w:rsidRPr="00C6052E">
              <w:rPr>
                <w:lang w:val="en-AU"/>
              </w:rPr>
              <w:t>1-3</w:t>
            </w:r>
            <w:r w:rsidR="00B1545C" w:rsidRPr="00C6052E">
              <w:rPr>
                <w:lang w:val="en-AU"/>
              </w:rPr>
              <w:t xml:space="preserve"> </w:t>
            </w:r>
            <w:r w:rsidR="00EE5BB8" w:rsidRPr="00C6052E">
              <w:rPr>
                <w:lang w:val="en-AU"/>
              </w:rPr>
              <w:t>month</w:t>
            </w:r>
          </w:p>
        </w:tc>
        <w:tc>
          <w:tcPr>
            <w:tcW w:w="1116" w:type="dxa"/>
            <w:hideMark/>
          </w:tcPr>
          <w:p w14:paraId="740CFF32" w14:textId="2DD63CE9" w:rsidR="00EE5BB8" w:rsidRPr="00C6052E" w:rsidRDefault="002A4825" w:rsidP="002A4825">
            <w:pPr>
              <w:pStyle w:val="TableColumnHeading"/>
              <w:jc w:val="right"/>
              <w:rPr>
                <w:lang w:val="en-AU"/>
              </w:rPr>
            </w:pPr>
            <w:r w:rsidRPr="00C6052E">
              <w:rPr>
                <w:lang w:val="en-AU"/>
              </w:rPr>
              <w:t xml:space="preserve">Maturity dates </w:t>
            </w:r>
            <w:r w:rsidR="00EE5BB8" w:rsidRPr="00C6052E">
              <w:rPr>
                <w:lang w:val="en-AU"/>
              </w:rPr>
              <w:t>3</w:t>
            </w:r>
            <w:r w:rsidR="00B1545C" w:rsidRPr="00C6052E">
              <w:rPr>
                <w:lang w:val="en-AU"/>
              </w:rPr>
              <w:t xml:space="preserve"> </w:t>
            </w:r>
            <w:r w:rsidR="00EE5BB8" w:rsidRPr="00C6052E">
              <w:rPr>
                <w:lang w:val="en-AU"/>
              </w:rPr>
              <w:t>months</w:t>
            </w:r>
            <w:r w:rsidR="00177848" w:rsidRPr="00C6052E">
              <w:rPr>
                <w:lang w:val="en-AU"/>
              </w:rPr>
              <w:t xml:space="preserve"> </w:t>
            </w:r>
            <w:r w:rsidR="00EE5BB8" w:rsidRPr="00C6052E">
              <w:rPr>
                <w:lang w:val="en-AU"/>
              </w:rPr>
              <w:t>–</w:t>
            </w:r>
            <w:r w:rsidR="00177848" w:rsidRPr="00C6052E">
              <w:rPr>
                <w:lang w:val="en-AU"/>
              </w:rPr>
              <w:t xml:space="preserve"> </w:t>
            </w:r>
            <w:r w:rsidR="00EE5BB8" w:rsidRPr="00C6052E">
              <w:rPr>
                <w:lang w:val="en-AU"/>
              </w:rPr>
              <w:t>1</w:t>
            </w:r>
            <w:r w:rsidR="00177848" w:rsidRPr="00C6052E">
              <w:rPr>
                <w:lang w:val="en-AU"/>
              </w:rPr>
              <w:t xml:space="preserve"> </w:t>
            </w:r>
            <w:r w:rsidR="00EE5BB8" w:rsidRPr="00C6052E">
              <w:rPr>
                <w:lang w:val="en-AU"/>
              </w:rPr>
              <w:t>year</w:t>
            </w:r>
          </w:p>
        </w:tc>
        <w:tc>
          <w:tcPr>
            <w:tcW w:w="1010" w:type="dxa"/>
            <w:hideMark/>
          </w:tcPr>
          <w:p w14:paraId="31A717ED" w14:textId="7292E8FA" w:rsidR="00EE5BB8" w:rsidRPr="00C6052E" w:rsidRDefault="002A4825" w:rsidP="002A4825">
            <w:pPr>
              <w:pStyle w:val="TableColumnHeading"/>
              <w:jc w:val="right"/>
              <w:rPr>
                <w:lang w:val="en-AU"/>
              </w:rPr>
            </w:pPr>
            <w:r w:rsidRPr="00C6052E">
              <w:rPr>
                <w:lang w:val="en-AU"/>
              </w:rPr>
              <w:t xml:space="preserve">Maturity dates </w:t>
            </w:r>
            <w:r w:rsidR="00EE5BB8" w:rsidRPr="00C6052E">
              <w:rPr>
                <w:lang w:val="en-AU"/>
              </w:rPr>
              <w:t>1-5</w:t>
            </w:r>
            <w:r w:rsidR="00B1545C" w:rsidRPr="00C6052E">
              <w:rPr>
                <w:lang w:val="en-AU"/>
              </w:rPr>
              <w:t xml:space="preserve"> </w:t>
            </w:r>
            <w:r w:rsidR="00EE5BB8" w:rsidRPr="00C6052E">
              <w:rPr>
                <w:lang w:val="en-AU"/>
              </w:rPr>
              <w:t>years</w:t>
            </w:r>
            <w:r w:rsidR="00177848" w:rsidRPr="00C6052E">
              <w:rPr>
                <w:lang w:val="en-AU"/>
              </w:rPr>
              <w:t xml:space="preserve"> </w:t>
            </w:r>
          </w:p>
        </w:tc>
        <w:tc>
          <w:tcPr>
            <w:tcW w:w="974" w:type="dxa"/>
            <w:hideMark/>
          </w:tcPr>
          <w:p w14:paraId="724DB530" w14:textId="7233029F" w:rsidR="00EE5BB8" w:rsidRPr="00C6052E" w:rsidRDefault="002A4825" w:rsidP="002A4825">
            <w:pPr>
              <w:pStyle w:val="TableColumnHeading"/>
              <w:jc w:val="right"/>
              <w:rPr>
                <w:lang w:val="en-AU"/>
              </w:rPr>
            </w:pPr>
            <w:r w:rsidRPr="00C6052E">
              <w:rPr>
                <w:lang w:val="en-AU"/>
              </w:rPr>
              <w:t xml:space="preserve">Maturity dates </w:t>
            </w:r>
            <w:r w:rsidR="00EE5BB8" w:rsidRPr="00C6052E">
              <w:rPr>
                <w:lang w:val="en-AU"/>
              </w:rPr>
              <w:t>5+</w:t>
            </w:r>
            <w:r w:rsidR="00B1545C" w:rsidRPr="00C6052E">
              <w:rPr>
                <w:lang w:val="en-AU"/>
              </w:rPr>
              <w:t xml:space="preserve"> </w:t>
            </w:r>
            <w:r w:rsidR="00EE5BB8" w:rsidRPr="00C6052E">
              <w:rPr>
                <w:lang w:val="en-AU"/>
              </w:rPr>
              <w:t>years</w:t>
            </w:r>
          </w:p>
        </w:tc>
      </w:tr>
      <w:tr w:rsidR="002A4825" w:rsidRPr="00C6052E" w14:paraId="46FD4637" w14:textId="77777777" w:rsidTr="002A4825">
        <w:tc>
          <w:tcPr>
            <w:tcW w:w="2625" w:type="dxa"/>
          </w:tcPr>
          <w:p w14:paraId="0C481FC8" w14:textId="24E2140A" w:rsidR="002A4825" w:rsidRPr="00C6052E" w:rsidRDefault="002A4825" w:rsidP="002A4825">
            <w:pPr>
              <w:pStyle w:val="TableHeading"/>
            </w:pPr>
            <w:r w:rsidRPr="00C6052E">
              <w:t>2025</w:t>
            </w:r>
          </w:p>
        </w:tc>
        <w:tc>
          <w:tcPr>
            <w:tcW w:w="1020" w:type="dxa"/>
            <w:noWrap/>
          </w:tcPr>
          <w:p w14:paraId="45F7E8EA" w14:textId="77777777" w:rsidR="002A4825" w:rsidRPr="00C6052E" w:rsidRDefault="002A4825" w:rsidP="002A4825">
            <w:pPr>
              <w:pStyle w:val="TableHeading"/>
              <w:jc w:val="right"/>
            </w:pPr>
          </w:p>
        </w:tc>
        <w:tc>
          <w:tcPr>
            <w:tcW w:w="951" w:type="dxa"/>
            <w:noWrap/>
          </w:tcPr>
          <w:p w14:paraId="52AF27C2" w14:textId="77777777" w:rsidR="002A4825" w:rsidRPr="00C6052E" w:rsidRDefault="002A4825" w:rsidP="002A4825">
            <w:pPr>
              <w:pStyle w:val="TableHeading"/>
              <w:jc w:val="right"/>
            </w:pPr>
          </w:p>
        </w:tc>
        <w:tc>
          <w:tcPr>
            <w:tcW w:w="1156" w:type="dxa"/>
            <w:noWrap/>
          </w:tcPr>
          <w:p w14:paraId="249513A5" w14:textId="77777777" w:rsidR="002A4825" w:rsidRPr="00C6052E" w:rsidRDefault="002A4825" w:rsidP="002A4825">
            <w:pPr>
              <w:pStyle w:val="TableHeading"/>
              <w:jc w:val="right"/>
            </w:pPr>
          </w:p>
        </w:tc>
        <w:tc>
          <w:tcPr>
            <w:tcW w:w="992" w:type="dxa"/>
            <w:noWrap/>
          </w:tcPr>
          <w:p w14:paraId="061F7670" w14:textId="77777777" w:rsidR="002A4825" w:rsidRPr="00C6052E" w:rsidRDefault="002A4825" w:rsidP="002A4825">
            <w:pPr>
              <w:pStyle w:val="TableHeading"/>
              <w:jc w:val="right"/>
            </w:pPr>
          </w:p>
        </w:tc>
        <w:tc>
          <w:tcPr>
            <w:tcW w:w="1116" w:type="dxa"/>
            <w:noWrap/>
          </w:tcPr>
          <w:p w14:paraId="000F63D5" w14:textId="77777777" w:rsidR="002A4825" w:rsidRPr="00C6052E" w:rsidRDefault="002A4825" w:rsidP="002A4825">
            <w:pPr>
              <w:pStyle w:val="TableHeading"/>
              <w:jc w:val="right"/>
            </w:pPr>
          </w:p>
        </w:tc>
        <w:tc>
          <w:tcPr>
            <w:tcW w:w="1010" w:type="dxa"/>
            <w:noWrap/>
          </w:tcPr>
          <w:p w14:paraId="69759E3F" w14:textId="77777777" w:rsidR="002A4825" w:rsidRPr="00C6052E" w:rsidRDefault="002A4825" w:rsidP="002A4825">
            <w:pPr>
              <w:pStyle w:val="TableHeading"/>
              <w:jc w:val="right"/>
            </w:pPr>
          </w:p>
        </w:tc>
        <w:tc>
          <w:tcPr>
            <w:tcW w:w="974" w:type="dxa"/>
            <w:noWrap/>
          </w:tcPr>
          <w:p w14:paraId="6044B5BF" w14:textId="77777777" w:rsidR="002A4825" w:rsidRPr="00C6052E" w:rsidRDefault="002A4825" w:rsidP="002A4825">
            <w:pPr>
              <w:pStyle w:val="TableHeading"/>
              <w:jc w:val="right"/>
            </w:pPr>
          </w:p>
        </w:tc>
      </w:tr>
      <w:tr w:rsidR="00EE5BB8" w:rsidRPr="00C6052E" w14:paraId="3C40AE97" w14:textId="77777777" w:rsidTr="002A4825">
        <w:tc>
          <w:tcPr>
            <w:tcW w:w="2625" w:type="dxa"/>
            <w:hideMark/>
          </w:tcPr>
          <w:p w14:paraId="01C6CA31" w14:textId="0936DD87" w:rsidR="00EE5BB8" w:rsidRPr="00C6052E" w:rsidRDefault="00EE5BB8" w:rsidP="0063097D">
            <w:pPr>
              <w:pStyle w:val="TableCopy"/>
            </w:pPr>
            <w:r w:rsidRPr="00C6052E">
              <w:t>Supplies</w:t>
            </w:r>
            <w:r w:rsidR="00177848" w:rsidRPr="00C6052E">
              <w:t xml:space="preserve"> </w:t>
            </w:r>
            <w:r w:rsidRPr="00C6052E">
              <w:t>and</w:t>
            </w:r>
            <w:r w:rsidR="00177848" w:rsidRPr="00C6052E">
              <w:t xml:space="preserve"> </w:t>
            </w:r>
            <w:r w:rsidRPr="00C6052E">
              <w:t>services</w:t>
            </w:r>
          </w:p>
        </w:tc>
        <w:tc>
          <w:tcPr>
            <w:tcW w:w="1020" w:type="dxa"/>
            <w:noWrap/>
            <w:hideMark/>
          </w:tcPr>
          <w:p w14:paraId="424759DF" w14:textId="77777777" w:rsidR="00EE5BB8" w:rsidRPr="00C6052E" w:rsidRDefault="00EE5BB8" w:rsidP="002A4825">
            <w:pPr>
              <w:pStyle w:val="TableCopy"/>
              <w:jc w:val="right"/>
            </w:pPr>
            <w:r w:rsidRPr="00C6052E">
              <w:t>13,205</w:t>
            </w:r>
          </w:p>
        </w:tc>
        <w:tc>
          <w:tcPr>
            <w:tcW w:w="951" w:type="dxa"/>
            <w:noWrap/>
            <w:hideMark/>
          </w:tcPr>
          <w:p w14:paraId="464F8FF6" w14:textId="77777777" w:rsidR="00EE5BB8" w:rsidRPr="00C6052E" w:rsidRDefault="00EE5BB8" w:rsidP="002A4825">
            <w:pPr>
              <w:pStyle w:val="TableCopy"/>
              <w:jc w:val="right"/>
            </w:pPr>
            <w:r w:rsidRPr="00C6052E">
              <w:t>13,205</w:t>
            </w:r>
          </w:p>
        </w:tc>
        <w:tc>
          <w:tcPr>
            <w:tcW w:w="1156" w:type="dxa"/>
            <w:noWrap/>
            <w:hideMark/>
          </w:tcPr>
          <w:p w14:paraId="7552B9F0" w14:textId="77777777" w:rsidR="00EE5BB8" w:rsidRPr="00C6052E" w:rsidRDefault="00EE5BB8" w:rsidP="002A4825">
            <w:pPr>
              <w:pStyle w:val="TableCopy"/>
              <w:jc w:val="right"/>
            </w:pPr>
            <w:r w:rsidRPr="00C6052E">
              <w:t>13,205</w:t>
            </w:r>
          </w:p>
        </w:tc>
        <w:tc>
          <w:tcPr>
            <w:tcW w:w="992" w:type="dxa"/>
            <w:noWrap/>
            <w:hideMark/>
          </w:tcPr>
          <w:p w14:paraId="01B429C5" w14:textId="77777777" w:rsidR="00EE5BB8" w:rsidRPr="00C6052E" w:rsidRDefault="00EE5BB8" w:rsidP="002A4825">
            <w:pPr>
              <w:pStyle w:val="TableCopy"/>
              <w:jc w:val="right"/>
            </w:pPr>
            <w:r w:rsidRPr="00C6052E">
              <w:t>–</w:t>
            </w:r>
          </w:p>
        </w:tc>
        <w:tc>
          <w:tcPr>
            <w:tcW w:w="1116" w:type="dxa"/>
            <w:noWrap/>
            <w:hideMark/>
          </w:tcPr>
          <w:p w14:paraId="77B32E86" w14:textId="77777777" w:rsidR="00EE5BB8" w:rsidRPr="00C6052E" w:rsidRDefault="00EE5BB8" w:rsidP="002A4825">
            <w:pPr>
              <w:pStyle w:val="TableCopy"/>
              <w:jc w:val="right"/>
            </w:pPr>
            <w:r w:rsidRPr="00C6052E">
              <w:t>–</w:t>
            </w:r>
          </w:p>
        </w:tc>
        <w:tc>
          <w:tcPr>
            <w:tcW w:w="1010" w:type="dxa"/>
            <w:noWrap/>
            <w:hideMark/>
          </w:tcPr>
          <w:p w14:paraId="300CC138" w14:textId="77777777" w:rsidR="00EE5BB8" w:rsidRPr="00C6052E" w:rsidRDefault="00EE5BB8" w:rsidP="002A4825">
            <w:pPr>
              <w:pStyle w:val="TableCopy"/>
              <w:jc w:val="right"/>
            </w:pPr>
            <w:r w:rsidRPr="00C6052E">
              <w:t>–</w:t>
            </w:r>
          </w:p>
        </w:tc>
        <w:tc>
          <w:tcPr>
            <w:tcW w:w="974" w:type="dxa"/>
            <w:noWrap/>
            <w:hideMark/>
          </w:tcPr>
          <w:p w14:paraId="745D5988" w14:textId="77777777" w:rsidR="00EE5BB8" w:rsidRPr="00C6052E" w:rsidRDefault="00EE5BB8" w:rsidP="002A4825">
            <w:pPr>
              <w:pStyle w:val="TableCopy"/>
              <w:jc w:val="right"/>
            </w:pPr>
            <w:r w:rsidRPr="00C6052E">
              <w:t>–</w:t>
            </w:r>
          </w:p>
        </w:tc>
      </w:tr>
      <w:tr w:rsidR="00EE5BB8" w:rsidRPr="00C6052E" w14:paraId="12F9A7FB" w14:textId="77777777" w:rsidTr="002A4825">
        <w:tc>
          <w:tcPr>
            <w:tcW w:w="2625" w:type="dxa"/>
            <w:hideMark/>
          </w:tcPr>
          <w:p w14:paraId="1876BE2F" w14:textId="17F5DBBE" w:rsidR="00EE5BB8" w:rsidRPr="00C6052E" w:rsidRDefault="00EE5BB8" w:rsidP="0063097D">
            <w:pPr>
              <w:pStyle w:val="TableCopy"/>
            </w:pPr>
            <w:r w:rsidRPr="00C6052E">
              <w:t>Amounts</w:t>
            </w:r>
            <w:r w:rsidR="00177848" w:rsidRPr="00C6052E">
              <w:t xml:space="preserve"> </w:t>
            </w:r>
            <w:r w:rsidRPr="00C6052E">
              <w:t>payable</w:t>
            </w:r>
            <w:r w:rsidR="00177848" w:rsidRPr="00C6052E">
              <w:t xml:space="preserve"> </w:t>
            </w:r>
            <w:r w:rsidRPr="00C6052E">
              <w:t>to</w:t>
            </w:r>
            <w:r w:rsidR="00177848" w:rsidRPr="00C6052E">
              <w:t xml:space="preserve"> </w:t>
            </w:r>
            <w:r w:rsidRPr="00C6052E">
              <w:t>government</w:t>
            </w:r>
            <w:r w:rsidR="00177848" w:rsidRPr="00C6052E">
              <w:t xml:space="preserve"> </w:t>
            </w:r>
            <w:r w:rsidRPr="00C6052E">
              <w:t>and</w:t>
            </w:r>
            <w:r w:rsidR="00177848" w:rsidRPr="00C6052E">
              <w:t xml:space="preserve"> </w:t>
            </w:r>
            <w:r w:rsidRPr="00C6052E">
              <w:t>agencies</w:t>
            </w:r>
            <w:r w:rsidR="00177848" w:rsidRPr="00C6052E">
              <w:t xml:space="preserve"> </w:t>
            </w:r>
          </w:p>
        </w:tc>
        <w:tc>
          <w:tcPr>
            <w:tcW w:w="1020" w:type="dxa"/>
            <w:noWrap/>
            <w:hideMark/>
          </w:tcPr>
          <w:p w14:paraId="1E6AD70F" w14:textId="77777777" w:rsidR="00EE5BB8" w:rsidRPr="00C6052E" w:rsidRDefault="00EE5BB8" w:rsidP="002A4825">
            <w:pPr>
              <w:pStyle w:val="TableCopy"/>
              <w:jc w:val="right"/>
            </w:pPr>
            <w:r w:rsidRPr="00C6052E">
              <w:t>41,273</w:t>
            </w:r>
          </w:p>
        </w:tc>
        <w:tc>
          <w:tcPr>
            <w:tcW w:w="951" w:type="dxa"/>
            <w:noWrap/>
            <w:hideMark/>
          </w:tcPr>
          <w:p w14:paraId="03C926F4" w14:textId="77777777" w:rsidR="00EE5BB8" w:rsidRPr="00C6052E" w:rsidRDefault="00EE5BB8" w:rsidP="002A4825">
            <w:pPr>
              <w:pStyle w:val="TableCopy"/>
              <w:jc w:val="right"/>
            </w:pPr>
            <w:r w:rsidRPr="00C6052E">
              <w:t>41,273</w:t>
            </w:r>
          </w:p>
        </w:tc>
        <w:tc>
          <w:tcPr>
            <w:tcW w:w="1156" w:type="dxa"/>
            <w:noWrap/>
            <w:hideMark/>
          </w:tcPr>
          <w:p w14:paraId="56E82393" w14:textId="77777777" w:rsidR="00EE5BB8" w:rsidRPr="00C6052E" w:rsidRDefault="00EE5BB8" w:rsidP="002A4825">
            <w:pPr>
              <w:pStyle w:val="TableCopy"/>
              <w:jc w:val="right"/>
            </w:pPr>
            <w:r w:rsidRPr="00C6052E">
              <w:t>41,273</w:t>
            </w:r>
          </w:p>
        </w:tc>
        <w:tc>
          <w:tcPr>
            <w:tcW w:w="992" w:type="dxa"/>
            <w:noWrap/>
            <w:hideMark/>
          </w:tcPr>
          <w:p w14:paraId="22A99C71" w14:textId="77777777" w:rsidR="00EE5BB8" w:rsidRPr="00C6052E" w:rsidRDefault="00EE5BB8" w:rsidP="002A4825">
            <w:pPr>
              <w:pStyle w:val="TableCopy"/>
              <w:jc w:val="right"/>
            </w:pPr>
            <w:r w:rsidRPr="00C6052E">
              <w:t>–</w:t>
            </w:r>
          </w:p>
        </w:tc>
        <w:tc>
          <w:tcPr>
            <w:tcW w:w="1116" w:type="dxa"/>
            <w:noWrap/>
            <w:hideMark/>
          </w:tcPr>
          <w:p w14:paraId="5FE34CF4" w14:textId="77777777" w:rsidR="00EE5BB8" w:rsidRPr="00C6052E" w:rsidRDefault="00EE5BB8" w:rsidP="002A4825">
            <w:pPr>
              <w:pStyle w:val="TableCopy"/>
              <w:jc w:val="right"/>
            </w:pPr>
            <w:r w:rsidRPr="00C6052E">
              <w:t>–</w:t>
            </w:r>
          </w:p>
        </w:tc>
        <w:tc>
          <w:tcPr>
            <w:tcW w:w="1010" w:type="dxa"/>
            <w:noWrap/>
            <w:hideMark/>
          </w:tcPr>
          <w:p w14:paraId="2E0C056F" w14:textId="77777777" w:rsidR="00EE5BB8" w:rsidRPr="00C6052E" w:rsidRDefault="00EE5BB8" w:rsidP="002A4825">
            <w:pPr>
              <w:pStyle w:val="TableCopy"/>
              <w:jc w:val="right"/>
            </w:pPr>
            <w:r w:rsidRPr="00C6052E">
              <w:t>–</w:t>
            </w:r>
          </w:p>
        </w:tc>
        <w:tc>
          <w:tcPr>
            <w:tcW w:w="974" w:type="dxa"/>
            <w:noWrap/>
            <w:hideMark/>
          </w:tcPr>
          <w:p w14:paraId="1E39302B" w14:textId="77777777" w:rsidR="00EE5BB8" w:rsidRPr="00C6052E" w:rsidRDefault="00EE5BB8" w:rsidP="002A4825">
            <w:pPr>
              <w:pStyle w:val="TableCopy"/>
              <w:jc w:val="right"/>
            </w:pPr>
            <w:r w:rsidRPr="00C6052E">
              <w:t>–</w:t>
            </w:r>
          </w:p>
        </w:tc>
      </w:tr>
      <w:tr w:rsidR="00EE5BB8" w:rsidRPr="00C6052E" w14:paraId="2EADEF0A" w14:textId="77777777" w:rsidTr="002A4825">
        <w:tc>
          <w:tcPr>
            <w:tcW w:w="2625" w:type="dxa"/>
            <w:hideMark/>
          </w:tcPr>
          <w:p w14:paraId="0EAE112B" w14:textId="1A022C7A" w:rsidR="00EE5BB8" w:rsidRPr="00C6052E" w:rsidRDefault="00EE5BB8" w:rsidP="0063097D">
            <w:pPr>
              <w:pStyle w:val="TableCopy"/>
            </w:pPr>
            <w:r w:rsidRPr="00C6052E">
              <w:t>Accrued</w:t>
            </w:r>
            <w:r w:rsidR="00177848" w:rsidRPr="00C6052E">
              <w:t xml:space="preserve"> </w:t>
            </w:r>
            <w:r w:rsidRPr="00C6052E">
              <w:t>grants</w:t>
            </w:r>
            <w:r w:rsidR="00177848" w:rsidRPr="00C6052E">
              <w:t xml:space="preserve"> </w:t>
            </w:r>
          </w:p>
        </w:tc>
        <w:tc>
          <w:tcPr>
            <w:tcW w:w="1020" w:type="dxa"/>
            <w:noWrap/>
            <w:hideMark/>
          </w:tcPr>
          <w:p w14:paraId="46D54EF3" w14:textId="77777777" w:rsidR="00EE5BB8" w:rsidRPr="00C6052E" w:rsidRDefault="00EE5BB8" w:rsidP="002A4825">
            <w:pPr>
              <w:pStyle w:val="TableCopy"/>
              <w:jc w:val="right"/>
            </w:pPr>
            <w:r w:rsidRPr="00C6052E">
              <w:t>329,363</w:t>
            </w:r>
          </w:p>
        </w:tc>
        <w:tc>
          <w:tcPr>
            <w:tcW w:w="951" w:type="dxa"/>
            <w:noWrap/>
            <w:hideMark/>
          </w:tcPr>
          <w:p w14:paraId="0042A031" w14:textId="77777777" w:rsidR="00EE5BB8" w:rsidRPr="00C6052E" w:rsidRDefault="00EE5BB8" w:rsidP="002A4825">
            <w:pPr>
              <w:pStyle w:val="TableCopy"/>
              <w:jc w:val="right"/>
            </w:pPr>
            <w:r w:rsidRPr="00C6052E">
              <w:t>329,363</w:t>
            </w:r>
          </w:p>
        </w:tc>
        <w:tc>
          <w:tcPr>
            <w:tcW w:w="1156" w:type="dxa"/>
            <w:noWrap/>
            <w:hideMark/>
          </w:tcPr>
          <w:p w14:paraId="17081819" w14:textId="77777777" w:rsidR="00EE5BB8" w:rsidRPr="00C6052E" w:rsidRDefault="00EE5BB8" w:rsidP="002A4825">
            <w:pPr>
              <w:pStyle w:val="TableCopy"/>
              <w:jc w:val="right"/>
            </w:pPr>
            <w:r w:rsidRPr="00C6052E">
              <w:t>329,363</w:t>
            </w:r>
          </w:p>
        </w:tc>
        <w:tc>
          <w:tcPr>
            <w:tcW w:w="992" w:type="dxa"/>
            <w:noWrap/>
            <w:hideMark/>
          </w:tcPr>
          <w:p w14:paraId="2C913593" w14:textId="77777777" w:rsidR="00EE5BB8" w:rsidRPr="00C6052E" w:rsidRDefault="00EE5BB8" w:rsidP="002A4825">
            <w:pPr>
              <w:pStyle w:val="TableCopy"/>
              <w:jc w:val="right"/>
            </w:pPr>
            <w:r w:rsidRPr="00C6052E">
              <w:t>–</w:t>
            </w:r>
          </w:p>
        </w:tc>
        <w:tc>
          <w:tcPr>
            <w:tcW w:w="1116" w:type="dxa"/>
            <w:noWrap/>
            <w:hideMark/>
          </w:tcPr>
          <w:p w14:paraId="59C11CFA" w14:textId="77777777" w:rsidR="00EE5BB8" w:rsidRPr="00C6052E" w:rsidRDefault="00EE5BB8" w:rsidP="002A4825">
            <w:pPr>
              <w:pStyle w:val="TableCopy"/>
              <w:jc w:val="right"/>
            </w:pPr>
            <w:r w:rsidRPr="00C6052E">
              <w:t>–</w:t>
            </w:r>
          </w:p>
        </w:tc>
        <w:tc>
          <w:tcPr>
            <w:tcW w:w="1010" w:type="dxa"/>
            <w:noWrap/>
            <w:hideMark/>
          </w:tcPr>
          <w:p w14:paraId="6081874C" w14:textId="77777777" w:rsidR="00EE5BB8" w:rsidRPr="00C6052E" w:rsidRDefault="00EE5BB8" w:rsidP="002A4825">
            <w:pPr>
              <w:pStyle w:val="TableCopy"/>
              <w:jc w:val="right"/>
            </w:pPr>
            <w:r w:rsidRPr="00C6052E">
              <w:t>–</w:t>
            </w:r>
          </w:p>
        </w:tc>
        <w:tc>
          <w:tcPr>
            <w:tcW w:w="974" w:type="dxa"/>
            <w:noWrap/>
            <w:hideMark/>
          </w:tcPr>
          <w:p w14:paraId="64305EB3" w14:textId="77777777" w:rsidR="00EE5BB8" w:rsidRPr="00C6052E" w:rsidRDefault="00EE5BB8" w:rsidP="002A4825">
            <w:pPr>
              <w:pStyle w:val="TableCopy"/>
              <w:jc w:val="right"/>
            </w:pPr>
            <w:r w:rsidRPr="00C6052E">
              <w:t>–</w:t>
            </w:r>
          </w:p>
        </w:tc>
      </w:tr>
      <w:tr w:rsidR="00EE5BB8" w:rsidRPr="00C6052E" w14:paraId="3B816A43" w14:textId="77777777" w:rsidTr="002A4825">
        <w:tc>
          <w:tcPr>
            <w:tcW w:w="2625" w:type="dxa"/>
            <w:noWrap/>
            <w:hideMark/>
          </w:tcPr>
          <w:p w14:paraId="61B82FB1" w14:textId="77777777" w:rsidR="00EE5BB8" w:rsidRPr="00C6052E" w:rsidRDefault="00EE5BB8" w:rsidP="0063097D">
            <w:pPr>
              <w:pStyle w:val="Tabletotal"/>
            </w:pPr>
            <w:r w:rsidRPr="00C6052E">
              <w:t>Total</w:t>
            </w:r>
          </w:p>
        </w:tc>
        <w:tc>
          <w:tcPr>
            <w:tcW w:w="1020" w:type="dxa"/>
            <w:noWrap/>
            <w:hideMark/>
          </w:tcPr>
          <w:p w14:paraId="720A8A11" w14:textId="77777777" w:rsidR="00EE5BB8" w:rsidRPr="00C6052E" w:rsidRDefault="00EE5BB8" w:rsidP="002A4825">
            <w:pPr>
              <w:pStyle w:val="Tabletotal"/>
              <w:jc w:val="right"/>
            </w:pPr>
            <w:r w:rsidRPr="00C6052E">
              <w:t>383,841</w:t>
            </w:r>
          </w:p>
        </w:tc>
        <w:tc>
          <w:tcPr>
            <w:tcW w:w="951" w:type="dxa"/>
            <w:noWrap/>
            <w:hideMark/>
          </w:tcPr>
          <w:p w14:paraId="195F962E" w14:textId="77777777" w:rsidR="00EE5BB8" w:rsidRPr="00C6052E" w:rsidRDefault="00EE5BB8" w:rsidP="002A4825">
            <w:pPr>
              <w:pStyle w:val="Tabletotal"/>
              <w:jc w:val="right"/>
            </w:pPr>
            <w:r w:rsidRPr="00C6052E">
              <w:t>383,841</w:t>
            </w:r>
          </w:p>
        </w:tc>
        <w:tc>
          <w:tcPr>
            <w:tcW w:w="1156" w:type="dxa"/>
            <w:noWrap/>
            <w:hideMark/>
          </w:tcPr>
          <w:p w14:paraId="03111AB0" w14:textId="77777777" w:rsidR="00EE5BB8" w:rsidRPr="00C6052E" w:rsidRDefault="00EE5BB8" w:rsidP="002A4825">
            <w:pPr>
              <w:pStyle w:val="Tabletotal"/>
              <w:jc w:val="right"/>
            </w:pPr>
            <w:r w:rsidRPr="00C6052E">
              <w:t>383,841</w:t>
            </w:r>
          </w:p>
        </w:tc>
        <w:tc>
          <w:tcPr>
            <w:tcW w:w="992" w:type="dxa"/>
            <w:noWrap/>
            <w:hideMark/>
          </w:tcPr>
          <w:p w14:paraId="4239795A" w14:textId="77777777" w:rsidR="00EE5BB8" w:rsidRPr="00C6052E" w:rsidRDefault="00EE5BB8" w:rsidP="002A4825">
            <w:pPr>
              <w:pStyle w:val="Tabletotal"/>
              <w:jc w:val="right"/>
            </w:pPr>
            <w:r w:rsidRPr="00C6052E">
              <w:t>–</w:t>
            </w:r>
          </w:p>
        </w:tc>
        <w:tc>
          <w:tcPr>
            <w:tcW w:w="1116" w:type="dxa"/>
            <w:noWrap/>
            <w:hideMark/>
          </w:tcPr>
          <w:p w14:paraId="31F13A01" w14:textId="77777777" w:rsidR="00EE5BB8" w:rsidRPr="00C6052E" w:rsidRDefault="00EE5BB8" w:rsidP="002A4825">
            <w:pPr>
              <w:pStyle w:val="Tabletotal"/>
              <w:jc w:val="right"/>
            </w:pPr>
            <w:r w:rsidRPr="00C6052E">
              <w:t>–</w:t>
            </w:r>
          </w:p>
        </w:tc>
        <w:tc>
          <w:tcPr>
            <w:tcW w:w="1010" w:type="dxa"/>
            <w:noWrap/>
            <w:hideMark/>
          </w:tcPr>
          <w:p w14:paraId="0E4B0DB6" w14:textId="77777777" w:rsidR="00EE5BB8" w:rsidRPr="00C6052E" w:rsidRDefault="00EE5BB8" w:rsidP="002A4825">
            <w:pPr>
              <w:pStyle w:val="Tabletotal"/>
              <w:jc w:val="right"/>
            </w:pPr>
            <w:r w:rsidRPr="00C6052E">
              <w:t>–</w:t>
            </w:r>
          </w:p>
        </w:tc>
        <w:tc>
          <w:tcPr>
            <w:tcW w:w="974" w:type="dxa"/>
            <w:noWrap/>
            <w:hideMark/>
          </w:tcPr>
          <w:p w14:paraId="7059AE52" w14:textId="77777777" w:rsidR="00EE5BB8" w:rsidRPr="00C6052E" w:rsidRDefault="00EE5BB8" w:rsidP="002A4825">
            <w:pPr>
              <w:pStyle w:val="Tabletotal"/>
              <w:jc w:val="right"/>
            </w:pPr>
            <w:r w:rsidRPr="00C6052E">
              <w:t>–</w:t>
            </w:r>
          </w:p>
        </w:tc>
      </w:tr>
      <w:tr w:rsidR="002A4825" w:rsidRPr="00C6052E" w14:paraId="6DA56ABC" w14:textId="77777777" w:rsidTr="002A4825">
        <w:tc>
          <w:tcPr>
            <w:tcW w:w="2625" w:type="dxa"/>
          </w:tcPr>
          <w:p w14:paraId="62EA358B" w14:textId="0A217852" w:rsidR="002A4825" w:rsidRPr="00C6052E" w:rsidRDefault="002A4825" w:rsidP="00FE4A6F">
            <w:pPr>
              <w:pStyle w:val="TableHeading"/>
            </w:pPr>
            <w:r w:rsidRPr="00C6052E">
              <w:t>2024</w:t>
            </w:r>
          </w:p>
        </w:tc>
        <w:tc>
          <w:tcPr>
            <w:tcW w:w="1020" w:type="dxa"/>
            <w:noWrap/>
          </w:tcPr>
          <w:p w14:paraId="4E14F7BA" w14:textId="77777777" w:rsidR="002A4825" w:rsidRPr="00C6052E" w:rsidRDefault="002A4825" w:rsidP="002A4825">
            <w:pPr>
              <w:pStyle w:val="TableHeading"/>
              <w:jc w:val="right"/>
            </w:pPr>
          </w:p>
        </w:tc>
        <w:tc>
          <w:tcPr>
            <w:tcW w:w="951" w:type="dxa"/>
            <w:noWrap/>
          </w:tcPr>
          <w:p w14:paraId="1570796F" w14:textId="77777777" w:rsidR="002A4825" w:rsidRPr="00C6052E" w:rsidRDefault="002A4825" w:rsidP="002A4825">
            <w:pPr>
              <w:pStyle w:val="TableHeading"/>
              <w:jc w:val="right"/>
            </w:pPr>
          </w:p>
        </w:tc>
        <w:tc>
          <w:tcPr>
            <w:tcW w:w="1156" w:type="dxa"/>
            <w:noWrap/>
          </w:tcPr>
          <w:p w14:paraId="16EF4928" w14:textId="77777777" w:rsidR="002A4825" w:rsidRPr="00C6052E" w:rsidRDefault="002A4825" w:rsidP="002A4825">
            <w:pPr>
              <w:pStyle w:val="TableHeading"/>
              <w:jc w:val="right"/>
            </w:pPr>
          </w:p>
        </w:tc>
        <w:tc>
          <w:tcPr>
            <w:tcW w:w="992" w:type="dxa"/>
            <w:noWrap/>
          </w:tcPr>
          <w:p w14:paraId="74D62EFD" w14:textId="77777777" w:rsidR="002A4825" w:rsidRPr="00C6052E" w:rsidRDefault="002A4825" w:rsidP="002A4825">
            <w:pPr>
              <w:pStyle w:val="TableHeading"/>
              <w:jc w:val="right"/>
            </w:pPr>
          </w:p>
        </w:tc>
        <w:tc>
          <w:tcPr>
            <w:tcW w:w="1116" w:type="dxa"/>
            <w:noWrap/>
          </w:tcPr>
          <w:p w14:paraId="57D5873C" w14:textId="77777777" w:rsidR="002A4825" w:rsidRPr="00C6052E" w:rsidRDefault="002A4825" w:rsidP="002A4825">
            <w:pPr>
              <w:pStyle w:val="TableHeading"/>
              <w:jc w:val="right"/>
            </w:pPr>
          </w:p>
        </w:tc>
        <w:tc>
          <w:tcPr>
            <w:tcW w:w="1010" w:type="dxa"/>
            <w:noWrap/>
          </w:tcPr>
          <w:p w14:paraId="35B1F538" w14:textId="77777777" w:rsidR="002A4825" w:rsidRPr="00C6052E" w:rsidRDefault="002A4825" w:rsidP="002A4825">
            <w:pPr>
              <w:pStyle w:val="TableHeading"/>
              <w:jc w:val="right"/>
            </w:pPr>
          </w:p>
        </w:tc>
        <w:tc>
          <w:tcPr>
            <w:tcW w:w="974" w:type="dxa"/>
            <w:noWrap/>
          </w:tcPr>
          <w:p w14:paraId="071938D1" w14:textId="77777777" w:rsidR="002A4825" w:rsidRPr="00C6052E" w:rsidRDefault="002A4825" w:rsidP="002A4825">
            <w:pPr>
              <w:pStyle w:val="TableHeading"/>
              <w:jc w:val="right"/>
            </w:pPr>
          </w:p>
        </w:tc>
      </w:tr>
      <w:tr w:rsidR="00EE5BB8" w:rsidRPr="00C6052E" w14:paraId="47CF5843" w14:textId="77777777" w:rsidTr="002A4825">
        <w:tc>
          <w:tcPr>
            <w:tcW w:w="2625" w:type="dxa"/>
            <w:hideMark/>
          </w:tcPr>
          <w:p w14:paraId="43E0BAA6" w14:textId="6400D3D6" w:rsidR="00EE5BB8" w:rsidRPr="00C6052E" w:rsidRDefault="00EE5BB8" w:rsidP="0063097D">
            <w:pPr>
              <w:pStyle w:val="TableCopy"/>
            </w:pPr>
            <w:r w:rsidRPr="00C6052E">
              <w:t>Supplies</w:t>
            </w:r>
            <w:r w:rsidR="00177848" w:rsidRPr="00C6052E">
              <w:t xml:space="preserve"> </w:t>
            </w:r>
            <w:r w:rsidRPr="00C6052E">
              <w:t>and</w:t>
            </w:r>
            <w:r w:rsidR="00177848" w:rsidRPr="00C6052E">
              <w:t xml:space="preserve"> </w:t>
            </w:r>
            <w:r w:rsidRPr="00C6052E">
              <w:t>services</w:t>
            </w:r>
          </w:p>
        </w:tc>
        <w:tc>
          <w:tcPr>
            <w:tcW w:w="1020" w:type="dxa"/>
            <w:noWrap/>
            <w:hideMark/>
          </w:tcPr>
          <w:p w14:paraId="1F655643" w14:textId="77777777" w:rsidR="00EE5BB8" w:rsidRPr="00C6052E" w:rsidRDefault="00EE5BB8" w:rsidP="002A4825">
            <w:pPr>
              <w:pStyle w:val="TableCopy"/>
              <w:jc w:val="right"/>
            </w:pPr>
            <w:r w:rsidRPr="00C6052E">
              <w:t>90,326</w:t>
            </w:r>
          </w:p>
        </w:tc>
        <w:tc>
          <w:tcPr>
            <w:tcW w:w="951" w:type="dxa"/>
            <w:noWrap/>
            <w:hideMark/>
          </w:tcPr>
          <w:p w14:paraId="0DAB07A8" w14:textId="77777777" w:rsidR="00EE5BB8" w:rsidRPr="00C6052E" w:rsidRDefault="00EE5BB8" w:rsidP="002A4825">
            <w:pPr>
              <w:pStyle w:val="TableCopy"/>
              <w:jc w:val="right"/>
            </w:pPr>
            <w:r w:rsidRPr="00C6052E">
              <w:t>90,326</w:t>
            </w:r>
          </w:p>
        </w:tc>
        <w:tc>
          <w:tcPr>
            <w:tcW w:w="1156" w:type="dxa"/>
            <w:noWrap/>
            <w:hideMark/>
          </w:tcPr>
          <w:p w14:paraId="75517E29" w14:textId="77777777" w:rsidR="00EE5BB8" w:rsidRPr="00C6052E" w:rsidRDefault="00EE5BB8" w:rsidP="002A4825">
            <w:pPr>
              <w:pStyle w:val="TableCopy"/>
              <w:jc w:val="right"/>
            </w:pPr>
            <w:r w:rsidRPr="00C6052E">
              <w:t>90,326</w:t>
            </w:r>
          </w:p>
        </w:tc>
        <w:tc>
          <w:tcPr>
            <w:tcW w:w="992" w:type="dxa"/>
            <w:noWrap/>
            <w:hideMark/>
          </w:tcPr>
          <w:p w14:paraId="5261EBB2" w14:textId="77777777" w:rsidR="00EE5BB8" w:rsidRPr="00C6052E" w:rsidRDefault="00EE5BB8" w:rsidP="002A4825">
            <w:pPr>
              <w:pStyle w:val="TableCopy"/>
              <w:jc w:val="right"/>
            </w:pPr>
            <w:r w:rsidRPr="00C6052E">
              <w:t>–</w:t>
            </w:r>
          </w:p>
        </w:tc>
        <w:tc>
          <w:tcPr>
            <w:tcW w:w="1116" w:type="dxa"/>
            <w:noWrap/>
            <w:hideMark/>
          </w:tcPr>
          <w:p w14:paraId="119BEECC" w14:textId="77777777" w:rsidR="00EE5BB8" w:rsidRPr="00C6052E" w:rsidRDefault="00EE5BB8" w:rsidP="002A4825">
            <w:pPr>
              <w:pStyle w:val="TableCopy"/>
              <w:jc w:val="right"/>
            </w:pPr>
            <w:r w:rsidRPr="00C6052E">
              <w:t>–</w:t>
            </w:r>
          </w:p>
        </w:tc>
        <w:tc>
          <w:tcPr>
            <w:tcW w:w="1010" w:type="dxa"/>
            <w:noWrap/>
            <w:hideMark/>
          </w:tcPr>
          <w:p w14:paraId="2624C780" w14:textId="77777777" w:rsidR="00EE5BB8" w:rsidRPr="00C6052E" w:rsidRDefault="00EE5BB8" w:rsidP="002A4825">
            <w:pPr>
              <w:pStyle w:val="TableCopy"/>
              <w:jc w:val="right"/>
            </w:pPr>
            <w:r w:rsidRPr="00C6052E">
              <w:t>–</w:t>
            </w:r>
          </w:p>
        </w:tc>
        <w:tc>
          <w:tcPr>
            <w:tcW w:w="974" w:type="dxa"/>
            <w:noWrap/>
            <w:hideMark/>
          </w:tcPr>
          <w:p w14:paraId="6C064699" w14:textId="77777777" w:rsidR="00EE5BB8" w:rsidRPr="00C6052E" w:rsidRDefault="00EE5BB8" w:rsidP="002A4825">
            <w:pPr>
              <w:pStyle w:val="TableCopy"/>
              <w:jc w:val="right"/>
            </w:pPr>
            <w:r w:rsidRPr="00C6052E">
              <w:t>–</w:t>
            </w:r>
          </w:p>
        </w:tc>
      </w:tr>
      <w:tr w:rsidR="00EE5BB8" w:rsidRPr="00C6052E" w14:paraId="0F75B6B2" w14:textId="77777777" w:rsidTr="002A4825">
        <w:tc>
          <w:tcPr>
            <w:tcW w:w="2625" w:type="dxa"/>
            <w:hideMark/>
          </w:tcPr>
          <w:p w14:paraId="7879E5C4" w14:textId="2F68C7CC" w:rsidR="00EE5BB8" w:rsidRPr="00C6052E" w:rsidRDefault="00EE5BB8" w:rsidP="0063097D">
            <w:pPr>
              <w:pStyle w:val="TableCopy"/>
            </w:pPr>
            <w:r w:rsidRPr="00C6052E">
              <w:t>Amounts</w:t>
            </w:r>
            <w:r w:rsidR="00177848" w:rsidRPr="00C6052E">
              <w:t xml:space="preserve"> </w:t>
            </w:r>
            <w:r w:rsidRPr="00C6052E">
              <w:t>payable</w:t>
            </w:r>
            <w:r w:rsidR="00177848" w:rsidRPr="00C6052E">
              <w:t xml:space="preserve"> </w:t>
            </w:r>
            <w:r w:rsidRPr="00C6052E">
              <w:t>to</w:t>
            </w:r>
            <w:r w:rsidR="00177848" w:rsidRPr="00C6052E">
              <w:t xml:space="preserve"> </w:t>
            </w:r>
            <w:r w:rsidRPr="00C6052E">
              <w:t>government</w:t>
            </w:r>
            <w:r w:rsidR="00177848" w:rsidRPr="00C6052E">
              <w:t xml:space="preserve"> </w:t>
            </w:r>
            <w:r w:rsidRPr="00C6052E">
              <w:t>and</w:t>
            </w:r>
            <w:r w:rsidR="00177848" w:rsidRPr="00C6052E">
              <w:t xml:space="preserve"> </w:t>
            </w:r>
            <w:r w:rsidRPr="00C6052E">
              <w:t>agencies</w:t>
            </w:r>
            <w:r w:rsidR="00177848" w:rsidRPr="00C6052E">
              <w:t xml:space="preserve"> </w:t>
            </w:r>
          </w:p>
        </w:tc>
        <w:tc>
          <w:tcPr>
            <w:tcW w:w="1020" w:type="dxa"/>
            <w:noWrap/>
            <w:hideMark/>
          </w:tcPr>
          <w:p w14:paraId="777091D3" w14:textId="77777777" w:rsidR="00EE5BB8" w:rsidRPr="00C6052E" w:rsidRDefault="00EE5BB8" w:rsidP="002A4825">
            <w:pPr>
              <w:pStyle w:val="TableCopy"/>
              <w:jc w:val="right"/>
            </w:pPr>
            <w:r w:rsidRPr="00C6052E">
              <w:t>103,043</w:t>
            </w:r>
          </w:p>
        </w:tc>
        <w:tc>
          <w:tcPr>
            <w:tcW w:w="951" w:type="dxa"/>
            <w:noWrap/>
            <w:hideMark/>
          </w:tcPr>
          <w:p w14:paraId="34975526" w14:textId="77777777" w:rsidR="00EE5BB8" w:rsidRPr="00C6052E" w:rsidRDefault="00EE5BB8" w:rsidP="002A4825">
            <w:pPr>
              <w:pStyle w:val="TableCopy"/>
              <w:jc w:val="right"/>
            </w:pPr>
            <w:r w:rsidRPr="00C6052E">
              <w:t>103,043</w:t>
            </w:r>
          </w:p>
        </w:tc>
        <w:tc>
          <w:tcPr>
            <w:tcW w:w="1156" w:type="dxa"/>
            <w:noWrap/>
            <w:hideMark/>
          </w:tcPr>
          <w:p w14:paraId="2CAA5245" w14:textId="77777777" w:rsidR="00EE5BB8" w:rsidRPr="00C6052E" w:rsidRDefault="00EE5BB8" w:rsidP="002A4825">
            <w:pPr>
              <w:pStyle w:val="TableCopy"/>
              <w:jc w:val="right"/>
            </w:pPr>
            <w:r w:rsidRPr="00C6052E">
              <w:t>103,043</w:t>
            </w:r>
          </w:p>
        </w:tc>
        <w:tc>
          <w:tcPr>
            <w:tcW w:w="992" w:type="dxa"/>
            <w:noWrap/>
            <w:hideMark/>
          </w:tcPr>
          <w:p w14:paraId="1D22F523" w14:textId="77777777" w:rsidR="00EE5BB8" w:rsidRPr="00C6052E" w:rsidRDefault="00EE5BB8" w:rsidP="002A4825">
            <w:pPr>
              <w:pStyle w:val="TableCopy"/>
              <w:jc w:val="right"/>
            </w:pPr>
            <w:r w:rsidRPr="00C6052E">
              <w:t>–</w:t>
            </w:r>
          </w:p>
        </w:tc>
        <w:tc>
          <w:tcPr>
            <w:tcW w:w="1116" w:type="dxa"/>
            <w:noWrap/>
            <w:hideMark/>
          </w:tcPr>
          <w:p w14:paraId="612311E9" w14:textId="77777777" w:rsidR="00EE5BB8" w:rsidRPr="00C6052E" w:rsidRDefault="00EE5BB8" w:rsidP="002A4825">
            <w:pPr>
              <w:pStyle w:val="TableCopy"/>
              <w:jc w:val="right"/>
            </w:pPr>
            <w:r w:rsidRPr="00C6052E">
              <w:t>–</w:t>
            </w:r>
          </w:p>
        </w:tc>
        <w:tc>
          <w:tcPr>
            <w:tcW w:w="1010" w:type="dxa"/>
            <w:noWrap/>
            <w:hideMark/>
          </w:tcPr>
          <w:p w14:paraId="1972FB74" w14:textId="77777777" w:rsidR="00EE5BB8" w:rsidRPr="00C6052E" w:rsidRDefault="00EE5BB8" w:rsidP="002A4825">
            <w:pPr>
              <w:pStyle w:val="TableCopy"/>
              <w:jc w:val="right"/>
            </w:pPr>
            <w:r w:rsidRPr="00C6052E">
              <w:t>–</w:t>
            </w:r>
          </w:p>
        </w:tc>
        <w:tc>
          <w:tcPr>
            <w:tcW w:w="974" w:type="dxa"/>
            <w:noWrap/>
            <w:hideMark/>
          </w:tcPr>
          <w:p w14:paraId="6B254284" w14:textId="77777777" w:rsidR="00EE5BB8" w:rsidRPr="00C6052E" w:rsidRDefault="00EE5BB8" w:rsidP="002A4825">
            <w:pPr>
              <w:pStyle w:val="TableCopy"/>
              <w:jc w:val="right"/>
            </w:pPr>
            <w:r w:rsidRPr="00C6052E">
              <w:t>–</w:t>
            </w:r>
          </w:p>
        </w:tc>
      </w:tr>
      <w:tr w:rsidR="00EE5BB8" w:rsidRPr="00C6052E" w14:paraId="45FA7911" w14:textId="77777777" w:rsidTr="002A4825">
        <w:tc>
          <w:tcPr>
            <w:tcW w:w="2625" w:type="dxa"/>
            <w:hideMark/>
          </w:tcPr>
          <w:p w14:paraId="31EE7E24" w14:textId="0FC0F0F8" w:rsidR="00EE5BB8" w:rsidRPr="00C6052E" w:rsidRDefault="00EE5BB8" w:rsidP="0063097D">
            <w:pPr>
              <w:pStyle w:val="TableCopy"/>
            </w:pPr>
            <w:r w:rsidRPr="00C6052E">
              <w:t>Accrued</w:t>
            </w:r>
            <w:r w:rsidR="00177848" w:rsidRPr="00C6052E">
              <w:t xml:space="preserve"> </w:t>
            </w:r>
            <w:r w:rsidRPr="00C6052E">
              <w:t>grants</w:t>
            </w:r>
            <w:r w:rsidR="00177848" w:rsidRPr="00C6052E">
              <w:t xml:space="preserve"> </w:t>
            </w:r>
          </w:p>
        </w:tc>
        <w:tc>
          <w:tcPr>
            <w:tcW w:w="1020" w:type="dxa"/>
            <w:noWrap/>
            <w:hideMark/>
          </w:tcPr>
          <w:p w14:paraId="2569FCC0" w14:textId="77777777" w:rsidR="00EE5BB8" w:rsidRPr="00C6052E" w:rsidRDefault="00EE5BB8" w:rsidP="002A4825">
            <w:pPr>
              <w:pStyle w:val="TableCopy"/>
              <w:jc w:val="right"/>
            </w:pPr>
            <w:r w:rsidRPr="00C6052E">
              <w:t>443,835</w:t>
            </w:r>
          </w:p>
        </w:tc>
        <w:tc>
          <w:tcPr>
            <w:tcW w:w="951" w:type="dxa"/>
            <w:noWrap/>
            <w:hideMark/>
          </w:tcPr>
          <w:p w14:paraId="6E122B23" w14:textId="77777777" w:rsidR="00EE5BB8" w:rsidRPr="00C6052E" w:rsidRDefault="00EE5BB8" w:rsidP="002A4825">
            <w:pPr>
              <w:pStyle w:val="TableCopy"/>
              <w:jc w:val="right"/>
            </w:pPr>
            <w:r w:rsidRPr="00C6052E">
              <w:t>443,835</w:t>
            </w:r>
          </w:p>
        </w:tc>
        <w:tc>
          <w:tcPr>
            <w:tcW w:w="1156" w:type="dxa"/>
            <w:noWrap/>
            <w:hideMark/>
          </w:tcPr>
          <w:p w14:paraId="4A0DD24E" w14:textId="77777777" w:rsidR="00EE5BB8" w:rsidRPr="00C6052E" w:rsidRDefault="00EE5BB8" w:rsidP="002A4825">
            <w:pPr>
              <w:pStyle w:val="TableCopy"/>
              <w:jc w:val="right"/>
            </w:pPr>
            <w:r w:rsidRPr="00C6052E">
              <w:t>443,835</w:t>
            </w:r>
          </w:p>
        </w:tc>
        <w:tc>
          <w:tcPr>
            <w:tcW w:w="992" w:type="dxa"/>
            <w:noWrap/>
            <w:hideMark/>
          </w:tcPr>
          <w:p w14:paraId="0F49C617" w14:textId="77777777" w:rsidR="00EE5BB8" w:rsidRPr="00C6052E" w:rsidRDefault="00EE5BB8" w:rsidP="002A4825">
            <w:pPr>
              <w:pStyle w:val="TableCopy"/>
              <w:jc w:val="right"/>
            </w:pPr>
            <w:r w:rsidRPr="00C6052E">
              <w:t>–</w:t>
            </w:r>
          </w:p>
        </w:tc>
        <w:tc>
          <w:tcPr>
            <w:tcW w:w="1116" w:type="dxa"/>
            <w:noWrap/>
            <w:hideMark/>
          </w:tcPr>
          <w:p w14:paraId="1C412C56" w14:textId="77777777" w:rsidR="00EE5BB8" w:rsidRPr="00C6052E" w:rsidRDefault="00EE5BB8" w:rsidP="002A4825">
            <w:pPr>
              <w:pStyle w:val="TableCopy"/>
              <w:jc w:val="right"/>
            </w:pPr>
            <w:r w:rsidRPr="00C6052E">
              <w:t>–</w:t>
            </w:r>
          </w:p>
        </w:tc>
        <w:tc>
          <w:tcPr>
            <w:tcW w:w="1010" w:type="dxa"/>
            <w:noWrap/>
            <w:hideMark/>
          </w:tcPr>
          <w:p w14:paraId="0B4E99C4" w14:textId="77777777" w:rsidR="00EE5BB8" w:rsidRPr="00C6052E" w:rsidRDefault="00EE5BB8" w:rsidP="002A4825">
            <w:pPr>
              <w:pStyle w:val="TableCopy"/>
              <w:jc w:val="right"/>
            </w:pPr>
            <w:r w:rsidRPr="00C6052E">
              <w:t>–</w:t>
            </w:r>
          </w:p>
        </w:tc>
        <w:tc>
          <w:tcPr>
            <w:tcW w:w="974" w:type="dxa"/>
            <w:noWrap/>
            <w:hideMark/>
          </w:tcPr>
          <w:p w14:paraId="616DA25B" w14:textId="77777777" w:rsidR="00EE5BB8" w:rsidRPr="00C6052E" w:rsidRDefault="00EE5BB8" w:rsidP="002A4825">
            <w:pPr>
              <w:pStyle w:val="TableCopy"/>
              <w:jc w:val="right"/>
            </w:pPr>
            <w:r w:rsidRPr="00C6052E">
              <w:t>–</w:t>
            </w:r>
          </w:p>
        </w:tc>
      </w:tr>
      <w:tr w:rsidR="00EE5BB8" w:rsidRPr="00C6052E" w14:paraId="7AD98BC4" w14:textId="77777777" w:rsidTr="002A4825">
        <w:tc>
          <w:tcPr>
            <w:tcW w:w="2625" w:type="dxa"/>
            <w:noWrap/>
            <w:hideMark/>
          </w:tcPr>
          <w:p w14:paraId="35034C41" w14:textId="42F6C8FF" w:rsidR="00EE5BB8" w:rsidRPr="00C6052E" w:rsidRDefault="00EE5BB8" w:rsidP="0063097D">
            <w:pPr>
              <w:pStyle w:val="Tabletotal"/>
            </w:pPr>
            <w:r w:rsidRPr="00C6052E">
              <w:t>Total</w:t>
            </w:r>
            <w:r w:rsidR="00177848" w:rsidRPr="00C6052E">
              <w:t xml:space="preserve"> </w:t>
            </w:r>
          </w:p>
        </w:tc>
        <w:tc>
          <w:tcPr>
            <w:tcW w:w="1020" w:type="dxa"/>
            <w:noWrap/>
            <w:hideMark/>
          </w:tcPr>
          <w:p w14:paraId="5A91339A" w14:textId="77777777" w:rsidR="00EE5BB8" w:rsidRPr="00C6052E" w:rsidRDefault="00EE5BB8" w:rsidP="002A4825">
            <w:pPr>
              <w:pStyle w:val="Tabletotal"/>
              <w:jc w:val="right"/>
            </w:pPr>
            <w:r w:rsidRPr="00C6052E">
              <w:t>637,204</w:t>
            </w:r>
          </w:p>
        </w:tc>
        <w:tc>
          <w:tcPr>
            <w:tcW w:w="951" w:type="dxa"/>
            <w:noWrap/>
            <w:hideMark/>
          </w:tcPr>
          <w:p w14:paraId="0F757A8F" w14:textId="77777777" w:rsidR="00EE5BB8" w:rsidRPr="00C6052E" w:rsidRDefault="00EE5BB8" w:rsidP="002A4825">
            <w:pPr>
              <w:pStyle w:val="Tabletotal"/>
              <w:jc w:val="right"/>
            </w:pPr>
            <w:r w:rsidRPr="00C6052E">
              <w:t>637,204</w:t>
            </w:r>
          </w:p>
        </w:tc>
        <w:tc>
          <w:tcPr>
            <w:tcW w:w="1156" w:type="dxa"/>
            <w:noWrap/>
            <w:hideMark/>
          </w:tcPr>
          <w:p w14:paraId="28EB6ABC" w14:textId="77777777" w:rsidR="00EE5BB8" w:rsidRPr="00C6052E" w:rsidRDefault="00EE5BB8" w:rsidP="002A4825">
            <w:pPr>
              <w:pStyle w:val="Tabletotal"/>
              <w:jc w:val="right"/>
            </w:pPr>
            <w:r w:rsidRPr="00C6052E">
              <w:t>637,204</w:t>
            </w:r>
          </w:p>
        </w:tc>
        <w:tc>
          <w:tcPr>
            <w:tcW w:w="992" w:type="dxa"/>
            <w:noWrap/>
            <w:hideMark/>
          </w:tcPr>
          <w:p w14:paraId="6A6A7D45" w14:textId="77777777" w:rsidR="00EE5BB8" w:rsidRPr="00C6052E" w:rsidRDefault="00EE5BB8" w:rsidP="002A4825">
            <w:pPr>
              <w:pStyle w:val="Tabletotal"/>
              <w:jc w:val="right"/>
            </w:pPr>
            <w:r w:rsidRPr="00C6052E">
              <w:t>–</w:t>
            </w:r>
          </w:p>
        </w:tc>
        <w:tc>
          <w:tcPr>
            <w:tcW w:w="1116" w:type="dxa"/>
            <w:noWrap/>
            <w:hideMark/>
          </w:tcPr>
          <w:p w14:paraId="1254AB24" w14:textId="77777777" w:rsidR="00EE5BB8" w:rsidRPr="00C6052E" w:rsidRDefault="00EE5BB8" w:rsidP="002A4825">
            <w:pPr>
              <w:pStyle w:val="Tabletotal"/>
              <w:jc w:val="right"/>
            </w:pPr>
            <w:r w:rsidRPr="00C6052E">
              <w:t>–</w:t>
            </w:r>
          </w:p>
        </w:tc>
        <w:tc>
          <w:tcPr>
            <w:tcW w:w="1010" w:type="dxa"/>
            <w:noWrap/>
            <w:hideMark/>
          </w:tcPr>
          <w:p w14:paraId="55364D35" w14:textId="77777777" w:rsidR="00EE5BB8" w:rsidRPr="00C6052E" w:rsidRDefault="00EE5BB8" w:rsidP="002A4825">
            <w:pPr>
              <w:pStyle w:val="Tabletotal"/>
              <w:jc w:val="right"/>
            </w:pPr>
            <w:r w:rsidRPr="00C6052E">
              <w:t>–</w:t>
            </w:r>
          </w:p>
        </w:tc>
        <w:tc>
          <w:tcPr>
            <w:tcW w:w="974" w:type="dxa"/>
            <w:noWrap/>
            <w:hideMark/>
          </w:tcPr>
          <w:p w14:paraId="1F3CCEE3" w14:textId="77777777" w:rsidR="00EE5BB8" w:rsidRPr="00C6052E" w:rsidRDefault="00EE5BB8" w:rsidP="002A4825">
            <w:pPr>
              <w:pStyle w:val="Tabletotal"/>
              <w:jc w:val="right"/>
            </w:pPr>
            <w:r w:rsidRPr="00C6052E">
              <w:t>–</w:t>
            </w:r>
          </w:p>
        </w:tc>
      </w:tr>
    </w:tbl>
    <w:p w14:paraId="06D3CBFA" w14:textId="62410A8C" w:rsidR="00EE5BB8" w:rsidRPr="00C6052E" w:rsidRDefault="00EE5BB8" w:rsidP="002A4825">
      <w:pPr>
        <w:pStyle w:val="Tablenotes-numbered"/>
        <w:numPr>
          <w:ilvl w:val="0"/>
          <w:numId w:val="26"/>
        </w:numPr>
        <w:spacing w:after="240"/>
      </w:pPr>
      <w:r w:rsidRPr="00C6052E">
        <w:t>Maturity</w:t>
      </w:r>
      <w:r w:rsidR="00177848" w:rsidRPr="00C6052E">
        <w:t xml:space="preserve"> </w:t>
      </w:r>
      <w:r w:rsidRPr="00C6052E">
        <w:t>analysis</w:t>
      </w:r>
      <w:r w:rsidR="00177848" w:rsidRPr="00C6052E">
        <w:t xml:space="preserve"> </w:t>
      </w:r>
      <w:r w:rsidRPr="00C6052E">
        <w:t>is</w:t>
      </w:r>
      <w:r w:rsidR="00177848" w:rsidRPr="00C6052E">
        <w:t xml:space="preserve"> </w:t>
      </w:r>
      <w:r w:rsidRPr="00C6052E">
        <w:t>presented</w:t>
      </w:r>
      <w:r w:rsidR="00177848" w:rsidRPr="00C6052E">
        <w:t xml:space="preserve"> </w:t>
      </w:r>
      <w:r w:rsidRPr="00C6052E">
        <w:t>using</w:t>
      </w:r>
      <w:r w:rsidR="00177848" w:rsidRPr="00C6052E">
        <w:t xml:space="preserve"> </w:t>
      </w:r>
      <w:r w:rsidRPr="00C6052E">
        <w:t>the</w:t>
      </w:r>
      <w:r w:rsidR="00177848" w:rsidRPr="00C6052E">
        <w:t xml:space="preserve"> </w:t>
      </w:r>
      <w:r w:rsidRPr="00C6052E">
        <w:t>contractual</w:t>
      </w:r>
      <w:r w:rsidR="00177848" w:rsidRPr="00C6052E">
        <w:t xml:space="preserve"> </w:t>
      </w:r>
      <w:r w:rsidRPr="00C6052E">
        <w:t>undiscounted</w:t>
      </w:r>
      <w:r w:rsidR="00177848" w:rsidRPr="00C6052E">
        <w:t xml:space="preserve"> </w:t>
      </w:r>
      <w:r w:rsidRPr="00C6052E">
        <w:t>cash</w:t>
      </w:r>
      <w:r w:rsidR="00177848" w:rsidRPr="00C6052E">
        <w:t xml:space="preserve"> </w:t>
      </w:r>
      <w:r w:rsidRPr="00C6052E">
        <w:t>flows.</w:t>
      </w:r>
    </w:p>
    <w:p w14:paraId="0644ED59" w14:textId="7659388E" w:rsidR="00EE5BB8" w:rsidRPr="00C6052E" w:rsidRDefault="00EE5BB8" w:rsidP="00C6052E">
      <w:pPr>
        <w:pStyle w:val="Heading2numbered0"/>
      </w:pPr>
      <w:bookmarkStart w:id="252" w:name="_Ref209444966"/>
      <w:bookmarkStart w:id="253" w:name="_Ref209444978"/>
      <w:bookmarkStart w:id="254" w:name="_Ref209518194"/>
      <w:bookmarkStart w:id="255" w:name="_Ref209518205"/>
      <w:bookmarkStart w:id="256" w:name="_Hlk208417030"/>
      <w:bookmarkStart w:id="257" w:name="_Hlk208414682"/>
      <w:r w:rsidRPr="00C6052E">
        <w:t>Other</w:t>
      </w:r>
      <w:r w:rsidR="00177848" w:rsidRPr="00C6052E">
        <w:t xml:space="preserve"> </w:t>
      </w:r>
      <w:r w:rsidRPr="00C6052E">
        <w:t>non-financial</w:t>
      </w:r>
      <w:r w:rsidR="00177848" w:rsidRPr="00C6052E">
        <w:t xml:space="preserve"> </w:t>
      </w:r>
      <w:r w:rsidRPr="00C6052E">
        <w:t>assets</w:t>
      </w:r>
      <w:bookmarkEnd w:id="252"/>
      <w:bookmarkEnd w:id="253"/>
      <w:bookmarkEnd w:id="254"/>
      <w:bookmarkEnd w:id="255"/>
      <w:r w:rsidR="002A4825">
        <w:t xml:space="preserve"> </w:t>
      </w:r>
    </w:p>
    <w:tbl>
      <w:tblPr>
        <w:tblStyle w:val="TableGrid"/>
        <w:tblW w:w="9689" w:type="dxa"/>
        <w:tblLayout w:type="fixed"/>
        <w:tblLook w:val="04E0" w:firstRow="1" w:lastRow="1" w:firstColumn="1" w:lastColumn="0" w:noHBand="0" w:noVBand="1"/>
      </w:tblPr>
      <w:tblGrid>
        <w:gridCol w:w="4957"/>
        <w:gridCol w:w="1134"/>
        <w:gridCol w:w="1799"/>
        <w:gridCol w:w="1799"/>
      </w:tblGrid>
      <w:tr w:rsidR="00EE5BB8" w:rsidRPr="00C6052E" w14:paraId="34B70645" w14:textId="77777777" w:rsidTr="002A4825">
        <w:tc>
          <w:tcPr>
            <w:tcW w:w="4957" w:type="dxa"/>
            <w:noWrap/>
            <w:hideMark/>
          </w:tcPr>
          <w:p w14:paraId="69BB9D0D" w14:textId="0D7D2844" w:rsidR="00EE5BB8" w:rsidRPr="00C6052E" w:rsidRDefault="00EE5BB8" w:rsidP="002A4825">
            <w:pPr>
              <w:pStyle w:val="TableColumnHeading"/>
              <w:rPr>
                <w:lang w:val="en-AU"/>
              </w:rPr>
            </w:pPr>
            <w:bookmarkStart w:id="258" w:name="TableColumnHeadings_76"/>
            <w:bookmarkEnd w:id="258"/>
          </w:p>
        </w:tc>
        <w:tc>
          <w:tcPr>
            <w:tcW w:w="1134" w:type="dxa"/>
            <w:hideMark/>
          </w:tcPr>
          <w:p w14:paraId="5D84ECCA" w14:textId="77777777" w:rsidR="00EE5BB8" w:rsidRPr="00C6052E" w:rsidRDefault="00EE5BB8" w:rsidP="002A4825">
            <w:pPr>
              <w:pStyle w:val="TableColumnHeading"/>
              <w:jc w:val="right"/>
            </w:pPr>
            <w:r w:rsidRPr="00C6052E">
              <w:t>Note</w:t>
            </w:r>
          </w:p>
        </w:tc>
        <w:tc>
          <w:tcPr>
            <w:tcW w:w="1799" w:type="dxa"/>
            <w:hideMark/>
          </w:tcPr>
          <w:p w14:paraId="4F7CDEE5" w14:textId="57DB8915" w:rsidR="00EE5BB8" w:rsidRPr="00C6052E" w:rsidRDefault="00EE5BB8" w:rsidP="002A4825">
            <w:pPr>
              <w:pStyle w:val="TableColumnHeading"/>
              <w:jc w:val="right"/>
            </w:pPr>
            <w:r w:rsidRPr="00C6052E">
              <w:t>2025</w:t>
            </w:r>
            <w:r w:rsidR="00104228">
              <w:br/>
            </w:r>
            <w:r w:rsidR="00104228" w:rsidRPr="00C6052E">
              <w:t>($ thousand)</w:t>
            </w:r>
          </w:p>
        </w:tc>
        <w:tc>
          <w:tcPr>
            <w:tcW w:w="1799" w:type="dxa"/>
            <w:hideMark/>
          </w:tcPr>
          <w:p w14:paraId="047FC50C" w14:textId="7F666ADC" w:rsidR="00EE5BB8" w:rsidRPr="00C6052E" w:rsidRDefault="00EE5BB8" w:rsidP="002A4825">
            <w:pPr>
              <w:pStyle w:val="TableColumnHeading"/>
              <w:jc w:val="right"/>
            </w:pPr>
            <w:r w:rsidRPr="00C6052E">
              <w:t>2024</w:t>
            </w:r>
            <w:r w:rsidR="00104228">
              <w:br/>
            </w:r>
            <w:r w:rsidR="00104228" w:rsidRPr="00C6052E">
              <w:t>($ thousand)</w:t>
            </w:r>
          </w:p>
        </w:tc>
      </w:tr>
      <w:tr w:rsidR="00EE5BB8" w:rsidRPr="00C6052E" w14:paraId="0254D978" w14:textId="77777777" w:rsidTr="002A4825">
        <w:tc>
          <w:tcPr>
            <w:tcW w:w="4957" w:type="dxa"/>
            <w:hideMark/>
          </w:tcPr>
          <w:p w14:paraId="6C7865A6" w14:textId="3B7673BD" w:rsidR="00EE5BB8" w:rsidRPr="00C6052E" w:rsidRDefault="00EE5BB8" w:rsidP="0063097D">
            <w:pPr>
              <w:pStyle w:val="TableCopy"/>
            </w:pPr>
            <w:r w:rsidRPr="00C6052E">
              <w:t>Prepayments</w:t>
            </w:r>
            <w:r w:rsidR="00177848" w:rsidRPr="00C6052E">
              <w:t xml:space="preserve"> </w:t>
            </w:r>
          </w:p>
        </w:tc>
        <w:tc>
          <w:tcPr>
            <w:tcW w:w="1134" w:type="dxa"/>
            <w:noWrap/>
            <w:hideMark/>
          </w:tcPr>
          <w:p w14:paraId="61E07050" w14:textId="77777777" w:rsidR="00EE5BB8" w:rsidRPr="00C6052E" w:rsidRDefault="00EE5BB8" w:rsidP="002A4825">
            <w:pPr>
              <w:pStyle w:val="TableCopy"/>
              <w:jc w:val="right"/>
            </w:pPr>
            <w:r w:rsidRPr="00C6052E">
              <w:t>6.3.1</w:t>
            </w:r>
          </w:p>
        </w:tc>
        <w:tc>
          <w:tcPr>
            <w:tcW w:w="1799" w:type="dxa"/>
            <w:noWrap/>
            <w:hideMark/>
          </w:tcPr>
          <w:p w14:paraId="7A419330" w14:textId="77777777" w:rsidR="00EE5BB8" w:rsidRPr="00C6052E" w:rsidRDefault="00EE5BB8" w:rsidP="002A4825">
            <w:pPr>
              <w:pStyle w:val="TableCopy"/>
              <w:jc w:val="right"/>
            </w:pPr>
            <w:r w:rsidRPr="00C6052E">
              <w:t>71,652</w:t>
            </w:r>
          </w:p>
        </w:tc>
        <w:tc>
          <w:tcPr>
            <w:tcW w:w="1799" w:type="dxa"/>
            <w:noWrap/>
            <w:hideMark/>
          </w:tcPr>
          <w:p w14:paraId="40B88861" w14:textId="77777777" w:rsidR="00EE5BB8" w:rsidRPr="00C6052E" w:rsidRDefault="00EE5BB8" w:rsidP="002A4825">
            <w:pPr>
              <w:pStyle w:val="TableCopy"/>
              <w:jc w:val="right"/>
            </w:pPr>
            <w:r w:rsidRPr="00C6052E">
              <w:t>1,502</w:t>
            </w:r>
          </w:p>
        </w:tc>
      </w:tr>
      <w:tr w:rsidR="00EE5BB8" w:rsidRPr="00C6052E" w14:paraId="63EFEFF3" w14:textId="77777777" w:rsidTr="002A4825">
        <w:tc>
          <w:tcPr>
            <w:tcW w:w="4957" w:type="dxa"/>
            <w:hideMark/>
          </w:tcPr>
          <w:p w14:paraId="0C27771C" w14:textId="2CB7F2F6" w:rsidR="00EE5BB8" w:rsidRPr="00C6052E" w:rsidRDefault="00EE5BB8" w:rsidP="0063097D">
            <w:pPr>
              <w:pStyle w:val="TableCopy"/>
            </w:pPr>
            <w:r w:rsidRPr="00C6052E">
              <w:t>Non-financial</w:t>
            </w:r>
            <w:r w:rsidR="00177848" w:rsidRPr="00C6052E">
              <w:t xml:space="preserve"> </w:t>
            </w:r>
            <w:r w:rsidRPr="00C6052E">
              <w:t>assets</w:t>
            </w:r>
            <w:r w:rsidR="00177848" w:rsidRPr="00C6052E">
              <w:t xml:space="preserve"> </w:t>
            </w:r>
            <w:r w:rsidRPr="00C6052E">
              <w:t>held</w:t>
            </w:r>
            <w:r w:rsidR="00177848" w:rsidRPr="00C6052E">
              <w:t xml:space="preserve"> </w:t>
            </w:r>
            <w:r w:rsidRPr="00C6052E">
              <w:t>for</w:t>
            </w:r>
            <w:r w:rsidR="00177848" w:rsidRPr="00C6052E">
              <w:t xml:space="preserve"> </w:t>
            </w:r>
            <w:r w:rsidRPr="00C6052E">
              <w:t>sale</w:t>
            </w:r>
          </w:p>
        </w:tc>
        <w:tc>
          <w:tcPr>
            <w:tcW w:w="1134" w:type="dxa"/>
            <w:noWrap/>
            <w:hideMark/>
          </w:tcPr>
          <w:p w14:paraId="61112E96" w14:textId="77777777" w:rsidR="00EE5BB8" w:rsidRPr="00C6052E" w:rsidRDefault="00EE5BB8" w:rsidP="002A4825">
            <w:pPr>
              <w:pStyle w:val="TableCopy"/>
              <w:jc w:val="right"/>
            </w:pPr>
            <w:r w:rsidRPr="00C6052E">
              <w:t>9.3</w:t>
            </w:r>
          </w:p>
        </w:tc>
        <w:tc>
          <w:tcPr>
            <w:tcW w:w="1799" w:type="dxa"/>
            <w:noWrap/>
            <w:hideMark/>
          </w:tcPr>
          <w:p w14:paraId="6B3510EA" w14:textId="77777777" w:rsidR="00EE5BB8" w:rsidRPr="00C6052E" w:rsidRDefault="00EE5BB8" w:rsidP="002A4825">
            <w:pPr>
              <w:pStyle w:val="TableCopy"/>
              <w:jc w:val="right"/>
            </w:pPr>
            <w:r w:rsidRPr="00C6052E">
              <w:t>10,737</w:t>
            </w:r>
          </w:p>
        </w:tc>
        <w:tc>
          <w:tcPr>
            <w:tcW w:w="1799" w:type="dxa"/>
            <w:noWrap/>
            <w:hideMark/>
          </w:tcPr>
          <w:p w14:paraId="6DD6C928" w14:textId="77777777" w:rsidR="00EE5BB8" w:rsidRPr="00C6052E" w:rsidRDefault="00EE5BB8" w:rsidP="002A4825">
            <w:pPr>
              <w:pStyle w:val="TableCopy"/>
              <w:jc w:val="right"/>
            </w:pPr>
            <w:r w:rsidRPr="00C6052E">
              <w:t>36</w:t>
            </w:r>
          </w:p>
        </w:tc>
      </w:tr>
      <w:tr w:rsidR="00EE5BB8" w:rsidRPr="00C6052E" w14:paraId="4841521F" w14:textId="77777777" w:rsidTr="002A4825">
        <w:tc>
          <w:tcPr>
            <w:tcW w:w="4957" w:type="dxa"/>
            <w:hideMark/>
          </w:tcPr>
          <w:p w14:paraId="06D53731" w14:textId="50C8832C" w:rsidR="00EE5BB8" w:rsidRPr="00C6052E" w:rsidRDefault="00EE5BB8" w:rsidP="0063097D">
            <w:pPr>
              <w:pStyle w:val="Tabletotal"/>
            </w:pPr>
            <w:r w:rsidRPr="00C6052E">
              <w:t>Total</w:t>
            </w:r>
            <w:r w:rsidR="00177848" w:rsidRPr="00C6052E">
              <w:t xml:space="preserve"> </w:t>
            </w:r>
            <w:r w:rsidRPr="00C6052E">
              <w:t>other</w:t>
            </w:r>
            <w:r w:rsidR="00177848" w:rsidRPr="00C6052E">
              <w:t xml:space="preserve"> </w:t>
            </w:r>
            <w:r w:rsidRPr="00C6052E">
              <w:t>non-financial</w:t>
            </w:r>
            <w:r w:rsidR="00177848" w:rsidRPr="00C6052E">
              <w:t xml:space="preserve"> </w:t>
            </w:r>
            <w:r w:rsidRPr="00C6052E">
              <w:t>assets</w:t>
            </w:r>
          </w:p>
        </w:tc>
        <w:tc>
          <w:tcPr>
            <w:tcW w:w="1134" w:type="dxa"/>
            <w:hideMark/>
          </w:tcPr>
          <w:p w14:paraId="3CB2F438" w14:textId="77777777" w:rsidR="00EE5BB8" w:rsidRPr="00C6052E" w:rsidRDefault="00EE5BB8" w:rsidP="002A4825">
            <w:pPr>
              <w:pStyle w:val="Tabletotal"/>
              <w:jc w:val="right"/>
            </w:pPr>
          </w:p>
        </w:tc>
        <w:tc>
          <w:tcPr>
            <w:tcW w:w="1799" w:type="dxa"/>
            <w:noWrap/>
            <w:hideMark/>
          </w:tcPr>
          <w:p w14:paraId="384FE2A2" w14:textId="77777777" w:rsidR="00EE5BB8" w:rsidRPr="00C6052E" w:rsidRDefault="00EE5BB8" w:rsidP="002A4825">
            <w:pPr>
              <w:pStyle w:val="Tabletotal"/>
              <w:jc w:val="right"/>
            </w:pPr>
            <w:r w:rsidRPr="00C6052E">
              <w:t>82,389</w:t>
            </w:r>
          </w:p>
        </w:tc>
        <w:tc>
          <w:tcPr>
            <w:tcW w:w="1799" w:type="dxa"/>
            <w:noWrap/>
            <w:hideMark/>
          </w:tcPr>
          <w:p w14:paraId="6BB635F8" w14:textId="77777777" w:rsidR="00EE5BB8" w:rsidRPr="00C6052E" w:rsidRDefault="00EE5BB8" w:rsidP="002A4825">
            <w:pPr>
              <w:pStyle w:val="Tabletotal"/>
              <w:jc w:val="right"/>
            </w:pPr>
            <w:r w:rsidRPr="00C6052E">
              <w:t>1,538</w:t>
            </w:r>
          </w:p>
        </w:tc>
      </w:tr>
    </w:tbl>
    <w:p w14:paraId="0CF83FD0" w14:textId="77777777" w:rsidR="00EE5BB8" w:rsidRPr="00C6052E" w:rsidRDefault="00EE5BB8" w:rsidP="00EE5BB8">
      <w:pPr>
        <w:spacing w:after="0"/>
      </w:pPr>
    </w:p>
    <w:p w14:paraId="2AB4CC28" w14:textId="77777777" w:rsidR="00EE5BB8" w:rsidRPr="00C6052E" w:rsidRDefault="00EE5BB8" w:rsidP="000C0740">
      <w:pPr>
        <w:pStyle w:val="Heading3numbered0"/>
      </w:pPr>
      <w:r w:rsidRPr="00C6052E">
        <w:t>Prepayments</w:t>
      </w:r>
    </w:p>
    <w:p w14:paraId="7508D9D8" w14:textId="4E59CD24" w:rsidR="00EE5BB8" w:rsidRPr="00C6052E" w:rsidRDefault="00EE5BB8" w:rsidP="00EE5BB8">
      <w:r w:rsidRPr="00C6052E">
        <w:t>In</w:t>
      </w:r>
      <w:r w:rsidR="00177848" w:rsidRPr="00C6052E">
        <w:t xml:space="preserve"> </w:t>
      </w:r>
      <w:r w:rsidRPr="00C6052E">
        <w:t>December</w:t>
      </w:r>
      <w:r w:rsidR="00177848" w:rsidRPr="00C6052E">
        <w:t xml:space="preserve"> </w:t>
      </w:r>
      <w:r w:rsidRPr="00C6052E">
        <w:t>2023</w:t>
      </w:r>
      <w:r w:rsidR="00177848" w:rsidRPr="00C6052E">
        <w:t xml:space="preserve"> </w:t>
      </w:r>
      <w:r w:rsidRPr="00C6052E">
        <w:t>the</w:t>
      </w:r>
      <w:r w:rsidR="00177848" w:rsidRPr="00C6052E">
        <w:t xml:space="preserve"> </w:t>
      </w:r>
      <w:r w:rsidRPr="00C6052E">
        <w:t>State</w:t>
      </w:r>
      <w:r w:rsidR="00177848" w:rsidRPr="00C6052E">
        <w:t xml:space="preserve"> </w:t>
      </w:r>
      <w:r w:rsidRPr="00C6052E">
        <w:t>of</w:t>
      </w:r>
      <w:r w:rsidR="00177848" w:rsidRPr="00C6052E">
        <w:t xml:space="preserve"> </w:t>
      </w:r>
      <w:r w:rsidRPr="00C6052E">
        <w:t>Victoria</w:t>
      </w:r>
      <w:r w:rsidR="00177848" w:rsidRPr="00C6052E">
        <w:t xml:space="preserve"> </w:t>
      </w:r>
      <w:r w:rsidRPr="00C6052E">
        <w:t>entered</w:t>
      </w:r>
      <w:r w:rsidR="00177848" w:rsidRPr="00C6052E">
        <w:t xml:space="preserve"> </w:t>
      </w:r>
      <w:r w:rsidRPr="00C6052E">
        <w:t>into</w:t>
      </w:r>
      <w:r w:rsidR="00177848" w:rsidRPr="00C6052E">
        <w:t xml:space="preserve"> </w:t>
      </w:r>
      <w:r w:rsidRPr="00C6052E">
        <w:t>an</w:t>
      </w:r>
      <w:r w:rsidR="00177848" w:rsidRPr="00C6052E">
        <w:t xml:space="preserve"> </w:t>
      </w:r>
      <w:r w:rsidRPr="00C6052E">
        <w:t>agreement</w:t>
      </w:r>
      <w:r w:rsidR="00177848" w:rsidRPr="00C6052E">
        <w:t xml:space="preserve"> </w:t>
      </w:r>
      <w:r w:rsidRPr="00C6052E">
        <w:t>with</w:t>
      </w:r>
      <w:r w:rsidR="00177848" w:rsidRPr="00C6052E">
        <w:t xml:space="preserve"> </w:t>
      </w:r>
      <w:r w:rsidRPr="00C6052E">
        <w:t>BioNTech</w:t>
      </w:r>
      <w:r w:rsidR="00177848" w:rsidRPr="00C6052E">
        <w:t xml:space="preserve"> </w:t>
      </w:r>
      <w:r w:rsidRPr="00C6052E">
        <w:t>Australia</w:t>
      </w:r>
      <w:r w:rsidR="00177848" w:rsidRPr="00C6052E">
        <w:t xml:space="preserve"> </w:t>
      </w:r>
      <w:r w:rsidRPr="00C6052E">
        <w:t>Pty</w:t>
      </w:r>
      <w:r w:rsidR="00177848" w:rsidRPr="00C6052E">
        <w:t xml:space="preserve"> </w:t>
      </w:r>
      <w:r w:rsidRPr="00C6052E">
        <w:t>Ltd</w:t>
      </w:r>
      <w:r w:rsidR="00177848" w:rsidRPr="00C6052E">
        <w:t xml:space="preserve"> </w:t>
      </w:r>
      <w:r w:rsidRPr="00C6052E">
        <w:t>(“BioNTech”)</w:t>
      </w:r>
      <w:r w:rsidR="00177848" w:rsidRPr="00C6052E">
        <w:t xml:space="preserve"> </w:t>
      </w:r>
      <w:r w:rsidRPr="00C6052E">
        <w:t>to</w:t>
      </w:r>
      <w:r w:rsidR="00177848" w:rsidRPr="00C6052E">
        <w:t xml:space="preserve"> </w:t>
      </w:r>
      <w:r w:rsidRPr="00C6052E">
        <w:t>develop</w:t>
      </w:r>
      <w:r w:rsidR="00177848" w:rsidRPr="00C6052E">
        <w:t xml:space="preserve"> </w:t>
      </w:r>
      <w:r w:rsidRPr="00C6052E">
        <w:t>and</w:t>
      </w:r>
      <w:r w:rsidR="00177848" w:rsidRPr="00C6052E">
        <w:t xml:space="preserve"> </w:t>
      </w:r>
      <w:r w:rsidRPr="00C6052E">
        <w:t>commission</w:t>
      </w:r>
      <w:r w:rsidR="00177848" w:rsidRPr="00C6052E">
        <w:t xml:space="preserve"> </w:t>
      </w:r>
      <w:r w:rsidRPr="00C6052E">
        <w:t>a</w:t>
      </w:r>
      <w:r w:rsidR="00177848" w:rsidRPr="00C6052E">
        <w:t xml:space="preserve"> </w:t>
      </w:r>
      <w:r w:rsidRPr="00C6052E">
        <w:t>state-of-the-art</w:t>
      </w:r>
      <w:r w:rsidR="00177848" w:rsidRPr="00C6052E">
        <w:t xml:space="preserve"> </w:t>
      </w:r>
      <w:r w:rsidRPr="00C6052E">
        <w:t>clinical</w:t>
      </w:r>
      <w:r w:rsidR="00177848" w:rsidRPr="00C6052E">
        <w:t xml:space="preserve"> </w:t>
      </w:r>
      <w:r w:rsidRPr="00C6052E">
        <w:t>scale</w:t>
      </w:r>
      <w:r w:rsidR="00177848" w:rsidRPr="00C6052E">
        <w:t xml:space="preserve"> </w:t>
      </w:r>
      <w:r w:rsidRPr="00C6052E">
        <w:t>mRNA</w:t>
      </w:r>
      <w:r w:rsidR="00177848" w:rsidRPr="00C6052E">
        <w:t xml:space="preserve"> </w:t>
      </w:r>
      <w:r w:rsidRPr="00C6052E">
        <w:lastRenderedPageBreak/>
        <w:t>manufacturing</w:t>
      </w:r>
      <w:r w:rsidR="00177848" w:rsidRPr="00C6052E">
        <w:t xml:space="preserve"> </w:t>
      </w:r>
      <w:r w:rsidRPr="00C6052E">
        <w:t>facility</w:t>
      </w:r>
      <w:r w:rsidR="00177848" w:rsidRPr="00C6052E">
        <w:t xml:space="preserve"> </w:t>
      </w:r>
      <w:r w:rsidRPr="00C6052E">
        <w:t>(the</w:t>
      </w:r>
      <w:r w:rsidR="00177848" w:rsidRPr="00C6052E">
        <w:t xml:space="preserve"> </w:t>
      </w:r>
      <w:r w:rsidRPr="00C6052E">
        <w:t>facility).</w:t>
      </w:r>
      <w:r w:rsidR="00177848" w:rsidRPr="00C6052E">
        <w:t xml:space="preserve"> </w:t>
      </w:r>
      <w:r w:rsidRPr="00C6052E">
        <w:t>The</w:t>
      </w:r>
      <w:r w:rsidR="00177848" w:rsidRPr="00C6052E">
        <w:t xml:space="preserve"> </w:t>
      </w:r>
      <w:r w:rsidRPr="00C6052E">
        <w:t>facility</w:t>
      </w:r>
      <w:r w:rsidR="00177848" w:rsidRPr="00C6052E">
        <w:t xml:space="preserve"> </w:t>
      </w:r>
      <w:r w:rsidRPr="00C6052E">
        <w:t>(which</w:t>
      </w:r>
      <w:r w:rsidR="00177848" w:rsidRPr="00C6052E">
        <w:t xml:space="preserve"> </w:t>
      </w:r>
      <w:r w:rsidRPr="00C6052E">
        <w:t>includes</w:t>
      </w:r>
      <w:r w:rsidR="00177848" w:rsidRPr="00C6052E">
        <w:t xml:space="preserve"> </w:t>
      </w:r>
      <w:r w:rsidRPr="00C6052E">
        <w:t>the</w:t>
      </w:r>
      <w:r w:rsidR="00177848" w:rsidRPr="00C6052E">
        <w:t xml:space="preserve"> </w:t>
      </w:r>
      <w:r w:rsidRPr="00C6052E">
        <w:t>building</w:t>
      </w:r>
      <w:r w:rsidR="00177848" w:rsidRPr="00C6052E">
        <w:t xml:space="preserve"> </w:t>
      </w:r>
      <w:r w:rsidRPr="00C6052E">
        <w:t>and</w:t>
      </w:r>
      <w:r w:rsidR="00177848" w:rsidRPr="00C6052E">
        <w:t xml:space="preserve"> </w:t>
      </w:r>
      <w:r w:rsidRPr="00C6052E">
        <w:t>associated</w:t>
      </w:r>
      <w:r w:rsidR="00177848" w:rsidRPr="00C6052E">
        <w:t xml:space="preserve"> </w:t>
      </w:r>
      <w:r w:rsidRPr="00C6052E">
        <w:t>plant</w:t>
      </w:r>
      <w:r w:rsidR="00177848" w:rsidRPr="00C6052E">
        <w:t xml:space="preserve"> </w:t>
      </w:r>
      <w:r w:rsidRPr="00C6052E">
        <w:t>and</w:t>
      </w:r>
      <w:r w:rsidR="00177848" w:rsidRPr="00C6052E">
        <w:t xml:space="preserve"> </w:t>
      </w:r>
      <w:r w:rsidRPr="00C6052E">
        <w:t>equipment)</w:t>
      </w:r>
      <w:r w:rsidR="00177848" w:rsidRPr="00C6052E">
        <w:t xml:space="preserve"> </w:t>
      </w:r>
      <w:r w:rsidRPr="00C6052E">
        <w:t>will</w:t>
      </w:r>
      <w:r w:rsidR="00177848" w:rsidRPr="00C6052E">
        <w:t xml:space="preserve"> </w:t>
      </w:r>
      <w:r w:rsidRPr="00C6052E">
        <w:t>support</w:t>
      </w:r>
      <w:r w:rsidR="00177848" w:rsidRPr="00C6052E">
        <w:t xml:space="preserve"> </w:t>
      </w:r>
      <w:r w:rsidRPr="00C6052E">
        <w:t>research</w:t>
      </w:r>
      <w:r w:rsidR="00177848" w:rsidRPr="00C6052E">
        <w:t xml:space="preserve"> </w:t>
      </w:r>
      <w:r w:rsidRPr="00C6052E">
        <w:t>and</w:t>
      </w:r>
      <w:r w:rsidR="00177848" w:rsidRPr="00C6052E">
        <w:t xml:space="preserve"> </w:t>
      </w:r>
      <w:r w:rsidRPr="00C6052E">
        <w:t>development</w:t>
      </w:r>
      <w:r w:rsidR="00177848" w:rsidRPr="00C6052E">
        <w:t xml:space="preserve"> </w:t>
      </w:r>
      <w:r w:rsidRPr="00C6052E">
        <w:t>through</w:t>
      </w:r>
      <w:r w:rsidR="00177848" w:rsidRPr="00C6052E">
        <w:t xml:space="preserve"> </w:t>
      </w:r>
      <w:r w:rsidRPr="00C6052E">
        <w:t>the</w:t>
      </w:r>
      <w:r w:rsidR="00177848" w:rsidRPr="00C6052E">
        <w:t xml:space="preserve"> </w:t>
      </w:r>
      <w:r w:rsidRPr="00C6052E">
        <w:t>clinical-scale</w:t>
      </w:r>
      <w:r w:rsidR="00177848" w:rsidRPr="00C6052E">
        <w:t xml:space="preserve"> </w:t>
      </w:r>
      <w:r w:rsidRPr="00C6052E">
        <w:t>manufacturing</w:t>
      </w:r>
      <w:r w:rsidR="00177848" w:rsidRPr="00C6052E">
        <w:t xml:space="preserve"> </w:t>
      </w:r>
      <w:r w:rsidRPr="00C6052E">
        <w:t>of</w:t>
      </w:r>
      <w:r w:rsidR="00177848" w:rsidRPr="00C6052E">
        <w:t xml:space="preserve"> </w:t>
      </w:r>
      <w:r w:rsidRPr="00C6052E">
        <w:t>investigational</w:t>
      </w:r>
      <w:r w:rsidR="00177848" w:rsidRPr="00C6052E">
        <w:t xml:space="preserve"> </w:t>
      </w:r>
      <w:r w:rsidRPr="00C6052E">
        <w:t>mRNA-based</w:t>
      </w:r>
      <w:r w:rsidR="00177848" w:rsidRPr="00C6052E">
        <w:t xml:space="preserve"> </w:t>
      </w:r>
      <w:r w:rsidRPr="00C6052E">
        <w:t>medicines.</w:t>
      </w:r>
    </w:p>
    <w:p w14:paraId="6F9A1FF6" w14:textId="5F1B7D17" w:rsidR="00EE5BB8" w:rsidRPr="002A4825" w:rsidRDefault="00EE5BB8" w:rsidP="00EE5BB8">
      <w:pPr>
        <w:rPr>
          <w:spacing w:val="-2"/>
        </w:rPr>
      </w:pPr>
      <w:r w:rsidRPr="002A4825">
        <w:rPr>
          <w:spacing w:val="-2"/>
        </w:rPr>
        <w:t>BioNTech</w:t>
      </w:r>
      <w:r w:rsidR="00177848" w:rsidRPr="002A4825">
        <w:rPr>
          <w:spacing w:val="-2"/>
        </w:rPr>
        <w:t xml:space="preserve"> </w:t>
      </w:r>
      <w:r w:rsidRPr="002A4825">
        <w:rPr>
          <w:spacing w:val="-2"/>
        </w:rPr>
        <w:t>is</w:t>
      </w:r>
      <w:r w:rsidR="00177848" w:rsidRPr="002A4825">
        <w:rPr>
          <w:spacing w:val="-2"/>
        </w:rPr>
        <w:t xml:space="preserve"> </w:t>
      </w:r>
      <w:r w:rsidRPr="002A4825">
        <w:rPr>
          <w:spacing w:val="-2"/>
        </w:rPr>
        <w:t>responsible</w:t>
      </w:r>
      <w:r w:rsidR="00177848" w:rsidRPr="002A4825">
        <w:rPr>
          <w:spacing w:val="-2"/>
        </w:rPr>
        <w:t xml:space="preserve"> </w:t>
      </w:r>
      <w:r w:rsidRPr="002A4825">
        <w:rPr>
          <w:spacing w:val="-2"/>
        </w:rPr>
        <w:t>for</w:t>
      </w:r>
      <w:r w:rsidR="00177848" w:rsidRPr="002A4825">
        <w:rPr>
          <w:spacing w:val="-2"/>
        </w:rPr>
        <w:t xml:space="preserve"> </w:t>
      </w:r>
      <w:r w:rsidRPr="002A4825">
        <w:rPr>
          <w:spacing w:val="-2"/>
        </w:rPr>
        <w:t>constructing</w:t>
      </w:r>
      <w:r w:rsidR="00177848" w:rsidRPr="002A4825">
        <w:rPr>
          <w:spacing w:val="-2"/>
        </w:rPr>
        <w:t xml:space="preserve"> </w:t>
      </w:r>
      <w:r w:rsidRPr="002A4825">
        <w:rPr>
          <w:spacing w:val="-2"/>
        </w:rPr>
        <w:t>the</w:t>
      </w:r>
      <w:r w:rsidR="00177848" w:rsidRPr="002A4825">
        <w:rPr>
          <w:spacing w:val="-2"/>
        </w:rPr>
        <w:t xml:space="preserve"> </w:t>
      </w:r>
      <w:r w:rsidRPr="002A4825">
        <w:rPr>
          <w:spacing w:val="-2"/>
        </w:rPr>
        <w:t>facility</w:t>
      </w:r>
      <w:r w:rsidR="00177848" w:rsidRPr="002A4825">
        <w:rPr>
          <w:spacing w:val="-2"/>
        </w:rPr>
        <w:t xml:space="preserve"> </w:t>
      </w:r>
      <w:r w:rsidRPr="002A4825">
        <w:rPr>
          <w:spacing w:val="-2"/>
        </w:rPr>
        <w:t>and</w:t>
      </w:r>
      <w:r w:rsidR="00177848" w:rsidRPr="002A4825">
        <w:rPr>
          <w:spacing w:val="-2"/>
        </w:rPr>
        <w:t xml:space="preserve"> </w:t>
      </w:r>
      <w:r w:rsidRPr="002A4825">
        <w:rPr>
          <w:spacing w:val="-2"/>
        </w:rPr>
        <w:t>for</w:t>
      </w:r>
      <w:r w:rsidR="00177848" w:rsidRPr="002A4825">
        <w:rPr>
          <w:spacing w:val="-2"/>
        </w:rPr>
        <w:t xml:space="preserve"> </w:t>
      </w:r>
      <w:r w:rsidRPr="002A4825">
        <w:rPr>
          <w:spacing w:val="-2"/>
        </w:rPr>
        <w:t>its</w:t>
      </w:r>
      <w:r w:rsidR="00177848" w:rsidRPr="002A4825">
        <w:rPr>
          <w:spacing w:val="-2"/>
        </w:rPr>
        <w:t xml:space="preserve"> </w:t>
      </w:r>
      <w:r w:rsidRPr="002A4825">
        <w:rPr>
          <w:spacing w:val="-2"/>
        </w:rPr>
        <w:t>future</w:t>
      </w:r>
      <w:r w:rsidR="00177848" w:rsidRPr="002A4825">
        <w:rPr>
          <w:spacing w:val="-2"/>
        </w:rPr>
        <w:t xml:space="preserve"> </w:t>
      </w:r>
      <w:r w:rsidRPr="002A4825">
        <w:rPr>
          <w:spacing w:val="-2"/>
        </w:rPr>
        <w:t>operation.</w:t>
      </w:r>
      <w:r w:rsidR="00177848" w:rsidRPr="002A4825">
        <w:rPr>
          <w:spacing w:val="-2"/>
        </w:rPr>
        <w:t xml:space="preserve"> </w:t>
      </w:r>
      <w:r w:rsidRPr="002A4825">
        <w:rPr>
          <w:spacing w:val="-2"/>
        </w:rPr>
        <w:t>The</w:t>
      </w:r>
      <w:r w:rsidR="00177848" w:rsidRPr="002A4825">
        <w:rPr>
          <w:spacing w:val="-2"/>
        </w:rPr>
        <w:t xml:space="preserve"> </w:t>
      </w:r>
      <w:r w:rsidRPr="002A4825">
        <w:rPr>
          <w:spacing w:val="-2"/>
        </w:rPr>
        <w:t>State</w:t>
      </w:r>
      <w:r w:rsidR="00177848" w:rsidRPr="002A4825">
        <w:rPr>
          <w:spacing w:val="-2"/>
        </w:rPr>
        <w:t xml:space="preserve"> </w:t>
      </w:r>
      <w:r w:rsidRPr="002A4825">
        <w:rPr>
          <w:spacing w:val="-2"/>
        </w:rPr>
        <w:t>is</w:t>
      </w:r>
      <w:r w:rsidR="00177848" w:rsidRPr="002A4825">
        <w:rPr>
          <w:spacing w:val="-2"/>
        </w:rPr>
        <w:t xml:space="preserve"> </w:t>
      </w:r>
      <w:r w:rsidRPr="002A4825">
        <w:rPr>
          <w:spacing w:val="-2"/>
        </w:rPr>
        <w:t>providing</w:t>
      </w:r>
      <w:r w:rsidR="00177848" w:rsidRPr="002A4825">
        <w:rPr>
          <w:spacing w:val="-2"/>
        </w:rPr>
        <w:t xml:space="preserve"> </w:t>
      </w:r>
      <w:r w:rsidRPr="002A4825">
        <w:rPr>
          <w:spacing w:val="-2"/>
        </w:rPr>
        <w:t>funding</w:t>
      </w:r>
      <w:r w:rsidR="00177848" w:rsidRPr="002A4825">
        <w:rPr>
          <w:spacing w:val="-2"/>
        </w:rPr>
        <w:t xml:space="preserve"> </w:t>
      </w:r>
      <w:r w:rsidRPr="002A4825">
        <w:rPr>
          <w:spacing w:val="-2"/>
        </w:rPr>
        <w:t>to</w:t>
      </w:r>
      <w:r w:rsidR="00177848" w:rsidRPr="002A4825">
        <w:rPr>
          <w:spacing w:val="-2"/>
        </w:rPr>
        <w:t xml:space="preserve"> </w:t>
      </w:r>
      <w:r w:rsidRPr="002A4825">
        <w:rPr>
          <w:spacing w:val="-2"/>
        </w:rPr>
        <w:t>BioNTech</w:t>
      </w:r>
      <w:r w:rsidR="00177848" w:rsidRPr="002A4825">
        <w:rPr>
          <w:spacing w:val="-2"/>
        </w:rPr>
        <w:t xml:space="preserve"> </w:t>
      </w:r>
      <w:r w:rsidRPr="002A4825">
        <w:rPr>
          <w:spacing w:val="-2"/>
        </w:rPr>
        <w:t>to</w:t>
      </w:r>
      <w:r w:rsidR="00177848" w:rsidRPr="002A4825">
        <w:rPr>
          <w:spacing w:val="-2"/>
        </w:rPr>
        <w:t xml:space="preserve"> </w:t>
      </w:r>
      <w:r w:rsidRPr="002A4825">
        <w:rPr>
          <w:spacing w:val="-2"/>
        </w:rPr>
        <w:t>support</w:t>
      </w:r>
      <w:r w:rsidR="00177848" w:rsidRPr="002A4825">
        <w:rPr>
          <w:spacing w:val="-2"/>
        </w:rPr>
        <w:t xml:space="preserve"> </w:t>
      </w:r>
      <w:r w:rsidRPr="002A4825">
        <w:rPr>
          <w:spacing w:val="-2"/>
        </w:rPr>
        <w:t>the</w:t>
      </w:r>
      <w:r w:rsidR="00177848" w:rsidRPr="002A4825">
        <w:rPr>
          <w:spacing w:val="-2"/>
        </w:rPr>
        <w:t xml:space="preserve"> </w:t>
      </w:r>
      <w:r w:rsidRPr="002A4825">
        <w:rPr>
          <w:spacing w:val="-2"/>
        </w:rPr>
        <w:t>establishment</w:t>
      </w:r>
      <w:r w:rsidR="00177848" w:rsidRPr="002A4825">
        <w:rPr>
          <w:spacing w:val="-2"/>
        </w:rPr>
        <w:t xml:space="preserve"> </w:t>
      </w:r>
      <w:r w:rsidRPr="002A4825">
        <w:rPr>
          <w:spacing w:val="-2"/>
        </w:rPr>
        <w:t>and</w:t>
      </w:r>
      <w:r w:rsidR="00177848" w:rsidRPr="002A4825">
        <w:rPr>
          <w:spacing w:val="-2"/>
        </w:rPr>
        <w:t xml:space="preserve"> </w:t>
      </w:r>
      <w:r w:rsidRPr="002A4825">
        <w:rPr>
          <w:spacing w:val="-2"/>
        </w:rPr>
        <w:t>operations</w:t>
      </w:r>
      <w:r w:rsidR="00177848" w:rsidRPr="002A4825">
        <w:rPr>
          <w:spacing w:val="-2"/>
        </w:rPr>
        <w:t xml:space="preserve"> </w:t>
      </w:r>
      <w:r w:rsidRPr="002A4825">
        <w:rPr>
          <w:spacing w:val="-2"/>
        </w:rPr>
        <w:t>of</w:t>
      </w:r>
      <w:r w:rsidR="00177848" w:rsidRPr="002A4825">
        <w:rPr>
          <w:spacing w:val="-2"/>
        </w:rPr>
        <w:t xml:space="preserve"> </w:t>
      </w:r>
      <w:r w:rsidRPr="002A4825">
        <w:rPr>
          <w:spacing w:val="-2"/>
        </w:rPr>
        <w:t>the</w:t>
      </w:r>
      <w:r w:rsidR="00177848" w:rsidRPr="002A4825">
        <w:rPr>
          <w:spacing w:val="-2"/>
        </w:rPr>
        <w:t xml:space="preserve"> </w:t>
      </w:r>
      <w:r w:rsidRPr="002A4825">
        <w:rPr>
          <w:spacing w:val="-2"/>
        </w:rPr>
        <w:t>facility,</w:t>
      </w:r>
      <w:r w:rsidR="00177848" w:rsidRPr="002A4825">
        <w:rPr>
          <w:spacing w:val="-2"/>
        </w:rPr>
        <w:t xml:space="preserve"> </w:t>
      </w:r>
      <w:r w:rsidRPr="002A4825">
        <w:rPr>
          <w:spacing w:val="-2"/>
        </w:rPr>
        <w:t>and</w:t>
      </w:r>
      <w:r w:rsidR="00177848" w:rsidRPr="002A4825">
        <w:rPr>
          <w:spacing w:val="-2"/>
        </w:rPr>
        <w:t xml:space="preserve"> </w:t>
      </w:r>
      <w:r w:rsidRPr="002A4825">
        <w:rPr>
          <w:spacing w:val="-2"/>
        </w:rPr>
        <w:t>in</w:t>
      </w:r>
      <w:r w:rsidR="00177848" w:rsidRPr="002A4825">
        <w:rPr>
          <w:spacing w:val="-2"/>
        </w:rPr>
        <w:t xml:space="preserve"> </w:t>
      </w:r>
      <w:r w:rsidRPr="002A4825">
        <w:rPr>
          <w:spacing w:val="-2"/>
        </w:rPr>
        <w:t>exchange</w:t>
      </w:r>
      <w:r w:rsidR="00177848" w:rsidRPr="002A4825">
        <w:rPr>
          <w:spacing w:val="-2"/>
        </w:rPr>
        <w:t xml:space="preserve"> </w:t>
      </w:r>
      <w:r w:rsidRPr="002A4825">
        <w:rPr>
          <w:spacing w:val="-2"/>
        </w:rPr>
        <w:t>will</w:t>
      </w:r>
      <w:r w:rsidR="00177848" w:rsidRPr="002A4825">
        <w:rPr>
          <w:spacing w:val="-2"/>
        </w:rPr>
        <w:t xml:space="preserve"> </w:t>
      </w:r>
      <w:r w:rsidRPr="002A4825">
        <w:rPr>
          <w:spacing w:val="-2"/>
        </w:rPr>
        <w:t>receive</w:t>
      </w:r>
      <w:r w:rsidR="00177848" w:rsidRPr="002A4825">
        <w:rPr>
          <w:spacing w:val="-2"/>
        </w:rPr>
        <w:t xml:space="preserve"> </w:t>
      </w:r>
      <w:r w:rsidRPr="002A4825">
        <w:rPr>
          <w:spacing w:val="-2"/>
        </w:rPr>
        <w:t>access</w:t>
      </w:r>
      <w:r w:rsidR="00177848" w:rsidRPr="002A4825">
        <w:rPr>
          <w:spacing w:val="-2"/>
        </w:rPr>
        <w:t xml:space="preserve"> </w:t>
      </w:r>
      <w:r w:rsidRPr="002A4825">
        <w:rPr>
          <w:spacing w:val="-2"/>
        </w:rPr>
        <w:t>to</w:t>
      </w:r>
      <w:r w:rsidR="00177848" w:rsidRPr="002A4825">
        <w:rPr>
          <w:spacing w:val="-2"/>
        </w:rPr>
        <w:t xml:space="preserve"> </w:t>
      </w:r>
      <w:r w:rsidRPr="002A4825">
        <w:rPr>
          <w:spacing w:val="-2"/>
        </w:rPr>
        <w:t>the</w:t>
      </w:r>
      <w:r w:rsidR="00177848" w:rsidRPr="002A4825">
        <w:rPr>
          <w:spacing w:val="-2"/>
        </w:rPr>
        <w:t xml:space="preserve"> </w:t>
      </w:r>
      <w:r w:rsidRPr="002A4825">
        <w:rPr>
          <w:spacing w:val="-2"/>
        </w:rPr>
        <w:t>manufacturing</w:t>
      </w:r>
      <w:r w:rsidR="00177848" w:rsidRPr="002A4825">
        <w:rPr>
          <w:spacing w:val="-2"/>
        </w:rPr>
        <w:t xml:space="preserve"> </w:t>
      </w:r>
      <w:r w:rsidRPr="002A4825">
        <w:rPr>
          <w:spacing w:val="-2"/>
        </w:rPr>
        <w:t>capacity</w:t>
      </w:r>
      <w:r w:rsidR="00177848" w:rsidRPr="002A4825">
        <w:rPr>
          <w:spacing w:val="-2"/>
        </w:rPr>
        <w:t xml:space="preserve"> </w:t>
      </w:r>
      <w:r w:rsidRPr="002A4825">
        <w:rPr>
          <w:spacing w:val="-2"/>
        </w:rPr>
        <w:t>for</w:t>
      </w:r>
      <w:r w:rsidR="00177848" w:rsidRPr="002A4825">
        <w:rPr>
          <w:spacing w:val="-2"/>
        </w:rPr>
        <w:t xml:space="preserve"> </w:t>
      </w:r>
      <w:r w:rsidRPr="002A4825">
        <w:rPr>
          <w:spacing w:val="-2"/>
        </w:rPr>
        <w:t>investigational</w:t>
      </w:r>
      <w:r w:rsidR="00177848" w:rsidRPr="002A4825">
        <w:rPr>
          <w:spacing w:val="-2"/>
        </w:rPr>
        <w:t xml:space="preserve"> </w:t>
      </w:r>
      <w:r w:rsidRPr="002A4825">
        <w:rPr>
          <w:spacing w:val="-2"/>
        </w:rPr>
        <w:t>mRNA-based</w:t>
      </w:r>
      <w:r w:rsidR="00177848" w:rsidRPr="002A4825">
        <w:rPr>
          <w:spacing w:val="-2"/>
        </w:rPr>
        <w:t xml:space="preserve"> </w:t>
      </w:r>
      <w:r w:rsidRPr="002A4825">
        <w:rPr>
          <w:spacing w:val="-2"/>
        </w:rPr>
        <w:t>medicines.</w:t>
      </w:r>
      <w:r w:rsidR="00177848" w:rsidRPr="002A4825">
        <w:rPr>
          <w:spacing w:val="-2"/>
        </w:rPr>
        <w:t xml:space="preserve"> </w:t>
      </w:r>
      <w:r w:rsidRPr="002A4825">
        <w:rPr>
          <w:spacing w:val="-2"/>
        </w:rPr>
        <w:t>Construction</w:t>
      </w:r>
      <w:r w:rsidR="00177848" w:rsidRPr="002A4825">
        <w:rPr>
          <w:spacing w:val="-2"/>
        </w:rPr>
        <w:t xml:space="preserve"> </w:t>
      </w:r>
      <w:r w:rsidRPr="002A4825">
        <w:rPr>
          <w:spacing w:val="-2"/>
        </w:rPr>
        <w:t>of</w:t>
      </w:r>
      <w:r w:rsidR="00177848" w:rsidRPr="002A4825">
        <w:rPr>
          <w:spacing w:val="-2"/>
        </w:rPr>
        <w:t xml:space="preserve"> </w:t>
      </w:r>
      <w:r w:rsidRPr="002A4825">
        <w:rPr>
          <w:spacing w:val="-2"/>
        </w:rPr>
        <w:t>the</w:t>
      </w:r>
      <w:r w:rsidR="00177848" w:rsidRPr="002A4825">
        <w:rPr>
          <w:spacing w:val="-2"/>
        </w:rPr>
        <w:t xml:space="preserve"> </w:t>
      </w:r>
      <w:r w:rsidRPr="002A4825">
        <w:rPr>
          <w:spacing w:val="-2"/>
        </w:rPr>
        <w:t>facility</w:t>
      </w:r>
      <w:r w:rsidR="00177848" w:rsidRPr="002A4825">
        <w:rPr>
          <w:spacing w:val="-2"/>
        </w:rPr>
        <w:t xml:space="preserve"> </w:t>
      </w:r>
      <w:r w:rsidRPr="002A4825">
        <w:rPr>
          <w:spacing w:val="-2"/>
        </w:rPr>
        <w:t>has</w:t>
      </w:r>
      <w:r w:rsidR="00177848" w:rsidRPr="002A4825">
        <w:rPr>
          <w:spacing w:val="-2"/>
        </w:rPr>
        <w:t xml:space="preserve"> </w:t>
      </w:r>
      <w:r w:rsidRPr="002A4825">
        <w:rPr>
          <w:spacing w:val="-2"/>
        </w:rPr>
        <w:t>commenced,</w:t>
      </w:r>
      <w:r w:rsidR="00177848" w:rsidRPr="002A4825">
        <w:rPr>
          <w:spacing w:val="-2"/>
        </w:rPr>
        <w:t xml:space="preserve"> </w:t>
      </w:r>
      <w:r w:rsidRPr="002A4825">
        <w:rPr>
          <w:spacing w:val="-2"/>
        </w:rPr>
        <w:t>and</w:t>
      </w:r>
      <w:r w:rsidR="00177848" w:rsidRPr="002A4825">
        <w:rPr>
          <w:spacing w:val="-2"/>
        </w:rPr>
        <w:t xml:space="preserve"> </w:t>
      </w:r>
      <w:r w:rsidRPr="002A4825">
        <w:rPr>
          <w:spacing w:val="-2"/>
        </w:rPr>
        <w:t>by</w:t>
      </w:r>
      <w:r w:rsidR="00177848" w:rsidRPr="002A4825">
        <w:rPr>
          <w:spacing w:val="-2"/>
        </w:rPr>
        <w:t xml:space="preserve"> </w:t>
      </w:r>
      <w:r w:rsidRPr="002A4825">
        <w:rPr>
          <w:spacing w:val="-2"/>
        </w:rPr>
        <w:t>30</w:t>
      </w:r>
      <w:r w:rsidR="00177848" w:rsidRPr="002A4825">
        <w:rPr>
          <w:spacing w:val="-2"/>
        </w:rPr>
        <w:t xml:space="preserve"> </w:t>
      </w:r>
      <w:r w:rsidRPr="002A4825">
        <w:rPr>
          <w:spacing w:val="-2"/>
        </w:rPr>
        <w:t>June</w:t>
      </w:r>
      <w:r w:rsidR="00177848" w:rsidRPr="002A4825">
        <w:rPr>
          <w:spacing w:val="-2"/>
        </w:rPr>
        <w:t xml:space="preserve"> </w:t>
      </w:r>
      <w:r w:rsidRPr="002A4825">
        <w:rPr>
          <w:spacing w:val="-2"/>
        </w:rPr>
        <w:t>2025</w:t>
      </w:r>
      <w:r w:rsidR="00177848" w:rsidRPr="002A4825">
        <w:rPr>
          <w:spacing w:val="-2"/>
        </w:rPr>
        <w:t xml:space="preserve"> </w:t>
      </w:r>
      <w:r w:rsidRPr="002A4825">
        <w:rPr>
          <w:spacing w:val="-2"/>
        </w:rPr>
        <w:t>works</w:t>
      </w:r>
      <w:r w:rsidR="00177848" w:rsidRPr="002A4825">
        <w:rPr>
          <w:spacing w:val="-2"/>
        </w:rPr>
        <w:t xml:space="preserve"> </w:t>
      </w:r>
      <w:r w:rsidRPr="002A4825">
        <w:rPr>
          <w:spacing w:val="-2"/>
        </w:rPr>
        <w:t>included</w:t>
      </w:r>
      <w:r w:rsidR="00177848" w:rsidRPr="002A4825">
        <w:rPr>
          <w:spacing w:val="-2"/>
        </w:rPr>
        <w:t xml:space="preserve"> </w:t>
      </w:r>
      <w:r w:rsidRPr="002A4825">
        <w:rPr>
          <w:spacing w:val="-2"/>
        </w:rPr>
        <w:t>site</w:t>
      </w:r>
      <w:r w:rsidR="00177848" w:rsidRPr="002A4825">
        <w:rPr>
          <w:spacing w:val="-2"/>
        </w:rPr>
        <w:t xml:space="preserve"> </w:t>
      </w:r>
      <w:r w:rsidRPr="002A4825">
        <w:rPr>
          <w:spacing w:val="-2"/>
        </w:rPr>
        <w:t>decontamination</w:t>
      </w:r>
      <w:r w:rsidR="00177848" w:rsidRPr="002A4825">
        <w:rPr>
          <w:spacing w:val="-2"/>
        </w:rPr>
        <w:t xml:space="preserve"> </w:t>
      </w:r>
      <w:r w:rsidRPr="002A4825">
        <w:rPr>
          <w:spacing w:val="-2"/>
        </w:rPr>
        <w:t>and</w:t>
      </w:r>
      <w:r w:rsidR="00177848" w:rsidRPr="002A4825">
        <w:rPr>
          <w:spacing w:val="-2"/>
        </w:rPr>
        <w:t xml:space="preserve"> </w:t>
      </w:r>
      <w:r w:rsidRPr="002A4825">
        <w:rPr>
          <w:spacing w:val="-2"/>
        </w:rPr>
        <w:t>preparation,</w:t>
      </w:r>
      <w:r w:rsidR="00177848" w:rsidRPr="002A4825">
        <w:rPr>
          <w:spacing w:val="-2"/>
        </w:rPr>
        <w:t xml:space="preserve"> </w:t>
      </w:r>
      <w:r w:rsidRPr="002A4825">
        <w:rPr>
          <w:spacing w:val="-2"/>
        </w:rPr>
        <w:t>in</w:t>
      </w:r>
      <w:r w:rsidR="00177848" w:rsidRPr="002A4825">
        <w:rPr>
          <w:spacing w:val="-2"/>
        </w:rPr>
        <w:t xml:space="preserve"> </w:t>
      </w:r>
      <w:r w:rsidRPr="002A4825">
        <w:rPr>
          <w:spacing w:val="-2"/>
        </w:rPr>
        <w:t>ground</w:t>
      </w:r>
      <w:r w:rsidR="00177848" w:rsidRPr="002A4825">
        <w:rPr>
          <w:spacing w:val="-2"/>
        </w:rPr>
        <w:t xml:space="preserve"> </w:t>
      </w:r>
      <w:r w:rsidRPr="002A4825">
        <w:rPr>
          <w:spacing w:val="-2"/>
        </w:rPr>
        <w:t>services</w:t>
      </w:r>
      <w:r w:rsidR="00177848" w:rsidRPr="002A4825">
        <w:rPr>
          <w:spacing w:val="-2"/>
        </w:rPr>
        <w:t xml:space="preserve"> </w:t>
      </w:r>
      <w:r w:rsidRPr="002A4825">
        <w:rPr>
          <w:spacing w:val="-2"/>
        </w:rPr>
        <w:t>and</w:t>
      </w:r>
      <w:r w:rsidR="00177848" w:rsidRPr="002A4825">
        <w:rPr>
          <w:spacing w:val="-2"/>
        </w:rPr>
        <w:t xml:space="preserve"> </w:t>
      </w:r>
      <w:r w:rsidRPr="002A4825">
        <w:rPr>
          <w:spacing w:val="-2"/>
        </w:rPr>
        <w:t>footings.</w:t>
      </w:r>
    </w:p>
    <w:p w14:paraId="06C9212C" w14:textId="03FDDE32" w:rsidR="00EE5BB8" w:rsidRPr="00C6052E" w:rsidRDefault="00EE5BB8" w:rsidP="0028635E">
      <w:pPr>
        <w:pStyle w:val="Normalbeforebullets"/>
      </w:pPr>
      <w:r w:rsidRPr="00C6052E">
        <w:t>The</w:t>
      </w:r>
      <w:r w:rsidR="00177848" w:rsidRPr="00C6052E">
        <w:t xml:space="preserve"> </w:t>
      </w:r>
      <w:r w:rsidRPr="00C6052E">
        <w:t>agreement</w:t>
      </w:r>
      <w:r w:rsidR="00177848" w:rsidRPr="00C6052E">
        <w:t xml:space="preserve"> </w:t>
      </w:r>
      <w:r w:rsidRPr="00C6052E">
        <w:t>with</w:t>
      </w:r>
      <w:r w:rsidR="00177848" w:rsidRPr="00C6052E">
        <w:t xml:space="preserve"> </w:t>
      </w:r>
      <w:r w:rsidRPr="00C6052E">
        <w:t>BioNTech</w:t>
      </w:r>
      <w:r w:rsidR="00177848" w:rsidRPr="00C6052E">
        <w:t xml:space="preserve"> </w:t>
      </w:r>
      <w:r w:rsidRPr="00C6052E">
        <w:t>has</w:t>
      </w:r>
      <w:r w:rsidR="00177848" w:rsidRPr="00C6052E">
        <w:t xml:space="preserve"> </w:t>
      </w:r>
      <w:r w:rsidRPr="00C6052E">
        <w:t>been</w:t>
      </w:r>
      <w:r w:rsidR="00177848" w:rsidRPr="00C6052E">
        <w:t xml:space="preserve"> </w:t>
      </w:r>
      <w:r w:rsidRPr="00C6052E">
        <w:t>assessed</w:t>
      </w:r>
      <w:r w:rsidR="00177848" w:rsidRPr="00C6052E">
        <w:t xml:space="preserve"> </w:t>
      </w:r>
      <w:r w:rsidRPr="00C6052E">
        <w:t>against</w:t>
      </w:r>
      <w:r w:rsidR="00177848" w:rsidRPr="00C6052E">
        <w:t xml:space="preserve"> </w:t>
      </w:r>
      <w:r w:rsidRPr="00C6052E">
        <w:t>accounting</w:t>
      </w:r>
      <w:r w:rsidR="00177848" w:rsidRPr="00C6052E">
        <w:t xml:space="preserve"> </w:t>
      </w:r>
      <w:r w:rsidRPr="00C6052E">
        <w:t>standards</w:t>
      </w:r>
      <w:r w:rsidR="00177848" w:rsidRPr="00C6052E">
        <w:t xml:space="preserve"> </w:t>
      </w:r>
      <w:r w:rsidRPr="00C6052E">
        <w:t>and,</w:t>
      </w:r>
      <w:r w:rsidR="00177848" w:rsidRPr="00C6052E">
        <w:t xml:space="preserve"> </w:t>
      </w:r>
      <w:r w:rsidRPr="00C6052E">
        <w:t>as</w:t>
      </w:r>
      <w:r w:rsidR="00177848" w:rsidRPr="00C6052E">
        <w:t xml:space="preserve"> </w:t>
      </w:r>
      <w:r w:rsidRPr="00C6052E">
        <w:t>construction</w:t>
      </w:r>
      <w:r w:rsidR="00177848" w:rsidRPr="00C6052E">
        <w:t xml:space="preserve"> </w:t>
      </w:r>
      <w:r w:rsidRPr="00C6052E">
        <w:t>progresses</w:t>
      </w:r>
      <w:r w:rsidR="00177848" w:rsidRPr="00C6052E">
        <w:t xml:space="preserve"> </w:t>
      </w:r>
      <w:r w:rsidRPr="00C6052E">
        <w:t>during</w:t>
      </w:r>
      <w:r w:rsidR="00177848" w:rsidRPr="00C6052E">
        <w:t xml:space="preserve"> </w:t>
      </w:r>
      <w:r w:rsidRPr="00C6052E">
        <w:t>future</w:t>
      </w:r>
      <w:r w:rsidR="00177848" w:rsidRPr="00C6052E">
        <w:t xml:space="preserve"> </w:t>
      </w:r>
      <w:r w:rsidRPr="00C6052E">
        <w:t>reporting</w:t>
      </w:r>
      <w:r w:rsidR="00177848" w:rsidRPr="00C6052E">
        <w:t xml:space="preserve"> </w:t>
      </w:r>
      <w:r w:rsidRPr="00C6052E">
        <w:t>periods,</w:t>
      </w:r>
      <w:r w:rsidR="00177848" w:rsidRPr="00C6052E">
        <w:t xml:space="preserve"> </w:t>
      </w:r>
      <w:r w:rsidRPr="00C6052E">
        <w:t>will</w:t>
      </w:r>
      <w:r w:rsidR="00177848" w:rsidRPr="00C6052E">
        <w:t xml:space="preserve"> </w:t>
      </w:r>
      <w:r w:rsidRPr="00C6052E">
        <w:t>be</w:t>
      </w:r>
      <w:r w:rsidR="00177848" w:rsidRPr="00C6052E">
        <w:t xml:space="preserve"> </w:t>
      </w:r>
      <w:r w:rsidRPr="00C6052E">
        <w:t>in</w:t>
      </w:r>
      <w:r w:rsidR="00177848" w:rsidRPr="00C6052E">
        <w:t xml:space="preserve"> </w:t>
      </w:r>
      <w:r w:rsidRPr="00C6052E">
        <w:t>part</w:t>
      </w:r>
      <w:r w:rsidR="00177848" w:rsidRPr="00C6052E">
        <w:t xml:space="preserve"> </w:t>
      </w:r>
      <w:r w:rsidRPr="00C6052E">
        <w:t>disclosed</w:t>
      </w:r>
      <w:r w:rsidR="00177848" w:rsidRPr="00C6052E">
        <w:t xml:space="preserve"> </w:t>
      </w:r>
      <w:r w:rsidRPr="00C6052E">
        <w:t>under:</w:t>
      </w:r>
    </w:p>
    <w:p w14:paraId="6D0A51C0" w14:textId="1B6134BC" w:rsidR="00EE5BB8" w:rsidRPr="00C6052E" w:rsidRDefault="00EE5BB8" w:rsidP="00EE5BB8">
      <w:pPr>
        <w:pStyle w:val="Bullet1"/>
        <w:numPr>
          <w:ilvl w:val="0"/>
          <w:numId w:val="1"/>
        </w:numPr>
        <w:spacing w:line="278" w:lineRule="auto"/>
        <w:ind w:left="284" w:hanging="284"/>
        <w:rPr>
          <w:lang w:val="en-AU"/>
        </w:rPr>
      </w:pPr>
      <w:r w:rsidRPr="00C6052E">
        <w:rPr>
          <w:i/>
          <w:iCs/>
          <w:lang w:val="en-AU"/>
        </w:rPr>
        <w:t>AASB</w:t>
      </w:r>
      <w:r w:rsidR="00177848" w:rsidRPr="00C6052E">
        <w:rPr>
          <w:i/>
          <w:iCs/>
          <w:lang w:val="en-AU"/>
        </w:rPr>
        <w:t xml:space="preserve"> </w:t>
      </w:r>
      <w:r w:rsidRPr="00C6052E">
        <w:rPr>
          <w:i/>
          <w:iCs/>
          <w:lang w:val="en-AU"/>
        </w:rPr>
        <w:t>1059</w:t>
      </w:r>
      <w:r w:rsidR="00177848" w:rsidRPr="00C6052E">
        <w:rPr>
          <w:i/>
          <w:iCs/>
          <w:lang w:val="en-AU"/>
        </w:rPr>
        <w:t xml:space="preserve"> </w:t>
      </w:r>
      <w:r w:rsidRPr="00C6052E">
        <w:rPr>
          <w:i/>
          <w:iCs/>
          <w:lang w:val="en-AU"/>
        </w:rPr>
        <w:t>Service</w:t>
      </w:r>
      <w:r w:rsidR="00177848" w:rsidRPr="00C6052E">
        <w:rPr>
          <w:i/>
          <w:iCs/>
          <w:lang w:val="en-AU"/>
        </w:rPr>
        <w:t xml:space="preserve"> </w:t>
      </w:r>
      <w:r w:rsidRPr="00C6052E">
        <w:rPr>
          <w:i/>
          <w:iCs/>
          <w:lang w:val="en-AU"/>
        </w:rPr>
        <w:t>Concession</w:t>
      </w:r>
      <w:r w:rsidR="00177848" w:rsidRPr="00C6052E">
        <w:rPr>
          <w:i/>
          <w:iCs/>
          <w:lang w:val="en-AU"/>
        </w:rPr>
        <w:t xml:space="preserve"> </w:t>
      </w:r>
      <w:r w:rsidRPr="00C6052E">
        <w:rPr>
          <w:i/>
          <w:iCs/>
          <w:lang w:val="en-AU"/>
        </w:rPr>
        <w:t>Arrangements:</w:t>
      </w:r>
      <w:r w:rsidR="00177848" w:rsidRPr="00C6052E">
        <w:rPr>
          <w:i/>
          <w:iCs/>
          <w:lang w:val="en-AU"/>
        </w:rPr>
        <w:t xml:space="preserve"> </w:t>
      </w:r>
      <w:r w:rsidRPr="00C6052E">
        <w:rPr>
          <w:i/>
          <w:iCs/>
          <w:lang w:val="en-AU"/>
        </w:rPr>
        <w:t>Grantors</w:t>
      </w:r>
      <w:r w:rsidR="00177848" w:rsidRPr="00C6052E">
        <w:rPr>
          <w:lang w:val="en-AU"/>
        </w:rPr>
        <w:t xml:space="preserve"> </w:t>
      </w:r>
      <w:r w:rsidRPr="00C6052E">
        <w:rPr>
          <w:lang w:val="en-AU"/>
        </w:rPr>
        <w:t>–</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recognise</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service</w:t>
      </w:r>
      <w:r w:rsidR="00177848" w:rsidRPr="00C6052E">
        <w:rPr>
          <w:lang w:val="en-AU"/>
        </w:rPr>
        <w:t xml:space="preserve"> </w:t>
      </w:r>
      <w:r w:rsidRPr="00C6052E">
        <w:rPr>
          <w:lang w:val="en-AU"/>
        </w:rPr>
        <w:t>concession</w:t>
      </w:r>
      <w:r w:rsidR="00177848" w:rsidRPr="00C6052E">
        <w:rPr>
          <w:lang w:val="en-AU"/>
        </w:rPr>
        <w:t xml:space="preserve"> </w:t>
      </w:r>
      <w:r w:rsidRPr="00C6052E">
        <w:rPr>
          <w:lang w:val="en-AU"/>
        </w:rPr>
        <w:t>asset,</w:t>
      </w:r>
      <w:r w:rsidR="00177848" w:rsidRPr="00C6052E">
        <w:rPr>
          <w:lang w:val="en-AU"/>
        </w:rPr>
        <w:t xml:space="preserve"> </w:t>
      </w:r>
      <w:r w:rsidRPr="00C6052E">
        <w:rPr>
          <w:lang w:val="en-AU"/>
        </w:rPr>
        <w:t>being</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facility</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which</w:t>
      </w:r>
      <w:r w:rsidR="00177848" w:rsidRPr="00C6052E">
        <w:rPr>
          <w:lang w:val="en-AU"/>
        </w:rPr>
        <w:t xml:space="preserve"> </w:t>
      </w:r>
      <w:r w:rsidRPr="00C6052E">
        <w:rPr>
          <w:lang w:val="en-AU"/>
        </w:rPr>
        <w:t>public</w:t>
      </w:r>
      <w:r w:rsidR="00177848" w:rsidRPr="00C6052E">
        <w:rPr>
          <w:lang w:val="en-AU"/>
        </w:rPr>
        <w:t xml:space="preserve"> </w:t>
      </w:r>
      <w:r w:rsidRPr="00C6052E">
        <w:rPr>
          <w:lang w:val="en-AU"/>
        </w:rPr>
        <w:t>services</w:t>
      </w:r>
      <w:r w:rsidR="00177848" w:rsidRPr="00C6052E">
        <w:rPr>
          <w:lang w:val="en-AU"/>
        </w:rPr>
        <w:t xml:space="preserve"> </w:t>
      </w:r>
      <w:r w:rsidRPr="00C6052E">
        <w:rPr>
          <w:lang w:val="en-AU"/>
        </w:rPr>
        <w:t>will</w:t>
      </w:r>
      <w:r w:rsidR="00177848" w:rsidRPr="00C6052E">
        <w:rPr>
          <w:lang w:val="en-AU"/>
        </w:rPr>
        <w:t xml:space="preserve"> </w:t>
      </w:r>
      <w:r w:rsidRPr="00C6052E">
        <w:rPr>
          <w:lang w:val="en-AU"/>
        </w:rPr>
        <w:t>be</w:t>
      </w:r>
      <w:r w:rsidR="00177848" w:rsidRPr="00C6052E">
        <w:rPr>
          <w:lang w:val="en-AU"/>
        </w:rPr>
        <w:t xml:space="preserve"> </w:t>
      </w:r>
      <w:r w:rsidRPr="00C6052E">
        <w:rPr>
          <w:lang w:val="en-AU"/>
        </w:rPr>
        <w:t>provided</w:t>
      </w:r>
      <w:r w:rsidR="00177848" w:rsidRPr="00C6052E">
        <w:rPr>
          <w:lang w:val="en-AU"/>
        </w:rPr>
        <w:t xml:space="preserve"> </w:t>
      </w:r>
      <w:r w:rsidRPr="00C6052E">
        <w:rPr>
          <w:lang w:val="en-AU"/>
        </w:rPr>
        <w:t>on</w:t>
      </w:r>
      <w:r w:rsidR="00177848" w:rsidRPr="00C6052E">
        <w:rPr>
          <w:lang w:val="en-AU"/>
        </w:rPr>
        <w:t xml:space="preserve"> </w:t>
      </w:r>
      <w:r w:rsidRPr="00C6052E">
        <w:rPr>
          <w:lang w:val="en-AU"/>
        </w:rPr>
        <w:t>behalf</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State,</w:t>
      </w:r>
      <w:r w:rsidR="00177848" w:rsidRPr="00C6052E">
        <w:rPr>
          <w:lang w:val="en-AU"/>
        </w:rPr>
        <w:t xml:space="preserve"> </w:t>
      </w:r>
      <w:r w:rsidRPr="00C6052E">
        <w:rPr>
          <w:lang w:val="en-AU"/>
        </w:rPr>
        <w:t>together</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a</w:t>
      </w:r>
      <w:r w:rsidR="00177848" w:rsidRPr="00C6052E">
        <w:rPr>
          <w:lang w:val="en-AU"/>
        </w:rPr>
        <w:t xml:space="preserve"> </w:t>
      </w:r>
      <w:r w:rsidRPr="00C6052E">
        <w:rPr>
          <w:lang w:val="en-AU"/>
        </w:rPr>
        <w:t>corresponding</w:t>
      </w:r>
      <w:r w:rsidR="00177848" w:rsidRPr="00C6052E">
        <w:rPr>
          <w:lang w:val="en-AU"/>
        </w:rPr>
        <w:t xml:space="preserve"> </w:t>
      </w:r>
      <w:r w:rsidRPr="00C6052E">
        <w:rPr>
          <w:lang w:val="en-AU"/>
        </w:rPr>
        <w:t>liability</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obligation</w:t>
      </w:r>
      <w:r w:rsidR="00177848" w:rsidRPr="00C6052E">
        <w:rPr>
          <w:lang w:val="en-AU"/>
        </w:rPr>
        <w:t xml:space="preserve"> </w:t>
      </w:r>
      <w:r w:rsidRPr="00C6052E">
        <w:rPr>
          <w:lang w:val="en-AU"/>
        </w:rPr>
        <w:t>arising</w:t>
      </w:r>
      <w:r w:rsidR="00177848" w:rsidRPr="00C6052E">
        <w:rPr>
          <w:lang w:val="en-AU"/>
        </w:rPr>
        <w:t xml:space="preserve"> </w:t>
      </w:r>
      <w:r w:rsidRPr="00C6052E">
        <w:rPr>
          <w:lang w:val="en-AU"/>
        </w:rPr>
        <w:t>under</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arrangement.</w:t>
      </w:r>
    </w:p>
    <w:p w14:paraId="3FEF1881" w14:textId="6CE6CB06" w:rsidR="00EE5BB8" w:rsidRPr="00C6052E" w:rsidRDefault="00EE5BB8" w:rsidP="00EE5BB8">
      <w:pPr>
        <w:pStyle w:val="Bullet1last"/>
        <w:numPr>
          <w:ilvl w:val="0"/>
          <w:numId w:val="1"/>
        </w:numPr>
        <w:spacing w:line="278" w:lineRule="auto"/>
        <w:ind w:left="284" w:hanging="284"/>
        <w:rPr>
          <w:lang w:val="en-AU"/>
        </w:rPr>
      </w:pPr>
      <w:r w:rsidRPr="00C6052E">
        <w:rPr>
          <w:i/>
          <w:iCs/>
          <w:lang w:val="en-AU"/>
        </w:rPr>
        <w:t>AASB</w:t>
      </w:r>
      <w:r w:rsidR="00177848" w:rsidRPr="00C6052E">
        <w:rPr>
          <w:i/>
          <w:iCs/>
          <w:lang w:val="en-AU"/>
        </w:rPr>
        <w:t xml:space="preserve"> </w:t>
      </w:r>
      <w:r w:rsidRPr="00C6052E">
        <w:rPr>
          <w:i/>
          <w:iCs/>
          <w:lang w:val="en-AU"/>
        </w:rPr>
        <w:t>16</w:t>
      </w:r>
      <w:r w:rsidR="00177848" w:rsidRPr="00C6052E">
        <w:rPr>
          <w:i/>
          <w:iCs/>
          <w:lang w:val="en-AU"/>
        </w:rPr>
        <w:t xml:space="preserve"> </w:t>
      </w:r>
      <w:r w:rsidRPr="00C6052E">
        <w:rPr>
          <w:i/>
          <w:iCs/>
          <w:lang w:val="en-AU"/>
        </w:rPr>
        <w:t>Leases</w:t>
      </w:r>
      <w:r w:rsidR="00177848" w:rsidRPr="00C6052E">
        <w:rPr>
          <w:lang w:val="en-AU"/>
        </w:rPr>
        <w:t xml:space="preserve"> </w:t>
      </w:r>
      <w:r w:rsidRPr="00C6052E">
        <w:rPr>
          <w:lang w:val="en-AU"/>
        </w:rPr>
        <w:t>–</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recognise</w:t>
      </w:r>
      <w:r w:rsidR="00177848" w:rsidRPr="00C6052E">
        <w:rPr>
          <w:lang w:val="en-AU"/>
        </w:rPr>
        <w:t xml:space="preserve"> </w:t>
      </w:r>
      <w:r w:rsidRPr="00C6052E">
        <w:rPr>
          <w:lang w:val="en-AU"/>
        </w:rPr>
        <w:t>a</w:t>
      </w:r>
      <w:r w:rsidR="00177848" w:rsidRPr="00C6052E">
        <w:rPr>
          <w:lang w:val="en-AU"/>
        </w:rPr>
        <w:t xml:space="preserve"> </w:t>
      </w:r>
      <w:r w:rsidRPr="00C6052E">
        <w:rPr>
          <w:lang w:val="en-AU"/>
        </w:rPr>
        <w:t>right-of-use</w:t>
      </w:r>
      <w:r w:rsidR="00177848" w:rsidRPr="00C6052E">
        <w:rPr>
          <w:lang w:val="en-AU"/>
        </w:rPr>
        <w:t xml:space="preserve"> </w:t>
      </w:r>
      <w:r w:rsidRPr="00C6052E">
        <w:rPr>
          <w:lang w:val="en-AU"/>
        </w:rPr>
        <w:t>asset</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corresponding</w:t>
      </w:r>
      <w:r w:rsidR="00177848" w:rsidRPr="00C6052E">
        <w:rPr>
          <w:lang w:val="en-AU"/>
        </w:rPr>
        <w:t xml:space="preserve"> </w:t>
      </w:r>
      <w:r w:rsidRPr="00C6052E">
        <w:rPr>
          <w:lang w:val="en-AU"/>
        </w:rPr>
        <w:t>lease</w:t>
      </w:r>
      <w:r w:rsidR="00177848" w:rsidRPr="00C6052E">
        <w:rPr>
          <w:lang w:val="en-AU"/>
        </w:rPr>
        <w:t xml:space="preserve"> </w:t>
      </w:r>
      <w:r w:rsidRPr="00C6052E">
        <w:rPr>
          <w:lang w:val="en-AU"/>
        </w:rPr>
        <w:t>liability,</w:t>
      </w:r>
      <w:r w:rsidR="00177848" w:rsidRPr="00C6052E">
        <w:rPr>
          <w:lang w:val="en-AU"/>
        </w:rPr>
        <w:t xml:space="preserve"> </w:t>
      </w:r>
      <w:r w:rsidRPr="00C6052E">
        <w:rPr>
          <w:lang w:val="en-AU"/>
        </w:rPr>
        <w:t>reflecting</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right</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use</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facility</w:t>
      </w:r>
      <w:r w:rsidR="00177848" w:rsidRPr="00C6052E">
        <w:rPr>
          <w:lang w:val="en-AU"/>
        </w:rPr>
        <w:t xml:space="preserve"> </w:t>
      </w:r>
      <w:r w:rsidRPr="00C6052E">
        <w:rPr>
          <w:lang w:val="en-AU"/>
        </w:rPr>
        <w:t>building</w:t>
      </w:r>
      <w:r w:rsidR="00177848" w:rsidRPr="00C6052E">
        <w:rPr>
          <w:lang w:val="en-AU"/>
        </w:rPr>
        <w:t xml:space="preserve"> </w:t>
      </w:r>
      <w:r w:rsidRPr="00C6052E">
        <w:rPr>
          <w:lang w:val="en-AU"/>
        </w:rPr>
        <w:t>over</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lease</w:t>
      </w:r>
      <w:r w:rsidR="00177848" w:rsidRPr="00C6052E">
        <w:rPr>
          <w:lang w:val="en-AU"/>
        </w:rPr>
        <w:t xml:space="preserve"> </w:t>
      </w:r>
      <w:r w:rsidRPr="00C6052E">
        <w:rPr>
          <w:lang w:val="en-AU"/>
        </w:rPr>
        <w:t>term</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obligation</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make</w:t>
      </w:r>
      <w:r w:rsidR="00177848" w:rsidRPr="00C6052E">
        <w:rPr>
          <w:lang w:val="en-AU"/>
        </w:rPr>
        <w:t xml:space="preserve"> </w:t>
      </w:r>
      <w:r w:rsidRPr="00C6052E">
        <w:rPr>
          <w:lang w:val="en-AU"/>
        </w:rPr>
        <w:t>lease</w:t>
      </w:r>
      <w:r w:rsidR="00177848" w:rsidRPr="00C6052E">
        <w:rPr>
          <w:lang w:val="en-AU"/>
        </w:rPr>
        <w:t xml:space="preserve"> </w:t>
      </w:r>
      <w:r w:rsidRPr="00C6052E">
        <w:rPr>
          <w:lang w:val="en-AU"/>
        </w:rPr>
        <w:t>payments.</w:t>
      </w:r>
      <w:r w:rsidR="00177848" w:rsidRPr="00C6052E">
        <w:rPr>
          <w:lang w:val="en-AU"/>
        </w:rPr>
        <w:t xml:space="preserve"> </w:t>
      </w:r>
    </w:p>
    <w:p w14:paraId="528BDA1D" w14:textId="17BF0EF8" w:rsidR="00EE5BB8" w:rsidRPr="00C6052E" w:rsidRDefault="00EE5BB8" w:rsidP="00EE5BB8">
      <w:r w:rsidRPr="00C6052E">
        <w:t>All</w:t>
      </w:r>
      <w:r w:rsidR="00177848" w:rsidRPr="00C6052E">
        <w:t xml:space="preserve"> </w:t>
      </w:r>
      <w:r w:rsidRPr="00C6052E">
        <w:t>payments</w:t>
      </w:r>
      <w:r w:rsidR="00177848" w:rsidRPr="00C6052E">
        <w:t xml:space="preserve"> </w:t>
      </w:r>
      <w:r w:rsidRPr="00C6052E">
        <w:t>to</w:t>
      </w:r>
      <w:r w:rsidR="00177848" w:rsidRPr="00C6052E">
        <w:t xml:space="preserve"> </w:t>
      </w:r>
      <w:r w:rsidRPr="00C6052E">
        <w:t>date</w:t>
      </w:r>
      <w:r w:rsidR="00177848" w:rsidRPr="00C6052E">
        <w:t xml:space="preserve"> </w:t>
      </w:r>
      <w:r w:rsidRPr="00C6052E">
        <w:t>are</w:t>
      </w:r>
      <w:r w:rsidR="00177848" w:rsidRPr="00C6052E">
        <w:t xml:space="preserve"> </w:t>
      </w:r>
      <w:r w:rsidRPr="00C6052E">
        <w:t>considered</w:t>
      </w:r>
      <w:r w:rsidR="00177848" w:rsidRPr="00C6052E">
        <w:t xml:space="preserve"> </w:t>
      </w:r>
      <w:r w:rsidRPr="00C6052E">
        <w:t>prepayments</w:t>
      </w:r>
      <w:r w:rsidR="00177848" w:rsidRPr="00C6052E">
        <w:t xml:space="preserve"> </w:t>
      </w:r>
      <w:r w:rsidRPr="00C6052E">
        <w:t>for</w:t>
      </w:r>
      <w:r w:rsidR="00177848" w:rsidRPr="00C6052E">
        <w:t xml:space="preserve"> </w:t>
      </w:r>
      <w:r w:rsidRPr="00C6052E">
        <w:t>the</w:t>
      </w:r>
      <w:r w:rsidR="00177848" w:rsidRPr="00C6052E">
        <w:t xml:space="preserve"> </w:t>
      </w:r>
      <w:r w:rsidRPr="00C6052E">
        <w:t>above</w:t>
      </w:r>
      <w:r w:rsidR="00177848" w:rsidRPr="00C6052E">
        <w:t xml:space="preserve"> </w:t>
      </w:r>
      <w:r w:rsidRPr="00C6052E">
        <w:t>arrangement,</w:t>
      </w:r>
      <w:r w:rsidR="00177848" w:rsidRPr="00C6052E">
        <w:t xml:space="preserve"> </w:t>
      </w:r>
      <w:r w:rsidRPr="00C6052E">
        <w:t>reflecting</w:t>
      </w:r>
      <w:r w:rsidR="00177848" w:rsidRPr="00C6052E">
        <w:t xml:space="preserve"> </w:t>
      </w:r>
      <w:r w:rsidRPr="00C6052E">
        <w:t>that</w:t>
      </w:r>
      <w:r w:rsidR="00177848" w:rsidRPr="00C6052E">
        <w:t xml:space="preserve"> </w:t>
      </w:r>
      <w:r w:rsidRPr="00C6052E">
        <w:t>construction</w:t>
      </w:r>
      <w:r w:rsidR="00177848" w:rsidRPr="00C6052E">
        <w:t xml:space="preserve"> </w:t>
      </w:r>
      <w:r w:rsidRPr="00C6052E">
        <w:t>of</w:t>
      </w:r>
      <w:r w:rsidR="00177848" w:rsidRPr="00C6052E">
        <w:t xml:space="preserve"> </w:t>
      </w:r>
      <w:r w:rsidRPr="00C6052E">
        <w:t>the</w:t>
      </w:r>
      <w:r w:rsidR="00177848" w:rsidRPr="00C6052E">
        <w:t xml:space="preserve"> </w:t>
      </w:r>
      <w:r w:rsidRPr="00C6052E">
        <w:t>facility</w:t>
      </w:r>
      <w:r w:rsidR="00177848" w:rsidRPr="00C6052E">
        <w:t xml:space="preserve"> </w:t>
      </w:r>
      <w:r w:rsidRPr="00C6052E">
        <w:t>is</w:t>
      </w:r>
      <w:r w:rsidR="00177848" w:rsidRPr="00C6052E">
        <w:t xml:space="preserve"> </w:t>
      </w:r>
      <w:r w:rsidRPr="00C6052E">
        <w:t>at</w:t>
      </w:r>
      <w:r w:rsidR="00177848" w:rsidRPr="00C6052E">
        <w:t xml:space="preserve"> </w:t>
      </w:r>
      <w:r w:rsidRPr="00C6052E">
        <w:t>early</w:t>
      </w:r>
      <w:r w:rsidR="00177848" w:rsidRPr="00C6052E">
        <w:t xml:space="preserve"> </w:t>
      </w:r>
      <w:r w:rsidRPr="00C6052E">
        <w:t>stages.</w:t>
      </w:r>
      <w:r w:rsidR="00177848" w:rsidRPr="00C6052E">
        <w:t xml:space="preserve"> </w:t>
      </w:r>
      <w:r w:rsidRPr="00C6052E">
        <w:t>Future</w:t>
      </w:r>
      <w:r w:rsidR="00177848" w:rsidRPr="00C6052E">
        <w:t xml:space="preserve"> </w:t>
      </w:r>
      <w:r w:rsidRPr="00C6052E">
        <w:t>contractual</w:t>
      </w:r>
      <w:r w:rsidR="00177848" w:rsidRPr="00C6052E">
        <w:t xml:space="preserve"> </w:t>
      </w:r>
      <w:r w:rsidRPr="00C6052E">
        <w:t>commitments</w:t>
      </w:r>
      <w:r w:rsidR="00177848" w:rsidRPr="00C6052E">
        <w:t xml:space="preserve"> </w:t>
      </w:r>
      <w:r w:rsidRPr="00C6052E">
        <w:t>relating</w:t>
      </w:r>
      <w:r w:rsidR="00177848" w:rsidRPr="00C6052E">
        <w:t xml:space="preserve"> </w:t>
      </w:r>
      <w:r w:rsidRPr="00C6052E">
        <w:t>to</w:t>
      </w:r>
      <w:r w:rsidR="00177848" w:rsidRPr="00C6052E">
        <w:t xml:space="preserve"> </w:t>
      </w:r>
      <w:r w:rsidRPr="00C6052E">
        <w:t>the</w:t>
      </w:r>
      <w:r w:rsidR="00177848" w:rsidRPr="00C6052E">
        <w:t xml:space="preserve"> </w:t>
      </w:r>
      <w:r w:rsidRPr="00C6052E">
        <w:t>arrangements</w:t>
      </w:r>
      <w:r w:rsidR="00177848" w:rsidRPr="00C6052E">
        <w:t xml:space="preserve"> </w:t>
      </w:r>
      <w:r w:rsidRPr="00C6052E">
        <w:t>are</w:t>
      </w:r>
      <w:r w:rsidR="00177848" w:rsidRPr="00C6052E">
        <w:t xml:space="preserve"> </w:t>
      </w:r>
      <w:r w:rsidRPr="00C6052E">
        <w:t>included</w:t>
      </w:r>
      <w:r w:rsidR="00177848" w:rsidRPr="00C6052E">
        <w:t xml:space="preserve"> </w:t>
      </w:r>
      <w:r w:rsidRPr="00C6052E">
        <w:t>in</w:t>
      </w:r>
      <w:r w:rsidR="00177848" w:rsidRPr="00C6052E">
        <w:t xml:space="preserve"> </w:t>
      </w:r>
      <w:r w:rsidRPr="00C6052E">
        <w:t>Note</w:t>
      </w:r>
      <w:r w:rsidR="00177848" w:rsidRPr="00C6052E">
        <w:t xml:space="preserve"> </w:t>
      </w:r>
      <w:r w:rsidRPr="00C6052E">
        <w:fldChar w:fldCharType="begin"/>
      </w:r>
      <w:r w:rsidRPr="00C6052E">
        <w:instrText xml:space="preserve"> REF _Ref209706696 \r \h </w:instrText>
      </w:r>
      <w:r w:rsidRPr="00C6052E">
        <w:fldChar w:fldCharType="separate"/>
      </w:r>
      <w:r w:rsidRPr="00C6052E">
        <w:t>7.5</w:t>
      </w:r>
      <w:r w:rsidRPr="00C6052E">
        <w:fldChar w:fldCharType="end"/>
      </w:r>
      <w:r w:rsidR="00177848" w:rsidRPr="00C6052E">
        <w:t xml:space="preserve"> </w:t>
      </w:r>
      <w:r w:rsidRPr="00C6052E">
        <w:t>–</w:t>
      </w:r>
      <w:r w:rsidR="00177848" w:rsidRPr="00C6052E">
        <w:t xml:space="preserve"> </w:t>
      </w:r>
      <w:r w:rsidRPr="00C6052E">
        <w:fldChar w:fldCharType="begin"/>
      </w:r>
      <w:r w:rsidRPr="00C6052E">
        <w:instrText xml:space="preserve"> REF _Ref209706712 \h </w:instrText>
      </w:r>
      <w:r w:rsidRPr="00C6052E">
        <w:fldChar w:fldCharType="separate"/>
      </w:r>
      <w:r w:rsidRPr="00C6052E">
        <w:t>Commitments</w:t>
      </w:r>
      <w:r w:rsidR="00177848" w:rsidRPr="00C6052E">
        <w:t xml:space="preserve"> </w:t>
      </w:r>
      <w:r w:rsidRPr="00C6052E">
        <w:t>for</w:t>
      </w:r>
      <w:r w:rsidR="00177848" w:rsidRPr="00C6052E">
        <w:t xml:space="preserve"> </w:t>
      </w:r>
      <w:r w:rsidRPr="00C6052E">
        <w:t>expenditure</w:t>
      </w:r>
      <w:r w:rsidRPr="00C6052E">
        <w:fldChar w:fldCharType="end"/>
      </w:r>
      <w:r w:rsidRPr="00C6052E">
        <w:t>.</w:t>
      </w:r>
    </w:p>
    <w:p w14:paraId="5A3B6ECA" w14:textId="76E1A7EF" w:rsidR="00EE5BB8" w:rsidRPr="00C6052E" w:rsidRDefault="00EE5BB8" w:rsidP="00C6052E">
      <w:pPr>
        <w:pStyle w:val="Heading2numbered0"/>
      </w:pPr>
      <w:bookmarkStart w:id="259" w:name="_Toc163565974"/>
      <w:bookmarkStart w:id="260" w:name="_Ref209444989"/>
      <w:bookmarkStart w:id="261" w:name="_Ref209444996"/>
      <w:bookmarkEnd w:id="256"/>
      <w:bookmarkEnd w:id="257"/>
      <w:r w:rsidRPr="00C6052E">
        <w:t>Other</w:t>
      </w:r>
      <w:r w:rsidR="00177848" w:rsidRPr="00C6052E">
        <w:t xml:space="preserve"> </w:t>
      </w:r>
      <w:r w:rsidRPr="00C6052E">
        <w:t>provisions</w:t>
      </w:r>
      <w:bookmarkEnd w:id="259"/>
      <w:bookmarkEnd w:id="260"/>
      <w:bookmarkEnd w:id="261"/>
      <w:r w:rsidR="002A4825">
        <w:t xml:space="preserve"> </w:t>
      </w:r>
    </w:p>
    <w:tbl>
      <w:tblPr>
        <w:tblStyle w:val="TableGrid"/>
        <w:tblW w:w="9703" w:type="dxa"/>
        <w:tblInd w:w="-5" w:type="dxa"/>
        <w:tblLayout w:type="fixed"/>
        <w:tblLook w:val="04E0" w:firstRow="1" w:lastRow="1" w:firstColumn="1" w:lastColumn="0" w:noHBand="0" w:noVBand="1"/>
      </w:tblPr>
      <w:tblGrid>
        <w:gridCol w:w="6804"/>
        <w:gridCol w:w="1449"/>
        <w:gridCol w:w="1450"/>
      </w:tblGrid>
      <w:tr w:rsidR="00EE5BB8" w:rsidRPr="00C6052E" w14:paraId="664BED97" w14:textId="77777777" w:rsidTr="002A4825">
        <w:tc>
          <w:tcPr>
            <w:tcW w:w="6804" w:type="dxa"/>
            <w:noWrap/>
            <w:hideMark/>
          </w:tcPr>
          <w:p w14:paraId="0588D15E" w14:textId="77777777" w:rsidR="00EE5BB8" w:rsidRPr="00C6052E" w:rsidRDefault="00EE5BB8" w:rsidP="002A4825">
            <w:pPr>
              <w:pStyle w:val="TableColumnHeading"/>
            </w:pPr>
            <w:bookmarkStart w:id="262" w:name="TableColumnHeadings_77"/>
            <w:bookmarkEnd w:id="262"/>
          </w:p>
        </w:tc>
        <w:tc>
          <w:tcPr>
            <w:tcW w:w="1449" w:type="dxa"/>
            <w:hideMark/>
          </w:tcPr>
          <w:p w14:paraId="6CD4B5DF" w14:textId="49F4780E" w:rsidR="00EE5BB8" w:rsidRPr="00C6052E" w:rsidRDefault="00EE5BB8" w:rsidP="002A4825">
            <w:pPr>
              <w:pStyle w:val="TableColumnHeading"/>
              <w:jc w:val="right"/>
            </w:pPr>
            <w:r w:rsidRPr="00C6052E">
              <w:t>2025</w:t>
            </w:r>
            <w:r w:rsidR="00104228">
              <w:br/>
            </w:r>
            <w:r w:rsidR="00104228" w:rsidRPr="00C6052E">
              <w:t>($ thousand)</w:t>
            </w:r>
          </w:p>
        </w:tc>
        <w:tc>
          <w:tcPr>
            <w:tcW w:w="1450" w:type="dxa"/>
            <w:hideMark/>
          </w:tcPr>
          <w:p w14:paraId="37522B17" w14:textId="345EAC29" w:rsidR="00EE5BB8" w:rsidRPr="00C6052E" w:rsidRDefault="00EE5BB8" w:rsidP="002A4825">
            <w:pPr>
              <w:pStyle w:val="TableColumnHeading"/>
              <w:jc w:val="right"/>
            </w:pPr>
            <w:r w:rsidRPr="00C6052E">
              <w:t>2024</w:t>
            </w:r>
            <w:r w:rsidR="00104228">
              <w:br/>
            </w:r>
            <w:r w:rsidR="00104228" w:rsidRPr="00C6052E">
              <w:t>($ thousand)</w:t>
            </w:r>
          </w:p>
        </w:tc>
      </w:tr>
      <w:tr w:rsidR="002A4825" w:rsidRPr="00C6052E" w14:paraId="729CDD9D" w14:textId="77777777" w:rsidTr="00D43D7C">
        <w:tc>
          <w:tcPr>
            <w:tcW w:w="6804" w:type="dxa"/>
          </w:tcPr>
          <w:p w14:paraId="3A70F15F" w14:textId="1A7E17D6" w:rsidR="002A4825" w:rsidRPr="00C6052E" w:rsidRDefault="002A4825" w:rsidP="002A4825">
            <w:pPr>
              <w:pStyle w:val="TableHeading"/>
            </w:pPr>
            <w:r w:rsidRPr="00C6052E">
              <w:t>Current provisions</w:t>
            </w:r>
          </w:p>
        </w:tc>
        <w:tc>
          <w:tcPr>
            <w:tcW w:w="1449" w:type="dxa"/>
            <w:noWrap/>
          </w:tcPr>
          <w:p w14:paraId="19E8A6BA" w14:textId="77777777" w:rsidR="002A4825" w:rsidRPr="00C6052E" w:rsidRDefault="002A4825" w:rsidP="002A4825">
            <w:pPr>
              <w:pStyle w:val="TableHeading"/>
              <w:jc w:val="right"/>
            </w:pPr>
          </w:p>
        </w:tc>
        <w:tc>
          <w:tcPr>
            <w:tcW w:w="1450" w:type="dxa"/>
            <w:noWrap/>
          </w:tcPr>
          <w:p w14:paraId="0D50DF8D" w14:textId="77777777" w:rsidR="002A4825" w:rsidRPr="00C6052E" w:rsidRDefault="002A4825" w:rsidP="002A4825">
            <w:pPr>
              <w:pStyle w:val="TableHeading"/>
              <w:jc w:val="right"/>
            </w:pPr>
          </w:p>
        </w:tc>
      </w:tr>
      <w:tr w:rsidR="00EE5BB8" w:rsidRPr="00C6052E" w14:paraId="43E7A512" w14:textId="77777777" w:rsidTr="002A4825">
        <w:tc>
          <w:tcPr>
            <w:tcW w:w="6804" w:type="dxa"/>
            <w:hideMark/>
          </w:tcPr>
          <w:p w14:paraId="4127EA11" w14:textId="512CC572" w:rsidR="00EE5BB8" w:rsidRPr="00C6052E" w:rsidRDefault="00EE5BB8" w:rsidP="0063097D">
            <w:pPr>
              <w:pStyle w:val="TableCopy"/>
            </w:pPr>
            <w:r w:rsidRPr="00C6052E">
              <w:t>Make-good</w:t>
            </w:r>
            <w:r w:rsidR="00177848" w:rsidRPr="00C6052E">
              <w:t xml:space="preserve"> </w:t>
            </w:r>
            <w:r w:rsidRPr="00C6052E">
              <w:t>provision</w:t>
            </w:r>
          </w:p>
        </w:tc>
        <w:tc>
          <w:tcPr>
            <w:tcW w:w="1449" w:type="dxa"/>
            <w:noWrap/>
            <w:hideMark/>
          </w:tcPr>
          <w:p w14:paraId="334B5C54" w14:textId="77777777" w:rsidR="00EE5BB8" w:rsidRPr="00C6052E" w:rsidRDefault="00EE5BB8" w:rsidP="002A4825">
            <w:pPr>
              <w:pStyle w:val="TableCopy"/>
              <w:jc w:val="right"/>
            </w:pPr>
            <w:r w:rsidRPr="00C6052E">
              <w:t>80</w:t>
            </w:r>
          </w:p>
        </w:tc>
        <w:tc>
          <w:tcPr>
            <w:tcW w:w="1450" w:type="dxa"/>
            <w:noWrap/>
            <w:hideMark/>
          </w:tcPr>
          <w:p w14:paraId="6D21C74C" w14:textId="77777777" w:rsidR="00EE5BB8" w:rsidRPr="00C6052E" w:rsidRDefault="00EE5BB8" w:rsidP="002A4825">
            <w:pPr>
              <w:pStyle w:val="TableCopy"/>
              <w:jc w:val="right"/>
            </w:pPr>
            <w:r w:rsidRPr="00C6052E">
              <w:t>2,895</w:t>
            </w:r>
          </w:p>
        </w:tc>
      </w:tr>
      <w:tr w:rsidR="00EE5BB8" w:rsidRPr="00C6052E" w14:paraId="2F6EA8BF" w14:textId="77777777" w:rsidTr="002A4825">
        <w:tc>
          <w:tcPr>
            <w:tcW w:w="6804" w:type="dxa"/>
            <w:hideMark/>
          </w:tcPr>
          <w:p w14:paraId="28B48420" w14:textId="2AF11052" w:rsidR="00EE5BB8" w:rsidRPr="00C6052E" w:rsidRDefault="00EE5BB8" w:rsidP="0063097D">
            <w:pPr>
              <w:pStyle w:val="TableCopy"/>
            </w:pPr>
            <w:r w:rsidRPr="00C6052E">
              <w:t>Other</w:t>
            </w:r>
            <w:r w:rsidR="00177848" w:rsidRPr="00C6052E">
              <w:t xml:space="preserve"> </w:t>
            </w:r>
            <w:r w:rsidRPr="00C6052E">
              <w:t>provisions</w:t>
            </w:r>
          </w:p>
        </w:tc>
        <w:tc>
          <w:tcPr>
            <w:tcW w:w="1449" w:type="dxa"/>
            <w:noWrap/>
            <w:hideMark/>
          </w:tcPr>
          <w:p w14:paraId="303D7846" w14:textId="77777777" w:rsidR="00EE5BB8" w:rsidRPr="00C6052E" w:rsidRDefault="00EE5BB8" w:rsidP="002A4825">
            <w:pPr>
              <w:pStyle w:val="TableCopy"/>
              <w:jc w:val="right"/>
            </w:pPr>
            <w:r w:rsidRPr="00C6052E">
              <w:t>5</w:t>
            </w:r>
          </w:p>
        </w:tc>
        <w:tc>
          <w:tcPr>
            <w:tcW w:w="1450" w:type="dxa"/>
            <w:noWrap/>
            <w:hideMark/>
          </w:tcPr>
          <w:p w14:paraId="413BD532" w14:textId="77777777" w:rsidR="00EE5BB8" w:rsidRPr="00C6052E" w:rsidRDefault="00EE5BB8" w:rsidP="002A4825">
            <w:pPr>
              <w:pStyle w:val="TableCopy"/>
              <w:jc w:val="right"/>
            </w:pPr>
            <w:r w:rsidRPr="00C6052E">
              <w:t>5</w:t>
            </w:r>
          </w:p>
        </w:tc>
      </w:tr>
      <w:tr w:rsidR="00EE5BB8" w:rsidRPr="00C6052E" w14:paraId="00723072" w14:textId="77777777" w:rsidTr="002A4825">
        <w:tc>
          <w:tcPr>
            <w:tcW w:w="6804" w:type="dxa"/>
            <w:hideMark/>
          </w:tcPr>
          <w:p w14:paraId="434C6919" w14:textId="763155ED" w:rsidR="00EE5BB8" w:rsidRPr="00C6052E" w:rsidRDefault="00EE5BB8" w:rsidP="0063097D">
            <w:pPr>
              <w:pStyle w:val="Tabletotal"/>
            </w:pPr>
            <w:r w:rsidRPr="00C6052E">
              <w:t>Total</w:t>
            </w:r>
            <w:r w:rsidR="00177848" w:rsidRPr="00C6052E">
              <w:t xml:space="preserve"> </w:t>
            </w:r>
            <w:r w:rsidRPr="00C6052E">
              <w:t>current</w:t>
            </w:r>
            <w:r w:rsidR="00177848" w:rsidRPr="00C6052E">
              <w:t xml:space="preserve"> </w:t>
            </w:r>
            <w:r w:rsidRPr="00C6052E">
              <w:t>provisions</w:t>
            </w:r>
          </w:p>
        </w:tc>
        <w:tc>
          <w:tcPr>
            <w:tcW w:w="1449" w:type="dxa"/>
            <w:noWrap/>
            <w:hideMark/>
          </w:tcPr>
          <w:p w14:paraId="6568C962" w14:textId="77777777" w:rsidR="00EE5BB8" w:rsidRPr="00C6052E" w:rsidRDefault="00EE5BB8" w:rsidP="002A4825">
            <w:pPr>
              <w:pStyle w:val="Tabletotal"/>
              <w:jc w:val="right"/>
            </w:pPr>
            <w:r w:rsidRPr="00C6052E">
              <w:t>85</w:t>
            </w:r>
          </w:p>
        </w:tc>
        <w:tc>
          <w:tcPr>
            <w:tcW w:w="1450" w:type="dxa"/>
            <w:noWrap/>
            <w:hideMark/>
          </w:tcPr>
          <w:p w14:paraId="0002A4A0" w14:textId="77777777" w:rsidR="00EE5BB8" w:rsidRPr="00C6052E" w:rsidRDefault="00EE5BB8" w:rsidP="002A4825">
            <w:pPr>
              <w:pStyle w:val="Tabletotal"/>
              <w:jc w:val="right"/>
            </w:pPr>
            <w:r w:rsidRPr="00C6052E">
              <w:t>2,900</w:t>
            </w:r>
          </w:p>
        </w:tc>
      </w:tr>
      <w:tr w:rsidR="002A4825" w:rsidRPr="00C6052E" w14:paraId="0BB6153D" w14:textId="77777777" w:rsidTr="00943704">
        <w:tc>
          <w:tcPr>
            <w:tcW w:w="6804" w:type="dxa"/>
          </w:tcPr>
          <w:p w14:paraId="572BD49F" w14:textId="60D227C6" w:rsidR="002A4825" w:rsidRPr="00C6052E" w:rsidRDefault="002A4825" w:rsidP="00943704">
            <w:pPr>
              <w:pStyle w:val="TableHeading"/>
            </w:pPr>
            <w:r w:rsidRPr="00C6052E">
              <w:t>Non-current provisions</w:t>
            </w:r>
          </w:p>
        </w:tc>
        <w:tc>
          <w:tcPr>
            <w:tcW w:w="1449" w:type="dxa"/>
            <w:noWrap/>
          </w:tcPr>
          <w:p w14:paraId="4788C60F" w14:textId="77777777" w:rsidR="002A4825" w:rsidRPr="00C6052E" w:rsidRDefault="002A4825" w:rsidP="002A4825">
            <w:pPr>
              <w:pStyle w:val="TableHeading"/>
              <w:jc w:val="right"/>
            </w:pPr>
          </w:p>
        </w:tc>
        <w:tc>
          <w:tcPr>
            <w:tcW w:w="1450" w:type="dxa"/>
            <w:noWrap/>
          </w:tcPr>
          <w:p w14:paraId="65230650" w14:textId="77777777" w:rsidR="002A4825" w:rsidRPr="00C6052E" w:rsidRDefault="002A4825" w:rsidP="002A4825">
            <w:pPr>
              <w:pStyle w:val="TableHeading"/>
              <w:jc w:val="right"/>
            </w:pPr>
          </w:p>
        </w:tc>
      </w:tr>
      <w:tr w:rsidR="00EE5BB8" w:rsidRPr="00C6052E" w14:paraId="12FE745C" w14:textId="77777777" w:rsidTr="002A4825">
        <w:tc>
          <w:tcPr>
            <w:tcW w:w="6804" w:type="dxa"/>
            <w:hideMark/>
          </w:tcPr>
          <w:p w14:paraId="7465D4D3" w14:textId="75199280" w:rsidR="00EE5BB8" w:rsidRPr="00C6052E" w:rsidRDefault="00EE5BB8" w:rsidP="0063097D">
            <w:pPr>
              <w:pStyle w:val="TableCopy"/>
            </w:pPr>
            <w:r w:rsidRPr="00C6052E">
              <w:t>Make-good</w:t>
            </w:r>
            <w:r w:rsidR="00177848" w:rsidRPr="00C6052E">
              <w:t xml:space="preserve"> </w:t>
            </w:r>
            <w:r w:rsidRPr="00C6052E">
              <w:t>provision</w:t>
            </w:r>
          </w:p>
        </w:tc>
        <w:tc>
          <w:tcPr>
            <w:tcW w:w="1449" w:type="dxa"/>
            <w:noWrap/>
            <w:hideMark/>
          </w:tcPr>
          <w:p w14:paraId="01A29A18" w14:textId="77777777" w:rsidR="00EE5BB8" w:rsidRPr="00C6052E" w:rsidRDefault="00EE5BB8" w:rsidP="002A4825">
            <w:pPr>
              <w:pStyle w:val="TableCopy"/>
              <w:jc w:val="right"/>
            </w:pPr>
            <w:r w:rsidRPr="00C6052E">
              <w:t>111</w:t>
            </w:r>
          </w:p>
        </w:tc>
        <w:tc>
          <w:tcPr>
            <w:tcW w:w="1450" w:type="dxa"/>
            <w:noWrap/>
            <w:hideMark/>
          </w:tcPr>
          <w:p w14:paraId="55FE2C83" w14:textId="77777777" w:rsidR="00EE5BB8" w:rsidRPr="00C6052E" w:rsidRDefault="00EE5BB8" w:rsidP="002A4825">
            <w:pPr>
              <w:pStyle w:val="TableCopy"/>
              <w:jc w:val="right"/>
            </w:pPr>
            <w:r w:rsidRPr="00C6052E">
              <w:t>366</w:t>
            </w:r>
          </w:p>
        </w:tc>
      </w:tr>
      <w:tr w:rsidR="00EE5BB8" w:rsidRPr="00C6052E" w14:paraId="61BA8265" w14:textId="77777777" w:rsidTr="002A4825">
        <w:tc>
          <w:tcPr>
            <w:tcW w:w="6804" w:type="dxa"/>
            <w:hideMark/>
          </w:tcPr>
          <w:p w14:paraId="46C2B966" w14:textId="632A0011" w:rsidR="00EE5BB8" w:rsidRPr="00C6052E" w:rsidRDefault="00EE5BB8" w:rsidP="0063097D">
            <w:pPr>
              <w:pStyle w:val="Tabletotal"/>
            </w:pPr>
            <w:r w:rsidRPr="00C6052E">
              <w:t>Total</w:t>
            </w:r>
            <w:r w:rsidR="00177848" w:rsidRPr="00C6052E">
              <w:t xml:space="preserve"> </w:t>
            </w:r>
            <w:r w:rsidRPr="00C6052E">
              <w:t>non-current</w:t>
            </w:r>
            <w:r w:rsidR="00177848" w:rsidRPr="00C6052E">
              <w:t xml:space="preserve"> </w:t>
            </w:r>
            <w:r w:rsidRPr="00C6052E">
              <w:t>provisions</w:t>
            </w:r>
          </w:p>
        </w:tc>
        <w:tc>
          <w:tcPr>
            <w:tcW w:w="1449" w:type="dxa"/>
            <w:noWrap/>
            <w:hideMark/>
          </w:tcPr>
          <w:p w14:paraId="374F5EF0" w14:textId="77777777" w:rsidR="00EE5BB8" w:rsidRPr="00C6052E" w:rsidRDefault="00EE5BB8" w:rsidP="002A4825">
            <w:pPr>
              <w:pStyle w:val="Tabletotal"/>
              <w:jc w:val="right"/>
            </w:pPr>
            <w:r w:rsidRPr="00C6052E">
              <w:t>111</w:t>
            </w:r>
          </w:p>
        </w:tc>
        <w:tc>
          <w:tcPr>
            <w:tcW w:w="1450" w:type="dxa"/>
            <w:noWrap/>
            <w:hideMark/>
          </w:tcPr>
          <w:p w14:paraId="7AF9F1B4" w14:textId="77777777" w:rsidR="00EE5BB8" w:rsidRPr="00C6052E" w:rsidRDefault="00EE5BB8" w:rsidP="002A4825">
            <w:pPr>
              <w:pStyle w:val="Tabletotal"/>
              <w:jc w:val="right"/>
            </w:pPr>
            <w:r w:rsidRPr="00C6052E">
              <w:t>366</w:t>
            </w:r>
          </w:p>
        </w:tc>
      </w:tr>
      <w:tr w:rsidR="00EE5BB8" w:rsidRPr="00C6052E" w14:paraId="64E08C54" w14:textId="77777777" w:rsidTr="002A4825">
        <w:tc>
          <w:tcPr>
            <w:tcW w:w="6804" w:type="dxa"/>
            <w:hideMark/>
          </w:tcPr>
          <w:p w14:paraId="4B294E35" w14:textId="5F370FA4" w:rsidR="00EE5BB8" w:rsidRPr="00C6052E" w:rsidRDefault="00EE5BB8" w:rsidP="0063097D">
            <w:pPr>
              <w:pStyle w:val="Tabletotal"/>
            </w:pPr>
            <w:r w:rsidRPr="00C6052E">
              <w:t>Total</w:t>
            </w:r>
            <w:r w:rsidR="00177848" w:rsidRPr="00C6052E">
              <w:t xml:space="preserve"> </w:t>
            </w:r>
            <w:r w:rsidRPr="00C6052E">
              <w:t>other</w:t>
            </w:r>
            <w:r w:rsidR="00177848" w:rsidRPr="00C6052E">
              <w:t xml:space="preserve"> </w:t>
            </w:r>
            <w:r w:rsidRPr="00C6052E">
              <w:t>provisions</w:t>
            </w:r>
          </w:p>
        </w:tc>
        <w:tc>
          <w:tcPr>
            <w:tcW w:w="1449" w:type="dxa"/>
            <w:noWrap/>
            <w:hideMark/>
          </w:tcPr>
          <w:p w14:paraId="0AAA2837" w14:textId="77777777" w:rsidR="00EE5BB8" w:rsidRPr="00C6052E" w:rsidRDefault="00EE5BB8" w:rsidP="002A4825">
            <w:pPr>
              <w:pStyle w:val="Tabletotal"/>
              <w:jc w:val="right"/>
            </w:pPr>
            <w:r w:rsidRPr="00C6052E">
              <w:t>196</w:t>
            </w:r>
          </w:p>
        </w:tc>
        <w:tc>
          <w:tcPr>
            <w:tcW w:w="1450" w:type="dxa"/>
            <w:noWrap/>
            <w:hideMark/>
          </w:tcPr>
          <w:p w14:paraId="3CD57B1B" w14:textId="77777777" w:rsidR="00EE5BB8" w:rsidRPr="00C6052E" w:rsidRDefault="00EE5BB8" w:rsidP="002A4825">
            <w:pPr>
              <w:pStyle w:val="Tabletotal"/>
              <w:jc w:val="right"/>
            </w:pPr>
            <w:r w:rsidRPr="00C6052E">
              <w:t>3,266</w:t>
            </w:r>
          </w:p>
        </w:tc>
      </w:tr>
    </w:tbl>
    <w:p w14:paraId="15746456" w14:textId="77777777" w:rsidR="00EE5BB8" w:rsidRPr="00C6052E" w:rsidRDefault="00EE5BB8" w:rsidP="002A4825"/>
    <w:p w14:paraId="2D39E759" w14:textId="1AD7C1A0" w:rsidR="00EE5BB8" w:rsidRPr="00C6052E" w:rsidRDefault="00EE5BB8" w:rsidP="00EE5BB8">
      <w:r w:rsidRPr="00C6052E">
        <w:t>Other</w:t>
      </w:r>
      <w:r w:rsidR="00177848" w:rsidRPr="00C6052E">
        <w:t xml:space="preserve"> </w:t>
      </w:r>
      <w:r w:rsidRPr="00C6052E">
        <w:t>provisions</w:t>
      </w:r>
      <w:r w:rsidR="00177848" w:rsidRPr="00C6052E">
        <w:t xml:space="preserve"> </w:t>
      </w:r>
      <w:r w:rsidRPr="00C6052E">
        <w:t>are</w:t>
      </w:r>
      <w:r w:rsidR="00177848" w:rsidRPr="00C6052E">
        <w:t xml:space="preserve"> </w:t>
      </w:r>
      <w:r w:rsidRPr="00C6052E">
        <w:t>recognised</w:t>
      </w:r>
      <w:r w:rsidR="00177848" w:rsidRPr="00C6052E">
        <w:t xml:space="preserve"> </w:t>
      </w:r>
      <w:r w:rsidRPr="00C6052E">
        <w:t>when</w:t>
      </w:r>
      <w:r w:rsidR="00177848" w:rsidRPr="00C6052E">
        <w:t xml:space="preserve"> </w:t>
      </w:r>
      <w:r w:rsidRPr="00C6052E">
        <w:t>DJSIR</w:t>
      </w:r>
      <w:r w:rsidR="00177848" w:rsidRPr="00C6052E">
        <w:t xml:space="preserve"> </w:t>
      </w:r>
      <w:r w:rsidRPr="00C6052E">
        <w:t>has</w:t>
      </w:r>
      <w:r w:rsidR="00177848" w:rsidRPr="00C6052E">
        <w:t xml:space="preserve"> </w:t>
      </w:r>
      <w:r w:rsidRPr="00C6052E">
        <w:t>a</w:t>
      </w:r>
      <w:r w:rsidR="00177848" w:rsidRPr="00C6052E">
        <w:t xml:space="preserve"> </w:t>
      </w:r>
      <w:r w:rsidRPr="00C6052E">
        <w:t>present</w:t>
      </w:r>
      <w:r w:rsidR="00177848" w:rsidRPr="00C6052E">
        <w:t xml:space="preserve"> </w:t>
      </w:r>
      <w:r w:rsidRPr="00C6052E">
        <w:t>obligation,</w:t>
      </w:r>
      <w:r w:rsidR="00177848" w:rsidRPr="00C6052E">
        <w:t xml:space="preserve"> </w:t>
      </w:r>
      <w:r w:rsidRPr="00C6052E">
        <w:t>the</w:t>
      </w:r>
      <w:r w:rsidR="00177848" w:rsidRPr="00C6052E">
        <w:t xml:space="preserve"> </w:t>
      </w:r>
      <w:r w:rsidRPr="00C6052E">
        <w:t>future</w:t>
      </w:r>
      <w:r w:rsidR="00177848" w:rsidRPr="00C6052E">
        <w:t xml:space="preserve"> </w:t>
      </w:r>
      <w:r w:rsidRPr="00C6052E">
        <w:t>sacrifice</w:t>
      </w:r>
      <w:r w:rsidR="00177848" w:rsidRPr="00C6052E">
        <w:t xml:space="preserve"> </w:t>
      </w:r>
      <w:r w:rsidRPr="00C6052E">
        <w:t>of</w:t>
      </w:r>
      <w:r w:rsidR="00177848" w:rsidRPr="00C6052E">
        <w:t xml:space="preserve"> </w:t>
      </w:r>
      <w:r w:rsidRPr="00C6052E">
        <w:t>economic</w:t>
      </w:r>
      <w:r w:rsidR="00177848" w:rsidRPr="00C6052E">
        <w:t xml:space="preserve"> </w:t>
      </w:r>
      <w:r w:rsidRPr="00C6052E">
        <w:t>benefits</w:t>
      </w:r>
      <w:r w:rsidR="00177848" w:rsidRPr="00C6052E">
        <w:t xml:space="preserve"> </w:t>
      </w:r>
      <w:r w:rsidRPr="00C6052E">
        <w:t>is</w:t>
      </w:r>
      <w:r w:rsidR="00177848" w:rsidRPr="00C6052E">
        <w:t xml:space="preserve"> </w:t>
      </w:r>
      <w:r w:rsidRPr="00C6052E">
        <w:t>probable,</w:t>
      </w:r>
      <w:r w:rsidR="00177848" w:rsidRPr="00C6052E">
        <w:t xml:space="preserve"> </w:t>
      </w:r>
      <w:r w:rsidRPr="00C6052E">
        <w:t>and</w:t>
      </w:r>
      <w:r w:rsidR="00177848" w:rsidRPr="00C6052E">
        <w:t xml:space="preserve"> </w:t>
      </w:r>
      <w:r w:rsidRPr="00C6052E">
        <w:t>the</w:t>
      </w:r>
      <w:r w:rsidR="00177848" w:rsidRPr="00C6052E">
        <w:t xml:space="preserve"> </w:t>
      </w:r>
      <w:r w:rsidRPr="00C6052E">
        <w:t>amount</w:t>
      </w:r>
      <w:r w:rsidR="00177848" w:rsidRPr="00C6052E">
        <w:t xml:space="preserve"> </w:t>
      </w:r>
      <w:r w:rsidRPr="00C6052E">
        <w:t>of</w:t>
      </w:r>
      <w:r w:rsidR="00177848" w:rsidRPr="00C6052E">
        <w:t xml:space="preserve"> </w:t>
      </w:r>
      <w:r w:rsidRPr="00C6052E">
        <w:t>the</w:t>
      </w:r>
      <w:r w:rsidR="00177848" w:rsidRPr="00C6052E">
        <w:t xml:space="preserve"> </w:t>
      </w:r>
      <w:r w:rsidRPr="00C6052E">
        <w:t>provision</w:t>
      </w:r>
      <w:r w:rsidR="00177848" w:rsidRPr="00C6052E">
        <w:t xml:space="preserve"> </w:t>
      </w:r>
      <w:r w:rsidRPr="00C6052E">
        <w:t>can</w:t>
      </w:r>
      <w:r w:rsidR="00177848" w:rsidRPr="00C6052E">
        <w:t xml:space="preserve"> </w:t>
      </w:r>
      <w:r w:rsidRPr="00C6052E">
        <w:t>be</w:t>
      </w:r>
      <w:r w:rsidR="00177848" w:rsidRPr="00C6052E">
        <w:t xml:space="preserve"> </w:t>
      </w:r>
      <w:r w:rsidRPr="00C6052E">
        <w:t>measured</w:t>
      </w:r>
      <w:r w:rsidR="00177848" w:rsidRPr="00C6052E">
        <w:t xml:space="preserve"> </w:t>
      </w:r>
      <w:r w:rsidRPr="00C6052E">
        <w:t>reliably.</w:t>
      </w:r>
      <w:r w:rsidR="00177848" w:rsidRPr="00C6052E">
        <w:t xml:space="preserve"> </w:t>
      </w:r>
      <w:r w:rsidRPr="00C6052E">
        <w:t>The</w:t>
      </w:r>
      <w:r w:rsidR="00177848" w:rsidRPr="00C6052E">
        <w:t xml:space="preserve"> </w:t>
      </w:r>
      <w:r w:rsidRPr="00C6052E">
        <w:t>amount</w:t>
      </w:r>
      <w:r w:rsidR="00177848" w:rsidRPr="00C6052E">
        <w:t xml:space="preserve"> </w:t>
      </w:r>
      <w:r w:rsidRPr="00C6052E">
        <w:t>recognised</w:t>
      </w:r>
      <w:r w:rsidR="00177848" w:rsidRPr="00C6052E">
        <w:t xml:space="preserve"> </w:t>
      </w:r>
      <w:r w:rsidRPr="00C6052E">
        <w:t>as</w:t>
      </w:r>
      <w:r w:rsidR="00177848" w:rsidRPr="00C6052E">
        <w:t xml:space="preserve"> </w:t>
      </w:r>
      <w:r w:rsidRPr="00C6052E">
        <w:t>a</w:t>
      </w:r>
      <w:r w:rsidR="00177848" w:rsidRPr="00C6052E">
        <w:t xml:space="preserve"> </w:t>
      </w:r>
      <w:r w:rsidRPr="00C6052E">
        <w:t>provision</w:t>
      </w:r>
      <w:r w:rsidR="00177848" w:rsidRPr="00C6052E">
        <w:t xml:space="preserve"> </w:t>
      </w:r>
      <w:r w:rsidRPr="00C6052E">
        <w:t>is</w:t>
      </w:r>
      <w:r w:rsidR="00177848" w:rsidRPr="00C6052E">
        <w:t xml:space="preserve"> </w:t>
      </w:r>
      <w:r w:rsidRPr="00C6052E">
        <w:t>the</w:t>
      </w:r>
      <w:r w:rsidR="00177848" w:rsidRPr="00C6052E">
        <w:t xml:space="preserve"> </w:t>
      </w:r>
      <w:r w:rsidRPr="00C6052E">
        <w:t>best</w:t>
      </w:r>
      <w:r w:rsidR="00177848" w:rsidRPr="00C6052E">
        <w:t xml:space="preserve"> </w:t>
      </w:r>
      <w:r w:rsidRPr="00C6052E">
        <w:t>estimate</w:t>
      </w:r>
      <w:r w:rsidR="00177848" w:rsidRPr="00C6052E">
        <w:t xml:space="preserve"> </w:t>
      </w:r>
      <w:r w:rsidRPr="00C6052E">
        <w:t>of</w:t>
      </w:r>
      <w:r w:rsidR="00177848" w:rsidRPr="00C6052E">
        <w:t xml:space="preserve"> </w:t>
      </w:r>
      <w:r w:rsidRPr="00C6052E">
        <w:t>the</w:t>
      </w:r>
      <w:r w:rsidR="00177848" w:rsidRPr="00C6052E">
        <w:t xml:space="preserve"> </w:t>
      </w:r>
      <w:r w:rsidRPr="00C6052E">
        <w:t>consideration</w:t>
      </w:r>
      <w:r w:rsidR="00177848" w:rsidRPr="00C6052E">
        <w:t xml:space="preserve"> </w:t>
      </w:r>
      <w:r w:rsidRPr="00C6052E">
        <w:lastRenderedPageBreak/>
        <w:t>required</w:t>
      </w:r>
      <w:r w:rsidR="00177848" w:rsidRPr="00C6052E">
        <w:t xml:space="preserve"> </w:t>
      </w:r>
      <w:r w:rsidRPr="00C6052E">
        <w:t>to</w:t>
      </w:r>
      <w:r w:rsidR="00177848" w:rsidRPr="00C6052E">
        <w:t xml:space="preserve"> </w:t>
      </w:r>
      <w:r w:rsidRPr="00C6052E">
        <w:t>settle</w:t>
      </w:r>
      <w:r w:rsidR="00177848" w:rsidRPr="00C6052E">
        <w:t xml:space="preserve"> </w:t>
      </w:r>
      <w:r w:rsidRPr="00C6052E">
        <w:t>the</w:t>
      </w:r>
      <w:r w:rsidR="00177848" w:rsidRPr="00C6052E">
        <w:t xml:space="preserve"> </w:t>
      </w:r>
      <w:r w:rsidRPr="00C6052E">
        <w:t>present</w:t>
      </w:r>
      <w:r w:rsidR="00177848" w:rsidRPr="00C6052E">
        <w:t xml:space="preserve"> </w:t>
      </w:r>
      <w:r w:rsidRPr="00C6052E">
        <w:t>obligation</w:t>
      </w:r>
      <w:r w:rsidR="00177848" w:rsidRPr="00C6052E">
        <w:t xml:space="preserve"> </w:t>
      </w:r>
      <w:r w:rsidRPr="00C6052E">
        <w:t>at</w:t>
      </w:r>
      <w:r w:rsidR="00177848" w:rsidRPr="00C6052E">
        <w:t xml:space="preserve"> </w:t>
      </w:r>
      <w:r w:rsidRPr="00C6052E">
        <w:t>reporting</w:t>
      </w:r>
      <w:r w:rsidR="00177848" w:rsidRPr="00C6052E">
        <w:t xml:space="preserve"> </w:t>
      </w:r>
      <w:r w:rsidRPr="00C6052E">
        <w:t>date,</w:t>
      </w:r>
      <w:r w:rsidR="00177848" w:rsidRPr="00C6052E">
        <w:t xml:space="preserve"> </w:t>
      </w:r>
      <w:r w:rsidRPr="00C6052E">
        <w:t>taking</w:t>
      </w:r>
      <w:r w:rsidR="00177848" w:rsidRPr="00C6052E">
        <w:t xml:space="preserve"> </w:t>
      </w:r>
      <w:r w:rsidRPr="00C6052E">
        <w:t>into</w:t>
      </w:r>
      <w:r w:rsidR="00177848" w:rsidRPr="00C6052E">
        <w:t xml:space="preserve"> </w:t>
      </w:r>
      <w:r w:rsidRPr="00C6052E">
        <w:t>account</w:t>
      </w:r>
      <w:r w:rsidR="00177848" w:rsidRPr="00C6052E">
        <w:t xml:space="preserve"> </w:t>
      </w:r>
      <w:r w:rsidRPr="00C6052E">
        <w:t>the</w:t>
      </w:r>
      <w:r w:rsidR="00177848" w:rsidRPr="00C6052E">
        <w:t xml:space="preserve"> </w:t>
      </w:r>
      <w:r w:rsidRPr="00C6052E">
        <w:t>risks</w:t>
      </w:r>
      <w:r w:rsidR="00177848" w:rsidRPr="00C6052E">
        <w:t xml:space="preserve"> </w:t>
      </w:r>
      <w:r w:rsidRPr="00C6052E">
        <w:t>and</w:t>
      </w:r>
      <w:r w:rsidR="00177848" w:rsidRPr="00C6052E">
        <w:t xml:space="preserve"> </w:t>
      </w:r>
      <w:r w:rsidRPr="00C6052E">
        <w:t>uncertainties</w:t>
      </w:r>
      <w:r w:rsidR="00177848" w:rsidRPr="00C6052E">
        <w:t xml:space="preserve"> </w:t>
      </w:r>
      <w:r w:rsidRPr="00C6052E">
        <w:t>surrounding</w:t>
      </w:r>
      <w:r w:rsidR="00177848" w:rsidRPr="00C6052E">
        <w:t xml:space="preserve"> </w:t>
      </w:r>
      <w:r w:rsidRPr="00C6052E">
        <w:t>the</w:t>
      </w:r>
      <w:r w:rsidR="00177848" w:rsidRPr="00C6052E">
        <w:t xml:space="preserve"> </w:t>
      </w:r>
      <w:r w:rsidRPr="00C6052E">
        <w:t>obligation.</w:t>
      </w:r>
    </w:p>
    <w:p w14:paraId="216D0C56" w14:textId="2CC53F8B" w:rsidR="00EE5BB8" w:rsidRPr="00C6052E" w:rsidRDefault="00EE5BB8" w:rsidP="00EE5BB8">
      <w:r w:rsidRPr="00C6052E">
        <w:t>Where</w:t>
      </w:r>
      <w:r w:rsidR="00177848" w:rsidRPr="00C6052E">
        <w:t xml:space="preserve"> </w:t>
      </w:r>
      <w:r w:rsidRPr="00C6052E">
        <w:t>a</w:t>
      </w:r>
      <w:r w:rsidR="00177848" w:rsidRPr="00C6052E">
        <w:t xml:space="preserve"> </w:t>
      </w:r>
      <w:r w:rsidRPr="00C6052E">
        <w:t>provision</w:t>
      </w:r>
      <w:r w:rsidR="00177848" w:rsidRPr="00C6052E">
        <w:t xml:space="preserve"> </w:t>
      </w:r>
      <w:r w:rsidRPr="00C6052E">
        <w:t>is</w:t>
      </w:r>
      <w:r w:rsidR="00177848" w:rsidRPr="00C6052E">
        <w:t xml:space="preserve"> </w:t>
      </w:r>
      <w:r w:rsidRPr="00C6052E">
        <w:t>measured</w:t>
      </w:r>
      <w:r w:rsidR="00177848" w:rsidRPr="00C6052E">
        <w:t xml:space="preserve"> </w:t>
      </w:r>
      <w:r w:rsidRPr="00C6052E">
        <w:t>using</w:t>
      </w:r>
      <w:r w:rsidR="00177848" w:rsidRPr="00C6052E">
        <w:t xml:space="preserve"> </w:t>
      </w:r>
      <w:r w:rsidRPr="00C6052E">
        <w:t>the</w:t>
      </w:r>
      <w:r w:rsidR="00177848" w:rsidRPr="00C6052E">
        <w:t xml:space="preserve"> </w:t>
      </w:r>
      <w:r w:rsidRPr="00C6052E">
        <w:t>cash</w:t>
      </w:r>
      <w:r w:rsidR="00177848" w:rsidRPr="00C6052E">
        <w:t xml:space="preserve"> </w:t>
      </w:r>
      <w:r w:rsidRPr="00C6052E">
        <w:t>flows</w:t>
      </w:r>
      <w:r w:rsidR="00177848" w:rsidRPr="00C6052E">
        <w:t xml:space="preserve"> </w:t>
      </w:r>
      <w:r w:rsidRPr="00C6052E">
        <w:t>estimated</w:t>
      </w:r>
      <w:r w:rsidR="00177848" w:rsidRPr="00C6052E">
        <w:t xml:space="preserve"> </w:t>
      </w:r>
      <w:r w:rsidRPr="00C6052E">
        <w:t>to</w:t>
      </w:r>
      <w:r w:rsidR="00177848" w:rsidRPr="00C6052E">
        <w:t xml:space="preserve"> </w:t>
      </w:r>
      <w:r w:rsidRPr="00C6052E">
        <w:t>settle</w:t>
      </w:r>
      <w:r w:rsidR="00177848" w:rsidRPr="00C6052E">
        <w:t xml:space="preserve"> </w:t>
      </w:r>
      <w:r w:rsidRPr="00C6052E">
        <w:t>the</w:t>
      </w:r>
      <w:r w:rsidR="00177848" w:rsidRPr="00C6052E">
        <w:t xml:space="preserve"> </w:t>
      </w:r>
      <w:r w:rsidRPr="00C6052E">
        <w:t>present</w:t>
      </w:r>
      <w:r w:rsidR="00177848" w:rsidRPr="00C6052E">
        <w:t xml:space="preserve"> </w:t>
      </w:r>
      <w:r w:rsidRPr="00C6052E">
        <w:t>obligation,</w:t>
      </w:r>
      <w:r w:rsidR="00177848" w:rsidRPr="00C6052E">
        <w:t xml:space="preserve"> </w:t>
      </w:r>
      <w:r w:rsidRPr="00C6052E">
        <w:t>its</w:t>
      </w:r>
      <w:r w:rsidR="00177848" w:rsidRPr="00C6052E">
        <w:t xml:space="preserve"> </w:t>
      </w:r>
      <w:r w:rsidRPr="00C6052E">
        <w:t>carrying</w:t>
      </w:r>
      <w:r w:rsidR="00177848" w:rsidRPr="00C6052E">
        <w:t xml:space="preserve"> </w:t>
      </w:r>
      <w:r w:rsidRPr="00C6052E">
        <w:t>amount</w:t>
      </w:r>
      <w:r w:rsidR="00177848" w:rsidRPr="00C6052E">
        <w:t xml:space="preserve"> </w:t>
      </w:r>
      <w:r w:rsidRPr="00C6052E">
        <w:t>is</w:t>
      </w:r>
      <w:r w:rsidR="00177848" w:rsidRPr="00C6052E">
        <w:t xml:space="preserve"> </w:t>
      </w:r>
      <w:r w:rsidRPr="00C6052E">
        <w:t>the</w:t>
      </w:r>
      <w:r w:rsidR="00177848" w:rsidRPr="00C6052E">
        <w:t xml:space="preserve"> </w:t>
      </w:r>
      <w:r w:rsidRPr="00C6052E">
        <w:t>present</w:t>
      </w:r>
      <w:r w:rsidR="00177848" w:rsidRPr="00C6052E">
        <w:t xml:space="preserve"> </w:t>
      </w:r>
      <w:r w:rsidRPr="00C6052E">
        <w:t>value</w:t>
      </w:r>
      <w:r w:rsidR="00177848" w:rsidRPr="00C6052E">
        <w:t xml:space="preserve"> </w:t>
      </w:r>
      <w:r w:rsidRPr="00C6052E">
        <w:t>of</w:t>
      </w:r>
      <w:r w:rsidR="00177848" w:rsidRPr="00C6052E">
        <w:t xml:space="preserve"> </w:t>
      </w:r>
      <w:r w:rsidRPr="00C6052E">
        <w:t>those</w:t>
      </w:r>
      <w:r w:rsidR="00177848" w:rsidRPr="00C6052E">
        <w:t xml:space="preserve"> </w:t>
      </w:r>
      <w:r w:rsidRPr="00C6052E">
        <w:t>cash</w:t>
      </w:r>
      <w:r w:rsidR="00177848" w:rsidRPr="00C6052E">
        <w:t xml:space="preserve"> </w:t>
      </w:r>
      <w:r w:rsidRPr="00C6052E">
        <w:t>flows,</w:t>
      </w:r>
      <w:r w:rsidR="00177848" w:rsidRPr="00C6052E">
        <w:t xml:space="preserve"> </w:t>
      </w:r>
      <w:r w:rsidRPr="00C6052E">
        <w:t>using</w:t>
      </w:r>
      <w:r w:rsidR="00177848" w:rsidRPr="00C6052E">
        <w:t xml:space="preserve"> </w:t>
      </w:r>
      <w:r w:rsidRPr="00C6052E">
        <w:t>a</w:t>
      </w:r>
      <w:r w:rsidR="00177848" w:rsidRPr="00C6052E">
        <w:t xml:space="preserve"> </w:t>
      </w:r>
      <w:r w:rsidRPr="00C6052E">
        <w:t>discount</w:t>
      </w:r>
      <w:r w:rsidR="00177848" w:rsidRPr="00C6052E">
        <w:t xml:space="preserve"> </w:t>
      </w:r>
      <w:r w:rsidRPr="00C6052E">
        <w:t>rate</w:t>
      </w:r>
      <w:r w:rsidR="00177848" w:rsidRPr="00C6052E">
        <w:t xml:space="preserve"> </w:t>
      </w:r>
      <w:r w:rsidRPr="00C6052E">
        <w:t>that</w:t>
      </w:r>
      <w:r w:rsidR="00177848" w:rsidRPr="00C6052E">
        <w:t xml:space="preserve"> </w:t>
      </w:r>
      <w:r w:rsidRPr="00C6052E">
        <w:t>reflects</w:t>
      </w:r>
      <w:r w:rsidR="00177848" w:rsidRPr="00C6052E">
        <w:t xml:space="preserve"> </w:t>
      </w:r>
      <w:r w:rsidRPr="00C6052E">
        <w:t>the</w:t>
      </w:r>
      <w:r w:rsidR="00177848" w:rsidRPr="00C6052E">
        <w:t xml:space="preserve"> </w:t>
      </w:r>
      <w:r w:rsidRPr="00C6052E">
        <w:t>time</w:t>
      </w:r>
      <w:r w:rsidR="00177848" w:rsidRPr="00C6052E">
        <w:t xml:space="preserve"> </w:t>
      </w:r>
      <w:r w:rsidRPr="00C6052E">
        <w:t>value</w:t>
      </w:r>
      <w:r w:rsidR="00177848" w:rsidRPr="00C6052E">
        <w:t xml:space="preserve"> </w:t>
      </w:r>
      <w:r w:rsidRPr="00C6052E">
        <w:t>of</w:t>
      </w:r>
      <w:r w:rsidR="00177848" w:rsidRPr="00C6052E">
        <w:t xml:space="preserve"> </w:t>
      </w:r>
      <w:r w:rsidRPr="00C6052E">
        <w:t>money</w:t>
      </w:r>
      <w:r w:rsidR="00177848" w:rsidRPr="00C6052E">
        <w:t xml:space="preserve"> </w:t>
      </w:r>
      <w:r w:rsidRPr="00C6052E">
        <w:t>and</w:t>
      </w:r>
      <w:r w:rsidR="00177848" w:rsidRPr="00C6052E">
        <w:t xml:space="preserve"> </w:t>
      </w:r>
      <w:r w:rsidRPr="00C6052E">
        <w:t>risks</w:t>
      </w:r>
      <w:r w:rsidR="00177848" w:rsidRPr="00C6052E">
        <w:t xml:space="preserve"> </w:t>
      </w:r>
      <w:r w:rsidRPr="00C6052E">
        <w:t>specific</w:t>
      </w:r>
      <w:r w:rsidR="00177848" w:rsidRPr="00C6052E">
        <w:t xml:space="preserve"> </w:t>
      </w:r>
      <w:r w:rsidRPr="00C6052E">
        <w:t>to</w:t>
      </w:r>
      <w:r w:rsidR="00177848" w:rsidRPr="00C6052E">
        <w:t xml:space="preserve"> </w:t>
      </w:r>
      <w:r w:rsidRPr="00C6052E">
        <w:t>the</w:t>
      </w:r>
      <w:r w:rsidR="00177848" w:rsidRPr="00C6052E">
        <w:t xml:space="preserve"> </w:t>
      </w:r>
      <w:r w:rsidRPr="00C6052E">
        <w:t>provision.</w:t>
      </w:r>
    </w:p>
    <w:p w14:paraId="6F7F1243" w14:textId="0F5AA482" w:rsidR="00EE5BB8" w:rsidRPr="00C6052E" w:rsidRDefault="00C6052E" w:rsidP="00C6052E">
      <w:pPr>
        <w:pStyle w:val="TableHeading"/>
      </w:pPr>
      <w:r w:rsidRPr="00C6052E">
        <w:t>Reconciliation</w:t>
      </w:r>
      <w:r w:rsidR="00177848" w:rsidRPr="00C6052E">
        <w:t xml:space="preserve"> </w:t>
      </w:r>
      <w:r w:rsidRPr="00C6052E">
        <w:t>of</w:t>
      </w:r>
      <w:r w:rsidR="00177848" w:rsidRPr="00C6052E">
        <w:t xml:space="preserve"> </w:t>
      </w:r>
      <w:r w:rsidRPr="00C6052E">
        <w:t>movements</w:t>
      </w:r>
      <w:r w:rsidR="00177848" w:rsidRPr="00C6052E">
        <w:t xml:space="preserve"> </w:t>
      </w:r>
      <w:r w:rsidRPr="00C6052E">
        <w:t>in</w:t>
      </w:r>
      <w:r w:rsidR="00177848" w:rsidRPr="00C6052E">
        <w:t xml:space="preserve"> </w:t>
      </w:r>
      <w:r w:rsidRPr="00C6052E">
        <w:t>other</w:t>
      </w:r>
      <w:r w:rsidR="00177848" w:rsidRPr="00C6052E">
        <w:t xml:space="preserve"> </w:t>
      </w:r>
      <w:r w:rsidRPr="00C6052E">
        <w:t>provisions</w:t>
      </w:r>
      <w:r w:rsidR="00E16C0A">
        <w:t xml:space="preserve"> </w:t>
      </w:r>
      <w:r w:rsidR="002A4825" w:rsidRPr="00C6052E">
        <w:t>($ thousand)</w:t>
      </w:r>
    </w:p>
    <w:tbl>
      <w:tblPr>
        <w:tblStyle w:val="TableGrid"/>
        <w:tblW w:w="9639" w:type="dxa"/>
        <w:tblInd w:w="-5" w:type="dxa"/>
        <w:tblLayout w:type="fixed"/>
        <w:tblLook w:val="04E0" w:firstRow="1" w:lastRow="1" w:firstColumn="1" w:lastColumn="0" w:noHBand="0" w:noVBand="1"/>
      </w:tblPr>
      <w:tblGrid>
        <w:gridCol w:w="6663"/>
        <w:gridCol w:w="1488"/>
        <w:gridCol w:w="1488"/>
      </w:tblGrid>
      <w:tr w:rsidR="00EE5BB8" w:rsidRPr="00C6052E" w14:paraId="400F7066" w14:textId="77777777" w:rsidTr="00E16C0A">
        <w:tc>
          <w:tcPr>
            <w:tcW w:w="6663" w:type="dxa"/>
            <w:noWrap/>
            <w:hideMark/>
          </w:tcPr>
          <w:p w14:paraId="026BF707" w14:textId="77777777" w:rsidR="00EE5BB8" w:rsidRPr="00C6052E" w:rsidRDefault="00EE5BB8" w:rsidP="00274ABA">
            <w:pPr>
              <w:pStyle w:val="TableColumnHeading"/>
            </w:pPr>
            <w:bookmarkStart w:id="263" w:name="TableColumnHeadings_78"/>
            <w:bookmarkEnd w:id="263"/>
          </w:p>
        </w:tc>
        <w:tc>
          <w:tcPr>
            <w:tcW w:w="1488" w:type="dxa"/>
            <w:hideMark/>
          </w:tcPr>
          <w:p w14:paraId="02F08B0F" w14:textId="77777777" w:rsidR="00EE5BB8" w:rsidRPr="00C6052E" w:rsidRDefault="00EE5BB8" w:rsidP="00E16C0A">
            <w:pPr>
              <w:pStyle w:val="TableColumnHeading"/>
              <w:jc w:val="right"/>
            </w:pPr>
            <w:r w:rsidRPr="00C6052E">
              <w:t>2025</w:t>
            </w:r>
          </w:p>
        </w:tc>
        <w:tc>
          <w:tcPr>
            <w:tcW w:w="1488" w:type="dxa"/>
            <w:hideMark/>
          </w:tcPr>
          <w:p w14:paraId="611364D0" w14:textId="77777777" w:rsidR="00EE5BB8" w:rsidRPr="00C6052E" w:rsidRDefault="00EE5BB8" w:rsidP="00E16C0A">
            <w:pPr>
              <w:pStyle w:val="TableColumnHeading"/>
              <w:jc w:val="right"/>
            </w:pPr>
            <w:r w:rsidRPr="00C6052E">
              <w:t>2024</w:t>
            </w:r>
          </w:p>
        </w:tc>
      </w:tr>
      <w:tr w:rsidR="00EE5BB8" w:rsidRPr="00C6052E" w14:paraId="2C0EA693" w14:textId="77777777" w:rsidTr="00E16C0A">
        <w:tc>
          <w:tcPr>
            <w:tcW w:w="6663" w:type="dxa"/>
            <w:hideMark/>
          </w:tcPr>
          <w:p w14:paraId="2B57E062" w14:textId="53D2F9D8" w:rsidR="00EE5BB8" w:rsidRPr="00C6052E" w:rsidRDefault="00EE5BB8" w:rsidP="0063097D">
            <w:pPr>
              <w:pStyle w:val="Tabletotal"/>
            </w:pPr>
            <w:r w:rsidRPr="00C6052E">
              <w:t>Opening</w:t>
            </w:r>
            <w:r w:rsidR="00177848" w:rsidRPr="00C6052E">
              <w:t xml:space="preserve"> </w:t>
            </w:r>
            <w:r w:rsidRPr="00C6052E">
              <w:t>balance</w:t>
            </w:r>
          </w:p>
        </w:tc>
        <w:tc>
          <w:tcPr>
            <w:tcW w:w="1488" w:type="dxa"/>
            <w:noWrap/>
            <w:hideMark/>
          </w:tcPr>
          <w:p w14:paraId="6547D595" w14:textId="77777777" w:rsidR="00EE5BB8" w:rsidRPr="00C6052E" w:rsidRDefault="00EE5BB8" w:rsidP="00E16C0A">
            <w:pPr>
              <w:pStyle w:val="Tabletotal"/>
              <w:jc w:val="right"/>
            </w:pPr>
            <w:r w:rsidRPr="00C6052E">
              <w:t>3,266</w:t>
            </w:r>
          </w:p>
        </w:tc>
        <w:tc>
          <w:tcPr>
            <w:tcW w:w="1488" w:type="dxa"/>
            <w:noWrap/>
            <w:hideMark/>
          </w:tcPr>
          <w:p w14:paraId="0FD9A7FF" w14:textId="77777777" w:rsidR="00EE5BB8" w:rsidRPr="00C6052E" w:rsidRDefault="00EE5BB8" w:rsidP="00E16C0A">
            <w:pPr>
              <w:pStyle w:val="Tabletotal"/>
              <w:jc w:val="right"/>
            </w:pPr>
            <w:r w:rsidRPr="00C6052E">
              <w:t>3,266</w:t>
            </w:r>
          </w:p>
        </w:tc>
      </w:tr>
      <w:tr w:rsidR="00EE5BB8" w:rsidRPr="00C6052E" w14:paraId="68BEBB59" w14:textId="77777777" w:rsidTr="00E16C0A">
        <w:tc>
          <w:tcPr>
            <w:tcW w:w="6663" w:type="dxa"/>
            <w:hideMark/>
          </w:tcPr>
          <w:p w14:paraId="49190D13" w14:textId="797ECD9B" w:rsidR="00EE5BB8" w:rsidRPr="00C6052E" w:rsidRDefault="00EE5BB8" w:rsidP="0063097D">
            <w:pPr>
              <w:pStyle w:val="TableCopy"/>
            </w:pPr>
            <w:r w:rsidRPr="00C6052E">
              <w:t>Additional</w:t>
            </w:r>
            <w:r w:rsidR="00177848" w:rsidRPr="00C6052E">
              <w:t xml:space="preserve"> </w:t>
            </w:r>
            <w:r w:rsidRPr="00C6052E">
              <w:t>provisions</w:t>
            </w:r>
            <w:r w:rsidR="00177848" w:rsidRPr="00C6052E">
              <w:t xml:space="preserve"> </w:t>
            </w:r>
            <w:r w:rsidRPr="00C6052E">
              <w:t>recognised</w:t>
            </w:r>
            <w:r w:rsidR="00177848" w:rsidRPr="00C6052E">
              <w:t xml:space="preserve"> </w:t>
            </w:r>
          </w:p>
        </w:tc>
        <w:tc>
          <w:tcPr>
            <w:tcW w:w="1488" w:type="dxa"/>
            <w:noWrap/>
            <w:hideMark/>
          </w:tcPr>
          <w:p w14:paraId="61176A2B" w14:textId="77777777" w:rsidR="00EE5BB8" w:rsidRPr="00C6052E" w:rsidRDefault="00EE5BB8" w:rsidP="00E16C0A">
            <w:pPr>
              <w:pStyle w:val="TableCopy"/>
              <w:jc w:val="right"/>
            </w:pPr>
            <w:r w:rsidRPr="00C6052E">
              <w:t>–</w:t>
            </w:r>
          </w:p>
        </w:tc>
        <w:tc>
          <w:tcPr>
            <w:tcW w:w="1488" w:type="dxa"/>
            <w:noWrap/>
            <w:hideMark/>
          </w:tcPr>
          <w:p w14:paraId="5A50CC69" w14:textId="77777777" w:rsidR="00EE5BB8" w:rsidRPr="00C6052E" w:rsidRDefault="00EE5BB8" w:rsidP="00E16C0A">
            <w:pPr>
              <w:pStyle w:val="TableCopy"/>
              <w:jc w:val="right"/>
            </w:pPr>
            <w:r w:rsidRPr="00C6052E">
              <w:t>–</w:t>
            </w:r>
          </w:p>
        </w:tc>
      </w:tr>
      <w:tr w:rsidR="00EE5BB8" w:rsidRPr="00C6052E" w14:paraId="77AEEA5F" w14:textId="77777777" w:rsidTr="00E16C0A">
        <w:tc>
          <w:tcPr>
            <w:tcW w:w="6663" w:type="dxa"/>
            <w:hideMark/>
          </w:tcPr>
          <w:p w14:paraId="7826320D" w14:textId="3176929E" w:rsidR="00EE5BB8" w:rsidRPr="00C6052E" w:rsidRDefault="00EE5BB8" w:rsidP="0063097D">
            <w:pPr>
              <w:pStyle w:val="TableCopy"/>
            </w:pPr>
            <w:r w:rsidRPr="00C6052E">
              <w:t>Reductions</w:t>
            </w:r>
            <w:r w:rsidR="00177848" w:rsidRPr="00C6052E">
              <w:t xml:space="preserve"> </w:t>
            </w:r>
            <w:r w:rsidRPr="00C6052E">
              <w:t>arising</w:t>
            </w:r>
            <w:r w:rsidR="00177848" w:rsidRPr="00C6052E">
              <w:t xml:space="preserve"> </w:t>
            </w:r>
            <w:r w:rsidRPr="00C6052E">
              <w:t>from</w:t>
            </w:r>
            <w:r w:rsidR="00177848" w:rsidRPr="00C6052E">
              <w:t xml:space="preserve"> </w:t>
            </w:r>
            <w:r w:rsidRPr="00C6052E">
              <w:t>payments/other</w:t>
            </w:r>
            <w:r w:rsidR="00177848" w:rsidRPr="00C6052E">
              <w:t xml:space="preserve"> </w:t>
            </w:r>
            <w:r w:rsidRPr="00C6052E">
              <w:t>sacrifices</w:t>
            </w:r>
            <w:r w:rsidR="00177848" w:rsidRPr="00C6052E">
              <w:t xml:space="preserve"> </w:t>
            </w:r>
            <w:r w:rsidRPr="00C6052E">
              <w:t>of</w:t>
            </w:r>
            <w:r w:rsidR="00177848" w:rsidRPr="00C6052E">
              <w:t xml:space="preserve"> </w:t>
            </w:r>
            <w:r w:rsidRPr="00C6052E">
              <w:t>future</w:t>
            </w:r>
            <w:r w:rsidR="00177848" w:rsidRPr="00C6052E">
              <w:t xml:space="preserve"> </w:t>
            </w:r>
            <w:r w:rsidRPr="00C6052E">
              <w:t>economic</w:t>
            </w:r>
            <w:r w:rsidR="00177848" w:rsidRPr="00C6052E">
              <w:t xml:space="preserve"> </w:t>
            </w:r>
            <w:r w:rsidRPr="00C6052E">
              <w:t>benefits</w:t>
            </w:r>
          </w:p>
        </w:tc>
        <w:tc>
          <w:tcPr>
            <w:tcW w:w="1488" w:type="dxa"/>
            <w:noWrap/>
            <w:hideMark/>
          </w:tcPr>
          <w:p w14:paraId="6C5B0C10" w14:textId="77777777" w:rsidR="00EE5BB8" w:rsidRPr="00C6052E" w:rsidRDefault="00EE5BB8" w:rsidP="00E16C0A">
            <w:pPr>
              <w:pStyle w:val="TableCopy"/>
              <w:jc w:val="right"/>
            </w:pPr>
            <w:r w:rsidRPr="00C6052E">
              <w:t>(3,070)</w:t>
            </w:r>
          </w:p>
        </w:tc>
        <w:tc>
          <w:tcPr>
            <w:tcW w:w="1488" w:type="dxa"/>
            <w:noWrap/>
            <w:hideMark/>
          </w:tcPr>
          <w:p w14:paraId="7BEABF04" w14:textId="77777777" w:rsidR="00EE5BB8" w:rsidRPr="00C6052E" w:rsidRDefault="00EE5BB8" w:rsidP="00E16C0A">
            <w:pPr>
              <w:pStyle w:val="TableCopy"/>
              <w:jc w:val="right"/>
            </w:pPr>
            <w:r w:rsidRPr="00C6052E">
              <w:t>–</w:t>
            </w:r>
          </w:p>
        </w:tc>
      </w:tr>
      <w:tr w:rsidR="00EE5BB8" w:rsidRPr="00C6052E" w14:paraId="071D9FEB" w14:textId="77777777" w:rsidTr="00E16C0A">
        <w:tc>
          <w:tcPr>
            <w:tcW w:w="6663" w:type="dxa"/>
            <w:hideMark/>
          </w:tcPr>
          <w:p w14:paraId="0C622A56" w14:textId="2E5684B7" w:rsidR="00EE5BB8" w:rsidRPr="00C6052E" w:rsidRDefault="00EE5BB8" w:rsidP="0063097D">
            <w:pPr>
              <w:pStyle w:val="Tabletotal"/>
            </w:pPr>
            <w:r w:rsidRPr="00C6052E">
              <w:t>Closing</w:t>
            </w:r>
            <w:r w:rsidR="00177848" w:rsidRPr="00C6052E">
              <w:t xml:space="preserve"> </w:t>
            </w:r>
            <w:r w:rsidRPr="00C6052E">
              <w:t>balance</w:t>
            </w:r>
          </w:p>
        </w:tc>
        <w:tc>
          <w:tcPr>
            <w:tcW w:w="1488" w:type="dxa"/>
            <w:noWrap/>
            <w:hideMark/>
          </w:tcPr>
          <w:p w14:paraId="2CFEE768" w14:textId="77777777" w:rsidR="00EE5BB8" w:rsidRPr="00C6052E" w:rsidRDefault="00EE5BB8" w:rsidP="00E16C0A">
            <w:pPr>
              <w:pStyle w:val="Tabletotal"/>
              <w:jc w:val="right"/>
            </w:pPr>
            <w:r w:rsidRPr="00C6052E">
              <w:t>196</w:t>
            </w:r>
          </w:p>
        </w:tc>
        <w:tc>
          <w:tcPr>
            <w:tcW w:w="1488" w:type="dxa"/>
            <w:noWrap/>
            <w:hideMark/>
          </w:tcPr>
          <w:p w14:paraId="4A00432B" w14:textId="77777777" w:rsidR="00EE5BB8" w:rsidRPr="00C6052E" w:rsidRDefault="00EE5BB8" w:rsidP="00E16C0A">
            <w:pPr>
              <w:pStyle w:val="Tabletotal"/>
              <w:jc w:val="right"/>
            </w:pPr>
            <w:r w:rsidRPr="00C6052E">
              <w:t>3,266</w:t>
            </w:r>
          </w:p>
        </w:tc>
      </w:tr>
    </w:tbl>
    <w:p w14:paraId="168C9EF0" w14:textId="77777777" w:rsidR="00EE5BB8" w:rsidRPr="00C6052E" w:rsidRDefault="00EE5BB8" w:rsidP="00C6052E"/>
    <w:p w14:paraId="2BBA293E" w14:textId="0F24084C" w:rsidR="00EE5BB8" w:rsidRPr="00C6052E" w:rsidRDefault="00EE5BB8" w:rsidP="00EE5BB8">
      <w:r w:rsidRPr="00C6052E">
        <w:t>The</w:t>
      </w:r>
      <w:r w:rsidR="00177848" w:rsidRPr="00C6052E">
        <w:t xml:space="preserve"> </w:t>
      </w:r>
      <w:r w:rsidRPr="00C6052E">
        <w:t>make-good</w:t>
      </w:r>
      <w:r w:rsidR="00177848" w:rsidRPr="00C6052E">
        <w:t xml:space="preserve"> </w:t>
      </w:r>
      <w:r w:rsidRPr="00C6052E">
        <w:t>provision</w:t>
      </w:r>
      <w:r w:rsidR="00177848" w:rsidRPr="00C6052E">
        <w:t xml:space="preserve"> </w:t>
      </w:r>
      <w:r w:rsidRPr="00C6052E">
        <w:t>is</w:t>
      </w:r>
      <w:r w:rsidR="00177848" w:rsidRPr="00C6052E">
        <w:t xml:space="preserve"> </w:t>
      </w:r>
      <w:r w:rsidRPr="00C6052E">
        <w:t>recognised</w:t>
      </w:r>
      <w:r w:rsidR="00177848" w:rsidRPr="00C6052E">
        <w:t xml:space="preserve"> </w:t>
      </w:r>
      <w:r w:rsidRPr="00C6052E">
        <w:t>in</w:t>
      </w:r>
      <w:r w:rsidR="00177848" w:rsidRPr="00C6052E">
        <w:t xml:space="preserve"> </w:t>
      </w:r>
      <w:r w:rsidRPr="00C6052E">
        <w:t>accordance</w:t>
      </w:r>
      <w:r w:rsidR="00177848" w:rsidRPr="00C6052E">
        <w:t xml:space="preserve"> </w:t>
      </w:r>
      <w:r w:rsidRPr="00C6052E">
        <w:t>with</w:t>
      </w:r>
      <w:r w:rsidR="00177848" w:rsidRPr="00C6052E">
        <w:t xml:space="preserve"> </w:t>
      </w:r>
      <w:r w:rsidRPr="00C6052E">
        <w:t>the</w:t>
      </w:r>
      <w:r w:rsidR="00177848" w:rsidRPr="00C6052E">
        <w:t xml:space="preserve"> </w:t>
      </w:r>
      <w:r w:rsidRPr="00C6052E">
        <w:t>lease</w:t>
      </w:r>
      <w:r w:rsidR="00177848" w:rsidRPr="00C6052E">
        <w:t xml:space="preserve"> </w:t>
      </w:r>
      <w:r w:rsidRPr="00C6052E">
        <w:t>agreement</w:t>
      </w:r>
      <w:r w:rsidR="00177848" w:rsidRPr="00C6052E">
        <w:t xml:space="preserve"> </w:t>
      </w:r>
      <w:r w:rsidRPr="00C6052E">
        <w:t>over</w:t>
      </w:r>
      <w:r w:rsidR="00177848" w:rsidRPr="00C6052E">
        <w:t xml:space="preserve"> </w:t>
      </w:r>
      <w:r w:rsidRPr="00C6052E">
        <w:t>the</w:t>
      </w:r>
      <w:r w:rsidR="00177848" w:rsidRPr="00C6052E">
        <w:t xml:space="preserve"> </w:t>
      </w:r>
      <w:r w:rsidRPr="00C6052E">
        <w:t>building</w:t>
      </w:r>
      <w:r w:rsidR="00177848" w:rsidRPr="00C6052E">
        <w:t xml:space="preserve"> </w:t>
      </w:r>
      <w:r w:rsidRPr="00C6052E">
        <w:t>facilities.</w:t>
      </w:r>
      <w:r w:rsidR="00177848" w:rsidRPr="00C6052E">
        <w:t xml:space="preserve"> </w:t>
      </w:r>
      <w:r w:rsidRPr="00C6052E">
        <w:t>DJSIR</w:t>
      </w:r>
      <w:r w:rsidR="00177848" w:rsidRPr="00C6052E">
        <w:t xml:space="preserve"> </w:t>
      </w:r>
      <w:r w:rsidRPr="00C6052E">
        <w:t>must</w:t>
      </w:r>
      <w:r w:rsidR="00177848" w:rsidRPr="00C6052E">
        <w:t xml:space="preserve"> </w:t>
      </w:r>
      <w:r w:rsidRPr="00C6052E">
        <w:t>remove</w:t>
      </w:r>
      <w:r w:rsidR="00177848" w:rsidRPr="00C6052E">
        <w:t xml:space="preserve"> </w:t>
      </w:r>
      <w:r w:rsidRPr="00C6052E">
        <w:t>any</w:t>
      </w:r>
      <w:r w:rsidR="00177848" w:rsidRPr="00C6052E">
        <w:t xml:space="preserve"> </w:t>
      </w:r>
      <w:r w:rsidRPr="00C6052E">
        <w:t>leasehold</w:t>
      </w:r>
      <w:r w:rsidR="00177848" w:rsidRPr="00C6052E">
        <w:t xml:space="preserve"> </w:t>
      </w:r>
      <w:r w:rsidRPr="00C6052E">
        <w:t>improvements</w:t>
      </w:r>
      <w:r w:rsidR="00177848" w:rsidRPr="00C6052E">
        <w:t xml:space="preserve"> </w:t>
      </w:r>
      <w:r w:rsidRPr="00C6052E">
        <w:t>from</w:t>
      </w:r>
      <w:r w:rsidR="00177848" w:rsidRPr="00C6052E">
        <w:t xml:space="preserve"> </w:t>
      </w:r>
      <w:r w:rsidRPr="00C6052E">
        <w:t>the</w:t>
      </w:r>
      <w:r w:rsidR="00177848" w:rsidRPr="00C6052E">
        <w:t xml:space="preserve"> </w:t>
      </w:r>
      <w:r w:rsidRPr="00C6052E">
        <w:t>leased</w:t>
      </w:r>
      <w:r w:rsidR="00177848" w:rsidRPr="00C6052E">
        <w:t xml:space="preserve"> </w:t>
      </w:r>
      <w:r w:rsidRPr="00C6052E">
        <w:t>buildings</w:t>
      </w:r>
      <w:r w:rsidR="00177848" w:rsidRPr="00C6052E">
        <w:t xml:space="preserve"> </w:t>
      </w:r>
      <w:r w:rsidRPr="00C6052E">
        <w:t>and</w:t>
      </w:r>
      <w:r w:rsidR="00177848" w:rsidRPr="00C6052E">
        <w:t xml:space="preserve"> </w:t>
      </w:r>
      <w:r w:rsidRPr="00C6052E">
        <w:t>restore</w:t>
      </w:r>
      <w:r w:rsidR="00177848" w:rsidRPr="00C6052E">
        <w:t xml:space="preserve"> </w:t>
      </w:r>
      <w:r w:rsidRPr="00C6052E">
        <w:t>the</w:t>
      </w:r>
      <w:r w:rsidR="00177848" w:rsidRPr="00C6052E">
        <w:t xml:space="preserve"> </w:t>
      </w:r>
      <w:r w:rsidRPr="00C6052E">
        <w:t>premises</w:t>
      </w:r>
      <w:r w:rsidR="00177848" w:rsidRPr="00C6052E">
        <w:t xml:space="preserve"> </w:t>
      </w:r>
      <w:r w:rsidRPr="00C6052E">
        <w:t>to</w:t>
      </w:r>
      <w:r w:rsidR="00177848" w:rsidRPr="00C6052E">
        <w:t xml:space="preserve"> </w:t>
      </w:r>
      <w:r w:rsidRPr="00C6052E">
        <w:t>its</w:t>
      </w:r>
      <w:r w:rsidR="00177848" w:rsidRPr="00C6052E">
        <w:t xml:space="preserve"> </w:t>
      </w:r>
      <w:r w:rsidRPr="00C6052E">
        <w:t>original</w:t>
      </w:r>
      <w:r w:rsidR="00177848" w:rsidRPr="00C6052E">
        <w:t xml:space="preserve"> </w:t>
      </w:r>
      <w:r w:rsidRPr="00C6052E">
        <w:t>condition</w:t>
      </w:r>
      <w:r w:rsidR="00177848" w:rsidRPr="00C6052E">
        <w:t xml:space="preserve"> </w:t>
      </w:r>
      <w:r w:rsidRPr="00C6052E">
        <w:t>at</w:t>
      </w:r>
      <w:r w:rsidR="00177848" w:rsidRPr="00C6052E">
        <w:t xml:space="preserve"> </w:t>
      </w:r>
      <w:r w:rsidRPr="00C6052E">
        <w:t>the</w:t>
      </w:r>
      <w:r w:rsidR="00177848" w:rsidRPr="00C6052E">
        <w:t xml:space="preserve"> </w:t>
      </w:r>
      <w:r w:rsidRPr="00C6052E">
        <w:t>end</w:t>
      </w:r>
      <w:r w:rsidR="00177848" w:rsidRPr="00C6052E">
        <w:t xml:space="preserve"> </w:t>
      </w:r>
      <w:r w:rsidRPr="00C6052E">
        <w:t>of</w:t>
      </w:r>
      <w:r w:rsidR="00177848" w:rsidRPr="00C6052E">
        <w:t xml:space="preserve"> </w:t>
      </w:r>
      <w:r w:rsidRPr="00C6052E">
        <w:t>the</w:t>
      </w:r>
      <w:r w:rsidR="00177848" w:rsidRPr="00C6052E">
        <w:t xml:space="preserve"> </w:t>
      </w:r>
      <w:r w:rsidRPr="00C6052E">
        <w:t>lease</w:t>
      </w:r>
      <w:r w:rsidR="00177848" w:rsidRPr="00C6052E">
        <w:t xml:space="preserve"> </w:t>
      </w:r>
      <w:r w:rsidRPr="00C6052E">
        <w:t>term.</w:t>
      </w:r>
      <w:r w:rsidR="00177848" w:rsidRPr="00C6052E">
        <w:t xml:space="preserve"> </w:t>
      </w:r>
    </w:p>
    <w:p w14:paraId="1446D07E" w14:textId="0777D655" w:rsidR="00EE5BB8" w:rsidRPr="00C6052E" w:rsidRDefault="00EE5BB8" w:rsidP="00EE5BB8">
      <w:pPr>
        <w:pStyle w:val="Heading1numbered0"/>
        <w:ind w:left="284" w:hanging="284"/>
      </w:pPr>
      <w:bookmarkStart w:id="264" w:name="_Toc163565975"/>
      <w:bookmarkStart w:id="265" w:name="_Toc214618241"/>
      <w:r w:rsidRPr="00C6052E">
        <w:t>Financing</w:t>
      </w:r>
      <w:r w:rsidR="00177848" w:rsidRPr="00C6052E">
        <w:t xml:space="preserve"> </w:t>
      </w:r>
      <w:r w:rsidRPr="00C6052E">
        <w:t>Our</w:t>
      </w:r>
      <w:r w:rsidR="00177848" w:rsidRPr="00C6052E">
        <w:t xml:space="preserve"> </w:t>
      </w:r>
      <w:r w:rsidRPr="00C6052E">
        <w:t>Operations</w:t>
      </w:r>
      <w:bookmarkEnd w:id="264"/>
      <w:bookmarkEnd w:id="265"/>
    </w:p>
    <w:p w14:paraId="08444085" w14:textId="77777777" w:rsidR="00EE5BB8" w:rsidRPr="00C6052E" w:rsidRDefault="00EE5BB8" w:rsidP="00E97D0C">
      <w:pPr>
        <w:pStyle w:val="Heading3"/>
      </w:pPr>
      <w:bookmarkStart w:id="266" w:name="_Toc163565976"/>
      <w:bookmarkStart w:id="267" w:name="_Toc163566583"/>
      <w:bookmarkStart w:id="268" w:name="_Toc174009504"/>
      <w:r w:rsidRPr="00C6052E">
        <w:t>Introduction</w:t>
      </w:r>
      <w:bookmarkEnd w:id="266"/>
      <w:bookmarkEnd w:id="267"/>
      <w:bookmarkEnd w:id="268"/>
    </w:p>
    <w:p w14:paraId="3D6BF3C7" w14:textId="0550808A" w:rsidR="00EE5BB8" w:rsidRPr="00C6052E" w:rsidRDefault="00EE5BB8" w:rsidP="00EE5BB8">
      <w:r w:rsidRPr="00C6052E">
        <w:t>This</w:t>
      </w:r>
      <w:r w:rsidR="00177848" w:rsidRPr="00C6052E">
        <w:t xml:space="preserve"> </w:t>
      </w:r>
      <w:r w:rsidRPr="00C6052E">
        <w:t>section</w:t>
      </w:r>
      <w:r w:rsidR="00177848" w:rsidRPr="00C6052E">
        <w:t xml:space="preserve"> </w:t>
      </w:r>
      <w:r w:rsidRPr="00C6052E">
        <w:t>provides</w:t>
      </w:r>
      <w:r w:rsidR="00177848" w:rsidRPr="00C6052E">
        <w:t xml:space="preserve"> </w:t>
      </w:r>
      <w:r w:rsidRPr="00C6052E">
        <w:t>information</w:t>
      </w:r>
      <w:r w:rsidR="00177848" w:rsidRPr="00C6052E">
        <w:t xml:space="preserve"> </w:t>
      </w:r>
      <w:r w:rsidRPr="00C6052E">
        <w:t>on</w:t>
      </w:r>
      <w:r w:rsidR="00177848" w:rsidRPr="00C6052E">
        <w:t xml:space="preserve"> </w:t>
      </w:r>
      <w:r w:rsidRPr="00C6052E">
        <w:t>the</w:t>
      </w:r>
      <w:r w:rsidR="00177848" w:rsidRPr="00C6052E">
        <w:t xml:space="preserve"> </w:t>
      </w:r>
      <w:r w:rsidRPr="00C6052E">
        <w:t>sources</w:t>
      </w:r>
      <w:r w:rsidR="00177848" w:rsidRPr="00C6052E">
        <w:t xml:space="preserve"> </w:t>
      </w:r>
      <w:r w:rsidRPr="00C6052E">
        <w:t>of</w:t>
      </w:r>
      <w:r w:rsidR="00177848" w:rsidRPr="00C6052E">
        <w:t xml:space="preserve"> </w:t>
      </w:r>
      <w:r w:rsidRPr="00C6052E">
        <w:t>finance</w:t>
      </w:r>
      <w:r w:rsidR="00177848" w:rsidRPr="00C6052E">
        <w:t xml:space="preserve"> </w:t>
      </w:r>
      <w:r w:rsidRPr="00C6052E">
        <w:t>utilised</w:t>
      </w:r>
      <w:r w:rsidR="00177848" w:rsidRPr="00C6052E">
        <w:t xml:space="preserve"> </w:t>
      </w:r>
      <w:r w:rsidRPr="00C6052E">
        <w:t>by</w:t>
      </w:r>
      <w:r w:rsidR="00177848" w:rsidRPr="00C6052E">
        <w:t xml:space="preserve"> </w:t>
      </w:r>
      <w:r w:rsidRPr="00C6052E">
        <w:t>DJSIR</w:t>
      </w:r>
      <w:r w:rsidR="00177848" w:rsidRPr="00C6052E">
        <w:t xml:space="preserve"> </w:t>
      </w:r>
      <w:r w:rsidRPr="00C6052E">
        <w:t>during</w:t>
      </w:r>
      <w:r w:rsidR="00177848" w:rsidRPr="00C6052E">
        <w:t xml:space="preserve"> </w:t>
      </w:r>
      <w:r w:rsidRPr="00C6052E">
        <w:t>its</w:t>
      </w:r>
      <w:r w:rsidR="00177848" w:rsidRPr="00C6052E">
        <w:t xml:space="preserve"> </w:t>
      </w:r>
      <w:r w:rsidRPr="00C6052E">
        <w:t>operations,</w:t>
      </w:r>
      <w:r w:rsidR="00177848" w:rsidRPr="00C6052E">
        <w:t xml:space="preserve"> </w:t>
      </w:r>
      <w:r w:rsidRPr="00C6052E">
        <w:t>along</w:t>
      </w:r>
      <w:r w:rsidR="00177848" w:rsidRPr="00C6052E">
        <w:t xml:space="preserve"> </w:t>
      </w:r>
      <w:r w:rsidRPr="00C6052E">
        <w:t>with</w:t>
      </w:r>
      <w:r w:rsidR="00177848" w:rsidRPr="00C6052E">
        <w:t xml:space="preserve"> </w:t>
      </w:r>
      <w:r w:rsidRPr="00C6052E">
        <w:t>interest</w:t>
      </w:r>
      <w:r w:rsidR="00177848" w:rsidRPr="00C6052E">
        <w:t xml:space="preserve"> </w:t>
      </w:r>
      <w:r w:rsidRPr="00C6052E">
        <w:t>expenses</w:t>
      </w:r>
      <w:r w:rsidR="00177848" w:rsidRPr="00C6052E">
        <w:t xml:space="preserve"> </w:t>
      </w:r>
      <w:r w:rsidRPr="00C6052E">
        <w:t>(the</w:t>
      </w:r>
      <w:r w:rsidR="00177848" w:rsidRPr="00C6052E">
        <w:t xml:space="preserve"> </w:t>
      </w:r>
      <w:r w:rsidRPr="00C6052E">
        <w:t>cost</w:t>
      </w:r>
      <w:r w:rsidR="00177848" w:rsidRPr="00C6052E">
        <w:t xml:space="preserve"> </w:t>
      </w:r>
      <w:r w:rsidRPr="00C6052E">
        <w:t>of</w:t>
      </w:r>
      <w:r w:rsidR="00177848" w:rsidRPr="00C6052E">
        <w:t xml:space="preserve"> </w:t>
      </w:r>
      <w:r w:rsidRPr="00C6052E">
        <w:t>borrowings)</w:t>
      </w:r>
      <w:r w:rsidR="00177848" w:rsidRPr="00C6052E">
        <w:t xml:space="preserve"> </w:t>
      </w:r>
      <w:r w:rsidRPr="00C6052E">
        <w:t>and</w:t>
      </w:r>
      <w:r w:rsidR="00177848" w:rsidRPr="00C6052E">
        <w:t xml:space="preserve"> </w:t>
      </w:r>
      <w:r w:rsidRPr="00C6052E">
        <w:rPr>
          <w:spacing w:val="-2"/>
        </w:rPr>
        <w:t>other</w:t>
      </w:r>
      <w:r w:rsidR="00177848" w:rsidRPr="00C6052E">
        <w:rPr>
          <w:spacing w:val="-2"/>
        </w:rPr>
        <w:t xml:space="preserve"> </w:t>
      </w:r>
      <w:r w:rsidRPr="00C6052E">
        <w:rPr>
          <w:spacing w:val="-2"/>
        </w:rPr>
        <w:t>information</w:t>
      </w:r>
      <w:r w:rsidR="00177848" w:rsidRPr="00C6052E">
        <w:rPr>
          <w:spacing w:val="-2"/>
        </w:rPr>
        <w:t xml:space="preserve"> </w:t>
      </w:r>
      <w:r w:rsidRPr="00C6052E">
        <w:rPr>
          <w:spacing w:val="-2"/>
        </w:rPr>
        <w:t>related</w:t>
      </w:r>
      <w:r w:rsidR="00177848" w:rsidRPr="00C6052E">
        <w:rPr>
          <w:spacing w:val="-2"/>
        </w:rPr>
        <w:t xml:space="preserve"> </w:t>
      </w:r>
      <w:r w:rsidRPr="00C6052E">
        <w:rPr>
          <w:spacing w:val="-2"/>
        </w:rPr>
        <w:t>to</w:t>
      </w:r>
      <w:r w:rsidR="00177848" w:rsidRPr="00C6052E">
        <w:rPr>
          <w:spacing w:val="-2"/>
        </w:rPr>
        <w:t xml:space="preserve"> </w:t>
      </w:r>
      <w:r w:rsidRPr="00C6052E">
        <w:rPr>
          <w:spacing w:val="-2"/>
        </w:rPr>
        <w:t>financing</w:t>
      </w:r>
      <w:r w:rsidR="00177848" w:rsidRPr="00C6052E">
        <w:rPr>
          <w:spacing w:val="-2"/>
        </w:rPr>
        <w:t xml:space="preserve"> </w:t>
      </w:r>
      <w:r w:rsidRPr="00C6052E">
        <w:rPr>
          <w:spacing w:val="-2"/>
        </w:rPr>
        <w:t>activities</w:t>
      </w:r>
      <w:r w:rsidR="00177848" w:rsidRPr="00C6052E">
        <w:rPr>
          <w:spacing w:val="-2"/>
        </w:rPr>
        <w:t xml:space="preserve"> </w:t>
      </w:r>
      <w:r w:rsidRPr="00C6052E">
        <w:rPr>
          <w:spacing w:val="-2"/>
        </w:rPr>
        <w:t>of</w:t>
      </w:r>
      <w:r w:rsidR="00177848" w:rsidRPr="00C6052E">
        <w:rPr>
          <w:spacing w:val="-2"/>
        </w:rPr>
        <w:t xml:space="preserve"> </w:t>
      </w:r>
      <w:r w:rsidRPr="00C6052E">
        <w:rPr>
          <w:spacing w:val="-2"/>
        </w:rPr>
        <w:t>DJSIR.</w:t>
      </w:r>
    </w:p>
    <w:p w14:paraId="7173DB61" w14:textId="279F4739" w:rsidR="00EE5BB8" w:rsidRPr="00C6052E" w:rsidRDefault="00EE5BB8" w:rsidP="00EE5BB8">
      <w:r w:rsidRPr="00C6052E">
        <w:t>This</w:t>
      </w:r>
      <w:r w:rsidR="00177848" w:rsidRPr="00C6052E">
        <w:t xml:space="preserve"> </w:t>
      </w:r>
      <w:r w:rsidRPr="00C6052E">
        <w:t>section</w:t>
      </w:r>
      <w:r w:rsidR="00177848" w:rsidRPr="00C6052E">
        <w:t xml:space="preserve"> </w:t>
      </w:r>
      <w:r w:rsidRPr="00C6052E">
        <w:t>includes</w:t>
      </w:r>
      <w:r w:rsidR="00177848" w:rsidRPr="00C6052E">
        <w:t xml:space="preserve"> </w:t>
      </w:r>
      <w:r w:rsidRPr="00C6052E">
        <w:t>disclosures</w:t>
      </w:r>
      <w:r w:rsidR="00177848" w:rsidRPr="00C6052E">
        <w:t xml:space="preserve"> </w:t>
      </w:r>
      <w:r w:rsidRPr="00C6052E">
        <w:t>of</w:t>
      </w:r>
      <w:r w:rsidR="00177848" w:rsidRPr="00C6052E">
        <w:t xml:space="preserve"> </w:t>
      </w:r>
      <w:r w:rsidRPr="00C6052E">
        <w:t>balances</w:t>
      </w:r>
      <w:r w:rsidR="00177848" w:rsidRPr="00C6052E">
        <w:t xml:space="preserve"> </w:t>
      </w:r>
      <w:r w:rsidRPr="00C6052E">
        <w:t>that</w:t>
      </w:r>
      <w:r w:rsidR="00177848" w:rsidRPr="00C6052E">
        <w:t xml:space="preserve"> </w:t>
      </w:r>
      <w:r w:rsidRPr="00C6052E">
        <w:t>are</w:t>
      </w:r>
      <w:r w:rsidR="00177848" w:rsidRPr="00C6052E">
        <w:t xml:space="preserve"> </w:t>
      </w:r>
      <w:r w:rsidRPr="00C6052E">
        <w:t>financial</w:t>
      </w:r>
      <w:r w:rsidR="00177848" w:rsidRPr="00C6052E">
        <w:t xml:space="preserve"> </w:t>
      </w:r>
      <w:r w:rsidRPr="00C6052E">
        <w:t>instruments</w:t>
      </w:r>
      <w:r w:rsidR="00177848" w:rsidRPr="00C6052E">
        <w:t xml:space="preserve"> </w:t>
      </w:r>
      <w:r w:rsidRPr="00C6052E">
        <w:t>(such</w:t>
      </w:r>
      <w:r w:rsidR="00177848" w:rsidRPr="00C6052E">
        <w:t xml:space="preserve"> </w:t>
      </w:r>
      <w:r w:rsidRPr="00C6052E">
        <w:t>as</w:t>
      </w:r>
      <w:r w:rsidR="00177848" w:rsidRPr="00C6052E">
        <w:t xml:space="preserve"> </w:t>
      </w:r>
      <w:r w:rsidRPr="00C6052E">
        <w:t>borrowings</w:t>
      </w:r>
      <w:r w:rsidR="00177848" w:rsidRPr="00C6052E">
        <w:t xml:space="preserve"> </w:t>
      </w:r>
      <w:r w:rsidRPr="00C6052E">
        <w:t>and</w:t>
      </w:r>
      <w:r w:rsidR="00177848" w:rsidRPr="00C6052E">
        <w:t xml:space="preserve"> </w:t>
      </w:r>
      <w:r w:rsidRPr="00C6052E">
        <w:t>cash</w:t>
      </w:r>
      <w:r w:rsidR="00177848" w:rsidRPr="00C6052E">
        <w:t xml:space="preserve"> </w:t>
      </w:r>
      <w:r w:rsidRPr="00C6052E">
        <w:t>balances).</w:t>
      </w:r>
      <w:r w:rsidR="00177848" w:rsidRPr="00C6052E">
        <w:t xml:space="preserve"> </w:t>
      </w:r>
      <w:r w:rsidRPr="00C6052E">
        <w:t>Notes</w:t>
      </w:r>
      <w:r w:rsidR="00177848" w:rsidRPr="00C6052E">
        <w:t xml:space="preserve"> </w:t>
      </w:r>
      <w:r w:rsidRPr="00C6052E">
        <w:t>8.1</w:t>
      </w:r>
      <w:r w:rsidR="00177848" w:rsidRPr="00C6052E">
        <w:t xml:space="preserve"> </w:t>
      </w:r>
      <w:r w:rsidRPr="00C6052E">
        <w:t>below</w:t>
      </w:r>
      <w:r w:rsidR="00177848" w:rsidRPr="00C6052E">
        <w:t xml:space="preserve"> </w:t>
      </w:r>
      <w:r w:rsidRPr="00C6052E">
        <w:t>and</w:t>
      </w:r>
      <w:r w:rsidR="00177848" w:rsidRPr="00C6052E">
        <w:t xml:space="preserve"> </w:t>
      </w:r>
      <w:r w:rsidRPr="00C6052E">
        <w:t>8.3</w:t>
      </w:r>
      <w:r w:rsidR="00177848" w:rsidRPr="00C6052E">
        <w:t xml:space="preserve"> </w:t>
      </w:r>
      <w:r w:rsidRPr="00C6052E">
        <w:t>below</w:t>
      </w:r>
      <w:r w:rsidR="00177848" w:rsidRPr="00C6052E">
        <w:t xml:space="preserve"> </w:t>
      </w:r>
      <w:r w:rsidRPr="00C6052E">
        <w:t>provide</w:t>
      </w:r>
      <w:r w:rsidR="00177848" w:rsidRPr="00C6052E">
        <w:t xml:space="preserve"> </w:t>
      </w:r>
      <w:r w:rsidRPr="00C6052E">
        <w:t>additional,</w:t>
      </w:r>
      <w:r w:rsidR="00177848" w:rsidRPr="00C6052E">
        <w:t xml:space="preserve"> </w:t>
      </w:r>
      <w:r w:rsidRPr="00C6052E">
        <w:t>specific</w:t>
      </w:r>
      <w:r w:rsidR="00177848" w:rsidRPr="00C6052E">
        <w:t xml:space="preserve"> </w:t>
      </w:r>
      <w:r w:rsidRPr="00C6052E">
        <w:t>financial</w:t>
      </w:r>
      <w:r w:rsidR="00177848" w:rsidRPr="00C6052E">
        <w:t xml:space="preserve"> </w:t>
      </w:r>
      <w:r w:rsidRPr="00C6052E">
        <w:t>instrument</w:t>
      </w:r>
      <w:r w:rsidR="00177848" w:rsidRPr="00C6052E">
        <w:t xml:space="preserve"> </w:t>
      </w:r>
      <w:r w:rsidRPr="00C6052E">
        <w:t>disclosures.</w:t>
      </w:r>
      <w:r w:rsidR="00177848" w:rsidRPr="00C6052E">
        <w:t xml:space="preserve"> </w:t>
      </w:r>
    </w:p>
    <w:p w14:paraId="04B3FA06" w14:textId="54F5D1BC" w:rsidR="00EE5BB8" w:rsidRPr="00C6052E" w:rsidRDefault="00EE5BB8" w:rsidP="00C6052E">
      <w:pPr>
        <w:rPr>
          <w:i/>
          <w:iCs/>
        </w:rPr>
      </w:pPr>
      <w:r w:rsidRPr="00C6052E">
        <w:rPr>
          <w:i/>
          <w:iCs/>
        </w:rPr>
        <w:t>Significant</w:t>
      </w:r>
      <w:r w:rsidR="00177848" w:rsidRPr="00C6052E">
        <w:rPr>
          <w:i/>
          <w:iCs/>
        </w:rPr>
        <w:t xml:space="preserve"> </w:t>
      </w:r>
      <w:r w:rsidRPr="00C6052E">
        <w:rPr>
          <w:i/>
          <w:iCs/>
        </w:rPr>
        <w:t>judgement:</w:t>
      </w:r>
      <w:r w:rsidR="00177848" w:rsidRPr="00C6052E">
        <w:rPr>
          <w:i/>
          <w:iCs/>
        </w:rPr>
        <w:t xml:space="preserve"> </w:t>
      </w:r>
      <w:r w:rsidRPr="00C6052E">
        <w:rPr>
          <w:i/>
          <w:iCs/>
        </w:rPr>
        <w:t>Commitments</w:t>
      </w:r>
      <w:r w:rsidR="00177848" w:rsidRPr="00C6052E">
        <w:rPr>
          <w:i/>
          <w:iCs/>
        </w:rPr>
        <w:t xml:space="preserve"> </w:t>
      </w:r>
      <w:r w:rsidRPr="00C6052E">
        <w:rPr>
          <w:i/>
          <w:iCs/>
        </w:rPr>
        <w:t>for</w:t>
      </w:r>
      <w:r w:rsidR="00177848" w:rsidRPr="00C6052E">
        <w:rPr>
          <w:i/>
          <w:iCs/>
        </w:rPr>
        <w:t xml:space="preserve"> </w:t>
      </w:r>
      <w:r w:rsidRPr="00C6052E">
        <w:rPr>
          <w:i/>
          <w:iCs/>
        </w:rPr>
        <w:t>expenditure</w:t>
      </w:r>
    </w:p>
    <w:p w14:paraId="078B6D4F" w14:textId="4BC41333" w:rsidR="00EE5BB8" w:rsidRPr="00C6052E" w:rsidRDefault="00EE5BB8" w:rsidP="00EE5BB8">
      <w:r w:rsidRPr="00C6052E">
        <w:t>A</w:t>
      </w:r>
      <w:r w:rsidR="00177848" w:rsidRPr="00C6052E">
        <w:t xml:space="preserve"> </w:t>
      </w:r>
      <w:r w:rsidRPr="00C6052E">
        <w:t>significant</w:t>
      </w:r>
      <w:r w:rsidR="00177848" w:rsidRPr="00C6052E">
        <w:t xml:space="preserve"> </w:t>
      </w:r>
      <w:r w:rsidRPr="00C6052E">
        <w:t>judgement</w:t>
      </w:r>
      <w:r w:rsidR="00177848" w:rsidRPr="00C6052E">
        <w:t xml:space="preserve"> </w:t>
      </w:r>
      <w:r w:rsidRPr="00C6052E">
        <w:t>was</w:t>
      </w:r>
      <w:r w:rsidR="00177848" w:rsidRPr="00C6052E">
        <w:t xml:space="preserve"> </w:t>
      </w:r>
      <w:r w:rsidRPr="00C6052E">
        <w:t>made</w:t>
      </w:r>
      <w:r w:rsidR="00177848" w:rsidRPr="00C6052E">
        <w:t xml:space="preserve"> </w:t>
      </w:r>
      <w:r w:rsidRPr="00C6052E">
        <w:t>that</w:t>
      </w:r>
      <w:r w:rsidR="00177848" w:rsidRPr="00C6052E">
        <w:t xml:space="preserve"> </w:t>
      </w:r>
      <w:r w:rsidRPr="00C6052E">
        <w:t>the</w:t>
      </w:r>
      <w:r w:rsidR="00177848" w:rsidRPr="00C6052E">
        <w:t xml:space="preserve"> </w:t>
      </w:r>
      <w:r w:rsidRPr="00C6052E">
        <w:t>occupancy</w:t>
      </w:r>
      <w:r w:rsidR="00177848" w:rsidRPr="00C6052E">
        <w:t xml:space="preserve"> </w:t>
      </w:r>
      <w:r w:rsidRPr="00C6052E">
        <w:t>agreement</w:t>
      </w:r>
      <w:r w:rsidR="00177848" w:rsidRPr="00C6052E">
        <w:t xml:space="preserve"> </w:t>
      </w:r>
      <w:r w:rsidRPr="00C6052E">
        <w:t>is</w:t>
      </w:r>
      <w:r w:rsidR="00177848" w:rsidRPr="00C6052E">
        <w:t xml:space="preserve"> </w:t>
      </w:r>
      <w:r w:rsidRPr="00C6052E">
        <w:t>a</w:t>
      </w:r>
      <w:r w:rsidR="00177848" w:rsidRPr="00C6052E">
        <w:t xml:space="preserve"> </w:t>
      </w:r>
      <w:r w:rsidRPr="00C6052E">
        <w:t>service</w:t>
      </w:r>
      <w:r w:rsidR="00177848" w:rsidRPr="00C6052E">
        <w:t xml:space="preserve"> </w:t>
      </w:r>
      <w:r w:rsidRPr="00C6052E">
        <w:t>contract</w:t>
      </w:r>
      <w:r w:rsidR="00177848" w:rsidRPr="00C6052E">
        <w:t xml:space="preserve"> </w:t>
      </w:r>
      <w:r w:rsidRPr="00C6052E">
        <w:t>(rather</w:t>
      </w:r>
      <w:r w:rsidR="00177848" w:rsidRPr="00C6052E">
        <w:t xml:space="preserve"> </w:t>
      </w:r>
      <w:r w:rsidRPr="00C6052E">
        <w:t>than</w:t>
      </w:r>
      <w:r w:rsidR="00177848" w:rsidRPr="00C6052E">
        <w:t xml:space="preserve"> </w:t>
      </w:r>
      <w:r w:rsidRPr="00C6052E">
        <w:t>a</w:t>
      </w:r>
      <w:r w:rsidR="00177848" w:rsidRPr="00C6052E">
        <w:t xml:space="preserve"> </w:t>
      </w:r>
      <w:r w:rsidRPr="00C6052E">
        <w:t>‘lease’</w:t>
      </w:r>
      <w:r w:rsidR="00177848" w:rsidRPr="00C6052E">
        <w:t xml:space="preserve"> </w:t>
      </w:r>
      <w:r w:rsidRPr="00C6052E">
        <w:t>as</w:t>
      </w:r>
      <w:r w:rsidR="00177848" w:rsidRPr="00C6052E">
        <w:t xml:space="preserve"> </w:t>
      </w:r>
      <w:r w:rsidRPr="00C6052E">
        <w:t>defined</w:t>
      </w:r>
      <w:r w:rsidR="00177848" w:rsidRPr="00C6052E">
        <w:t xml:space="preserve"> </w:t>
      </w:r>
      <w:r w:rsidRPr="00C6052E">
        <w:t>in</w:t>
      </w:r>
      <w:r w:rsidR="00177848" w:rsidRPr="00C6052E">
        <w:t xml:space="preserve"> </w:t>
      </w:r>
      <w:r w:rsidRPr="00C6052E">
        <w:t>AASB</w:t>
      </w:r>
      <w:r w:rsidR="00177848" w:rsidRPr="00C6052E">
        <w:t xml:space="preserve"> </w:t>
      </w:r>
      <w:r w:rsidRPr="00C6052E">
        <w:t>16</w:t>
      </w:r>
      <w:r w:rsidR="00177848" w:rsidRPr="00C6052E">
        <w:t xml:space="preserve"> </w:t>
      </w:r>
      <w:r w:rsidRPr="00C6052E">
        <w:t>Leases).</w:t>
      </w:r>
      <w:r w:rsidR="00177848" w:rsidRPr="00C6052E">
        <w:t xml:space="preserve"> </w:t>
      </w:r>
      <w:r w:rsidRPr="00C6052E">
        <w:t>The</w:t>
      </w:r>
      <w:r w:rsidR="00177848" w:rsidRPr="00C6052E">
        <w:t xml:space="preserve"> </w:t>
      </w:r>
      <w:r w:rsidRPr="00C6052E">
        <w:t>cost</w:t>
      </w:r>
      <w:r w:rsidR="00177848" w:rsidRPr="00C6052E">
        <w:t xml:space="preserve"> </w:t>
      </w:r>
      <w:r w:rsidRPr="00C6052E">
        <w:t>for</w:t>
      </w:r>
      <w:r w:rsidR="00177848" w:rsidRPr="00C6052E">
        <w:t xml:space="preserve"> </w:t>
      </w:r>
      <w:r w:rsidRPr="00C6052E">
        <w:t>the</w:t>
      </w:r>
      <w:r w:rsidR="00177848" w:rsidRPr="00C6052E">
        <w:t xml:space="preserve"> </w:t>
      </w:r>
      <w:r w:rsidRPr="00C6052E">
        <w:t>accommodation</w:t>
      </w:r>
      <w:r w:rsidR="00177848" w:rsidRPr="00C6052E">
        <w:t xml:space="preserve"> </w:t>
      </w:r>
      <w:r w:rsidRPr="00C6052E">
        <w:t>and</w:t>
      </w:r>
      <w:r w:rsidR="00177848" w:rsidRPr="00C6052E">
        <w:t xml:space="preserve"> </w:t>
      </w:r>
      <w:r w:rsidRPr="00C6052E">
        <w:t>other</w:t>
      </w:r>
      <w:r w:rsidR="00177848" w:rsidRPr="00C6052E">
        <w:t xml:space="preserve"> </w:t>
      </w:r>
      <w:r w:rsidRPr="00C6052E">
        <w:t>related</w:t>
      </w:r>
      <w:r w:rsidR="00177848" w:rsidRPr="00C6052E">
        <w:t xml:space="preserve"> </w:t>
      </w:r>
      <w:r w:rsidRPr="00C6052E">
        <w:t>services</w:t>
      </w:r>
      <w:r w:rsidR="00177848" w:rsidRPr="00C6052E">
        <w:t xml:space="preserve"> </w:t>
      </w:r>
      <w:r w:rsidRPr="00C6052E">
        <w:t>are</w:t>
      </w:r>
      <w:r w:rsidR="00177848" w:rsidRPr="00C6052E">
        <w:t xml:space="preserve"> </w:t>
      </w:r>
      <w:r w:rsidRPr="00C6052E">
        <w:t>expensed</w:t>
      </w:r>
      <w:r w:rsidR="00177848" w:rsidRPr="00C6052E">
        <w:t xml:space="preserve"> </w:t>
      </w:r>
      <w:r w:rsidRPr="00C6052E">
        <w:t>(Note</w:t>
      </w:r>
      <w:r w:rsidR="00177848" w:rsidRPr="00C6052E">
        <w:t xml:space="preserve"> </w:t>
      </w:r>
      <w:r w:rsidRPr="00C6052E">
        <w:fldChar w:fldCharType="begin"/>
      </w:r>
      <w:r w:rsidRPr="00C6052E">
        <w:instrText xml:space="preserve"> REF _Ref209454301 \r \h </w:instrText>
      </w:r>
      <w:r w:rsidRPr="00C6052E">
        <w:fldChar w:fldCharType="separate"/>
      </w:r>
      <w:r w:rsidRPr="00C6052E">
        <w:t>3.4</w:t>
      </w:r>
      <w:r w:rsidRPr="00C6052E">
        <w:fldChar w:fldCharType="end"/>
      </w:r>
      <w:r w:rsidR="00177848" w:rsidRPr="00C6052E">
        <w:t xml:space="preserve"> </w:t>
      </w:r>
      <w:r w:rsidRPr="00C6052E">
        <w:t>–</w:t>
      </w:r>
      <w:r w:rsidR="00177848" w:rsidRPr="00C6052E">
        <w:t xml:space="preserve"> </w:t>
      </w:r>
      <w:r w:rsidRPr="00C6052E">
        <w:fldChar w:fldCharType="begin"/>
      </w:r>
      <w:r w:rsidRPr="00C6052E">
        <w:instrText xml:space="preserve"> REF _Ref209454314 \h </w:instrText>
      </w:r>
      <w:r w:rsidRPr="00C6052E">
        <w:fldChar w:fldCharType="separate"/>
      </w:r>
      <w:r w:rsidRPr="00C6052E">
        <w:t>Other</w:t>
      </w:r>
      <w:r w:rsidR="00177848" w:rsidRPr="00C6052E">
        <w:t xml:space="preserve"> </w:t>
      </w:r>
      <w:r w:rsidRPr="00C6052E">
        <w:t>operating</w:t>
      </w:r>
      <w:r w:rsidR="00177848" w:rsidRPr="00C6052E">
        <w:t xml:space="preserve"> </w:t>
      </w:r>
      <w:r w:rsidRPr="00C6052E">
        <w:t>expenses</w:t>
      </w:r>
      <w:r w:rsidRPr="00C6052E">
        <w:fldChar w:fldCharType="end"/>
      </w:r>
      <w:r w:rsidRPr="00C6052E">
        <w:t>).</w:t>
      </w:r>
    </w:p>
    <w:p w14:paraId="0AED1ADD" w14:textId="36909869" w:rsidR="00EE5BB8" w:rsidRPr="00C6052E" w:rsidRDefault="00EE5BB8" w:rsidP="00E97D0C">
      <w:pPr>
        <w:pStyle w:val="Heading3"/>
      </w:pPr>
      <w:bookmarkStart w:id="269" w:name="_Toc163565977"/>
      <w:bookmarkStart w:id="270" w:name="_Toc163566584"/>
      <w:bookmarkStart w:id="271" w:name="_Toc174009505"/>
      <w:r w:rsidRPr="00C6052E">
        <w:lastRenderedPageBreak/>
        <w:t>Structure</w:t>
      </w:r>
      <w:bookmarkEnd w:id="269"/>
      <w:bookmarkEnd w:id="270"/>
      <w:bookmarkEnd w:id="271"/>
      <w:r w:rsidR="00177848" w:rsidRPr="00C6052E">
        <w:t xml:space="preserve"> </w:t>
      </w:r>
    </w:p>
    <w:bookmarkStart w:id="272" w:name="_Ref163567713"/>
    <w:p w14:paraId="452C3560" w14:textId="77777777" w:rsidR="00EE5BB8" w:rsidRPr="00C6052E" w:rsidRDefault="00EE5BB8" w:rsidP="00E97D0C">
      <w:pPr>
        <w:pStyle w:val="Structurepoints"/>
        <w:keepNext/>
      </w:pPr>
      <w:r w:rsidRPr="00C6052E">
        <w:fldChar w:fldCharType="begin"/>
      </w:r>
      <w:r w:rsidRPr="00C6052E">
        <w:instrText xml:space="preserve"> REF _Ref209454570 \r \h </w:instrText>
      </w:r>
      <w:r w:rsidRPr="00C6052E">
        <w:fldChar w:fldCharType="separate"/>
      </w:r>
      <w:r w:rsidRPr="00C6052E">
        <w:t>7.1</w:t>
      </w:r>
      <w:r w:rsidRPr="00C6052E">
        <w:fldChar w:fldCharType="end"/>
      </w:r>
      <w:r w:rsidRPr="00C6052E">
        <w:tab/>
      </w:r>
      <w:r w:rsidRPr="00C6052E">
        <w:fldChar w:fldCharType="begin"/>
      </w:r>
      <w:r w:rsidRPr="00C6052E">
        <w:instrText xml:space="preserve"> REF _Ref209454570 \h </w:instrText>
      </w:r>
      <w:r w:rsidRPr="00C6052E">
        <w:fldChar w:fldCharType="separate"/>
      </w:r>
      <w:r w:rsidRPr="00C6052E">
        <w:t>Borrowings</w:t>
      </w:r>
      <w:r w:rsidRPr="00C6052E">
        <w:fldChar w:fldCharType="end"/>
      </w:r>
    </w:p>
    <w:p w14:paraId="4C087A58" w14:textId="77777777" w:rsidR="00EE5BB8" w:rsidRPr="00C6052E" w:rsidRDefault="00EE5BB8" w:rsidP="00E97D0C">
      <w:pPr>
        <w:pStyle w:val="Structurepoints"/>
        <w:keepNext/>
      </w:pPr>
      <w:r w:rsidRPr="00C6052E">
        <w:fldChar w:fldCharType="begin"/>
      </w:r>
      <w:r w:rsidRPr="00C6052E">
        <w:instrText xml:space="preserve"> REF _Ref209454614 \r \h </w:instrText>
      </w:r>
      <w:r w:rsidRPr="00C6052E">
        <w:fldChar w:fldCharType="separate"/>
      </w:r>
      <w:r w:rsidRPr="00C6052E">
        <w:t>7.2</w:t>
      </w:r>
      <w:r w:rsidRPr="00C6052E">
        <w:fldChar w:fldCharType="end"/>
      </w:r>
      <w:r w:rsidRPr="00C6052E">
        <w:tab/>
      </w:r>
      <w:r w:rsidRPr="00C6052E">
        <w:fldChar w:fldCharType="begin"/>
      </w:r>
      <w:r w:rsidRPr="00C6052E">
        <w:instrText xml:space="preserve"> REF _Ref209454625 \h </w:instrText>
      </w:r>
      <w:r w:rsidRPr="00C6052E">
        <w:fldChar w:fldCharType="separate"/>
      </w:r>
      <w:r w:rsidRPr="00C6052E">
        <w:t>Leases</w:t>
      </w:r>
      <w:r w:rsidRPr="00C6052E">
        <w:fldChar w:fldCharType="end"/>
      </w:r>
    </w:p>
    <w:p w14:paraId="7C4A4CF8" w14:textId="41378CAA" w:rsidR="00EE5BB8" w:rsidRPr="00C6052E" w:rsidRDefault="00EE5BB8" w:rsidP="00E97D0C">
      <w:pPr>
        <w:pStyle w:val="Structurepoints"/>
        <w:keepNext/>
      </w:pPr>
      <w:r w:rsidRPr="00C6052E">
        <w:fldChar w:fldCharType="begin"/>
      </w:r>
      <w:r w:rsidRPr="00C6052E">
        <w:instrText xml:space="preserve"> REF _Ref209454638 \r \h </w:instrText>
      </w:r>
      <w:r w:rsidRPr="00C6052E">
        <w:fldChar w:fldCharType="separate"/>
      </w:r>
      <w:r w:rsidRPr="00C6052E">
        <w:t>7.3</w:t>
      </w:r>
      <w:r w:rsidRPr="00C6052E">
        <w:fldChar w:fldCharType="end"/>
      </w:r>
      <w:r w:rsidRPr="00C6052E">
        <w:tab/>
      </w:r>
      <w:r w:rsidRPr="00C6052E">
        <w:fldChar w:fldCharType="begin"/>
      </w:r>
      <w:r w:rsidRPr="00C6052E">
        <w:instrText xml:space="preserve"> REF _Ref209454646 \h </w:instrText>
      </w:r>
      <w:r w:rsidRPr="00C6052E">
        <w:fldChar w:fldCharType="separate"/>
      </w:r>
      <w:r w:rsidRPr="00C6052E">
        <w:t>Cash</w:t>
      </w:r>
      <w:r w:rsidR="00177848" w:rsidRPr="00C6052E">
        <w:t xml:space="preserve"> </w:t>
      </w:r>
      <w:r w:rsidRPr="00C6052E">
        <w:t>flow</w:t>
      </w:r>
      <w:r w:rsidR="00177848" w:rsidRPr="00C6052E">
        <w:t xml:space="preserve"> </w:t>
      </w:r>
      <w:r w:rsidRPr="00C6052E">
        <w:t>information</w:t>
      </w:r>
      <w:r w:rsidR="00177848" w:rsidRPr="00C6052E">
        <w:t xml:space="preserve"> </w:t>
      </w:r>
      <w:r w:rsidRPr="00C6052E">
        <w:t>and</w:t>
      </w:r>
      <w:r w:rsidR="00177848" w:rsidRPr="00C6052E">
        <w:t xml:space="preserve"> </w:t>
      </w:r>
      <w:r w:rsidRPr="00C6052E">
        <w:t>balances</w:t>
      </w:r>
      <w:r w:rsidRPr="00C6052E">
        <w:fldChar w:fldCharType="end"/>
      </w:r>
    </w:p>
    <w:p w14:paraId="4977BF7A" w14:textId="59D50021" w:rsidR="00EE5BB8" w:rsidRPr="00C6052E" w:rsidRDefault="00EE5BB8" w:rsidP="00E97D0C">
      <w:pPr>
        <w:pStyle w:val="Structurepoints"/>
        <w:keepNext/>
      </w:pPr>
      <w:r w:rsidRPr="00C6052E">
        <w:fldChar w:fldCharType="begin"/>
      </w:r>
      <w:r w:rsidRPr="00C6052E">
        <w:instrText xml:space="preserve"> REF _Ref209454666 \r \h </w:instrText>
      </w:r>
      <w:r w:rsidRPr="00C6052E">
        <w:fldChar w:fldCharType="separate"/>
      </w:r>
      <w:r w:rsidRPr="00C6052E">
        <w:t>7.4</w:t>
      </w:r>
      <w:r w:rsidRPr="00C6052E">
        <w:fldChar w:fldCharType="end"/>
      </w:r>
      <w:r w:rsidRPr="00C6052E">
        <w:tab/>
      </w:r>
      <w:r w:rsidRPr="00C6052E">
        <w:fldChar w:fldCharType="begin"/>
      </w:r>
      <w:r w:rsidRPr="00C6052E">
        <w:instrText xml:space="preserve"> REF _Ref209454676 \h </w:instrText>
      </w:r>
      <w:r w:rsidRPr="00C6052E">
        <w:fldChar w:fldCharType="separate"/>
      </w:r>
      <w:r w:rsidRPr="00C6052E">
        <w:t>Trust</w:t>
      </w:r>
      <w:r w:rsidR="00177848" w:rsidRPr="00C6052E">
        <w:t xml:space="preserve"> </w:t>
      </w:r>
      <w:r w:rsidRPr="00C6052E">
        <w:t>account</w:t>
      </w:r>
      <w:r w:rsidR="00177848" w:rsidRPr="00C6052E">
        <w:t xml:space="preserve"> </w:t>
      </w:r>
      <w:r w:rsidRPr="00C6052E">
        <w:t>balances</w:t>
      </w:r>
      <w:r w:rsidRPr="00C6052E">
        <w:fldChar w:fldCharType="end"/>
      </w:r>
    </w:p>
    <w:p w14:paraId="2DF1B67F" w14:textId="4872D121" w:rsidR="00EE5BB8" w:rsidRPr="00C6052E" w:rsidRDefault="00EE5BB8" w:rsidP="00C6052E">
      <w:pPr>
        <w:pStyle w:val="Structurepoints"/>
      </w:pPr>
      <w:r w:rsidRPr="00C6052E">
        <w:fldChar w:fldCharType="begin"/>
      </w:r>
      <w:r w:rsidRPr="00C6052E">
        <w:instrText xml:space="preserve"> REF _Ref209454690 \r \h </w:instrText>
      </w:r>
      <w:r w:rsidRPr="00C6052E">
        <w:fldChar w:fldCharType="separate"/>
      </w:r>
      <w:r w:rsidRPr="00C6052E">
        <w:t>7.5</w:t>
      </w:r>
      <w:r w:rsidRPr="00C6052E">
        <w:fldChar w:fldCharType="end"/>
      </w:r>
      <w:r w:rsidRPr="00C6052E">
        <w:tab/>
      </w:r>
      <w:r w:rsidRPr="00C6052E">
        <w:fldChar w:fldCharType="begin"/>
      </w:r>
      <w:r w:rsidRPr="00C6052E">
        <w:instrText xml:space="preserve"> REF _Ref209454699 \h </w:instrText>
      </w:r>
      <w:r w:rsidRPr="00C6052E">
        <w:fldChar w:fldCharType="separate"/>
      </w:r>
      <w:r w:rsidRPr="00C6052E">
        <w:t>Commitments</w:t>
      </w:r>
      <w:r w:rsidR="00177848" w:rsidRPr="00C6052E">
        <w:t xml:space="preserve"> </w:t>
      </w:r>
      <w:r w:rsidRPr="00C6052E">
        <w:t>for</w:t>
      </w:r>
      <w:r w:rsidR="00177848" w:rsidRPr="00C6052E">
        <w:t xml:space="preserve"> </w:t>
      </w:r>
      <w:r w:rsidRPr="00C6052E">
        <w:t>expenditure</w:t>
      </w:r>
      <w:r w:rsidRPr="00C6052E">
        <w:fldChar w:fldCharType="end"/>
      </w:r>
      <w:bookmarkEnd w:id="272"/>
    </w:p>
    <w:p w14:paraId="0039382C" w14:textId="27741478" w:rsidR="00EE5BB8" w:rsidRPr="00C6052E" w:rsidRDefault="00EE5BB8" w:rsidP="00C6052E">
      <w:pPr>
        <w:pStyle w:val="Heading2numbered0"/>
      </w:pPr>
      <w:bookmarkStart w:id="273" w:name="_Toc163565978"/>
      <w:bookmarkStart w:id="274" w:name="_Ref209454570"/>
      <w:r w:rsidRPr="00C6052E">
        <w:t>Borrowings</w:t>
      </w:r>
      <w:bookmarkEnd w:id="273"/>
      <w:bookmarkEnd w:id="274"/>
      <w:r w:rsidR="00F04AE1">
        <w:t xml:space="preserve"> </w:t>
      </w:r>
    </w:p>
    <w:tbl>
      <w:tblPr>
        <w:tblStyle w:val="TableGrid"/>
        <w:tblW w:w="9697" w:type="dxa"/>
        <w:tblLayout w:type="fixed"/>
        <w:tblLook w:val="04E0" w:firstRow="1" w:lastRow="1" w:firstColumn="1" w:lastColumn="0" w:noHBand="0" w:noVBand="1"/>
      </w:tblPr>
      <w:tblGrid>
        <w:gridCol w:w="6799"/>
        <w:gridCol w:w="1449"/>
        <w:gridCol w:w="1449"/>
      </w:tblGrid>
      <w:tr w:rsidR="00EE5BB8" w:rsidRPr="00C6052E" w14:paraId="1566F968" w14:textId="77777777" w:rsidTr="00F04AE1">
        <w:tc>
          <w:tcPr>
            <w:tcW w:w="6799" w:type="dxa"/>
            <w:noWrap/>
            <w:hideMark/>
          </w:tcPr>
          <w:p w14:paraId="2F3CD1DD" w14:textId="77777777" w:rsidR="00EE5BB8" w:rsidRPr="00C6052E" w:rsidRDefault="00EE5BB8" w:rsidP="00F04AE1">
            <w:pPr>
              <w:pStyle w:val="TableHeading"/>
            </w:pPr>
            <w:bookmarkStart w:id="275" w:name="TableColumnHeadings_79"/>
            <w:bookmarkEnd w:id="275"/>
          </w:p>
        </w:tc>
        <w:tc>
          <w:tcPr>
            <w:tcW w:w="1449" w:type="dxa"/>
            <w:hideMark/>
          </w:tcPr>
          <w:p w14:paraId="4B4BE37A" w14:textId="2B420DF8" w:rsidR="00EE5BB8" w:rsidRPr="00C6052E" w:rsidRDefault="00EE5BB8" w:rsidP="00F04AE1">
            <w:pPr>
              <w:pStyle w:val="TableColumnHeading"/>
              <w:jc w:val="right"/>
            </w:pPr>
            <w:r w:rsidRPr="00C6052E">
              <w:t>2025</w:t>
            </w:r>
            <w:r w:rsidR="00104228">
              <w:br/>
            </w:r>
            <w:r w:rsidR="00104228" w:rsidRPr="00C6052E">
              <w:t>($ thousand)</w:t>
            </w:r>
          </w:p>
        </w:tc>
        <w:tc>
          <w:tcPr>
            <w:tcW w:w="1449" w:type="dxa"/>
            <w:hideMark/>
          </w:tcPr>
          <w:p w14:paraId="39629125" w14:textId="47081B29" w:rsidR="00EE5BB8" w:rsidRPr="00C6052E" w:rsidRDefault="00EE5BB8" w:rsidP="00F04AE1">
            <w:pPr>
              <w:pStyle w:val="TableColumnHeading"/>
              <w:jc w:val="right"/>
            </w:pPr>
            <w:r w:rsidRPr="00C6052E">
              <w:t>2024</w:t>
            </w:r>
            <w:r w:rsidR="00104228">
              <w:br/>
            </w:r>
            <w:r w:rsidR="00104228" w:rsidRPr="00C6052E">
              <w:t>($ thousand)</w:t>
            </w:r>
          </w:p>
        </w:tc>
      </w:tr>
      <w:tr w:rsidR="00F04AE1" w:rsidRPr="00C6052E" w14:paraId="5587CB8E" w14:textId="77777777" w:rsidTr="00F04AE1">
        <w:tc>
          <w:tcPr>
            <w:tcW w:w="6799" w:type="dxa"/>
          </w:tcPr>
          <w:p w14:paraId="60EC88C8" w14:textId="32CF8F2C" w:rsidR="00F04AE1" w:rsidRPr="00C6052E" w:rsidRDefault="00F04AE1" w:rsidP="00F04AE1">
            <w:pPr>
              <w:pStyle w:val="TableHeading"/>
            </w:pPr>
            <w:r w:rsidRPr="00C6052E">
              <w:t>Current borrowings</w:t>
            </w:r>
          </w:p>
        </w:tc>
        <w:tc>
          <w:tcPr>
            <w:tcW w:w="1449" w:type="dxa"/>
            <w:noWrap/>
          </w:tcPr>
          <w:p w14:paraId="6D483925" w14:textId="77777777" w:rsidR="00F04AE1" w:rsidRPr="00C6052E" w:rsidRDefault="00F04AE1" w:rsidP="00F04AE1">
            <w:pPr>
              <w:pStyle w:val="TableHeading"/>
              <w:jc w:val="right"/>
            </w:pPr>
          </w:p>
        </w:tc>
        <w:tc>
          <w:tcPr>
            <w:tcW w:w="1449" w:type="dxa"/>
            <w:noWrap/>
          </w:tcPr>
          <w:p w14:paraId="06C52E24" w14:textId="77777777" w:rsidR="00F04AE1" w:rsidRPr="00C6052E" w:rsidRDefault="00F04AE1" w:rsidP="00F04AE1">
            <w:pPr>
              <w:pStyle w:val="TableHeading"/>
              <w:jc w:val="right"/>
            </w:pPr>
          </w:p>
        </w:tc>
      </w:tr>
      <w:tr w:rsidR="00EE5BB8" w:rsidRPr="00C6052E" w14:paraId="423FFDDE" w14:textId="77777777" w:rsidTr="00F04AE1">
        <w:tc>
          <w:tcPr>
            <w:tcW w:w="6799" w:type="dxa"/>
            <w:hideMark/>
          </w:tcPr>
          <w:p w14:paraId="71D8D3AF" w14:textId="16D459C5" w:rsidR="00EE5BB8" w:rsidRPr="00C6052E" w:rsidRDefault="00EE5BB8" w:rsidP="0063097D">
            <w:pPr>
              <w:pStyle w:val="TableCopy"/>
            </w:pPr>
            <w:r w:rsidRPr="00C6052E">
              <w:t>Lease</w:t>
            </w:r>
            <w:r w:rsidR="00177848" w:rsidRPr="00C6052E">
              <w:t xml:space="preserve"> </w:t>
            </w:r>
            <w:r w:rsidRPr="00C6052E">
              <w:t>liabilities</w:t>
            </w:r>
            <w:r w:rsidRPr="00C6052E">
              <w:rPr>
                <w:vertAlign w:val="superscript"/>
              </w:rPr>
              <w:t>(i)</w:t>
            </w:r>
          </w:p>
        </w:tc>
        <w:tc>
          <w:tcPr>
            <w:tcW w:w="1449" w:type="dxa"/>
            <w:noWrap/>
            <w:hideMark/>
          </w:tcPr>
          <w:p w14:paraId="263DE4F9" w14:textId="77777777" w:rsidR="00EE5BB8" w:rsidRPr="00C6052E" w:rsidRDefault="00EE5BB8" w:rsidP="00F04AE1">
            <w:pPr>
              <w:pStyle w:val="TableCopy"/>
              <w:jc w:val="right"/>
            </w:pPr>
            <w:r w:rsidRPr="00C6052E">
              <w:t>4,342</w:t>
            </w:r>
          </w:p>
        </w:tc>
        <w:tc>
          <w:tcPr>
            <w:tcW w:w="1449" w:type="dxa"/>
            <w:noWrap/>
            <w:hideMark/>
          </w:tcPr>
          <w:p w14:paraId="2F85FCCC" w14:textId="77777777" w:rsidR="00EE5BB8" w:rsidRPr="00C6052E" w:rsidRDefault="00EE5BB8" w:rsidP="00F04AE1">
            <w:pPr>
              <w:pStyle w:val="TableCopy"/>
              <w:jc w:val="right"/>
            </w:pPr>
            <w:r w:rsidRPr="00C6052E">
              <w:t>4,442</w:t>
            </w:r>
          </w:p>
        </w:tc>
      </w:tr>
      <w:tr w:rsidR="00EE5BB8" w:rsidRPr="00C6052E" w14:paraId="3ED2F73C" w14:textId="77777777" w:rsidTr="00F04AE1">
        <w:tc>
          <w:tcPr>
            <w:tcW w:w="6799" w:type="dxa"/>
            <w:hideMark/>
          </w:tcPr>
          <w:p w14:paraId="2BFB0CBC" w14:textId="07A88FA5" w:rsidR="00EE5BB8" w:rsidRPr="00C6052E" w:rsidRDefault="00EE5BB8" w:rsidP="0063097D">
            <w:pPr>
              <w:pStyle w:val="TableCopy"/>
            </w:pPr>
            <w:r w:rsidRPr="00C6052E">
              <w:t>Advances</w:t>
            </w:r>
            <w:r w:rsidR="00177848" w:rsidRPr="00C6052E">
              <w:t xml:space="preserve"> </w:t>
            </w:r>
            <w:r w:rsidRPr="00C6052E">
              <w:t>from</w:t>
            </w:r>
            <w:r w:rsidR="00177848" w:rsidRPr="00C6052E">
              <w:t xml:space="preserve"> </w:t>
            </w:r>
            <w:r w:rsidRPr="00C6052E">
              <w:t>government</w:t>
            </w:r>
            <w:r w:rsidRPr="00C6052E">
              <w:rPr>
                <w:vertAlign w:val="superscript"/>
              </w:rPr>
              <w:t>(ii)</w:t>
            </w:r>
          </w:p>
        </w:tc>
        <w:tc>
          <w:tcPr>
            <w:tcW w:w="1449" w:type="dxa"/>
            <w:noWrap/>
            <w:hideMark/>
          </w:tcPr>
          <w:p w14:paraId="59244F07" w14:textId="77777777" w:rsidR="00EE5BB8" w:rsidRPr="00C6052E" w:rsidRDefault="00EE5BB8" w:rsidP="00F04AE1">
            <w:pPr>
              <w:pStyle w:val="TableCopy"/>
              <w:jc w:val="right"/>
            </w:pPr>
            <w:r w:rsidRPr="00C6052E">
              <w:t>46,310</w:t>
            </w:r>
          </w:p>
        </w:tc>
        <w:tc>
          <w:tcPr>
            <w:tcW w:w="1449" w:type="dxa"/>
            <w:noWrap/>
            <w:hideMark/>
          </w:tcPr>
          <w:p w14:paraId="60F8AB5D" w14:textId="77777777" w:rsidR="00EE5BB8" w:rsidRPr="00C6052E" w:rsidRDefault="00EE5BB8" w:rsidP="00F04AE1">
            <w:pPr>
              <w:pStyle w:val="TableCopy"/>
              <w:jc w:val="right"/>
            </w:pPr>
            <w:r w:rsidRPr="00C6052E">
              <w:t>34,107</w:t>
            </w:r>
          </w:p>
        </w:tc>
      </w:tr>
      <w:tr w:rsidR="00EE5BB8" w:rsidRPr="00C6052E" w14:paraId="36A0A647" w14:textId="77777777" w:rsidTr="00F04AE1">
        <w:tc>
          <w:tcPr>
            <w:tcW w:w="6799" w:type="dxa"/>
            <w:hideMark/>
          </w:tcPr>
          <w:p w14:paraId="3E639A94" w14:textId="53442717" w:rsidR="00EE5BB8" w:rsidRPr="00C6052E" w:rsidRDefault="00EE5BB8" w:rsidP="0063097D">
            <w:pPr>
              <w:pStyle w:val="Tabletotal"/>
            </w:pPr>
            <w:r w:rsidRPr="00C6052E">
              <w:t>Total</w:t>
            </w:r>
            <w:r w:rsidR="00177848" w:rsidRPr="00C6052E">
              <w:t xml:space="preserve"> </w:t>
            </w:r>
            <w:r w:rsidRPr="00C6052E">
              <w:t>current</w:t>
            </w:r>
            <w:r w:rsidR="00177848" w:rsidRPr="00C6052E">
              <w:t xml:space="preserve"> </w:t>
            </w:r>
            <w:r w:rsidRPr="00C6052E">
              <w:t>borrowings</w:t>
            </w:r>
          </w:p>
        </w:tc>
        <w:tc>
          <w:tcPr>
            <w:tcW w:w="1449" w:type="dxa"/>
            <w:noWrap/>
            <w:hideMark/>
          </w:tcPr>
          <w:p w14:paraId="0E2DFB2E" w14:textId="77777777" w:rsidR="00EE5BB8" w:rsidRPr="00C6052E" w:rsidRDefault="00EE5BB8" w:rsidP="00F04AE1">
            <w:pPr>
              <w:pStyle w:val="Tabletotal"/>
              <w:jc w:val="right"/>
            </w:pPr>
            <w:r w:rsidRPr="00C6052E">
              <w:t>50,652</w:t>
            </w:r>
          </w:p>
        </w:tc>
        <w:tc>
          <w:tcPr>
            <w:tcW w:w="1449" w:type="dxa"/>
            <w:noWrap/>
            <w:hideMark/>
          </w:tcPr>
          <w:p w14:paraId="1509DE44" w14:textId="77777777" w:rsidR="00EE5BB8" w:rsidRPr="00C6052E" w:rsidRDefault="00EE5BB8" w:rsidP="00F04AE1">
            <w:pPr>
              <w:pStyle w:val="Tabletotal"/>
              <w:jc w:val="right"/>
            </w:pPr>
            <w:r w:rsidRPr="00C6052E">
              <w:t>38,549</w:t>
            </w:r>
          </w:p>
        </w:tc>
      </w:tr>
      <w:tr w:rsidR="00F04AE1" w:rsidRPr="00C6052E" w14:paraId="0BB2F808" w14:textId="77777777" w:rsidTr="00F04AE1">
        <w:tc>
          <w:tcPr>
            <w:tcW w:w="6799" w:type="dxa"/>
          </w:tcPr>
          <w:p w14:paraId="298DB40E" w14:textId="57167341" w:rsidR="00F04AE1" w:rsidRPr="00C6052E" w:rsidRDefault="00F04AE1" w:rsidP="009E695A">
            <w:pPr>
              <w:pStyle w:val="TableHeading"/>
            </w:pPr>
            <w:r w:rsidRPr="00C6052E">
              <w:t>Non-current borrowings</w:t>
            </w:r>
          </w:p>
        </w:tc>
        <w:tc>
          <w:tcPr>
            <w:tcW w:w="1449" w:type="dxa"/>
            <w:noWrap/>
          </w:tcPr>
          <w:p w14:paraId="3C414BE9" w14:textId="77777777" w:rsidR="00F04AE1" w:rsidRPr="00C6052E" w:rsidRDefault="00F04AE1" w:rsidP="00F04AE1">
            <w:pPr>
              <w:pStyle w:val="TableHeading"/>
              <w:jc w:val="right"/>
            </w:pPr>
          </w:p>
        </w:tc>
        <w:tc>
          <w:tcPr>
            <w:tcW w:w="1449" w:type="dxa"/>
            <w:noWrap/>
          </w:tcPr>
          <w:p w14:paraId="300A06C8" w14:textId="77777777" w:rsidR="00F04AE1" w:rsidRPr="00C6052E" w:rsidRDefault="00F04AE1" w:rsidP="00F04AE1">
            <w:pPr>
              <w:pStyle w:val="TableHeading"/>
              <w:jc w:val="right"/>
            </w:pPr>
          </w:p>
        </w:tc>
      </w:tr>
      <w:tr w:rsidR="00EE5BB8" w:rsidRPr="00C6052E" w14:paraId="2F1160A9" w14:textId="77777777" w:rsidTr="00F04AE1">
        <w:tc>
          <w:tcPr>
            <w:tcW w:w="6799" w:type="dxa"/>
            <w:hideMark/>
          </w:tcPr>
          <w:p w14:paraId="33F75A89" w14:textId="1D8D3877" w:rsidR="00EE5BB8" w:rsidRPr="00C6052E" w:rsidRDefault="00EE5BB8" w:rsidP="0063097D">
            <w:pPr>
              <w:pStyle w:val="TableCopy"/>
            </w:pPr>
            <w:r w:rsidRPr="00C6052E">
              <w:t>Lease</w:t>
            </w:r>
            <w:r w:rsidR="00177848" w:rsidRPr="00C6052E">
              <w:t xml:space="preserve"> </w:t>
            </w:r>
            <w:r w:rsidRPr="00C6052E">
              <w:t>liabilities</w:t>
            </w:r>
            <w:r w:rsidRPr="00C6052E">
              <w:rPr>
                <w:vertAlign w:val="superscript"/>
              </w:rPr>
              <w:t>(i)</w:t>
            </w:r>
          </w:p>
        </w:tc>
        <w:tc>
          <w:tcPr>
            <w:tcW w:w="1449" w:type="dxa"/>
            <w:noWrap/>
            <w:hideMark/>
          </w:tcPr>
          <w:p w14:paraId="33591BA1" w14:textId="77777777" w:rsidR="00EE5BB8" w:rsidRPr="00C6052E" w:rsidRDefault="00EE5BB8" w:rsidP="00F04AE1">
            <w:pPr>
              <w:pStyle w:val="TableCopy"/>
              <w:jc w:val="right"/>
            </w:pPr>
            <w:r w:rsidRPr="00C6052E">
              <w:t>8,291</w:t>
            </w:r>
          </w:p>
        </w:tc>
        <w:tc>
          <w:tcPr>
            <w:tcW w:w="1449" w:type="dxa"/>
            <w:noWrap/>
            <w:hideMark/>
          </w:tcPr>
          <w:p w14:paraId="7C85AB81" w14:textId="77777777" w:rsidR="00EE5BB8" w:rsidRPr="00C6052E" w:rsidRDefault="00EE5BB8" w:rsidP="00F04AE1">
            <w:pPr>
              <w:pStyle w:val="TableCopy"/>
              <w:jc w:val="right"/>
            </w:pPr>
            <w:r w:rsidRPr="00C6052E">
              <w:t>8,448</w:t>
            </w:r>
          </w:p>
        </w:tc>
      </w:tr>
      <w:tr w:rsidR="00EE5BB8" w:rsidRPr="00C6052E" w14:paraId="012D0303" w14:textId="77777777" w:rsidTr="00F04AE1">
        <w:tc>
          <w:tcPr>
            <w:tcW w:w="6799" w:type="dxa"/>
            <w:hideMark/>
          </w:tcPr>
          <w:p w14:paraId="48B60358" w14:textId="0EF2AACA" w:rsidR="00EE5BB8" w:rsidRPr="00C6052E" w:rsidRDefault="00EE5BB8" w:rsidP="0063097D">
            <w:pPr>
              <w:pStyle w:val="TableCopy"/>
            </w:pPr>
            <w:r w:rsidRPr="00C6052E">
              <w:t>Advances</w:t>
            </w:r>
            <w:r w:rsidR="00177848" w:rsidRPr="00C6052E">
              <w:t xml:space="preserve"> </w:t>
            </w:r>
            <w:r w:rsidRPr="00C6052E">
              <w:t>from</w:t>
            </w:r>
            <w:r w:rsidR="00177848" w:rsidRPr="00C6052E">
              <w:t xml:space="preserve"> </w:t>
            </w:r>
            <w:r w:rsidRPr="00C6052E">
              <w:t>government</w:t>
            </w:r>
            <w:r w:rsidRPr="00C6052E">
              <w:rPr>
                <w:vertAlign w:val="superscript"/>
              </w:rPr>
              <w:t>(ii)</w:t>
            </w:r>
          </w:p>
        </w:tc>
        <w:tc>
          <w:tcPr>
            <w:tcW w:w="1449" w:type="dxa"/>
            <w:noWrap/>
            <w:hideMark/>
          </w:tcPr>
          <w:p w14:paraId="09AB198B" w14:textId="77777777" w:rsidR="00EE5BB8" w:rsidRPr="00C6052E" w:rsidRDefault="00EE5BB8" w:rsidP="00F04AE1">
            <w:pPr>
              <w:pStyle w:val="TableCopy"/>
              <w:jc w:val="right"/>
            </w:pPr>
            <w:r w:rsidRPr="00C6052E">
              <w:t>5,894</w:t>
            </w:r>
          </w:p>
        </w:tc>
        <w:tc>
          <w:tcPr>
            <w:tcW w:w="1449" w:type="dxa"/>
            <w:noWrap/>
            <w:hideMark/>
          </w:tcPr>
          <w:p w14:paraId="03FFA36B" w14:textId="77777777" w:rsidR="00EE5BB8" w:rsidRPr="00C6052E" w:rsidRDefault="00EE5BB8" w:rsidP="00F04AE1">
            <w:pPr>
              <w:pStyle w:val="TableCopy"/>
              <w:jc w:val="right"/>
            </w:pPr>
            <w:r w:rsidRPr="00C6052E">
              <w:t>9,417</w:t>
            </w:r>
          </w:p>
        </w:tc>
      </w:tr>
      <w:tr w:rsidR="00EE5BB8" w:rsidRPr="00C6052E" w14:paraId="069769B2" w14:textId="77777777" w:rsidTr="00F04AE1">
        <w:tc>
          <w:tcPr>
            <w:tcW w:w="6799" w:type="dxa"/>
            <w:hideMark/>
          </w:tcPr>
          <w:p w14:paraId="36D933FA" w14:textId="534B9FDE" w:rsidR="00EE5BB8" w:rsidRPr="00C6052E" w:rsidRDefault="00EE5BB8" w:rsidP="0063097D">
            <w:pPr>
              <w:pStyle w:val="Tabletotal"/>
            </w:pPr>
            <w:r w:rsidRPr="00C6052E">
              <w:t>Total</w:t>
            </w:r>
            <w:r w:rsidR="00177848" w:rsidRPr="00C6052E">
              <w:t xml:space="preserve"> </w:t>
            </w:r>
            <w:r w:rsidRPr="00C6052E">
              <w:t>non-current</w:t>
            </w:r>
            <w:r w:rsidR="00177848" w:rsidRPr="00C6052E">
              <w:t xml:space="preserve"> </w:t>
            </w:r>
            <w:r w:rsidRPr="00C6052E">
              <w:t>borrowings</w:t>
            </w:r>
          </w:p>
        </w:tc>
        <w:tc>
          <w:tcPr>
            <w:tcW w:w="1449" w:type="dxa"/>
            <w:noWrap/>
            <w:hideMark/>
          </w:tcPr>
          <w:p w14:paraId="45ABC5E7" w14:textId="77777777" w:rsidR="00EE5BB8" w:rsidRPr="00C6052E" w:rsidRDefault="00EE5BB8" w:rsidP="00F04AE1">
            <w:pPr>
              <w:pStyle w:val="Tabletotal"/>
              <w:jc w:val="right"/>
            </w:pPr>
            <w:r w:rsidRPr="00C6052E">
              <w:t>14,185</w:t>
            </w:r>
          </w:p>
        </w:tc>
        <w:tc>
          <w:tcPr>
            <w:tcW w:w="1449" w:type="dxa"/>
            <w:noWrap/>
            <w:hideMark/>
          </w:tcPr>
          <w:p w14:paraId="69D40A2E" w14:textId="77777777" w:rsidR="00EE5BB8" w:rsidRPr="00C6052E" w:rsidRDefault="00EE5BB8" w:rsidP="00F04AE1">
            <w:pPr>
              <w:pStyle w:val="Tabletotal"/>
              <w:jc w:val="right"/>
            </w:pPr>
            <w:r w:rsidRPr="00C6052E">
              <w:t>17,865</w:t>
            </w:r>
          </w:p>
        </w:tc>
      </w:tr>
      <w:tr w:rsidR="00EE5BB8" w:rsidRPr="00C6052E" w14:paraId="228C5FB4" w14:textId="77777777" w:rsidTr="00F04AE1">
        <w:tc>
          <w:tcPr>
            <w:tcW w:w="6799" w:type="dxa"/>
            <w:hideMark/>
          </w:tcPr>
          <w:p w14:paraId="79BE831D" w14:textId="3241E59D" w:rsidR="00EE5BB8" w:rsidRPr="00C6052E" w:rsidRDefault="00EE5BB8" w:rsidP="0063097D">
            <w:pPr>
              <w:pStyle w:val="Tabletotal"/>
            </w:pPr>
            <w:r w:rsidRPr="00C6052E">
              <w:t>Total</w:t>
            </w:r>
            <w:r w:rsidR="00177848" w:rsidRPr="00C6052E">
              <w:t xml:space="preserve"> </w:t>
            </w:r>
            <w:r w:rsidRPr="00C6052E">
              <w:t>borrowings</w:t>
            </w:r>
          </w:p>
        </w:tc>
        <w:tc>
          <w:tcPr>
            <w:tcW w:w="1449" w:type="dxa"/>
            <w:noWrap/>
            <w:hideMark/>
          </w:tcPr>
          <w:p w14:paraId="1CB8EB3F" w14:textId="77777777" w:rsidR="00EE5BB8" w:rsidRPr="00C6052E" w:rsidRDefault="00EE5BB8" w:rsidP="00F04AE1">
            <w:pPr>
              <w:pStyle w:val="Tabletotal"/>
              <w:jc w:val="right"/>
            </w:pPr>
            <w:r w:rsidRPr="00C6052E">
              <w:t>64,837</w:t>
            </w:r>
          </w:p>
        </w:tc>
        <w:tc>
          <w:tcPr>
            <w:tcW w:w="1449" w:type="dxa"/>
            <w:noWrap/>
            <w:hideMark/>
          </w:tcPr>
          <w:p w14:paraId="7D257F2A" w14:textId="77777777" w:rsidR="00EE5BB8" w:rsidRPr="00C6052E" w:rsidRDefault="00EE5BB8" w:rsidP="00F04AE1">
            <w:pPr>
              <w:pStyle w:val="Tabletotal"/>
              <w:jc w:val="right"/>
            </w:pPr>
            <w:r w:rsidRPr="00C6052E">
              <w:t>56,414</w:t>
            </w:r>
          </w:p>
        </w:tc>
      </w:tr>
    </w:tbl>
    <w:p w14:paraId="7E40302A" w14:textId="7DF3FB94" w:rsidR="00EE5BB8" w:rsidRPr="00C6052E" w:rsidRDefault="00EE5BB8" w:rsidP="00EE5BB8">
      <w:pPr>
        <w:pStyle w:val="Tablenotes-numbered"/>
        <w:numPr>
          <w:ilvl w:val="0"/>
          <w:numId w:val="27"/>
        </w:numPr>
      </w:pPr>
      <w:r w:rsidRPr="00C6052E">
        <w:t>Secured</w:t>
      </w:r>
      <w:r w:rsidR="00177848" w:rsidRPr="00C6052E">
        <w:t xml:space="preserve"> </w:t>
      </w:r>
      <w:r w:rsidRPr="00C6052E">
        <w:t>by</w:t>
      </w:r>
      <w:r w:rsidR="00177848" w:rsidRPr="00C6052E">
        <w:t xml:space="preserve"> </w:t>
      </w:r>
      <w:r w:rsidRPr="00C6052E">
        <w:t>the</w:t>
      </w:r>
      <w:r w:rsidR="00177848" w:rsidRPr="00C6052E">
        <w:t xml:space="preserve"> </w:t>
      </w:r>
      <w:r w:rsidRPr="00C6052E">
        <w:t>leased</w:t>
      </w:r>
      <w:r w:rsidR="00177848" w:rsidRPr="00C6052E">
        <w:t xml:space="preserve"> </w:t>
      </w:r>
      <w:r w:rsidRPr="00C6052E">
        <w:t>assets.</w:t>
      </w:r>
      <w:r w:rsidR="00177848" w:rsidRPr="00C6052E">
        <w:t xml:space="preserve"> </w:t>
      </w:r>
      <w:r w:rsidRPr="00C6052E">
        <w:t>Leases</w:t>
      </w:r>
      <w:r w:rsidR="00177848" w:rsidRPr="00C6052E">
        <w:t xml:space="preserve"> </w:t>
      </w:r>
      <w:r w:rsidRPr="00C6052E">
        <w:t>liabilities</w:t>
      </w:r>
      <w:r w:rsidR="00177848" w:rsidRPr="00C6052E">
        <w:t xml:space="preserve"> </w:t>
      </w:r>
      <w:r w:rsidRPr="00C6052E">
        <w:t>are</w:t>
      </w:r>
      <w:r w:rsidR="00177848" w:rsidRPr="00C6052E">
        <w:t xml:space="preserve"> </w:t>
      </w:r>
      <w:r w:rsidRPr="00C6052E">
        <w:t>effectively</w:t>
      </w:r>
      <w:r w:rsidR="00177848" w:rsidRPr="00C6052E">
        <w:t xml:space="preserve"> </w:t>
      </w:r>
      <w:r w:rsidRPr="00C6052E">
        <w:t>secured</w:t>
      </w:r>
      <w:r w:rsidR="00177848" w:rsidRPr="00C6052E">
        <w:t xml:space="preserve"> </w:t>
      </w:r>
      <w:r w:rsidRPr="00C6052E">
        <w:t>as</w:t>
      </w:r>
      <w:r w:rsidR="00177848" w:rsidRPr="00C6052E">
        <w:t xml:space="preserve"> </w:t>
      </w:r>
      <w:r w:rsidRPr="00C6052E">
        <w:t>the</w:t>
      </w:r>
      <w:r w:rsidR="00177848" w:rsidRPr="00C6052E">
        <w:t xml:space="preserve"> </w:t>
      </w:r>
      <w:r w:rsidRPr="00C6052E">
        <w:t>rights</w:t>
      </w:r>
      <w:r w:rsidR="00177848" w:rsidRPr="00C6052E">
        <w:t xml:space="preserve"> </w:t>
      </w:r>
      <w:r w:rsidRPr="00C6052E">
        <w:t>to</w:t>
      </w:r>
      <w:r w:rsidR="00177848" w:rsidRPr="00C6052E">
        <w:t xml:space="preserve"> </w:t>
      </w:r>
      <w:r w:rsidRPr="00C6052E">
        <w:t>the</w:t>
      </w:r>
      <w:r w:rsidR="00177848" w:rsidRPr="00C6052E">
        <w:t xml:space="preserve"> </w:t>
      </w:r>
      <w:r w:rsidRPr="00C6052E">
        <w:t>leased</w:t>
      </w:r>
      <w:r w:rsidR="00177848" w:rsidRPr="00C6052E">
        <w:t xml:space="preserve"> </w:t>
      </w:r>
      <w:r w:rsidRPr="00C6052E">
        <w:t>assets</w:t>
      </w:r>
      <w:r w:rsidR="00177848" w:rsidRPr="00C6052E">
        <w:t xml:space="preserve"> </w:t>
      </w:r>
      <w:r w:rsidRPr="00C6052E">
        <w:t>revert</w:t>
      </w:r>
      <w:r w:rsidR="00177848" w:rsidRPr="00C6052E">
        <w:t xml:space="preserve"> </w:t>
      </w:r>
      <w:r w:rsidRPr="00C6052E">
        <w:t>to</w:t>
      </w:r>
      <w:r w:rsidR="00177848" w:rsidRPr="00C6052E">
        <w:t xml:space="preserve"> </w:t>
      </w:r>
      <w:r w:rsidRPr="00C6052E">
        <w:t>the</w:t>
      </w:r>
      <w:r w:rsidR="00177848" w:rsidRPr="00C6052E">
        <w:t xml:space="preserve"> </w:t>
      </w:r>
      <w:r w:rsidRPr="00C6052E">
        <w:t>lessor</w:t>
      </w:r>
      <w:r w:rsidR="00177848" w:rsidRPr="00C6052E">
        <w:t xml:space="preserve"> </w:t>
      </w:r>
      <w:r w:rsidRPr="00C6052E">
        <w:t>in</w:t>
      </w:r>
      <w:r w:rsidR="00177848" w:rsidRPr="00C6052E">
        <w:t xml:space="preserve"> </w:t>
      </w:r>
      <w:r w:rsidRPr="00C6052E">
        <w:t>the</w:t>
      </w:r>
      <w:r w:rsidR="00177848" w:rsidRPr="00C6052E">
        <w:t xml:space="preserve"> </w:t>
      </w:r>
      <w:r w:rsidRPr="00C6052E">
        <w:t>event</w:t>
      </w:r>
      <w:r w:rsidR="00177848" w:rsidRPr="00C6052E">
        <w:t xml:space="preserve"> </w:t>
      </w:r>
      <w:r w:rsidRPr="00C6052E">
        <w:t>of</w:t>
      </w:r>
      <w:r w:rsidR="00177848" w:rsidRPr="00C6052E">
        <w:t xml:space="preserve"> </w:t>
      </w:r>
      <w:r w:rsidRPr="00C6052E">
        <w:t>default.</w:t>
      </w:r>
    </w:p>
    <w:p w14:paraId="7F84A8CD" w14:textId="2BDC597C" w:rsidR="00EE5BB8" w:rsidRPr="00C6052E" w:rsidRDefault="00EE5BB8" w:rsidP="00EE5BB8">
      <w:pPr>
        <w:pStyle w:val="Tablenotes-numbered"/>
        <w:numPr>
          <w:ilvl w:val="0"/>
          <w:numId w:val="27"/>
        </w:numPr>
        <w:spacing w:after="170"/>
      </w:pPr>
      <w:r w:rsidRPr="00C6052E">
        <w:t>Advances</w:t>
      </w:r>
      <w:r w:rsidR="00177848" w:rsidRPr="00C6052E">
        <w:t xml:space="preserve"> </w:t>
      </w:r>
      <w:r w:rsidRPr="00C6052E">
        <w:t>from</w:t>
      </w:r>
      <w:r w:rsidR="00177848" w:rsidRPr="00C6052E">
        <w:t xml:space="preserve"> </w:t>
      </w:r>
      <w:r w:rsidRPr="00C6052E">
        <w:t>government</w:t>
      </w:r>
      <w:r w:rsidR="00177848" w:rsidRPr="00C6052E">
        <w:t xml:space="preserve"> </w:t>
      </w:r>
      <w:r w:rsidRPr="00C6052E">
        <w:t>are</w:t>
      </w:r>
      <w:r w:rsidR="00177848" w:rsidRPr="00C6052E">
        <w:t xml:space="preserve"> </w:t>
      </w:r>
      <w:r w:rsidRPr="00C6052E">
        <w:t>unsecured</w:t>
      </w:r>
      <w:r w:rsidR="00177848" w:rsidRPr="00C6052E">
        <w:t xml:space="preserve"> </w:t>
      </w:r>
      <w:r w:rsidRPr="00C6052E">
        <w:t>loans</w:t>
      </w:r>
      <w:r w:rsidR="00177848" w:rsidRPr="00C6052E">
        <w:t xml:space="preserve"> </w:t>
      </w:r>
      <w:r w:rsidRPr="00C6052E">
        <w:t>which</w:t>
      </w:r>
      <w:r w:rsidR="00177848" w:rsidRPr="00C6052E">
        <w:t xml:space="preserve"> </w:t>
      </w:r>
      <w:r w:rsidRPr="00C6052E">
        <w:t>bear</w:t>
      </w:r>
      <w:r w:rsidR="00177848" w:rsidRPr="00C6052E">
        <w:t xml:space="preserve"> </w:t>
      </w:r>
      <w:r w:rsidRPr="00C6052E">
        <w:t>no</w:t>
      </w:r>
      <w:r w:rsidR="00177848" w:rsidRPr="00C6052E">
        <w:t xml:space="preserve"> </w:t>
      </w:r>
      <w:r w:rsidRPr="00C6052E">
        <w:t>interest.</w:t>
      </w:r>
      <w:r w:rsidR="00177848" w:rsidRPr="00C6052E">
        <w:t xml:space="preserve"> </w:t>
      </w:r>
      <w:r w:rsidRPr="00C6052E">
        <w:t>The</w:t>
      </w:r>
      <w:r w:rsidR="00177848" w:rsidRPr="00C6052E">
        <w:t xml:space="preserve"> </w:t>
      </w:r>
      <w:r w:rsidRPr="00C6052E">
        <w:t>terms</w:t>
      </w:r>
      <w:r w:rsidR="00177848" w:rsidRPr="00C6052E">
        <w:t xml:space="preserve"> </w:t>
      </w:r>
      <w:r w:rsidRPr="00C6052E">
        <w:t>of</w:t>
      </w:r>
      <w:r w:rsidR="00177848" w:rsidRPr="00C6052E">
        <w:t xml:space="preserve"> </w:t>
      </w:r>
      <w:r w:rsidRPr="00C6052E">
        <w:t>the</w:t>
      </w:r>
      <w:r w:rsidR="00177848" w:rsidRPr="00C6052E">
        <w:t xml:space="preserve"> </w:t>
      </w:r>
      <w:r w:rsidRPr="00C6052E">
        <w:t>loans</w:t>
      </w:r>
      <w:r w:rsidR="00177848" w:rsidRPr="00C6052E">
        <w:t xml:space="preserve"> </w:t>
      </w:r>
      <w:r w:rsidRPr="00C6052E">
        <w:t>are</w:t>
      </w:r>
      <w:r w:rsidR="00177848" w:rsidRPr="00C6052E">
        <w:t xml:space="preserve"> </w:t>
      </w:r>
      <w:r w:rsidRPr="00C6052E">
        <w:t>generally</w:t>
      </w:r>
      <w:r w:rsidR="00177848" w:rsidRPr="00C6052E">
        <w:t xml:space="preserve"> </w:t>
      </w:r>
      <w:r w:rsidRPr="00C6052E">
        <w:t>agreed</w:t>
      </w:r>
      <w:r w:rsidR="00177848" w:rsidRPr="00C6052E">
        <w:t xml:space="preserve"> </w:t>
      </w:r>
      <w:r w:rsidRPr="00C6052E">
        <w:t>by</w:t>
      </w:r>
      <w:r w:rsidR="00177848" w:rsidRPr="00C6052E">
        <w:t xml:space="preserve"> </w:t>
      </w:r>
      <w:r w:rsidRPr="00C6052E">
        <w:t>the</w:t>
      </w:r>
      <w:r w:rsidR="00177848" w:rsidRPr="00C6052E">
        <w:t xml:space="preserve"> </w:t>
      </w:r>
      <w:r w:rsidRPr="00C6052E">
        <w:t>Minister</w:t>
      </w:r>
      <w:r w:rsidR="00177848" w:rsidRPr="00C6052E">
        <w:t xml:space="preserve"> </w:t>
      </w:r>
      <w:r w:rsidRPr="00C6052E">
        <w:t>at</w:t>
      </w:r>
      <w:r w:rsidR="00177848" w:rsidRPr="00C6052E">
        <w:t xml:space="preserve"> </w:t>
      </w:r>
      <w:r w:rsidRPr="00C6052E">
        <w:t>the</w:t>
      </w:r>
      <w:r w:rsidR="00177848" w:rsidRPr="00C6052E">
        <w:t xml:space="preserve"> </w:t>
      </w:r>
      <w:r w:rsidRPr="00C6052E">
        <w:t>time</w:t>
      </w:r>
      <w:r w:rsidR="00177848" w:rsidRPr="00C6052E">
        <w:t xml:space="preserve"> </w:t>
      </w:r>
      <w:r w:rsidRPr="00C6052E">
        <w:t>the</w:t>
      </w:r>
      <w:r w:rsidR="00177848" w:rsidRPr="00C6052E">
        <w:t xml:space="preserve"> </w:t>
      </w:r>
      <w:r w:rsidRPr="00C6052E">
        <w:t>advance</w:t>
      </w:r>
      <w:r w:rsidR="00177848" w:rsidRPr="00C6052E">
        <w:t xml:space="preserve"> </w:t>
      </w:r>
      <w:r w:rsidRPr="00C6052E">
        <w:t>is</w:t>
      </w:r>
      <w:r w:rsidR="00177848" w:rsidRPr="00C6052E">
        <w:t xml:space="preserve"> </w:t>
      </w:r>
      <w:r w:rsidRPr="00C6052E">
        <w:t>provided.</w:t>
      </w:r>
    </w:p>
    <w:p w14:paraId="1F4CAFE5" w14:textId="5D5BD9E4" w:rsidR="00EE5BB8" w:rsidRPr="00C6052E" w:rsidRDefault="00EE5BB8" w:rsidP="00EE5BB8">
      <w:r w:rsidRPr="00C6052E">
        <w:t>Borrowings</w:t>
      </w:r>
      <w:r w:rsidR="00177848" w:rsidRPr="00C6052E">
        <w:t xml:space="preserve"> </w:t>
      </w:r>
      <w:r w:rsidRPr="00C6052E">
        <w:t>are</w:t>
      </w:r>
      <w:r w:rsidR="00177848" w:rsidRPr="00C6052E">
        <w:t xml:space="preserve"> </w:t>
      </w:r>
      <w:r w:rsidRPr="00C6052E">
        <w:t>classified</w:t>
      </w:r>
      <w:r w:rsidR="00177848" w:rsidRPr="00C6052E">
        <w:t xml:space="preserve"> </w:t>
      </w:r>
      <w:r w:rsidRPr="00C6052E">
        <w:t>as</w:t>
      </w:r>
      <w:r w:rsidR="00177848" w:rsidRPr="00C6052E">
        <w:t xml:space="preserve"> </w:t>
      </w:r>
      <w:r w:rsidRPr="00C6052E">
        <w:t>financial</w:t>
      </w:r>
      <w:r w:rsidR="00177848" w:rsidRPr="00C6052E">
        <w:t xml:space="preserve"> </w:t>
      </w:r>
      <w:r w:rsidRPr="00C6052E">
        <w:t>instruments.</w:t>
      </w:r>
      <w:r w:rsidR="00177848" w:rsidRPr="00C6052E">
        <w:t xml:space="preserve"> </w:t>
      </w:r>
      <w:r w:rsidRPr="00C6052E">
        <w:t>The</w:t>
      </w:r>
      <w:r w:rsidR="00177848" w:rsidRPr="00C6052E">
        <w:t xml:space="preserve"> </w:t>
      </w:r>
      <w:r w:rsidRPr="00C6052E">
        <w:t>measurement</w:t>
      </w:r>
      <w:r w:rsidR="00177848" w:rsidRPr="00C6052E">
        <w:t xml:space="preserve"> </w:t>
      </w:r>
      <w:r w:rsidRPr="00C6052E">
        <w:t>basis</w:t>
      </w:r>
      <w:r w:rsidR="00177848" w:rsidRPr="00C6052E">
        <w:t xml:space="preserve"> </w:t>
      </w:r>
      <w:r w:rsidRPr="00C6052E">
        <w:t>depends</w:t>
      </w:r>
      <w:r w:rsidR="00177848" w:rsidRPr="00C6052E">
        <w:t xml:space="preserve"> </w:t>
      </w:r>
      <w:r w:rsidRPr="00C6052E">
        <w:t>on</w:t>
      </w:r>
      <w:r w:rsidR="00177848" w:rsidRPr="00C6052E">
        <w:t xml:space="preserve"> </w:t>
      </w:r>
      <w:r w:rsidRPr="00C6052E">
        <w:t>whether</w:t>
      </w:r>
      <w:r w:rsidR="00177848" w:rsidRPr="00C6052E">
        <w:t xml:space="preserve"> </w:t>
      </w:r>
      <w:r w:rsidRPr="00C6052E">
        <w:t>DJSIR</w:t>
      </w:r>
      <w:r w:rsidR="00177848" w:rsidRPr="00C6052E">
        <w:t xml:space="preserve"> </w:t>
      </w:r>
      <w:r w:rsidRPr="00C6052E">
        <w:t>has</w:t>
      </w:r>
      <w:r w:rsidR="00177848" w:rsidRPr="00C6052E">
        <w:t xml:space="preserve"> </w:t>
      </w:r>
      <w:r w:rsidRPr="00C6052E">
        <w:t>categorised</w:t>
      </w:r>
      <w:r w:rsidR="00177848" w:rsidRPr="00C6052E">
        <w:t xml:space="preserve"> </w:t>
      </w:r>
      <w:r w:rsidRPr="00C6052E">
        <w:t>its</w:t>
      </w:r>
      <w:r w:rsidR="00177848" w:rsidRPr="00C6052E">
        <w:t xml:space="preserve"> </w:t>
      </w:r>
      <w:r w:rsidRPr="00C6052E">
        <w:t>interest-bearing</w:t>
      </w:r>
      <w:r w:rsidR="00177848" w:rsidRPr="00C6052E">
        <w:t xml:space="preserve"> </w:t>
      </w:r>
      <w:r w:rsidRPr="00C6052E">
        <w:t>liabilities</w:t>
      </w:r>
      <w:r w:rsidR="00177848" w:rsidRPr="00C6052E">
        <w:t xml:space="preserve"> </w:t>
      </w:r>
      <w:r w:rsidRPr="00C6052E">
        <w:t>as</w:t>
      </w:r>
      <w:r w:rsidR="00177848" w:rsidRPr="00C6052E">
        <w:t xml:space="preserve"> </w:t>
      </w:r>
      <w:r w:rsidRPr="00C6052E">
        <w:t>either</w:t>
      </w:r>
      <w:r w:rsidR="00177848" w:rsidRPr="00C6052E">
        <w:t xml:space="preserve"> </w:t>
      </w:r>
      <w:r w:rsidRPr="00C6052E">
        <w:t>‘financial</w:t>
      </w:r>
      <w:r w:rsidR="00177848" w:rsidRPr="00C6052E">
        <w:t xml:space="preserve"> </w:t>
      </w:r>
      <w:r w:rsidRPr="00C6052E">
        <w:t>liabilities</w:t>
      </w:r>
      <w:r w:rsidR="00177848" w:rsidRPr="00C6052E">
        <w:t xml:space="preserve"> </w:t>
      </w:r>
      <w:r w:rsidRPr="00C6052E">
        <w:t>designated</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r w:rsidR="00177848" w:rsidRPr="00C6052E">
        <w:t xml:space="preserve"> </w:t>
      </w:r>
      <w:r w:rsidRPr="00C6052E">
        <w:t>through</w:t>
      </w:r>
      <w:r w:rsidR="00177848" w:rsidRPr="00C6052E">
        <w:t xml:space="preserve"> </w:t>
      </w:r>
      <w:r w:rsidRPr="00C6052E">
        <w:t>net</w:t>
      </w:r>
      <w:r w:rsidR="00177848" w:rsidRPr="00C6052E">
        <w:t xml:space="preserve"> </w:t>
      </w:r>
      <w:r w:rsidRPr="00C6052E">
        <w:t>result’,</w:t>
      </w:r>
      <w:r w:rsidR="00177848" w:rsidRPr="00C6052E">
        <w:t xml:space="preserve"> </w:t>
      </w:r>
      <w:r w:rsidRPr="00C6052E">
        <w:t>or</w:t>
      </w:r>
      <w:r w:rsidR="00177848" w:rsidRPr="00C6052E">
        <w:t xml:space="preserve"> </w:t>
      </w:r>
      <w:r w:rsidRPr="00C6052E">
        <w:t>financial</w:t>
      </w:r>
      <w:r w:rsidR="00177848" w:rsidRPr="00C6052E">
        <w:t xml:space="preserve"> </w:t>
      </w:r>
      <w:r w:rsidRPr="00C6052E">
        <w:t>liabilities</w:t>
      </w:r>
      <w:r w:rsidR="00177848" w:rsidRPr="00C6052E">
        <w:t xml:space="preserve"> </w:t>
      </w:r>
      <w:r w:rsidRPr="00C6052E">
        <w:t>at</w:t>
      </w:r>
      <w:r w:rsidR="00177848" w:rsidRPr="00C6052E">
        <w:t xml:space="preserve"> </w:t>
      </w:r>
      <w:r w:rsidRPr="00C6052E">
        <w:t>‘amortised</w:t>
      </w:r>
      <w:r w:rsidR="00177848" w:rsidRPr="00C6052E">
        <w:t xml:space="preserve"> </w:t>
      </w:r>
      <w:r w:rsidRPr="00C6052E">
        <w:t>cost’.</w:t>
      </w:r>
      <w:r w:rsidR="00177848" w:rsidRPr="00C6052E">
        <w:t xml:space="preserve"> </w:t>
      </w:r>
      <w:r w:rsidRPr="00C6052E">
        <w:t>The</w:t>
      </w:r>
      <w:r w:rsidR="00177848" w:rsidRPr="00C6052E">
        <w:t xml:space="preserve"> </w:t>
      </w:r>
      <w:r w:rsidRPr="00C6052E">
        <w:t>classification</w:t>
      </w:r>
      <w:r w:rsidR="00177848" w:rsidRPr="00C6052E">
        <w:t xml:space="preserve"> </w:t>
      </w:r>
      <w:r w:rsidRPr="00C6052E">
        <w:t>depends</w:t>
      </w:r>
      <w:r w:rsidR="00177848" w:rsidRPr="00C6052E">
        <w:t xml:space="preserve"> </w:t>
      </w:r>
      <w:r w:rsidRPr="00C6052E">
        <w:t>on</w:t>
      </w:r>
      <w:r w:rsidR="00177848" w:rsidRPr="00C6052E">
        <w:t xml:space="preserve"> </w:t>
      </w:r>
      <w:r w:rsidRPr="00C6052E">
        <w:t>the</w:t>
      </w:r>
      <w:r w:rsidR="00177848" w:rsidRPr="00C6052E">
        <w:t xml:space="preserve"> </w:t>
      </w:r>
      <w:r w:rsidRPr="00C6052E">
        <w:t>nature</w:t>
      </w:r>
      <w:r w:rsidR="00177848" w:rsidRPr="00C6052E">
        <w:t xml:space="preserve"> </w:t>
      </w:r>
      <w:r w:rsidRPr="00C6052E">
        <w:t>and</w:t>
      </w:r>
      <w:r w:rsidR="00177848" w:rsidRPr="00C6052E">
        <w:t xml:space="preserve"> </w:t>
      </w:r>
      <w:r w:rsidRPr="00C6052E">
        <w:t>purpose</w:t>
      </w:r>
      <w:r w:rsidR="00177848" w:rsidRPr="00C6052E">
        <w:t xml:space="preserve"> </w:t>
      </w:r>
      <w:r w:rsidRPr="00C6052E">
        <w:t>of</w:t>
      </w:r>
      <w:r w:rsidR="00177848" w:rsidRPr="00C6052E">
        <w:t xml:space="preserve"> </w:t>
      </w:r>
      <w:r w:rsidRPr="00C6052E">
        <w:t>the</w:t>
      </w:r>
      <w:r w:rsidR="00177848" w:rsidRPr="00C6052E">
        <w:t xml:space="preserve"> </w:t>
      </w:r>
      <w:r w:rsidRPr="00C6052E">
        <w:t>interest-bearing</w:t>
      </w:r>
      <w:r w:rsidR="00177848" w:rsidRPr="00C6052E">
        <w:t xml:space="preserve"> </w:t>
      </w:r>
      <w:r w:rsidRPr="00C6052E">
        <w:t>liabilities.</w:t>
      </w:r>
      <w:r w:rsidR="00177848" w:rsidRPr="00C6052E">
        <w:t xml:space="preserve"> </w:t>
      </w:r>
      <w:r w:rsidRPr="00C6052E">
        <w:t>DJSIR</w:t>
      </w:r>
      <w:r w:rsidR="00177848" w:rsidRPr="00C6052E">
        <w:t xml:space="preserve"> </w:t>
      </w:r>
      <w:r w:rsidRPr="00C6052E">
        <w:t>determines</w:t>
      </w:r>
      <w:r w:rsidR="00177848" w:rsidRPr="00C6052E">
        <w:t xml:space="preserve"> </w:t>
      </w:r>
      <w:r w:rsidRPr="00C6052E">
        <w:t>the</w:t>
      </w:r>
      <w:r w:rsidR="00177848" w:rsidRPr="00C6052E">
        <w:t xml:space="preserve"> </w:t>
      </w:r>
      <w:r w:rsidRPr="00C6052E">
        <w:t>classification</w:t>
      </w:r>
      <w:r w:rsidR="00177848" w:rsidRPr="00C6052E">
        <w:t xml:space="preserve"> </w:t>
      </w:r>
      <w:r w:rsidRPr="00C6052E">
        <w:t>of</w:t>
      </w:r>
      <w:r w:rsidR="00177848" w:rsidRPr="00C6052E">
        <w:t xml:space="preserve"> </w:t>
      </w:r>
      <w:r w:rsidRPr="00C6052E">
        <w:t>its</w:t>
      </w:r>
      <w:r w:rsidR="00177848" w:rsidRPr="00C6052E">
        <w:t xml:space="preserve"> </w:t>
      </w:r>
      <w:r w:rsidRPr="00C6052E">
        <w:t>interest-bearing</w:t>
      </w:r>
      <w:r w:rsidR="00177848" w:rsidRPr="00C6052E">
        <w:t xml:space="preserve"> </w:t>
      </w:r>
      <w:r w:rsidRPr="00C6052E">
        <w:t>liabilities</w:t>
      </w:r>
      <w:r w:rsidR="00177848" w:rsidRPr="00C6052E">
        <w:t xml:space="preserve"> </w:t>
      </w:r>
      <w:r w:rsidRPr="00C6052E">
        <w:t>at</w:t>
      </w:r>
      <w:r w:rsidR="00177848" w:rsidRPr="00C6052E">
        <w:t xml:space="preserve"> </w:t>
      </w:r>
      <w:r w:rsidRPr="00C6052E">
        <w:t>initial</w:t>
      </w:r>
      <w:r w:rsidR="00177848" w:rsidRPr="00C6052E">
        <w:t xml:space="preserve"> </w:t>
      </w:r>
      <w:r w:rsidRPr="00C6052E">
        <w:t>recognition.</w:t>
      </w:r>
      <w:r w:rsidR="00177848" w:rsidRPr="00C6052E">
        <w:t xml:space="preserve"> </w:t>
      </w:r>
    </w:p>
    <w:p w14:paraId="5C049B90" w14:textId="670E1C27" w:rsidR="00EE5BB8" w:rsidRPr="00C6052E" w:rsidRDefault="00EE5BB8" w:rsidP="00EE5BB8">
      <w:pPr>
        <w:rPr>
          <w:spacing w:val="-2"/>
        </w:rPr>
      </w:pPr>
      <w:r w:rsidRPr="00C6052E">
        <w:rPr>
          <w:spacing w:val="-2"/>
        </w:rPr>
        <w:t>All</w:t>
      </w:r>
      <w:r w:rsidR="00177848" w:rsidRPr="00C6052E">
        <w:rPr>
          <w:spacing w:val="-2"/>
        </w:rPr>
        <w:t xml:space="preserve"> </w:t>
      </w:r>
      <w:r w:rsidRPr="00C6052E">
        <w:rPr>
          <w:spacing w:val="-2"/>
        </w:rPr>
        <w:t>other</w:t>
      </w:r>
      <w:r w:rsidR="00177848" w:rsidRPr="00C6052E">
        <w:rPr>
          <w:spacing w:val="-2"/>
        </w:rPr>
        <w:t xml:space="preserve"> </w:t>
      </w:r>
      <w:r w:rsidRPr="00C6052E">
        <w:rPr>
          <w:spacing w:val="-2"/>
        </w:rPr>
        <w:t>interest-bearing</w:t>
      </w:r>
      <w:r w:rsidR="00177848" w:rsidRPr="00C6052E">
        <w:rPr>
          <w:spacing w:val="-2"/>
        </w:rPr>
        <w:t xml:space="preserve"> </w:t>
      </w:r>
      <w:r w:rsidRPr="00C6052E">
        <w:rPr>
          <w:spacing w:val="-2"/>
        </w:rPr>
        <w:t>borrowings</w:t>
      </w:r>
      <w:r w:rsidR="00177848" w:rsidRPr="00C6052E">
        <w:rPr>
          <w:spacing w:val="-2"/>
        </w:rPr>
        <w:t xml:space="preserve"> </w:t>
      </w:r>
      <w:r w:rsidRPr="00C6052E">
        <w:rPr>
          <w:spacing w:val="-2"/>
        </w:rPr>
        <w:t>are</w:t>
      </w:r>
      <w:r w:rsidR="00177848" w:rsidRPr="00C6052E">
        <w:rPr>
          <w:spacing w:val="-2"/>
        </w:rPr>
        <w:t xml:space="preserve"> </w:t>
      </w:r>
      <w:r w:rsidRPr="00C6052E">
        <w:rPr>
          <w:spacing w:val="-2"/>
        </w:rPr>
        <w:t>initially</w:t>
      </w:r>
      <w:r w:rsidR="00177848" w:rsidRPr="00C6052E">
        <w:rPr>
          <w:spacing w:val="-2"/>
        </w:rPr>
        <w:t xml:space="preserve"> </w:t>
      </w:r>
      <w:r w:rsidRPr="00C6052E">
        <w:rPr>
          <w:spacing w:val="-2"/>
        </w:rPr>
        <w:t>recognised</w:t>
      </w:r>
      <w:r w:rsidR="00177848" w:rsidRPr="00C6052E">
        <w:rPr>
          <w:spacing w:val="-2"/>
        </w:rPr>
        <w:t xml:space="preserve"> </w:t>
      </w:r>
      <w:r w:rsidRPr="00C6052E">
        <w:rPr>
          <w:spacing w:val="-2"/>
        </w:rPr>
        <w:t>at</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fair</w:t>
      </w:r>
      <w:r w:rsidR="00177848" w:rsidRPr="00C6052E">
        <w:rPr>
          <w:spacing w:val="-2"/>
        </w:rPr>
        <w:t xml:space="preserve"> </w:t>
      </w:r>
      <w:r w:rsidRPr="00C6052E">
        <w:rPr>
          <w:spacing w:val="-2"/>
        </w:rPr>
        <w:t>value</w:t>
      </w:r>
      <w:r w:rsidR="00177848" w:rsidRPr="00C6052E">
        <w:rPr>
          <w:spacing w:val="-2"/>
        </w:rPr>
        <w:t xml:space="preserve"> </w:t>
      </w:r>
      <w:r w:rsidRPr="00C6052E">
        <w:rPr>
          <w:spacing w:val="-2"/>
        </w:rPr>
        <w:t>of</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consideration</w:t>
      </w:r>
      <w:r w:rsidR="00177848" w:rsidRPr="00C6052E">
        <w:rPr>
          <w:spacing w:val="-2"/>
        </w:rPr>
        <w:t xml:space="preserve"> </w:t>
      </w:r>
      <w:r w:rsidRPr="00C6052E">
        <w:rPr>
          <w:spacing w:val="-2"/>
        </w:rPr>
        <w:t>received</w:t>
      </w:r>
      <w:r w:rsidR="00177848" w:rsidRPr="00C6052E">
        <w:rPr>
          <w:spacing w:val="-2"/>
        </w:rPr>
        <w:t xml:space="preserve"> </w:t>
      </w:r>
      <w:r w:rsidRPr="00C6052E">
        <w:rPr>
          <w:spacing w:val="-2"/>
        </w:rPr>
        <w:t>less</w:t>
      </w:r>
      <w:r w:rsidR="00177848" w:rsidRPr="00C6052E">
        <w:rPr>
          <w:spacing w:val="-2"/>
        </w:rPr>
        <w:t xml:space="preserve"> </w:t>
      </w:r>
      <w:r w:rsidRPr="00C6052E">
        <w:rPr>
          <w:spacing w:val="-2"/>
        </w:rPr>
        <w:t>directly</w:t>
      </w:r>
      <w:r w:rsidR="00177848" w:rsidRPr="00C6052E">
        <w:rPr>
          <w:spacing w:val="-2"/>
        </w:rPr>
        <w:t xml:space="preserve"> </w:t>
      </w:r>
      <w:r w:rsidRPr="00C6052E">
        <w:rPr>
          <w:spacing w:val="-2"/>
        </w:rPr>
        <w:t>attributable</w:t>
      </w:r>
      <w:r w:rsidR="00177848" w:rsidRPr="00C6052E">
        <w:rPr>
          <w:spacing w:val="-2"/>
        </w:rPr>
        <w:t xml:space="preserve"> </w:t>
      </w:r>
      <w:r w:rsidRPr="00C6052E">
        <w:rPr>
          <w:spacing w:val="-2"/>
        </w:rPr>
        <w:t>transaction</w:t>
      </w:r>
      <w:r w:rsidR="00177848" w:rsidRPr="00C6052E">
        <w:rPr>
          <w:spacing w:val="-2"/>
        </w:rPr>
        <w:t xml:space="preserve"> </w:t>
      </w:r>
      <w:r w:rsidRPr="00C6052E">
        <w:rPr>
          <w:spacing w:val="-2"/>
        </w:rPr>
        <w:t>costs</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subsequently</w:t>
      </w:r>
      <w:r w:rsidR="00177848" w:rsidRPr="00C6052E">
        <w:rPr>
          <w:spacing w:val="-2"/>
        </w:rPr>
        <w:t xml:space="preserve"> </w:t>
      </w:r>
      <w:r w:rsidRPr="00C6052E">
        <w:rPr>
          <w:spacing w:val="-2"/>
        </w:rPr>
        <w:t>measured</w:t>
      </w:r>
      <w:r w:rsidR="00177848" w:rsidRPr="00C6052E">
        <w:rPr>
          <w:spacing w:val="-2"/>
        </w:rPr>
        <w:t xml:space="preserve"> </w:t>
      </w:r>
      <w:r w:rsidRPr="00C6052E">
        <w:rPr>
          <w:spacing w:val="-2"/>
        </w:rPr>
        <w:t>at</w:t>
      </w:r>
      <w:r w:rsidR="00177848" w:rsidRPr="00C6052E">
        <w:rPr>
          <w:spacing w:val="-2"/>
        </w:rPr>
        <w:t xml:space="preserve"> </w:t>
      </w:r>
      <w:r w:rsidRPr="00C6052E">
        <w:rPr>
          <w:spacing w:val="-2"/>
        </w:rPr>
        <w:t>amortised</w:t>
      </w:r>
      <w:r w:rsidR="00177848" w:rsidRPr="00C6052E">
        <w:rPr>
          <w:spacing w:val="-2"/>
        </w:rPr>
        <w:t xml:space="preserve"> </w:t>
      </w:r>
      <w:r w:rsidRPr="00C6052E">
        <w:rPr>
          <w:spacing w:val="-2"/>
        </w:rPr>
        <w:t>cost</w:t>
      </w:r>
      <w:r w:rsidR="00177848" w:rsidRPr="00C6052E">
        <w:rPr>
          <w:spacing w:val="-2"/>
        </w:rPr>
        <w:t xml:space="preserve"> </w:t>
      </w:r>
      <w:r w:rsidRPr="00C6052E">
        <w:rPr>
          <w:spacing w:val="-2"/>
        </w:rPr>
        <w:t>using</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effective</w:t>
      </w:r>
      <w:r w:rsidR="00177848" w:rsidRPr="00C6052E">
        <w:rPr>
          <w:spacing w:val="-2"/>
        </w:rPr>
        <w:t xml:space="preserve"> </w:t>
      </w:r>
      <w:r w:rsidRPr="00C6052E">
        <w:rPr>
          <w:spacing w:val="-2"/>
        </w:rPr>
        <w:t>interest</w:t>
      </w:r>
      <w:r w:rsidR="00177848" w:rsidRPr="00C6052E">
        <w:rPr>
          <w:spacing w:val="-2"/>
        </w:rPr>
        <w:t xml:space="preserve"> </w:t>
      </w:r>
      <w:r w:rsidRPr="00C6052E">
        <w:rPr>
          <w:spacing w:val="-2"/>
        </w:rPr>
        <w:t>method.</w:t>
      </w:r>
      <w:r w:rsidR="00177848" w:rsidRPr="00C6052E">
        <w:rPr>
          <w:spacing w:val="-2"/>
        </w:rPr>
        <w:t xml:space="preserve"> </w:t>
      </w:r>
    </w:p>
    <w:p w14:paraId="37D0C612" w14:textId="469FB785" w:rsidR="00EE5BB8" w:rsidRPr="00C6052E" w:rsidRDefault="00EE5BB8" w:rsidP="00EE5BB8">
      <w:r w:rsidRPr="00C6052E">
        <w:t>During</w:t>
      </w:r>
      <w:r w:rsidR="00177848" w:rsidRPr="00C6052E">
        <w:t xml:space="preserve"> </w:t>
      </w:r>
      <w:r w:rsidRPr="00C6052E">
        <w:t>the</w:t>
      </w:r>
      <w:r w:rsidR="00177848" w:rsidRPr="00C6052E">
        <w:t xml:space="preserve"> </w:t>
      </w:r>
      <w:r w:rsidRPr="00C6052E">
        <w:t>current</w:t>
      </w:r>
      <w:r w:rsidR="00177848" w:rsidRPr="00C6052E">
        <w:t xml:space="preserve"> </w:t>
      </w:r>
      <w:r w:rsidRPr="00C6052E">
        <w:t>year,</w:t>
      </w:r>
      <w:r w:rsidR="00177848" w:rsidRPr="00C6052E">
        <w:t xml:space="preserve"> </w:t>
      </w:r>
      <w:r w:rsidRPr="00C6052E">
        <w:t>there</w:t>
      </w:r>
      <w:r w:rsidR="00177848" w:rsidRPr="00C6052E">
        <w:t xml:space="preserve"> </w:t>
      </w:r>
      <w:r w:rsidRPr="00C6052E">
        <w:t>were</w:t>
      </w:r>
      <w:r w:rsidR="00177848" w:rsidRPr="00C6052E">
        <w:t xml:space="preserve"> </w:t>
      </w:r>
      <w:r w:rsidRPr="00C6052E">
        <w:t>no</w:t>
      </w:r>
      <w:r w:rsidR="00177848" w:rsidRPr="00C6052E">
        <w:t xml:space="preserve"> </w:t>
      </w:r>
      <w:r w:rsidRPr="00C6052E">
        <w:t>defaults</w:t>
      </w:r>
      <w:r w:rsidR="00177848" w:rsidRPr="00C6052E">
        <w:t xml:space="preserve"> </w:t>
      </w:r>
      <w:r w:rsidRPr="00C6052E">
        <w:t>and</w:t>
      </w:r>
      <w:r w:rsidR="00177848" w:rsidRPr="00C6052E">
        <w:t xml:space="preserve"> </w:t>
      </w:r>
      <w:r w:rsidRPr="00C6052E">
        <w:t>breaches</w:t>
      </w:r>
      <w:r w:rsidR="00177848" w:rsidRPr="00C6052E">
        <w:t xml:space="preserve"> </w:t>
      </w:r>
      <w:r w:rsidRPr="00C6052E">
        <w:t>of</w:t>
      </w:r>
      <w:r w:rsidR="00177848" w:rsidRPr="00C6052E">
        <w:t xml:space="preserve"> </w:t>
      </w:r>
      <w:r w:rsidRPr="00C6052E">
        <w:t>loans.</w:t>
      </w:r>
    </w:p>
    <w:p w14:paraId="5F4B6373" w14:textId="21E0DA05" w:rsidR="00EE5BB8" w:rsidRPr="00C6052E" w:rsidRDefault="00EE5BB8" w:rsidP="000C0740">
      <w:pPr>
        <w:pStyle w:val="Heading3numbered0"/>
      </w:pPr>
      <w:r w:rsidRPr="00C6052E">
        <w:lastRenderedPageBreak/>
        <w:t>Maturity</w:t>
      </w:r>
      <w:r w:rsidR="00177848" w:rsidRPr="00C6052E">
        <w:t xml:space="preserve"> </w:t>
      </w:r>
      <w:r w:rsidRPr="00C6052E">
        <w:t>analysis</w:t>
      </w:r>
      <w:r w:rsidR="00177848" w:rsidRPr="00C6052E">
        <w:t xml:space="preserve"> </w:t>
      </w:r>
      <w:r w:rsidRPr="00C6052E">
        <w:t>of</w:t>
      </w:r>
      <w:r w:rsidR="00177848" w:rsidRPr="00C6052E">
        <w:t xml:space="preserve"> </w:t>
      </w:r>
      <w:r w:rsidRPr="00C6052E">
        <w:t>borrowings</w:t>
      </w:r>
      <w:r w:rsidRPr="00C6052E">
        <w:rPr>
          <w:vertAlign w:val="superscript"/>
        </w:rPr>
        <w:t>(i)</w:t>
      </w:r>
    </w:p>
    <w:tbl>
      <w:tblPr>
        <w:tblStyle w:val="TableGrid"/>
        <w:tblW w:w="9711" w:type="dxa"/>
        <w:tblLayout w:type="fixed"/>
        <w:tblLook w:val="04E0" w:firstRow="1" w:lastRow="1" w:firstColumn="1" w:lastColumn="0" w:noHBand="0" w:noVBand="1"/>
      </w:tblPr>
      <w:tblGrid>
        <w:gridCol w:w="1838"/>
        <w:gridCol w:w="1077"/>
        <w:gridCol w:w="1077"/>
        <w:gridCol w:w="1247"/>
        <w:gridCol w:w="1247"/>
        <w:gridCol w:w="1075"/>
        <w:gridCol w:w="1075"/>
        <w:gridCol w:w="1075"/>
      </w:tblGrid>
      <w:tr w:rsidR="00EE5BB8" w:rsidRPr="001D1E8C" w14:paraId="7DB25F8F" w14:textId="77777777" w:rsidTr="00104228">
        <w:tc>
          <w:tcPr>
            <w:tcW w:w="1838" w:type="dxa"/>
            <w:noWrap/>
            <w:hideMark/>
          </w:tcPr>
          <w:p w14:paraId="4DD344A3" w14:textId="77777777" w:rsidR="00EE5BB8" w:rsidRPr="001D1E8C" w:rsidRDefault="00EE5BB8" w:rsidP="000F5B20">
            <w:pPr>
              <w:pStyle w:val="TableColumnHeading"/>
              <w:rPr>
                <w:szCs w:val="20"/>
              </w:rPr>
            </w:pPr>
            <w:bookmarkStart w:id="276" w:name="TableColumnHeadings_80"/>
            <w:bookmarkEnd w:id="276"/>
          </w:p>
        </w:tc>
        <w:tc>
          <w:tcPr>
            <w:tcW w:w="1077" w:type="dxa"/>
            <w:hideMark/>
          </w:tcPr>
          <w:p w14:paraId="3CFD0B9D" w14:textId="0D91F9BB" w:rsidR="00EE5BB8" w:rsidRPr="001D1E8C" w:rsidRDefault="00EE5BB8" w:rsidP="00B1545C">
            <w:pPr>
              <w:pStyle w:val="TableColumnHeading"/>
              <w:rPr>
                <w:szCs w:val="20"/>
                <w:lang w:val="en-AU"/>
              </w:rPr>
            </w:pPr>
            <w:r w:rsidRPr="001D1E8C">
              <w:rPr>
                <w:szCs w:val="20"/>
                <w:lang w:val="en-AU"/>
              </w:rPr>
              <w:t>Carrying</w:t>
            </w:r>
            <w:r w:rsidR="00B1545C" w:rsidRPr="001D1E8C">
              <w:rPr>
                <w:szCs w:val="20"/>
                <w:lang w:val="en-AU"/>
              </w:rPr>
              <w:t xml:space="preserve"> </w:t>
            </w:r>
            <w:r w:rsidRPr="001D1E8C">
              <w:rPr>
                <w:szCs w:val="20"/>
                <w:lang w:val="en-AU"/>
              </w:rPr>
              <w:t>amount</w:t>
            </w:r>
            <w:r w:rsidR="00104228" w:rsidRPr="001D1E8C">
              <w:rPr>
                <w:szCs w:val="20"/>
                <w:lang w:val="en-AU"/>
              </w:rPr>
              <w:br/>
              <w:t>($ ‘000)</w:t>
            </w:r>
          </w:p>
        </w:tc>
        <w:tc>
          <w:tcPr>
            <w:tcW w:w="1077" w:type="dxa"/>
            <w:hideMark/>
          </w:tcPr>
          <w:p w14:paraId="52B35D2D" w14:textId="7D994D09" w:rsidR="00EE5BB8" w:rsidRPr="001D1E8C" w:rsidRDefault="00EE5BB8" w:rsidP="00B1545C">
            <w:pPr>
              <w:pStyle w:val="TableColumnHeading"/>
              <w:rPr>
                <w:szCs w:val="20"/>
                <w:lang w:val="en-AU"/>
              </w:rPr>
            </w:pPr>
            <w:r w:rsidRPr="001D1E8C">
              <w:rPr>
                <w:szCs w:val="20"/>
                <w:lang w:val="en-AU"/>
              </w:rPr>
              <w:t>Nominal</w:t>
            </w:r>
            <w:r w:rsidR="00B1545C" w:rsidRPr="001D1E8C">
              <w:rPr>
                <w:szCs w:val="20"/>
                <w:lang w:val="en-AU"/>
              </w:rPr>
              <w:t xml:space="preserve"> </w:t>
            </w:r>
            <w:r w:rsidRPr="001D1E8C">
              <w:rPr>
                <w:szCs w:val="20"/>
                <w:lang w:val="en-AU"/>
              </w:rPr>
              <w:t>amount</w:t>
            </w:r>
            <w:r w:rsidR="00104228" w:rsidRPr="001D1E8C">
              <w:rPr>
                <w:szCs w:val="20"/>
                <w:lang w:val="en-AU"/>
              </w:rPr>
              <w:br/>
              <w:t>($ ‘000)</w:t>
            </w:r>
          </w:p>
        </w:tc>
        <w:tc>
          <w:tcPr>
            <w:tcW w:w="1247" w:type="dxa"/>
            <w:hideMark/>
          </w:tcPr>
          <w:p w14:paraId="460A6AB4" w14:textId="40D9A67A" w:rsidR="00EE5BB8" w:rsidRPr="001D1E8C" w:rsidRDefault="00EE5BB8" w:rsidP="00B1545C">
            <w:pPr>
              <w:pStyle w:val="TableColumnHeading"/>
              <w:rPr>
                <w:szCs w:val="20"/>
                <w:lang w:val="en-AU"/>
              </w:rPr>
            </w:pPr>
            <w:r w:rsidRPr="001D1E8C">
              <w:rPr>
                <w:szCs w:val="20"/>
                <w:lang w:val="en-AU"/>
              </w:rPr>
              <w:t>Less</w:t>
            </w:r>
            <w:r w:rsidR="00B1545C" w:rsidRPr="001D1E8C">
              <w:rPr>
                <w:szCs w:val="20"/>
                <w:lang w:val="en-AU"/>
              </w:rPr>
              <w:t xml:space="preserve"> </w:t>
            </w:r>
            <w:r w:rsidRPr="001D1E8C">
              <w:rPr>
                <w:szCs w:val="20"/>
                <w:lang w:val="en-AU"/>
              </w:rPr>
              <w:t>than</w:t>
            </w:r>
            <w:r w:rsidR="00177848" w:rsidRPr="001D1E8C">
              <w:rPr>
                <w:szCs w:val="20"/>
                <w:lang w:val="en-AU"/>
              </w:rPr>
              <w:t xml:space="preserve"> </w:t>
            </w:r>
            <w:r w:rsidRPr="001D1E8C">
              <w:rPr>
                <w:szCs w:val="20"/>
                <w:lang w:val="en-AU"/>
              </w:rPr>
              <w:t>1</w:t>
            </w:r>
            <w:r w:rsidR="001D1E8C">
              <w:rPr>
                <w:szCs w:val="20"/>
                <w:lang w:val="en-AU"/>
              </w:rPr>
              <w:t> </w:t>
            </w:r>
            <w:r w:rsidRPr="001D1E8C">
              <w:rPr>
                <w:szCs w:val="20"/>
                <w:lang w:val="en-AU"/>
              </w:rPr>
              <w:t>month</w:t>
            </w:r>
            <w:r w:rsidR="00104228" w:rsidRPr="001D1E8C">
              <w:rPr>
                <w:szCs w:val="20"/>
                <w:lang w:val="en-AU"/>
              </w:rPr>
              <w:br/>
            </w:r>
            <w:r w:rsidR="001D1E8C" w:rsidRPr="001D1E8C">
              <w:rPr>
                <w:szCs w:val="20"/>
                <w:lang w:val="en-AU"/>
              </w:rPr>
              <w:t xml:space="preserve">Maturity date </w:t>
            </w:r>
            <w:r w:rsidR="001D1E8C" w:rsidRPr="001D1E8C">
              <w:rPr>
                <w:szCs w:val="20"/>
                <w:lang w:val="en-AU"/>
              </w:rPr>
              <w:br/>
            </w:r>
            <w:r w:rsidR="00104228" w:rsidRPr="001D1E8C">
              <w:rPr>
                <w:szCs w:val="20"/>
                <w:lang w:val="en-AU"/>
              </w:rPr>
              <w:t>($ ‘000)</w:t>
            </w:r>
          </w:p>
        </w:tc>
        <w:tc>
          <w:tcPr>
            <w:tcW w:w="1247" w:type="dxa"/>
            <w:hideMark/>
          </w:tcPr>
          <w:p w14:paraId="18AC4FB0" w14:textId="7EBA7DC5" w:rsidR="00EE5BB8" w:rsidRPr="001D1E8C" w:rsidRDefault="00EE5BB8" w:rsidP="00B1545C">
            <w:pPr>
              <w:pStyle w:val="TableColumnHeading"/>
              <w:rPr>
                <w:szCs w:val="20"/>
                <w:lang w:val="en-AU"/>
              </w:rPr>
            </w:pPr>
            <w:r w:rsidRPr="001D1E8C">
              <w:rPr>
                <w:szCs w:val="20"/>
                <w:lang w:val="en-AU"/>
              </w:rPr>
              <w:t>1-3</w:t>
            </w:r>
            <w:r w:rsidR="00B1545C" w:rsidRPr="001D1E8C">
              <w:rPr>
                <w:szCs w:val="20"/>
                <w:lang w:val="en-AU"/>
              </w:rPr>
              <w:t xml:space="preserve"> </w:t>
            </w:r>
            <w:r w:rsidRPr="001D1E8C">
              <w:rPr>
                <w:szCs w:val="20"/>
                <w:lang w:val="en-AU"/>
              </w:rPr>
              <w:t>month</w:t>
            </w:r>
            <w:r w:rsidR="00104228" w:rsidRPr="001D1E8C">
              <w:rPr>
                <w:szCs w:val="20"/>
                <w:lang w:val="en-AU"/>
              </w:rPr>
              <w:br/>
            </w:r>
            <w:r w:rsidR="001D1E8C" w:rsidRPr="001D1E8C">
              <w:rPr>
                <w:szCs w:val="20"/>
                <w:lang w:val="en-AU"/>
              </w:rPr>
              <w:t xml:space="preserve">Maturity date </w:t>
            </w:r>
            <w:r w:rsidR="001D1E8C" w:rsidRPr="001D1E8C">
              <w:rPr>
                <w:szCs w:val="20"/>
                <w:lang w:val="en-AU"/>
              </w:rPr>
              <w:br/>
            </w:r>
            <w:r w:rsidR="00104228" w:rsidRPr="001D1E8C">
              <w:rPr>
                <w:szCs w:val="20"/>
                <w:lang w:val="en-AU"/>
              </w:rPr>
              <w:t>($ ‘000)</w:t>
            </w:r>
          </w:p>
        </w:tc>
        <w:tc>
          <w:tcPr>
            <w:tcW w:w="1075" w:type="dxa"/>
            <w:hideMark/>
          </w:tcPr>
          <w:p w14:paraId="2579D3AD" w14:textId="66540892" w:rsidR="00EE5BB8" w:rsidRPr="001D1E8C" w:rsidRDefault="00EE5BB8" w:rsidP="00B1545C">
            <w:pPr>
              <w:pStyle w:val="TableColumnHeading"/>
              <w:rPr>
                <w:szCs w:val="20"/>
                <w:lang w:val="en-AU"/>
              </w:rPr>
            </w:pPr>
            <w:r w:rsidRPr="001D1E8C">
              <w:rPr>
                <w:szCs w:val="20"/>
                <w:lang w:val="en-AU"/>
              </w:rPr>
              <w:t>3</w:t>
            </w:r>
            <w:r w:rsidR="00B1545C" w:rsidRPr="001D1E8C">
              <w:rPr>
                <w:szCs w:val="20"/>
                <w:lang w:val="en-AU"/>
              </w:rPr>
              <w:t xml:space="preserve"> </w:t>
            </w:r>
            <w:r w:rsidRPr="001D1E8C">
              <w:rPr>
                <w:szCs w:val="20"/>
                <w:lang w:val="en-AU"/>
              </w:rPr>
              <w:t>months-</w:t>
            </w:r>
            <w:r w:rsidR="001D1E8C" w:rsidRPr="001D1E8C">
              <w:rPr>
                <w:szCs w:val="20"/>
                <w:lang w:val="en-AU"/>
              </w:rPr>
              <w:t xml:space="preserve"> </w:t>
            </w:r>
            <w:r w:rsidRPr="001D1E8C">
              <w:rPr>
                <w:szCs w:val="20"/>
                <w:lang w:val="en-AU"/>
              </w:rPr>
              <w:t>1</w:t>
            </w:r>
            <w:r w:rsidR="00177848" w:rsidRPr="001D1E8C">
              <w:rPr>
                <w:szCs w:val="20"/>
                <w:lang w:val="en-AU"/>
              </w:rPr>
              <w:t xml:space="preserve"> </w:t>
            </w:r>
            <w:r w:rsidRPr="001D1E8C">
              <w:rPr>
                <w:szCs w:val="20"/>
                <w:lang w:val="en-AU"/>
              </w:rPr>
              <w:t>year</w:t>
            </w:r>
            <w:r w:rsidR="00104228" w:rsidRPr="001D1E8C">
              <w:rPr>
                <w:szCs w:val="20"/>
                <w:lang w:val="en-AU"/>
              </w:rPr>
              <w:br/>
            </w:r>
            <w:r w:rsidR="001D1E8C" w:rsidRPr="001D1E8C">
              <w:rPr>
                <w:szCs w:val="20"/>
                <w:lang w:val="en-AU"/>
              </w:rPr>
              <w:t xml:space="preserve">Maturity date </w:t>
            </w:r>
            <w:r w:rsidR="001D1E8C" w:rsidRPr="001D1E8C">
              <w:rPr>
                <w:szCs w:val="20"/>
                <w:lang w:val="en-AU"/>
              </w:rPr>
              <w:br/>
            </w:r>
            <w:r w:rsidR="00104228" w:rsidRPr="001D1E8C">
              <w:rPr>
                <w:szCs w:val="20"/>
                <w:lang w:val="en-AU"/>
              </w:rPr>
              <w:t>($ ‘000)</w:t>
            </w:r>
          </w:p>
        </w:tc>
        <w:tc>
          <w:tcPr>
            <w:tcW w:w="1075" w:type="dxa"/>
            <w:hideMark/>
          </w:tcPr>
          <w:p w14:paraId="4DBA6B4A" w14:textId="7735D415" w:rsidR="00EE5BB8" w:rsidRPr="001D1E8C" w:rsidRDefault="00EE5BB8" w:rsidP="00B1545C">
            <w:pPr>
              <w:pStyle w:val="TableColumnHeading"/>
              <w:rPr>
                <w:szCs w:val="20"/>
                <w:lang w:val="en-AU"/>
              </w:rPr>
            </w:pPr>
            <w:r w:rsidRPr="001D1E8C">
              <w:rPr>
                <w:szCs w:val="20"/>
                <w:lang w:val="en-AU"/>
              </w:rPr>
              <w:t>1-5</w:t>
            </w:r>
            <w:r w:rsidR="00B1545C" w:rsidRPr="001D1E8C">
              <w:rPr>
                <w:szCs w:val="20"/>
                <w:lang w:val="en-AU"/>
              </w:rPr>
              <w:t xml:space="preserve"> </w:t>
            </w:r>
            <w:r w:rsidRPr="001D1E8C">
              <w:rPr>
                <w:szCs w:val="20"/>
                <w:lang w:val="en-AU"/>
              </w:rPr>
              <w:t>years</w:t>
            </w:r>
            <w:r w:rsidR="00177848" w:rsidRPr="001D1E8C">
              <w:rPr>
                <w:szCs w:val="20"/>
                <w:lang w:val="en-AU"/>
              </w:rPr>
              <w:t xml:space="preserve"> </w:t>
            </w:r>
            <w:r w:rsidR="00104228" w:rsidRPr="001D1E8C">
              <w:rPr>
                <w:szCs w:val="20"/>
                <w:lang w:val="en-AU"/>
              </w:rPr>
              <w:br/>
            </w:r>
            <w:r w:rsidR="001D1E8C" w:rsidRPr="001D1E8C">
              <w:rPr>
                <w:szCs w:val="20"/>
                <w:lang w:val="en-AU"/>
              </w:rPr>
              <w:t>Maturity date</w:t>
            </w:r>
            <w:r w:rsidR="001D1E8C" w:rsidRPr="001D1E8C">
              <w:rPr>
                <w:szCs w:val="20"/>
                <w:lang w:val="en-AU"/>
              </w:rPr>
              <w:br/>
            </w:r>
            <w:r w:rsidR="00104228" w:rsidRPr="001D1E8C">
              <w:rPr>
                <w:szCs w:val="20"/>
                <w:lang w:val="en-AU"/>
              </w:rPr>
              <w:t>($ ‘000)</w:t>
            </w:r>
          </w:p>
        </w:tc>
        <w:tc>
          <w:tcPr>
            <w:tcW w:w="1075" w:type="dxa"/>
            <w:hideMark/>
          </w:tcPr>
          <w:p w14:paraId="03B2CEC0" w14:textId="09EBF961" w:rsidR="00EE5BB8" w:rsidRPr="001D1E8C" w:rsidRDefault="00EE5BB8" w:rsidP="00B1545C">
            <w:pPr>
              <w:pStyle w:val="TableColumnHeading"/>
              <w:rPr>
                <w:szCs w:val="20"/>
                <w:lang w:val="en-AU"/>
              </w:rPr>
            </w:pPr>
            <w:r w:rsidRPr="001D1E8C">
              <w:rPr>
                <w:szCs w:val="20"/>
                <w:lang w:val="en-AU"/>
              </w:rPr>
              <w:t>5+</w:t>
            </w:r>
            <w:r w:rsidR="00B1545C" w:rsidRPr="001D1E8C">
              <w:rPr>
                <w:szCs w:val="20"/>
                <w:lang w:val="en-AU"/>
              </w:rPr>
              <w:t xml:space="preserve"> </w:t>
            </w:r>
            <w:r w:rsidRPr="001D1E8C">
              <w:rPr>
                <w:szCs w:val="20"/>
                <w:lang w:val="en-AU"/>
              </w:rPr>
              <w:t>years</w:t>
            </w:r>
            <w:r w:rsidR="00104228" w:rsidRPr="001D1E8C">
              <w:rPr>
                <w:szCs w:val="20"/>
                <w:lang w:val="en-AU"/>
              </w:rPr>
              <w:br/>
            </w:r>
            <w:r w:rsidR="001D1E8C" w:rsidRPr="001D1E8C">
              <w:rPr>
                <w:szCs w:val="20"/>
                <w:lang w:val="en-AU"/>
              </w:rPr>
              <w:t>Maturity date</w:t>
            </w:r>
            <w:r w:rsidR="001D1E8C" w:rsidRPr="001D1E8C">
              <w:rPr>
                <w:szCs w:val="20"/>
                <w:lang w:val="en-AU"/>
              </w:rPr>
              <w:br/>
            </w:r>
            <w:r w:rsidR="00104228" w:rsidRPr="001D1E8C">
              <w:rPr>
                <w:szCs w:val="20"/>
                <w:lang w:val="en-AU"/>
              </w:rPr>
              <w:t>($ ‘000)</w:t>
            </w:r>
          </w:p>
        </w:tc>
      </w:tr>
      <w:tr w:rsidR="00104228" w:rsidRPr="00C6052E" w14:paraId="5F8BF84B" w14:textId="77777777" w:rsidTr="00104228">
        <w:tc>
          <w:tcPr>
            <w:tcW w:w="1838" w:type="dxa"/>
          </w:tcPr>
          <w:p w14:paraId="0FE84CC8" w14:textId="3CADFA74" w:rsidR="00104228" w:rsidRPr="00C6052E" w:rsidRDefault="00104228" w:rsidP="00104228">
            <w:pPr>
              <w:pStyle w:val="TableHeading"/>
            </w:pPr>
            <w:r w:rsidRPr="00C6052E">
              <w:t>2025</w:t>
            </w:r>
          </w:p>
        </w:tc>
        <w:tc>
          <w:tcPr>
            <w:tcW w:w="1077" w:type="dxa"/>
            <w:noWrap/>
          </w:tcPr>
          <w:p w14:paraId="5DD64B94" w14:textId="77777777" w:rsidR="00104228" w:rsidRPr="00C6052E" w:rsidRDefault="00104228" w:rsidP="00104228">
            <w:pPr>
              <w:pStyle w:val="TableHeading"/>
            </w:pPr>
          </w:p>
        </w:tc>
        <w:tc>
          <w:tcPr>
            <w:tcW w:w="1077" w:type="dxa"/>
            <w:noWrap/>
          </w:tcPr>
          <w:p w14:paraId="011E4C14" w14:textId="77777777" w:rsidR="00104228" w:rsidRPr="00C6052E" w:rsidRDefault="00104228" w:rsidP="00104228">
            <w:pPr>
              <w:pStyle w:val="TableHeading"/>
            </w:pPr>
          </w:p>
        </w:tc>
        <w:tc>
          <w:tcPr>
            <w:tcW w:w="1247" w:type="dxa"/>
            <w:noWrap/>
          </w:tcPr>
          <w:p w14:paraId="0259508B" w14:textId="77777777" w:rsidR="00104228" w:rsidRPr="00C6052E" w:rsidRDefault="00104228" w:rsidP="00104228">
            <w:pPr>
              <w:pStyle w:val="TableHeading"/>
            </w:pPr>
          </w:p>
        </w:tc>
        <w:tc>
          <w:tcPr>
            <w:tcW w:w="1247" w:type="dxa"/>
            <w:noWrap/>
          </w:tcPr>
          <w:p w14:paraId="37739D98" w14:textId="77777777" w:rsidR="00104228" w:rsidRPr="00C6052E" w:rsidRDefault="00104228" w:rsidP="00104228">
            <w:pPr>
              <w:pStyle w:val="TableHeading"/>
            </w:pPr>
          </w:p>
        </w:tc>
        <w:tc>
          <w:tcPr>
            <w:tcW w:w="1075" w:type="dxa"/>
            <w:noWrap/>
          </w:tcPr>
          <w:p w14:paraId="69719EED" w14:textId="77777777" w:rsidR="00104228" w:rsidRPr="00C6052E" w:rsidRDefault="00104228" w:rsidP="00104228">
            <w:pPr>
              <w:pStyle w:val="TableHeading"/>
            </w:pPr>
          </w:p>
        </w:tc>
        <w:tc>
          <w:tcPr>
            <w:tcW w:w="1075" w:type="dxa"/>
            <w:noWrap/>
          </w:tcPr>
          <w:p w14:paraId="46EADF5C" w14:textId="77777777" w:rsidR="00104228" w:rsidRPr="00C6052E" w:rsidRDefault="00104228" w:rsidP="00104228">
            <w:pPr>
              <w:pStyle w:val="TableHeading"/>
            </w:pPr>
          </w:p>
        </w:tc>
        <w:tc>
          <w:tcPr>
            <w:tcW w:w="1075" w:type="dxa"/>
            <w:noWrap/>
          </w:tcPr>
          <w:p w14:paraId="3B87B087" w14:textId="77777777" w:rsidR="00104228" w:rsidRPr="00C6052E" w:rsidRDefault="00104228" w:rsidP="00104228">
            <w:pPr>
              <w:pStyle w:val="TableHeading"/>
            </w:pPr>
          </w:p>
        </w:tc>
      </w:tr>
      <w:tr w:rsidR="00EE5BB8" w:rsidRPr="00C6052E" w14:paraId="5FD147D5" w14:textId="77777777" w:rsidTr="00104228">
        <w:tc>
          <w:tcPr>
            <w:tcW w:w="1838" w:type="dxa"/>
            <w:hideMark/>
          </w:tcPr>
          <w:p w14:paraId="6C5863EF" w14:textId="17539E4C" w:rsidR="00EE5BB8" w:rsidRPr="00C6052E" w:rsidRDefault="00EE5BB8" w:rsidP="0063097D">
            <w:pPr>
              <w:pStyle w:val="TableCopy"/>
            </w:pPr>
            <w:r w:rsidRPr="00C6052E">
              <w:t>Lease</w:t>
            </w:r>
            <w:r w:rsidR="00177848" w:rsidRPr="00C6052E">
              <w:t xml:space="preserve"> </w:t>
            </w:r>
            <w:r w:rsidRPr="00C6052E">
              <w:t>liabilities</w:t>
            </w:r>
          </w:p>
        </w:tc>
        <w:tc>
          <w:tcPr>
            <w:tcW w:w="1077" w:type="dxa"/>
            <w:noWrap/>
            <w:hideMark/>
          </w:tcPr>
          <w:p w14:paraId="15FEB97E" w14:textId="77777777" w:rsidR="00EE5BB8" w:rsidRPr="00C6052E" w:rsidRDefault="00EE5BB8" w:rsidP="00104228">
            <w:pPr>
              <w:pStyle w:val="TableCopy"/>
              <w:jc w:val="right"/>
            </w:pPr>
            <w:r w:rsidRPr="00C6052E">
              <w:t>12,633</w:t>
            </w:r>
          </w:p>
        </w:tc>
        <w:tc>
          <w:tcPr>
            <w:tcW w:w="1077" w:type="dxa"/>
            <w:noWrap/>
            <w:hideMark/>
          </w:tcPr>
          <w:p w14:paraId="681EDF60" w14:textId="77777777" w:rsidR="00EE5BB8" w:rsidRPr="00C6052E" w:rsidRDefault="00EE5BB8" w:rsidP="00104228">
            <w:pPr>
              <w:pStyle w:val="TableCopy"/>
              <w:jc w:val="right"/>
            </w:pPr>
            <w:r w:rsidRPr="00C6052E">
              <w:t>12,647</w:t>
            </w:r>
          </w:p>
        </w:tc>
        <w:tc>
          <w:tcPr>
            <w:tcW w:w="1247" w:type="dxa"/>
            <w:noWrap/>
            <w:hideMark/>
          </w:tcPr>
          <w:p w14:paraId="036C6675" w14:textId="77777777" w:rsidR="00EE5BB8" w:rsidRPr="00C6052E" w:rsidRDefault="00EE5BB8" w:rsidP="00104228">
            <w:pPr>
              <w:pStyle w:val="TableCopy"/>
              <w:jc w:val="right"/>
            </w:pPr>
            <w:r w:rsidRPr="00C6052E">
              <w:t>423</w:t>
            </w:r>
          </w:p>
        </w:tc>
        <w:tc>
          <w:tcPr>
            <w:tcW w:w="1247" w:type="dxa"/>
            <w:noWrap/>
            <w:hideMark/>
          </w:tcPr>
          <w:p w14:paraId="70A33E4A" w14:textId="77777777" w:rsidR="00EE5BB8" w:rsidRPr="00C6052E" w:rsidRDefault="00EE5BB8" w:rsidP="00104228">
            <w:pPr>
              <w:pStyle w:val="TableCopy"/>
              <w:jc w:val="right"/>
            </w:pPr>
            <w:r w:rsidRPr="00C6052E">
              <w:t>803</w:t>
            </w:r>
          </w:p>
        </w:tc>
        <w:tc>
          <w:tcPr>
            <w:tcW w:w="1075" w:type="dxa"/>
            <w:noWrap/>
            <w:hideMark/>
          </w:tcPr>
          <w:p w14:paraId="41998808" w14:textId="77777777" w:rsidR="00EE5BB8" w:rsidRPr="00C6052E" w:rsidRDefault="00EE5BB8" w:rsidP="00104228">
            <w:pPr>
              <w:pStyle w:val="TableCopy"/>
              <w:jc w:val="right"/>
            </w:pPr>
            <w:r w:rsidRPr="00C6052E">
              <w:t>3,285</w:t>
            </w:r>
          </w:p>
        </w:tc>
        <w:tc>
          <w:tcPr>
            <w:tcW w:w="1075" w:type="dxa"/>
            <w:noWrap/>
            <w:hideMark/>
          </w:tcPr>
          <w:p w14:paraId="3A046B28" w14:textId="77777777" w:rsidR="00EE5BB8" w:rsidRPr="00C6052E" w:rsidRDefault="00EE5BB8" w:rsidP="00104228">
            <w:pPr>
              <w:pStyle w:val="TableCopy"/>
              <w:jc w:val="right"/>
            </w:pPr>
            <w:r w:rsidRPr="00C6052E">
              <w:t>6,793</w:t>
            </w:r>
          </w:p>
        </w:tc>
        <w:tc>
          <w:tcPr>
            <w:tcW w:w="1075" w:type="dxa"/>
            <w:noWrap/>
            <w:hideMark/>
          </w:tcPr>
          <w:p w14:paraId="568FA59C" w14:textId="77777777" w:rsidR="00EE5BB8" w:rsidRPr="00C6052E" w:rsidRDefault="00EE5BB8" w:rsidP="00104228">
            <w:pPr>
              <w:pStyle w:val="TableCopy"/>
              <w:jc w:val="right"/>
            </w:pPr>
            <w:r w:rsidRPr="00C6052E">
              <w:t>1,343</w:t>
            </w:r>
          </w:p>
        </w:tc>
      </w:tr>
      <w:tr w:rsidR="00EE5BB8" w:rsidRPr="00C6052E" w14:paraId="4FD9B63D" w14:textId="77777777" w:rsidTr="00104228">
        <w:tc>
          <w:tcPr>
            <w:tcW w:w="1838" w:type="dxa"/>
            <w:hideMark/>
          </w:tcPr>
          <w:p w14:paraId="7ABDA160" w14:textId="5B421E8B" w:rsidR="00EE5BB8" w:rsidRPr="00C6052E" w:rsidRDefault="00EE5BB8" w:rsidP="0063097D">
            <w:pPr>
              <w:pStyle w:val="TableCopy"/>
            </w:pPr>
            <w:r w:rsidRPr="00C6052E">
              <w:t>Advances</w:t>
            </w:r>
            <w:r w:rsidR="00177848" w:rsidRPr="00C6052E">
              <w:t xml:space="preserve"> </w:t>
            </w:r>
            <w:r w:rsidRPr="00C6052E">
              <w:t>from</w:t>
            </w:r>
            <w:r w:rsidR="00177848" w:rsidRPr="00C6052E">
              <w:t xml:space="preserve"> </w:t>
            </w:r>
            <w:r w:rsidRPr="00C6052E">
              <w:t>government</w:t>
            </w:r>
          </w:p>
        </w:tc>
        <w:tc>
          <w:tcPr>
            <w:tcW w:w="1077" w:type="dxa"/>
            <w:noWrap/>
            <w:hideMark/>
          </w:tcPr>
          <w:p w14:paraId="57E4C866" w14:textId="77777777" w:rsidR="00EE5BB8" w:rsidRPr="00C6052E" w:rsidRDefault="00EE5BB8" w:rsidP="00104228">
            <w:pPr>
              <w:pStyle w:val="TableCopy"/>
              <w:jc w:val="right"/>
            </w:pPr>
            <w:r w:rsidRPr="00C6052E">
              <w:t>52,204</w:t>
            </w:r>
          </w:p>
        </w:tc>
        <w:tc>
          <w:tcPr>
            <w:tcW w:w="1077" w:type="dxa"/>
            <w:noWrap/>
            <w:hideMark/>
          </w:tcPr>
          <w:p w14:paraId="7EE8D9E0" w14:textId="77777777" w:rsidR="00EE5BB8" w:rsidRPr="00C6052E" w:rsidRDefault="00EE5BB8" w:rsidP="00104228">
            <w:pPr>
              <w:pStyle w:val="TableCopy"/>
              <w:jc w:val="right"/>
            </w:pPr>
            <w:r w:rsidRPr="00C6052E">
              <w:t>52,204</w:t>
            </w:r>
          </w:p>
        </w:tc>
        <w:tc>
          <w:tcPr>
            <w:tcW w:w="1247" w:type="dxa"/>
            <w:noWrap/>
            <w:hideMark/>
          </w:tcPr>
          <w:p w14:paraId="45FB6B00" w14:textId="77777777" w:rsidR="00EE5BB8" w:rsidRPr="00C6052E" w:rsidRDefault="00EE5BB8" w:rsidP="00104228">
            <w:pPr>
              <w:pStyle w:val="TableCopy"/>
              <w:jc w:val="right"/>
            </w:pPr>
            <w:r w:rsidRPr="00C6052E">
              <w:t>40,249</w:t>
            </w:r>
          </w:p>
        </w:tc>
        <w:tc>
          <w:tcPr>
            <w:tcW w:w="1247" w:type="dxa"/>
            <w:noWrap/>
            <w:hideMark/>
          </w:tcPr>
          <w:p w14:paraId="5944A5F5" w14:textId="77777777" w:rsidR="00EE5BB8" w:rsidRPr="00C6052E" w:rsidRDefault="00EE5BB8" w:rsidP="00104228">
            <w:pPr>
              <w:pStyle w:val="TableCopy"/>
              <w:jc w:val="right"/>
            </w:pPr>
            <w:r w:rsidRPr="00C6052E">
              <w:t>–</w:t>
            </w:r>
          </w:p>
        </w:tc>
        <w:tc>
          <w:tcPr>
            <w:tcW w:w="1075" w:type="dxa"/>
            <w:noWrap/>
            <w:hideMark/>
          </w:tcPr>
          <w:p w14:paraId="399F825E" w14:textId="77777777" w:rsidR="00EE5BB8" w:rsidRPr="00C6052E" w:rsidRDefault="00EE5BB8" w:rsidP="00104228">
            <w:pPr>
              <w:pStyle w:val="TableCopy"/>
              <w:jc w:val="right"/>
            </w:pPr>
            <w:r w:rsidRPr="00C6052E">
              <w:t>6,061</w:t>
            </w:r>
          </w:p>
        </w:tc>
        <w:tc>
          <w:tcPr>
            <w:tcW w:w="1075" w:type="dxa"/>
            <w:noWrap/>
            <w:hideMark/>
          </w:tcPr>
          <w:p w14:paraId="37592C3C" w14:textId="77777777" w:rsidR="00EE5BB8" w:rsidRPr="00C6052E" w:rsidRDefault="00EE5BB8" w:rsidP="00104228">
            <w:pPr>
              <w:pStyle w:val="TableCopy"/>
              <w:jc w:val="right"/>
            </w:pPr>
            <w:r w:rsidRPr="00C6052E">
              <w:t>5,894</w:t>
            </w:r>
          </w:p>
        </w:tc>
        <w:tc>
          <w:tcPr>
            <w:tcW w:w="1075" w:type="dxa"/>
            <w:noWrap/>
            <w:hideMark/>
          </w:tcPr>
          <w:p w14:paraId="7302DCB3" w14:textId="77777777" w:rsidR="00EE5BB8" w:rsidRPr="00C6052E" w:rsidRDefault="00EE5BB8" w:rsidP="00104228">
            <w:pPr>
              <w:pStyle w:val="TableCopy"/>
              <w:jc w:val="right"/>
            </w:pPr>
            <w:r w:rsidRPr="00C6052E">
              <w:t>–</w:t>
            </w:r>
          </w:p>
        </w:tc>
      </w:tr>
      <w:tr w:rsidR="00EE5BB8" w:rsidRPr="00C6052E" w14:paraId="43A98C73" w14:textId="77777777" w:rsidTr="00104228">
        <w:tc>
          <w:tcPr>
            <w:tcW w:w="1838" w:type="dxa"/>
            <w:noWrap/>
            <w:hideMark/>
          </w:tcPr>
          <w:p w14:paraId="6E311BB2" w14:textId="4E67A25B" w:rsidR="00EE5BB8" w:rsidRPr="00C6052E" w:rsidRDefault="00EE5BB8" w:rsidP="0063097D">
            <w:pPr>
              <w:pStyle w:val="Tabletotal"/>
            </w:pPr>
            <w:r w:rsidRPr="00C6052E">
              <w:t>Total</w:t>
            </w:r>
            <w:r w:rsidR="00177848" w:rsidRPr="00C6052E">
              <w:t xml:space="preserve"> </w:t>
            </w:r>
          </w:p>
        </w:tc>
        <w:tc>
          <w:tcPr>
            <w:tcW w:w="1077" w:type="dxa"/>
            <w:noWrap/>
            <w:hideMark/>
          </w:tcPr>
          <w:p w14:paraId="6D007E30" w14:textId="77777777" w:rsidR="00EE5BB8" w:rsidRPr="00C6052E" w:rsidRDefault="00EE5BB8" w:rsidP="0063097D">
            <w:pPr>
              <w:pStyle w:val="Tabletotal"/>
              <w:jc w:val="right"/>
            </w:pPr>
            <w:r w:rsidRPr="00C6052E">
              <w:t>64,837</w:t>
            </w:r>
          </w:p>
        </w:tc>
        <w:tc>
          <w:tcPr>
            <w:tcW w:w="1077" w:type="dxa"/>
            <w:noWrap/>
            <w:hideMark/>
          </w:tcPr>
          <w:p w14:paraId="46F5E176" w14:textId="77777777" w:rsidR="00EE5BB8" w:rsidRPr="00C6052E" w:rsidRDefault="00EE5BB8" w:rsidP="0063097D">
            <w:pPr>
              <w:pStyle w:val="Tabletotal"/>
              <w:jc w:val="right"/>
            </w:pPr>
            <w:r w:rsidRPr="00C6052E">
              <w:t>64,851</w:t>
            </w:r>
          </w:p>
        </w:tc>
        <w:tc>
          <w:tcPr>
            <w:tcW w:w="1247" w:type="dxa"/>
            <w:noWrap/>
            <w:hideMark/>
          </w:tcPr>
          <w:p w14:paraId="61D7469B" w14:textId="77777777" w:rsidR="00EE5BB8" w:rsidRPr="00C6052E" w:rsidRDefault="00EE5BB8" w:rsidP="0063097D">
            <w:pPr>
              <w:pStyle w:val="Tabletotal"/>
              <w:jc w:val="right"/>
            </w:pPr>
            <w:r w:rsidRPr="00C6052E">
              <w:t>40,672</w:t>
            </w:r>
          </w:p>
        </w:tc>
        <w:tc>
          <w:tcPr>
            <w:tcW w:w="1247" w:type="dxa"/>
            <w:noWrap/>
            <w:hideMark/>
          </w:tcPr>
          <w:p w14:paraId="1ABC80E0" w14:textId="77777777" w:rsidR="00EE5BB8" w:rsidRPr="00C6052E" w:rsidRDefault="00EE5BB8" w:rsidP="0063097D">
            <w:pPr>
              <w:pStyle w:val="Tabletotal"/>
              <w:jc w:val="right"/>
            </w:pPr>
            <w:r w:rsidRPr="00C6052E">
              <w:t>803</w:t>
            </w:r>
          </w:p>
        </w:tc>
        <w:tc>
          <w:tcPr>
            <w:tcW w:w="1075" w:type="dxa"/>
            <w:noWrap/>
            <w:hideMark/>
          </w:tcPr>
          <w:p w14:paraId="4CA8DFAD" w14:textId="77777777" w:rsidR="00EE5BB8" w:rsidRPr="00C6052E" w:rsidRDefault="00EE5BB8" w:rsidP="0063097D">
            <w:pPr>
              <w:pStyle w:val="Tabletotal"/>
              <w:jc w:val="right"/>
            </w:pPr>
            <w:r w:rsidRPr="00C6052E">
              <w:t>9,346</w:t>
            </w:r>
          </w:p>
        </w:tc>
        <w:tc>
          <w:tcPr>
            <w:tcW w:w="1075" w:type="dxa"/>
            <w:noWrap/>
            <w:hideMark/>
          </w:tcPr>
          <w:p w14:paraId="0599C293" w14:textId="77777777" w:rsidR="00EE5BB8" w:rsidRPr="00C6052E" w:rsidRDefault="00EE5BB8" w:rsidP="0063097D">
            <w:pPr>
              <w:pStyle w:val="Tabletotal"/>
              <w:jc w:val="right"/>
            </w:pPr>
            <w:r w:rsidRPr="00C6052E">
              <w:t>12,687</w:t>
            </w:r>
          </w:p>
        </w:tc>
        <w:tc>
          <w:tcPr>
            <w:tcW w:w="1075" w:type="dxa"/>
            <w:noWrap/>
            <w:hideMark/>
          </w:tcPr>
          <w:p w14:paraId="76CA22E4" w14:textId="77777777" w:rsidR="00EE5BB8" w:rsidRPr="00C6052E" w:rsidRDefault="00EE5BB8" w:rsidP="0063097D">
            <w:pPr>
              <w:pStyle w:val="Tabletotal"/>
              <w:jc w:val="right"/>
            </w:pPr>
            <w:r w:rsidRPr="00C6052E">
              <w:t>1,343</w:t>
            </w:r>
          </w:p>
        </w:tc>
      </w:tr>
      <w:tr w:rsidR="00104228" w:rsidRPr="00C6052E" w14:paraId="28E0D0B1" w14:textId="77777777" w:rsidTr="00104228">
        <w:tc>
          <w:tcPr>
            <w:tcW w:w="1838" w:type="dxa"/>
          </w:tcPr>
          <w:p w14:paraId="1A407300" w14:textId="104845E8" w:rsidR="00104228" w:rsidRPr="00C6052E" w:rsidRDefault="00104228" w:rsidP="00F43CC6">
            <w:pPr>
              <w:pStyle w:val="TableHeading"/>
            </w:pPr>
            <w:r w:rsidRPr="00C6052E">
              <w:t>2024</w:t>
            </w:r>
          </w:p>
        </w:tc>
        <w:tc>
          <w:tcPr>
            <w:tcW w:w="1077" w:type="dxa"/>
            <w:noWrap/>
          </w:tcPr>
          <w:p w14:paraId="35887EF9" w14:textId="77777777" w:rsidR="00104228" w:rsidRPr="00C6052E" w:rsidRDefault="00104228" w:rsidP="00F43CC6">
            <w:pPr>
              <w:pStyle w:val="TableHeading"/>
            </w:pPr>
          </w:p>
        </w:tc>
        <w:tc>
          <w:tcPr>
            <w:tcW w:w="1077" w:type="dxa"/>
            <w:noWrap/>
          </w:tcPr>
          <w:p w14:paraId="507BE43B" w14:textId="77777777" w:rsidR="00104228" w:rsidRPr="00C6052E" w:rsidRDefault="00104228" w:rsidP="00F43CC6">
            <w:pPr>
              <w:pStyle w:val="TableHeading"/>
            </w:pPr>
          </w:p>
        </w:tc>
        <w:tc>
          <w:tcPr>
            <w:tcW w:w="1247" w:type="dxa"/>
            <w:noWrap/>
          </w:tcPr>
          <w:p w14:paraId="3BEF9A1A" w14:textId="77777777" w:rsidR="00104228" w:rsidRPr="00C6052E" w:rsidRDefault="00104228" w:rsidP="00F43CC6">
            <w:pPr>
              <w:pStyle w:val="TableHeading"/>
            </w:pPr>
          </w:p>
        </w:tc>
        <w:tc>
          <w:tcPr>
            <w:tcW w:w="1247" w:type="dxa"/>
            <w:noWrap/>
          </w:tcPr>
          <w:p w14:paraId="71F7BC25" w14:textId="77777777" w:rsidR="00104228" w:rsidRPr="00C6052E" w:rsidRDefault="00104228" w:rsidP="00F43CC6">
            <w:pPr>
              <w:pStyle w:val="TableHeading"/>
            </w:pPr>
          </w:p>
        </w:tc>
        <w:tc>
          <w:tcPr>
            <w:tcW w:w="1075" w:type="dxa"/>
            <w:noWrap/>
          </w:tcPr>
          <w:p w14:paraId="47F9DC70" w14:textId="77777777" w:rsidR="00104228" w:rsidRPr="00C6052E" w:rsidRDefault="00104228" w:rsidP="00F43CC6">
            <w:pPr>
              <w:pStyle w:val="TableHeading"/>
            </w:pPr>
          </w:p>
        </w:tc>
        <w:tc>
          <w:tcPr>
            <w:tcW w:w="1075" w:type="dxa"/>
            <w:noWrap/>
          </w:tcPr>
          <w:p w14:paraId="578A9E69" w14:textId="77777777" w:rsidR="00104228" w:rsidRPr="00C6052E" w:rsidRDefault="00104228" w:rsidP="00F43CC6">
            <w:pPr>
              <w:pStyle w:val="TableHeading"/>
            </w:pPr>
          </w:p>
        </w:tc>
        <w:tc>
          <w:tcPr>
            <w:tcW w:w="1075" w:type="dxa"/>
            <w:noWrap/>
          </w:tcPr>
          <w:p w14:paraId="7BEC074B" w14:textId="77777777" w:rsidR="00104228" w:rsidRPr="00C6052E" w:rsidRDefault="00104228" w:rsidP="00F43CC6">
            <w:pPr>
              <w:pStyle w:val="TableHeading"/>
            </w:pPr>
          </w:p>
        </w:tc>
      </w:tr>
      <w:tr w:rsidR="00EE5BB8" w:rsidRPr="00C6052E" w14:paraId="3A999FD6" w14:textId="77777777" w:rsidTr="00104228">
        <w:tc>
          <w:tcPr>
            <w:tcW w:w="1838" w:type="dxa"/>
            <w:hideMark/>
          </w:tcPr>
          <w:p w14:paraId="4112EC9D" w14:textId="5134727A" w:rsidR="00EE5BB8" w:rsidRPr="00C6052E" w:rsidRDefault="00EE5BB8" w:rsidP="0063097D">
            <w:pPr>
              <w:pStyle w:val="TableCopy"/>
            </w:pPr>
            <w:r w:rsidRPr="00C6052E">
              <w:t>Lease</w:t>
            </w:r>
            <w:r w:rsidR="00177848" w:rsidRPr="00C6052E">
              <w:t xml:space="preserve"> </w:t>
            </w:r>
            <w:r w:rsidRPr="00C6052E">
              <w:t>liabilities</w:t>
            </w:r>
          </w:p>
        </w:tc>
        <w:tc>
          <w:tcPr>
            <w:tcW w:w="1077" w:type="dxa"/>
            <w:noWrap/>
            <w:hideMark/>
          </w:tcPr>
          <w:p w14:paraId="0E0C0C2B" w14:textId="77777777" w:rsidR="00EE5BB8" w:rsidRPr="00C6052E" w:rsidRDefault="00EE5BB8" w:rsidP="001D1E8C">
            <w:pPr>
              <w:pStyle w:val="TableCopy"/>
              <w:jc w:val="right"/>
            </w:pPr>
            <w:r w:rsidRPr="00C6052E">
              <w:t>12,890</w:t>
            </w:r>
          </w:p>
        </w:tc>
        <w:tc>
          <w:tcPr>
            <w:tcW w:w="1077" w:type="dxa"/>
            <w:noWrap/>
            <w:hideMark/>
          </w:tcPr>
          <w:p w14:paraId="7F3B8BE2" w14:textId="77777777" w:rsidR="00EE5BB8" w:rsidRPr="00C6052E" w:rsidRDefault="00EE5BB8" w:rsidP="001D1E8C">
            <w:pPr>
              <w:pStyle w:val="TableCopy"/>
              <w:jc w:val="right"/>
            </w:pPr>
            <w:r w:rsidRPr="00C6052E">
              <w:t>12,901</w:t>
            </w:r>
          </w:p>
        </w:tc>
        <w:tc>
          <w:tcPr>
            <w:tcW w:w="1247" w:type="dxa"/>
            <w:noWrap/>
            <w:hideMark/>
          </w:tcPr>
          <w:p w14:paraId="2A725B22" w14:textId="77777777" w:rsidR="00EE5BB8" w:rsidRPr="00C6052E" w:rsidRDefault="00EE5BB8" w:rsidP="001D1E8C">
            <w:pPr>
              <w:pStyle w:val="TableCopy"/>
              <w:jc w:val="right"/>
            </w:pPr>
            <w:r w:rsidRPr="00C6052E">
              <w:t>407</w:t>
            </w:r>
          </w:p>
        </w:tc>
        <w:tc>
          <w:tcPr>
            <w:tcW w:w="1247" w:type="dxa"/>
            <w:noWrap/>
            <w:hideMark/>
          </w:tcPr>
          <w:p w14:paraId="001EEEEA" w14:textId="77777777" w:rsidR="00EE5BB8" w:rsidRPr="00C6052E" w:rsidRDefault="00EE5BB8" w:rsidP="001D1E8C">
            <w:pPr>
              <w:pStyle w:val="TableCopy"/>
              <w:jc w:val="right"/>
            </w:pPr>
            <w:r w:rsidRPr="00C6052E">
              <w:t>817</w:t>
            </w:r>
          </w:p>
        </w:tc>
        <w:tc>
          <w:tcPr>
            <w:tcW w:w="1075" w:type="dxa"/>
            <w:noWrap/>
            <w:hideMark/>
          </w:tcPr>
          <w:p w14:paraId="3DC02607" w14:textId="77777777" w:rsidR="00EE5BB8" w:rsidRPr="00C6052E" w:rsidRDefault="00EE5BB8" w:rsidP="001D1E8C">
            <w:pPr>
              <w:pStyle w:val="TableCopy"/>
              <w:jc w:val="right"/>
            </w:pPr>
            <w:r w:rsidRPr="00C6052E">
              <w:t>3,229</w:t>
            </w:r>
          </w:p>
        </w:tc>
        <w:tc>
          <w:tcPr>
            <w:tcW w:w="1075" w:type="dxa"/>
            <w:noWrap/>
            <w:hideMark/>
          </w:tcPr>
          <w:p w14:paraId="0F7FBC08" w14:textId="77777777" w:rsidR="00EE5BB8" w:rsidRPr="00C6052E" w:rsidRDefault="00EE5BB8" w:rsidP="001D1E8C">
            <w:pPr>
              <w:pStyle w:val="TableCopy"/>
              <w:jc w:val="right"/>
            </w:pPr>
            <w:r w:rsidRPr="00C6052E">
              <w:t>7,106</w:t>
            </w:r>
          </w:p>
        </w:tc>
        <w:tc>
          <w:tcPr>
            <w:tcW w:w="1075" w:type="dxa"/>
            <w:noWrap/>
            <w:hideMark/>
          </w:tcPr>
          <w:p w14:paraId="325D2678" w14:textId="77777777" w:rsidR="00EE5BB8" w:rsidRPr="00C6052E" w:rsidRDefault="00EE5BB8" w:rsidP="001D1E8C">
            <w:pPr>
              <w:pStyle w:val="TableCopy"/>
              <w:jc w:val="right"/>
            </w:pPr>
            <w:r w:rsidRPr="00C6052E">
              <w:t>1,343</w:t>
            </w:r>
          </w:p>
        </w:tc>
      </w:tr>
      <w:tr w:rsidR="00EE5BB8" w:rsidRPr="00C6052E" w14:paraId="1AFBCA10" w14:textId="77777777" w:rsidTr="00104228">
        <w:tc>
          <w:tcPr>
            <w:tcW w:w="1838" w:type="dxa"/>
            <w:hideMark/>
          </w:tcPr>
          <w:p w14:paraId="3295B134" w14:textId="2138E347" w:rsidR="00EE5BB8" w:rsidRPr="00C6052E" w:rsidRDefault="00EE5BB8" w:rsidP="0063097D">
            <w:pPr>
              <w:pStyle w:val="TableCopy"/>
            </w:pPr>
            <w:r w:rsidRPr="00C6052E">
              <w:t>Advances</w:t>
            </w:r>
            <w:r w:rsidR="00177848" w:rsidRPr="00C6052E">
              <w:t xml:space="preserve"> </w:t>
            </w:r>
            <w:r w:rsidRPr="00C6052E">
              <w:t>from</w:t>
            </w:r>
            <w:r w:rsidR="00177848" w:rsidRPr="00C6052E">
              <w:t xml:space="preserve"> </w:t>
            </w:r>
            <w:r w:rsidRPr="00C6052E">
              <w:t>government</w:t>
            </w:r>
          </w:p>
        </w:tc>
        <w:tc>
          <w:tcPr>
            <w:tcW w:w="1077" w:type="dxa"/>
            <w:noWrap/>
            <w:hideMark/>
          </w:tcPr>
          <w:p w14:paraId="33BBF747" w14:textId="77777777" w:rsidR="00EE5BB8" w:rsidRPr="00C6052E" w:rsidRDefault="00EE5BB8" w:rsidP="001D1E8C">
            <w:pPr>
              <w:pStyle w:val="TableCopy"/>
              <w:jc w:val="right"/>
            </w:pPr>
            <w:r w:rsidRPr="00C6052E">
              <w:t>43,524</w:t>
            </w:r>
          </w:p>
        </w:tc>
        <w:tc>
          <w:tcPr>
            <w:tcW w:w="1077" w:type="dxa"/>
            <w:noWrap/>
            <w:hideMark/>
          </w:tcPr>
          <w:p w14:paraId="4D0A1B09" w14:textId="77777777" w:rsidR="00EE5BB8" w:rsidRPr="00C6052E" w:rsidRDefault="00EE5BB8" w:rsidP="001D1E8C">
            <w:pPr>
              <w:pStyle w:val="TableCopy"/>
              <w:jc w:val="right"/>
            </w:pPr>
            <w:r w:rsidRPr="00C6052E">
              <w:t>43,524</w:t>
            </w:r>
          </w:p>
        </w:tc>
        <w:tc>
          <w:tcPr>
            <w:tcW w:w="1247" w:type="dxa"/>
            <w:noWrap/>
            <w:hideMark/>
          </w:tcPr>
          <w:p w14:paraId="17BC039C" w14:textId="77777777" w:rsidR="00EE5BB8" w:rsidRPr="00C6052E" w:rsidRDefault="00EE5BB8" w:rsidP="001D1E8C">
            <w:pPr>
              <w:pStyle w:val="TableCopy"/>
              <w:jc w:val="right"/>
            </w:pPr>
            <w:r w:rsidRPr="00C6052E">
              <w:t>25,067</w:t>
            </w:r>
          </w:p>
        </w:tc>
        <w:tc>
          <w:tcPr>
            <w:tcW w:w="1247" w:type="dxa"/>
            <w:noWrap/>
            <w:hideMark/>
          </w:tcPr>
          <w:p w14:paraId="22E33B42" w14:textId="77777777" w:rsidR="00EE5BB8" w:rsidRPr="00C6052E" w:rsidRDefault="00EE5BB8" w:rsidP="001D1E8C">
            <w:pPr>
              <w:pStyle w:val="TableCopy"/>
              <w:jc w:val="right"/>
            </w:pPr>
            <w:r w:rsidRPr="00C6052E">
              <w:t>–</w:t>
            </w:r>
          </w:p>
        </w:tc>
        <w:tc>
          <w:tcPr>
            <w:tcW w:w="1075" w:type="dxa"/>
            <w:noWrap/>
            <w:hideMark/>
          </w:tcPr>
          <w:p w14:paraId="026526AD" w14:textId="77777777" w:rsidR="00EE5BB8" w:rsidRPr="00C6052E" w:rsidRDefault="00EE5BB8" w:rsidP="001D1E8C">
            <w:pPr>
              <w:pStyle w:val="TableCopy"/>
              <w:jc w:val="right"/>
            </w:pPr>
            <w:r w:rsidRPr="00C6052E">
              <w:t>9,040</w:t>
            </w:r>
          </w:p>
        </w:tc>
        <w:tc>
          <w:tcPr>
            <w:tcW w:w="1075" w:type="dxa"/>
            <w:noWrap/>
            <w:hideMark/>
          </w:tcPr>
          <w:p w14:paraId="7D896A33" w14:textId="77777777" w:rsidR="00EE5BB8" w:rsidRPr="00C6052E" w:rsidRDefault="00EE5BB8" w:rsidP="001D1E8C">
            <w:pPr>
              <w:pStyle w:val="TableCopy"/>
              <w:jc w:val="right"/>
            </w:pPr>
            <w:r w:rsidRPr="00C6052E">
              <w:t>9,417</w:t>
            </w:r>
          </w:p>
        </w:tc>
        <w:tc>
          <w:tcPr>
            <w:tcW w:w="1075" w:type="dxa"/>
            <w:noWrap/>
            <w:hideMark/>
          </w:tcPr>
          <w:p w14:paraId="1BBC1EF1" w14:textId="77777777" w:rsidR="00EE5BB8" w:rsidRPr="00C6052E" w:rsidRDefault="00EE5BB8" w:rsidP="001D1E8C">
            <w:pPr>
              <w:pStyle w:val="TableCopy"/>
              <w:jc w:val="right"/>
            </w:pPr>
            <w:r w:rsidRPr="00C6052E">
              <w:t>–</w:t>
            </w:r>
          </w:p>
        </w:tc>
      </w:tr>
      <w:tr w:rsidR="00EE5BB8" w:rsidRPr="00C6052E" w14:paraId="2CC4F8E7" w14:textId="77777777" w:rsidTr="00104228">
        <w:tc>
          <w:tcPr>
            <w:tcW w:w="1838" w:type="dxa"/>
            <w:noWrap/>
            <w:hideMark/>
          </w:tcPr>
          <w:p w14:paraId="4883785E" w14:textId="77777777" w:rsidR="00EE5BB8" w:rsidRPr="00C6052E" w:rsidRDefault="00EE5BB8" w:rsidP="0063097D">
            <w:pPr>
              <w:pStyle w:val="Tabletotal"/>
            </w:pPr>
            <w:r w:rsidRPr="00C6052E">
              <w:t>Total</w:t>
            </w:r>
          </w:p>
        </w:tc>
        <w:tc>
          <w:tcPr>
            <w:tcW w:w="1077" w:type="dxa"/>
            <w:noWrap/>
            <w:hideMark/>
          </w:tcPr>
          <w:p w14:paraId="76AD7C98" w14:textId="77777777" w:rsidR="00EE5BB8" w:rsidRPr="00C6052E" w:rsidRDefault="00EE5BB8" w:rsidP="0063097D">
            <w:pPr>
              <w:pStyle w:val="Tabletotal"/>
              <w:jc w:val="right"/>
            </w:pPr>
            <w:r w:rsidRPr="00C6052E">
              <w:t>56,414</w:t>
            </w:r>
          </w:p>
        </w:tc>
        <w:tc>
          <w:tcPr>
            <w:tcW w:w="1077" w:type="dxa"/>
            <w:noWrap/>
            <w:hideMark/>
          </w:tcPr>
          <w:p w14:paraId="7891DA3D" w14:textId="77777777" w:rsidR="00EE5BB8" w:rsidRPr="00C6052E" w:rsidRDefault="00EE5BB8" w:rsidP="0063097D">
            <w:pPr>
              <w:pStyle w:val="Tabletotal"/>
              <w:jc w:val="right"/>
            </w:pPr>
            <w:r w:rsidRPr="00C6052E">
              <w:t>56,426</w:t>
            </w:r>
          </w:p>
        </w:tc>
        <w:tc>
          <w:tcPr>
            <w:tcW w:w="1247" w:type="dxa"/>
            <w:noWrap/>
            <w:hideMark/>
          </w:tcPr>
          <w:p w14:paraId="0E6E3C4A" w14:textId="77777777" w:rsidR="00EE5BB8" w:rsidRPr="00C6052E" w:rsidRDefault="00EE5BB8" w:rsidP="0063097D">
            <w:pPr>
              <w:pStyle w:val="Tabletotal"/>
              <w:jc w:val="right"/>
            </w:pPr>
            <w:r w:rsidRPr="00C6052E">
              <w:t>25,474</w:t>
            </w:r>
          </w:p>
        </w:tc>
        <w:tc>
          <w:tcPr>
            <w:tcW w:w="1247" w:type="dxa"/>
            <w:noWrap/>
            <w:hideMark/>
          </w:tcPr>
          <w:p w14:paraId="360BAC8A" w14:textId="77777777" w:rsidR="00EE5BB8" w:rsidRPr="00C6052E" w:rsidRDefault="00EE5BB8" w:rsidP="0063097D">
            <w:pPr>
              <w:pStyle w:val="Tabletotal"/>
              <w:jc w:val="right"/>
            </w:pPr>
            <w:r w:rsidRPr="00C6052E">
              <w:t>817</w:t>
            </w:r>
          </w:p>
        </w:tc>
        <w:tc>
          <w:tcPr>
            <w:tcW w:w="1075" w:type="dxa"/>
            <w:noWrap/>
            <w:hideMark/>
          </w:tcPr>
          <w:p w14:paraId="78E6F2CF" w14:textId="77777777" w:rsidR="00EE5BB8" w:rsidRPr="00C6052E" w:rsidRDefault="00EE5BB8" w:rsidP="0063097D">
            <w:pPr>
              <w:pStyle w:val="Tabletotal"/>
              <w:jc w:val="right"/>
            </w:pPr>
            <w:r w:rsidRPr="00C6052E">
              <w:t>12,269</w:t>
            </w:r>
          </w:p>
        </w:tc>
        <w:tc>
          <w:tcPr>
            <w:tcW w:w="1075" w:type="dxa"/>
            <w:noWrap/>
            <w:hideMark/>
          </w:tcPr>
          <w:p w14:paraId="4EFDF6BE" w14:textId="77777777" w:rsidR="00EE5BB8" w:rsidRPr="00C6052E" w:rsidRDefault="00EE5BB8" w:rsidP="0063097D">
            <w:pPr>
              <w:pStyle w:val="Tabletotal"/>
              <w:jc w:val="right"/>
            </w:pPr>
            <w:r w:rsidRPr="00C6052E">
              <w:t>16,523</w:t>
            </w:r>
          </w:p>
        </w:tc>
        <w:tc>
          <w:tcPr>
            <w:tcW w:w="1075" w:type="dxa"/>
            <w:noWrap/>
            <w:hideMark/>
          </w:tcPr>
          <w:p w14:paraId="7FEFC77D" w14:textId="77777777" w:rsidR="00EE5BB8" w:rsidRPr="00C6052E" w:rsidRDefault="00EE5BB8" w:rsidP="0063097D">
            <w:pPr>
              <w:pStyle w:val="Tabletotal"/>
              <w:jc w:val="right"/>
            </w:pPr>
            <w:r w:rsidRPr="00C6052E">
              <w:t>1,343</w:t>
            </w:r>
          </w:p>
        </w:tc>
      </w:tr>
    </w:tbl>
    <w:p w14:paraId="1B8D7E60" w14:textId="6D890A81" w:rsidR="00EE5BB8" w:rsidRPr="00C6052E" w:rsidRDefault="00EE5BB8" w:rsidP="00EE5BB8">
      <w:pPr>
        <w:pStyle w:val="Tablenotes-numbered"/>
        <w:numPr>
          <w:ilvl w:val="0"/>
          <w:numId w:val="28"/>
        </w:numPr>
        <w:spacing w:after="170"/>
      </w:pPr>
      <w:r w:rsidRPr="00C6052E">
        <w:t>Maturity</w:t>
      </w:r>
      <w:r w:rsidR="00177848" w:rsidRPr="00C6052E">
        <w:t xml:space="preserve"> </w:t>
      </w:r>
      <w:r w:rsidRPr="00C6052E">
        <w:t>analysis</w:t>
      </w:r>
      <w:r w:rsidR="00177848" w:rsidRPr="00C6052E">
        <w:t xml:space="preserve"> </w:t>
      </w:r>
      <w:r w:rsidRPr="00C6052E">
        <w:t>is</w:t>
      </w:r>
      <w:r w:rsidR="00177848" w:rsidRPr="00C6052E">
        <w:t xml:space="preserve"> </w:t>
      </w:r>
      <w:r w:rsidRPr="00C6052E">
        <w:t>presented</w:t>
      </w:r>
      <w:r w:rsidR="00177848" w:rsidRPr="00C6052E">
        <w:t xml:space="preserve"> </w:t>
      </w:r>
      <w:r w:rsidRPr="00C6052E">
        <w:t>using</w:t>
      </w:r>
      <w:r w:rsidR="00177848" w:rsidRPr="00C6052E">
        <w:t xml:space="preserve"> </w:t>
      </w:r>
      <w:r w:rsidRPr="00C6052E">
        <w:t>the</w:t>
      </w:r>
      <w:r w:rsidR="00177848" w:rsidRPr="00C6052E">
        <w:t xml:space="preserve"> </w:t>
      </w:r>
      <w:r w:rsidRPr="00C6052E">
        <w:t>contractual</w:t>
      </w:r>
      <w:r w:rsidR="00177848" w:rsidRPr="00C6052E">
        <w:t xml:space="preserve"> </w:t>
      </w:r>
      <w:r w:rsidRPr="00C6052E">
        <w:t>and</w:t>
      </w:r>
      <w:r w:rsidR="00177848" w:rsidRPr="00C6052E">
        <w:t xml:space="preserve"> </w:t>
      </w:r>
      <w:r w:rsidRPr="00C6052E">
        <w:t>discounted</w:t>
      </w:r>
      <w:r w:rsidR="00177848" w:rsidRPr="00C6052E">
        <w:t xml:space="preserve"> </w:t>
      </w:r>
      <w:r w:rsidRPr="00C6052E">
        <w:t>cash</w:t>
      </w:r>
      <w:r w:rsidR="00177848" w:rsidRPr="00C6052E">
        <w:t xml:space="preserve"> </w:t>
      </w:r>
      <w:r w:rsidRPr="00C6052E">
        <w:t>flow.</w:t>
      </w:r>
    </w:p>
    <w:p w14:paraId="1E35F528" w14:textId="77777777" w:rsidR="00EE5BB8" w:rsidRPr="00C6052E" w:rsidRDefault="00EE5BB8" w:rsidP="00C6052E">
      <w:pPr>
        <w:pStyle w:val="Heading2numbered0"/>
      </w:pPr>
      <w:bookmarkStart w:id="277" w:name="_Toc163565979"/>
      <w:bookmarkStart w:id="278" w:name="_Ref209454614"/>
      <w:bookmarkStart w:id="279" w:name="_Ref209454625"/>
      <w:r w:rsidRPr="00C6052E">
        <w:t>Leases</w:t>
      </w:r>
      <w:bookmarkEnd w:id="277"/>
      <w:bookmarkEnd w:id="278"/>
      <w:bookmarkEnd w:id="279"/>
    </w:p>
    <w:p w14:paraId="170AAF90" w14:textId="60A44FC1" w:rsidR="00EE5BB8" w:rsidRPr="00C6052E" w:rsidRDefault="00EE5BB8" w:rsidP="000C0740">
      <w:pPr>
        <w:pStyle w:val="Heading3numbered0"/>
      </w:pPr>
      <w:bookmarkStart w:id="280" w:name="_Ref209513789"/>
      <w:r w:rsidRPr="00C6052E">
        <w:t>Leases</w:t>
      </w:r>
      <w:bookmarkEnd w:id="280"/>
      <w:r w:rsidR="00177848" w:rsidRPr="00C6052E">
        <w:t xml:space="preserve"> </w:t>
      </w:r>
    </w:p>
    <w:p w14:paraId="0FFDEB5A" w14:textId="49EE8255" w:rsidR="00EE5BB8" w:rsidRPr="00C6052E" w:rsidRDefault="00EE5BB8" w:rsidP="001D1E8C">
      <w:pPr>
        <w:keepNext/>
      </w:pPr>
      <w:r w:rsidRPr="00C6052E">
        <w:t>Information</w:t>
      </w:r>
      <w:r w:rsidR="00177848" w:rsidRPr="00C6052E">
        <w:t xml:space="preserve"> </w:t>
      </w:r>
      <w:r w:rsidRPr="00C6052E">
        <w:t>about</w:t>
      </w:r>
      <w:r w:rsidR="00177848" w:rsidRPr="00C6052E">
        <w:t xml:space="preserve"> </w:t>
      </w:r>
      <w:r w:rsidRPr="00C6052E">
        <w:t>leases</w:t>
      </w:r>
      <w:r w:rsidR="00177848" w:rsidRPr="00C6052E">
        <w:t xml:space="preserve"> </w:t>
      </w:r>
      <w:r w:rsidRPr="00C6052E">
        <w:t>for</w:t>
      </w:r>
      <w:r w:rsidR="00177848" w:rsidRPr="00C6052E">
        <w:t xml:space="preserve"> </w:t>
      </w:r>
      <w:r w:rsidRPr="00C6052E">
        <w:t>which</w:t>
      </w:r>
      <w:r w:rsidR="00177848" w:rsidRPr="00C6052E">
        <w:t xml:space="preserve"> </w:t>
      </w:r>
      <w:r w:rsidRPr="00C6052E">
        <w:t>DJSIR</w:t>
      </w:r>
      <w:r w:rsidR="00177848" w:rsidRPr="00C6052E">
        <w:t xml:space="preserve"> </w:t>
      </w:r>
      <w:r w:rsidRPr="00C6052E">
        <w:t>is</w:t>
      </w:r>
      <w:r w:rsidR="00177848" w:rsidRPr="00C6052E">
        <w:t xml:space="preserve"> </w:t>
      </w:r>
      <w:r w:rsidRPr="00C6052E">
        <w:t>a</w:t>
      </w:r>
      <w:r w:rsidR="00177848" w:rsidRPr="00C6052E">
        <w:t xml:space="preserve"> </w:t>
      </w:r>
      <w:r w:rsidRPr="00C6052E">
        <w:t>lessee</w:t>
      </w:r>
      <w:r w:rsidR="00177848" w:rsidRPr="00C6052E">
        <w:t xml:space="preserve"> </w:t>
      </w:r>
      <w:r w:rsidRPr="00C6052E">
        <w:t>is</w:t>
      </w:r>
      <w:r w:rsidR="00177848" w:rsidRPr="00C6052E">
        <w:t xml:space="preserve"> </w:t>
      </w:r>
      <w:r w:rsidRPr="00C6052E">
        <w:t>presented</w:t>
      </w:r>
      <w:r w:rsidR="00177848" w:rsidRPr="00C6052E">
        <w:t xml:space="preserve"> </w:t>
      </w:r>
      <w:r w:rsidRPr="00C6052E">
        <w:t>below.</w:t>
      </w:r>
    </w:p>
    <w:p w14:paraId="1B3A8C7A" w14:textId="4B44B07A" w:rsidR="00EE5BB8" w:rsidRPr="00C6052E" w:rsidRDefault="00EE5BB8" w:rsidP="001D1E8C">
      <w:pPr>
        <w:pStyle w:val="Heading4"/>
      </w:pPr>
      <w:r w:rsidRPr="00C6052E">
        <w:t>DJSIR’s</w:t>
      </w:r>
      <w:r w:rsidR="00177848" w:rsidRPr="00C6052E">
        <w:t xml:space="preserve"> </w:t>
      </w:r>
      <w:r w:rsidR="00C6052E" w:rsidRPr="00C6052E">
        <w:t>leasing</w:t>
      </w:r>
      <w:r w:rsidR="00177848" w:rsidRPr="00C6052E">
        <w:t xml:space="preserve"> </w:t>
      </w:r>
      <w:r w:rsidR="00C6052E" w:rsidRPr="00C6052E">
        <w:t>activities</w:t>
      </w:r>
      <w:r w:rsidR="00177848" w:rsidRPr="00C6052E">
        <w:t xml:space="preserve"> </w:t>
      </w:r>
    </w:p>
    <w:p w14:paraId="302BE150" w14:textId="000F5F7F" w:rsidR="00EE5BB8" w:rsidRPr="00C6052E" w:rsidRDefault="00EE5BB8" w:rsidP="00EE5BB8">
      <w:r w:rsidRPr="00C6052E">
        <w:t>DJSIR</w:t>
      </w:r>
      <w:r w:rsidR="00177848" w:rsidRPr="00C6052E">
        <w:t xml:space="preserve"> </w:t>
      </w:r>
      <w:r w:rsidRPr="00C6052E">
        <w:t>leases</w:t>
      </w:r>
      <w:r w:rsidR="00177848" w:rsidRPr="00C6052E">
        <w:t xml:space="preserve"> </w:t>
      </w:r>
      <w:r w:rsidRPr="00C6052E">
        <w:t>various</w:t>
      </w:r>
      <w:r w:rsidR="00177848" w:rsidRPr="00C6052E">
        <w:t xml:space="preserve"> </w:t>
      </w:r>
      <w:r w:rsidRPr="00C6052E">
        <w:t>properties</w:t>
      </w:r>
      <w:r w:rsidR="00177848" w:rsidRPr="00C6052E">
        <w:t xml:space="preserve"> </w:t>
      </w:r>
      <w:r w:rsidRPr="00C6052E">
        <w:t>and</w:t>
      </w:r>
      <w:r w:rsidR="00177848" w:rsidRPr="00C6052E">
        <w:t xml:space="preserve"> </w:t>
      </w:r>
      <w:r w:rsidRPr="00C6052E">
        <w:t>motor</w:t>
      </w:r>
      <w:r w:rsidR="00177848" w:rsidRPr="00C6052E">
        <w:t xml:space="preserve"> </w:t>
      </w:r>
      <w:r w:rsidRPr="00C6052E">
        <w:t>vehicles.</w:t>
      </w:r>
      <w:r w:rsidR="00177848" w:rsidRPr="00C6052E">
        <w:t xml:space="preserve"> </w:t>
      </w:r>
      <w:r w:rsidRPr="00C6052E">
        <w:t>The</w:t>
      </w:r>
      <w:r w:rsidR="00177848" w:rsidRPr="00C6052E">
        <w:t xml:space="preserve"> </w:t>
      </w:r>
      <w:r w:rsidRPr="00C6052E">
        <w:t>lease</w:t>
      </w:r>
      <w:r w:rsidR="00177848" w:rsidRPr="00C6052E">
        <w:t xml:space="preserve"> </w:t>
      </w:r>
      <w:r w:rsidRPr="00C6052E">
        <w:t>contracts</w:t>
      </w:r>
      <w:r w:rsidR="00177848" w:rsidRPr="00C6052E">
        <w:t xml:space="preserve"> </w:t>
      </w:r>
      <w:r w:rsidRPr="00C6052E">
        <w:t>are</w:t>
      </w:r>
      <w:r w:rsidR="00177848" w:rsidRPr="00C6052E">
        <w:t xml:space="preserve"> </w:t>
      </w:r>
      <w:r w:rsidRPr="00C6052E">
        <w:t>typically</w:t>
      </w:r>
      <w:r w:rsidR="00177848" w:rsidRPr="00C6052E">
        <w:t xml:space="preserve"> </w:t>
      </w:r>
      <w:r w:rsidRPr="00C6052E">
        <w:t>made</w:t>
      </w:r>
      <w:r w:rsidR="00177848" w:rsidRPr="00C6052E">
        <w:t xml:space="preserve"> </w:t>
      </w:r>
      <w:r w:rsidRPr="00C6052E">
        <w:t>for</w:t>
      </w:r>
      <w:r w:rsidR="00177848" w:rsidRPr="00C6052E">
        <w:t xml:space="preserve"> </w:t>
      </w:r>
      <w:r w:rsidRPr="00C6052E">
        <w:t>fixed</w:t>
      </w:r>
      <w:r w:rsidR="00177848" w:rsidRPr="00C6052E">
        <w:t xml:space="preserve"> </w:t>
      </w:r>
      <w:r w:rsidRPr="00C6052E">
        <w:t>periods</w:t>
      </w:r>
      <w:r w:rsidR="00177848" w:rsidRPr="00C6052E">
        <w:t xml:space="preserve"> </w:t>
      </w:r>
      <w:r w:rsidRPr="00C6052E">
        <w:t>of</w:t>
      </w:r>
      <w:r w:rsidR="00177848" w:rsidRPr="00C6052E">
        <w:t xml:space="preserve"> </w:t>
      </w:r>
      <w:r w:rsidRPr="00C6052E">
        <w:t>1–10</w:t>
      </w:r>
      <w:r w:rsidR="00177848" w:rsidRPr="00C6052E">
        <w:t xml:space="preserve"> </w:t>
      </w:r>
      <w:r w:rsidRPr="00C6052E">
        <w:t>years</w:t>
      </w:r>
      <w:r w:rsidR="00177848" w:rsidRPr="00C6052E">
        <w:t xml:space="preserve"> </w:t>
      </w:r>
      <w:r w:rsidRPr="00C6052E">
        <w:t>with</w:t>
      </w:r>
      <w:r w:rsidR="00177848" w:rsidRPr="00C6052E">
        <w:t xml:space="preserve"> </w:t>
      </w:r>
      <w:r w:rsidRPr="00C6052E">
        <w:t>an</w:t>
      </w:r>
      <w:r w:rsidR="00177848" w:rsidRPr="00C6052E">
        <w:t xml:space="preserve"> </w:t>
      </w:r>
      <w:r w:rsidRPr="00C6052E">
        <w:t>option</w:t>
      </w:r>
      <w:r w:rsidR="00177848" w:rsidRPr="00C6052E">
        <w:t xml:space="preserve"> </w:t>
      </w:r>
      <w:r w:rsidRPr="00C6052E">
        <w:t>to</w:t>
      </w:r>
      <w:r w:rsidR="00177848" w:rsidRPr="00C6052E">
        <w:t xml:space="preserve"> </w:t>
      </w:r>
      <w:r w:rsidRPr="00C6052E">
        <w:t>renew</w:t>
      </w:r>
      <w:r w:rsidR="00177848" w:rsidRPr="00C6052E">
        <w:t xml:space="preserve"> </w:t>
      </w:r>
      <w:r w:rsidRPr="00C6052E">
        <w:t>the</w:t>
      </w:r>
      <w:r w:rsidR="00177848" w:rsidRPr="00C6052E">
        <w:t xml:space="preserve"> </w:t>
      </w:r>
      <w:r w:rsidRPr="00C6052E">
        <w:t>lease</w:t>
      </w:r>
      <w:r w:rsidR="00177848" w:rsidRPr="00C6052E">
        <w:t xml:space="preserve"> </w:t>
      </w:r>
      <w:r w:rsidRPr="00C6052E">
        <w:t>after</w:t>
      </w:r>
      <w:r w:rsidR="00177848" w:rsidRPr="00C6052E">
        <w:t xml:space="preserve"> </w:t>
      </w:r>
      <w:r w:rsidRPr="00C6052E">
        <w:t>that</w:t>
      </w:r>
      <w:r w:rsidR="00177848" w:rsidRPr="00C6052E">
        <w:t xml:space="preserve"> </w:t>
      </w:r>
      <w:r w:rsidRPr="00C6052E">
        <w:t>date.</w:t>
      </w:r>
      <w:r w:rsidR="00177848" w:rsidRPr="00C6052E">
        <w:t xml:space="preserve"> </w:t>
      </w:r>
      <w:r w:rsidRPr="00C6052E">
        <w:t>Lease</w:t>
      </w:r>
      <w:r w:rsidR="00177848" w:rsidRPr="00C6052E">
        <w:t xml:space="preserve"> </w:t>
      </w:r>
      <w:r w:rsidRPr="00C6052E">
        <w:t>payments</w:t>
      </w:r>
      <w:r w:rsidR="00177848" w:rsidRPr="00C6052E">
        <w:t xml:space="preserve"> </w:t>
      </w:r>
      <w:r w:rsidRPr="00C6052E">
        <w:t>are</w:t>
      </w:r>
      <w:r w:rsidR="00177848" w:rsidRPr="00C6052E">
        <w:t xml:space="preserve"> </w:t>
      </w:r>
      <w:r w:rsidRPr="00C6052E">
        <w:t>renegotiated</w:t>
      </w:r>
      <w:r w:rsidR="00177848" w:rsidRPr="00C6052E">
        <w:t xml:space="preserve"> </w:t>
      </w:r>
      <w:r w:rsidRPr="00C6052E">
        <w:t>every</w:t>
      </w:r>
      <w:r w:rsidR="00177848" w:rsidRPr="00C6052E">
        <w:t xml:space="preserve"> </w:t>
      </w:r>
      <w:r w:rsidRPr="00C6052E">
        <w:t>five</w:t>
      </w:r>
      <w:r w:rsidR="00177848" w:rsidRPr="00C6052E">
        <w:t xml:space="preserve"> </w:t>
      </w:r>
      <w:r w:rsidRPr="00C6052E">
        <w:t>years</w:t>
      </w:r>
      <w:r w:rsidR="00177848" w:rsidRPr="00C6052E">
        <w:t xml:space="preserve"> </w:t>
      </w:r>
      <w:r w:rsidRPr="00C6052E">
        <w:t>to</w:t>
      </w:r>
      <w:r w:rsidR="00177848" w:rsidRPr="00C6052E">
        <w:t xml:space="preserve"> </w:t>
      </w:r>
      <w:r w:rsidRPr="00C6052E">
        <w:t>reflect</w:t>
      </w:r>
      <w:r w:rsidR="00177848" w:rsidRPr="00C6052E">
        <w:t xml:space="preserve"> </w:t>
      </w:r>
      <w:r w:rsidRPr="00C6052E">
        <w:t>market</w:t>
      </w:r>
      <w:r w:rsidR="00177848" w:rsidRPr="00C6052E">
        <w:t xml:space="preserve"> </w:t>
      </w:r>
      <w:r w:rsidRPr="00C6052E">
        <w:t>rentals.</w:t>
      </w:r>
    </w:p>
    <w:p w14:paraId="1E6F8E5C" w14:textId="434BC9B2" w:rsidR="00EE5BB8" w:rsidRPr="00C6052E" w:rsidRDefault="00EE5BB8" w:rsidP="001D1E8C">
      <w:pPr>
        <w:pStyle w:val="Heading5"/>
        <w:numPr>
          <w:ilvl w:val="0"/>
          <w:numId w:val="0"/>
        </w:numPr>
      </w:pPr>
      <w:r w:rsidRPr="00C6052E">
        <w:t>Leases</w:t>
      </w:r>
      <w:r w:rsidR="00177848" w:rsidRPr="00C6052E">
        <w:t xml:space="preserve"> </w:t>
      </w:r>
      <w:r w:rsidRPr="00C6052E">
        <w:t>at</w:t>
      </w:r>
      <w:r w:rsidR="00177848" w:rsidRPr="00C6052E">
        <w:t xml:space="preserve"> </w:t>
      </w:r>
      <w:r w:rsidRPr="00C6052E">
        <w:t>significantly</w:t>
      </w:r>
      <w:r w:rsidR="00177848" w:rsidRPr="00C6052E">
        <w:t xml:space="preserve"> </w:t>
      </w:r>
      <w:r w:rsidRPr="00C6052E">
        <w:t>below-market</w:t>
      </w:r>
      <w:r w:rsidR="00177848" w:rsidRPr="00C6052E">
        <w:t xml:space="preserve"> </w:t>
      </w:r>
      <w:r w:rsidRPr="00C6052E">
        <w:t>terms</w:t>
      </w:r>
      <w:r w:rsidR="00177848" w:rsidRPr="00C6052E">
        <w:t xml:space="preserve"> </w:t>
      </w:r>
      <w:r w:rsidRPr="00C6052E">
        <w:t>and</w:t>
      </w:r>
      <w:r w:rsidR="00177848" w:rsidRPr="00C6052E">
        <w:t xml:space="preserve"> </w:t>
      </w:r>
      <w:r w:rsidRPr="00C6052E">
        <w:t>conditions</w:t>
      </w:r>
    </w:p>
    <w:p w14:paraId="38B52029" w14:textId="2EA18F95" w:rsidR="00EE5BB8" w:rsidRPr="00C6052E" w:rsidRDefault="00EE5BB8" w:rsidP="00EE5BB8">
      <w:r w:rsidRPr="00C6052E">
        <w:t>DJSIR</w:t>
      </w:r>
      <w:r w:rsidR="00177848" w:rsidRPr="00C6052E">
        <w:t xml:space="preserve"> </w:t>
      </w:r>
      <w:r w:rsidRPr="00C6052E">
        <w:t>has</w:t>
      </w:r>
      <w:r w:rsidR="00177848" w:rsidRPr="00C6052E">
        <w:t xml:space="preserve"> </w:t>
      </w:r>
      <w:r w:rsidRPr="00C6052E">
        <w:t>entered</w:t>
      </w:r>
      <w:r w:rsidR="00177848" w:rsidRPr="00C6052E">
        <w:t xml:space="preserve"> </w:t>
      </w:r>
      <w:r w:rsidRPr="00C6052E">
        <w:t>into</w:t>
      </w:r>
      <w:r w:rsidR="00177848" w:rsidRPr="00C6052E">
        <w:t xml:space="preserve"> </w:t>
      </w:r>
      <w:r w:rsidRPr="00C6052E">
        <w:t>a</w:t>
      </w:r>
      <w:r w:rsidR="00177848" w:rsidRPr="00C6052E">
        <w:t xml:space="preserve"> </w:t>
      </w:r>
      <w:r w:rsidRPr="00C6052E">
        <w:t>10-year</w:t>
      </w:r>
      <w:r w:rsidR="00177848" w:rsidRPr="00C6052E">
        <w:t xml:space="preserve"> </w:t>
      </w:r>
      <w:r w:rsidRPr="00C6052E">
        <w:t>concessionary</w:t>
      </w:r>
      <w:r w:rsidR="00177848" w:rsidRPr="00C6052E">
        <w:t xml:space="preserve"> </w:t>
      </w:r>
      <w:r w:rsidRPr="00C6052E">
        <w:t>lease</w:t>
      </w:r>
      <w:r w:rsidR="00177848" w:rsidRPr="00C6052E">
        <w:t xml:space="preserve"> </w:t>
      </w:r>
      <w:r w:rsidRPr="00C6052E">
        <w:t>with</w:t>
      </w:r>
      <w:r w:rsidR="00177848" w:rsidRPr="00C6052E">
        <w:t xml:space="preserve"> </w:t>
      </w:r>
      <w:r w:rsidRPr="00C6052E">
        <w:t>an</w:t>
      </w:r>
      <w:r w:rsidR="00177848" w:rsidRPr="00C6052E">
        <w:t xml:space="preserve"> </w:t>
      </w:r>
      <w:r w:rsidRPr="00C6052E">
        <w:t>option</w:t>
      </w:r>
      <w:r w:rsidR="00177848" w:rsidRPr="00C6052E">
        <w:t xml:space="preserve"> </w:t>
      </w:r>
      <w:r w:rsidRPr="00C6052E">
        <w:t>to</w:t>
      </w:r>
      <w:r w:rsidR="00177848" w:rsidRPr="00C6052E">
        <w:t xml:space="preserve"> </w:t>
      </w:r>
      <w:r w:rsidRPr="00C6052E">
        <w:t>renew</w:t>
      </w:r>
      <w:r w:rsidR="00177848" w:rsidRPr="00C6052E">
        <w:t xml:space="preserve"> </w:t>
      </w:r>
      <w:r w:rsidRPr="00C6052E">
        <w:t>for</w:t>
      </w:r>
      <w:r w:rsidR="00177848" w:rsidRPr="00C6052E">
        <w:t xml:space="preserve"> </w:t>
      </w:r>
      <w:r w:rsidRPr="00C6052E">
        <w:t>another</w:t>
      </w:r>
      <w:r w:rsidR="00177848" w:rsidRPr="00C6052E">
        <w:t xml:space="preserve"> </w:t>
      </w:r>
      <w:r w:rsidRPr="00C6052E">
        <w:t>10</w:t>
      </w:r>
      <w:r w:rsidR="00177848" w:rsidRPr="00C6052E">
        <w:t xml:space="preserve"> </w:t>
      </w:r>
      <w:r w:rsidRPr="00C6052E">
        <w:t>years</w:t>
      </w:r>
      <w:r w:rsidR="00177848" w:rsidRPr="00C6052E">
        <w:t xml:space="preserve"> </w:t>
      </w:r>
      <w:r w:rsidRPr="00C6052E">
        <w:t>for</w:t>
      </w:r>
      <w:r w:rsidR="00177848" w:rsidRPr="00C6052E">
        <w:t xml:space="preserve"> </w:t>
      </w:r>
      <w:r w:rsidRPr="00C6052E">
        <w:t>the</w:t>
      </w:r>
      <w:r w:rsidR="00177848" w:rsidRPr="00C6052E">
        <w:t xml:space="preserve"> </w:t>
      </w:r>
      <w:r w:rsidRPr="00C6052E">
        <w:t>use</w:t>
      </w:r>
      <w:r w:rsidR="00177848" w:rsidRPr="00C6052E">
        <w:t xml:space="preserve"> </w:t>
      </w:r>
      <w:r w:rsidRPr="00C6052E">
        <w:t>of</w:t>
      </w:r>
      <w:r w:rsidR="00177848" w:rsidRPr="00C6052E">
        <w:t xml:space="preserve"> </w:t>
      </w:r>
      <w:r w:rsidRPr="00C6052E">
        <w:t>land</w:t>
      </w:r>
      <w:r w:rsidR="00177848" w:rsidRPr="00C6052E">
        <w:t xml:space="preserve"> </w:t>
      </w:r>
      <w:r w:rsidRPr="00C6052E">
        <w:t>to</w:t>
      </w:r>
      <w:r w:rsidR="00177848" w:rsidRPr="00C6052E">
        <w:t xml:space="preserve"> </w:t>
      </w:r>
      <w:r w:rsidRPr="00C6052E">
        <w:t>construct</w:t>
      </w:r>
      <w:r w:rsidR="00177848" w:rsidRPr="00C6052E">
        <w:t xml:space="preserve"> </w:t>
      </w:r>
      <w:r w:rsidRPr="00C6052E">
        <w:t>research</w:t>
      </w:r>
      <w:r w:rsidR="00177848" w:rsidRPr="00C6052E">
        <w:t xml:space="preserve"> </w:t>
      </w:r>
      <w:r w:rsidRPr="00C6052E">
        <w:t>facilities</w:t>
      </w:r>
      <w:r w:rsidR="00177848" w:rsidRPr="00C6052E">
        <w:t xml:space="preserve"> </w:t>
      </w:r>
      <w:r w:rsidRPr="00C6052E">
        <w:t>with</w:t>
      </w:r>
      <w:r w:rsidR="00177848" w:rsidRPr="00C6052E">
        <w:t xml:space="preserve"> </w:t>
      </w:r>
      <w:r w:rsidRPr="00C6052E">
        <w:t>Universities.</w:t>
      </w:r>
      <w:r w:rsidR="00177848" w:rsidRPr="00C6052E">
        <w:t xml:space="preserve"> </w:t>
      </w:r>
      <w:r w:rsidRPr="00C6052E">
        <w:t>The</w:t>
      </w:r>
      <w:r w:rsidR="00177848" w:rsidRPr="00C6052E">
        <w:t xml:space="preserve"> </w:t>
      </w:r>
      <w:r w:rsidRPr="00C6052E">
        <w:t>lease</w:t>
      </w:r>
      <w:r w:rsidR="00177848" w:rsidRPr="00C6052E">
        <w:t xml:space="preserve"> </w:t>
      </w:r>
      <w:r w:rsidRPr="00C6052E">
        <w:t>payments</w:t>
      </w:r>
      <w:r w:rsidR="00177848" w:rsidRPr="00C6052E">
        <w:t xml:space="preserve"> </w:t>
      </w:r>
      <w:r w:rsidRPr="00C6052E">
        <w:t>are</w:t>
      </w:r>
      <w:r w:rsidR="00177848" w:rsidRPr="00C6052E">
        <w:t xml:space="preserve"> </w:t>
      </w:r>
      <w:r w:rsidRPr="00C6052E">
        <w:t>$1</w:t>
      </w:r>
      <w:r w:rsidR="00177848" w:rsidRPr="00C6052E">
        <w:t xml:space="preserve"> </w:t>
      </w:r>
      <w:r w:rsidRPr="00C6052E">
        <w:t>per</w:t>
      </w:r>
      <w:r w:rsidR="00177848" w:rsidRPr="00C6052E">
        <w:t xml:space="preserve"> </w:t>
      </w:r>
      <w:r w:rsidRPr="00C6052E">
        <w:t>annum.</w:t>
      </w:r>
      <w:r w:rsidR="00177848" w:rsidRPr="00C6052E">
        <w:t xml:space="preserve"> </w:t>
      </w:r>
      <w:r w:rsidRPr="00C6052E">
        <w:t>The</w:t>
      </w:r>
      <w:r w:rsidR="00177848" w:rsidRPr="00C6052E">
        <w:t xml:space="preserve"> </w:t>
      </w:r>
      <w:r w:rsidRPr="00C6052E">
        <w:t>leased</w:t>
      </w:r>
      <w:r w:rsidR="00177848" w:rsidRPr="00C6052E">
        <w:t xml:space="preserve"> </w:t>
      </w:r>
      <w:r w:rsidRPr="00C6052E">
        <w:t>land</w:t>
      </w:r>
      <w:r w:rsidR="00177848" w:rsidRPr="00C6052E">
        <w:t xml:space="preserve"> </w:t>
      </w:r>
      <w:r w:rsidRPr="00C6052E">
        <w:t>must</w:t>
      </w:r>
      <w:r w:rsidR="00177848" w:rsidRPr="00C6052E">
        <w:t xml:space="preserve"> </w:t>
      </w:r>
      <w:r w:rsidRPr="00C6052E">
        <w:t>be</w:t>
      </w:r>
      <w:r w:rsidR="00177848" w:rsidRPr="00C6052E">
        <w:t xml:space="preserve"> </w:t>
      </w:r>
      <w:r w:rsidRPr="00C6052E">
        <w:t>used</w:t>
      </w:r>
      <w:r w:rsidR="00177848" w:rsidRPr="00C6052E">
        <w:t xml:space="preserve"> </w:t>
      </w:r>
      <w:r w:rsidRPr="00C6052E">
        <w:t>for</w:t>
      </w:r>
      <w:r w:rsidR="00177848" w:rsidRPr="00C6052E">
        <w:t xml:space="preserve"> </w:t>
      </w:r>
      <w:r w:rsidRPr="00C6052E">
        <w:t>furtherance</w:t>
      </w:r>
      <w:r w:rsidR="00177848" w:rsidRPr="00C6052E">
        <w:t xml:space="preserve"> </w:t>
      </w:r>
      <w:r w:rsidRPr="00C6052E">
        <w:t>of</w:t>
      </w:r>
      <w:r w:rsidR="00177848" w:rsidRPr="00C6052E">
        <w:t xml:space="preserve"> </w:t>
      </w:r>
      <w:r w:rsidRPr="00C6052E">
        <w:t>its</w:t>
      </w:r>
      <w:r w:rsidR="00177848" w:rsidRPr="00C6052E">
        <w:t xml:space="preserve"> </w:t>
      </w:r>
      <w:r w:rsidRPr="00C6052E">
        <w:t>objective</w:t>
      </w:r>
      <w:r w:rsidR="00177848" w:rsidRPr="00C6052E">
        <w:t xml:space="preserve"> </w:t>
      </w:r>
      <w:r w:rsidRPr="00C6052E">
        <w:t>to</w:t>
      </w:r>
      <w:r w:rsidR="00177848" w:rsidRPr="00C6052E">
        <w:t xml:space="preserve"> </w:t>
      </w:r>
      <w:r w:rsidRPr="00C6052E">
        <w:t>construct</w:t>
      </w:r>
      <w:r w:rsidR="00177848" w:rsidRPr="00C6052E">
        <w:t xml:space="preserve"> </w:t>
      </w:r>
      <w:r w:rsidRPr="00C6052E">
        <w:t>research</w:t>
      </w:r>
      <w:r w:rsidR="00177848" w:rsidRPr="00C6052E">
        <w:t xml:space="preserve"> </w:t>
      </w:r>
      <w:r w:rsidRPr="00C6052E">
        <w:t>facilities</w:t>
      </w:r>
      <w:r w:rsidR="00177848" w:rsidRPr="00C6052E">
        <w:t xml:space="preserve"> </w:t>
      </w:r>
      <w:r w:rsidRPr="00C6052E">
        <w:t>only.</w:t>
      </w:r>
      <w:r w:rsidR="00177848" w:rsidRPr="00C6052E">
        <w:t xml:space="preserve"> </w:t>
      </w:r>
      <w:r w:rsidRPr="00C6052E">
        <w:t>This</w:t>
      </w:r>
      <w:r w:rsidR="00177848" w:rsidRPr="00C6052E">
        <w:t xml:space="preserve"> </w:t>
      </w:r>
      <w:r w:rsidRPr="00C6052E">
        <w:t>land</w:t>
      </w:r>
      <w:r w:rsidR="00177848" w:rsidRPr="00C6052E">
        <w:t xml:space="preserve"> </w:t>
      </w:r>
      <w:r w:rsidRPr="00C6052E">
        <w:t>accounts</w:t>
      </w:r>
      <w:r w:rsidR="00177848" w:rsidRPr="00C6052E">
        <w:t xml:space="preserve"> </w:t>
      </w:r>
      <w:r w:rsidRPr="00C6052E">
        <w:t>for</w:t>
      </w:r>
      <w:r w:rsidR="00177848" w:rsidRPr="00C6052E">
        <w:t xml:space="preserve"> </w:t>
      </w:r>
      <w:r w:rsidRPr="00C6052E">
        <w:t>a</w:t>
      </w:r>
      <w:r w:rsidR="00177848" w:rsidRPr="00C6052E">
        <w:t xml:space="preserve"> </w:t>
      </w:r>
      <w:r w:rsidRPr="00C6052E">
        <w:t>small</w:t>
      </w:r>
      <w:r w:rsidR="00177848" w:rsidRPr="00C6052E">
        <w:t xml:space="preserve"> </w:t>
      </w:r>
      <w:r w:rsidRPr="00C6052E">
        <w:t>portion</w:t>
      </w:r>
      <w:r w:rsidR="00177848" w:rsidRPr="00C6052E">
        <w:t xml:space="preserve"> </w:t>
      </w:r>
      <w:r w:rsidRPr="00C6052E">
        <w:t>of</w:t>
      </w:r>
      <w:r w:rsidR="00177848" w:rsidRPr="00C6052E">
        <w:t xml:space="preserve"> </w:t>
      </w:r>
      <w:r w:rsidRPr="00C6052E">
        <w:t>assets</w:t>
      </w:r>
      <w:r w:rsidR="00177848" w:rsidRPr="00C6052E">
        <w:t xml:space="preserve"> </w:t>
      </w:r>
      <w:r w:rsidRPr="00C6052E">
        <w:t>used</w:t>
      </w:r>
      <w:r w:rsidR="00177848" w:rsidRPr="00C6052E">
        <w:t xml:space="preserve"> </w:t>
      </w:r>
      <w:r w:rsidRPr="00C6052E">
        <w:t>by</w:t>
      </w:r>
      <w:r w:rsidR="00177848" w:rsidRPr="00C6052E">
        <w:t xml:space="preserve"> </w:t>
      </w:r>
      <w:r w:rsidRPr="00C6052E">
        <w:t>DJSIR.</w:t>
      </w:r>
    </w:p>
    <w:p w14:paraId="179F9C57" w14:textId="631DBB14" w:rsidR="00EE5BB8" w:rsidRPr="00C6052E" w:rsidRDefault="00EE5BB8" w:rsidP="000C0740">
      <w:pPr>
        <w:pStyle w:val="Heading3numbered0"/>
        <w:numPr>
          <w:ilvl w:val="0"/>
          <w:numId w:val="0"/>
        </w:numPr>
      </w:pPr>
      <w:r w:rsidRPr="00C6052E">
        <w:fldChar w:fldCharType="begin"/>
      </w:r>
      <w:r w:rsidRPr="00C6052E">
        <w:instrText xml:space="preserve"> REF _Ref209513789 \r \h </w:instrText>
      </w:r>
      <w:r w:rsidRPr="00C6052E">
        <w:fldChar w:fldCharType="separate"/>
      </w:r>
      <w:r w:rsidRPr="00C6052E">
        <w:t>7.2.1</w:t>
      </w:r>
      <w:r w:rsidRPr="00C6052E">
        <w:fldChar w:fldCharType="end"/>
      </w:r>
      <w:r w:rsidRPr="00C6052E">
        <w:tab/>
        <w:t>(a)</w:t>
      </w:r>
      <w:r w:rsidR="00177848" w:rsidRPr="00C6052E">
        <w:t xml:space="preserve"> </w:t>
      </w:r>
      <w:r w:rsidRPr="00C6052E">
        <w:t>Right-of-use</w:t>
      </w:r>
      <w:r w:rsidR="00177848" w:rsidRPr="00C6052E">
        <w:t xml:space="preserve"> </w:t>
      </w:r>
      <w:r w:rsidRPr="00C6052E">
        <w:t>assets</w:t>
      </w:r>
    </w:p>
    <w:p w14:paraId="613D681B" w14:textId="155053A1" w:rsidR="00EE5BB8" w:rsidRPr="00C6052E" w:rsidRDefault="00EE5BB8" w:rsidP="00EE5BB8">
      <w:r w:rsidRPr="00C6052E">
        <w:t>Right-of-use</w:t>
      </w:r>
      <w:r w:rsidR="00177848" w:rsidRPr="00C6052E">
        <w:t xml:space="preserve"> </w:t>
      </w:r>
      <w:r w:rsidRPr="00C6052E">
        <w:t>assets</w:t>
      </w:r>
      <w:r w:rsidR="00177848" w:rsidRPr="00C6052E">
        <w:t xml:space="preserve"> </w:t>
      </w:r>
      <w:r w:rsidRPr="00C6052E">
        <w:t>are</w:t>
      </w:r>
      <w:r w:rsidR="00177848" w:rsidRPr="00C6052E">
        <w:t xml:space="preserve"> </w:t>
      </w:r>
      <w:r w:rsidRPr="00C6052E">
        <w:t>presented</w:t>
      </w:r>
      <w:r w:rsidR="00177848" w:rsidRPr="00C6052E">
        <w:t xml:space="preserve"> </w:t>
      </w:r>
      <w:r w:rsidRPr="00C6052E">
        <w:t>in</w:t>
      </w:r>
      <w:r w:rsidR="00177848" w:rsidRPr="00C6052E">
        <w:t xml:space="preserve"> </w:t>
      </w:r>
      <w:r w:rsidRPr="00C6052E">
        <w:t>Note</w:t>
      </w:r>
      <w:r w:rsidR="00177848" w:rsidRPr="00C6052E">
        <w:t xml:space="preserve"> </w:t>
      </w:r>
      <w:r w:rsidRPr="00C6052E">
        <w:fldChar w:fldCharType="begin"/>
      </w:r>
      <w:r w:rsidRPr="00C6052E">
        <w:instrText xml:space="preserve"> REF _Ref163500084 \r \h  \* MERGEFORMAT </w:instrText>
      </w:r>
      <w:r w:rsidRPr="00C6052E">
        <w:fldChar w:fldCharType="separate"/>
      </w:r>
      <w:r w:rsidRPr="00C6052E">
        <w:t>5.1.1</w:t>
      </w:r>
      <w:r w:rsidRPr="00C6052E">
        <w:fldChar w:fldCharType="end"/>
      </w:r>
      <w:r w:rsidRPr="00C6052E">
        <w:t>.</w:t>
      </w:r>
    </w:p>
    <w:p w14:paraId="0BCFBDFC" w14:textId="1EA13D67" w:rsidR="00EE5BB8" w:rsidRPr="00C6052E" w:rsidRDefault="00EE5BB8" w:rsidP="000C0740">
      <w:pPr>
        <w:pStyle w:val="Heading3numbered0"/>
        <w:numPr>
          <w:ilvl w:val="0"/>
          <w:numId w:val="0"/>
        </w:numPr>
      </w:pPr>
      <w:r w:rsidRPr="00C6052E">
        <w:lastRenderedPageBreak/>
        <w:fldChar w:fldCharType="begin"/>
      </w:r>
      <w:r w:rsidRPr="00C6052E">
        <w:instrText xml:space="preserve"> REF _Ref209513789 \r \h </w:instrText>
      </w:r>
      <w:r w:rsidRPr="00C6052E">
        <w:fldChar w:fldCharType="separate"/>
      </w:r>
      <w:r w:rsidRPr="00C6052E">
        <w:t>7.2.1</w:t>
      </w:r>
      <w:r w:rsidRPr="00C6052E">
        <w:fldChar w:fldCharType="end"/>
      </w:r>
      <w:r w:rsidRPr="00C6052E">
        <w:tab/>
        <w:t>(b)</w:t>
      </w:r>
      <w:r w:rsidR="00177848" w:rsidRPr="00C6052E">
        <w:t xml:space="preserve"> </w:t>
      </w:r>
      <w:r w:rsidRPr="00C6052E">
        <w:t>Amounts</w:t>
      </w:r>
      <w:r w:rsidR="00177848" w:rsidRPr="00C6052E">
        <w:t xml:space="preserve"> </w:t>
      </w:r>
      <w:r w:rsidRPr="00C6052E">
        <w:t>recognised</w:t>
      </w:r>
      <w:r w:rsidR="00177848" w:rsidRPr="00C6052E">
        <w:t xml:space="preserve"> </w:t>
      </w:r>
      <w:r w:rsidRPr="00C6052E">
        <w:t>in</w:t>
      </w:r>
      <w:r w:rsidR="00177848" w:rsidRPr="00C6052E">
        <w:t xml:space="preserve"> </w:t>
      </w:r>
      <w:r w:rsidRPr="00C6052E">
        <w:t>the</w:t>
      </w:r>
      <w:r w:rsidR="00177848" w:rsidRPr="00C6052E">
        <w:t xml:space="preserve"> </w:t>
      </w:r>
      <w:r w:rsidRPr="00C6052E">
        <w:t>comprehensive</w:t>
      </w:r>
      <w:r w:rsidR="00177848" w:rsidRPr="00C6052E">
        <w:t xml:space="preserve"> </w:t>
      </w:r>
      <w:r w:rsidRPr="00C6052E">
        <w:t>operating</w:t>
      </w:r>
      <w:r w:rsidR="00177848" w:rsidRPr="00C6052E">
        <w:t xml:space="preserve"> </w:t>
      </w:r>
      <w:r w:rsidRPr="00C6052E">
        <w:t>statement</w:t>
      </w:r>
      <w:r w:rsidR="00177848" w:rsidRPr="00C6052E">
        <w:t xml:space="preserve"> </w:t>
      </w:r>
    </w:p>
    <w:p w14:paraId="3BB82EC9" w14:textId="679B8392" w:rsidR="00EE5BB8" w:rsidRPr="00C6052E" w:rsidRDefault="00EE5BB8" w:rsidP="00EE5BB8">
      <w:r w:rsidRPr="00C6052E">
        <w:t>The</w:t>
      </w:r>
      <w:r w:rsidR="00177848" w:rsidRPr="00C6052E">
        <w:t xml:space="preserve"> </w:t>
      </w:r>
      <w:r w:rsidRPr="00C6052E">
        <w:t>following</w:t>
      </w:r>
      <w:r w:rsidR="00177848" w:rsidRPr="00C6052E">
        <w:t xml:space="preserve"> </w:t>
      </w:r>
      <w:r w:rsidRPr="00C6052E">
        <w:t>amounts</w:t>
      </w:r>
      <w:r w:rsidR="00177848" w:rsidRPr="00C6052E">
        <w:t xml:space="preserve"> </w:t>
      </w:r>
      <w:r w:rsidRPr="00C6052E">
        <w:t>are</w:t>
      </w:r>
      <w:r w:rsidR="00177848" w:rsidRPr="00C6052E">
        <w:t xml:space="preserve"> </w:t>
      </w:r>
      <w:r w:rsidRPr="00C6052E">
        <w:t>recognised</w:t>
      </w:r>
      <w:r w:rsidR="00177848" w:rsidRPr="00C6052E">
        <w:t xml:space="preserve"> </w:t>
      </w:r>
      <w:r w:rsidRPr="00C6052E">
        <w:t>in</w:t>
      </w:r>
      <w:r w:rsidR="00177848" w:rsidRPr="00C6052E">
        <w:t xml:space="preserve"> </w:t>
      </w:r>
      <w:r w:rsidRPr="00C6052E">
        <w:t>the</w:t>
      </w:r>
      <w:r w:rsidR="00177848" w:rsidRPr="00C6052E">
        <w:t xml:space="preserve"> </w:t>
      </w:r>
      <w:r w:rsidRPr="00C6052E">
        <w:t>comprehensive</w:t>
      </w:r>
      <w:r w:rsidR="00177848" w:rsidRPr="00C6052E">
        <w:t xml:space="preserve"> </w:t>
      </w:r>
      <w:r w:rsidRPr="00C6052E">
        <w:t>operating</w:t>
      </w:r>
      <w:r w:rsidR="00177848" w:rsidRPr="00C6052E">
        <w:t xml:space="preserve"> </w:t>
      </w:r>
      <w:r w:rsidRPr="00C6052E">
        <w:t>statement</w:t>
      </w:r>
      <w:r w:rsidR="00177848" w:rsidRPr="00C6052E">
        <w:t xml:space="preserve"> </w:t>
      </w:r>
      <w:r w:rsidRPr="00C6052E">
        <w:t>relating</w:t>
      </w:r>
      <w:r w:rsidR="00177848" w:rsidRPr="00C6052E">
        <w:t xml:space="preserve"> </w:t>
      </w:r>
      <w:r w:rsidRPr="00C6052E">
        <w:t>to</w:t>
      </w:r>
      <w:r w:rsidR="00177848" w:rsidRPr="00C6052E">
        <w:t xml:space="preserve"> </w:t>
      </w:r>
      <w:r w:rsidRPr="00C6052E">
        <w:t>leases:</w:t>
      </w:r>
    </w:p>
    <w:tbl>
      <w:tblPr>
        <w:tblStyle w:val="TableGrid"/>
        <w:tblW w:w="9660" w:type="dxa"/>
        <w:tblLayout w:type="fixed"/>
        <w:tblLook w:val="04E0" w:firstRow="1" w:lastRow="1" w:firstColumn="1" w:lastColumn="0" w:noHBand="0" w:noVBand="1"/>
      </w:tblPr>
      <w:tblGrid>
        <w:gridCol w:w="6826"/>
        <w:gridCol w:w="1417"/>
        <w:gridCol w:w="1417"/>
      </w:tblGrid>
      <w:tr w:rsidR="00EE5BB8" w:rsidRPr="00C6052E" w14:paraId="4DFCB9C0" w14:textId="77777777" w:rsidTr="001D1E8C">
        <w:tc>
          <w:tcPr>
            <w:tcW w:w="6826" w:type="dxa"/>
            <w:noWrap/>
            <w:hideMark/>
          </w:tcPr>
          <w:p w14:paraId="240E994A" w14:textId="77777777" w:rsidR="00EE5BB8" w:rsidRPr="00C6052E" w:rsidRDefault="00EE5BB8" w:rsidP="001D1E8C">
            <w:pPr>
              <w:pStyle w:val="TableColumnHeading"/>
            </w:pPr>
            <w:bookmarkStart w:id="281" w:name="TableColumnHeadings_81"/>
            <w:bookmarkEnd w:id="281"/>
          </w:p>
        </w:tc>
        <w:tc>
          <w:tcPr>
            <w:tcW w:w="1417" w:type="dxa"/>
            <w:hideMark/>
          </w:tcPr>
          <w:p w14:paraId="5F1B7F20" w14:textId="586086FE" w:rsidR="00EE5BB8" w:rsidRPr="00C6052E" w:rsidRDefault="00EE5BB8" w:rsidP="001D1E8C">
            <w:pPr>
              <w:pStyle w:val="TableColumnHeading"/>
              <w:jc w:val="right"/>
            </w:pPr>
            <w:r w:rsidRPr="00C6052E">
              <w:t>2025</w:t>
            </w:r>
            <w:r w:rsidR="001D1E8C">
              <w:br/>
            </w:r>
            <w:r w:rsidR="001D1E8C" w:rsidRPr="00C6052E">
              <w:rPr>
                <w:lang w:val="en-AU"/>
              </w:rPr>
              <w:t>($ thousand)</w:t>
            </w:r>
          </w:p>
        </w:tc>
        <w:tc>
          <w:tcPr>
            <w:tcW w:w="1417" w:type="dxa"/>
            <w:hideMark/>
          </w:tcPr>
          <w:p w14:paraId="3CE8E743" w14:textId="6F8BE506" w:rsidR="00EE5BB8" w:rsidRPr="00C6052E" w:rsidRDefault="00EE5BB8" w:rsidP="001D1E8C">
            <w:pPr>
              <w:pStyle w:val="TableColumnHeading"/>
              <w:jc w:val="right"/>
            </w:pPr>
            <w:r w:rsidRPr="00C6052E">
              <w:t>2024</w:t>
            </w:r>
            <w:r w:rsidR="001D1E8C">
              <w:br/>
            </w:r>
            <w:r w:rsidR="001D1E8C" w:rsidRPr="00C6052E">
              <w:rPr>
                <w:lang w:val="en-AU"/>
              </w:rPr>
              <w:t>($ thousand)</w:t>
            </w:r>
          </w:p>
        </w:tc>
      </w:tr>
      <w:tr w:rsidR="00EE5BB8" w:rsidRPr="00C6052E" w14:paraId="682739AA" w14:textId="77777777" w:rsidTr="001D1E8C">
        <w:tc>
          <w:tcPr>
            <w:tcW w:w="6826" w:type="dxa"/>
            <w:hideMark/>
          </w:tcPr>
          <w:p w14:paraId="736ECE5E" w14:textId="3B762D8A" w:rsidR="00EE5BB8" w:rsidRPr="00C6052E" w:rsidRDefault="00EE5BB8" w:rsidP="0063097D">
            <w:pPr>
              <w:pStyle w:val="TableCopy"/>
            </w:pPr>
            <w:r w:rsidRPr="00C6052E">
              <w:t>Interest</w:t>
            </w:r>
            <w:r w:rsidR="00177848" w:rsidRPr="00C6052E">
              <w:t xml:space="preserve"> </w:t>
            </w:r>
            <w:r w:rsidRPr="00C6052E">
              <w:t>expense</w:t>
            </w:r>
            <w:r w:rsidR="00177848" w:rsidRPr="00C6052E">
              <w:t xml:space="preserve"> </w:t>
            </w:r>
            <w:r w:rsidRPr="00C6052E">
              <w:t>on</w:t>
            </w:r>
            <w:r w:rsidR="00177848" w:rsidRPr="00C6052E">
              <w:t xml:space="preserve"> </w:t>
            </w:r>
            <w:r w:rsidRPr="00C6052E">
              <w:t>lease</w:t>
            </w:r>
            <w:r w:rsidR="00177848" w:rsidRPr="00C6052E">
              <w:t xml:space="preserve"> </w:t>
            </w:r>
            <w:r w:rsidRPr="00C6052E">
              <w:t>liabilities</w:t>
            </w:r>
          </w:p>
        </w:tc>
        <w:tc>
          <w:tcPr>
            <w:tcW w:w="1417" w:type="dxa"/>
            <w:noWrap/>
            <w:hideMark/>
          </w:tcPr>
          <w:p w14:paraId="7CEFE142" w14:textId="77777777" w:rsidR="00EE5BB8" w:rsidRPr="00C6052E" w:rsidRDefault="00EE5BB8" w:rsidP="001D1E8C">
            <w:pPr>
              <w:pStyle w:val="TableCopy"/>
              <w:jc w:val="right"/>
            </w:pPr>
            <w:r w:rsidRPr="00C6052E">
              <w:t>(409)</w:t>
            </w:r>
          </w:p>
        </w:tc>
        <w:tc>
          <w:tcPr>
            <w:tcW w:w="1417" w:type="dxa"/>
            <w:noWrap/>
            <w:hideMark/>
          </w:tcPr>
          <w:p w14:paraId="19A19D96" w14:textId="77777777" w:rsidR="00EE5BB8" w:rsidRPr="00C6052E" w:rsidRDefault="00EE5BB8" w:rsidP="001D1E8C">
            <w:pPr>
              <w:pStyle w:val="TableCopy"/>
              <w:jc w:val="right"/>
            </w:pPr>
            <w:r w:rsidRPr="00C6052E">
              <w:t>(332)</w:t>
            </w:r>
          </w:p>
        </w:tc>
      </w:tr>
      <w:tr w:rsidR="00EE5BB8" w:rsidRPr="00C6052E" w14:paraId="79144072" w14:textId="77777777" w:rsidTr="001D1E8C">
        <w:tc>
          <w:tcPr>
            <w:tcW w:w="6826" w:type="dxa"/>
            <w:hideMark/>
          </w:tcPr>
          <w:p w14:paraId="43DC151C" w14:textId="543383A8" w:rsidR="00EE5BB8" w:rsidRPr="00C6052E" w:rsidRDefault="00EE5BB8" w:rsidP="0063097D">
            <w:pPr>
              <w:pStyle w:val="Tabletotal"/>
            </w:pPr>
            <w:r w:rsidRPr="00C6052E">
              <w:t>Total</w:t>
            </w:r>
            <w:r w:rsidR="00177848" w:rsidRPr="00C6052E">
              <w:t xml:space="preserve"> </w:t>
            </w:r>
            <w:r w:rsidRPr="00C6052E">
              <w:t>amount</w:t>
            </w:r>
            <w:r w:rsidR="00177848" w:rsidRPr="00C6052E">
              <w:t xml:space="preserve"> </w:t>
            </w:r>
            <w:r w:rsidRPr="00C6052E">
              <w:t>recognised</w:t>
            </w:r>
            <w:r w:rsidR="00177848" w:rsidRPr="00C6052E">
              <w:t xml:space="preserve"> </w:t>
            </w:r>
            <w:r w:rsidRPr="00C6052E">
              <w:t>in</w:t>
            </w:r>
            <w:r w:rsidR="00177848" w:rsidRPr="00C6052E">
              <w:t xml:space="preserve"> </w:t>
            </w:r>
            <w:r w:rsidRPr="00C6052E">
              <w:t>the</w:t>
            </w:r>
            <w:r w:rsidR="00177848" w:rsidRPr="00C6052E">
              <w:t xml:space="preserve"> </w:t>
            </w:r>
            <w:r w:rsidRPr="00C6052E">
              <w:t>comprehensive</w:t>
            </w:r>
            <w:r w:rsidR="00177848" w:rsidRPr="00C6052E">
              <w:t xml:space="preserve"> </w:t>
            </w:r>
            <w:r w:rsidRPr="00C6052E">
              <w:t>operating</w:t>
            </w:r>
            <w:r w:rsidR="00177848" w:rsidRPr="00C6052E">
              <w:t xml:space="preserve"> </w:t>
            </w:r>
            <w:r w:rsidRPr="00C6052E">
              <w:t>statement</w:t>
            </w:r>
          </w:p>
        </w:tc>
        <w:tc>
          <w:tcPr>
            <w:tcW w:w="1417" w:type="dxa"/>
            <w:noWrap/>
            <w:hideMark/>
          </w:tcPr>
          <w:p w14:paraId="6D22B1A7" w14:textId="77777777" w:rsidR="00EE5BB8" w:rsidRPr="00C6052E" w:rsidRDefault="00EE5BB8" w:rsidP="0063097D">
            <w:pPr>
              <w:pStyle w:val="Tabletotal"/>
              <w:jc w:val="right"/>
            </w:pPr>
            <w:r w:rsidRPr="00C6052E">
              <w:t>(409)</w:t>
            </w:r>
          </w:p>
        </w:tc>
        <w:tc>
          <w:tcPr>
            <w:tcW w:w="1417" w:type="dxa"/>
            <w:noWrap/>
            <w:hideMark/>
          </w:tcPr>
          <w:p w14:paraId="670655BE" w14:textId="77777777" w:rsidR="00EE5BB8" w:rsidRPr="00C6052E" w:rsidRDefault="00EE5BB8" w:rsidP="0063097D">
            <w:pPr>
              <w:pStyle w:val="Tabletotal"/>
              <w:jc w:val="right"/>
            </w:pPr>
            <w:r w:rsidRPr="00C6052E">
              <w:t>(332)</w:t>
            </w:r>
          </w:p>
        </w:tc>
      </w:tr>
    </w:tbl>
    <w:p w14:paraId="18F9613C" w14:textId="77777777" w:rsidR="00EE5BB8" w:rsidRPr="00C6052E" w:rsidRDefault="00EE5BB8" w:rsidP="00EE5BB8"/>
    <w:p w14:paraId="3213EC2D" w14:textId="7DBCED3C" w:rsidR="00EE5BB8" w:rsidRPr="00C6052E" w:rsidRDefault="00EE5BB8" w:rsidP="000C0740">
      <w:pPr>
        <w:pStyle w:val="Heading3numbered0"/>
        <w:numPr>
          <w:ilvl w:val="0"/>
          <w:numId w:val="0"/>
        </w:numPr>
      </w:pPr>
      <w:r w:rsidRPr="00C6052E">
        <w:fldChar w:fldCharType="begin"/>
      </w:r>
      <w:r w:rsidRPr="00C6052E">
        <w:instrText xml:space="preserve"> REF _Ref209513789 \r \h </w:instrText>
      </w:r>
      <w:r w:rsidRPr="00C6052E">
        <w:fldChar w:fldCharType="separate"/>
      </w:r>
      <w:r w:rsidRPr="00C6052E">
        <w:t>7.2.1</w:t>
      </w:r>
      <w:r w:rsidRPr="00C6052E">
        <w:fldChar w:fldCharType="end"/>
      </w:r>
      <w:r w:rsidRPr="00C6052E">
        <w:tab/>
        <w:t>(c)</w:t>
      </w:r>
      <w:r w:rsidR="00177848" w:rsidRPr="00C6052E">
        <w:t xml:space="preserve"> </w:t>
      </w:r>
      <w:r w:rsidRPr="00C6052E">
        <w:t>Amounts</w:t>
      </w:r>
      <w:r w:rsidR="00177848" w:rsidRPr="00C6052E">
        <w:t xml:space="preserve"> </w:t>
      </w:r>
      <w:r w:rsidRPr="00C6052E">
        <w:t>recognised</w:t>
      </w:r>
      <w:r w:rsidR="00177848" w:rsidRPr="00C6052E">
        <w:t xml:space="preserve"> </w:t>
      </w:r>
      <w:r w:rsidRPr="00C6052E">
        <w:t>in</w:t>
      </w:r>
      <w:r w:rsidR="00177848" w:rsidRPr="00C6052E">
        <w:t xml:space="preserve"> </w:t>
      </w:r>
      <w:r w:rsidRPr="00C6052E">
        <w:t>the</w:t>
      </w:r>
      <w:r w:rsidR="00177848" w:rsidRPr="00C6052E">
        <w:t xml:space="preserve"> </w:t>
      </w:r>
      <w:r w:rsidRPr="00C6052E">
        <w:t>cash</w:t>
      </w:r>
      <w:r w:rsidR="00177848" w:rsidRPr="00C6052E">
        <w:t xml:space="preserve"> </w:t>
      </w:r>
      <w:r w:rsidRPr="00C6052E">
        <w:t>flow</w:t>
      </w:r>
      <w:r w:rsidR="00177848" w:rsidRPr="00C6052E">
        <w:t xml:space="preserve"> </w:t>
      </w:r>
      <w:r w:rsidRPr="00C6052E">
        <w:t>statement</w:t>
      </w:r>
    </w:p>
    <w:p w14:paraId="415848B9" w14:textId="462291E6" w:rsidR="00EE5BB8" w:rsidRPr="00C6052E" w:rsidRDefault="00EE5BB8" w:rsidP="00EE5BB8">
      <w:pPr>
        <w:keepNext/>
        <w:rPr>
          <w:spacing w:val="-2"/>
        </w:rPr>
      </w:pPr>
      <w:r w:rsidRPr="00C6052E">
        <w:rPr>
          <w:spacing w:val="-2"/>
        </w:rPr>
        <w:t>The</w:t>
      </w:r>
      <w:r w:rsidR="00177848" w:rsidRPr="00C6052E">
        <w:rPr>
          <w:spacing w:val="-2"/>
        </w:rPr>
        <w:t xml:space="preserve"> </w:t>
      </w:r>
      <w:r w:rsidRPr="00C6052E">
        <w:rPr>
          <w:spacing w:val="-2"/>
        </w:rPr>
        <w:t>following</w:t>
      </w:r>
      <w:r w:rsidR="00177848" w:rsidRPr="00C6052E">
        <w:rPr>
          <w:spacing w:val="-2"/>
        </w:rPr>
        <w:t xml:space="preserve"> </w:t>
      </w:r>
      <w:r w:rsidRPr="00C6052E">
        <w:rPr>
          <w:spacing w:val="-2"/>
        </w:rPr>
        <w:t>amounts</w:t>
      </w:r>
      <w:r w:rsidR="00177848" w:rsidRPr="00C6052E">
        <w:rPr>
          <w:spacing w:val="-2"/>
        </w:rPr>
        <w:t xml:space="preserve"> </w:t>
      </w:r>
      <w:r w:rsidRPr="00C6052E">
        <w:rPr>
          <w:spacing w:val="-2"/>
        </w:rPr>
        <w:t>are</w:t>
      </w:r>
      <w:r w:rsidR="00177848" w:rsidRPr="00C6052E">
        <w:rPr>
          <w:spacing w:val="-2"/>
        </w:rPr>
        <w:t xml:space="preserve"> </w:t>
      </w:r>
      <w:r w:rsidRPr="00C6052E">
        <w:rPr>
          <w:spacing w:val="-2"/>
        </w:rPr>
        <w:t>recognised</w:t>
      </w:r>
      <w:r w:rsidR="00177848" w:rsidRPr="00C6052E">
        <w:rPr>
          <w:spacing w:val="-2"/>
        </w:rPr>
        <w:t xml:space="preserve"> </w:t>
      </w:r>
      <w:r w:rsidRPr="00C6052E">
        <w:rPr>
          <w:spacing w:val="-2"/>
        </w:rPr>
        <w:t>in</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cash</w:t>
      </w:r>
      <w:r w:rsidR="00177848" w:rsidRPr="00C6052E">
        <w:rPr>
          <w:spacing w:val="-2"/>
        </w:rPr>
        <w:t xml:space="preserve"> </w:t>
      </w:r>
      <w:r w:rsidRPr="00C6052E">
        <w:rPr>
          <w:spacing w:val="-2"/>
        </w:rPr>
        <w:t>flow</w:t>
      </w:r>
      <w:r w:rsidR="00177848" w:rsidRPr="00C6052E">
        <w:rPr>
          <w:spacing w:val="-2"/>
        </w:rPr>
        <w:t xml:space="preserve"> </w:t>
      </w:r>
      <w:r w:rsidRPr="00C6052E">
        <w:rPr>
          <w:spacing w:val="-2"/>
        </w:rPr>
        <w:t>statement</w:t>
      </w:r>
      <w:r w:rsidR="00177848" w:rsidRPr="00C6052E">
        <w:rPr>
          <w:spacing w:val="-2"/>
        </w:rPr>
        <w:t xml:space="preserve"> </w:t>
      </w:r>
      <w:r w:rsidRPr="00C6052E">
        <w:rPr>
          <w:spacing w:val="-2"/>
        </w:rPr>
        <w:t>for</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year</w:t>
      </w:r>
      <w:r w:rsidR="00177848" w:rsidRPr="00C6052E">
        <w:rPr>
          <w:spacing w:val="-2"/>
        </w:rPr>
        <w:t xml:space="preserve"> </w:t>
      </w:r>
      <w:r w:rsidRPr="00C6052E">
        <w:rPr>
          <w:spacing w:val="-2"/>
        </w:rPr>
        <w:t>ending</w:t>
      </w:r>
      <w:r w:rsidR="00177848" w:rsidRPr="00C6052E">
        <w:rPr>
          <w:spacing w:val="-2"/>
        </w:rPr>
        <w:t xml:space="preserve"> </w:t>
      </w:r>
      <w:r w:rsidRPr="00C6052E">
        <w:rPr>
          <w:spacing w:val="-2"/>
        </w:rPr>
        <w:fldChar w:fldCharType="begin"/>
      </w:r>
      <w:r w:rsidRPr="00C6052E">
        <w:rPr>
          <w:spacing w:val="-2"/>
        </w:rPr>
        <w:instrText xml:space="preserve"> DOCPROPERTY  pEnd  \* MERGEFORMAT </w:instrText>
      </w:r>
      <w:r w:rsidRPr="00C6052E">
        <w:rPr>
          <w:spacing w:val="-2"/>
        </w:rPr>
        <w:fldChar w:fldCharType="separate"/>
      </w:r>
      <w:r w:rsidRPr="00C6052E">
        <w:rPr>
          <w:spacing w:val="-2"/>
        </w:rPr>
        <w:t>30</w:t>
      </w:r>
      <w:r w:rsidR="00177848" w:rsidRPr="00C6052E">
        <w:rPr>
          <w:spacing w:val="-2"/>
        </w:rPr>
        <w:t xml:space="preserve"> </w:t>
      </w:r>
      <w:r w:rsidRPr="00C6052E">
        <w:rPr>
          <w:spacing w:val="-2"/>
        </w:rPr>
        <w:t>June</w:t>
      </w:r>
      <w:r w:rsidRPr="00C6052E">
        <w:rPr>
          <w:spacing w:val="-2"/>
        </w:rPr>
        <w:fldChar w:fldCharType="end"/>
      </w:r>
      <w:r w:rsidR="00177848" w:rsidRPr="00C6052E">
        <w:rPr>
          <w:spacing w:val="-2"/>
        </w:rPr>
        <w:t xml:space="preserve"> </w:t>
      </w:r>
      <w:r w:rsidRPr="00C6052E">
        <w:rPr>
          <w:spacing w:val="-2"/>
        </w:rPr>
        <w:fldChar w:fldCharType="begin"/>
      </w:r>
      <w:r w:rsidRPr="00C6052E">
        <w:rPr>
          <w:spacing w:val="-2"/>
        </w:rPr>
        <w:instrText xml:space="preserve"> DOCPROPERTY  crYear  \* MERGEFORMAT </w:instrText>
      </w:r>
      <w:r w:rsidRPr="00C6052E">
        <w:rPr>
          <w:spacing w:val="-2"/>
        </w:rPr>
        <w:fldChar w:fldCharType="separate"/>
      </w:r>
      <w:r w:rsidRPr="00C6052E">
        <w:rPr>
          <w:spacing w:val="-2"/>
        </w:rPr>
        <w:t>2025</w:t>
      </w:r>
      <w:r w:rsidRPr="00C6052E">
        <w:rPr>
          <w:spacing w:val="-2"/>
        </w:rPr>
        <w:fldChar w:fldCharType="end"/>
      </w:r>
      <w:r w:rsidR="00177848" w:rsidRPr="00C6052E">
        <w:rPr>
          <w:spacing w:val="-2"/>
        </w:rPr>
        <w:t xml:space="preserve"> </w:t>
      </w:r>
      <w:r w:rsidRPr="00C6052E">
        <w:rPr>
          <w:spacing w:val="-2"/>
        </w:rPr>
        <w:t>relating</w:t>
      </w:r>
      <w:r w:rsidR="00177848" w:rsidRPr="00C6052E">
        <w:rPr>
          <w:spacing w:val="-2"/>
        </w:rPr>
        <w:t xml:space="preserve"> </w:t>
      </w:r>
      <w:r w:rsidRPr="00C6052E">
        <w:rPr>
          <w:spacing w:val="-2"/>
        </w:rPr>
        <w:t>to</w:t>
      </w:r>
      <w:r w:rsidR="00177848" w:rsidRPr="00C6052E">
        <w:rPr>
          <w:spacing w:val="-2"/>
        </w:rPr>
        <w:t xml:space="preserve"> </w:t>
      </w:r>
      <w:r w:rsidRPr="00C6052E">
        <w:rPr>
          <w:spacing w:val="-2"/>
        </w:rPr>
        <w:t>leases.</w:t>
      </w:r>
    </w:p>
    <w:tbl>
      <w:tblPr>
        <w:tblStyle w:val="TableGrid"/>
        <w:tblW w:w="9637" w:type="dxa"/>
        <w:tblLayout w:type="fixed"/>
        <w:tblLook w:val="04E0" w:firstRow="1" w:lastRow="1" w:firstColumn="1" w:lastColumn="0" w:noHBand="0" w:noVBand="1"/>
      </w:tblPr>
      <w:tblGrid>
        <w:gridCol w:w="6803"/>
        <w:gridCol w:w="1417"/>
        <w:gridCol w:w="1417"/>
      </w:tblGrid>
      <w:tr w:rsidR="00EE5BB8" w:rsidRPr="00C6052E" w14:paraId="63CB8C1B" w14:textId="77777777" w:rsidTr="001D1E8C">
        <w:tc>
          <w:tcPr>
            <w:tcW w:w="6803" w:type="dxa"/>
            <w:noWrap/>
            <w:hideMark/>
          </w:tcPr>
          <w:p w14:paraId="2B2FA26E" w14:textId="77777777" w:rsidR="00EE5BB8" w:rsidRPr="00C6052E" w:rsidRDefault="00EE5BB8" w:rsidP="001D1E8C">
            <w:pPr>
              <w:pStyle w:val="TableColumnHeading"/>
            </w:pPr>
            <w:bookmarkStart w:id="282" w:name="TableColumnHeadings_82"/>
            <w:bookmarkEnd w:id="282"/>
          </w:p>
        </w:tc>
        <w:tc>
          <w:tcPr>
            <w:tcW w:w="1417" w:type="dxa"/>
            <w:hideMark/>
          </w:tcPr>
          <w:p w14:paraId="5D7728C1" w14:textId="2B2451BF" w:rsidR="00EE5BB8" w:rsidRPr="00C6052E" w:rsidRDefault="00EE5BB8" w:rsidP="001D1E8C">
            <w:pPr>
              <w:pStyle w:val="TableColumnHeading"/>
              <w:jc w:val="right"/>
            </w:pPr>
            <w:r w:rsidRPr="00C6052E">
              <w:t>2025</w:t>
            </w:r>
            <w:r w:rsidR="001D1E8C">
              <w:br/>
            </w:r>
            <w:r w:rsidR="001D1E8C" w:rsidRPr="00C6052E">
              <w:rPr>
                <w:lang w:val="en-AU"/>
              </w:rPr>
              <w:t>($ thousand)</w:t>
            </w:r>
          </w:p>
        </w:tc>
        <w:tc>
          <w:tcPr>
            <w:tcW w:w="1417" w:type="dxa"/>
            <w:hideMark/>
          </w:tcPr>
          <w:p w14:paraId="3F63694D" w14:textId="3488ACF6" w:rsidR="00EE5BB8" w:rsidRPr="00C6052E" w:rsidRDefault="00EE5BB8" w:rsidP="001D1E8C">
            <w:pPr>
              <w:pStyle w:val="TableColumnHeading"/>
              <w:jc w:val="right"/>
            </w:pPr>
            <w:r w:rsidRPr="00C6052E">
              <w:t>2024</w:t>
            </w:r>
            <w:r w:rsidR="001D1E8C">
              <w:br/>
            </w:r>
            <w:r w:rsidR="001D1E8C" w:rsidRPr="00C6052E">
              <w:rPr>
                <w:lang w:val="en-AU"/>
              </w:rPr>
              <w:t>($ thousand)</w:t>
            </w:r>
          </w:p>
        </w:tc>
      </w:tr>
      <w:tr w:rsidR="00EE5BB8" w:rsidRPr="00C6052E" w14:paraId="232FB4C0" w14:textId="77777777" w:rsidTr="001D1E8C">
        <w:tc>
          <w:tcPr>
            <w:tcW w:w="6803" w:type="dxa"/>
            <w:hideMark/>
          </w:tcPr>
          <w:p w14:paraId="12CADF8C" w14:textId="0ECFD430" w:rsidR="00EE5BB8" w:rsidRPr="00C6052E" w:rsidRDefault="00EE5BB8" w:rsidP="0063097D">
            <w:pPr>
              <w:pStyle w:val="TableCopy"/>
            </w:pPr>
            <w:r w:rsidRPr="00C6052E">
              <w:t>Interest</w:t>
            </w:r>
            <w:r w:rsidR="00177848" w:rsidRPr="00C6052E">
              <w:t xml:space="preserve"> </w:t>
            </w:r>
            <w:r w:rsidRPr="00C6052E">
              <w:t>expense</w:t>
            </w:r>
            <w:r w:rsidR="00177848" w:rsidRPr="00C6052E">
              <w:t xml:space="preserve"> </w:t>
            </w:r>
            <w:r w:rsidRPr="00C6052E">
              <w:t>on</w:t>
            </w:r>
            <w:r w:rsidR="00177848" w:rsidRPr="00C6052E">
              <w:t xml:space="preserve"> </w:t>
            </w:r>
            <w:r w:rsidRPr="00C6052E">
              <w:t>lease</w:t>
            </w:r>
            <w:r w:rsidR="00177848" w:rsidRPr="00C6052E">
              <w:t xml:space="preserve"> </w:t>
            </w:r>
            <w:r w:rsidRPr="00C6052E">
              <w:t>liabilities</w:t>
            </w:r>
          </w:p>
        </w:tc>
        <w:tc>
          <w:tcPr>
            <w:tcW w:w="1417" w:type="dxa"/>
            <w:noWrap/>
            <w:hideMark/>
          </w:tcPr>
          <w:p w14:paraId="0BEEBB61" w14:textId="77777777" w:rsidR="00EE5BB8" w:rsidRPr="00C6052E" w:rsidRDefault="00EE5BB8" w:rsidP="001D1E8C">
            <w:pPr>
              <w:pStyle w:val="TableCopy"/>
              <w:jc w:val="right"/>
            </w:pPr>
            <w:r w:rsidRPr="00C6052E">
              <w:t>(409)</w:t>
            </w:r>
          </w:p>
        </w:tc>
        <w:tc>
          <w:tcPr>
            <w:tcW w:w="1417" w:type="dxa"/>
            <w:noWrap/>
            <w:hideMark/>
          </w:tcPr>
          <w:p w14:paraId="60973095" w14:textId="77777777" w:rsidR="00EE5BB8" w:rsidRPr="00C6052E" w:rsidRDefault="00EE5BB8" w:rsidP="001D1E8C">
            <w:pPr>
              <w:pStyle w:val="TableCopy"/>
              <w:jc w:val="right"/>
            </w:pPr>
            <w:r w:rsidRPr="00C6052E">
              <w:t>(332)</w:t>
            </w:r>
          </w:p>
        </w:tc>
      </w:tr>
      <w:tr w:rsidR="00EE5BB8" w:rsidRPr="00C6052E" w14:paraId="5CC5AE36" w14:textId="77777777" w:rsidTr="001D1E8C">
        <w:tc>
          <w:tcPr>
            <w:tcW w:w="6803" w:type="dxa"/>
            <w:hideMark/>
          </w:tcPr>
          <w:p w14:paraId="7835DD73" w14:textId="1FB9A374" w:rsidR="00EE5BB8" w:rsidRPr="00C6052E" w:rsidRDefault="00EE5BB8" w:rsidP="0063097D">
            <w:pPr>
              <w:pStyle w:val="Tabletotal"/>
            </w:pPr>
            <w:r w:rsidRPr="00C6052E">
              <w:t>Total</w:t>
            </w:r>
            <w:r w:rsidR="00177848" w:rsidRPr="00C6052E">
              <w:t xml:space="preserve"> </w:t>
            </w:r>
            <w:r w:rsidRPr="00C6052E">
              <w:t>amount</w:t>
            </w:r>
            <w:r w:rsidR="00177848" w:rsidRPr="00C6052E">
              <w:t xml:space="preserve"> </w:t>
            </w:r>
            <w:r w:rsidRPr="00C6052E">
              <w:t>recognised</w:t>
            </w:r>
            <w:r w:rsidR="00177848" w:rsidRPr="00C6052E">
              <w:t xml:space="preserve"> </w:t>
            </w:r>
            <w:r w:rsidRPr="00C6052E">
              <w:t>in</w:t>
            </w:r>
            <w:r w:rsidR="00177848" w:rsidRPr="00C6052E">
              <w:t xml:space="preserve"> </w:t>
            </w:r>
            <w:r w:rsidRPr="00C6052E">
              <w:t>the</w:t>
            </w:r>
            <w:r w:rsidR="00177848" w:rsidRPr="00C6052E">
              <w:t xml:space="preserve"> </w:t>
            </w:r>
            <w:r w:rsidRPr="00C6052E">
              <w:t>cash</w:t>
            </w:r>
            <w:r w:rsidR="00177848" w:rsidRPr="00C6052E">
              <w:t xml:space="preserve"> </w:t>
            </w:r>
            <w:r w:rsidRPr="00C6052E">
              <w:t>flow</w:t>
            </w:r>
            <w:r w:rsidR="00177848" w:rsidRPr="00C6052E">
              <w:t xml:space="preserve"> </w:t>
            </w:r>
            <w:r w:rsidRPr="00C6052E">
              <w:t>statement</w:t>
            </w:r>
          </w:p>
        </w:tc>
        <w:tc>
          <w:tcPr>
            <w:tcW w:w="1417" w:type="dxa"/>
            <w:noWrap/>
            <w:hideMark/>
          </w:tcPr>
          <w:p w14:paraId="457D6B5B" w14:textId="77777777" w:rsidR="00EE5BB8" w:rsidRPr="00C6052E" w:rsidRDefault="00EE5BB8" w:rsidP="0063097D">
            <w:pPr>
              <w:pStyle w:val="Tabletotal"/>
              <w:jc w:val="right"/>
            </w:pPr>
            <w:r w:rsidRPr="00C6052E">
              <w:t>(409)</w:t>
            </w:r>
          </w:p>
        </w:tc>
        <w:tc>
          <w:tcPr>
            <w:tcW w:w="1417" w:type="dxa"/>
            <w:noWrap/>
            <w:hideMark/>
          </w:tcPr>
          <w:p w14:paraId="778C4F28" w14:textId="77777777" w:rsidR="00EE5BB8" w:rsidRPr="00C6052E" w:rsidRDefault="00EE5BB8" w:rsidP="0063097D">
            <w:pPr>
              <w:pStyle w:val="Tabletotal"/>
              <w:jc w:val="right"/>
            </w:pPr>
            <w:r w:rsidRPr="00C6052E">
              <w:t>(332)</w:t>
            </w:r>
          </w:p>
        </w:tc>
      </w:tr>
    </w:tbl>
    <w:p w14:paraId="26B9310D" w14:textId="77777777" w:rsidR="00EE5BB8" w:rsidRPr="00C6052E" w:rsidRDefault="00EE5BB8" w:rsidP="00EE5BB8"/>
    <w:p w14:paraId="299B74A0" w14:textId="3E078830" w:rsidR="00EE5BB8" w:rsidRPr="00C6052E" w:rsidRDefault="00EE5BB8" w:rsidP="0028635E">
      <w:pPr>
        <w:pStyle w:val="Normalbeforebullets"/>
      </w:pPr>
      <w:r w:rsidRPr="00C6052E">
        <w:t>For</w:t>
      </w:r>
      <w:r w:rsidR="00177848" w:rsidRPr="00C6052E">
        <w:t xml:space="preserve"> </w:t>
      </w:r>
      <w:r w:rsidRPr="00C6052E">
        <w:t>any</w:t>
      </w:r>
      <w:r w:rsidR="00177848" w:rsidRPr="00C6052E">
        <w:t xml:space="preserve"> </w:t>
      </w:r>
      <w:r w:rsidRPr="00C6052E">
        <w:t>new</w:t>
      </w:r>
      <w:r w:rsidR="00177848" w:rsidRPr="00C6052E">
        <w:t xml:space="preserve"> </w:t>
      </w:r>
      <w:r w:rsidRPr="00C6052E">
        <w:t>contracts</w:t>
      </w:r>
      <w:r w:rsidR="00177848" w:rsidRPr="00C6052E">
        <w:t xml:space="preserve"> </w:t>
      </w:r>
      <w:r w:rsidRPr="00C6052E">
        <w:t>entered</w:t>
      </w:r>
      <w:r w:rsidR="00177848" w:rsidRPr="00C6052E">
        <w:t xml:space="preserve"> </w:t>
      </w:r>
      <w:r w:rsidRPr="00C6052E">
        <w:t>into,</w:t>
      </w:r>
      <w:r w:rsidR="00177848" w:rsidRPr="00C6052E">
        <w:t xml:space="preserve"> </w:t>
      </w:r>
      <w:r w:rsidRPr="00C6052E">
        <w:t>DJSIR</w:t>
      </w:r>
      <w:r w:rsidR="00177848" w:rsidRPr="00C6052E">
        <w:t xml:space="preserve"> </w:t>
      </w:r>
      <w:r w:rsidRPr="00C6052E">
        <w:t>considers</w:t>
      </w:r>
      <w:r w:rsidR="00177848" w:rsidRPr="00C6052E">
        <w:t xml:space="preserve"> </w:t>
      </w:r>
      <w:r w:rsidRPr="00C6052E">
        <w:t>whether</w:t>
      </w:r>
      <w:r w:rsidR="00177848" w:rsidRPr="00C6052E">
        <w:t xml:space="preserve"> </w:t>
      </w:r>
      <w:r w:rsidRPr="00C6052E">
        <w:t>a</w:t>
      </w:r>
      <w:r w:rsidR="00177848" w:rsidRPr="00C6052E">
        <w:t xml:space="preserve"> </w:t>
      </w:r>
      <w:r w:rsidRPr="00C6052E">
        <w:t>contract</w:t>
      </w:r>
      <w:r w:rsidR="00177848" w:rsidRPr="00C6052E">
        <w:t xml:space="preserve"> </w:t>
      </w:r>
      <w:r w:rsidRPr="00C6052E">
        <w:t>is,</w:t>
      </w:r>
      <w:r w:rsidR="00177848" w:rsidRPr="00C6052E">
        <w:t xml:space="preserve"> </w:t>
      </w:r>
      <w:r w:rsidRPr="00C6052E">
        <w:t>or</w:t>
      </w:r>
      <w:r w:rsidR="00177848" w:rsidRPr="00C6052E">
        <w:t xml:space="preserve"> </w:t>
      </w:r>
      <w:r w:rsidRPr="00C6052E">
        <w:t>contains</w:t>
      </w:r>
      <w:r w:rsidR="00177848" w:rsidRPr="00C6052E">
        <w:t xml:space="preserve"> </w:t>
      </w:r>
      <w:r w:rsidRPr="00C6052E">
        <w:t>a</w:t>
      </w:r>
      <w:r w:rsidR="00177848" w:rsidRPr="00C6052E">
        <w:t xml:space="preserve"> </w:t>
      </w:r>
      <w:r w:rsidRPr="00C6052E">
        <w:t>lease.</w:t>
      </w:r>
      <w:r w:rsidR="00177848" w:rsidRPr="00C6052E">
        <w:t xml:space="preserve"> </w:t>
      </w:r>
      <w:r w:rsidRPr="00C6052E">
        <w:t>A</w:t>
      </w:r>
      <w:r w:rsidR="00177848" w:rsidRPr="00C6052E">
        <w:t xml:space="preserve"> </w:t>
      </w:r>
      <w:r w:rsidRPr="00C6052E">
        <w:t>lease</w:t>
      </w:r>
      <w:r w:rsidR="00177848" w:rsidRPr="00C6052E">
        <w:t xml:space="preserve"> </w:t>
      </w:r>
      <w:r w:rsidRPr="00C6052E">
        <w:t>is</w:t>
      </w:r>
      <w:r w:rsidR="00177848" w:rsidRPr="00C6052E">
        <w:t xml:space="preserve"> </w:t>
      </w:r>
      <w:r w:rsidRPr="00C6052E">
        <w:t>defined</w:t>
      </w:r>
      <w:r w:rsidR="00177848" w:rsidRPr="00C6052E">
        <w:t xml:space="preserve"> </w:t>
      </w:r>
      <w:r w:rsidRPr="00C6052E">
        <w:t>as</w:t>
      </w:r>
      <w:r w:rsidR="00177848" w:rsidRPr="00C6052E">
        <w:t xml:space="preserve"> </w:t>
      </w:r>
      <w:r w:rsidRPr="00C6052E">
        <w:t>’a</w:t>
      </w:r>
      <w:r w:rsidR="00177848" w:rsidRPr="00C6052E">
        <w:t xml:space="preserve"> </w:t>
      </w:r>
      <w:r w:rsidRPr="00C6052E">
        <w:t>contract</w:t>
      </w:r>
      <w:r w:rsidR="00177848" w:rsidRPr="00C6052E">
        <w:t xml:space="preserve"> </w:t>
      </w:r>
      <w:r w:rsidRPr="00C6052E">
        <w:t>or</w:t>
      </w:r>
      <w:r w:rsidR="00177848" w:rsidRPr="00C6052E">
        <w:t xml:space="preserve"> </w:t>
      </w:r>
      <w:r w:rsidRPr="00C6052E">
        <w:t>part</w:t>
      </w:r>
      <w:r w:rsidR="00177848" w:rsidRPr="00C6052E">
        <w:t xml:space="preserve"> </w:t>
      </w:r>
      <w:r w:rsidRPr="00C6052E">
        <w:t>of</w:t>
      </w:r>
      <w:r w:rsidR="00177848" w:rsidRPr="00C6052E">
        <w:t xml:space="preserve"> </w:t>
      </w:r>
      <w:r w:rsidRPr="00C6052E">
        <w:t>a</w:t>
      </w:r>
      <w:r w:rsidR="00177848" w:rsidRPr="00C6052E">
        <w:t xml:space="preserve"> </w:t>
      </w:r>
      <w:r w:rsidRPr="00C6052E">
        <w:t>contract,</w:t>
      </w:r>
      <w:r w:rsidR="00177848" w:rsidRPr="00C6052E">
        <w:t xml:space="preserve"> </w:t>
      </w:r>
      <w:r w:rsidRPr="00C6052E">
        <w:t>that</w:t>
      </w:r>
      <w:r w:rsidR="00177848" w:rsidRPr="00C6052E">
        <w:t xml:space="preserve"> </w:t>
      </w:r>
      <w:r w:rsidRPr="00C6052E">
        <w:t>conveys</w:t>
      </w:r>
      <w:r w:rsidR="00177848" w:rsidRPr="00C6052E">
        <w:t xml:space="preserve"> </w:t>
      </w:r>
      <w:r w:rsidRPr="00C6052E">
        <w:t>the</w:t>
      </w:r>
      <w:r w:rsidR="00177848" w:rsidRPr="00C6052E">
        <w:t xml:space="preserve"> </w:t>
      </w:r>
      <w:r w:rsidRPr="00C6052E">
        <w:t>right</w:t>
      </w:r>
      <w:r w:rsidR="00177848" w:rsidRPr="00C6052E">
        <w:t xml:space="preserve"> </w:t>
      </w:r>
      <w:r w:rsidRPr="00C6052E">
        <w:t>of</w:t>
      </w:r>
      <w:r w:rsidR="00177848" w:rsidRPr="00C6052E">
        <w:t xml:space="preserve"> </w:t>
      </w:r>
      <w:r w:rsidRPr="00C6052E">
        <w:t>use</w:t>
      </w:r>
      <w:r w:rsidR="00177848" w:rsidRPr="00C6052E">
        <w:t xml:space="preserve"> </w:t>
      </w:r>
      <w:r w:rsidRPr="00C6052E">
        <w:t>of</w:t>
      </w:r>
      <w:r w:rsidR="00177848" w:rsidRPr="00C6052E">
        <w:t xml:space="preserve"> </w:t>
      </w:r>
      <w:r w:rsidRPr="00C6052E">
        <w:t>an</w:t>
      </w:r>
      <w:r w:rsidR="00177848" w:rsidRPr="00C6052E">
        <w:t xml:space="preserve"> </w:t>
      </w:r>
      <w:r w:rsidRPr="00C6052E">
        <w:t>asset</w:t>
      </w:r>
      <w:r w:rsidR="00177848" w:rsidRPr="00C6052E">
        <w:t xml:space="preserve"> </w:t>
      </w:r>
      <w:r w:rsidRPr="00C6052E">
        <w:t>(the</w:t>
      </w:r>
      <w:r w:rsidR="00177848" w:rsidRPr="00C6052E">
        <w:t xml:space="preserve"> </w:t>
      </w:r>
      <w:r w:rsidRPr="00C6052E">
        <w:t>underlying</w:t>
      </w:r>
      <w:r w:rsidR="00177848" w:rsidRPr="00C6052E">
        <w:t xml:space="preserve"> </w:t>
      </w:r>
      <w:r w:rsidRPr="00C6052E">
        <w:t>asset)</w:t>
      </w:r>
      <w:r w:rsidR="00177848" w:rsidRPr="00C6052E">
        <w:t xml:space="preserve"> </w:t>
      </w:r>
      <w:r w:rsidRPr="00C6052E">
        <w:t>for</w:t>
      </w:r>
      <w:r w:rsidR="00177848" w:rsidRPr="00C6052E">
        <w:t xml:space="preserve"> </w:t>
      </w:r>
      <w:r w:rsidRPr="00C6052E">
        <w:t>a</w:t>
      </w:r>
      <w:r w:rsidR="00177848" w:rsidRPr="00C6052E">
        <w:t xml:space="preserve"> </w:t>
      </w:r>
      <w:r w:rsidRPr="00C6052E">
        <w:t>period</w:t>
      </w:r>
      <w:r w:rsidR="00177848" w:rsidRPr="00C6052E">
        <w:t xml:space="preserve"> </w:t>
      </w:r>
      <w:r w:rsidRPr="00C6052E">
        <w:t>of</w:t>
      </w:r>
      <w:r w:rsidR="00177848" w:rsidRPr="00C6052E">
        <w:t xml:space="preserve"> </w:t>
      </w:r>
      <w:r w:rsidRPr="00C6052E">
        <w:t>time</w:t>
      </w:r>
      <w:r w:rsidR="00177848" w:rsidRPr="00C6052E">
        <w:t xml:space="preserve"> </w:t>
      </w:r>
      <w:r w:rsidRPr="00C6052E">
        <w:t>in</w:t>
      </w:r>
      <w:r w:rsidR="00177848" w:rsidRPr="00C6052E">
        <w:t xml:space="preserve"> </w:t>
      </w:r>
      <w:r w:rsidRPr="00C6052E">
        <w:t>exchange</w:t>
      </w:r>
      <w:r w:rsidR="00177848" w:rsidRPr="00C6052E">
        <w:t xml:space="preserve"> </w:t>
      </w:r>
      <w:r w:rsidRPr="00C6052E">
        <w:t>for</w:t>
      </w:r>
      <w:r w:rsidR="00177848" w:rsidRPr="00C6052E">
        <w:t xml:space="preserve"> </w:t>
      </w:r>
      <w:r w:rsidRPr="00C6052E">
        <w:t>consideration’.</w:t>
      </w:r>
      <w:r w:rsidR="00177848" w:rsidRPr="00C6052E">
        <w:t xml:space="preserve"> </w:t>
      </w:r>
      <w:r w:rsidRPr="00C6052E">
        <w:t>To</w:t>
      </w:r>
      <w:r w:rsidR="00177848" w:rsidRPr="00C6052E">
        <w:t xml:space="preserve"> </w:t>
      </w:r>
      <w:r w:rsidRPr="00C6052E">
        <w:t>apply</w:t>
      </w:r>
      <w:r w:rsidR="00177848" w:rsidRPr="00C6052E">
        <w:t xml:space="preserve"> </w:t>
      </w:r>
      <w:r w:rsidRPr="00C6052E">
        <w:t>this</w:t>
      </w:r>
      <w:r w:rsidR="00177848" w:rsidRPr="00C6052E">
        <w:t xml:space="preserve"> </w:t>
      </w:r>
      <w:r w:rsidRPr="00C6052E">
        <w:t>definition</w:t>
      </w:r>
      <w:r w:rsidR="00177848" w:rsidRPr="00C6052E">
        <w:t xml:space="preserve"> </w:t>
      </w:r>
      <w:r w:rsidRPr="00C6052E">
        <w:t>DJSIR</w:t>
      </w:r>
      <w:r w:rsidR="00177848" w:rsidRPr="00C6052E">
        <w:t xml:space="preserve"> </w:t>
      </w:r>
      <w:r w:rsidRPr="00C6052E">
        <w:t>assesses</w:t>
      </w:r>
      <w:r w:rsidR="00177848" w:rsidRPr="00C6052E">
        <w:t xml:space="preserve"> </w:t>
      </w:r>
      <w:r w:rsidRPr="00C6052E">
        <w:t>whether</w:t>
      </w:r>
      <w:r w:rsidR="00177848" w:rsidRPr="00C6052E">
        <w:t xml:space="preserve"> </w:t>
      </w:r>
      <w:r w:rsidRPr="00C6052E">
        <w:t>the</w:t>
      </w:r>
      <w:r w:rsidR="00177848" w:rsidRPr="00C6052E">
        <w:t xml:space="preserve"> </w:t>
      </w:r>
      <w:r w:rsidRPr="00C6052E">
        <w:t>contract</w:t>
      </w:r>
      <w:r w:rsidR="00177848" w:rsidRPr="00C6052E">
        <w:t xml:space="preserve"> </w:t>
      </w:r>
      <w:r w:rsidRPr="00C6052E">
        <w:t>meets</w:t>
      </w:r>
      <w:r w:rsidR="00177848" w:rsidRPr="00C6052E">
        <w:t xml:space="preserve"> </w:t>
      </w:r>
      <w:r w:rsidRPr="00C6052E">
        <w:t>three</w:t>
      </w:r>
      <w:r w:rsidR="00177848" w:rsidRPr="00C6052E">
        <w:t xml:space="preserve"> </w:t>
      </w:r>
      <w:r w:rsidRPr="00C6052E">
        <w:t>key</w:t>
      </w:r>
      <w:r w:rsidR="00177848" w:rsidRPr="00C6052E">
        <w:t xml:space="preserve"> </w:t>
      </w:r>
      <w:r w:rsidRPr="00C6052E">
        <w:t>evaluations:</w:t>
      </w:r>
    </w:p>
    <w:p w14:paraId="4BD5DABE" w14:textId="231B42A8" w:rsidR="00EE5BB8" w:rsidRPr="00C6052E" w:rsidRDefault="00EE5BB8" w:rsidP="00EE5BB8">
      <w:pPr>
        <w:pStyle w:val="Bullet1"/>
        <w:numPr>
          <w:ilvl w:val="0"/>
          <w:numId w:val="1"/>
        </w:numPr>
        <w:spacing w:line="278" w:lineRule="auto"/>
        <w:ind w:left="284" w:hanging="284"/>
        <w:rPr>
          <w:lang w:val="en-AU"/>
        </w:rPr>
      </w:pPr>
      <w:r w:rsidRPr="00C6052E">
        <w:rPr>
          <w:lang w:val="en-AU"/>
        </w:rPr>
        <w:t>Whether</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contract</w:t>
      </w:r>
      <w:r w:rsidR="00177848" w:rsidRPr="00C6052E">
        <w:rPr>
          <w:lang w:val="en-AU"/>
        </w:rPr>
        <w:t xml:space="preserve"> </w:t>
      </w:r>
      <w:r w:rsidRPr="00C6052E">
        <w:rPr>
          <w:lang w:val="en-AU"/>
        </w:rPr>
        <w:t>contains</w:t>
      </w:r>
      <w:r w:rsidR="00177848" w:rsidRPr="00C6052E">
        <w:rPr>
          <w:lang w:val="en-AU"/>
        </w:rPr>
        <w:t xml:space="preserve"> </w:t>
      </w:r>
      <w:r w:rsidRPr="00C6052E">
        <w:rPr>
          <w:lang w:val="en-AU"/>
        </w:rPr>
        <w:t>an</w:t>
      </w:r>
      <w:r w:rsidR="00177848" w:rsidRPr="00C6052E">
        <w:rPr>
          <w:lang w:val="en-AU"/>
        </w:rPr>
        <w:t xml:space="preserve"> </w:t>
      </w:r>
      <w:r w:rsidRPr="00C6052E">
        <w:rPr>
          <w:lang w:val="en-AU"/>
        </w:rPr>
        <w:t>identified</w:t>
      </w:r>
      <w:r w:rsidR="00177848" w:rsidRPr="00C6052E">
        <w:rPr>
          <w:lang w:val="en-AU"/>
        </w:rPr>
        <w:t xml:space="preserve"> </w:t>
      </w:r>
      <w:r w:rsidRPr="00C6052E">
        <w:rPr>
          <w:lang w:val="en-AU"/>
        </w:rPr>
        <w:t>asset,</w:t>
      </w:r>
      <w:r w:rsidR="00177848" w:rsidRPr="00C6052E">
        <w:rPr>
          <w:lang w:val="en-AU"/>
        </w:rPr>
        <w:t xml:space="preserve"> </w:t>
      </w:r>
      <w:r w:rsidRPr="00C6052E">
        <w:rPr>
          <w:lang w:val="en-AU"/>
        </w:rPr>
        <w:t>which</w:t>
      </w:r>
      <w:r w:rsidR="00177848" w:rsidRPr="00C6052E">
        <w:rPr>
          <w:lang w:val="en-AU"/>
        </w:rPr>
        <w:t xml:space="preserve"> </w:t>
      </w:r>
      <w:r w:rsidRPr="00C6052E">
        <w:rPr>
          <w:lang w:val="en-AU"/>
        </w:rPr>
        <w:t>is</w:t>
      </w:r>
      <w:r w:rsidR="00177848" w:rsidRPr="00C6052E">
        <w:rPr>
          <w:lang w:val="en-AU"/>
        </w:rPr>
        <w:t xml:space="preserve"> </w:t>
      </w:r>
      <w:r w:rsidRPr="00C6052E">
        <w:rPr>
          <w:lang w:val="en-AU"/>
        </w:rPr>
        <w:t>either</w:t>
      </w:r>
      <w:r w:rsidR="00177848" w:rsidRPr="00C6052E">
        <w:rPr>
          <w:lang w:val="en-AU"/>
        </w:rPr>
        <w:t xml:space="preserve"> </w:t>
      </w:r>
      <w:r w:rsidRPr="00C6052E">
        <w:rPr>
          <w:lang w:val="en-AU"/>
        </w:rPr>
        <w:t>explicitly</w:t>
      </w:r>
      <w:r w:rsidR="00177848" w:rsidRPr="00C6052E">
        <w:rPr>
          <w:lang w:val="en-AU"/>
        </w:rPr>
        <w:t xml:space="preserve"> </w:t>
      </w:r>
      <w:r w:rsidRPr="00C6052E">
        <w:rPr>
          <w:lang w:val="en-AU"/>
        </w:rPr>
        <w:t>identified</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contract</w:t>
      </w:r>
      <w:r w:rsidR="00177848" w:rsidRPr="00C6052E">
        <w:rPr>
          <w:lang w:val="en-AU"/>
        </w:rPr>
        <w:t xml:space="preserve"> </w:t>
      </w:r>
      <w:r w:rsidRPr="00C6052E">
        <w:rPr>
          <w:lang w:val="en-AU"/>
        </w:rPr>
        <w:t>or</w:t>
      </w:r>
      <w:r w:rsidR="00177848" w:rsidRPr="00C6052E">
        <w:rPr>
          <w:lang w:val="en-AU"/>
        </w:rPr>
        <w:t xml:space="preserve"> </w:t>
      </w:r>
      <w:r w:rsidRPr="00C6052E">
        <w:rPr>
          <w:lang w:val="en-AU"/>
        </w:rPr>
        <w:t>implicitly</w:t>
      </w:r>
      <w:r w:rsidR="00177848" w:rsidRPr="00C6052E">
        <w:rPr>
          <w:lang w:val="en-AU"/>
        </w:rPr>
        <w:t xml:space="preserve"> </w:t>
      </w:r>
      <w:r w:rsidRPr="00C6052E">
        <w:rPr>
          <w:lang w:val="en-AU"/>
        </w:rPr>
        <w:t>specified</w:t>
      </w:r>
      <w:r w:rsidR="00177848" w:rsidRPr="00C6052E">
        <w:rPr>
          <w:lang w:val="en-AU"/>
        </w:rPr>
        <w:t xml:space="preserve"> </w:t>
      </w:r>
      <w:r w:rsidRPr="00C6052E">
        <w:rPr>
          <w:lang w:val="en-AU"/>
        </w:rPr>
        <w:t>by</w:t>
      </w:r>
      <w:r w:rsidR="00177848" w:rsidRPr="00C6052E">
        <w:rPr>
          <w:lang w:val="en-AU"/>
        </w:rPr>
        <w:t xml:space="preserve"> </w:t>
      </w:r>
      <w:r w:rsidRPr="00C6052E">
        <w:rPr>
          <w:lang w:val="en-AU"/>
        </w:rPr>
        <w:t>being</w:t>
      </w:r>
      <w:r w:rsidR="00177848" w:rsidRPr="00C6052E">
        <w:rPr>
          <w:lang w:val="en-AU"/>
        </w:rPr>
        <w:t xml:space="preserve"> </w:t>
      </w:r>
      <w:r w:rsidRPr="00C6052E">
        <w:rPr>
          <w:lang w:val="en-AU"/>
        </w:rPr>
        <w:t>identified</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time</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asset</w:t>
      </w:r>
      <w:r w:rsidR="00177848" w:rsidRPr="00C6052E">
        <w:rPr>
          <w:lang w:val="en-AU"/>
        </w:rPr>
        <w:t xml:space="preserve"> </w:t>
      </w:r>
      <w:r w:rsidRPr="00C6052E">
        <w:rPr>
          <w:lang w:val="en-AU"/>
        </w:rPr>
        <w:t>is</w:t>
      </w:r>
      <w:r w:rsidR="00177848" w:rsidRPr="00C6052E">
        <w:rPr>
          <w:lang w:val="en-AU"/>
        </w:rPr>
        <w:t xml:space="preserve"> </w:t>
      </w:r>
      <w:r w:rsidRPr="00C6052E">
        <w:rPr>
          <w:lang w:val="en-AU"/>
        </w:rPr>
        <w:t>made</w:t>
      </w:r>
      <w:r w:rsidR="00177848" w:rsidRPr="00C6052E">
        <w:rPr>
          <w:lang w:val="en-AU"/>
        </w:rPr>
        <w:t xml:space="preserve"> </w:t>
      </w:r>
      <w:r w:rsidRPr="00C6052E">
        <w:rPr>
          <w:lang w:val="en-AU"/>
        </w:rPr>
        <w:t>available</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DJSIR</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which</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supplier</w:t>
      </w:r>
      <w:r w:rsidR="00177848" w:rsidRPr="00C6052E">
        <w:rPr>
          <w:lang w:val="en-AU"/>
        </w:rPr>
        <w:t xml:space="preserve"> </w:t>
      </w:r>
      <w:r w:rsidRPr="00C6052E">
        <w:rPr>
          <w:lang w:val="en-AU"/>
        </w:rPr>
        <w:t>does</w:t>
      </w:r>
      <w:r w:rsidR="00177848" w:rsidRPr="00C6052E">
        <w:rPr>
          <w:lang w:val="en-AU"/>
        </w:rPr>
        <w:t xml:space="preserve"> </w:t>
      </w:r>
      <w:r w:rsidRPr="00C6052E">
        <w:rPr>
          <w:lang w:val="en-AU"/>
        </w:rPr>
        <w:t>not</w:t>
      </w:r>
      <w:r w:rsidR="00177848" w:rsidRPr="00C6052E">
        <w:rPr>
          <w:lang w:val="en-AU"/>
        </w:rPr>
        <w:t xml:space="preserve"> </w:t>
      </w:r>
      <w:r w:rsidRPr="00C6052E">
        <w:rPr>
          <w:lang w:val="en-AU"/>
        </w:rPr>
        <w:t>have</w:t>
      </w:r>
      <w:r w:rsidR="00177848" w:rsidRPr="00C6052E">
        <w:rPr>
          <w:lang w:val="en-AU"/>
        </w:rPr>
        <w:t xml:space="preserve"> </w:t>
      </w:r>
      <w:r w:rsidRPr="00C6052E">
        <w:rPr>
          <w:lang w:val="en-AU"/>
        </w:rPr>
        <w:t>substantive</w:t>
      </w:r>
      <w:r w:rsidR="00177848" w:rsidRPr="00C6052E">
        <w:rPr>
          <w:lang w:val="en-AU"/>
        </w:rPr>
        <w:t xml:space="preserve"> </w:t>
      </w:r>
      <w:r w:rsidRPr="00C6052E">
        <w:rPr>
          <w:lang w:val="en-AU"/>
        </w:rPr>
        <w:t>substitution</w:t>
      </w:r>
      <w:r w:rsidR="00177848" w:rsidRPr="00C6052E">
        <w:rPr>
          <w:lang w:val="en-AU"/>
        </w:rPr>
        <w:t xml:space="preserve"> </w:t>
      </w:r>
      <w:r w:rsidRPr="00C6052E">
        <w:rPr>
          <w:lang w:val="en-AU"/>
        </w:rPr>
        <w:t>rights;</w:t>
      </w:r>
      <w:r w:rsidR="00177848" w:rsidRPr="00C6052E">
        <w:rPr>
          <w:lang w:val="en-AU"/>
        </w:rPr>
        <w:t xml:space="preserve"> </w:t>
      </w:r>
    </w:p>
    <w:p w14:paraId="663582D6" w14:textId="08FCF4AA" w:rsidR="00EE5BB8" w:rsidRPr="00C6052E" w:rsidRDefault="00EE5BB8" w:rsidP="00EE5BB8">
      <w:pPr>
        <w:pStyle w:val="Bullet1"/>
        <w:numPr>
          <w:ilvl w:val="0"/>
          <w:numId w:val="1"/>
        </w:numPr>
        <w:spacing w:line="278" w:lineRule="auto"/>
        <w:ind w:left="284" w:hanging="284"/>
        <w:rPr>
          <w:lang w:val="en-AU"/>
        </w:rPr>
      </w:pPr>
      <w:r w:rsidRPr="00C6052E">
        <w:rPr>
          <w:lang w:val="en-AU"/>
        </w:rPr>
        <w:t>Whether</w:t>
      </w:r>
      <w:r w:rsidR="00177848" w:rsidRPr="00C6052E">
        <w:rPr>
          <w:lang w:val="en-AU"/>
        </w:rPr>
        <w:t xml:space="preserve"> </w:t>
      </w:r>
      <w:r w:rsidRPr="00C6052E">
        <w:rPr>
          <w:lang w:val="en-AU"/>
        </w:rPr>
        <w:t>DJSIR</w:t>
      </w:r>
      <w:r w:rsidR="00177848" w:rsidRPr="00C6052E">
        <w:rPr>
          <w:lang w:val="en-AU"/>
        </w:rPr>
        <w:t xml:space="preserve"> </w:t>
      </w:r>
      <w:r w:rsidRPr="00C6052E">
        <w:rPr>
          <w:lang w:val="en-AU"/>
        </w:rPr>
        <w:t>has</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right</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obtain</w:t>
      </w:r>
      <w:r w:rsidR="00177848" w:rsidRPr="00C6052E">
        <w:rPr>
          <w:lang w:val="en-AU"/>
        </w:rPr>
        <w:t xml:space="preserve"> </w:t>
      </w:r>
      <w:r w:rsidRPr="00C6052E">
        <w:rPr>
          <w:lang w:val="en-AU"/>
        </w:rPr>
        <w:t>substantially</w:t>
      </w:r>
      <w:r w:rsidR="00177848" w:rsidRPr="00C6052E">
        <w:rPr>
          <w:lang w:val="en-AU"/>
        </w:rPr>
        <w:t xml:space="preserve"> </w:t>
      </w:r>
      <w:r w:rsidRPr="00C6052E">
        <w:rPr>
          <w:lang w:val="en-AU"/>
        </w:rPr>
        <w:t>all</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economic</w:t>
      </w:r>
      <w:r w:rsidR="00177848" w:rsidRPr="00C6052E">
        <w:rPr>
          <w:lang w:val="en-AU"/>
        </w:rPr>
        <w:t xml:space="preserve"> </w:t>
      </w:r>
      <w:r w:rsidRPr="00C6052E">
        <w:rPr>
          <w:lang w:val="en-AU"/>
        </w:rPr>
        <w:t>benefits</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use</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identified</w:t>
      </w:r>
      <w:r w:rsidR="00177848" w:rsidRPr="00C6052E">
        <w:rPr>
          <w:lang w:val="en-AU"/>
        </w:rPr>
        <w:t xml:space="preserve"> </w:t>
      </w:r>
      <w:r w:rsidRPr="00C6052E">
        <w:rPr>
          <w:lang w:val="en-AU"/>
        </w:rPr>
        <w:t>asset</w:t>
      </w:r>
      <w:r w:rsidR="00177848" w:rsidRPr="00C6052E">
        <w:rPr>
          <w:lang w:val="en-AU"/>
        </w:rPr>
        <w:t xml:space="preserve"> </w:t>
      </w:r>
      <w:r w:rsidRPr="00C6052E">
        <w:rPr>
          <w:lang w:val="en-AU"/>
        </w:rPr>
        <w:t>throughout</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period</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use,</w:t>
      </w:r>
      <w:r w:rsidR="00177848" w:rsidRPr="00C6052E">
        <w:rPr>
          <w:lang w:val="en-AU"/>
        </w:rPr>
        <w:t xml:space="preserve"> </w:t>
      </w:r>
      <w:r w:rsidRPr="00C6052E">
        <w:rPr>
          <w:lang w:val="en-AU"/>
        </w:rPr>
        <w:t>considering</w:t>
      </w:r>
      <w:r w:rsidR="00177848" w:rsidRPr="00C6052E">
        <w:rPr>
          <w:lang w:val="en-AU"/>
        </w:rPr>
        <w:t xml:space="preserve"> </w:t>
      </w:r>
      <w:r w:rsidRPr="00C6052E">
        <w:rPr>
          <w:lang w:val="en-AU"/>
        </w:rPr>
        <w:t>its</w:t>
      </w:r>
      <w:r w:rsidR="00177848" w:rsidRPr="00C6052E">
        <w:rPr>
          <w:lang w:val="en-AU"/>
        </w:rPr>
        <w:t xml:space="preserve"> </w:t>
      </w:r>
      <w:r w:rsidRPr="00C6052E">
        <w:rPr>
          <w:lang w:val="en-AU"/>
        </w:rPr>
        <w:t>rights</w:t>
      </w:r>
      <w:r w:rsidR="00177848" w:rsidRPr="00C6052E">
        <w:rPr>
          <w:lang w:val="en-AU"/>
        </w:rPr>
        <w:t xml:space="preserve"> </w:t>
      </w:r>
      <w:r w:rsidRPr="00C6052E">
        <w:rPr>
          <w:lang w:val="en-AU"/>
        </w:rPr>
        <w:t>within</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defined</w:t>
      </w:r>
      <w:r w:rsidR="00177848" w:rsidRPr="00C6052E">
        <w:rPr>
          <w:lang w:val="en-AU"/>
        </w:rPr>
        <w:t xml:space="preserve"> </w:t>
      </w:r>
      <w:r w:rsidRPr="00C6052E">
        <w:rPr>
          <w:lang w:val="en-AU"/>
        </w:rPr>
        <w:t>scope</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contract</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DJSIR</w:t>
      </w:r>
      <w:r w:rsidR="00177848" w:rsidRPr="00C6052E">
        <w:rPr>
          <w:lang w:val="en-AU"/>
        </w:rPr>
        <w:t xml:space="preserve"> </w:t>
      </w:r>
      <w:r w:rsidRPr="00C6052E">
        <w:rPr>
          <w:lang w:val="en-AU"/>
        </w:rPr>
        <w:t>has</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right</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direct</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use</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identified</w:t>
      </w:r>
      <w:r w:rsidR="00177848" w:rsidRPr="00C6052E">
        <w:rPr>
          <w:lang w:val="en-AU"/>
        </w:rPr>
        <w:t xml:space="preserve"> </w:t>
      </w:r>
      <w:r w:rsidRPr="00C6052E">
        <w:rPr>
          <w:lang w:val="en-AU"/>
        </w:rPr>
        <w:t>asset</w:t>
      </w:r>
      <w:r w:rsidR="00177848" w:rsidRPr="00C6052E">
        <w:rPr>
          <w:lang w:val="en-AU"/>
        </w:rPr>
        <w:t xml:space="preserve"> </w:t>
      </w:r>
      <w:r w:rsidRPr="00C6052E">
        <w:rPr>
          <w:lang w:val="en-AU"/>
        </w:rPr>
        <w:t>throughout</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period</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use;</w:t>
      </w:r>
      <w:r w:rsidR="00177848" w:rsidRPr="00C6052E">
        <w:rPr>
          <w:lang w:val="en-AU"/>
        </w:rPr>
        <w:t xml:space="preserve"> </w:t>
      </w:r>
      <w:r w:rsidRPr="00C6052E">
        <w:rPr>
          <w:lang w:val="en-AU"/>
        </w:rPr>
        <w:t>and</w:t>
      </w:r>
    </w:p>
    <w:p w14:paraId="2DE94773" w14:textId="7BA919FB" w:rsidR="00EE5BB8" w:rsidRPr="00C6052E" w:rsidRDefault="00EE5BB8" w:rsidP="00EE5BB8">
      <w:pPr>
        <w:pStyle w:val="Bullet1last"/>
        <w:numPr>
          <w:ilvl w:val="0"/>
          <w:numId w:val="1"/>
        </w:numPr>
        <w:spacing w:line="278" w:lineRule="auto"/>
        <w:ind w:left="284" w:hanging="284"/>
        <w:rPr>
          <w:lang w:val="en-AU"/>
        </w:rPr>
      </w:pPr>
      <w:r w:rsidRPr="00C6052E">
        <w:rPr>
          <w:lang w:val="en-AU"/>
        </w:rPr>
        <w:t>Whether</w:t>
      </w:r>
      <w:r w:rsidR="00177848" w:rsidRPr="00C6052E">
        <w:rPr>
          <w:lang w:val="en-AU"/>
        </w:rPr>
        <w:t xml:space="preserve"> </w:t>
      </w:r>
      <w:r w:rsidRPr="00C6052E">
        <w:rPr>
          <w:lang w:val="en-AU"/>
        </w:rPr>
        <w:t>DJSIR</w:t>
      </w:r>
      <w:r w:rsidR="00177848" w:rsidRPr="00C6052E">
        <w:rPr>
          <w:lang w:val="en-AU"/>
        </w:rPr>
        <w:t xml:space="preserve"> </w:t>
      </w:r>
      <w:r w:rsidRPr="00C6052E">
        <w:rPr>
          <w:lang w:val="en-AU"/>
        </w:rPr>
        <w:t>has</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right</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take</w:t>
      </w:r>
      <w:r w:rsidR="00177848" w:rsidRPr="00C6052E">
        <w:rPr>
          <w:lang w:val="en-AU"/>
        </w:rPr>
        <w:t xml:space="preserve"> </w:t>
      </w:r>
      <w:r w:rsidRPr="00C6052E">
        <w:rPr>
          <w:lang w:val="en-AU"/>
        </w:rPr>
        <w:t>decisions</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respect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‘how</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what</w:t>
      </w:r>
      <w:r w:rsidR="00177848" w:rsidRPr="00C6052E">
        <w:rPr>
          <w:lang w:val="en-AU"/>
        </w:rPr>
        <w:t xml:space="preserve"> </w:t>
      </w:r>
      <w:r w:rsidRPr="00C6052E">
        <w:rPr>
          <w:lang w:val="en-AU"/>
        </w:rPr>
        <w:t>purpose’</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asset</w:t>
      </w:r>
      <w:r w:rsidR="00177848" w:rsidRPr="00C6052E">
        <w:rPr>
          <w:lang w:val="en-AU"/>
        </w:rPr>
        <w:t xml:space="preserve"> </w:t>
      </w:r>
      <w:r w:rsidRPr="00C6052E">
        <w:rPr>
          <w:lang w:val="en-AU"/>
        </w:rPr>
        <w:t>is</w:t>
      </w:r>
      <w:r w:rsidR="00177848" w:rsidRPr="00C6052E">
        <w:rPr>
          <w:lang w:val="en-AU"/>
        </w:rPr>
        <w:t xml:space="preserve"> </w:t>
      </w:r>
      <w:r w:rsidRPr="00C6052E">
        <w:rPr>
          <w:lang w:val="en-AU"/>
        </w:rPr>
        <w:t>used</w:t>
      </w:r>
      <w:r w:rsidR="00177848" w:rsidRPr="00C6052E">
        <w:rPr>
          <w:lang w:val="en-AU"/>
        </w:rPr>
        <w:t xml:space="preserve"> </w:t>
      </w:r>
      <w:r w:rsidRPr="00C6052E">
        <w:rPr>
          <w:lang w:val="en-AU"/>
        </w:rPr>
        <w:t>throughout</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period</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use.</w:t>
      </w:r>
    </w:p>
    <w:p w14:paraId="6966DC58" w14:textId="150A171D" w:rsidR="00EE5BB8" w:rsidRPr="00C6052E" w:rsidRDefault="00EE5BB8" w:rsidP="00EE5BB8">
      <w:r w:rsidRPr="00C6052E">
        <w:t>This</w:t>
      </w:r>
      <w:r w:rsidR="00177848" w:rsidRPr="00C6052E">
        <w:t xml:space="preserve"> </w:t>
      </w:r>
      <w:r w:rsidRPr="00C6052E">
        <w:t>policy</w:t>
      </w:r>
      <w:r w:rsidR="00177848" w:rsidRPr="00C6052E">
        <w:t xml:space="preserve"> </w:t>
      </w:r>
      <w:r w:rsidRPr="00C6052E">
        <w:t>is</w:t>
      </w:r>
      <w:r w:rsidR="00177848" w:rsidRPr="00C6052E">
        <w:t xml:space="preserve"> </w:t>
      </w:r>
      <w:r w:rsidRPr="00C6052E">
        <w:t>applied</w:t>
      </w:r>
      <w:r w:rsidR="00177848" w:rsidRPr="00C6052E">
        <w:t xml:space="preserve"> </w:t>
      </w:r>
      <w:r w:rsidRPr="00C6052E">
        <w:t>to</w:t>
      </w:r>
      <w:r w:rsidR="00177848" w:rsidRPr="00C6052E">
        <w:t xml:space="preserve"> </w:t>
      </w:r>
      <w:r w:rsidRPr="00C6052E">
        <w:t>contracts</w:t>
      </w:r>
      <w:r w:rsidR="00177848" w:rsidRPr="00C6052E">
        <w:t xml:space="preserve"> </w:t>
      </w:r>
      <w:r w:rsidRPr="00C6052E">
        <w:t>entered</w:t>
      </w:r>
      <w:r w:rsidR="00177848" w:rsidRPr="00C6052E">
        <w:t xml:space="preserve"> </w:t>
      </w:r>
      <w:r w:rsidRPr="00C6052E">
        <w:t>into,</w:t>
      </w:r>
      <w:r w:rsidR="00177848" w:rsidRPr="00C6052E">
        <w:t xml:space="preserve"> </w:t>
      </w:r>
      <w:r w:rsidRPr="00C6052E">
        <w:t>or</w:t>
      </w:r>
      <w:r w:rsidR="00177848" w:rsidRPr="00C6052E">
        <w:t xml:space="preserve"> </w:t>
      </w:r>
      <w:r w:rsidRPr="00C6052E">
        <w:t>changed,</w:t>
      </w:r>
      <w:r w:rsidR="00177848" w:rsidRPr="00C6052E">
        <w:t xml:space="preserve"> </w:t>
      </w:r>
      <w:r w:rsidRPr="00C6052E">
        <w:t>on</w:t>
      </w:r>
      <w:r w:rsidR="00177848" w:rsidRPr="00C6052E">
        <w:t xml:space="preserve"> </w:t>
      </w:r>
      <w:r w:rsidRPr="00C6052E">
        <w:t>or</w:t>
      </w:r>
      <w:r w:rsidR="00177848" w:rsidRPr="00C6052E">
        <w:t xml:space="preserve"> </w:t>
      </w:r>
      <w:r w:rsidRPr="00C6052E">
        <w:t>after</w:t>
      </w:r>
      <w:r w:rsidR="00177848" w:rsidRPr="00C6052E">
        <w:t xml:space="preserve"> </w:t>
      </w:r>
      <w:r w:rsidRPr="00C6052E">
        <w:t>1</w:t>
      </w:r>
      <w:r w:rsidR="00177848" w:rsidRPr="00C6052E">
        <w:t xml:space="preserve"> </w:t>
      </w:r>
      <w:r w:rsidRPr="00C6052E">
        <w:t>July</w:t>
      </w:r>
      <w:r w:rsidR="00177848" w:rsidRPr="00C6052E">
        <w:t xml:space="preserve"> </w:t>
      </w:r>
      <w:r w:rsidRPr="00C6052E">
        <w:t>2019.</w:t>
      </w:r>
    </w:p>
    <w:p w14:paraId="2A200672" w14:textId="6EF36ADE" w:rsidR="00EE5BB8" w:rsidRPr="00C6052E" w:rsidRDefault="00C6052E" w:rsidP="001D1E8C">
      <w:pPr>
        <w:pStyle w:val="Heading4"/>
      </w:pPr>
      <w:r w:rsidRPr="00C6052E">
        <w:t>Separation</w:t>
      </w:r>
      <w:r w:rsidR="00177848" w:rsidRPr="00C6052E">
        <w:t xml:space="preserve"> </w:t>
      </w:r>
      <w:r w:rsidRPr="00C6052E">
        <w:t>of</w:t>
      </w:r>
      <w:r w:rsidR="00177848" w:rsidRPr="00C6052E">
        <w:t xml:space="preserve"> </w:t>
      </w:r>
      <w:r w:rsidRPr="00C6052E">
        <w:t>lease</w:t>
      </w:r>
      <w:r w:rsidR="00177848" w:rsidRPr="00C6052E">
        <w:t xml:space="preserve"> </w:t>
      </w:r>
      <w:r w:rsidRPr="00C6052E">
        <w:t>and</w:t>
      </w:r>
      <w:r w:rsidR="00177848" w:rsidRPr="00C6052E">
        <w:t xml:space="preserve"> </w:t>
      </w:r>
      <w:r w:rsidRPr="00C6052E">
        <w:t>non-lease</w:t>
      </w:r>
      <w:r w:rsidR="00177848" w:rsidRPr="00C6052E">
        <w:t xml:space="preserve"> </w:t>
      </w:r>
      <w:r w:rsidRPr="00C6052E">
        <w:t>components</w:t>
      </w:r>
    </w:p>
    <w:p w14:paraId="29A3FB2A" w14:textId="53882AE8" w:rsidR="00EE5BB8" w:rsidRPr="00C6052E" w:rsidRDefault="00EE5BB8" w:rsidP="00EE5BB8">
      <w:r w:rsidRPr="00C6052E">
        <w:t>At</w:t>
      </w:r>
      <w:r w:rsidR="00177848" w:rsidRPr="00C6052E">
        <w:t xml:space="preserve"> </w:t>
      </w:r>
      <w:r w:rsidRPr="00C6052E">
        <w:t>inception</w:t>
      </w:r>
      <w:r w:rsidR="00177848" w:rsidRPr="00C6052E">
        <w:t xml:space="preserve"> </w:t>
      </w:r>
      <w:r w:rsidRPr="00C6052E">
        <w:t>or</w:t>
      </w:r>
      <w:r w:rsidR="00177848" w:rsidRPr="00C6052E">
        <w:t xml:space="preserve"> </w:t>
      </w:r>
      <w:r w:rsidRPr="00C6052E">
        <w:t>on</w:t>
      </w:r>
      <w:r w:rsidR="00177848" w:rsidRPr="00C6052E">
        <w:t xml:space="preserve"> </w:t>
      </w:r>
      <w:r w:rsidRPr="00C6052E">
        <w:t>reassessment</w:t>
      </w:r>
      <w:r w:rsidR="00177848" w:rsidRPr="00C6052E">
        <w:t xml:space="preserve"> </w:t>
      </w:r>
      <w:r w:rsidRPr="00C6052E">
        <w:t>of</w:t>
      </w:r>
      <w:r w:rsidR="00177848" w:rsidRPr="00C6052E">
        <w:t xml:space="preserve"> </w:t>
      </w:r>
      <w:r w:rsidRPr="00C6052E">
        <w:t>a</w:t>
      </w:r>
      <w:r w:rsidR="00177848" w:rsidRPr="00C6052E">
        <w:t xml:space="preserve"> </w:t>
      </w:r>
      <w:r w:rsidRPr="00C6052E">
        <w:t>contract</w:t>
      </w:r>
      <w:r w:rsidR="00177848" w:rsidRPr="00C6052E">
        <w:t xml:space="preserve"> </w:t>
      </w:r>
      <w:r w:rsidRPr="00C6052E">
        <w:t>that</w:t>
      </w:r>
      <w:r w:rsidR="00177848" w:rsidRPr="00C6052E">
        <w:t xml:space="preserve"> </w:t>
      </w:r>
      <w:r w:rsidRPr="00C6052E">
        <w:t>contains</w:t>
      </w:r>
      <w:r w:rsidR="00177848" w:rsidRPr="00C6052E">
        <w:t xml:space="preserve"> </w:t>
      </w:r>
      <w:r w:rsidRPr="00C6052E">
        <w:t>a</w:t>
      </w:r>
      <w:r w:rsidR="00177848" w:rsidRPr="00C6052E">
        <w:t xml:space="preserve"> </w:t>
      </w:r>
      <w:r w:rsidRPr="00C6052E">
        <w:t>lease</w:t>
      </w:r>
      <w:r w:rsidR="00177848" w:rsidRPr="00C6052E">
        <w:t xml:space="preserve"> </w:t>
      </w:r>
      <w:r w:rsidRPr="00C6052E">
        <w:t>component,</w:t>
      </w:r>
      <w:r w:rsidR="00177848" w:rsidRPr="00C6052E">
        <w:t xml:space="preserve"> </w:t>
      </w:r>
      <w:r w:rsidRPr="00C6052E">
        <w:t>the</w:t>
      </w:r>
      <w:r w:rsidR="00177848" w:rsidRPr="00C6052E">
        <w:t xml:space="preserve"> </w:t>
      </w:r>
      <w:r w:rsidRPr="00C6052E">
        <w:t>lessee</w:t>
      </w:r>
      <w:r w:rsidR="00177848" w:rsidRPr="00C6052E">
        <w:t xml:space="preserve"> </w:t>
      </w:r>
      <w:r w:rsidRPr="00C6052E">
        <w:t>is</w:t>
      </w:r>
      <w:r w:rsidR="00177848" w:rsidRPr="00C6052E">
        <w:t xml:space="preserve"> </w:t>
      </w:r>
      <w:r w:rsidRPr="00C6052E">
        <w:t>required</w:t>
      </w:r>
      <w:r w:rsidR="00177848" w:rsidRPr="00C6052E">
        <w:t xml:space="preserve"> </w:t>
      </w:r>
      <w:r w:rsidRPr="00C6052E">
        <w:t>to</w:t>
      </w:r>
      <w:r w:rsidR="00177848" w:rsidRPr="00C6052E">
        <w:t xml:space="preserve"> </w:t>
      </w:r>
      <w:r w:rsidRPr="00C6052E">
        <w:t>separate</w:t>
      </w:r>
      <w:r w:rsidR="00177848" w:rsidRPr="00C6052E">
        <w:t xml:space="preserve"> </w:t>
      </w:r>
      <w:r w:rsidRPr="00C6052E">
        <w:t>out</w:t>
      </w:r>
      <w:r w:rsidR="00177848" w:rsidRPr="00C6052E">
        <w:t xml:space="preserve"> </w:t>
      </w:r>
      <w:r w:rsidRPr="00C6052E">
        <w:t>and</w:t>
      </w:r>
      <w:r w:rsidR="00177848" w:rsidRPr="00C6052E">
        <w:t xml:space="preserve"> </w:t>
      </w:r>
      <w:r w:rsidRPr="00C6052E">
        <w:t>account</w:t>
      </w:r>
      <w:r w:rsidR="00177848" w:rsidRPr="00C6052E">
        <w:t xml:space="preserve"> </w:t>
      </w:r>
      <w:r w:rsidRPr="00C6052E">
        <w:t>separately</w:t>
      </w:r>
      <w:r w:rsidR="00177848" w:rsidRPr="00C6052E">
        <w:t xml:space="preserve"> </w:t>
      </w:r>
      <w:r w:rsidRPr="00C6052E">
        <w:t>for</w:t>
      </w:r>
      <w:r w:rsidR="00177848" w:rsidRPr="00C6052E">
        <w:t xml:space="preserve"> </w:t>
      </w:r>
      <w:r w:rsidRPr="00C6052E">
        <w:t>non-lease</w:t>
      </w:r>
      <w:r w:rsidR="00177848" w:rsidRPr="00C6052E">
        <w:t xml:space="preserve"> </w:t>
      </w:r>
      <w:r w:rsidRPr="00C6052E">
        <w:t>components</w:t>
      </w:r>
      <w:r w:rsidR="00177848" w:rsidRPr="00C6052E">
        <w:t xml:space="preserve"> </w:t>
      </w:r>
      <w:r w:rsidRPr="00C6052E">
        <w:t>within</w:t>
      </w:r>
      <w:r w:rsidR="00177848" w:rsidRPr="00C6052E">
        <w:t xml:space="preserve"> </w:t>
      </w:r>
      <w:r w:rsidRPr="00C6052E">
        <w:t>a</w:t>
      </w:r>
      <w:r w:rsidR="00177848" w:rsidRPr="00C6052E">
        <w:t xml:space="preserve"> </w:t>
      </w:r>
      <w:r w:rsidRPr="00C6052E">
        <w:lastRenderedPageBreak/>
        <w:t>lease</w:t>
      </w:r>
      <w:r w:rsidR="00177848" w:rsidRPr="00C6052E">
        <w:t xml:space="preserve"> </w:t>
      </w:r>
      <w:r w:rsidRPr="00C6052E">
        <w:t>contract</w:t>
      </w:r>
      <w:r w:rsidR="00177848" w:rsidRPr="00C6052E">
        <w:t xml:space="preserve"> </w:t>
      </w:r>
      <w:r w:rsidRPr="00C6052E">
        <w:t>and</w:t>
      </w:r>
      <w:r w:rsidR="00177848" w:rsidRPr="00C6052E">
        <w:t xml:space="preserve"> </w:t>
      </w:r>
      <w:r w:rsidRPr="00C6052E">
        <w:t>exclude</w:t>
      </w:r>
      <w:r w:rsidR="00177848" w:rsidRPr="00C6052E">
        <w:t xml:space="preserve"> </w:t>
      </w:r>
      <w:r w:rsidRPr="00C6052E">
        <w:t>these</w:t>
      </w:r>
      <w:r w:rsidR="00177848" w:rsidRPr="00C6052E">
        <w:t xml:space="preserve"> </w:t>
      </w:r>
      <w:r w:rsidRPr="00C6052E">
        <w:t>amounts</w:t>
      </w:r>
      <w:r w:rsidR="00177848" w:rsidRPr="00C6052E">
        <w:t xml:space="preserve"> </w:t>
      </w:r>
      <w:r w:rsidRPr="00C6052E">
        <w:t>when</w:t>
      </w:r>
      <w:r w:rsidR="00177848" w:rsidRPr="00C6052E">
        <w:t xml:space="preserve"> </w:t>
      </w:r>
      <w:r w:rsidRPr="00C6052E">
        <w:t>determining</w:t>
      </w:r>
      <w:r w:rsidR="00177848" w:rsidRPr="00C6052E">
        <w:t xml:space="preserve"> </w:t>
      </w:r>
      <w:r w:rsidRPr="00C6052E">
        <w:t>the</w:t>
      </w:r>
      <w:r w:rsidR="00177848" w:rsidRPr="00C6052E">
        <w:t xml:space="preserve"> </w:t>
      </w:r>
      <w:r w:rsidRPr="00C6052E">
        <w:t>lease</w:t>
      </w:r>
      <w:r w:rsidR="00177848" w:rsidRPr="00C6052E">
        <w:t xml:space="preserve"> </w:t>
      </w:r>
      <w:r w:rsidRPr="00C6052E">
        <w:t>liability</w:t>
      </w:r>
      <w:r w:rsidR="00177848" w:rsidRPr="00C6052E">
        <w:t xml:space="preserve"> </w:t>
      </w:r>
      <w:r w:rsidRPr="00C6052E">
        <w:t>and</w:t>
      </w:r>
      <w:r w:rsidR="00177848" w:rsidRPr="00C6052E">
        <w:t xml:space="preserve"> </w:t>
      </w:r>
      <w:r w:rsidRPr="00C6052E">
        <w:t>right-of-use</w:t>
      </w:r>
      <w:r w:rsidR="00177848" w:rsidRPr="00C6052E">
        <w:t xml:space="preserve"> </w:t>
      </w:r>
      <w:r w:rsidRPr="00C6052E">
        <w:t>asset</w:t>
      </w:r>
      <w:r w:rsidR="00177848" w:rsidRPr="00C6052E">
        <w:t xml:space="preserve"> </w:t>
      </w:r>
      <w:r w:rsidRPr="00C6052E">
        <w:t>amount.</w:t>
      </w:r>
    </w:p>
    <w:p w14:paraId="12E73322" w14:textId="4C71155E" w:rsidR="00EE5BB8" w:rsidRPr="00C6052E" w:rsidRDefault="00C6052E" w:rsidP="001D1E8C">
      <w:pPr>
        <w:pStyle w:val="Heading4"/>
      </w:pPr>
      <w:r w:rsidRPr="00C6052E">
        <w:t>Recognition</w:t>
      </w:r>
      <w:r w:rsidR="00177848" w:rsidRPr="00C6052E">
        <w:t xml:space="preserve"> </w:t>
      </w:r>
      <w:r w:rsidRPr="00C6052E">
        <w:t>and</w:t>
      </w:r>
      <w:r w:rsidR="00177848" w:rsidRPr="00C6052E">
        <w:t xml:space="preserve"> </w:t>
      </w:r>
      <w:r w:rsidRPr="00C6052E">
        <w:t>measurement</w:t>
      </w:r>
      <w:r w:rsidR="00177848" w:rsidRPr="00C6052E">
        <w:t xml:space="preserve"> </w:t>
      </w:r>
      <w:r w:rsidRPr="00C6052E">
        <w:t>of</w:t>
      </w:r>
      <w:r w:rsidR="00177848" w:rsidRPr="00C6052E">
        <w:t xml:space="preserve"> </w:t>
      </w:r>
      <w:r w:rsidRPr="00C6052E">
        <w:t>leases</w:t>
      </w:r>
      <w:r w:rsidR="00177848" w:rsidRPr="00C6052E">
        <w:t xml:space="preserve"> </w:t>
      </w:r>
      <w:r w:rsidRPr="00C6052E">
        <w:t>as</w:t>
      </w:r>
      <w:r w:rsidR="00177848" w:rsidRPr="00C6052E">
        <w:t xml:space="preserve"> </w:t>
      </w:r>
      <w:r w:rsidRPr="00C6052E">
        <w:t>a</w:t>
      </w:r>
      <w:r w:rsidR="00177848" w:rsidRPr="00C6052E">
        <w:t xml:space="preserve"> </w:t>
      </w:r>
      <w:r w:rsidRPr="00C6052E">
        <w:t>lessee</w:t>
      </w:r>
    </w:p>
    <w:p w14:paraId="4AA14DA8" w14:textId="4AF4FD69" w:rsidR="00EE5BB8" w:rsidRPr="00C6052E" w:rsidRDefault="00EE5BB8" w:rsidP="001D1E8C">
      <w:pPr>
        <w:pStyle w:val="Heading5"/>
        <w:numPr>
          <w:ilvl w:val="0"/>
          <w:numId w:val="0"/>
        </w:numPr>
      </w:pPr>
      <w:r w:rsidRPr="00C6052E">
        <w:t>Lease</w:t>
      </w:r>
      <w:r w:rsidR="00177848" w:rsidRPr="00C6052E">
        <w:t xml:space="preserve"> </w:t>
      </w:r>
      <w:r w:rsidRPr="00C6052E">
        <w:t>liability</w:t>
      </w:r>
      <w:r w:rsidR="00177848" w:rsidRPr="00C6052E">
        <w:t xml:space="preserve"> </w:t>
      </w:r>
      <w:r w:rsidRPr="00C6052E">
        <w:t>–</w:t>
      </w:r>
      <w:r w:rsidR="00177848" w:rsidRPr="00C6052E">
        <w:t xml:space="preserve"> </w:t>
      </w:r>
      <w:r w:rsidRPr="00C6052E">
        <w:t>initial</w:t>
      </w:r>
      <w:r w:rsidR="00177848" w:rsidRPr="00C6052E">
        <w:t xml:space="preserve"> </w:t>
      </w:r>
      <w:r w:rsidRPr="00C6052E">
        <w:t>measurement</w:t>
      </w:r>
      <w:r w:rsidR="00177848" w:rsidRPr="00C6052E">
        <w:t xml:space="preserve"> </w:t>
      </w:r>
    </w:p>
    <w:p w14:paraId="292D099D" w14:textId="2CB3A420" w:rsidR="00EE5BB8" w:rsidRPr="00C6052E" w:rsidRDefault="00EE5BB8" w:rsidP="00EE5BB8">
      <w:r w:rsidRPr="00C6052E">
        <w:t>The</w:t>
      </w:r>
      <w:r w:rsidR="00177848" w:rsidRPr="00C6052E">
        <w:t xml:space="preserve"> </w:t>
      </w:r>
      <w:r w:rsidRPr="00C6052E">
        <w:t>lease</w:t>
      </w:r>
      <w:r w:rsidR="00177848" w:rsidRPr="00C6052E">
        <w:t xml:space="preserve"> </w:t>
      </w:r>
      <w:r w:rsidRPr="00C6052E">
        <w:t>liability</w:t>
      </w:r>
      <w:r w:rsidR="00177848" w:rsidRPr="00C6052E">
        <w:t xml:space="preserve"> </w:t>
      </w:r>
      <w:r w:rsidRPr="00C6052E">
        <w:t>is</w:t>
      </w:r>
      <w:r w:rsidR="00177848" w:rsidRPr="00C6052E">
        <w:t xml:space="preserve"> </w:t>
      </w:r>
      <w:r w:rsidRPr="00C6052E">
        <w:t>initially</w:t>
      </w:r>
      <w:r w:rsidR="00177848" w:rsidRPr="00C6052E">
        <w:t xml:space="preserve"> </w:t>
      </w:r>
      <w:r w:rsidRPr="00C6052E">
        <w:t>measured</w:t>
      </w:r>
      <w:r w:rsidR="00177848" w:rsidRPr="00C6052E">
        <w:t xml:space="preserve"> </w:t>
      </w:r>
      <w:r w:rsidRPr="00C6052E">
        <w:t>at</w:t>
      </w:r>
      <w:r w:rsidR="00177848" w:rsidRPr="00C6052E">
        <w:t xml:space="preserve"> </w:t>
      </w:r>
      <w:r w:rsidRPr="00C6052E">
        <w:t>the</w:t>
      </w:r>
      <w:r w:rsidR="00177848" w:rsidRPr="00C6052E">
        <w:t xml:space="preserve"> </w:t>
      </w:r>
      <w:r w:rsidRPr="00C6052E">
        <w:t>present</w:t>
      </w:r>
      <w:r w:rsidR="00177848" w:rsidRPr="00C6052E">
        <w:t xml:space="preserve"> </w:t>
      </w:r>
      <w:r w:rsidRPr="00C6052E">
        <w:t>value</w:t>
      </w:r>
      <w:r w:rsidR="00177848" w:rsidRPr="00C6052E">
        <w:t xml:space="preserve"> </w:t>
      </w:r>
      <w:r w:rsidRPr="00C6052E">
        <w:t>of</w:t>
      </w:r>
      <w:r w:rsidR="00177848" w:rsidRPr="00C6052E">
        <w:t xml:space="preserve"> </w:t>
      </w:r>
      <w:r w:rsidRPr="00C6052E">
        <w:t>the</w:t>
      </w:r>
      <w:r w:rsidR="00177848" w:rsidRPr="00C6052E">
        <w:t xml:space="preserve"> </w:t>
      </w:r>
      <w:r w:rsidRPr="00C6052E">
        <w:t>lease</w:t>
      </w:r>
      <w:r w:rsidR="00177848" w:rsidRPr="00C6052E">
        <w:t xml:space="preserve"> </w:t>
      </w:r>
      <w:r w:rsidRPr="00C6052E">
        <w:t>payments</w:t>
      </w:r>
      <w:r w:rsidR="00177848" w:rsidRPr="00C6052E">
        <w:t xml:space="preserve"> </w:t>
      </w:r>
      <w:r w:rsidRPr="00C6052E">
        <w:t>unpaid</w:t>
      </w:r>
      <w:r w:rsidR="00177848" w:rsidRPr="00C6052E">
        <w:t xml:space="preserve"> </w:t>
      </w:r>
      <w:r w:rsidRPr="00C6052E">
        <w:t>at</w:t>
      </w:r>
      <w:r w:rsidR="00177848" w:rsidRPr="00C6052E">
        <w:t xml:space="preserve"> </w:t>
      </w:r>
      <w:r w:rsidRPr="00C6052E">
        <w:t>the</w:t>
      </w:r>
      <w:r w:rsidR="00177848" w:rsidRPr="00C6052E">
        <w:t xml:space="preserve"> </w:t>
      </w:r>
      <w:r w:rsidRPr="00C6052E">
        <w:t>commencement</w:t>
      </w:r>
      <w:r w:rsidR="00177848" w:rsidRPr="00C6052E">
        <w:t xml:space="preserve"> </w:t>
      </w:r>
      <w:r w:rsidRPr="00C6052E">
        <w:t>date,</w:t>
      </w:r>
      <w:r w:rsidR="00177848" w:rsidRPr="00C6052E">
        <w:t xml:space="preserve"> </w:t>
      </w:r>
      <w:r w:rsidRPr="00C6052E">
        <w:t>discounted</w:t>
      </w:r>
      <w:r w:rsidR="00177848" w:rsidRPr="00C6052E">
        <w:t xml:space="preserve"> </w:t>
      </w:r>
      <w:r w:rsidRPr="00C6052E">
        <w:t>using</w:t>
      </w:r>
      <w:r w:rsidR="00177848" w:rsidRPr="00C6052E">
        <w:t xml:space="preserve"> </w:t>
      </w:r>
      <w:r w:rsidRPr="00C6052E">
        <w:t>the</w:t>
      </w:r>
      <w:r w:rsidR="00177848" w:rsidRPr="00C6052E">
        <w:t xml:space="preserve"> </w:t>
      </w:r>
      <w:r w:rsidRPr="00C6052E">
        <w:t>interest</w:t>
      </w:r>
      <w:r w:rsidR="00177848" w:rsidRPr="00C6052E">
        <w:t xml:space="preserve"> </w:t>
      </w:r>
      <w:r w:rsidRPr="00C6052E">
        <w:t>rate</w:t>
      </w:r>
      <w:r w:rsidR="00177848" w:rsidRPr="00C6052E">
        <w:t xml:space="preserve"> </w:t>
      </w:r>
      <w:r w:rsidRPr="00C6052E">
        <w:t>implicit</w:t>
      </w:r>
      <w:r w:rsidR="00177848" w:rsidRPr="00C6052E">
        <w:t xml:space="preserve"> </w:t>
      </w:r>
      <w:r w:rsidRPr="00C6052E">
        <w:t>in</w:t>
      </w:r>
      <w:r w:rsidR="00177848" w:rsidRPr="00C6052E">
        <w:t xml:space="preserve"> </w:t>
      </w:r>
      <w:r w:rsidRPr="00C6052E">
        <w:t>the</w:t>
      </w:r>
      <w:r w:rsidR="00177848" w:rsidRPr="00C6052E">
        <w:t xml:space="preserve"> </w:t>
      </w:r>
      <w:r w:rsidRPr="00C6052E">
        <w:t>lease</w:t>
      </w:r>
      <w:r w:rsidR="00177848" w:rsidRPr="00C6052E">
        <w:t xml:space="preserve"> </w:t>
      </w:r>
      <w:r w:rsidRPr="00C6052E">
        <w:t>if</w:t>
      </w:r>
      <w:r w:rsidR="00177848" w:rsidRPr="00C6052E">
        <w:t xml:space="preserve"> </w:t>
      </w:r>
      <w:r w:rsidRPr="00C6052E">
        <w:t>that</w:t>
      </w:r>
      <w:r w:rsidR="00177848" w:rsidRPr="00C6052E">
        <w:t xml:space="preserve"> </w:t>
      </w:r>
      <w:r w:rsidRPr="00C6052E">
        <w:t>rate</w:t>
      </w:r>
      <w:r w:rsidR="00177848" w:rsidRPr="00C6052E">
        <w:t xml:space="preserve"> </w:t>
      </w:r>
      <w:r w:rsidRPr="00C6052E">
        <w:t>is</w:t>
      </w:r>
      <w:r w:rsidR="00177848" w:rsidRPr="00C6052E">
        <w:t xml:space="preserve"> </w:t>
      </w:r>
      <w:r w:rsidRPr="00C6052E">
        <w:t>readily</w:t>
      </w:r>
      <w:r w:rsidR="00177848" w:rsidRPr="00C6052E">
        <w:t xml:space="preserve"> </w:t>
      </w:r>
      <w:r w:rsidRPr="00C6052E">
        <w:t>determinable</w:t>
      </w:r>
      <w:r w:rsidR="00177848" w:rsidRPr="00C6052E">
        <w:t xml:space="preserve"> </w:t>
      </w:r>
      <w:r w:rsidRPr="00C6052E">
        <w:t>or</w:t>
      </w:r>
      <w:r w:rsidR="00177848" w:rsidRPr="00C6052E">
        <w:t xml:space="preserve"> </w:t>
      </w:r>
      <w:r w:rsidRPr="00C6052E">
        <w:t>DJSIR’s</w:t>
      </w:r>
      <w:r w:rsidR="00177848" w:rsidRPr="00C6052E">
        <w:t xml:space="preserve"> </w:t>
      </w:r>
      <w:r w:rsidRPr="00C6052E">
        <w:t>incremental</w:t>
      </w:r>
      <w:r w:rsidR="00177848" w:rsidRPr="00C6052E">
        <w:t xml:space="preserve"> </w:t>
      </w:r>
      <w:r w:rsidRPr="00C6052E">
        <w:t>borrowing</w:t>
      </w:r>
      <w:r w:rsidR="00177848" w:rsidRPr="00C6052E">
        <w:t xml:space="preserve"> </w:t>
      </w:r>
      <w:r w:rsidRPr="00C6052E">
        <w:t>rate.</w:t>
      </w:r>
    </w:p>
    <w:p w14:paraId="3FD68EDF" w14:textId="511E51A5" w:rsidR="00EE5BB8" w:rsidRPr="00C6052E" w:rsidRDefault="00EE5BB8" w:rsidP="0028635E">
      <w:pPr>
        <w:pStyle w:val="Normalbeforebullets"/>
      </w:pPr>
      <w:r w:rsidRPr="00C6052E">
        <w:t>Lease</w:t>
      </w:r>
      <w:r w:rsidR="00177848" w:rsidRPr="00C6052E">
        <w:t xml:space="preserve"> </w:t>
      </w:r>
      <w:r w:rsidRPr="00C6052E">
        <w:t>payments</w:t>
      </w:r>
      <w:r w:rsidR="00177848" w:rsidRPr="00C6052E">
        <w:t xml:space="preserve"> </w:t>
      </w:r>
      <w:r w:rsidRPr="00C6052E">
        <w:t>included</w:t>
      </w:r>
      <w:r w:rsidR="00177848" w:rsidRPr="00C6052E">
        <w:t xml:space="preserve"> </w:t>
      </w:r>
      <w:r w:rsidRPr="00C6052E">
        <w:t>in</w:t>
      </w:r>
      <w:r w:rsidR="00177848" w:rsidRPr="00C6052E">
        <w:t xml:space="preserve"> </w:t>
      </w:r>
      <w:r w:rsidRPr="00C6052E">
        <w:t>the</w:t>
      </w:r>
      <w:r w:rsidR="00177848" w:rsidRPr="00C6052E">
        <w:t xml:space="preserve"> </w:t>
      </w:r>
      <w:r w:rsidRPr="00C6052E">
        <w:t>measurement</w:t>
      </w:r>
      <w:r w:rsidR="00177848" w:rsidRPr="00C6052E">
        <w:t xml:space="preserve"> </w:t>
      </w:r>
      <w:r w:rsidRPr="00C6052E">
        <w:t>of</w:t>
      </w:r>
      <w:r w:rsidR="00177848" w:rsidRPr="00C6052E">
        <w:t xml:space="preserve"> </w:t>
      </w:r>
      <w:r w:rsidRPr="00C6052E">
        <w:t>the</w:t>
      </w:r>
      <w:r w:rsidR="00177848" w:rsidRPr="00C6052E">
        <w:t xml:space="preserve"> </w:t>
      </w:r>
      <w:r w:rsidRPr="00C6052E">
        <w:t>lease</w:t>
      </w:r>
      <w:r w:rsidR="00177848" w:rsidRPr="00C6052E">
        <w:t xml:space="preserve"> </w:t>
      </w:r>
      <w:r w:rsidRPr="00C6052E">
        <w:t>liability</w:t>
      </w:r>
      <w:r w:rsidR="00177848" w:rsidRPr="00C6052E">
        <w:t xml:space="preserve"> </w:t>
      </w:r>
      <w:r w:rsidRPr="00C6052E">
        <w:t>comprise</w:t>
      </w:r>
      <w:r w:rsidR="00177848" w:rsidRPr="00C6052E">
        <w:t xml:space="preserve"> </w:t>
      </w:r>
      <w:r w:rsidRPr="00C6052E">
        <w:t>the</w:t>
      </w:r>
      <w:r w:rsidR="00177848" w:rsidRPr="00C6052E">
        <w:t xml:space="preserve"> </w:t>
      </w:r>
      <w:r w:rsidRPr="00C6052E">
        <w:t>following:</w:t>
      </w:r>
    </w:p>
    <w:p w14:paraId="2533DBC0" w14:textId="0532BDA0" w:rsidR="00EE5BB8" w:rsidRPr="00C6052E" w:rsidRDefault="00EE5BB8" w:rsidP="00EE5BB8">
      <w:pPr>
        <w:pStyle w:val="Bullet1"/>
        <w:numPr>
          <w:ilvl w:val="0"/>
          <w:numId w:val="1"/>
        </w:numPr>
        <w:spacing w:line="278" w:lineRule="auto"/>
        <w:ind w:left="284" w:hanging="284"/>
        <w:rPr>
          <w:lang w:val="en-AU"/>
        </w:rPr>
      </w:pPr>
      <w:r w:rsidRPr="00C6052E">
        <w:rPr>
          <w:lang w:val="en-AU"/>
        </w:rPr>
        <w:t>fixed</w:t>
      </w:r>
      <w:r w:rsidR="00177848" w:rsidRPr="00C6052E">
        <w:rPr>
          <w:lang w:val="en-AU"/>
        </w:rPr>
        <w:t xml:space="preserve"> </w:t>
      </w:r>
      <w:r w:rsidRPr="00C6052E">
        <w:rPr>
          <w:lang w:val="en-AU"/>
        </w:rPr>
        <w:t>payments</w:t>
      </w:r>
      <w:r w:rsidR="00177848" w:rsidRPr="00C6052E">
        <w:rPr>
          <w:lang w:val="en-AU"/>
        </w:rPr>
        <w:t xml:space="preserve"> </w:t>
      </w:r>
      <w:r w:rsidRPr="00C6052E">
        <w:rPr>
          <w:lang w:val="en-AU"/>
        </w:rPr>
        <w:t>(including</w:t>
      </w:r>
      <w:r w:rsidR="00177848" w:rsidRPr="00C6052E">
        <w:rPr>
          <w:lang w:val="en-AU"/>
        </w:rPr>
        <w:t xml:space="preserve"> </w:t>
      </w:r>
      <w:r w:rsidRPr="00C6052E">
        <w:rPr>
          <w:lang w:val="en-AU"/>
        </w:rPr>
        <w:t>in-substance</w:t>
      </w:r>
      <w:r w:rsidR="00177848" w:rsidRPr="00C6052E">
        <w:rPr>
          <w:lang w:val="en-AU"/>
        </w:rPr>
        <w:t xml:space="preserve"> </w:t>
      </w:r>
      <w:r w:rsidRPr="00C6052E">
        <w:rPr>
          <w:lang w:val="en-AU"/>
        </w:rPr>
        <w:t>fixed</w:t>
      </w:r>
      <w:r w:rsidR="00177848" w:rsidRPr="00C6052E">
        <w:rPr>
          <w:lang w:val="en-AU"/>
        </w:rPr>
        <w:t xml:space="preserve"> </w:t>
      </w:r>
      <w:r w:rsidRPr="00C6052E">
        <w:rPr>
          <w:lang w:val="en-AU"/>
        </w:rPr>
        <w:t>payments)</w:t>
      </w:r>
      <w:r w:rsidR="00177848" w:rsidRPr="00C6052E">
        <w:rPr>
          <w:lang w:val="en-AU"/>
        </w:rPr>
        <w:t xml:space="preserve"> </w:t>
      </w:r>
      <w:r w:rsidRPr="00C6052E">
        <w:rPr>
          <w:lang w:val="en-AU"/>
        </w:rPr>
        <w:t>less</w:t>
      </w:r>
      <w:r w:rsidR="00177848" w:rsidRPr="00C6052E">
        <w:rPr>
          <w:lang w:val="en-AU"/>
        </w:rPr>
        <w:t xml:space="preserve"> </w:t>
      </w:r>
      <w:r w:rsidRPr="00C6052E">
        <w:rPr>
          <w:lang w:val="en-AU"/>
        </w:rPr>
        <w:t>any</w:t>
      </w:r>
      <w:r w:rsidR="00177848" w:rsidRPr="00C6052E">
        <w:rPr>
          <w:lang w:val="en-AU"/>
        </w:rPr>
        <w:t xml:space="preserve"> </w:t>
      </w:r>
      <w:r w:rsidRPr="00C6052E">
        <w:rPr>
          <w:lang w:val="en-AU"/>
        </w:rPr>
        <w:t>lease</w:t>
      </w:r>
      <w:r w:rsidR="00177848" w:rsidRPr="00C6052E">
        <w:rPr>
          <w:lang w:val="en-AU"/>
        </w:rPr>
        <w:t xml:space="preserve"> </w:t>
      </w:r>
      <w:r w:rsidRPr="00C6052E">
        <w:rPr>
          <w:lang w:val="en-AU"/>
        </w:rPr>
        <w:t>incentive</w:t>
      </w:r>
      <w:r w:rsidR="00177848" w:rsidRPr="00C6052E">
        <w:rPr>
          <w:lang w:val="en-AU"/>
        </w:rPr>
        <w:t xml:space="preserve"> </w:t>
      </w:r>
      <w:r w:rsidRPr="00C6052E">
        <w:rPr>
          <w:lang w:val="en-AU"/>
        </w:rPr>
        <w:t>receivable;</w:t>
      </w:r>
    </w:p>
    <w:p w14:paraId="51822D51" w14:textId="18CE1F97" w:rsidR="00EE5BB8" w:rsidRPr="00C6052E" w:rsidRDefault="00EE5BB8" w:rsidP="00EE5BB8">
      <w:pPr>
        <w:pStyle w:val="Bullet1"/>
        <w:numPr>
          <w:ilvl w:val="0"/>
          <w:numId w:val="1"/>
        </w:numPr>
        <w:spacing w:line="278" w:lineRule="auto"/>
        <w:ind w:left="284" w:hanging="284"/>
        <w:rPr>
          <w:lang w:val="en-AU"/>
        </w:rPr>
      </w:pPr>
      <w:r w:rsidRPr="00C6052E">
        <w:rPr>
          <w:lang w:val="en-AU"/>
        </w:rPr>
        <w:t>variable</w:t>
      </w:r>
      <w:r w:rsidR="00177848" w:rsidRPr="00C6052E">
        <w:rPr>
          <w:lang w:val="en-AU"/>
        </w:rPr>
        <w:t xml:space="preserve"> </w:t>
      </w:r>
      <w:r w:rsidRPr="00C6052E">
        <w:rPr>
          <w:lang w:val="en-AU"/>
        </w:rPr>
        <w:t>payments</w:t>
      </w:r>
      <w:r w:rsidR="00177848" w:rsidRPr="00C6052E">
        <w:rPr>
          <w:lang w:val="en-AU"/>
        </w:rPr>
        <w:t xml:space="preserve"> </w:t>
      </w:r>
      <w:r w:rsidRPr="00C6052E">
        <w:rPr>
          <w:lang w:val="en-AU"/>
        </w:rPr>
        <w:t>based</w:t>
      </w:r>
      <w:r w:rsidR="00177848" w:rsidRPr="00C6052E">
        <w:rPr>
          <w:lang w:val="en-AU"/>
        </w:rPr>
        <w:t xml:space="preserve"> </w:t>
      </w:r>
      <w:r w:rsidRPr="00C6052E">
        <w:rPr>
          <w:lang w:val="en-AU"/>
        </w:rPr>
        <w:t>on</w:t>
      </w:r>
      <w:r w:rsidR="00177848" w:rsidRPr="00C6052E">
        <w:rPr>
          <w:lang w:val="en-AU"/>
        </w:rPr>
        <w:t xml:space="preserve"> </w:t>
      </w:r>
      <w:r w:rsidRPr="00C6052E">
        <w:rPr>
          <w:lang w:val="en-AU"/>
        </w:rPr>
        <w:t>an</w:t>
      </w:r>
      <w:r w:rsidR="00177848" w:rsidRPr="00C6052E">
        <w:rPr>
          <w:lang w:val="en-AU"/>
        </w:rPr>
        <w:t xml:space="preserve"> </w:t>
      </w:r>
      <w:r w:rsidRPr="00C6052E">
        <w:rPr>
          <w:lang w:val="en-AU"/>
        </w:rPr>
        <w:t>index</w:t>
      </w:r>
      <w:r w:rsidR="00177848" w:rsidRPr="00C6052E">
        <w:rPr>
          <w:lang w:val="en-AU"/>
        </w:rPr>
        <w:t xml:space="preserve"> </w:t>
      </w:r>
      <w:r w:rsidRPr="00C6052E">
        <w:rPr>
          <w:lang w:val="en-AU"/>
        </w:rPr>
        <w:t>or</w:t>
      </w:r>
      <w:r w:rsidR="00177848" w:rsidRPr="00C6052E">
        <w:rPr>
          <w:lang w:val="en-AU"/>
        </w:rPr>
        <w:t xml:space="preserve"> </w:t>
      </w:r>
      <w:r w:rsidRPr="00C6052E">
        <w:rPr>
          <w:lang w:val="en-AU"/>
        </w:rPr>
        <w:t>rate,</w:t>
      </w:r>
      <w:r w:rsidR="00177848" w:rsidRPr="00C6052E">
        <w:rPr>
          <w:lang w:val="en-AU"/>
        </w:rPr>
        <w:t xml:space="preserve"> </w:t>
      </w:r>
      <w:r w:rsidRPr="00C6052E">
        <w:rPr>
          <w:lang w:val="en-AU"/>
        </w:rPr>
        <w:t>initially</w:t>
      </w:r>
      <w:r w:rsidR="00177848" w:rsidRPr="00C6052E">
        <w:rPr>
          <w:lang w:val="en-AU"/>
        </w:rPr>
        <w:t xml:space="preserve"> </w:t>
      </w:r>
      <w:r w:rsidRPr="00C6052E">
        <w:rPr>
          <w:lang w:val="en-AU"/>
        </w:rPr>
        <w:t>measured</w:t>
      </w:r>
      <w:r w:rsidR="00177848" w:rsidRPr="00C6052E">
        <w:rPr>
          <w:lang w:val="en-AU"/>
        </w:rPr>
        <w:t xml:space="preserve"> </w:t>
      </w:r>
      <w:r w:rsidRPr="00C6052E">
        <w:rPr>
          <w:lang w:val="en-AU"/>
        </w:rPr>
        <w:t>using</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index</w:t>
      </w:r>
      <w:r w:rsidR="00177848" w:rsidRPr="00C6052E">
        <w:rPr>
          <w:lang w:val="en-AU"/>
        </w:rPr>
        <w:t xml:space="preserve"> </w:t>
      </w:r>
      <w:r w:rsidRPr="00C6052E">
        <w:rPr>
          <w:lang w:val="en-AU"/>
        </w:rPr>
        <w:t>or</w:t>
      </w:r>
      <w:r w:rsidR="00177848" w:rsidRPr="00C6052E">
        <w:rPr>
          <w:lang w:val="en-AU"/>
        </w:rPr>
        <w:t xml:space="preserve"> </w:t>
      </w:r>
      <w:r w:rsidRPr="00C6052E">
        <w:rPr>
          <w:lang w:val="en-AU"/>
        </w:rPr>
        <w:t>rate</w:t>
      </w:r>
      <w:r w:rsidR="00177848" w:rsidRPr="00C6052E">
        <w:rPr>
          <w:lang w:val="en-AU"/>
        </w:rPr>
        <w:t xml:space="preserve"> </w:t>
      </w:r>
      <w:r w:rsidRPr="00C6052E">
        <w:rPr>
          <w:lang w:val="en-AU"/>
        </w:rPr>
        <w:t>as</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commencement</w:t>
      </w:r>
      <w:r w:rsidR="00177848" w:rsidRPr="00C6052E">
        <w:rPr>
          <w:lang w:val="en-AU"/>
        </w:rPr>
        <w:t xml:space="preserve"> </w:t>
      </w:r>
      <w:r w:rsidRPr="00C6052E">
        <w:rPr>
          <w:lang w:val="en-AU"/>
        </w:rPr>
        <w:t>date;</w:t>
      </w:r>
    </w:p>
    <w:p w14:paraId="0A114ABB" w14:textId="0A5BE859" w:rsidR="00EE5BB8" w:rsidRPr="00C6052E" w:rsidRDefault="00EE5BB8" w:rsidP="00EE5BB8">
      <w:pPr>
        <w:pStyle w:val="Bullet1"/>
        <w:numPr>
          <w:ilvl w:val="0"/>
          <w:numId w:val="1"/>
        </w:numPr>
        <w:spacing w:line="278" w:lineRule="auto"/>
        <w:ind w:left="284" w:hanging="284"/>
        <w:rPr>
          <w:lang w:val="en-AU"/>
        </w:rPr>
      </w:pPr>
      <w:r w:rsidRPr="00C6052E">
        <w:rPr>
          <w:lang w:val="en-AU"/>
        </w:rPr>
        <w:t>amounts</w:t>
      </w:r>
      <w:r w:rsidR="00177848" w:rsidRPr="00C6052E">
        <w:rPr>
          <w:lang w:val="en-AU"/>
        </w:rPr>
        <w:t xml:space="preserve"> </w:t>
      </w:r>
      <w:r w:rsidRPr="00C6052E">
        <w:rPr>
          <w:lang w:val="en-AU"/>
        </w:rPr>
        <w:t>expected</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be</w:t>
      </w:r>
      <w:r w:rsidR="00177848" w:rsidRPr="00C6052E">
        <w:rPr>
          <w:lang w:val="en-AU"/>
        </w:rPr>
        <w:t xml:space="preserve"> </w:t>
      </w:r>
      <w:r w:rsidRPr="00C6052E">
        <w:rPr>
          <w:lang w:val="en-AU"/>
        </w:rPr>
        <w:t>payable</w:t>
      </w:r>
      <w:r w:rsidR="00177848" w:rsidRPr="00C6052E">
        <w:rPr>
          <w:lang w:val="en-AU"/>
        </w:rPr>
        <w:t xml:space="preserve"> </w:t>
      </w:r>
      <w:r w:rsidRPr="00C6052E">
        <w:rPr>
          <w:lang w:val="en-AU"/>
        </w:rPr>
        <w:t>under</w:t>
      </w:r>
      <w:r w:rsidR="00177848" w:rsidRPr="00C6052E">
        <w:rPr>
          <w:lang w:val="en-AU"/>
        </w:rPr>
        <w:t xml:space="preserve"> </w:t>
      </w:r>
      <w:r w:rsidRPr="00C6052E">
        <w:rPr>
          <w:lang w:val="en-AU"/>
        </w:rPr>
        <w:t>a</w:t>
      </w:r>
      <w:r w:rsidR="00177848" w:rsidRPr="00C6052E">
        <w:rPr>
          <w:lang w:val="en-AU"/>
        </w:rPr>
        <w:t xml:space="preserve"> </w:t>
      </w:r>
      <w:r w:rsidRPr="00C6052E">
        <w:rPr>
          <w:lang w:val="en-AU"/>
        </w:rPr>
        <w:t>residual</w:t>
      </w:r>
      <w:r w:rsidR="00177848" w:rsidRPr="00C6052E">
        <w:rPr>
          <w:lang w:val="en-AU"/>
        </w:rPr>
        <w:t xml:space="preserve"> </w:t>
      </w:r>
      <w:r w:rsidRPr="00C6052E">
        <w:rPr>
          <w:lang w:val="en-AU"/>
        </w:rPr>
        <w:t>value</w:t>
      </w:r>
      <w:r w:rsidR="00177848" w:rsidRPr="00C6052E">
        <w:rPr>
          <w:lang w:val="en-AU"/>
        </w:rPr>
        <w:t xml:space="preserve"> </w:t>
      </w:r>
      <w:r w:rsidRPr="00C6052E">
        <w:rPr>
          <w:lang w:val="en-AU"/>
        </w:rPr>
        <w:t>guarantee;</w:t>
      </w:r>
      <w:r w:rsidR="00177848" w:rsidRPr="00C6052E">
        <w:rPr>
          <w:lang w:val="en-AU"/>
        </w:rPr>
        <w:t xml:space="preserve"> </w:t>
      </w:r>
      <w:r w:rsidRPr="00C6052E">
        <w:rPr>
          <w:lang w:val="en-AU"/>
        </w:rPr>
        <w:t>and</w:t>
      </w:r>
    </w:p>
    <w:p w14:paraId="546C944A" w14:textId="7FA0A9E6" w:rsidR="00EE5BB8" w:rsidRPr="00C6052E" w:rsidRDefault="00EE5BB8" w:rsidP="00EE5BB8">
      <w:pPr>
        <w:pStyle w:val="Bullet1last"/>
        <w:numPr>
          <w:ilvl w:val="0"/>
          <w:numId w:val="1"/>
        </w:numPr>
        <w:spacing w:line="278" w:lineRule="auto"/>
        <w:ind w:left="284" w:hanging="284"/>
        <w:rPr>
          <w:lang w:val="en-AU"/>
        </w:rPr>
      </w:pPr>
      <w:r w:rsidRPr="00C6052E">
        <w:rPr>
          <w:lang w:val="en-AU"/>
        </w:rPr>
        <w:t>payments</w:t>
      </w:r>
      <w:r w:rsidR="00177848" w:rsidRPr="00C6052E">
        <w:rPr>
          <w:lang w:val="en-AU"/>
        </w:rPr>
        <w:t xml:space="preserve"> </w:t>
      </w:r>
      <w:r w:rsidRPr="00C6052E">
        <w:rPr>
          <w:lang w:val="en-AU"/>
        </w:rPr>
        <w:t>arising</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purchase</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termination</w:t>
      </w:r>
      <w:r w:rsidR="00177848" w:rsidRPr="00C6052E">
        <w:rPr>
          <w:lang w:val="en-AU"/>
        </w:rPr>
        <w:t xml:space="preserve"> </w:t>
      </w:r>
      <w:r w:rsidRPr="00C6052E">
        <w:rPr>
          <w:lang w:val="en-AU"/>
        </w:rPr>
        <w:t>options</w:t>
      </w:r>
      <w:r w:rsidR="00177848" w:rsidRPr="00C6052E">
        <w:rPr>
          <w:lang w:val="en-AU"/>
        </w:rPr>
        <w:t xml:space="preserve"> </w:t>
      </w:r>
      <w:r w:rsidRPr="00C6052E">
        <w:rPr>
          <w:lang w:val="en-AU"/>
        </w:rPr>
        <w:t>reasonably</w:t>
      </w:r>
      <w:r w:rsidR="00177848" w:rsidRPr="00C6052E">
        <w:rPr>
          <w:lang w:val="en-AU"/>
        </w:rPr>
        <w:t xml:space="preserve"> </w:t>
      </w:r>
      <w:r w:rsidRPr="00C6052E">
        <w:rPr>
          <w:lang w:val="en-AU"/>
        </w:rPr>
        <w:t>certain</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be</w:t>
      </w:r>
      <w:r w:rsidR="00177848" w:rsidRPr="00C6052E">
        <w:rPr>
          <w:lang w:val="en-AU"/>
        </w:rPr>
        <w:t xml:space="preserve"> </w:t>
      </w:r>
      <w:r w:rsidRPr="00C6052E">
        <w:rPr>
          <w:lang w:val="en-AU"/>
        </w:rPr>
        <w:t>exercised.</w:t>
      </w:r>
    </w:p>
    <w:p w14:paraId="6481C91A" w14:textId="2BC0CB05" w:rsidR="00EE5BB8" w:rsidRPr="00C6052E" w:rsidRDefault="00EE5BB8" w:rsidP="001D1E8C">
      <w:pPr>
        <w:pStyle w:val="Heading5"/>
        <w:numPr>
          <w:ilvl w:val="0"/>
          <w:numId w:val="0"/>
        </w:numPr>
      </w:pPr>
      <w:r w:rsidRPr="00C6052E">
        <w:t>Lease</w:t>
      </w:r>
      <w:r w:rsidR="00177848" w:rsidRPr="00C6052E">
        <w:t xml:space="preserve"> </w:t>
      </w:r>
      <w:r w:rsidRPr="00C6052E">
        <w:t>liability</w:t>
      </w:r>
      <w:r w:rsidR="00177848" w:rsidRPr="00C6052E">
        <w:t xml:space="preserve"> </w:t>
      </w:r>
      <w:r w:rsidRPr="00C6052E">
        <w:t>–</w:t>
      </w:r>
      <w:r w:rsidR="00177848" w:rsidRPr="00C6052E">
        <w:t xml:space="preserve"> </w:t>
      </w:r>
      <w:r w:rsidRPr="00C6052E">
        <w:t>subsequent</w:t>
      </w:r>
      <w:r w:rsidR="00177848" w:rsidRPr="00C6052E">
        <w:t xml:space="preserve"> </w:t>
      </w:r>
      <w:r w:rsidRPr="00C6052E">
        <w:t>measurement</w:t>
      </w:r>
      <w:r w:rsidR="00177848" w:rsidRPr="00C6052E">
        <w:t xml:space="preserve"> </w:t>
      </w:r>
    </w:p>
    <w:p w14:paraId="620CCBB3" w14:textId="1631AD26" w:rsidR="00EE5BB8" w:rsidRPr="00C6052E" w:rsidRDefault="00EE5BB8" w:rsidP="00EE5BB8">
      <w:r w:rsidRPr="00C6052E">
        <w:t>Subsequent</w:t>
      </w:r>
      <w:r w:rsidR="00177848" w:rsidRPr="00C6052E">
        <w:t xml:space="preserve"> </w:t>
      </w:r>
      <w:r w:rsidRPr="00C6052E">
        <w:t>to</w:t>
      </w:r>
      <w:r w:rsidR="00177848" w:rsidRPr="00C6052E">
        <w:t xml:space="preserve"> </w:t>
      </w:r>
      <w:r w:rsidRPr="00C6052E">
        <w:t>initial</w:t>
      </w:r>
      <w:r w:rsidR="00177848" w:rsidRPr="00C6052E">
        <w:t xml:space="preserve"> </w:t>
      </w:r>
      <w:r w:rsidRPr="00C6052E">
        <w:t>measurement,</w:t>
      </w:r>
      <w:r w:rsidR="00177848" w:rsidRPr="00C6052E">
        <w:t xml:space="preserve"> </w:t>
      </w:r>
      <w:r w:rsidRPr="00C6052E">
        <w:t>the</w:t>
      </w:r>
      <w:r w:rsidR="00177848" w:rsidRPr="00C6052E">
        <w:t xml:space="preserve"> </w:t>
      </w:r>
      <w:r w:rsidRPr="00C6052E">
        <w:t>liability</w:t>
      </w:r>
      <w:r w:rsidR="00177848" w:rsidRPr="00C6052E">
        <w:t xml:space="preserve"> </w:t>
      </w:r>
      <w:r w:rsidRPr="00C6052E">
        <w:t>will</w:t>
      </w:r>
      <w:r w:rsidR="00177848" w:rsidRPr="00C6052E">
        <w:t xml:space="preserve"> </w:t>
      </w:r>
      <w:r w:rsidRPr="00C6052E">
        <w:t>be</w:t>
      </w:r>
      <w:r w:rsidR="00177848" w:rsidRPr="00C6052E">
        <w:t xml:space="preserve"> </w:t>
      </w:r>
      <w:r w:rsidRPr="00C6052E">
        <w:t>reduced</w:t>
      </w:r>
      <w:r w:rsidR="00177848" w:rsidRPr="00C6052E">
        <w:t xml:space="preserve"> </w:t>
      </w:r>
      <w:r w:rsidRPr="00C6052E">
        <w:t>for</w:t>
      </w:r>
      <w:r w:rsidR="00177848" w:rsidRPr="00C6052E">
        <w:t xml:space="preserve"> </w:t>
      </w:r>
      <w:r w:rsidRPr="00C6052E">
        <w:t>payments</w:t>
      </w:r>
      <w:r w:rsidR="00177848" w:rsidRPr="00C6052E">
        <w:t xml:space="preserve"> </w:t>
      </w:r>
      <w:r w:rsidRPr="00C6052E">
        <w:t>made</w:t>
      </w:r>
      <w:r w:rsidR="00177848" w:rsidRPr="00C6052E">
        <w:t xml:space="preserve"> </w:t>
      </w:r>
      <w:r w:rsidRPr="00C6052E">
        <w:t>and</w:t>
      </w:r>
      <w:r w:rsidR="00177848" w:rsidRPr="00C6052E">
        <w:t xml:space="preserve"> </w:t>
      </w:r>
      <w:r w:rsidRPr="00C6052E">
        <w:t>increases</w:t>
      </w:r>
      <w:r w:rsidR="00177848" w:rsidRPr="00C6052E">
        <w:t xml:space="preserve"> </w:t>
      </w:r>
      <w:r w:rsidRPr="00C6052E">
        <w:t>for</w:t>
      </w:r>
      <w:r w:rsidR="00177848" w:rsidRPr="00C6052E">
        <w:t xml:space="preserve"> </w:t>
      </w:r>
      <w:r w:rsidRPr="00C6052E">
        <w:t>interest.</w:t>
      </w:r>
      <w:r w:rsidR="00177848" w:rsidRPr="00C6052E">
        <w:t xml:space="preserve"> </w:t>
      </w:r>
      <w:r w:rsidRPr="00C6052E">
        <w:t>It</w:t>
      </w:r>
      <w:r w:rsidR="00177848" w:rsidRPr="00C6052E">
        <w:t xml:space="preserve"> </w:t>
      </w:r>
      <w:r w:rsidRPr="00C6052E">
        <w:t>is</w:t>
      </w:r>
      <w:r w:rsidR="00177848" w:rsidRPr="00C6052E">
        <w:t xml:space="preserve"> </w:t>
      </w:r>
      <w:r w:rsidRPr="00C6052E">
        <w:t>remeasured</w:t>
      </w:r>
      <w:r w:rsidR="00177848" w:rsidRPr="00C6052E">
        <w:t xml:space="preserve"> </w:t>
      </w:r>
      <w:r w:rsidRPr="00C6052E">
        <w:t>to</w:t>
      </w:r>
      <w:r w:rsidR="00177848" w:rsidRPr="00C6052E">
        <w:t xml:space="preserve"> </w:t>
      </w:r>
      <w:r w:rsidRPr="00C6052E">
        <w:t>reflect</w:t>
      </w:r>
      <w:r w:rsidR="00177848" w:rsidRPr="00C6052E">
        <w:t xml:space="preserve"> </w:t>
      </w:r>
      <w:r w:rsidRPr="00C6052E">
        <w:t>any</w:t>
      </w:r>
      <w:r w:rsidR="00177848" w:rsidRPr="00C6052E">
        <w:t xml:space="preserve"> </w:t>
      </w:r>
      <w:r w:rsidRPr="00C6052E">
        <w:t>reassessment</w:t>
      </w:r>
      <w:r w:rsidR="00177848" w:rsidRPr="00C6052E">
        <w:t xml:space="preserve"> </w:t>
      </w:r>
      <w:r w:rsidRPr="00C6052E">
        <w:t>or</w:t>
      </w:r>
      <w:r w:rsidR="00177848" w:rsidRPr="00C6052E">
        <w:t xml:space="preserve"> </w:t>
      </w:r>
      <w:r w:rsidRPr="00C6052E">
        <w:t>modification,</w:t>
      </w:r>
      <w:r w:rsidR="00177848" w:rsidRPr="00C6052E">
        <w:t xml:space="preserve"> </w:t>
      </w:r>
      <w:r w:rsidRPr="00C6052E">
        <w:t>or</w:t>
      </w:r>
      <w:r w:rsidR="00177848" w:rsidRPr="00C6052E">
        <w:t xml:space="preserve"> </w:t>
      </w:r>
      <w:r w:rsidRPr="00C6052E">
        <w:t>if</w:t>
      </w:r>
      <w:r w:rsidR="00177848" w:rsidRPr="00C6052E">
        <w:t xml:space="preserve"> </w:t>
      </w:r>
      <w:r w:rsidRPr="00C6052E">
        <w:t>there</w:t>
      </w:r>
      <w:r w:rsidR="00177848" w:rsidRPr="00C6052E">
        <w:t xml:space="preserve"> </w:t>
      </w:r>
      <w:r w:rsidRPr="00C6052E">
        <w:t>are</w:t>
      </w:r>
      <w:r w:rsidR="00177848" w:rsidRPr="00C6052E">
        <w:t xml:space="preserve"> </w:t>
      </w:r>
      <w:r w:rsidRPr="00C6052E">
        <w:t>changes</w:t>
      </w:r>
      <w:r w:rsidR="00177848" w:rsidRPr="00C6052E">
        <w:t xml:space="preserve"> </w:t>
      </w:r>
      <w:r w:rsidRPr="00C6052E">
        <w:t>in-substance</w:t>
      </w:r>
      <w:r w:rsidR="00177848" w:rsidRPr="00C6052E">
        <w:t xml:space="preserve"> </w:t>
      </w:r>
      <w:r w:rsidRPr="00C6052E">
        <w:t>fixed</w:t>
      </w:r>
      <w:r w:rsidR="00177848" w:rsidRPr="00C6052E">
        <w:t xml:space="preserve"> </w:t>
      </w:r>
      <w:r w:rsidRPr="00C6052E">
        <w:t>payments.</w:t>
      </w:r>
    </w:p>
    <w:p w14:paraId="1FEF8964" w14:textId="3F943EF8" w:rsidR="00EE5BB8" w:rsidRPr="00C6052E" w:rsidRDefault="00EE5BB8" w:rsidP="00EE5BB8">
      <w:r w:rsidRPr="00C6052E">
        <w:t>When</w:t>
      </w:r>
      <w:r w:rsidR="00177848" w:rsidRPr="00C6052E">
        <w:t xml:space="preserve"> </w:t>
      </w:r>
      <w:r w:rsidRPr="00C6052E">
        <w:t>the</w:t>
      </w:r>
      <w:r w:rsidR="00177848" w:rsidRPr="00C6052E">
        <w:t xml:space="preserve"> </w:t>
      </w:r>
      <w:r w:rsidRPr="00C6052E">
        <w:t>lease</w:t>
      </w:r>
      <w:r w:rsidR="00177848" w:rsidRPr="00C6052E">
        <w:t xml:space="preserve"> </w:t>
      </w:r>
      <w:r w:rsidRPr="00C6052E">
        <w:t>liability</w:t>
      </w:r>
      <w:r w:rsidR="00177848" w:rsidRPr="00C6052E">
        <w:t xml:space="preserve"> </w:t>
      </w:r>
      <w:r w:rsidRPr="00C6052E">
        <w:t>is</w:t>
      </w:r>
      <w:r w:rsidR="00177848" w:rsidRPr="00C6052E">
        <w:t xml:space="preserve"> </w:t>
      </w:r>
      <w:r w:rsidRPr="00C6052E">
        <w:t>remeasured,</w:t>
      </w:r>
      <w:r w:rsidR="00177848" w:rsidRPr="00C6052E">
        <w:t xml:space="preserve"> </w:t>
      </w:r>
      <w:r w:rsidRPr="00C6052E">
        <w:t>the</w:t>
      </w:r>
      <w:r w:rsidR="00177848" w:rsidRPr="00C6052E">
        <w:t xml:space="preserve"> </w:t>
      </w:r>
      <w:r w:rsidRPr="00C6052E">
        <w:t>corresponding</w:t>
      </w:r>
      <w:r w:rsidR="00177848" w:rsidRPr="00C6052E">
        <w:t xml:space="preserve"> </w:t>
      </w:r>
      <w:r w:rsidRPr="00C6052E">
        <w:t>adjustment</w:t>
      </w:r>
      <w:r w:rsidR="00177848" w:rsidRPr="00C6052E">
        <w:t xml:space="preserve"> </w:t>
      </w:r>
      <w:r w:rsidRPr="00C6052E">
        <w:t>is</w:t>
      </w:r>
      <w:r w:rsidR="00177848" w:rsidRPr="00C6052E">
        <w:t xml:space="preserve"> </w:t>
      </w:r>
      <w:r w:rsidRPr="00C6052E">
        <w:t>reflected</w:t>
      </w:r>
      <w:r w:rsidR="00177848" w:rsidRPr="00C6052E">
        <w:t xml:space="preserve"> </w:t>
      </w:r>
      <w:r w:rsidRPr="00C6052E">
        <w:t>in</w:t>
      </w:r>
      <w:r w:rsidR="00177848" w:rsidRPr="00C6052E">
        <w:t xml:space="preserve"> </w:t>
      </w:r>
      <w:r w:rsidRPr="00C6052E">
        <w:t>the</w:t>
      </w:r>
      <w:r w:rsidR="00177848" w:rsidRPr="00C6052E">
        <w:t xml:space="preserve"> </w:t>
      </w:r>
      <w:r w:rsidRPr="00C6052E">
        <w:t>right-of-use</w:t>
      </w:r>
      <w:r w:rsidR="00177848" w:rsidRPr="00C6052E">
        <w:t xml:space="preserve"> </w:t>
      </w:r>
      <w:r w:rsidRPr="00C6052E">
        <w:t>asset,</w:t>
      </w:r>
      <w:r w:rsidR="00177848" w:rsidRPr="00C6052E">
        <w:t xml:space="preserve"> </w:t>
      </w:r>
      <w:r w:rsidRPr="00C6052E">
        <w:t>or</w:t>
      </w:r>
      <w:r w:rsidR="00177848" w:rsidRPr="00C6052E">
        <w:t xml:space="preserve"> </w:t>
      </w:r>
      <w:r w:rsidRPr="00C6052E">
        <w:t>profit</w:t>
      </w:r>
      <w:r w:rsidR="00177848" w:rsidRPr="00C6052E">
        <w:t xml:space="preserve"> </w:t>
      </w:r>
      <w:r w:rsidRPr="00C6052E">
        <w:t>and</w:t>
      </w:r>
      <w:r w:rsidR="00177848" w:rsidRPr="00C6052E">
        <w:t xml:space="preserve"> </w:t>
      </w:r>
      <w:r w:rsidRPr="00C6052E">
        <w:t>loss</w:t>
      </w:r>
      <w:r w:rsidR="00177848" w:rsidRPr="00C6052E">
        <w:t xml:space="preserve"> </w:t>
      </w:r>
      <w:r w:rsidRPr="00C6052E">
        <w:t>if</w:t>
      </w:r>
      <w:r w:rsidR="00177848" w:rsidRPr="00C6052E">
        <w:t xml:space="preserve"> </w:t>
      </w:r>
      <w:r w:rsidRPr="00C6052E">
        <w:t>the</w:t>
      </w:r>
      <w:r w:rsidR="00177848" w:rsidRPr="00C6052E">
        <w:t xml:space="preserve"> </w:t>
      </w:r>
      <w:r w:rsidRPr="00C6052E">
        <w:t>right-of-use</w:t>
      </w:r>
      <w:r w:rsidR="00177848" w:rsidRPr="00C6052E">
        <w:t xml:space="preserve"> </w:t>
      </w:r>
      <w:r w:rsidRPr="00C6052E">
        <w:t>asset</w:t>
      </w:r>
      <w:r w:rsidR="00177848" w:rsidRPr="00C6052E">
        <w:t xml:space="preserve"> </w:t>
      </w:r>
      <w:r w:rsidRPr="00C6052E">
        <w:t>is</w:t>
      </w:r>
      <w:r w:rsidR="00177848" w:rsidRPr="00C6052E">
        <w:t xml:space="preserve"> </w:t>
      </w:r>
      <w:r w:rsidRPr="00C6052E">
        <w:t>already</w:t>
      </w:r>
      <w:r w:rsidR="00177848" w:rsidRPr="00C6052E">
        <w:t xml:space="preserve"> </w:t>
      </w:r>
      <w:r w:rsidRPr="00C6052E">
        <w:t>reduced</w:t>
      </w:r>
      <w:r w:rsidR="00177848" w:rsidRPr="00C6052E">
        <w:t xml:space="preserve"> </w:t>
      </w:r>
      <w:r w:rsidRPr="00C6052E">
        <w:t>to</w:t>
      </w:r>
      <w:r w:rsidR="00177848" w:rsidRPr="00C6052E">
        <w:t xml:space="preserve"> </w:t>
      </w:r>
      <w:r w:rsidRPr="00C6052E">
        <w:t>zero.</w:t>
      </w:r>
    </w:p>
    <w:p w14:paraId="4376825E" w14:textId="4B6D8D11" w:rsidR="00EE5BB8" w:rsidRPr="001D1E8C" w:rsidRDefault="00C6052E" w:rsidP="001D1E8C">
      <w:pPr>
        <w:pStyle w:val="Heading4"/>
        <w:rPr>
          <w:rStyle w:val="Heading4Char"/>
        </w:rPr>
      </w:pPr>
      <w:r w:rsidRPr="00C6052E">
        <w:t>Presentation</w:t>
      </w:r>
      <w:r w:rsidR="00177848" w:rsidRPr="00C6052E">
        <w:t xml:space="preserve"> </w:t>
      </w:r>
      <w:r w:rsidRPr="00C6052E">
        <w:t>of</w:t>
      </w:r>
      <w:r w:rsidR="00177848" w:rsidRPr="00C6052E">
        <w:t xml:space="preserve"> </w:t>
      </w:r>
      <w:r w:rsidRPr="00C6052E">
        <w:t>right-of-use</w:t>
      </w:r>
      <w:r w:rsidR="00177848" w:rsidRPr="00C6052E">
        <w:t xml:space="preserve"> </w:t>
      </w:r>
      <w:r w:rsidRPr="00C6052E">
        <w:t>assets</w:t>
      </w:r>
      <w:r w:rsidR="00177848" w:rsidRPr="00C6052E">
        <w:t xml:space="preserve"> </w:t>
      </w:r>
      <w:r w:rsidRPr="00C6052E">
        <w:t>and</w:t>
      </w:r>
      <w:r w:rsidR="00177848" w:rsidRPr="00C6052E">
        <w:t xml:space="preserve"> </w:t>
      </w:r>
      <w:r w:rsidRPr="00C6052E">
        <w:t>lease</w:t>
      </w:r>
      <w:r w:rsidR="00177848" w:rsidRPr="00C6052E">
        <w:t xml:space="preserve"> </w:t>
      </w:r>
      <w:r w:rsidRPr="00C6052E">
        <w:t>liabilities</w:t>
      </w:r>
      <w:r w:rsidR="00177848" w:rsidRPr="00C6052E">
        <w:t xml:space="preserve"> </w:t>
      </w:r>
    </w:p>
    <w:p w14:paraId="34741D1A" w14:textId="5FAF326C" w:rsidR="00EE5BB8" w:rsidRPr="00C6052E" w:rsidRDefault="00EE5BB8" w:rsidP="00EE5BB8">
      <w:r w:rsidRPr="00C6052E">
        <w:t>DJSIR</w:t>
      </w:r>
      <w:r w:rsidR="00177848" w:rsidRPr="00C6052E">
        <w:t xml:space="preserve"> </w:t>
      </w:r>
      <w:r w:rsidRPr="00C6052E">
        <w:t>presents</w:t>
      </w:r>
      <w:r w:rsidR="00177848" w:rsidRPr="00C6052E">
        <w:t xml:space="preserve"> </w:t>
      </w:r>
      <w:r w:rsidRPr="00C6052E">
        <w:t>right-of-use</w:t>
      </w:r>
      <w:r w:rsidR="00177848" w:rsidRPr="00C6052E">
        <w:t xml:space="preserve"> </w:t>
      </w:r>
      <w:r w:rsidRPr="00C6052E">
        <w:t>assets</w:t>
      </w:r>
      <w:r w:rsidR="00177848" w:rsidRPr="00C6052E">
        <w:t xml:space="preserve"> </w:t>
      </w:r>
      <w:r w:rsidRPr="00C6052E">
        <w:t>as</w:t>
      </w:r>
      <w:r w:rsidR="00177848" w:rsidRPr="00C6052E">
        <w:t xml:space="preserve"> </w:t>
      </w:r>
      <w:r w:rsidRPr="00C6052E">
        <w:t>‘property</w:t>
      </w:r>
      <w:r w:rsidR="00177848" w:rsidRPr="00C6052E">
        <w:t xml:space="preserve"> </w:t>
      </w:r>
      <w:r w:rsidRPr="00C6052E">
        <w:t>plant</w:t>
      </w:r>
      <w:r w:rsidR="00177848" w:rsidRPr="00C6052E">
        <w:t xml:space="preserve"> </w:t>
      </w:r>
      <w:r w:rsidRPr="00C6052E">
        <w:t>and</w:t>
      </w:r>
      <w:r w:rsidR="00177848" w:rsidRPr="00C6052E">
        <w:t xml:space="preserve"> </w:t>
      </w:r>
      <w:r w:rsidRPr="00C6052E">
        <w:t>equipment’</w:t>
      </w:r>
      <w:r w:rsidR="00177848" w:rsidRPr="00C6052E">
        <w:t xml:space="preserve"> </w:t>
      </w:r>
      <w:r w:rsidRPr="00C6052E">
        <w:t>in</w:t>
      </w:r>
      <w:r w:rsidR="00177848" w:rsidRPr="00C6052E">
        <w:t xml:space="preserve"> </w:t>
      </w:r>
      <w:r w:rsidRPr="00C6052E">
        <w:t>the</w:t>
      </w:r>
      <w:r w:rsidR="00177848" w:rsidRPr="00C6052E">
        <w:t xml:space="preserve"> </w:t>
      </w:r>
      <w:r w:rsidRPr="00C6052E">
        <w:t>balance</w:t>
      </w:r>
      <w:r w:rsidR="00177848" w:rsidRPr="00C6052E">
        <w:t xml:space="preserve"> </w:t>
      </w:r>
      <w:r w:rsidRPr="00C6052E">
        <w:t>sheet.</w:t>
      </w:r>
      <w:r w:rsidR="00177848" w:rsidRPr="00C6052E">
        <w:t xml:space="preserve">  </w:t>
      </w:r>
      <w:r w:rsidRPr="00C6052E">
        <w:t>Lease</w:t>
      </w:r>
      <w:r w:rsidR="00177848" w:rsidRPr="00C6052E">
        <w:t xml:space="preserve"> </w:t>
      </w:r>
      <w:r w:rsidRPr="00C6052E">
        <w:t>liabilities</w:t>
      </w:r>
      <w:r w:rsidR="00177848" w:rsidRPr="00C6052E">
        <w:t xml:space="preserve"> </w:t>
      </w:r>
      <w:r w:rsidRPr="00C6052E">
        <w:t>are</w:t>
      </w:r>
      <w:r w:rsidR="00177848" w:rsidRPr="00C6052E">
        <w:t xml:space="preserve"> </w:t>
      </w:r>
      <w:r w:rsidRPr="00C6052E">
        <w:t>presented</w:t>
      </w:r>
      <w:r w:rsidR="00177848" w:rsidRPr="00C6052E">
        <w:t xml:space="preserve"> </w:t>
      </w:r>
      <w:r w:rsidRPr="00C6052E">
        <w:t>as</w:t>
      </w:r>
      <w:r w:rsidR="00177848" w:rsidRPr="00C6052E">
        <w:t xml:space="preserve"> </w:t>
      </w:r>
      <w:r w:rsidRPr="00C6052E">
        <w:t>‘borrowings’</w:t>
      </w:r>
      <w:r w:rsidR="00177848" w:rsidRPr="00C6052E">
        <w:t xml:space="preserve"> </w:t>
      </w:r>
      <w:r w:rsidRPr="00C6052E">
        <w:t>in</w:t>
      </w:r>
      <w:r w:rsidR="00177848" w:rsidRPr="00C6052E">
        <w:t xml:space="preserve"> </w:t>
      </w:r>
      <w:r w:rsidRPr="00C6052E">
        <w:t>the</w:t>
      </w:r>
      <w:r w:rsidR="00177848" w:rsidRPr="00C6052E">
        <w:t xml:space="preserve"> </w:t>
      </w:r>
      <w:r w:rsidRPr="00C6052E">
        <w:t>balance</w:t>
      </w:r>
      <w:r w:rsidR="00177848" w:rsidRPr="00C6052E">
        <w:t xml:space="preserve"> </w:t>
      </w:r>
      <w:r w:rsidRPr="00C6052E">
        <w:t>sheet.</w:t>
      </w:r>
    </w:p>
    <w:p w14:paraId="658D36D3" w14:textId="490D0E92" w:rsidR="00EE5BB8" w:rsidRPr="00C6052E" w:rsidRDefault="00C6052E" w:rsidP="001D1E8C">
      <w:pPr>
        <w:pStyle w:val="TableHeading"/>
      </w:pPr>
      <w:r w:rsidRPr="00C6052E">
        <w:t>Lease</w:t>
      </w:r>
      <w:r w:rsidR="00177848" w:rsidRPr="00C6052E">
        <w:t xml:space="preserve"> </w:t>
      </w:r>
      <w:r w:rsidRPr="00C6052E">
        <w:t>liabilities</w:t>
      </w:r>
      <w:r w:rsidR="00177848" w:rsidRPr="00C6052E">
        <w:t xml:space="preserve"> </w:t>
      </w:r>
      <w:r w:rsidRPr="00C6052E">
        <w:t>payable</w:t>
      </w:r>
      <w:r w:rsidR="001D1E8C">
        <w:t xml:space="preserve"> </w:t>
      </w:r>
      <w:r w:rsidR="001D1E8C" w:rsidRPr="00C6052E">
        <w:t>($ thousand)</w:t>
      </w:r>
    </w:p>
    <w:tbl>
      <w:tblPr>
        <w:tblStyle w:val="TableGrid"/>
        <w:tblW w:w="9691" w:type="dxa"/>
        <w:tblLayout w:type="fixed"/>
        <w:tblLook w:val="04E0" w:firstRow="1" w:lastRow="1" w:firstColumn="1" w:lastColumn="0" w:noHBand="0" w:noVBand="1"/>
      </w:tblPr>
      <w:tblGrid>
        <w:gridCol w:w="4815"/>
        <w:gridCol w:w="1191"/>
        <w:gridCol w:w="1191"/>
        <w:gridCol w:w="1247"/>
        <w:gridCol w:w="1247"/>
      </w:tblGrid>
      <w:tr w:rsidR="00EE5BB8" w:rsidRPr="00C6052E" w14:paraId="7FF542EA" w14:textId="77777777" w:rsidTr="001D1E8C">
        <w:tc>
          <w:tcPr>
            <w:tcW w:w="4815" w:type="dxa"/>
            <w:noWrap/>
            <w:hideMark/>
          </w:tcPr>
          <w:p w14:paraId="4CB6AB71" w14:textId="77777777" w:rsidR="00EE5BB8" w:rsidRPr="00C6052E" w:rsidRDefault="00EE5BB8" w:rsidP="001D1E8C">
            <w:pPr>
              <w:pStyle w:val="TableColumnHeading"/>
            </w:pPr>
            <w:bookmarkStart w:id="283" w:name="TableColumnHeadings_83"/>
            <w:bookmarkEnd w:id="283"/>
          </w:p>
        </w:tc>
        <w:tc>
          <w:tcPr>
            <w:tcW w:w="1191" w:type="dxa"/>
            <w:hideMark/>
          </w:tcPr>
          <w:p w14:paraId="16DBDD8D" w14:textId="6ED04BBA" w:rsidR="00EE5BB8" w:rsidRPr="00C6052E" w:rsidRDefault="001D1E8C" w:rsidP="001D1E8C">
            <w:pPr>
              <w:pStyle w:val="TableColumnHeading"/>
              <w:jc w:val="right"/>
            </w:pPr>
            <w:r w:rsidRPr="00C6052E">
              <w:rPr>
                <w:lang w:val="en-AU"/>
              </w:rPr>
              <w:t>Minimum future lease payments</w:t>
            </w:r>
            <w:r w:rsidRPr="00C6052E">
              <w:rPr>
                <w:vertAlign w:val="superscript"/>
                <w:lang w:val="en-AU"/>
              </w:rPr>
              <w:t>(i)</w:t>
            </w:r>
            <w:r w:rsidR="00EE5BB8" w:rsidRPr="00C6052E">
              <w:t>2025</w:t>
            </w:r>
          </w:p>
        </w:tc>
        <w:tc>
          <w:tcPr>
            <w:tcW w:w="1191" w:type="dxa"/>
            <w:hideMark/>
          </w:tcPr>
          <w:p w14:paraId="0BCF395A" w14:textId="3A84BA91" w:rsidR="00EE5BB8" w:rsidRPr="00C6052E" w:rsidRDefault="001D1E8C" w:rsidP="001D1E8C">
            <w:pPr>
              <w:pStyle w:val="TableColumnHeading"/>
              <w:jc w:val="right"/>
            </w:pPr>
            <w:r w:rsidRPr="00C6052E">
              <w:rPr>
                <w:lang w:val="en-AU"/>
              </w:rPr>
              <w:t>Minimum future lease payments</w:t>
            </w:r>
            <w:r w:rsidRPr="00C6052E">
              <w:rPr>
                <w:vertAlign w:val="superscript"/>
                <w:lang w:val="en-AU"/>
              </w:rPr>
              <w:t>(i)</w:t>
            </w:r>
            <w:r w:rsidR="00EE5BB8" w:rsidRPr="00C6052E">
              <w:t>2024</w:t>
            </w:r>
          </w:p>
        </w:tc>
        <w:tc>
          <w:tcPr>
            <w:tcW w:w="1247" w:type="dxa"/>
            <w:hideMark/>
          </w:tcPr>
          <w:p w14:paraId="27D7DDFB" w14:textId="0584AA26" w:rsidR="00EE5BB8" w:rsidRPr="00C6052E" w:rsidRDefault="001D1E8C" w:rsidP="001D1E8C">
            <w:pPr>
              <w:pStyle w:val="TableColumnHeading"/>
              <w:jc w:val="right"/>
            </w:pPr>
            <w:r w:rsidRPr="00C6052E">
              <w:rPr>
                <w:lang w:val="en-AU"/>
              </w:rPr>
              <w:t>Present value of minimum future lease payments</w:t>
            </w:r>
            <w:r w:rsidRPr="00C6052E">
              <w:t xml:space="preserve"> </w:t>
            </w:r>
            <w:r w:rsidR="00EE5BB8" w:rsidRPr="00C6052E">
              <w:t>2025</w:t>
            </w:r>
          </w:p>
        </w:tc>
        <w:tc>
          <w:tcPr>
            <w:tcW w:w="1247" w:type="dxa"/>
            <w:hideMark/>
          </w:tcPr>
          <w:p w14:paraId="1F6BA713" w14:textId="16E73641" w:rsidR="00EE5BB8" w:rsidRPr="00C6052E" w:rsidRDefault="001D1E8C" w:rsidP="001D1E8C">
            <w:pPr>
              <w:pStyle w:val="TableColumnHeading"/>
              <w:jc w:val="right"/>
            </w:pPr>
            <w:r w:rsidRPr="00C6052E">
              <w:rPr>
                <w:lang w:val="en-AU"/>
              </w:rPr>
              <w:t>Present value of minimum future lease payments</w:t>
            </w:r>
            <w:r w:rsidRPr="00C6052E">
              <w:t xml:space="preserve"> </w:t>
            </w:r>
            <w:r w:rsidR="00EE5BB8" w:rsidRPr="00C6052E">
              <w:t>2024</w:t>
            </w:r>
          </w:p>
        </w:tc>
      </w:tr>
      <w:tr w:rsidR="001D1E8C" w:rsidRPr="00C6052E" w14:paraId="59BB65E0" w14:textId="77777777" w:rsidTr="000D222D">
        <w:tc>
          <w:tcPr>
            <w:tcW w:w="4815" w:type="dxa"/>
          </w:tcPr>
          <w:p w14:paraId="181D5662" w14:textId="4D72D4C3" w:rsidR="001D1E8C" w:rsidRPr="00C6052E" w:rsidRDefault="001D1E8C" w:rsidP="001D1E8C">
            <w:pPr>
              <w:pStyle w:val="TableHeading"/>
            </w:pPr>
            <w:r w:rsidRPr="00C6052E">
              <w:t>Other lease liabilities payable</w:t>
            </w:r>
            <w:r w:rsidRPr="00C6052E">
              <w:rPr>
                <w:vertAlign w:val="superscript"/>
              </w:rPr>
              <w:t>(ii)</w:t>
            </w:r>
          </w:p>
        </w:tc>
        <w:tc>
          <w:tcPr>
            <w:tcW w:w="1191" w:type="dxa"/>
            <w:noWrap/>
          </w:tcPr>
          <w:p w14:paraId="38879B29" w14:textId="77777777" w:rsidR="001D1E8C" w:rsidRPr="00C6052E" w:rsidRDefault="001D1E8C" w:rsidP="001D1E8C">
            <w:pPr>
              <w:pStyle w:val="TableHeading"/>
            </w:pPr>
          </w:p>
        </w:tc>
        <w:tc>
          <w:tcPr>
            <w:tcW w:w="1191" w:type="dxa"/>
            <w:noWrap/>
          </w:tcPr>
          <w:p w14:paraId="45583827" w14:textId="77777777" w:rsidR="001D1E8C" w:rsidRPr="00C6052E" w:rsidRDefault="001D1E8C" w:rsidP="001D1E8C">
            <w:pPr>
              <w:pStyle w:val="TableHeading"/>
            </w:pPr>
          </w:p>
        </w:tc>
        <w:tc>
          <w:tcPr>
            <w:tcW w:w="1247" w:type="dxa"/>
            <w:noWrap/>
          </w:tcPr>
          <w:p w14:paraId="646F1C36" w14:textId="77777777" w:rsidR="001D1E8C" w:rsidRPr="00C6052E" w:rsidRDefault="001D1E8C" w:rsidP="001D1E8C">
            <w:pPr>
              <w:pStyle w:val="TableHeading"/>
            </w:pPr>
          </w:p>
        </w:tc>
        <w:tc>
          <w:tcPr>
            <w:tcW w:w="1247" w:type="dxa"/>
            <w:noWrap/>
          </w:tcPr>
          <w:p w14:paraId="159A40FA" w14:textId="77777777" w:rsidR="001D1E8C" w:rsidRPr="00C6052E" w:rsidRDefault="001D1E8C" w:rsidP="001D1E8C">
            <w:pPr>
              <w:pStyle w:val="TableHeading"/>
            </w:pPr>
          </w:p>
        </w:tc>
      </w:tr>
      <w:tr w:rsidR="00EE5BB8" w:rsidRPr="00C6052E" w14:paraId="6FFB1EF6" w14:textId="77777777" w:rsidTr="001D1E8C">
        <w:tc>
          <w:tcPr>
            <w:tcW w:w="4815" w:type="dxa"/>
            <w:hideMark/>
          </w:tcPr>
          <w:p w14:paraId="6CB664C2" w14:textId="4431D400" w:rsidR="00EE5BB8" w:rsidRPr="00C6052E" w:rsidRDefault="00EE5BB8" w:rsidP="0063097D">
            <w:pPr>
              <w:pStyle w:val="TableCopy"/>
            </w:pPr>
            <w:r w:rsidRPr="00C6052E">
              <w:t>Not</w:t>
            </w:r>
            <w:r w:rsidR="00177848" w:rsidRPr="00C6052E">
              <w:t xml:space="preserve"> </w:t>
            </w:r>
            <w:r w:rsidRPr="00C6052E">
              <w:t>longer</w:t>
            </w:r>
            <w:r w:rsidR="00177848" w:rsidRPr="00C6052E">
              <w:t xml:space="preserve"> </w:t>
            </w:r>
            <w:r w:rsidRPr="00C6052E">
              <w:t>than</w:t>
            </w:r>
            <w:r w:rsidR="00177848" w:rsidRPr="00C6052E">
              <w:t xml:space="preserve"> </w:t>
            </w:r>
            <w:r w:rsidRPr="00C6052E">
              <w:t>one</w:t>
            </w:r>
            <w:r w:rsidR="00177848" w:rsidRPr="00C6052E">
              <w:t xml:space="preserve"> </w:t>
            </w:r>
            <w:r w:rsidRPr="00C6052E">
              <w:t>year</w:t>
            </w:r>
          </w:p>
        </w:tc>
        <w:tc>
          <w:tcPr>
            <w:tcW w:w="1191" w:type="dxa"/>
            <w:noWrap/>
            <w:hideMark/>
          </w:tcPr>
          <w:p w14:paraId="2C445A18" w14:textId="77777777" w:rsidR="00EE5BB8" w:rsidRPr="00C6052E" w:rsidRDefault="00EE5BB8" w:rsidP="001D1E8C">
            <w:pPr>
              <w:pStyle w:val="TableCopy"/>
              <w:jc w:val="right"/>
            </w:pPr>
            <w:r w:rsidRPr="00C6052E">
              <w:t>4,511</w:t>
            </w:r>
          </w:p>
        </w:tc>
        <w:tc>
          <w:tcPr>
            <w:tcW w:w="1191" w:type="dxa"/>
            <w:noWrap/>
            <w:hideMark/>
          </w:tcPr>
          <w:p w14:paraId="554108AF" w14:textId="77777777" w:rsidR="00EE5BB8" w:rsidRPr="00C6052E" w:rsidRDefault="00EE5BB8" w:rsidP="001D1E8C">
            <w:pPr>
              <w:pStyle w:val="TableCopy"/>
              <w:jc w:val="right"/>
            </w:pPr>
            <w:r w:rsidRPr="00C6052E">
              <w:t>4,453</w:t>
            </w:r>
          </w:p>
        </w:tc>
        <w:tc>
          <w:tcPr>
            <w:tcW w:w="1247" w:type="dxa"/>
            <w:noWrap/>
            <w:hideMark/>
          </w:tcPr>
          <w:p w14:paraId="3AF703BB" w14:textId="77777777" w:rsidR="00EE5BB8" w:rsidRPr="00C6052E" w:rsidRDefault="00EE5BB8" w:rsidP="001D1E8C">
            <w:pPr>
              <w:pStyle w:val="TableCopy"/>
              <w:jc w:val="right"/>
            </w:pPr>
            <w:r w:rsidRPr="00C6052E">
              <w:t>4,342</w:t>
            </w:r>
          </w:p>
        </w:tc>
        <w:tc>
          <w:tcPr>
            <w:tcW w:w="1247" w:type="dxa"/>
            <w:noWrap/>
            <w:hideMark/>
          </w:tcPr>
          <w:p w14:paraId="3156F4D3" w14:textId="77777777" w:rsidR="00EE5BB8" w:rsidRPr="00C6052E" w:rsidRDefault="00EE5BB8" w:rsidP="001D1E8C">
            <w:pPr>
              <w:pStyle w:val="TableCopy"/>
              <w:jc w:val="right"/>
            </w:pPr>
            <w:r w:rsidRPr="00C6052E">
              <w:t>4,442</w:t>
            </w:r>
          </w:p>
        </w:tc>
      </w:tr>
      <w:tr w:rsidR="00EE5BB8" w:rsidRPr="00C6052E" w14:paraId="3C42CD04" w14:textId="77777777" w:rsidTr="001D1E8C">
        <w:tc>
          <w:tcPr>
            <w:tcW w:w="4815" w:type="dxa"/>
            <w:hideMark/>
          </w:tcPr>
          <w:p w14:paraId="0FDFBB2E" w14:textId="5C7BCC69" w:rsidR="00EE5BB8" w:rsidRPr="00C6052E" w:rsidRDefault="00EE5BB8" w:rsidP="0063097D">
            <w:pPr>
              <w:pStyle w:val="TableCopy"/>
            </w:pPr>
            <w:r w:rsidRPr="00C6052E">
              <w:t>Longer</w:t>
            </w:r>
            <w:r w:rsidR="00177848" w:rsidRPr="00C6052E">
              <w:t xml:space="preserve"> </w:t>
            </w:r>
            <w:r w:rsidRPr="00C6052E">
              <w:t>than</w:t>
            </w:r>
            <w:r w:rsidR="00177848" w:rsidRPr="00C6052E">
              <w:t xml:space="preserve"> </w:t>
            </w:r>
            <w:r w:rsidRPr="00C6052E">
              <w:t>one</w:t>
            </w:r>
            <w:r w:rsidR="00177848" w:rsidRPr="00C6052E">
              <w:t xml:space="preserve"> </w:t>
            </w:r>
            <w:r w:rsidRPr="00C6052E">
              <w:t>year</w:t>
            </w:r>
            <w:r w:rsidR="00177848" w:rsidRPr="00C6052E">
              <w:t xml:space="preserve"> </w:t>
            </w:r>
            <w:r w:rsidRPr="00C6052E">
              <w:t>but</w:t>
            </w:r>
            <w:r w:rsidR="00177848" w:rsidRPr="00C6052E">
              <w:t xml:space="preserve"> </w:t>
            </w:r>
            <w:r w:rsidRPr="00C6052E">
              <w:t>no</w:t>
            </w:r>
            <w:r w:rsidR="00177848" w:rsidRPr="00C6052E">
              <w:t xml:space="preserve"> </w:t>
            </w:r>
            <w:r w:rsidRPr="00C6052E">
              <w:t>later</w:t>
            </w:r>
            <w:r w:rsidR="00177848" w:rsidRPr="00C6052E">
              <w:t xml:space="preserve"> </w:t>
            </w:r>
            <w:r w:rsidRPr="00C6052E">
              <w:t>than</w:t>
            </w:r>
            <w:r w:rsidR="00177848" w:rsidRPr="00C6052E">
              <w:t xml:space="preserve"> </w:t>
            </w:r>
            <w:r w:rsidRPr="00C6052E">
              <w:t>five</w:t>
            </w:r>
            <w:r w:rsidR="00177848" w:rsidRPr="00C6052E">
              <w:t xml:space="preserve"> </w:t>
            </w:r>
            <w:r w:rsidRPr="00C6052E">
              <w:t>years</w:t>
            </w:r>
          </w:p>
        </w:tc>
        <w:tc>
          <w:tcPr>
            <w:tcW w:w="1191" w:type="dxa"/>
            <w:noWrap/>
            <w:hideMark/>
          </w:tcPr>
          <w:p w14:paraId="151C9846" w14:textId="77777777" w:rsidR="00EE5BB8" w:rsidRPr="00C6052E" w:rsidRDefault="00EE5BB8" w:rsidP="001D1E8C">
            <w:pPr>
              <w:pStyle w:val="TableCopy"/>
              <w:jc w:val="right"/>
            </w:pPr>
            <w:r w:rsidRPr="00C6052E">
              <w:t>6,793</w:t>
            </w:r>
          </w:p>
        </w:tc>
        <w:tc>
          <w:tcPr>
            <w:tcW w:w="1191" w:type="dxa"/>
            <w:noWrap/>
            <w:hideMark/>
          </w:tcPr>
          <w:p w14:paraId="050A70A1" w14:textId="77777777" w:rsidR="00EE5BB8" w:rsidRPr="00C6052E" w:rsidRDefault="00EE5BB8" w:rsidP="001D1E8C">
            <w:pPr>
              <w:pStyle w:val="TableCopy"/>
              <w:jc w:val="right"/>
            </w:pPr>
            <w:r w:rsidRPr="00C6052E">
              <w:t>7,106</w:t>
            </w:r>
          </w:p>
        </w:tc>
        <w:tc>
          <w:tcPr>
            <w:tcW w:w="1247" w:type="dxa"/>
            <w:noWrap/>
            <w:hideMark/>
          </w:tcPr>
          <w:p w14:paraId="7C8F70A1" w14:textId="77777777" w:rsidR="00EE5BB8" w:rsidRPr="00C6052E" w:rsidRDefault="00EE5BB8" w:rsidP="001D1E8C">
            <w:pPr>
              <w:pStyle w:val="TableCopy"/>
              <w:jc w:val="right"/>
            </w:pPr>
            <w:r w:rsidRPr="00C6052E">
              <w:t>8,291</w:t>
            </w:r>
          </w:p>
        </w:tc>
        <w:tc>
          <w:tcPr>
            <w:tcW w:w="1247" w:type="dxa"/>
            <w:noWrap/>
            <w:hideMark/>
          </w:tcPr>
          <w:p w14:paraId="25E0CDC5" w14:textId="77777777" w:rsidR="00EE5BB8" w:rsidRPr="00C6052E" w:rsidRDefault="00EE5BB8" w:rsidP="001D1E8C">
            <w:pPr>
              <w:pStyle w:val="TableCopy"/>
              <w:jc w:val="right"/>
            </w:pPr>
            <w:r w:rsidRPr="00C6052E">
              <w:t>8,448</w:t>
            </w:r>
          </w:p>
        </w:tc>
      </w:tr>
      <w:tr w:rsidR="00EE5BB8" w:rsidRPr="00C6052E" w14:paraId="17E492ED" w14:textId="77777777" w:rsidTr="001D1E8C">
        <w:tc>
          <w:tcPr>
            <w:tcW w:w="4815" w:type="dxa"/>
            <w:hideMark/>
          </w:tcPr>
          <w:p w14:paraId="69BFF31C" w14:textId="384435D9" w:rsidR="00EE5BB8" w:rsidRPr="00C6052E" w:rsidRDefault="00EE5BB8" w:rsidP="0063097D">
            <w:pPr>
              <w:pStyle w:val="TableCopy"/>
            </w:pPr>
            <w:r w:rsidRPr="00C6052E">
              <w:t>Longer</w:t>
            </w:r>
            <w:r w:rsidR="00177848" w:rsidRPr="00C6052E">
              <w:t xml:space="preserve"> </w:t>
            </w:r>
            <w:r w:rsidRPr="00C6052E">
              <w:t>than</w:t>
            </w:r>
            <w:r w:rsidR="00177848" w:rsidRPr="00C6052E">
              <w:t xml:space="preserve"> </w:t>
            </w:r>
            <w:r w:rsidRPr="00C6052E">
              <w:t>five</w:t>
            </w:r>
            <w:r w:rsidR="00177848" w:rsidRPr="00C6052E">
              <w:t xml:space="preserve"> </w:t>
            </w:r>
            <w:r w:rsidRPr="00C6052E">
              <w:t>years</w:t>
            </w:r>
          </w:p>
        </w:tc>
        <w:tc>
          <w:tcPr>
            <w:tcW w:w="1191" w:type="dxa"/>
            <w:noWrap/>
            <w:hideMark/>
          </w:tcPr>
          <w:p w14:paraId="03DE5F27" w14:textId="77777777" w:rsidR="00EE5BB8" w:rsidRPr="00C6052E" w:rsidRDefault="00EE5BB8" w:rsidP="001D1E8C">
            <w:pPr>
              <w:pStyle w:val="TableCopy"/>
              <w:jc w:val="right"/>
            </w:pPr>
            <w:r w:rsidRPr="00C6052E">
              <w:t>1,343</w:t>
            </w:r>
          </w:p>
        </w:tc>
        <w:tc>
          <w:tcPr>
            <w:tcW w:w="1191" w:type="dxa"/>
            <w:noWrap/>
            <w:hideMark/>
          </w:tcPr>
          <w:p w14:paraId="04F516D1" w14:textId="77777777" w:rsidR="00EE5BB8" w:rsidRPr="00C6052E" w:rsidRDefault="00EE5BB8" w:rsidP="001D1E8C">
            <w:pPr>
              <w:pStyle w:val="TableCopy"/>
              <w:jc w:val="right"/>
            </w:pPr>
            <w:r w:rsidRPr="00C6052E">
              <w:t>1,343</w:t>
            </w:r>
          </w:p>
        </w:tc>
        <w:tc>
          <w:tcPr>
            <w:tcW w:w="1247" w:type="dxa"/>
            <w:noWrap/>
            <w:hideMark/>
          </w:tcPr>
          <w:p w14:paraId="4978F384" w14:textId="77777777" w:rsidR="00EE5BB8" w:rsidRPr="00C6052E" w:rsidRDefault="00EE5BB8" w:rsidP="001D1E8C">
            <w:pPr>
              <w:pStyle w:val="TableCopy"/>
              <w:jc w:val="right"/>
            </w:pPr>
            <w:r w:rsidRPr="00C6052E">
              <w:t>–</w:t>
            </w:r>
          </w:p>
        </w:tc>
        <w:tc>
          <w:tcPr>
            <w:tcW w:w="1247" w:type="dxa"/>
            <w:noWrap/>
            <w:hideMark/>
          </w:tcPr>
          <w:p w14:paraId="4022F382" w14:textId="77777777" w:rsidR="00EE5BB8" w:rsidRPr="00C6052E" w:rsidRDefault="00EE5BB8" w:rsidP="001D1E8C">
            <w:pPr>
              <w:pStyle w:val="TableCopy"/>
              <w:jc w:val="right"/>
            </w:pPr>
            <w:r w:rsidRPr="00C6052E">
              <w:t>–</w:t>
            </w:r>
          </w:p>
        </w:tc>
      </w:tr>
      <w:tr w:rsidR="00EE5BB8" w:rsidRPr="00C6052E" w14:paraId="38E58310" w14:textId="77777777" w:rsidTr="001D1E8C">
        <w:tc>
          <w:tcPr>
            <w:tcW w:w="4815" w:type="dxa"/>
            <w:noWrap/>
            <w:hideMark/>
          </w:tcPr>
          <w:p w14:paraId="36E559A0" w14:textId="13721114" w:rsidR="00EE5BB8" w:rsidRPr="00C6052E" w:rsidRDefault="00EE5BB8" w:rsidP="0063097D">
            <w:pPr>
              <w:pStyle w:val="Tabletotal"/>
            </w:pPr>
            <w:r w:rsidRPr="00C6052E">
              <w:lastRenderedPageBreak/>
              <w:t>Minimum</w:t>
            </w:r>
            <w:r w:rsidR="00177848" w:rsidRPr="00C6052E">
              <w:t xml:space="preserve"> </w:t>
            </w:r>
            <w:r w:rsidRPr="00C6052E">
              <w:t>future</w:t>
            </w:r>
            <w:r w:rsidR="00177848" w:rsidRPr="00C6052E">
              <w:t xml:space="preserve"> </w:t>
            </w:r>
            <w:r w:rsidRPr="00C6052E">
              <w:t>lease</w:t>
            </w:r>
            <w:r w:rsidR="00177848" w:rsidRPr="00C6052E">
              <w:t xml:space="preserve"> </w:t>
            </w:r>
            <w:r w:rsidRPr="00C6052E">
              <w:t>payments</w:t>
            </w:r>
          </w:p>
        </w:tc>
        <w:tc>
          <w:tcPr>
            <w:tcW w:w="1191" w:type="dxa"/>
            <w:noWrap/>
            <w:hideMark/>
          </w:tcPr>
          <w:p w14:paraId="17AC2C90" w14:textId="77777777" w:rsidR="00EE5BB8" w:rsidRPr="00C6052E" w:rsidRDefault="00EE5BB8" w:rsidP="001D1E8C">
            <w:pPr>
              <w:pStyle w:val="Tabletotal"/>
              <w:jc w:val="right"/>
            </w:pPr>
            <w:r w:rsidRPr="00C6052E">
              <w:t>12,647</w:t>
            </w:r>
          </w:p>
        </w:tc>
        <w:tc>
          <w:tcPr>
            <w:tcW w:w="1191" w:type="dxa"/>
            <w:noWrap/>
            <w:hideMark/>
          </w:tcPr>
          <w:p w14:paraId="43365732" w14:textId="77777777" w:rsidR="00EE5BB8" w:rsidRPr="00C6052E" w:rsidRDefault="00EE5BB8" w:rsidP="001D1E8C">
            <w:pPr>
              <w:pStyle w:val="Tabletotal"/>
              <w:jc w:val="right"/>
            </w:pPr>
            <w:r w:rsidRPr="00C6052E">
              <w:t>12,901</w:t>
            </w:r>
          </w:p>
        </w:tc>
        <w:tc>
          <w:tcPr>
            <w:tcW w:w="1247" w:type="dxa"/>
            <w:noWrap/>
            <w:hideMark/>
          </w:tcPr>
          <w:p w14:paraId="16BBEC90" w14:textId="77777777" w:rsidR="00EE5BB8" w:rsidRPr="00C6052E" w:rsidRDefault="00EE5BB8" w:rsidP="001D1E8C">
            <w:pPr>
              <w:pStyle w:val="Tabletotal"/>
              <w:jc w:val="right"/>
            </w:pPr>
            <w:r w:rsidRPr="00C6052E">
              <w:t>12,633</w:t>
            </w:r>
          </w:p>
        </w:tc>
        <w:tc>
          <w:tcPr>
            <w:tcW w:w="1247" w:type="dxa"/>
            <w:noWrap/>
            <w:hideMark/>
          </w:tcPr>
          <w:p w14:paraId="426F0A28" w14:textId="77777777" w:rsidR="00EE5BB8" w:rsidRPr="00C6052E" w:rsidRDefault="00EE5BB8" w:rsidP="001D1E8C">
            <w:pPr>
              <w:pStyle w:val="Tabletotal"/>
              <w:jc w:val="right"/>
            </w:pPr>
            <w:r w:rsidRPr="00C6052E">
              <w:t>12,890</w:t>
            </w:r>
          </w:p>
        </w:tc>
      </w:tr>
      <w:tr w:rsidR="00EE5BB8" w:rsidRPr="00C6052E" w14:paraId="3A6B3D71" w14:textId="77777777" w:rsidTr="001D1E8C">
        <w:tc>
          <w:tcPr>
            <w:tcW w:w="4815" w:type="dxa"/>
            <w:hideMark/>
          </w:tcPr>
          <w:p w14:paraId="57E1D12E" w14:textId="712D2058" w:rsidR="00EE5BB8" w:rsidRPr="00C6052E" w:rsidRDefault="00EE5BB8" w:rsidP="0063097D">
            <w:pPr>
              <w:pStyle w:val="TableCopy"/>
            </w:pPr>
            <w:r w:rsidRPr="00C6052E">
              <w:t>Less</w:t>
            </w:r>
            <w:r w:rsidR="00177848" w:rsidRPr="00C6052E">
              <w:t xml:space="preserve"> </w:t>
            </w:r>
            <w:r w:rsidRPr="00C6052E">
              <w:t>future</w:t>
            </w:r>
            <w:r w:rsidR="00177848" w:rsidRPr="00C6052E">
              <w:t xml:space="preserve"> </w:t>
            </w:r>
            <w:r w:rsidRPr="00C6052E">
              <w:t>finance</w:t>
            </w:r>
            <w:r w:rsidR="00177848" w:rsidRPr="00C6052E">
              <w:t xml:space="preserve"> </w:t>
            </w:r>
            <w:r w:rsidRPr="00C6052E">
              <w:t>charges</w:t>
            </w:r>
          </w:p>
        </w:tc>
        <w:tc>
          <w:tcPr>
            <w:tcW w:w="1191" w:type="dxa"/>
            <w:noWrap/>
            <w:hideMark/>
          </w:tcPr>
          <w:p w14:paraId="0D22BFC9" w14:textId="77777777" w:rsidR="00EE5BB8" w:rsidRPr="00C6052E" w:rsidRDefault="00EE5BB8" w:rsidP="001D1E8C">
            <w:pPr>
              <w:pStyle w:val="TableCopy"/>
              <w:jc w:val="right"/>
            </w:pPr>
            <w:r w:rsidRPr="00C6052E">
              <w:t>(14)</w:t>
            </w:r>
          </w:p>
        </w:tc>
        <w:tc>
          <w:tcPr>
            <w:tcW w:w="1191" w:type="dxa"/>
            <w:noWrap/>
            <w:hideMark/>
          </w:tcPr>
          <w:p w14:paraId="09242EFB" w14:textId="77777777" w:rsidR="00EE5BB8" w:rsidRPr="00C6052E" w:rsidRDefault="00EE5BB8" w:rsidP="001D1E8C">
            <w:pPr>
              <w:pStyle w:val="TableCopy"/>
              <w:jc w:val="right"/>
            </w:pPr>
            <w:r w:rsidRPr="00C6052E">
              <w:t>(11)</w:t>
            </w:r>
          </w:p>
        </w:tc>
        <w:tc>
          <w:tcPr>
            <w:tcW w:w="1247" w:type="dxa"/>
            <w:noWrap/>
            <w:hideMark/>
          </w:tcPr>
          <w:p w14:paraId="4C2B060F" w14:textId="77777777" w:rsidR="00EE5BB8" w:rsidRPr="00C6052E" w:rsidRDefault="00EE5BB8" w:rsidP="001D1E8C">
            <w:pPr>
              <w:pStyle w:val="TableCopy"/>
              <w:jc w:val="right"/>
            </w:pPr>
            <w:r w:rsidRPr="00C6052E">
              <w:t>–</w:t>
            </w:r>
          </w:p>
        </w:tc>
        <w:tc>
          <w:tcPr>
            <w:tcW w:w="1247" w:type="dxa"/>
            <w:noWrap/>
            <w:hideMark/>
          </w:tcPr>
          <w:p w14:paraId="2994541A" w14:textId="77777777" w:rsidR="00EE5BB8" w:rsidRPr="00C6052E" w:rsidRDefault="00EE5BB8" w:rsidP="001D1E8C">
            <w:pPr>
              <w:pStyle w:val="TableCopy"/>
              <w:jc w:val="right"/>
            </w:pPr>
            <w:r w:rsidRPr="00C6052E">
              <w:t>–</w:t>
            </w:r>
          </w:p>
        </w:tc>
      </w:tr>
      <w:tr w:rsidR="00EE5BB8" w:rsidRPr="00C6052E" w14:paraId="041F321D" w14:textId="77777777" w:rsidTr="001D1E8C">
        <w:tc>
          <w:tcPr>
            <w:tcW w:w="4815" w:type="dxa"/>
            <w:noWrap/>
            <w:hideMark/>
          </w:tcPr>
          <w:p w14:paraId="3F20E347" w14:textId="0F9A9D79" w:rsidR="00EE5BB8" w:rsidRPr="00C6052E" w:rsidRDefault="00EE5BB8" w:rsidP="0063097D">
            <w:pPr>
              <w:pStyle w:val="Tabletotal"/>
            </w:pPr>
            <w:r w:rsidRPr="00C6052E">
              <w:t>Present</w:t>
            </w:r>
            <w:r w:rsidR="00177848" w:rsidRPr="00C6052E">
              <w:t xml:space="preserve"> </w:t>
            </w:r>
            <w:r w:rsidRPr="00C6052E">
              <w:t>value</w:t>
            </w:r>
            <w:r w:rsidR="00177848" w:rsidRPr="00C6052E">
              <w:t xml:space="preserve"> </w:t>
            </w:r>
            <w:r w:rsidRPr="00C6052E">
              <w:t>of</w:t>
            </w:r>
            <w:r w:rsidR="00177848" w:rsidRPr="00C6052E">
              <w:t xml:space="preserve"> </w:t>
            </w:r>
            <w:r w:rsidRPr="00C6052E">
              <w:t>minimum</w:t>
            </w:r>
            <w:r w:rsidR="00177848" w:rsidRPr="00C6052E">
              <w:t xml:space="preserve"> </w:t>
            </w:r>
            <w:r w:rsidRPr="00C6052E">
              <w:t>lease</w:t>
            </w:r>
            <w:r w:rsidR="00177848" w:rsidRPr="00C6052E">
              <w:t xml:space="preserve"> </w:t>
            </w:r>
            <w:r w:rsidRPr="00C6052E">
              <w:t>payments</w:t>
            </w:r>
          </w:p>
        </w:tc>
        <w:tc>
          <w:tcPr>
            <w:tcW w:w="1191" w:type="dxa"/>
            <w:noWrap/>
            <w:hideMark/>
          </w:tcPr>
          <w:p w14:paraId="6BBC02B7" w14:textId="77777777" w:rsidR="00EE5BB8" w:rsidRPr="00C6052E" w:rsidRDefault="00EE5BB8" w:rsidP="001D1E8C">
            <w:pPr>
              <w:pStyle w:val="Tabletotal"/>
              <w:jc w:val="right"/>
            </w:pPr>
            <w:r w:rsidRPr="00C6052E">
              <w:t>12,633</w:t>
            </w:r>
          </w:p>
        </w:tc>
        <w:tc>
          <w:tcPr>
            <w:tcW w:w="1191" w:type="dxa"/>
            <w:noWrap/>
            <w:hideMark/>
          </w:tcPr>
          <w:p w14:paraId="26C12436" w14:textId="77777777" w:rsidR="00EE5BB8" w:rsidRPr="00C6052E" w:rsidRDefault="00EE5BB8" w:rsidP="001D1E8C">
            <w:pPr>
              <w:pStyle w:val="Tabletotal"/>
              <w:jc w:val="right"/>
            </w:pPr>
            <w:r w:rsidRPr="00C6052E">
              <w:t>12,890</w:t>
            </w:r>
          </w:p>
        </w:tc>
        <w:tc>
          <w:tcPr>
            <w:tcW w:w="1247" w:type="dxa"/>
            <w:noWrap/>
            <w:hideMark/>
          </w:tcPr>
          <w:p w14:paraId="5A96FDAA" w14:textId="77777777" w:rsidR="00EE5BB8" w:rsidRPr="00C6052E" w:rsidRDefault="00EE5BB8" w:rsidP="001D1E8C">
            <w:pPr>
              <w:pStyle w:val="Tabletotal"/>
              <w:jc w:val="right"/>
            </w:pPr>
            <w:r w:rsidRPr="00C6052E">
              <w:t>12,633</w:t>
            </w:r>
          </w:p>
        </w:tc>
        <w:tc>
          <w:tcPr>
            <w:tcW w:w="1247" w:type="dxa"/>
            <w:noWrap/>
            <w:hideMark/>
          </w:tcPr>
          <w:p w14:paraId="6D8E38A0" w14:textId="77777777" w:rsidR="00EE5BB8" w:rsidRPr="00C6052E" w:rsidRDefault="00EE5BB8" w:rsidP="001D1E8C">
            <w:pPr>
              <w:pStyle w:val="Tabletotal"/>
              <w:jc w:val="right"/>
            </w:pPr>
            <w:r w:rsidRPr="00C6052E">
              <w:t>12,890</w:t>
            </w:r>
          </w:p>
        </w:tc>
      </w:tr>
      <w:tr w:rsidR="00EE5BB8" w:rsidRPr="00C6052E" w14:paraId="46F5D2F0" w14:textId="77777777" w:rsidTr="001D1E8C">
        <w:tc>
          <w:tcPr>
            <w:tcW w:w="4815" w:type="dxa"/>
            <w:hideMark/>
          </w:tcPr>
          <w:p w14:paraId="3BD229E0" w14:textId="37CA1C1D" w:rsidR="00EE5BB8" w:rsidRPr="00C6052E" w:rsidRDefault="00EE5BB8" w:rsidP="0063097D">
            <w:pPr>
              <w:pStyle w:val="TableCopy"/>
            </w:pPr>
            <w:r w:rsidRPr="00C6052E">
              <w:t>Included</w:t>
            </w:r>
            <w:r w:rsidR="00177848" w:rsidRPr="00C6052E">
              <w:t xml:space="preserve"> </w:t>
            </w:r>
            <w:r w:rsidRPr="00C6052E">
              <w:t>in</w:t>
            </w:r>
            <w:r w:rsidR="00177848" w:rsidRPr="00C6052E">
              <w:t xml:space="preserve"> </w:t>
            </w:r>
            <w:r w:rsidRPr="00C6052E">
              <w:t>the</w:t>
            </w:r>
            <w:r w:rsidR="00177848" w:rsidRPr="00C6052E">
              <w:t xml:space="preserve"> </w:t>
            </w:r>
            <w:r w:rsidRPr="00C6052E">
              <w:t>financial</w:t>
            </w:r>
            <w:r w:rsidR="00177848" w:rsidRPr="00C6052E">
              <w:t xml:space="preserve"> </w:t>
            </w:r>
            <w:r w:rsidRPr="00C6052E">
              <w:t>statements</w:t>
            </w:r>
            <w:r w:rsidR="00177848" w:rsidRPr="00C6052E">
              <w:t xml:space="preserve"> </w:t>
            </w:r>
            <w:r w:rsidRPr="00C6052E">
              <w:t>as:</w:t>
            </w:r>
            <w:r w:rsidR="00177848" w:rsidRPr="00C6052E">
              <w:t xml:space="preserve"> </w:t>
            </w:r>
          </w:p>
        </w:tc>
        <w:tc>
          <w:tcPr>
            <w:tcW w:w="1191" w:type="dxa"/>
            <w:noWrap/>
          </w:tcPr>
          <w:p w14:paraId="089D37B7" w14:textId="77777777" w:rsidR="00EE5BB8" w:rsidRPr="00C6052E" w:rsidRDefault="00EE5BB8" w:rsidP="001D1E8C">
            <w:pPr>
              <w:pStyle w:val="Tabletext"/>
              <w:jc w:val="right"/>
            </w:pPr>
          </w:p>
        </w:tc>
        <w:tc>
          <w:tcPr>
            <w:tcW w:w="1191" w:type="dxa"/>
            <w:noWrap/>
          </w:tcPr>
          <w:p w14:paraId="126F29F2" w14:textId="77777777" w:rsidR="00EE5BB8" w:rsidRPr="00C6052E" w:rsidRDefault="00EE5BB8" w:rsidP="001D1E8C">
            <w:pPr>
              <w:pStyle w:val="Tabletext"/>
              <w:jc w:val="right"/>
            </w:pPr>
          </w:p>
        </w:tc>
        <w:tc>
          <w:tcPr>
            <w:tcW w:w="1247" w:type="dxa"/>
            <w:noWrap/>
          </w:tcPr>
          <w:p w14:paraId="4DA8E0CF" w14:textId="77777777" w:rsidR="00EE5BB8" w:rsidRPr="00C6052E" w:rsidRDefault="00EE5BB8" w:rsidP="001D1E8C">
            <w:pPr>
              <w:pStyle w:val="Tabletext"/>
              <w:jc w:val="right"/>
            </w:pPr>
          </w:p>
        </w:tc>
        <w:tc>
          <w:tcPr>
            <w:tcW w:w="1247" w:type="dxa"/>
            <w:noWrap/>
          </w:tcPr>
          <w:p w14:paraId="62C5525E" w14:textId="77777777" w:rsidR="00EE5BB8" w:rsidRPr="00C6052E" w:rsidRDefault="00EE5BB8" w:rsidP="001D1E8C">
            <w:pPr>
              <w:pStyle w:val="TableCopy"/>
              <w:jc w:val="right"/>
            </w:pPr>
          </w:p>
        </w:tc>
      </w:tr>
      <w:tr w:rsidR="00EE5BB8" w:rsidRPr="00C6052E" w14:paraId="175EB564" w14:textId="77777777" w:rsidTr="001D1E8C">
        <w:tc>
          <w:tcPr>
            <w:tcW w:w="4815" w:type="dxa"/>
            <w:hideMark/>
          </w:tcPr>
          <w:p w14:paraId="5FAA2584" w14:textId="3DE7BDB2" w:rsidR="00EE5BB8" w:rsidRPr="00C6052E" w:rsidRDefault="00EE5BB8" w:rsidP="0063097D">
            <w:pPr>
              <w:pStyle w:val="TableCopy"/>
            </w:pPr>
            <w:r w:rsidRPr="00C6052E">
              <w:t>Current</w:t>
            </w:r>
            <w:r w:rsidR="00177848" w:rsidRPr="00C6052E">
              <w:t xml:space="preserve"> </w:t>
            </w:r>
            <w:r w:rsidRPr="00C6052E">
              <w:t>borrowings</w:t>
            </w:r>
            <w:r w:rsidR="00177848" w:rsidRPr="00C6052E">
              <w:t xml:space="preserve"> </w:t>
            </w:r>
            <w:r w:rsidRPr="00C6052E">
              <w:t>lease</w:t>
            </w:r>
            <w:r w:rsidR="00177848" w:rsidRPr="00C6052E">
              <w:t xml:space="preserve"> </w:t>
            </w:r>
            <w:r w:rsidRPr="00C6052E">
              <w:t>liabilities</w:t>
            </w:r>
            <w:r w:rsidR="00177848" w:rsidRPr="00C6052E">
              <w:t xml:space="preserve"> </w:t>
            </w:r>
            <w:r w:rsidRPr="00C6052E">
              <w:t>(Note</w:t>
            </w:r>
            <w:r w:rsidR="00177848" w:rsidRPr="00C6052E">
              <w:t xml:space="preserve"> </w:t>
            </w:r>
            <w:r w:rsidRPr="00C6052E">
              <w:fldChar w:fldCharType="begin"/>
            </w:r>
            <w:r w:rsidRPr="00C6052E">
              <w:instrText xml:space="preserve"> REF _Ref209454570 \r \h </w:instrText>
            </w:r>
            <w:r w:rsidR="001D1E8C">
              <w:instrText xml:space="preserve"> \* MERGEFORMAT </w:instrText>
            </w:r>
            <w:r w:rsidRPr="00C6052E">
              <w:fldChar w:fldCharType="separate"/>
            </w:r>
            <w:r w:rsidRPr="00C6052E">
              <w:t>7.1</w:t>
            </w:r>
            <w:r w:rsidRPr="00C6052E">
              <w:fldChar w:fldCharType="end"/>
            </w:r>
            <w:r w:rsidRPr="00C6052E">
              <w:t>)</w:t>
            </w:r>
          </w:p>
        </w:tc>
        <w:tc>
          <w:tcPr>
            <w:tcW w:w="1191" w:type="dxa"/>
            <w:noWrap/>
            <w:hideMark/>
          </w:tcPr>
          <w:p w14:paraId="1D6E1B1D" w14:textId="77777777" w:rsidR="00EE5BB8" w:rsidRPr="00C6052E" w:rsidRDefault="00EE5BB8" w:rsidP="001D1E8C">
            <w:pPr>
              <w:pStyle w:val="TableCopy"/>
              <w:jc w:val="right"/>
            </w:pPr>
            <w:r w:rsidRPr="00C6052E">
              <w:t>–</w:t>
            </w:r>
          </w:p>
        </w:tc>
        <w:tc>
          <w:tcPr>
            <w:tcW w:w="1191" w:type="dxa"/>
            <w:noWrap/>
            <w:hideMark/>
          </w:tcPr>
          <w:p w14:paraId="2412D911" w14:textId="77777777" w:rsidR="00EE5BB8" w:rsidRPr="00C6052E" w:rsidRDefault="00EE5BB8" w:rsidP="001D1E8C">
            <w:pPr>
              <w:pStyle w:val="TableCopy"/>
              <w:jc w:val="right"/>
            </w:pPr>
            <w:r w:rsidRPr="00C6052E">
              <w:t>–</w:t>
            </w:r>
          </w:p>
        </w:tc>
        <w:tc>
          <w:tcPr>
            <w:tcW w:w="1247" w:type="dxa"/>
            <w:noWrap/>
            <w:hideMark/>
          </w:tcPr>
          <w:p w14:paraId="021E1721" w14:textId="77777777" w:rsidR="00EE5BB8" w:rsidRPr="00C6052E" w:rsidRDefault="00EE5BB8" w:rsidP="001D1E8C">
            <w:pPr>
              <w:pStyle w:val="TableCopy"/>
              <w:jc w:val="right"/>
            </w:pPr>
            <w:r w:rsidRPr="00C6052E">
              <w:t>4,342</w:t>
            </w:r>
          </w:p>
        </w:tc>
        <w:tc>
          <w:tcPr>
            <w:tcW w:w="1247" w:type="dxa"/>
            <w:noWrap/>
            <w:hideMark/>
          </w:tcPr>
          <w:p w14:paraId="5769F812" w14:textId="77777777" w:rsidR="00EE5BB8" w:rsidRPr="00C6052E" w:rsidRDefault="00EE5BB8" w:rsidP="001D1E8C">
            <w:pPr>
              <w:pStyle w:val="TableCopy"/>
              <w:jc w:val="right"/>
            </w:pPr>
            <w:r w:rsidRPr="00C6052E">
              <w:t>4,442</w:t>
            </w:r>
          </w:p>
        </w:tc>
      </w:tr>
      <w:tr w:rsidR="00EE5BB8" w:rsidRPr="00C6052E" w14:paraId="02106502" w14:textId="77777777" w:rsidTr="001D1E8C">
        <w:tc>
          <w:tcPr>
            <w:tcW w:w="4815" w:type="dxa"/>
            <w:hideMark/>
          </w:tcPr>
          <w:p w14:paraId="2761888F" w14:textId="7E653365" w:rsidR="00EE5BB8" w:rsidRPr="00C6052E" w:rsidRDefault="00EE5BB8" w:rsidP="0063097D">
            <w:pPr>
              <w:pStyle w:val="TableCopy"/>
            </w:pPr>
            <w:r w:rsidRPr="00C6052E">
              <w:t>Non-current</w:t>
            </w:r>
            <w:r w:rsidR="00177848" w:rsidRPr="00C6052E">
              <w:t xml:space="preserve"> </w:t>
            </w:r>
            <w:r w:rsidRPr="00C6052E">
              <w:t>borrowings</w:t>
            </w:r>
            <w:r w:rsidR="00177848" w:rsidRPr="00C6052E">
              <w:t xml:space="preserve"> </w:t>
            </w:r>
            <w:r w:rsidRPr="00C6052E">
              <w:t>lease</w:t>
            </w:r>
            <w:r w:rsidR="00177848" w:rsidRPr="00C6052E">
              <w:t xml:space="preserve"> </w:t>
            </w:r>
            <w:r w:rsidRPr="00C6052E">
              <w:t>liabilities</w:t>
            </w:r>
            <w:r w:rsidR="00177848" w:rsidRPr="00C6052E">
              <w:t xml:space="preserve"> </w:t>
            </w:r>
            <w:r w:rsidRPr="00C6052E">
              <w:t>(Note</w:t>
            </w:r>
            <w:r w:rsidR="00177848" w:rsidRPr="00C6052E">
              <w:t xml:space="preserve"> </w:t>
            </w:r>
            <w:r w:rsidRPr="00C6052E">
              <w:fldChar w:fldCharType="begin"/>
            </w:r>
            <w:r w:rsidRPr="00C6052E">
              <w:instrText xml:space="preserve"> REF _Ref209454570 \r \h </w:instrText>
            </w:r>
            <w:r w:rsidR="001D1E8C">
              <w:instrText xml:space="preserve"> \* MERGEFORMAT </w:instrText>
            </w:r>
            <w:r w:rsidRPr="00C6052E">
              <w:fldChar w:fldCharType="separate"/>
            </w:r>
            <w:r w:rsidRPr="00C6052E">
              <w:t>7.1</w:t>
            </w:r>
            <w:r w:rsidRPr="00C6052E">
              <w:fldChar w:fldCharType="end"/>
            </w:r>
            <w:r w:rsidRPr="00C6052E">
              <w:t>)</w:t>
            </w:r>
          </w:p>
        </w:tc>
        <w:tc>
          <w:tcPr>
            <w:tcW w:w="1191" w:type="dxa"/>
            <w:noWrap/>
            <w:hideMark/>
          </w:tcPr>
          <w:p w14:paraId="63C09782" w14:textId="77777777" w:rsidR="00EE5BB8" w:rsidRPr="00C6052E" w:rsidRDefault="00EE5BB8" w:rsidP="001D1E8C">
            <w:pPr>
              <w:pStyle w:val="TableCopy"/>
              <w:jc w:val="right"/>
            </w:pPr>
            <w:r w:rsidRPr="00C6052E">
              <w:t>–</w:t>
            </w:r>
          </w:p>
        </w:tc>
        <w:tc>
          <w:tcPr>
            <w:tcW w:w="1191" w:type="dxa"/>
            <w:noWrap/>
            <w:hideMark/>
          </w:tcPr>
          <w:p w14:paraId="6E8153F4" w14:textId="77777777" w:rsidR="00EE5BB8" w:rsidRPr="00C6052E" w:rsidRDefault="00EE5BB8" w:rsidP="001D1E8C">
            <w:pPr>
              <w:pStyle w:val="TableCopy"/>
              <w:jc w:val="right"/>
            </w:pPr>
            <w:r w:rsidRPr="00C6052E">
              <w:t>–</w:t>
            </w:r>
          </w:p>
        </w:tc>
        <w:tc>
          <w:tcPr>
            <w:tcW w:w="1247" w:type="dxa"/>
            <w:noWrap/>
            <w:hideMark/>
          </w:tcPr>
          <w:p w14:paraId="727EAFE6" w14:textId="77777777" w:rsidR="00EE5BB8" w:rsidRPr="00C6052E" w:rsidRDefault="00EE5BB8" w:rsidP="001D1E8C">
            <w:pPr>
              <w:pStyle w:val="TableCopy"/>
              <w:jc w:val="right"/>
            </w:pPr>
            <w:r w:rsidRPr="00C6052E">
              <w:t>8,291</w:t>
            </w:r>
          </w:p>
        </w:tc>
        <w:tc>
          <w:tcPr>
            <w:tcW w:w="1247" w:type="dxa"/>
            <w:noWrap/>
            <w:hideMark/>
          </w:tcPr>
          <w:p w14:paraId="012EF8EE" w14:textId="77777777" w:rsidR="00EE5BB8" w:rsidRPr="00C6052E" w:rsidRDefault="00EE5BB8" w:rsidP="001D1E8C">
            <w:pPr>
              <w:pStyle w:val="TableCopy"/>
              <w:jc w:val="right"/>
            </w:pPr>
            <w:r w:rsidRPr="00C6052E">
              <w:t>8,448</w:t>
            </w:r>
          </w:p>
        </w:tc>
      </w:tr>
      <w:tr w:rsidR="00EE5BB8" w:rsidRPr="00C6052E" w14:paraId="517970A9" w14:textId="77777777" w:rsidTr="001D1E8C">
        <w:tc>
          <w:tcPr>
            <w:tcW w:w="4815" w:type="dxa"/>
            <w:hideMark/>
          </w:tcPr>
          <w:p w14:paraId="49FFA716" w14:textId="77777777" w:rsidR="00EE5BB8" w:rsidRPr="00C6052E" w:rsidRDefault="00EE5BB8" w:rsidP="0063097D">
            <w:pPr>
              <w:pStyle w:val="Tabletotal"/>
            </w:pPr>
            <w:r w:rsidRPr="00C6052E">
              <w:t>Total</w:t>
            </w:r>
          </w:p>
        </w:tc>
        <w:tc>
          <w:tcPr>
            <w:tcW w:w="1191" w:type="dxa"/>
            <w:noWrap/>
            <w:hideMark/>
          </w:tcPr>
          <w:p w14:paraId="6FB9E685" w14:textId="77777777" w:rsidR="00EE5BB8" w:rsidRPr="00C6052E" w:rsidRDefault="00EE5BB8" w:rsidP="001D1E8C">
            <w:pPr>
              <w:pStyle w:val="Tabletotal"/>
              <w:jc w:val="right"/>
            </w:pPr>
            <w:r w:rsidRPr="00C6052E">
              <w:t>–</w:t>
            </w:r>
          </w:p>
        </w:tc>
        <w:tc>
          <w:tcPr>
            <w:tcW w:w="1191" w:type="dxa"/>
            <w:noWrap/>
            <w:hideMark/>
          </w:tcPr>
          <w:p w14:paraId="49CD60A5" w14:textId="77777777" w:rsidR="00EE5BB8" w:rsidRPr="00C6052E" w:rsidRDefault="00EE5BB8" w:rsidP="001D1E8C">
            <w:pPr>
              <w:pStyle w:val="Tabletotal"/>
              <w:jc w:val="right"/>
            </w:pPr>
            <w:r w:rsidRPr="00C6052E">
              <w:t>–</w:t>
            </w:r>
          </w:p>
        </w:tc>
        <w:tc>
          <w:tcPr>
            <w:tcW w:w="1247" w:type="dxa"/>
            <w:noWrap/>
            <w:hideMark/>
          </w:tcPr>
          <w:p w14:paraId="67017C2C" w14:textId="77777777" w:rsidR="00EE5BB8" w:rsidRPr="00C6052E" w:rsidRDefault="00EE5BB8" w:rsidP="001D1E8C">
            <w:pPr>
              <w:pStyle w:val="Tabletotal"/>
              <w:jc w:val="right"/>
            </w:pPr>
            <w:r w:rsidRPr="00C6052E">
              <w:t>12,633</w:t>
            </w:r>
          </w:p>
        </w:tc>
        <w:tc>
          <w:tcPr>
            <w:tcW w:w="1247" w:type="dxa"/>
            <w:noWrap/>
            <w:hideMark/>
          </w:tcPr>
          <w:p w14:paraId="3F0582D8" w14:textId="77777777" w:rsidR="00EE5BB8" w:rsidRPr="00C6052E" w:rsidRDefault="00EE5BB8" w:rsidP="001D1E8C">
            <w:pPr>
              <w:pStyle w:val="Tabletotal"/>
              <w:jc w:val="right"/>
            </w:pPr>
            <w:r w:rsidRPr="00C6052E">
              <w:t>12,890</w:t>
            </w:r>
          </w:p>
        </w:tc>
      </w:tr>
    </w:tbl>
    <w:p w14:paraId="3AE3D538" w14:textId="4776B902" w:rsidR="00EE5BB8" w:rsidRPr="00C6052E" w:rsidRDefault="00EE5BB8" w:rsidP="00EE5BB8">
      <w:pPr>
        <w:pStyle w:val="Tablenotes-numbered"/>
        <w:numPr>
          <w:ilvl w:val="0"/>
          <w:numId w:val="29"/>
        </w:numPr>
      </w:pPr>
      <w:r w:rsidRPr="00C6052E">
        <w:t>Minimum</w:t>
      </w:r>
      <w:r w:rsidR="00177848" w:rsidRPr="00C6052E">
        <w:t xml:space="preserve"> </w:t>
      </w:r>
      <w:r w:rsidRPr="00C6052E">
        <w:t>future</w:t>
      </w:r>
      <w:r w:rsidR="00177848" w:rsidRPr="00C6052E">
        <w:t xml:space="preserve"> </w:t>
      </w:r>
      <w:r w:rsidRPr="00C6052E">
        <w:t>lease</w:t>
      </w:r>
      <w:r w:rsidR="00177848" w:rsidRPr="00C6052E">
        <w:t xml:space="preserve"> </w:t>
      </w:r>
      <w:r w:rsidRPr="00C6052E">
        <w:t>payments</w:t>
      </w:r>
      <w:r w:rsidR="00177848" w:rsidRPr="00C6052E">
        <w:t xml:space="preserve"> </w:t>
      </w:r>
      <w:r w:rsidRPr="00C6052E">
        <w:t>include</w:t>
      </w:r>
      <w:r w:rsidR="00177848" w:rsidRPr="00C6052E">
        <w:t xml:space="preserve"> </w:t>
      </w:r>
      <w:r w:rsidRPr="00C6052E">
        <w:t>the</w:t>
      </w:r>
      <w:r w:rsidR="00177848" w:rsidRPr="00C6052E">
        <w:t xml:space="preserve"> </w:t>
      </w:r>
      <w:r w:rsidRPr="00C6052E">
        <w:t>aggregate</w:t>
      </w:r>
      <w:r w:rsidR="00177848" w:rsidRPr="00C6052E">
        <w:t xml:space="preserve"> </w:t>
      </w:r>
      <w:r w:rsidRPr="00C6052E">
        <w:t>of</w:t>
      </w:r>
      <w:r w:rsidR="00177848" w:rsidRPr="00C6052E">
        <w:t xml:space="preserve"> </w:t>
      </w:r>
      <w:r w:rsidRPr="00C6052E">
        <w:t>all</w:t>
      </w:r>
      <w:r w:rsidR="00177848" w:rsidRPr="00C6052E">
        <w:t xml:space="preserve"> </w:t>
      </w:r>
      <w:r w:rsidRPr="00C6052E">
        <w:t>base</w:t>
      </w:r>
      <w:r w:rsidR="00177848" w:rsidRPr="00C6052E">
        <w:t xml:space="preserve"> </w:t>
      </w:r>
      <w:r w:rsidRPr="00C6052E">
        <w:t>payments</w:t>
      </w:r>
      <w:r w:rsidR="00177848" w:rsidRPr="00C6052E">
        <w:t xml:space="preserve"> </w:t>
      </w:r>
      <w:r w:rsidRPr="00C6052E">
        <w:t>and</w:t>
      </w:r>
      <w:r w:rsidR="00177848" w:rsidRPr="00C6052E">
        <w:t xml:space="preserve"> </w:t>
      </w:r>
      <w:r w:rsidRPr="00C6052E">
        <w:t>any</w:t>
      </w:r>
      <w:r w:rsidR="00177848" w:rsidRPr="00C6052E">
        <w:t xml:space="preserve"> </w:t>
      </w:r>
      <w:r w:rsidRPr="00C6052E">
        <w:t>guaranteed</w:t>
      </w:r>
      <w:r w:rsidR="00177848" w:rsidRPr="00C6052E">
        <w:t xml:space="preserve"> </w:t>
      </w:r>
      <w:r w:rsidRPr="00C6052E">
        <w:t>residual.</w:t>
      </w:r>
    </w:p>
    <w:p w14:paraId="5177864E" w14:textId="0FB94C2D" w:rsidR="00EE5BB8" w:rsidRPr="00C6052E" w:rsidRDefault="00EE5BB8" w:rsidP="00EE5BB8">
      <w:pPr>
        <w:pStyle w:val="Tablenotes-numbered"/>
        <w:numPr>
          <w:ilvl w:val="0"/>
          <w:numId w:val="29"/>
        </w:numPr>
      </w:pPr>
      <w:r w:rsidRPr="00C6052E">
        <w:t>Other</w:t>
      </w:r>
      <w:r w:rsidR="00177848" w:rsidRPr="00C6052E">
        <w:t xml:space="preserve"> </w:t>
      </w:r>
      <w:r w:rsidRPr="00C6052E">
        <w:t>lease</w:t>
      </w:r>
      <w:r w:rsidR="00177848" w:rsidRPr="00C6052E">
        <w:t xml:space="preserve"> </w:t>
      </w:r>
      <w:r w:rsidRPr="00C6052E">
        <w:t>liabilities</w:t>
      </w:r>
      <w:r w:rsidR="00177848" w:rsidRPr="00C6052E">
        <w:t xml:space="preserve"> </w:t>
      </w:r>
      <w:r w:rsidRPr="00C6052E">
        <w:t>include</w:t>
      </w:r>
      <w:r w:rsidR="00177848" w:rsidRPr="00C6052E">
        <w:t xml:space="preserve"> </w:t>
      </w:r>
      <w:r w:rsidRPr="00C6052E">
        <w:t>obligations</w:t>
      </w:r>
      <w:r w:rsidR="00177848" w:rsidRPr="00C6052E">
        <w:t xml:space="preserve"> </w:t>
      </w:r>
      <w:r w:rsidRPr="00C6052E">
        <w:t>that</w:t>
      </w:r>
      <w:r w:rsidR="00177848" w:rsidRPr="00C6052E">
        <w:t xml:space="preserve"> </w:t>
      </w:r>
      <w:r w:rsidRPr="00C6052E">
        <w:t>are</w:t>
      </w:r>
      <w:r w:rsidR="00177848" w:rsidRPr="00C6052E">
        <w:t xml:space="preserve"> </w:t>
      </w:r>
      <w:r w:rsidRPr="00C6052E">
        <w:t>recognised</w:t>
      </w:r>
      <w:r w:rsidR="00177848" w:rsidRPr="00C6052E">
        <w:t xml:space="preserve"> </w:t>
      </w:r>
      <w:r w:rsidRPr="00C6052E">
        <w:t>on</w:t>
      </w:r>
      <w:r w:rsidR="00177848" w:rsidRPr="00C6052E">
        <w:t xml:space="preserve"> </w:t>
      </w:r>
      <w:r w:rsidRPr="00C6052E">
        <w:t>the</w:t>
      </w:r>
      <w:r w:rsidR="00177848" w:rsidRPr="00C6052E">
        <w:t xml:space="preserve"> </w:t>
      </w:r>
      <w:r w:rsidRPr="00C6052E">
        <w:t>balance</w:t>
      </w:r>
      <w:r w:rsidR="00177848" w:rsidRPr="00C6052E">
        <w:t xml:space="preserve"> </w:t>
      </w:r>
      <w:r w:rsidRPr="00C6052E">
        <w:t>sheet,</w:t>
      </w:r>
      <w:r w:rsidR="00177848" w:rsidRPr="00C6052E">
        <w:t xml:space="preserve"> </w:t>
      </w:r>
      <w:r w:rsidRPr="00C6052E">
        <w:t>the</w:t>
      </w:r>
      <w:r w:rsidR="00177848" w:rsidRPr="00C6052E">
        <w:t xml:space="preserve"> </w:t>
      </w:r>
      <w:r w:rsidRPr="00C6052E">
        <w:t>future</w:t>
      </w:r>
      <w:r w:rsidR="00177848" w:rsidRPr="00C6052E">
        <w:t xml:space="preserve"> </w:t>
      </w:r>
      <w:r w:rsidRPr="00C6052E">
        <w:t>payments</w:t>
      </w:r>
      <w:r w:rsidR="00177848" w:rsidRPr="00C6052E">
        <w:t xml:space="preserve"> </w:t>
      </w:r>
      <w:r w:rsidRPr="00C6052E">
        <w:t>related</w:t>
      </w:r>
      <w:r w:rsidR="00177848" w:rsidRPr="00C6052E">
        <w:t xml:space="preserve"> </w:t>
      </w:r>
      <w:r w:rsidRPr="00C6052E">
        <w:t>to</w:t>
      </w:r>
      <w:r w:rsidR="00177848" w:rsidRPr="00C6052E">
        <w:t xml:space="preserve"> </w:t>
      </w:r>
      <w:r w:rsidRPr="00C6052E">
        <w:t>operating</w:t>
      </w:r>
      <w:r w:rsidR="00177848" w:rsidRPr="00C6052E">
        <w:t xml:space="preserve"> </w:t>
      </w:r>
      <w:r w:rsidRPr="00C6052E">
        <w:t>and</w:t>
      </w:r>
      <w:r w:rsidR="00177848" w:rsidRPr="00C6052E">
        <w:t xml:space="preserve"> </w:t>
      </w:r>
      <w:r w:rsidRPr="00C6052E">
        <w:t>lease</w:t>
      </w:r>
      <w:r w:rsidR="00177848" w:rsidRPr="00C6052E">
        <w:t xml:space="preserve"> </w:t>
      </w:r>
      <w:r w:rsidRPr="00C6052E">
        <w:t>commitments</w:t>
      </w:r>
      <w:r w:rsidR="00177848" w:rsidRPr="00C6052E">
        <w:t xml:space="preserve"> </w:t>
      </w:r>
      <w:r w:rsidRPr="00C6052E">
        <w:t>are</w:t>
      </w:r>
      <w:r w:rsidR="00177848" w:rsidRPr="00C6052E">
        <w:t xml:space="preserve"> </w:t>
      </w:r>
      <w:r w:rsidRPr="00C6052E">
        <w:t>disclosed</w:t>
      </w:r>
      <w:r w:rsidR="00177848" w:rsidRPr="00C6052E">
        <w:t xml:space="preserve"> </w:t>
      </w:r>
      <w:r w:rsidRPr="00C6052E">
        <w:t>in</w:t>
      </w:r>
      <w:r w:rsidR="00177848" w:rsidRPr="00C6052E">
        <w:t xml:space="preserve"> </w:t>
      </w:r>
      <w:r w:rsidRPr="00C6052E">
        <w:t>Note</w:t>
      </w:r>
      <w:r w:rsidR="00177848" w:rsidRPr="00C6052E">
        <w:t xml:space="preserve"> </w:t>
      </w:r>
      <w:r w:rsidRPr="00C6052E">
        <w:fldChar w:fldCharType="begin"/>
      </w:r>
      <w:r w:rsidRPr="00C6052E">
        <w:instrText xml:space="preserve"> REF _Ref209514556 \r \h </w:instrText>
      </w:r>
      <w:r w:rsidRPr="00C6052E">
        <w:fldChar w:fldCharType="separate"/>
      </w:r>
      <w:r w:rsidRPr="00C6052E">
        <w:t>7.5</w:t>
      </w:r>
      <w:r w:rsidRPr="00C6052E">
        <w:fldChar w:fldCharType="end"/>
      </w:r>
      <w:r w:rsidRPr="00C6052E">
        <w:t>.</w:t>
      </w:r>
    </w:p>
    <w:p w14:paraId="71684AAE" w14:textId="507B1AFE" w:rsidR="00EE5BB8" w:rsidRPr="00C6052E" w:rsidRDefault="00EE5BB8" w:rsidP="00C6052E">
      <w:pPr>
        <w:pStyle w:val="Heading2numbered0"/>
      </w:pPr>
      <w:bookmarkStart w:id="284" w:name="_Toc163565980"/>
      <w:bookmarkStart w:id="285" w:name="_Ref209454638"/>
      <w:bookmarkStart w:id="286" w:name="_Ref209454646"/>
      <w:r w:rsidRPr="00C6052E">
        <w:t>Cash</w:t>
      </w:r>
      <w:r w:rsidR="00177848" w:rsidRPr="00C6052E">
        <w:t xml:space="preserve"> </w:t>
      </w:r>
      <w:r w:rsidRPr="00C6052E">
        <w:t>flow</w:t>
      </w:r>
      <w:r w:rsidR="00177848" w:rsidRPr="00C6052E">
        <w:t xml:space="preserve"> </w:t>
      </w:r>
      <w:r w:rsidRPr="00C6052E">
        <w:t>information</w:t>
      </w:r>
      <w:r w:rsidR="00177848" w:rsidRPr="00C6052E">
        <w:t xml:space="preserve"> </w:t>
      </w:r>
      <w:r w:rsidRPr="00C6052E">
        <w:t>and</w:t>
      </w:r>
      <w:r w:rsidR="00177848" w:rsidRPr="00C6052E">
        <w:t xml:space="preserve"> </w:t>
      </w:r>
      <w:r w:rsidRPr="00C6052E">
        <w:t>balances</w:t>
      </w:r>
      <w:bookmarkEnd w:id="284"/>
      <w:bookmarkEnd w:id="285"/>
      <w:bookmarkEnd w:id="286"/>
    </w:p>
    <w:p w14:paraId="4905E813" w14:textId="0CF718DB" w:rsidR="00EE5BB8" w:rsidRPr="00C6052E" w:rsidRDefault="00EE5BB8" w:rsidP="00EE5BB8">
      <w:r w:rsidRPr="00C6052E">
        <w:t>Cash</w:t>
      </w:r>
      <w:r w:rsidR="00177848" w:rsidRPr="00C6052E">
        <w:t xml:space="preserve"> </w:t>
      </w:r>
      <w:r w:rsidRPr="00C6052E">
        <w:t>and</w:t>
      </w:r>
      <w:r w:rsidR="00177848" w:rsidRPr="00C6052E">
        <w:t xml:space="preserve"> </w:t>
      </w:r>
      <w:r w:rsidRPr="00C6052E">
        <w:t>deposits,</w:t>
      </w:r>
      <w:r w:rsidR="00177848" w:rsidRPr="00C6052E">
        <w:t xml:space="preserve"> </w:t>
      </w:r>
      <w:r w:rsidRPr="00C6052E">
        <w:t>including</w:t>
      </w:r>
      <w:r w:rsidR="00177848" w:rsidRPr="00C6052E">
        <w:t xml:space="preserve"> </w:t>
      </w:r>
      <w:r w:rsidRPr="00C6052E">
        <w:t>cash</w:t>
      </w:r>
      <w:r w:rsidR="00177848" w:rsidRPr="00C6052E">
        <w:t xml:space="preserve"> </w:t>
      </w:r>
      <w:r w:rsidRPr="00C6052E">
        <w:t>equivalents,</w:t>
      </w:r>
      <w:r w:rsidR="00177848" w:rsidRPr="00C6052E">
        <w:t xml:space="preserve"> </w:t>
      </w:r>
      <w:r w:rsidRPr="00C6052E">
        <w:t>comprise</w:t>
      </w:r>
      <w:r w:rsidR="00177848" w:rsidRPr="00C6052E">
        <w:t xml:space="preserve"> </w:t>
      </w:r>
      <w:r w:rsidRPr="00C6052E">
        <w:t>cash</w:t>
      </w:r>
      <w:r w:rsidR="00177848" w:rsidRPr="00C6052E">
        <w:t xml:space="preserve"> </w:t>
      </w:r>
      <w:r w:rsidRPr="00C6052E">
        <w:t>on</w:t>
      </w:r>
      <w:r w:rsidR="00177848" w:rsidRPr="00C6052E">
        <w:t xml:space="preserve"> </w:t>
      </w:r>
      <w:r w:rsidRPr="00C6052E">
        <w:t>hand</w:t>
      </w:r>
      <w:r w:rsidR="00177848" w:rsidRPr="00C6052E">
        <w:t xml:space="preserve"> </w:t>
      </w:r>
      <w:r w:rsidRPr="00C6052E">
        <w:t>and</w:t>
      </w:r>
      <w:r w:rsidR="00177848" w:rsidRPr="00C6052E">
        <w:t xml:space="preserve"> </w:t>
      </w:r>
      <w:r w:rsidRPr="00C6052E">
        <w:t>cash</w:t>
      </w:r>
      <w:r w:rsidR="00177848" w:rsidRPr="00C6052E">
        <w:t xml:space="preserve"> </w:t>
      </w:r>
      <w:r w:rsidRPr="00C6052E">
        <w:t>at</w:t>
      </w:r>
      <w:r w:rsidR="00177848" w:rsidRPr="00C6052E">
        <w:t xml:space="preserve"> </w:t>
      </w:r>
      <w:r w:rsidRPr="00C6052E">
        <w:t>bank,</w:t>
      </w:r>
      <w:r w:rsidR="00177848" w:rsidRPr="00C6052E">
        <w:t xml:space="preserve"> </w:t>
      </w:r>
      <w:r w:rsidRPr="00C6052E">
        <w:t>deposits</w:t>
      </w:r>
      <w:r w:rsidR="00177848" w:rsidRPr="00C6052E">
        <w:t xml:space="preserve"> </w:t>
      </w:r>
      <w:r w:rsidRPr="00C6052E">
        <w:t>at</w:t>
      </w:r>
      <w:r w:rsidR="00177848" w:rsidRPr="00C6052E">
        <w:t xml:space="preserve"> </w:t>
      </w:r>
      <w:r w:rsidRPr="00C6052E">
        <w:t>call</w:t>
      </w:r>
      <w:r w:rsidR="00177848" w:rsidRPr="00C6052E">
        <w:t xml:space="preserve"> </w:t>
      </w:r>
      <w:r w:rsidRPr="00C6052E">
        <w:t>and</w:t>
      </w:r>
      <w:r w:rsidR="00177848" w:rsidRPr="00C6052E">
        <w:t xml:space="preserve"> </w:t>
      </w:r>
      <w:r w:rsidRPr="00C6052E">
        <w:t>those</w:t>
      </w:r>
      <w:r w:rsidR="00177848" w:rsidRPr="00C6052E">
        <w:t xml:space="preserve"> </w:t>
      </w:r>
      <w:r w:rsidRPr="00C6052E">
        <w:t>highly</w:t>
      </w:r>
      <w:r w:rsidR="00177848" w:rsidRPr="00C6052E">
        <w:t xml:space="preserve"> </w:t>
      </w:r>
      <w:r w:rsidRPr="00C6052E">
        <w:t>liquid</w:t>
      </w:r>
      <w:r w:rsidR="00177848" w:rsidRPr="00C6052E">
        <w:t xml:space="preserve"> </w:t>
      </w:r>
      <w:r w:rsidRPr="00C6052E">
        <w:t>investments</w:t>
      </w:r>
      <w:r w:rsidR="00177848" w:rsidRPr="00C6052E">
        <w:t xml:space="preserve"> </w:t>
      </w:r>
      <w:r w:rsidRPr="00C6052E">
        <w:t>with</w:t>
      </w:r>
      <w:r w:rsidR="00177848" w:rsidRPr="00C6052E">
        <w:t xml:space="preserve"> </w:t>
      </w:r>
      <w:r w:rsidRPr="00C6052E">
        <w:t>an</w:t>
      </w:r>
      <w:r w:rsidR="00177848" w:rsidRPr="00C6052E">
        <w:t xml:space="preserve"> </w:t>
      </w:r>
      <w:r w:rsidRPr="00C6052E">
        <w:t>original</w:t>
      </w:r>
      <w:r w:rsidR="00177848" w:rsidRPr="00C6052E">
        <w:t xml:space="preserve"> </w:t>
      </w:r>
      <w:r w:rsidRPr="00C6052E">
        <w:t>maturity</w:t>
      </w:r>
      <w:r w:rsidR="00177848" w:rsidRPr="00C6052E">
        <w:t xml:space="preserve"> </w:t>
      </w:r>
      <w:r w:rsidRPr="00C6052E">
        <w:t>of</w:t>
      </w:r>
      <w:r w:rsidR="00177848" w:rsidRPr="00C6052E">
        <w:t xml:space="preserve"> </w:t>
      </w:r>
      <w:r w:rsidRPr="00C6052E">
        <w:t>three</w:t>
      </w:r>
      <w:r w:rsidR="00177848" w:rsidRPr="00C6052E">
        <w:t xml:space="preserve"> </w:t>
      </w:r>
      <w:r w:rsidRPr="00C6052E">
        <w:t>months</w:t>
      </w:r>
      <w:r w:rsidR="00177848" w:rsidRPr="00C6052E">
        <w:t xml:space="preserve"> </w:t>
      </w:r>
      <w:r w:rsidRPr="00C6052E">
        <w:t>or</w:t>
      </w:r>
      <w:r w:rsidR="00177848" w:rsidRPr="00C6052E">
        <w:t xml:space="preserve"> </w:t>
      </w:r>
      <w:r w:rsidRPr="00C6052E">
        <w:t>less,</w:t>
      </w:r>
      <w:r w:rsidR="00177848" w:rsidRPr="00C6052E">
        <w:t xml:space="preserve"> </w:t>
      </w:r>
      <w:r w:rsidRPr="00C6052E">
        <w:t>which</w:t>
      </w:r>
      <w:r w:rsidR="00177848" w:rsidRPr="00C6052E">
        <w:t xml:space="preserve"> </w:t>
      </w:r>
      <w:r w:rsidRPr="00C6052E">
        <w:t>are</w:t>
      </w:r>
      <w:r w:rsidR="00177848" w:rsidRPr="00C6052E">
        <w:t xml:space="preserve"> </w:t>
      </w:r>
      <w:r w:rsidRPr="00C6052E">
        <w:t>held</w:t>
      </w:r>
      <w:r w:rsidR="00177848" w:rsidRPr="00C6052E">
        <w:t xml:space="preserve"> </w:t>
      </w:r>
      <w:r w:rsidRPr="00C6052E">
        <w:t>for</w:t>
      </w:r>
      <w:r w:rsidR="00177848" w:rsidRPr="00C6052E">
        <w:t xml:space="preserve"> </w:t>
      </w:r>
      <w:r w:rsidRPr="00C6052E">
        <w:t>the</w:t>
      </w:r>
      <w:r w:rsidR="00177848" w:rsidRPr="00C6052E">
        <w:t xml:space="preserve"> </w:t>
      </w:r>
      <w:r w:rsidRPr="00C6052E">
        <w:t>purpose</w:t>
      </w:r>
      <w:r w:rsidR="00177848" w:rsidRPr="00C6052E">
        <w:t xml:space="preserve"> </w:t>
      </w:r>
      <w:r w:rsidRPr="00C6052E">
        <w:t>of</w:t>
      </w:r>
      <w:r w:rsidR="00177848" w:rsidRPr="00C6052E">
        <w:t xml:space="preserve"> </w:t>
      </w:r>
      <w:r w:rsidRPr="00C6052E">
        <w:t>meeting</w:t>
      </w:r>
      <w:r w:rsidR="00177848" w:rsidRPr="00C6052E">
        <w:t xml:space="preserve"> </w:t>
      </w:r>
      <w:r w:rsidRPr="00C6052E">
        <w:t>short-term</w:t>
      </w:r>
      <w:r w:rsidR="00177848" w:rsidRPr="00C6052E">
        <w:t xml:space="preserve"> </w:t>
      </w:r>
      <w:r w:rsidRPr="00C6052E">
        <w:t>cash</w:t>
      </w:r>
      <w:r w:rsidR="00177848" w:rsidRPr="00C6052E">
        <w:t xml:space="preserve"> </w:t>
      </w:r>
      <w:r w:rsidRPr="00C6052E">
        <w:t>commitments</w:t>
      </w:r>
      <w:r w:rsidR="00177848" w:rsidRPr="00C6052E">
        <w:t xml:space="preserve"> </w:t>
      </w:r>
      <w:r w:rsidRPr="00C6052E">
        <w:t>rather</w:t>
      </w:r>
      <w:r w:rsidR="00177848" w:rsidRPr="00C6052E">
        <w:t xml:space="preserve"> </w:t>
      </w:r>
      <w:r w:rsidRPr="00C6052E">
        <w:t>than</w:t>
      </w:r>
      <w:r w:rsidR="00177848" w:rsidRPr="00C6052E">
        <w:t xml:space="preserve"> </w:t>
      </w:r>
      <w:r w:rsidRPr="00C6052E">
        <w:t>for</w:t>
      </w:r>
      <w:r w:rsidR="00177848" w:rsidRPr="00C6052E">
        <w:t xml:space="preserve"> </w:t>
      </w:r>
      <w:r w:rsidRPr="00C6052E">
        <w:t>investment</w:t>
      </w:r>
      <w:r w:rsidR="00177848" w:rsidRPr="00C6052E">
        <w:t xml:space="preserve"> </w:t>
      </w:r>
      <w:r w:rsidRPr="00C6052E">
        <w:t>purposes,</w:t>
      </w:r>
      <w:r w:rsidR="00177848" w:rsidRPr="00C6052E">
        <w:t xml:space="preserve"> </w:t>
      </w:r>
      <w:r w:rsidRPr="00C6052E">
        <w:t>and</w:t>
      </w:r>
      <w:r w:rsidR="00177848" w:rsidRPr="00C6052E">
        <w:t xml:space="preserve"> </w:t>
      </w:r>
      <w:r w:rsidRPr="00C6052E">
        <w:t>which</w:t>
      </w:r>
      <w:r w:rsidR="00177848" w:rsidRPr="00C6052E">
        <w:t xml:space="preserve"> </w:t>
      </w:r>
      <w:r w:rsidRPr="00C6052E">
        <w:t>are</w:t>
      </w:r>
      <w:r w:rsidR="00177848" w:rsidRPr="00C6052E">
        <w:t xml:space="preserve"> </w:t>
      </w:r>
      <w:r w:rsidRPr="00C6052E">
        <w:t>readily</w:t>
      </w:r>
      <w:r w:rsidR="00177848" w:rsidRPr="00C6052E">
        <w:t xml:space="preserve"> </w:t>
      </w:r>
      <w:r w:rsidRPr="00C6052E">
        <w:t>convertible</w:t>
      </w:r>
      <w:r w:rsidR="00177848" w:rsidRPr="00C6052E">
        <w:t xml:space="preserve"> </w:t>
      </w:r>
      <w:r w:rsidRPr="00C6052E">
        <w:t>to</w:t>
      </w:r>
      <w:r w:rsidR="00177848" w:rsidRPr="00C6052E">
        <w:t xml:space="preserve"> </w:t>
      </w:r>
      <w:r w:rsidRPr="00C6052E">
        <w:t>known</w:t>
      </w:r>
      <w:r w:rsidR="00177848" w:rsidRPr="00C6052E">
        <w:t xml:space="preserve"> </w:t>
      </w:r>
      <w:r w:rsidRPr="00C6052E">
        <w:t>amounts</w:t>
      </w:r>
      <w:r w:rsidR="00177848" w:rsidRPr="00C6052E">
        <w:t xml:space="preserve"> </w:t>
      </w:r>
      <w:r w:rsidRPr="00C6052E">
        <w:t>of</w:t>
      </w:r>
      <w:r w:rsidR="00177848" w:rsidRPr="00C6052E">
        <w:t xml:space="preserve"> </w:t>
      </w:r>
      <w:r w:rsidRPr="00C6052E">
        <w:t>cash</w:t>
      </w:r>
      <w:r w:rsidR="00177848" w:rsidRPr="00C6052E">
        <w:t xml:space="preserve"> </w:t>
      </w:r>
      <w:r w:rsidRPr="00C6052E">
        <w:t>and</w:t>
      </w:r>
      <w:r w:rsidR="00177848" w:rsidRPr="00C6052E">
        <w:t xml:space="preserve"> </w:t>
      </w:r>
      <w:r w:rsidRPr="00C6052E">
        <w:t>are</w:t>
      </w:r>
      <w:r w:rsidR="00177848" w:rsidRPr="00C6052E">
        <w:t xml:space="preserve"> </w:t>
      </w:r>
      <w:r w:rsidRPr="00C6052E">
        <w:t>subject</w:t>
      </w:r>
      <w:r w:rsidR="00177848" w:rsidRPr="00C6052E">
        <w:t xml:space="preserve"> </w:t>
      </w:r>
      <w:r w:rsidRPr="00C6052E">
        <w:t>to</w:t>
      </w:r>
      <w:r w:rsidR="00177848" w:rsidRPr="00C6052E">
        <w:t xml:space="preserve"> </w:t>
      </w:r>
      <w:r w:rsidRPr="00C6052E">
        <w:t>an</w:t>
      </w:r>
      <w:r w:rsidR="00177848" w:rsidRPr="00C6052E">
        <w:t xml:space="preserve"> </w:t>
      </w:r>
      <w:r w:rsidRPr="00C6052E">
        <w:t>insignificant</w:t>
      </w:r>
      <w:r w:rsidR="00177848" w:rsidRPr="00C6052E">
        <w:t xml:space="preserve"> </w:t>
      </w:r>
      <w:r w:rsidRPr="00C6052E">
        <w:t>risk</w:t>
      </w:r>
      <w:r w:rsidR="00177848" w:rsidRPr="00C6052E">
        <w:t xml:space="preserve"> </w:t>
      </w:r>
      <w:r w:rsidRPr="00C6052E">
        <w:t>of</w:t>
      </w:r>
      <w:r w:rsidR="00177848" w:rsidRPr="00C6052E">
        <w:t xml:space="preserve"> </w:t>
      </w:r>
      <w:r w:rsidRPr="00C6052E">
        <w:t>changes</w:t>
      </w:r>
      <w:r w:rsidR="00177848" w:rsidRPr="00C6052E">
        <w:t xml:space="preserve"> </w:t>
      </w:r>
      <w:r w:rsidRPr="00C6052E">
        <w:t>in</w:t>
      </w:r>
      <w:r w:rsidR="00177848" w:rsidRPr="00C6052E">
        <w:t xml:space="preserve"> </w:t>
      </w:r>
      <w:r w:rsidRPr="00C6052E">
        <w:t>value.</w:t>
      </w:r>
    </w:p>
    <w:p w14:paraId="02A50C47" w14:textId="25AD40BD" w:rsidR="00EE5BB8" w:rsidRPr="00C6052E" w:rsidRDefault="00EE5BB8" w:rsidP="001D1E8C">
      <w:pPr>
        <w:keepLines/>
      </w:pPr>
      <w:r w:rsidRPr="00C6052E">
        <w:t>For</w:t>
      </w:r>
      <w:r w:rsidR="00177848" w:rsidRPr="00C6052E">
        <w:t xml:space="preserve"> </w:t>
      </w:r>
      <w:r w:rsidRPr="00C6052E">
        <w:t>the</w:t>
      </w:r>
      <w:r w:rsidR="00177848" w:rsidRPr="00C6052E">
        <w:t xml:space="preserve"> </w:t>
      </w:r>
      <w:r w:rsidRPr="00C6052E">
        <w:t>purpose</w:t>
      </w:r>
      <w:r w:rsidR="00177848" w:rsidRPr="00C6052E">
        <w:t xml:space="preserve"> </w:t>
      </w:r>
      <w:r w:rsidRPr="00C6052E">
        <w:t>of</w:t>
      </w:r>
      <w:r w:rsidR="00177848" w:rsidRPr="00C6052E">
        <w:t xml:space="preserve"> </w:t>
      </w:r>
      <w:r w:rsidRPr="00C6052E">
        <w:t>the</w:t>
      </w:r>
      <w:r w:rsidR="00177848" w:rsidRPr="00C6052E">
        <w:t xml:space="preserve"> </w:t>
      </w:r>
      <w:r w:rsidRPr="00C6052E">
        <w:t>cash</w:t>
      </w:r>
      <w:r w:rsidR="00177848" w:rsidRPr="00C6052E">
        <w:t xml:space="preserve"> </w:t>
      </w:r>
      <w:r w:rsidRPr="00C6052E">
        <w:t>flow</w:t>
      </w:r>
      <w:r w:rsidR="00177848" w:rsidRPr="00C6052E">
        <w:t xml:space="preserve"> </w:t>
      </w:r>
      <w:r w:rsidRPr="00C6052E">
        <w:t>statement,</w:t>
      </w:r>
      <w:r w:rsidR="00177848" w:rsidRPr="00C6052E">
        <w:t xml:space="preserve"> </w:t>
      </w:r>
      <w:r w:rsidRPr="00C6052E">
        <w:t>cash</w:t>
      </w:r>
      <w:r w:rsidR="00177848" w:rsidRPr="00C6052E">
        <w:t xml:space="preserve"> </w:t>
      </w:r>
      <w:r w:rsidRPr="00C6052E">
        <w:t>includes</w:t>
      </w:r>
      <w:r w:rsidR="00177848" w:rsidRPr="00C6052E">
        <w:t xml:space="preserve"> </w:t>
      </w:r>
      <w:r w:rsidRPr="00C6052E">
        <w:t>cash-on-hand</w:t>
      </w:r>
      <w:r w:rsidR="00177848" w:rsidRPr="00C6052E">
        <w:t xml:space="preserve"> </w:t>
      </w:r>
      <w:r w:rsidRPr="00C6052E">
        <w:t>and</w:t>
      </w:r>
      <w:r w:rsidR="00177848" w:rsidRPr="00C6052E">
        <w:t xml:space="preserve"> </w:t>
      </w:r>
      <w:r w:rsidRPr="00C6052E">
        <w:t>in</w:t>
      </w:r>
      <w:r w:rsidR="00177848" w:rsidRPr="00C6052E">
        <w:t xml:space="preserve"> </w:t>
      </w:r>
      <w:r w:rsidRPr="00C6052E">
        <w:t>bank</w:t>
      </w:r>
      <w:r w:rsidR="00177848" w:rsidRPr="00C6052E">
        <w:t xml:space="preserve"> </w:t>
      </w:r>
      <w:r w:rsidRPr="00C6052E">
        <w:t>(including</w:t>
      </w:r>
      <w:r w:rsidR="00177848" w:rsidRPr="00C6052E">
        <w:t xml:space="preserve"> </w:t>
      </w:r>
      <w:r w:rsidRPr="00C6052E">
        <w:t>funds</w:t>
      </w:r>
      <w:r w:rsidR="00177848" w:rsidRPr="00C6052E">
        <w:t xml:space="preserve"> </w:t>
      </w:r>
      <w:r w:rsidRPr="00C6052E">
        <w:t>held</w:t>
      </w:r>
      <w:r w:rsidR="00177848" w:rsidRPr="00C6052E">
        <w:t xml:space="preserve"> </w:t>
      </w:r>
      <w:r w:rsidRPr="00C6052E">
        <w:t>in</w:t>
      </w:r>
      <w:r w:rsidR="00177848" w:rsidRPr="00C6052E">
        <w:t xml:space="preserve"> </w:t>
      </w:r>
      <w:r w:rsidRPr="00C6052E">
        <w:t>trust),</w:t>
      </w:r>
      <w:r w:rsidR="00177848" w:rsidRPr="00C6052E">
        <w:t xml:space="preserve"> </w:t>
      </w:r>
      <w:r w:rsidRPr="00C6052E">
        <w:t>net</w:t>
      </w:r>
      <w:r w:rsidR="00177848" w:rsidRPr="00C6052E">
        <w:t xml:space="preserve"> </w:t>
      </w:r>
      <w:r w:rsidRPr="00C6052E">
        <w:t>of</w:t>
      </w:r>
      <w:r w:rsidR="00177848" w:rsidRPr="00C6052E">
        <w:t xml:space="preserve"> </w:t>
      </w:r>
      <w:r w:rsidRPr="00C6052E">
        <w:t>outstanding</w:t>
      </w:r>
      <w:r w:rsidR="00177848" w:rsidRPr="00C6052E">
        <w:t xml:space="preserve"> </w:t>
      </w:r>
      <w:r w:rsidRPr="00C6052E">
        <w:t>bank</w:t>
      </w:r>
      <w:r w:rsidR="00177848" w:rsidRPr="00C6052E">
        <w:t xml:space="preserve"> </w:t>
      </w:r>
      <w:r w:rsidRPr="00C6052E">
        <w:t>overdrafts.</w:t>
      </w:r>
      <w:r w:rsidR="00177848" w:rsidRPr="00C6052E">
        <w:t xml:space="preserve"> </w:t>
      </w:r>
      <w:r w:rsidRPr="00C6052E">
        <w:t>Cash</w:t>
      </w:r>
      <w:r w:rsidR="00177848" w:rsidRPr="00C6052E">
        <w:t xml:space="preserve"> </w:t>
      </w:r>
      <w:r w:rsidRPr="00C6052E">
        <w:t>at</w:t>
      </w:r>
      <w:r w:rsidR="00177848" w:rsidRPr="00C6052E">
        <w:t xml:space="preserve"> </w:t>
      </w:r>
      <w:r w:rsidRPr="00C6052E">
        <w:t>the</w:t>
      </w:r>
      <w:r w:rsidR="00177848" w:rsidRPr="00C6052E">
        <w:t xml:space="preserve"> </w:t>
      </w:r>
      <w:r w:rsidRPr="00C6052E">
        <w:t>end</w:t>
      </w:r>
      <w:r w:rsidR="00177848" w:rsidRPr="00C6052E">
        <w:t xml:space="preserve"> </w:t>
      </w:r>
      <w:r w:rsidRPr="00C6052E">
        <w:t>of</w:t>
      </w:r>
      <w:r w:rsidR="00177848" w:rsidRPr="00C6052E">
        <w:t xml:space="preserve"> </w:t>
      </w:r>
      <w:r w:rsidRPr="00C6052E">
        <w:t>the</w:t>
      </w:r>
      <w:r w:rsidR="00177848" w:rsidRPr="00C6052E">
        <w:t xml:space="preserve"> </w:t>
      </w:r>
      <w:r w:rsidRPr="00C6052E">
        <w:t>financial</w:t>
      </w:r>
      <w:r w:rsidR="00177848" w:rsidRPr="00C6052E">
        <w:t xml:space="preserve"> </w:t>
      </w:r>
      <w:r w:rsidRPr="00C6052E">
        <w:t>year</w:t>
      </w:r>
      <w:r w:rsidR="00177848" w:rsidRPr="00C6052E">
        <w:t xml:space="preserve"> </w:t>
      </w:r>
      <w:r w:rsidRPr="00C6052E">
        <w:t>as</w:t>
      </w:r>
      <w:r w:rsidR="00177848" w:rsidRPr="00C6052E">
        <w:t xml:space="preserve"> </w:t>
      </w:r>
      <w:r w:rsidRPr="00C6052E">
        <w:t>shown</w:t>
      </w:r>
      <w:r w:rsidR="00177848" w:rsidRPr="00C6052E">
        <w:t xml:space="preserve"> </w:t>
      </w:r>
      <w:r w:rsidRPr="00C6052E">
        <w:t>in</w:t>
      </w:r>
      <w:r w:rsidR="00177848" w:rsidRPr="00C6052E">
        <w:t xml:space="preserve"> </w:t>
      </w:r>
      <w:r w:rsidRPr="00C6052E">
        <w:t>the</w:t>
      </w:r>
      <w:r w:rsidR="00177848" w:rsidRPr="00C6052E">
        <w:t xml:space="preserve"> </w:t>
      </w:r>
      <w:r w:rsidRPr="00C6052E">
        <w:t>cash</w:t>
      </w:r>
      <w:r w:rsidR="00177848" w:rsidRPr="00C6052E">
        <w:t xml:space="preserve"> </w:t>
      </w:r>
      <w:r w:rsidRPr="00C6052E">
        <w:t>flow</w:t>
      </w:r>
      <w:r w:rsidR="00177848" w:rsidRPr="00C6052E">
        <w:t xml:space="preserve"> </w:t>
      </w:r>
      <w:r w:rsidRPr="00C6052E">
        <w:t>statement</w:t>
      </w:r>
      <w:r w:rsidR="00177848" w:rsidRPr="00C6052E">
        <w:t xml:space="preserve"> </w:t>
      </w:r>
      <w:r w:rsidRPr="00C6052E">
        <w:t>is</w:t>
      </w:r>
      <w:r w:rsidR="00177848" w:rsidRPr="00C6052E">
        <w:t xml:space="preserve"> </w:t>
      </w:r>
      <w:r w:rsidRPr="00C6052E">
        <w:t>reconciled</w:t>
      </w:r>
      <w:r w:rsidR="00177848" w:rsidRPr="00C6052E">
        <w:t xml:space="preserve"> </w:t>
      </w:r>
      <w:r w:rsidRPr="00C6052E">
        <w:t>to</w:t>
      </w:r>
      <w:r w:rsidR="00177848" w:rsidRPr="00C6052E">
        <w:t xml:space="preserve"> </w:t>
      </w:r>
      <w:r w:rsidRPr="00C6052E">
        <w:t>the</w:t>
      </w:r>
      <w:r w:rsidR="00177848" w:rsidRPr="00C6052E">
        <w:t xml:space="preserve"> </w:t>
      </w:r>
      <w:r w:rsidRPr="00C6052E">
        <w:t>related</w:t>
      </w:r>
      <w:r w:rsidR="00177848" w:rsidRPr="00C6052E">
        <w:t xml:space="preserve"> </w:t>
      </w:r>
      <w:r w:rsidRPr="00C6052E">
        <w:t>items</w:t>
      </w:r>
      <w:r w:rsidR="00177848" w:rsidRPr="00C6052E">
        <w:t xml:space="preserve"> </w:t>
      </w:r>
      <w:r w:rsidRPr="00C6052E">
        <w:t>in</w:t>
      </w:r>
      <w:r w:rsidR="00177848" w:rsidRPr="00C6052E">
        <w:t xml:space="preserve"> </w:t>
      </w:r>
      <w:r w:rsidRPr="00C6052E">
        <w:t>the</w:t>
      </w:r>
      <w:r w:rsidR="00177848" w:rsidRPr="00C6052E">
        <w:t xml:space="preserve"> </w:t>
      </w:r>
      <w:r w:rsidRPr="00C6052E">
        <w:t>balance</w:t>
      </w:r>
      <w:r w:rsidR="00177848" w:rsidRPr="00C6052E">
        <w:t xml:space="preserve"> </w:t>
      </w:r>
      <w:r w:rsidRPr="00C6052E">
        <w:t>sheet</w:t>
      </w:r>
      <w:r w:rsidR="00177848" w:rsidRPr="00C6052E">
        <w:t xml:space="preserve"> </w:t>
      </w:r>
      <w:r w:rsidRPr="00C6052E">
        <w:t>as</w:t>
      </w:r>
      <w:r w:rsidR="00177848" w:rsidRPr="00C6052E">
        <w:t xml:space="preserve"> </w:t>
      </w:r>
      <w:r w:rsidRPr="00C6052E">
        <w:t>follows:</w:t>
      </w:r>
    </w:p>
    <w:p w14:paraId="10D4BE70" w14:textId="04EF9CD7" w:rsidR="00EE5BB8" w:rsidRPr="00C6052E" w:rsidRDefault="00177848" w:rsidP="000C0740">
      <w:pPr>
        <w:pStyle w:val="Heading3numbered0"/>
      </w:pPr>
      <w:r w:rsidRPr="00C6052E">
        <w:t xml:space="preserve"> </w:t>
      </w:r>
      <w:r w:rsidR="00EE5BB8" w:rsidRPr="00C6052E">
        <w:t>Cash</w:t>
      </w:r>
      <w:r w:rsidRPr="00C6052E">
        <w:t xml:space="preserve"> </w:t>
      </w:r>
      <w:r w:rsidR="00EE5BB8" w:rsidRPr="00C6052E">
        <w:t>and</w:t>
      </w:r>
      <w:r w:rsidRPr="00C6052E">
        <w:t xml:space="preserve"> </w:t>
      </w:r>
      <w:r w:rsidR="00EE5BB8" w:rsidRPr="00C6052E">
        <w:t>cash</w:t>
      </w:r>
      <w:r w:rsidRPr="00C6052E">
        <w:t xml:space="preserve"> </w:t>
      </w:r>
      <w:r w:rsidR="00EE5BB8" w:rsidRPr="00C6052E">
        <w:t>equivalents</w:t>
      </w:r>
      <w:r w:rsidRPr="00C6052E">
        <w:t xml:space="preserve"> </w:t>
      </w:r>
    </w:p>
    <w:tbl>
      <w:tblPr>
        <w:tblStyle w:val="TableGrid"/>
        <w:tblW w:w="9719" w:type="dxa"/>
        <w:tblLayout w:type="fixed"/>
        <w:tblLook w:val="04E0" w:firstRow="1" w:lastRow="1" w:firstColumn="1" w:lastColumn="0" w:noHBand="0" w:noVBand="1"/>
      </w:tblPr>
      <w:tblGrid>
        <w:gridCol w:w="6374"/>
        <w:gridCol w:w="1672"/>
        <w:gridCol w:w="1673"/>
      </w:tblGrid>
      <w:tr w:rsidR="00EE5BB8" w:rsidRPr="00C6052E" w14:paraId="10F70EE4" w14:textId="77777777" w:rsidTr="00D97857">
        <w:tc>
          <w:tcPr>
            <w:tcW w:w="6374" w:type="dxa"/>
            <w:noWrap/>
            <w:hideMark/>
          </w:tcPr>
          <w:p w14:paraId="0F49C372" w14:textId="77777777" w:rsidR="00EE5BB8" w:rsidRPr="00C6052E" w:rsidRDefault="00EE5BB8" w:rsidP="0035690A">
            <w:pPr>
              <w:pStyle w:val="TableColumnHeading"/>
            </w:pPr>
            <w:bookmarkStart w:id="287" w:name="TableColumnHeadings_84"/>
            <w:bookmarkEnd w:id="287"/>
          </w:p>
        </w:tc>
        <w:tc>
          <w:tcPr>
            <w:tcW w:w="1672" w:type="dxa"/>
            <w:hideMark/>
          </w:tcPr>
          <w:p w14:paraId="1BDBB732" w14:textId="0386EEEE" w:rsidR="00EE5BB8" w:rsidRPr="00C6052E" w:rsidRDefault="00EE5BB8" w:rsidP="00D97857">
            <w:pPr>
              <w:pStyle w:val="TableColumnHeading"/>
              <w:jc w:val="right"/>
            </w:pPr>
            <w:r w:rsidRPr="00C6052E">
              <w:t>2025</w:t>
            </w:r>
            <w:r w:rsidR="00D97857">
              <w:br/>
            </w:r>
            <w:r w:rsidR="00D97857" w:rsidRPr="00C6052E">
              <w:rPr>
                <w:lang w:val="en-AU"/>
              </w:rPr>
              <w:t>($ thousand)</w:t>
            </w:r>
          </w:p>
        </w:tc>
        <w:tc>
          <w:tcPr>
            <w:tcW w:w="1673" w:type="dxa"/>
            <w:hideMark/>
          </w:tcPr>
          <w:p w14:paraId="570FB747" w14:textId="6A88DFEC" w:rsidR="00EE5BB8" w:rsidRPr="00C6052E" w:rsidRDefault="00EE5BB8" w:rsidP="00D97857">
            <w:pPr>
              <w:pStyle w:val="TableColumnHeading"/>
              <w:jc w:val="right"/>
            </w:pPr>
            <w:r w:rsidRPr="00C6052E">
              <w:t>2024</w:t>
            </w:r>
            <w:r w:rsidR="00D97857">
              <w:br/>
            </w:r>
            <w:r w:rsidR="00D97857" w:rsidRPr="00C6052E">
              <w:rPr>
                <w:lang w:val="en-AU"/>
              </w:rPr>
              <w:t>($ thousand)</w:t>
            </w:r>
          </w:p>
        </w:tc>
      </w:tr>
      <w:tr w:rsidR="00EE5BB8" w:rsidRPr="00C6052E" w14:paraId="1DDE154B" w14:textId="77777777" w:rsidTr="00D97857">
        <w:tc>
          <w:tcPr>
            <w:tcW w:w="6374" w:type="dxa"/>
            <w:hideMark/>
          </w:tcPr>
          <w:p w14:paraId="7102EA1C" w14:textId="4119F3A1" w:rsidR="00EE5BB8" w:rsidRPr="00C6052E" w:rsidRDefault="00EE5BB8" w:rsidP="0063097D">
            <w:pPr>
              <w:pStyle w:val="TableCopy"/>
            </w:pPr>
            <w:r w:rsidRPr="00C6052E">
              <w:t>Cash</w:t>
            </w:r>
            <w:r w:rsidR="00177848" w:rsidRPr="00C6052E">
              <w:t xml:space="preserve"> </w:t>
            </w:r>
            <w:r w:rsidRPr="00C6052E">
              <w:t>and</w:t>
            </w:r>
            <w:r w:rsidR="00177848" w:rsidRPr="00C6052E">
              <w:t xml:space="preserve"> </w:t>
            </w:r>
            <w:r w:rsidRPr="00C6052E">
              <w:t>short</w:t>
            </w:r>
            <w:r w:rsidR="00177848" w:rsidRPr="00C6052E">
              <w:t xml:space="preserve"> </w:t>
            </w:r>
            <w:r w:rsidRPr="00C6052E">
              <w:t>term</w:t>
            </w:r>
            <w:r w:rsidR="00177848" w:rsidRPr="00C6052E">
              <w:t xml:space="preserve"> </w:t>
            </w:r>
            <w:r w:rsidRPr="00C6052E">
              <w:t>deposits</w:t>
            </w:r>
          </w:p>
        </w:tc>
        <w:tc>
          <w:tcPr>
            <w:tcW w:w="1672" w:type="dxa"/>
            <w:noWrap/>
            <w:hideMark/>
          </w:tcPr>
          <w:p w14:paraId="17DC3799" w14:textId="77777777" w:rsidR="00EE5BB8" w:rsidRPr="00C6052E" w:rsidRDefault="00EE5BB8" w:rsidP="00D97857">
            <w:pPr>
              <w:pStyle w:val="TableCopy"/>
              <w:jc w:val="right"/>
            </w:pPr>
            <w:r w:rsidRPr="00C6052E">
              <w:t>3,890</w:t>
            </w:r>
          </w:p>
        </w:tc>
        <w:tc>
          <w:tcPr>
            <w:tcW w:w="1673" w:type="dxa"/>
            <w:noWrap/>
            <w:hideMark/>
          </w:tcPr>
          <w:p w14:paraId="764DB322" w14:textId="77777777" w:rsidR="00EE5BB8" w:rsidRPr="00C6052E" w:rsidRDefault="00EE5BB8" w:rsidP="00D97857">
            <w:pPr>
              <w:pStyle w:val="TableCopy"/>
              <w:jc w:val="right"/>
            </w:pPr>
            <w:r w:rsidRPr="00C6052E">
              <w:t>2,720</w:t>
            </w:r>
          </w:p>
        </w:tc>
      </w:tr>
      <w:tr w:rsidR="00EE5BB8" w:rsidRPr="00C6052E" w14:paraId="64A95238" w14:textId="77777777" w:rsidTr="00D97857">
        <w:tc>
          <w:tcPr>
            <w:tcW w:w="6374" w:type="dxa"/>
            <w:hideMark/>
          </w:tcPr>
          <w:p w14:paraId="6BE38E1F" w14:textId="003FA519" w:rsidR="00EE5BB8" w:rsidRPr="00C6052E" w:rsidRDefault="00EE5BB8" w:rsidP="0063097D">
            <w:pPr>
              <w:pStyle w:val="TableCopy"/>
            </w:pPr>
            <w:r w:rsidRPr="00C6052E">
              <w:t>Funds</w:t>
            </w:r>
            <w:r w:rsidR="00177848" w:rsidRPr="00C6052E">
              <w:t xml:space="preserve"> </w:t>
            </w:r>
            <w:r w:rsidRPr="00C6052E">
              <w:t>held</w:t>
            </w:r>
            <w:r w:rsidR="00177848" w:rsidRPr="00C6052E">
              <w:t xml:space="preserve"> </w:t>
            </w:r>
            <w:r w:rsidRPr="00C6052E">
              <w:t>in</w:t>
            </w:r>
            <w:r w:rsidR="00177848" w:rsidRPr="00C6052E">
              <w:t xml:space="preserve"> </w:t>
            </w:r>
            <w:r w:rsidRPr="00C6052E">
              <w:t>trust</w:t>
            </w:r>
          </w:p>
        </w:tc>
        <w:tc>
          <w:tcPr>
            <w:tcW w:w="1672" w:type="dxa"/>
            <w:noWrap/>
            <w:hideMark/>
          </w:tcPr>
          <w:p w14:paraId="13D03E17" w14:textId="77777777" w:rsidR="00EE5BB8" w:rsidRPr="00C6052E" w:rsidRDefault="00EE5BB8" w:rsidP="00D97857">
            <w:pPr>
              <w:pStyle w:val="TableCopy"/>
              <w:jc w:val="right"/>
            </w:pPr>
            <w:r w:rsidRPr="00C6052E">
              <w:t>225,675</w:t>
            </w:r>
          </w:p>
        </w:tc>
        <w:tc>
          <w:tcPr>
            <w:tcW w:w="1673" w:type="dxa"/>
            <w:noWrap/>
            <w:hideMark/>
          </w:tcPr>
          <w:p w14:paraId="36EAB187" w14:textId="77777777" w:rsidR="00EE5BB8" w:rsidRPr="00C6052E" w:rsidRDefault="00EE5BB8" w:rsidP="00D97857">
            <w:pPr>
              <w:pStyle w:val="TableCopy"/>
              <w:jc w:val="right"/>
            </w:pPr>
            <w:r w:rsidRPr="00C6052E">
              <w:t>268,591</w:t>
            </w:r>
          </w:p>
        </w:tc>
      </w:tr>
      <w:tr w:rsidR="00EE5BB8" w:rsidRPr="00C6052E" w14:paraId="68EF5215" w14:textId="77777777" w:rsidTr="00D97857">
        <w:tc>
          <w:tcPr>
            <w:tcW w:w="6374" w:type="dxa"/>
            <w:hideMark/>
          </w:tcPr>
          <w:p w14:paraId="4EC427CD" w14:textId="392866A7" w:rsidR="00EE5BB8" w:rsidRPr="00C6052E" w:rsidRDefault="00EE5BB8" w:rsidP="0063097D">
            <w:pPr>
              <w:pStyle w:val="Tabletotal"/>
            </w:pPr>
            <w:r w:rsidRPr="00C6052E">
              <w:t>Balance</w:t>
            </w:r>
            <w:r w:rsidR="00177848" w:rsidRPr="00C6052E">
              <w:t xml:space="preserve"> </w:t>
            </w:r>
            <w:r w:rsidRPr="00C6052E">
              <w:t>as</w:t>
            </w:r>
            <w:r w:rsidR="00177848" w:rsidRPr="00C6052E">
              <w:t xml:space="preserve"> </w:t>
            </w:r>
            <w:r w:rsidRPr="00C6052E">
              <w:t>per</w:t>
            </w:r>
            <w:r w:rsidR="00177848" w:rsidRPr="00C6052E">
              <w:t xml:space="preserve"> </w:t>
            </w:r>
            <w:r w:rsidRPr="00C6052E">
              <w:t>cash</w:t>
            </w:r>
            <w:r w:rsidR="00177848" w:rsidRPr="00C6052E">
              <w:t xml:space="preserve"> </w:t>
            </w:r>
            <w:r w:rsidRPr="00C6052E">
              <w:t>flow</w:t>
            </w:r>
            <w:r w:rsidR="00177848" w:rsidRPr="00C6052E">
              <w:t xml:space="preserve"> </w:t>
            </w:r>
            <w:r w:rsidRPr="00C6052E">
              <w:t>statement</w:t>
            </w:r>
          </w:p>
        </w:tc>
        <w:tc>
          <w:tcPr>
            <w:tcW w:w="1672" w:type="dxa"/>
            <w:noWrap/>
            <w:hideMark/>
          </w:tcPr>
          <w:p w14:paraId="5637CE2B" w14:textId="77777777" w:rsidR="00EE5BB8" w:rsidRPr="00C6052E" w:rsidRDefault="00EE5BB8" w:rsidP="00D97857">
            <w:pPr>
              <w:pStyle w:val="Tabletotal"/>
              <w:jc w:val="right"/>
            </w:pPr>
            <w:r w:rsidRPr="00C6052E">
              <w:t>229,565</w:t>
            </w:r>
          </w:p>
        </w:tc>
        <w:tc>
          <w:tcPr>
            <w:tcW w:w="1673" w:type="dxa"/>
            <w:noWrap/>
            <w:hideMark/>
          </w:tcPr>
          <w:p w14:paraId="35ED3AA3" w14:textId="77777777" w:rsidR="00EE5BB8" w:rsidRPr="00C6052E" w:rsidRDefault="00EE5BB8" w:rsidP="00D97857">
            <w:pPr>
              <w:pStyle w:val="Tabletotal"/>
              <w:jc w:val="right"/>
            </w:pPr>
            <w:r w:rsidRPr="00C6052E">
              <w:t>271,311</w:t>
            </w:r>
          </w:p>
        </w:tc>
      </w:tr>
    </w:tbl>
    <w:p w14:paraId="402CEBC9" w14:textId="77777777" w:rsidR="00EE5BB8" w:rsidRPr="00C6052E" w:rsidRDefault="00EE5BB8" w:rsidP="00EE5BB8"/>
    <w:p w14:paraId="165E570A" w14:textId="15294146" w:rsidR="00EE5BB8" w:rsidRPr="00C6052E" w:rsidRDefault="00EE5BB8" w:rsidP="00EE5BB8">
      <w:r w:rsidRPr="00C6052E">
        <w:t>Due</w:t>
      </w:r>
      <w:r w:rsidR="00177848" w:rsidRPr="00C6052E">
        <w:t xml:space="preserve"> </w:t>
      </w:r>
      <w:r w:rsidRPr="00C6052E">
        <w:t>to</w:t>
      </w:r>
      <w:r w:rsidR="00177848" w:rsidRPr="00C6052E">
        <w:t xml:space="preserve"> </w:t>
      </w:r>
      <w:r w:rsidRPr="00C6052E">
        <w:t>the</w:t>
      </w:r>
      <w:r w:rsidR="00177848" w:rsidRPr="00C6052E">
        <w:t xml:space="preserve"> </w:t>
      </w:r>
      <w:r w:rsidRPr="00C6052E">
        <w:t>State</w:t>
      </w:r>
      <w:r w:rsidR="00177848" w:rsidRPr="00C6052E">
        <w:t xml:space="preserve"> </w:t>
      </w:r>
      <w:r w:rsidRPr="00C6052E">
        <w:t>of</w:t>
      </w:r>
      <w:r w:rsidR="00177848" w:rsidRPr="00C6052E">
        <w:t xml:space="preserve"> </w:t>
      </w:r>
      <w:r w:rsidRPr="00C6052E">
        <w:t>Victoria’s</w:t>
      </w:r>
      <w:r w:rsidR="00177848" w:rsidRPr="00C6052E">
        <w:t xml:space="preserve"> </w:t>
      </w:r>
      <w:r w:rsidRPr="00C6052E">
        <w:t>investment</w:t>
      </w:r>
      <w:r w:rsidR="00177848" w:rsidRPr="00C6052E">
        <w:t xml:space="preserve"> </w:t>
      </w:r>
      <w:r w:rsidRPr="00C6052E">
        <w:t>policy</w:t>
      </w:r>
      <w:r w:rsidR="00177848" w:rsidRPr="00C6052E">
        <w:t xml:space="preserve"> </w:t>
      </w:r>
      <w:r w:rsidRPr="00C6052E">
        <w:t>and</w:t>
      </w:r>
      <w:r w:rsidR="00177848" w:rsidRPr="00C6052E">
        <w:t xml:space="preserve"> </w:t>
      </w:r>
      <w:r w:rsidRPr="00C6052E">
        <w:t>government</w:t>
      </w:r>
      <w:r w:rsidR="00177848" w:rsidRPr="00C6052E">
        <w:t xml:space="preserve"> </w:t>
      </w:r>
      <w:r w:rsidRPr="00C6052E">
        <w:t>funding</w:t>
      </w:r>
      <w:r w:rsidR="00177848" w:rsidRPr="00C6052E">
        <w:t xml:space="preserve"> </w:t>
      </w:r>
      <w:r w:rsidRPr="00C6052E">
        <w:t>arrangements,</w:t>
      </w:r>
      <w:r w:rsidR="00177848" w:rsidRPr="00C6052E">
        <w:t xml:space="preserve"> </w:t>
      </w:r>
      <w:r w:rsidRPr="00C6052E">
        <w:t>DJSIR</w:t>
      </w:r>
      <w:r w:rsidR="00177848" w:rsidRPr="00C6052E">
        <w:t xml:space="preserve"> </w:t>
      </w:r>
      <w:r w:rsidRPr="00C6052E">
        <w:t>does</w:t>
      </w:r>
      <w:r w:rsidR="00177848" w:rsidRPr="00C6052E">
        <w:t xml:space="preserve"> </w:t>
      </w:r>
      <w:r w:rsidRPr="00C6052E">
        <w:t>not</w:t>
      </w:r>
      <w:r w:rsidR="00177848" w:rsidRPr="00C6052E">
        <w:t xml:space="preserve"> </w:t>
      </w:r>
      <w:r w:rsidRPr="00C6052E">
        <w:t>hold</w:t>
      </w:r>
      <w:r w:rsidR="00177848" w:rsidRPr="00C6052E">
        <w:t xml:space="preserve"> </w:t>
      </w:r>
      <w:r w:rsidRPr="00C6052E">
        <w:t>a</w:t>
      </w:r>
      <w:r w:rsidR="00177848" w:rsidRPr="00C6052E">
        <w:t xml:space="preserve"> </w:t>
      </w:r>
      <w:r w:rsidRPr="00C6052E">
        <w:t>large</w:t>
      </w:r>
      <w:r w:rsidR="00177848" w:rsidRPr="00C6052E">
        <w:t xml:space="preserve"> </w:t>
      </w:r>
      <w:r w:rsidRPr="00C6052E">
        <w:t>cash</w:t>
      </w:r>
      <w:r w:rsidR="00177848" w:rsidRPr="00C6052E">
        <w:t xml:space="preserve"> </w:t>
      </w:r>
      <w:r w:rsidRPr="00C6052E">
        <w:t>reserve</w:t>
      </w:r>
      <w:r w:rsidR="00177848" w:rsidRPr="00C6052E">
        <w:t xml:space="preserve"> </w:t>
      </w:r>
      <w:r w:rsidRPr="00C6052E">
        <w:t>in</w:t>
      </w:r>
      <w:r w:rsidR="00177848" w:rsidRPr="00C6052E">
        <w:t xml:space="preserve"> </w:t>
      </w:r>
      <w:r w:rsidRPr="00C6052E">
        <w:t>its</w:t>
      </w:r>
      <w:r w:rsidR="00177848" w:rsidRPr="00C6052E">
        <w:t xml:space="preserve"> </w:t>
      </w:r>
      <w:r w:rsidRPr="00C6052E">
        <w:t>bank</w:t>
      </w:r>
      <w:r w:rsidR="00177848" w:rsidRPr="00C6052E">
        <w:t xml:space="preserve"> </w:t>
      </w:r>
      <w:r w:rsidRPr="00C6052E">
        <w:t>accounts.</w:t>
      </w:r>
      <w:r w:rsidR="00177848" w:rsidRPr="00C6052E">
        <w:t xml:space="preserve"> </w:t>
      </w:r>
      <w:r w:rsidRPr="00C6052E">
        <w:t>Cash</w:t>
      </w:r>
      <w:r w:rsidR="00177848" w:rsidRPr="00C6052E">
        <w:t xml:space="preserve"> </w:t>
      </w:r>
      <w:r w:rsidRPr="00C6052E">
        <w:t>received</w:t>
      </w:r>
      <w:r w:rsidR="00177848" w:rsidRPr="00C6052E">
        <w:t xml:space="preserve"> </w:t>
      </w:r>
      <w:r w:rsidRPr="00C6052E">
        <w:t>by</w:t>
      </w:r>
      <w:r w:rsidR="00177848" w:rsidRPr="00C6052E">
        <w:t xml:space="preserve"> </w:t>
      </w:r>
      <w:r w:rsidRPr="00C6052E">
        <w:t>DJSIR</w:t>
      </w:r>
      <w:r w:rsidR="00177848" w:rsidRPr="00C6052E">
        <w:t xml:space="preserve"> </w:t>
      </w:r>
      <w:r w:rsidRPr="00C6052E">
        <w:t>from</w:t>
      </w:r>
      <w:r w:rsidR="00177848" w:rsidRPr="00C6052E">
        <w:t xml:space="preserve"> </w:t>
      </w:r>
      <w:r w:rsidRPr="00C6052E">
        <w:t>the</w:t>
      </w:r>
      <w:r w:rsidR="00177848" w:rsidRPr="00C6052E">
        <w:t xml:space="preserve"> </w:t>
      </w:r>
      <w:r w:rsidRPr="00C6052E">
        <w:t>generation</w:t>
      </w:r>
      <w:r w:rsidR="00177848" w:rsidRPr="00C6052E">
        <w:t xml:space="preserve"> </w:t>
      </w:r>
      <w:r w:rsidRPr="00C6052E">
        <w:t>of</w:t>
      </w:r>
      <w:r w:rsidR="00177848" w:rsidRPr="00C6052E">
        <w:t xml:space="preserve"> </w:t>
      </w:r>
      <w:r w:rsidRPr="00C6052E">
        <w:t>income</w:t>
      </w:r>
      <w:r w:rsidR="00177848" w:rsidRPr="00C6052E">
        <w:t xml:space="preserve"> </w:t>
      </w:r>
      <w:r w:rsidRPr="00C6052E">
        <w:t>is</w:t>
      </w:r>
      <w:r w:rsidR="00177848" w:rsidRPr="00C6052E">
        <w:t xml:space="preserve"> </w:t>
      </w:r>
      <w:r w:rsidRPr="00C6052E">
        <w:t>generally</w:t>
      </w:r>
      <w:r w:rsidR="00177848" w:rsidRPr="00C6052E">
        <w:t xml:space="preserve"> </w:t>
      </w:r>
      <w:r w:rsidRPr="00C6052E">
        <w:t>paid</w:t>
      </w:r>
      <w:r w:rsidR="00177848" w:rsidRPr="00C6052E">
        <w:t xml:space="preserve"> </w:t>
      </w:r>
      <w:r w:rsidRPr="00C6052E">
        <w:t>into</w:t>
      </w:r>
      <w:r w:rsidR="00177848" w:rsidRPr="00C6052E">
        <w:t xml:space="preserve"> </w:t>
      </w:r>
      <w:r w:rsidRPr="00C6052E">
        <w:t>the</w:t>
      </w:r>
      <w:r w:rsidR="00177848" w:rsidRPr="00C6052E">
        <w:t xml:space="preserve"> </w:t>
      </w:r>
      <w:r w:rsidRPr="00C6052E">
        <w:t>State’s</w:t>
      </w:r>
      <w:r w:rsidR="00177848" w:rsidRPr="00C6052E">
        <w:t xml:space="preserve"> </w:t>
      </w:r>
      <w:r w:rsidRPr="00C6052E">
        <w:t>bank</w:t>
      </w:r>
      <w:r w:rsidR="00177848" w:rsidRPr="00C6052E">
        <w:t xml:space="preserve"> </w:t>
      </w:r>
      <w:r w:rsidRPr="00C6052E">
        <w:t>account,</w:t>
      </w:r>
      <w:r w:rsidR="00177848" w:rsidRPr="00C6052E">
        <w:t xml:space="preserve"> </w:t>
      </w:r>
      <w:r w:rsidRPr="00C6052E">
        <w:t>known</w:t>
      </w:r>
      <w:r w:rsidR="00177848" w:rsidRPr="00C6052E">
        <w:t xml:space="preserve"> </w:t>
      </w:r>
      <w:r w:rsidRPr="00C6052E">
        <w:t>as</w:t>
      </w:r>
      <w:r w:rsidR="00177848" w:rsidRPr="00C6052E">
        <w:t xml:space="preserve"> </w:t>
      </w:r>
      <w:r w:rsidRPr="00C6052E">
        <w:t>the</w:t>
      </w:r>
      <w:r w:rsidR="00177848" w:rsidRPr="00C6052E">
        <w:t xml:space="preserve"> </w:t>
      </w:r>
      <w:r w:rsidRPr="00C6052E">
        <w:t>Public</w:t>
      </w:r>
      <w:r w:rsidR="00177848" w:rsidRPr="00C6052E">
        <w:t xml:space="preserve"> </w:t>
      </w:r>
      <w:r w:rsidRPr="00C6052E">
        <w:t>Account.</w:t>
      </w:r>
      <w:r w:rsidR="00177848" w:rsidRPr="00C6052E">
        <w:t xml:space="preserve"> </w:t>
      </w:r>
      <w:r w:rsidRPr="00C6052E">
        <w:t>Similarly,</w:t>
      </w:r>
      <w:r w:rsidR="00177848" w:rsidRPr="00C6052E">
        <w:t xml:space="preserve"> </w:t>
      </w:r>
      <w:r w:rsidRPr="00C6052E">
        <w:t>any</w:t>
      </w:r>
      <w:r w:rsidR="00177848" w:rsidRPr="00C6052E">
        <w:t xml:space="preserve"> </w:t>
      </w:r>
      <w:r w:rsidRPr="00C6052E">
        <w:t>departmental</w:t>
      </w:r>
      <w:r w:rsidR="00177848" w:rsidRPr="00C6052E">
        <w:t xml:space="preserve"> </w:t>
      </w:r>
      <w:r w:rsidRPr="00C6052E">
        <w:t>payments</w:t>
      </w:r>
      <w:r w:rsidR="00177848" w:rsidRPr="00C6052E">
        <w:t xml:space="preserve"> </w:t>
      </w:r>
      <w:r w:rsidRPr="00C6052E">
        <w:t>of</w:t>
      </w:r>
      <w:r w:rsidR="00177848" w:rsidRPr="00C6052E">
        <w:t xml:space="preserve"> </w:t>
      </w:r>
      <w:r w:rsidRPr="00C6052E">
        <w:t>goods</w:t>
      </w:r>
      <w:r w:rsidR="00177848" w:rsidRPr="00C6052E">
        <w:t xml:space="preserve"> </w:t>
      </w:r>
      <w:r w:rsidRPr="00C6052E">
        <w:t>and</w:t>
      </w:r>
      <w:r w:rsidR="00177848" w:rsidRPr="00C6052E">
        <w:t xml:space="preserve"> </w:t>
      </w:r>
      <w:r w:rsidRPr="00C6052E">
        <w:t>services</w:t>
      </w:r>
      <w:r w:rsidR="00177848" w:rsidRPr="00C6052E">
        <w:t xml:space="preserve"> </w:t>
      </w:r>
      <w:r w:rsidRPr="00C6052E">
        <w:t>made</w:t>
      </w:r>
      <w:r w:rsidR="00177848" w:rsidRPr="00C6052E">
        <w:t xml:space="preserve"> </w:t>
      </w:r>
      <w:r w:rsidRPr="00C6052E">
        <w:t>by</w:t>
      </w:r>
      <w:r w:rsidR="00177848" w:rsidRPr="00C6052E">
        <w:t xml:space="preserve"> </w:t>
      </w:r>
      <w:r w:rsidRPr="00C6052E">
        <w:t>DJSIR</w:t>
      </w:r>
      <w:r w:rsidR="00177848" w:rsidRPr="00C6052E">
        <w:t xml:space="preserve"> </w:t>
      </w:r>
      <w:r w:rsidRPr="00C6052E">
        <w:t>to</w:t>
      </w:r>
      <w:r w:rsidR="00177848" w:rsidRPr="00C6052E">
        <w:t xml:space="preserve"> </w:t>
      </w:r>
      <w:r w:rsidRPr="00C6052E">
        <w:t>its</w:t>
      </w:r>
      <w:r w:rsidR="00177848" w:rsidRPr="00C6052E">
        <w:t xml:space="preserve"> </w:t>
      </w:r>
      <w:r w:rsidRPr="00C6052E">
        <w:t>suppliers</w:t>
      </w:r>
      <w:r w:rsidR="00177848" w:rsidRPr="00C6052E">
        <w:t xml:space="preserve"> </w:t>
      </w:r>
      <w:r w:rsidRPr="00C6052E">
        <w:t>and</w:t>
      </w:r>
      <w:r w:rsidR="00177848" w:rsidRPr="00C6052E">
        <w:t xml:space="preserve"> </w:t>
      </w:r>
      <w:r w:rsidRPr="00C6052E">
        <w:t>creditors</w:t>
      </w:r>
      <w:r w:rsidR="00177848" w:rsidRPr="00C6052E">
        <w:t xml:space="preserve"> </w:t>
      </w:r>
      <w:r w:rsidRPr="00C6052E">
        <w:t>are</w:t>
      </w:r>
      <w:r w:rsidR="00177848" w:rsidRPr="00C6052E">
        <w:t xml:space="preserve"> </w:t>
      </w:r>
      <w:r w:rsidRPr="00C6052E">
        <w:t>made</w:t>
      </w:r>
      <w:r w:rsidR="00177848" w:rsidRPr="00C6052E">
        <w:t xml:space="preserve"> </w:t>
      </w:r>
      <w:r w:rsidRPr="00C6052E">
        <w:t>via</w:t>
      </w:r>
      <w:r w:rsidR="00177848" w:rsidRPr="00C6052E">
        <w:t xml:space="preserve"> </w:t>
      </w:r>
      <w:r w:rsidRPr="00C6052E">
        <w:t>the</w:t>
      </w:r>
      <w:r w:rsidR="00177848" w:rsidRPr="00C6052E">
        <w:t xml:space="preserve"> </w:t>
      </w:r>
      <w:r w:rsidRPr="00C6052E">
        <w:t>Public</w:t>
      </w:r>
      <w:r w:rsidR="00177848" w:rsidRPr="00C6052E">
        <w:t xml:space="preserve"> </w:t>
      </w:r>
      <w:r w:rsidRPr="00C6052E">
        <w:t>Account.</w:t>
      </w:r>
      <w:r w:rsidR="00177848" w:rsidRPr="00C6052E">
        <w:t xml:space="preserve"> </w:t>
      </w:r>
    </w:p>
    <w:p w14:paraId="28E267D0" w14:textId="3C260F01" w:rsidR="00EE5BB8" w:rsidRPr="00C6052E" w:rsidRDefault="00EE5BB8" w:rsidP="000C0740">
      <w:pPr>
        <w:pStyle w:val="Heading3numbered0"/>
      </w:pPr>
      <w:r w:rsidRPr="00C6052E">
        <w:lastRenderedPageBreak/>
        <w:t>Reconciliation</w:t>
      </w:r>
      <w:r w:rsidR="00177848" w:rsidRPr="00C6052E">
        <w:t xml:space="preserve"> </w:t>
      </w:r>
      <w:r w:rsidRPr="00C6052E">
        <w:t>of</w:t>
      </w:r>
      <w:r w:rsidR="00177848" w:rsidRPr="00C6052E">
        <w:t xml:space="preserve"> </w:t>
      </w:r>
      <w:r w:rsidRPr="00C6052E">
        <w:t>net</w:t>
      </w:r>
      <w:r w:rsidR="00177848" w:rsidRPr="00C6052E">
        <w:t xml:space="preserve"> </w:t>
      </w:r>
      <w:r w:rsidRPr="00C6052E">
        <w:t>result</w:t>
      </w:r>
      <w:r w:rsidR="00177848" w:rsidRPr="00C6052E">
        <w:t xml:space="preserve"> </w:t>
      </w:r>
      <w:r w:rsidRPr="00C6052E">
        <w:t>for</w:t>
      </w:r>
      <w:r w:rsidR="00177848" w:rsidRPr="00C6052E">
        <w:t xml:space="preserve"> </w:t>
      </w:r>
      <w:r w:rsidRPr="00C6052E">
        <w:t>the</w:t>
      </w:r>
      <w:r w:rsidR="00177848" w:rsidRPr="00C6052E">
        <w:t xml:space="preserve"> </w:t>
      </w:r>
      <w:r w:rsidRPr="00C6052E">
        <w:t>period</w:t>
      </w:r>
      <w:r w:rsidR="00177848" w:rsidRPr="00C6052E">
        <w:t xml:space="preserve"> </w:t>
      </w:r>
      <w:r w:rsidRPr="00C6052E">
        <w:t>to</w:t>
      </w:r>
      <w:r w:rsidR="00177848" w:rsidRPr="00C6052E">
        <w:t xml:space="preserve"> </w:t>
      </w:r>
      <w:r w:rsidRPr="00C6052E">
        <w:t>cash</w:t>
      </w:r>
      <w:r w:rsidR="00177848" w:rsidRPr="00C6052E">
        <w:t xml:space="preserve"> </w:t>
      </w:r>
      <w:r w:rsidRPr="00C6052E">
        <w:t>flow</w:t>
      </w:r>
      <w:r w:rsidR="00177848" w:rsidRPr="00C6052E">
        <w:t xml:space="preserve"> </w:t>
      </w:r>
      <w:r w:rsidRPr="00C6052E">
        <w:t>from</w:t>
      </w:r>
      <w:r w:rsidR="00177848" w:rsidRPr="00C6052E">
        <w:t xml:space="preserve"> </w:t>
      </w:r>
      <w:r w:rsidRPr="00C6052E">
        <w:t>operating</w:t>
      </w:r>
      <w:r w:rsidR="00177848" w:rsidRPr="00C6052E">
        <w:t xml:space="preserve"> </w:t>
      </w:r>
      <w:r w:rsidRPr="00C6052E">
        <w:t>activities</w:t>
      </w:r>
      <w:r w:rsidR="00177848" w:rsidRPr="00C6052E">
        <w:t xml:space="preserve"> </w:t>
      </w:r>
    </w:p>
    <w:tbl>
      <w:tblPr>
        <w:tblStyle w:val="TableGrid"/>
        <w:tblW w:w="9633" w:type="dxa"/>
        <w:tblLayout w:type="fixed"/>
        <w:tblLook w:val="04E0" w:firstRow="1" w:lastRow="1" w:firstColumn="1" w:lastColumn="0" w:noHBand="0" w:noVBand="1"/>
      </w:tblPr>
      <w:tblGrid>
        <w:gridCol w:w="6799"/>
        <w:gridCol w:w="1417"/>
        <w:gridCol w:w="1417"/>
      </w:tblGrid>
      <w:tr w:rsidR="00EE5BB8" w:rsidRPr="00C6052E" w14:paraId="3B5C11DE" w14:textId="77777777" w:rsidTr="00D97857">
        <w:trPr>
          <w:tblHeader/>
        </w:trPr>
        <w:tc>
          <w:tcPr>
            <w:tcW w:w="6799" w:type="dxa"/>
            <w:noWrap/>
            <w:hideMark/>
          </w:tcPr>
          <w:p w14:paraId="2DD41B08" w14:textId="696D2C79" w:rsidR="00EE5BB8" w:rsidRPr="00C6052E" w:rsidRDefault="00EE5BB8" w:rsidP="00B1545C">
            <w:pPr>
              <w:pStyle w:val="TableColumnHeading"/>
              <w:rPr>
                <w:lang w:val="en-AU"/>
              </w:rPr>
            </w:pPr>
            <w:bookmarkStart w:id="288" w:name="TableColumnHeadings_85"/>
            <w:bookmarkEnd w:id="288"/>
          </w:p>
        </w:tc>
        <w:tc>
          <w:tcPr>
            <w:tcW w:w="1417" w:type="dxa"/>
            <w:hideMark/>
          </w:tcPr>
          <w:p w14:paraId="3D1DD84D" w14:textId="35EC34E3" w:rsidR="00EE5BB8" w:rsidRPr="00C6052E" w:rsidRDefault="00EE5BB8" w:rsidP="00D97857">
            <w:pPr>
              <w:pStyle w:val="TableColumnHeading"/>
              <w:jc w:val="right"/>
            </w:pPr>
            <w:r w:rsidRPr="00C6052E">
              <w:t>2025</w:t>
            </w:r>
            <w:r w:rsidR="00D97857">
              <w:br/>
            </w:r>
            <w:r w:rsidR="00D97857" w:rsidRPr="00C6052E">
              <w:rPr>
                <w:lang w:val="en-AU"/>
              </w:rPr>
              <w:t>($ thousand)</w:t>
            </w:r>
          </w:p>
        </w:tc>
        <w:tc>
          <w:tcPr>
            <w:tcW w:w="1417" w:type="dxa"/>
            <w:hideMark/>
          </w:tcPr>
          <w:p w14:paraId="3CFFC602" w14:textId="41B5ABC0" w:rsidR="00EE5BB8" w:rsidRPr="00C6052E" w:rsidRDefault="00EE5BB8" w:rsidP="00D97857">
            <w:pPr>
              <w:pStyle w:val="TableColumnHeading"/>
              <w:jc w:val="right"/>
            </w:pPr>
            <w:r w:rsidRPr="00C6052E">
              <w:t>2024</w:t>
            </w:r>
            <w:r w:rsidR="00D97857">
              <w:br/>
            </w:r>
            <w:r w:rsidR="00D97857" w:rsidRPr="00C6052E">
              <w:rPr>
                <w:lang w:val="en-AU"/>
              </w:rPr>
              <w:t>($ thousand)</w:t>
            </w:r>
          </w:p>
        </w:tc>
      </w:tr>
      <w:tr w:rsidR="00EE5BB8" w:rsidRPr="00C6052E" w14:paraId="26C926CB" w14:textId="77777777" w:rsidTr="00D97857">
        <w:tc>
          <w:tcPr>
            <w:tcW w:w="6799" w:type="dxa"/>
            <w:hideMark/>
          </w:tcPr>
          <w:p w14:paraId="56265501" w14:textId="699D7B58" w:rsidR="00EE5BB8" w:rsidRPr="00C6052E" w:rsidRDefault="00EE5BB8" w:rsidP="0063097D">
            <w:pPr>
              <w:pStyle w:val="Tabletotal"/>
            </w:pPr>
            <w:r w:rsidRPr="00C6052E">
              <w:t>Net</w:t>
            </w:r>
            <w:r w:rsidR="00177848" w:rsidRPr="00C6052E">
              <w:t xml:space="preserve"> </w:t>
            </w:r>
            <w:r w:rsidRPr="00C6052E">
              <w:t>result</w:t>
            </w:r>
            <w:r w:rsidR="00177848" w:rsidRPr="00C6052E">
              <w:t xml:space="preserve"> </w:t>
            </w:r>
            <w:r w:rsidRPr="00C6052E">
              <w:t>for</w:t>
            </w:r>
            <w:r w:rsidR="00177848" w:rsidRPr="00C6052E">
              <w:t xml:space="preserve"> </w:t>
            </w:r>
            <w:r w:rsidRPr="00C6052E">
              <w:t>the</w:t>
            </w:r>
            <w:r w:rsidR="00177848" w:rsidRPr="00C6052E">
              <w:t xml:space="preserve"> </w:t>
            </w:r>
            <w:r w:rsidRPr="00C6052E">
              <w:t>year</w:t>
            </w:r>
          </w:p>
        </w:tc>
        <w:tc>
          <w:tcPr>
            <w:tcW w:w="1417" w:type="dxa"/>
            <w:noWrap/>
            <w:hideMark/>
          </w:tcPr>
          <w:p w14:paraId="1797DBA9" w14:textId="77777777" w:rsidR="00EE5BB8" w:rsidRPr="00C6052E" w:rsidRDefault="00EE5BB8" w:rsidP="00D97857">
            <w:pPr>
              <w:pStyle w:val="Tabletotal"/>
              <w:jc w:val="right"/>
            </w:pPr>
            <w:r w:rsidRPr="00C6052E">
              <w:t>196,633</w:t>
            </w:r>
          </w:p>
        </w:tc>
        <w:tc>
          <w:tcPr>
            <w:tcW w:w="1417" w:type="dxa"/>
            <w:noWrap/>
            <w:hideMark/>
          </w:tcPr>
          <w:p w14:paraId="37D2A322" w14:textId="77777777" w:rsidR="00EE5BB8" w:rsidRPr="00C6052E" w:rsidRDefault="00EE5BB8" w:rsidP="00D97857">
            <w:pPr>
              <w:pStyle w:val="Tabletotal"/>
              <w:jc w:val="right"/>
            </w:pPr>
            <w:r w:rsidRPr="00C6052E">
              <w:t>89,901</w:t>
            </w:r>
          </w:p>
        </w:tc>
      </w:tr>
      <w:tr w:rsidR="00D97857" w:rsidRPr="00C6052E" w14:paraId="30680902" w14:textId="77777777" w:rsidTr="00D97857">
        <w:tc>
          <w:tcPr>
            <w:tcW w:w="6799" w:type="dxa"/>
          </w:tcPr>
          <w:p w14:paraId="71B3A7AF" w14:textId="760C80A3" w:rsidR="00D97857" w:rsidRPr="00C6052E" w:rsidRDefault="00D97857" w:rsidP="00D97857">
            <w:pPr>
              <w:pStyle w:val="TableHeading"/>
            </w:pPr>
            <w:r w:rsidRPr="00C6052E">
              <w:t>Non-cash movements</w:t>
            </w:r>
          </w:p>
        </w:tc>
        <w:tc>
          <w:tcPr>
            <w:tcW w:w="1417" w:type="dxa"/>
            <w:noWrap/>
          </w:tcPr>
          <w:p w14:paraId="1434E00F" w14:textId="77777777" w:rsidR="00D97857" w:rsidRPr="00C6052E" w:rsidRDefault="00D97857" w:rsidP="00D97857">
            <w:pPr>
              <w:pStyle w:val="TableHeading"/>
              <w:jc w:val="right"/>
            </w:pPr>
          </w:p>
        </w:tc>
        <w:tc>
          <w:tcPr>
            <w:tcW w:w="1417" w:type="dxa"/>
            <w:noWrap/>
          </w:tcPr>
          <w:p w14:paraId="4B84601D" w14:textId="77777777" w:rsidR="00D97857" w:rsidRPr="00C6052E" w:rsidRDefault="00D97857" w:rsidP="00D97857">
            <w:pPr>
              <w:pStyle w:val="TableHeading"/>
              <w:jc w:val="right"/>
            </w:pPr>
          </w:p>
        </w:tc>
      </w:tr>
      <w:tr w:rsidR="00EE5BB8" w:rsidRPr="00C6052E" w14:paraId="76CCD916" w14:textId="77777777" w:rsidTr="00D97857">
        <w:tc>
          <w:tcPr>
            <w:tcW w:w="6799" w:type="dxa"/>
            <w:hideMark/>
          </w:tcPr>
          <w:p w14:paraId="16224B12" w14:textId="0E468169" w:rsidR="00EE5BB8" w:rsidRPr="00C6052E" w:rsidRDefault="00EE5BB8" w:rsidP="0063097D">
            <w:pPr>
              <w:pStyle w:val="TableCopy"/>
            </w:pPr>
            <w:r w:rsidRPr="00C6052E">
              <w:t>Loss</w:t>
            </w:r>
            <w:r w:rsidR="00177848" w:rsidRPr="00C6052E">
              <w:t xml:space="preserve"> </w:t>
            </w:r>
            <w:r w:rsidRPr="00C6052E">
              <w:t>on</w:t>
            </w:r>
            <w:r w:rsidR="00177848" w:rsidRPr="00C6052E">
              <w:t xml:space="preserve"> </w:t>
            </w:r>
            <w:r w:rsidRPr="00C6052E">
              <w:t>disposals</w:t>
            </w:r>
            <w:r w:rsidR="00177848" w:rsidRPr="00C6052E">
              <w:t xml:space="preserve"> </w:t>
            </w:r>
            <w:r w:rsidRPr="00C6052E">
              <w:t>of</w:t>
            </w:r>
            <w:r w:rsidR="00177848" w:rsidRPr="00C6052E">
              <w:t xml:space="preserve"> </w:t>
            </w:r>
            <w:r w:rsidRPr="00C6052E">
              <w:t>non-financial</w:t>
            </w:r>
            <w:r w:rsidR="00177848" w:rsidRPr="00C6052E">
              <w:t xml:space="preserve"> </w:t>
            </w:r>
            <w:r w:rsidRPr="00C6052E">
              <w:t>assets</w:t>
            </w:r>
            <w:r w:rsidR="00177848" w:rsidRPr="00C6052E">
              <w:t xml:space="preserve"> </w:t>
            </w:r>
          </w:p>
        </w:tc>
        <w:tc>
          <w:tcPr>
            <w:tcW w:w="1417" w:type="dxa"/>
            <w:noWrap/>
            <w:hideMark/>
          </w:tcPr>
          <w:p w14:paraId="3CA6BAE5" w14:textId="77777777" w:rsidR="00EE5BB8" w:rsidRPr="00C6052E" w:rsidRDefault="00EE5BB8" w:rsidP="00D97857">
            <w:pPr>
              <w:pStyle w:val="TableCopy"/>
              <w:jc w:val="right"/>
            </w:pPr>
            <w:r w:rsidRPr="00C6052E">
              <w:t>715</w:t>
            </w:r>
          </w:p>
        </w:tc>
        <w:tc>
          <w:tcPr>
            <w:tcW w:w="1417" w:type="dxa"/>
            <w:noWrap/>
            <w:hideMark/>
          </w:tcPr>
          <w:p w14:paraId="635CB65C" w14:textId="77777777" w:rsidR="00EE5BB8" w:rsidRPr="00C6052E" w:rsidRDefault="00EE5BB8" w:rsidP="00D97857">
            <w:pPr>
              <w:pStyle w:val="TableCopy"/>
              <w:jc w:val="right"/>
            </w:pPr>
            <w:r w:rsidRPr="00C6052E">
              <w:t>635</w:t>
            </w:r>
          </w:p>
        </w:tc>
      </w:tr>
      <w:tr w:rsidR="00EE5BB8" w:rsidRPr="00C6052E" w14:paraId="4CEB92BD" w14:textId="77777777" w:rsidTr="00D97857">
        <w:tc>
          <w:tcPr>
            <w:tcW w:w="6799" w:type="dxa"/>
            <w:hideMark/>
          </w:tcPr>
          <w:p w14:paraId="2BB10FE3" w14:textId="7C8E2EE2" w:rsidR="00EE5BB8" w:rsidRPr="00C6052E" w:rsidRDefault="00EE5BB8" w:rsidP="0063097D">
            <w:pPr>
              <w:pStyle w:val="TableCopy"/>
            </w:pPr>
            <w:r w:rsidRPr="00C6052E">
              <w:t>Assets</w:t>
            </w:r>
            <w:r w:rsidR="00177848" w:rsidRPr="00C6052E">
              <w:t xml:space="preserve"> </w:t>
            </w:r>
            <w:r w:rsidRPr="00C6052E">
              <w:t>received</w:t>
            </w:r>
            <w:r w:rsidR="00177848" w:rsidRPr="00C6052E">
              <w:t xml:space="preserve"> </w:t>
            </w:r>
            <w:r w:rsidRPr="00C6052E">
              <w:t>free</w:t>
            </w:r>
            <w:r w:rsidR="00177848" w:rsidRPr="00C6052E">
              <w:t xml:space="preserve"> </w:t>
            </w:r>
            <w:r w:rsidRPr="00C6052E">
              <w:t>of</w:t>
            </w:r>
            <w:r w:rsidR="00177848" w:rsidRPr="00C6052E">
              <w:t xml:space="preserve"> </w:t>
            </w:r>
            <w:r w:rsidRPr="00C6052E">
              <w:t>charge</w:t>
            </w:r>
          </w:p>
        </w:tc>
        <w:tc>
          <w:tcPr>
            <w:tcW w:w="1417" w:type="dxa"/>
            <w:noWrap/>
            <w:hideMark/>
          </w:tcPr>
          <w:p w14:paraId="42BB4AB6" w14:textId="77777777" w:rsidR="00EE5BB8" w:rsidRPr="00C6052E" w:rsidRDefault="00EE5BB8" w:rsidP="00D97857">
            <w:pPr>
              <w:pStyle w:val="TableCopy"/>
              <w:jc w:val="right"/>
            </w:pPr>
            <w:r w:rsidRPr="00C6052E">
              <w:t>(36,440)</w:t>
            </w:r>
          </w:p>
        </w:tc>
        <w:tc>
          <w:tcPr>
            <w:tcW w:w="1417" w:type="dxa"/>
            <w:noWrap/>
            <w:hideMark/>
          </w:tcPr>
          <w:p w14:paraId="262DFA64" w14:textId="77777777" w:rsidR="00EE5BB8" w:rsidRPr="00C6052E" w:rsidRDefault="00EE5BB8" w:rsidP="00D97857">
            <w:pPr>
              <w:pStyle w:val="TableCopy"/>
              <w:jc w:val="right"/>
            </w:pPr>
            <w:r w:rsidRPr="00C6052E">
              <w:t>–</w:t>
            </w:r>
          </w:p>
        </w:tc>
      </w:tr>
      <w:tr w:rsidR="00EE5BB8" w:rsidRPr="00C6052E" w14:paraId="78914B44" w14:textId="77777777" w:rsidTr="00D97857">
        <w:tc>
          <w:tcPr>
            <w:tcW w:w="6799" w:type="dxa"/>
            <w:hideMark/>
          </w:tcPr>
          <w:p w14:paraId="04693049" w14:textId="1B6681C9" w:rsidR="00EE5BB8" w:rsidRPr="00C6052E" w:rsidRDefault="00EE5BB8" w:rsidP="0063097D">
            <w:pPr>
              <w:pStyle w:val="TableCopy"/>
            </w:pPr>
            <w:r w:rsidRPr="00C6052E">
              <w:t>Assets</w:t>
            </w:r>
            <w:r w:rsidR="00177848" w:rsidRPr="00C6052E">
              <w:t xml:space="preserve"> </w:t>
            </w:r>
            <w:r w:rsidRPr="00C6052E">
              <w:t>provided</w:t>
            </w:r>
            <w:r w:rsidR="00177848" w:rsidRPr="00C6052E">
              <w:t xml:space="preserve"> </w:t>
            </w:r>
            <w:r w:rsidRPr="00C6052E">
              <w:t>free</w:t>
            </w:r>
            <w:r w:rsidR="00177848" w:rsidRPr="00C6052E">
              <w:t xml:space="preserve"> </w:t>
            </w:r>
            <w:r w:rsidRPr="00C6052E">
              <w:t>of</w:t>
            </w:r>
            <w:r w:rsidR="00177848" w:rsidRPr="00C6052E">
              <w:t xml:space="preserve"> </w:t>
            </w:r>
            <w:r w:rsidRPr="00C6052E">
              <w:t>charge</w:t>
            </w:r>
          </w:p>
        </w:tc>
        <w:tc>
          <w:tcPr>
            <w:tcW w:w="1417" w:type="dxa"/>
            <w:noWrap/>
            <w:hideMark/>
          </w:tcPr>
          <w:p w14:paraId="526E08E8" w14:textId="77777777" w:rsidR="00EE5BB8" w:rsidRPr="00C6052E" w:rsidRDefault="00EE5BB8" w:rsidP="00D97857">
            <w:pPr>
              <w:pStyle w:val="TableCopy"/>
              <w:jc w:val="right"/>
            </w:pPr>
            <w:r w:rsidRPr="00C6052E">
              <w:t>803</w:t>
            </w:r>
          </w:p>
        </w:tc>
        <w:tc>
          <w:tcPr>
            <w:tcW w:w="1417" w:type="dxa"/>
            <w:noWrap/>
            <w:hideMark/>
          </w:tcPr>
          <w:p w14:paraId="62588272" w14:textId="77777777" w:rsidR="00EE5BB8" w:rsidRPr="00C6052E" w:rsidRDefault="00EE5BB8" w:rsidP="00D97857">
            <w:pPr>
              <w:pStyle w:val="TableCopy"/>
              <w:jc w:val="right"/>
            </w:pPr>
            <w:r w:rsidRPr="00C6052E">
              <w:t>–</w:t>
            </w:r>
          </w:p>
        </w:tc>
      </w:tr>
      <w:tr w:rsidR="00EE5BB8" w:rsidRPr="00C6052E" w14:paraId="1850F529" w14:textId="77777777" w:rsidTr="00D97857">
        <w:tc>
          <w:tcPr>
            <w:tcW w:w="6799" w:type="dxa"/>
            <w:hideMark/>
          </w:tcPr>
          <w:p w14:paraId="79017991" w14:textId="2A0B23DC" w:rsidR="00EE5BB8" w:rsidRPr="00C6052E" w:rsidRDefault="00EE5BB8" w:rsidP="0063097D">
            <w:pPr>
              <w:pStyle w:val="TableCopy"/>
            </w:pPr>
            <w:r w:rsidRPr="00C6052E">
              <w:t>Depreciation</w:t>
            </w:r>
            <w:r w:rsidR="00177848" w:rsidRPr="00C6052E">
              <w:t xml:space="preserve"> </w:t>
            </w:r>
            <w:r w:rsidRPr="00C6052E">
              <w:t>and</w:t>
            </w:r>
            <w:r w:rsidR="00177848" w:rsidRPr="00C6052E">
              <w:t xml:space="preserve"> </w:t>
            </w:r>
            <w:r w:rsidRPr="00C6052E">
              <w:t>amortisation</w:t>
            </w:r>
            <w:r w:rsidR="00177848" w:rsidRPr="00C6052E">
              <w:t xml:space="preserve"> </w:t>
            </w:r>
            <w:r w:rsidRPr="00C6052E">
              <w:t>of</w:t>
            </w:r>
            <w:r w:rsidR="00177848" w:rsidRPr="00C6052E">
              <w:t xml:space="preserve"> </w:t>
            </w:r>
            <w:r w:rsidRPr="00C6052E">
              <w:t>non-financial</w:t>
            </w:r>
            <w:r w:rsidR="00177848" w:rsidRPr="00C6052E">
              <w:t xml:space="preserve"> </w:t>
            </w:r>
            <w:r w:rsidRPr="00C6052E">
              <w:t>assets</w:t>
            </w:r>
            <w:r w:rsidR="00177848" w:rsidRPr="00C6052E">
              <w:t xml:space="preserve"> </w:t>
            </w:r>
            <w:r w:rsidRPr="00C6052E">
              <w:t>and</w:t>
            </w:r>
            <w:r w:rsidR="00177848" w:rsidRPr="00C6052E">
              <w:t xml:space="preserve"> </w:t>
            </w:r>
            <w:r w:rsidRPr="00C6052E">
              <w:t>intangible</w:t>
            </w:r>
            <w:r w:rsidR="00177848" w:rsidRPr="00C6052E">
              <w:t xml:space="preserve"> </w:t>
            </w:r>
            <w:r w:rsidRPr="00C6052E">
              <w:t>assets</w:t>
            </w:r>
          </w:p>
        </w:tc>
        <w:tc>
          <w:tcPr>
            <w:tcW w:w="1417" w:type="dxa"/>
            <w:noWrap/>
            <w:hideMark/>
          </w:tcPr>
          <w:p w14:paraId="48A1B845" w14:textId="77777777" w:rsidR="00EE5BB8" w:rsidRPr="00C6052E" w:rsidRDefault="00EE5BB8" w:rsidP="00D97857">
            <w:pPr>
              <w:pStyle w:val="TableCopy"/>
              <w:jc w:val="right"/>
            </w:pPr>
            <w:r w:rsidRPr="00C6052E">
              <w:t>14,152</w:t>
            </w:r>
          </w:p>
        </w:tc>
        <w:tc>
          <w:tcPr>
            <w:tcW w:w="1417" w:type="dxa"/>
            <w:noWrap/>
            <w:hideMark/>
          </w:tcPr>
          <w:p w14:paraId="7F270DFF" w14:textId="77777777" w:rsidR="00EE5BB8" w:rsidRPr="00C6052E" w:rsidRDefault="00EE5BB8" w:rsidP="00D97857">
            <w:pPr>
              <w:pStyle w:val="TableCopy"/>
              <w:jc w:val="right"/>
            </w:pPr>
            <w:r w:rsidRPr="00C6052E">
              <w:t>13,372</w:t>
            </w:r>
          </w:p>
        </w:tc>
      </w:tr>
      <w:tr w:rsidR="00EE5BB8" w:rsidRPr="00C6052E" w14:paraId="7681B991" w14:textId="77777777" w:rsidTr="00D97857">
        <w:tc>
          <w:tcPr>
            <w:tcW w:w="6799" w:type="dxa"/>
            <w:hideMark/>
          </w:tcPr>
          <w:p w14:paraId="74D9F3BE" w14:textId="1727280F" w:rsidR="00EE5BB8" w:rsidRPr="00C6052E" w:rsidRDefault="00EE5BB8" w:rsidP="0063097D">
            <w:pPr>
              <w:pStyle w:val="TableCopy"/>
            </w:pPr>
            <w:r w:rsidRPr="00C6052E">
              <w:t>Net</w:t>
            </w:r>
            <w:r w:rsidR="00177848" w:rsidRPr="00C6052E">
              <w:t xml:space="preserve"> </w:t>
            </w:r>
            <w:r w:rsidRPr="00C6052E">
              <w:t>loss</w:t>
            </w:r>
            <w:r w:rsidR="00177848" w:rsidRPr="00C6052E">
              <w:t xml:space="preserve"> </w:t>
            </w:r>
            <w:r w:rsidRPr="00C6052E">
              <w:t>on</w:t>
            </w:r>
            <w:r w:rsidR="00177848" w:rsidRPr="00C6052E">
              <w:t xml:space="preserve"> </w:t>
            </w:r>
            <w:r w:rsidRPr="00C6052E">
              <w:t>financial</w:t>
            </w:r>
            <w:r w:rsidR="00177848" w:rsidRPr="00C6052E">
              <w:t xml:space="preserve"> </w:t>
            </w:r>
            <w:r w:rsidRPr="00C6052E">
              <w:t>instruments</w:t>
            </w:r>
            <w:r w:rsidR="00177848" w:rsidRPr="00C6052E">
              <w:t xml:space="preserve"> </w:t>
            </w:r>
          </w:p>
        </w:tc>
        <w:tc>
          <w:tcPr>
            <w:tcW w:w="1417" w:type="dxa"/>
            <w:noWrap/>
            <w:hideMark/>
          </w:tcPr>
          <w:p w14:paraId="6868B5A9" w14:textId="77777777" w:rsidR="00EE5BB8" w:rsidRPr="00C6052E" w:rsidRDefault="00EE5BB8" w:rsidP="00D97857">
            <w:pPr>
              <w:pStyle w:val="TableCopy"/>
              <w:jc w:val="right"/>
            </w:pPr>
            <w:r w:rsidRPr="00C6052E">
              <w:t>1,283</w:t>
            </w:r>
          </w:p>
        </w:tc>
        <w:tc>
          <w:tcPr>
            <w:tcW w:w="1417" w:type="dxa"/>
            <w:noWrap/>
            <w:hideMark/>
          </w:tcPr>
          <w:p w14:paraId="140DF521" w14:textId="77777777" w:rsidR="00EE5BB8" w:rsidRPr="00C6052E" w:rsidRDefault="00EE5BB8" w:rsidP="00D97857">
            <w:pPr>
              <w:pStyle w:val="TableCopy"/>
              <w:jc w:val="right"/>
            </w:pPr>
            <w:r w:rsidRPr="00C6052E">
              <w:t>1,563</w:t>
            </w:r>
          </w:p>
        </w:tc>
      </w:tr>
      <w:tr w:rsidR="00EE5BB8" w:rsidRPr="00C6052E" w14:paraId="450407D6" w14:textId="77777777" w:rsidTr="00D97857">
        <w:tc>
          <w:tcPr>
            <w:tcW w:w="6799" w:type="dxa"/>
            <w:hideMark/>
          </w:tcPr>
          <w:p w14:paraId="69B8F3EC" w14:textId="26D0EBB2" w:rsidR="00EE5BB8" w:rsidRPr="00C6052E" w:rsidRDefault="00EE5BB8" w:rsidP="0063097D">
            <w:pPr>
              <w:pStyle w:val="TableCopy"/>
            </w:pPr>
            <w:r w:rsidRPr="00C6052E">
              <w:t>Reversal/(Impairment</w:t>
            </w:r>
            <w:r w:rsidR="00177848" w:rsidRPr="00C6052E">
              <w:t xml:space="preserve"> </w:t>
            </w:r>
            <w:r w:rsidRPr="00C6052E">
              <w:t>loss)</w:t>
            </w:r>
            <w:r w:rsidR="00177848" w:rsidRPr="00C6052E">
              <w:t xml:space="preserve"> </w:t>
            </w:r>
            <w:r w:rsidRPr="00C6052E">
              <w:t>of</w:t>
            </w:r>
            <w:r w:rsidR="00177848" w:rsidRPr="00C6052E">
              <w:t xml:space="preserve"> </w:t>
            </w:r>
            <w:r w:rsidRPr="00C6052E">
              <w:t>loans</w:t>
            </w:r>
            <w:r w:rsidR="00177848" w:rsidRPr="00C6052E">
              <w:t xml:space="preserve"> </w:t>
            </w:r>
            <w:r w:rsidRPr="00C6052E">
              <w:t>and</w:t>
            </w:r>
            <w:r w:rsidR="00177848" w:rsidRPr="00C6052E">
              <w:t xml:space="preserve"> </w:t>
            </w:r>
            <w:r w:rsidRPr="00C6052E">
              <w:t>receivables</w:t>
            </w:r>
            <w:r w:rsidR="00177848" w:rsidRPr="00C6052E">
              <w:t xml:space="preserve"> </w:t>
            </w:r>
          </w:p>
        </w:tc>
        <w:tc>
          <w:tcPr>
            <w:tcW w:w="1417" w:type="dxa"/>
            <w:noWrap/>
            <w:hideMark/>
          </w:tcPr>
          <w:p w14:paraId="77729580" w14:textId="77777777" w:rsidR="00EE5BB8" w:rsidRPr="00C6052E" w:rsidRDefault="00EE5BB8" w:rsidP="00D97857">
            <w:pPr>
              <w:pStyle w:val="TableCopy"/>
              <w:jc w:val="right"/>
            </w:pPr>
            <w:r w:rsidRPr="00C6052E">
              <w:t>(29,576)</w:t>
            </w:r>
          </w:p>
        </w:tc>
        <w:tc>
          <w:tcPr>
            <w:tcW w:w="1417" w:type="dxa"/>
            <w:noWrap/>
            <w:hideMark/>
          </w:tcPr>
          <w:p w14:paraId="01DE3781" w14:textId="77777777" w:rsidR="00EE5BB8" w:rsidRPr="00C6052E" w:rsidRDefault="00EE5BB8" w:rsidP="00D97857">
            <w:pPr>
              <w:pStyle w:val="TableCopy"/>
              <w:jc w:val="right"/>
            </w:pPr>
            <w:r w:rsidRPr="00C6052E">
              <w:t>20,627</w:t>
            </w:r>
          </w:p>
        </w:tc>
      </w:tr>
      <w:tr w:rsidR="00EE5BB8" w:rsidRPr="00C6052E" w14:paraId="2076804D" w14:textId="77777777" w:rsidTr="00D97857">
        <w:tc>
          <w:tcPr>
            <w:tcW w:w="6799" w:type="dxa"/>
            <w:hideMark/>
          </w:tcPr>
          <w:p w14:paraId="46AD6A85" w14:textId="5D89555A" w:rsidR="00EE5BB8" w:rsidRPr="00C6052E" w:rsidRDefault="00EE5BB8" w:rsidP="0063097D">
            <w:pPr>
              <w:pStyle w:val="TableCopy"/>
            </w:pPr>
            <w:r w:rsidRPr="00C6052E">
              <w:t>Ex-gratia</w:t>
            </w:r>
            <w:r w:rsidR="00177848" w:rsidRPr="00C6052E">
              <w:t xml:space="preserve"> </w:t>
            </w:r>
            <w:r w:rsidRPr="00C6052E">
              <w:t>expense</w:t>
            </w:r>
          </w:p>
        </w:tc>
        <w:tc>
          <w:tcPr>
            <w:tcW w:w="1417" w:type="dxa"/>
            <w:noWrap/>
            <w:hideMark/>
          </w:tcPr>
          <w:p w14:paraId="05DC4FA1" w14:textId="77777777" w:rsidR="00EE5BB8" w:rsidRPr="00C6052E" w:rsidRDefault="00EE5BB8" w:rsidP="00D97857">
            <w:pPr>
              <w:pStyle w:val="TableCopy"/>
              <w:jc w:val="right"/>
            </w:pPr>
            <w:r w:rsidRPr="00C6052E">
              <w:t>38,403</w:t>
            </w:r>
          </w:p>
        </w:tc>
        <w:tc>
          <w:tcPr>
            <w:tcW w:w="1417" w:type="dxa"/>
            <w:noWrap/>
            <w:hideMark/>
          </w:tcPr>
          <w:p w14:paraId="6FE788C2" w14:textId="77777777" w:rsidR="00EE5BB8" w:rsidRPr="00C6052E" w:rsidRDefault="00EE5BB8" w:rsidP="00D97857">
            <w:pPr>
              <w:pStyle w:val="TableCopy"/>
              <w:jc w:val="right"/>
            </w:pPr>
            <w:r w:rsidRPr="00C6052E">
              <w:t>–</w:t>
            </w:r>
          </w:p>
        </w:tc>
      </w:tr>
      <w:tr w:rsidR="00EE5BB8" w:rsidRPr="00C6052E" w14:paraId="40E7F193" w14:textId="77777777" w:rsidTr="00D97857">
        <w:tc>
          <w:tcPr>
            <w:tcW w:w="6799" w:type="dxa"/>
            <w:hideMark/>
          </w:tcPr>
          <w:p w14:paraId="7D24CD54" w14:textId="7E310868" w:rsidR="00EE5BB8" w:rsidRPr="00C6052E" w:rsidRDefault="00EE5BB8" w:rsidP="0063097D">
            <w:pPr>
              <w:pStyle w:val="TableCopy"/>
            </w:pPr>
            <w:r w:rsidRPr="00C6052E">
              <w:t>Revaluation</w:t>
            </w:r>
            <w:r w:rsidR="00177848" w:rsidRPr="00C6052E">
              <w:t xml:space="preserve"> </w:t>
            </w:r>
            <w:r w:rsidRPr="00C6052E">
              <w:t>gain/(loss)</w:t>
            </w:r>
            <w:r w:rsidR="00177848" w:rsidRPr="00C6052E">
              <w:t xml:space="preserve"> </w:t>
            </w:r>
            <w:r w:rsidRPr="00C6052E">
              <w:t>of</w:t>
            </w:r>
            <w:r w:rsidR="00177848" w:rsidRPr="00C6052E">
              <w:t xml:space="preserve"> </w:t>
            </w:r>
            <w:r w:rsidRPr="00C6052E">
              <w:t>long</w:t>
            </w:r>
            <w:r w:rsidR="00177848" w:rsidRPr="00C6052E">
              <w:t xml:space="preserve"> </w:t>
            </w:r>
            <w:r w:rsidRPr="00C6052E">
              <w:t>service</w:t>
            </w:r>
            <w:r w:rsidR="00177848" w:rsidRPr="00C6052E">
              <w:t xml:space="preserve"> </w:t>
            </w:r>
            <w:r w:rsidRPr="00C6052E">
              <w:t>leave</w:t>
            </w:r>
            <w:r w:rsidR="00177848" w:rsidRPr="00C6052E">
              <w:t xml:space="preserve"> </w:t>
            </w:r>
            <w:r w:rsidRPr="00C6052E">
              <w:t>liability</w:t>
            </w:r>
            <w:r w:rsidR="00177848" w:rsidRPr="00C6052E">
              <w:t xml:space="preserve"> </w:t>
            </w:r>
          </w:p>
        </w:tc>
        <w:tc>
          <w:tcPr>
            <w:tcW w:w="1417" w:type="dxa"/>
            <w:noWrap/>
            <w:hideMark/>
          </w:tcPr>
          <w:p w14:paraId="07E61B09" w14:textId="77777777" w:rsidR="00EE5BB8" w:rsidRPr="00C6052E" w:rsidRDefault="00EE5BB8" w:rsidP="00D97857">
            <w:pPr>
              <w:pStyle w:val="TableCopy"/>
              <w:jc w:val="right"/>
            </w:pPr>
            <w:r w:rsidRPr="00C6052E">
              <w:t>255</w:t>
            </w:r>
          </w:p>
        </w:tc>
        <w:tc>
          <w:tcPr>
            <w:tcW w:w="1417" w:type="dxa"/>
            <w:noWrap/>
            <w:hideMark/>
          </w:tcPr>
          <w:p w14:paraId="21A7E424" w14:textId="77777777" w:rsidR="00EE5BB8" w:rsidRPr="00C6052E" w:rsidRDefault="00EE5BB8" w:rsidP="00D97857">
            <w:pPr>
              <w:pStyle w:val="TableCopy"/>
              <w:jc w:val="right"/>
            </w:pPr>
            <w:r w:rsidRPr="00C6052E">
              <w:t>(333)</w:t>
            </w:r>
          </w:p>
        </w:tc>
      </w:tr>
      <w:tr w:rsidR="00D97857" w:rsidRPr="00C6052E" w14:paraId="22DF54D6" w14:textId="77777777" w:rsidTr="00D97857">
        <w:tc>
          <w:tcPr>
            <w:tcW w:w="6799" w:type="dxa"/>
          </w:tcPr>
          <w:p w14:paraId="5914798C" w14:textId="5FFA8F10" w:rsidR="00D97857" w:rsidRPr="00C6052E" w:rsidRDefault="00D97857" w:rsidP="0004184F">
            <w:pPr>
              <w:pStyle w:val="TableHeading"/>
            </w:pPr>
            <w:r w:rsidRPr="00C6052E">
              <w:t>Movements in assets and liabilities</w:t>
            </w:r>
          </w:p>
        </w:tc>
        <w:tc>
          <w:tcPr>
            <w:tcW w:w="1417" w:type="dxa"/>
            <w:noWrap/>
          </w:tcPr>
          <w:p w14:paraId="0187E008" w14:textId="77777777" w:rsidR="00D97857" w:rsidRPr="00C6052E" w:rsidRDefault="00D97857" w:rsidP="00D97857">
            <w:pPr>
              <w:pStyle w:val="TableHeading"/>
              <w:jc w:val="right"/>
            </w:pPr>
          </w:p>
        </w:tc>
        <w:tc>
          <w:tcPr>
            <w:tcW w:w="1417" w:type="dxa"/>
            <w:noWrap/>
          </w:tcPr>
          <w:p w14:paraId="54AA4329" w14:textId="77777777" w:rsidR="00D97857" w:rsidRPr="00C6052E" w:rsidRDefault="00D97857" w:rsidP="00D97857">
            <w:pPr>
              <w:pStyle w:val="TableHeading"/>
              <w:jc w:val="right"/>
            </w:pPr>
          </w:p>
        </w:tc>
      </w:tr>
      <w:tr w:rsidR="00EE5BB8" w:rsidRPr="00C6052E" w14:paraId="36E0CC76" w14:textId="77777777" w:rsidTr="00D97857">
        <w:tc>
          <w:tcPr>
            <w:tcW w:w="6799" w:type="dxa"/>
            <w:hideMark/>
          </w:tcPr>
          <w:p w14:paraId="4986C7F5" w14:textId="26AFFB1E" w:rsidR="00EE5BB8" w:rsidRPr="00C6052E" w:rsidRDefault="00EE5BB8" w:rsidP="00D97857">
            <w:pPr>
              <w:pStyle w:val="TableCopy"/>
              <w:keepNext/>
            </w:pPr>
            <w:r w:rsidRPr="00C6052E">
              <w:t>Decrease/(Increase)</w:t>
            </w:r>
            <w:r w:rsidR="00177848" w:rsidRPr="00C6052E">
              <w:t xml:space="preserve"> </w:t>
            </w:r>
            <w:r w:rsidRPr="00C6052E">
              <w:t>in</w:t>
            </w:r>
            <w:r w:rsidR="00177848" w:rsidRPr="00C6052E">
              <w:t xml:space="preserve"> </w:t>
            </w:r>
            <w:r w:rsidRPr="00C6052E">
              <w:t>receivables</w:t>
            </w:r>
            <w:r w:rsidR="00177848" w:rsidRPr="00C6052E">
              <w:t xml:space="preserve"> </w:t>
            </w:r>
          </w:p>
        </w:tc>
        <w:tc>
          <w:tcPr>
            <w:tcW w:w="1417" w:type="dxa"/>
            <w:noWrap/>
            <w:hideMark/>
          </w:tcPr>
          <w:p w14:paraId="52B1EE59" w14:textId="77777777" w:rsidR="00EE5BB8" w:rsidRPr="00C6052E" w:rsidRDefault="00EE5BB8" w:rsidP="00D97857">
            <w:pPr>
              <w:pStyle w:val="TableCopy"/>
              <w:keepNext/>
              <w:jc w:val="right"/>
            </w:pPr>
            <w:r w:rsidRPr="00C6052E">
              <w:t>216,339</w:t>
            </w:r>
          </w:p>
        </w:tc>
        <w:tc>
          <w:tcPr>
            <w:tcW w:w="1417" w:type="dxa"/>
            <w:noWrap/>
            <w:hideMark/>
          </w:tcPr>
          <w:p w14:paraId="0F11BF33" w14:textId="77777777" w:rsidR="00EE5BB8" w:rsidRPr="00C6052E" w:rsidRDefault="00EE5BB8" w:rsidP="00D97857">
            <w:pPr>
              <w:pStyle w:val="TableCopy"/>
              <w:keepNext/>
              <w:jc w:val="right"/>
            </w:pPr>
            <w:r w:rsidRPr="00C6052E">
              <w:t>(216,309)</w:t>
            </w:r>
          </w:p>
        </w:tc>
      </w:tr>
      <w:tr w:rsidR="00EE5BB8" w:rsidRPr="00C6052E" w14:paraId="5A0E667D" w14:textId="77777777" w:rsidTr="00D97857">
        <w:tc>
          <w:tcPr>
            <w:tcW w:w="6799" w:type="dxa"/>
            <w:hideMark/>
          </w:tcPr>
          <w:p w14:paraId="6910A8E6" w14:textId="161C21B9" w:rsidR="00EE5BB8" w:rsidRPr="00C6052E" w:rsidRDefault="00EE5BB8" w:rsidP="0063097D">
            <w:pPr>
              <w:pStyle w:val="TableCopy"/>
            </w:pPr>
            <w:r w:rsidRPr="00C6052E">
              <w:t>Decrease/(increase)</w:t>
            </w:r>
            <w:r w:rsidR="00177848" w:rsidRPr="00C6052E">
              <w:t xml:space="preserve"> </w:t>
            </w:r>
            <w:r w:rsidRPr="00C6052E">
              <w:t>in</w:t>
            </w:r>
            <w:r w:rsidR="00177848" w:rsidRPr="00C6052E">
              <w:t xml:space="preserve"> </w:t>
            </w:r>
            <w:r w:rsidRPr="00C6052E">
              <w:t>investments</w:t>
            </w:r>
          </w:p>
        </w:tc>
        <w:tc>
          <w:tcPr>
            <w:tcW w:w="1417" w:type="dxa"/>
            <w:noWrap/>
            <w:hideMark/>
          </w:tcPr>
          <w:p w14:paraId="3F2C7E2F" w14:textId="77777777" w:rsidR="00EE5BB8" w:rsidRPr="00C6052E" w:rsidRDefault="00EE5BB8" w:rsidP="00D97857">
            <w:pPr>
              <w:pStyle w:val="TableCopy"/>
              <w:jc w:val="right"/>
            </w:pPr>
            <w:r w:rsidRPr="00C6052E">
              <w:t>(5,250)</w:t>
            </w:r>
          </w:p>
        </w:tc>
        <w:tc>
          <w:tcPr>
            <w:tcW w:w="1417" w:type="dxa"/>
            <w:noWrap/>
            <w:hideMark/>
          </w:tcPr>
          <w:p w14:paraId="28F1A9DE" w14:textId="77777777" w:rsidR="00EE5BB8" w:rsidRPr="00C6052E" w:rsidRDefault="00EE5BB8" w:rsidP="00D97857">
            <w:pPr>
              <w:pStyle w:val="TableCopy"/>
              <w:jc w:val="right"/>
            </w:pPr>
            <w:r w:rsidRPr="00C6052E">
              <w:t>(4,690)</w:t>
            </w:r>
          </w:p>
        </w:tc>
      </w:tr>
      <w:tr w:rsidR="00EE5BB8" w:rsidRPr="00C6052E" w14:paraId="5E151EB0" w14:textId="77777777" w:rsidTr="00D97857">
        <w:tc>
          <w:tcPr>
            <w:tcW w:w="6799" w:type="dxa"/>
            <w:hideMark/>
          </w:tcPr>
          <w:p w14:paraId="757EB621" w14:textId="559E2D5D" w:rsidR="00EE5BB8" w:rsidRPr="00C6052E" w:rsidRDefault="00EE5BB8" w:rsidP="0063097D">
            <w:pPr>
              <w:pStyle w:val="TableCopy"/>
            </w:pPr>
            <w:r w:rsidRPr="00C6052E">
              <w:t>(Decrease)/increase</w:t>
            </w:r>
            <w:r w:rsidR="00177848" w:rsidRPr="00C6052E">
              <w:t xml:space="preserve"> </w:t>
            </w:r>
            <w:r w:rsidRPr="00C6052E">
              <w:t>in</w:t>
            </w:r>
            <w:r w:rsidR="00177848" w:rsidRPr="00C6052E">
              <w:t xml:space="preserve"> </w:t>
            </w:r>
            <w:r w:rsidRPr="00C6052E">
              <w:t>payables</w:t>
            </w:r>
          </w:p>
        </w:tc>
        <w:tc>
          <w:tcPr>
            <w:tcW w:w="1417" w:type="dxa"/>
            <w:noWrap/>
            <w:hideMark/>
          </w:tcPr>
          <w:p w14:paraId="191DFF56" w14:textId="77777777" w:rsidR="00EE5BB8" w:rsidRPr="00C6052E" w:rsidRDefault="00EE5BB8" w:rsidP="00D97857">
            <w:pPr>
              <w:pStyle w:val="TableCopy"/>
              <w:jc w:val="right"/>
            </w:pPr>
            <w:r w:rsidRPr="00C6052E">
              <w:t>(377,511)</w:t>
            </w:r>
          </w:p>
        </w:tc>
        <w:tc>
          <w:tcPr>
            <w:tcW w:w="1417" w:type="dxa"/>
            <w:noWrap/>
            <w:hideMark/>
          </w:tcPr>
          <w:p w14:paraId="2ED936B9" w14:textId="77777777" w:rsidR="00EE5BB8" w:rsidRPr="00C6052E" w:rsidRDefault="00EE5BB8" w:rsidP="00D97857">
            <w:pPr>
              <w:pStyle w:val="TableCopy"/>
              <w:jc w:val="right"/>
            </w:pPr>
            <w:r w:rsidRPr="00C6052E">
              <w:t>234,199</w:t>
            </w:r>
          </w:p>
        </w:tc>
      </w:tr>
      <w:tr w:rsidR="00EE5BB8" w:rsidRPr="00C6052E" w14:paraId="65EF1017" w14:textId="77777777" w:rsidTr="00D97857">
        <w:tc>
          <w:tcPr>
            <w:tcW w:w="6799" w:type="dxa"/>
            <w:hideMark/>
          </w:tcPr>
          <w:p w14:paraId="6B472AB7" w14:textId="32C7995B" w:rsidR="00EE5BB8" w:rsidRPr="00C6052E" w:rsidRDefault="00EE5BB8" w:rsidP="0063097D">
            <w:pPr>
              <w:pStyle w:val="TableCopy"/>
            </w:pPr>
            <w:r w:rsidRPr="00C6052E">
              <w:t>(Decrease)/increase</w:t>
            </w:r>
            <w:r w:rsidR="00177848" w:rsidRPr="00C6052E">
              <w:t xml:space="preserve"> </w:t>
            </w:r>
            <w:r w:rsidRPr="00C6052E">
              <w:t>in</w:t>
            </w:r>
            <w:r w:rsidR="00177848" w:rsidRPr="00C6052E">
              <w:t xml:space="preserve"> </w:t>
            </w:r>
            <w:r w:rsidRPr="00C6052E">
              <w:t>provisions</w:t>
            </w:r>
          </w:p>
        </w:tc>
        <w:tc>
          <w:tcPr>
            <w:tcW w:w="1417" w:type="dxa"/>
            <w:noWrap/>
            <w:hideMark/>
          </w:tcPr>
          <w:p w14:paraId="243E9416" w14:textId="77777777" w:rsidR="00EE5BB8" w:rsidRPr="00C6052E" w:rsidRDefault="00EE5BB8" w:rsidP="00D97857">
            <w:pPr>
              <w:pStyle w:val="TableCopy"/>
              <w:jc w:val="right"/>
            </w:pPr>
            <w:r w:rsidRPr="00C6052E">
              <w:t>1,528</w:t>
            </w:r>
          </w:p>
        </w:tc>
        <w:tc>
          <w:tcPr>
            <w:tcW w:w="1417" w:type="dxa"/>
            <w:noWrap/>
            <w:hideMark/>
          </w:tcPr>
          <w:p w14:paraId="0FC3CF29" w14:textId="77777777" w:rsidR="00EE5BB8" w:rsidRPr="00C6052E" w:rsidRDefault="00EE5BB8" w:rsidP="00D97857">
            <w:pPr>
              <w:pStyle w:val="TableCopy"/>
              <w:jc w:val="right"/>
            </w:pPr>
            <w:r w:rsidRPr="00C6052E">
              <w:t>(5,477)</w:t>
            </w:r>
          </w:p>
        </w:tc>
      </w:tr>
      <w:tr w:rsidR="00EE5BB8" w:rsidRPr="00C6052E" w14:paraId="2B04D081" w14:textId="77777777" w:rsidTr="00D97857">
        <w:tc>
          <w:tcPr>
            <w:tcW w:w="6799" w:type="dxa"/>
            <w:hideMark/>
          </w:tcPr>
          <w:p w14:paraId="1F49250A" w14:textId="79ED64AF" w:rsidR="00EE5BB8" w:rsidRPr="00C6052E" w:rsidRDefault="00EE5BB8" w:rsidP="0063097D">
            <w:pPr>
              <w:pStyle w:val="Tabletotal"/>
            </w:pPr>
            <w:r w:rsidRPr="00C6052E">
              <w:t>Net</w:t>
            </w:r>
            <w:r w:rsidR="00177848" w:rsidRPr="00C6052E">
              <w:t xml:space="preserve"> </w:t>
            </w:r>
            <w:r w:rsidRPr="00C6052E">
              <w:t>cash</w:t>
            </w:r>
            <w:r w:rsidR="00177848" w:rsidRPr="00C6052E">
              <w:t xml:space="preserve"> </w:t>
            </w:r>
            <w:r w:rsidRPr="00C6052E">
              <w:t>flows</w:t>
            </w:r>
            <w:r w:rsidR="00177848" w:rsidRPr="00C6052E">
              <w:t xml:space="preserve"> </w:t>
            </w:r>
            <w:r w:rsidRPr="00C6052E">
              <w:t>used</w:t>
            </w:r>
            <w:r w:rsidR="00177848" w:rsidRPr="00C6052E">
              <w:t xml:space="preserve"> </w:t>
            </w:r>
            <w:r w:rsidRPr="00C6052E">
              <w:t>in</w:t>
            </w:r>
            <w:r w:rsidR="00177848" w:rsidRPr="00C6052E">
              <w:t xml:space="preserve"> </w:t>
            </w:r>
            <w:r w:rsidRPr="00C6052E">
              <w:t>operating</w:t>
            </w:r>
            <w:r w:rsidR="00177848" w:rsidRPr="00C6052E">
              <w:t xml:space="preserve"> </w:t>
            </w:r>
            <w:r w:rsidRPr="00C6052E">
              <w:t>activities</w:t>
            </w:r>
          </w:p>
        </w:tc>
        <w:tc>
          <w:tcPr>
            <w:tcW w:w="1417" w:type="dxa"/>
            <w:noWrap/>
            <w:hideMark/>
          </w:tcPr>
          <w:p w14:paraId="541EAC93" w14:textId="77777777" w:rsidR="00EE5BB8" w:rsidRPr="00C6052E" w:rsidRDefault="00EE5BB8" w:rsidP="00D97857">
            <w:pPr>
              <w:pStyle w:val="Tabletotal"/>
              <w:jc w:val="right"/>
            </w:pPr>
            <w:r w:rsidRPr="00C6052E">
              <w:t>21,334</w:t>
            </w:r>
          </w:p>
        </w:tc>
        <w:tc>
          <w:tcPr>
            <w:tcW w:w="1417" w:type="dxa"/>
            <w:noWrap/>
            <w:hideMark/>
          </w:tcPr>
          <w:p w14:paraId="37CF693B" w14:textId="77777777" w:rsidR="00EE5BB8" w:rsidRPr="00C6052E" w:rsidRDefault="00EE5BB8" w:rsidP="00D97857">
            <w:pPr>
              <w:pStyle w:val="Tabletotal"/>
              <w:jc w:val="right"/>
            </w:pPr>
            <w:r w:rsidRPr="00C6052E">
              <w:t>133,488</w:t>
            </w:r>
          </w:p>
        </w:tc>
      </w:tr>
    </w:tbl>
    <w:p w14:paraId="72BFB70F" w14:textId="77777777" w:rsidR="00EE5BB8" w:rsidRPr="00C6052E" w:rsidRDefault="00EE5BB8" w:rsidP="00EE5BB8"/>
    <w:p w14:paraId="3FDE9E41" w14:textId="77777777" w:rsidR="00EE5BB8" w:rsidRPr="00C6052E" w:rsidRDefault="00EE5BB8" w:rsidP="00EE5BB8">
      <w:pPr>
        <w:sectPr w:rsidR="00EE5BB8" w:rsidRPr="00C6052E" w:rsidSect="00EE5BB8">
          <w:headerReference w:type="even" r:id="rId26"/>
          <w:endnotePr>
            <w:numFmt w:val="decimal"/>
          </w:endnotePr>
          <w:type w:val="continuous"/>
          <w:pgSz w:w="11907" w:h="16840" w:code="9"/>
          <w:pgMar w:top="1134" w:right="1134" w:bottom="1134" w:left="1134" w:header="567" w:footer="567" w:gutter="0"/>
          <w:cols w:space="708"/>
          <w:docGrid w:linePitch="360"/>
        </w:sectPr>
      </w:pPr>
    </w:p>
    <w:p w14:paraId="5A69FB5A" w14:textId="5EC7CF1A" w:rsidR="00EE5BB8" w:rsidRPr="00C6052E" w:rsidRDefault="00EE5BB8" w:rsidP="00C6052E">
      <w:pPr>
        <w:pStyle w:val="Heading2numbered0"/>
      </w:pPr>
      <w:bookmarkStart w:id="289" w:name="_Toc163565981"/>
      <w:bookmarkStart w:id="290" w:name="_Ref209454666"/>
      <w:bookmarkStart w:id="291" w:name="_Ref209454676"/>
      <w:r w:rsidRPr="00C6052E">
        <w:lastRenderedPageBreak/>
        <w:t>Trust</w:t>
      </w:r>
      <w:r w:rsidR="00177848" w:rsidRPr="00C6052E">
        <w:t xml:space="preserve"> </w:t>
      </w:r>
      <w:r w:rsidRPr="00C6052E">
        <w:t>account</w:t>
      </w:r>
      <w:r w:rsidR="00177848" w:rsidRPr="00C6052E">
        <w:t xml:space="preserve"> </w:t>
      </w:r>
      <w:r w:rsidRPr="00C6052E">
        <w:t>balances</w:t>
      </w:r>
      <w:bookmarkEnd w:id="289"/>
      <w:bookmarkEnd w:id="290"/>
      <w:bookmarkEnd w:id="291"/>
    </w:p>
    <w:p w14:paraId="2EDCA06F" w14:textId="07FF8AA6" w:rsidR="00EE5BB8" w:rsidRPr="00C6052E" w:rsidRDefault="00EE5BB8" w:rsidP="000C0740">
      <w:pPr>
        <w:pStyle w:val="Heading3numbered0"/>
      </w:pPr>
      <w:r w:rsidRPr="00C6052E">
        <w:t>Trust</w:t>
      </w:r>
      <w:r w:rsidR="00177848" w:rsidRPr="00C6052E">
        <w:t xml:space="preserve"> </w:t>
      </w:r>
      <w:r w:rsidRPr="00C6052E">
        <w:t>account</w:t>
      </w:r>
      <w:r w:rsidR="00177848" w:rsidRPr="00C6052E">
        <w:t xml:space="preserve"> </w:t>
      </w:r>
      <w:r w:rsidRPr="00C6052E">
        <w:t>balances</w:t>
      </w:r>
      <w:r w:rsidR="00177848" w:rsidRPr="00C6052E">
        <w:t xml:space="preserve"> </w:t>
      </w:r>
      <w:r w:rsidRPr="00C6052E">
        <w:t>relating</w:t>
      </w:r>
      <w:r w:rsidR="00177848" w:rsidRPr="00C6052E">
        <w:t xml:space="preserve"> </w:t>
      </w:r>
      <w:r w:rsidRPr="00C6052E">
        <w:t>to</w:t>
      </w:r>
      <w:r w:rsidR="00177848" w:rsidRPr="00C6052E">
        <w:t xml:space="preserve"> </w:t>
      </w:r>
      <w:r w:rsidRPr="00C6052E">
        <w:t>trust</w:t>
      </w:r>
      <w:r w:rsidR="00177848" w:rsidRPr="00C6052E">
        <w:t xml:space="preserve"> </w:t>
      </w:r>
      <w:r w:rsidRPr="00C6052E">
        <w:t>accounts</w:t>
      </w:r>
      <w:r w:rsidR="00177848" w:rsidRPr="00C6052E">
        <w:t xml:space="preserve"> </w:t>
      </w:r>
      <w:r w:rsidRPr="00C6052E">
        <w:t>controlled</w:t>
      </w:r>
      <w:r w:rsidR="00177848" w:rsidRPr="00C6052E">
        <w:t xml:space="preserve"> </w:t>
      </w:r>
      <w:r w:rsidRPr="00C6052E">
        <w:t>by</w:t>
      </w:r>
      <w:r w:rsidR="00177848" w:rsidRPr="00C6052E">
        <w:t xml:space="preserve"> </w:t>
      </w:r>
      <w:fldSimple w:instr=" DOCPROPERTY  shortName  \* MERGEFORMAT ">
        <w:r w:rsidRPr="00C6052E">
          <w:t>DJSIR</w:t>
        </w:r>
      </w:fldSimple>
    </w:p>
    <w:tbl>
      <w:tblPr>
        <w:tblStyle w:val="TableGrid"/>
        <w:tblW w:w="14656" w:type="dxa"/>
        <w:tblLayout w:type="fixed"/>
        <w:tblLook w:val="04E0" w:firstRow="1" w:lastRow="1" w:firstColumn="1" w:lastColumn="0" w:noHBand="0" w:noVBand="1"/>
      </w:tblPr>
      <w:tblGrid>
        <w:gridCol w:w="3685"/>
        <w:gridCol w:w="1219"/>
        <w:gridCol w:w="1219"/>
        <w:gridCol w:w="1219"/>
        <w:gridCol w:w="1219"/>
        <w:gridCol w:w="1219"/>
        <w:gridCol w:w="1219"/>
        <w:gridCol w:w="1219"/>
        <w:gridCol w:w="1219"/>
        <w:gridCol w:w="1219"/>
      </w:tblGrid>
      <w:tr w:rsidR="00EE5BB8" w:rsidRPr="00C6052E" w14:paraId="6AEE16D8" w14:textId="77777777" w:rsidTr="00D97857">
        <w:trPr>
          <w:cantSplit/>
          <w:tblHeader/>
        </w:trPr>
        <w:tc>
          <w:tcPr>
            <w:tcW w:w="3685" w:type="dxa"/>
            <w:noWrap/>
            <w:hideMark/>
          </w:tcPr>
          <w:p w14:paraId="254D9902" w14:textId="617304AB" w:rsidR="00EE5BB8" w:rsidRPr="00C6052E" w:rsidRDefault="00EE5BB8" w:rsidP="00B1545C">
            <w:pPr>
              <w:pStyle w:val="TableColumnHeading"/>
              <w:rPr>
                <w:lang w:val="en-AU"/>
              </w:rPr>
            </w:pPr>
            <w:bookmarkStart w:id="292" w:name="TableColumnHeadings_86"/>
            <w:bookmarkEnd w:id="292"/>
            <w:r w:rsidRPr="00C6052E">
              <w:rPr>
                <w:lang w:val="en-AU"/>
              </w:rPr>
              <w:t>Controlled</w:t>
            </w:r>
            <w:r w:rsidR="00B1545C" w:rsidRPr="00C6052E">
              <w:rPr>
                <w:lang w:val="en-AU"/>
              </w:rPr>
              <w:t xml:space="preserve"> </w:t>
            </w:r>
            <w:r w:rsidRPr="00C6052E">
              <w:rPr>
                <w:lang w:val="en-AU"/>
              </w:rPr>
              <w:t>trusts</w:t>
            </w:r>
          </w:p>
        </w:tc>
        <w:tc>
          <w:tcPr>
            <w:tcW w:w="1219" w:type="dxa"/>
            <w:hideMark/>
          </w:tcPr>
          <w:p w14:paraId="2CF39F3F" w14:textId="66F50972" w:rsidR="00EE5BB8" w:rsidRPr="00C6052E" w:rsidRDefault="00EE5BB8" w:rsidP="00D97857">
            <w:pPr>
              <w:pStyle w:val="TableColumnHeading"/>
              <w:jc w:val="right"/>
              <w:rPr>
                <w:lang w:val="en-AU"/>
              </w:rPr>
            </w:pPr>
            <w:r w:rsidRPr="00C6052E">
              <w:rPr>
                <w:lang w:val="en-AU"/>
              </w:rPr>
              <w:t>Opening</w:t>
            </w:r>
            <w:r w:rsidR="00B1545C" w:rsidRPr="00C6052E">
              <w:rPr>
                <w:lang w:val="en-AU"/>
              </w:rPr>
              <w:t xml:space="preserve"> </w:t>
            </w:r>
            <w:r w:rsidRPr="00C6052E">
              <w:rPr>
                <w:lang w:val="en-AU"/>
              </w:rPr>
              <w:t>Balance</w:t>
            </w:r>
            <w:r w:rsidR="00177848" w:rsidRPr="00C6052E">
              <w:rPr>
                <w:lang w:val="en-AU"/>
              </w:rPr>
              <w:t xml:space="preserve"> </w:t>
            </w:r>
            <w:r w:rsidRPr="00C6052E">
              <w:rPr>
                <w:lang w:val="en-AU"/>
              </w:rPr>
              <w:t>as</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1</w:t>
            </w:r>
            <w:r w:rsidR="00177848" w:rsidRPr="00C6052E">
              <w:rPr>
                <w:lang w:val="en-AU"/>
              </w:rPr>
              <w:t xml:space="preserve"> </w:t>
            </w:r>
            <w:r w:rsidRPr="00C6052E">
              <w:rPr>
                <w:lang w:val="en-AU"/>
              </w:rPr>
              <w:t>July</w:t>
            </w:r>
            <w:r w:rsidR="00177848" w:rsidRPr="00C6052E">
              <w:rPr>
                <w:lang w:val="en-AU"/>
              </w:rPr>
              <w:t xml:space="preserve"> </w:t>
            </w:r>
            <w:r w:rsidRPr="00C6052E">
              <w:rPr>
                <w:lang w:val="en-AU"/>
              </w:rPr>
              <w:t>2024</w:t>
            </w:r>
            <w:r w:rsidR="00D97857">
              <w:rPr>
                <w:lang w:val="en-AU"/>
              </w:rPr>
              <w:br/>
            </w:r>
            <w:r w:rsidR="00D97857" w:rsidRPr="00C6052E">
              <w:t>2025</w:t>
            </w:r>
            <w:r w:rsidR="00D97857">
              <w:br/>
            </w:r>
            <w:r w:rsidR="00D97857" w:rsidRPr="00C6052E">
              <w:rPr>
                <w:lang w:val="en-AU"/>
              </w:rPr>
              <w:t xml:space="preserve">($ </w:t>
            </w:r>
            <w:r w:rsidR="00D97857">
              <w:rPr>
                <w:lang w:val="en-AU"/>
              </w:rPr>
              <w:t>‘000</w:t>
            </w:r>
            <w:r w:rsidR="00D97857" w:rsidRPr="00C6052E">
              <w:rPr>
                <w:lang w:val="en-AU"/>
              </w:rPr>
              <w:t>)</w:t>
            </w:r>
          </w:p>
        </w:tc>
        <w:tc>
          <w:tcPr>
            <w:tcW w:w="1219" w:type="dxa"/>
            <w:hideMark/>
          </w:tcPr>
          <w:p w14:paraId="1930EC3C" w14:textId="2F747FC1" w:rsidR="00EE5BB8" w:rsidRPr="00C6052E" w:rsidRDefault="00EE5BB8" w:rsidP="00D97857">
            <w:pPr>
              <w:pStyle w:val="TableColumnHeading"/>
              <w:jc w:val="right"/>
              <w:rPr>
                <w:lang w:val="en-AU"/>
              </w:rPr>
            </w:pPr>
            <w:r w:rsidRPr="00C6052E">
              <w:rPr>
                <w:lang w:val="en-AU"/>
              </w:rPr>
              <w:t>Total</w:t>
            </w:r>
            <w:r w:rsidR="00B1545C" w:rsidRPr="00C6052E">
              <w:rPr>
                <w:lang w:val="en-AU"/>
              </w:rPr>
              <w:t xml:space="preserve"> </w:t>
            </w:r>
            <w:r w:rsidRPr="00C6052E">
              <w:rPr>
                <w:lang w:val="en-AU"/>
              </w:rPr>
              <w:br/>
              <w:t>Receipts</w:t>
            </w:r>
            <w:r w:rsidR="00177848" w:rsidRPr="00C6052E">
              <w:rPr>
                <w:lang w:val="en-AU"/>
              </w:rPr>
              <w:t xml:space="preserve"> </w:t>
            </w:r>
            <w:r w:rsidR="00D97857">
              <w:rPr>
                <w:lang w:val="en-AU"/>
              </w:rPr>
              <w:br/>
            </w:r>
            <w:r w:rsidR="00D97857" w:rsidRPr="00C6052E">
              <w:t>2025</w:t>
            </w:r>
            <w:r w:rsidR="00D97857" w:rsidRPr="00C6052E">
              <w:rPr>
                <w:lang w:val="en-AU"/>
              </w:rPr>
              <w:t xml:space="preserve"> </w:t>
            </w:r>
            <w:r w:rsidR="00D97857">
              <w:rPr>
                <w:lang w:val="en-AU"/>
              </w:rPr>
              <w:br/>
            </w:r>
            <w:r w:rsidR="00D97857" w:rsidRPr="00C6052E">
              <w:rPr>
                <w:lang w:val="en-AU"/>
              </w:rPr>
              <w:t xml:space="preserve">($ </w:t>
            </w:r>
            <w:r w:rsidR="00D97857">
              <w:rPr>
                <w:lang w:val="en-AU"/>
              </w:rPr>
              <w:t>‘000</w:t>
            </w:r>
            <w:r w:rsidR="00D97857" w:rsidRPr="00C6052E">
              <w:rPr>
                <w:lang w:val="en-AU"/>
              </w:rPr>
              <w:t>)</w:t>
            </w:r>
          </w:p>
        </w:tc>
        <w:tc>
          <w:tcPr>
            <w:tcW w:w="1219" w:type="dxa"/>
            <w:hideMark/>
          </w:tcPr>
          <w:p w14:paraId="04E3840E" w14:textId="05A6A977" w:rsidR="00EE5BB8" w:rsidRPr="00C6052E" w:rsidRDefault="00EE5BB8" w:rsidP="00D97857">
            <w:pPr>
              <w:pStyle w:val="TableColumnHeading"/>
              <w:jc w:val="right"/>
              <w:rPr>
                <w:lang w:val="en-AU"/>
              </w:rPr>
            </w:pPr>
            <w:r w:rsidRPr="00C6052E">
              <w:rPr>
                <w:lang w:val="en-AU"/>
              </w:rPr>
              <w:t>Total</w:t>
            </w:r>
            <w:r w:rsidR="00B1545C" w:rsidRPr="00C6052E">
              <w:rPr>
                <w:lang w:val="en-AU"/>
              </w:rPr>
              <w:t xml:space="preserve"> </w:t>
            </w:r>
            <w:r w:rsidRPr="00C6052E">
              <w:rPr>
                <w:lang w:val="en-AU"/>
              </w:rPr>
              <w:t>Payments</w:t>
            </w:r>
            <w:r w:rsidR="00D97857">
              <w:rPr>
                <w:lang w:val="en-AU"/>
              </w:rPr>
              <w:br/>
            </w:r>
            <w:r w:rsidR="00D97857" w:rsidRPr="00C6052E">
              <w:t>2025</w:t>
            </w:r>
            <w:r w:rsidR="00D97857">
              <w:rPr>
                <w:lang w:val="en-AU"/>
              </w:rPr>
              <w:br/>
            </w:r>
            <w:r w:rsidR="00D97857" w:rsidRPr="00C6052E">
              <w:rPr>
                <w:lang w:val="en-AU"/>
              </w:rPr>
              <w:t xml:space="preserve">($ </w:t>
            </w:r>
            <w:r w:rsidR="00D97857">
              <w:rPr>
                <w:lang w:val="en-AU"/>
              </w:rPr>
              <w:t>‘000</w:t>
            </w:r>
            <w:r w:rsidR="00D97857" w:rsidRPr="00C6052E">
              <w:rPr>
                <w:lang w:val="en-AU"/>
              </w:rPr>
              <w:t>)</w:t>
            </w:r>
          </w:p>
        </w:tc>
        <w:tc>
          <w:tcPr>
            <w:tcW w:w="1219" w:type="dxa"/>
            <w:hideMark/>
          </w:tcPr>
          <w:p w14:paraId="274DC0CA" w14:textId="17F080E2" w:rsidR="00EE5BB8" w:rsidRPr="00C6052E" w:rsidRDefault="00EE5BB8" w:rsidP="00D97857">
            <w:pPr>
              <w:pStyle w:val="TableColumnHeading"/>
              <w:jc w:val="right"/>
              <w:rPr>
                <w:lang w:val="en-AU"/>
              </w:rPr>
            </w:pPr>
            <w:r w:rsidRPr="00C6052E">
              <w:rPr>
                <w:lang w:val="en-AU"/>
              </w:rPr>
              <w:t>Closing</w:t>
            </w:r>
            <w:r w:rsidR="00B1545C" w:rsidRPr="00C6052E">
              <w:rPr>
                <w:lang w:val="en-AU"/>
              </w:rPr>
              <w:t xml:space="preserve"> </w:t>
            </w:r>
            <w:r w:rsidRPr="00C6052E">
              <w:rPr>
                <w:lang w:val="en-AU"/>
              </w:rPr>
              <w:t>Balance</w:t>
            </w:r>
            <w:r w:rsidR="00177848" w:rsidRPr="00C6052E">
              <w:rPr>
                <w:lang w:val="en-AU"/>
              </w:rPr>
              <w:t xml:space="preserve"> </w:t>
            </w:r>
            <w:r w:rsidRPr="00C6052E">
              <w:rPr>
                <w:lang w:val="en-AU"/>
              </w:rPr>
              <w:t>as</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30</w:t>
            </w:r>
            <w:r w:rsidR="00177848" w:rsidRPr="00C6052E">
              <w:rPr>
                <w:lang w:val="en-AU"/>
              </w:rPr>
              <w:t xml:space="preserve"> </w:t>
            </w:r>
            <w:r w:rsidRPr="00C6052E">
              <w:rPr>
                <w:lang w:val="en-AU"/>
              </w:rPr>
              <w:t>June</w:t>
            </w:r>
            <w:r w:rsidR="00177848" w:rsidRPr="00C6052E">
              <w:rPr>
                <w:lang w:val="en-AU"/>
              </w:rPr>
              <w:t xml:space="preserve"> </w:t>
            </w:r>
            <w:r w:rsidRPr="00C6052E">
              <w:rPr>
                <w:lang w:val="en-AU"/>
              </w:rPr>
              <w:t>2025</w:t>
            </w:r>
            <w:r w:rsidR="00D97857">
              <w:rPr>
                <w:lang w:val="en-AU"/>
              </w:rPr>
              <w:br/>
            </w:r>
            <w:r w:rsidR="00D97857" w:rsidRPr="00C6052E">
              <w:rPr>
                <w:lang w:val="en-AU"/>
              </w:rPr>
              <w:t xml:space="preserve">($ </w:t>
            </w:r>
            <w:r w:rsidR="00D97857">
              <w:rPr>
                <w:lang w:val="en-AU"/>
              </w:rPr>
              <w:t>‘000</w:t>
            </w:r>
            <w:r w:rsidR="00D97857" w:rsidRPr="00C6052E">
              <w:rPr>
                <w:lang w:val="en-AU"/>
              </w:rPr>
              <w:t>)</w:t>
            </w:r>
          </w:p>
        </w:tc>
        <w:tc>
          <w:tcPr>
            <w:tcW w:w="1219" w:type="dxa"/>
            <w:hideMark/>
          </w:tcPr>
          <w:p w14:paraId="6CE9C598" w14:textId="24298BA1" w:rsidR="00EE5BB8" w:rsidRPr="00C6052E" w:rsidRDefault="00EE5BB8" w:rsidP="00D97857">
            <w:pPr>
              <w:pStyle w:val="TableColumnHeading"/>
              <w:jc w:val="right"/>
              <w:rPr>
                <w:lang w:val="en-AU"/>
              </w:rPr>
            </w:pPr>
            <w:r w:rsidRPr="00C6052E">
              <w:rPr>
                <w:lang w:val="en-AU"/>
              </w:rPr>
              <w:t>Opening</w:t>
            </w:r>
            <w:r w:rsidR="00B1545C" w:rsidRPr="00C6052E">
              <w:rPr>
                <w:lang w:val="en-AU"/>
              </w:rPr>
              <w:t xml:space="preserve"> </w:t>
            </w:r>
            <w:r w:rsidRPr="00C6052E">
              <w:rPr>
                <w:lang w:val="en-AU"/>
              </w:rPr>
              <w:t>Balance</w:t>
            </w:r>
            <w:r w:rsidR="00177848" w:rsidRPr="00C6052E">
              <w:rPr>
                <w:lang w:val="en-AU"/>
              </w:rPr>
              <w:t xml:space="preserve"> </w:t>
            </w:r>
            <w:r w:rsidRPr="00C6052E">
              <w:rPr>
                <w:lang w:val="en-AU"/>
              </w:rPr>
              <w:t>as</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1</w:t>
            </w:r>
            <w:r w:rsidR="00177848" w:rsidRPr="00C6052E">
              <w:rPr>
                <w:lang w:val="en-AU"/>
              </w:rPr>
              <w:t xml:space="preserve"> </w:t>
            </w:r>
            <w:r w:rsidRPr="00C6052E">
              <w:rPr>
                <w:lang w:val="en-AU"/>
              </w:rPr>
              <w:t>July</w:t>
            </w:r>
            <w:r w:rsidR="00177848" w:rsidRPr="00C6052E">
              <w:rPr>
                <w:lang w:val="en-AU"/>
              </w:rPr>
              <w:t xml:space="preserve"> </w:t>
            </w:r>
            <w:r w:rsidRPr="00C6052E">
              <w:rPr>
                <w:lang w:val="en-AU"/>
              </w:rPr>
              <w:t>2023</w:t>
            </w:r>
            <w:r w:rsidR="00D97857">
              <w:rPr>
                <w:lang w:val="en-AU"/>
              </w:rPr>
              <w:br/>
            </w:r>
            <w:r w:rsidR="00D97857" w:rsidRPr="00C6052E">
              <w:t>2024</w:t>
            </w:r>
            <w:r w:rsidR="00D97857">
              <w:rPr>
                <w:lang w:val="en-AU"/>
              </w:rPr>
              <w:br/>
            </w:r>
            <w:r w:rsidR="00D97857" w:rsidRPr="00C6052E">
              <w:rPr>
                <w:lang w:val="en-AU"/>
              </w:rPr>
              <w:t xml:space="preserve">($ </w:t>
            </w:r>
            <w:r w:rsidR="00D97857">
              <w:rPr>
                <w:lang w:val="en-AU"/>
              </w:rPr>
              <w:t>‘000</w:t>
            </w:r>
            <w:r w:rsidR="00D97857" w:rsidRPr="00C6052E">
              <w:rPr>
                <w:lang w:val="en-AU"/>
              </w:rPr>
              <w:t>)</w:t>
            </w:r>
          </w:p>
        </w:tc>
        <w:tc>
          <w:tcPr>
            <w:tcW w:w="1219" w:type="dxa"/>
            <w:hideMark/>
          </w:tcPr>
          <w:p w14:paraId="5F4E4B9B" w14:textId="3CE9732F" w:rsidR="00EE5BB8" w:rsidRPr="00C6052E" w:rsidRDefault="00EE5BB8" w:rsidP="00D97857">
            <w:pPr>
              <w:pStyle w:val="TableColumnHeading"/>
              <w:jc w:val="right"/>
              <w:rPr>
                <w:lang w:val="en-AU"/>
              </w:rPr>
            </w:pPr>
            <w:r w:rsidRPr="00C6052E">
              <w:rPr>
                <w:lang w:val="en-AU"/>
              </w:rPr>
              <w:t>MOG</w:t>
            </w:r>
            <w:r w:rsidR="00B1545C" w:rsidRPr="00C6052E">
              <w:rPr>
                <w:lang w:val="en-AU"/>
              </w:rPr>
              <w:t xml:space="preserve"> </w:t>
            </w:r>
            <w:r w:rsidRPr="00C6052E">
              <w:rPr>
                <w:lang w:val="en-AU"/>
              </w:rPr>
              <w:t>Transferred</w:t>
            </w:r>
            <w:r w:rsidR="00177848" w:rsidRPr="00C6052E">
              <w:rPr>
                <w:lang w:val="en-AU"/>
              </w:rPr>
              <w:t xml:space="preserve"> </w:t>
            </w:r>
            <w:r w:rsidRPr="00C6052E">
              <w:rPr>
                <w:lang w:val="en-AU"/>
              </w:rPr>
              <w:t>in/out</w:t>
            </w:r>
            <w:r w:rsidR="00D97857">
              <w:rPr>
                <w:lang w:val="en-AU"/>
              </w:rPr>
              <w:br/>
            </w:r>
            <w:r w:rsidR="00D97857" w:rsidRPr="00C6052E">
              <w:t>2024</w:t>
            </w:r>
            <w:r w:rsidR="00D97857">
              <w:rPr>
                <w:lang w:val="en-AU"/>
              </w:rPr>
              <w:br/>
            </w:r>
            <w:r w:rsidR="00D97857" w:rsidRPr="00C6052E">
              <w:rPr>
                <w:lang w:val="en-AU"/>
              </w:rPr>
              <w:t xml:space="preserve">($ </w:t>
            </w:r>
            <w:r w:rsidR="00D97857">
              <w:rPr>
                <w:lang w:val="en-AU"/>
              </w:rPr>
              <w:t>‘000</w:t>
            </w:r>
            <w:r w:rsidR="00D97857" w:rsidRPr="00C6052E">
              <w:rPr>
                <w:lang w:val="en-AU"/>
              </w:rPr>
              <w:t>)</w:t>
            </w:r>
          </w:p>
        </w:tc>
        <w:tc>
          <w:tcPr>
            <w:tcW w:w="1219" w:type="dxa"/>
            <w:hideMark/>
          </w:tcPr>
          <w:p w14:paraId="59B76F05" w14:textId="67E3CA2D" w:rsidR="00EE5BB8" w:rsidRPr="00C6052E" w:rsidRDefault="00EE5BB8" w:rsidP="00D97857">
            <w:pPr>
              <w:pStyle w:val="TableColumnHeading"/>
              <w:jc w:val="right"/>
              <w:rPr>
                <w:lang w:val="en-AU"/>
              </w:rPr>
            </w:pPr>
            <w:r w:rsidRPr="00C6052E">
              <w:rPr>
                <w:lang w:val="en-AU"/>
              </w:rPr>
              <w:t>Total</w:t>
            </w:r>
            <w:r w:rsidR="00B1545C" w:rsidRPr="00C6052E">
              <w:rPr>
                <w:lang w:val="en-AU"/>
              </w:rPr>
              <w:t xml:space="preserve"> </w:t>
            </w:r>
            <w:r w:rsidRPr="00C6052E">
              <w:rPr>
                <w:lang w:val="en-AU"/>
              </w:rPr>
              <w:br/>
              <w:t>Receipts</w:t>
            </w:r>
            <w:r w:rsidR="00D97857">
              <w:rPr>
                <w:lang w:val="en-AU"/>
              </w:rPr>
              <w:br/>
            </w:r>
            <w:r w:rsidR="00D97857" w:rsidRPr="00C6052E">
              <w:t>2024</w:t>
            </w:r>
            <w:r w:rsidR="00D97857">
              <w:rPr>
                <w:lang w:val="en-AU"/>
              </w:rPr>
              <w:br/>
            </w:r>
            <w:r w:rsidR="00D97857" w:rsidRPr="00C6052E">
              <w:rPr>
                <w:lang w:val="en-AU"/>
              </w:rPr>
              <w:t xml:space="preserve">($ </w:t>
            </w:r>
            <w:r w:rsidR="00D97857">
              <w:rPr>
                <w:lang w:val="en-AU"/>
              </w:rPr>
              <w:t>‘000</w:t>
            </w:r>
            <w:r w:rsidR="00D97857" w:rsidRPr="00C6052E">
              <w:rPr>
                <w:lang w:val="en-AU"/>
              </w:rPr>
              <w:t>)</w:t>
            </w:r>
          </w:p>
        </w:tc>
        <w:tc>
          <w:tcPr>
            <w:tcW w:w="1219" w:type="dxa"/>
            <w:hideMark/>
          </w:tcPr>
          <w:p w14:paraId="6D2AFA5D" w14:textId="5C2CA3BA" w:rsidR="00EE5BB8" w:rsidRPr="00C6052E" w:rsidRDefault="00EE5BB8" w:rsidP="00D97857">
            <w:pPr>
              <w:pStyle w:val="TableColumnHeading"/>
              <w:jc w:val="right"/>
              <w:rPr>
                <w:lang w:val="en-AU"/>
              </w:rPr>
            </w:pPr>
            <w:r w:rsidRPr="00C6052E">
              <w:rPr>
                <w:lang w:val="en-AU"/>
              </w:rPr>
              <w:t>Total</w:t>
            </w:r>
            <w:r w:rsidR="00B1545C" w:rsidRPr="00C6052E">
              <w:rPr>
                <w:lang w:val="en-AU"/>
              </w:rPr>
              <w:t xml:space="preserve"> </w:t>
            </w:r>
            <w:r w:rsidRPr="00C6052E">
              <w:rPr>
                <w:lang w:val="en-AU"/>
              </w:rPr>
              <w:t>Payments</w:t>
            </w:r>
            <w:r w:rsidR="00D97857">
              <w:rPr>
                <w:lang w:val="en-AU"/>
              </w:rPr>
              <w:br/>
            </w:r>
            <w:r w:rsidR="00D97857" w:rsidRPr="00C6052E">
              <w:t>2024</w:t>
            </w:r>
            <w:r w:rsidR="00D97857">
              <w:rPr>
                <w:lang w:val="en-AU"/>
              </w:rPr>
              <w:br/>
            </w:r>
            <w:r w:rsidR="00D97857" w:rsidRPr="00C6052E">
              <w:rPr>
                <w:lang w:val="en-AU"/>
              </w:rPr>
              <w:t xml:space="preserve">($ </w:t>
            </w:r>
            <w:r w:rsidR="00D97857">
              <w:rPr>
                <w:lang w:val="en-AU"/>
              </w:rPr>
              <w:t>‘000</w:t>
            </w:r>
            <w:r w:rsidR="00D97857" w:rsidRPr="00C6052E">
              <w:rPr>
                <w:lang w:val="en-AU"/>
              </w:rPr>
              <w:t>)</w:t>
            </w:r>
          </w:p>
        </w:tc>
        <w:tc>
          <w:tcPr>
            <w:tcW w:w="1219" w:type="dxa"/>
            <w:hideMark/>
          </w:tcPr>
          <w:p w14:paraId="24D3C30A" w14:textId="5C06571D" w:rsidR="00EE5BB8" w:rsidRPr="00C6052E" w:rsidRDefault="00EE5BB8" w:rsidP="00D97857">
            <w:pPr>
              <w:pStyle w:val="TableColumnHeading"/>
              <w:jc w:val="right"/>
              <w:rPr>
                <w:lang w:val="en-AU"/>
              </w:rPr>
            </w:pPr>
            <w:r w:rsidRPr="00C6052E">
              <w:rPr>
                <w:lang w:val="en-AU"/>
              </w:rPr>
              <w:t>Closing</w:t>
            </w:r>
            <w:r w:rsidR="00B1545C" w:rsidRPr="00C6052E">
              <w:rPr>
                <w:lang w:val="en-AU"/>
              </w:rPr>
              <w:t xml:space="preserve"> </w:t>
            </w:r>
            <w:r w:rsidRPr="00C6052E">
              <w:rPr>
                <w:lang w:val="en-AU"/>
              </w:rPr>
              <w:t>Balance</w:t>
            </w:r>
            <w:r w:rsidR="00177848" w:rsidRPr="00C6052E">
              <w:rPr>
                <w:lang w:val="en-AU"/>
              </w:rPr>
              <w:t xml:space="preserve"> </w:t>
            </w:r>
            <w:r w:rsidRPr="00C6052E">
              <w:rPr>
                <w:lang w:val="en-AU"/>
              </w:rPr>
              <w:t>as</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30</w:t>
            </w:r>
            <w:r w:rsidR="00177848" w:rsidRPr="00C6052E">
              <w:rPr>
                <w:lang w:val="en-AU"/>
              </w:rPr>
              <w:t xml:space="preserve"> </w:t>
            </w:r>
            <w:r w:rsidRPr="00C6052E">
              <w:rPr>
                <w:lang w:val="en-AU"/>
              </w:rPr>
              <w:t>June</w:t>
            </w:r>
            <w:r w:rsidR="00177848" w:rsidRPr="00C6052E">
              <w:rPr>
                <w:lang w:val="en-AU"/>
              </w:rPr>
              <w:t xml:space="preserve"> </w:t>
            </w:r>
            <w:r w:rsidRPr="00C6052E">
              <w:rPr>
                <w:lang w:val="en-AU"/>
              </w:rPr>
              <w:t>2024</w:t>
            </w:r>
            <w:r w:rsidR="00D97857">
              <w:rPr>
                <w:lang w:val="en-AU"/>
              </w:rPr>
              <w:br/>
            </w:r>
            <w:r w:rsidR="00D97857" w:rsidRPr="00C6052E">
              <w:rPr>
                <w:lang w:val="en-AU"/>
              </w:rPr>
              <w:t xml:space="preserve">($ </w:t>
            </w:r>
            <w:r w:rsidR="00D97857">
              <w:rPr>
                <w:lang w:val="en-AU"/>
              </w:rPr>
              <w:t>‘000</w:t>
            </w:r>
            <w:r w:rsidR="00D97857" w:rsidRPr="00C6052E">
              <w:rPr>
                <w:lang w:val="en-AU"/>
              </w:rPr>
              <w:t>)</w:t>
            </w:r>
          </w:p>
        </w:tc>
      </w:tr>
      <w:tr w:rsidR="00D97857" w:rsidRPr="00D97857" w14:paraId="2623DFDD" w14:textId="77777777" w:rsidTr="00D97857">
        <w:trPr>
          <w:cantSplit/>
        </w:trPr>
        <w:tc>
          <w:tcPr>
            <w:tcW w:w="3685" w:type="dxa"/>
          </w:tcPr>
          <w:p w14:paraId="429492BB" w14:textId="74E88A07" w:rsidR="00D97857" w:rsidRPr="00D97857" w:rsidRDefault="00D97857" w:rsidP="00D97857">
            <w:pPr>
              <w:pStyle w:val="TableHeading"/>
            </w:pPr>
            <w:r w:rsidRPr="00C6052E">
              <w:t>State trusts</w:t>
            </w:r>
          </w:p>
        </w:tc>
        <w:tc>
          <w:tcPr>
            <w:tcW w:w="1219" w:type="dxa"/>
            <w:noWrap/>
          </w:tcPr>
          <w:p w14:paraId="58CDEDBE" w14:textId="77777777" w:rsidR="00D97857" w:rsidRPr="00D97857" w:rsidRDefault="00D97857" w:rsidP="00D97857">
            <w:pPr>
              <w:pStyle w:val="TableHeading"/>
              <w:jc w:val="right"/>
            </w:pPr>
          </w:p>
        </w:tc>
        <w:tc>
          <w:tcPr>
            <w:tcW w:w="1219" w:type="dxa"/>
            <w:noWrap/>
          </w:tcPr>
          <w:p w14:paraId="6F267BBF" w14:textId="77777777" w:rsidR="00D97857" w:rsidRPr="00D97857" w:rsidRDefault="00D97857" w:rsidP="00D97857">
            <w:pPr>
              <w:pStyle w:val="TableHeading"/>
              <w:jc w:val="right"/>
            </w:pPr>
          </w:p>
        </w:tc>
        <w:tc>
          <w:tcPr>
            <w:tcW w:w="1219" w:type="dxa"/>
            <w:noWrap/>
          </w:tcPr>
          <w:p w14:paraId="3266338B" w14:textId="77777777" w:rsidR="00D97857" w:rsidRPr="00D97857" w:rsidRDefault="00D97857" w:rsidP="00D97857">
            <w:pPr>
              <w:pStyle w:val="TableHeading"/>
              <w:jc w:val="right"/>
            </w:pPr>
          </w:p>
        </w:tc>
        <w:tc>
          <w:tcPr>
            <w:tcW w:w="1219" w:type="dxa"/>
            <w:noWrap/>
          </w:tcPr>
          <w:p w14:paraId="15D4175E" w14:textId="77777777" w:rsidR="00D97857" w:rsidRPr="00D97857" w:rsidRDefault="00D97857" w:rsidP="00D97857">
            <w:pPr>
              <w:pStyle w:val="TableHeading"/>
              <w:jc w:val="right"/>
            </w:pPr>
          </w:p>
        </w:tc>
        <w:tc>
          <w:tcPr>
            <w:tcW w:w="1219" w:type="dxa"/>
            <w:noWrap/>
          </w:tcPr>
          <w:p w14:paraId="049129A6" w14:textId="77777777" w:rsidR="00D97857" w:rsidRPr="00D97857" w:rsidRDefault="00D97857" w:rsidP="00D97857">
            <w:pPr>
              <w:pStyle w:val="TableHeading"/>
              <w:jc w:val="right"/>
            </w:pPr>
          </w:p>
        </w:tc>
        <w:tc>
          <w:tcPr>
            <w:tcW w:w="1219" w:type="dxa"/>
            <w:noWrap/>
          </w:tcPr>
          <w:p w14:paraId="4FF77722" w14:textId="77777777" w:rsidR="00D97857" w:rsidRPr="00D97857" w:rsidRDefault="00D97857" w:rsidP="00D97857">
            <w:pPr>
              <w:pStyle w:val="TableHeading"/>
              <w:jc w:val="right"/>
            </w:pPr>
          </w:p>
        </w:tc>
        <w:tc>
          <w:tcPr>
            <w:tcW w:w="1219" w:type="dxa"/>
            <w:noWrap/>
          </w:tcPr>
          <w:p w14:paraId="63A2252C" w14:textId="77777777" w:rsidR="00D97857" w:rsidRPr="00D97857" w:rsidRDefault="00D97857" w:rsidP="00D97857">
            <w:pPr>
              <w:pStyle w:val="TableHeading"/>
              <w:jc w:val="right"/>
            </w:pPr>
          </w:p>
        </w:tc>
        <w:tc>
          <w:tcPr>
            <w:tcW w:w="1219" w:type="dxa"/>
            <w:noWrap/>
          </w:tcPr>
          <w:p w14:paraId="5E78F04F" w14:textId="77777777" w:rsidR="00D97857" w:rsidRPr="00D97857" w:rsidRDefault="00D97857" w:rsidP="00D97857">
            <w:pPr>
              <w:pStyle w:val="TableHeading"/>
              <w:jc w:val="right"/>
            </w:pPr>
          </w:p>
        </w:tc>
        <w:tc>
          <w:tcPr>
            <w:tcW w:w="1219" w:type="dxa"/>
            <w:noWrap/>
          </w:tcPr>
          <w:p w14:paraId="60A7F30B" w14:textId="77777777" w:rsidR="00D97857" w:rsidRPr="00D97857" w:rsidRDefault="00D97857" w:rsidP="00D97857">
            <w:pPr>
              <w:pStyle w:val="TableHeading"/>
              <w:jc w:val="right"/>
            </w:pPr>
          </w:p>
        </w:tc>
      </w:tr>
      <w:tr w:rsidR="00EE5BB8" w:rsidRPr="00C6052E" w14:paraId="413AAB7C" w14:textId="77777777" w:rsidTr="00D97857">
        <w:trPr>
          <w:cantSplit/>
        </w:trPr>
        <w:tc>
          <w:tcPr>
            <w:tcW w:w="3685" w:type="dxa"/>
            <w:hideMark/>
          </w:tcPr>
          <w:p w14:paraId="3A7A909E" w14:textId="41347671" w:rsidR="00EE5BB8" w:rsidRPr="00C6052E" w:rsidRDefault="00EE5BB8" w:rsidP="0063097D">
            <w:pPr>
              <w:pStyle w:val="TableCopy"/>
            </w:pPr>
            <w:r w:rsidRPr="00C6052E">
              <w:rPr>
                <w:rStyle w:val="Medium"/>
              </w:rPr>
              <w:t>Regional</w:t>
            </w:r>
            <w:r w:rsidR="00177848" w:rsidRPr="00C6052E">
              <w:rPr>
                <w:rStyle w:val="Medium"/>
              </w:rPr>
              <w:t xml:space="preserve"> </w:t>
            </w:r>
            <w:r w:rsidRPr="00C6052E">
              <w:rPr>
                <w:rStyle w:val="Medium"/>
              </w:rPr>
              <w:t>Jobs</w:t>
            </w:r>
            <w:r w:rsidR="00177848" w:rsidRPr="00C6052E">
              <w:rPr>
                <w:rStyle w:val="Medium"/>
              </w:rPr>
              <w:t xml:space="preserve"> </w:t>
            </w:r>
            <w:r w:rsidRPr="00C6052E">
              <w:rPr>
                <w:rStyle w:val="Medium"/>
              </w:rPr>
              <w:t>and</w:t>
            </w:r>
            <w:r w:rsidR="00177848" w:rsidRPr="00C6052E">
              <w:rPr>
                <w:rStyle w:val="Medium"/>
              </w:rPr>
              <w:t xml:space="preserve"> </w:t>
            </w:r>
            <w:r w:rsidRPr="00C6052E">
              <w:rPr>
                <w:rStyle w:val="Medium"/>
              </w:rPr>
              <w:t>Infrastructure</w:t>
            </w:r>
            <w:r w:rsidR="00177848" w:rsidRPr="00C6052E">
              <w:rPr>
                <w:rStyle w:val="Medium"/>
              </w:rPr>
              <w:t xml:space="preserve"> </w:t>
            </w:r>
            <w:r w:rsidRPr="00C6052E">
              <w:rPr>
                <w:rStyle w:val="Medium"/>
              </w:rPr>
              <w:t>Fund</w:t>
            </w:r>
            <w:r w:rsidR="00177848" w:rsidRPr="00C6052E">
              <w:t xml:space="preserve"> </w:t>
            </w:r>
            <w:r w:rsidRPr="00C6052E">
              <w:br/>
              <w:t>Established</w:t>
            </w:r>
            <w:r w:rsidR="00177848" w:rsidRPr="00C6052E">
              <w:t xml:space="preserve"> </w:t>
            </w:r>
            <w:r w:rsidRPr="00C6052E">
              <w:t>under</w:t>
            </w:r>
            <w:r w:rsidR="00177848" w:rsidRPr="00C6052E">
              <w:t xml:space="preserve"> </w:t>
            </w:r>
            <w:r w:rsidRPr="00C6052E">
              <w:t>the</w:t>
            </w:r>
            <w:r w:rsidR="00177848" w:rsidRPr="00C6052E">
              <w:t xml:space="preserve"> </w:t>
            </w:r>
            <w:r w:rsidRPr="00C6052E">
              <w:rPr>
                <w:rStyle w:val="Italics"/>
              </w:rPr>
              <w:t>Regional</w:t>
            </w:r>
            <w:r w:rsidR="00177848" w:rsidRPr="00C6052E">
              <w:rPr>
                <w:rStyle w:val="Italics"/>
              </w:rPr>
              <w:t xml:space="preserve"> </w:t>
            </w:r>
            <w:r w:rsidRPr="00C6052E">
              <w:rPr>
                <w:rStyle w:val="Italics"/>
              </w:rPr>
              <w:t>Development</w:t>
            </w:r>
            <w:r w:rsidR="00177848" w:rsidRPr="00C6052E">
              <w:rPr>
                <w:rStyle w:val="Italics"/>
              </w:rPr>
              <w:t xml:space="preserve"> </w:t>
            </w:r>
            <w:r w:rsidRPr="00C6052E">
              <w:rPr>
                <w:rStyle w:val="Italics"/>
              </w:rPr>
              <w:t>Victoria</w:t>
            </w:r>
            <w:r w:rsidR="00177848" w:rsidRPr="00C6052E">
              <w:rPr>
                <w:rStyle w:val="Italics"/>
              </w:rPr>
              <w:t xml:space="preserve"> </w:t>
            </w:r>
            <w:r w:rsidRPr="00C6052E">
              <w:rPr>
                <w:rStyle w:val="Italics"/>
              </w:rPr>
              <w:t>Act</w:t>
            </w:r>
            <w:r w:rsidR="00177848" w:rsidRPr="00C6052E">
              <w:rPr>
                <w:rStyle w:val="Italics"/>
              </w:rPr>
              <w:t xml:space="preserve"> </w:t>
            </w:r>
            <w:r w:rsidRPr="00C6052E">
              <w:rPr>
                <w:rStyle w:val="Italics"/>
              </w:rPr>
              <w:t>2002</w:t>
            </w:r>
            <w:r w:rsidR="00177848" w:rsidRPr="00C6052E">
              <w:t xml:space="preserve"> </w:t>
            </w:r>
            <w:r w:rsidRPr="00C6052E">
              <w:t>to</w:t>
            </w:r>
            <w:r w:rsidR="00177848" w:rsidRPr="00C6052E">
              <w:t xml:space="preserve"> </w:t>
            </w:r>
            <w:r w:rsidRPr="00C6052E">
              <w:t>support</w:t>
            </w:r>
            <w:r w:rsidR="00177848" w:rsidRPr="00C6052E">
              <w:t xml:space="preserve"> </w:t>
            </w:r>
            <w:r w:rsidRPr="00C6052E">
              <w:t>regional</w:t>
            </w:r>
            <w:r w:rsidR="00177848" w:rsidRPr="00C6052E">
              <w:t xml:space="preserve"> </w:t>
            </w:r>
            <w:r w:rsidRPr="00C6052E">
              <w:t>cities</w:t>
            </w:r>
            <w:r w:rsidR="00177848" w:rsidRPr="00C6052E">
              <w:t xml:space="preserve"> </w:t>
            </w:r>
            <w:r w:rsidRPr="00C6052E">
              <w:t>and</w:t>
            </w:r>
            <w:r w:rsidR="00177848" w:rsidRPr="00C6052E">
              <w:t xml:space="preserve"> </w:t>
            </w:r>
            <w:r w:rsidRPr="00C6052E">
              <w:t>country</w:t>
            </w:r>
            <w:r w:rsidR="00177848" w:rsidRPr="00C6052E">
              <w:t xml:space="preserve"> </w:t>
            </w:r>
            <w:r w:rsidRPr="00C6052E">
              <w:t>communities</w:t>
            </w:r>
            <w:r w:rsidR="00177848" w:rsidRPr="00C6052E">
              <w:t xml:space="preserve"> </w:t>
            </w:r>
            <w:r w:rsidRPr="00C6052E">
              <w:t>in</w:t>
            </w:r>
            <w:r w:rsidR="00177848" w:rsidRPr="00C6052E">
              <w:t xml:space="preserve"> </w:t>
            </w:r>
            <w:r w:rsidRPr="00C6052E">
              <w:t>infrastructure,</w:t>
            </w:r>
            <w:r w:rsidR="00177848" w:rsidRPr="00C6052E">
              <w:t xml:space="preserve"> </w:t>
            </w:r>
            <w:r w:rsidRPr="00C6052E">
              <w:t>facilities,</w:t>
            </w:r>
            <w:r w:rsidR="00177848" w:rsidRPr="00C6052E">
              <w:t xml:space="preserve"> </w:t>
            </w:r>
            <w:r w:rsidRPr="00C6052E">
              <w:t>services,</w:t>
            </w:r>
            <w:r w:rsidR="00177848" w:rsidRPr="00C6052E">
              <w:t xml:space="preserve"> </w:t>
            </w:r>
            <w:r w:rsidRPr="00C6052E">
              <w:t>job</w:t>
            </w:r>
            <w:r w:rsidR="00177848" w:rsidRPr="00C6052E">
              <w:t xml:space="preserve"> </w:t>
            </w:r>
            <w:r w:rsidRPr="00C6052E">
              <w:t>creation,</w:t>
            </w:r>
            <w:r w:rsidR="00177848" w:rsidRPr="00C6052E">
              <w:t xml:space="preserve"> </w:t>
            </w:r>
            <w:r w:rsidRPr="00C6052E">
              <w:t>career</w:t>
            </w:r>
            <w:r w:rsidR="00177848" w:rsidRPr="00C6052E">
              <w:t xml:space="preserve"> </w:t>
            </w:r>
            <w:r w:rsidRPr="00C6052E">
              <w:t>opportunities</w:t>
            </w:r>
            <w:r w:rsidR="00177848" w:rsidRPr="00C6052E">
              <w:t xml:space="preserve"> </w:t>
            </w:r>
            <w:r w:rsidRPr="00C6052E">
              <w:t>and</w:t>
            </w:r>
            <w:r w:rsidR="00177848" w:rsidRPr="00C6052E">
              <w:t xml:space="preserve"> </w:t>
            </w:r>
            <w:r w:rsidRPr="00C6052E">
              <w:t>to</w:t>
            </w:r>
            <w:r w:rsidR="00177848" w:rsidRPr="00C6052E">
              <w:t xml:space="preserve"> </w:t>
            </w:r>
            <w:r w:rsidRPr="00C6052E">
              <w:t>increase</w:t>
            </w:r>
            <w:r w:rsidR="00177848" w:rsidRPr="00C6052E">
              <w:t xml:space="preserve"> </w:t>
            </w:r>
            <w:r w:rsidRPr="00C6052E">
              <w:t>investment.</w:t>
            </w:r>
          </w:p>
        </w:tc>
        <w:tc>
          <w:tcPr>
            <w:tcW w:w="1219" w:type="dxa"/>
            <w:noWrap/>
            <w:hideMark/>
          </w:tcPr>
          <w:p w14:paraId="0B0AD84A" w14:textId="77777777" w:rsidR="00EE5BB8" w:rsidRPr="00C6052E" w:rsidRDefault="00EE5BB8" w:rsidP="00D97857">
            <w:pPr>
              <w:pStyle w:val="TableCopy"/>
              <w:jc w:val="right"/>
            </w:pPr>
            <w:r w:rsidRPr="00C6052E">
              <w:t>155,237</w:t>
            </w:r>
          </w:p>
        </w:tc>
        <w:tc>
          <w:tcPr>
            <w:tcW w:w="1219" w:type="dxa"/>
            <w:noWrap/>
            <w:hideMark/>
          </w:tcPr>
          <w:p w14:paraId="3A184F06" w14:textId="77777777" w:rsidR="00EE5BB8" w:rsidRPr="00C6052E" w:rsidRDefault="00EE5BB8" w:rsidP="00D97857">
            <w:pPr>
              <w:pStyle w:val="TableCopy"/>
              <w:jc w:val="right"/>
            </w:pPr>
            <w:r w:rsidRPr="00C6052E">
              <w:t>11,342</w:t>
            </w:r>
          </w:p>
        </w:tc>
        <w:tc>
          <w:tcPr>
            <w:tcW w:w="1219" w:type="dxa"/>
            <w:noWrap/>
            <w:hideMark/>
          </w:tcPr>
          <w:p w14:paraId="519C5F3D" w14:textId="77777777" w:rsidR="00EE5BB8" w:rsidRPr="00C6052E" w:rsidRDefault="00EE5BB8" w:rsidP="00D97857">
            <w:pPr>
              <w:pStyle w:val="TableCopy"/>
              <w:jc w:val="right"/>
            </w:pPr>
            <w:r w:rsidRPr="00C6052E">
              <w:t>(24,671)</w:t>
            </w:r>
          </w:p>
        </w:tc>
        <w:tc>
          <w:tcPr>
            <w:tcW w:w="1219" w:type="dxa"/>
            <w:noWrap/>
            <w:hideMark/>
          </w:tcPr>
          <w:p w14:paraId="76FE7AA1" w14:textId="77777777" w:rsidR="00EE5BB8" w:rsidRPr="00C6052E" w:rsidRDefault="00EE5BB8" w:rsidP="00D97857">
            <w:pPr>
              <w:pStyle w:val="TableCopy"/>
              <w:jc w:val="right"/>
            </w:pPr>
            <w:r w:rsidRPr="00C6052E">
              <w:t>141,908</w:t>
            </w:r>
          </w:p>
        </w:tc>
        <w:tc>
          <w:tcPr>
            <w:tcW w:w="1219" w:type="dxa"/>
            <w:noWrap/>
            <w:hideMark/>
          </w:tcPr>
          <w:p w14:paraId="1BB359AB" w14:textId="77777777" w:rsidR="00EE5BB8" w:rsidRPr="00C6052E" w:rsidRDefault="00EE5BB8" w:rsidP="00D97857">
            <w:pPr>
              <w:pStyle w:val="TableCopy"/>
              <w:jc w:val="right"/>
            </w:pPr>
            <w:r w:rsidRPr="00C6052E">
              <w:t>165,814</w:t>
            </w:r>
          </w:p>
        </w:tc>
        <w:tc>
          <w:tcPr>
            <w:tcW w:w="1219" w:type="dxa"/>
            <w:noWrap/>
            <w:hideMark/>
          </w:tcPr>
          <w:p w14:paraId="4A83AD3E" w14:textId="77777777" w:rsidR="00EE5BB8" w:rsidRPr="00C6052E" w:rsidRDefault="00EE5BB8" w:rsidP="00D97857">
            <w:pPr>
              <w:pStyle w:val="TableCopy"/>
              <w:jc w:val="right"/>
            </w:pPr>
            <w:r w:rsidRPr="00C6052E">
              <w:t>–</w:t>
            </w:r>
          </w:p>
        </w:tc>
        <w:tc>
          <w:tcPr>
            <w:tcW w:w="1219" w:type="dxa"/>
            <w:noWrap/>
            <w:hideMark/>
          </w:tcPr>
          <w:p w14:paraId="3899FF3D" w14:textId="77777777" w:rsidR="00EE5BB8" w:rsidRPr="00C6052E" w:rsidRDefault="00EE5BB8" w:rsidP="00D97857">
            <w:pPr>
              <w:pStyle w:val="TableCopy"/>
              <w:jc w:val="right"/>
            </w:pPr>
            <w:r w:rsidRPr="00C6052E">
              <w:t>15,909</w:t>
            </w:r>
          </w:p>
        </w:tc>
        <w:tc>
          <w:tcPr>
            <w:tcW w:w="1219" w:type="dxa"/>
            <w:noWrap/>
            <w:hideMark/>
          </w:tcPr>
          <w:p w14:paraId="06E1873A" w14:textId="77777777" w:rsidR="00EE5BB8" w:rsidRPr="00C6052E" w:rsidRDefault="00EE5BB8" w:rsidP="00D97857">
            <w:pPr>
              <w:pStyle w:val="TableCopy"/>
              <w:jc w:val="right"/>
            </w:pPr>
            <w:r w:rsidRPr="00C6052E">
              <w:t>(26,486)</w:t>
            </w:r>
          </w:p>
        </w:tc>
        <w:tc>
          <w:tcPr>
            <w:tcW w:w="1219" w:type="dxa"/>
            <w:noWrap/>
            <w:hideMark/>
          </w:tcPr>
          <w:p w14:paraId="150D7B2A" w14:textId="77777777" w:rsidR="00EE5BB8" w:rsidRPr="00C6052E" w:rsidRDefault="00EE5BB8" w:rsidP="00D97857">
            <w:pPr>
              <w:pStyle w:val="TableCopy"/>
              <w:jc w:val="right"/>
            </w:pPr>
            <w:r w:rsidRPr="00C6052E">
              <w:t>155,237</w:t>
            </w:r>
          </w:p>
        </w:tc>
      </w:tr>
      <w:tr w:rsidR="00EE5BB8" w:rsidRPr="00C6052E" w14:paraId="2A392832" w14:textId="77777777" w:rsidTr="00D97857">
        <w:trPr>
          <w:cantSplit/>
        </w:trPr>
        <w:tc>
          <w:tcPr>
            <w:tcW w:w="3685" w:type="dxa"/>
            <w:hideMark/>
          </w:tcPr>
          <w:p w14:paraId="02D19ADA" w14:textId="4947CFD9" w:rsidR="00EE5BB8" w:rsidRPr="00C6052E" w:rsidRDefault="00EE5BB8" w:rsidP="0063097D">
            <w:pPr>
              <w:pStyle w:val="TableCopy"/>
            </w:pPr>
            <w:r w:rsidRPr="00C6052E">
              <w:rPr>
                <w:rStyle w:val="Medium"/>
              </w:rPr>
              <w:t>State</w:t>
            </w:r>
            <w:r w:rsidR="00177848" w:rsidRPr="00C6052E">
              <w:rPr>
                <w:rStyle w:val="Medium"/>
              </w:rPr>
              <w:t xml:space="preserve"> </w:t>
            </w:r>
            <w:r w:rsidRPr="00C6052E">
              <w:rPr>
                <w:rStyle w:val="Medium"/>
              </w:rPr>
              <w:t>Development</w:t>
            </w:r>
            <w:r w:rsidR="00177848" w:rsidRPr="00C6052E">
              <w:rPr>
                <w:rStyle w:val="Medium"/>
              </w:rPr>
              <w:t xml:space="preserve"> </w:t>
            </w:r>
            <w:r w:rsidRPr="00C6052E">
              <w:rPr>
                <w:rStyle w:val="Medium"/>
              </w:rPr>
              <w:t>Special</w:t>
            </w:r>
            <w:r w:rsidR="00177848" w:rsidRPr="00C6052E">
              <w:rPr>
                <w:rStyle w:val="Medium"/>
              </w:rPr>
              <w:t xml:space="preserve"> </w:t>
            </w:r>
            <w:r w:rsidRPr="00C6052E">
              <w:rPr>
                <w:rStyle w:val="Medium"/>
              </w:rPr>
              <w:t>Projects</w:t>
            </w:r>
            <w:r w:rsidR="00177848" w:rsidRPr="00C6052E">
              <w:rPr>
                <w:rStyle w:val="Medium"/>
              </w:rPr>
              <w:t xml:space="preserve"> </w:t>
            </w:r>
            <w:r w:rsidRPr="00C6052E">
              <w:rPr>
                <w:rStyle w:val="Medium"/>
              </w:rPr>
              <w:t>Trust</w:t>
            </w:r>
            <w:r w:rsidR="00177848" w:rsidRPr="00C6052E">
              <w:rPr>
                <w:rStyle w:val="Medium"/>
              </w:rPr>
              <w:t xml:space="preserve"> </w:t>
            </w:r>
            <w:r w:rsidRPr="00C6052E">
              <w:rPr>
                <w:rStyle w:val="Medium"/>
              </w:rPr>
              <w:t>Account</w:t>
            </w:r>
            <w:r w:rsidR="00177848" w:rsidRPr="00C6052E">
              <w:rPr>
                <w:rStyle w:val="Medium"/>
              </w:rPr>
              <w:t xml:space="preserve"> </w:t>
            </w:r>
            <w:r w:rsidRPr="00C6052E">
              <w:br/>
              <w:t>Established</w:t>
            </w:r>
            <w:r w:rsidR="00177848" w:rsidRPr="00C6052E">
              <w:t xml:space="preserve"> </w:t>
            </w:r>
            <w:r w:rsidRPr="00C6052E">
              <w:t>under</w:t>
            </w:r>
            <w:r w:rsidR="00177848" w:rsidRPr="00C6052E">
              <w:t xml:space="preserve"> </w:t>
            </w:r>
            <w:r w:rsidRPr="00C6052E">
              <w:t>section</w:t>
            </w:r>
            <w:r w:rsidR="00177848" w:rsidRPr="00C6052E">
              <w:t xml:space="preserve"> </w:t>
            </w:r>
            <w:r w:rsidRPr="00C6052E">
              <w:t>19</w:t>
            </w:r>
            <w:r w:rsidR="00177848" w:rsidRPr="00C6052E">
              <w:t xml:space="preserve"> </w:t>
            </w:r>
            <w:r w:rsidRPr="00C6052E">
              <w:t>of</w:t>
            </w:r>
            <w:r w:rsidR="00177848" w:rsidRPr="00C6052E">
              <w:t xml:space="preserve"> </w:t>
            </w:r>
            <w:r w:rsidRPr="00C6052E">
              <w:t>the</w:t>
            </w:r>
            <w:r w:rsidR="00177848" w:rsidRPr="00C6052E">
              <w:t xml:space="preserve"> </w:t>
            </w:r>
            <w:r w:rsidRPr="00C6052E">
              <w:rPr>
                <w:rStyle w:val="Italics"/>
              </w:rPr>
              <w:t>Financial</w:t>
            </w:r>
            <w:r w:rsidR="00177848" w:rsidRPr="00C6052E">
              <w:rPr>
                <w:rStyle w:val="Italics"/>
                <w:rFonts w:ascii="Arial" w:hAnsi="Arial" w:cs="Cambria"/>
              </w:rPr>
              <w:t xml:space="preserve"> </w:t>
            </w:r>
            <w:r w:rsidRPr="00C6052E">
              <w:rPr>
                <w:rStyle w:val="Italics"/>
              </w:rPr>
              <w:t>Management</w:t>
            </w:r>
            <w:r w:rsidR="00177848" w:rsidRPr="00C6052E">
              <w:rPr>
                <w:rStyle w:val="Italics"/>
              </w:rPr>
              <w:t xml:space="preserve"> </w:t>
            </w:r>
            <w:r w:rsidRPr="00C6052E">
              <w:rPr>
                <w:rStyle w:val="Italics"/>
              </w:rPr>
              <w:t>Act</w:t>
            </w:r>
            <w:r w:rsidR="00177848" w:rsidRPr="00C6052E">
              <w:rPr>
                <w:rStyle w:val="Italics"/>
              </w:rPr>
              <w:t xml:space="preserve"> </w:t>
            </w:r>
            <w:r w:rsidRPr="00C6052E">
              <w:rPr>
                <w:rStyle w:val="Italics"/>
              </w:rPr>
              <w:t>1994</w:t>
            </w:r>
            <w:r w:rsidRPr="00C6052E">
              <w:t>,</w:t>
            </w:r>
            <w:r w:rsidR="00177848" w:rsidRPr="00C6052E">
              <w:t xml:space="preserve"> </w:t>
            </w:r>
            <w:r w:rsidRPr="00C6052E">
              <w:t>to</w:t>
            </w:r>
            <w:r w:rsidR="00177848" w:rsidRPr="00C6052E">
              <w:t xml:space="preserve"> </w:t>
            </w:r>
            <w:r w:rsidRPr="00C6052E">
              <w:t>assist</w:t>
            </w:r>
            <w:r w:rsidR="00177848" w:rsidRPr="00C6052E">
              <w:t xml:space="preserve"> </w:t>
            </w:r>
            <w:r w:rsidRPr="00C6052E">
              <w:t>in</w:t>
            </w:r>
            <w:r w:rsidR="00177848" w:rsidRPr="00C6052E">
              <w:t xml:space="preserve"> </w:t>
            </w:r>
            <w:r w:rsidRPr="00C6052E">
              <w:t>facilitating,</w:t>
            </w:r>
            <w:r w:rsidR="00177848" w:rsidRPr="00C6052E">
              <w:t xml:space="preserve"> </w:t>
            </w:r>
            <w:r w:rsidRPr="00C6052E">
              <w:t>encouraging,</w:t>
            </w:r>
            <w:r w:rsidR="00177848" w:rsidRPr="00C6052E">
              <w:t xml:space="preserve"> </w:t>
            </w:r>
            <w:r w:rsidRPr="00C6052E">
              <w:t>promoting</w:t>
            </w:r>
            <w:r w:rsidR="00177848" w:rsidRPr="00C6052E">
              <w:t xml:space="preserve"> </w:t>
            </w:r>
            <w:r w:rsidRPr="00C6052E">
              <w:t>and</w:t>
            </w:r>
            <w:r w:rsidR="00177848" w:rsidRPr="00C6052E">
              <w:t xml:space="preserve"> </w:t>
            </w:r>
            <w:r w:rsidRPr="00C6052E">
              <w:t>carrying</w:t>
            </w:r>
            <w:r w:rsidR="00177848" w:rsidRPr="00C6052E">
              <w:t xml:space="preserve"> </w:t>
            </w:r>
            <w:r w:rsidRPr="00C6052E">
              <w:t>out</w:t>
            </w:r>
            <w:r w:rsidR="00177848" w:rsidRPr="00C6052E">
              <w:t xml:space="preserve"> </w:t>
            </w:r>
            <w:r w:rsidRPr="00C6052E">
              <w:t>activities</w:t>
            </w:r>
            <w:r w:rsidR="00177848" w:rsidRPr="00C6052E">
              <w:t xml:space="preserve"> </w:t>
            </w:r>
            <w:r w:rsidRPr="00C6052E">
              <w:t>leading</w:t>
            </w:r>
            <w:r w:rsidR="00177848" w:rsidRPr="00C6052E">
              <w:t xml:space="preserve"> </w:t>
            </w:r>
            <w:r w:rsidRPr="00C6052E">
              <w:t>to</w:t>
            </w:r>
            <w:r w:rsidR="00177848" w:rsidRPr="00C6052E">
              <w:t xml:space="preserve"> </w:t>
            </w:r>
            <w:r w:rsidRPr="00C6052E">
              <w:t>a</w:t>
            </w:r>
            <w:r w:rsidR="00177848" w:rsidRPr="00C6052E">
              <w:t xml:space="preserve"> </w:t>
            </w:r>
            <w:r w:rsidRPr="00C6052E">
              <w:t>balanced</w:t>
            </w:r>
            <w:r w:rsidR="00177848" w:rsidRPr="00C6052E">
              <w:t xml:space="preserve"> </w:t>
            </w:r>
            <w:r w:rsidRPr="00C6052E">
              <w:t>economic</w:t>
            </w:r>
            <w:r w:rsidR="00177848" w:rsidRPr="00C6052E">
              <w:t xml:space="preserve"> </w:t>
            </w:r>
            <w:r w:rsidRPr="00C6052E">
              <w:t>development</w:t>
            </w:r>
            <w:r w:rsidR="00177848" w:rsidRPr="00C6052E">
              <w:t xml:space="preserve"> </w:t>
            </w:r>
            <w:r w:rsidRPr="00C6052E">
              <w:t>of</w:t>
            </w:r>
            <w:r w:rsidR="00177848" w:rsidRPr="00C6052E">
              <w:t xml:space="preserve"> </w:t>
            </w:r>
            <w:r w:rsidRPr="00C6052E">
              <w:t>the</w:t>
            </w:r>
            <w:r w:rsidR="00177848" w:rsidRPr="00C6052E">
              <w:t xml:space="preserve"> </w:t>
            </w:r>
            <w:r w:rsidRPr="00C6052E">
              <w:t>State</w:t>
            </w:r>
            <w:r w:rsidR="00177848" w:rsidRPr="00C6052E">
              <w:t xml:space="preserve"> </w:t>
            </w:r>
            <w:r w:rsidRPr="00C6052E">
              <w:t>of</w:t>
            </w:r>
            <w:r w:rsidR="00177848" w:rsidRPr="00C6052E">
              <w:t xml:space="preserve"> </w:t>
            </w:r>
            <w:r w:rsidRPr="00C6052E">
              <w:t>Victoria.</w:t>
            </w:r>
          </w:p>
        </w:tc>
        <w:tc>
          <w:tcPr>
            <w:tcW w:w="1219" w:type="dxa"/>
            <w:noWrap/>
            <w:hideMark/>
          </w:tcPr>
          <w:p w14:paraId="3E2E58C4" w14:textId="77777777" w:rsidR="00EE5BB8" w:rsidRPr="00C6052E" w:rsidRDefault="00EE5BB8" w:rsidP="00D97857">
            <w:pPr>
              <w:pStyle w:val="TableCopy"/>
              <w:jc w:val="right"/>
            </w:pPr>
            <w:r w:rsidRPr="00C6052E">
              <w:t>34,410</w:t>
            </w:r>
          </w:p>
        </w:tc>
        <w:tc>
          <w:tcPr>
            <w:tcW w:w="1219" w:type="dxa"/>
            <w:noWrap/>
            <w:hideMark/>
          </w:tcPr>
          <w:p w14:paraId="13101A32" w14:textId="77777777" w:rsidR="00EE5BB8" w:rsidRPr="00C6052E" w:rsidRDefault="00EE5BB8" w:rsidP="00D97857">
            <w:pPr>
              <w:pStyle w:val="TableCopy"/>
              <w:jc w:val="right"/>
            </w:pPr>
            <w:r w:rsidRPr="00C6052E">
              <w:t>11,138</w:t>
            </w:r>
          </w:p>
        </w:tc>
        <w:tc>
          <w:tcPr>
            <w:tcW w:w="1219" w:type="dxa"/>
            <w:noWrap/>
            <w:hideMark/>
          </w:tcPr>
          <w:p w14:paraId="6BC9A31D" w14:textId="77777777" w:rsidR="00EE5BB8" w:rsidRPr="00C6052E" w:rsidRDefault="00EE5BB8" w:rsidP="00D97857">
            <w:pPr>
              <w:pStyle w:val="TableCopy"/>
              <w:jc w:val="right"/>
            </w:pPr>
            <w:r w:rsidRPr="00C6052E">
              <w:t>(20,743)</w:t>
            </w:r>
          </w:p>
        </w:tc>
        <w:tc>
          <w:tcPr>
            <w:tcW w:w="1219" w:type="dxa"/>
            <w:noWrap/>
            <w:hideMark/>
          </w:tcPr>
          <w:p w14:paraId="31837D28" w14:textId="77777777" w:rsidR="00EE5BB8" w:rsidRPr="00C6052E" w:rsidRDefault="00EE5BB8" w:rsidP="00D97857">
            <w:pPr>
              <w:pStyle w:val="TableCopy"/>
              <w:jc w:val="right"/>
            </w:pPr>
            <w:r w:rsidRPr="00C6052E">
              <w:t>24,805</w:t>
            </w:r>
          </w:p>
        </w:tc>
        <w:tc>
          <w:tcPr>
            <w:tcW w:w="1219" w:type="dxa"/>
            <w:noWrap/>
            <w:hideMark/>
          </w:tcPr>
          <w:p w14:paraId="1C65377B" w14:textId="77777777" w:rsidR="00EE5BB8" w:rsidRPr="00C6052E" w:rsidRDefault="00EE5BB8" w:rsidP="00D97857">
            <w:pPr>
              <w:pStyle w:val="TableCopy"/>
              <w:jc w:val="right"/>
            </w:pPr>
            <w:r w:rsidRPr="00C6052E">
              <w:t>50,507</w:t>
            </w:r>
          </w:p>
        </w:tc>
        <w:tc>
          <w:tcPr>
            <w:tcW w:w="1219" w:type="dxa"/>
            <w:noWrap/>
            <w:hideMark/>
          </w:tcPr>
          <w:p w14:paraId="720E3C40" w14:textId="77777777" w:rsidR="00EE5BB8" w:rsidRPr="00C6052E" w:rsidRDefault="00EE5BB8" w:rsidP="00D97857">
            <w:pPr>
              <w:pStyle w:val="TableCopy"/>
              <w:jc w:val="right"/>
            </w:pPr>
            <w:r w:rsidRPr="00C6052E">
              <w:t>(9,961)</w:t>
            </w:r>
          </w:p>
        </w:tc>
        <w:tc>
          <w:tcPr>
            <w:tcW w:w="1219" w:type="dxa"/>
            <w:noWrap/>
            <w:hideMark/>
          </w:tcPr>
          <w:p w14:paraId="272A69E6" w14:textId="77777777" w:rsidR="00EE5BB8" w:rsidRPr="00C6052E" w:rsidRDefault="00EE5BB8" w:rsidP="00D97857">
            <w:pPr>
              <w:pStyle w:val="TableCopy"/>
              <w:jc w:val="right"/>
            </w:pPr>
            <w:r w:rsidRPr="00C6052E">
              <w:t>8,214</w:t>
            </w:r>
          </w:p>
        </w:tc>
        <w:tc>
          <w:tcPr>
            <w:tcW w:w="1219" w:type="dxa"/>
            <w:noWrap/>
            <w:hideMark/>
          </w:tcPr>
          <w:p w14:paraId="212D5FC4" w14:textId="77777777" w:rsidR="00EE5BB8" w:rsidRPr="00C6052E" w:rsidRDefault="00EE5BB8" w:rsidP="00D97857">
            <w:pPr>
              <w:pStyle w:val="TableCopy"/>
              <w:jc w:val="right"/>
            </w:pPr>
            <w:r w:rsidRPr="00C6052E">
              <w:t>(14,350)</w:t>
            </w:r>
          </w:p>
        </w:tc>
        <w:tc>
          <w:tcPr>
            <w:tcW w:w="1219" w:type="dxa"/>
            <w:noWrap/>
            <w:hideMark/>
          </w:tcPr>
          <w:p w14:paraId="64BFB96B" w14:textId="77777777" w:rsidR="00EE5BB8" w:rsidRPr="00C6052E" w:rsidRDefault="00EE5BB8" w:rsidP="00D97857">
            <w:pPr>
              <w:pStyle w:val="TableCopy"/>
              <w:jc w:val="right"/>
            </w:pPr>
            <w:r w:rsidRPr="00C6052E">
              <w:t>34,410</w:t>
            </w:r>
          </w:p>
        </w:tc>
      </w:tr>
      <w:tr w:rsidR="00EE5BB8" w:rsidRPr="00C6052E" w14:paraId="2C542A41" w14:textId="77777777" w:rsidTr="00D97857">
        <w:trPr>
          <w:cantSplit/>
        </w:trPr>
        <w:tc>
          <w:tcPr>
            <w:tcW w:w="3685" w:type="dxa"/>
            <w:hideMark/>
          </w:tcPr>
          <w:p w14:paraId="6DC7D656" w14:textId="031A981E" w:rsidR="00EE5BB8" w:rsidRPr="00C6052E" w:rsidRDefault="00EE5BB8" w:rsidP="0063097D">
            <w:pPr>
              <w:pStyle w:val="TableCopy"/>
            </w:pPr>
            <w:r w:rsidRPr="00C6052E">
              <w:rPr>
                <w:rStyle w:val="Medium"/>
              </w:rPr>
              <w:lastRenderedPageBreak/>
              <w:t>Agriculture</w:t>
            </w:r>
            <w:r w:rsidR="00177848" w:rsidRPr="00C6052E">
              <w:rPr>
                <w:rStyle w:val="Medium"/>
              </w:rPr>
              <w:t xml:space="preserve"> </w:t>
            </w:r>
            <w:r w:rsidRPr="00C6052E">
              <w:rPr>
                <w:rStyle w:val="Medium"/>
              </w:rPr>
              <w:t>Projects</w:t>
            </w:r>
            <w:r w:rsidR="00177848" w:rsidRPr="00C6052E">
              <w:rPr>
                <w:rStyle w:val="Medium"/>
              </w:rPr>
              <w:t xml:space="preserve"> </w:t>
            </w:r>
            <w:r w:rsidRPr="00C6052E">
              <w:rPr>
                <w:rStyle w:val="Medium"/>
              </w:rPr>
              <w:t>Trust</w:t>
            </w:r>
            <w:r w:rsidR="00177848" w:rsidRPr="00C6052E">
              <w:rPr>
                <w:rStyle w:val="Medium"/>
              </w:rPr>
              <w:t xml:space="preserve"> </w:t>
            </w:r>
            <w:r w:rsidRPr="00C6052E">
              <w:rPr>
                <w:rStyle w:val="Medium"/>
              </w:rPr>
              <w:t>Account</w:t>
            </w:r>
            <w:r w:rsidR="00177848" w:rsidRPr="00C6052E">
              <w:rPr>
                <w:rStyle w:val="Medium"/>
              </w:rPr>
              <w:t xml:space="preserve"> </w:t>
            </w:r>
            <w:r w:rsidRPr="00C6052E">
              <w:br/>
              <w:t>Established</w:t>
            </w:r>
            <w:r w:rsidR="00177848" w:rsidRPr="00C6052E">
              <w:t xml:space="preserve"> </w:t>
            </w:r>
            <w:r w:rsidRPr="00C6052E">
              <w:t>under</w:t>
            </w:r>
            <w:r w:rsidR="00177848" w:rsidRPr="00C6052E">
              <w:t xml:space="preserve"> </w:t>
            </w:r>
            <w:r w:rsidRPr="00C6052E">
              <w:t>section</w:t>
            </w:r>
            <w:r w:rsidR="00177848" w:rsidRPr="00C6052E">
              <w:t xml:space="preserve"> </w:t>
            </w:r>
            <w:r w:rsidRPr="00C6052E">
              <w:t>19</w:t>
            </w:r>
            <w:r w:rsidR="00177848" w:rsidRPr="00C6052E">
              <w:t xml:space="preserve"> </w:t>
            </w:r>
            <w:r w:rsidRPr="00C6052E">
              <w:t>of</w:t>
            </w:r>
            <w:r w:rsidR="00177848" w:rsidRPr="00C6052E">
              <w:t xml:space="preserve"> </w:t>
            </w:r>
            <w:r w:rsidRPr="00C6052E">
              <w:t>the</w:t>
            </w:r>
            <w:r w:rsidR="00177848" w:rsidRPr="00C6052E">
              <w:t xml:space="preserve"> </w:t>
            </w:r>
            <w:r w:rsidRPr="00C6052E">
              <w:rPr>
                <w:rStyle w:val="Italics"/>
              </w:rPr>
              <w:t>Financial</w:t>
            </w:r>
            <w:r w:rsidR="00177848" w:rsidRPr="00C6052E">
              <w:rPr>
                <w:rStyle w:val="Italics"/>
                <w:rFonts w:ascii="Arial" w:hAnsi="Arial" w:cs="Cambria"/>
              </w:rPr>
              <w:t xml:space="preserve"> </w:t>
            </w:r>
            <w:r w:rsidRPr="00C6052E">
              <w:rPr>
                <w:rStyle w:val="Italics"/>
              </w:rPr>
              <w:t>Management</w:t>
            </w:r>
            <w:r w:rsidR="00177848" w:rsidRPr="00C6052E">
              <w:rPr>
                <w:rStyle w:val="Italics"/>
              </w:rPr>
              <w:t xml:space="preserve"> </w:t>
            </w:r>
            <w:r w:rsidRPr="00C6052E">
              <w:rPr>
                <w:rStyle w:val="Italics"/>
              </w:rPr>
              <w:t>Act</w:t>
            </w:r>
            <w:r w:rsidR="00177848" w:rsidRPr="00C6052E">
              <w:rPr>
                <w:rStyle w:val="Italics"/>
              </w:rPr>
              <w:t xml:space="preserve"> </w:t>
            </w:r>
            <w:r w:rsidRPr="00C6052E">
              <w:rPr>
                <w:rStyle w:val="Italics"/>
              </w:rPr>
              <w:t>1994</w:t>
            </w:r>
            <w:r w:rsidRPr="00C6052E">
              <w:t>,</w:t>
            </w:r>
            <w:r w:rsidR="00177848" w:rsidRPr="00C6052E">
              <w:t xml:space="preserve"> </w:t>
            </w:r>
            <w:r w:rsidRPr="00C6052E">
              <w:t>to</w:t>
            </w:r>
            <w:r w:rsidR="00177848" w:rsidRPr="00C6052E">
              <w:t xml:space="preserve"> </w:t>
            </w:r>
            <w:r w:rsidRPr="00C6052E">
              <w:t>assist</w:t>
            </w:r>
            <w:r w:rsidR="00177848" w:rsidRPr="00C6052E">
              <w:t xml:space="preserve"> </w:t>
            </w:r>
            <w:r w:rsidRPr="00C6052E">
              <w:t>in</w:t>
            </w:r>
            <w:r w:rsidR="00177848" w:rsidRPr="00C6052E">
              <w:t xml:space="preserve"> </w:t>
            </w:r>
            <w:r w:rsidRPr="00C6052E">
              <w:t>facilitating,</w:t>
            </w:r>
            <w:r w:rsidR="00177848" w:rsidRPr="00C6052E">
              <w:t xml:space="preserve"> </w:t>
            </w:r>
            <w:r w:rsidRPr="00C6052E">
              <w:t>encouraging,</w:t>
            </w:r>
            <w:r w:rsidR="00177848" w:rsidRPr="00C6052E">
              <w:t xml:space="preserve"> </w:t>
            </w:r>
            <w:r w:rsidRPr="00C6052E">
              <w:t>promoting</w:t>
            </w:r>
            <w:r w:rsidR="00177848" w:rsidRPr="00C6052E">
              <w:t xml:space="preserve"> </w:t>
            </w:r>
            <w:r w:rsidRPr="00C6052E">
              <w:t>and</w:t>
            </w:r>
            <w:r w:rsidR="00177848" w:rsidRPr="00C6052E">
              <w:t xml:space="preserve"> </w:t>
            </w:r>
            <w:r w:rsidRPr="00C6052E">
              <w:t>carrying</w:t>
            </w:r>
            <w:r w:rsidR="00177848" w:rsidRPr="00C6052E">
              <w:t xml:space="preserve"> </w:t>
            </w:r>
            <w:r w:rsidRPr="00C6052E">
              <w:t>out</w:t>
            </w:r>
            <w:r w:rsidR="00177848" w:rsidRPr="00C6052E">
              <w:t xml:space="preserve"> </w:t>
            </w:r>
            <w:r w:rsidRPr="00C6052E">
              <w:t>activities</w:t>
            </w:r>
            <w:r w:rsidR="00177848" w:rsidRPr="00C6052E">
              <w:t xml:space="preserve"> </w:t>
            </w:r>
            <w:r w:rsidRPr="00C6052E">
              <w:t>leading</w:t>
            </w:r>
            <w:r w:rsidR="00177848" w:rsidRPr="00C6052E">
              <w:t xml:space="preserve"> </w:t>
            </w:r>
            <w:r w:rsidRPr="00C6052E">
              <w:t>to</w:t>
            </w:r>
            <w:r w:rsidR="00177848" w:rsidRPr="00C6052E">
              <w:t xml:space="preserve"> </w:t>
            </w:r>
            <w:r w:rsidRPr="00C6052E">
              <w:t>a</w:t>
            </w:r>
            <w:r w:rsidR="00177848" w:rsidRPr="00C6052E">
              <w:t xml:space="preserve"> </w:t>
            </w:r>
            <w:r w:rsidRPr="00C6052E">
              <w:t>balanced</w:t>
            </w:r>
            <w:r w:rsidR="00177848" w:rsidRPr="00C6052E">
              <w:t xml:space="preserve"> </w:t>
            </w:r>
            <w:r w:rsidRPr="00C6052E">
              <w:t>economic</w:t>
            </w:r>
            <w:r w:rsidR="00177848" w:rsidRPr="00C6052E">
              <w:t xml:space="preserve"> </w:t>
            </w:r>
            <w:r w:rsidRPr="00C6052E">
              <w:t>development</w:t>
            </w:r>
            <w:r w:rsidR="00177848" w:rsidRPr="00C6052E">
              <w:t xml:space="preserve"> </w:t>
            </w:r>
            <w:r w:rsidRPr="00C6052E">
              <w:t>of</w:t>
            </w:r>
            <w:r w:rsidR="00177848" w:rsidRPr="00C6052E">
              <w:t xml:space="preserve"> </w:t>
            </w:r>
            <w:r w:rsidRPr="00C6052E">
              <w:t>the</w:t>
            </w:r>
            <w:r w:rsidR="00177848" w:rsidRPr="00C6052E">
              <w:t xml:space="preserve"> </w:t>
            </w:r>
            <w:r w:rsidRPr="00C6052E">
              <w:t>State</w:t>
            </w:r>
            <w:r w:rsidR="00177848" w:rsidRPr="00C6052E">
              <w:t xml:space="preserve"> </w:t>
            </w:r>
            <w:r w:rsidRPr="00C6052E">
              <w:t>of</w:t>
            </w:r>
            <w:r w:rsidR="00177848" w:rsidRPr="00C6052E">
              <w:t xml:space="preserve"> </w:t>
            </w:r>
            <w:r w:rsidRPr="00C6052E">
              <w:t>Victoria.</w:t>
            </w:r>
          </w:p>
        </w:tc>
        <w:tc>
          <w:tcPr>
            <w:tcW w:w="1219" w:type="dxa"/>
            <w:noWrap/>
            <w:hideMark/>
          </w:tcPr>
          <w:p w14:paraId="267688B8" w14:textId="77777777" w:rsidR="00EE5BB8" w:rsidRPr="00C6052E" w:rsidRDefault="00EE5BB8" w:rsidP="00D97857">
            <w:pPr>
              <w:pStyle w:val="TableCopy"/>
              <w:jc w:val="right"/>
            </w:pPr>
            <w:r w:rsidRPr="00C6052E">
              <w:t>2,474</w:t>
            </w:r>
          </w:p>
        </w:tc>
        <w:tc>
          <w:tcPr>
            <w:tcW w:w="1219" w:type="dxa"/>
            <w:noWrap/>
            <w:hideMark/>
          </w:tcPr>
          <w:p w14:paraId="2C67CED7" w14:textId="77777777" w:rsidR="00EE5BB8" w:rsidRPr="00C6052E" w:rsidRDefault="00EE5BB8" w:rsidP="00D97857">
            <w:pPr>
              <w:pStyle w:val="TableCopy"/>
              <w:jc w:val="right"/>
            </w:pPr>
            <w:r w:rsidRPr="00C6052E">
              <w:t>291</w:t>
            </w:r>
          </w:p>
        </w:tc>
        <w:tc>
          <w:tcPr>
            <w:tcW w:w="1219" w:type="dxa"/>
            <w:noWrap/>
            <w:hideMark/>
          </w:tcPr>
          <w:p w14:paraId="2576D956" w14:textId="77777777" w:rsidR="00EE5BB8" w:rsidRPr="00C6052E" w:rsidRDefault="00EE5BB8" w:rsidP="00D97857">
            <w:pPr>
              <w:pStyle w:val="TableCopy"/>
              <w:jc w:val="right"/>
            </w:pPr>
            <w:r w:rsidRPr="00C6052E">
              <w:t>(485)</w:t>
            </w:r>
          </w:p>
        </w:tc>
        <w:tc>
          <w:tcPr>
            <w:tcW w:w="1219" w:type="dxa"/>
            <w:noWrap/>
            <w:hideMark/>
          </w:tcPr>
          <w:p w14:paraId="5B7C79CE" w14:textId="77777777" w:rsidR="00EE5BB8" w:rsidRPr="00C6052E" w:rsidRDefault="00EE5BB8" w:rsidP="00D97857">
            <w:pPr>
              <w:pStyle w:val="TableCopy"/>
              <w:jc w:val="right"/>
            </w:pPr>
            <w:r w:rsidRPr="00C6052E">
              <w:t>2,280</w:t>
            </w:r>
          </w:p>
        </w:tc>
        <w:tc>
          <w:tcPr>
            <w:tcW w:w="1219" w:type="dxa"/>
            <w:noWrap/>
            <w:hideMark/>
          </w:tcPr>
          <w:p w14:paraId="5159AB34" w14:textId="77777777" w:rsidR="00EE5BB8" w:rsidRPr="00C6052E" w:rsidRDefault="00EE5BB8" w:rsidP="00D97857">
            <w:pPr>
              <w:pStyle w:val="TableCopy"/>
              <w:jc w:val="right"/>
            </w:pPr>
            <w:r w:rsidRPr="00C6052E">
              <w:t>445</w:t>
            </w:r>
          </w:p>
        </w:tc>
        <w:tc>
          <w:tcPr>
            <w:tcW w:w="1219" w:type="dxa"/>
            <w:noWrap/>
            <w:hideMark/>
          </w:tcPr>
          <w:p w14:paraId="7809BBC9" w14:textId="77777777" w:rsidR="00EE5BB8" w:rsidRPr="00C6052E" w:rsidRDefault="00EE5BB8" w:rsidP="00D97857">
            <w:pPr>
              <w:pStyle w:val="TableCopy"/>
              <w:jc w:val="right"/>
            </w:pPr>
            <w:r w:rsidRPr="00C6052E">
              <w:t>–</w:t>
            </w:r>
          </w:p>
        </w:tc>
        <w:tc>
          <w:tcPr>
            <w:tcW w:w="1219" w:type="dxa"/>
            <w:noWrap/>
            <w:hideMark/>
          </w:tcPr>
          <w:p w14:paraId="2875FC51" w14:textId="77777777" w:rsidR="00EE5BB8" w:rsidRPr="00C6052E" w:rsidRDefault="00EE5BB8" w:rsidP="00D97857">
            <w:pPr>
              <w:pStyle w:val="TableCopy"/>
              <w:jc w:val="right"/>
            </w:pPr>
            <w:r w:rsidRPr="00C6052E">
              <w:t>2,223</w:t>
            </w:r>
          </w:p>
        </w:tc>
        <w:tc>
          <w:tcPr>
            <w:tcW w:w="1219" w:type="dxa"/>
            <w:noWrap/>
            <w:hideMark/>
          </w:tcPr>
          <w:p w14:paraId="515D7149" w14:textId="77777777" w:rsidR="00EE5BB8" w:rsidRPr="00C6052E" w:rsidRDefault="00EE5BB8" w:rsidP="00D97857">
            <w:pPr>
              <w:pStyle w:val="TableCopy"/>
              <w:jc w:val="right"/>
            </w:pPr>
            <w:r w:rsidRPr="00C6052E">
              <w:t>(194)</w:t>
            </w:r>
          </w:p>
        </w:tc>
        <w:tc>
          <w:tcPr>
            <w:tcW w:w="1219" w:type="dxa"/>
            <w:noWrap/>
            <w:hideMark/>
          </w:tcPr>
          <w:p w14:paraId="08CFF0C3" w14:textId="77777777" w:rsidR="00EE5BB8" w:rsidRPr="00C6052E" w:rsidRDefault="00EE5BB8" w:rsidP="00D97857">
            <w:pPr>
              <w:pStyle w:val="TableCopy"/>
              <w:jc w:val="right"/>
            </w:pPr>
            <w:r w:rsidRPr="00C6052E">
              <w:t>2,474</w:t>
            </w:r>
          </w:p>
        </w:tc>
      </w:tr>
      <w:tr w:rsidR="00EE5BB8" w:rsidRPr="00C6052E" w14:paraId="4E5A3339" w14:textId="77777777" w:rsidTr="00D97857">
        <w:trPr>
          <w:cantSplit/>
        </w:trPr>
        <w:tc>
          <w:tcPr>
            <w:tcW w:w="3685" w:type="dxa"/>
            <w:hideMark/>
          </w:tcPr>
          <w:p w14:paraId="33E5C90B" w14:textId="32B4621D" w:rsidR="00EE5BB8" w:rsidRPr="00C6052E" w:rsidRDefault="00EE5BB8" w:rsidP="0063097D">
            <w:pPr>
              <w:pStyle w:val="TableCopy"/>
            </w:pPr>
            <w:r w:rsidRPr="00C6052E">
              <w:rPr>
                <w:rStyle w:val="Medium"/>
              </w:rPr>
              <w:t>Plant,</w:t>
            </w:r>
            <w:r w:rsidR="00177848" w:rsidRPr="00C6052E">
              <w:rPr>
                <w:rStyle w:val="Medium"/>
              </w:rPr>
              <w:t xml:space="preserve"> </w:t>
            </w:r>
            <w:r w:rsidRPr="00C6052E">
              <w:rPr>
                <w:rStyle w:val="Medium"/>
              </w:rPr>
              <w:t>Equipment</w:t>
            </w:r>
            <w:r w:rsidR="00177848" w:rsidRPr="00C6052E">
              <w:rPr>
                <w:rStyle w:val="Medium"/>
              </w:rPr>
              <w:t xml:space="preserve"> </w:t>
            </w:r>
            <w:r w:rsidRPr="00C6052E">
              <w:rPr>
                <w:rStyle w:val="Medium"/>
              </w:rPr>
              <w:t>and</w:t>
            </w:r>
            <w:r w:rsidR="00177848" w:rsidRPr="00C6052E">
              <w:rPr>
                <w:rStyle w:val="Medium"/>
              </w:rPr>
              <w:t xml:space="preserve"> </w:t>
            </w:r>
            <w:r w:rsidRPr="00C6052E">
              <w:rPr>
                <w:rStyle w:val="Medium"/>
              </w:rPr>
              <w:t>Machinery</w:t>
            </w:r>
            <w:r w:rsidR="00177848" w:rsidRPr="00C6052E">
              <w:rPr>
                <w:rStyle w:val="Medium"/>
              </w:rPr>
              <w:t xml:space="preserve"> </w:t>
            </w:r>
            <w:r w:rsidRPr="00C6052E">
              <w:rPr>
                <w:rStyle w:val="Medium"/>
              </w:rPr>
              <w:t>Trust</w:t>
            </w:r>
            <w:r w:rsidR="00177848" w:rsidRPr="00C6052E">
              <w:rPr>
                <w:rStyle w:val="Medium"/>
              </w:rPr>
              <w:t xml:space="preserve"> </w:t>
            </w:r>
            <w:r w:rsidRPr="00C6052E">
              <w:rPr>
                <w:rStyle w:val="Medium"/>
              </w:rPr>
              <w:t>Accounts</w:t>
            </w:r>
            <w:r w:rsidRPr="00C6052E">
              <w:br/>
              <w:t>Operate</w:t>
            </w:r>
            <w:r w:rsidR="00177848" w:rsidRPr="00C6052E">
              <w:t xml:space="preserve"> </w:t>
            </w:r>
            <w:r w:rsidRPr="00C6052E">
              <w:t>under</w:t>
            </w:r>
            <w:r w:rsidR="00177848" w:rsidRPr="00C6052E">
              <w:t xml:space="preserve"> </w:t>
            </w:r>
            <w:r w:rsidRPr="00C6052E">
              <w:t>section</w:t>
            </w:r>
            <w:r w:rsidR="00177848" w:rsidRPr="00C6052E">
              <w:t xml:space="preserve"> </w:t>
            </w:r>
            <w:r w:rsidRPr="00C6052E">
              <w:t>23</w:t>
            </w:r>
            <w:r w:rsidR="00177848" w:rsidRPr="00C6052E">
              <w:t xml:space="preserve"> </w:t>
            </w:r>
            <w:r w:rsidRPr="00C6052E">
              <w:t>of</w:t>
            </w:r>
            <w:r w:rsidR="00177848" w:rsidRPr="00C6052E">
              <w:t xml:space="preserve"> </w:t>
            </w:r>
            <w:r w:rsidRPr="00C6052E">
              <w:t>the</w:t>
            </w:r>
            <w:r w:rsidR="00177848" w:rsidRPr="00C6052E">
              <w:t xml:space="preserve"> </w:t>
            </w:r>
            <w:r w:rsidRPr="00C6052E">
              <w:rPr>
                <w:rStyle w:val="Italics"/>
              </w:rPr>
              <w:t>Conservation,</w:t>
            </w:r>
            <w:r w:rsidR="00177848" w:rsidRPr="00C6052E">
              <w:rPr>
                <w:rStyle w:val="Italics"/>
              </w:rPr>
              <w:t xml:space="preserve"> </w:t>
            </w:r>
            <w:r w:rsidRPr="00C6052E">
              <w:rPr>
                <w:rStyle w:val="Italics"/>
              </w:rPr>
              <w:t>Forests</w:t>
            </w:r>
            <w:r w:rsidR="00177848" w:rsidRPr="00C6052E">
              <w:rPr>
                <w:rStyle w:val="Italics"/>
              </w:rPr>
              <w:t xml:space="preserve"> </w:t>
            </w:r>
            <w:r w:rsidRPr="00C6052E">
              <w:rPr>
                <w:rStyle w:val="Italics"/>
              </w:rPr>
              <w:t>and</w:t>
            </w:r>
            <w:r w:rsidR="00177848" w:rsidRPr="00C6052E">
              <w:rPr>
                <w:rStyle w:val="Italics"/>
              </w:rPr>
              <w:t xml:space="preserve"> </w:t>
            </w:r>
            <w:r w:rsidRPr="00C6052E">
              <w:rPr>
                <w:rStyle w:val="Italics"/>
              </w:rPr>
              <w:t>Lands</w:t>
            </w:r>
            <w:r w:rsidR="00177848" w:rsidRPr="00C6052E">
              <w:rPr>
                <w:rStyle w:val="Italics"/>
              </w:rPr>
              <w:t xml:space="preserve"> </w:t>
            </w:r>
            <w:r w:rsidRPr="00C6052E">
              <w:rPr>
                <w:rStyle w:val="Italics"/>
              </w:rPr>
              <w:t>Act</w:t>
            </w:r>
            <w:r w:rsidR="00177848" w:rsidRPr="00C6052E">
              <w:rPr>
                <w:rStyle w:val="Italics"/>
              </w:rPr>
              <w:t xml:space="preserve"> </w:t>
            </w:r>
            <w:r w:rsidRPr="00C6052E">
              <w:rPr>
                <w:rStyle w:val="Italics"/>
              </w:rPr>
              <w:t>1987</w:t>
            </w:r>
            <w:r w:rsidR="00177848" w:rsidRPr="00C6052E">
              <w:t xml:space="preserve"> </w:t>
            </w:r>
            <w:r w:rsidRPr="00C6052E">
              <w:t>and</w:t>
            </w:r>
            <w:r w:rsidR="00177848" w:rsidRPr="00C6052E">
              <w:t xml:space="preserve"> </w:t>
            </w:r>
            <w:r w:rsidRPr="00C6052E">
              <w:t>section</w:t>
            </w:r>
            <w:r w:rsidR="00177848" w:rsidRPr="00C6052E">
              <w:t xml:space="preserve"> </w:t>
            </w:r>
            <w:r w:rsidRPr="00C6052E">
              <w:t>141</w:t>
            </w:r>
            <w:r w:rsidR="00177848" w:rsidRPr="00C6052E">
              <w:t xml:space="preserve"> </w:t>
            </w:r>
            <w:r w:rsidRPr="00C6052E">
              <w:t>of</w:t>
            </w:r>
            <w:r w:rsidR="00177848" w:rsidRPr="00C6052E">
              <w:t xml:space="preserve"> </w:t>
            </w:r>
            <w:r w:rsidRPr="00C6052E">
              <w:t>the</w:t>
            </w:r>
            <w:r w:rsidR="00177848" w:rsidRPr="00C6052E">
              <w:t xml:space="preserve"> </w:t>
            </w:r>
            <w:r w:rsidRPr="00C6052E">
              <w:rPr>
                <w:rStyle w:val="Italics"/>
              </w:rPr>
              <w:t>Fisheries</w:t>
            </w:r>
            <w:r w:rsidR="00177848" w:rsidRPr="00C6052E">
              <w:rPr>
                <w:rStyle w:val="Italics"/>
              </w:rPr>
              <w:t xml:space="preserve"> </w:t>
            </w:r>
            <w:r w:rsidRPr="00C6052E">
              <w:rPr>
                <w:rStyle w:val="Italics"/>
              </w:rPr>
              <w:t>Act</w:t>
            </w:r>
            <w:r w:rsidR="00177848" w:rsidRPr="00C6052E">
              <w:rPr>
                <w:rStyle w:val="Italics"/>
              </w:rPr>
              <w:t xml:space="preserve"> </w:t>
            </w:r>
            <w:r w:rsidRPr="00C6052E">
              <w:rPr>
                <w:rStyle w:val="Italics"/>
              </w:rPr>
              <w:t>1995</w:t>
            </w:r>
            <w:r w:rsidR="00177848" w:rsidRPr="00C6052E">
              <w:t xml:space="preserve"> </w:t>
            </w:r>
            <w:r w:rsidRPr="00C6052E">
              <w:t>to</w:t>
            </w:r>
            <w:r w:rsidR="00177848" w:rsidRPr="00C6052E">
              <w:t xml:space="preserve"> </w:t>
            </w:r>
            <w:r w:rsidRPr="00C6052E">
              <w:t>enable</w:t>
            </w:r>
            <w:r w:rsidR="00177848" w:rsidRPr="00C6052E">
              <w:t xml:space="preserve"> </w:t>
            </w:r>
            <w:r w:rsidRPr="00C6052E">
              <w:t>the</w:t>
            </w:r>
            <w:r w:rsidR="00177848" w:rsidRPr="00C6052E">
              <w:t xml:space="preserve"> </w:t>
            </w:r>
            <w:r w:rsidRPr="00C6052E">
              <w:t>purchase</w:t>
            </w:r>
            <w:r w:rsidR="00177848" w:rsidRPr="00C6052E">
              <w:t xml:space="preserve"> </w:t>
            </w:r>
            <w:r w:rsidRPr="00C6052E">
              <w:t>of</w:t>
            </w:r>
            <w:r w:rsidR="00177848" w:rsidRPr="00C6052E">
              <w:t xml:space="preserve"> </w:t>
            </w:r>
            <w:r w:rsidRPr="00C6052E">
              <w:t>plant,</w:t>
            </w:r>
            <w:r w:rsidR="00177848" w:rsidRPr="00C6052E">
              <w:t xml:space="preserve"> </w:t>
            </w:r>
            <w:r w:rsidRPr="00C6052E">
              <w:t>equipment</w:t>
            </w:r>
            <w:r w:rsidR="00177848" w:rsidRPr="00C6052E">
              <w:t xml:space="preserve"> </w:t>
            </w:r>
            <w:r w:rsidRPr="00C6052E">
              <w:t>or</w:t>
            </w:r>
            <w:r w:rsidR="00177848" w:rsidRPr="00C6052E">
              <w:t xml:space="preserve"> </w:t>
            </w:r>
            <w:r w:rsidRPr="00C6052E">
              <w:t>machinery</w:t>
            </w:r>
            <w:r w:rsidR="00177848" w:rsidRPr="00C6052E">
              <w:t xml:space="preserve"> </w:t>
            </w:r>
            <w:r w:rsidRPr="00C6052E">
              <w:t>required</w:t>
            </w:r>
            <w:r w:rsidR="00177848" w:rsidRPr="00C6052E">
              <w:t xml:space="preserve"> </w:t>
            </w:r>
            <w:r w:rsidRPr="00C6052E">
              <w:t>for</w:t>
            </w:r>
            <w:r w:rsidR="00177848" w:rsidRPr="00C6052E">
              <w:t xml:space="preserve"> </w:t>
            </w:r>
            <w:r w:rsidRPr="00C6052E">
              <w:t>the</w:t>
            </w:r>
            <w:r w:rsidR="00177848" w:rsidRPr="00C6052E">
              <w:t xml:space="preserve"> </w:t>
            </w:r>
            <w:r w:rsidRPr="00C6052E">
              <w:t>purposes</w:t>
            </w:r>
            <w:r w:rsidR="00177848" w:rsidRPr="00C6052E">
              <w:t xml:space="preserve"> </w:t>
            </w:r>
            <w:r w:rsidRPr="00C6052E">
              <w:t>of</w:t>
            </w:r>
            <w:r w:rsidR="00177848" w:rsidRPr="00C6052E">
              <w:t xml:space="preserve"> </w:t>
            </w:r>
            <w:r w:rsidRPr="00C6052E">
              <w:t>the</w:t>
            </w:r>
            <w:r w:rsidR="00177848" w:rsidRPr="00C6052E">
              <w:t xml:space="preserve"> </w:t>
            </w:r>
            <w:r w:rsidRPr="00C6052E">
              <w:t>Acts,</w:t>
            </w:r>
            <w:r w:rsidR="00177848" w:rsidRPr="00C6052E">
              <w:t xml:space="preserve"> </w:t>
            </w:r>
            <w:r w:rsidRPr="00C6052E">
              <w:t>and</w:t>
            </w:r>
            <w:r w:rsidR="00177848" w:rsidRPr="00C6052E">
              <w:t xml:space="preserve"> </w:t>
            </w:r>
            <w:r w:rsidRPr="00C6052E">
              <w:t>for</w:t>
            </w:r>
            <w:r w:rsidR="00177848" w:rsidRPr="00C6052E">
              <w:t xml:space="preserve"> </w:t>
            </w:r>
            <w:r w:rsidRPr="00C6052E">
              <w:t>the</w:t>
            </w:r>
            <w:r w:rsidR="00177848" w:rsidRPr="00C6052E">
              <w:t xml:space="preserve"> </w:t>
            </w:r>
            <w:r w:rsidRPr="00C6052E">
              <w:t>operation,</w:t>
            </w:r>
            <w:r w:rsidR="00177848" w:rsidRPr="00C6052E">
              <w:t xml:space="preserve"> </w:t>
            </w:r>
            <w:r w:rsidRPr="00C6052E">
              <w:t>maintenance</w:t>
            </w:r>
            <w:r w:rsidR="00177848" w:rsidRPr="00C6052E">
              <w:t xml:space="preserve"> </w:t>
            </w:r>
            <w:r w:rsidRPr="00C6052E">
              <w:t>and</w:t>
            </w:r>
            <w:r w:rsidR="00177848" w:rsidRPr="00C6052E">
              <w:t xml:space="preserve"> </w:t>
            </w:r>
            <w:r w:rsidRPr="00C6052E">
              <w:t>repair</w:t>
            </w:r>
            <w:r w:rsidR="00177848" w:rsidRPr="00C6052E">
              <w:t xml:space="preserve"> </w:t>
            </w:r>
            <w:r w:rsidRPr="00C6052E">
              <w:t>of</w:t>
            </w:r>
            <w:r w:rsidR="00177848" w:rsidRPr="00C6052E">
              <w:t xml:space="preserve"> </w:t>
            </w:r>
            <w:r w:rsidRPr="00C6052E">
              <w:t>that</w:t>
            </w:r>
            <w:r w:rsidR="00177848" w:rsidRPr="00C6052E">
              <w:t xml:space="preserve"> </w:t>
            </w:r>
            <w:r w:rsidRPr="00C6052E">
              <w:t>plant,</w:t>
            </w:r>
            <w:r w:rsidR="00177848" w:rsidRPr="00C6052E">
              <w:t xml:space="preserve"> </w:t>
            </w:r>
            <w:r w:rsidRPr="00C6052E">
              <w:t>equipment</w:t>
            </w:r>
            <w:r w:rsidR="00177848" w:rsidRPr="00C6052E">
              <w:t xml:space="preserve"> </w:t>
            </w:r>
            <w:r w:rsidRPr="00C6052E">
              <w:t>or</w:t>
            </w:r>
            <w:r w:rsidR="00177848" w:rsidRPr="00C6052E">
              <w:t xml:space="preserve"> </w:t>
            </w:r>
            <w:r w:rsidRPr="00C6052E">
              <w:t>machinery,</w:t>
            </w:r>
            <w:r w:rsidR="00177848" w:rsidRPr="00C6052E">
              <w:t xml:space="preserve"> </w:t>
            </w:r>
            <w:r w:rsidRPr="00C6052E">
              <w:t>and</w:t>
            </w:r>
            <w:r w:rsidR="00177848" w:rsidRPr="00C6052E">
              <w:t xml:space="preserve"> </w:t>
            </w:r>
            <w:r w:rsidRPr="00C6052E">
              <w:t>to</w:t>
            </w:r>
            <w:r w:rsidR="00177848" w:rsidRPr="00C6052E">
              <w:t xml:space="preserve"> </w:t>
            </w:r>
            <w:r w:rsidRPr="00C6052E">
              <w:t>enable</w:t>
            </w:r>
            <w:r w:rsidR="00177848" w:rsidRPr="00C6052E">
              <w:t xml:space="preserve"> </w:t>
            </w:r>
            <w:r w:rsidRPr="00C6052E">
              <w:t>the</w:t>
            </w:r>
            <w:r w:rsidR="00177848" w:rsidRPr="00C6052E">
              <w:t xml:space="preserve"> </w:t>
            </w:r>
            <w:r w:rsidRPr="00C6052E">
              <w:t>payment</w:t>
            </w:r>
            <w:r w:rsidR="00177848" w:rsidRPr="00C6052E">
              <w:t xml:space="preserve"> </w:t>
            </w:r>
            <w:r w:rsidRPr="00C6052E">
              <w:t>of</w:t>
            </w:r>
            <w:r w:rsidR="00177848" w:rsidRPr="00C6052E">
              <w:t xml:space="preserve"> </w:t>
            </w:r>
            <w:r w:rsidRPr="00C6052E">
              <w:t>any</w:t>
            </w:r>
            <w:r w:rsidR="00177848" w:rsidRPr="00C6052E">
              <w:t xml:space="preserve"> </w:t>
            </w:r>
            <w:r w:rsidRPr="00C6052E">
              <w:t>other</w:t>
            </w:r>
            <w:r w:rsidR="00177848" w:rsidRPr="00C6052E">
              <w:t xml:space="preserve"> </w:t>
            </w:r>
            <w:r w:rsidRPr="00C6052E">
              <w:t>expenses</w:t>
            </w:r>
            <w:r w:rsidR="00177848" w:rsidRPr="00C6052E">
              <w:t xml:space="preserve"> </w:t>
            </w:r>
            <w:r w:rsidRPr="00C6052E">
              <w:t>in</w:t>
            </w:r>
            <w:r w:rsidR="00177848" w:rsidRPr="00C6052E">
              <w:t xml:space="preserve"> </w:t>
            </w:r>
            <w:r w:rsidRPr="00C6052E">
              <w:t>relation</w:t>
            </w:r>
            <w:r w:rsidR="00177848" w:rsidRPr="00C6052E">
              <w:t xml:space="preserve"> </w:t>
            </w:r>
            <w:r w:rsidRPr="00C6052E">
              <w:t>thereto.</w:t>
            </w:r>
          </w:p>
        </w:tc>
        <w:tc>
          <w:tcPr>
            <w:tcW w:w="1219" w:type="dxa"/>
            <w:noWrap/>
            <w:hideMark/>
          </w:tcPr>
          <w:p w14:paraId="115E8523" w14:textId="77777777" w:rsidR="00EE5BB8" w:rsidRPr="00C6052E" w:rsidRDefault="00EE5BB8" w:rsidP="00D97857">
            <w:pPr>
              <w:pStyle w:val="TableCopy"/>
              <w:jc w:val="right"/>
            </w:pPr>
            <w:r w:rsidRPr="00C6052E">
              <w:t>1,311</w:t>
            </w:r>
          </w:p>
        </w:tc>
        <w:tc>
          <w:tcPr>
            <w:tcW w:w="1219" w:type="dxa"/>
            <w:noWrap/>
            <w:hideMark/>
          </w:tcPr>
          <w:p w14:paraId="722656E5" w14:textId="77777777" w:rsidR="00EE5BB8" w:rsidRPr="00C6052E" w:rsidRDefault="00EE5BB8" w:rsidP="00D97857">
            <w:pPr>
              <w:pStyle w:val="TableCopy"/>
              <w:jc w:val="right"/>
            </w:pPr>
            <w:r w:rsidRPr="00C6052E">
              <w:t>13</w:t>
            </w:r>
          </w:p>
        </w:tc>
        <w:tc>
          <w:tcPr>
            <w:tcW w:w="1219" w:type="dxa"/>
            <w:noWrap/>
            <w:hideMark/>
          </w:tcPr>
          <w:p w14:paraId="43E07E76" w14:textId="77777777" w:rsidR="00EE5BB8" w:rsidRPr="00C6052E" w:rsidRDefault="00EE5BB8" w:rsidP="00D97857">
            <w:pPr>
              <w:pStyle w:val="TableCopy"/>
              <w:jc w:val="right"/>
            </w:pPr>
            <w:r w:rsidRPr="00C6052E">
              <w:t>(127)</w:t>
            </w:r>
          </w:p>
        </w:tc>
        <w:tc>
          <w:tcPr>
            <w:tcW w:w="1219" w:type="dxa"/>
            <w:noWrap/>
            <w:hideMark/>
          </w:tcPr>
          <w:p w14:paraId="166044AB" w14:textId="77777777" w:rsidR="00EE5BB8" w:rsidRPr="00C6052E" w:rsidRDefault="00EE5BB8" w:rsidP="00D97857">
            <w:pPr>
              <w:pStyle w:val="TableCopy"/>
              <w:jc w:val="right"/>
            </w:pPr>
            <w:r w:rsidRPr="00C6052E">
              <w:t>1,197</w:t>
            </w:r>
          </w:p>
        </w:tc>
        <w:tc>
          <w:tcPr>
            <w:tcW w:w="1219" w:type="dxa"/>
            <w:noWrap/>
            <w:hideMark/>
          </w:tcPr>
          <w:p w14:paraId="063718C2" w14:textId="77777777" w:rsidR="00EE5BB8" w:rsidRPr="00C6052E" w:rsidRDefault="00EE5BB8" w:rsidP="00D97857">
            <w:pPr>
              <w:pStyle w:val="TableCopy"/>
              <w:jc w:val="right"/>
            </w:pPr>
            <w:r w:rsidRPr="00C6052E">
              <w:t>1,046</w:t>
            </w:r>
          </w:p>
        </w:tc>
        <w:tc>
          <w:tcPr>
            <w:tcW w:w="1219" w:type="dxa"/>
            <w:noWrap/>
            <w:hideMark/>
          </w:tcPr>
          <w:p w14:paraId="0ABD8CA4" w14:textId="77777777" w:rsidR="00EE5BB8" w:rsidRPr="00C6052E" w:rsidRDefault="00EE5BB8" w:rsidP="00D97857">
            <w:pPr>
              <w:pStyle w:val="TableCopy"/>
              <w:jc w:val="right"/>
            </w:pPr>
            <w:r w:rsidRPr="00C6052E">
              <w:t>–</w:t>
            </w:r>
          </w:p>
        </w:tc>
        <w:tc>
          <w:tcPr>
            <w:tcW w:w="1219" w:type="dxa"/>
            <w:noWrap/>
            <w:hideMark/>
          </w:tcPr>
          <w:p w14:paraId="24C931F7" w14:textId="77777777" w:rsidR="00EE5BB8" w:rsidRPr="00C6052E" w:rsidRDefault="00EE5BB8" w:rsidP="00D97857">
            <w:pPr>
              <w:pStyle w:val="TableCopy"/>
              <w:jc w:val="right"/>
            </w:pPr>
            <w:r w:rsidRPr="00C6052E">
              <w:t>265</w:t>
            </w:r>
          </w:p>
        </w:tc>
        <w:tc>
          <w:tcPr>
            <w:tcW w:w="1219" w:type="dxa"/>
            <w:noWrap/>
            <w:hideMark/>
          </w:tcPr>
          <w:p w14:paraId="558EA805" w14:textId="77777777" w:rsidR="00EE5BB8" w:rsidRPr="00C6052E" w:rsidRDefault="00EE5BB8" w:rsidP="00D97857">
            <w:pPr>
              <w:pStyle w:val="TableCopy"/>
              <w:jc w:val="right"/>
            </w:pPr>
            <w:r w:rsidRPr="00C6052E">
              <w:t>–</w:t>
            </w:r>
          </w:p>
        </w:tc>
        <w:tc>
          <w:tcPr>
            <w:tcW w:w="1219" w:type="dxa"/>
            <w:noWrap/>
            <w:hideMark/>
          </w:tcPr>
          <w:p w14:paraId="5CD0B91B" w14:textId="77777777" w:rsidR="00EE5BB8" w:rsidRPr="00C6052E" w:rsidRDefault="00EE5BB8" w:rsidP="00D97857">
            <w:pPr>
              <w:pStyle w:val="TableCopy"/>
              <w:jc w:val="right"/>
            </w:pPr>
            <w:r w:rsidRPr="00C6052E">
              <w:t>1,311</w:t>
            </w:r>
          </w:p>
        </w:tc>
      </w:tr>
      <w:tr w:rsidR="00EE5BB8" w:rsidRPr="00C6052E" w14:paraId="207BB55B" w14:textId="77777777" w:rsidTr="00D97857">
        <w:trPr>
          <w:cantSplit/>
        </w:trPr>
        <w:tc>
          <w:tcPr>
            <w:tcW w:w="3685" w:type="dxa"/>
            <w:hideMark/>
          </w:tcPr>
          <w:p w14:paraId="756BF98E" w14:textId="58AB493E" w:rsidR="00EE5BB8" w:rsidRPr="00C6052E" w:rsidRDefault="00EE5BB8" w:rsidP="0063097D">
            <w:pPr>
              <w:pStyle w:val="TableCopy"/>
            </w:pPr>
            <w:r w:rsidRPr="00C6052E">
              <w:rPr>
                <w:rStyle w:val="Medium"/>
              </w:rPr>
              <w:t>State</w:t>
            </w:r>
            <w:r w:rsidR="00177848" w:rsidRPr="00C6052E">
              <w:rPr>
                <w:rStyle w:val="Medium"/>
              </w:rPr>
              <w:t xml:space="preserve"> </w:t>
            </w:r>
            <w:r w:rsidRPr="00C6052E">
              <w:rPr>
                <w:rStyle w:val="Medium"/>
              </w:rPr>
              <w:t>Treasury</w:t>
            </w:r>
            <w:r w:rsidR="00177848" w:rsidRPr="00C6052E">
              <w:rPr>
                <w:rStyle w:val="Medium"/>
              </w:rPr>
              <w:t xml:space="preserve"> </w:t>
            </w:r>
            <w:r w:rsidRPr="00C6052E">
              <w:rPr>
                <w:rStyle w:val="Medium"/>
              </w:rPr>
              <w:t>Trust</w:t>
            </w:r>
            <w:r w:rsidR="00177848" w:rsidRPr="00C6052E">
              <w:rPr>
                <w:rStyle w:val="Medium"/>
              </w:rPr>
              <w:t xml:space="preserve"> </w:t>
            </w:r>
            <w:r w:rsidRPr="00C6052E">
              <w:rPr>
                <w:rStyle w:val="Medium"/>
              </w:rPr>
              <w:t>Fund</w:t>
            </w:r>
            <w:r w:rsidRPr="00C6052E">
              <w:br/>
              <w:t>Established</w:t>
            </w:r>
            <w:r w:rsidR="00177848" w:rsidRPr="00C6052E">
              <w:t xml:space="preserve"> </w:t>
            </w:r>
            <w:r w:rsidRPr="00C6052E">
              <w:t>under</w:t>
            </w:r>
            <w:r w:rsidR="00177848" w:rsidRPr="00C6052E">
              <w:t xml:space="preserve"> </w:t>
            </w:r>
            <w:r w:rsidRPr="00C6052E">
              <w:t>the</w:t>
            </w:r>
            <w:r w:rsidR="00177848" w:rsidRPr="00C6052E">
              <w:t xml:space="preserve"> </w:t>
            </w:r>
            <w:r w:rsidRPr="00C6052E">
              <w:rPr>
                <w:rStyle w:val="Italics"/>
              </w:rPr>
              <w:t>Financial</w:t>
            </w:r>
            <w:r w:rsidR="00177848" w:rsidRPr="00C6052E">
              <w:rPr>
                <w:rStyle w:val="Italics"/>
              </w:rPr>
              <w:t xml:space="preserve"> </w:t>
            </w:r>
            <w:r w:rsidRPr="00C6052E">
              <w:rPr>
                <w:rStyle w:val="Italics"/>
              </w:rPr>
              <w:t>Management</w:t>
            </w:r>
            <w:r w:rsidR="00177848" w:rsidRPr="00C6052E">
              <w:rPr>
                <w:rStyle w:val="Italics"/>
              </w:rPr>
              <w:t xml:space="preserve"> </w:t>
            </w:r>
            <w:r w:rsidRPr="00C6052E">
              <w:rPr>
                <w:rStyle w:val="Italics"/>
              </w:rPr>
              <w:t>Act</w:t>
            </w:r>
            <w:r w:rsidR="00177848" w:rsidRPr="00C6052E">
              <w:rPr>
                <w:rStyle w:val="Italics"/>
              </w:rPr>
              <w:t xml:space="preserve"> </w:t>
            </w:r>
            <w:r w:rsidRPr="00C6052E">
              <w:rPr>
                <w:rStyle w:val="Italics"/>
              </w:rPr>
              <w:t>1994</w:t>
            </w:r>
            <w:r w:rsidR="00177848" w:rsidRPr="00C6052E">
              <w:t xml:space="preserve"> </w:t>
            </w:r>
            <w:r w:rsidRPr="00C6052E">
              <w:t>to</w:t>
            </w:r>
            <w:r w:rsidR="00177848" w:rsidRPr="00C6052E">
              <w:t xml:space="preserve"> </w:t>
            </w:r>
            <w:r w:rsidRPr="00C6052E">
              <w:t>record</w:t>
            </w:r>
            <w:r w:rsidR="00177848" w:rsidRPr="00C6052E">
              <w:t xml:space="preserve"> </w:t>
            </w:r>
            <w:r w:rsidRPr="00C6052E">
              <w:t>the</w:t>
            </w:r>
            <w:r w:rsidR="00177848" w:rsidRPr="00C6052E">
              <w:t xml:space="preserve"> </w:t>
            </w:r>
            <w:r w:rsidRPr="00C6052E">
              <w:t>receipt</w:t>
            </w:r>
            <w:r w:rsidR="00177848" w:rsidRPr="00C6052E">
              <w:t xml:space="preserve"> </w:t>
            </w:r>
            <w:r w:rsidRPr="00C6052E">
              <w:t>and</w:t>
            </w:r>
            <w:r w:rsidR="00177848" w:rsidRPr="00C6052E">
              <w:t xml:space="preserve"> </w:t>
            </w:r>
            <w:r w:rsidRPr="00C6052E">
              <w:t>disbursement</w:t>
            </w:r>
            <w:r w:rsidR="00177848" w:rsidRPr="00C6052E">
              <w:t xml:space="preserve"> </w:t>
            </w:r>
            <w:r w:rsidRPr="00C6052E">
              <w:t>of</w:t>
            </w:r>
            <w:r w:rsidR="00177848" w:rsidRPr="00C6052E">
              <w:t xml:space="preserve"> </w:t>
            </w:r>
            <w:r w:rsidRPr="00C6052E">
              <w:t>unclaimed</w:t>
            </w:r>
            <w:r w:rsidR="00177848" w:rsidRPr="00C6052E">
              <w:t xml:space="preserve"> </w:t>
            </w:r>
            <w:r w:rsidRPr="00C6052E">
              <w:t>monies</w:t>
            </w:r>
            <w:r w:rsidR="00177848" w:rsidRPr="00C6052E">
              <w:t xml:space="preserve"> </w:t>
            </w:r>
            <w:r w:rsidRPr="00C6052E">
              <w:t>and</w:t>
            </w:r>
            <w:r w:rsidR="00177848" w:rsidRPr="00C6052E">
              <w:t xml:space="preserve"> </w:t>
            </w:r>
            <w:r w:rsidRPr="00C6052E">
              <w:t>other</w:t>
            </w:r>
            <w:r w:rsidR="00177848" w:rsidRPr="00C6052E">
              <w:t xml:space="preserve"> </w:t>
            </w:r>
            <w:r w:rsidRPr="00C6052E">
              <w:t>funds</w:t>
            </w:r>
            <w:r w:rsidR="00177848" w:rsidRPr="00C6052E">
              <w:t xml:space="preserve"> </w:t>
            </w:r>
            <w:r w:rsidRPr="00C6052E">
              <w:t>held</w:t>
            </w:r>
            <w:r w:rsidR="00177848" w:rsidRPr="00C6052E">
              <w:t xml:space="preserve"> </w:t>
            </w:r>
            <w:r w:rsidRPr="00C6052E">
              <w:t>in</w:t>
            </w:r>
            <w:r w:rsidR="00177848" w:rsidRPr="00C6052E">
              <w:t xml:space="preserve"> </w:t>
            </w:r>
            <w:r w:rsidRPr="00C6052E">
              <w:t>trust.</w:t>
            </w:r>
          </w:p>
        </w:tc>
        <w:tc>
          <w:tcPr>
            <w:tcW w:w="1219" w:type="dxa"/>
            <w:noWrap/>
            <w:hideMark/>
          </w:tcPr>
          <w:p w14:paraId="4A51B359" w14:textId="77777777" w:rsidR="00EE5BB8" w:rsidRPr="00C6052E" w:rsidRDefault="00EE5BB8" w:rsidP="00D97857">
            <w:pPr>
              <w:pStyle w:val="TableCopy"/>
              <w:jc w:val="right"/>
            </w:pPr>
            <w:r w:rsidRPr="00C6052E">
              <w:t>1,188</w:t>
            </w:r>
          </w:p>
        </w:tc>
        <w:tc>
          <w:tcPr>
            <w:tcW w:w="1219" w:type="dxa"/>
            <w:noWrap/>
            <w:hideMark/>
          </w:tcPr>
          <w:p w14:paraId="3B5A336D" w14:textId="77777777" w:rsidR="00EE5BB8" w:rsidRPr="00C6052E" w:rsidRDefault="00EE5BB8" w:rsidP="00D97857">
            <w:pPr>
              <w:pStyle w:val="TableCopy"/>
              <w:jc w:val="right"/>
            </w:pPr>
            <w:r w:rsidRPr="00C6052E">
              <w:t>–</w:t>
            </w:r>
          </w:p>
        </w:tc>
        <w:tc>
          <w:tcPr>
            <w:tcW w:w="1219" w:type="dxa"/>
            <w:noWrap/>
            <w:hideMark/>
          </w:tcPr>
          <w:p w14:paraId="0E73AB20" w14:textId="77777777" w:rsidR="00EE5BB8" w:rsidRPr="00C6052E" w:rsidRDefault="00EE5BB8" w:rsidP="00D97857">
            <w:pPr>
              <w:pStyle w:val="TableCopy"/>
              <w:jc w:val="right"/>
            </w:pPr>
            <w:r w:rsidRPr="00C6052E">
              <w:t>(44)</w:t>
            </w:r>
          </w:p>
        </w:tc>
        <w:tc>
          <w:tcPr>
            <w:tcW w:w="1219" w:type="dxa"/>
            <w:noWrap/>
            <w:hideMark/>
          </w:tcPr>
          <w:p w14:paraId="0678ABE4" w14:textId="77777777" w:rsidR="00EE5BB8" w:rsidRPr="00C6052E" w:rsidRDefault="00EE5BB8" w:rsidP="00D97857">
            <w:pPr>
              <w:pStyle w:val="TableCopy"/>
              <w:jc w:val="right"/>
            </w:pPr>
            <w:r w:rsidRPr="00C6052E">
              <w:t>1,144</w:t>
            </w:r>
          </w:p>
        </w:tc>
        <w:tc>
          <w:tcPr>
            <w:tcW w:w="1219" w:type="dxa"/>
            <w:noWrap/>
            <w:hideMark/>
          </w:tcPr>
          <w:p w14:paraId="5E670552" w14:textId="77777777" w:rsidR="00EE5BB8" w:rsidRPr="00C6052E" w:rsidRDefault="00EE5BB8" w:rsidP="00D97857">
            <w:pPr>
              <w:pStyle w:val="TableCopy"/>
              <w:jc w:val="right"/>
            </w:pPr>
            <w:r w:rsidRPr="00C6052E">
              <w:t>994</w:t>
            </w:r>
          </w:p>
        </w:tc>
        <w:tc>
          <w:tcPr>
            <w:tcW w:w="1219" w:type="dxa"/>
            <w:noWrap/>
            <w:hideMark/>
          </w:tcPr>
          <w:p w14:paraId="3143FD2C" w14:textId="77777777" w:rsidR="00EE5BB8" w:rsidRPr="00C6052E" w:rsidRDefault="00EE5BB8" w:rsidP="00D97857">
            <w:pPr>
              <w:pStyle w:val="TableCopy"/>
              <w:jc w:val="right"/>
            </w:pPr>
            <w:r w:rsidRPr="00C6052E">
              <w:t>–</w:t>
            </w:r>
          </w:p>
        </w:tc>
        <w:tc>
          <w:tcPr>
            <w:tcW w:w="1219" w:type="dxa"/>
            <w:noWrap/>
            <w:hideMark/>
          </w:tcPr>
          <w:p w14:paraId="1854476B" w14:textId="77777777" w:rsidR="00EE5BB8" w:rsidRPr="00C6052E" w:rsidRDefault="00EE5BB8" w:rsidP="00D97857">
            <w:pPr>
              <w:pStyle w:val="TableCopy"/>
              <w:jc w:val="right"/>
            </w:pPr>
            <w:r w:rsidRPr="00C6052E">
              <w:t>–</w:t>
            </w:r>
          </w:p>
        </w:tc>
        <w:tc>
          <w:tcPr>
            <w:tcW w:w="1219" w:type="dxa"/>
            <w:noWrap/>
            <w:hideMark/>
          </w:tcPr>
          <w:p w14:paraId="7444A3D1" w14:textId="77777777" w:rsidR="00EE5BB8" w:rsidRPr="00C6052E" w:rsidRDefault="00EE5BB8" w:rsidP="00D97857">
            <w:pPr>
              <w:pStyle w:val="TableCopy"/>
              <w:jc w:val="right"/>
            </w:pPr>
            <w:r w:rsidRPr="00C6052E">
              <w:t>194</w:t>
            </w:r>
          </w:p>
        </w:tc>
        <w:tc>
          <w:tcPr>
            <w:tcW w:w="1219" w:type="dxa"/>
            <w:noWrap/>
            <w:hideMark/>
          </w:tcPr>
          <w:p w14:paraId="084D81DD" w14:textId="77777777" w:rsidR="00EE5BB8" w:rsidRPr="00C6052E" w:rsidRDefault="00EE5BB8" w:rsidP="00D97857">
            <w:pPr>
              <w:pStyle w:val="TableCopy"/>
              <w:jc w:val="right"/>
            </w:pPr>
            <w:r w:rsidRPr="00C6052E">
              <w:t>1,188</w:t>
            </w:r>
          </w:p>
        </w:tc>
      </w:tr>
      <w:tr w:rsidR="00EE5BB8" w:rsidRPr="00C6052E" w14:paraId="4CCB09B1" w14:textId="77777777" w:rsidTr="00D97857">
        <w:trPr>
          <w:cantSplit/>
        </w:trPr>
        <w:tc>
          <w:tcPr>
            <w:tcW w:w="3685" w:type="dxa"/>
            <w:hideMark/>
          </w:tcPr>
          <w:p w14:paraId="44E93522" w14:textId="02997CED" w:rsidR="00EE5BB8" w:rsidRPr="00C6052E" w:rsidRDefault="00EE5BB8" w:rsidP="0063097D">
            <w:pPr>
              <w:pStyle w:val="TableCopy"/>
            </w:pPr>
            <w:r w:rsidRPr="00C6052E">
              <w:rPr>
                <w:rStyle w:val="Medium"/>
              </w:rPr>
              <w:lastRenderedPageBreak/>
              <w:t>Inter-departmental</w:t>
            </w:r>
            <w:r w:rsidR="00177848" w:rsidRPr="00C6052E">
              <w:rPr>
                <w:rStyle w:val="Medium"/>
              </w:rPr>
              <w:t xml:space="preserve"> </w:t>
            </w:r>
            <w:r w:rsidRPr="00C6052E">
              <w:rPr>
                <w:rStyle w:val="Medium"/>
              </w:rPr>
              <w:t>transfer</w:t>
            </w:r>
            <w:r w:rsidR="00177848" w:rsidRPr="00C6052E">
              <w:rPr>
                <w:rStyle w:val="Medium"/>
              </w:rPr>
              <w:t xml:space="preserve"> </w:t>
            </w:r>
            <w:r w:rsidRPr="00C6052E">
              <w:rPr>
                <w:rStyle w:val="Medium"/>
              </w:rPr>
              <w:t>fund</w:t>
            </w:r>
            <w:r w:rsidRPr="00C6052E">
              <w:br/>
              <w:t>The</w:t>
            </w:r>
            <w:r w:rsidR="00177848" w:rsidRPr="00C6052E">
              <w:t xml:space="preserve"> </w:t>
            </w:r>
            <w:r w:rsidRPr="00C6052E">
              <w:t>trust</w:t>
            </w:r>
            <w:r w:rsidR="00177848" w:rsidRPr="00C6052E">
              <w:t xml:space="preserve"> </w:t>
            </w:r>
            <w:r w:rsidRPr="00C6052E">
              <w:t>was</w:t>
            </w:r>
            <w:r w:rsidR="00177848" w:rsidRPr="00C6052E">
              <w:t xml:space="preserve"> </w:t>
            </w:r>
            <w:r w:rsidRPr="00C6052E">
              <w:t>established</w:t>
            </w:r>
            <w:r w:rsidR="00177848" w:rsidRPr="00C6052E">
              <w:t xml:space="preserve"> </w:t>
            </w:r>
            <w:r w:rsidRPr="00C6052E">
              <w:t>under</w:t>
            </w:r>
            <w:r w:rsidR="00177848" w:rsidRPr="00C6052E">
              <w:t xml:space="preserve"> </w:t>
            </w:r>
            <w:r w:rsidRPr="00C6052E">
              <w:t>section</w:t>
            </w:r>
            <w:r w:rsidR="00177848" w:rsidRPr="00C6052E">
              <w:t xml:space="preserve"> </w:t>
            </w:r>
            <w:r w:rsidRPr="00C6052E">
              <w:t>19</w:t>
            </w:r>
            <w:r w:rsidR="00177848" w:rsidRPr="00C6052E">
              <w:t xml:space="preserve"> </w:t>
            </w:r>
            <w:r w:rsidRPr="00C6052E">
              <w:t>of</w:t>
            </w:r>
            <w:r w:rsidR="00177848" w:rsidRPr="00C6052E">
              <w:t xml:space="preserve"> </w:t>
            </w:r>
            <w:r w:rsidRPr="00C6052E">
              <w:t>the</w:t>
            </w:r>
            <w:r w:rsidR="00177848" w:rsidRPr="00C6052E">
              <w:t xml:space="preserve"> </w:t>
            </w:r>
            <w:r w:rsidRPr="00C6052E">
              <w:rPr>
                <w:rStyle w:val="Italics"/>
              </w:rPr>
              <w:t>Financial</w:t>
            </w:r>
            <w:r w:rsidR="00177848" w:rsidRPr="00C6052E">
              <w:rPr>
                <w:rStyle w:val="Italics"/>
              </w:rPr>
              <w:t xml:space="preserve"> </w:t>
            </w:r>
            <w:r w:rsidRPr="00C6052E">
              <w:rPr>
                <w:rStyle w:val="Italics"/>
              </w:rPr>
              <w:t>Management</w:t>
            </w:r>
            <w:r w:rsidR="00177848" w:rsidRPr="00C6052E">
              <w:rPr>
                <w:rStyle w:val="Italics"/>
              </w:rPr>
              <w:t xml:space="preserve"> </w:t>
            </w:r>
            <w:r w:rsidRPr="00C6052E">
              <w:rPr>
                <w:rStyle w:val="Italics"/>
              </w:rPr>
              <w:t>Act</w:t>
            </w:r>
            <w:r w:rsidR="00177848" w:rsidRPr="00C6052E">
              <w:rPr>
                <w:rStyle w:val="Italics"/>
              </w:rPr>
              <w:t xml:space="preserve"> </w:t>
            </w:r>
            <w:r w:rsidRPr="00C6052E">
              <w:rPr>
                <w:rStyle w:val="Italics"/>
              </w:rPr>
              <w:t>1994</w:t>
            </w:r>
            <w:r w:rsidR="00177848" w:rsidRPr="00C6052E">
              <w:t xml:space="preserve"> </w:t>
            </w:r>
            <w:r w:rsidRPr="00C6052E">
              <w:t>by</w:t>
            </w:r>
            <w:r w:rsidR="00177848" w:rsidRPr="00C6052E">
              <w:t xml:space="preserve"> </w:t>
            </w:r>
            <w:r w:rsidRPr="00C6052E">
              <w:t>the</w:t>
            </w:r>
            <w:r w:rsidR="00177848" w:rsidRPr="00C6052E">
              <w:t xml:space="preserve"> </w:t>
            </w:r>
            <w:r w:rsidRPr="00C6052E">
              <w:t>Minister</w:t>
            </w:r>
            <w:r w:rsidR="00177848" w:rsidRPr="00C6052E">
              <w:t xml:space="preserve"> </w:t>
            </w:r>
            <w:r w:rsidRPr="00C6052E">
              <w:t>for</w:t>
            </w:r>
            <w:r w:rsidR="00177848" w:rsidRPr="00C6052E">
              <w:t xml:space="preserve"> </w:t>
            </w:r>
            <w:r w:rsidRPr="00C6052E">
              <w:t>Finance</w:t>
            </w:r>
            <w:r w:rsidR="00177848" w:rsidRPr="00C6052E">
              <w:t xml:space="preserve"> </w:t>
            </w:r>
            <w:r w:rsidRPr="00C6052E">
              <w:t>to</w:t>
            </w:r>
            <w:r w:rsidR="00177848" w:rsidRPr="00C6052E">
              <w:t xml:space="preserve"> </w:t>
            </w:r>
            <w:r w:rsidRPr="00C6052E">
              <w:t>record</w:t>
            </w:r>
            <w:r w:rsidR="00177848" w:rsidRPr="00C6052E">
              <w:t xml:space="preserve"> </w:t>
            </w:r>
            <w:r w:rsidRPr="00C6052E">
              <w:t>inter-departmental</w:t>
            </w:r>
            <w:r w:rsidR="00177848" w:rsidRPr="00C6052E">
              <w:t xml:space="preserve"> </w:t>
            </w:r>
            <w:r w:rsidRPr="00C6052E">
              <w:t>transfers</w:t>
            </w:r>
            <w:r w:rsidR="00177848" w:rsidRPr="00C6052E">
              <w:t xml:space="preserve"> </w:t>
            </w:r>
            <w:r w:rsidRPr="00C6052E">
              <w:t>when</w:t>
            </w:r>
            <w:r w:rsidR="00177848" w:rsidRPr="00C6052E">
              <w:t xml:space="preserve"> </w:t>
            </w:r>
            <w:r w:rsidRPr="00C6052E">
              <w:t>no</w:t>
            </w:r>
            <w:r w:rsidR="00177848" w:rsidRPr="00C6052E">
              <w:t xml:space="preserve"> </w:t>
            </w:r>
            <w:r w:rsidRPr="00C6052E">
              <w:t>other</w:t>
            </w:r>
            <w:r w:rsidR="00177848" w:rsidRPr="00C6052E">
              <w:t xml:space="preserve"> </w:t>
            </w:r>
            <w:r w:rsidRPr="00C6052E">
              <w:t>trust</w:t>
            </w:r>
            <w:r w:rsidR="00177848" w:rsidRPr="00C6052E">
              <w:t xml:space="preserve"> </w:t>
            </w:r>
            <w:r w:rsidRPr="00C6052E">
              <w:t>arrangement</w:t>
            </w:r>
            <w:r w:rsidR="00177848" w:rsidRPr="00C6052E">
              <w:t xml:space="preserve"> </w:t>
            </w:r>
            <w:r w:rsidRPr="00C6052E">
              <w:t>exists.</w:t>
            </w:r>
            <w:r w:rsidR="00177848" w:rsidRPr="00C6052E">
              <w:t xml:space="preserve"> </w:t>
            </w:r>
          </w:p>
        </w:tc>
        <w:tc>
          <w:tcPr>
            <w:tcW w:w="1219" w:type="dxa"/>
            <w:noWrap/>
            <w:hideMark/>
          </w:tcPr>
          <w:p w14:paraId="41A8215C" w14:textId="77777777" w:rsidR="00EE5BB8" w:rsidRPr="00C6052E" w:rsidRDefault="00EE5BB8" w:rsidP="00D97857">
            <w:pPr>
              <w:pStyle w:val="TableCopy"/>
              <w:jc w:val="right"/>
            </w:pPr>
            <w:r w:rsidRPr="00C6052E">
              <w:t>26,616</w:t>
            </w:r>
          </w:p>
        </w:tc>
        <w:tc>
          <w:tcPr>
            <w:tcW w:w="1219" w:type="dxa"/>
            <w:noWrap/>
            <w:hideMark/>
          </w:tcPr>
          <w:p w14:paraId="6A148F40" w14:textId="77777777" w:rsidR="00EE5BB8" w:rsidRPr="00C6052E" w:rsidRDefault="00EE5BB8" w:rsidP="00D97857">
            <w:pPr>
              <w:pStyle w:val="TableCopy"/>
              <w:jc w:val="right"/>
            </w:pPr>
            <w:r w:rsidRPr="00C6052E">
              <w:t>255,127</w:t>
            </w:r>
          </w:p>
        </w:tc>
        <w:tc>
          <w:tcPr>
            <w:tcW w:w="1219" w:type="dxa"/>
            <w:noWrap/>
            <w:hideMark/>
          </w:tcPr>
          <w:p w14:paraId="31C8795F" w14:textId="77777777" w:rsidR="00EE5BB8" w:rsidRPr="00C6052E" w:rsidRDefault="00EE5BB8" w:rsidP="00D97857">
            <w:pPr>
              <w:pStyle w:val="TableCopy"/>
              <w:jc w:val="right"/>
            </w:pPr>
            <w:r w:rsidRPr="00C6052E">
              <w:t>(279,566)</w:t>
            </w:r>
          </w:p>
        </w:tc>
        <w:tc>
          <w:tcPr>
            <w:tcW w:w="1219" w:type="dxa"/>
            <w:noWrap/>
            <w:hideMark/>
          </w:tcPr>
          <w:p w14:paraId="72E4F34C" w14:textId="77777777" w:rsidR="00EE5BB8" w:rsidRPr="00C6052E" w:rsidRDefault="00EE5BB8" w:rsidP="00D97857">
            <w:pPr>
              <w:pStyle w:val="TableCopy"/>
              <w:jc w:val="right"/>
            </w:pPr>
            <w:r w:rsidRPr="00C6052E">
              <w:t>2,177</w:t>
            </w:r>
          </w:p>
        </w:tc>
        <w:tc>
          <w:tcPr>
            <w:tcW w:w="1219" w:type="dxa"/>
            <w:noWrap/>
            <w:hideMark/>
          </w:tcPr>
          <w:p w14:paraId="545696E1" w14:textId="77777777" w:rsidR="00EE5BB8" w:rsidRPr="00C6052E" w:rsidRDefault="00EE5BB8" w:rsidP="00D97857">
            <w:pPr>
              <w:pStyle w:val="TableCopy"/>
              <w:jc w:val="right"/>
            </w:pPr>
            <w:r w:rsidRPr="00C6052E">
              <w:t>58,998</w:t>
            </w:r>
          </w:p>
        </w:tc>
        <w:tc>
          <w:tcPr>
            <w:tcW w:w="1219" w:type="dxa"/>
            <w:noWrap/>
            <w:hideMark/>
          </w:tcPr>
          <w:p w14:paraId="18E721B6" w14:textId="77777777" w:rsidR="00EE5BB8" w:rsidRPr="00C6052E" w:rsidRDefault="00EE5BB8" w:rsidP="00D97857">
            <w:pPr>
              <w:pStyle w:val="TableCopy"/>
              <w:jc w:val="right"/>
            </w:pPr>
            <w:r w:rsidRPr="00C6052E">
              <w:t>(204)</w:t>
            </w:r>
          </w:p>
        </w:tc>
        <w:tc>
          <w:tcPr>
            <w:tcW w:w="1219" w:type="dxa"/>
            <w:noWrap/>
            <w:hideMark/>
          </w:tcPr>
          <w:p w14:paraId="76051323" w14:textId="77777777" w:rsidR="00EE5BB8" w:rsidRPr="00C6052E" w:rsidRDefault="00EE5BB8" w:rsidP="00D97857">
            <w:pPr>
              <w:pStyle w:val="TableCopy"/>
              <w:jc w:val="right"/>
            </w:pPr>
            <w:r w:rsidRPr="00C6052E">
              <w:t>223,256</w:t>
            </w:r>
          </w:p>
        </w:tc>
        <w:tc>
          <w:tcPr>
            <w:tcW w:w="1219" w:type="dxa"/>
            <w:noWrap/>
            <w:hideMark/>
          </w:tcPr>
          <w:p w14:paraId="3BBC259E" w14:textId="77777777" w:rsidR="00EE5BB8" w:rsidRPr="00C6052E" w:rsidRDefault="00EE5BB8" w:rsidP="00D97857">
            <w:pPr>
              <w:pStyle w:val="TableCopy"/>
              <w:jc w:val="right"/>
            </w:pPr>
            <w:r w:rsidRPr="00C6052E">
              <w:t>(255,434)</w:t>
            </w:r>
          </w:p>
        </w:tc>
        <w:tc>
          <w:tcPr>
            <w:tcW w:w="1219" w:type="dxa"/>
            <w:noWrap/>
            <w:hideMark/>
          </w:tcPr>
          <w:p w14:paraId="3BFBFAA3" w14:textId="77777777" w:rsidR="00EE5BB8" w:rsidRPr="00C6052E" w:rsidRDefault="00EE5BB8" w:rsidP="00D97857">
            <w:pPr>
              <w:pStyle w:val="TableCopy"/>
              <w:jc w:val="right"/>
            </w:pPr>
            <w:r w:rsidRPr="00C6052E">
              <w:t>26,616</w:t>
            </w:r>
          </w:p>
        </w:tc>
      </w:tr>
      <w:tr w:rsidR="00EE5BB8" w:rsidRPr="00C6052E" w14:paraId="78FEF1FC" w14:textId="77777777" w:rsidTr="00D97857">
        <w:trPr>
          <w:cantSplit/>
        </w:trPr>
        <w:tc>
          <w:tcPr>
            <w:tcW w:w="3685" w:type="dxa"/>
            <w:hideMark/>
          </w:tcPr>
          <w:p w14:paraId="243FBA46" w14:textId="087F14DB" w:rsidR="00EE5BB8" w:rsidRPr="00C6052E" w:rsidRDefault="00EE5BB8" w:rsidP="0063097D">
            <w:pPr>
              <w:pStyle w:val="TableCopy"/>
            </w:pPr>
            <w:r w:rsidRPr="00C6052E">
              <w:rPr>
                <w:rStyle w:val="Medium"/>
              </w:rPr>
              <w:t>Commonwealth</w:t>
            </w:r>
            <w:r w:rsidR="00177848" w:rsidRPr="00C6052E">
              <w:rPr>
                <w:rStyle w:val="Medium"/>
              </w:rPr>
              <w:t xml:space="preserve"> </w:t>
            </w:r>
            <w:r w:rsidRPr="00C6052E">
              <w:rPr>
                <w:rStyle w:val="Medium"/>
              </w:rPr>
              <w:t>Treasury</w:t>
            </w:r>
            <w:r w:rsidR="00177848" w:rsidRPr="00C6052E">
              <w:rPr>
                <w:rStyle w:val="Medium"/>
              </w:rPr>
              <w:t xml:space="preserve"> </w:t>
            </w:r>
            <w:r w:rsidRPr="00C6052E">
              <w:rPr>
                <w:rStyle w:val="Medium"/>
              </w:rPr>
              <w:t>Trust</w:t>
            </w:r>
            <w:r w:rsidR="00177848" w:rsidRPr="00C6052E">
              <w:rPr>
                <w:rStyle w:val="Medium"/>
              </w:rPr>
              <w:t xml:space="preserve"> </w:t>
            </w:r>
            <w:r w:rsidRPr="00C6052E">
              <w:rPr>
                <w:rStyle w:val="Medium"/>
              </w:rPr>
              <w:t>Fund</w:t>
            </w:r>
            <w:r w:rsidRPr="00C6052E">
              <w:br/>
              <w:t>Established</w:t>
            </w:r>
            <w:r w:rsidR="00177848" w:rsidRPr="00C6052E">
              <w:t xml:space="preserve"> </w:t>
            </w:r>
            <w:r w:rsidRPr="00C6052E">
              <w:t>under</w:t>
            </w:r>
            <w:r w:rsidR="00177848" w:rsidRPr="00C6052E">
              <w:t xml:space="preserve"> </w:t>
            </w:r>
            <w:r w:rsidRPr="00C6052E">
              <w:t>section</w:t>
            </w:r>
            <w:r w:rsidR="00177848" w:rsidRPr="00C6052E">
              <w:t xml:space="preserve"> </w:t>
            </w:r>
            <w:r w:rsidRPr="00C6052E">
              <w:t>19</w:t>
            </w:r>
            <w:r w:rsidR="00177848" w:rsidRPr="00C6052E">
              <w:t xml:space="preserve"> </w:t>
            </w:r>
            <w:r w:rsidRPr="00C6052E">
              <w:t>of</w:t>
            </w:r>
            <w:r w:rsidR="00177848" w:rsidRPr="00C6052E">
              <w:t xml:space="preserve"> </w:t>
            </w:r>
            <w:r w:rsidRPr="00C6052E">
              <w:t>the</w:t>
            </w:r>
            <w:r w:rsidR="00177848" w:rsidRPr="00C6052E">
              <w:t xml:space="preserve"> </w:t>
            </w:r>
            <w:r w:rsidRPr="00C6052E">
              <w:rPr>
                <w:rStyle w:val="Italics"/>
              </w:rPr>
              <w:t>Financial</w:t>
            </w:r>
            <w:r w:rsidR="00177848" w:rsidRPr="00C6052E">
              <w:rPr>
                <w:rStyle w:val="Italics"/>
                <w:rFonts w:ascii="Arial" w:hAnsi="Arial" w:cs="Cambria"/>
              </w:rPr>
              <w:t xml:space="preserve"> </w:t>
            </w:r>
            <w:r w:rsidRPr="00C6052E">
              <w:rPr>
                <w:rStyle w:val="Italics"/>
              </w:rPr>
              <w:t>Management</w:t>
            </w:r>
            <w:r w:rsidR="00177848" w:rsidRPr="00C6052E">
              <w:rPr>
                <w:rStyle w:val="Italics"/>
              </w:rPr>
              <w:t xml:space="preserve"> </w:t>
            </w:r>
            <w:r w:rsidRPr="00C6052E">
              <w:rPr>
                <w:rStyle w:val="Italics"/>
              </w:rPr>
              <w:t>Act</w:t>
            </w:r>
            <w:r w:rsidR="00177848" w:rsidRPr="00C6052E">
              <w:rPr>
                <w:rStyle w:val="Italics"/>
              </w:rPr>
              <w:t xml:space="preserve"> </w:t>
            </w:r>
            <w:r w:rsidRPr="00C6052E">
              <w:rPr>
                <w:rStyle w:val="Italics"/>
              </w:rPr>
              <w:t>1994</w:t>
            </w:r>
            <w:r w:rsidRPr="00C6052E">
              <w:t>,</w:t>
            </w:r>
            <w:r w:rsidR="00177848" w:rsidRPr="00C6052E">
              <w:t xml:space="preserve"> </w:t>
            </w:r>
            <w:r w:rsidRPr="00C6052E">
              <w:t>for</w:t>
            </w:r>
            <w:r w:rsidR="00177848" w:rsidRPr="00C6052E">
              <w:t xml:space="preserve"> </w:t>
            </w:r>
            <w:r w:rsidRPr="00C6052E">
              <w:t>the</w:t>
            </w:r>
            <w:r w:rsidR="00177848" w:rsidRPr="00C6052E">
              <w:t xml:space="preserve"> </w:t>
            </w:r>
            <w:r w:rsidRPr="00C6052E">
              <w:t>purpose</w:t>
            </w:r>
            <w:r w:rsidR="00177848" w:rsidRPr="00C6052E">
              <w:t xml:space="preserve"> </w:t>
            </w:r>
            <w:r w:rsidRPr="00C6052E">
              <w:t>of</w:t>
            </w:r>
            <w:r w:rsidR="00177848" w:rsidRPr="00C6052E">
              <w:t xml:space="preserve"> </w:t>
            </w:r>
            <w:r w:rsidRPr="00C6052E">
              <w:t>holding</w:t>
            </w:r>
            <w:r w:rsidR="00177848" w:rsidRPr="00C6052E">
              <w:t xml:space="preserve"> </w:t>
            </w:r>
            <w:r w:rsidRPr="00C6052E">
              <w:t>funds</w:t>
            </w:r>
            <w:r w:rsidR="00177848" w:rsidRPr="00C6052E">
              <w:t xml:space="preserve"> </w:t>
            </w:r>
            <w:r w:rsidRPr="00C6052E">
              <w:t>from</w:t>
            </w:r>
            <w:r w:rsidR="00177848" w:rsidRPr="00C6052E">
              <w:t xml:space="preserve"> </w:t>
            </w:r>
            <w:r w:rsidRPr="00C6052E">
              <w:t>the</w:t>
            </w:r>
            <w:r w:rsidR="00177848" w:rsidRPr="00C6052E">
              <w:t xml:space="preserve"> </w:t>
            </w:r>
            <w:r w:rsidRPr="00C6052E">
              <w:t>Commonwealth</w:t>
            </w:r>
            <w:r w:rsidR="00177848" w:rsidRPr="00C6052E">
              <w:t xml:space="preserve"> </w:t>
            </w:r>
            <w:r w:rsidRPr="00C6052E">
              <w:t>Government.</w:t>
            </w:r>
          </w:p>
        </w:tc>
        <w:tc>
          <w:tcPr>
            <w:tcW w:w="1219" w:type="dxa"/>
            <w:noWrap/>
            <w:hideMark/>
          </w:tcPr>
          <w:p w14:paraId="3BD9C348" w14:textId="77777777" w:rsidR="00EE5BB8" w:rsidRPr="00C6052E" w:rsidRDefault="00EE5BB8" w:rsidP="00D97857">
            <w:pPr>
              <w:pStyle w:val="TableCopy"/>
              <w:jc w:val="right"/>
            </w:pPr>
            <w:r w:rsidRPr="00C6052E">
              <w:t>11,915</w:t>
            </w:r>
          </w:p>
        </w:tc>
        <w:tc>
          <w:tcPr>
            <w:tcW w:w="1219" w:type="dxa"/>
            <w:noWrap/>
            <w:hideMark/>
          </w:tcPr>
          <w:p w14:paraId="2C256F4F" w14:textId="77777777" w:rsidR="00EE5BB8" w:rsidRPr="00C6052E" w:rsidRDefault="00EE5BB8" w:rsidP="00D97857">
            <w:pPr>
              <w:pStyle w:val="TableCopy"/>
              <w:jc w:val="right"/>
            </w:pPr>
            <w:r w:rsidRPr="00C6052E">
              <w:t>12,924</w:t>
            </w:r>
          </w:p>
        </w:tc>
        <w:tc>
          <w:tcPr>
            <w:tcW w:w="1219" w:type="dxa"/>
            <w:noWrap/>
            <w:hideMark/>
          </w:tcPr>
          <w:p w14:paraId="332BEE7C" w14:textId="77777777" w:rsidR="00EE5BB8" w:rsidRPr="00C6052E" w:rsidRDefault="00EE5BB8" w:rsidP="00D97857">
            <w:pPr>
              <w:pStyle w:val="TableCopy"/>
              <w:jc w:val="right"/>
            </w:pPr>
            <w:r w:rsidRPr="00C6052E">
              <w:t>(10,433)</w:t>
            </w:r>
          </w:p>
        </w:tc>
        <w:tc>
          <w:tcPr>
            <w:tcW w:w="1219" w:type="dxa"/>
            <w:noWrap/>
            <w:hideMark/>
          </w:tcPr>
          <w:p w14:paraId="3768DB25" w14:textId="77777777" w:rsidR="00EE5BB8" w:rsidRPr="00C6052E" w:rsidRDefault="00EE5BB8" w:rsidP="00D97857">
            <w:pPr>
              <w:pStyle w:val="TableCopy"/>
              <w:jc w:val="right"/>
            </w:pPr>
            <w:r w:rsidRPr="00C6052E">
              <w:t>14,406</w:t>
            </w:r>
          </w:p>
        </w:tc>
        <w:tc>
          <w:tcPr>
            <w:tcW w:w="1219" w:type="dxa"/>
            <w:noWrap/>
            <w:hideMark/>
          </w:tcPr>
          <w:p w14:paraId="4CABFAF3" w14:textId="77777777" w:rsidR="00EE5BB8" w:rsidRPr="00C6052E" w:rsidRDefault="00EE5BB8" w:rsidP="00D97857">
            <w:pPr>
              <w:pStyle w:val="TableCopy"/>
              <w:jc w:val="right"/>
            </w:pPr>
            <w:r w:rsidRPr="00C6052E">
              <w:t>11,869</w:t>
            </w:r>
          </w:p>
        </w:tc>
        <w:tc>
          <w:tcPr>
            <w:tcW w:w="1219" w:type="dxa"/>
            <w:noWrap/>
            <w:hideMark/>
          </w:tcPr>
          <w:p w14:paraId="7CC71451" w14:textId="77777777" w:rsidR="00EE5BB8" w:rsidRPr="00C6052E" w:rsidRDefault="00EE5BB8" w:rsidP="00D97857">
            <w:pPr>
              <w:pStyle w:val="TableCopy"/>
              <w:jc w:val="right"/>
            </w:pPr>
            <w:r w:rsidRPr="00C6052E">
              <w:t>–</w:t>
            </w:r>
          </w:p>
        </w:tc>
        <w:tc>
          <w:tcPr>
            <w:tcW w:w="1219" w:type="dxa"/>
            <w:noWrap/>
            <w:hideMark/>
          </w:tcPr>
          <w:p w14:paraId="7C6351AC" w14:textId="77777777" w:rsidR="00EE5BB8" w:rsidRPr="00C6052E" w:rsidRDefault="00EE5BB8" w:rsidP="00D97857">
            <w:pPr>
              <w:pStyle w:val="TableCopy"/>
              <w:jc w:val="right"/>
            </w:pPr>
            <w:r w:rsidRPr="00C6052E">
              <w:t>9,245</w:t>
            </w:r>
          </w:p>
        </w:tc>
        <w:tc>
          <w:tcPr>
            <w:tcW w:w="1219" w:type="dxa"/>
            <w:noWrap/>
            <w:hideMark/>
          </w:tcPr>
          <w:p w14:paraId="09412335" w14:textId="77777777" w:rsidR="00EE5BB8" w:rsidRPr="00C6052E" w:rsidRDefault="00EE5BB8" w:rsidP="00D97857">
            <w:pPr>
              <w:pStyle w:val="TableCopy"/>
              <w:jc w:val="right"/>
            </w:pPr>
            <w:r w:rsidRPr="00C6052E">
              <w:t>(9,199)</w:t>
            </w:r>
          </w:p>
        </w:tc>
        <w:tc>
          <w:tcPr>
            <w:tcW w:w="1219" w:type="dxa"/>
            <w:noWrap/>
            <w:hideMark/>
          </w:tcPr>
          <w:p w14:paraId="22F05523" w14:textId="77777777" w:rsidR="00EE5BB8" w:rsidRPr="00C6052E" w:rsidRDefault="00EE5BB8" w:rsidP="00D97857">
            <w:pPr>
              <w:pStyle w:val="TableCopy"/>
              <w:jc w:val="right"/>
            </w:pPr>
            <w:r w:rsidRPr="00C6052E">
              <w:t>11,915</w:t>
            </w:r>
          </w:p>
        </w:tc>
      </w:tr>
      <w:tr w:rsidR="00EE5BB8" w:rsidRPr="00C6052E" w14:paraId="10D016AA" w14:textId="77777777" w:rsidTr="00D97857">
        <w:trPr>
          <w:cantSplit/>
        </w:trPr>
        <w:tc>
          <w:tcPr>
            <w:tcW w:w="3685" w:type="dxa"/>
            <w:hideMark/>
          </w:tcPr>
          <w:p w14:paraId="67963B51" w14:textId="5D20F2B6" w:rsidR="00EE5BB8" w:rsidRPr="00C6052E" w:rsidRDefault="00EE5BB8" w:rsidP="0063097D">
            <w:pPr>
              <w:pStyle w:val="TableCopy"/>
            </w:pPr>
            <w:r w:rsidRPr="00C6052E">
              <w:rPr>
                <w:rStyle w:val="Medium"/>
              </w:rPr>
              <w:t>Recreational</w:t>
            </w:r>
            <w:r w:rsidR="00177848" w:rsidRPr="00C6052E">
              <w:rPr>
                <w:rStyle w:val="Medium"/>
              </w:rPr>
              <w:t xml:space="preserve"> </w:t>
            </w:r>
            <w:r w:rsidRPr="00C6052E">
              <w:rPr>
                <w:rStyle w:val="Medium"/>
              </w:rPr>
              <w:t>Fishing</w:t>
            </w:r>
            <w:r w:rsidR="00177848" w:rsidRPr="00C6052E">
              <w:rPr>
                <w:rStyle w:val="Medium"/>
              </w:rPr>
              <w:t xml:space="preserve"> </w:t>
            </w:r>
            <w:r w:rsidRPr="00C6052E">
              <w:rPr>
                <w:rStyle w:val="Medium"/>
              </w:rPr>
              <w:t>Licences</w:t>
            </w:r>
            <w:r w:rsidR="00177848" w:rsidRPr="00C6052E">
              <w:rPr>
                <w:rStyle w:val="Medium"/>
              </w:rPr>
              <w:t xml:space="preserve"> </w:t>
            </w:r>
            <w:r w:rsidRPr="00C6052E">
              <w:rPr>
                <w:rStyle w:val="Medium"/>
              </w:rPr>
              <w:t>Trust</w:t>
            </w:r>
            <w:r w:rsidR="00177848" w:rsidRPr="00C6052E">
              <w:rPr>
                <w:rStyle w:val="Medium"/>
              </w:rPr>
              <w:t xml:space="preserve"> </w:t>
            </w:r>
            <w:r w:rsidRPr="00C6052E">
              <w:rPr>
                <w:rStyle w:val="Medium"/>
              </w:rPr>
              <w:t>Account</w:t>
            </w:r>
            <w:r w:rsidRPr="00C6052E">
              <w:br/>
              <w:t>Operates</w:t>
            </w:r>
            <w:r w:rsidR="00177848" w:rsidRPr="00C6052E">
              <w:t xml:space="preserve"> </w:t>
            </w:r>
            <w:r w:rsidRPr="00C6052E">
              <w:t>under</w:t>
            </w:r>
            <w:r w:rsidR="00177848" w:rsidRPr="00C6052E">
              <w:t xml:space="preserve"> </w:t>
            </w:r>
            <w:r w:rsidRPr="00C6052E">
              <w:t>section</w:t>
            </w:r>
            <w:r w:rsidR="00177848" w:rsidRPr="00C6052E">
              <w:t xml:space="preserve"> </w:t>
            </w:r>
            <w:r w:rsidRPr="00C6052E">
              <w:t>151B</w:t>
            </w:r>
            <w:r w:rsidR="00177848" w:rsidRPr="00C6052E">
              <w:t xml:space="preserve"> </w:t>
            </w:r>
            <w:r w:rsidRPr="00C6052E">
              <w:t>of</w:t>
            </w:r>
            <w:r w:rsidR="00177848" w:rsidRPr="00C6052E">
              <w:t xml:space="preserve"> </w:t>
            </w:r>
            <w:r w:rsidRPr="00C6052E">
              <w:t>the</w:t>
            </w:r>
            <w:r w:rsidR="00177848" w:rsidRPr="00C6052E">
              <w:t xml:space="preserve"> </w:t>
            </w:r>
            <w:r w:rsidRPr="00C6052E">
              <w:rPr>
                <w:rStyle w:val="Italics"/>
              </w:rPr>
              <w:t>Fisheries</w:t>
            </w:r>
            <w:r w:rsidR="00177848" w:rsidRPr="00C6052E">
              <w:rPr>
                <w:rStyle w:val="Italics"/>
              </w:rPr>
              <w:t xml:space="preserve"> </w:t>
            </w:r>
            <w:r w:rsidRPr="00C6052E">
              <w:rPr>
                <w:rStyle w:val="Italics"/>
              </w:rPr>
              <w:t>Act</w:t>
            </w:r>
            <w:r w:rsidR="00177848" w:rsidRPr="00C6052E">
              <w:rPr>
                <w:rStyle w:val="Italics"/>
              </w:rPr>
              <w:t xml:space="preserve"> </w:t>
            </w:r>
            <w:r w:rsidRPr="00C6052E">
              <w:rPr>
                <w:rStyle w:val="Italics"/>
              </w:rPr>
              <w:t>1995</w:t>
            </w:r>
            <w:r w:rsidR="00177848" w:rsidRPr="00C6052E">
              <w:t xml:space="preserve"> </w:t>
            </w:r>
            <w:r w:rsidRPr="00C6052E">
              <w:t>to</w:t>
            </w:r>
            <w:r w:rsidR="00177848" w:rsidRPr="00C6052E">
              <w:t xml:space="preserve"> </w:t>
            </w:r>
            <w:r w:rsidRPr="00C6052E">
              <w:t>disburse</w:t>
            </w:r>
            <w:r w:rsidR="00177848" w:rsidRPr="00C6052E">
              <w:t xml:space="preserve"> </w:t>
            </w:r>
            <w:r w:rsidRPr="00C6052E">
              <w:t>revenue</w:t>
            </w:r>
            <w:r w:rsidR="00177848" w:rsidRPr="00C6052E">
              <w:t xml:space="preserve"> </w:t>
            </w:r>
            <w:r w:rsidRPr="00C6052E">
              <w:t>derived</w:t>
            </w:r>
            <w:r w:rsidR="00177848" w:rsidRPr="00C6052E">
              <w:t xml:space="preserve"> </w:t>
            </w:r>
            <w:r w:rsidRPr="00C6052E">
              <w:t>from</w:t>
            </w:r>
            <w:r w:rsidR="00177848" w:rsidRPr="00C6052E">
              <w:t xml:space="preserve"> </w:t>
            </w:r>
            <w:r w:rsidRPr="00C6052E">
              <w:t>the</w:t>
            </w:r>
            <w:r w:rsidR="00177848" w:rsidRPr="00C6052E">
              <w:t xml:space="preserve"> </w:t>
            </w:r>
            <w:r w:rsidRPr="00C6052E">
              <w:t>sale</w:t>
            </w:r>
            <w:r w:rsidR="00177848" w:rsidRPr="00C6052E">
              <w:t xml:space="preserve"> </w:t>
            </w:r>
            <w:r w:rsidRPr="00C6052E">
              <w:t>of</w:t>
            </w:r>
            <w:r w:rsidR="00177848" w:rsidRPr="00C6052E">
              <w:t xml:space="preserve"> </w:t>
            </w:r>
            <w:r w:rsidRPr="00C6052E">
              <w:t>recreational</w:t>
            </w:r>
            <w:r w:rsidR="00177848" w:rsidRPr="00C6052E">
              <w:t xml:space="preserve"> </w:t>
            </w:r>
            <w:r w:rsidRPr="00C6052E">
              <w:t>fishing</w:t>
            </w:r>
            <w:r w:rsidR="00177848" w:rsidRPr="00C6052E">
              <w:t xml:space="preserve"> </w:t>
            </w:r>
            <w:r w:rsidRPr="00C6052E">
              <w:t>licences</w:t>
            </w:r>
            <w:r w:rsidR="00177848" w:rsidRPr="00C6052E">
              <w:t xml:space="preserve"> </w:t>
            </w:r>
            <w:r w:rsidRPr="00C6052E">
              <w:t>to</w:t>
            </w:r>
            <w:r w:rsidR="00177848" w:rsidRPr="00C6052E">
              <w:t xml:space="preserve"> </w:t>
            </w:r>
            <w:r w:rsidRPr="00C6052E">
              <w:t>projects</w:t>
            </w:r>
            <w:r w:rsidR="00177848" w:rsidRPr="00C6052E">
              <w:t xml:space="preserve"> </w:t>
            </w:r>
            <w:r w:rsidRPr="00C6052E">
              <w:t>that</w:t>
            </w:r>
            <w:r w:rsidR="00177848" w:rsidRPr="00C6052E">
              <w:t xml:space="preserve"> </w:t>
            </w:r>
            <w:r w:rsidRPr="00C6052E">
              <w:t>will</w:t>
            </w:r>
            <w:r w:rsidR="00177848" w:rsidRPr="00C6052E">
              <w:t xml:space="preserve"> </w:t>
            </w:r>
            <w:r w:rsidRPr="00C6052E">
              <w:t>further</w:t>
            </w:r>
            <w:r w:rsidR="00177848" w:rsidRPr="00C6052E">
              <w:t xml:space="preserve"> </w:t>
            </w:r>
            <w:r w:rsidRPr="00C6052E">
              <w:t>improve</w:t>
            </w:r>
            <w:r w:rsidR="00177848" w:rsidRPr="00C6052E">
              <w:t xml:space="preserve"> </w:t>
            </w:r>
            <w:r w:rsidRPr="00C6052E">
              <w:t>recreational</w:t>
            </w:r>
            <w:r w:rsidR="00177848" w:rsidRPr="00C6052E">
              <w:t xml:space="preserve"> </w:t>
            </w:r>
            <w:r w:rsidRPr="00C6052E">
              <w:t>fishing</w:t>
            </w:r>
            <w:r w:rsidR="00177848" w:rsidRPr="00C6052E">
              <w:t xml:space="preserve"> </w:t>
            </w:r>
            <w:r w:rsidRPr="00C6052E">
              <w:t>opportunities</w:t>
            </w:r>
            <w:r w:rsidR="00177848" w:rsidRPr="00C6052E">
              <w:t xml:space="preserve"> </w:t>
            </w:r>
            <w:r w:rsidRPr="00C6052E">
              <w:t>in</w:t>
            </w:r>
            <w:r w:rsidR="00177848" w:rsidRPr="00C6052E">
              <w:t xml:space="preserve"> </w:t>
            </w:r>
            <w:r w:rsidRPr="00C6052E">
              <w:t>Victoria,</w:t>
            </w:r>
            <w:r w:rsidR="00177848" w:rsidRPr="00C6052E">
              <w:t xml:space="preserve"> </w:t>
            </w:r>
            <w:r w:rsidRPr="00C6052E">
              <w:t>and</w:t>
            </w:r>
            <w:r w:rsidR="00177848" w:rsidRPr="00C6052E">
              <w:t xml:space="preserve"> </w:t>
            </w:r>
            <w:r w:rsidRPr="00C6052E">
              <w:t>to</w:t>
            </w:r>
            <w:r w:rsidR="00177848" w:rsidRPr="00C6052E">
              <w:t xml:space="preserve"> </w:t>
            </w:r>
            <w:r w:rsidRPr="00C6052E">
              <w:t>fund</w:t>
            </w:r>
            <w:r w:rsidR="00177848" w:rsidRPr="00C6052E">
              <w:t xml:space="preserve"> </w:t>
            </w:r>
            <w:r w:rsidRPr="00C6052E">
              <w:t>costs</w:t>
            </w:r>
            <w:r w:rsidR="00177848" w:rsidRPr="00C6052E">
              <w:t xml:space="preserve"> </w:t>
            </w:r>
            <w:r w:rsidRPr="00C6052E">
              <w:t>incurred</w:t>
            </w:r>
            <w:r w:rsidR="00177848" w:rsidRPr="00C6052E">
              <w:t xml:space="preserve"> </w:t>
            </w:r>
            <w:r w:rsidRPr="00C6052E">
              <w:t>in</w:t>
            </w:r>
            <w:r w:rsidR="00177848" w:rsidRPr="00C6052E">
              <w:t xml:space="preserve"> </w:t>
            </w:r>
            <w:r w:rsidRPr="00C6052E">
              <w:t>the</w:t>
            </w:r>
            <w:r w:rsidR="00177848" w:rsidRPr="00C6052E">
              <w:t xml:space="preserve"> </w:t>
            </w:r>
            <w:r w:rsidRPr="00C6052E">
              <w:t>administration</w:t>
            </w:r>
            <w:r w:rsidR="00177848" w:rsidRPr="00C6052E">
              <w:t xml:space="preserve"> </w:t>
            </w:r>
            <w:r w:rsidRPr="00C6052E">
              <w:t>of</w:t>
            </w:r>
            <w:r w:rsidR="00177848" w:rsidRPr="00C6052E">
              <w:t xml:space="preserve"> </w:t>
            </w:r>
            <w:r w:rsidRPr="00C6052E">
              <w:t>recreational</w:t>
            </w:r>
            <w:r w:rsidR="00177848" w:rsidRPr="00C6052E">
              <w:t xml:space="preserve"> </w:t>
            </w:r>
            <w:r w:rsidRPr="00C6052E">
              <w:t>fishing</w:t>
            </w:r>
            <w:r w:rsidR="00177848" w:rsidRPr="00C6052E">
              <w:t xml:space="preserve"> </w:t>
            </w:r>
            <w:r w:rsidRPr="00C6052E">
              <w:t>licences</w:t>
            </w:r>
            <w:r w:rsidR="00177848" w:rsidRPr="00C6052E">
              <w:t xml:space="preserve"> </w:t>
            </w:r>
            <w:r w:rsidRPr="00C6052E">
              <w:t>and</w:t>
            </w:r>
            <w:r w:rsidR="00177848" w:rsidRPr="00C6052E">
              <w:t xml:space="preserve"> </w:t>
            </w:r>
            <w:r w:rsidRPr="00C6052E">
              <w:t>the</w:t>
            </w:r>
            <w:r w:rsidR="00177848" w:rsidRPr="00C6052E">
              <w:t xml:space="preserve"> </w:t>
            </w:r>
            <w:r w:rsidRPr="00C6052E">
              <w:t>account.</w:t>
            </w:r>
          </w:p>
        </w:tc>
        <w:tc>
          <w:tcPr>
            <w:tcW w:w="1219" w:type="dxa"/>
            <w:noWrap/>
            <w:hideMark/>
          </w:tcPr>
          <w:p w14:paraId="096E8C7D" w14:textId="77777777" w:rsidR="00EE5BB8" w:rsidRPr="00C6052E" w:rsidRDefault="00EE5BB8" w:rsidP="00D97857">
            <w:pPr>
              <w:pStyle w:val="TableCopy"/>
              <w:jc w:val="right"/>
            </w:pPr>
            <w:r w:rsidRPr="00C6052E">
              <w:t>8,971</w:t>
            </w:r>
          </w:p>
        </w:tc>
        <w:tc>
          <w:tcPr>
            <w:tcW w:w="1219" w:type="dxa"/>
            <w:noWrap/>
            <w:hideMark/>
          </w:tcPr>
          <w:p w14:paraId="711046C3" w14:textId="77777777" w:rsidR="00EE5BB8" w:rsidRPr="00C6052E" w:rsidRDefault="00EE5BB8" w:rsidP="00D97857">
            <w:pPr>
              <w:pStyle w:val="TableCopy"/>
              <w:jc w:val="right"/>
            </w:pPr>
            <w:r w:rsidRPr="00C6052E">
              <w:t>9,027</w:t>
            </w:r>
          </w:p>
        </w:tc>
        <w:tc>
          <w:tcPr>
            <w:tcW w:w="1219" w:type="dxa"/>
            <w:noWrap/>
            <w:hideMark/>
          </w:tcPr>
          <w:p w14:paraId="18779F41" w14:textId="77777777" w:rsidR="00EE5BB8" w:rsidRPr="00C6052E" w:rsidRDefault="00EE5BB8" w:rsidP="00D97857">
            <w:pPr>
              <w:pStyle w:val="TableCopy"/>
              <w:jc w:val="right"/>
            </w:pPr>
            <w:r w:rsidRPr="00C6052E">
              <w:t>(8,648)</w:t>
            </w:r>
          </w:p>
        </w:tc>
        <w:tc>
          <w:tcPr>
            <w:tcW w:w="1219" w:type="dxa"/>
            <w:noWrap/>
            <w:hideMark/>
          </w:tcPr>
          <w:p w14:paraId="40253031" w14:textId="77777777" w:rsidR="00EE5BB8" w:rsidRPr="00C6052E" w:rsidRDefault="00EE5BB8" w:rsidP="00D97857">
            <w:pPr>
              <w:pStyle w:val="TableCopy"/>
              <w:jc w:val="right"/>
            </w:pPr>
            <w:r w:rsidRPr="00C6052E">
              <w:t>9,350</w:t>
            </w:r>
          </w:p>
        </w:tc>
        <w:tc>
          <w:tcPr>
            <w:tcW w:w="1219" w:type="dxa"/>
            <w:noWrap/>
            <w:hideMark/>
          </w:tcPr>
          <w:p w14:paraId="6DB6AEC0" w14:textId="77777777" w:rsidR="00EE5BB8" w:rsidRPr="00C6052E" w:rsidRDefault="00EE5BB8" w:rsidP="00D97857">
            <w:pPr>
              <w:pStyle w:val="TableCopy"/>
              <w:jc w:val="right"/>
            </w:pPr>
            <w:r w:rsidRPr="00C6052E">
              <w:t>11,238</w:t>
            </w:r>
          </w:p>
        </w:tc>
        <w:tc>
          <w:tcPr>
            <w:tcW w:w="1219" w:type="dxa"/>
            <w:noWrap/>
            <w:hideMark/>
          </w:tcPr>
          <w:p w14:paraId="145AEB9F" w14:textId="77777777" w:rsidR="00EE5BB8" w:rsidRPr="00C6052E" w:rsidRDefault="00EE5BB8" w:rsidP="00D97857">
            <w:pPr>
              <w:pStyle w:val="TableCopy"/>
              <w:jc w:val="right"/>
            </w:pPr>
            <w:r w:rsidRPr="00C6052E">
              <w:t>–</w:t>
            </w:r>
          </w:p>
        </w:tc>
        <w:tc>
          <w:tcPr>
            <w:tcW w:w="1219" w:type="dxa"/>
            <w:noWrap/>
            <w:hideMark/>
          </w:tcPr>
          <w:p w14:paraId="7F0DED94" w14:textId="77777777" w:rsidR="00EE5BB8" w:rsidRPr="00C6052E" w:rsidRDefault="00EE5BB8" w:rsidP="00D97857">
            <w:pPr>
              <w:pStyle w:val="TableCopy"/>
              <w:jc w:val="right"/>
            </w:pPr>
            <w:r w:rsidRPr="00C6052E">
              <w:t>8,799</w:t>
            </w:r>
          </w:p>
        </w:tc>
        <w:tc>
          <w:tcPr>
            <w:tcW w:w="1219" w:type="dxa"/>
            <w:noWrap/>
            <w:hideMark/>
          </w:tcPr>
          <w:p w14:paraId="54603728" w14:textId="77777777" w:rsidR="00EE5BB8" w:rsidRPr="00C6052E" w:rsidRDefault="00EE5BB8" w:rsidP="00D97857">
            <w:pPr>
              <w:pStyle w:val="TableCopy"/>
              <w:jc w:val="right"/>
            </w:pPr>
            <w:r w:rsidRPr="00C6052E">
              <w:t>(11,066)</w:t>
            </w:r>
          </w:p>
        </w:tc>
        <w:tc>
          <w:tcPr>
            <w:tcW w:w="1219" w:type="dxa"/>
            <w:noWrap/>
            <w:hideMark/>
          </w:tcPr>
          <w:p w14:paraId="0A30E50F" w14:textId="77777777" w:rsidR="00EE5BB8" w:rsidRPr="00C6052E" w:rsidRDefault="00EE5BB8" w:rsidP="00D97857">
            <w:pPr>
              <w:pStyle w:val="TableCopy"/>
              <w:jc w:val="right"/>
            </w:pPr>
            <w:r w:rsidRPr="00C6052E">
              <w:t>8,971</w:t>
            </w:r>
          </w:p>
        </w:tc>
      </w:tr>
      <w:tr w:rsidR="00EE5BB8" w:rsidRPr="00C6052E" w14:paraId="6E24062C" w14:textId="77777777" w:rsidTr="00D97857">
        <w:trPr>
          <w:cantSplit/>
        </w:trPr>
        <w:tc>
          <w:tcPr>
            <w:tcW w:w="3685" w:type="dxa"/>
            <w:hideMark/>
          </w:tcPr>
          <w:p w14:paraId="1A0243AA" w14:textId="453280A1" w:rsidR="00EE5BB8" w:rsidRPr="00C6052E" w:rsidRDefault="00EE5BB8" w:rsidP="0063097D">
            <w:pPr>
              <w:pStyle w:val="TableCopy"/>
            </w:pPr>
            <w:r w:rsidRPr="00C6052E">
              <w:rPr>
                <w:rStyle w:val="Medium"/>
              </w:rPr>
              <w:lastRenderedPageBreak/>
              <w:t>Better</w:t>
            </w:r>
            <w:r w:rsidR="00177848" w:rsidRPr="00C6052E">
              <w:rPr>
                <w:rStyle w:val="Medium"/>
              </w:rPr>
              <w:t xml:space="preserve"> </w:t>
            </w:r>
            <w:r w:rsidRPr="00C6052E">
              <w:rPr>
                <w:rStyle w:val="Medium"/>
              </w:rPr>
              <w:t>Boating</w:t>
            </w:r>
            <w:r w:rsidR="00177848" w:rsidRPr="00C6052E">
              <w:rPr>
                <w:rStyle w:val="Medium"/>
              </w:rPr>
              <w:t xml:space="preserve"> </w:t>
            </w:r>
            <w:r w:rsidRPr="00C6052E">
              <w:rPr>
                <w:rStyle w:val="Medium"/>
              </w:rPr>
              <w:t>Fund</w:t>
            </w:r>
            <w:r w:rsidRPr="00C6052E">
              <w:br/>
              <w:t>Established</w:t>
            </w:r>
            <w:r w:rsidR="00177848" w:rsidRPr="00C6052E">
              <w:t xml:space="preserve"> </w:t>
            </w:r>
            <w:r w:rsidRPr="00C6052E">
              <w:t>under</w:t>
            </w:r>
            <w:r w:rsidR="00177848" w:rsidRPr="00C6052E">
              <w:t xml:space="preserve"> </w:t>
            </w:r>
            <w:r w:rsidRPr="00C6052E">
              <w:t>the</w:t>
            </w:r>
            <w:r w:rsidR="00177848" w:rsidRPr="00C6052E">
              <w:t xml:space="preserve"> </w:t>
            </w:r>
            <w:r w:rsidRPr="00C6052E">
              <w:t>section</w:t>
            </w:r>
            <w:r w:rsidR="00177848" w:rsidRPr="00C6052E">
              <w:t xml:space="preserve"> </w:t>
            </w:r>
            <w:r w:rsidRPr="00C6052E">
              <w:t>271G</w:t>
            </w:r>
            <w:r w:rsidR="00177848" w:rsidRPr="00C6052E">
              <w:t xml:space="preserve"> </w:t>
            </w:r>
            <w:r w:rsidRPr="00C6052E">
              <w:t>of</w:t>
            </w:r>
            <w:r w:rsidR="00177848" w:rsidRPr="00C6052E">
              <w:t xml:space="preserve"> </w:t>
            </w:r>
            <w:r w:rsidRPr="00C6052E">
              <w:t>the</w:t>
            </w:r>
            <w:r w:rsidR="00177848" w:rsidRPr="00C6052E">
              <w:t xml:space="preserve"> </w:t>
            </w:r>
            <w:r w:rsidRPr="00C6052E">
              <w:rPr>
                <w:rStyle w:val="Italics"/>
              </w:rPr>
              <w:t>Marine</w:t>
            </w:r>
            <w:r w:rsidR="00177848" w:rsidRPr="00C6052E">
              <w:rPr>
                <w:rStyle w:val="Italics"/>
              </w:rPr>
              <w:t xml:space="preserve"> </w:t>
            </w:r>
            <w:r w:rsidRPr="00C6052E">
              <w:rPr>
                <w:rStyle w:val="Italics"/>
              </w:rPr>
              <w:t>Safety</w:t>
            </w:r>
            <w:r w:rsidR="00177848" w:rsidRPr="00C6052E">
              <w:rPr>
                <w:rStyle w:val="Italics"/>
              </w:rPr>
              <w:t xml:space="preserve"> </w:t>
            </w:r>
            <w:r w:rsidRPr="00C6052E">
              <w:rPr>
                <w:rStyle w:val="Italics"/>
              </w:rPr>
              <w:t>Amendment</w:t>
            </w:r>
            <w:r w:rsidR="00177848" w:rsidRPr="00C6052E">
              <w:rPr>
                <w:rStyle w:val="Italics"/>
              </w:rPr>
              <w:t xml:space="preserve"> </w:t>
            </w:r>
            <w:r w:rsidRPr="00C6052E">
              <w:rPr>
                <w:rStyle w:val="Italics"/>
              </w:rPr>
              <w:t>(Better</w:t>
            </w:r>
            <w:r w:rsidR="00177848" w:rsidRPr="00C6052E">
              <w:rPr>
                <w:rStyle w:val="Italics"/>
              </w:rPr>
              <w:t xml:space="preserve"> </w:t>
            </w:r>
            <w:r w:rsidRPr="00C6052E">
              <w:rPr>
                <w:rStyle w:val="Italics"/>
              </w:rPr>
              <w:t>Boating</w:t>
            </w:r>
            <w:r w:rsidR="00177848" w:rsidRPr="00C6052E">
              <w:rPr>
                <w:rStyle w:val="Italics"/>
              </w:rPr>
              <w:t xml:space="preserve"> </w:t>
            </w:r>
            <w:r w:rsidRPr="00C6052E">
              <w:rPr>
                <w:rStyle w:val="Italics"/>
              </w:rPr>
              <w:t>Fund)</w:t>
            </w:r>
            <w:r w:rsidR="00177848" w:rsidRPr="00C6052E">
              <w:rPr>
                <w:rStyle w:val="Italics"/>
              </w:rPr>
              <w:t xml:space="preserve"> </w:t>
            </w:r>
            <w:r w:rsidRPr="00C6052E">
              <w:rPr>
                <w:rStyle w:val="Italics"/>
              </w:rPr>
              <w:t>Act</w:t>
            </w:r>
            <w:r w:rsidR="00177848" w:rsidRPr="00C6052E">
              <w:rPr>
                <w:rStyle w:val="Italics"/>
              </w:rPr>
              <w:t xml:space="preserve"> </w:t>
            </w:r>
            <w:r w:rsidRPr="00C6052E">
              <w:rPr>
                <w:rStyle w:val="Italics"/>
              </w:rPr>
              <w:t>2020</w:t>
            </w:r>
            <w:r w:rsidR="00177848" w:rsidRPr="00C6052E">
              <w:t xml:space="preserve"> </w:t>
            </w:r>
            <w:r w:rsidRPr="00C6052E">
              <w:t>to</w:t>
            </w:r>
            <w:r w:rsidR="00177848" w:rsidRPr="00C6052E">
              <w:t xml:space="preserve"> </w:t>
            </w:r>
            <w:r w:rsidRPr="00C6052E">
              <w:t>receive</w:t>
            </w:r>
            <w:r w:rsidR="00177848" w:rsidRPr="00C6052E">
              <w:t xml:space="preserve"> </w:t>
            </w:r>
            <w:r w:rsidRPr="00C6052E">
              <w:t>funding</w:t>
            </w:r>
            <w:r w:rsidR="00177848" w:rsidRPr="00C6052E">
              <w:t xml:space="preserve"> </w:t>
            </w:r>
            <w:r w:rsidRPr="00C6052E">
              <w:t>dedicated</w:t>
            </w:r>
            <w:r w:rsidR="00177848" w:rsidRPr="00C6052E">
              <w:t xml:space="preserve"> </w:t>
            </w:r>
            <w:r w:rsidRPr="00C6052E">
              <w:t>for</w:t>
            </w:r>
            <w:r w:rsidR="00177848" w:rsidRPr="00C6052E">
              <w:t xml:space="preserve"> </w:t>
            </w:r>
            <w:r w:rsidRPr="00C6052E">
              <w:t>provision</w:t>
            </w:r>
            <w:r w:rsidR="00177848" w:rsidRPr="00C6052E">
              <w:t xml:space="preserve"> </w:t>
            </w:r>
            <w:r w:rsidRPr="00C6052E">
              <w:t>and</w:t>
            </w:r>
            <w:r w:rsidR="00177848" w:rsidRPr="00C6052E">
              <w:t xml:space="preserve"> </w:t>
            </w:r>
            <w:r w:rsidRPr="00C6052E">
              <w:t>maintenance</w:t>
            </w:r>
            <w:r w:rsidR="00177848" w:rsidRPr="00C6052E">
              <w:t xml:space="preserve"> </w:t>
            </w:r>
            <w:r w:rsidRPr="00C6052E">
              <w:t>of</w:t>
            </w:r>
            <w:r w:rsidR="00177848" w:rsidRPr="00C6052E">
              <w:t xml:space="preserve"> </w:t>
            </w:r>
            <w:r w:rsidRPr="00C6052E">
              <w:t>boating</w:t>
            </w:r>
            <w:r w:rsidR="00177848" w:rsidRPr="00C6052E">
              <w:t xml:space="preserve"> </w:t>
            </w:r>
            <w:r w:rsidRPr="00C6052E">
              <w:t>facilities</w:t>
            </w:r>
            <w:r w:rsidR="00177848" w:rsidRPr="00C6052E">
              <w:t xml:space="preserve"> </w:t>
            </w:r>
            <w:r w:rsidRPr="00C6052E">
              <w:t>and</w:t>
            </w:r>
            <w:r w:rsidR="00177848" w:rsidRPr="00C6052E">
              <w:t xml:space="preserve"> </w:t>
            </w:r>
            <w:r w:rsidRPr="00C6052E">
              <w:t>services</w:t>
            </w:r>
            <w:r w:rsidR="00177848" w:rsidRPr="00C6052E">
              <w:t xml:space="preserve"> </w:t>
            </w:r>
            <w:r w:rsidRPr="00C6052E">
              <w:t>for</w:t>
            </w:r>
            <w:r w:rsidR="00177848" w:rsidRPr="00C6052E">
              <w:t xml:space="preserve"> </w:t>
            </w:r>
            <w:r w:rsidRPr="00C6052E">
              <w:t>the</w:t>
            </w:r>
            <w:r w:rsidR="00177848" w:rsidRPr="00C6052E">
              <w:t xml:space="preserve"> </w:t>
            </w:r>
            <w:r w:rsidRPr="00C6052E">
              <w:t>public.</w:t>
            </w:r>
            <w:r w:rsidR="00177848" w:rsidRPr="00C6052E">
              <w:t xml:space="preserve"> </w:t>
            </w:r>
          </w:p>
        </w:tc>
        <w:tc>
          <w:tcPr>
            <w:tcW w:w="1219" w:type="dxa"/>
            <w:noWrap/>
            <w:hideMark/>
          </w:tcPr>
          <w:p w14:paraId="63EA844E" w14:textId="77777777" w:rsidR="00EE5BB8" w:rsidRPr="00C6052E" w:rsidRDefault="00EE5BB8" w:rsidP="00D97857">
            <w:pPr>
              <w:pStyle w:val="TableCopy"/>
              <w:jc w:val="right"/>
            </w:pPr>
            <w:r w:rsidRPr="00C6052E">
              <w:t>26,097</w:t>
            </w:r>
          </w:p>
        </w:tc>
        <w:tc>
          <w:tcPr>
            <w:tcW w:w="1219" w:type="dxa"/>
            <w:noWrap/>
            <w:hideMark/>
          </w:tcPr>
          <w:p w14:paraId="36E2A357" w14:textId="77777777" w:rsidR="00EE5BB8" w:rsidRPr="00C6052E" w:rsidRDefault="00EE5BB8" w:rsidP="00D97857">
            <w:pPr>
              <w:pStyle w:val="TableCopy"/>
              <w:jc w:val="right"/>
            </w:pPr>
            <w:r w:rsidRPr="00C6052E">
              <w:t>36,368</w:t>
            </w:r>
          </w:p>
        </w:tc>
        <w:tc>
          <w:tcPr>
            <w:tcW w:w="1219" w:type="dxa"/>
            <w:noWrap/>
            <w:hideMark/>
          </w:tcPr>
          <w:p w14:paraId="2FA115E0" w14:textId="77777777" w:rsidR="00EE5BB8" w:rsidRPr="00C6052E" w:rsidRDefault="00EE5BB8" w:rsidP="00D97857">
            <w:pPr>
              <w:pStyle w:val="TableCopy"/>
              <w:jc w:val="right"/>
            </w:pPr>
            <w:r w:rsidRPr="00C6052E">
              <w:t>(34,434)</w:t>
            </w:r>
          </w:p>
        </w:tc>
        <w:tc>
          <w:tcPr>
            <w:tcW w:w="1219" w:type="dxa"/>
            <w:noWrap/>
            <w:hideMark/>
          </w:tcPr>
          <w:p w14:paraId="51D100F9" w14:textId="77777777" w:rsidR="00EE5BB8" w:rsidRPr="00C6052E" w:rsidRDefault="00EE5BB8" w:rsidP="00D97857">
            <w:pPr>
              <w:pStyle w:val="TableCopy"/>
              <w:jc w:val="right"/>
            </w:pPr>
            <w:r w:rsidRPr="00C6052E">
              <w:t>28,031</w:t>
            </w:r>
          </w:p>
        </w:tc>
        <w:tc>
          <w:tcPr>
            <w:tcW w:w="1219" w:type="dxa"/>
            <w:noWrap/>
            <w:hideMark/>
          </w:tcPr>
          <w:p w14:paraId="5A1F3F0D" w14:textId="77777777" w:rsidR="00EE5BB8" w:rsidRPr="00C6052E" w:rsidRDefault="00EE5BB8" w:rsidP="00D97857">
            <w:pPr>
              <w:pStyle w:val="TableCopy"/>
              <w:jc w:val="right"/>
            </w:pPr>
            <w:r w:rsidRPr="00C6052E">
              <w:t>17,917</w:t>
            </w:r>
          </w:p>
        </w:tc>
        <w:tc>
          <w:tcPr>
            <w:tcW w:w="1219" w:type="dxa"/>
            <w:noWrap/>
            <w:hideMark/>
          </w:tcPr>
          <w:p w14:paraId="7BC2B374" w14:textId="77777777" w:rsidR="00EE5BB8" w:rsidRPr="00C6052E" w:rsidRDefault="00EE5BB8" w:rsidP="00D97857">
            <w:pPr>
              <w:pStyle w:val="TableCopy"/>
              <w:jc w:val="right"/>
            </w:pPr>
            <w:r w:rsidRPr="00C6052E">
              <w:t>–</w:t>
            </w:r>
          </w:p>
        </w:tc>
        <w:tc>
          <w:tcPr>
            <w:tcW w:w="1219" w:type="dxa"/>
            <w:noWrap/>
            <w:hideMark/>
          </w:tcPr>
          <w:p w14:paraId="776B7242" w14:textId="77777777" w:rsidR="00EE5BB8" w:rsidRPr="00C6052E" w:rsidRDefault="00EE5BB8" w:rsidP="00D97857">
            <w:pPr>
              <w:pStyle w:val="TableCopy"/>
              <w:jc w:val="right"/>
            </w:pPr>
            <w:r w:rsidRPr="00C6052E">
              <w:t>32,677</w:t>
            </w:r>
          </w:p>
        </w:tc>
        <w:tc>
          <w:tcPr>
            <w:tcW w:w="1219" w:type="dxa"/>
            <w:noWrap/>
            <w:hideMark/>
          </w:tcPr>
          <w:p w14:paraId="700B3766" w14:textId="77777777" w:rsidR="00EE5BB8" w:rsidRPr="00C6052E" w:rsidRDefault="00EE5BB8" w:rsidP="00D97857">
            <w:pPr>
              <w:pStyle w:val="TableCopy"/>
              <w:jc w:val="right"/>
            </w:pPr>
            <w:r w:rsidRPr="00C6052E">
              <w:t>(24,497)</w:t>
            </w:r>
          </w:p>
        </w:tc>
        <w:tc>
          <w:tcPr>
            <w:tcW w:w="1219" w:type="dxa"/>
            <w:noWrap/>
            <w:hideMark/>
          </w:tcPr>
          <w:p w14:paraId="795933C5" w14:textId="77777777" w:rsidR="00EE5BB8" w:rsidRPr="00C6052E" w:rsidRDefault="00EE5BB8" w:rsidP="00D97857">
            <w:pPr>
              <w:pStyle w:val="TableCopy"/>
              <w:jc w:val="right"/>
            </w:pPr>
            <w:r w:rsidRPr="00C6052E">
              <w:t>26,097</w:t>
            </w:r>
          </w:p>
        </w:tc>
      </w:tr>
      <w:tr w:rsidR="00EE5BB8" w:rsidRPr="00C6052E" w14:paraId="099FE5F8" w14:textId="77777777" w:rsidTr="00D97857">
        <w:trPr>
          <w:cantSplit/>
        </w:trPr>
        <w:tc>
          <w:tcPr>
            <w:tcW w:w="3685" w:type="dxa"/>
            <w:hideMark/>
          </w:tcPr>
          <w:p w14:paraId="770DBEB1" w14:textId="63BECB40" w:rsidR="00EE5BB8" w:rsidRPr="00C6052E" w:rsidRDefault="00EE5BB8" w:rsidP="0063097D">
            <w:pPr>
              <w:pStyle w:val="TableCopy"/>
            </w:pPr>
            <w:r w:rsidRPr="00C6052E">
              <w:rPr>
                <w:rStyle w:val="Medium"/>
              </w:rPr>
              <w:t>Vic</w:t>
            </w:r>
            <w:r w:rsidR="00177848" w:rsidRPr="00C6052E">
              <w:rPr>
                <w:rStyle w:val="Medium"/>
              </w:rPr>
              <w:t xml:space="preserve"> </w:t>
            </w:r>
            <w:r w:rsidRPr="00C6052E">
              <w:rPr>
                <w:rStyle w:val="Medium"/>
              </w:rPr>
              <w:t>Fleet</w:t>
            </w:r>
            <w:r w:rsidR="00177848" w:rsidRPr="00C6052E">
              <w:rPr>
                <w:rStyle w:val="Medium"/>
              </w:rPr>
              <w:t xml:space="preserve"> </w:t>
            </w:r>
            <w:r w:rsidRPr="00C6052E">
              <w:rPr>
                <w:rStyle w:val="Medium"/>
              </w:rPr>
              <w:t>Trust</w:t>
            </w:r>
            <w:r w:rsidR="00177848" w:rsidRPr="00C6052E">
              <w:rPr>
                <w:rStyle w:val="Medium"/>
              </w:rPr>
              <w:t xml:space="preserve"> </w:t>
            </w:r>
            <w:r w:rsidRPr="00C6052E">
              <w:rPr>
                <w:rStyle w:val="Medium"/>
              </w:rPr>
              <w:t>Fund</w:t>
            </w:r>
            <w:r w:rsidRPr="00C6052E">
              <w:br/>
              <w:t>Established</w:t>
            </w:r>
            <w:r w:rsidR="00177848" w:rsidRPr="00C6052E">
              <w:t xml:space="preserve"> </w:t>
            </w:r>
            <w:r w:rsidRPr="00C6052E">
              <w:t>under</w:t>
            </w:r>
            <w:r w:rsidR="00177848" w:rsidRPr="00C6052E">
              <w:t xml:space="preserve"> </w:t>
            </w:r>
            <w:r w:rsidRPr="00C6052E">
              <w:t>section</w:t>
            </w:r>
            <w:r w:rsidR="00177848" w:rsidRPr="00C6052E">
              <w:t xml:space="preserve"> </w:t>
            </w:r>
            <w:r w:rsidRPr="00C6052E">
              <w:t>19</w:t>
            </w:r>
            <w:r w:rsidR="00177848" w:rsidRPr="00C6052E">
              <w:t xml:space="preserve"> </w:t>
            </w:r>
            <w:r w:rsidRPr="00C6052E">
              <w:t>(2)</w:t>
            </w:r>
            <w:r w:rsidR="00177848" w:rsidRPr="00C6052E">
              <w:t xml:space="preserve"> </w:t>
            </w:r>
            <w:r w:rsidRPr="00C6052E">
              <w:t>of</w:t>
            </w:r>
            <w:r w:rsidR="00177848" w:rsidRPr="00C6052E">
              <w:t xml:space="preserve"> </w:t>
            </w:r>
            <w:r w:rsidRPr="00C6052E">
              <w:t>the</w:t>
            </w:r>
            <w:r w:rsidR="00177848" w:rsidRPr="00C6052E">
              <w:t xml:space="preserve"> </w:t>
            </w:r>
            <w:r w:rsidRPr="00C6052E">
              <w:rPr>
                <w:rStyle w:val="Italics"/>
              </w:rPr>
              <w:t>Financial</w:t>
            </w:r>
            <w:r w:rsidR="00177848" w:rsidRPr="00C6052E">
              <w:rPr>
                <w:rStyle w:val="Italics"/>
              </w:rPr>
              <w:t xml:space="preserve"> </w:t>
            </w:r>
            <w:r w:rsidRPr="00C6052E">
              <w:rPr>
                <w:rStyle w:val="Italics"/>
              </w:rPr>
              <w:t>Management</w:t>
            </w:r>
            <w:r w:rsidR="00177848" w:rsidRPr="00C6052E">
              <w:rPr>
                <w:rStyle w:val="Italics"/>
              </w:rPr>
              <w:t xml:space="preserve"> </w:t>
            </w:r>
            <w:r w:rsidRPr="00C6052E">
              <w:rPr>
                <w:rStyle w:val="Italics"/>
              </w:rPr>
              <w:t>Act</w:t>
            </w:r>
            <w:r w:rsidR="00177848" w:rsidRPr="00C6052E">
              <w:rPr>
                <w:rStyle w:val="Italics"/>
              </w:rPr>
              <w:t xml:space="preserve"> </w:t>
            </w:r>
            <w:r w:rsidRPr="00C6052E">
              <w:rPr>
                <w:rStyle w:val="Italics"/>
              </w:rPr>
              <w:t>1994</w:t>
            </w:r>
            <w:r w:rsidR="00177848" w:rsidRPr="00C6052E">
              <w:t xml:space="preserve"> </w:t>
            </w:r>
            <w:r w:rsidRPr="00C6052E">
              <w:t>as</w:t>
            </w:r>
            <w:r w:rsidR="00177848" w:rsidRPr="00C6052E">
              <w:t xml:space="preserve"> </w:t>
            </w:r>
            <w:r w:rsidRPr="00C6052E">
              <w:t>a</w:t>
            </w:r>
            <w:r w:rsidR="00177848" w:rsidRPr="00C6052E">
              <w:t xml:space="preserve"> </w:t>
            </w:r>
            <w:r w:rsidRPr="00C6052E">
              <w:t>specific</w:t>
            </w:r>
            <w:r w:rsidR="00177848" w:rsidRPr="00C6052E">
              <w:t xml:space="preserve"> </w:t>
            </w:r>
            <w:r w:rsidRPr="00C6052E">
              <w:t>purpose</w:t>
            </w:r>
            <w:r w:rsidR="00177848" w:rsidRPr="00C6052E">
              <w:t xml:space="preserve"> </w:t>
            </w:r>
            <w:r w:rsidRPr="00C6052E">
              <w:t>operating</w:t>
            </w:r>
            <w:r w:rsidR="00177848" w:rsidRPr="00C6052E">
              <w:t xml:space="preserve"> </w:t>
            </w:r>
            <w:r w:rsidRPr="00C6052E">
              <w:t>account.</w:t>
            </w:r>
            <w:r w:rsidR="00177848" w:rsidRPr="00C6052E">
              <w:t xml:space="preserve"> </w:t>
            </w:r>
            <w:r w:rsidRPr="00C6052E">
              <w:t>It</w:t>
            </w:r>
            <w:r w:rsidR="00177848" w:rsidRPr="00C6052E">
              <w:t xml:space="preserve"> </w:t>
            </w:r>
            <w:r w:rsidRPr="00C6052E">
              <w:t>receives</w:t>
            </w:r>
            <w:r w:rsidR="00177848" w:rsidRPr="00C6052E">
              <w:t xml:space="preserve"> </w:t>
            </w:r>
            <w:r w:rsidRPr="00C6052E">
              <w:t>funding</w:t>
            </w:r>
            <w:r w:rsidR="00177848" w:rsidRPr="00C6052E">
              <w:t xml:space="preserve"> </w:t>
            </w:r>
            <w:r w:rsidRPr="00C6052E">
              <w:t>and</w:t>
            </w:r>
            <w:r w:rsidR="00177848" w:rsidRPr="00C6052E">
              <w:t xml:space="preserve"> </w:t>
            </w:r>
            <w:r w:rsidRPr="00C6052E">
              <w:t>makes</w:t>
            </w:r>
            <w:r w:rsidR="00177848" w:rsidRPr="00C6052E">
              <w:t xml:space="preserve"> </w:t>
            </w:r>
            <w:r w:rsidRPr="00C6052E">
              <w:t>payments</w:t>
            </w:r>
            <w:r w:rsidR="00177848" w:rsidRPr="00C6052E">
              <w:t xml:space="preserve"> </w:t>
            </w:r>
            <w:r w:rsidRPr="00C6052E">
              <w:t>in</w:t>
            </w:r>
            <w:r w:rsidR="00177848" w:rsidRPr="00C6052E">
              <w:t xml:space="preserve"> </w:t>
            </w:r>
            <w:r w:rsidRPr="00C6052E">
              <w:t>relation</w:t>
            </w:r>
            <w:r w:rsidR="00177848" w:rsidRPr="00C6052E">
              <w:t xml:space="preserve"> </w:t>
            </w:r>
            <w:r w:rsidRPr="00C6052E">
              <w:t>to</w:t>
            </w:r>
            <w:r w:rsidR="00177848" w:rsidRPr="00C6052E">
              <w:t xml:space="preserve"> </w:t>
            </w:r>
            <w:r w:rsidRPr="00C6052E">
              <w:t>the</w:t>
            </w:r>
            <w:r w:rsidR="00177848" w:rsidRPr="00C6052E">
              <w:t xml:space="preserve"> </w:t>
            </w:r>
            <w:r w:rsidRPr="00C6052E">
              <w:t>motor</w:t>
            </w:r>
            <w:r w:rsidR="00177848" w:rsidRPr="00C6052E">
              <w:t xml:space="preserve"> </w:t>
            </w:r>
            <w:r w:rsidRPr="00C6052E">
              <w:t>vehicle</w:t>
            </w:r>
            <w:r w:rsidR="00177848" w:rsidRPr="00C6052E">
              <w:t xml:space="preserve"> </w:t>
            </w:r>
            <w:r w:rsidRPr="00C6052E">
              <w:t>pool.</w:t>
            </w:r>
          </w:p>
        </w:tc>
        <w:tc>
          <w:tcPr>
            <w:tcW w:w="1219" w:type="dxa"/>
            <w:noWrap/>
            <w:hideMark/>
          </w:tcPr>
          <w:p w14:paraId="65597E1D" w14:textId="77777777" w:rsidR="00EE5BB8" w:rsidRPr="00C6052E" w:rsidRDefault="00EE5BB8" w:rsidP="00D97857">
            <w:pPr>
              <w:pStyle w:val="TableCopy"/>
              <w:jc w:val="right"/>
            </w:pPr>
            <w:r w:rsidRPr="00C6052E">
              <w:t>372</w:t>
            </w:r>
          </w:p>
        </w:tc>
        <w:tc>
          <w:tcPr>
            <w:tcW w:w="1219" w:type="dxa"/>
            <w:noWrap/>
            <w:hideMark/>
          </w:tcPr>
          <w:p w14:paraId="35481B71" w14:textId="77777777" w:rsidR="00EE5BB8" w:rsidRPr="00C6052E" w:rsidRDefault="00EE5BB8" w:rsidP="00D97857">
            <w:pPr>
              <w:pStyle w:val="TableCopy"/>
              <w:jc w:val="right"/>
            </w:pPr>
            <w:r w:rsidRPr="00C6052E">
              <w:t>310</w:t>
            </w:r>
          </w:p>
        </w:tc>
        <w:tc>
          <w:tcPr>
            <w:tcW w:w="1219" w:type="dxa"/>
            <w:noWrap/>
            <w:hideMark/>
          </w:tcPr>
          <w:p w14:paraId="2A519006" w14:textId="77777777" w:rsidR="00EE5BB8" w:rsidRPr="00C6052E" w:rsidRDefault="00EE5BB8" w:rsidP="00D97857">
            <w:pPr>
              <w:pStyle w:val="TableCopy"/>
              <w:jc w:val="right"/>
            </w:pPr>
            <w:r w:rsidRPr="00C6052E">
              <w:t>(305)</w:t>
            </w:r>
          </w:p>
        </w:tc>
        <w:tc>
          <w:tcPr>
            <w:tcW w:w="1219" w:type="dxa"/>
            <w:noWrap/>
            <w:hideMark/>
          </w:tcPr>
          <w:p w14:paraId="160F0515" w14:textId="77777777" w:rsidR="00EE5BB8" w:rsidRPr="00C6052E" w:rsidRDefault="00EE5BB8" w:rsidP="00D97857">
            <w:pPr>
              <w:pStyle w:val="TableCopy"/>
              <w:jc w:val="right"/>
            </w:pPr>
            <w:r w:rsidRPr="00C6052E">
              <w:t>377</w:t>
            </w:r>
          </w:p>
        </w:tc>
        <w:tc>
          <w:tcPr>
            <w:tcW w:w="1219" w:type="dxa"/>
            <w:noWrap/>
            <w:hideMark/>
          </w:tcPr>
          <w:p w14:paraId="5942B45E" w14:textId="77777777" w:rsidR="00EE5BB8" w:rsidRPr="00C6052E" w:rsidRDefault="00EE5BB8" w:rsidP="00D97857">
            <w:pPr>
              <w:pStyle w:val="TableCopy"/>
              <w:jc w:val="right"/>
            </w:pPr>
            <w:r w:rsidRPr="00C6052E">
              <w:t>14</w:t>
            </w:r>
          </w:p>
        </w:tc>
        <w:tc>
          <w:tcPr>
            <w:tcW w:w="1219" w:type="dxa"/>
            <w:noWrap/>
            <w:hideMark/>
          </w:tcPr>
          <w:p w14:paraId="6F0E6DC3" w14:textId="77777777" w:rsidR="00EE5BB8" w:rsidRPr="00C6052E" w:rsidRDefault="00EE5BB8" w:rsidP="00D97857">
            <w:pPr>
              <w:pStyle w:val="TableCopy"/>
              <w:jc w:val="right"/>
            </w:pPr>
            <w:r w:rsidRPr="00C6052E">
              <w:t>–</w:t>
            </w:r>
          </w:p>
        </w:tc>
        <w:tc>
          <w:tcPr>
            <w:tcW w:w="1219" w:type="dxa"/>
            <w:noWrap/>
            <w:hideMark/>
          </w:tcPr>
          <w:p w14:paraId="1795B619" w14:textId="77777777" w:rsidR="00EE5BB8" w:rsidRPr="00C6052E" w:rsidRDefault="00EE5BB8" w:rsidP="00D97857">
            <w:pPr>
              <w:pStyle w:val="TableCopy"/>
              <w:jc w:val="right"/>
            </w:pPr>
            <w:r w:rsidRPr="00C6052E">
              <w:t>889</w:t>
            </w:r>
          </w:p>
        </w:tc>
        <w:tc>
          <w:tcPr>
            <w:tcW w:w="1219" w:type="dxa"/>
            <w:noWrap/>
            <w:hideMark/>
          </w:tcPr>
          <w:p w14:paraId="6577920E" w14:textId="77777777" w:rsidR="00EE5BB8" w:rsidRPr="00C6052E" w:rsidRDefault="00EE5BB8" w:rsidP="00D97857">
            <w:pPr>
              <w:pStyle w:val="TableCopy"/>
              <w:jc w:val="right"/>
            </w:pPr>
            <w:r w:rsidRPr="00C6052E">
              <w:t>(531)</w:t>
            </w:r>
          </w:p>
        </w:tc>
        <w:tc>
          <w:tcPr>
            <w:tcW w:w="1219" w:type="dxa"/>
            <w:noWrap/>
            <w:hideMark/>
          </w:tcPr>
          <w:p w14:paraId="372B0D09" w14:textId="77777777" w:rsidR="00EE5BB8" w:rsidRPr="00C6052E" w:rsidRDefault="00EE5BB8" w:rsidP="00D97857">
            <w:pPr>
              <w:pStyle w:val="TableCopy"/>
              <w:jc w:val="right"/>
            </w:pPr>
            <w:r w:rsidRPr="00C6052E">
              <w:t>372</w:t>
            </w:r>
          </w:p>
        </w:tc>
      </w:tr>
      <w:tr w:rsidR="00EE5BB8" w:rsidRPr="00C6052E" w14:paraId="46222546" w14:textId="77777777" w:rsidTr="00D97857">
        <w:trPr>
          <w:cantSplit/>
        </w:trPr>
        <w:tc>
          <w:tcPr>
            <w:tcW w:w="3685" w:type="dxa"/>
            <w:noWrap/>
            <w:hideMark/>
          </w:tcPr>
          <w:p w14:paraId="56460A73" w14:textId="4BEBA355" w:rsidR="00EE5BB8" w:rsidRPr="00C6052E" w:rsidRDefault="00EE5BB8" w:rsidP="0063097D">
            <w:pPr>
              <w:pStyle w:val="Tabletotal"/>
            </w:pPr>
            <w:r w:rsidRPr="00C6052E">
              <w:t>Total</w:t>
            </w:r>
            <w:r w:rsidR="00177848" w:rsidRPr="00C6052E">
              <w:t xml:space="preserve"> </w:t>
            </w:r>
            <w:r w:rsidRPr="00C6052E">
              <w:t>controlled</w:t>
            </w:r>
            <w:r w:rsidR="00177848" w:rsidRPr="00C6052E">
              <w:t xml:space="preserve"> </w:t>
            </w:r>
            <w:r w:rsidRPr="00C6052E">
              <w:t>trusts</w:t>
            </w:r>
          </w:p>
        </w:tc>
        <w:tc>
          <w:tcPr>
            <w:tcW w:w="1219" w:type="dxa"/>
            <w:noWrap/>
            <w:hideMark/>
          </w:tcPr>
          <w:p w14:paraId="580BAFD3" w14:textId="77777777" w:rsidR="00EE5BB8" w:rsidRPr="00C6052E" w:rsidRDefault="00EE5BB8" w:rsidP="00D97857">
            <w:pPr>
              <w:pStyle w:val="Tabletotal"/>
              <w:jc w:val="right"/>
            </w:pPr>
            <w:r w:rsidRPr="00C6052E">
              <w:t>268,591</w:t>
            </w:r>
          </w:p>
        </w:tc>
        <w:tc>
          <w:tcPr>
            <w:tcW w:w="1219" w:type="dxa"/>
            <w:noWrap/>
            <w:hideMark/>
          </w:tcPr>
          <w:p w14:paraId="53650785" w14:textId="77777777" w:rsidR="00EE5BB8" w:rsidRPr="00C6052E" w:rsidRDefault="00EE5BB8" w:rsidP="00D97857">
            <w:pPr>
              <w:pStyle w:val="Tabletotal"/>
              <w:jc w:val="right"/>
            </w:pPr>
            <w:r w:rsidRPr="00C6052E">
              <w:t>336,540</w:t>
            </w:r>
          </w:p>
        </w:tc>
        <w:tc>
          <w:tcPr>
            <w:tcW w:w="1219" w:type="dxa"/>
            <w:noWrap/>
            <w:hideMark/>
          </w:tcPr>
          <w:p w14:paraId="65DE594C" w14:textId="77777777" w:rsidR="00EE5BB8" w:rsidRPr="00C6052E" w:rsidRDefault="00EE5BB8" w:rsidP="00D97857">
            <w:pPr>
              <w:pStyle w:val="Tabletotal"/>
              <w:jc w:val="right"/>
            </w:pPr>
            <w:r w:rsidRPr="00C6052E">
              <w:t>(379,456)</w:t>
            </w:r>
          </w:p>
        </w:tc>
        <w:tc>
          <w:tcPr>
            <w:tcW w:w="1219" w:type="dxa"/>
            <w:noWrap/>
            <w:hideMark/>
          </w:tcPr>
          <w:p w14:paraId="1E14AC9A" w14:textId="77777777" w:rsidR="00EE5BB8" w:rsidRPr="00C6052E" w:rsidRDefault="00EE5BB8" w:rsidP="00D97857">
            <w:pPr>
              <w:pStyle w:val="Tabletotal"/>
              <w:jc w:val="right"/>
            </w:pPr>
            <w:r w:rsidRPr="00C6052E">
              <w:t>225,675</w:t>
            </w:r>
          </w:p>
        </w:tc>
        <w:tc>
          <w:tcPr>
            <w:tcW w:w="1219" w:type="dxa"/>
            <w:noWrap/>
            <w:hideMark/>
          </w:tcPr>
          <w:p w14:paraId="1A2E4A51" w14:textId="77777777" w:rsidR="00EE5BB8" w:rsidRPr="00C6052E" w:rsidRDefault="00EE5BB8" w:rsidP="00D97857">
            <w:pPr>
              <w:pStyle w:val="Tabletotal"/>
              <w:jc w:val="right"/>
            </w:pPr>
            <w:r w:rsidRPr="00C6052E">
              <w:t>318,842</w:t>
            </w:r>
          </w:p>
        </w:tc>
        <w:tc>
          <w:tcPr>
            <w:tcW w:w="1219" w:type="dxa"/>
            <w:noWrap/>
            <w:hideMark/>
          </w:tcPr>
          <w:p w14:paraId="7CE5CC01" w14:textId="77777777" w:rsidR="00EE5BB8" w:rsidRPr="00C6052E" w:rsidRDefault="00EE5BB8" w:rsidP="00D97857">
            <w:pPr>
              <w:pStyle w:val="Tabletotal"/>
              <w:jc w:val="right"/>
            </w:pPr>
            <w:r w:rsidRPr="00C6052E">
              <w:t>(10,165)</w:t>
            </w:r>
          </w:p>
        </w:tc>
        <w:tc>
          <w:tcPr>
            <w:tcW w:w="1219" w:type="dxa"/>
            <w:noWrap/>
            <w:hideMark/>
          </w:tcPr>
          <w:p w14:paraId="16D0469D" w14:textId="77777777" w:rsidR="00EE5BB8" w:rsidRPr="00C6052E" w:rsidRDefault="00EE5BB8" w:rsidP="00D97857">
            <w:pPr>
              <w:pStyle w:val="Tabletotal"/>
              <w:jc w:val="right"/>
            </w:pPr>
            <w:r w:rsidRPr="00C6052E">
              <w:t>301,477</w:t>
            </w:r>
          </w:p>
        </w:tc>
        <w:tc>
          <w:tcPr>
            <w:tcW w:w="1219" w:type="dxa"/>
            <w:noWrap/>
            <w:hideMark/>
          </w:tcPr>
          <w:p w14:paraId="4F31BF70" w14:textId="77777777" w:rsidR="00EE5BB8" w:rsidRPr="00C6052E" w:rsidRDefault="00EE5BB8" w:rsidP="00D97857">
            <w:pPr>
              <w:pStyle w:val="Tabletotal"/>
              <w:jc w:val="right"/>
            </w:pPr>
            <w:r w:rsidRPr="00C6052E">
              <w:t>(341,563)</w:t>
            </w:r>
          </w:p>
        </w:tc>
        <w:tc>
          <w:tcPr>
            <w:tcW w:w="1219" w:type="dxa"/>
            <w:noWrap/>
            <w:hideMark/>
          </w:tcPr>
          <w:p w14:paraId="428A13B0" w14:textId="77777777" w:rsidR="00EE5BB8" w:rsidRPr="00C6052E" w:rsidRDefault="00EE5BB8" w:rsidP="00D97857">
            <w:pPr>
              <w:pStyle w:val="Tabletotal"/>
              <w:jc w:val="right"/>
            </w:pPr>
            <w:r w:rsidRPr="00C6052E">
              <w:t>268,591</w:t>
            </w:r>
          </w:p>
        </w:tc>
      </w:tr>
    </w:tbl>
    <w:p w14:paraId="48CD058F" w14:textId="77777777" w:rsidR="00EE5BB8" w:rsidRPr="00C6052E" w:rsidRDefault="00EE5BB8" w:rsidP="00EE5BB8">
      <w:r w:rsidRPr="00C6052E">
        <w:br w:type="page"/>
      </w:r>
    </w:p>
    <w:p w14:paraId="7C5B23A6" w14:textId="4932838E" w:rsidR="00EE5BB8" w:rsidRPr="00C6052E" w:rsidRDefault="00EE5BB8" w:rsidP="000C0740">
      <w:pPr>
        <w:pStyle w:val="Heading3numbered0"/>
      </w:pPr>
      <w:r w:rsidRPr="00C6052E">
        <w:lastRenderedPageBreak/>
        <w:t>Trust</w:t>
      </w:r>
      <w:r w:rsidR="00177848" w:rsidRPr="00C6052E">
        <w:t xml:space="preserve"> </w:t>
      </w:r>
      <w:r w:rsidRPr="00C6052E">
        <w:t>account</w:t>
      </w:r>
      <w:r w:rsidR="00177848" w:rsidRPr="00C6052E">
        <w:t xml:space="preserve"> </w:t>
      </w:r>
      <w:r w:rsidRPr="00C6052E">
        <w:t>balances</w:t>
      </w:r>
      <w:r w:rsidR="00177848" w:rsidRPr="00C6052E">
        <w:t xml:space="preserve"> </w:t>
      </w:r>
      <w:r w:rsidRPr="00C6052E">
        <w:t>relating</w:t>
      </w:r>
      <w:r w:rsidR="00177848" w:rsidRPr="00C6052E">
        <w:t xml:space="preserve"> </w:t>
      </w:r>
      <w:r w:rsidRPr="00C6052E">
        <w:t>to</w:t>
      </w:r>
      <w:r w:rsidR="00177848" w:rsidRPr="00C6052E">
        <w:t xml:space="preserve"> </w:t>
      </w:r>
      <w:r w:rsidRPr="00C6052E">
        <w:t>trust</w:t>
      </w:r>
      <w:r w:rsidR="00177848" w:rsidRPr="00C6052E">
        <w:t xml:space="preserve"> </w:t>
      </w:r>
      <w:r w:rsidRPr="00C6052E">
        <w:t>accounts</w:t>
      </w:r>
      <w:r w:rsidR="00177848" w:rsidRPr="00C6052E">
        <w:t xml:space="preserve"> </w:t>
      </w:r>
      <w:r w:rsidRPr="00C6052E">
        <w:t>administered</w:t>
      </w:r>
      <w:r w:rsidR="00177848" w:rsidRPr="00C6052E">
        <w:t xml:space="preserve"> </w:t>
      </w:r>
      <w:r w:rsidRPr="00C6052E">
        <w:t>by</w:t>
      </w:r>
      <w:r w:rsidR="00177848" w:rsidRPr="00C6052E">
        <w:t xml:space="preserve"> </w:t>
      </w:r>
      <w:fldSimple w:instr=" DOCPROPERTY  shortName  \* MERGEFORMAT ">
        <w:r w:rsidRPr="00C6052E">
          <w:t>DJSIR</w:t>
        </w:r>
      </w:fldSimple>
      <w:r w:rsidR="00177848" w:rsidRPr="00C6052E">
        <w:t xml:space="preserve"> </w:t>
      </w:r>
    </w:p>
    <w:tbl>
      <w:tblPr>
        <w:tblStyle w:val="TableGrid"/>
        <w:tblW w:w="14656" w:type="dxa"/>
        <w:tblInd w:w="-5" w:type="dxa"/>
        <w:tblLayout w:type="fixed"/>
        <w:tblLook w:val="04E0" w:firstRow="1" w:lastRow="1" w:firstColumn="1" w:lastColumn="0" w:noHBand="0" w:noVBand="1"/>
      </w:tblPr>
      <w:tblGrid>
        <w:gridCol w:w="3685"/>
        <w:gridCol w:w="1219"/>
        <w:gridCol w:w="1219"/>
        <w:gridCol w:w="1219"/>
        <w:gridCol w:w="1219"/>
        <w:gridCol w:w="1219"/>
        <w:gridCol w:w="1277"/>
        <w:gridCol w:w="1161"/>
        <w:gridCol w:w="1219"/>
        <w:gridCol w:w="1219"/>
      </w:tblGrid>
      <w:tr w:rsidR="00EE5BB8" w:rsidRPr="00C6052E" w14:paraId="3185BABE" w14:textId="77777777" w:rsidTr="00F660D1">
        <w:trPr>
          <w:cantSplit/>
          <w:tblHeader/>
        </w:trPr>
        <w:tc>
          <w:tcPr>
            <w:tcW w:w="3685" w:type="dxa"/>
            <w:noWrap/>
            <w:hideMark/>
          </w:tcPr>
          <w:p w14:paraId="5C2CB474" w14:textId="5D2E28AF" w:rsidR="00EE5BB8" w:rsidRPr="00C6052E" w:rsidRDefault="00EE5BB8" w:rsidP="00B1545C">
            <w:pPr>
              <w:pStyle w:val="TableColumnHeading"/>
              <w:rPr>
                <w:lang w:val="en-AU"/>
              </w:rPr>
            </w:pPr>
            <w:bookmarkStart w:id="293" w:name="TableColumnHeadings_87"/>
            <w:bookmarkEnd w:id="293"/>
            <w:r w:rsidRPr="00C6052E">
              <w:rPr>
                <w:lang w:val="en-AU"/>
              </w:rPr>
              <w:t>Administered</w:t>
            </w:r>
            <w:r w:rsidR="00B1545C" w:rsidRPr="00C6052E">
              <w:rPr>
                <w:lang w:val="en-AU"/>
              </w:rPr>
              <w:t xml:space="preserve"> </w:t>
            </w:r>
            <w:r w:rsidRPr="00C6052E">
              <w:rPr>
                <w:lang w:val="en-AU"/>
              </w:rPr>
              <w:t>trusts</w:t>
            </w:r>
          </w:p>
        </w:tc>
        <w:tc>
          <w:tcPr>
            <w:tcW w:w="1219" w:type="dxa"/>
            <w:hideMark/>
          </w:tcPr>
          <w:p w14:paraId="3A139CE9" w14:textId="271CB53F" w:rsidR="00EE5BB8" w:rsidRPr="00C6052E" w:rsidRDefault="00EE5BB8" w:rsidP="00F660D1">
            <w:pPr>
              <w:pStyle w:val="TableColumnHeading"/>
              <w:jc w:val="right"/>
              <w:rPr>
                <w:lang w:val="en-AU"/>
              </w:rPr>
            </w:pPr>
            <w:r w:rsidRPr="00C6052E">
              <w:rPr>
                <w:lang w:val="en-AU"/>
              </w:rPr>
              <w:t>Opening</w:t>
            </w:r>
            <w:r w:rsidR="00B1545C" w:rsidRPr="00C6052E">
              <w:rPr>
                <w:lang w:val="en-AU"/>
              </w:rPr>
              <w:t xml:space="preserve"> </w:t>
            </w:r>
            <w:r w:rsidRPr="00C6052E">
              <w:rPr>
                <w:lang w:val="en-AU"/>
              </w:rPr>
              <w:t>Balance</w:t>
            </w:r>
            <w:r w:rsidR="00177848" w:rsidRPr="00C6052E">
              <w:rPr>
                <w:lang w:val="en-AU"/>
              </w:rPr>
              <w:t xml:space="preserve"> </w:t>
            </w:r>
            <w:r w:rsidRPr="00C6052E">
              <w:rPr>
                <w:lang w:val="en-AU"/>
              </w:rPr>
              <w:t>as</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1</w:t>
            </w:r>
            <w:r w:rsidR="00177848" w:rsidRPr="00C6052E">
              <w:rPr>
                <w:lang w:val="en-AU"/>
              </w:rPr>
              <w:t xml:space="preserve"> </w:t>
            </w:r>
            <w:r w:rsidRPr="00C6052E">
              <w:rPr>
                <w:lang w:val="en-AU"/>
              </w:rPr>
              <w:t>July</w:t>
            </w:r>
            <w:r w:rsidR="00177848" w:rsidRPr="00C6052E">
              <w:rPr>
                <w:lang w:val="en-AU"/>
              </w:rPr>
              <w:t xml:space="preserve"> </w:t>
            </w:r>
            <w:r w:rsidRPr="00C6052E">
              <w:rPr>
                <w:lang w:val="en-AU"/>
              </w:rPr>
              <w:t>2024</w:t>
            </w:r>
            <w:r w:rsidR="00D97857">
              <w:rPr>
                <w:lang w:val="en-AU"/>
              </w:rPr>
              <w:br/>
            </w:r>
            <w:r w:rsidR="00D97857" w:rsidRPr="00C6052E">
              <w:t>2025</w:t>
            </w:r>
            <w:r w:rsidR="00D97857">
              <w:br/>
            </w:r>
            <w:r w:rsidR="00D97857" w:rsidRPr="00C6052E">
              <w:rPr>
                <w:lang w:val="en-AU"/>
              </w:rPr>
              <w:t xml:space="preserve">($ </w:t>
            </w:r>
            <w:r w:rsidR="00D97857">
              <w:rPr>
                <w:lang w:val="en-AU"/>
              </w:rPr>
              <w:t>‘000</w:t>
            </w:r>
            <w:r w:rsidR="00D97857" w:rsidRPr="00C6052E">
              <w:rPr>
                <w:lang w:val="en-AU"/>
              </w:rPr>
              <w:t>)</w:t>
            </w:r>
          </w:p>
        </w:tc>
        <w:tc>
          <w:tcPr>
            <w:tcW w:w="1219" w:type="dxa"/>
            <w:hideMark/>
          </w:tcPr>
          <w:p w14:paraId="1D775729" w14:textId="56CC7B8D" w:rsidR="00EE5BB8" w:rsidRPr="00C6052E" w:rsidRDefault="00EE5BB8" w:rsidP="00F660D1">
            <w:pPr>
              <w:pStyle w:val="TableColumnHeading"/>
              <w:jc w:val="right"/>
              <w:rPr>
                <w:lang w:val="en-AU"/>
              </w:rPr>
            </w:pPr>
            <w:r w:rsidRPr="00C6052E">
              <w:rPr>
                <w:lang w:val="en-AU"/>
              </w:rPr>
              <w:t>Total</w:t>
            </w:r>
            <w:r w:rsidR="00B1545C" w:rsidRPr="00C6052E">
              <w:rPr>
                <w:lang w:val="en-AU"/>
              </w:rPr>
              <w:t xml:space="preserve"> </w:t>
            </w:r>
            <w:r w:rsidRPr="00C6052E">
              <w:rPr>
                <w:lang w:val="en-AU"/>
              </w:rPr>
              <w:br/>
              <w:t>Receipts</w:t>
            </w:r>
            <w:r w:rsidR="00177848" w:rsidRPr="00C6052E">
              <w:rPr>
                <w:lang w:val="en-AU"/>
              </w:rPr>
              <w:t xml:space="preserve"> </w:t>
            </w:r>
            <w:r w:rsidR="00D97857">
              <w:rPr>
                <w:lang w:val="en-AU"/>
              </w:rPr>
              <w:br/>
            </w:r>
            <w:r w:rsidR="00D97857" w:rsidRPr="00C6052E">
              <w:t>2025</w:t>
            </w:r>
            <w:r w:rsidR="00D97857">
              <w:br/>
            </w:r>
            <w:r w:rsidR="00D97857" w:rsidRPr="00C6052E">
              <w:rPr>
                <w:lang w:val="en-AU"/>
              </w:rPr>
              <w:t xml:space="preserve">($ </w:t>
            </w:r>
            <w:r w:rsidR="00D97857">
              <w:rPr>
                <w:lang w:val="en-AU"/>
              </w:rPr>
              <w:t>‘000</w:t>
            </w:r>
            <w:r w:rsidR="00D97857" w:rsidRPr="00C6052E">
              <w:rPr>
                <w:lang w:val="en-AU"/>
              </w:rPr>
              <w:t>)</w:t>
            </w:r>
          </w:p>
        </w:tc>
        <w:tc>
          <w:tcPr>
            <w:tcW w:w="1219" w:type="dxa"/>
            <w:hideMark/>
          </w:tcPr>
          <w:p w14:paraId="0657826F" w14:textId="20888D52" w:rsidR="00EE5BB8" w:rsidRPr="00C6052E" w:rsidRDefault="00EE5BB8" w:rsidP="00F660D1">
            <w:pPr>
              <w:pStyle w:val="TableColumnHeading"/>
              <w:jc w:val="right"/>
              <w:rPr>
                <w:lang w:val="en-AU"/>
              </w:rPr>
            </w:pPr>
            <w:r w:rsidRPr="00C6052E">
              <w:rPr>
                <w:lang w:val="en-AU"/>
              </w:rPr>
              <w:t>Total</w:t>
            </w:r>
            <w:r w:rsidR="00B1545C" w:rsidRPr="00C6052E">
              <w:rPr>
                <w:lang w:val="en-AU"/>
              </w:rPr>
              <w:t xml:space="preserve"> </w:t>
            </w:r>
            <w:r w:rsidRPr="00C6052E">
              <w:rPr>
                <w:lang w:val="en-AU"/>
              </w:rPr>
              <w:t>Payments</w:t>
            </w:r>
            <w:r w:rsidR="00D97857">
              <w:rPr>
                <w:lang w:val="en-AU"/>
              </w:rPr>
              <w:br/>
            </w:r>
            <w:r w:rsidR="00D97857" w:rsidRPr="00C6052E">
              <w:t>2025</w:t>
            </w:r>
            <w:r w:rsidR="00D97857">
              <w:br/>
            </w:r>
            <w:r w:rsidR="00D97857" w:rsidRPr="00C6052E">
              <w:rPr>
                <w:lang w:val="en-AU"/>
              </w:rPr>
              <w:t xml:space="preserve">($ </w:t>
            </w:r>
            <w:r w:rsidR="00D97857">
              <w:rPr>
                <w:lang w:val="en-AU"/>
              </w:rPr>
              <w:t>‘000</w:t>
            </w:r>
            <w:r w:rsidR="00D97857" w:rsidRPr="00C6052E">
              <w:rPr>
                <w:lang w:val="en-AU"/>
              </w:rPr>
              <w:t>)</w:t>
            </w:r>
          </w:p>
        </w:tc>
        <w:tc>
          <w:tcPr>
            <w:tcW w:w="1219" w:type="dxa"/>
            <w:hideMark/>
          </w:tcPr>
          <w:p w14:paraId="66339B30" w14:textId="2394A8A2" w:rsidR="00EE5BB8" w:rsidRPr="00C6052E" w:rsidRDefault="00EE5BB8" w:rsidP="00F660D1">
            <w:pPr>
              <w:pStyle w:val="TableColumnHeading"/>
              <w:jc w:val="right"/>
              <w:rPr>
                <w:lang w:val="en-AU"/>
              </w:rPr>
            </w:pPr>
            <w:r w:rsidRPr="00C6052E">
              <w:rPr>
                <w:lang w:val="en-AU"/>
              </w:rPr>
              <w:t>Closing</w:t>
            </w:r>
            <w:r w:rsidR="00B1545C" w:rsidRPr="00C6052E">
              <w:rPr>
                <w:lang w:val="en-AU"/>
              </w:rPr>
              <w:t xml:space="preserve"> </w:t>
            </w:r>
            <w:r w:rsidRPr="00C6052E">
              <w:rPr>
                <w:lang w:val="en-AU"/>
              </w:rPr>
              <w:t>balance</w:t>
            </w:r>
            <w:r w:rsidR="00177848" w:rsidRPr="00C6052E">
              <w:rPr>
                <w:lang w:val="en-AU"/>
              </w:rPr>
              <w:t xml:space="preserve"> </w:t>
            </w:r>
            <w:r w:rsidRPr="00C6052E">
              <w:rPr>
                <w:lang w:val="en-AU"/>
              </w:rPr>
              <w:t>as</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30</w:t>
            </w:r>
            <w:r w:rsidR="00177848" w:rsidRPr="00C6052E">
              <w:rPr>
                <w:lang w:val="en-AU"/>
              </w:rPr>
              <w:t xml:space="preserve"> </w:t>
            </w:r>
            <w:r w:rsidRPr="00C6052E">
              <w:rPr>
                <w:lang w:val="en-AU"/>
              </w:rPr>
              <w:t>June</w:t>
            </w:r>
            <w:r w:rsidR="00177848" w:rsidRPr="00C6052E">
              <w:rPr>
                <w:lang w:val="en-AU"/>
              </w:rPr>
              <w:t xml:space="preserve"> </w:t>
            </w:r>
            <w:r w:rsidRPr="00C6052E">
              <w:rPr>
                <w:lang w:val="en-AU"/>
              </w:rPr>
              <w:t>2025</w:t>
            </w:r>
            <w:r w:rsidR="00D97857">
              <w:rPr>
                <w:lang w:val="en-AU"/>
              </w:rPr>
              <w:br/>
            </w:r>
            <w:r w:rsidR="00D97857" w:rsidRPr="00C6052E">
              <w:rPr>
                <w:lang w:val="en-AU"/>
              </w:rPr>
              <w:t xml:space="preserve">($ </w:t>
            </w:r>
            <w:r w:rsidR="00D97857">
              <w:rPr>
                <w:lang w:val="en-AU"/>
              </w:rPr>
              <w:t>‘000</w:t>
            </w:r>
            <w:r w:rsidR="00D97857" w:rsidRPr="00C6052E">
              <w:rPr>
                <w:lang w:val="en-AU"/>
              </w:rPr>
              <w:t>)</w:t>
            </w:r>
          </w:p>
        </w:tc>
        <w:tc>
          <w:tcPr>
            <w:tcW w:w="1219" w:type="dxa"/>
            <w:hideMark/>
          </w:tcPr>
          <w:p w14:paraId="64D5697C" w14:textId="0BBF46F7" w:rsidR="00EE5BB8" w:rsidRPr="00C6052E" w:rsidRDefault="00EE5BB8" w:rsidP="00F660D1">
            <w:pPr>
              <w:pStyle w:val="TableColumnHeading"/>
              <w:jc w:val="right"/>
              <w:rPr>
                <w:lang w:val="en-AU"/>
              </w:rPr>
            </w:pPr>
            <w:r w:rsidRPr="00C6052E">
              <w:rPr>
                <w:lang w:val="en-AU"/>
              </w:rPr>
              <w:t>Opening</w:t>
            </w:r>
            <w:r w:rsidR="00B1545C" w:rsidRPr="00C6052E">
              <w:rPr>
                <w:lang w:val="en-AU"/>
              </w:rPr>
              <w:t xml:space="preserve"> </w:t>
            </w:r>
            <w:r w:rsidRPr="00C6052E">
              <w:rPr>
                <w:lang w:val="en-AU"/>
              </w:rPr>
              <w:t>Balance</w:t>
            </w:r>
            <w:r w:rsidR="00177848" w:rsidRPr="00C6052E">
              <w:rPr>
                <w:lang w:val="en-AU"/>
              </w:rPr>
              <w:t xml:space="preserve"> </w:t>
            </w:r>
            <w:r w:rsidRPr="00C6052E">
              <w:rPr>
                <w:lang w:val="en-AU"/>
              </w:rPr>
              <w:t>as</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1</w:t>
            </w:r>
            <w:r w:rsidR="00177848" w:rsidRPr="00C6052E">
              <w:rPr>
                <w:lang w:val="en-AU"/>
              </w:rPr>
              <w:t xml:space="preserve"> </w:t>
            </w:r>
            <w:r w:rsidRPr="00C6052E">
              <w:rPr>
                <w:lang w:val="en-AU"/>
              </w:rPr>
              <w:t>July</w:t>
            </w:r>
            <w:r w:rsidR="00177848" w:rsidRPr="00C6052E">
              <w:rPr>
                <w:lang w:val="en-AU"/>
              </w:rPr>
              <w:t xml:space="preserve"> </w:t>
            </w:r>
            <w:r w:rsidRPr="00C6052E">
              <w:rPr>
                <w:lang w:val="en-AU"/>
              </w:rPr>
              <w:t>2023</w:t>
            </w:r>
            <w:r w:rsidR="00D97857">
              <w:rPr>
                <w:lang w:val="en-AU"/>
              </w:rPr>
              <w:br/>
            </w:r>
            <w:r w:rsidR="00D97857" w:rsidRPr="00C6052E">
              <w:t>2024</w:t>
            </w:r>
            <w:r w:rsidR="00D97857">
              <w:br/>
            </w:r>
            <w:r w:rsidR="00D97857" w:rsidRPr="00C6052E">
              <w:rPr>
                <w:lang w:val="en-AU"/>
              </w:rPr>
              <w:t xml:space="preserve">($ </w:t>
            </w:r>
            <w:r w:rsidR="00D97857">
              <w:rPr>
                <w:lang w:val="en-AU"/>
              </w:rPr>
              <w:t>‘000</w:t>
            </w:r>
            <w:r w:rsidR="00D97857" w:rsidRPr="00C6052E">
              <w:rPr>
                <w:lang w:val="en-AU"/>
              </w:rPr>
              <w:t>)</w:t>
            </w:r>
          </w:p>
        </w:tc>
        <w:tc>
          <w:tcPr>
            <w:tcW w:w="1277" w:type="dxa"/>
            <w:hideMark/>
          </w:tcPr>
          <w:p w14:paraId="6A3CAD36" w14:textId="1C9A0066" w:rsidR="00EE5BB8" w:rsidRPr="00C6052E" w:rsidRDefault="00EE5BB8" w:rsidP="00F660D1">
            <w:pPr>
              <w:pStyle w:val="TableColumnHeading"/>
              <w:jc w:val="right"/>
              <w:rPr>
                <w:lang w:val="en-AU"/>
              </w:rPr>
            </w:pPr>
            <w:r w:rsidRPr="00C6052E">
              <w:rPr>
                <w:lang w:val="en-AU"/>
              </w:rPr>
              <w:t>MOG</w:t>
            </w:r>
            <w:r w:rsidR="00B1545C" w:rsidRPr="00C6052E">
              <w:rPr>
                <w:lang w:val="en-AU"/>
              </w:rPr>
              <w:t xml:space="preserve"> </w:t>
            </w:r>
            <w:r w:rsidRPr="00C6052E">
              <w:rPr>
                <w:lang w:val="en-AU"/>
              </w:rPr>
              <w:t>Transferred</w:t>
            </w:r>
            <w:r w:rsidR="00177848" w:rsidRPr="00C6052E">
              <w:rPr>
                <w:lang w:val="en-AU"/>
              </w:rPr>
              <w:t xml:space="preserve"> </w:t>
            </w:r>
            <w:r w:rsidRPr="00C6052E">
              <w:rPr>
                <w:lang w:val="en-AU"/>
              </w:rPr>
              <w:t>in/out</w:t>
            </w:r>
            <w:r w:rsidR="00D97857">
              <w:rPr>
                <w:lang w:val="en-AU"/>
              </w:rPr>
              <w:br/>
            </w:r>
            <w:r w:rsidR="00D97857" w:rsidRPr="00C6052E">
              <w:t>2024</w:t>
            </w:r>
            <w:r w:rsidR="00D97857">
              <w:br/>
            </w:r>
            <w:r w:rsidR="00D97857" w:rsidRPr="00C6052E">
              <w:rPr>
                <w:lang w:val="en-AU"/>
              </w:rPr>
              <w:t xml:space="preserve">($ </w:t>
            </w:r>
            <w:r w:rsidR="00D97857">
              <w:rPr>
                <w:lang w:val="en-AU"/>
              </w:rPr>
              <w:t>‘000</w:t>
            </w:r>
            <w:r w:rsidR="00D97857" w:rsidRPr="00C6052E">
              <w:rPr>
                <w:lang w:val="en-AU"/>
              </w:rPr>
              <w:t>)</w:t>
            </w:r>
          </w:p>
        </w:tc>
        <w:tc>
          <w:tcPr>
            <w:tcW w:w="1161" w:type="dxa"/>
            <w:hideMark/>
          </w:tcPr>
          <w:p w14:paraId="34CDD16D" w14:textId="19B3AF69" w:rsidR="00EE5BB8" w:rsidRPr="00C6052E" w:rsidRDefault="00EE5BB8" w:rsidP="00F660D1">
            <w:pPr>
              <w:pStyle w:val="TableColumnHeading"/>
              <w:jc w:val="right"/>
              <w:rPr>
                <w:lang w:val="en-AU"/>
              </w:rPr>
            </w:pPr>
            <w:r w:rsidRPr="00C6052E">
              <w:rPr>
                <w:lang w:val="en-AU"/>
              </w:rPr>
              <w:t>Total</w:t>
            </w:r>
            <w:r w:rsidR="00B1545C" w:rsidRPr="00C6052E">
              <w:rPr>
                <w:lang w:val="en-AU"/>
              </w:rPr>
              <w:t xml:space="preserve"> </w:t>
            </w:r>
            <w:r w:rsidRPr="00C6052E">
              <w:rPr>
                <w:lang w:val="en-AU"/>
              </w:rPr>
              <w:br/>
              <w:t>Receipts</w:t>
            </w:r>
            <w:r w:rsidR="00D97857">
              <w:rPr>
                <w:lang w:val="en-AU"/>
              </w:rPr>
              <w:br/>
            </w:r>
            <w:r w:rsidR="00D97857" w:rsidRPr="00C6052E">
              <w:t>2024</w:t>
            </w:r>
            <w:r w:rsidR="00D97857">
              <w:br/>
            </w:r>
            <w:r w:rsidR="00D97857" w:rsidRPr="00C6052E">
              <w:rPr>
                <w:lang w:val="en-AU"/>
              </w:rPr>
              <w:t xml:space="preserve">($ </w:t>
            </w:r>
            <w:r w:rsidR="00D97857">
              <w:rPr>
                <w:lang w:val="en-AU"/>
              </w:rPr>
              <w:t>‘000</w:t>
            </w:r>
            <w:r w:rsidR="00D97857" w:rsidRPr="00C6052E">
              <w:rPr>
                <w:lang w:val="en-AU"/>
              </w:rPr>
              <w:t>)</w:t>
            </w:r>
          </w:p>
        </w:tc>
        <w:tc>
          <w:tcPr>
            <w:tcW w:w="1219" w:type="dxa"/>
            <w:hideMark/>
          </w:tcPr>
          <w:p w14:paraId="56E81026" w14:textId="3042B9A6" w:rsidR="00EE5BB8" w:rsidRPr="00C6052E" w:rsidRDefault="00EE5BB8" w:rsidP="00F660D1">
            <w:pPr>
              <w:pStyle w:val="TableColumnHeading"/>
              <w:jc w:val="right"/>
              <w:rPr>
                <w:lang w:val="en-AU"/>
              </w:rPr>
            </w:pPr>
            <w:r w:rsidRPr="00C6052E">
              <w:rPr>
                <w:lang w:val="en-AU"/>
              </w:rPr>
              <w:t>Total</w:t>
            </w:r>
            <w:r w:rsidR="00B1545C" w:rsidRPr="00C6052E">
              <w:rPr>
                <w:lang w:val="en-AU"/>
              </w:rPr>
              <w:t xml:space="preserve"> </w:t>
            </w:r>
            <w:r w:rsidRPr="00C6052E">
              <w:rPr>
                <w:lang w:val="en-AU"/>
              </w:rPr>
              <w:t>Payments</w:t>
            </w:r>
            <w:r w:rsidR="00D97857">
              <w:rPr>
                <w:lang w:val="en-AU"/>
              </w:rPr>
              <w:br/>
            </w:r>
            <w:r w:rsidR="00D97857" w:rsidRPr="00C6052E">
              <w:t>2024</w:t>
            </w:r>
            <w:r w:rsidR="00D97857">
              <w:br/>
            </w:r>
            <w:r w:rsidR="00D97857" w:rsidRPr="00C6052E">
              <w:rPr>
                <w:lang w:val="en-AU"/>
              </w:rPr>
              <w:t xml:space="preserve">($ </w:t>
            </w:r>
            <w:r w:rsidR="00D97857">
              <w:rPr>
                <w:lang w:val="en-AU"/>
              </w:rPr>
              <w:t>‘000</w:t>
            </w:r>
            <w:r w:rsidR="00D97857" w:rsidRPr="00C6052E">
              <w:rPr>
                <w:lang w:val="en-AU"/>
              </w:rPr>
              <w:t>)</w:t>
            </w:r>
          </w:p>
        </w:tc>
        <w:tc>
          <w:tcPr>
            <w:tcW w:w="1219" w:type="dxa"/>
            <w:hideMark/>
          </w:tcPr>
          <w:p w14:paraId="1FC05B92" w14:textId="1502B3F6" w:rsidR="00EE5BB8" w:rsidRPr="00C6052E" w:rsidRDefault="00EE5BB8" w:rsidP="00F660D1">
            <w:pPr>
              <w:pStyle w:val="TableColumnHeading"/>
              <w:jc w:val="right"/>
              <w:rPr>
                <w:lang w:val="en-AU"/>
              </w:rPr>
            </w:pPr>
            <w:r w:rsidRPr="00C6052E">
              <w:rPr>
                <w:lang w:val="en-AU"/>
              </w:rPr>
              <w:t>Closing</w:t>
            </w:r>
            <w:r w:rsidR="00B1545C" w:rsidRPr="00C6052E">
              <w:rPr>
                <w:lang w:val="en-AU"/>
              </w:rPr>
              <w:t xml:space="preserve"> </w:t>
            </w:r>
            <w:r w:rsidRPr="00C6052E">
              <w:rPr>
                <w:lang w:val="en-AU"/>
              </w:rPr>
              <w:t>balance</w:t>
            </w:r>
            <w:r w:rsidR="00177848" w:rsidRPr="00C6052E">
              <w:rPr>
                <w:lang w:val="en-AU"/>
              </w:rPr>
              <w:t xml:space="preserve"> </w:t>
            </w:r>
            <w:r w:rsidRPr="00C6052E">
              <w:rPr>
                <w:lang w:val="en-AU"/>
              </w:rPr>
              <w:t>as</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30</w:t>
            </w:r>
            <w:r w:rsidR="00177848" w:rsidRPr="00C6052E">
              <w:rPr>
                <w:lang w:val="en-AU"/>
              </w:rPr>
              <w:t xml:space="preserve"> </w:t>
            </w:r>
            <w:r w:rsidRPr="00C6052E">
              <w:rPr>
                <w:lang w:val="en-AU"/>
              </w:rPr>
              <w:t>June</w:t>
            </w:r>
            <w:r w:rsidR="00177848" w:rsidRPr="00C6052E">
              <w:rPr>
                <w:lang w:val="en-AU"/>
              </w:rPr>
              <w:t xml:space="preserve"> </w:t>
            </w:r>
            <w:r w:rsidRPr="00C6052E">
              <w:rPr>
                <w:lang w:val="en-AU"/>
              </w:rPr>
              <w:t>2024</w:t>
            </w:r>
            <w:r w:rsidR="00D97857">
              <w:rPr>
                <w:lang w:val="en-AU"/>
              </w:rPr>
              <w:br/>
            </w:r>
            <w:r w:rsidR="00D97857" w:rsidRPr="00C6052E">
              <w:rPr>
                <w:lang w:val="en-AU"/>
              </w:rPr>
              <w:t xml:space="preserve">($ </w:t>
            </w:r>
            <w:r w:rsidR="00D97857">
              <w:rPr>
                <w:lang w:val="en-AU"/>
              </w:rPr>
              <w:t>‘000</w:t>
            </w:r>
            <w:r w:rsidR="00D97857" w:rsidRPr="00C6052E">
              <w:rPr>
                <w:lang w:val="en-AU"/>
              </w:rPr>
              <w:t>)</w:t>
            </w:r>
          </w:p>
        </w:tc>
      </w:tr>
      <w:tr w:rsidR="00F660D1" w:rsidRPr="00C6052E" w14:paraId="0B80E689" w14:textId="77777777" w:rsidTr="00F660D1">
        <w:trPr>
          <w:cantSplit/>
        </w:trPr>
        <w:tc>
          <w:tcPr>
            <w:tcW w:w="3685" w:type="dxa"/>
          </w:tcPr>
          <w:p w14:paraId="61B105E3" w14:textId="48B9D777" w:rsidR="00F660D1" w:rsidRPr="00C6052E" w:rsidRDefault="00F660D1" w:rsidP="00F660D1">
            <w:pPr>
              <w:pStyle w:val="TableHeading"/>
              <w:rPr>
                <w:rStyle w:val="Medium"/>
              </w:rPr>
            </w:pPr>
            <w:r w:rsidRPr="00C6052E">
              <w:t>State trusts</w:t>
            </w:r>
          </w:p>
        </w:tc>
        <w:tc>
          <w:tcPr>
            <w:tcW w:w="1219" w:type="dxa"/>
            <w:noWrap/>
          </w:tcPr>
          <w:p w14:paraId="5F3BB79F" w14:textId="77777777" w:rsidR="00F660D1" w:rsidRPr="00C6052E" w:rsidRDefault="00F660D1" w:rsidP="00F660D1">
            <w:pPr>
              <w:pStyle w:val="TableHeading"/>
              <w:jc w:val="right"/>
            </w:pPr>
          </w:p>
        </w:tc>
        <w:tc>
          <w:tcPr>
            <w:tcW w:w="1219" w:type="dxa"/>
            <w:noWrap/>
          </w:tcPr>
          <w:p w14:paraId="110026A8" w14:textId="77777777" w:rsidR="00F660D1" w:rsidRPr="00C6052E" w:rsidRDefault="00F660D1" w:rsidP="00F660D1">
            <w:pPr>
              <w:pStyle w:val="TableHeading"/>
              <w:jc w:val="right"/>
            </w:pPr>
          </w:p>
        </w:tc>
        <w:tc>
          <w:tcPr>
            <w:tcW w:w="1219" w:type="dxa"/>
            <w:noWrap/>
          </w:tcPr>
          <w:p w14:paraId="4DD7B0FB" w14:textId="77777777" w:rsidR="00F660D1" w:rsidRPr="00C6052E" w:rsidRDefault="00F660D1" w:rsidP="00F660D1">
            <w:pPr>
              <w:pStyle w:val="TableHeading"/>
              <w:jc w:val="right"/>
            </w:pPr>
          </w:p>
        </w:tc>
        <w:tc>
          <w:tcPr>
            <w:tcW w:w="1219" w:type="dxa"/>
            <w:noWrap/>
          </w:tcPr>
          <w:p w14:paraId="66AD5EA1" w14:textId="77777777" w:rsidR="00F660D1" w:rsidRPr="00C6052E" w:rsidRDefault="00F660D1" w:rsidP="00F660D1">
            <w:pPr>
              <w:pStyle w:val="TableHeading"/>
              <w:jc w:val="right"/>
            </w:pPr>
          </w:p>
        </w:tc>
        <w:tc>
          <w:tcPr>
            <w:tcW w:w="1219" w:type="dxa"/>
            <w:noWrap/>
          </w:tcPr>
          <w:p w14:paraId="24143157" w14:textId="77777777" w:rsidR="00F660D1" w:rsidRPr="00C6052E" w:rsidRDefault="00F660D1" w:rsidP="00F660D1">
            <w:pPr>
              <w:pStyle w:val="TableHeading"/>
              <w:jc w:val="right"/>
            </w:pPr>
          </w:p>
        </w:tc>
        <w:tc>
          <w:tcPr>
            <w:tcW w:w="1277" w:type="dxa"/>
            <w:noWrap/>
          </w:tcPr>
          <w:p w14:paraId="35B58AD5" w14:textId="77777777" w:rsidR="00F660D1" w:rsidRPr="00C6052E" w:rsidRDefault="00F660D1" w:rsidP="00F660D1">
            <w:pPr>
              <w:pStyle w:val="TableHeading"/>
              <w:jc w:val="right"/>
            </w:pPr>
          </w:p>
        </w:tc>
        <w:tc>
          <w:tcPr>
            <w:tcW w:w="1161" w:type="dxa"/>
            <w:noWrap/>
          </w:tcPr>
          <w:p w14:paraId="109BD803" w14:textId="77777777" w:rsidR="00F660D1" w:rsidRPr="00C6052E" w:rsidRDefault="00F660D1" w:rsidP="00F660D1">
            <w:pPr>
              <w:pStyle w:val="TableHeading"/>
              <w:jc w:val="right"/>
            </w:pPr>
          </w:p>
        </w:tc>
        <w:tc>
          <w:tcPr>
            <w:tcW w:w="1219" w:type="dxa"/>
            <w:noWrap/>
          </w:tcPr>
          <w:p w14:paraId="45BA9B45" w14:textId="77777777" w:rsidR="00F660D1" w:rsidRPr="00C6052E" w:rsidRDefault="00F660D1" w:rsidP="00F660D1">
            <w:pPr>
              <w:pStyle w:val="TableHeading"/>
              <w:jc w:val="right"/>
            </w:pPr>
          </w:p>
        </w:tc>
        <w:tc>
          <w:tcPr>
            <w:tcW w:w="1219" w:type="dxa"/>
            <w:noWrap/>
          </w:tcPr>
          <w:p w14:paraId="22E3780A" w14:textId="77777777" w:rsidR="00F660D1" w:rsidRPr="00C6052E" w:rsidRDefault="00F660D1" w:rsidP="00F660D1">
            <w:pPr>
              <w:pStyle w:val="TableHeading"/>
              <w:jc w:val="right"/>
            </w:pPr>
          </w:p>
        </w:tc>
      </w:tr>
      <w:tr w:rsidR="00EE5BB8" w:rsidRPr="00C6052E" w14:paraId="0B65ED4C" w14:textId="77777777" w:rsidTr="00F660D1">
        <w:trPr>
          <w:cantSplit/>
        </w:trPr>
        <w:tc>
          <w:tcPr>
            <w:tcW w:w="3685" w:type="dxa"/>
            <w:hideMark/>
          </w:tcPr>
          <w:p w14:paraId="3FE8D1A0" w14:textId="343E372A" w:rsidR="00EE5BB8" w:rsidRPr="00C6052E" w:rsidRDefault="00EE5BB8" w:rsidP="0063097D">
            <w:pPr>
              <w:pStyle w:val="TableCopy"/>
            </w:pPr>
            <w:r w:rsidRPr="00C6052E">
              <w:rPr>
                <w:rStyle w:val="Medium"/>
              </w:rPr>
              <w:t>State</w:t>
            </w:r>
            <w:r w:rsidR="00177848" w:rsidRPr="00C6052E">
              <w:rPr>
                <w:rStyle w:val="Medium"/>
              </w:rPr>
              <w:t xml:space="preserve"> </w:t>
            </w:r>
            <w:r w:rsidRPr="00C6052E">
              <w:rPr>
                <w:rStyle w:val="Medium"/>
              </w:rPr>
              <w:t>Treasury</w:t>
            </w:r>
            <w:r w:rsidR="00177848" w:rsidRPr="00C6052E">
              <w:rPr>
                <w:rStyle w:val="Medium"/>
              </w:rPr>
              <w:t xml:space="preserve"> </w:t>
            </w:r>
            <w:r w:rsidRPr="00C6052E">
              <w:rPr>
                <w:rStyle w:val="Medium"/>
              </w:rPr>
              <w:t>Trust</w:t>
            </w:r>
            <w:r w:rsidR="00177848" w:rsidRPr="00C6052E">
              <w:rPr>
                <w:rStyle w:val="Medium"/>
              </w:rPr>
              <w:t xml:space="preserve"> </w:t>
            </w:r>
            <w:r w:rsidRPr="00C6052E">
              <w:rPr>
                <w:rStyle w:val="Medium"/>
              </w:rPr>
              <w:t>Fund</w:t>
            </w:r>
            <w:r w:rsidR="00177848" w:rsidRPr="00C6052E">
              <w:t xml:space="preserve"> </w:t>
            </w:r>
            <w:r w:rsidRPr="00C6052E">
              <w:br/>
              <w:t>Established</w:t>
            </w:r>
            <w:r w:rsidR="00177848" w:rsidRPr="00C6052E">
              <w:t xml:space="preserve"> </w:t>
            </w:r>
            <w:r w:rsidRPr="00C6052E">
              <w:t>under</w:t>
            </w:r>
            <w:r w:rsidR="00177848" w:rsidRPr="00C6052E">
              <w:t xml:space="preserve"> </w:t>
            </w:r>
            <w:r w:rsidRPr="00C6052E">
              <w:t>the</w:t>
            </w:r>
            <w:r w:rsidR="00177848" w:rsidRPr="00C6052E">
              <w:t xml:space="preserve"> </w:t>
            </w:r>
            <w:r w:rsidRPr="00C6052E">
              <w:rPr>
                <w:rStyle w:val="Italics"/>
              </w:rPr>
              <w:t>Financial</w:t>
            </w:r>
            <w:r w:rsidR="00177848" w:rsidRPr="00C6052E">
              <w:rPr>
                <w:rStyle w:val="Italics"/>
              </w:rPr>
              <w:t xml:space="preserve"> </w:t>
            </w:r>
            <w:r w:rsidRPr="00C6052E">
              <w:rPr>
                <w:rStyle w:val="Italics"/>
              </w:rPr>
              <w:t>Management</w:t>
            </w:r>
            <w:r w:rsidR="00177848" w:rsidRPr="00C6052E">
              <w:rPr>
                <w:rStyle w:val="Italics"/>
              </w:rPr>
              <w:t xml:space="preserve"> </w:t>
            </w:r>
            <w:r w:rsidRPr="00C6052E">
              <w:rPr>
                <w:rStyle w:val="Italics"/>
              </w:rPr>
              <w:t>Act</w:t>
            </w:r>
            <w:r w:rsidR="00177848" w:rsidRPr="00C6052E">
              <w:rPr>
                <w:rStyle w:val="Italics"/>
              </w:rPr>
              <w:t xml:space="preserve"> </w:t>
            </w:r>
            <w:r w:rsidRPr="00C6052E">
              <w:rPr>
                <w:rStyle w:val="Italics"/>
              </w:rPr>
              <w:t>1994</w:t>
            </w:r>
            <w:r w:rsidR="00177848" w:rsidRPr="00C6052E">
              <w:t xml:space="preserve"> </w:t>
            </w:r>
            <w:r w:rsidRPr="00C6052E">
              <w:t>to</w:t>
            </w:r>
            <w:r w:rsidR="00177848" w:rsidRPr="00C6052E">
              <w:t xml:space="preserve"> </w:t>
            </w:r>
            <w:r w:rsidRPr="00C6052E">
              <w:t>record</w:t>
            </w:r>
            <w:r w:rsidR="00177848" w:rsidRPr="00C6052E">
              <w:t xml:space="preserve"> </w:t>
            </w:r>
            <w:r w:rsidRPr="00C6052E">
              <w:t>the</w:t>
            </w:r>
            <w:r w:rsidR="00177848" w:rsidRPr="00C6052E">
              <w:t xml:space="preserve"> </w:t>
            </w:r>
            <w:r w:rsidRPr="00C6052E">
              <w:t>receipt</w:t>
            </w:r>
            <w:r w:rsidR="00177848" w:rsidRPr="00C6052E">
              <w:t xml:space="preserve"> </w:t>
            </w:r>
            <w:r w:rsidRPr="00C6052E">
              <w:t>and</w:t>
            </w:r>
            <w:r w:rsidR="00177848" w:rsidRPr="00C6052E">
              <w:t xml:space="preserve"> </w:t>
            </w:r>
            <w:r w:rsidRPr="00C6052E">
              <w:t>disbursement</w:t>
            </w:r>
            <w:r w:rsidR="00177848" w:rsidRPr="00C6052E">
              <w:t xml:space="preserve"> </w:t>
            </w:r>
            <w:r w:rsidRPr="00C6052E">
              <w:t>of</w:t>
            </w:r>
            <w:r w:rsidR="00177848" w:rsidRPr="00C6052E">
              <w:t xml:space="preserve"> </w:t>
            </w:r>
            <w:r w:rsidRPr="00C6052E">
              <w:t>unclaimed</w:t>
            </w:r>
            <w:r w:rsidR="00177848" w:rsidRPr="00C6052E">
              <w:t xml:space="preserve"> </w:t>
            </w:r>
            <w:r w:rsidRPr="00C6052E">
              <w:t>monies</w:t>
            </w:r>
            <w:r w:rsidR="00177848" w:rsidRPr="00C6052E">
              <w:t xml:space="preserve"> </w:t>
            </w:r>
            <w:r w:rsidRPr="00C6052E">
              <w:t>and</w:t>
            </w:r>
            <w:r w:rsidR="00177848" w:rsidRPr="00C6052E">
              <w:t xml:space="preserve"> </w:t>
            </w:r>
            <w:r w:rsidRPr="00C6052E">
              <w:t>other</w:t>
            </w:r>
            <w:r w:rsidR="00177848" w:rsidRPr="00C6052E">
              <w:t xml:space="preserve"> </w:t>
            </w:r>
            <w:r w:rsidRPr="00C6052E">
              <w:t>funds</w:t>
            </w:r>
            <w:r w:rsidR="00177848" w:rsidRPr="00C6052E">
              <w:t xml:space="preserve"> </w:t>
            </w:r>
            <w:r w:rsidRPr="00C6052E">
              <w:t>held</w:t>
            </w:r>
            <w:r w:rsidR="00177848" w:rsidRPr="00C6052E">
              <w:t xml:space="preserve"> </w:t>
            </w:r>
            <w:r w:rsidRPr="00C6052E">
              <w:t>in</w:t>
            </w:r>
            <w:r w:rsidR="00177848" w:rsidRPr="00C6052E">
              <w:t xml:space="preserve"> </w:t>
            </w:r>
            <w:r w:rsidRPr="00C6052E">
              <w:t>trust.</w:t>
            </w:r>
          </w:p>
        </w:tc>
        <w:tc>
          <w:tcPr>
            <w:tcW w:w="1219" w:type="dxa"/>
            <w:noWrap/>
            <w:hideMark/>
          </w:tcPr>
          <w:p w14:paraId="61BEAED4" w14:textId="77777777" w:rsidR="00EE5BB8" w:rsidRPr="00C6052E" w:rsidRDefault="00EE5BB8" w:rsidP="00F660D1">
            <w:pPr>
              <w:pStyle w:val="TableCopy"/>
              <w:jc w:val="right"/>
            </w:pPr>
            <w:r w:rsidRPr="00C6052E">
              <w:t>(472)</w:t>
            </w:r>
          </w:p>
        </w:tc>
        <w:tc>
          <w:tcPr>
            <w:tcW w:w="1219" w:type="dxa"/>
            <w:noWrap/>
            <w:hideMark/>
          </w:tcPr>
          <w:p w14:paraId="6B45F4B2" w14:textId="77777777" w:rsidR="00EE5BB8" w:rsidRPr="00C6052E" w:rsidRDefault="00EE5BB8" w:rsidP="00F660D1">
            <w:pPr>
              <w:pStyle w:val="TableCopy"/>
              <w:jc w:val="right"/>
            </w:pPr>
            <w:r w:rsidRPr="00C6052E">
              <w:t>3</w:t>
            </w:r>
          </w:p>
        </w:tc>
        <w:tc>
          <w:tcPr>
            <w:tcW w:w="1219" w:type="dxa"/>
            <w:noWrap/>
            <w:hideMark/>
          </w:tcPr>
          <w:p w14:paraId="75C95044" w14:textId="77777777" w:rsidR="00EE5BB8" w:rsidRPr="00C6052E" w:rsidRDefault="00EE5BB8" w:rsidP="00F660D1">
            <w:pPr>
              <w:pStyle w:val="TableCopy"/>
              <w:jc w:val="right"/>
            </w:pPr>
            <w:r w:rsidRPr="00C6052E">
              <w:t>–</w:t>
            </w:r>
          </w:p>
        </w:tc>
        <w:tc>
          <w:tcPr>
            <w:tcW w:w="1219" w:type="dxa"/>
            <w:noWrap/>
            <w:hideMark/>
          </w:tcPr>
          <w:p w14:paraId="4719276E" w14:textId="77777777" w:rsidR="00EE5BB8" w:rsidRPr="00C6052E" w:rsidRDefault="00EE5BB8" w:rsidP="00F660D1">
            <w:pPr>
              <w:pStyle w:val="TableCopy"/>
              <w:jc w:val="right"/>
            </w:pPr>
            <w:r w:rsidRPr="00C6052E">
              <w:t>(469)</w:t>
            </w:r>
          </w:p>
        </w:tc>
        <w:tc>
          <w:tcPr>
            <w:tcW w:w="1219" w:type="dxa"/>
            <w:noWrap/>
            <w:hideMark/>
          </w:tcPr>
          <w:p w14:paraId="2B0A8200" w14:textId="77777777" w:rsidR="00EE5BB8" w:rsidRPr="00C6052E" w:rsidRDefault="00EE5BB8" w:rsidP="00F660D1">
            <w:pPr>
              <w:pStyle w:val="TableCopy"/>
              <w:jc w:val="right"/>
            </w:pPr>
            <w:r w:rsidRPr="00C6052E">
              <w:t>358</w:t>
            </w:r>
          </w:p>
        </w:tc>
        <w:tc>
          <w:tcPr>
            <w:tcW w:w="1277" w:type="dxa"/>
            <w:noWrap/>
            <w:hideMark/>
          </w:tcPr>
          <w:p w14:paraId="4D2A0813" w14:textId="77777777" w:rsidR="00EE5BB8" w:rsidRPr="00C6052E" w:rsidRDefault="00EE5BB8" w:rsidP="00F660D1">
            <w:pPr>
              <w:pStyle w:val="TableCopy"/>
              <w:jc w:val="right"/>
            </w:pPr>
            <w:r w:rsidRPr="00C6052E">
              <w:t>–</w:t>
            </w:r>
          </w:p>
        </w:tc>
        <w:tc>
          <w:tcPr>
            <w:tcW w:w="1161" w:type="dxa"/>
            <w:noWrap/>
            <w:hideMark/>
          </w:tcPr>
          <w:p w14:paraId="6084A514" w14:textId="77777777" w:rsidR="00EE5BB8" w:rsidRPr="00C6052E" w:rsidRDefault="00EE5BB8" w:rsidP="00F660D1">
            <w:pPr>
              <w:pStyle w:val="TableCopy"/>
              <w:jc w:val="right"/>
            </w:pPr>
            <w:r w:rsidRPr="00C6052E">
              <w:t>3</w:t>
            </w:r>
          </w:p>
        </w:tc>
        <w:tc>
          <w:tcPr>
            <w:tcW w:w="1219" w:type="dxa"/>
            <w:noWrap/>
            <w:hideMark/>
          </w:tcPr>
          <w:p w14:paraId="5BBDEAD9" w14:textId="77777777" w:rsidR="00EE5BB8" w:rsidRPr="00C6052E" w:rsidRDefault="00EE5BB8" w:rsidP="00F660D1">
            <w:pPr>
              <w:pStyle w:val="TableCopy"/>
              <w:jc w:val="right"/>
            </w:pPr>
            <w:r w:rsidRPr="00C6052E">
              <w:t>(833)</w:t>
            </w:r>
          </w:p>
        </w:tc>
        <w:tc>
          <w:tcPr>
            <w:tcW w:w="1219" w:type="dxa"/>
            <w:noWrap/>
            <w:hideMark/>
          </w:tcPr>
          <w:p w14:paraId="1FE766F8" w14:textId="77777777" w:rsidR="00EE5BB8" w:rsidRPr="00C6052E" w:rsidRDefault="00EE5BB8" w:rsidP="00F660D1">
            <w:pPr>
              <w:pStyle w:val="TableCopy"/>
              <w:jc w:val="right"/>
            </w:pPr>
            <w:r w:rsidRPr="00C6052E">
              <w:t>(472)</w:t>
            </w:r>
          </w:p>
        </w:tc>
      </w:tr>
      <w:tr w:rsidR="00EE5BB8" w:rsidRPr="00C6052E" w14:paraId="6F07B6A1" w14:textId="77777777" w:rsidTr="00F660D1">
        <w:trPr>
          <w:cantSplit/>
        </w:trPr>
        <w:tc>
          <w:tcPr>
            <w:tcW w:w="3685" w:type="dxa"/>
            <w:hideMark/>
          </w:tcPr>
          <w:p w14:paraId="604D2EBC" w14:textId="155E32ED" w:rsidR="00EE5BB8" w:rsidRPr="00C6052E" w:rsidRDefault="00EE5BB8" w:rsidP="0063097D">
            <w:pPr>
              <w:pStyle w:val="TableCopy"/>
            </w:pPr>
            <w:r w:rsidRPr="00C6052E">
              <w:rPr>
                <w:rStyle w:val="Medium"/>
              </w:rPr>
              <w:t>ANZAC</w:t>
            </w:r>
            <w:r w:rsidR="00177848" w:rsidRPr="00C6052E">
              <w:rPr>
                <w:rStyle w:val="Medium"/>
              </w:rPr>
              <w:t xml:space="preserve"> </w:t>
            </w:r>
            <w:r w:rsidRPr="00C6052E">
              <w:rPr>
                <w:rStyle w:val="Medium"/>
              </w:rPr>
              <w:t>Day</w:t>
            </w:r>
            <w:r w:rsidR="00177848" w:rsidRPr="00C6052E">
              <w:rPr>
                <w:rStyle w:val="Medium"/>
              </w:rPr>
              <w:t xml:space="preserve"> </w:t>
            </w:r>
            <w:r w:rsidRPr="00C6052E">
              <w:rPr>
                <w:rStyle w:val="Medium"/>
              </w:rPr>
              <w:t>Proceeds</w:t>
            </w:r>
            <w:r w:rsidR="00177848" w:rsidRPr="00C6052E">
              <w:rPr>
                <w:rStyle w:val="Medium"/>
              </w:rPr>
              <w:t xml:space="preserve"> </w:t>
            </w:r>
            <w:r w:rsidRPr="00C6052E">
              <w:rPr>
                <w:rStyle w:val="Medium"/>
              </w:rPr>
              <w:t>Trust</w:t>
            </w:r>
            <w:r w:rsidR="00177848" w:rsidRPr="00C6052E">
              <w:rPr>
                <w:rStyle w:val="Medium"/>
              </w:rPr>
              <w:t xml:space="preserve"> </w:t>
            </w:r>
            <w:r w:rsidRPr="00C6052E">
              <w:rPr>
                <w:rStyle w:val="Medium"/>
              </w:rPr>
              <w:t>Fund</w:t>
            </w:r>
            <w:r w:rsidRPr="00C6052E">
              <w:br/>
              <w:t>Established</w:t>
            </w:r>
            <w:r w:rsidR="00177848" w:rsidRPr="00C6052E">
              <w:t xml:space="preserve"> </w:t>
            </w:r>
            <w:r w:rsidRPr="00C6052E">
              <w:t>under</w:t>
            </w:r>
            <w:r w:rsidR="00177848" w:rsidRPr="00C6052E">
              <w:t xml:space="preserve"> </w:t>
            </w:r>
            <w:r w:rsidRPr="00C6052E">
              <w:t>the</w:t>
            </w:r>
            <w:r w:rsidR="00177848" w:rsidRPr="00C6052E">
              <w:t xml:space="preserve"> </w:t>
            </w:r>
            <w:r w:rsidRPr="00C6052E">
              <w:rPr>
                <w:rStyle w:val="Italics"/>
              </w:rPr>
              <w:t>ANZAC</w:t>
            </w:r>
            <w:r w:rsidR="00177848" w:rsidRPr="00C6052E">
              <w:rPr>
                <w:rStyle w:val="Italics"/>
              </w:rPr>
              <w:t xml:space="preserve"> </w:t>
            </w:r>
            <w:r w:rsidRPr="00C6052E">
              <w:rPr>
                <w:rStyle w:val="Italics"/>
              </w:rPr>
              <w:t>Day</w:t>
            </w:r>
            <w:r w:rsidR="00177848" w:rsidRPr="00C6052E">
              <w:rPr>
                <w:rStyle w:val="Italics"/>
              </w:rPr>
              <w:t xml:space="preserve"> </w:t>
            </w:r>
            <w:r w:rsidRPr="00C6052E">
              <w:rPr>
                <w:rStyle w:val="Italics"/>
              </w:rPr>
              <w:t>Act</w:t>
            </w:r>
            <w:r w:rsidR="00177848" w:rsidRPr="00C6052E">
              <w:rPr>
                <w:rStyle w:val="Italics"/>
              </w:rPr>
              <w:t xml:space="preserve"> </w:t>
            </w:r>
            <w:r w:rsidRPr="00C6052E">
              <w:rPr>
                <w:rStyle w:val="Italics"/>
              </w:rPr>
              <w:t>1958</w:t>
            </w:r>
            <w:r w:rsidR="00177848" w:rsidRPr="00C6052E">
              <w:t xml:space="preserve"> </w:t>
            </w:r>
            <w:r w:rsidRPr="00C6052E">
              <w:t>to</w:t>
            </w:r>
            <w:r w:rsidR="00177848" w:rsidRPr="00C6052E">
              <w:t xml:space="preserve"> </w:t>
            </w:r>
            <w:r w:rsidRPr="00C6052E">
              <w:t>receive</w:t>
            </w:r>
            <w:r w:rsidR="00177848" w:rsidRPr="00C6052E">
              <w:t xml:space="preserve"> </w:t>
            </w:r>
            <w:r w:rsidRPr="00C6052E">
              <w:t>funds</w:t>
            </w:r>
            <w:r w:rsidR="00177848" w:rsidRPr="00C6052E">
              <w:t xml:space="preserve"> </w:t>
            </w:r>
            <w:r w:rsidRPr="00C6052E">
              <w:t>as</w:t>
            </w:r>
            <w:r w:rsidR="00177848" w:rsidRPr="00C6052E">
              <w:t xml:space="preserve"> </w:t>
            </w:r>
            <w:r w:rsidRPr="00C6052E">
              <w:t>required</w:t>
            </w:r>
            <w:r w:rsidR="00177848" w:rsidRPr="00C6052E">
              <w:t xml:space="preserve"> </w:t>
            </w:r>
            <w:r w:rsidRPr="00C6052E">
              <w:t>to</w:t>
            </w:r>
            <w:r w:rsidR="00177848" w:rsidRPr="00C6052E">
              <w:t xml:space="preserve"> </w:t>
            </w:r>
            <w:r w:rsidRPr="00C6052E">
              <w:t>be</w:t>
            </w:r>
            <w:r w:rsidR="00177848" w:rsidRPr="00C6052E">
              <w:t xml:space="preserve"> </w:t>
            </w:r>
            <w:r w:rsidRPr="00C6052E">
              <w:t>paid</w:t>
            </w:r>
            <w:r w:rsidR="00177848" w:rsidRPr="00C6052E">
              <w:t xml:space="preserve"> </w:t>
            </w:r>
            <w:r w:rsidRPr="00C6052E">
              <w:t>by</w:t>
            </w:r>
            <w:r w:rsidR="00177848" w:rsidRPr="00C6052E">
              <w:t xml:space="preserve"> </w:t>
            </w:r>
            <w:r w:rsidRPr="00C6052E">
              <w:t>the</w:t>
            </w:r>
            <w:r w:rsidR="00177848" w:rsidRPr="00C6052E">
              <w:t xml:space="preserve"> </w:t>
            </w:r>
            <w:r w:rsidRPr="00C6052E">
              <w:rPr>
                <w:rStyle w:val="Italics"/>
              </w:rPr>
              <w:t>Anzac</w:t>
            </w:r>
            <w:r w:rsidR="00177848" w:rsidRPr="00C6052E">
              <w:rPr>
                <w:rStyle w:val="Italics"/>
              </w:rPr>
              <w:t xml:space="preserve"> </w:t>
            </w:r>
            <w:r w:rsidRPr="00C6052E">
              <w:rPr>
                <w:rStyle w:val="Italics"/>
              </w:rPr>
              <w:t>Day</w:t>
            </w:r>
            <w:r w:rsidR="00177848" w:rsidRPr="00C6052E">
              <w:rPr>
                <w:rStyle w:val="Italics"/>
              </w:rPr>
              <w:t xml:space="preserve"> </w:t>
            </w:r>
            <w:r w:rsidRPr="00C6052E">
              <w:rPr>
                <w:rStyle w:val="Italics"/>
              </w:rPr>
              <w:t>Act</w:t>
            </w:r>
            <w:r w:rsidR="00177848" w:rsidRPr="00C6052E">
              <w:rPr>
                <w:rStyle w:val="Italics"/>
              </w:rPr>
              <w:t xml:space="preserve"> </w:t>
            </w:r>
            <w:r w:rsidRPr="00C6052E">
              <w:rPr>
                <w:rStyle w:val="Italics"/>
              </w:rPr>
              <w:t>1958</w:t>
            </w:r>
            <w:r w:rsidR="00177848" w:rsidRPr="00C6052E">
              <w:t xml:space="preserve"> </w:t>
            </w:r>
            <w:r w:rsidRPr="00C6052E">
              <w:t>and</w:t>
            </w:r>
            <w:r w:rsidR="00177848" w:rsidRPr="00C6052E">
              <w:t xml:space="preserve"> </w:t>
            </w:r>
            <w:r w:rsidRPr="00C6052E">
              <w:t>the</w:t>
            </w:r>
            <w:r w:rsidR="00177848" w:rsidRPr="00C6052E">
              <w:t xml:space="preserve"> </w:t>
            </w:r>
            <w:r w:rsidRPr="00C6052E">
              <w:rPr>
                <w:rStyle w:val="Italics"/>
              </w:rPr>
              <w:t>Racing</w:t>
            </w:r>
            <w:r w:rsidR="00177848" w:rsidRPr="00C6052E">
              <w:rPr>
                <w:rStyle w:val="Italics"/>
              </w:rPr>
              <w:t xml:space="preserve"> </w:t>
            </w:r>
            <w:r w:rsidRPr="00C6052E">
              <w:rPr>
                <w:rStyle w:val="Italics"/>
              </w:rPr>
              <w:t>Act</w:t>
            </w:r>
            <w:r w:rsidR="00177848" w:rsidRPr="00C6052E">
              <w:rPr>
                <w:rStyle w:val="Italics"/>
              </w:rPr>
              <w:t xml:space="preserve"> </w:t>
            </w:r>
            <w:r w:rsidRPr="00C6052E">
              <w:rPr>
                <w:rStyle w:val="Italics"/>
              </w:rPr>
              <w:t>1958</w:t>
            </w:r>
            <w:r w:rsidR="00177848" w:rsidRPr="00C6052E">
              <w:t xml:space="preserve"> </w:t>
            </w:r>
            <w:r w:rsidRPr="00C6052E">
              <w:t>and</w:t>
            </w:r>
            <w:r w:rsidR="00177848" w:rsidRPr="00C6052E">
              <w:t xml:space="preserve"> </w:t>
            </w:r>
            <w:r w:rsidRPr="00C6052E">
              <w:t>to</w:t>
            </w:r>
            <w:r w:rsidR="00177848" w:rsidRPr="00C6052E">
              <w:t xml:space="preserve"> </w:t>
            </w:r>
            <w:r w:rsidRPr="00C6052E">
              <w:t>be</w:t>
            </w:r>
            <w:r w:rsidR="00177848" w:rsidRPr="00C6052E">
              <w:t xml:space="preserve"> </w:t>
            </w:r>
            <w:r w:rsidRPr="00C6052E">
              <w:t>credited</w:t>
            </w:r>
            <w:r w:rsidR="00177848" w:rsidRPr="00C6052E">
              <w:t xml:space="preserve"> </w:t>
            </w:r>
            <w:r w:rsidRPr="00C6052E">
              <w:t>to</w:t>
            </w:r>
            <w:r w:rsidR="00177848" w:rsidRPr="00C6052E">
              <w:t xml:space="preserve"> </w:t>
            </w:r>
            <w:r w:rsidRPr="00C6052E">
              <w:t>the</w:t>
            </w:r>
            <w:r w:rsidR="00177848" w:rsidRPr="00C6052E">
              <w:t xml:space="preserve"> </w:t>
            </w:r>
            <w:r w:rsidRPr="00C6052E">
              <w:t>Victorian</w:t>
            </w:r>
            <w:r w:rsidR="00177848" w:rsidRPr="00C6052E">
              <w:t xml:space="preserve"> </w:t>
            </w:r>
            <w:r w:rsidRPr="00C6052E">
              <w:t>Veterans</w:t>
            </w:r>
            <w:r w:rsidR="00177848" w:rsidRPr="00C6052E">
              <w:t xml:space="preserve"> </w:t>
            </w:r>
            <w:r w:rsidRPr="00C6052E">
              <w:t>Fund.</w:t>
            </w:r>
          </w:p>
        </w:tc>
        <w:tc>
          <w:tcPr>
            <w:tcW w:w="1219" w:type="dxa"/>
            <w:noWrap/>
            <w:hideMark/>
          </w:tcPr>
          <w:p w14:paraId="0C06CFFF" w14:textId="77777777" w:rsidR="00EE5BB8" w:rsidRPr="00C6052E" w:rsidRDefault="00EE5BB8" w:rsidP="00F660D1">
            <w:pPr>
              <w:pStyle w:val="TableCopy"/>
              <w:jc w:val="right"/>
            </w:pPr>
            <w:r w:rsidRPr="00C6052E">
              <w:t>128</w:t>
            </w:r>
          </w:p>
        </w:tc>
        <w:tc>
          <w:tcPr>
            <w:tcW w:w="1219" w:type="dxa"/>
            <w:noWrap/>
            <w:hideMark/>
          </w:tcPr>
          <w:p w14:paraId="7C661A1D" w14:textId="77777777" w:rsidR="00EE5BB8" w:rsidRPr="00C6052E" w:rsidRDefault="00EE5BB8" w:rsidP="00F660D1">
            <w:pPr>
              <w:pStyle w:val="TableCopy"/>
              <w:jc w:val="right"/>
            </w:pPr>
            <w:r w:rsidRPr="00C6052E">
              <w:t>73</w:t>
            </w:r>
          </w:p>
        </w:tc>
        <w:tc>
          <w:tcPr>
            <w:tcW w:w="1219" w:type="dxa"/>
            <w:noWrap/>
            <w:hideMark/>
          </w:tcPr>
          <w:p w14:paraId="7404B861" w14:textId="77777777" w:rsidR="00EE5BB8" w:rsidRPr="00C6052E" w:rsidRDefault="00EE5BB8" w:rsidP="00F660D1">
            <w:pPr>
              <w:pStyle w:val="TableCopy"/>
              <w:jc w:val="right"/>
            </w:pPr>
            <w:r w:rsidRPr="00C6052E">
              <w:t>68</w:t>
            </w:r>
          </w:p>
        </w:tc>
        <w:tc>
          <w:tcPr>
            <w:tcW w:w="1219" w:type="dxa"/>
            <w:noWrap/>
            <w:hideMark/>
          </w:tcPr>
          <w:p w14:paraId="7422462A" w14:textId="77777777" w:rsidR="00EE5BB8" w:rsidRPr="00C6052E" w:rsidRDefault="00EE5BB8" w:rsidP="00F660D1">
            <w:pPr>
              <w:pStyle w:val="TableCopy"/>
              <w:jc w:val="right"/>
            </w:pPr>
            <w:r w:rsidRPr="00C6052E">
              <w:t>269</w:t>
            </w:r>
          </w:p>
        </w:tc>
        <w:tc>
          <w:tcPr>
            <w:tcW w:w="1219" w:type="dxa"/>
            <w:noWrap/>
            <w:hideMark/>
          </w:tcPr>
          <w:p w14:paraId="61EAACDF" w14:textId="77777777" w:rsidR="00EE5BB8" w:rsidRPr="00C6052E" w:rsidRDefault="00EE5BB8" w:rsidP="00F660D1">
            <w:pPr>
              <w:pStyle w:val="TableCopy"/>
              <w:jc w:val="right"/>
            </w:pPr>
            <w:r w:rsidRPr="00C6052E">
              <w:t>13</w:t>
            </w:r>
          </w:p>
        </w:tc>
        <w:tc>
          <w:tcPr>
            <w:tcW w:w="1277" w:type="dxa"/>
            <w:noWrap/>
            <w:hideMark/>
          </w:tcPr>
          <w:p w14:paraId="02F6CB58" w14:textId="77777777" w:rsidR="00EE5BB8" w:rsidRPr="00C6052E" w:rsidRDefault="00EE5BB8" w:rsidP="00F660D1">
            <w:pPr>
              <w:pStyle w:val="TableCopy"/>
              <w:jc w:val="right"/>
            </w:pPr>
            <w:r w:rsidRPr="00C6052E">
              <w:t>–</w:t>
            </w:r>
          </w:p>
        </w:tc>
        <w:tc>
          <w:tcPr>
            <w:tcW w:w="1161" w:type="dxa"/>
            <w:noWrap/>
            <w:hideMark/>
          </w:tcPr>
          <w:p w14:paraId="50E3AAC3" w14:textId="77777777" w:rsidR="00EE5BB8" w:rsidRPr="00C6052E" w:rsidRDefault="00EE5BB8" w:rsidP="00F660D1">
            <w:pPr>
              <w:pStyle w:val="TableCopy"/>
              <w:jc w:val="right"/>
            </w:pPr>
            <w:r w:rsidRPr="00C6052E">
              <w:t>115</w:t>
            </w:r>
          </w:p>
        </w:tc>
        <w:tc>
          <w:tcPr>
            <w:tcW w:w="1219" w:type="dxa"/>
            <w:noWrap/>
            <w:hideMark/>
          </w:tcPr>
          <w:p w14:paraId="491AD2BC" w14:textId="77777777" w:rsidR="00EE5BB8" w:rsidRPr="00C6052E" w:rsidRDefault="00EE5BB8" w:rsidP="00F660D1">
            <w:pPr>
              <w:pStyle w:val="TableCopy"/>
              <w:jc w:val="right"/>
            </w:pPr>
            <w:r w:rsidRPr="00C6052E">
              <w:t>–</w:t>
            </w:r>
          </w:p>
        </w:tc>
        <w:tc>
          <w:tcPr>
            <w:tcW w:w="1219" w:type="dxa"/>
            <w:noWrap/>
            <w:hideMark/>
          </w:tcPr>
          <w:p w14:paraId="25134340" w14:textId="77777777" w:rsidR="00EE5BB8" w:rsidRPr="00C6052E" w:rsidRDefault="00EE5BB8" w:rsidP="00F660D1">
            <w:pPr>
              <w:pStyle w:val="TableCopy"/>
              <w:jc w:val="right"/>
            </w:pPr>
            <w:r w:rsidRPr="00C6052E">
              <w:t>128</w:t>
            </w:r>
          </w:p>
        </w:tc>
      </w:tr>
      <w:tr w:rsidR="00EE5BB8" w:rsidRPr="00C6052E" w14:paraId="0B294D0C" w14:textId="77777777" w:rsidTr="00F660D1">
        <w:trPr>
          <w:cantSplit/>
        </w:trPr>
        <w:tc>
          <w:tcPr>
            <w:tcW w:w="3685" w:type="dxa"/>
            <w:hideMark/>
          </w:tcPr>
          <w:p w14:paraId="15F62A2A" w14:textId="4CB67E5F" w:rsidR="00EE5BB8" w:rsidRPr="00C6052E" w:rsidRDefault="00EE5BB8" w:rsidP="0063097D">
            <w:pPr>
              <w:pStyle w:val="TableCopy"/>
            </w:pPr>
            <w:r w:rsidRPr="00C6052E">
              <w:rPr>
                <w:rStyle w:val="Medium"/>
              </w:rPr>
              <w:t>Public</w:t>
            </w:r>
            <w:r w:rsidR="00177848" w:rsidRPr="00C6052E">
              <w:rPr>
                <w:rStyle w:val="Medium"/>
              </w:rPr>
              <w:t xml:space="preserve"> </w:t>
            </w:r>
            <w:r w:rsidRPr="00C6052E">
              <w:rPr>
                <w:rStyle w:val="Medium"/>
              </w:rPr>
              <w:t>Service</w:t>
            </w:r>
            <w:r w:rsidR="00177848" w:rsidRPr="00C6052E">
              <w:rPr>
                <w:rStyle w:val="Medium"/>
              </w:rPr>
              <w:t xml:space="preserve"> </w:t>
            </w:r>
            <w:r w:rsidRPr="00C6052E">
              <w:rPr>
                <w:rStyle w:val="Medium"/>
              </w:rPr>
              <w:t>Commuters</w:t>
            </w:r>
            <w:r w:rsidR="00177848" w:rsidRPr="00C6052E">
              <w:rPr>
                <w:rStyle w:val="Medium"/>
              </w:rPr>
              <w:t xml:space="preserve"> </w:t>
            </w:r>
            <w:r w:rsidRPr="00C6052E">
              <w:rPr>
                <w:rStyle w:val="Medium"/>
              </w:rPr>
              <w:t>Club</w:t>
            </w:r>
            <w:r w:rsidRPr="00C6052E">
              <w:br/>
              <w:t>Established</w:t>
            </w:r>
            <w:r w:rsidR="00177848" w:rsidRPr="00C6052E">
              <w:t xml:space="preserve"> </w:t>
            </w:r>
            <w:r w:rsidRPr="00C6052E">
              <w:t>under</w:t>
            </w:r>
            <w:r w:rsidR="00177848" w:rsidRPr="00C6052E">
              <w:t xml:space="preserve"> </w:t>
            </w:r>
            <w:r w:rsidRPr="00C6052E">
              <w:t>the</w:t>
            </w:r>
            <w:r w:rsidR="00177848" w:rsidRPr="00C6052E">
              <w:t xml:space="preserve"> </w:t>
            </w:r>
            <w:r w:rsidRPr="00C6052E">
              <w:rPr>
                <w:rStyle w:val="Italics"/>
              </w:rPr>
              <w:t>Financial</w:t>
            </w:r>
            <w:r w:rsidR="00177848" w:rsidRPr="00C6052E">
              <w:rPr>
                <w:rStyle w:val="Italics"/>
              </w:rPr>
              <w:t xml:space="preserve"> </w:t>
            </w:r>
            <w:r w:rsidRPr="00C6052E">
              <w:rPr>
                <w:rStyle w:val="Italics"/>
              </w:rPr>
              <w:t>Management</w:t>
            </w:r>
            <w:r w:rsidR="00177848" w:rsidRPr="00C6052E">
              <w:rPr>
                <w:rStyle w:val="Italics"/>
              </w:rPr>
              <w:t xml:space="preserve"> </w:t>
            </w:r>
            <w:r w:rsidRPr="00C6052E">
              <w:rPr>
                <w:rStyle w:val="Italics"/>
              </w:rPr>
              <w:t>Act</w:t>
            </w:r>
            <w:r w:rsidR="00177848" w:rsidRPr="00C6052E">
              <w:rPr>
                <w:rStyle w:val="Italics"/>
              </w:rPr>
              <w:t xml:space="preserve"> </w:t>
            </w:r>
            <w:r w:rsidRPr="00C6052E">
              <w:rPr>
                <w:rStyle w:val="Italics"/>
              </w:rPr>
              <w:t>1994</w:t>
            </w:r>
            <w:r w:rsidR="00177848" w:rsidRPr="00C6052E">
              <w:t xml:space="preserve"> </w:t>
            </w:r>
            <w:r w:rsidRPr="00C6052E">
              <w:t>to</w:t>
            </w:r>
            <w:r w:rsidR="00177848" w:rsidRPr="00C6052E">
              <w:t xml:space="preserve"> </w:t>
            </w:r>
            <w:r w:rsidRPr="00C6052E">
              <w:t>record</w:t>
            </w:r>
            <w:r w:rsidR="00177848" w:rsidRPr="00C6052E">
              <w:t xml:space="preserve"> </w:t>
            </w:r>
            <w:r w:rsidRPr="00C6052E">
              <w:t>the</w:t>
            </w:r>
            <w:r w:rsidR="00177848" w:rsidRPr="00C6052E">
              <w:t xml:space="preserve"> </w:t>
            </w:r>
            <w:r w:rsidRPr="00C6052E">
              <w:t>receipt</w:t>
            </w:r>
            <w:r w:rsidR="00177848" w:rsidRPr="00C6052E">
              <w:t xml:space="preserve"> </w:t>
            </w:r>
            <w:r w:rsidRPr="00C6052E">
              <w:t>of</w:t>
            </w:r>
            <w:r w:rsidR="00177848" w:rsidRPr="00C6052E">
              <w:t xml:space="preserve"> </w:t>
            </w:r>
            <w:r w:rsidRPr="00C6052E">
              <w:t>amounts</w:t>
            </w:r>
            <w:r w:rsidR="00177848" w:rsidRPr="00C6052E">
              <w:t xml:space="preserve"> </w:t>
            </w:r>
            <w:r w:rsidRPr="00C6052E">
              <w:t>associated</w:t>
            </w:r>
            <w:r w:rsidR="00177848" w:rsidRPr="00C6052E">
              <w:t xml:space="preserve"> </w:t>
            </w:r>
            <w:r w:rsidRPr="00C6052E">
              <w:t>with</w:t>
            </w:r>
            <w:r w:rsidR="00177848" w:rsidRPr="00C6052E">
              <w:t xml:space="preserve"> </w:t>
            </w:r>
            <w:r w:rsidRPr="00C6052E">
              <w:t>the</w:t>
            </w:r>
            <w:r w:rsidR="00177848" w:rsidRPr="00C6052E">
              <w:t xml:space="preserve"> </w:t>
            </w:r>
            <w:r w:rsidRPr="00C6052E">
              <w:t>scheme</w:t>
            </w:r>
            <w:r w:rsidR="00177848" w:rsidRPr="00C6052E">
              <w:t xml:space="preserve"> </w:t>
            </w:r>
            <w:r w:rsidRPr="00C6052E">
              <w:t>and</w:t>
            </w:r>
            <w:r w:rsidR="00177848" w:rsidRPr="00C6052E">
              <w:t xml:space="preserve"> </w:t>
            </w:r>
            <w:r w:rsidRPr="00C6052E">
              <w:t>deductions</w:t>
            </w:r>
            <w:r w:rsidR="00177848" w:rsidRPr="00C6052E">
              <w:t xml:space="preserve"> </w:t>
            </w:r>
            <w:r w:rsidRPr="00C6052E">
              <w:t>from</w:t>
            </w:r>
            <w:r w:rsidR="00177848" w:rsidRPr="00C6052E">
              <w:t xml:space="preserve"> </w:t>
            </w:r>
            <w:r w:rsidRPr="00C6052E">
              <w:t>club</w:t>
            </w:r>
            <w:r w:rsidR="00177848" w:rsidRPr="00C6052E">
              <w:t xml:space="preserve"> </w:t>
            </w:r>
            <w:r w:rsidRPr="00C6052E">
              <w:t>members</w:t>
            </w:r>
            <w:r w:rsidR="00177848" w:rsidRPr="00C6052E">
              <w:t xml:space="preserve"> </w:t>
            </w:r>
            <w:r w:rsidRPr="00C6052E">
              <w:t>salaries</w:t>
            </w:r>
            <w:r w:rsidR="00177848" w:rsidRPr="00C6052E">
              <w:t xml:space="preserve"> </w:t>
            </w:r>
            <w:r w:rsidRPr="00C6052E">
              <w:t>as</w:t>
            </w:r>
            <w:r w:rsidR="00177848" w:rsidRPr="00C6052E">
              <w:t xml:space="preserve"> </w:t>
            </w:r>
            <w:r w:rsidRPr="00C6052E">
              <w:t>well</w:t>
            </w:r>
            <w:r w:rsidR="00177848" w:rsidRPr="00C6052E">
              <w:t xml:space="preserve"> </w:t>
            </w:r>
            <w:r w:rsidRPr="00C6052E">
              <w:t>as</w:t>
            </w:r>
            <w:r w:rsidR="00177848" w:rsidRPr="00C6052E">
              <w:t xml:space="preserve"> </w:t>
            </w:r>
            <w:r w:rsidRPr="00C6052E">
              <w:t>recording</w:t>
            </w:r>
            <w:r w:rsidR="00177848" w:rsidRPr="00C6052E">
              <w:t xml:space="preserve"> </w:t>
            </w:r>
            <w:r w:rsidRPr="00C6052E">
              <w:t>payment</w:t>
            </w:r>
            <w:r w:rsidR="00177848" w:rsidRPr="00C6052E">
              <w:t xml:space="preserve"> </w:t>
            </w:r>
            <w:r w:rsidRPr="00C6052E">
              <w:t>to</w:t>
            </w:r>
            <w:r w:rsidR="00177848" w:rsidRPr="00C6052E">
              <w:t xml:space="preserve"> </w:t>
            </w:r>
            <w:r w:rsidRPr="00C6052E">
              <w:t>the</w:t>
            </w:r>
            <w:r w:rsidR="00177848" w:rsidRPr="00C6052E">
              <w:t xml:space="preserve"> </w:t>
            </w:r>
            <w:r w:rsidRPr="00C6052E">
              <w:t>Public</w:t>
            </w:r>
            <w:r w:rsidR="00177848" w:rsidRPr="00C6052E">
              <w:t xml:space="preserve"> </w:t>
            </w:r>
            <w:r w:rsidRPr="00C6052E">
              <w:t>Transport</w:t>
            </w:r>
            <w:r w:rsidR="00177848" w:rsidRPr="00C6052E">
              <w:t xml:space="preserve"> </w:t>
            </w:r>
            <w:r w:rsidRPr="00C6052E">
              <w:t>Corporation.</w:t>
            </w:r>
          </w:p>
        </w:tc>
        <w:tc>
          <w:tcPr>
            <w:tcW w:w="1219" w:type="dxa"/>
            <w:noWrap/>
            <w:hideMark/>
          </w:tcPr>
          <w:p w14:paraId="1FBC417C" w14:textId="77777777" w:rsidR="00EE5BB8" w:rsidRPr="00C6052E" w:rsidRDefault="00EE5BB8" w:rsidP="00F660D1">
            <w:pPr>
              <w:pStyle w:val="TableCopy"/>
              <w:jc w:val="right"/>
            </w:pPr>
            <w:r w:rsidRPr="00C6052E">
              <w:t>(3)</w:t>
            </w:r>
          </w:p>
        </w:tc>
        <w:tc>
          <w:tcPr>
            <w:tcW w:w="1219" w:type="dxa"/>
            <w:noWrap/>
            <w:hideMark/>
          </w:tcPr>
          <w:p w14:paraId="1428FCAE" w14:textId="77777777" w:rsidR="00EE5BB8" w:rsidRPr="00C6052E" w:rsidRDefault="00EE5BB8" w:rsidP="00F660D1">
            <w:pPr>
              <w:pStyle w:val="TableCopy"/>
              <w:jc w:val="right"/>
            </w:pPr>
            <w:r w:rsidRPr="00C6052E">
              <w:t>26</w:t>
            </w:r>
          </w:p>
        </w:tc>
        <w:tc>
          <w:tcPr>
            <w:tcW w:w="1219" w:type="dxa"/>
            <w:noWrap/>
            <w:hideMark/>
          </w:tcPr>
          <w:p w14:paraId="03724F65" w14:textId="77777777" w:rsidR="00EE5BB8" w:rsidRPr="00C6052E" w:rsidRDefault="00EE5BB8" w:rsidP="00F660D1">
            <w:pPr>
              <w:pStyle w:val="TableCopy"/>
              <w:jc w:val="right"/>
            </w:pPr>
            <w:r w:rsidRPr="00C6052E">
              <w:t>(28)</w:t>
            </w:r>
          </w:p>
        </w:tc>
        <w:tc>
          <w:tcPr>
            <w:tcW w:w="1219" w:type="dxa"/>
            <w:noWrap/>
            <w:hideMark/>
          </w:tcPr>
          <w:p w14:paraId="535C814C" w14:textId="77777777" w:rsidR="00EE5BB8" w:rsidRPr="00C6052E" w:rsidRDefault="00EE5BB8" w:rsidP="00F660D1">
            <w:pPr>
              <w:pStyle w:val="TableCopy"/>
              <w:jc w:val="right"/>
            </w:pPr>
            <w:r w:rsidRPr="00C6052E">
              <w:t>(5)</w:t>
            </w:r>
          </w:p>
        </w:tc>
        <w:tc>
          <w:tcPr>
            <w:tcW w:w="1219" w:type="dxa"/>
            <w:noWrap/>
            <w:hideMark/>
          </w:tcPr>
          <w:p w14:paraId="1ED935E0" w14:textId="77777777" w:rsidR="00EE5BB8" w:rsidRPr="00C6052E" w:rsidRDefault="00EE5BB8" w:rsidP="00F660D1">
            <w:pPr>
              <w:pStyle w:val="TableCopy"/>
              <w:jc w:val="right"/>
            </w:pPr>
            <w:r w:rsidRPr="00C6052E">
              <w:t>(386)</w:t>
            </w:r>
          </w:p>
        </w:tc>
        <w:tc>
          <w:tcPr>
            <w:tcW w:w="1277" w:type="dxa"/>
            <w:noWrap/>
            <w:hideMark/>
          </w:tcPr>
          <w:p w14:paraId="0DF4901F" w14:textId="77777777" w:rsidR="00EE5BB8" w:rsidRPr="00C6052E" w:rsidRDefault="00EE5BB8" w:rsidP="00F660D1">
            <w:pPr>
              <w:pStyle w:val="TableCopy"/>
              <w:jc w:val="right"/>
            </w:pPr>
            <w:r w:rsidRPr="00C6052E">
              <w:t>–</w:t>
            </w:r>
          </w:p>
        </w:tc>
        <w:tc>
          <w:tcPr>
            <w:tcW w:w="1161" w:type="dxa"/>
            <w:noWrap/>
            <w:hideMark/>
          </w:tcPr>
          <w:p w14:paraId="7A499C25" w14:textId="77777777" w:rsidR="00EE5BB8" w:rsidRPr="00C6052E" w:rsidRDefault="00EE5BB8" w:rsidP="00F660D1">
            <w:pPr>
              <w:pStyle w:val="TableCopy"/>
              <w:jc w:val="right"/>
            </w:pPr>
            <w:r w:rsidRPr="00C6052E">
              <w:t>337</w:t>
            </w:r>
          </w:p>
        </w:tc>
        <w:tc>
          <w:tcPr>
            <w:tcW w:w="1219" w:type="dxa"/>
            <w:noWrap/>
            <w:hideMark/>
          </w:tcPr>
          <w:p w14:paraId="74F8420E" w14:textId="77777777" w:rsidR="00EE5BB8" w:rsidRPr="00C6052E" w:rsidRDefault="00EE5BB8" w:rsidP="00F660D1">
            <w:pPr>
              <w:pStyle w:val="TableCopy"/>
              <w:jc w:val="right"/>
            </w:pPr>
            <w:r w:rsidRPr="00C6052E">
              <w:t>46</w:t>
            </w:r>
          </w:p>
        </w:tc>
        <w:tc>
          <w:tcPr>
            <w:tcW w:w="1219" w:type="dxa"/>
            <w:noWrap/>
            <w:hideMark/>
          </w:tcPr>
          <w:p w14:paraId="730B14C9" w14:textId="77777777" w:rsidR="00EE5BB8" w:rsidRPr="00C6052E" w:rsidRDefault="00EE5BB8" w:rsidP="00F660D1">
            <w:pPr>
              <w:pStyle w:val="TableCopy"/>
              <w:jc w:val="right"/>
            </w:pPr>
            <w:r w:rsidRPr="00C6052E">
              <w:t>(3)</w:t>
            </w:r>
          </w:p>
        </w:tc>
      </w:tr>
      <w:tr w:rsidR="00EE5BB8" w:rsidRPr="00C6052E" w14:paraId="134528B0" w14:textId="77777777" w:rsidTr="00F660D1">
        <w:trPr>
          <w:cantSplit/>
        </w:trPr>
        <w:tc>
          <w:tcPr>
            <w:tcW w:w="3685" w:type="dxa"/>
            <w:hideMark/>
          </w:tcPr>
          <w:p w14:paraId="4A7D79BC" w14:textId="4839438C" w:rsidR="00EE5BB8" w:rsidRPr="00C6052E" w:rsidRDefault="00EE5BB8" w:rsidP="0063097D">
            <w:pPr>
              <w:pStyle w:val="TableCopy"/>
            </w:pPr>
            <w:r w:rsidRPr="00C6052E">
              <w:rPr>
                <w:rStyle w:val="Medium"/>
              </w:rPr>
              <w:lastRenderedPageBreak/>
              <w:t>Inter-departmental</w:t>
            </w:r>
            <w:r w:rsidR="00177848" w:rsidRPr="00C6052E">
              <w:rPr>
                <w:rStyle w:val="Medium"/>
              </w:rPr>
              <w:t xml:space="preserve"> </w:t>
            </w:r>
            <w:r w:rsidRPr="00C6052E">
              <w:rPr>
                <w:rStyle w:val="Medium"/>
              </w:rPr>
              <w:t>transfer</w:t>
            </w:r>
            <w:r w:rsidR="00177848" w:rsidRPr="00C6052E">
              <w:rPr>
                <w:rStyle w:val="Medium"/>
              </w:rPr>
              <w:t xml:space="preserve"> </w:t>
            </w:r>
            <w:r w:rsidRPr="00C6052E">
              <w:rPr>
                <w:rStyle w:val="Medium"/>
              </w:rPr>
              <w:t>fund</w:t>
            </w:r>
            <w:r w:rsidRPr="00C6052E">
              <w:br/>
              <w:t>The</w:t>
            </w:r>
            <w:r w:rsidR="00177848" w:rsidRPr="00C6052E">
              <w:t xml:space="preserve"> </w:t>
            </w:r>
            <w:r w:rsidRPr="00C6052E">
              <w:t>trust</w:t>
            </w:r>
            <w:r w:rsidR="00177848" w:rsidRPr="00C6052E">
              <w:t xml:space="preserve"> </w:t>
            </w:r>
            <w:r w:rsidRPr="00C6052E">
              <w:t>was</w:t>
            </w:r>
            <w:r w:rsidR="00177848" w:rsidRPr="00C6052E">
              <w:t xml:space="preserve"> </w:t>
            </w:r>
            <w:r w:rsidRPr="00C6052E">
              <w:t>established</w:t>
            </w:r>
            <w:r w:rsidR="00177848" w:rsidRPr="00C6052E">
              <w:t xml:space="preserve"> </w:t>
            </w:r>
            <w:r w:rsidRPr="00C6052E">
              <w:t>under</w:t>
            </w:r>
            <w:r w:rsidR="00177848" w:rsidRPr="00C6052E">
              <w:t xml:space="preserve"> </w:t>
            </w:r>
            <w:r w:rsidRPr="00C6052E">
              <w:t>section</w:t>
            </w:r>
            <w:r w:rsidR="00177848" w:rsidRPr="00C6052E">
              <w:t xml:space="preserve"> </w:t>
            </w:r>
            <w:r w:rsidRPr="00C6052E">
              <w:t>19</w:t>
            </w:r>
            <w:r w:rsidR="00177848" w:rsidRPr="00C6052E">
              <w:t xml:space="preserve"> </w:t>
            </w:r>
            <w:r w:rsidRPr="00C6052E">
              <w:t>of</w:t>
            </w:r>
            <w:r w:rsidR="00177848" w:rsidRPr="00C6052E">
              <w:t xml:space="preserve"> </w:t>
            </w:r>
            <w:r w:rsidRPr="00C6052E">
              <w:t>the</w:t>
            </w:r>
            <w:r w:rsidR="00177848" w:rsidRPr="00C6052E">
              <w:t xml:space="preserve"> </w:t>
            </w:r>
            <w:r w:rsidRPr="00C6052E">
              <w:rPr>
                <w:rStyle w:val="Italics"/>
              </w:rPr>
              <w:t>Financial</w:t>
            </w:r>
            <w:r w:rsidR="00177848" w:rsidRPr="00C6052E">
              <w:rPr>
                <w:rStyle w:val="Italics"/>
              </w:rPr>
              <w:t xml:space="preserve"> </w:t>
            </w:r>
            <w:r w:rsidRPr="00C6052E">
              <w:rPr>
                <w:rStyle w:val="Italics"/>
              </w:rPr>
              <w:t>Management</w:t>
            </w:r>
            <w:r w:rsidR="00177848" w:rsidRPr="00C6052E">
              <w:rPr>
                <w:rStyle w:val="Italics"/>
              </w:rPr>
              <w:t xml:space="preserve"> </w:t>
            </w:r>
            <w:r w:rsidRPr="00C6052E">
              <w:rPr>
                <w:rStyle w:val="Italics"/>
              </w:rPr>
              <w:t>Act</w:t>
            </w:r>
            <w:r w:rsidR="00177848" w:rsidRPr="00C6052E">
              <w:rPr>
                <w:rStyle w:val="Italics"/>
              </w:rPr>
              <w:t xml:space="preserve"> </w:t>
            </w:r>
            <w:r w:rsidRPr="00C6052E">
              <w:rPr>
                <w:rStyle w:val="Italics"/>
              </w:rPr>
              <w:t>1994</w:t>
            </w:r>
            <w:r w:rsidR="00177848" w:rsidRPr="00C6052E">
              <w:t xml:space="preserve"> </w:t>
            </w:r>
            <w:r w:rsidRPr="00C6052E">
              <w:t>by</w:t>
            </w:r>
            <w:r w:rsidR="00177848" w:rsidRPr="00C6052E">
              <w:t xml:space="preserve"> </w:t>
            </w:r>
            <w:r w:rsidRPr="00C6052E">
              <w:t>the</w:t>
            </w:r>
            <w:r w:rsidR="00177848" w:rsidRPr="00C6052E">
              <w:t xml:space="preserve"> </w:t>
            </w:r>
            <w:r w:rsidRPr="00C6052E">
              <w:t>Minister</w:t>
            </w:r>
            <w:r w:rsidR="00177848" w:rsidRPr="00C6052E">
              <w:t xml:space="preserve"> </w:t>
            </w:r>
            <w:r w:rsidRPr="00C6052E">
              <w:t>for</w:t>
            </w:r>
            <w:r w:rsidR="00177848" w:rsidRPr="00C6052E">
              <w:t xml:space="preserve"> </w:t>
            </w:r>
            <w:r w:rsidRPr="00C6052E">
              <w:t>Finance</w:t>
            </w:r>
            <w:r w:rsidR="00177848" w:rsidRPr="00C6052E">
              <w:t xml:space="preserve"> </w:t>
            </w:r>
            <w:r w:rsidRPr="00C6052E">
              <w:t>to</w:t>
            </w:r>
            <w:r w:rsidR="00177848" w:rsidRPr="00C6052E">
              <w:t xml:space="preserve"> </w:t>
            </w:r>
            <w:r w:rsidRPr="00C6052E">
              <w:t>record</w:t>
            </w:r>
            <w:r w:rsidR="00177848" w:rsidRPr="00C6052E">
              <w:t xml:space="preserve"> </w:t>
            </w:r>
            <w:r w:rsidRPr="00C6052E">
              <w:t>inter-departmental</w:t>
            </w:r>
            <w:r w:rsidR="00177848" w:rsidRPr="00C6052E">
              <w:t xml:space="preserve"> </w:t>
            </w:r>
            <w:r w:rsidRPr="00C6052E">
              <w:t>transfers</w:t>
            </w:r>
            <w:r w:rsidR="00177848" w:rsidRPr="00C6052E">
              <w:t xml:space="preserve"> </w:t>
            </w:r>
            <w:r w:rsidRPr="00C6052E">
              <w:t>when</w:t>
            </w:r>
            <w:r w:rsidR="00177848" w:rsidRPr="00C6052E">
              <w:t xml:space="preserve"> </w:t>
            </w:r>
            <w:r w:rsidRPr="00C6052E">
              <w:t>no</w:t>
            </w:r>
            <w:r w:rsidR="00177848" w:rsidRPr="00C6052E">
              <w:t xml:space="preserve"> </w:t>
            </w:r>
            <w:r w:rsidRPr="00C6052E">
              <w:t>other</w:t>
            </w:r>
            <w:r w:rsidR="00177848" w:rsidRPr="00C6052E">
              <w:t xml:space="preserve"> </w:t>
            </w:r>
            <w:r w:rsidRPr="00C6052E">
              <w:t>trust</w:t>
            </w:r>
            <w:r w:rsidR="00177848" w:rsidRPr="00C6052E">
              <w:t xml:space="preserve"> </w:t>
            </w:r>
            <w:r w:rsidRPr="00C6052E">
              <w:t>arrangement</w:t>
            </w:r>
            <w:r w:rsidR="00177848" w:rsidRPr="00C6052E">
              <w:t xml:space="preserve"> </w:t>
            </w:r>
            <w:r w:rsidRPr="00C6052E">
              <w:t>exists.</w:t>
            </w:r>
            <w:r w:rsidR="00177848" w:rsidRPr="00C6052E">
              <w:t xml:space="preserve"> </w:t>
            </w:r>
          </w:p>
        </w:tc>
        <w:tc>
          <w:tcPr>
            <w:tcW w:w="1219" w:type="dxa"/>
            <w:noWrap/>
            <w:hideMark/>
          </w:tcPr>
          <w:p w14:paraId="4AB3F9DD" w14:textId="77777777" w:rsidR="00EE5BB8" w:rsidRPr="00C6052E" w:rsidRDefault="00EE5BB8" w:rsidP="00F660D1">
            <w:pPr>
              <w:pStyle w:val="TableCopy"/>
              <w:jc w:val="right"/>
            </w:pPr>
            <w:r w:rsidRPr="00C6052E">
              <w:t>22</w:t>
            </w:r>
          </w:p>
        </w:tc>
        <w:tc>
          <w:tcPr>
            <w:tcW w:w="1219" w:type="dxa"/>
            <w:noWrap/>
            <w:hideMark/>
          </w:tcPr>
          <w:p w14:paraId="75856195" w14:textId="77777777" w:rsidR="00EE5BB8" w:rsidRPr="00C6052E" w:rsidRDefault="00EE5BB8" w:rsidP="00F660D1">
            <w:pPr>
              <w:pStyle w:val="TableCopy"/>
              <w:jc w:val="right"/>
            </w:pPr>
            <w:r w:rsidRPr="00C6052E">
              <w:t>–</w:t>
            </w:r>
          </w:p>
        </w:tc>
        <w:tc>
          <w:tcPr>
            <w:tcW w:w="1219" w:type="dxa"/>
            <w:noWrap/>
            <w:hideMark/>
          </w:tcPr>
          <w:p w14:paraId="18FD8A37" w14:textId="77777777" w:rsidR="00EE5BB8" w:rsidRPr="00C6052E" w:rsidRDefault="00EE5BB8" w:rsidP="00F660D1">
            <w:pPr>
              <w:pStyle w:val="TableCopy"/>
              <w:jc w:val="right"/>
            </w:pPr>
            <w:r w:rsidRPr="00C6052E">
              <w:t>–</w:t>
            </w:r>
          </w:p>
        </w:tc>
        <w:tc>
          <w:tcPr>
            <w:tcW w:w="1219" w:type="dxa"/>
            <w:noWrap/>
            <w:hideMark/>
          </w:tcPr>
          <w:p w14:paraId="51AC27D6" w14:textId="77777777" w:rsidR="00EE5BB8" w:rsidRPr="00C6052E" w:rsidRDefault="00EE5BB8" w:rsidP="00F660D1">
            <w:pPr>
              <w:pStyle w:val="TableCopy"/>
              <w:jc w:val="right"/>
            </w:pPr>
            <w:r w:rsidRPr="00C6052E">
              <w:t>22</w:t>
            </w:r>
          </w:p>
        </w:tc>
        <w:tc>
          <w:tcPr>
            <w:tcW w:w="1219" w:type="dxa"/>
            <w:noWrap/>
            <w:hideMark/>
          </w:tcPr>
          <w:p w14:paraId="54811E00" w14:textId="77777777" w:rsidR="00EE5BB8" w:rsidRPr="00C6052E" w:rsidRDefault="00EE5BB8" w:rsidP="00F660D1">
            <w:pPr>
              <w:pStyle w:val="TableCopy"/>
              <w:jc w:val="right"/>
            </w:pPr>
            <w:r w:rsidRPr="00C6052E">
              <w:t>(304)</w:t>
            </w:r>
          </w:p>
        </w:tc>
        <w:tc>
          <w:tcPr>
            <w:tcW w:w="1277" w:type="dxa"/>
            <w:noWrap/>
            <w:hideMark/>
          </w:tcPr>
          <w:p w14:paraId="7868B6FF" w14:textId="77777777" w:rsidR="00EE5BB8" w:rsidRPr="00C6052E" w:rsidRDefault="00EE5BB8" w:rsidP="00F660D1">
            <w:pPr>
              <w:pStyle w:val="TableCopy"/>
              <w:jc w:val="right"/>
            </w:pPr>
            <w:r w:rsidRPr="00C6052E">
              <w:t>–</w:t>
            </w:r>
          </w:p>
        </w:tc>
        <w:tc>
          <w:tcPr>
            <w:tcW w:w="1161" w:type="dxa"/>
            <w:noWrap/>
            <w:hideMark/>
          </w:tcPr>
          <w:p w14:paraId="64413C09" w14:textId="77777777" w:rsidR="00EE5BB8" w:rsidRPr="00C6052E" w:rsidRDefault="00EE5BB8" w:rsidP="00F660D1">
            <w:pPr>
              <w:pStyle w:val="TableCopy"/>
              <w:jc w:val="right"/>
            </w:pPr>
            <w:r w:rsidRPr="00C6052E">
              <w:t>8,337</w:t>
            </w:r>
          </w:p>
        </w:tc>
        <w:tc>
          <w:tcPr>
            <w:tcW w:w="1219" w:type="dxa"/>
            <w:noWrap/>
            <w:hideMark/>
          </w:tcPr>
          <w:p w14:paraId="35A91896" w14:textId="77777777" w:rsidR="00EE5BB8" w:rsidRPr="00C6052E" w:rsidRDefault="00EE5BB8" w:rsidP="00F660D1">
            <w:pPr>
              <w:pStyle w:val="TableCopy"/>
              <w:jc w:val="right"/>
            </w:pPr>
            <w:r w:rsidRPr="00C6052E">
              <w:t>(8,011)</w:t>
            </w:r>
          </w:p>
        </w:tc>
        <w:tc>
          <w:tcPr>
            <w:tcW w:w="1219" w:type="dxa"/>
            <w:noWrap/>
            <w:hideMark/>
          </w:tcPr>
          <w:p w14:paraId="3320FAE0" w14:textId="77777777" w:rsidR="00EE5BB8" w:rsidRPr="00C6052E" w:rsidRDefault="00EE5BB8" w:rsidP="00F660D1">
            <w:pPr>
              <w:pStyle w:val="TableCopy"/>
              <w:jc w:val="right"/>
            </w:pPr>
            <w:r w:rsidRPr="00C6052E">
              <w:t>22</w:t>
            </w:r>
          </w:p>
        </w:tc>
      </w:tr>
      <w:tr w:rsidR="00EE5BB8" w:rsidRPr="00C6052E" w14:paraId="2D4CC85F" w14:textId="77777777" w:rsidTr="00F660D1">
        <w:trPr>
          <w:cantSplit/>
        </w:trPr>
        <w:tc>
          <w:tcPr>
            <w:tcW w:w="3685" w:type="dxa"/>
            <w:noWrap/>
            <w:hideMark/>
          </w:tcPr>
          <w:p w14:paraId="5F369C16" w14:textId="51A304E1" w:rsidR="00EE5BB8" w:rsidRPr="00C6052E" w:rsidRDefault="00EE5BB8" w:rsidP="0063097D">
            <w:pPr>
              <w:pStyle w:val="Tabletotal"/>
            </w:pPr>
            <w:r w:rsidRPr="00C6052E">
              <w:t>Total</w:t>
            </w:r>
            <w:r w:rsidR="00177848" w:rsidRPr="00C6052E">
              <w:t xml:space="preserve"> </w:t>
            </w:r>
            <w:r w:rsidRPr="00C6052E">
              <w:t>administered</w:t>
            </w:r>
            <w:r w:rsidR="00177848" w:rsidRPr="00C6052E">
              <w:t xml:space="preserve"> </w:t>
            </w:r>
            <w:r w:rsidRPr="00C6052E">
              <w:t>trusts</w:t>
            </w:r>
          </w:p>
        </w:tc>
        <w:tc>
          <w:tcPr>
            <w:tcW w:w="1219" w:type="dxa"/>
            <w:noWrap/>
            <w:hideMark/>
          </w:tcPr>
          <w:p w14:paraId="4D0EE204" w14:textId="77777777" w:rsidR="00EE5BB8" w:rsidRPr="00C6052E" w:rsidRDefault="00EE5BB8" w:rsidP="00F660D1">
            <w:pPr>
              <w:pStyle w:val="Tabletotal"/>
              <w:jc w:val="right"/>
            </w:pPr>
            <w:r w:rsidRPr="00C6052E">
              <w:t>(325)</w:t>
            </w:r>
          </w:p>
        </w:tc>
        <w:tc>
          <w:tcPr>
            <w:tcW w:w="1219" w:type="dxa"/>
            <w:noWrap/>
            <w:hideMark/>
          </w:tcPr>
          <w:p w14:paraId="4F018E1E" w14:textId="77777777" w:rsidR="00EE5BB8" w:rsidRPr="00C6052E" w:rsidRDefault="00EE5BB8" w:rsidP="00F660D1">
            <w:pPr>
              <w:pStyle w:val="Tabletotal"/>
              <w:jc w:val="right"/>
            </w:pPr>
            <w:r w:rsidRPr="00C6052E">
              <w:t>102</w:t>
            </w:r>
          </w:p>
        </w:tc>
        <w:tc>
          <w:tcPr>
            <w:tcW w:w="1219" w:type="dxa"/>
            <w:noWrap/>
            <w:hideMark/>
          </w:tcPr>
          <w:p w14:paraId="09B5E680" w14:textId="77777777" w:rsidR="00EE5BB8" w:rsidRPr="00C6052E" w:rsidRDefault="00EE5BB8" w:rsidP="00F660D1">
            <w:pPr>
              <w:pStyle w:val="Tabletotal"/>
              <w:jc w:val="right"/>
            </w:pPr>
            <w:r w:rsidRPr="00C6052E">
              <w:t>40</w:t>
            </w:r>
          </w:p>
        </w:tc>
        <w:tc>
          <w:tcPr>
            <w:tcW w:w="1219" w:type="dxa"/>
            <w:noWrap/>
            <w:hideMark/>
          </w:tcPr>
          <w:p w14:paraId="2258688F" w14:textId="77777777" w:rsidR="00EE5BB8" w:rsidRPr="00C6052E" w:rsidRDefault="00EE5BB8" w:rsidP="00F660D1">
            <w:pPr>
              <w:pStyle w:val="Tabletotal"/>
              <w:jc w:val="right"/>
            </w:pPr>
            <w:r w:rsidRPr="00C6052E">
              <w:t>(183)</w:t>
            </w:r>
          </w:p>
        </w:tc>
        <w:tc>
          <w:tcPr>
            <w:tcW w:w="1219" w:type="dxa"/>
            <w:noWrap/>
            <w:hideMark/>
          </w:tcPr>
          <w:p w14:paraId="34B0084C" w14:textId="77777777" w:rsidR="00EE5BB8" w:rsidRPr="00C6052E" w:rsidRDefault="00EE5BB8" w:rsidP="00F660D1">
            <w:pPr>
              <w:pStyle w:val="Tabletotal"/>
              <w:jc w:val="right"/>
            </w:pPr>
            <w:r w:rsidRPr="00C6052E">
              <w:t>(319)</w:t>
            </w:r>
          </w:p>
        </w:tc>
        <w:tc>
          <w:tcPr>
            <w:tcW w:w="1277" w:type="dxa"/>
            <w:noWrap/>
            <w:hideMark/>
          </w:tcPr>
          <w:p w14:paraId="603B16FC" w14:textId="77777777" w:rsidR="00EE5BB8" w:rsidRPr="00C6052E" w:rsidRDefault="00EE5BB8" w:rsidP="00F660D1">
            <w:pPr>
              <w:pStyle w:val="Tabletotal"/>
              <w:jc w:val="right"/>
            </w:pPr>
            <w:r w:rsidRPr="00C6052E">
              <w:t>–</w:t>
            </w:r>
          </w:p>
        </w:tc>
        <w:tc>
          <w:tcPr>
            <w:tcW w:w="1161" w:type="dxa"/>
            <w:noWrap/>
            <w:hideMark/>
          </w:tcPr>
          <w:p w14:paraId="55EDB768" w14:textId="77777777" w:rsidR="00EE5BB8" w:rsidRPr="00C6052E" w:rsidRDefault="00EE5BB8" w:rsidP="00F660D1">
            <w:pPr>
              <w:pStyle w:val="Tabletotal"/>
              <w:jc w:val="right"/>
            </w:pPr>
            <w:r w:rsidRPr="00C6052E">
              <w:t>8,792</w:t>
            </w:r>
          </w:p>
        </w:tc>
        <w:tc>
          <w:tcPr>
            <w:tcW w:w="1219" w:type="dxa"/>
            <w:noWrap/>
            <w:hideMark/>
          </w:tcPr>
          <w:p w14:paraId="1BA20645" w14:textId="77777777" w:rsidR="00EE5BB8" w:rsidRPr="00C6052E" w:rsidRDefault="00EE5BB8" w:rsidP="00F660D1">
            <w:pPr>
              <w:pStyle w:val="Tabletotal"/>
              <w:jc w:val="right"/>
            </w:pPr>
            <w:r w:rsidRPr="00C6052E">
              <w:t>(8,798)</w:t>
            </w:r>
          </w:p>
        </w:tc>
        <w:tc>
          <w:tcPr>
            <w:tcW w:w="1219" w:type="dxa"/>
            <w:noWrap/>
            <w:hideMark/>
          </w:tcPr>
          <w:p w14:paraId="31D757B7" w14:textId="77777777" w:rsidR="00EE5BB8" w:rsidRPr="00C6052E" w:rsidRDefault="00EE5BB8" w:rsidP="00F660D1">
            <w:pPr>
              <w:pStyle w:val="Tabletotal"/>
              <w:jc w:val="right"/>
            </w:pPr>
            <w:r w:rsidRPr="00C6052E">
              <w:t>(325)</w:t>
            </w:r>
          </w:p>
        </w:tc>
      </w:tr>
    </w:tbl>
    <w:p w14:paraId="75AFA386" w14:textId="77777777" w:rsidR="00EE5BB8" w:rsidRPr="00C6052E" w:rsidRDefault="00EE5BB8" w:rsidP="00EE5BB8"/>
    <w:p w14:paraId="6E2142AA" w14:textId="77777777" w:rsidR="00EE5BB8" w:rsidRPr="00C6052E" w:rsidRDefault="00EE5BB8" w:rsidP="00EE5BB8">
      <w:pPr>
        <w:sectPr w:rsidR="00EE5BB8" w:rsidRPr="00C6052E" w:rsidSect="00C6052E">
          <w:headerReference w:type="even" r:id="rId27"/>
          <w:headerReference w:type="default" r:id="rId28"/>
          <w:endnotePr>
            <w:numFmt w:val="decimal"/>
          </w:endnotePr>
          <w:pgSz w:w="16840" w:h="11907" w:code="9"/>
          <w:pgMar w:top="1134" w:right="1134" w:bottom="1134" w:left="1134" w:header="567" w:footer="567" w:gutter="0"/>
          <w:cols w:space="708"/>
          <w:docGrid w:linePitch="360"/>
        </w:sectPr>
      </w:pPr>
    </w:p>
    <w:p w14:paraId="0D075EAF" w14:textId="712DCF0C" w:rsidR="00EE5BB8" w:rsidRPr="00C6052E" w:rsidRDefault="00EE5BB8" w:rsidP="00C6052E">
      <w:pPr>
        <w:pStyle w:val="Heading2numbered0"/>
      </w:pPr>
      <w:bookmarkStart w:id="294" w:name="_Toc163565982"/>
      <w:bookmarkStart w:id="295" w:name="_Ref163567404"/>
      <w:bookmarkStart w:id="296" w:name="_Ref163567410"/>
      <w:bookmarkStart w:id="297" w:name="_Ref209454690"/>
      <w:bookmarkStart w:id="298" w:name="_Ref209454699"/>
      <w:bookmarkStart w:id="299" w:name="_Ref209514556"/>
      <w:bookmarkStart w:id="300" w:name="_Ref209706696"/>
      <w:bookmarkStart w:id="301" w:name="_Ref209706712"/>
      <w:bookmarkStart w:id="302" w:name="_Hlk208414722"/>
      <w:r w:rsidRPr="00C6052E">
        <w:lastRenderedPageBreak/>
        <w:t>Commitments</w:t>
      </w:r>
      <w:r w:rsidR="00177848" w:rsidRPr="00C6052E">
        <w:t xml:space="preserve"> </w:t>
      </w:r>
      <w:r w:rsidRPr="00C6052E">
        <w:t>for</w:t>
      </w:r>
      <w:r w:rsidR="00177848" w:rsidRPr="00C6052E">
        <w:t xml:space="preserve"> </w:t>
      </w:r>
      <w:r w:rsidRPr="00C6052E">
        <w:t>expenditure</w:t>
      </w:r>
      <w:bookmarkEnd w:id="294"/>
      <w:bookmarkEnd w:id="295"/>
      <w:bookmarkEnd w:id="296"/>
      <w:bookmarkEnd w:id="297"/>
      <w:bookmarkEnd w:id="298"/>
      <w:bookmarkEnd w:id="299"/>
      <w:bookmarkEnd w:id="300"/>
      <w:bookmarkEnd w:id="301"/>
    </w:p>
    <w:p w14:paraId="6EC81AD7" w14:textId="522F0382" w:rsidR="00EE5BB8" w:rsidRPr="00C6052E" w:rsidRDefault="00EE5BB8" w:rsidP="00EE5BB8">
      <w:r w:rsidRPr="00C6052E">
        <w:t>Commitments</w:t>
      </w:r>
      <w:r w:rsidR="00177848" w:rsidRPr="00C6052E">
        <w:t xml:space="preserve"> </w:t>
      </w:r>
      <w:r w:rsidRPr="00C6052E">
        <w:t>for</w:t>
      </w:r>
      <w:r w:rsidR="00177848" w:rsidRPr="00C6052E">
        <w:t xml:space="preserve"> </w:t>
      </w:r>
      <w:r w:rsidRPr="00C6052E">
        <w:t>future</w:t>
      </w:r>
      <w:r w:rsidR="00177848" w:rsidRPr="00C6052E">
        <w:t xml:space="preserve"> </w:t>
      </w:r>
      <w:r w:rsidRPr="00C6052E">
        <w:t>expenditure</w:t>
      </w:r>
      <w:r w:rsidR="00177848" w:rsidRPr="00C6052E">
        <w:t xml:space="preserve"> </w:t>
      </w:r>
      <w:r w:rsidRPr="00C6052E">
        <w:t>include</w:t>
      </w:r>
      <w:r w:rsidR="00177848" w:rsidRPr="00C6052E">
        <w:t xml:space="preserve"> </w:t>
      </w:r>
      <w:r w:rsidRPr="00C6052E">
        <w:t>operating</w:t>
      </w:r>
      <w:r w:rsidR="00177848" w:rsidRPr="00C6052E">
        <w:t xml:space="preserve"> </w:t>
      </w:r>
      <w:r w:rsidRPr="00C6052E">
        <w:t>and</w:t>
      </w:r>
      <w:r w:rsidR="00177848" w:rsidRPr="00C6052E">
        <w:t xml:space="preserve"> </w:t>
      </w:r>
      <w:r w:rsidRPr="00C6052E">
        <w:t>capital</w:t>
      </w:r>
      <w:r w:rsidR="00177848" w:rsidRPr="00C6052E">
        <w:t xml:space="preserve"> </w:t>
      </w:r>
      <w:r w:rsidRPr="00C6052E">
        <w:t>commitments</w:t>
      </w:r>
      <w:r w:rsidR="00177848" w:rsidRPr="00C6052E">
        <w:t xml:space="preserve"> </w:t>
      </w:r>
      <w:r w:rsidRPr="00C6052E">
        <w:t>arising</w:t>
      </w:r>
      <w:r w:rsidR="00177848" w:rsidRPr="00C6052E">
        <w:t xml:space="preserve"> </w:t>
      </w:r>
      <w:r w:rsidRPr="00C6052E">
        <w:t>from</w:t>
      </w:r>
      <w:r w:rsidR="00177848" w:rsidRPr="00C6052E">
        <w:t xml:space="preserve"> </w:t>
      </w:r>
      <w:r w:rsidRPr="00C6052E">
        <w:t>contracts.</w:t>
      </w:r>
      <w:r w:rsidR="00177848" w:rsidRPr="00C6052E">
        <w:t xml:space="preserve"> </w:t>
      </w:r>
      <w:r w:rsidRPr="00C6052E">
        <w:t>These</w:t>
      </w:r>
      <w:r w:rsidR="00177848" w:rsidRPr="00C6052E">
        <w:t xml:space="preserve"> </w:t>
      </w:r>
      <w:r w:rsidRPr="00C6052E">
        <w:t>commitments</w:t>
      </w:r>
      <w:r w:rsidR="00177848" w:rsidRPr="00C6052E">
        <w:t xml:space="preserve"> </w:t>
      </w:r>
      <w:r w:rsidRPr="00C6052E">
        <w:t>are</w:t>
      </w:r>
      <w:r w:rsidR="00177848" w:rsidRPr="00C6052E">
        <w:t xml:space="preserve"> </w:t>
      </w:r>
      <w:r w:rsidRPr="00C6052E">
        <w:t>recorded</w:t>
      </w:r>
      <w:r w:rsidR="00177848" w:rsidRPr="00C6052E">
        <w:t xml:space="preserve"> </w:t>
      </w:r>
      <w:r w:rsidRPr="00C6052E">
        <w:t>below</w:t>
      </w:r>
      <w:r w:rsidR="00177848" w:rsidRPr="00C6052E">
        <w:t xml:space="preserve"> </w:t>
      </w:r>
      <w:r w:rsidRPr="00C6052E">
        <w:t>at</w:t>
      </w:r>
      <w:r w:rsidR="00177848" w:rsidRPr="00C6052E">
        <w:t xml:space="preserve"> </w:t>
      </w:r>
      <w:r w:rsidRPr="00C6052E">
        <w:t>their</w:t>
      </w:r>
      <w:r w:rsidR="00177848" w:rsidRPr="00C6052E">
        <w:t xml:space="preserve"> </w:t>
      </w:r>
      <w:r w:rsidRPr="00C6052E">
        <w:t>nominal</w:t>
      </w:r>
      <w:r w:rsidR="00177848" w:rsidRPr="00C6052E">
        <w:t xml:space="preserve"> </w:t>
      </w:r>
      <w:r w:rsidRPr="00C6052E">
        <w:t>value</w:t>
      </w:r>
      <w:r w:rsidR="00177848" w:rsidRPr="00C6052E">
        <w:t xml:space="preserve"> </w:t>
      </w:r>
      <w:r w:rsidRPr="00C6052E">
        <w:t>and</w:t>
      </w:r>
      <w:r w:rsidR="00177848" w:rsidRPr="00C6052E">
        <w:t xml:space="preserve"> </w:t>
      </w:r>
      <w:r w:rsidRPr="00C6052E">
        <w:t>inclusive</w:t>
      </w:r>
      <w:r w:rsidR="00177848" w:rsidRPr="00C6052E">
        <w:t xml:space="preserve"> </w:t>
      </w:r>
      <w:r w:rsidRPr="00C6052E">
        <w:t>of</w:t>
      </w:r>
      <w:r w:rsidR="00177848" w:rsidRPr="00C6052E">
        <w:t xml:space="preserve"> </w:t>
      </w:r>
      <w:r w:rsidRPr="00C6052E">
        <w:t>GST.</w:t>
      </w:r>
      <w:r w:rsidR="00177848" w:rsidRPr="00C6052E">
        <w:t xml:space="preserve"> </w:t>
      </w:r>
      <w:r w:rsidRPr="00C6052E">
        <w:t>Where</w:t>
      </w:r>
      <w:r w:rsidR="00177848" w:rsidRPr="00C6052E">
        <w:t xml:space="preserve"> </w:t>
      </w:r>
      <w:r w:rsidRPr="00C6052E">
        <w:t>it</w:t>
      </w:r>
      <w:r w:rsidR="00177848" w:rsidRPr="00C6052E">
        <w:t xml:space="preserve"> </w:t>
      </w:r>
      <w:r w:rsidRPr="00C6052E">
        <w:t>is</w:t>
      </w:r>
      <w:r w:rsidR="00177848" w:rsidRPr="00C6052E">
        <w:t xml:space="preserve"> </w:t>
      </w:r>
      <w:r w:rsidRPr="00C6052E">
        <w:t>considered</w:t>
      </w:r>
      <w:r w:rsidR="00177848" w:rsidRPr="00C6052E">
        <w:t xml:space="preserve"> </w:t>
      </w:r>
      <w:r w:rsidRPr="00C6052E">
        <w:t>appropriate</w:t>
      </w:r>
      <w:r w:rsidR="00177848" w:rsidRPr="00C6052E">
        <w:t xml:space="preserve"> </w:t>
      </w:r>
      <w:r w:rsidRPr="00C6052E">
        <w:t>and</w:t>
      </w:r>
      <w:r w:rsidR="00177848" w:rsidRPr="00C6052E">
        <w:t xml:space="preserve"> </w:t>
      </w:r>
      <w:r w:rsidRPr="00C6052E">
        <w:t>provides</w:t>
      </w:r>
      <w:r w:rsidR="00177848" w:rsidRPr="00C6052E">
        <w:t xml:space="preserve"> </w:t>
      </w:r>
      <w:r w:rsidRPr="00C6052E">
        <w:t>additional</w:t>
      </w:r>
      <w:r w:rsidR="00177848" w:rsidRPr="00C6052E">
        <w:t xml:space="preserve"> </w:t>
      </w:r>
      <w:r w:rsidRPr="00C6052E">
        <w:t>relevant</w:t>
      </w:r>
      <w:r w:rsidR="00177848" w:rsidRPr="00C6052E">
        <w:t xml:space="preserve"> </w:t>
      </w:r>
      <w:r w:rsidRPr="00C6052E">
        <w:t>information</w:t>
      </w:r>
      <w:r w:rsidR="00177848" w:rsidRPr="00C6052E">
        <w:t xml:space="preserve"> </w:t>
      </w:r>
      <w:r w:rsidRPr="00C6052E">
        <w:t>to</w:t>
      </w:r>
      <w:r w:rsidR="00177848" w:rsidRPr="00C6052E">
        <w:t xml:space="preserve"> </w:t>
      </w:r>
      <w:r w:rsidRPr="00C6052E">
        <w:t>users,</w:t>
      </w:r>
      <w:r w:rsidR="00177848" w:rsidRPr="00C6052E">
        <w:t xml:space="preserve"> </w:t>
      </w:r>
      <w:r w:rsidRPr="00C6052E">
        <w:t>the</w:t>
      </w:r>
      <w:r w:rsidR="00177848" w:rsidRPr="00C6052E">
        <w:t xml:space="preserve"> </w:t>
      </w:r>
      <w:r w:rsidRPr="00C6052E">
        <w:t>net</w:t>
      </w:r>
      <w:r w:rsidR="00177848" w:rsidRPr="00C6052E">
        <w:t xml:space="preserve"> </w:t>
      </w:r>
      <w:r w:rsidRPr="00C6052E">
        <w:t>present</w:t>
      </w:r>
      <w:r w:rsidR="00177848" w:rsidRPr="00C6052E">
        <w:t xml:space="preserve"> </w:t>
      </w:r>
      <w:r w:rsidRPr="00C6052E">
        <w:t>values</w:t>
      </w:r>
      <w:r w:rsidR="00177848" w:rsidRPr="00C6052E">
        <w:t xml:space="preserve"> </w:t>
      </w:r>
      <w:r w:rsidRPr="00C6052E">
        <w:t>of</w:t>
      </w:r>
      <w:r w:rsidR="00177848" w:rsidRPr="00C6052E">
        <w:t xml:space="preserve"> </w:t>
      </w:r>
      <w:r w:rsidRPr="00C6052E">
        <w:t>significant</w:t>
      </w:r>
      <w:r w:rsidR="00177848" w:rsidRPr="00C6052E">
        <w:t xml:space="preserve"> </w:t>
      </w:r>
      <w:r w:rsidRPr="00C6052E">
        <w:t>individual</w:t>
      </w:r>
      <w:r w:rsidR="00177848" w:rsidRPr="00C6052E">
        <w:t xml:space="preserve"> </w:t>
      </w:r>
      <w:r w:rsidRPr="00C6052E">
        <w:t>projects</w:t>
      </w:r>
      <w:r w:rsidR="00177848" w:rsidRPr="00C6052E">
        <w:t xml:space="preserve"> </w:t>
      </w:r>
      <w:r w:rsidRPr="00C6052E">
        <w:t>are</w:t>
      </w:r>
      <w:r w:rsidR="00177848" w:rsidRPr="00C6052E">
        <w:t xml:space="preserve"> </w:t>
      </w:r>
      <w:r w:rsidRPr="00C6052E">
        <w:t>stated.</w:t>
      </w:r>
      <w:r w:rsidR="00177848" w:rsidRPr="00C6052E">
        <w:t xml:space="preserve"> </w:t>
      </w:r>
      <w:r w:rsidRPr="00C6052E">
        <w:t>These</w:t>
      </w:r>
      <w:r w:rsidR="00177848" w:rsidRPr="00C6052E">
        <w:t xml:space="preserve"> </w:t>
      </w:r>
      <w:r w:rsidRPr="00C6052E">
        <w:t>future</w:t>
      </w:r>
      <w:r w:rsidR="00177848" w:rsidRPr="00C6052E">
        <w:t xml:space="preserve"> </w:t>
      </w:r>
      <w:r w:rsidRPr="00C6052E">
        <w:t>expenditures</w:t>
      </w:r>
      <w:r w:rsidR="00177848" w:rsidRPr="00C6052E">
        <w:t xml:space="preserve"> </w:t>
      </w:r>
      <w:r w:rsidRPr="00C6052E">
        <w:t>cease</w:t>
      </w:r>
      <w:r w:rsidR="00177848" w:rsidRPr="00C6052E">
        <w:t xml:space="preserve"> </w:t>
      </w:r>
      <w:r w:rsidRPr="00C6052E">
        <w:t>to</w:t>
      </w:r>
      <w:r w:rsidR="00177848" w:rsidRPr="00C6052E">
        <w:t xml:space="preserve"> </w:t>
      </w:r>
      <w:r w:rsidRPr="00C6052E">
        <w:t>be</w:t>
      </w:r>
      <w:r w:rsidR="00177848" w:rsidRPr="00C6052E">
        <w:t xml:space="preserve"> </w:t>
      </w:r>
      <w:r w:rsidRPr="00C6052E">
        <w:t>disclosed</w:t>
      </w:r>
      <w:r w:rsidR="00177848" w:rsidRPr="00C6052E">
        <w:t xml:space="preserve"> </w:t>
      </w:r>
      <w:r w:rsidRPr="00C6052E">
        <w:t>as</w:t>
      </w:r>
      <w:r w:rsidR="00177848" w:rsidRPr="00C6052E">
        <w:t xml:space="preserve"> </w:t>
      </w:r>
      <w:r w:rsidRPr="00C6052E">
        <w:t>commitments</w:t>
      </w:r>
      <w:r w:rsidR="00177848" w:rsidRPr="00C6052E">
        <w:t xml:space="preserve"> </w:t>
      </w:r>
      <w:r w:rsidRPr="00C6052E">
        <w:t>once</w:t>
      </w:r>
      <w:r w:rsidR="00177848" w:rsidRPr="00C6052E">
        <w:t xml:space="preserve"> </w:t>
      </w:r>
      <w:r w:rsidRPr="00C6052E">
        <w:t>the</w:t>
      </w:r>
      <w:r w:rsidR="00177848" w:rsidRPr="00C6052E">
        <w:t xml:space="preserve"> </w:t>
      </w:r>
      <w:r w:rsidRPr="00C6052E">
        <w:t>related</w:t>
      </w:r>
      <w:r w:rsidR="00177848" w:rsidRPr="00C6052E">
        <w:t xml:space="preserve"> </w:t>
      </w:r>
      <w:r w:rsidRPr="00C6052E">
        <w:t>liabilities</w:t>
      </w:r>
      <w:r w:rsidR="00177848" w:rsidRPr="00C6052E">
        <w:t xml:space="preserve"> </w:t>
      </w:r>
      <w:r w:rsidRPr="00C6052E">
        <w:t>are</w:t>
      </w:r>
      <w:r w:rsidR="00177848" w:rsidRPr="00C6052E">
        <w:t xml:space="preserve"> </w:t>
      </w:r>
      <w:r w:rsidRPr="00C6052E">
        <w:t>recognised</w:t>
      </w:r>
      <w:r w:rsidR="00177848" w:rsidRPr="00C6052E">
        <w:t xml:space="preserve"> </w:t>
      </w:r>
      <w:r w:rsidRPr="00C6052E">
        <w:t>in</w:t>
      </w:r>
      <w:r w:rsidR="00177848" w:rsidRPr="00C6052E">
        <w:t xml:space="preserve"> </w:t>
      </w:r>
      <w:r w:rsidRPr="00C6052E">
        <w:t>the</w:t>
      </w:r>
      <w:r w:rsidR="00177848" w:rsidRPr="00C6052E">
        <w:t xml:space="preserve"> </w:t>
      </w:r>
      <w:r w:rsidRPr="00C6052E">
        <w:t>balance</w:t>
      </w:r>
      <w:r w:rsidR="00177848" w:rsidRPr="00C6052E">
        <w:t xml:space="preserve"> </w:t>
      </w:r>
      <w:r w:rsidRPr="00C6052E">
        <w:t>sheet.</w:t>
      </w:r>
      <w:r w:rsidR="00177848" w:rsidRPr="00C6052E">
        <w:t xml:space="preserve"> </w:t>
      </w:r>
    </w:p>
    <w:p w14:paraId="0DBA9DF3" w14:textId="3242E6D9" w:rsidR="00EE5BB8" w:rsidRPr="00C6052E" w:rsidRDefault="00EE5BB8" w:rsidP="000C0740">
      <w:pPr>
        <w:pStyle w:val="Heading3numbered0"/>
      </w:pPr>
      <w:r w:rsidRPr="00C6052E">
        <w:t>Net</w:t>
      </w:r>
      <w:r w:rsidR="00177848" w:rsidRPr="00C6052E">
        <w:t xml:space="preserve"> </w:t>
      </w:r>
      <w:r w:rsidRPr="00C6052E">
        <w:t>commitments</w:t>
      </w:r>
      <w:r w:rsidR="00177848" w:rsidRPr="00C6052E">
        <w:t xml:space="preserve"> </w:t>
      </w:r>
      <w:r w:rsidRPr="00C6052E">
        <w:t>payable</w:t>
      </w:r>
      <w:r w:rsidR="00177848" w:rsidRPr="00C6052E">
        <w:t xml:space="preserve"> </w:t>
      </w:r>
    </w:p>
    <w:p w14:paraId="4B4A1FDC" w14:textId="4245AF5B" w:rsidR="00EE5BB8" w:rsidRPr="00C6052E" w:rsidRDefault="00C6052E" w:rsidP="00F660D1">
      <w:pPr>
        <w:pStyle w:val="TableHeading"/>
      </w:pPr>
      <w:r w:rsidRPr="00C6052E">
        <w:t>Nominal</w:t>
      </w:r>
      <w:r w:rsidR="00177848" w:rsidRPr="00C6052E">
        <w:t xml:space="preserve"> </w:t>
      </w:r>
      <w:r w:rsidRPr="00C6052E">
        <w:t>amounts:</w:t>
      </w:r>
      <w:r w:rsidR="00177848" w:rsidRPr="00C6052E">
        <w:t xml:space="preserve"> </w:t>
      </w:r>
      <w:fldSimple w:instr=" DOCPROPERTY  crYear  \* MERGEFORMAT ">
        <w:r w:rsidR="00EE5BB8" w:rsidRPr="00C6052E">
          <w:t>2025</w:t>
        </w:r>
      </w:fldSimple>
    </w:p>
    <w:tbl>
      <w:tblPr>
        <w:tblStyle w:val="TableGrid"/>
        <w:tblW w:w="9697" w:type="dxa"/>
        <w:tblInd w:w="-5" w:type="dxa"/>
        <w:tblLayout w:type="fixed"/>
        <w:tblLook w:val="04E0" w:firstRow="1" w:lastRow="1" w:firstColumn="1" w:lastColumn="0" w:noHBand="0" w:noVBand="1"/>
      </w:tblPr>
      <w:tblGrid>
        <w:gridCol w:w="4253"/>
        <w:gridCol w:w="1361"/>
        <w:gridCol w:w="1361"/>
        <w:gridCol w:w="1361"/>
        <w:gridCol w:w="1361"/>
      </w:tblGrid>
      <w:tr w:rsidR="00EE5BB8" w:rsidRPr="00C6052E" w14:paraId="447AFD34" w14:textId="77777777" w:rsidTr="00F660D1">
        <w:tc>
          <w:tcPr>
            <w:tcW w:w="4253" w:type="dxa"/>
            <w:noWrap/>
            <w:hideMark/>
          </w:tcPr>
          <w:p w14:paraId="5C4B1330" w14:textId="77777777" w:rsidR="00EE5BB8" w:rsidRPr="00C6052E" w:rsidRDefault="00EE5BB8" w:rsidP="000F5B20">
            <w:pPr>
              <w:pStyle w:val="TableColumnHeading"/>
            </w:pPr>
            <w:bookmarkStart w:id="303" w:name="TableColumnHeadings_88"/>
            <w:bookmarkEnd w:id="303"/>
          </w:p>
        </w:tc>
        <w:tc>
          <w:tcPr>
            <w:tcW w:w="1361" w:type="dxa"/>
            <w:hideMark/>
          </w:tcPr>
          <w:p w14:paraId="472BF02E" w14:textId="64439562" w:rsidR="00EE5BB8" w:rsidRPr="00C6052E" w:rsidRDefault="00EE5BB8" w:rsidP="00F660D1">
            <w:pPr>
              <w:pStyle w:val="TableColumnHeading"/>
              <w:jc w:val="right"/>
              <w:rPr>
                <w:lang w:val="en-AU"/>
              </w:rPr>
            </w:pPr>
            <w:r w:rsidRPr="00C6052E">
              <w:rPr>
                <w:lang w:val="en-AU"/>
              </w:rPr>
              <w:t>Less</w:t>
            </w:r>
            <w:r w:rsidR="00B1545C" w:rsidRPr="00C6052E">
              <w:rPr>
                <w:lang w:val="en-AU"/>
              </w:rPr>
              <w:t xml:space="preserve"> </w:t>
            </w:r>
            <w:r w:rsidRPr="00C6052E">
              <w:rPr>
                <w:lang w:val="en-AU"/>
              </w:rPr>
              <w:t>than</w:t>
            </w:r>
            <w:r w:rsidR="00177848" w:rsidRPr="00C6052E">
              <w:rPr>
                <w:lang w:val="en-AU"/>
              </w:rPr>
              <w:t xml:space="preserve"> </w:t>
            </w:r>
            <w:r w:rsidRPr="00C6052E">
              <w:rPr>
                <w:lang w:val="en-AU"/>
              </w:rPr>
              <w:br/>
              <w:t>1</w:t>
            </w:r>
            <w:r w:rsidR="00177848" w:rsidRPr="00C6052E">
              <w:rPr>
                <w:lang w:val="en-AU"/>
              </w:rPr>
              <w:t xml:space="preserve"> </w:t>
            </w:r>
            <w:r w:rsidRPr="00C6052E">
              <w:rPr>
                <w:lang w:val="en-AU"/>
              </w:rPr>
              <w:t>year</w:t>
            </w:r>
            <w:r w:rsidR="00F660D1">
              <w:rPr>
                <w:lang w:val="en-AU"/>
              </w:rPr>
              <w:br/>
            </w:r>
            <w:r w:rsidR="00F660D1" w:rsidRPr="00C6052E">
              <w:rPr>
                <w:lang w:val="en-AU"/>
              </w:rPr>
              <w:t>($ thousand)</w:t>
            </w:r>
          </w:p>
        </w:tc>
        <w:tc>
          <w:tcPr>
            <w:tcW w:w="1361" w:type="dxa"/>
            <w:hideMark/>
          </w:tcPr>
          <w:p w14:paraId="7BA9E315" w14:textId="4D772AD6" w:rsidR="00EE5BB8" w:rsidRPr="00C6052E" w:rsidRDefault="00EE5BB8" w:rsidP="00F660D1">
            <w:pPr>
              <w:pStyle w:val="TableColumnHeading"/>
              <w:jc w:val="right"/>
              <w:rPr>
                <w:lang w:val="en-AU"/>
              </w:rPr>
            </w:pPr>
            <w:r w:rsidRPr="00C6052E">
              <w:rPr>
                <w:lang w:val="en-AU"/>
              </w:rPr>
              <w:t>Between</w:t>
            </w:r>
            <w:r w:rsidR="00B1545C" w:rsidRPr="00C6052E">
              <w:rPr>
                <w:lang w:val="en-AU"/>
              </w:rPr>
              <w:t xml:space="preserve"> </w:t>
            </w:r>
            <w:r w:rsidRPr="00C6052E">
              <w:rPr>
                <w:lang w:val="en-AU"/>
              </w:rPr>
              <w:t>1</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5</w:t>
            </w:r>
            <w:r w:rsidR="00177848" w:rsidRPr="00C6052E">
              <w:rPr>
                <w:lang w:val="en-AU"/>
              </w:rPr>
              <w:t xml:space="preserve"> </w:t>
            </w:r>
            <w:r w:rsidRPr="00C6052E">
              <w:rPr>
                <w:lang w:val="en-AU"/>
              </w:rPr>
              <w:t>years</w:t>
            </w:r>
            <w:r w:rsidR="00177848" w:rsidRPr="00C6052E">
              <w:rPr>
                <w:lang w:val="en-AU"/>
              </w:rPr>
              <w:t xml:space="preserve"> </w:t>
            </w:r>
            <w:r w:rsidR="00F660D1">
              <w:rPr>
                <w:lang w:val="en-AU"/>
              </w:rPr>
              <w:br/>
            </w:r>
            <w:r w:rsidR="00F660D1" w:rsidRPr="00C6052E">
              <w:rPr>
                <w:lang w:val="en-AU"/>
              </w:rPr>
              <w:t>($ thousand)</w:t>
            </w:r>
          </w:p>
        </w:tc>
        <w:tc>
          <w:tcPr>
            <w:tcW w:w="1361" w:type="dxa"/>
            <w:hideMark/>
          </w:tcPr>
          <w:p w14:paraId="3F799CAF" w14:textId="5426EE5A" w:rsidR="00EE5BB8" w:rsidRPr="00C6052E" w:rsidRDefault="00EE5BB8" w:rsidP="00F660D1">
            <w:pPr>
              <w:pStyle w:val="TableColumnHeading"/>
              <w:jc w:val="right"/>
              <w:rPr>
                <w:lang w:val="en-AU"/>
              </w:rPr>
            </w:pPr>
            <w:r w:rsidRPr="00C6052E">
              <w:rPr>
                <w:lang w:val="en-AU"/>
              </w:rPr>
              <w:t>Over</w:t>
            </w:r>
            <w:r w:rsidR="00B1545C" w:rsidRPr="00C6052E">
              <w:rPr>
                <w:lang w:val="en-AU"/>
              </w:rPr>
              <w:t xml:space="preserve"> </w:t>
            </w:r>
            <w:r w:rsidRPr="00C6052E">
              <w:rPr>
                <w:lang w:val="en-AU"/>
              </w:rPr>
              <w:br/>
              <w:t>5</w:t>
            </w:r>
            <w:r w:rsidR="00177848" w:rsidRPr="00C6052E">
              <w:rPr>
                <w:lang w:val="en-AU"/>
              </w:rPr>
              <w:t xml:space="preserve"> </w:t>
            </w:r>
            <w:r w:rsidRPr="00C6052E">
              <w:rPr>
                <w:lang w:val="en-AU"/>
              </w:rPr>
              <w:t>years</w:t>
            </w:r>
            <w:r w:rsidR="00F660D1">
              <w:rPr>
                <w:lang w:val="en-AU"/>
              </w:rPr>
              <w:br/>
            </w:r>
            <w:r w:rsidR="00F660D1" w:rsidRPr="00C6052E">
              <w:rPr>
                <w:lang w:val="en-AU"/>
              </w:rPr>
              <w:t>($ thousand)</w:t>
            </w:r>
            <w:r w:rsidR="00177848" w:rsidRPr="00C6052E">
              <w:rPr>
                <w:lang w:val="en-AU"/>
              </w:rPr>
              <w:t xml:space="preserve"> </w:t>
            </w:r>
          </w:p>
        </w:tc>
        <w:tc>
          <w:tcPr>
            <w:tcW w:w="1361" w:type="dxa"/>
            <w:hideMark/>
          </w:tcPr>
          <w:p w14:paraId="377CA963" w14:textId="1C0F212F" w:rsidR="00EE5BB8" w:rsidRPr="00C6052E" w:rsidRDefault="00EE5BB8" w:rsidP="00F660D1">
            <w:pPr>
              <w:pStyle w:val="TableColumnHeading"/>
              <w:jc w:val="right"/>
              <w:rPr>
                <w:lang w:val="en-AU"/>
              </w:rPr>
            </w:pPr>
            <w:r w:rsidRPr="00C6052E">
              <w:rPr>
                <w:lang w:val="en-AU"/>
              </w:rPr>
              <w:t>Total</w:t>
            </w:r>
            <w:r w:rsidR="00B1545C" w:rsidRPr="00C6052E">
              <w:rPr>
                <w:lang w:val="en-AU"/>
              </w:rPr>
              <w:t xml:space="preserve"> </w:t>
            </w:r>
            <w:r w:rsidR="00F660D1">
              <w:rPr>
                <w:lang w:val="en-AU"/>
              </w:rPr>
              <w:br/>
            </w:r>
            <w:r w:rsidR="00F660D1" w:rsidRPr="00C6052E">
              <w:rPr>
                <w:lang w:val="en-AU"/>
              </w:rPr>
              <w:t>($ thousand)</w:t>
            </w:r>
          </w:p>
        </w:tc>
      </w:tr>
      <w:tr w:rsidR="00EE5BB8" w:rsidRPr="00C6052E" w14:paraId="613CFFB5" w14:textId="77777777" w:rsidTr="00F660D1">
        <w:tc>
          <w:tcPr>
            <w:tcW w:w="4253" w:type="dxa"/>
            <w:hideMark/>
          </w:tcPr>
          <w:p w14:paraId="3D507D3F" w14:textId="58B8A583" w:rsidR="00EE5BB8" w:rsidRPr="00C6052E" w:rsidRDefault="00EE5BB8" w:rsidP="0063097D">
            <w:pPr>
              <w:pStyle w:val="TableCopy"/>
            </w:pPr>
            <w:r w:rsidRPr="00C6052E">
              <w:t>Capital</w:t>
            </w:r>
            <w:r w:rsidR="00177848" w:rsidRPr="00C6052E">
              <w:t xml:space="preserve"> </w:t>
            </w:r>
            <w:r w:rsidRPr="00C6052E">
              <w:t>expenditure</w:t>
            </w:r>
            <w:r w:rsidR="00177848" w:rsidRPr="00C6052E">
              <w:t xml:space="preserve"> </w:t>
            </w:r>
            <w:r w:rsidRPr="00C6052E">
              <w:t>commitments</w:t>
            </w:r>
            <w:r w:rsidRPr="00C6052E">
              <w:rPr>
                <w:vertAlign w:val="superscript"/>
              </w:rPr>
              <w:t>(iii)</w:t>
            </w:r>
          </w:p>
        </w:tc>
        <w:tc>
          <w:tcPr>
            <w:tcW w:w="1361" w:type="dxa"/>
            <w:noWrap/>
            <w:hideMark/>
          </w:tcPr>
          <w:p w14:paraId="53E1AD0E" w14:textId="77777777" w:rsidR="00EE5BB8" w:rsidRPr="00C6052E" w:rsidRDefault="00EE5BB8" w:rsidP="00F660D1">
            <w:pPr>
              <w:pStyle w:val="TableCopy"/>
              <w:jc w:val="right"/>
            </w:pPr>
            <w:r w:rsidRPr="00C6052E">
              <w:t>19,707</w:t>
            </w:r>
          </w:p>
        </w:tc>
        <w:tc>
          <w:tcPr>
            <w:tcW w:w="1361" w:type="dxa"/>
            <w:noWrap/>
            <w:hideMark/>
          </w:tcPr>
          <w:p w14:paraId="13B8E3C1" w14:textId="77777777" w:rsidR="00EE5BB8" w:rsidRPr="00C6052E" w:rsidRDefault="00EE5BB8" w:rsidP="00F660D1">
            <w:pPr>
              <w:pStyle w:val="TableCopy"/>
              <w:jc w:val="right"/>
            </w:pPr>
            <w:r w:rsidRPr="00C6052E">
              <w:t>97,827</w:t>
            </w:r>
          </w:p>
        </w:tc>
        <w:tc>
          <w:tcPr>
            <w:tcW w:w="1361" w:type="dxa"/>
            <w:noWrap/>
            <w:hideMark/>
          </w:tcPr>
          <w:p w14:paraId="37062BA5" w14:textId="77777777" w:rsidR="00EE5BB8" w:rsidRPr="00C6052E" w:rsidRDefault="00EE5BB8" w:rsidP="00F660D1">
            <w:pPr>
              <w:pStyle w:val="TableCopy"/>
              <w:jc w:val="right"/>
            </w:pPr>
            <w:r w:rsidRPr="00C6052E">
              <w:t>–</w:t>
            </w:r>
          </w:p>
        </w:tc>
        <w:tc>
          <w:tcPr>
            <w:tcW w:w="1361" w:type="dxa"/>
            <w:noWrap/>
            <w:hideMark/>
          </w:tcPr>
          <w:p w14:paraId="02C52C31" w14:textId="77777777" w:rsidR="00EE5BB8" w:rsidRPr="00C6052E" w:rsidRDefault="00EE5BB8" w:rsidP="00F660D1">
            <w:pPr>
              <w:pStyle w:val="TableCopy"/>
              <w:jc w:val="right"/>
            </w:pPr>
            <w:r w:rsidRPr="00C6052E">
              <w:t>117,534</w:t>
            </w:r>
          </w:p>
        </w:tc>
      </w:tr>
      <w:tr w:rsidR="00EE5BB8" w:rsidRPr="00C6052E" w14:paraId="0399F4CF" w14:textId="77777777" w:rsidTr="00F660D1">
        <w:tc>
          <w:tcPr>
            <w:tcW w:w="4253" w:type="dxa"/>
            <w:hideMark/>
          </w:tcPr>
          <w:p w14:paraId="7C2AAD87" w14:textId="7C49B990" w:rsidR="00EE5BB8" w:rsidRPr="00C6052E" w:rsidRDefault="00EE5BB8" w:rsidP="0063097D">
            <w:pPr>
              <w:pStyle w:val="TableCopy"/>
            </w:pPr>
            <w:r w:rsidRPr="00C6052E">
              <w:t>Other</w:t>
            </w:r>
            <w:r w:rsidR="00177848" w:rsidRPr="00C6052E">
              <w:t xml:space="preserve"> </w:t>
            </w:r>
            <w:r w:rsidRPr="00C6052E">
              <w:t>operating</w:t>
            </w:r>
            <w:r w:rsidR="00177848" w:rsidRPr="00C6052E">
              <w:t xml:space="preserve"> </w:t>
            </w:r>
            <w:r w:rsidRPr="00C6052E">
              <w:t>commitments</w:t>
            </w:r>
            <w:r w:rsidRPr="00C6052E">
              <w:rPr>
                <w:vertAlign w:val="superscript"/>
              </w:rPr>
              <w:t>(iii)</w:t>
            </w:r>
          </w:p>
        </w:tc>
        <w:tc>
          <w:tcPr>
            <w:tcW w:w="1361" w:type="dxa"/>
            <w:noWrap/>
            <w:hideMark/>
          </w:tcPr>
          <w:p w14:paraId="0C4FFEAB" w14:textId="77777777" w:rsidR="00EE5BB8" w:rsidRPr="00C6052E" w:rsidRDefault="00EE5BB8" w:rsidP="00F660D1">
            <w:pPr>
              <w:pStyle w:val="TableCopy"/>
              <w:jc w:val="right"/>
            </w:pPr>
            <w:r w:rsidRPr="00C6052E">
              <w:t>23,534</w:t>
            </w:r>
          </w:p>
        </w:tc>
        <w:tc>
          <w:tcPr>
            <w:tcW w:w="1361" w:type="dxa"/>
            <w:noWrap/>
            <w:hideMark/>
          </w:tcPr>
          <w:p w14:paraId="73E9ABE0" w14:textId="77777777" w:rsidR="00EE5BB8" w:rsidRPr="00C6052E" w:rsidRDefault="00EE5BB8" w:rsidP="00F660D1">
            <w:pPr>
              <w:pStyle w:val="TableCopy"/>
              <w:jc w:val="right"/>
            </w:pPr>
            <w:r w:rsidRPr="00C6052E">
              <w:t>148,382</w:t>
            </w:r>
          </w:p>
        </w:tc>
        <w:tc>
          <w:tcPr>
            <w:tcW w:w="1361" w:type="dxa"/>
            <w:noWrap/>
            <w:hideMark/>
          </w:tcPr>
          <w:p w14:paraId="6673B4B2" w14:textId="77777777" w:rsidR="00EE5BB8" w:rsidRPr="00C6052E" w:rsidRDefault="00EE5BB8" w:rsidP="00F660D1">
            <w:pPr>
              <w:pStyle w:val="TableCopy"/>
              <w:jc w:val="right"/>
            </w:pPr>
            <w:r w:rsidRPr="00C6052E">
              <w:t>182,008</w:t>
            </w:r>
          </w:p>
        </w:tc>
        <w:tc>
          <w:tcPr>
            <w:tcW w:w="1361" w:type="dxa"/>
            <w:noWrap/>
            <w:hideMark/>
          </w:tcPr>
          <w:p w14:paraId="7FE80879" w14:textId="77777777" w:rsidR="00EE5BB8" w:rsidRPr="00C6052E" w:rsidRDefault="00EE5BB8" w:rsidP="00F660D1">
            <w:pPr>
              <w:pStyle w:val="TableCopy"/>
              <w:jc w:val="right"/>
            </w:pPr>
            <w:r w:rsidRPr="00C6052E">
              <w:t>353,924</w:t>
            </w:r>
          </w:p>
        </w:tc>
      </w:tr>
      <w:tr w:rsidR="00EE5BB8" w:rsidRPr="00C6052E" w14:paraId="2DD6BC42" w14:textId="77777777" w:rsidTr="00F660D1">
        <w:tc>
          <w:tcPr>
            <w:tcW w:w="4253" w:type="dxa"/>
            <w:hideMark/>
          </w:tcPr>
          <w:p w14:paraId="44515D93" w14:textId="36AEBEBA" w:rsidR="00EE5BB8" w:rsidRPr="00C6052E" w:rsidRDefault="00EE5BB8" w:rsidP="0063097D">
            <w:pPr>
              <w:pStyle w:val="TableCopy"/>
            </w:pPr>
            <w:r w:rsidRPr="00C6052E">
              <w:t>Accommodation</w:t>
            </w:r>
            <w:r w:rsidR="00177848" w:rsidRPr="00C6052E">
              <w:t xml:space="preserve"> </w:t>
            </w:r>
            <w:r w:rsidRPr="00C6052E">
              <w:t>expenditure</w:t>
            </w:r>
            <w:r w:rsidR="00177848" w:rsidRPr="00C6052E">
              <w:t xml:space="preserve"> </w:t>
            </w:r>
            <w:r w:rsidRPr="00C6052E">
              <w:t>commitments</w:t>
            </w:r>
            <w:r w:rsidRPr="00C6052E">
              <w:rPr>
                <w:vertAlign w:val="superscript"/>
              </w:rPr>
              <w:t>(i)</w:t>
            </w:r>
          </w:p>
        </w:tc>
        <w:tc>
          <w:tcPr>
            <w:tcW w:w="1361" w:type="dxa"/>
            <w:noWrap/>
            <w:hideMark/>
          </w:tcPr>
          <w:p w14:paraId="007FA8F9" w14:textId="77777777" w:rsidR="00EE5BB8" w:rsidRPr="00C6052E" w:rsidRDefault="00EE5BB8" w:rsidP="00F660D1">
            <w:pPr>
              <w:pStyle w:val="TableCopy"/>
              <w:jc w:val="right"/>
            </w:pPr>
            <w:r w:rsidRPr="00C6052E">
              <w:t>–</w:t>
            </w:r>
          </w:p>
        </w:tc>
        <w:tc>
          <w:tcPr>
            <w:tcW w:w="1361" w:type="dxa"/>
            <w:noWrap/>
            <w:hideMark/>
          </w:tcPr>
          <w:p w14:paraId="3C820065" w14:textId="77777777" w:rsidR="00EE5BB8" w:rsidRPr="00C6052E" w:rsidRDefault="00EE5BB8" w:rsidP="00F660D1">
            <w:pPr>
              <w:pStyle w:val="TableCopy"/>
              <w:jc w:val="right"/>
            </w:pPr>
            <w:r w:rsidRPr="00C6052E">
              <w:t>–</w:t>
            </w:r>
          </w:p>
        </w:tc>
        <w:tc>
          <w:tcPr>
            <w:tcW w:w="1361" w:type="dxa"/>
            <w:noWrap/>
            <w:hideMark/>
          </w:tcPr>
          <w:p w14:paraId="6255F569" w14:textId="77777777" w:rsidR="00EE5BB8" w:rsidRPr="00C6052E" w:rsidRDefault="00EE5BB8" w:rsidP="00F660D1">
            <w:pPr>
              <w:pStyle w:val="TableCopy"/>
              <w:jc w:val="right"/>
            </w:pPr>
            <w:r w:rsidRPr="00C6052E">
              <w:t>–</w:t>
            </w:r>
          </w:p>
        </w:tc>
        <w:tc>
          <w:tcPr>
            <w:tcW w:w="1361" w:type="dxa"/>
            <w:noWrap/>
            <w:hideMark/>
          </w:tcPr>
          <w:p w14:paraId="16B4B6D5" w14:textId="77777777" w:rsidR="00EE5BB8" w:rsidRPr="00C6052E" w:rsidRDefault="00EE5BB8" w:rsidP="00F660D1">
            <w:pPr>
              <w:pStyle w:val="TableCopy"/>
              <w:jc w:val="right"/>
            </w:pPr>
            <w:r w:rsidRPr="00C6052E">
              <w:t>–</w:t>
            </w:r>
          </w:p>
        </w:tc>
      </w:tr>
      <w:tr w:rsidR="00EE5BB8" w:rsidRPr="00C6052E" w14:paraId="685E6865" w14:textId="77777777" w:rsidTr="00F660D1">
        <w:tc>
          <w:tcPr>
            <w:tcW w:w="4253" w:type="dxa"/>
            <w:hideMark/>
          </w:tcPr>
          <w:p w14:paraId="2200F044" w14:textId="393E40A7" w:rsidR="00EE5BB8" w:rsidRPr="00C6052E" w:rsidRDefault="00EE5BB8" w:rsidP="0063097D">
            <w:pPr>
              <w:pStyle w:val="TableCopy"/>
            </w:pPr>
            <w:r w:rsidRPr="00C6052E">
              <w:t>Grant</w:t>
            </w:r>
            <w:r w:rsidR="00177848" w:rsidRPr="00C6052E">
              <w:t xml:space="preserve"> </w:t>
            </w:r>
            <w:r w:rsidRPr="00C6052E">
              <w:t>commitments</w:t>
            </w:r>
            <w:r w:rsidRPr="00C6052E">
              <w:rPr>
                <w:vertAlign w:val="superscript"/>
              </w:rPr>
              <w:t>(ii)</w:t>
            </w:r>
          </w:p>
        </w:tc>
        <w:tc>
          <w:tcPr>
            <w:tcW w:w="1361" w:type="dxa"/>
            <w:noWrap/>
            <w:hideMark/>
          </w:tcPr>
          <w:p w14:paraId="190E34B3" w14:textId="77777777" w:rsidR="00EE5BB8" w:rsidRPr="00C6052E" w:rsidRDefault="00EE5BB8" w:rsidP="00F660D1">
            <w:pPr>
              <w:pStyle w:val="TableCopy"/>
              <w:jc w:val="right"/>
            </w:pPr>
            <w:r w:rsidRPr="00C6052E">
              <w:t>1,182,067</w:t>
            </w:r>
          </w:p>
        </w:tc>
        <w:tc>
          <w:tcPr>
            <w:tcW w:w="1361" w:type="dxa"/>
            <w:noWrap/>
            <w:hideMark/>
          </w:tcPr>
          <w:p w14:paraId="51088241" w14:textId="77777777" w:rsidR="00EE5BB8" w:rsidRPr="00C6052E" w:rsidRDefault="00EE5BB8" w:rsidP="00F660D1">
            <w:pPr>
              <w:pStyle w:val="TableCopy"/>
              <w:jc w:val="right"/>
            </w:pPr>
            <w:r w:rsidRPr="00C6052E">
              <w:t>970,578</w:t>
            </w:r>
          </w:p>
        </w:tc>
        <w:tc>
          <w:tcPr>
            <w:tcW w:w="1361" w:type="dxa"/>
            <w:noWrap/>
            <w:hideMark/>
          </w:tcPr>
          <w:p w14:paraId="4E79DF8A" w14:textId="77777777" w:rsidR="00EE5BB8" w:rsidRPr="00C6052E" w:rsidRDefault="00EE5BB8" w:rsidP="00F660D1">
            <w:pPr>
              <w:pStyle w:val="TableCopy"/>
              <w:jc w:val="right"/>
            </w:pPr>
            <w:r w:rsidRPr="00C6052E">
              <w:t>249,066</w:t>
            </w:r>
          </w:p>
        </w:tc>
        <w:tc>
          <w:tcPr>
            <w:tcW w:w="1361" w:type="dxa"/>
            <w:noWrap/>
            <w:hideMark/>
          </w:tcPr>
          <w:p w14:paraId="34818880" w14:textId="77777777" w:rsidR="00EE5BB8" w:rsidRPr="00C6052E" w:rsidRDefault="00EE5BB8" w:rsidP="00F660D1">
            <w:pPr>
              <w:pStyle w:val="TableCopy"/>
              <w:jc w:val="right"/>
            </w:pPr>
            <w:r w:rsidRPr="00C6052E">
              <w:t>2,401,711</w:t>
            </w:r>
          </w:p>
        </w:tc>
      </w:tr>
      <w:tr w:rsidR="00EE5BB8" w:rsidRPr="00C6052E" w14:paraId="52F10050" w14:textId="77777777" w:rsidTr="00F660D1">
        <w:tc>
          <w:tcPr>
            <w:tcW w:w="4253" w:type="dxa"/>
            <w:noWrap/>
            <w:hideMark/>
          </w:tcPr>
          <w:p w14:paraId="08D7D8FD" w14:textId="0142AE07" w:rsidR="00EE5BB8" w:rsidRPr="00C6052E" w:rsidRDefault="00EE5BB8" w:rsidP="0063097D">
            <w:pPr>
              <w:pStyle w:val="Tabletotal"/>
            </w:pPr>
            <w:r w:rsidRPr="00C6052E">
              <w:t>Total</w:t>
            </w:r>
            <w:r w:rsidR="00177848" w:rsidRPr="00C6052E">
              <w:t xml:space="preserve"> </w:t>
            </w:r>
            <w:r w:rsidRPr="00C6052E">
              <w:t>commitment</w:t>
            </w:r>
            <w:r w:rsidR="00177848" w:rsidRPr="00C6052E">
              <w:t xml:space="preserve"> </w:t>
            </w:r>
            <w:r w:rsidRPr="00C6052E">
              <w:t>(inclusive</w:t>
            </w:r>
            <w:r w:rsidR="00177848" w:rsidRPr="00C6052E">
              <w:t xml:space="preserve"> </w:t>
            </w:r>
            <w:r w:rsidRPr="00C6052E">
              <w:t>of</w:t>
            </w:r>
            <w:r w:rsidR="00177848" w:rsidRPr="00C6052E">
              <w:t xml:space="preserve"> </w:t>
            </w:r>
            <w:r w:rsidRPr="00C6052E">
              <w:t>GST)</w:t>
            </w:r>
          </w:p>
        </w:tc>
        <w:tc>
          <w:tcPr>
            <w:tcW w:w="1361" w:type="dxa"/>
            <w:noWrap/>
            <w:hideMark/>
          </w:tcPr>
          <w:p w14:paraId="5BAC23C5" w14:textId="77777777" w:rsidR="00EE5BB8" w:rsidRPr="00C6052E" w:rsidRDefault="00EE5BB8" w:rsidP="00F660D1">
            <w:pPr>
              <w:pStyle w:val="Tabletotal"/>
              <w:jc w:val="right"/>
            </w:pPr>
            <w:r w:rsidRPr="00C6052E">
              <w:t>1,225,308</w:t>
            </w:r>
          </w:p>
        </w:tc>
        <w:tc>
          <w:tcPr>
            <w:tcW w:w="1361" w:type="dxa"/>
            <w:noWrap/>
            <w:hideMark/>
          </w:tcPr>
          <w:p w14:paraId="75E52FCE" w14:textId="77777777" w:rsidR="00EE5BB8" w:rsidRPr="00C6052E" w:rsidRDefault="00EE5BB8" w:rsidP="00F660D1">
            <w:pPr>
              <w:pStyle w:val="Tabletotal"/>
              <w:jc w:val="right"/>
            </w:pPr>
            <w:r w:rsidRPr="00C6052E">
              <w:t>1,216,787</w:t>
            </w:r>
          </w:p>
        </w:tc>
        <w:tc>
          <w:tcPr>
            <w:tcW w:w="1361" w:type="dxa"/>
            <w:noWrap/>
            <w:hideMark/>
          </w:tcPr>
          <w:p w14:paraId="7467D99C" w14:textId="77777777" w:rsidR="00EE5BB8" w:rsidRPr="00C6052E" w:rsidRDefault="00EE5BB8" w:rsidP="00F660D1">
            <w:pPr>
              <w:pStyle w:val="Tabletotal"/>
              <w:jc w:val="right"/>
            </w:pPr>
            <w:r w:rsidRPr="00C6052E">
              <w:t>431,074</w:t>
            </w:r>
          </w:p>
        </w:tc>
        <w:tc>
          <w:tcPr>
            <w:tcW w:w="1361" w:type="dxa"/>
            <w:noWrap/>
            <w:hideMark/>
          </w:tcPr>
          <w:p w14:paraId="4F14258A" w14:textId="77777777" w:rsidR="00EE5BB8" w:rsidRPr="00C6052E" w:rsidRDefault="00EE5BB8" w:rsidP="00F660D1">
            <w:pPr>
              <w:pStyle w:val="Tabletotal"/>
              <w:jc w:val="right"/>
            </w:pPr>
            <w:r w:rsidRPr="00C6052E">
              <w:t>2,873,169</w:t>
            </w:r>
          </w:p>
        </w:tc>
      </w:tr>
      <w:tr w:rsidR="00EE5BB8" w:rsidRPr="00C6052E" w14:paraId="31653422" w14:textId="77777777" w:rsidTr="00F660D1">
        <w:tc>
          <w:tcPr>
            <w:tcW w:w="4253" w:type="dxa"/>
            <w:noWrap/>
            <w:hideMark/>
          </w:tcPr>
          <w:p w14:paraId="02A5ED76" w14:textId="0E81C30F" w:rsidR="00EE5BB8" w:rsidRPr="00C6052E" w:rsidRDefault="00EE5BB8" w:rsidP="0063097D">
            <w:pPr>
              <w:pStyle w:val="Tabletotal"/>
            </w:pPr>
            <w:r w:rsidRPr="00C6052E">
              <w:t>Less</w:t>
            </w:r>
            <w:r w:rsidR="00177848" w:rsidRPr="00C6052E">
              <w:t xml:space="preserve"> </w:t>
            </w:r>
            <w:r w:rsidRPr="00C6052E">
              <w:t>GST</w:t>
            </w:r>
            <w:r w:rsidR="00177848" w:rsidRPr="00C6052E">
              <w:t xml:space="preserve"> </w:t>
            </w:r>
            <w:r w:rsidRPr="00C6052E">
              <w:t>recoverable</w:t>
            </w:r>
          </w:p>
        </w:tc>
        <w:tc>
          <w:tcPr>
            <w:tcW w:w="1361" w:type="dxa"/>
            <w:noWrap/>
          </w:tcPr>
          <w:p w14:paraId="329366AA" w14:textId="77777777" w:rsidR="00EE5BB8" w:rsidRPr="00C6052E" w:rsidRDefault="00EE5BB8" w:rsidP="00F660D1">
            <w:pPr>
              <w:pStyle w:val="Tabletotal"/>
              <w:jc w:val="right"/>
            </w:pPr>
          </w:p>
        </w:tc>
        <w:tc>
          <w:tcPr>
            <w:tcW w:w="1361" w:type="dxa"/>
            <w:noWrap/>
          </w:tcPr>
          <w:p w14:paraId="5BD65456" w14:textId="77777777" w:rsidR="00EE5BB8" w:rsidRPr="00C6052E" w:rsidRDefault="00EE5BB8" w:rsidP="00F660D1">
            <w:pPr>
              <w:pStyle w:val="Tabletotal"/>
              <w:jc w:val="right"/>
            </w:pPr>
          </w:p>
        </w:tc>
        <w:tc>
          <w:tcPr>
            <w:tcW w:w="1361" w:type="dxa"/>
            <w:noWrap/>
          </w:tcPr>
          <w:p w14:paraId="486E4A26" w14:textId="77777777" w:rsidR="00EE5BB8" w:rsidRPr="00C6052E" w:rsidRDefault="00EE5BB8" w:rsidP="00F660D1">
            <w:pPr>
              <w:pStyle w:val="Tabletotal"/>
              <w:jc w:val="right"/>
            </w:pPr>
          </w:p>
        </w:tc>
        <w:tc>
          <w:tcPr>
            <w:tcW w:w="1361" w:type="dxa"/>
            <w:noWrap/>
            <w:hideMark/>
          </w:tcPr>
          <w:p w14:paraId="4A1F64A7" w14:textId="77777777" w:rsidR="00EE5BB8" w:rsidRPr="00C6052E" w:rsidRDefault="00EE5BB8" w:rsidP="00F660D1">
            <w:pPr>
              <w:pStyle w:val="Tabletotal"/>
              <w:jc w:val="right"/>
            </w:pPr>
            <w:r w:rsidRPr="00C6052E">
              <w:t>(261,197)</w:t>
            </w:r>
          </w:p>
        </w:tc>
      </w:tr>
      <w:tr w:rsidR="00EE5BB8" w:rsidRPr="00C6052E" w14:paraId="3181082B" w14:textId="77777777" w:rsidTr="00F660D1">
        <w:tc>
          <w:tcPr>
            <w:tcW w:w="4253" w:type="dxa"/>
            <w:noWrap/>
            <w:hideMark/>
          </w:tcPr>
          <w:p w14:paraId="128DD18C" w14:textId="70763488" w:rsidR="00EE5BB8" w:rsidRPr="00C6052E" w:rsidRDefault="00EE5BB8" w:rsidP="0063097D">
            <w:pPr>
              <w:pStyle w:val="Tabletotal"/>
            </w:pPr>
            <w:r w:rsidRPr="00C6052E">
              <w:t>Total</w:t>
            </w:r>
            <w:r w:rsidR="00177848" w:rsidRPr="00C6052E">
              <w:t xml:space="preserve"> </w:t>
            </w:r>
            <w:r w:rsidRPr="00C6052E">
              <w:t>commitment</w:t>
            </w:r>
            <w:r w:rsidR="00177848" w:rsidRPr="00C6052E">
              <w:t xml:space="preserve"> </w:t>
            </w:r>
            <w:r w:rsidRPr="00C6052E">
              <w:t>(exclusive</w:t>
            </w:r>
            <w:r w:rsidR="00177848" w:rsidRPr="00C6052E">
              <w:t xml:space="preserve"> </w:t>
            </w:r>
            <w:r w:rsidRPr="00C6052E">
              <w:t>of</w:t>
            </w:r>
            <w:r w:rsidR="00177848" w:rsidRPr="00C6052E">
              <w:t xml:space="preserve"> </w:t>
            </w:r>
            <w:r w:rsidRPr="00C6052E">
              <w:t>GST)</w:t>
            </w:r>
          </w:p>
        </w:tc>
        <w:tc>
          <w:tcPr>
            <w:tcW w:w="1361" w:type="dxa"/>
            <w:noWrap/>
          </w:tcPr>
          <w:p w14:paraId="65ACAF7D" w14:textId="77777777" w:rsidR="00EE5BB8" w:rsidRPr="00C6052E" w:rsidRDefault="00EE5BB8" w:rsidP="00F660D1">
            <w:pPr>
              <w:pStyle w:val="Tabletotal"/>
              <w:jc w:val="right"/>
            </w:pPr>
          </w:p>
        </w:tc>
        <w:tc>
          <w:tcPr>
            <w:tcW w:w="1361" w:type="dxa"/>
            <w:noWrap/>
          </w:tcPr>
          <w:p w14:paraId="2CD54120" w14:textId="77777777" w:rsidR="00EE5BB8" w:rsidRPr="00C6052E" w:rsidRDefault="00EE5BB8" w:rsidP="00F660D1">
            <w:pPr>
              <w:pStyle w:val="Tabletotal"/>
              <w:jc w:val="right"/>
            </w:pPr>
          </w:p>
        </w:tc>
        <w:tc>
          <w:tcPr>
            <w:tcW w:w="1361" w:type="dxa"/>
            <w:noWrap/>
          </w:tcPr>
          <w:p w14:paraId="0C3045FD" w14:textId="77777777" w:rsidR="00EE5BB8" w:rsidRPr="00C6052E" w:rsidRDefault="00EE5BB8" w:rsidP="00F660D1">
            <w:pPr>
              <w:pStyle w:val="Tabletotal"/>
              <w:jc w:val="right"/>
            </w:pPr>
          </w:p>
        </w:tc>
        <w:tc>
          <w:tcPr>
            <w:tcW w:w="1361" w:type="dxa"/>
            <w:noWrap/>
            <w:hideMark/>
          </w:tcPr>
          <w:p w14:paraId="32F9BAD3" w14:textId="77777777" w:rsidR="00EE5BB8" w:rsidRPr="00C6052E" w:rsidRDefault="00EE5BB8" w:rsidP="00F660D1">
            <w:pPr>
              <w:pStyle w:val="Tabletotal"/>
              <w:jc w:val="right"/>
            </w:pPr>
            <w:r w:rsidRPr="00C6052E">
              <w:t>2,611,972</w:t>
            </w:r>
          </w:p>
        </w:tc>
      </w:tr>
    </w:tbl>
    <w:p w14:paraId="3E233974" w14:textId="1EA38979" w:rsidR="00EE5BB8" w:rsidRPr="00C6052E" w:rsidRDefault="00EE5BB8" w:rsidP="00F660D1">
      <w:pPr>
        <w:pStyle w:val="Tablenotes-numbered"/>
        <w:numPr>
          <w:ilvl w:val="0"/>
          <w:numId w:val="31"/>
        </w:numPr>
        <w:spacing w:after="240"/>
      </w:pPr>
      <w:r w:rsidRPr="00C6052E">
        <w:t>The</w:t>
      </w:r>
      <w:r w:rsidR="00177848" w:rsidRPr="00C6052E">
        <w:t xml:space="preserve"> </w:t>
      </w:r>
      <w:r w:rsidRPr="00C6052E">
        <w:t>nil</w:t>
      </w:r>
      <w:r w:rsidR="00177848" w:rsidRPr="00C6052E">
        <w:t xml:space="preserve"> </w:t>
      </w:r>
      <w:r w:rsidRPr="00C6052E">
        <w:t>accommodation</w:t>
      </w:r>
      <w:r w:rsidR="00177848" w:rsidRPr="00C6052E">
        <w:t xml:space="preserve"> </w:t>
      </w:r>
      <w:r w:rsidRPr="00C6052E">
        <w:t>expenditure</w:t>
      </w:r>
      <w:r w:rsidR="00177848" w:rsidRPr="00C6052E">
        <w:t xml:space="preserve"> </w:t>
      </w:r>
      <w:r w:rsidRPr="00C6052E">
        <w:t>commitments</w:t>
      </w:r>
      <w:r w:rsidR="00177848" w:rsidRPr="00C6052E">
        <w:t xml:space="preserve"> </w:t>
      </w:r>
      <w:r w:rsidRPr="00C6052E">
        <w:t>reflect</w:t>
      </w:r>
      <w:r w:rsidR="00177848" w:rsidRPr="00C6052E">
        <w:t xml:space="preserve"> </w:t>
      </w:r>
      <w:r w:rsidRPr="00C6052E">
        <w:t>the</w:t>
      </w:r>
      <w:r w:rsidR="00177848" w:rsidRPr="00C6052E">
        <w:t xml:space="preserve"> </w:t>
      </w:r>
      <w:r w:rsidRPr="00C6052E">
        <w:t>whole</w:t>
      </w:r>
      <w:r w:rsidR="00177848" w:rsidRPr="00C6052E">
        <w:t xml:space="preserve"> </w:t>
      </w:r>
      <w:r w:rsidRPr="00C6052E">
        <w:t>of</w:t>
      </w:r>
      <w:r w:rsidR="00177848" w:rsidRPr="00C6052E">
        <w:t xml:space="preserve"> </w:t>
      </w:r>
      <w:r w:rsidRPr="00C6052E">
        <w:t>government</w:t>
      </w:r>
      <w:r w:rsidR="00177848" w:rsidRPr="00C6052E">
        <w:t xml:space="preserve"> </w:t>
      </w:r>
      <w:r w:rsidRPr="00C6052E">
        <w:t>decision</w:t>
      </w:r>
      <w:r w:rsidR="00177848" w:rsidRPr="00C6052E">
        <w:t xml:space="preserve"> </w:t>
      </w:r>
      <w:r w:rsidRPr="00C6052E">
        <w:t>to</w:t>
      </w:r>
      <w:r w:rsidR="00177848" w:rsidRPr="00C6052E">
        <w:t xml:space="preserve"> </w:t>
      </w:r>
      <w:r w:rsidRPr="00C6052E">
        <w:t>centralise</w:t>
      </w:r>
      <w:r w:rsidR="00177848" w:rsidRPr="00C6052E">
        <w:t xml:space="preserve"> </w:t>
      </w:r>
      <w:r w:rsidRPr="00C6052E">
        <w:t>accommodation</w:t>
      </w:r>
      <w:r w:rsidR="00177848" w:rsidRPr="00C6052E">
        <w:t xml:space="preserve"> </w:t>
      </w:r>
      <w:r w:rsidRPr="00C6052E">
        <w:t>costs</w:t>
      </w:r>
      <w:r w:rsidR="00177848" w:rsidRPr="00C6052E">
        <w:t xml:space="preserve"> </w:t>
      </w:r>
      <w:r w:rsidRPr="00C6052E">
        <w:t>with</w:t>
      </w:r>
      <w:r w:rsidR="00177848" w:rsidRPr="00C6052E">
        <w:t xml:space="preserve"> </w:t>
      </w:r>
      <w:r w:rsidRPr="00C6052E">
        <w:t>Department</w:t>
      </w:r>
      <w:r w:rsidR="00177848" w:rsidRPr="00C6052E">
        <w:t xml:space="preserve"> </w:t>
      </w:r>
      <w:r w:rsidRPr="00C6052E">
        <w:t>of</w:t>
      </w:r>
      <w:r w:rsidR="00177848" w:rsidRPr="00C6052E">
        <w:t xml:space="preserve"> </w:t>
      </w:r>
      <w:r w:rsidRPr="00C6052E">
        <w:t>Government</w:t>
      </w:r>
      <w:r w:rsidR="00177848" w:rsidRPr="00C6052E">
        <w:t xml:space="preserve"> </w:t>
      </w:r>
      <w:r w:rsidRPr="00C6052E">
        <w:t>Services</w:t>
      </w:r>
      <w:r w:rsidR="00177848" w:rsidRPr="00C6052E">
        <w:t xml:space="preserve"> </w:t>
      </w:r>
      <w:r w:rsidRPr="00C6052E">
        <w:t>(DGS).</w:t>
      </w:r>
    </w:p>
    <w:p w14:paraId="685FFD31" w14:textId="01743F19" w:rsidR="00EE5BB8" w:rsidRPr="00C6052E" w:rsidRDefault="00C6052E" w:rsidP="00F660D1">
      <w:pPr>
        <w:pStyle w:val="TableHeading"/>
      </w:pPr>
      <w:r w:rsidRPr="00C6052E">
        <w:t>Nominal</w:t>
      </w:r>
      <w:r w:rsidR="00177848" w:rsidRPr="00C6052E">
        <w:t xml:space="preserve"> </w:t>
      </w:r>
      <w:r w:rsidRPr="00C6052E">
        <w:t>amounts:</w:t>
      </w:r>
      <w:r w:rsidR="00177848" w:rsidRPr="00C6052E">
        <w:t xml:space="preserve"> </w:t>
      </w:r>
      <w:fldSimple w:instr=" DOCPROPERTY  prYear  \* MERGEFORMAT ">
        <w:r w:rsidR="00EE5BB8" w:rsidRPr="00C6052E">
          <w:t>2024</w:t>
        </w:r>
      </w:fldSimple>
    </w:p>
    <w:tbl>
      <w:tblPr>
        <w:tblStyle w:val="TableGrid"/>
        <w:tblW w:w="9692" w:type="dxa"/>
        <w:tblLayout w:type="fixed"/>
        <w:tblLook w:val="04E0" w:firstRow="1" w:lastRow="1" w:firstColumn="1" w:lastColumn="0" w:noHBand="0" w:noVBand="1"/>
      </w:tblPr>
      <w:tblGrid>
        <w:gridCol w:w="4248"/>
        <w:gridCol w:w="1361"/>
        <w:gridCol w:w="1361"/>
        <w:gridCol w:w="1361"/>
        <w:gridCol w:w="1361"/>
      </w:tblGrid>
      <w:tr w:rsidR="00EE5BB8" w:rsidRPr="00C6052E" w14:paraId="6B0838BA" w14:textId="77777777" w:rsidTr="00F660D1">
        <w:trPr>
          <w:tblHeader/>
        </w:trPr>
        <w:tc>
          <w:tcPr>
            <w:tcW w:w="4248" w:type="dxa"/>
            <w:noWrap/>
            <w:hideMark/>
          </w:tcPr>
          <w:p w14:paraId="4DE629C3" w14:textId="77777777" w:rsidR="00EE5BB8" w:rsidRPr="00C6052E" w:rsidRDefault="00EE5BB8" w:rsidP="000F5B20">
            <w:pPr>
              <w:pStyle w:val="TableColumnHeading"/>
            </w:pPr>
            <w:bookmarkStart w:id="304" w:name="TableColumnHeadings_89"/>
            <w:bookmarkEnd w:id="304"/>
          </w:p>
        </w:tc>
        <w:tc>
          <w:tcPr>
            <w:tcW w:w="1361" w:type="dxa"/>
            <w:hideMark/>
          </w:tcPr>
          <w:p w14:paraId="11DCFB21" w14:textId="690AC538" w:rsidR="00EE5BB8" w:rsidRPr="00C6052E" w:rsidRDefault="00EE5BB8" w:rsidP="00F660D1">
            <w:pPr>
              <w:pStyle w:val="TableColumnHeading"/>
              <w:jc w:val="right"/>
              <w:rPr>
                <w:lang w:val="en-AU"/>
              </w:rPr>
            </w:pPr>
            <w:r w:rsidRPr="00C6052E">
              <w:rPr>
                <w:lang w:val="en-AU"/>
              </w:rPr>
              <w:t>Less</w:t>
            </w:r>
            <w:r w:rsidR="00B1545C" w:rsidRPr="00C6052E">
              <w:rPr>
                <w:lang w:val="en-AU"/>
              </w:rPr>
              <w:t xml:space="preserve"> </w:t>
            </w:r>
            <w:r w:rsidRPr="00C6052E">
              <w:rPr>
                <w:lang w:val="en-AU"/>
              </w:rPr>
              <w:t>than</w:t>
            </w:r>
            <w:r w:rsidR="00177848" w:rsidRPr="00C6052E">
              <w:rPr>
                <w:lang w:val="en-AU"/>
              </w:rPr>
              <w:t xml:space="preserve"> </w:t>
            </w:r>
            <w:r w:rsidRPr="00C6052E">
              <w:rPr>
                <w:lang w:val="en-AU"/>
              </w:rPr>
              <w:t>1</w:t>
            </w:r>
            <w:r w:rsidR="00177848" w:rsidRPr="00C6052E">
              <w:rPr>
                <w:lang w:val="en-AU"/>
              </w:rPr>
              <w:t xml:space="preserve"> </w:t>
            </w:r>
            <w:r w:rsidRPr="00C6052E">
              <w:rPr>
                <w:lang w:val="en-AU"/>
              </w:rPr>
              <w:t>year</w:t>
            </w:r>
            <w:r w:rsidR="00F660D1">
              <w:rPr>
                <w:lang w:val="en-AU"/>
              </w:rPr>
              <w:br/>
            </w:r>
            <w:r w:rsidR="00F660D1" w:rsidRPr="00C6052E">
              <w:rPr>
                <w:lang w:val="en-AU"/>
              </w:rPr>
              <w:t>($ thousand)</w:t>
            </w:r>
          </w:p>
        </w:tc>
        <w:tc>
          <w:tcPr>
            <w:tcW w:w="1361" w:type="dxa"/>
            <w:hideMark/>
          </w:tcPr>
          <w:p w14:paraId="659AD9EF" w14:textId="420EDD84" w:rsidR="00EE5BB8" w:rsidRPr="00C6052E" w:rsidRDefault="00EE5BB8" w:rsidP="00F660D1">
            <w:pPr>
              <w:pStyle w:val="TableColumnHeading"/>
              <w:jc w:val="right"/>
              <w:rPr>
                <w:lang w:val="en-AU"/>
              </w:rPr>
            </w:pPr>
            <w:r w:rsidRPr="00C6052E">
              <w:rPr>
                <w:lang w:val="en-AU"/>
              </w:rPr>
              <w:t>Between</w:t>
            </w:r>
            <w:r w:rsidR="00B1545C" w:rsidRPr="00C6052E">
              <w:rPr>
                <w:lang w:val="en-AU"/>
              </w:rPr>
              <w:t xml:space="preserve"> </w:t>
            </w:r>
            <w:r w:rsidRPr="00C6052E">
              <w:rPr>
                <w:lang w:val="en-AU"/>
              </w:rPr>
              <w:t>1</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5</w:t>
            </w:r>
            <w:r w:rsidR="00177848" w:rsidRPr="00C6052E">
              <w:rPr>
                <w:lang w:val="en-AU"/>
              </w:rPr>
              <w:t xml:space="preserve"> </w:t>
            </w:r>
            <w:r w:rsidRPr="00C6052E">
              <w:rPr>
                <w:lang w:val="en-AU"/>
              </w:rPr>
              <w:t>years</w:t>
            </w:r>
            <w:r w:rsidR="00177848" w:rsidRPr="00C6052E">
              <w:rPr>
                <w:lang w:val="en-AU"/>
              </w:rPr>
              <w:t xml:space="preserve"> </w:t>
            </w:r>
            <w:r w:rsidR="00F660D1">
              <w:rPr>
                <w:lang w:val="en-AU"/>
              </w:rPr>
              <w:br/>
            </w:r>
            <w:r w:rsidR="00F660D1" w:rsidRPr="00C6052E">
              <w:rPr>
                <w:lang w:val="en-AU"/>
              </w:rPr>
              <w:t>($ thousand)</w:t>
            </w:r>
          </w:p>
        </w:tc>
        <w:tc>
          <w:tcPr>
            <w:tcW w:w="1361" w:type="dxa"/>
            <w:hideMark/>
          </w:tcPr>
          <w:p w14:paraId="00A78177" w14:textId="01CDE8E5" w:rsidR="00EE5BB8" w:rsidRPr="00C6052E" w:rsidRDefault="00EE5BB8" w:rsidP="00F660D1">
            <w:pPr>
              <w:pStyle w:val="TableColumnHeading"/>
              <w:jc w:val="right"/>
              <w:rPr>
                <w:lang w:val="en-AU"/>
              </w:rPr>
            </w:pPr>
            <w:r w:rsidRPr="00C6052E">
              <w:rPr>
                <w:lang w:val="en-AU"/>
              </w:rPr>
              <w:t>Over</w:t>
            </w:r>
            <w:r w:rsidR="00B1545C" w:rsidRPr="00C6052E">
              <w:rPr>
                <w:lang w:val="en-AU"/>
              </w:rPr>
              <w:t xml:space="preserve"> </w:t>
            </w:r>
            <w:r w:rsidRPr="00C6052E">
              <w:rPr>
                <w:lang w:val="en-AU"/>
              </w:rPr>
              <w:br/>
              <w:t>5</w:t>
            </w:r>
            <w:r w:rsidR="00177848" w:rsidRPr="00C6052E">
              <w:rPr>
                <w:lang w:val="en-AU"/>
              </w:rPr>
              <w:t xml:space="preserve"> </w:t>
            </w:r>
            <w:r w:rsidRPr="00C6052E">
              <w:rPr>
                <w:lang w:val="en-AU"/>
              </w:rPr>
              <w:t>years</w:t>
            </w:r>
            <w:r w:rsidR="00177848" w:rsidRPr="00C6052E">
              <w:rPr>
                <w:lang w:val="en-AU"/>
              </w:rPr>
              <w:t xml:space="preserve"> </w:t>
            </w:r>
            <w:r w:rsidR="00F660D1">
              <w:rPr>
                <w:lang w:val="en-AU"/>
              </w:rPr>
              <w:br/>
            </w:r>
            <w:r w:rsidR="00F660D1" w:rsidRPr="00C6052E">
              <w:rPr>
                <w:lang w:val="en-AU"/>
              </w:rPr>
              <w:t>($ thousand)</w:t>
            </w:r>
          </w:p>
        </w:tc>
        <w:tc>
          <w:tcPr>
            <w:tcW w:w="1361" w:type="dxa"/>
            <w:hideMark/>
          </w:tcPr>
          <w:p w14:paraId="351E6B54" w14:textId="185BFDCF" w:rsidR="00EE5BB8" w:rsidRPr="00C6052E" w:rsidRDefault="00EE5BB8" w:rsidP="00F660D1">
            <w:pPr>
              <w:pStyle w:val="TableColumnHeading"/>
              <w:jc w:val="right"/>
              <w:rPr>
                <w:lang w:val="en-AU"/>
              </w:rPr>
            </w:pPr>
            <w:r w:rsidRPr="00C6052E">
              <w:rPr>
                <w:lang w:val="en-AU"/>
              </w:rPr>
              <w:t>Total</w:t>
            </w:r>
            <w:r w:rsidR="00B1545C" w:rsidRPr="00C6052E">
              <w:rPr>
                <w:lang w:val="en-AU"/>
              </w:rPr>
              <w:t xml:space="preserve"> </w:t>
            </w:r>
            <w:r w:rsidR="00F660D1">
              <w:rPr>
                <w:lang w:val="en-AU"/>
              </w:rPr>
              <w:br/>
            </w:r>
            <w:r w:rsidR="00F660D1" w:rsidRPr="00C6052E">
              <w:rPr>
                <w:lang w:val="en-AU"/>
              </w:rPr>
              <w:t>($ thousand)</w:t>
            </w:r>
          </w:p>
        </w:tc>
      </w:tr>
      <w:tr w:rsidR="00EE5BB8" w:rsidRPr="00C6052E" w14:paraId="588A934F" w14:textId="77777777" w:rsidTr="00F660D1">
        <w:tc>
          <w:tcPr>
            <w:tcW w:w="4248" w:type="dxa"/>
            <w:hideMark/>
          </w:tcPr>
          <w:p w14:paraId="35751A4A" w14:textId="1ADAE195" w:rsidR="00EE5BB8" w:rsidRPr="00C6052E" w:rsidRDefault="00EE5BB8" w:rsidP="0063097D">
            <w:pPr>
              <w:pStyle w:val="TableCopy"/>
            </w:pPr>
            <w:r w:rsidRPr="00C6052E">
              <w:t>Capital</w:t>
            </w:r>
            <w:r w:rsidR="00177848" w:rsidRPr="00C6052E">
              <w:t xml:space="preserve"> </w:t>
            </w:r>
            <w:r w:rsidRPr="00C6052E">
              <w:t>expenditure</w:t>
            </w:r>
            <w:r w:rsidR="00177848" w:rsidRPr="00C6052E">
              <w:t xml:space="preserve"> </w:t>
            </w:r>
            <w:r w:rsidRPr="00C6052E">
              <w:t>commitments</w:t>
            </w:r>
            <w:r w:rsidRPr="00C6052E">
              <w:rPr>
                <w:vertAlign w:val="superscript"/>
              </w:rPr>
              <w:t>(iii)</w:t>
            </w:r>
          </w:p>
        </w:tc>
        <w:tc>
          <w:tcPr>
            <w:tcW w:w="1361" w:type="dxa"/>
            <w:noWrap/>
            <w:hideMark/>
          </w:tcPr>
          <w:p w14:paraId="687E5B87" w14:textId="77777777" w:rsidR="00EE5BB8" w:rsidRPr="00C6052E" w:rsidRDefault="00EE5BB8" w:rsidP="00F660D1">
            <w:pPr>
              <w:pStyle w:val="TableCopy"/>
              <w:jc w:val="right"/>
            </w:pPr>
            <w:r w:rsidRPr="00C6052E">
              <w:t>30,490</w:t>
            </w:r>
          </w:p>
        </w:tc>
        <w:tc>
          <w:tcPr>
            <w:tcW w:w="1361" w:type="dxa"/>
            <w:noWrap/>
            <w:hideMark/>
          </w:tcPr>
          <w:p w14:paraId="528A314B" w14:textId="77777777" w:rsidR="00EE5BB8" w:rsidRPr="00C6052E" w:rsidRDefault="00EE5BB8" w:rsidP="00F660D1">
            <w:pPr>
              <w:pStyle w:val="TableCopy"/>
              <w:jc w:val="right"/>
            </w:pPr>
            <w:r w:rsidRPr="00C6052E">
              <w:t>117,488</w:t>
            </w:r>
          </w:p>
        </w:tc>
        <w:tc>
          <w:tcPr>
            <w:tcW w:w="1361" w:type="dxa"/>
            <w:noWrap/>
            <w:hideMark/>
          </w:tcPr>
          <w:p w14:paraId="1A91EFA0" w14:textId="77777777" w:rsidR="00EE5BB8" w:rsidRPr="00C6052E" w:rsidRDefault="00EE5BB8" w:rsidP="00F660D1">
            <w:pPr>
              <w:pStyle w:val="TableCopy"/>
              <w:jc w:val="right"/>
            </w:pPr>
            <w:r w:rsidRPr="00C6052E">
              <w:t>–</w:t>
            </w:r>
          </w:p>
        </w:tc>
        <w:tc>
          <w:tcPr>
            <w:tcW w:w="1361" w:type="dxa"/>
            <w:noWrap/>
            <w:hideMark/>
          </w:tcPr>
          <w:p w14:paraId="6BA29DBF" w14:textId="77777777" w:rsidR="00EE5BB8" w:rsidRPr="00C6052E" w:rsidRDefault="00EE5BB8" w:rsidP="00F660D1">
            <w:pPr>
              <w:pStyle w:val="TableCopy"/>
              <w:jc w:val="right"/>
            </w:pPr>
            <w:r w:rsidRPr="00C6052E">
              <w:t>147,978</w:t>
            </w:r>
          </w:p>
        </w:tc>
      </w:tr>
      <w:tr w:rsidR="00EE5BB8" w:rsidRPr="00C6052E" w14:paraId="222C4609" w14:textId="77777777" w:rsidTr="00F660D1">
        <w:tc>
          <w:tcPr>
            <w:tcW w:w="4248" w:type="dxa"/>
            <w:hideMark/>
          </w:tcPr>
          <w:p w14:paraId="57421F54" w14:textId="17CC9DB1" w:rsidR="00EE5BB8" w:rsidRPr="00C6052E" w:rsidRDefault="00EE5BB8" w:rsidP="0063097D">
            <w:pPr>
              <w:pStyle w:val="TableCopy"/>
            </w:pPr>
            <w:r w:rsidRPr="00C6052E">
              <w:t>Other</w:t>
            </w:r>
            <w:r w:rsidR="00177848" w:rsidRPr="00C6052E">
              <w:t xml:space="preserve"> </w:t>
            </w:r>
            <w:r w:rsidRPr="00C6052E">
              <w:t>operating</w:t>
            </w:r>
            <w:r w:rsidR="00177848" w:rsidRPr="00C6052E">
              <w:t xml:space="preserve"> </w:t>
            </w:r>
            <w:r w:rsidRPr="00C6052E">
              <w:t>commitments</w:t>
            </w:r>
            <w:r w:rsidRPr="00C6052E">
              <w:rPr>
                <w:vertAlign w:val="superscript"/>
              </w:rPr>
              <w:t>(iii)</w:t>
            </w:r>
          </w:p>
        </w:tc>
        <w:tc>
          <w:tcPr>
            <w:tcW w:w="1361" w:type="dxa"/>
            <w:noWrap/>
            <w:hideMark/>
          </w:tcPr>
          <w:p w14:paraId="1EB8CD5B" w14:textId="77777777" w:rsidR="00EE5BB8" w:rsidRPr="00C6052E" w:rsidRDefault="00EE5BB8" w:rsidP="00F660D1">
            <w:pPr>
              <w:pStyle w:val="TableCopy"/>
              <w:jc w:val="right"/>
            </w:pPr>
            <w:r w:rsidRPr="00C6052E">
              <w:t>53,713</w:t>
            </w:r>
          </w:p>
        </w:tc>
        <w:tc>
          <w:tcPr>
            <w:tcW w:w="1361" w:type="dxa"/>
            <w:noWrap/>
            <w:hideMark/>
          </w:tcPr>
          <w:p w14:paraId="32AAEEDB" w14:textId="77777777" w:rsidR="00EE5BB8" w:rsidRPr="00C6052E" w:rsidRDefault="00EE5BB8" w:rsidP="00F660D1">
            <w:pPr>
              <w:pStyle w:val="TableCopy"/>
              <w:jc w:val="right"/>
            </w:pPr>
            <w:r w:rsidRPr="00C6052E">
              <w:t>202,227</w:t>
            </w:r>
          </w:p>
        </w:tc>
        <w:tc>
          <w:tcPr>
            <w:tcW w:w="1361" w:type="dxa"/>
            <w:noWrap/>
            <w:hideMark/>
          </w:tcPr>
          <w:p w14:paraId="629A1662" w14:textId="77777777" w:rsidR="00EE5BB8" w:rsidRPr="00C6052E" w:rsidRDefault="00EE5BB8" w:rsidP="00F660D1">
            <w:pPr>
              <w:pStyle w:val="TableCopy"/>
              <w:jc w:val="right"/>
            </w:pPr>
            <w:r w:rsidRPr="00C6052E">
              <w:t>209,629</w:t>
            </w:r>
          </w:p>
        </w:tc>
        <w:tc>
          <w:tcPr>
            <w:tcW w:w="1361" w:type="dxa"/>
            <w:noWrap/>
            <w:hideMark/>
          </w:tcPr>
          <w:p w14:paraId="4C598ABD" w14:textId="77777777" w:rsidR="00EE5BB8" w:rsidRPr="00C6052E" w:rsidRDefault="00EE5BB8" w:rsidP="00F660D1">
            <w:pPr>
              <w:pStyle w:val="TableCopy"/>
              <w:jc w:val="right"/>
            </w:pPr>
            <w:r w:rsidRPr="00C6052E">
              <w:t>465,569</w:t>
            </w:r>
          </w:p>
        </w:tc>
      </w:tr>
      <w:tr w:rsidR="00EE5BB8" w:rsidRPr="00C6052E" w14:paraId="7645E15D" w14:textId="77777777" w:rsidTr="00F660D1">
        <w:tc>
          <w:tcPr>
            <w:tcW w:w="4248" w:type="dxa"/>
            <w:hideMark/>
          </w:tcPr>
          <w:p w14:paraId="178784CA" w14:textId="5DE9A1E4" w:rsidR="00EE5BB8" w:rsidRPr="00C6052E" w:rsidRDefault="00EE5BB8" w:rsidP="0063097D">
            <w:pPr>
              <w:pStyle w:val="TableCopy"/>
            </w:pPr>
            <w:r w:rsidRPr="00C6052E">
              <w:t>Accommodation</w:t>
            </w:r>
            <w:r w:rsidR="00177848" w:rsidRPr="00C6052E">
              <w:t xml:space="preserve"> </w:t>
            </w:r>
            <w:r w:rsidRPr="00C6052E">
              <w:t>expenditure</w:t>
            </w:r>
            <w:r w:rsidR="00177848" w:rsidRPr="00C6052E">
              <w:t xml:space="preserve"> </w:t>
            </w:r>
            <w:r w:rsidRPr="00C6052E">
              <w:t>commitments</w:t>
            </w:r>
          </w:p>
        </w:tc>
        <w:tc>
          <w:tcPr>
            <w:tcW w:w="1361" w:type="dxa"/>
            <w:noWrap/>
            <w:hideMark/>
          </w:tcPr>
          <w:p w14:paraId="44FDF1BB" w14:textId="77777777" w:rsidR="00EE5BB8" w:rsidRPr="00C6052E" w:rsidRDefault="00EE5BB8" w:rsidP="00F660D1">
            <w:pPr>
              <w:pStyle w:val="TableCopy"/>
              <w:jc w:val="right"/>
            </w:pPr>
            <w:r w:rsidRPr="00C6052E">
              <w:t>38,754</w:t>
            </w:r>
          </w:p>
        </w:tc>
        <w:tc>
          <w:tcPr>
            <w:tcW w:w="1361" w:type="dxa"/>
            <w:noWrap/>
            <w:hideMark/>
          </w:tcPr>
          <w:p w14:paraId="5D2F5D30" w14:textId="77777777" w:rsidR="00EE5BB8" w:rsidRPr="00C6052E" w:rsidRDefault="00EE5BB8" w:rsidP="00F660D1">
            <w:pPr>
              <w:pStyle w:val="TableCopy"/>
              <w:jc w:val="right"/>
            </w:pPr>
            <w:r w:rsidRPr="00C6052E">
              <w:t>–</w:t>
            </w:r>
          </w:p>
        </w:tc>
        <w:tc>
          <w:tcPr>
            <w:tcW w:w="1361" w:type="dxa"/>
            <w:noWrap/>
            <w:hideMark/>
          </w:tcPr>
          <w:p w14:paraId="7D16D47F" w14:textId="77777777" w:rsidR="00EE5BB8" w:rsidRPr="00C6052E" w:rsidRDefault="00EE5BB8" w:rsidP="00F660D1">
            <w:pPr>
              <w:pStyle w:val="TableCopy"/>
              <w:jc w:val="right"/>
            </w:pPr>
            <w:r w:rsidRPr="00C6052E">
              <w:t>–</w:t>
            </w:r>
          </w:p>
        </w:tc>
        <w:tc>
          <w:tcPr>
            <w:tcW w:w="1361" w:type="dxa"/>
            <w:noWrap/>
            <w:hideMark/>
          </w:tcPr>
          <w:p w14:paraId="6FE31913" w14:textId="77777777" w:rsidR="00EE5BB8" w:rsidRPr="00C6052E" w:rsidRDefault="00EE5BB8" w:rsidP="00F660D1">
            <w:pPr>
              <w:pStyle w:val="TableCopy"/>
              <w:jc w:val="right"/>
            </w:pPr>
            <w:r w:rsidRPr="00C6052E">
              <w:t>38,754</w:t>
            </w:r>
          </w:p>
        </w:tc>
      </w:tr>
      <w:tr w:rsidR="00EE5BB8" w:rsidRPr="00C6052E" w14:paraId="58B0091A" w14:textId="77777777" w:rsidTr="00F660D1">
        <w:tc>
          <w:tcPr>
            <w:tcW w:w="4248" w:type="dxa"/>
            <w:hideMark/>
          </w:tcPr>
          <w:p w14:paraId="71E3A98A" w14:textId="4FB4710C" w:rsidR="00EE5BB8" w:rsidRPr="00C6052E" w:rsidRDefault="00EE5BB8" w:rsidP="0063097D">
            <w:pPr>
              <w:pStyle w:val="TableCopy"/>
            </w:pPr>
            <w:r w:rsidRPr="00C6052E">
              <w:t>Grant</w:t>
            </w:r>
            <w:r w:rsidR="00177848" w:rsidRPr="00C6052E">
              <w:t xml:space="preserve"> </w:t>
            </w:r>
            <w:r w:rsidRPr="00C6052E">
              <w:t>commitments</w:t>
            </w:r>
            <w:r w:rsidRPr="00C6052E">
              <w:rPr>
                <w:vertAlign w:val="superscript"/>
              </w:rPr>
              <w:t>(ii)</w:t>
            </w:r>
          </w:p>
        </w:tc>
        <w:tc>
          <w:tcPr>
            <w:tcW w:w="1361" w:type="dxa"/>
            <w:noWrap/>
            <w:hideMark/>
          </w:tcPr>
          <w:p w14:paraId="45EBFD9B" w14:textId="77777777" w:rsidR="00EE5BB8" w:rsidRPr="00C6052E" w:rsidRDefault="00EE5BB8" w:rsidP="00F660D1">
            <w:pPr>
              <w:pStyle w:val="TableCopy"/>
              <w:jc w:val="right"/>
            </w:pPr>
            <w:r w:rsidRPr="00C6052E">
              <w:t>903,641</w:t>
            </w:r>
          </w:p>
        </w:tc>
        <w:tc>
          <w:tcPr>
            <w:tcW w:w="1361" w:type="dxa"/>
            <w:noWrap/>
            <w:hideMark/>
          </w:tcPr>
          <w:p w14:paraId="096D017F" w14:textId="77777777" w:rsidR="00EE5BB8" w:rsidRPr="00C6052E" w:rsidRDefault="00EE5BB8" w:rsidP="00F660D1">
            <w:pPr>
              <w:pStyle w:val="TableCopy"/>
              <w:jc w:val="right"/>
            </w:pPr>
            <w:r w:rsidRPr="00C6052E">
              <w:t>1,273,902</w:t>
            </w:r>
          </w:p>
        </w:tc>
        <w:tc>
          <w:tcPr>
            <w:tcW w:w="1361" w:type="dxa"/>
            <w:noWrap/>
            <w:hideMark/>
          </w:tcPr>
          <w:p w14:paraId="35DF24FA" w14:textId="77777777" w:rsidR="00EE5BB8" w:rsidRPr="00C6052E" w:rsidRDefault="00EE5BB8" w:rsidP="00F660D1">
            <w:pPr>
              <w:pStyle w:val="TableCopy"/>
              <w:jc w:val="right"/>
            </w:pPr>
            <w:r w:rsidRPr="00C6052E">
              <w:t>240,500</w:t>
            </w:r>
          </w:p>
        </w:tc>
        <w:tc>
          <w:tcPr>
            <w:tcW w:w="1361" w:type="dxa"/>
            <w:noWrap/>
            <w:hideMark/>
          </w:tcPr>
          <w:p w14:paraId="4C9A5B5E" w14:textId="77777777" w:rsidR="00EE5BB8" w:rsidRPr="00C6052E" w:rsidRDefault="00EE5BB8" w:rsidP="00F660D1">
            <w:pPr>
              <w:pStyle w:val="TableCopy"/>
              <w:jc w:val="right"/>
            </w:pPr>
            <w:r w:rsidRPr="00C6052E">
              <w:t>2,418,043</w:t>
            </w:r>
          </w:p>
        </w:tc>
      </w:tr>
      <w:tr w:rsidR="00EE5BB8" w:rsidRPr="00C6052E" w14:paraId="5192D3E1" w14:textId="77777777" w:rsidTr="00F660D1">
        <w:tc>
          <w:tcPr>
            <w:tcW w:w="4248" w:type="dxa"/>
            <w:noWrap/>
            <w:hideMark/>
          </w:tcPr>
          <w:p w14:paraId="745A101F" w14:textId="3D91E284" w:rsidR="00EE5BB8" w:rsidRPr="00C6052E" w:rsidRDefault="00EE5BB8" w:rsidP="0063097D">
            <w:pPr>
              <w:pStyle w:val="TableCopy"/>
            </w:pPr>
            <w:r w:rsidRPr="00C6052E">
              <w:t>Total</w:t>
            </w:r>
            <w:r w:rsidR="00177848" w:rsidRPr="00C6052E">
              <w:t xml:space="preserve"> </w:t>
            </w:r>
            <w:r w:rsidRPr="00C6052E">
              <w:t>commitment</w:t>
            </w:r>
            <w:r w:rsidR="00177848" w:rsidRPr="00C6052E">
              <w:t xml:space="preserve"> </w:t>
            </w:r>
            <w:r w:rsidRPr="00C6052E">
              <w:t>(inclusive</w:t>
            </w:r>
            <w:r w:rsidR="00177848" w:rsidRPr="00C6052E">
              <w:t xml:space="preserve"> </w:t>
            </w:r>
            <w:r w:rsidRPr="00C6052E">
              <w:t>of</w:t>
            </w:r>
            <w:r w:rsidR="00177848" w:rsidRPr="00C6052E">
              <w:t xml:space="preserve"> </w:t>
            </w:r>
            <w:r w:rsidRPr="00C6052E">
              <w:t>GST)</w:t>
            </w:r>
          </w:p>
        </w:tc>
        <w:tc>
          <w:tcPr>
            <w:tcW w:w="1361" w:type="dxa"/>
            <w:noWrap/>
            <w:hideMark/>
          </w:tcPr>
          <w:p w14:paraId="3E2961C2" w14:textId="77777777" w:rsidR="00EE5BB8" w:rsidRPr="00C6052E" w:rsidRDefault="00EE5BB8" w:rsidP="00F660D1">
            <w:pPr>
              <w:pStyle w:val="TableCopy"/>
              <w:jc w:val="right"/>
            </w:pPr>
            <w:r w:rsidRPr="00C6052E">
              <w:t>1,026,598</w:t>
            </w:r>
          </w:p>
        </w:tc>
        <w:tc>
          <w:tcPr>
            <w:tcW w:w="1361" w:type="dxa"/>
            <w:noWrap/>
            <w:hideMark/>
          </w:tcPr>
          <w:p w14:paraId="549829EA" w14:textId="77777777" w:rsidR="00EE5BB8" w:rsidRPr="00C6052E" w:rsidRDefault="00EE5BB8" w:rsidP="00F660D1">
            <w:pPr>
              <w:pStyle w:val="TableCopy"/>
              <w:jc w:val="right"/>
            </w:pPr>
            <w:r w:rsidRPr="00C6052E">
              <w:t>1,593,617</w:t>
            </w:r>
          </w:p>
        </w:tc>
        <w:tc>
          <w:tcPr>
            <w:tcW w:w="1361" w:type="dxa"/>
            <w:noWrap/>
            <w:hideMark/>
          </w:tcPr>
          <w:p w14:paraId="6C8CD910" w14:textId="77777777" w:rsidR="00EE5BB8" w:rsidRPr="00C6052E" w:rsidRDefault="00EE5BB8" w:rsidP="00F660D1">
            <w:pPr>
              <w:pStyle w:val="TableCopy"/>
              <w:jc w:val="right"/>
            </w:pPr>
            <w:r w:rsidRPr="00C6052E">
              <w:t>450,129</w:t>
            </w:r>
          </w:p>
        </w:tc>
        <w:tc>
          <w:tcPr>
            <w:tcW w:w="1361" w:type="dxa"/>
            <w:noWrap/>
            <w:hideMark/>
          </w:tcPr>
          <w:p w14:paraId="72701998" w14:textId="77777777" w:rsidR="00EE5BB8" w:rsidRPr="00C6052E" w:rsidRDefault="00EE5BB8" w:rsidP="00F660D1">
            <w:pPr>
              <w:pStyle w:val="TableCopy"/>
              <w:jc w:val="right"/>
            </w:pPr>
            <w:r w:rsidRPr="00C6052E">
              <w:t>3,070,344</w:t>
            </w:r>
          </w:p>
        </w:tc>
      </w:tr>
      <w:tr w:rsidR="00EE5BB8" w:rsidRPr="00C6052E" w14:paraId="03870018" w14:textId="77777777" w:rsidTr="00F660D1">
        <w:tc>
          <w:tcPr>
            <w:tcW w:w="4248" w:type="dxa"/>
            <w:noWrap/>
            <w:hideMark/>
          </w:tcPr>
          <w:p w14:paraId="08D73BBA" w14:textId="12CB107D" w:rsidR="00EE5BB8" w:rsidRPr="00C6052E" w:rsidRDefault="00EE5BB8" w:rsidP="0063097D">
            <w:pPr>
              <w:pStyle w:val="TableCopy"/>
            </w:pPr>
            <w:r w:rsidRPr="00C6052E">
              <w:t>Less</w:t>
            </w:r>
            <w:r w:rsidR="00177848" w:rsidRPr="00C6052E">
              <w:t xml:space="preserve"> </w:t>
            </w:r>
            <w:r w:rsidRPr="00C6052E">
              <w:t>GST</w:t>
            </w:r>
            <w:r w:rsidR="00177848" w:rsidRPr="00C6052E">
              <w:t xml:space="preserve"> </w:t>
            </w:r>
            <w:r w:rsidRPr="00C6052E">
              <w:t>recoverable</w:t>
            </w:r>
          </w:p>
        </w:tc>
        <w:tc>
          <w:tcPr>
            <w:tcW w:w="1361" w:type="dxa"/>
            <w:noWrap/>
            <w:hideMark/>
          </w:tcPr>
          <w:p w14:paraId="441B1201" w14:textId="3AA94D99" w:rsidR="00EE5BB8" w:rsidRPr="00C6052E" w:rsidRDefault="00177848" w:rsidP="00F660D1">
            <w:pPr>
              <w:pStyle w:val="TableCopy"/>
              <w:jc w:val="right"/>
            </w:pPr>
            <w:r w:rsidRPr="00C6052E">
              <w:rPr>
                <w:rFonts w:cs="Cambria"/>
              </w:rPr>
              <w:t xml:space="preserve"> </w:t>
            </w:r>
          </w:p>
        </w:tc>
        <w:tc>
          <w:tcPr>
            <w:tcW w:w="1361" w:type="dxa"/>
            <w:noWrap/>
            <w:hideMark/>
          </w:tcPr>
          <w:p w14:paraId="5D8E9C7C" w14:textId="437E82A9" w:rsidR="00EE5BB8" w:rsidRPr="00C6052E" w:rsidRDefault="00177848" w:rsidP="00F660D1">
            <w:pPr>
              <w:pStyle w:val="TableCopy"/>
              <w:jc w:val="right"/>
            </w:pPr>
            <w:r w:rsidRPr="00C6052E">
              <w:rPr>
                <w:rFonts w:cs="Cambria"/>
              </w:rPr>
              <w:t xml:space="preserve"> </w:t>
            </w:r>
          </w:p>
        </w:tc>
        <w:tc>
          <w:tcPr>
            <w:tcW w:w="1361" w:type="dxa"/>
            <w:noWrap/>
            <w:hideMark/>
          </w:tcPr>
          <w:p w14:paraId="43161F02" w14:textId="051598CB" w:rsidR="00EE5BB8" w:rsidRPr="00C6052E" w:rsidRDefault="00177848" w:rsidP="00F660D1">
            <w:pPr>
              <w:pStyle w:val="TableCopy"/>
              <w:jc w:val="right"/>
            </w:pPr>
            <w:r w:rsidRPr="00C6052E">
              <w:rPr>
                <w:rFonts w:cs="Cambria"/>
              </w:rPr>
              <w:t xml:space="preserve"> </w:t>
            </w:r>
          </w:p>
        </w:tc>
        <w:tc>
          <w:tcPr>
            <w:tcW w:w="1361" w:type="dxa"/>
            <w:noWrap/>
            <w:hideMark/>
          </w:tcPr>
          <w:p w14:paraId="42B06106" w14:textId="77777777" w:rsidR="00EE5BB8" w:rsidRPr="00C6052E" w:rsidRDefault="00EE5BB8" w:rsidP="00F660D1">
            <w:pPr>
              <w:pStyle w:val="TableCopy"/>
              <w:jc w:val="right"/>
            </w:pPr>
            <w:r w:rsidRPr="00C6052E">
              <w:t>(279,122)</w:t>
            </w:r>
          </w:p>
        </w:tc>
      </w:tr>
      <w:tr w:rsidR="00EE5BB8" w:rsidRPr="00C6052E" w14:paraId="5E1A348C" w14:textId="77777777" w:rsidTr="00F660D1">
        <w:tc>
          <w:tcPr>
            <w:tcW w:w="4248" w:type="dxa"/>
            <w:noWrap/>
            <w:hideMark/>
          </w:tcPr>
          <w:p w14:paraId="6D1B552F" w14:textId="1BA79F07" w:rsidR="00EE5BB8" w:rsidRPr="00C6052E" w:rsidRDefault="00EE5BB8" w:rsidP="0063097D">
            <w:pPr>
              <w:pStyle w:val="Tabletotal"/>
            </w:pPr>
            <w:r w:rsidRPr="00C6052E">
              <w:t>Total</w:t>
            </w:r>
            <w:r w:rsidR="00177848" w:rsidRPr="00C6052E">
              <w:t xml:space="preserve"> </w:t>
            </w:r>
            <w:r w:rsidRPr="00C6052E">
              <w:t>commitment</w:t>
            </w:r>
            <w:r w:rsidR="00177848" w:rsidRPr="00C6052E">
              <w:t xml:space="preserve"> </w:t>
            </w:r>
            <w:r w:rsidRPr="00C6052E">
              <w:t>(exclusive</w:t>
            </w:r>
            <w:r w:rsidR="00177848" w:rsidRPr="00C6052E">
              <w:t xml:space="preserve"> </w:t>
            </w:r>
            <w:r w:rsidRPr="00C6052E">
              <w:t>of</w:t>
            </w:r>
            <w:r w:rsidR="00177848" w:rsidRPr="00C6052E">
              <w:t xml:space="preserve"> </w:t>
            </w:r>
            <w:r w:rsidRPr="00C6052E">
              <w:t>GST)</w:t>
            </w:r>
          </w:p>
        </w:tc>
        <w:tc>
          <w:tcPr>
            <w:tcW w:w="1361" w:type="dxa"/>
            <w:noWrap/>
            <w:hideMark/>
          </w:tcPr>
          <w:p w14:paraId="4C9FDC51" w14:textId="11E7245A" w:rsidR="00EE5BB8" w:rsidRPr="00C6052E" w:rsidRDefault="00177848" w:rsidP="00F660D1">
            <w:pPr>
              <w:pStyle w:val="Tabletotal"/>
              <w:jc w:val="right"/>
            </w:pPr>
            <w:r w:rsidRPr="00C6052E">
              <w:rPr>
                <w:rFonts w:cs="Cambria"/>
              </w:rPr>
              <w:t xml:space="preserve"> </w:t>
            </w:r>
          </w:p>
        </w:tc>
        <w:tc>
          <w:tcPr>
            <w:tcW w:w="1361" w:type="dxa"/>
            <w:noWrap/>
            <w:hideMark/>
          </w:tcPr>
          <w:p w14:paraId="2BD3ED2A" w14:textId="69F0B92F" w:rsidR="00EE5BB8" w:rsidRPr="00C6052E" w:rsidRDefault="00177848" w:rsidP="00F660D1">
            <w:pPr>
              <w:pStyle w:val="Tabletotal"/>
              <w:jc w:val="right"/>
            </w:pPr>
            <w:r w:rsidRPr="00C6052E">
              <w:rPr>
                <w:rFonts w:cs="Cambria"/>
              </w:rPr>
              <w:t xml:space="preserve"> </w:t>
            </w:r>
          </w:p>
        </w:tc>
        <w:tc>
          <w:tcPr>
            <w:tcW w:w="1361" w:type="dxa"/>
            <w:noWrap/>
            <w:hideMark/>
          </w:tcPr>
          <w:p w14:paraId="7C3E20A6" w14:textId="56D749A3" w:rsidR="00EE5BB8" w:rsidRPr="00C6052E" w:rsidRDefault="00177848" w:rsidP="00F660D1">
            <w:pPr>
              <w:pStyle w:val="Tabletotal"/>
              <w:jc w:val="right"/>
            </w:pPr>
            <w:r w:rsidRPr="00C6052E">
              <w:rPr>
                <w:rFonts w:cs="Cambria"/>
              </w:rPr>
              <w:t xml:space="preserve"> </w:t>
            </w:r>
          </w:p>
        </w:tc>
        <w:tc>
          <w:tcPr>
            <w:tcW w:w="1361" w:type="dxa"/>
            <w:noWrap/>
            <w:hideMark/>
          </w:tcPr>
          <w:p w14:paraId="76776993" w14:textId="77777777" w:rsidR="00EE5BB8" w:rsidRPr="00C6052E" w:rsidRDefault="00EE5BB8" w:rsidP="00F660D1">
            <w:pPr>
              <w:pStyle w:val="Tabletotal"/>
              <w:jc w:val="right"/>
            </w:pPr>
            <w:r w:rsidRPr="00C6052E">
              <w:t>2,791,222</w:t>
            </w:r>
          </w:p>
        </w:tc>
      </w:tr>
    </w:tbl>
    <w:p w14:paraId="2E5EBA59" w14:textId="42A5FA4B" w:rsidR="00EE5BB8" w:rsidRPr="00C6052E" w:rsidRDefault="00EE5BB8" w:rsidP="00E97D0C">
      <w:pPr>
        <w:pStyle w:val="Tablenotes-numbered"/>
        <w:keepNext/>
        <w:numPr>
          <w:ilvl w:val="0"/>
          <w:numId w:val="31"/>
        </w:numPr>
      </w:pPr>
      <w:bookmarkStart w:id="305" w:name="_Hlk208417174"/>
      <w:r w:rsidRPr="00C6052E">
        <w:lastRenderedPageBreak/>
        <w:t>This</w:t>
      </w:r>
      <w:r w:rsidR="00177848" w:rsidRPr="00C6052E">
        <w:t xml:space="preserve"> </w:t>
      </w:r>
      <w:r w:rsidRPr="00C6052E">
        <w:t>relates</w:t>
      </w:r>
      <w:r w:rsidR="00177848" w:rsidRPr="00C6052E">
        <w:t xml:space="preserve"> </w:t>
      </w:r>
      <w:r w:rsidRPr="00C6052E">
        <w:t>to</w:t>
      </w:r>
      <w:r w:rsidR="00177848" w:rsidRPr="00C6052E">
        <w:t xml:space="preserve"> </w:t>
      </w:r>
      <w:r w:rsidRPr="00C6052E">
        <w:t>grants</w:t>
      </w:r>
      <w:r w:rsidR="00177848" w:rsidRPr="00C6052E">
        <w:t xml:space="preserve"> </w:t>
      </w:r>
      <w:r w:rsidRPr="00C6052E">
        <w:t>payable</w:t>
      </w:r>
      <w:r w:rsidR="00177848" w:rsidRPr="00C6052E">
        <w:t xml:space="preserve"> </w:t>
      </w:r>
      <w:r w:rsidRPr="00C6052E">
        <w:t>to</w:t>
      </w:r>
      <w:r w:rsidR="00177848" w:rsidRPr="00C6052E">
        <w:t xml:space="preserve"> </w:t>
      </w:r>
      <w:r w:rsidRPr="00C6052E">
        <w:t>entities,</w:t>
      </w:r>
      <w:r w:rsidR="00177848" w:rsidRPr="00C6052E">
        <w:t xml:space="preserve"> </w:t>
      </w:r>
      <w:r w:rsidRPr="00C6052E">
        <w:t>including</w:t>
      </w:r>
      <w:r w:rsidR="00177848" w:rsidRPr="00C6052E">
        <w:t xml:space="preserve"> </w:t>
      </w:r>
      <w:r w:rsidRPr="00C6052E">
        <w:t>for</w:t>
      </w:r>
      <w:r w:rsidR="00177848" w:rsidRPr="00C6052E">
        <w:t xml:space="preserve"> </w:t>
      </w:r>
      <w:r w:rsidRPr="00C6052E">
        <w:t>industry</w:t>
      </w:r>
      <w:r w:rsidR="00177848" w:rsidRPr="00C6052E">
        <w:t xml:space="preserve"> </w:t>
      </w:r>
      <w:r w:rsidRPr="00C6052E">
        <w:t>development,</w:t>
      </w:r>
      <w:r w:rsidR="00177848" w:rsidRPr="00C6052E">
        <w:t xml:space="preserve"> </w:t>
      </w:r>
      <w:r w:rsidRPr="00C6052E">
        <w:t>medical</w:t>
      </w:r>
      <w:r w:rsidR="00177848" w:rsidRPr="00C6052E">
        <w:t xml:space="preserve"> </w:t>
      </w:r>
      <w:r w:rsidRPr="00C6052E">
        <w:t>research,</w:t>
      </w:r>
      <w:r w:rsidR="00177848" w:rsidRPr="00C6052E">
        <w:t xml:space="preserve"> </w:t>
      </w:r>
      <w:r w:rsidRPr="00C6052E">
        <w:t>sport</w:t>
      </w:r>
      <w:r w:rsidR="00177848" w:rsidRPr="00C6052E">
        <w:t xml:space="preserve"> </w:t>
      </w:r>
      <w:r w:rsidRPr="00C6052E">
        <w:t>and</w:t>
      </w:r>
      <w:r w:rsidR="00177848" w:rsidRPr="00C6052E">
        <w:t xml:space="preserve"> </w:t>
      </w:r>
      <w:r w:rsidRPr="00C6052E">
        <w:t>tourism</w:t>
      </w:r>
      <w:r w:rsidR="00177848" w:rsidRPr="00C6052E">
        <w:t xml:space="preserve"> </w:t>
      </w:r>
      <w:r w:rsidRPr="00C6052E">
        <w:t>infrastructure,</w:t>
      </w:r>
      <w:r w:rsidR="00177848" w:rsidRPr="00C6052E">
        <w:t xml:space="preserve"> </w:t>
      </w:r>
      <w:r w:rsidRPr="00C6052E">
        <w:t>regional</w:t>
      </w:r>
      <w:r w:rsidR="00177848" w:rsidRPr="00C6052E">
        <w:t xml:space="preserve"> </w:t>
      </w:r>
      <w:r w:rsidRPr="00C6052E">
        <w:t>development,</w:t>
      </w:r>
      <w:r w:rsidR="00177848" w:rsidRPr="00C6052E">
        <w:t xml:space="preserve"> </w:t>
      </w:r>
      <w:r w:rsidRPr="00C6052E">
        <w:t>and</w:t>
      </w:r>
      <w:r w:rsidR="00177848" w:rsidRPr="00C6052E">
        <w:t xml:space="preserve"> </w:t>
      </w:r>
      <w:r w:rsidRPr="00C6052E">
        <w:t>skills.</w:t>
      </w:r>
    </w:p>
    <w:p w14:paraId="031FB9DC" w14:textId="00E53144" w:rsidR="00EE5BB8" w:rsidRPr="00C6052E" w:rsidRDefault="00EE5BB8" w:rsidP="00EE5BB8">
      <w:pPr>
        <w:pStyle w:val="Tablenotes-numbered"/>
        <w:numPr>
          <w:ilvl w:val="0"/>
          <w:numId w:val="31"/>
        </w:numPr>
      </w:pPr>
      <w:r w:rsidRPr="00C6052E">
        <w:t>This</w:t>
      </w:r>
      <w:r w:rsidR="00177848" w:rsidRPr="00C6052E">
        <w:t xml:space="preserve"> </w:t>
      </w:r>
      <w:r w:rsidRPr="00C6052E">
        <w:t>includes</w:t>
      </w:r>
      <w:r w:rsidR="00177848" w:rsidRPr="00C6052E">
        <w:t xml:space="preserve"> </w:t>
      </w:r>
      <w:r w:rsidRPr="00C6052E">
        <w:t>future</w:t>
      </w:r>
      <w:r w:rsidR="00177848" w:rsidRPr="00C6052E">
        <w:t xml:space="preserve"> </w:t>
      </w:r>
      <w:r w:rsidRPr="00C6052E">
        <w:t>service</w:t>
      </w:r>
      <w:r w:rsidR="00177848" w:rsidRPr="00C6052E">
        <w:t xml:space="preserve"> </w:t>
      </w:r>
      <w:r w:rsidRPr="00C6052E">
        <w:t>concession</w:t>
      </w:r>
      <w:r w:rsidR="00177848" w:rsidRPr="00C6052E">
        <w:t xml:space="preserve"> </w:t>
      </w:r>
      <w:r w:rsidRPr="00C6052E">
        <w:t>arrangements</w:t>
      </w:r>
      <w:r w:rsidR="00177848" w:rsidRPr="00C6052E">
        <w:t xml:space="preserve"> </w:t>
      </w:r>
      <w:r w:rsidRPr="00C6052E">
        <w:t>–</w:t>
      </w:r>
      <w:r w:rsidR="00177848" w:rsidRPr="00C6052E">
        <w:t xml:space="preserve"> </w:t>
      </w:r>
      <w:r w:rsidRPr="00C6052E">
        <w:t>refer</w:t>
      </w:r>
      <w:r w:rsidR="00177848" w:rsidRPr="00C6052E">
        <w:t xml:space="preserve"> </w:t>
      </w:r>
      <w:r w:rsidRPr="00C6052E">
        <w:t>to</w:t>
      </w:r>
      <w:r w:rsidR="00177848" w:rsidRPr="00C6052E">
        <w:t xml:space="preserve"> </w:t>
      </w:r>
      <w:r w:rsidRPr="00C6052E">
        <w:t>Note</w:t>
      </w:r>
      <w:r w:rsidR="00177848" w:rsidRPr="00C6052E">
        <w:t xml:space="preserve"> </w:t>
      </w:r>
      <w:r w:rsidRPr="00C6052E">
        <w:fldChar w:fldCharType="begin"/>
      </w:r>
      <w:r w:rsidRPr="00C6052E">
        <w:instrText xml:space="preserve"> REF _Ref209518194 \r \h  \* MERGEFORMAT </w:instrText>
      </w:r>
      <w:r w:rsidRPr="00C6052E">
        <w:fldChar w:fldCharType="separate"/>
      </w:r>
      <w:r w:rsidRPr="00C6052E">
        <w:t>6.3</w:t>
      </w:r>
      <w:r w:rsidRPr="00C6052E">
        <w:fldChar w:fldCharType="end"/>
      </w:r>
      <w:r w:rsidR="00177848" w:rsidRPr="00C6052E">
        <w:t xml:space="preserve"> </w:t>
      </w:r>
      <w:r w:rsidRPr="00C6052E">
        <w:t>–</w:t>
      </w:r>
      <w:r w:rsidR="00177848" w:rsidRPr="00C6052E">
        <w:t xml:space="preserve"> </w:t>
      </w:r>
      <w:r w:rsidRPr="00C6052E">
        <w:fldChar w:fldCharType="begin"/>
      </w:r>
      <w:r w:rsidRPr="00C6052E">
        <w:instrText xml:space="preserve"> REF _Ref209518205 \h  \* MERGEFORMAT </w:instrText>
      </w:r>
      <w:r w:rsidRPr="00C6052E">
        <w:fldChar w:fldCharType="separate"/>
      </w:r>
      <w:r w:rsidRPr="00C6052E">
        <w:t>Other</w:t>
      </w:r>
      <w:r w:rsidR="00177848" w:rsidRPr="00C6052E">
        <w:t xml:space="preserve"> </w:t>
      </w:r>
      <w:r w:rsidRPr="00C6052E">
        <w:t>non-financial</w:t>
      </w:r>
      <w:r w:rsidR="00177848" w:rsidRPr="00C6052E">
        <w:t xml:space="preserve"> </w:t>
      </w:r>
      <w:r w:rsidRPr="00C6052E">
        <w:t>assets</w:t>
      </w:r>
      <w:r w:rsidRPr="00C6052E">
        <w:fldChar w:fldCharType="end"/>
      </w:r>
      <w:r w:rsidRPr="00C6052E">
        <w:t>.</w:t>
      </w:r>
      <w:r w:rsidR="00177848" w:rsidRPr="00C6052E">
        <w:t xml:space="preserve"> </w:t>
      </w:r>
    </w:p>
    <w:p w14:paraId="266A9390" w14:textId="365A819E" w:rsidR="00EE5BB8" w:rsidRPr="00C6052E" w:rsidRDefault="00EE5BB8" w:rsidP="00EE5BB8">
      <w:pPr>
        <w:pStyle w:val="Heading1numbered0"/>
        <w:ind w:left="284" w:hanging="284"/>
      </w:pPr>
      <w:bookmarkStart w:id="306" w:name="_Toc163565983"/>
      <w:bookmarkStart w:id="307" w:name="_Toc214618242"/>
      <w:bookmarkEnd w:id="302"/>
      <w:bookmarkEnd w:id="305"/>
      <w:r w:rsidRPr="00C6052E">
        <w:t>Risks,</w:t>
      </w:r>
      <w:r w:rsidR="00177848" w:rsidRPr="00C6052E">
        <w:t xml:space="preserve"> </w:t>
      </w:r>
      <w:r w:rsidRPr="00C6052E">
        <w:t>Contingencies</w:t>
      </w:r>
      <w:r w:rsidR="00177848" w:rsidRPr="00C6052E">
        <w:t xml:space="preserve"> </w:t>
      </w:r>
      <w:r w:rsidRPr="00C6052E">
        <w:t>and</w:t>
      </w:r>
      <w:r w:rsidR="00177848" w:rsidRPr="00C6052E">
        <w:t xml:space="preserve"> </w:t>
      </w:r>
      <w:r w:rsidRPr="00C6052E">
        <w:t>Valuation</w:t>
      </w:r>
      <w:r w:rsidR="00177848" w:rsidRPr="00C6052E">
        <w:t xml:space="preserve"> </w:t>
      </w:r>
      <w:r w:rsidRPr="00C6052E">
        <w:t>Judgements</w:t>
      </w:r>
      <w:bookmarkEnd w:id="306"/>
      <w:bookmarkEnd w:id="307"/>
    </w:p>
    <w:p w14:paraId="13997ED5" w14:textId="77777777" w:rsidR="00EE5BB8" w:rsidRPr="00C6052E" w:rsidRDefault="00EE5BB8" w:rsidP="00E97D0C">
      <w:pPr>
        <w:pStyle w:val="Heading3"/>
      </w:pPr>
      <w:bookmarkStart w:id="308" w:name="_Toc163565984"/>
      <w:bookmarkStart w:id="309" w:name="_Toc163566591"/>
      <w:bookmarkStart w:id="310" w:name="_Toc174009512"/>
      <w:r w:rsidRPr="00C6052E">
        <w:t>Introduction</w:t>
      </w:r>
      <w:bookmarkEnd w:id="308"/>
      <w:bookmarkEnd w:id="309"/>
      <w:bookmarkEnd w:id="310"/>
    </w:p>
    <w:p w14:paraId="02A36B74" w14:textId="6A32E2BD" w:rsidR="00EE5BB8" w:rsidRPr="00C6052E" w:rsidRDefault="00EE5BB8" w:rsidP="00EE5BB8">
      <w:fldSimple w:instr=" DOCPROPERTY  shortName  \* MERGEFORMAT ">
        <w:r w:rsidRPr="00C6052E">
          <w:t>DJSIR</w:t>
        </w:r>
      </w:fldSimple>
      <w:r w:rsidR="00177848" w:rsidRPr="00C6052E">
        <w:t xml:space="preserve"> </w:t>
      </w:r>
      <w:r w:rsidRPr="00C6052E">
        <w:t>is</w:t>
      </w:r>
      <w:r w:rsidR="00177848" w:rsidRPr="00C6052E">
        <w:t xml:space="preserve"> </w:t>
      </w:r>
      <w:r w:rsidRPr="00C6052E">
        <w:t>exposed</w:t>
      </w:r>
      <w:r w:rsidR="00177848" w:rsidRPr="00C6052E">
        <w:t xml:space="preserve"> </w:t>
      </w:r>
      <w:r w:rsidRPr="00C6052E">
        <w:t>to</w:t>
      </w:r>
      <w:r w:rsidR="00177848" w:rsidRPr="00C6052E">
        <w:t xml:space="preserve"> </w:t>
      </w:r>
      <w:r w:rsidRPr="00C6052E">
        <w:t>risk</w:t>
      </w:r>
      <w:r w:rsidR="00177848" w:rsidRPr="00C6052E">
        <w:t xml:space="preserve"> </w:t>
      </w:r>
      <w:r w:rsidRPr="00C6052E">
        <w:t>from</w:t>
      </w:r>
      <w:r w:rsidR="00177848" w:rsidRPr="00C6052E">
        <w:t xml:space="preserve"> </w:t>
      </w:r>
      <w:r w:rsidRPr="00C6052E">
        <w:t>its</w:t>
      </w:r>
      <w:r w:rsidR="00177848" w:rsidRPr="00C6052E">
        <w:t xml:space="preserve"> </w:t>
      </w:r>
      <w:r w:rsidRPr="00C6052E">
        <w:t>activities</w:t>
      </w:r>
      <w:r w:rsidR="00177848" w:rsidRPr="00C6052E">
        <w:t xml:space="preserve"> </w:t>
      </w:r>
      <w:r w:rsidRPr="00C6052E">
        <w:t>and</w:t>
      </w:r>
      <w:r w:rsidR="00177848" w:rsidRPr="00C6052E">
        <w:t xml:space="preserve"> </w:t>
      </w:r>
      <w:r w:rsidRPr="00C6052E">
        <w:t>outside</w:t>
      </w:r>
      <w:r w:rsidR="00177848" w:rsidRPr="00C6052E">
        <w:t xml:space="preserve"> </w:t>
      </w:r>
      <w:r w:rsidRPr="00C6052E">
        <w:t>factors.</w:t>
      </w:r>
      <w:r w:rsidR="00177848" w:rsidRPr="00C6052E">
        <w:t xml:space="preserve"> </w:t>
      </w:r>
      <w:r w:rsidRPr="00C6052E">
        <w:t>In</w:t>
      </w:r>
      <w:r w:rsidR="00177848" w:rsidRPr="00C6052E">
        <w:t xml:space="preserve"> </w:t>
      </w:r>
      <w:r w:rsidRPr="00C6052E">
        <w:t>addition,</w:t>
      </w:r>
      <w:r w:rsidR="00177848" w:rsidRPr="00C6052E">
        <w:t xml:space="preserve"> </w:t>
      </w:r>
      <w:r w:rsidRPr="00C6052E">
        <w:t>it</w:t>
      </w:r>
      <w:r w:rsidR="00177848" w:rsidRPr="00C6052E">
        <w:t xml:space="preserve"> </w:t>
      </w:r>
      <w:r w:rsidRPr="00C6052E">
        <w:t>is</w:t>
      </w:r>
      <w:r w:rsidR="00177848" w:rsidRPr="00C6052E">
        <w:t xml:space="preserve"> </w:t>
      </w:r>
      <w:r w:rsidRPr="00C6052E">
        <w:t>often</w:t>
      </w:r>
      <w:r w:rsidR="00177848" w:rsidRPr="00C6052E">
        <w:t xml:space="preserve"> </w:t>
      </w:r>
      <w:r w:rsidRPr="00C6052E">
        <w:t>necessary</w:t>
      </w:r>
      <w:r w:rsidR="00177848" w:rsidRPr="00C6052E">
        <w:t xml:space="preserve"> </w:t>
      </w:r>
      <w:r w:rsidRPr="00C6052E">
        <w:t>to</w:t>
      </w:r>
      <w:r w:rsidR="00177848" w:rsidRPr="00C6052E">
        <w:t xml:space="preserve"> </w:t>
      </w:r>
      <w:r w:rsidRPr="00C6052E">
        <w:t>make</w:t>
      </w:r>
      <w:r w:rsidR="00177848" w:rsidRPr="00C6052E">
        <w:t xml:space="preserve"> </w:t>
      </w:r>
      <w:r w:rsidRPr="00C6052E">
        <w:t>judgements</w:t>
      </w:r>
      <w:r w:rsidR="00177848" w:rsidRPr="00C6052E">
        <w:t xml:space="preserve"> </w:t>
      </w:r>
      <w:r w:rsidRPr="00C6052E">
        <w:t>and</w:t>
      </w:r>
      <w:r w:rsidR="00177848" w:rsidRPr="00C6052E">
        <w:t xml:space="preserve"> </w:t>
      </w:r>
      <w:r w:rsidRPr="00C6052E">
        <w:t>estimates</w:t>
      </w:r>
      <w:r w:rsidR="00177848" w:rsidRPr="00C6052E">
        <w:t xml:space="preserve"> </w:t>
      </w:r>
      <w:r w:rsidRPr="00C6052E">
        <w:t>associated</w:t>
      </w:r>
      <w:r w:rsidR="00177848" w:rsidRPr="00C6052E">
        <w:t xml:space="preserve"> </w:t>
      </w:r>
      <w:r w:rsidRPr="00C6052E">
        <w:t>with</w:t>
      </w:r>
      <w:r w:rsidR="00177848" w:rsidRPr="00C6052E">
        <w:t xml:space="preserve"> </w:t>
      </w:r>
      <w:r w:rsidRPr="00C6052E">
        <w:t>recognition</w:t>
      </w:r>
      <w:r w:rsidR="00177848" w:rsidRPr="00C6052E">
        <w:t xml:space="preserve"> </w:t>
      </w:r>
      <w:r w:rsidRPr="00C6052E">
        <w:t>and</w:t>
      </w:r>
      <w:r w:rsidR="00177848" w:rsidRPr="00C6052E">
        <w:t xml:space="preserve"> </w:t>
      </w:r>
      <w:r w:rsidRPr="00C6052E">
        <w:t>measurement</w:t>
      </w:r>
      <w:r w:rsidR="00177848" w:rsidRPr="00C6052E">
        <w:t xml:space="preserve"> </w:t>
      </w:r>
      <w:r w:rsidRPr="00C6052E">
        <w:t>of</w:t>
      </w:r>
      <w:r w:rsidR="00177848" w:rsidRPr="00C6052E">
        <w:t xml:space="preserve"> </w:t>
      </w:r>
      <w:r w:rsidRPr="00C6052E">
        <w:t>items</w:t>
      </w:r>
      <w:r w:rsidR="00177848" w:rsidRPr="00C6052E">
        <w:t xml:space="preserve"> </w:t>
      </w:r>
      <w:r w:rsidRPr="00C6052E">
        <w:t>in</w:t>
      </w:r>
      <w:r w:rsidR="00177848" w:rsidRPr="00C6052E">
        <w:t xml:space="preserve"> </w:t>
      </w:r>
      <w:r w:rsidRPr="00C6052E">
        <w:t>the</w:t>
      </w:r>
      <w:r w:rsidR="00177848" w:rsidRPr="00C6052E">
        <w:t xml:space="preserve"> </w:t>
      </w:r>
      <w:r w:rsidRPr="00C6052E">
        <w:t>financial</w:t>
      </w:r>
      <w:r w:rsidR="00177848" w:rsidRPr="00C6052E">
        <w:t xml:space="preserve"> </w:t>
      </w:r>
      <w:r w:rsidRPr="00C6052E">
        <w:t>statements.</w:t>
      </w:r>
      <w:r w:rsidR="00177848" w:rsidRPr="00C6052E">
        <w:t xml:space="preserve"> </w:t>
      </w:r>
      <w:r w:rsidRPr="00C6052E">
        <w:t>This</w:t>
      </w:r>
      <w:r w:rsidR="00177848" w:rsidRPr="00C6052E">
        <w:t xml:space="preserve"> </w:t>
      </w:r>
      <w:r w:rsidRPr="00C6052E">
        <w:t>section</w:t>
      </w:r>
      <w:r w:rsidR="00177848" w:rsidRPr="00C6052E">
        <w:t xml:space="preserve"> </w:t>
      </w:r>
      <w:r w:rsidRPr="00C6052E">
        <w:t>sets</w:t>
      </w:r>
      <w:r w:rsidR="00177848" w:rsidRPr="00C6052E">
        <w:t xml:space="preserve"> </w:t>
      </w:r>
      <w:r w:rsidRPr="00C6052E">
        <w:t>out</w:t>
      </w:r>
      <w:r w:rsidR="00177848" w:rsidRPr="00C6052E">
        <w:t xml:space="preserve"> </w:t>
      </w:r>
      <w:r w:rsidRPr="00C6052E">
        <w:t>financial</w:t>
      </w:r>
      <w:r w:rsidR="00177848" w:rsidRPr="00C6052E">
        <w:t xml:space="preserve"> </w:t>
      </w:r>
      <w:r w:rsidRPr="00C6052E">
        <w:t>instrument</w:t>
      </w:r>
      <w:r w:rsidR="00177848" w:rsidRPr="00C6052E">
        <w:t xml:space="preserve"> </w:t>
      </w:r>
      <w:r w:rsidRPr="00C6052E">
        <w:t>specific</w:t>
      </w:r>
      <w:r w:rsidR="00177848" w:rsidRPr="00C6052E">
        <w:t xml:space="preserve"> </w:t>
      </w:r>
      <w:r w:rsidRPr="00C6052E">
        <w:t>information,</w:t>
      </w:r>
      <w:r w:rsidR="00177848" w:rsidRPr="00C6052E">
        <w:t xml:space="preserve"> </w:t>
      </w:r>
      <w:r w:rsidRPr="00C6052E">
        <w:t>(including</w:t>
      </w:r>
      <w:r w:rsidR="00177848" w:rsidRPr="00C6052E">
        <w:t xml:space="preserve"> </w:t>
      </w:r>
      <w:r w:rsidRPr="00C6052E">
        <w:t>exposures</w:t>
      </w:r>
      <w:r w:rsidR="00177848" w:rsidRPr="00C6052E">
        <w:t xml:space="preserve"> </w:t>
      </w:r>
      <w:r w:rsidRPr="00C6052E">
        <w:t>to</w:t>
      </w:r>
      <w:r w:rsidR="00177848" w:rsidRPr="00C6052E">
        <w:t xml:space="preserve"> </w:t>
      </w:r>
      <w:r w:rsidRPr="00C6052E">
        <w:t>financial</w:t>
      </w:r>
      <w:r w:rsidR="00177848" w:rsidRPr="00C6052E">
        <w:t xml:space="preserve"> </w:t>
      </w:r>
      <w:r w:rsidRPr="00C6052E">
        <w:t>risks)</w:t>
      </w:r>
      <w:r w:rsidR="00177848" w:rsidRPr="00C6052E">
        <w:t xml:space="preserve"> </w:t>
      </w:r>
      <w:r w:rsidRPr="00C6052E">
        <w:t>as</w:t>
      </w:r>
      <w:r w:rsidR="00177848" w:rsidRPr="00C6052E">
        <w:t xml:space="preserve"> </w:t>
      </w:r>
      <w:r w:rsidRPr="00C6052E">
        <w:t>well</w:t>
      </w:r>
      <w:r w:rsidR="00177848" w:rsidRPr="00C6052E">
        <w:t xml:space="preserve"> </w:t>
      </w:r>
      <w:r w:rsidRPr="00C6052E">
        <w:t>as</w:t>
      </w:r>
      <w:r w:rsidR="00177848" w:rsidRPr="00C6052E">
        <w:t xml:space="preserve"> </w:t>
      </w:r>
      <w:r w:rsidRPr="00C6052E">
        <w:t>those</w:t>
      </w:r>
      <w:r w:rsidR="00177848" w:rsidRPr="00C6052E">
        <w:t xml:space="preserve"> </w:t>
      </w:r>
      <w:r w:rsidRPr="00C6052E">
        <w:t>items</w:t>
      </w:r>
      <w:r w:rsidR="00177848" w:rsidRPr="00C6052E">
        <w:t xml:space="preserve"> </w:t>
      </w:r>
      <w:r w:rsidRPr="00C6052E">
        <w:t>that</w:t>
      </w:r>
      <w:r w:rsidR="00177848" w:rsidRPr="00C6052E">
        <w:t xml:space="preserve"> </w:t>
      </w:r>
      <w:r w:rsidRPr="00C6052E">
        <w:t>are</w:t>
      </w:r>
      <w:r w:rsidR="00177848" w:rsidRPr="00C6052E">
        <w:t xml:space="preserve"> </w:t>
      </w:r>
      <w:r w:rsidRPr="00C6052E">
        <w:t>contingent</w:t>
      </w:r>
      <w:r w:rsidR="00177848" w:rsidRPr="00C6052E">
        <w:t xml:space="preserve"> </w:t>
      </w:r>
      <w:r w:rsidRPr="00C6052E">
        <w:t>in</w:t>
      </w:r>
      <w:r w:rsidR="00177848" w:rsidRPr="00C6052E">
        <w:t xml:space="preserve"> </w:t>
      </w:r>
      <w:r w:rsidRPr="00C6052E">
        <w:t>nature</w:t>
      </w:r>
      <w:r w:rsidR="00177848" w:rsidRPr="00C6052E">
        <w:t xml:space="preserve"> </w:t>
      </w:r>
      <w:r w:rsidRPr="00C6052E">
        <w:t>or</w:t>
      </w:r>
      <w:r w:rsidR="00177848" w:rsidRPr="00C6052E">
        <w:t xml:space="preserve"> </w:t>
      </w:r>
      <w:r w:rsidRPr="00C6052E">
        <w:t>require</w:t>
      </w:r>
      <w:r w:rsidR="00177848" w:rsidRPr="00C6052E">
        <w:t xml:space="preserve"> </w:t>
      </w:r>
      <w:r w:rsidRPr="00C6052E">
        <w:t>a</w:t>
      </w:r>
      <w:r w:rsidR="00177848" w:rsidRPr="00C6052E">
        <w:t xml:space="preserve"> </w:t>
      </w:r>
      <w:r w:rsidRPr="00C6052E">
        <w:t>higher</w:t>
      </w:r>
      <w:r w:rsidR="00177848" w:rsidRPr="00C6052E">
        <w:t xml:space="preserve"> </w:t>
      </w:r>
      <w:r w:rsidRPr="00C6052E">
        <w:t>level</w:t>
      </w:r>
      <w:r w:rsidR="00177848" w:rsidRPr="00C6052E">
        <w:t xml:space="preserve"> </w:t>
      </w:r>
      <w:r w:rsidRPr="00C6052E">
        <w:t>of</w:t>
      </w:r>
      <w:r w:rsidR="00177848" w:rsidRPr="00C6052E">
        <w:t xml:space="preserve"> </w:t>
      </w:r>
      <w:r w:rsidRPr="00C6052E">
        <w:t>judgement</w:t>
      </w:r>
      <w:r w:rsidR="00177848" w:rsidRPr="00C6052E">
        <w:t xml:space="preserve"> </w:t>
      </w:r>
      <w:r w:rsidRPr="00C6052E">
        <w:t>to</w:t>
      </w:r>
      <w:r w:rsidR="00177848" w:rsidRPr="00C6052E">
        <w:t xml:space="preserve"> </w:t>
      </w:r>
      <w:r w:rsidRPr="00C6052E">
        <w:t>be</w:t>
      </w:r>
      <w:r w:rsidR="00177848" w:rsidRPr="00C6052E">
        <w:t xml:space="preserve"> </w:t>
      </w:r>
      <w:r w:rsidRPr="00C6052E">
        <w:t>applied,</w:t>
      </w:r>
      <w:r w:rsidR="00177848" w:rsidRPr="00C6052E">
        <w:t xml:space="preserve"> </w:t>
      </w:r>
      <w:r w:rsidRPr="00C6052E">
        <w:t>which</w:t>
      </w:r>
      <w:r w:rsidR="00177848" w:rsidRPr="00C6052E">
        <w:t xml:space="preserve"> </w:t>
      </w:r>
      <w:r w:rsidRPr="00C6052E">
        <w:t>for</w:t>
      </w:r>
      <w:r w:rsidR="00177848" w:rsidRPr="00C6052E">
        <w:t xml:space="preserve"> </w:t>
      </w:r>
      <w:fldSimple w:instr=" DOCPROPERTY  shortName  \* MERGEFORMAT ">
        <w:r w:rsidRPr="00C6052E">
          <w:t>DJSIR</w:t>
        </w:r>
      </w:fldSimple>
      <w:r w:rsidR="00177848" w:rsidRPr="00C6052E">
        <w:t xml:space="preserve"> </w:t>
      </w:r>
      <w:r w:rsidRPr="00C6052E">
        <w:t>related</w:t>
      </w:r>
      <w:r w:rsidR="00177848" w:rsidRPr="00C6052E">
        <w:t xml:space="preserve"> </w:t>
      </w:r>
      <w:r w:rsidRPr="00C6052E">
        <w:t>mainly</w:t>
      </w:r>
      <w:r w:rsidR="00177848" w:rsidRPr="00C6052E">
        <w:t xml:space="preserve"> </w:t>
      </w:r>
      <w:r w:rsidRPr="00C6052E">
        <w:t>to</w:t>
      </w:r>
      <w:r w:rsidR="00177848" w:rsidRPr="00C6052E">
        <w:t xml:space="preserve"> </w:t>
      </w:r>
      <w:r w:rsidRPr="00C6052E">
        <w:t>fair</w:t>
      </w:r>
      <w:r w:rsidR="00177848" w:rsidRPr="00C6052E">
        <w:t xml:space="preserve"> </w:t>
      </w:r>
      <w:r w:rsidRPr="00C6052E">
        <w:t>value</w:t>
      </w:r>
      <w:r w:rsidR="00177848" w:rsidRPr="00C6052E">
        <w:t xml:space="preserve"> </w:t>
      </w:r>
      <w:r w:rsidRPr="00C6052E">
        <w:t>determination.</w:t>
      </w:r>
    </w:p>
    <w:p w14:paraId="525DEBD9" w14:textId="1E839FA8" w:rsidR="00EE5BB8" w:rsidRPr="00C6052E" w:rsidRDefault="00EE5BB8" w:rsidP="00E97D0C">
      <w:pPr>
        <w:pStyle w:val="Heading3"/>
      </w:pPr>
      <w:bookmarkStart w:id="311" w:name="_Toc163565986"/>
      <w:bookmarkStart w:id="312" w:name="_Toc163566593"/>
      <w:bookmarkStart w:id="313" w:name="_Toc174009513"/>
      <w:r w:rsidRPr="00C6052E">
        <w:t>Structure</w:t>
      </w:r>
      <w:bookmarkEnd w:id="311"/>
      <w:bookmarkEnd w:id="312"/>
      <w:bookmarkEnd w:id="313"/>
    </w:p>
    <w:p w14:paraId="782DD233" w14:textId="050321A2" w:rsidR="00EE5BB8" w:rsidRPr="00C6052E" w:rsidRDefault="00EE5BB8" w:rsidP="00EE5BB8">
      <w:pPr>
        <w:pStyle w:val="Structurepoints"/>
      </w:pPr>
      <w:r w:rsidRPr="00C6052E">
        <w:fldChar w:fldCharType="begin"/>
      </w:r>
      <w:r w:rsidRPr="00C6052E">
        <w:instrText xml:space="preserve"> REF _Ref209518652 \r \h </w:instrText>
      </w:r>
      <w:r w:rsidRPr="00C6052E">
        <w:fldChar w:fldCharType="separate"/>
      </w:r>
      <w:r w:rsidRPr="00C6052E">
        <w:t>8.1</w:t>
      </w:r>
      <w:r w:rsidRPr="00C6052E">
        <w:fldChar w:fldCharType="end"/>
      </w:r>
      <w:r w:rsidRPr="00C6052E">
        <w:tab/>
      </w:r>
      <w:r w:rsidRPr="00C6052E">
        <w:fldChar w:fldCharType="begin"/>
      </w:r>
      <w:r w:rsidRPr="00C6052E">
        <w:instrText xml:space="preserve"> REF _Ref209518652 \h </w:instrText>
      </w:r>
      <w:r w:rsidRPr="00C6052E">
        <w:fldChar w:fldCharType="separate"/>
      </w:r>
      <w:r w:rsidRPr="00C6052E">
        <w:t>Financial</w:t>
      </w:r>
      <w:r w:rsidR="00177848" w:rsidRPr="00C6052E">
        <w:t xml:space="preserve"> </w:t>
      </w:r>
      <w:r w:rsidRPr="00C6052E">
        <w:t>instruments</w:t>
      </w:r>
      <w:r w:rsidR="00177848" w:rsidRPr="00C6052E">
        <w:t xml:space="preserve"> </w:t>
      </w:r>
      <w:r w:rsidRPr="00C6052E">
        <w:t>specific</w:t>
      </w:r>
      <w:r w:rsidR="00177848" w:rsidRPr="00C6052E">
        <w:t xml:space="preserve"> </w:t>
      </w:r>
      <w:r w:rsidRPr="00C6052E">
        <w:t>disclosures</w:t>
      </w:r>
      <w:r w:rsidRPr="00C6052E">
        <w:fldChar w:fldCharType="end"/>
      </w:r>
    </w:p>
    <w:p w14:paraId="10E5F4BA" w14:textId="23CEC79B" w:rsidR="00EE5BB8" w:rsidRPr="00C6052E" w:rsidRDefault="00EE5BB8" w:rsidP="00EE5BB8">
      <w:pPr>
        <w:pStyle w:val="Structurepoints"/>
      </w:pPr>
      <w:r w:rsidRPr="00C6052E">
        <w:fldChar w:fldCharType="begin"/>
      </w:r>
      <w:r w:rsidRPr="00C6052E">
        <w:instrText xml:space="preserve"> REF _Ref209518806 \r \h </w:instrText>
      </w:r>
      <w:r w:rsidRPr="00C6052E">
        <w:fldChar w:fldCharType="separate"/>
      </w:r>
      <w:r w:rsidRPr="00C6052E">
        <w:t>8.2</w:t>
      </w:r>
      <w:r w:rsidRPr="00C6052E">
        <w:fldChar w:fldCharType="end"/>
      </w:r>
      <w:r w:rsidRPr="00C6052E">
        <w:tab/>
      </w:r>
      <w:r w:rsidRPr="00C6052E">
        <w:fldChar w:fldCharType="begin"/>
      </w:r>
      <w:r w:rsidRPr="00C6052E">
        <w:instrText xml:space="preserve"> REF _Ref209518819 \h </w:instrText>
      </w:r>
      <w:r w:rsidRPr="00C6052E">
        <w:fldChar w:fldCharType="separate"/>
      </w:r>
      <w:r w:rsidRPr="00C6052E">
        <w:t>Contingent</w:t>
      </w:r>
      <w:r w:rsidR="00177848" w:rsidRPr="00C6052E">
        <w:t xml:space="preserve"> </w:t>
      </w:r>
      <w:r w:rsidRPr="00C6052E">
        <w:t>assets</w:t>
      </w:r>
      <w:r w:rsidR="00177848" w:rsidRPr="00C6052E">
        <w:t xml:space="preserve"> </w:t>
      </w:r>
      <w:r w:rsidRPr="00C6052E">
        <w:t>and</w:t>
      </w:r>
      <w:r w:rsidR="00177848" w:rsidRPr="00C6052E">
        <w:t xml:space="preserve"> </w:t>
      </w:r>
      <w:r w:rsidRPr="00C6052E">
        <w:t>contingent</w:t>
      </w:r>
      <w:r w:rsidR="00177848" w:rsidRPr="00C6052E">
        <w:t xml:space="preserve"> </w:t>
      </w:r>
      <w:r w:rsidRPr="00C6052E">
        <w:t>liabilities</w:t>
      </w:r>
      <w:r w:rsidRPr="00C6052E">
        <w:fldChar w:fldCharType="end"/>
      </w:r>
    </w:p>
    <w:p w14:paraId="162603D3" w14:textId="6253B729" w:rsidR="00EE5BB8" w:rsidRPr="00C6052E" w:rsidRDefault="00EE5BB8" w:rsidP="00C6052E">
      <w:pPr>
        <w:pStyle w:val="Structurepoints"/>
        <w:spacing w:after="240"/>
      </w:pPr>
      <w:r w:rsidRPr="00C6052E">
        <w:fldChar w:fldCharType="begin"/>
      </w:r>
      <w:r w:rsidRPr="00C6052E">
        <w:instrText xml:space="preserve"> REF _Ref209518829 \r \h </w:instrText>
      </w:r>
      <w:r w:rsidRPr="00C6052E">
        <w:fldChar w:fldCharType="separate"/>
      </w:r>
      <w:r w:rsidRPr="00C6052E">
        <w:t>8.3</w:t>
      </w:r>
      <w:r w:rsidRPr="00C6052E">
        <w:fldChar w:fldCharType="end"/>
      </w:r>
      <w:r w:rsidRPr="00C6052E">
        <w:tab/>
      </w:r>
      <w:r w:rsidRPr="00C6052E">
        <w:fldChar w:fldCharType="begin"/>
      </w:r>
      <w:r w:rsidRPr="00C6052E">
        <w:instrText xml:space="preserve"> REF _Ref209518837 \h </w:instrText>
      </w:r>
      <w:r w:rsidRPr="00C6052E">
        <w:fldChar w:fldCharType="separate"/>
      </w:r>
      <w:r w:rsidRPr="00C6052E">
        <w:t>Fair</w:t>
      </w:r>
      <w:r w:rsidR="00177848" w:rsidRPr="00C6052E">
        <w:t xml:space="preserve"> </w:t>
      </w:r>
      <w:r w:rsidRPr="00C6052E">
        <w:t>value</w:t>
      </w:r>
      <w:r w:rsidR="00177848" w:rsidRPr="00C6052E">
        <w:t xml:space="preserve"> </w:t>
      </w:r>
      <w:r w:rsidRPr="00C6052E">
        <w:t>determination</w:t>
      </w:r>
      <w:r w:rsidRPr="00C6052E">
        <w:fldChar w:fldCharType="end"/>
      </w:r>
    </w:p>
    <w:p w14:paraId="41891017" w14:textId="79BEFC67" w:rsidR="00EE5BB8" w:rsidRPr="00C6052E" w:rsidRDefault="00EE5BB8" w:rsidP="00C6052E">
      <w:pPr>
        <w:pStyle w:val="Heading2numbered0"/>
      </w:pPr>
      <w:bookmarkStart w:id="314" w:name="_Toc163565987"/>
      <w:bookmarkStart w:id="315" w:name="_Ref209518652"/>
      <w:r w:rsidRPr="00C6052E">
        <w:t>Financial</w:t>
      </w:r>
      <w:r w:rsidR="00177848" w:rsidRPr="00C6052E">
        <w:t xml:space="preserve"> </w:t>
      </w:r>
      <w:r w:rsidRPr="00C6052E">
        <w:t>instruments</w:t>
      </w:r>
      <w:r w:rsidR="00177848" w:rsidRPr="00C6052E">
        <w:t xml:space="preserve"> </w:t>
      </w:r>
      <w:r w:rsidRPr="00C6052E">
        <w:t>specific</w:t>
      </w:r>
      <w:r w:rsidR="00177848" w:rsidRPr="00C6052E">
        <w:t xml:space="preserve"> </w:t>
      </w:r>
      <w:r w:rsidRPr="00C6052E">
        <w:t>disclosures</w:t>
      </w:r>
      <w:bookmarkEnd w:id="314"/>
      <w:bookmarkEnd w:id="315"/>
    </w:p>
    <w:p w14:paraId="6E4897C5" w14:textId="55428D3E" w:rsidR="00EE5BB8" w:rsidRPr="00C6052E" w:rsidRDefault="00EE5BB8" w:rsidP="00193B39">
      <w:pPr>
        <w:pStyle w:val="Heading3"/>
      </w:pPr>
      <w:r w:rsidRPr="00C6052E">
        <w:t>Introduction</w:t>
      </w:r>
      <w:r w:rsidR="00177848" w:rsidRPr="00C6052E">
        <w:t xml:space="preserve"> </w:t>
      </w:r>
    </w:p>
    <w:p w14:paraId="71F341BF" w14:textId="7476DAE1" w:rsidR="00EE5BB8" w:rsidRPr="00C6052E" w:rsidRDefault="00EE5BB8" w:rsidP="00EE5BB8">
      <w:r w:rsidRPr="00C6052E">
        <w:t>Financial</w:t>
      </w:r>
      <w:r w:rsidR="00177848" w:rsidRPr="00C6052E">
        <w:t xml:space="preserve"> </w:t>
      </w:r>
      <w:r w:rsidRPr="00C6052E">
        <w:t>instruments</w:t>
      </w:r>
      <w:r w:rsidR="00177848" w:rsidRPr="00C6052E">
        <w:t xml:space="preserve"> </w:t>
      </w:r>
      <w:r w:rsidRPr="00C6052E">
        <w:t>arise</w:t>
      </w:r>
      <w:r w:rsidR="00177848" w:rsidRPr="00C6052E">
        <w:t xml:space="preserve"> </w:t>
      </w:r>
      <w:r w:rsidRPr="00C6052E">
        <w:t>out</w:t>
      </w:r>
      <w:r w:rsidR="00177848" w:rsidRPr="00C6052E">
        <w:t xml:space="preserve"> </w:t>
      </w:r>
      <w:r w:rsidRPr="00C6052E">
        <w:t>of</w:t>
      </w:r>
      <w:r w:rsidR="00177848" w:rsidRPr="00C6052E">
        <w:t xml:space="preserve"> </w:t>
      </w:r>
      <w:r w:rsidRPr="00C6052E">
        <w:t>contractual</w:t>
      </w:r>
      <w:r w:rsidR="00177848" w:rsidRPr="00C6052E">
        <w:t xml:space="preserve"> </w:t>
      </w:r>
      <w:r w:rsidRPr="00C6052E">
        <w:t>agreements</w:t>
      </w:r>
      <w:r w:rsidR="00177848" w:rsidRPr="00C6052E">
        <w:t xml:space="preserve"> </w:t>
      </w:r>
      <w:r w:rsidRPr="00C6052E">
        <w:t>that</w:t>
      </w:r>
      <w:r w:rsidR="00177848" w:rsidRPr="00C6052E">
        <w:t xml:space="preserve"> </w:t>
      </w:r>
      <w:r w:rsidRPr="00C6052E">
        <w:t>give</w:t>
      </w:r>
      <w:r w:rsidR="00177848" w:rsidRPr="00C6052E">
        <w:t xml:space="preserve"> </w:t>
      </w:r>
      <w:r w:rsidRPr="00C6052E">
        <w:t>rise</w:t>
      </w:r>
      <w:r w:rsidR="00177848" w:rsidRPr="00C6052E">
        <w:t xml:space="preserve"> </w:t>
      </w:r>
      <w:r w:rsidRPr="00C6052E">
        <w:t>to</w:t>
      </w:r>
      <w:r w:rsidR="00177848" w:rsidRPr="00C6052E">
        <w:t xml:space="preserve"> </w:t>
      </w:r>
      <w:r w:rsidRPr="00C6052E">
        <w:t>a</w:t>
      </w:r>
      <w:r w:rsidR="00177848" w:rsidRPr="00C6052E">
        <w:t xml:space="preserve"> </w:t>
      </w:r>
      <w:r w:rsidRPr="00C6052E">
        <w:t>financial</w:t>
      </w:r>
      <w:r w:rsidR="00177848" w:rsidRPr="00C6052E">
        <w:t xml:space="preserve"> </w:t>
      </w:r>
      <w:r w:rsidRPr="00C6052E">
        <w:t>asset</w:t>
      </w:r>
      <w:r w:rsidR="00177848" w:rsidRPr="00C6052E">
        <w:t xml:space="preserve"> </w:t>
      </w:r>
      <w:r w:rsidRPr="00C6052E">
        <w:t>of</w:t>
      </w:r>
      <w:r w:rsidR="00177848" w:rsidRPr="00C6052E">
        <w:t xml:space="preserve"> </w:t>
      </w:r>
      <w:r w:rsidRPr="00C6052E">
        <w:t>one</w:t>
      </w:r>
      <w:r w:rsidR="00177848" w:rsidRPr="00C6052E">
        <w:t xml:space="preserve"> </w:t>
      </w:r>
      <w:r w:rsidRPr="00C6052E">
        <w:t>entity</w:t>
      </w:r>
      <w:r w:rsidR="00177848" w:rsidRPr="00C6052E">
        <w:t xml:space="preserve"> </w:t>
      </w:r>
      <w:r w:rsidRPr="00C6052E">
        <w:t>and</w:t>
      </w:r>
      <w:r w:rsidR="00177848" w:rsidRPr="00C6052E">
        <w:t xml:space="preserve"> </w:t>
      </w:r>
      <w:r w:rsidRPr="00C6052E">
        <w:t>a</w:t>
      </w:r>
      <w:r w:rsidR="00177848" w:rsidRPr="00C6052E">
        <w:t xml:space="preserve"> </w:t>
      </w:r>
      <w:r w:rsidRPr="00C6052E">
        <w:t>financial</w:t>
      </w:r>
      <w:r w:rsidR="00177848" w:rsidRPr="00C6052E">
        <w:t xml:space="preserve"> </w:t>
      </w:r>
      <w:r w:rsidRPr="00C6052E">
        <w:t>liability</w:t>
      </w:r>
      <w:r w:rsidR="00177848" w:rsidRPr="00C6052E">
        <w:t xml:space="preserve"> </w:t>
      </w:r>
      <w:r w:rsidRPr="00C6052E">
        <w:t>or</w:t>
      </w:r>
      <w:r w:rsidR="00177848" w:rsidRPr="00C6052E">
        <w:t xml:space="preserve"> </w:t>
      </w:r>
      <w:r w:rsidRPr="00C6052E">
        <w:t>equity</w:t>
      </w:r>
      <w:r w:rsidR="00177848" w:rsidRPr="00C6052E">
        <w:t xml:space="preserve"> </w:t>
      </w:r>
      <w:r w:rsidRPr="00C6052E">
        <w:t>instrument</w:t>
      </w:r>
      <w:r w:rsidR="00177848" w:rsidRPr="00C6052E">
        <w:t xml:space="preserve"> </w:t>
      </w:r>
      <w:r w:rsidRPr="00C6052E">
        <w:t>of</w:t>
      </w:r>
      <w:r w:rsidR="00177848" w:rsidRPr="00C6052E">
        <w:t xml:space="preserve"> </w:t>
      </w:r>
      <w:r w:rsidRPr="00C6052E">
        <w:t>another</w:t>
      </w:r>
      <w:r w:rsidR="00177848" w:rsidRPr="00C6052E">
        <w:t xml:space="preserve"> </w:t>
      </w:r>
      <w:r w:rsidRPr="00C6052E">
        <w:t>entity.</w:t>
      </w:r>
      <w:r w:rsidR="00177848" w:rsidRPr="00C6052E">
        <w:t xml:space="preserve"> </w:t>
      </w:r>
      <w:r w:rsidRPr="00C6052E">
        <w:t>Due</w:t>
      </w:r>
      <w:r w:rsidR="00177848" w:rsidRPr="00C6052E">
        <w:t xml:space="preserve"> </w:t>
      </w:r>
      <w:r w:rsidRPr="00C6052E">
        <w:t>to</w:t>
      </w:r>
      <w:r w:rsidR="00177848" w:rsidRPr="00C6052E">
        <w:t xml:space="preserve"> </w:t>
      </w:r>
      <w:r w:rsidRPr="00C6052E">
        <w:t>the</w:t>
      </w:r>
      <w:r w:rsidR="00177848" w:rsidRPr="00C6052E">
        <w:t xml:space="preserve"> </w:t>
      </w:r>
      <w:r w:rsidRPr="00C6052E">
        <w:t>nature</w:t>
      </w:r>
      <w:r w:rsidR="00177848" w:rsidRPr="00C6052E">
        <w:t xml:space="preserve"> </w:t>
      </w:r>
      <w:r w:rsidRPr="00C6052E">
        <w:t>of</w:t>
      </w:r>
      <w:r w:rsidR="00177848" w:rsidRPr="00C6052E">
        <w:t xml:space="preserve"> </w:t>
      </w:r>
      <w:r w:rsidRPr="00C6052E">
        <w:t>DJSIR’s</w:t>
      </w:r>
      <w:r w:rsidR="00177848" w:rsidRPr="00C6052E">
        <w:t xml:space="preserve"> </w:t>
      </w:r>
      <w:r w:rsidRPr="00C6052E">
        <w:t>activities,</w:t>
      </w:r>
      <w:r w:rsidR="00177848" w:rsidRPr="00C6052E">
        <w:t xml:space="preserve"> </w:t>
      </w:r>
      <w:r w:rsidRPr="00C6052E">
        <w:t>certain</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and</w:t>
      </w:r>
      <w:r w:rsidR="00177848" w:rsidRPr="00C6052E">
        <w:t xml:space="preserve"> </w:t>
      </w:r>
      <w:r w:rsidRPr="00C6052E">
        <w:t>financial</w:t>
      </w:r>
      <w:r w:rsidR="00177848" w:rsidRPr="00C6052E">
        <w:t xml:space="preserve"> </w:t>
      </w:r>
      <w:r w:rsidRPr="00C6052E">
        <w:t>liabilities</w:t>
      </w:r>
      <w:r w:rsidR="00177848" w:rsidRPr="00C6052E">
        <w:t xml:space="preserve"> </w:t>
      </w:r>
      <w:r w:rsidRPr="00C6052E">
        <w:t>arise</w:t>
      </w:r>
      <w:r w:rsidR="00177848" w:rsidRPr="00C6052E">
        <w:t xml:space="preserve"> </w:t>
      </w:r>
      <w:r w:rsidRPr="00C6052E">
        <w:t>under</w:t>
      </w:r>
      <w:r w:rsidR="00177848" w:rsidRPr="00C6052E">
        <w:t xml:space="preserve"> </w:t>
      </w:r>
      <w:r w:rsidRPr="00C6052E">
        <w:t>statute</w:t>
      </w:r>
      <w:r w:rsidR="00177848" w:rsidRPr="00C6052E">
        <w:t xml:space="preserve"> </w:t>
      </w:r>
      <w:r w:rsidRPr="00C6052E">
        <w:t>rather</w:t>
      </w:r>
      <w:r w:rsidR="00177848" w:rsidRPr="00C6052E">
        <w:t xml:space="preserve"> </w:t>
      </w:r>
      <w:r w:rsidRPr="00C6052E">
        <w:t>than</w:t>
      </w:r>
      <w:r w:rsidR="00177848" w:rsidRPr="00C6052E">
        <w:t xml:space="preserve"> </w:t>
      </w:r>
      <w:r w:rsidRPr="00C6052E">
        <w:t>a</w:t>
      </w:r>
      <w:r w:rsidR="00177848" w:rsidRPr="00C6052E">
        <w:t xml:space="preserve"> </w:t>
      </w:r>
      <w:r w:rsidRPr="00C6052E">
        <w:t>contract</w:t>
      </w:r>
      <w:r w:rsidR="00177848" w:rsidRPr="00C6052E">
        <w:t xml:space="preserve"> </w:t>
      </w:r>
      <w:r w:rsidRPr="00C6052E">
        <w:t>(for</w:t>
      </w:r>
      <w:r w:rsidR="00177848" w:rsidRPr="00C6052E">
        <w:t xml:space="preserve"> </w:t>
      </w:r>
      <w:r w:rsidRPr="00C6052E">
        <w:t>example</w:t>
      </w:r>
      <w:r w:rsidR="00177848" w:rsidRPr="00C6052E">
        <w:t xml:space="preserve"> </w:t>
      </w:r>
      <w:r w:rsidRPr="00C6052E">
        <w:t>taxes,</w:t>
      </w:r>
      <w:r w:rsidR="00177848" w:rsidRPr="00C6052E">
        <w:t xml:space="preserve"> </w:t>
      </w:r>
      <w:r w:rsidRPr="00C6052E">
        <w:t>fines</w:t>
      </w:r>
      <w:r w:rsidR="00177848" w:rsidRPr="00C6052E">
        <w:t xml:space="preserve"> </w:t>
      </w:r>
      <w:r w:rsidRPr="00C6052E">
        <w:t>and</w:t>
      </w:r>
      <w:r w:rsidR="00177848" w:rsidRPr="00C6052E">
        <w:t xml:space="preserve"> </w:t>
      </w:r>
      <w:r w:rsidRPr="00C6052E">
        <w:t>penalties).</w:t>
      </w:r>
      <w:r w:rsidR="00177848" w:rsidRPr="00C6052E">
        <w:t xml:space="preserve"> </w:t>
      </w:r>
      <w:r w:rsidRPr="00C6052E">
        <w:t>Such</w:t>
      </w:r>
      <w:r w:rsidR="00177848" w:rsidRPr="00C6052E">
        <w:t xml:space="preserve"> </w:t>
      </w:r>
      <w:r w:rsidRPr="00C6052E">
        <w:t>assets</w:t>
      </w:r>
      <w:r w:rsidR="00177848" w:rsidRPr="00C6052E">
        <w:t xml:space="preserve"> </w:t>
      </w:r>
      <w:r w:rsidRPr="00C6052E">
        <w:t>and</w:t>
      </w:r>
      <w:r w:rsidR="00177848" w:rsidRPr="00C6052E">
        <w:t xml:space="preserve"> </w:t>
      </w:r>
      <w:r w:rsidRPr="00C6052E">
        <w:t>liabilities</w:t>
      </w:r>
      <w:r w:rsidR="00177848" w:rsidRPr="00C6052E">
        <w:t xml:space="preserve"> </w:t>
      </w:r>
      <w:r w:rsidRPr="00C6052E">
        <w:t>do</w:t>
      </w:r>
      <w:r w:rsidR="00177848" w:rsidRPr="00C6052E">
        <w:t xml:space="preserve"> </w:t>
      </w:r>
      <w:r w:rsidRPr="00C6052E">
        <w:t>not</w:t>
      </w:r>
      <w:r w:rsidR="00177848" w:rsidRPr="00C6052E">
        <w:t xml:space="preserve"> </w:t>
      </w:r>
      <w:r w:rsidRPr="00C6052E">
        <w:t>meet</w:t>
      </w:r>
      <w:r w:rsidR="00177848" w:rsidRPr="00C6052E">
        <w:t xml:space="preserve"> </w:t>
      </w:r>
      <w:r w:rsidRPr="00C6052E">
        <w:t>the</w:t>
      </w:r>
      <w:r w:rsidR="00177848" w:rsidRPr="00C6052E">
        <w:t xml:space="preserve"> </w:t>
      </w:r>
      <w:r w:rsidRPr="00C6052E">
        <w:t>definition</w:t>
      </w:r>
      <w:r w:rsidR="00177848" w:rsidRPr="00C6052E">
        <w:t xml:space="preserve"> </w:t>
      </w:r>
      <w:r w:rsidRPr="00C6052E">
        <w:t>of</w:t>
      </w:r>
      <w:r w:rsidR="00177848" w:rsidRPr="00C6052E">
        <w:t xml:space="preserve"> </w:t>
      </w:r>
      <w:r w:rsidRPr="00C6052E">
        <w:t>financial</w:t>
      </w:r>
      <w:r w:rsidR="00177848" w:rsidRPr="00C6052E">
        <w:t xml:space="preserve"> </w:t>
      </w:r>
      <w:r w:rsidRPr="00C6052E">
        <w:t>instruments</w:t>
      </w:r>
      <w:r w:rsidR="00177848" w:rsidRPr="00C6052E">
        <w:t xml:space="preserve"> </w:t>
      </w:r>
      <w:r w:rsidRPr="00C6052E">
        <w:t>in</w:t>
      </w:r>
      <w:r w:rsidR="00177848" w:rsidRPr="00C6052E">
        <w:t xml:space="preserve"> </w:t>
      </w:r>
      <w:r w:rsidRPr="00C6052E">
        <w:t>AASB</w:t>
      </w:r>
      <w:r w:rsidR="00177848" w:rsidRPr="00C6052E">
        <w:t xml:space="preserve"> </w:t>
      </w:r>
      <w:r w:rsidRPr="00C6052E">
        <w:t>132</w:t>
      </w:r>
      <w:r w:rsidR="00177848" w:rsidRPr="00C6052E">
        <w:t xml:space="preserve"> </w:t>
      </w:r>
      <w:r w:rsidRPr="00C6052E">
        <w:rPr>
          <w:i/>
          <w:iCs/>
        </w:rPr>
        <w:t>Financial</w:t>
      </w:r>
      <w:r w:rsidR="00177848" w:rsidRPr="00C6052E">
        <w:rPr>
          <w:i/>
          <w:iCs/>
        </w:rPr>
        <w:t xml:space="preserve"> </w:t>
      </w:r>
      <w:r w:rsidRPr="00C6052E">
        <w:rPr>
          <w:i/>
          <w:iCs/>
        </w:rPr>
        <w:t>Instruments:</w:t>
      </w:r>
      <w:r w:rsidR="00177848" w:rsidRPr="00C6052E">
        <w:rPr>
          <w:i/>
          <w:iCs/>
        </w:rPr>
        <w:t xml:space="preserve"> </w:t>
      </w:r>
      <w:r w:rsidRPr="00C6052E">
        <w:rPr>
          <w:i/>
          <w:iCs/>
        </w:rPr>
        <w:t>Presentation</w:t>
      </w:r>
      <w:r w:rsidRPr="00C6052E">
        <w:t>.</w:t>
      </w:r>
    </w:p>
    <w:p w14:paraId="1C2E2CDB" w14:textId="5EBEAA62" w:rsidR="00EE5BB8" w:rsidRPr="00C6052E" w:rsidRDefault="00EE5BB8" w:rsidP="00EE5BB8">
      <w:r w:rsidRPr="00C6052E">
        <w:t>Guarantees</w:t>
      </w:r>
      <w:r w:rsidR="00177848" w:rsidRPr="00C6052E">
        <w:t xml:space="preserve"> </w:t>
      </w:r>
      <w:r w:rsidRPr="00C6052E">
        <w:t>issued</w:t>
      </w:r>
      <w:r w:rsidR="00177848" w:rsidRPr="00C6052E">
        <w:t xml:space="preserve"> </w:t>
      </w:r>
      <w:r w:rsidRPr="00C6052E">
        <w:t>on</w:t>
      </w:r>
      <w:r w:rsidR="00177848" w:rsidRPr="00C6052E">
        <w:t xml:space="preserve"> </w:t>
      </w:r>
      <w:r w:rsidRPr="00C6052E">
        <w:t>behalf</w:t>
      </w:r>
      <w:r w:rsidR="00177848" w:rsidRPr="00C6052E">
        <w:t xml:space="preserve"> </w:t>
      </w:r>
      <w:r w:rsidRPr="00C6052E">
        <w:t>of</w:t>
      </w:r>
      <w:r w:rsidR="00177848" w:rsidRPr="00C6052E">
        <w:t xml:space="preserve"> </w:t>
      </w:r>
      <w:r w:rsidRPr="00C6052E">
        <w:t>DJSIR</w:t>
      </w:r>
      <w:r w:rsidR="00177848" w:rsidRPr="00C6052E">
        <w:t xml:space="preserve"> </w:t>
      </w:r>
      <w:r w:rsidRPr="00C6052E">
        <w:t>are</w:t>
      </w:r>
      <w:r w:rsidR="00177848" w:rsidRPr="00C6052E">
        <w:t xml:space="preserve"> </w:t>
      </w:r>
      <w:r w:rsidRPr="00C6052E">
        <w:t>financial</w:t>
      </w:r>
      <w:r w:rsidR="00177848" w:rsidRPr="00C6052E">
        <w:t xml:space="preserve"> </w:t>
      </w:r>
      <w:r w:rsidRPr="00C6052E">
        <w:t>instruments</w:t>
      </w:r>
      <w:r w:rsidR="00177848" w:rsidRPr="00C6052E">
        <w:t xml:space="preserve"> </w:t>
      </w:r>
      <w:r w:rsidRPr="00C6052E">
        <w:t>because,</w:t>
      </w:r>
      <w:r w:rsidR="00177848" w:rsidRPr="00C6052E">
        <w:t xml:space="preserve"> </w:t>
      </w:r>
      <w:r w:rsidRPr="00C6052E">
        <w:t>although</w:t>
      </w:r>
      <w:r w:rsidR="00177848" w:rsidRPr="00C6052E">
        <w:t xml:space="preserve"> </w:t>
      </w:r>
      <w:r w:rsidRPr="00C6052E">
        <w:t>authorised</w:t>
      </w:r>
      <w:r w:rsidR="00177848" w:rsidRPr="00C6052E">
        <w:t xml:space="preserve"> </w:t>
      </w:r>
      <w:r w:rsidRPr="00C6052E">
        <w:t>under</w:t>
      </w:r>
      <w:r w:rsidR="00177848" w:rsidRPr="00C6052E">
        <w:t xml:space="preserve"> </w:t>
      </w:r>
      <w:r w:rsidRPr="00C6052E">
        <w:t>statute,</w:t>
      </w:r>
      <w:r w:rsidR="00177848" w:rsidRPr="00C6052E">
        <w:t xml:space="preserve"> </w:t>
      </w:r>
      <w:r w:rsidRPr="00C6052E">
        <w:t>terms</w:t>
      </w:r>
      <w:r w:rsidR="00177848" w:rsidRPr="00C6052E">
        <w:t xml:space="preserve"> </w:t>
      </w:r>
      <w:r w:rsidRPr="00C6052E">
        <w:t>and</w:t>
      </w:r>
      <w:r w:rsidR="00177848" w:rsidRPr="00C6052E">
        <w:t xml:space="preserve"> </w:t>
      </w:r>
      <w:r w:rsidRPr="00C6052E">
        <w:t>conditions</w:t>
      </w:r>
      <w:r w:rsidR="00177848" w:rsidRPr="00C6052E">
        <w:t xml:space="preserve"> </w:t>
      </w:r>
      <w:r w:rsidRPr="00C6052E">
        <w:t>for</w:t>
      </w:r>
      <w:r w:rsidR="00177848" w:rsidRPr="00C6052E">
        <w:t xml:space="preserve"> </w:t>
      </w:r>
      <w:r w:rsidRPr="00C6052E">
        <w:t>each</w:t>
      </w:r>
      <w:r w:rsidR="00177848" w:rsidRPr="00C6052E">
        <w:t xml:space="preserve"> </w:t>
      </w:r>
      <w:r w:rsidRPr="00C6052E">
        <w:t>financial</w:t>
      </w:r>
      <w:r w:rsidR="00177848" w:rsidRPr="00C6052E">
        <w:t xml:space="preserve"> </w:t>
      </w:r>
      <w:r w:rsidRPr="00C6052E">
        <w:t>guarantee</w:t>
      </w:r>
      <w:r w:rsidR="00177848" w:rsidRPr="00C6052E">
        <w:t xml:space="preserve"> </w:t>
      </w:r>
      <w:r w:rsidRPr="00C6052E">
        <w:t>may</w:t>
      </w:r>
      <w:r w:rsidR="00177848" w:rsidRPr="00C6052E">
        <w:t xml:space="preserve"> </w:t>
      </w:r>
      <w:r w:rsidRPr="00C6052E">
        <w:t>vary</w:t>
      </w:r>
      <w:r w:rsidR="00177848" w:rsidRPr="00C6052E">
        <w:t xml:space="preserve"> </w:t>
      </w:r>
      <w:r w:rsidRPr="00C6052E">
        <w:t>and</w:t>
      </w:r>
      <w:r w:rsidR="00177848" w:rsidRPr="00C6052E">
        <w:t xml:space="preserve"> </w:t>
      </w:r>
      <w:r w:rsidRPr="00C6052E">
        <w:t>are</w:t>
      </w:r>
      <w:r w:rsidR="00177848" w:rsidRPr="00C6052E">
        <w:t xml:space="preserve"> </w:t>
      </w:r>
      <w:r w:rsidRPr="00C6052E">
        <w:t>subject</w:t>
      </w:r>
      <w:r w:rsidR="00177848" w:rsidRPr="00C6052E">
        <w:t xml:space="preserve"> </w:t>
      </w:r>
      <w:r w:rsidRPr="00C6052E">
        <w:t>to</w:t>
      </w:r>
      <w:r w:rsidR="00177848" w:rsidRPr="00C6052E">
        <w:t xml:space="preserve"> </w:t>
      </w:r>
      <w:r w:rsidRPr="00C6052E">
        <w:t>an</w:t>
      </w:r>
      <w:r w:rsidR="00177848" w:rsidRPr="00C6052E">
        <w:t xml:space="preserve"> </w:t>
      </w:r>
      <w:r w:rsidRPr="00C6052E">
        <w:t>agreement.</w:t>
      </w:r>
    </w:p>
    <w:p w14:paraId="327B99C3" w14:textId="3DB8C805" w:rsidR="00EE5BB8" w:rsidRPr="00C6052E" w:rsidRDefault="00EE5BB8" w:rsidP="00193B39">
      <w:pPr>
        <w:pStyle w:val="Heading3"/>
      </w:pPr>
      <w:r w:rsidRPr="00C6052E">
        <w:t>Financial</w:t>
      </w:r>
      <w:r w:rsidR="00177848" w:rsidRPr="00C6052E">
        <w:t xml:space="preserve"> </w:t>
      </w:r>
      <w:r w:rsidRPr="00C6052E">
        <w:t>assets</w:t>
      </w:r>
      <w:r w:rsidR="00177848" w:rsidRPr="00C6052E">
        <w:t xml:space="preserve"> </w:t>
      </w:r>
      <w:r w:rsidRPr="00C6052E">
        <w:t>at</w:t>
      </w:r>
      <w:r w:rsidR="00177848" w:rsidRPr="00C6052E">
        <w:t xml:space="preserve"> </w:t>
      </w:r>
      <w:r w:rsidRPr="00C6052E">
        <w:t>amortised</w:t>
      </w:r>
      <w:r w:rsidR="00177848" w:rsidRPr="00C6052E">
        <w:t xml:space="preserve"> </w:t>
      </w:r>
      <w:r w:rsidRPr="00C6052E">
        <w:t>cost</w:t>
      </w:r>
      <w:r w:rsidR="00177848" w:rsidRPr="00C6052E">
        <w:t xml:space="preserve"> </w:t>
      </w:r>
    </w:p>
    <w:p w14:paraId="4AC69D43" w14:textId="1EEAD287" w:rsidR="00EE5BB8" w:rsidRPr="00C6052E" w:rsidRDefault="00EE5BB8" w:rsidP="0028635E">
      <w:pPr>
        <w:pStyle w:val="Normalbeforebullets"/>
      </w:pPr>
      <w:r w:rsidRPr="00C6052E">
        <w:t>Financial</w:t>
      </w:r>
      <w:r w:rsidR="00177848" w:rsidRPr="00C6052E">
        <w:t xml:space="preserve"> </w:t>
      </w:r>
      <w:r w:rsidRPr="00C6052E">
        <w:t>assets</w:t>
      </w:r>
      <w:r w:rsidR="00177848" w:rsidRPr="00C6052E">
        <w:t xml:space="preserve"> </w:t>
      </w:r>
      <w:r w:rsidRPr="00C6052E">
        <w:t>are</w:t>
      </w:r>
      <w:r w:rsidR="00177848" w:rsidRPr="00C6052E">
        <w:t xml:space="preserve"> </w:t>
      </w:r>
      <w:r w:rsidRPr="00C6052E">
        <w:t>measured</w:t>
      </w:r>
      <w:r w:rsidR="00177848" w:rsidRPr="00C6052E">
        <w:t xml:space="preserve"> </w:t>
      </w:r>
      <w:r w:rsidRPr="00C6052E">
        <w:t>at</w:t>
      </w:r>
      <w:r w:rsidR="00177848" w:rsidRPr="00C6052E">
        <w:t xml:space="preserve"> </w:t>
      </w:r>
      <w:r w:rsidRPr="00C6052E">
        <w:t>amortised</w:t>
      </w:r>
      <w:r w:rsidR="00177848" w:rsidRPr="00C6052E">
        <w:t xml:space="preserve"> </w:t>
      </w:r>
      <w:r w:rsidRPr="00C6052E">
        <w:t>costs</w:t>
      </w:r>
      <w:r w:rsidR="00177848" w:rsidRPr="00C6052E">
        <w:t xml:space="preserve"> </w:t>
      </w:r>
      <w:r w:rsidRPr="00C6052E">
        <w:t>if</w:t>
      </w:r>
      <w:r w:rsidR="00177848" w:rsidRPr="00C6052E">
        <w:t xml:space="preserve"> </w:t>
      </w:r>
      <w:r w:rsidRPr="00C6052E">
        <w:t>both</w:t>
      </w:r>
      <w:r w:rsidR="00177848" w:rsidRPr="00C6052E">
        <w:t xml:space="preserve"> </w:t>
      </w:r>
      <w:r w:rsidRPr="00C6052E">
        <w:t>of</w:t>
      </w:r>
      <w:r w:rsidR="00177848" w:rsidRPr="00C6052E">
        <w:t xml:space="preserve"> </w:t>
      </w:r>
      <w:r w:rsidRPr="00C6052E">
        <w:t>the</w:t>
      </w:r>
      <w:r w:rsidR="00177848" w:rsidRPr="00C6052E">
        <w:t xml:space="preserve"> </w:t>
      </w:r>
      <w:r w:rsidRPr="00C6052E">
        <w:t>following</w:t>
      </w:r>
      <w:r w:rsidR="00177848" w:rsidRPr="00C6052E">
        <w:t xml:space="preserve"> </w:t>
      </w:r>
      <w:r w:rsidRPr="00C6052E">
        <w:t>criteria</w:t>
      </w:r>
      <w:r w:rsidR="00177848" w:rsidRPr="00C6052E">
        <w:t xml:space="preserve"> </w:t>
      </w:r>
      <w:r w:rsidRPr="00C6052E">
        <w:t>are</w:t>
      </w:r>
      <w:r w:rsidR="00177848" w:rsidRPr="00C6052E">
        <w:t xml:space="preserve"> </w:t>
      </w:r>
      <w:r w:rsidRPr="00C6052E">
        <w:t>met,</w:t>
      </w:r>
      <w:r w:rsidR="00177848" w:rsidRPr="00C6052E">
        <w:t xml:space="preserve"> </w:t>
      </w:r>
      <w:r w:rsidRPr="00C6052E">
        <w:t>and</w:t>
      </w:r>
      <w:r w:rsidR="00177848" w:rsidRPr="00C6052E">
        <w:t xml:space="preserve"> </w:t>
      </w:r>
      <w:r w:rsidRPr="00C6052E">
        <w:t>the</w:t>
      </w:r>
      <w:r w:rsidR="00177848" w:rsidRPr="00C6052E">
        <w:t xml:space="preserve"> </w:t>
      </w:r>
      <w:r w:rsidRPr="00C6052E">
        <w:t>assets</w:t>
      </w:r>
      <w:r w:rsidR="00177848" w:rsidRPr="00C6052E">
        <w:t xml:space="preserve"> </w:t>
      </w:r>
      <w:r w:rsidRPr="00C6052E">
        <w:t>are</w:t>
      </w:r>
      <w:r w:rsidR="00177848" w:rsidRPr="00C6052E">
        <w:t xml:space="preserve"> </w:t>
      </w:r>
      <w:r w:rsidRPr="00C6052E">
        <w:t>not</w:t>
      </w:r>
      <w:r w:rsidR="00177848" w:rsidRPr="00C6052E">
        <w:t xml:space="preserve"> </w:t>
      </w:r>
      <w:r w:rsidRPr="00C6052E">
        <w:t>designated</w:t>
      </w:r>
      <w:r w:rsidR="00177848" w:rsidRPr="00C6052E">
        <w:t xml:space="preserve"> </w:t>
      </w:r>
      <w:r w:rsidRPr="00C6052E">
        <w:t>as</w:t>
      </w:r>
      <w:r w:rsidR="00177848" w:rsidRPr="00C6052E">
        <w:t xml:space="preserve"> </w:t>
      </w:r>
      <w:r w:rsidRPr="00C6052E">
        <w:t>fair</w:t>
      </w:r>
      <w:r w:rsidR="00177848" w:rsidRPr="00C6052E">
        <w:t xml:space="preserve"> </w:t>
      </w:r>
      <w:r w:rsidRPr="00C6052E">
        <w:t>value</w:t>
      </w:r>
      <w:r w:rsidR="00177848" w:rsidRPr="00C6052E">
        <w:t xml:space="preserve"> </w:t>
      </w:r>
      <w:r w:rsidRPr="00C6052E">
        <w:t>through</w:t>
      </w:r>
      <w:r w:rsidR="00177848" w:rsidRPr="00C6052E">
        <w:t xml:space="preserve"> </w:t>
      </w:r>
      <w:r w:rsidRPr="00C6052E">
        <w:t>net</w:t>
      </w:r>
      <w:r w:rsidR="00177848" w:rsidRPr="00C6052E">
        <w:t xml:space="preserve"> </w:t>
      </w:r>
      <w:r w:rsidRPr="00C6052E">
        <w:t>result:</w:t>
      </w:r>
    </w:p>
    <w:p w14:paraId="408C01DC" w14:textId="404407EF" w:rsidR="00EE5BB8" w:rsidRPr="00C6052E" w:rsidRDefault="00EE5BB8" w:rsidP="00EE5BB8">
      <w:pPr>
        <w:pStyle w:val="Bullet1"/>
        <w:numPr>
          <w:ilvl w:val="0"/>
          <w:numId w:val="1"/>
        </w:numPr>
        <w:spacing w:line="278" w:lineRule="auto"/>
        <w:ind w:left="284" w:hanging="284"/>
        <w:rPr>
          <w:lang w:val="en-AU"/>
        </w:rPr>
      </w:pPr>
      <w:r w:rsidRPr="00C6052E">
        <w:rPr>
          <w:lang w:val="en-AU"/>
        </w:rPr>
        <w:t>the</w:t>
      </w:r>
      <w:r w:rsidR="00177848" w:rsidRPr="00C6052E">
        <w:rPr>
          <w:lang w:val="en-AU"/>
        </w:rPr>
        <w:t xml:space="preserve"> </w:t>
      </w:r>
      <w:r w:rsidRPr="00C6052E">
        <w:rPr>
          <w:lang w:val="en-AU"/>
        </w:rPr>
        <w:t>assets</w:t>
      </w:r>
      <w:r w:rsidR="00177848" w:rsidRPr="00C6052E">
        <w:rPr>
          <w:lang w:val="en-AU"/>
        </w:rPr>
        <w:t xml:space="preserve"> </w:t>
      </w:r>
      <w:r w:rsidRPr="00C6052E">
        <w:rPr>
          <w:lang w:val="en-AU"/>
        </w:rPr>
        <w:t>are</w:t>
      </w:r>
      <w:r w:rsidR="00177848" w:rsidRPr="00C6052E">
        <w:rPr>
          <w:lang w:val="en-AU"/>
        </w:rPr>
        <w:t xml:space="preserve"> </w:t>
      </w:r>
      <w:r w:rsidRPr="00C6052E">
        <w:rPr>
          <w:lang w:val="en-AU"/>
        </w:rPr>
        <w:t>held</w:t>
      </w:r>
      <w:r w:rsidR="00177848" w:rsidRPr="00C6052E">
        <w:rPr>
          <w:lang w:val="en-AU"/>
        </w:rPr>
        <w:t xml:space="preserve"> </w:t>
      </w:r>
      <w:r w:rsidRPr="00C6052E">
        <w:rPr>
          <w:lang w:val="en-AU"/>
        </w:rPr>
        <w:t>by</w:t>
      </w:r>
      <w:r w:rsidR="00177848" w:rsidRPr="00C6052E">
        <w:rPr>
          <w:lang w:val="en-AU"/>
        </w:rPr>
        <w:t xml:space="preserve"> </w:t>
      </w:r>
      <w:r w:rsidRPr="00C6052E">
        <w:rPr>
          <w:lang w:val="en-AU"/>
        </w:rPr>
        <w:t>DJSIR</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collect</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contractual</w:t>
      </w:r>
      <w:r w:rsidR="00177848" w:rsidRPr="00C6052E">
        <w:rPr>
          <w:lang w:val="en-AU"/>
        </w:rPr>
        <w:t xml:space="preserve"> </w:t>
      </w:r>
      <w:r w:rsidRPr="00C6052E">
        <w:rPr>
          <w:lang w:val="en-AU"/>
        </w:rPr>
        <w:t>cash</w:t>
      </w:r>
      <w:r w:rsidR="00177848" w:rsidRPr="00C6052E">
        <w:rPr>
          <w:lang w:val="en-AU"/>
        </w:rPr>
        <w:t xml:space="preserve"> </w:t>
      </w:r>
      <w:r w:rsidRPr="00C6052E">
        <w:rPr>
          <w:lang w:val="en-AU"/>
        </w:rPr>
        <w:t>flows,</w:t>
      </w:r>
      <w:r w:rsidR="00177848" w:rsidRPr="00C6052E">
        <w:rPr>
          <w:lang w:val="en-AU"/>
        </w:rPr>
        <w:t xml:space="preserve"> </w:t>
      </w:r>
      <w:r w:rsidRPr="00C6052E">
        <w:rPr>
          <w:lang w:val="en-AU"/>
        </w:rPr>
        <w:t>and</w:t>
      </w:r>
    </w:p>
    <w:p w14:paraId="56302BB0" w14:textId="7616CA2F" w:rsidR="00EE5BB8" w:rsidRPr="00C6052E" w:rsidRDefault="00EE5BB8" w:rsidP="00EE5BB8">
      <w:pPr>
        <w:pStyle w:val="Bullet1last"/>
        <w:numPr>
          <w:ilvl w:val="0"/>
          <w:numId w:val="1"/>
        </w:numPr>
        <w:spacing w:line="278" w:lineRule="auto"/>
        <w:ind w:left="284" w:hanging="284"/>
        <w:rPr>
          <w:lang w:val="en-AU"/>
        </w:rPr>
      </w:pPr>
      <w:r w:rsidRPr="00C6052E">
        <w:rPr>
          <w:lang w:val="en-AU"/>
        </w:rPr>
        <w:t>the</w:t>
      </w:r>
      <w:r w:rsidR="00177848" w:rsidRPr="00C6052E">
        <w:rPr>
          <w:lang w:val="en-AU"/>
        </w:rPr>
        <w:t xml:space="preserve"> </w:t>
      </w:r>
      <w:r w:rsidRPr="00C6052E">
        <w:rPr>
          <w:lang w:val="en-AU"/>
        </w:rPr>
        <w:t>assets’</w:t>
      </w:r>
      <w:r w:rsidR="00177848" w:rsidRPr="00C6052E">
        <w:rPr>
          <w:lang w:val="en-AU"/>
        </w:rPr>
        <w:t xml:space="preserve"> </w:t>
      </w:r>
      <w:r w:rsidRPr="00C6052E">
        <w:rPr>
          <w:lang w:val="en-AU"/>
        </w:rPr>
        <w:t>contractual</w:t>
      </w:r>
      <w:r w:rsidR="00177848" w:rsidRPr="00C6052E">
        <w:rPr>
          <w:lang w:val="en-AU"/>
        </w:rPr>
        <w:t xml:space="preserve"> </w:t>
      </w:r>
      <w:r w:rsidRPr="00C6052E">
        <w:rPr>
          <w:lang w:val="en-AU"/>
        </w:rPr>
        <w:t>terms</w:t>
      </w:r>
      <w:r w:rsidR="00177848" w:rsidRPr="00C6052E">
        <w:rPr>
          <w:lang w:val="en-AU"/>
        </w:rPr>
        <w:t xml:space="preserve"> </w:t>
      </w:r>
      <w:r w:rsidRPr="00C6052E">
        <w:rPr>
          <w:lang w:val="en-AU"/>
        </w:rPr>
        <w:t>give</w:t>
      </w:r>
      <w:r w:rsidR="00177848" w:rsidRPr="00C6052E">
        <w:rPr>
          <w:lang w:val="en-AU"/>
        </w:rPr>
        <w:t xml:space="preserve"> </w:t>
      </w:r>
      <w:r w:rsidRPr="00C6052E">
        <w:rPr>
          <w:lang w:val="en-AU"/>
        </w:rPr>
        <w:t>rise</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cash</w:t>
      </w:r>
      <w:r w:rsidR="00177848" w:rsidRPr="00C6052E">
        <w:rPr>
          <w:lang w:val="en-AU"/>
        </w:rPr>
        <w:t xml:space="preserve"> </w:t>
      </w:r>
      <w:r w:rsidRPr="00C6052E">
        <w:rPr>
          <w:lang w:val="en-AU"/>
        </w:rPr>
        <w:t>flows</w:t>
      </w:r>
      <w:r w:rsidR="00177848" w:rsidRPr="00C6052E">
        <w:rPr>
          <w:lang w:val="en-AU"/>
        </w:rPr>
        <w:t xml:space="preserve"> </w:t>
      </w:r>
      <w:r w:rsidRPr="00C6052E">
        <w:rPr>
          <w:lang w:val="en-AU"/>
        </w:rPr>
        <w:t>that</w:t>
      </w:r>
      <w:r w:rsidR="00177848" w:rsidRPr="00C6052E">
        <w:rPr>
          <w:lang w:val="en-AU"/>
        </w:rPr>
        <w:t xml:space="preserve"> </w:t>
      </w:r>
      <w:r w:rsidRPr="00C6052E">
        <w:rPr>
          <w:lang w:val="en-AU"/>
        </w:rPr>
        <w:t>are</w:t>
      </w:r>
      <w:r w:rsidR="00177848" w:rsidRPr="00C6052E">
        <w:rPr>
          <w:lang w:val="en-AU"/>
        </w:rPr>
        <w:t xml:space="preserve"> </w:t>
      </w:r>
      <w:r w:rsidRPr="00C6052E">
        <w:rPr>
          <w:lang w:val="en-AU"/>
        </w:rPr>
        <w:t>solely</w:t>
      </w:r>
      <w:r w:rsidR="00177848" w:rsidRPr="00C6052E">
        <w:rPr>
          <w:lang w:val="en-AU"/>
        </w:rPr>
        <w:t xml:space="preserve"> </w:t>
      </w:r>
      <w:r w:rsidRPr="00C6052E">
        <w:rPr>
          <w:lang w:val="en-AU"/>
        </w:rPr>
        <w:t>payments</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principal</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interests.</w:t>
      </w:r>
    </w:p>
    <w:p w14:paraId="1108E5D1" w14:textId="5D69443D" w:rsidR="00EE5BB8" w:rsidRPr="00C6052E" w:rsidRDefault="00EE5BB8" w:rsidP="00EE5BB8">
      <w:r w:rsidRPr="00C6052E">
        <w:t>These</w:t>
      </w:r>
      <w:r w:rsidR="00177848" w:rsidRPr="00C6052E">
        <w:t xml:space="preserve"> </w:t>
      </w:r>
      <w:r w:rsidRPr="00C6052E">
        <w:t>assets</w:t>
      </w:r>
      <w:r w:rsidR="00177848" w:rsidRPr="00C6052E">
        <w:t xml:space="preserve"> </w:t>
      </w:r>
      <w:r w:rsidRPr="00C6052E">
        <w:t>are</w:t>
      </w:r>
      <w:r w:rsidR="00177848" w:rsidRPr="00C6052E">
        <w:t xml:space="preserve"> </w:t>
      </w:r>
      <w:r w:rsidRPr="00C6052E">
        <w:t>initially</w:t>
      </w:r>
      <w:r w:rsidR="00177848" w:rsidRPr="00C6052E">
        <w:t xml:space="preserve"> </w:t>
      </w:r>
      <w:r w:rsidRPr="00C6052E">
        <w:t>recognised</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r w:rsidR="00177848" w:rsidRPr="00C6052E">
        <w:t xml:space="preserve"> </w:t>
      </w:r>
      <w:r w:rsidRPr="00C6052E">
        <w:t>plus</w:t>
      </w:r>
      <w:r w:rsidR="00177848" w:rsidRPr="00C6052E">
        <w:t xml:space="preserve"> </w:t>
      </w:r>
      <w:r w:rsidRPr="00C6052E">
        <w:t>any</w:t>
      </w:r>
      <w:r w:rsidR="00177848" w:rsidRPr="00C6052E">
        <w:t xml:space="preserve"> </w:t>
      </w:r>
      <w:r w:rsidRPr="00C6052E">
        <w:t>directly</w:t>
      </w:r>
      <w:r w:rsidR="00177848" w:rsidRPr="00C6052E">
        <w:t xml:space="preserve"> </w:t>
      </w:r>
      <w:r w:rsidRPr="00C6052E">
        <w:t>attributable</w:t>
      </w:r>
      <w:r w:rsidR="00177848" w:rsidRPr="00C6052E">
        <w:t xml:space="preserve"> </w:t>
      </w:r>
      <w:r w:rsidRPr="00C6052E">
        <w:t>transaction</w:t>
      </w:r>
      <w:r w:rsidR="00177848" w:rsidRPr="00C6052E">
        <w:t xml:space="preserve"> </w:t>
      </w:r>
      <w:r w:rsidRPr="00C6052E">
        <w:t>costs</w:t>
      </w:r>
      <w:r w:rsidR="00177848" w:rsidRPr="00C6052E">
        <w:t xml:space="preserve"> </w:t>
      </w:r>
      <w:r w:rsidRPr="00C6052E">
        <w:t>and</w:t>
      </w:r>
      <w:r w:rsidR="00177848" w:rsidRPr="00C6052E">
        <w:t xml:space="preserve"> </w:t>
      </w:r>
      <w:r w:rsidRPr="00C6052E">
        <w:t>subsequently</w:t>
      </w:r>
      <w:r w:rsidR="00177848" w:rsidRPr="00C6052E">
        <w:t xml:space="preserve"> </w:t>
      </w:r>
      <w:r w:rsidRPr="00C6052E">
        <w:t>measured</w:t>
      </w:r>
      <w:r w:rsidR="00177848" w:rsidRPr="00C6052E">
        <w:t xml:space="preserve"> </w:t>
      </w:r>
      <w:r w:rsidRPr="00C6052E">
        <w:t>at</w:t>
      </w:r>
      <w:r w:rsidR="00177848" w:rsidRPr="00C6052E">
        <w:t xml:space="preserve"> </w:t>
      </w:r>
      <w:r w:rsidRPr="00C6052E">
        <w:t>amortised</w:t>
      </w:r>
      <w:r w:rsidR="00177848" w:rsidRPr="00C6052E">
        <w:t xml:space="preserve"> </w:t>
      </w:r>
      <w:r w:rsidRPr="00C6052E">
        <w:t>cost</w:t>
      </w:r>
      <w:r w:rsidR="00177848" w:rsidRPr="00C6052E">
        <w:t xml:space="preserve"> </w:t>
      </w:r>
      <w:r w:rsidRPr="00C6052E">
        <w:t>using</w:t>
      </w:r>
      <w:r w:rsidR="00177848" w:rsidRPr="00C6052E">
        <w:t xml:space="preserve"> </w:t>
      </w:r>
      <w:r w:rsidRPr="00C6052E">
        <w:t>the</w:t>
      </w:r>
      <w:r w:rsidR="00177848" w:rsidRPr="00C6052E">
        <w:t xml:space="preserve"> </w:t>
      </w:r>
      <w:r w:rsidRPr="00C6052E">
        <w:t>effective</w:t>
      </w:r>
      <w:r w:rsidR="00177848" w:rsidRPr="00C6052E">
        <w:t xml:space="preserve"> </w:t>
      </w:r>
      <w:r w:rsidRPr="00C6052E">
        <w:t>interest</w:t>
      </w:r>
      <w:r w:rsidR="00177848" w:rsidRPr="00C6052E">
        <w:t xml:space="preserve"> </w:t>
      </w:r>
      <w:r w:rsidRPr="00C6052E">
        <w:t>method</w:t>
      </w:r>
      <w:r w:rsidR="00177848" w:rsidRPr="00C6052E">
        <w:t xml:space="preserve"> </w:t>
      </w:r>
      <w:r w:rsidRPr="00C6052E">
        <w:t>less</w:t>
      </w:r>
      <w:r w:rsidR="00177848" w:rsidRPr="00C6052E">
        <w:t xml:space="preserve"> </w:t>
      </w:r>
      <w:r w:rsidRPr="00C6052E">
        <w:t>any</w:t>
      </w:r>
      <w:r w:rsidR="00177848" w:rsidRPr="00C6052E">
        <w:t xml:space="preserve"> </w:t>
      </w:r>
      <w:r w:rsidRPr="00C6052E">
        <w:t>impairment.</w:t>
      </w:r>
      <w:r w:rsidR="00177848" w:rsidRPr="00C6052E">
        <w:t xml:space="preserve"> </w:t>
      </w:r>
    </w:p>
    <w:p w14:paraId="1D654577" w14:textId="02EF2422" w:rsidR="00EE5BB8" w:rsidRPr="00C6052E" w:rsidRDefault="00EE5BB8" w:rsidP="00F660D1">
      <w:pPr>
        <w:pStyle w:val="Normalbeforebullets"/>
      </w:pPr>
      <w:r w:rsidRPr="00C6052E">
        <w:lastRenderedPageBreak/>
        <w:t>DJSIR</w:t>
      </w:r>
      <w:r w:rsidR="00177848" w:rsidRPr="00C6052E">
        <w:t xml:space="preserve"> </w:t>
      </w:r>
      <w:r w:rsidRPr="00C6052E">
        <w:t>recognises</w:t>
      </w:r>
      <w:r w:rsidR="00177848" w:rsidRPr="00C6052E">
        <w:t xml:space="preserve"> </w:t>
      </w:r>
      <w:r w:rsidRPr="00C6052E">
        <w:t>the</w:t>
      </w:r>
      <w:r w:rsidR="00177848" w:rsidRPr="00C6052E">
        <w:t xml:space="preserve"> </w:t>
      </w:r>
      <w:r w:rsidRPr="00C6052E">
        <w:t>following</w:t>
      </w:r>
      <w:r w:rsidR="00177848" w:rsidRPr="00C6052E">
        <w:t xml:space="preserve"> </w:t>
      </w:r>
      <w:r w:rsidRPr="00C6052E">
        <w:t>assets</w:t>
      </w:r>
      <w:r w:rsidR="00177848" w:rsidRPr="00C6052E">
        <w:t xml:space="preserve"> </w:t>
      </w:r>
      <w:r w:rsidRPr="00C6052E">
        <w:t>in</w:t>
      </w:r>
      <w:r w:rsidR="00177848" w:rsidRPr="00C6052E">
        <w:t xml:space="preserve"> </w:t>
      </w:r>
      <w:r w:rsidRPr="00C6052E">
        <w:t>this</w:t>
      </w:r>
      <w:r w:rsidR="00177848" w:rsidRPr="00C6052E">
        <w:t xml:space="preserve"> </w:t>
      </w:r>
      <w:r w:rsidRPr="00C6052E">
        <w:t>category:</w:t>
      </w:r>
    </w:p>
    <w:p w14:paraId="5126A518" w14:textId="3E8518FE" w:rsidR="00EE5BB8" w:rsidRPr="00C6052E" w:rsidRDefault="00EE5BB8" w:rsidP="00F660D1">
      <w:pPr>
        <w:pStyle w:val="Bullet1"/>
        <w:keepNext/>
        <w:numPr>
          <w:ilvl w:val="0"/>
          <w:numId w:val="1"/>
        </w:numPr>
        <w:spacing w:line="278" w:lineRule="auto"/>
        <w:ind w:left="284" w:hanging="284"/>
        <w:rPr>
          <w:lang w:val="en-AU"/>
        </w:rPr>
      </w:pPr>
      <w:r w:rsidRPr="00C6052E">
        <w:rPr>
          <w:lang w:val="en-AU"/>
        </w:rPr>
        <w:t>cash</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deposits</w:t>
      </w:r>
      <w:r w:rsidR="00177848" w:rsidRPr="00C6052E">
        <w:rPr>
          <w:lang w:val="en-AU"/>
        </w:rPr>
        <w:t xml:space="preserve"> </w:t>
      </w:r>
    </w:p>
    <w:p w14:paraId="529872C4" w14:textId="77777777" w:rsidR="00EE5BB8" w:rsidRPr="00C6052E" w:rsidRDefault="00EE5BB8" w:rsidP="00EE5BB8">
      <w:pPr>
        <w:pStyle w:val="Bullet1"/>
        <w:numPr>
          <w:ilvl w:val="0"/>
          <w:numId w:val="1"/>
        </w:numPr>
        <w:spacing w:line="278" w:lineRule="auto"/>
        <w:ind w:left="284" w:hanging="284"/>
        <w:rPr>
          <w:lang w:val="en-AU"/>
        </w:rPr>
      </w:pPr>
      <w:r w:rsidRPr="00C6052E">
        <w:rPr>
          <w:lang w:val="en-AU"/>
        </w:rPr>
        <w:t>investments</w:t>
      </w:r>
    </w:p>
    <w:p w14:paraId="3D77BC5E" w14:textId="04243283" w:rsidR="00EE5BB8" w:rsidRPr="00C6052E" w:rsidRDefault="00EE5BB8" w:rsidP="00EE5BB8">
      <w:pPr>
        <w:pStyle w:val="Bullet1last"/>
        <w:numPr>
          <w:ilvl w:val="0"/>
          <w:numId w:val="1"/>
        </w:numPr>
        <w:spacing w:line="278" w:lineRule="auto"/>
        <w:ind w:left="284" w:hanging="284"/>
        <w:rPr>
          <w:lang w:val="en-AU"/>
        </w:rPr>
      </w:pPr>
      <w:r w:rsidRPr="00C6052E">
        <w:rPr>
          <w:lang w:val="en-AU"/>
        </w:rPr>
        <w:t>receivables</w:t>
      </w:r>
      <w:r w:rsidR="00177848" w:rsidRPr="00C6052E">
        <w:rPr>
          <w:lang w:val="en-AU"/>
        </w:rPr>
        <w:t xml:space="preserve"> </w:t>
      </w:r>
      <w:r w:rsidRPr="00C6052E">
        <w:rPr>
          <w:lang w:val="en-AU"/>
        </w:rPr>
        <w:t>(excluding</w:t>
      </w:r>
      <w:r w:rsidR="00177848" w:rsidRPr="00C6052E">
        <w:rPr>
          <w:lang w:val="en-AU"/>
        </w:rPr>
        <w:t xml:space="preserve"> </w:t>
      </w:r>
      <w:r w:rsidRPr="00C6052E">
        <w:rPr>
          <w:lang w:val="en-AU"/>
        </w:rPr>
        <w:t>statutory</w:t>
      </w:r>
      <w:r w:rsidR="00177848" w:rsidRPr="00C6052E">
        <w:rPr>
          <w:lang w:val="en-AU"/>
        </w:rPr>
        <w:t xml:space="preserve"> </w:t>
      </w:r>
      <w:r w:rsidRPr="00C6052E">
        <w:rPr>
          <w:lang w:val="en-AU"/>
        </w:rPr>
        <w:t>receivables)</w:t>
      </w:r>
    </w:p>
    <w:p w14:paraId="358242F5" w14:textId="1CA4E461" w:rsidR="00EE5BB8" w:rsidRPr="00C6052E" w:rsidRDefault="00EE5BB8" w:rsidP="00EE5BB8">
      <w:pPr>
        <w:keepLines/>
      </w:pPr>
      <w:r w:rsidRPr="00C6052E">
        <w:rPr>
          <w:rStyle w:val="Medium"/>
        </w:rPr>
        <w:t>Financial</w:t>
      </w:r>
      <w:r w:rsidR="00177848" w:rsidRPr="00C6052E">
        <w:rPr>
          <w:rStyle w:val="Medium"/>
        </w:rPr>
        <w:t xml:space="preserve"> </w:t>
      </w:r>
      <w:r w:rsidRPr="00C6052E">
        <w:rPr>
          <w:rStyle w:val="Medium"/>
        </w:rPr>
        <w:t>assets</w:t>
      </w:r>
      <w:r w:rsidR="00177848" w:rsidRPr="00C6052E">
        <w:rPr>
          <w:rStyle w:val="Medium"/>
        </w:rPr>
        <w:t xml:space="preserve"> </w:t>
      </w:r>
      <w:r w:rsidRPr="00C6052E">
        <w:rPr>
          <w:rStyle w:val="Medium"/>
        </w:rPr>
        <w:t>and</w:t>
      </w:r>
      <w:r w:rsidR="00177848" w:rsidRPr="00C6052E">
        <w:rPr>
          <w:rStyle w:val="Medium"/>
        </w:rPr>
        <w:t xml:space="preserve"> </w:t>
      </w:r>
      <w:r w:rsidRPr="00C6052E">
        <w:rPr>
          <w:rStyle w:val="Medium"/>
        </w:rPr>
        <w:t>liabilities</w:t>
      </w:r>
      <w:r w:rsidR="00177848" w:rsidRPr="00C6052E">
        <w:rPr>
          <w:rStyle w:val="Medium"/>
        </w:rPr>
        <w:t xml:space="preserve"> </w:t>
      </w:r>
      <w:r w:rsidRPr="00C6052E">
        <w:rPr>
          <w:rStyle w:val="Medium"/>
        </w:rPr>
        <w:t>at</w:t>
      </w:r>
      <w:r w:rsidR="00177848" w:rsidRPr="00C6052E">
        <w:rPr>
          <w:rStyle w:val="Medium"/>
        </w:rPr>
        <w:t xml:space="preserve"> </w:t>
      </w:r>
      <w:r w:rsidRPr="00C6052E">
        <w:rPr>
          <w:rStyle w:val="Medium"/>
        </w:rPr>
        <w:t>fair</w:t>
      </w:r>
      <w:r w:rsidR="00177848" w:rsidRPr="00C6052E">
        <w:rPr>
          <w:rStyle w:val="Medium"/>
        </w:rPr>
        <w:t xml:space="preserve"> </w:t>
      </w:r>
      <w:r w:rsidRPr="00C6052E">
        <w:rPr>
          <w:rStyle w:val="Medium"/>
        </w:rPr>
        <w:t>value</w:t>
      </w:r>
      <w:r w:rsidR="00177848" w:rsidRPr="00C6052E">
        <w:rPr>
          <w:rStyle w:val="Medium"/>
        </w:rPr>
        <w:t xml:space="preserve"> </w:t>
      </w:r>
      <w:r w:rsidRPr="00C6052E">
        <w:rPr>
          <w:rStyle w:val="Medium"/>
        </w:rPr>
        <w:t>through</w:t>
      </w:r>
      <w:r w:rsidR="00177848" w:rsidRPr="00C6052E">
        <w:rPr>
          <w:rStyle w:val="Medium"/>
        </w:rPr>
        <w:t xml:space="preserve"> </w:t>
      </w:r>
      <w:r w:rsidRPr="00C6052E">
        <w:rPr>
          <w:rStyle w:val="Medium"/>
        </w:rPr>
        <w:t>net</w:t>
      </w:r>
      <w:r w:rsidR="00177848" w:rsidRPr="00C6052E">
        <w:rPr>
          <w:rStyle w:val="Medium"/>
        </w:rPr>
        <w:t xml:space="preserve"> </w:t>
      </w:r>
      <w:r w:rsidRPr="00C6052E">
        <w:rPr>
          <w:rStyle w:val="Medium"/>
        </w:rPr>
        <w:t>result</w:t>
      </w:r>
      <w:r w:rsidR="00177848" w:rsidRPr="00C6052E">
        <w:t xml:space="preserve"> </w:t>
      </w:r>
      <w:r w:rsidRPr="00C6052E">
        <w:t>are</w:t>
      </w:r>
      <w:r w:rsidR="00177848" w:rsidRPr="00C6052E">
        <w:t xml:space="preserve"> </w:t>
      </w:r>
      <w:r w:rsidRPr="00C6052E">
        <w:t>categorised</w:t>
      </w:r>
      <w:r w:rsidR="00177848" w:rsidRPr="00C6052E">
        <w:t xml:space="preserve"> </w:t>
      </w:r>
      <w:r w:rsidRPr="00C6052E">
        <w:t>as</w:t>
      </w:r>
      <w:r w:rsidR="00177848" w:rsidRPr="00C6052E">
        <w:t xml:space="preserve"> </w:t>
      </w:r>
      <w:r w:rsidRPr="00C6052E">
        <w:t>such</w:t>
      </w:r>
      <w:r w:rsidR="00177848" w:rsidRPr="00C6052E">
        <w:t xml:space="preserve"> </w:t>
      </w:r>
      <w:r w:rsidRPr="00C6052E">
        <w:t>at</w:t>
      </w:r>
      <w:r w:rsidR="00177848" w:rsidRPr="00C6052E">
        <w:t xml:space="preserve"> </w:t>
      </w:r>
      <w:r w:rsidRPr="00C6052E">
        <w:t>trade</w:t>
      </w:r>
      <w:r w:rsidR="00177848" w:rsidRPr="00C6052E">
        <w:t xml:space="preserve"> </w:t>
      </w:r>
      <w:r w:rsidRPr="00C6052E">
        <w:t>date,</w:t>
      </w:r>
      <w:r w:rsidR="00177848" w:rsidRPr="00C6052E">
        <w:t xml:space="preserve"> </w:t>
      </w:r>
      <w:r w:rsidRPr="00C6052E">
        <w:t>or</w:t>
      </w:r>
      <w:r w:rsidR="00177848" w:rsidRPr="00C6052E">
        <w:t xml:space="preserve"> </w:t>
      </w:r>
      <w:r w:rsidRPr="00C6052E">
        <w:t>if</w:t>
      </w:r>
      <w:r w:rsidR="00177848" w:rsidRPr="00C6052E">
        <w:t xml:space="preserve"> </w:t>
      </w:r>
      <w:r w:rsidRPr="00C6052E">
        <w:t>they</w:t>
      </w:r>
      <w:r w:rsidR="00177848" w:rsidRPr="00C6052E">
        <w:t xml:space="preserve"> </w:t>
      </w:r>
      <w:r w:rsidRPr="00C6052E">
        <w:t>are</w:t>
      </w:r>
      <w:r w:rsidR="00177848" w:rsidRPr="00C6052E">
        <w:t xml:space="preserve"> </w:t>
      </w:r>
      <w:r w:rsidRPr="00C6052E">
        <w:t>classified</w:t>
      </w:r>
      <w:r w:rsidR="00177848" w:rsidRPr="00C6052E">
        <w:t xml:space="preserve"> </w:t>
      </w:r>
      <w:r w:rsidRPr="00C6052E">
        <w:t>as</w:t>
      </w:r>
      <w:r w:rsidR="00177848" w:rsidRPr="00C6052E">
        <w:t xml:space="preserve"> </w:t>
      </w:r>
      <w:r w:rsidRPr="00C6052E">
        <w:t>held</w:t>
      </w:r>
      <w:r w:rsidR="00177848" w:rsidRPr="00C6052E">
        <w:t xml:space="preserve"> </w:t>
      </w:r>
      <w:r w:rsidRPr="00C6052E">
        <w:t>for</w:t>
      </w:r>
      <w:r w:rsidR="00177848" w:rsidRPr="00C6052E">
        <w:t xml:space="preserve"> </w:t>
      </w:r>
      <w:r w:rsidRPr="00C6052E">
        <w:t>trading</w:t>
      </w:r>
      <w:r w:rsidR="00177848" w:rsidRPr="00C6052E">
        <w:t xml:space="preserve"> </w:t>
      </w:r>
      <w:r w:rsidRPr="00C6052E">
        <w:t>or</w:t>
      </w:r>
      <w:r w:rsidR="00177848" w:rsidRPr="00C6052E">
        <w:t xml:space="preserve"> </w:t>
      </w:r>
      <w:r w:rsidRPr="00C6052E">
        <w:t>designated</w:t>
      </w:r>
      <w:r w:rsidR="00177848" w:rsidRPr="00C6052E">
        <w:t xml:space="preserve"> </w:t>
      </w:r>
      <w:r w:rsidRPr="00C6052E">
        <w:t>as</w:t>
      </w:r>
      <w:r w:rsidR="00177848" w:rsidRPr="00C6052E">
        <w:t xml:space="preserve"> </w:t>
      </w:r>
      <w:r w:rsidRPr="00C6052E">
        <w:t>such</w:t>
      </w:r>
      <w:r w:rsidR="00177848" w:rsidRPr="00C6052E">
        <w:t xml:space="preserve"> </w:t>
      </w:r>
      <w:r w:rsidRPr="00C6052E">
        <w:t>upon</w:t>
      </w:r>
      <w:r w:rsidR="00177848" w:rsidRPr="00C6052E">
        <w:t xml:space="preserve"> </w:t>
      </w:r>
      <w:r w:rsidRPr="00C6052E">
        <w:t>initial</w:t>
      </w:r>
      <w:r w:rsidR="00177848" w:rsidRPr="00C6052E">
        <w:t xml:space="preserve"> </w:t>
      </w:r>
      <w:r w:rsidRPr="00C6052E">
        <w:t>recognition.</w:t>
      </w:r>
      <w:r w:rsidR="00177848" w:rsidRPr="00C6052E">
        <w:t xml:space="preserve"> </w:t>
      </w:r>
      <w:r w:rsidRPr="00C6052E">
        <w:t>Financial</w:t>
      </w:r>
      <w:r w:rsidR="00177848" w:rsidRPr="00C6052E">
        <w:t xml:space="preserve"> </w:t>
      </w:r>
      <w:r w:rsidRPr="00C6052E">
        <w:t>instrument</w:t>
      </w:r>
      <w:r w:rsidR="00177848" w:rsidRPr="00C6052E">
        <w:t xml:space="preserve"> </w:t>
      </w:r>
      <w:r w:rsidRPr="00C6052E">
        <w:t>assets</w:t>
      </w:r>
      <w:r w:rsidR="00177848" w:rsidRPr="00C6052E">
        <w:t xml:space="preserve"> </w:t>
      </w:r>
      <w:r w:rsidRPr="00C6052E">
        <w:t>are</w:t>
      </w:r>
      <w:r w:rsidR="00177848" w:rsidRPr="00C6052E">
        <w:t xml:space="preserve"> </w:t>
      </w:r>
      <w:r w:rsidRPr="00C6052E">
        <w:t>designated</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r w:rsidR="00177848" w:rsidRPr="00C6052E">
        <w:t xml:space="preserve"> </w:t>
      </w:r>
      <w:r w:rsidRPr="00C6052E">
        <w:t>through</w:t>
      </w:r>
      <w:r w:rsidR="00177848" w:rsidRPr="00C6052E">
        <w:t xml:space="preserve"> </w:t>
      </w:r>
      <w:r w:rsidRPr="00C6052E">
        <w:t>net</w:t>
      </w:r>
      <w:r w:rsidR="00177848" w:rsidRPr="00C6052E">
        <w:t xml:space="preserve"> </w:t>
      </w:r>
      <w:r w:rsidRPr="00C6052E">
        <w:t>result</w:t>
      </w:r>
      <w:r w:rsidR="00177848" w:rsidRPr="00C6052E">
        <w:t xml:space="preserve"> </w:t>
      </w:r>
      <w:r w:rsidRPr="00C6052E">
        <w:t>on</w:t>
      </w:r>
      <w:r w:rsidR="00177848" w:rsidRPr="00C6052E">
        <w:t xml:space="preserve"> </w:t>
      </w:r>
      <w:r w:rsidRPr="00C6052E">
        <w:t>the</w:t>
      </w:r>
      <w:r w:rsidR="00177848" w:rsidRPr="00C6052E">
        <w:t xml:space="preserve"> </w:t>
      </w:r>
      <w:r w:rsidRPr="00C6052E">
        <w:t>basis</w:t>
      </w:r>
      <w:r w:rsidR="00177848" w:rsidRPr="00C6052E">
        <w:t xml:space="preserve"> </w:t>
      </w:r>
      <w:r w:rsidRPr="00C6052E">
        <w:t>that</w:t>
      </w:r>
      <w:r w:rsidR="00177848" w:rsidRPr="00C6052E">
        <w:t xml:space="preserve"> </w:t>
      </w:r>
      <w:r w:rsidRPr="00C6052E">
        <w:t>the</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form</w:t>
      </w:r>
      <w:r w:rsidR="00177848" w:rsidRPr="00C6052E">
        <w:t xml:space="preserve"> </w:t>
      </w:r>
      <w:r w:rsidRPr="00C6052E">
        <w:t>part</w:t>
      </w:r>
      <w:r w:rsidR="00177848" w:rsidRPr="00C6052E">
        <w:t xml:space="preserve"> </w:t>
      </w:r>
      <w:r w:rsidRPr="00C6052E">
        <w:t>of</w:t>
      </w:r>
      <w:r w:rsidR="00177848" w:rsidRPr="00C6052E">
        <w:t xml:space="preserve"> </w:t>
      </w:r>
      <w:r w:rsidRPr="00C6052E">
        <w:t>a</w:t>
      </w:r>
      <w:r w:rsidR="00177848" w:rsidRPr="00C6052E">
        <w:t xml:space="preserve"> </w:t>
      </w:r>
      <w:r w:rsidRPr="00C6052E">
        <w:t>group</w:t>
      </w:r>
      <w:r w:rsidR="00177848" w:rsidRPr="00C6052E">
        <w:t xml:space="preserve"> </w:t>
      </w:r>
      <w:r w:rsidRPr="00C6052E">
        <w:t>of</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that</w:t>
      </w:r>
      <w:r w:rsidR="00177848" w:rsidRPr="00C6052E">
        <w:t xml:space="preserve"> </w:t>
      </w:r>
      <w:r w:rsidRPr="00C6052E">
        <w:t>are</w:t>
      </w:r>
      <w:r w:rsidR="00177848" w:rsidRPr="00C6052E">
        <w:t xml:space="preserve"> </w:t>
      </w:r>
      <w:r w:rsidRPr="00C6052E">
        <w:t>managed</w:t>
      </w:r>
      <w:r w:rsidR="00177848" w:rsidRPr="00C6052E">
        <w:t xml:space="preserve"> </w:t>
      </w:r>
      <w:r w:rsidRPr="00C6052E">
        <w:t>based</w:t>
      </w:r>
      <w:r w:rsidR="00177848" w:rsidRPr="00C6052E">
        <w:t xml:space="preserve"> </w:t>
      </w:r>
      <w:r w:rsidRPr="00C6052E">
        <w:t>on</w:t>
      </w:r>
      <w:r w:rsidR="00177848" w:rsidRPr="00C6052E">
        <w:t xml:space="preserve"> </w:t>
      </w:r>
      <w:r w:rsidRPr="00C6052E">
        <w:t>their</w:t>
      </w:r>
      <w:r w:rsidR="00177848" w:rsidRPr="00C6052E">
        <w:t xml:space="preserve"> </w:t>
      </w:r>
      <w:r w:rsidRPr="00C6052E">
        <w:t>fair</w:t>
      </w:r>
      <w:r w:rsidR="00177848" w:rsidRPr="00C6052E">
        <w:t xml:space="preserve"> </w:t>
      </w:r>
      <w:r w:rsidRPr="00C6052E">
        <w:t>values</w:t>
      </w:r>
      <w:r w:rsidR="00177848" w:rsidRPr="00C6052E">
        <w:t xml:space="preserve"> </w:t>
      </w:r>
      <w:r w:rsidRPr="00C6052E">
        <w:t>and</w:t>
      </w:r>
      <w:r w:rsidR="00177848" w:rsidRPr="00C6052E">
        <w:t xml:space="preserve"> </w:t>
      </w:r>
      <w:r w:rsidRPr="00C6052E">
        <w:t>have</w:t>
      </w:r>
      <w:r w:rsidR="00177848" w:rsidRPr="00C6052E">
        <w:t xml:space="preserve"> </w:t>
      </w:r>
      <w:r w:rsidRPr="00C6052E">
        <w:t>their</w:t>
      </w:r>
      <w:r w:rsidR="00177848" w:rsidRPr="00C6052E">
        <w:t xml:space="preserve"> </w:t>
      </w:r>
      <w:r w:rsidRPr="00C6052E">
        <w:t>performance</w:t>
      </w:r>
      <w:r w:rsidR="00177848" w:rsidRPr="00C6052E">
        <w:t xml:space="preserve"> </w:t>
      </w:r>
      <w:r w:rsidRPr="00C6052E">
        <w:t>evaluated</w:t>
      </w:r>
      <w:r w:rsidR="00177848" w:rsidRPr="00C6052E">
        <w:t xml:space="preserve"> </w:t>
      </w:r>
      <w:r w:rsidRPr="00C6052E">
        <w:t>in</w:t>
      </w:r>
      <w:r w:rsidR="00177848" w:rsidRPr="00C6052E">
        <w:t xml:space="preserve"> </w:t>
      </w:r>
      <w:r w:rsidRPr="00C6052E">
        <w:t>accordance</w:t>
      </w:r>
      <w:r w:rsidR="00177848" w:rsidRPr="00C6052E">
        <w:t xml:space="preserve"> </w:t>
      </w:r>
      <w:r w:rsidRPr="00C6052E">
        <w:t>with</w:t>
      </w:r>
      <w:r w:rsidR="00177848" w:rsidRPr="00C6052E">
        <w:t xml:space="preserve"> </w:t>
      </w:r>
      <w:r w:rsidRPr="00C6052E">
        <w:t>documented</w:t>
      </w:r>
      <w:r w:rsidR="00177848" w:rsidRPr="00C6052E">
        <w:t xml:space="preserve"> </w:t>
      </w:r>
      <w:r w:rsidRPr="00C6052E">
        <w:t>risk</w:t>
      </w:r>
      <w:r w:rsidR="00177848" w:rsidRPr="00C6052E">
        <w:t xml:space="preserve"> </w:t>
      </w:r>
      <w:r w:rsidRPr="00C6052E">
        <w:t>management</w:t>
      </w:r>
      <w:r w:rsidR="00177848" w:rsidRPr="00C6052E">
        <w:t xml:space="preserve"> </w:t>
      </w:r>
      <w:r w:rsidRPr="00C6052E">
        <w:t>and</w:t>
      </w:r>
      <w:r w:rsidR="00177848" w:rsidRPr="00C6052E">
        <w:t xml:space="preserve"> </w:t>
      </w:r>
      <w:r w:rsidRPr="00C6052E">
        <w:t>investment</w:t>
      </w:r>
      <w:r w:rsidR="00177848" w:rsidRPr="00C6052E">
        <w:t xml:space="preserve"> </w:t>
      </w:r>
      <w:r w:rsidRPr="00C6052E">
        <w:t>strategies.</w:t>
      </w:r>
      <w:r w:rsidR="00177848" w:rsidRPr="00C6052E">
        <w:t xml:space="preserve"> </w:t>
      </w:r>
      <w:r w:rsidRPr="00C6052E">
        <w:t>Financial</w:t>
      </w:r>
      <w:r w:rsidR="00177848" w:rsidRPr="00C6052E">
        <w:t xml:space="preserve"> </w:t>
      </w:r>
      <w:r w:rsidRPr="00C6052E">
        <w:t>instruments</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r w:rsidR="00177848" w:rsidRPr="00C6052E">
        <w:t xml:space="preserve"> </w:t>
      </w:r>
      <w:r w:rsidRPr="00C6052E">
        <w:t>through</w:t>
      </w:r>
      <w:r w:rsidR="00177848" w:rsidRPr="00C6052E">
        <w:t xml:space="preserve"> </w:t>
      </w:r>
      <w:r w:rsidRPr="00C6052E">
        <w:t>net</w:t>
      </w:r>
      <w:r w:rsidR="00177848" w:rsidRPr="00C6052E">
        <w:t xml:space="preserve"> </w:t>
      </w:r>
      <w:r w:rsidRPr="00C6052E">
        <w:t>result</w:t>
      </w:r>
      <w:r w:rsidR="00177848" w:rsidRPr="00C6052E">
        <w:t xml:space="preserve"> </w:t>
      </w:r>
      <w:r w:rsidRPr="00C6052E">
        <w:t>are</w:t>
      </w:r>
      <w:r w:rsidR="00177848" w:rsidRPr="00C6052E">
        <w:t xml:space="preserve"> </w:t>
      </w:r>
      <w:r w:rsidRPr="00C6052E">
        <w:t>initially</w:t>
      </w:r>
      <w:r w:rsidR="00177848" w:rsidRPr="00C6052E">
        <w:t xml:space="preserve"> </w:t>
      </w:r>
      <w:r w:rsidRPr="00C6052E">
        <w:t>measured</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r w:rsidR="00177848" w:rsidRPr="00C6052E">
        <w:t xml:space="preserve"> </w:t>
      </w:r>
      <w:r w:rsidRPr="00C6052E">
        <w:t>attributable</w:t>
      </w:r>
      <w:r w:rsidR="00177848" w:rsidRPr="00C6052E">
        <w:t xml:space="preserve"> </w:t>
      </w:r>
      <w:r w:rsidRPr="00C6052E">
        <w:t>transaction</w:t>
      </w:r>
      <w:r w:rsidR="00177848" w:rsidRPr="00C6052E">
        <w:t xml:space="preserve"> </w:t>
      </w:r>
      <w:r w:rsidRPr="00C6052E">
        <w:t>costs</w:t>
      </w:r>
      <w:r w:rsidR="00177848" w:rsidRPr="00C6052E">
        <w:t xml:space="preserve"> </w:t>
      </w:r>
      <w:r w:rsidRPr="00C6052E">
        <w:t>are</w:t>
      </w:r>
      <w:r w:rsidR="00177848" w:rsidRPr="00C6052E">
        <w:t xml:space="preserve"> </w:t>
      </w:r>
      <w:r w:rsidRPr="00C6052E">
        <w:t>expensed</w:t>
      </w:r>
      <w:r w:rsidR="00177848" w:rsidRPr="00C6052E">
        <w:t xml:space="preserve"> </w:t>
      </w:r>
      <w:r w:rsidRPr="00C6052E">
        <w:t>as</w:t>
      </w:r>
      <w:r w:rsidR="00177848" w:rsidRPr="00C6052E">
        <w:t xml:space="preserve"> </w:t>
      </w:r>
      <w:r w:rsidRPr="00C6052E">
        <w:t>incurred.</w:t>
      </w:r>
      <w:r w:rsidR="00177848" w:rsidRPr="00C6052E">
        <w:t xml:space="preserve"> </w:t>
      </w:r>
      <w:r w:rsidRPr="00C6052E">
        <w:t>Subsequently,</w:t>
      </w:r>
      <w:r w:rsidR="00177848" w:rsidRPr="00C6052E">
        <w:t xml:space="preserve"> </w:t>
      </w:r>
      <w:r w:rsidRPr="00C6052E">
        <w:t>any</w:t>
      </w:r>
      <w:r w:rsidR="00177848" w:rsidRPr="00C6052E">
        <w:t xml:space="preserve"> </w:t>
      </w:r>
      <w:r w:rsidRPr="00C6052E">
        <w:t>changes</w:t>
      </w:r>
      <w:r w:rsidR="00177848" w:rsidRPr="00C6052E">
        <w:t xml:space="preserve"> </w:t>
      </w:r>
      <w:r w:rsidRPr="00C6052E">
        <w:t>in</w:t>
      </w:r>
      <w:r w:rsidR="00177848" w:rsidRPr="00C6052E">
        <w:t xml:space="preserve"> </w:t>
      </w:r>
      <w:r w:rsidRPr="00C6052E">
        <w:t>fair</w:t>
      </w:r>
      <w:r w:rsidR="00177848" w:rsidRPr="00C6052E">
        <w:t xml:space="preserve"> </w:t>
      </w:r>
      <w:r w:rsidRPr="00C6052E">
        <w:t>value</w:t>
      </w:r>
      <w:r w:rsidR="00177848" w:rsidRPr="00C6052E">
        <w:t xml:space="preserve"> </w:t>
      </w:r>
      <w:r w:rsidRPr="00C6052E">
        <w:t>are</w:t>
      </w:r>
      <w:r w:rsidR="00177848" w:rsidRPr="00C6052E">
        <w:t xml:space="preserve"> </w:t>
      </w:r>
      <w:r w:rsidRPr="00C6052E">
        <w:t>recognised</w:t>
      </w:r>
      <w:r w:rsidR="00177848" w:rsidRPr="00C6052E">
        <w:t xml:space="preserve"> </w:t>
      </w:r>
      <w:r w:rsidRPr="00C6052E">
        <w:t>in</w:t>
      </w:r>
      <w:r w:rsidR="00177848" w:rsidRPr="00C6052E">
        <w:t xml:space="preserve"> </w:t>
      </w:r>
      <w:r w:rsidRPr="00C6052E">
        <w:t>the</w:t>
      </w:r>
      <w:r w:rsidR="00177848" w:rsidRPr="00C6052E">
        <w:t xml:space="preserve"> </w:t>
      </w:r>
      <w:r w:rsidRPr="00C6052E">
        <w:t>net</w:t>
      </w:r>
      <w:r w:rsidR="00177848" w:rsidRPr="00C6052E">
        <w:t xml:space="preserve"> </w:t>
      </w:r>
      <w:r w:rsidRPr="00C6052E">
        <w:t>result</w:t>
      </w:r>
      <w:r w:rsidR="00177848" w:rsidRPr="00C6052E">
        <w:t xml:space="preserve"> </w:t>
      </w:r>
      <w:r w:rsidRPr="00C6052E">
        <w:t>as</w:t>
      </w:r>
      <w:r w:rsidR="00177848" w:rsidRPr="00C6052E">
        <w:t xml:space="preserve"> </w:t>
      </w:r>
      <w:r w:rsidRPr="00C6052E">
        <w:t>other</w:t>
      </w:r>
      <w:r w:rsidR="00177848" w:rsidRPr="00C6052E">
        <w:t xml:space="preserve"> </w:t>
      </w:r>
      <w:r w:rsidRPr="00C6052E">
        <w:t>economic</w:t>
      </w:r>
      <w:r w:rsidR="00177848" w:rsidRPr="00C6052E">
        <w:t xml:space="preserve"> </w:t>
      </w:r>
      <w:r w:rsidRPr="00C6052E">
        <w:t>flows</w:t>
      </w:r>
      <w:r w:rsidR="00177848" w:rsidRPr="00C6052E">
        <w:t xml:space="preserve"> </w:t>
      </w:r>
      <w:r w:rsidRPr="00C6052E">
        <w:t>unless</w:t>
      </w:r>
      <w:r w:rsidR="00177848" w:rsidRPr="00C6052E">
        <w:t xml:space="preserve"> </w:t>
      </w:r>
      <w:r w:rsidRPr="00C6052E">
        <w:t>the</w:t>
      </w:r>
      <w:r w:rsidR="00177848" w:rsidRPr="00C6052E">
        <w:t xml:space="preserve"> </w:t>
      </w:r>
      <w:r w:rsidRPr="00C6052E">
        <w:t>changes</w:t>
      </w:r>
      <w:r w:rsidR="00177848" w:rsidRPr="00C6052E">
        <w:t xml:space="preserve"> </w:t>
      </w:r>
      <w:r w:rsidRPr="00C6052E">
        <w:t>in</w:t>
      </w:r>
      <w:r w:rsidR="00177848" w:rsidRPr="00C6052E">
        <w:t xml:space="preserve"> </w:t>
      </w:r>
      <w:r w:rsidRPr="00C6052E">
        <w:t>fair</w:t>
      </w:r>
      <w:r w:rsidR="00177848" w:rsidRPr="00C6052E">
        <w:t xml:space="preserve"> </w:t>
      </w:r>
      <w:r w:rsidRPr="00C6052E">
        <w:t>value</w:t>
      </w:r>
      <w:r w:rsidR="00177848" w:rsidRPr="00C6052E">
        <w:t xml:space="preserve"> </w:t>
      </w:r>
      <w:r w:rsidRPr="00C6052E">
        <w:t>relate</w:t>
      </w:r>
      <w:r w:rsidR="00177848" w:rsidRPr="00C6052E">
        <w:t xml:space="preserve"> </w:t>
      </w:r>
      <w:r w:rsidRPr="00C6052E">
        <w:t>to</w:t>
      </w:r>
      <w:r w:rsidR="00177848" w:rsidRPr="00C6052E">
        <w:t xml:space="preserve"> </w:t>
      </w:r>
      <w:r w:rsidRPr="00C6052E">
        <w:t>changes</w:t>
      </w:r>
      <w:r w:rsidR="00177848" w:rsidRPr="00C6052E">
        <w:t xml:space="preserve"> </w:t>
      </w:r>
      <w:r w:rsidRPr="00C6052E">
        <w:t>in</w:t>
      </w:r>
      <w:r w:rsidR="00177848" w:rsidRPr="00C6052E">
        <w:t xml:space="preserve"> </w:t>
      </w:r>
      <w:r w:rsidRPr="00C6052E">
        <w:t>DJSIR’s</w:t>
      </w:r>
      <w:r w:rsidR="00177848" w:rsidRPr="00C6052E">
        <w:t xml:space="preserve"> </w:t>
      </w:r>
      <w:r w:rsidRPr="00C6052E">
        <w:t>own</w:t>
      </w:r>
      <w:r w:rsidR="00177848" w:rsidRPr="00C6052E">
        <w:t xml:space="preserve"> </w:t>
      </w:r>
      <w:r w:rsidRPr="00C6052E">
        <w:t>credit</w:t>
      </w:r>
      <w:r w:rsidR="00177848" w:rsidRPr="00C6052E">
        <w:t xml:space="preserve"> </w:t>
      </w:r>
      <w:r w:rsidRPr="00C6052E">
        <w:t>risk.</w:t>
      </w:r>
      <w:r w:rsidR="00177848" w:rsidRPr="00C6052E">
        <w:t xml:space="preserve"> </w:t>
      </w:r>
      <w:r w:rsidRPr="00C6052E">
        <w:t>In</w:t>
      </w:r>
      <w:r w:rsidR="00177848" w:rsidRPr="00C6052E">
        <w:t xml:space="preserve"> </w:t>
      </w:r>
      <w:r w:rsidRPr="00C6052E">
        <w:t>this</w:t>
      </w:r>
      <w:r w:rsidR="00177848" w:rsidRPr="00C6052E">
        <w:t xml:space="preserve"> </w:t>
      </w:r>
      <w:r w:rsidRPr="00C6052E">
        <w:t>case,</w:t>
      </w:r>
      <w:r w:rsidR="00177848" w:rsidRPr="00C6052E">
        <w:t xml:space="preserve"> </w:t>
      </w:r>
      <w:r w:rsidRPr="00C6052E">
        <w:t>the</w:t>
      </w:r>
      <w:r w:rsidR="00177848" w:rsidRPr="00C6052E">
        <w:t xml:space="preserve"> </w:t>
      </w:r>
      <w:r w:rsidRPr="00C6052E">
        <w:t>portion</w:t>
      </w:r>
      <w:r w:rsidR="00177848" w:rsidRPr="00C6052E">
        <w:t xml:space="preserve"> </w:t>
      </w:r>
      <w:r w:rsidRPr="00C6052E">
        <w:t>of</w:t>
      </w:r>
      <w:r w:rsidR="00177848" w:rsidRPr="00C6052E">
        <w:t xml:space="preserve"> </w:t>
      </w:r>
      <w:r w:rsidRPr="00C6052E">
        <w:t>the</w:t>
      </w:r>
      <w:r w:rsidR="00177848" w:rsidRPr="00C6052E">
        <w:t xml:space="preserve"> </w:t>
      </w:r>
      <w:r w:rsidRPr="00C6052E">
        <w:t>change</w:t>
      </w:r>
      <w:r w:rsidR="00177848" w:rsidRPr="00C6052E">
        <w:t xml:space="preserve"> </w:t>
      </w:r>
      <w:r w:rsidRPr="00C6052E">
        <w:t>attributable</w:t>
      </w:r>
      <w:r w:rsidR="00177848" w:rsidRPr="00C6052E">
        <w:t xml:space="preserve"> </w:t>
      </w:r>
      <w:r w:rsidRPr="00C6052E">
        <w:t>to</w:t>
      </w:r>
      <w:r w:rsidR="00177848" w:rsidRPr="00C6052E">
        <w:t xml:space="preserve"> </w:t>
      </w:r>
      <w:r w:rsidRPr="00C6052E">
        <w:t>changes</w:t>
      </w:r>
      <w:r w:rsidR="00177848" w:rsidRPr="00C6052E">
        <w:t xml:space="preserve"> </w:t>
      </w:r>
      <w:r w:rsidRPr="00C6052E">
        <w:t>in</w:t>
      </w:r>
      <w:r w:rsidR="00177848" w:rsidRPr="00C6052E">
        <w:t xml:space="preserve"> </w:t>
      </w:r>
      <w:r w:rsidRPr="00C6052E">
        <w:t>DJSIR’s</w:t>
      </w:r>
      <w:r w:rsidR="00177848" w:rsidRPr="00C6052E">
        <w:t xml:space="preserve"> </w:t>
      </w:r>
      <w:r w:rsidRPr="00C6052E">
        <w:t>own</w:t>
      </w:r>
      <w:r w:rsidR="00177848" w:rsidRPr="00C6052E">
        <w:t xml:space="preserve"> </w:t>
      </w:r>
      <w:r w:rsidRPr="00C6052E">
        <w:t>credit</w:t>
      </w:r>
      <w:r w:rsidR="00177848" w:rsidRPr="00C6052E">
        <w:t xml:space="preserve"> </w:t>
      </w:r>
      <w:r w:rsidRPr="00C6052E">
        <w:t>risk</w:t>
      </w:r>
      <w:r w:rsidR="00177848" w:rsidRPr="00C6052E">
        <w:t xml:space="preserve"> </w:t>
      </w:r>
      <w:r w:rsidRPr="00C6052E">
        <w:t>is</w:t>
      </w:r>
      <w:r w:rsidR="00177848" w:rsidRPr="00C6052E">
        <w:t xml:space="preserve"> </w:t>
      </w:r>
      <w:r w:rsidRPr="00C6052E">
        <w:t>recognised</w:t>
      </w:r>
      <w:r w:rsidR="00177848" w:rsidRPr="00C6052E">
        <w:t xml:space="preserve"> </w:t>
      </w:r>
      <w:r w:rsidRPr="00C6052E">
        <w:t>in</w:t>
      </w:r>
      <w:r w:rsidR="00177848" w:rsidRPr="00C6052E">
        <w:t xml:space="preserve"> </w:t>
      </w:r>
      <w:r w:rsidRPr="00C6052E">
        <w:t>other</w:t>
      </w:r>
      <w:r w:rsidR="00177848" w:rsidRPr="00C6052E">
        <w:t xml:space="preserve"> </w:t>
      </w:r>
      <w:r w:rsidRPr="00C6052E">
        <w:t>comprehensive</w:t>
      </w:r>
      <w:r w:rsidR="00177848" w:rsidRPr="00C6052E">
        <w:t xml:space="preserve"> </w:t>
      </w:r>
      <w:r w:rsidRPr="00C6052E">
        <w:t>income</w:t>
      </w:r>
      <w:r w:rsidR="00177848" w:rsidRPr="00C6052E">
        <w:t xml:space="preserve"> </w:t>
      </w:r>
      <w:r w:rsidRPr="00C6052E">
        <w:t>with</w:t>
      </w:r>
      <w:r w:rsidR="00177848" w:rsidRPr="00C6052E">
        <w:t xml:space="preserve"> </w:t>
      </w:r>
      <w:r w:rsidRPr="00C6052E">
        <w:t>no</w:t>
      </w:r>
      <w:r w:rsidR="00177848" w:rsidRPr="00C6052E">
        <w:t xml:space="preserve"> </w:t>
      </w:r>
      <w:r w:rsidRPr="00C6052E">
        <w:t>subsequent</w:t>
      </w:r>
      <w:r w:rsidR="00177848" w:rsidRPr="00C6052E">
        <w:t xml:space="preserve"> </w:t>
      </w:r>
      <w:r w:rsidRPr="00C6052E">
        <w:t>recycling</w:t>
      </w:r>
      <w:r w:rsidR="00177848" w:rsidRPr="00C6052E">
        <w:t xml:space="preserve"> </w:t>
      </w:r>
      <w:r w:rsidRPr="00C6052E">
        <w:t>to</w:t>
      </w:r>
      <w:r w:rsidR="00177848" w:rsidRPr="00C6052E">
        <w:t xml:space="preserve"> </w:t>
      </w:r>
      <w:r w:rsidRPr="00C6052E">
        <w:t>net</w:t>
      </w:r>
      <w:r w:rsidR="00177848" w:rsidRPr="00C6052E">
        <w:t xml:space="preserve"> </w:t>
      </w:r>
      <w:r w:rsidRPr="00C6052E">
        <w:t>result</w:t>
      </w:r>
      <w:r w:rsidR="00177848" w:rsidRPr="00C6052E">
        <w:t xml:space="preserve"> </w:t>
      </w:r>
      <w:r w:rsidRPr="00C6052E">
        <w:t>when</w:t>
      </w:r>
      <w:r w:rsidR="00177848" w:rsidRPr="00C6052E">
        <w:t xml:space="preserve"> </w:t>
      </w:r>
      <w:r w:rsidRPr="00C6052E">
        <w:t>the</w:t>
      </w:r>
      <w:r w:rsidR="00177848" w:rsidRPr="00C6052E">
        <w:t xml:space="preserve"> </w:t>
      </w:r>
      <w:r w:rsidRPr="00C6052E">
        <w:t>financial</w:t>
      </w:r>
      <w:r w:rsidR="00177848" w:rsidRPr="00C6052E">
        <w:t xml:space="preserve"> </w:t>
      </w:r>
      <w:r w:rsidRPr="00C6052E">
        <w:t>liability</w:t>
      </w:r>
      <w:r w:rsidR="00177848" w:rsidRPr="00C6052E">
        <w:t xml:space="preserve"> </w:t>
      </w:r>
      <w:r w:rsidRPr="00C6052E">
        <w:t>is</w:t>
      </w:r>
      <w:r w:rsidR="00177848" w:rsidRPr="00C6052E">
        <w:t xml:space="preserve"> </w:t>
      </w:r>
      <w:r w:rsidRPr="00C6052E">
        <w:t>derecognised.</w:t>
      </w:r>
      <w:r w:rsidR="00177848" w:rsidRPr="00C6052E">
        <w:t xml:space="preserve"> </w:t>
      </w:r>
    </w:p>
    <w:p w14:paraId="614F7E8E" w14:textId="5014A212" w:rsidR="00EE5BB8" w:rsidRPr="00C6052E" w:rsidRDefault="00EE5BB8" w:rsidP="0028635E">
      <w:pPr>
        <w:pStyle w:val="Normalbeforebullets"/>
      </w:pPr>
      <w:r w:rsidRPr="00C6052E">
        <w:rPr>
          <w:rStyle w:val="Medium"/>
        </w:rPr>
        <w:t>Financial</w:t>
      </w:r>
      <w:r w:rsidR="00177848" w:rsidRPr="00C6052E">
        <w:rPr>
          <w:rStyle w:val="Medium"/>
        </w:rPr>
        <w:t xml:space="preserve"> </w:t>
      </w:r>
      <w:r w:rsidRPr="00C6052E">
        <w:rPr>
          <w:rStyle w:val="Medium"/>
        </w:rPr>
        <w:t>liabilities</w:t>
      </w:r>
      <w:r w:rsidR="00177848" w:rsidRPr="00C6052E">
        <w:rPr>
          <w:rStyle w:val="Medium"/>
        </w:rPr>
        <w:t xml:space="preserve"> </w:t>
      </w:r>
      <w:r w:rsidRPr="00C6052E">
        <w:rPr>
          <w:rStyle w:val="Medium"/>
        </w:rPr>
        <w:t>at</w:t>
      </w:r>
      <w:r w:rsidR="00177848" w:rsidRPr="00C6052E">
        <w:rPr>
          <w:rStyle w:val="Medium"/>
        </w:rPr>
        <w:t xml:space="preserve"> </w:t>
      </w:r>
      <w:r w:rsidRPr="00C6052E">
        <w:rPr>
          <w:rStyle w:val="Medium"/>
        </w:rPr>
        <w:t>amortised</w:t>
      </w:r>
      <w:r w:rsidR="00177848" w:rsidRPr="00C6052E">
        <w:rPr>
          <w:rStyle w:val="Medium"/>
        </w:rPr>
        <w:t xml:space="preserve"> </w:t>
      </w:r>
      <w:r w:rsidRPr="00C6052E">
        <w:rPr>
          <w:rStyle w:val="Medium"/>
        </w:rPr>
        <w:t>cost</w:t>
      </w:r>
      <w:r w:rsidR="00177848" w:rsidRPr="00C6052E">
        <w:t xml:space="preserve"> </w:t>
      </w:r>
      <w:r w:rsidRPr="00C6052E">
        <w:t>are</w:t>
      </w:r>
      <w:r w:rsidR="00177848" w:rsidRPr="00C6052E">
        <w:t xml:space="preserve"> </w:t>
      </w:r>
      <w:r w:rsidRPr="00C6052E">
        <w:t>initially</w:t>
      </w:r>
      <w:r w:rsidR="00177848" w:rsidRPr="00C6052E">
        <w:t xml:space="preserve"> </w:t>
      </w:r>
      <w:r w:rsidRPr="00C6052E">
        <w:t>recognised</w:t>
      </w:r>
      <w:r w:rsidR="00177848" w:rsidRPr="00C6052E">
        <w:t xml:space="preserve"> </w:t>
      </w:r>
      <w:r w:rsidRPr="00C6052E">
        <w:t>on</w:t>
      </w:r>
      <w:r w:rsidR="00177848" w:rsidRPr="00C6052E">
        <w:t xml:space="preserve"> </w:t>
      </w:r>
      <w:r w:rsidRPr="00C6052E">
        <w:t>the</w:t>
      </w:r>
      <w:r w:rsidR="00177848" w:rsidRPr="00C6052E">
        <w:t xml:space="preserve"> </w:t>
      </w:r>
      <w:r w:rsidRPr="00C6052E">
        <w:t>date</w:t>
      </w:r>
      <w:r w:rsidR="00177848" w:rsidRPr="00C6052E">
        <w:t xml:space="preserve"> </w:t>
      </w:r>
      <w:r w:rsidRPr="00C6052E">
        <w:t>they</w:t>
      </w:r>
      <w:r w:rsidR="00177848" w:rsidRPr="00C6052E">
        <w:t xml:space="preserve"> </w:t>
      </w:r>
      <w:r w:rsidRPr="00C6052E">
        <w:t>are</w:t>
      </w:r>
      <w:r w:rsidR="00177848" w:rsidRPr="00C6052E">
        <w:t xml:space="preserve"> </w:t>
      </w:r>
      <w:r w:rsidRPr="00C6052E">
        <w:t>originated.</w:t>
      </w:r>
      <w:r w:rsidR="00177848" w:rsidRPr="00C6052E">
        <w:t xml:space="preserve"> </w:t>
      </w:r>
      <w:r w:rsidRPr="00C6052E">
        <w:t>They</w:t>
      </w:r>
      <w:r w:rsidR="00177848" w:rsidRPr="00C6052E">
        <w:t xml:space="preserve"> </w:t>
      </w:r>
      <w:r w:rsidRPr="00C6052E">
        <w:t>are</w:t>
      </w:r>
      <w:r w:rsidR="00177848" w:rsidRPr="00C6052E">
        <w:t xml:space="preserve"> </w:t>
      </w:r>
      <w:r w:rsidRPr="00C6052E">
        <w:t>initially</w:t>
      </w:r>
      <w:r w:rsidR="00177848" w:rsidRPr="00C6052E">
        <w:t xml:space="preserve"> </w:t>
      </w:r>
      <w:r w:rsidRPr="00C6052E">
        <w:t>measured</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r w:rsidR="00177848" w:rsidRPr="00C6052E">
        <w:t xml:space="preserve"> </w:t>
      </w:r>
      <w:r w:rsidRPr="00C6052E">
        <w:t>plus</w:t>
      </w:r>
      <w:r w:rsidR="00177848" w:rsidRPr="00C6052E">
        <w:t xml:space="preserve"> </w:t>
      </w:r>
      <w:r w:rsidRPr="00C6052E">
        <w:t>any</w:t>
      </w:r>
      <w:r w:rsidR="00177848" w:rsidRPr="00C6052E">
        <w:t xml:space="preserve"> </w:t>
      </w:r>
      <w:r w:rsidRPr="00C6052E">
        <w:t>directly</w:t>
      </w:r>
      <w:r w:rsidR="00177848" w:rsidRPr="00C6052E">
        <w:t xml:space="preserve"> </w:t>
      </w:r>
      <w:r w:rsidRPr="00C6052E">
        <w:t>attributable</w:t>
      </w:r>
      <w:r w:rsidR="00177848" w:rsidRPr="00C6052E">
        <w:t xml:space="preserve"> </w:t>
      </w:r>
      <w:r w:rsidRPr="00C6052E">
        <w:t>transaction</w:t>
      </w:r>
      <w:r w:rsidR="00177848" w:rsidRPr="00C6052E">
        <w:t xml:space="preserve"> </w:t>
      </w:r>
      <w:r w:rsidRPr="00C6052E">
        <w:t>costs.</w:t>
      </w:r>
      <w:r w:rsidR="00177848" w:rsidRPr="00C6052E">
        <w:t xml:space="preserve"> </w:t>
      </w:r>
      <w:r w:rsidRPr="00C6052E">
        <w:t>Subsequent</w:t>
      </w:r>
      <w:r w:rsidR="00177848" w:rsidRPr="00C6052E">
        <w:t xml:space="preserve"> </w:t>
      </w:r>
      <w:r w:rsidRPr="00C6052E">
        <w:t>to</w:t>
      </w:r>
      <w:r w:rsidR="00177848" w:rsidRPr="00C6052E">
        <w:t xml:space="preserve"> </w:t>
      </w:r>
      <w:r w:rsidRPr="00C6052E">
        <w:t>initial</w:t>
      </w:r>
      <w:r w:rsidR="00177848" w:rsidRPr="00C6052E">
        <w:t xml:space="preserve"> </w:t>
      </w:r>
      <w:r w:rsidRPr="00C6052E">
        <w:t>recognition,</w:t>
      </w:r>
      <w:r w:rsidR="00177848" w:rsidRPr="00C6052E">
        <w:t xml:space="preserve"> </w:t>
      </w:r>
      <w:r w:rsidRPr="00C6052E">
        <w:t>these</w:t>
      </w:r>
      <w:r w:rsidR="00177848" w:rsidRPr="00C6052E">
        <w:t xml:space="preserve"> </w:t>
      </w:r>
      <w:r w:rsidRPr="00C6052E">
        <w:t>financial</w:t>
      </w:r>
      <w:r w:rsidR="00177848" w:rsidRPr="00C6052E">
        <w:t xml:space="preserve"> </w:t>
      </w:r>
      <w:r w:rsidRPr="00C6052E">
        <w:t>instruments</w:t>
      </w:r>
      <w:r w:rsidR="00177848" w:rsidRPr="00C6052E">
        <w:t xml:space="preserve"> </w:t>
      </w:r>
      <w:r w:rsidRPr="00C6052E">
        <w:t>are</w:t>
      </w:r>
      <w:r w:rsidR="00177848" w:rsidRPr="00C6052E">
        <w:t xml:space="preserve"> </w:t>
      </w:r>
      <w:r w:rsidRPr="00C6052E">
        <w:t>measured</w:t>
      </w:r>
      <w:r w:rsidR="00177848" w:rsidRPr="00C6052E">
        <w:t xml:space="preserve"> </w:t>
      </w:r>
      <w:r w:rsidRPr="00C6052E">
        <w:t>at</w:t>
      </w:r>
      <w:r w:rsidR="00177848" w:rsidRPr="00C6052E">
        <w:t xml:space="preserve"> </w:t>
      </w:r>
      <w:r w:rsidRPr="00C6052E">
        <w:t>amortised</w:t>
      </w:r>
      <w:r w:rsidR="00177848" w:rsidRPr="00C6052E">
        <w:t xml:space="preserve"> </w:t>
      </w:r>
      <w:r w:rsidRPr="00C6052E">
        <w:t>cost</w:t>
      </w:r>
      <w:r w:rsidR="00177848" w:rsidRPr="00C6052E">
        <w:t xml:space="preserve"> </w:t>
      </w:r>
      <w:r w:rsidRPr="00C6052E">
        <w:t>with</w:t>
      </w:r>
      <w:r w:rsidR="00177848" w:rsidRPr="00C6052E">
        <w:t xml:space="preserve"> </w:t>
      </w:r>
      <w:r w:rsidRPr="00C6052E">
        <w:t>any</w:t>
      </w:r>
      <w:r w:rsidR="00177848" w:rsidRPr="00C6052E">
        <w:t xml:space="preserve"> </w:t>
      </w:r>
      <w:r w:rsidRPr="00C6052E">
        <w:t>difference</w:t>
      </w:r>
      <w:r w:rsidR="00177848" w:rsidRPr="00C6052E">
        <w:t xml:space="preserve"> </w:t>
      </w:r>
      <w:r w:rsidRPr="00C6052E">
        <w:t>between</w:t>
      </w:r>
      <w:r w:rsidR="00177848" w:rsidRPr="00C6052E">
        <w:t xml:space="preserve"> </w:t>
      </w:r>
      <w:r w:rsidRPr="00C6052E">
        <w:t>the</w:t>
      </w:r>
      <w:r w:rsidR="00177848" w:rsidRPr="00C6052E">
        <w:t xml:space="preserve"> </w:t>
      </w:r>
      <w:r w:rsidRPr="00C6052E">
        <w:t>initial</w:t>
      </w:r>
      <w:r w:rsidR="00177848" w:rsidRPr="00C6052E">
        <w:t xml:space="preserve"> </w:t>
      </w:r>
      <w:r w:rsidRPr="00C6052E">
        <w:t>recognised</w:t>
      </w:r>
      <w:r w:rsidR="00177848" w:rsidRPr="00C6052E">
        <w:t xml:space="preserve"> </w:t>
      </w:r>
      <w:r w:rsidRPr="00C6052E">
        <w:t>amount</w:t>
      </w:r>
      <w:r w:rsidR="00177848" w:rsidRPr="00C6052E">
        <w:t xml:space="preserve"> </w:t>
      </w:r>
      <w:r w:rsidRPr="00C6052E">
        <w:t>and</w:t>
      </w:r>
      <w:r w:rsidR="00177848" w:rsidRPr="00C6052E">
        <w:t xml:space="preserve"> </w:t>
      </w:r>
      <w:r w:rsidRPr="00C6052E">
        <w:t>the</w:t>
      </w:r>
      <w:r w:rsidR="00177848" w:rsidRPr="00C6052E">
        <w:t xml:space="preserve"> </w:t>
      </w:r>
      <w:r w:rsidRPr="00C6052E">
        <w:t>redemption</w:t>
      </w:r>
      <w:r w:rsidR="00177848" w:rsidRPr="00C6052E">
        <w:t xml:space="preserve"> </w:t>
      </w:r>
      <w:r w:rsidRPr="00C6052E">
        <w:t>value</w:t>
      </w:r>
      <w:r w:rsidR="00177848" w:rsidRPr="00C6052E">
        <w:t xml:space="preserve"> </w:t>
      </w:r>
      <w:r w:rsidRPr="00C6052E">
        <w:t>being</w:t>
      </w:r>
      <w:r w:rsidR="00177848" w:rsidRPr="00C6052E">
        <w:t xml:space="preserve"> </w:t>
      </w:r>
      <w:r w:rsidRPr="00C6052E">
        <w:t>recognised</w:t>
      </w:r>
      <w:r w:rsidR="00177848" w:rsidRPr="00C6052E">
        <w:t xml:space="preserve"> </w:t>
      </w:r>
      <w:r w:rsidRPr="00C6052E">
        <w:t>in</w:t>
      </w:r>
      <w:r w:rsidR="00177848" w:rsidRPr="00C6052E">
        <w:t xml:space="preserve"> </w:t>
      </w:r>
      <w:r w:rsidRPr="00C6052E">
        <w:t>profit</w:t>
      </w:r>
      <w:r w:rsidR="00177848" w:rsidRPr="00C6052E">
        <w:t xml:space="preserve"> </w:t>
      </w:r>
      <w:r w:rsidRPr="00C6052E">
        <w:t>and</w:t>
      </w:r>
      <w:r w:rsidR="00177848" w:rsidRPr="00C6052E">
        <w:t xml:space="preserve"> </w:t>
      </w:r>
      <w:r w:rsidRPr="00C6052E">
        <w:t>loss</w:t>
      </w:r>
      <w:r w:rsidR="00177848" w:rsidRPr="00C6052E">
        <w:t xml:space="preserve"> </w:t>
      </w:r>
      <w:r w:rsidRPr="00C6052E">
        <w:t>over</w:t>
      </w:r>
      <w:r w:rsidR="00177848" w:rsidRPr="00C6052E">
        <w:t xml:space="preserve"> </w:t>
      </w:r>
      <w:r w:rsidRPr="00C6052E">
        <w:t>the</w:t>
      </w:r>
      <w:r w:rsidR="00177848" w:rsidRPr="00C6052E">
        <w:t xml:space="preserve"> </w:t>
      </w:r>
      <w:r w:rsidRPr="00C6052E">
        <w:t>period</w:t>
      </w:r>
      <w:r w:rsidR="00177848" w:rsidRPr="00C6052E">
        <w:t xml:space="preserve"> </w:t>
      </w:r>
      <w:r w:rsidRPr="00C6052E">
        <w:t>of</w:t>
      </w:r>
      <w:r w:rsidR="00177848" w:rsidRPr="00C6052E">
        <w:t xml:space="preserve"> </w:t>
      </w:r>
      <w:r w:rsidRPr="00C6052E">
        <w:t>the</w:t>
      </w:r>
      <w:r w:rsidR="00177848" w:rsidRPr="00C6052E">
        <w:t xml:space="preserve"> </w:t>
      </w:r>
      <w:r w:rsidRPr="00C6052E">
        <w:t>interest-bearing</w:t>
      </w:r>
      <w:r w:rsidR="00177848" w:rsidRPr="00C6052E">
        <w:t xml:space="preserve"> </w:t>
      </w:r>
      <w:r w:rsidRPr="00C6052E">
        <w:t>liability,</w:t>
      </w:r>
      <w:r w:rsidR="00177848" w:rsidRPr="00C6052E">
        <w:t xml:space="preserve"> </w:t>
      </w:r>
      <w:r w:rsidRPr="00C6052E">
        <w:t>using</w:t>
      </w:r>
      <w:r w:rsidR="00177848" w:rsidRPr="00C6052E">
        <w:t xml:space="preserve"> </w:t>
      </w:r>
      <w:r w:rsidRPr="00C6052E">
        <w:t>the</w:t>
      </w:r>
      <w:r w:rsidR="00177848" w:rsidRPr="00C6052E">
        <w:t xml:space="preserve"> </w:t>
      </w:r>
      <w:r w:rsidRPr="00C6052E">
        <w:t>effective</w:t>
      </w:r>
      <w:r w:rsidR="00177848" w:rsidRPr="00C6052E">
        <w:t xml:space="preserve"> </w:t>
      </w:r>
      <w:r w:rsidRPr="00C6052E">
        <w:t>interest</w:t>
      </w:r>
      <w:r w:rsidR="00177848" w:rsidRPr="00C6052E">
        <w:t xml:space="preserve"> </w:t>
      </w:r>
      <w:r w:rsidRPr="00C6052E">
        <w:t>rate</w:t>
      </w:r>
      <w:r w:rsidR="00177848" w:rsidRPr="00C6052E">
        <w:t xml:space="preserve"> </w:t>
      </w:r>
      <w:r w:rsidRPr="00C6052E">
        <w:t>method.</w:t>
      </w:r>
      <w:r w:rsidR="00177848" w:rsidRPr="00C6052E">
        <w:t xml:space="preserve"> </w:t>
      </w:r>
      <w:r w:rsidRPr="00C6052E">
        <w:t>DJSIR</w:t>
      </w:r>
      <w:r w:rsidR="00177848" w:rsidRPr="00C6052E">
        <w:t xml:space="preserve"> </w:t>
      </w:r>
      <w:r w:rsidRPr="00C6052E">
        <w:t>recognises</w:t>
      </w:r>
      <w:r w:rsidR="00177848" w:rsidRPr="00C6052E">
        <w:t xml:space="preserve"> </w:t>
      </w:r>
      <w:r w:rsidRPr="00C6052E">
        <w:t>the</w:t>
      </w:r>
      <w:r w:rsidR="00177848" w:rsidRPr="00C6052E">
        <w:t xml:space="preserve"> </w:t>
      </w:r>
      <w:r w:rsidRPr="00C6052E">
        <w:t>following</w:t>
      </w:r>
      <w:r w:rsidR="00177848" w:rsidRPr="00C6052E">
        <w:t xml:space="preserve"> </w:t>
      </w:r>
      <w:r w:rsidRPr="00C6052E">
        <w:t>liabilities</w:t>
      </w:r>
      <w:r w:rsidR="00177848" w:rsidRPr="00C6052E">
        <w:t xml:space="preserve"> </w:t>
      </w:r>
      <w:r w:rsidRPr="00C6052E">
        <w:t>in</w:t>
      </w:r>
      <w:r w:rsidR="00177848" w:rsidRPr="00C6052E">
        <w:t xml:space="preserve"> </w:t>
      </w:r>
      <w:r w:rsidRPr="00C6052E">
        <w:t>this</w:t>
      </w:r>
      <w:r w:rsidR="00177848" w:rsidRPr="00C6052E">
        <w:t xml:space="preserve"> </w:t>
      </w:r>
      <w:r w:rsidRPr="00C6052E">
        <w:t>category:</w:t>
      </w:r>
    </w:p>
    <w:p w14:paraId="41B6E75A" w14:textId="3EE71C26" w:rsidR="00EE5BB8" w:rsidRPr="00C6052E" w:rsidRDefault="00EE5BB8" w:rsidP="00EE5BB8">
      <w:pPr>
        <w:pStyle w:val="Bullet1"/>
        <w:numPr>
          <w:ilvl w:val="0"/>
          <w:numId w:val="1"/>
        </w:numPr>
        <w:spacing w:line="278" w:lineRule="auto"/>
        <w:ind w:left="284" w:hanging="284"/>
        <w:rPr>
          <w:lang w:val="en-AU"/>
        </w:rPr>
      </w:pPr>
      <w:r w:rsidRPr="00C6052E">
        <w:rPr>
          <w:lang w:val="en-AU"/>
        </w:rPr>
        <w:t>payables</w:t>
      </w:r>
      <w:r w:rsidR="00177848" w:rsidRPr="00C6052E">
        <w:rPr>
          <w:lang w:val="en-AU"/>
        </w:rPr>
        <w:t xml:space="preserve"> </w:t>
      </w:r>
      <w:r w:rsidRPr="00C6052E">
        <w:rPr>
          <w:lang w:val="en-AU"/>
        </w:rPr>
        <w:t>(excluding</w:t>
      </w:r>
      <w:r w:rsidR="00177848" w:rsidRPr="00C6052E">
        <w:rPr>
          <w:lang w:val="en-AU"/>
        </w:rPr>
        <w:t xml:space="preserve"> </w:t>
      </w:r>
      <w:r w:rsidRPr="00C6052E">
        <w:rPr>
          <w:lang w:val="en-AU"/>
        </w:rPr>
        <w:t>statutory</w:t>
      </w:r>
      <w:r w:rsidR="00177848" w:rsidRPr="00C6052E">
        <w:rPr>
          <w:lang w:val="en-AU"/>
        </w:rPr>
        <w:t xml:space="preserve"> </w:t>
      </w:r>
      <w:r w:rsidRPr="00C6052E">
        <w:rPr>
          <w:lang w:val="en-AU"/>
        </w:rPr>
        <w:t>payables)</w:t>
      </w:r>
    </w:p>
    <w:p w14:paraId="20D63267" w14:textId="77777777" w:rsidR="00EE5BB8" w:rsidRPr="00C6052E" w:rsidRDefault="00EE5BB8" w:rsidP="00EE5BB8">
      <w:pPr>
        <w:pStyle w:val="Bullet1last"/>
        <w:numPr>
          <w:ilvl w:val="0"/>
          <w:numId w:val="1"/>
        </w:numPr>
        <w:spacing w:line="278" w:lineRule="auto"/>
        <w:ind w:left="284" w:hanging="284"/>
        <w:rPr>
          <w:lang w:val="en-AU"/>
        </w:rPr>
      </w:pPr>
      <w:r w:rsidRPr="00C6052E">
        <w:rPr>
          <w:lang w:val="en-AU"/>
        </w:rPr>
        <w:t>borrowings.</w:t>
      </w:r>
    </w:p>
    <w:p w14:paraId="54585090" w14:textId="26D01DD4" w:rsidR="00EE5BB8" w:rsidRPr="00C6052E" w:rsidRDefault="00EE5BB8" w:rsidP="00EE5BB8">
      <w:pPr>
        <w:keepLines/>
      </w:pPr>
      <w:r w:rsidRPr="00C6052E">
        <w:rPr>
          <w:rStyle w:val="Medium"/>
        </w:rPr>
        <w:t>Derivative</w:t>
      </w:r>
      <w:r w:rsidR="00177848" w:rsidRPr="00C6052E">
        <w:rPr>
          <w:rStyle w:val="Medium"/>
        </w:rPr>
        <w:t xml:space="preserve"> </w:t>
      </w:r>
      <w:r w:rsidRPr="00C6052E">
        <w:rPr>
          <w:rStyle w:val="Medium"/>
        </w:rPr>
        <w:t>financial</w:t>
      </w:r>
      <w:r w:rsidR="00177848" w:rsidRPr="00C6052E">
        <w:rPr>
          <w:rStyle w:val="Medium"/>
        </w:rPr>
        <w:t xml:space="preserve"> </w:t>
      </w:r>
      <w:r w:rsidRPr="00C6052E">
        <w:rPr>
          <w:rStyle w:val="Medium"/>
        </w:rPr>
        <w:t>instruments</w:t>
      </w:r>
      <w:r w:rsidR="00177848" w:rsidRPr="00C6052E">
        <w:t xml:space="preserve"> </w:t>
      </w:r>
      <w:r w:rsidRPr="00C6052E">
        <w:t>are</w:t>
      </w:r>
      <w:r w:rsidR="00177848" w:rsidRPr="00C6052E">
        <w:t xml:space="preserve"> </w:t>
      </w:r>
      <w:r w:rsidRPr="00C6052E">
        <w:t>classified</w:t>
      </w:r>
      <w:r w:rsidR="00177848" w:rsidRPr="00C6052E">
        <w:t xml:space="preserve"> </w:t>
      </w:r>
      <w:r w:rsidRPr="00C6052E">
        <w:t>as</w:t>
      </w:r>
      <w:r w:rsidR="00177848" w:rsidRPr="00C6052E">
        <w:t xml:space="preserve"> </w:t>
      </w:r>
      <w:r w:rsidRPr="00C6052E">
        <w:t>held</w:t>
      </w:r>
      <w:r w:rsidR="00177848" w:rsidRPr="00C6052E">
        <w:t xml:space="preserve"> </w:t>
      </w:r>
      <w:r w:rsidRPr="00C6052E">
        <w:t>for</w:t>
      </w:r>
      <w:r w:rsidR="00177848" w:rsidRPr="00C6052E">
        <w:t xml:space="preserve"> </w:t>
      </w:r>
      <w:r w:rsidRPr="00C6052E">
        <w:t>trading</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and</w:t>
      </w:r>
      <w:r w:rsidR="00177848" w:rsidRPr="00C6052E">
        <w:t xml:space="preserve"> </w:t>
      </w:r>
      <w:r w:rsidRPr="00C6052E">
        <w:t>liabilities.</w:t>
      </w:r>
      <w:r w:rsidR="00177848" w:rsidRPr="00C6052E">
        <w:t xml:space="preserve"> </w:t>
      </w:r>
      <w:r w:rsidRPr="00C6052E">
        <w:t>They</w:t>
      </w:r>
      <w:r w:rsidR="00177848" w:rsidRPr="00C6052E">
        <w:t xml:space="preserve"> </w:t>
      </w:r>
      <w:r w:rsidRPr="00C6052E">
        <w:t>are</w:t>
      </w:r>
      <w:r w:rsidR="00177848" w:rsidRPr="00C6052E">
        <w:t xml:space="preserve"> </w:t>
      </w:r>
      <w:r w:rsidRPr="00C6052E">
        <w:t>initially</w:t>
      </w:r>
      <w:r w:rsidR="00177848" w:rsidRPr="00C6052E">
        <w:t xml:space="preserve"> </w:t>
      </w:r>
      <w:r w:rsidRPr="00C6052E">
        <w:t>recognised</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r w:rsidR="00177848" w:rsidRPr="00C6052E">
        <w:t xml:space="preserve"> </w:t>
      </w:r>
      <w:r w:rsidRPr="00C6052E">
        <w:t>on</w:t>
      </w:r>
      <w:r w:rsidR="00177848" w:rsidRPr="00C6052E">
        <w:t xml:space="preserve"> </w:t>
      </w:r>
      <w:r w:rsidRPr="00C6052E">
        <w:t>the</w:t>
      </w:r>
      <w:r w:rsidR="00177848" w:rsidRPr="00C6052E">
        <w:t xml:space="preserve"> </w:t>
      </w:r>
      <w:r w:rsidRPr="00C6052E">
        <w:t>date</w:t>
      </w:r>
      <w:r w:rsidR="00177848" w:rsidRPr="00C6052E">
        <w:t xml:space="preserve"> </w:t>
      </w:r>
      <w:r w:rsidRPr="00C6052E">
        <w:t>on</w:t>
      </w:r>
      <w:r w:rsidR="00177848" w:rsidRPr="00C6052E">
        <w:t xml:space="preserve"> </w:t>
      </w:r>
      <w:r w:rsidRPr="00C6052E">
        <w:t>which</w:t>
      </w:r>
      <w:r w:rsidR="00177848" w:rsidRPr="00C6052E">
        <w:t xml:space="preserve"> </w:t>
      </w:r>
      <w:r w:rsidRPr="00C6052E">
        <w:t>a</w:t>
      </w:r>
      <w:r w:rsidR="00177848" w:rsidRPr="00C6052E">
        <w:t xml:space="preserve"> </w:t>
      </w:r>
      <w:r w:rsidRPr="00C6052E">
        <w:t>derivative</w:t>
      </w:r>
      <w:r w:rsidR="00177848" w:rsidRPr="00C6052E">
        <w:t xml:space="preserve"> </w:t>
      </w:r>
      <w:r w:rsidRPr="00C6052E">
        <w:t>contract</w:t>
      </w:r>
      <w:r w:rsidR="00177848" w:rsidRPr="00C6052E">
        <w:t xml:space="preserve"> </w:t>
      </w:r>
      <w:r w:rsidRPr="00C6052E">
        <w:t>is</w:t>
      </w:r>
      <w:r w:rsidR="00177848" w:rsidRPr="00C6052E">
        <w:t xml:space="preserve"> </w:t>
      </w:r>
      <w:r w:rsidRPr="00C6052E">
        <w:t>entered</w:t>
      </w:r>
      <w:r w:rsidR="00177848" w:rsidRPr="00C6052E">
        <w:t xml:space="preserve"> </w:t>
      </w:r>
      <w:r w:rsidRPr="00C6052E">
        <w:t>into.</w:t>
      </w:r>
      <w:r w:rsidR="00177848" w:rsidRPr="00C6052E">
        <w:t xml:space="preserve"> </w:t>
      </w:r>
      <w:r w:rsidRPr="00C6052E">
        <w:t>Derivatives</w:t>
      </w:r>
      <w:r w:rsidR="00177848" w:rsidRPr="00C6052E">
        <w:t xml:space="preserve"> </w:t>
      </w:r>
      <w:r w:rsidRPr="00C6052E">
        <w:t>are</w:t>
      </w:r>
      <w:r w:rsidR="00177848" w:rsidRPr="00C6052E">
        <w:t xml:space="preserve"> </w:t>
      </w:r>
      <w:r w:rsidRPr="00C6052E">
        <w:t>carried</w:t>
      </w:r>
      <w:r w:rsidR="00177848" w:rsidRPr="00C6052E">
        <w:t xml:space="preserve"> </w:t>
      </w:r>
      <w:r w:rsidRPr="00C6052E">
        <w:t>as</w:t>
      </w:r>
      <w:r w:rsidR="00177848" w:rsidRPr="00C6052E">
        <w:t xml:space="preserve"> </w:t>
      </w:r>
      <w:r w:rsidRPr="00C6052E">
        <w:t>assets</w:t>
      </w:r>
      <w:r w:rsidR="00177848" w:rsidRPr="00C6052E">
        <w:t xml:space="preserve"> </w:t>
      </w:r>
      <w:r w:rsidRPr="00C6052E">
        <w:t>when</w:t>
      </w:r>
      <w:r w:rsidR="00177848" w:rsidRPr="00C6052E">
        <w:t xml:space="preserve"> </w:t>
      </w:r>
      <w:r w:rsidRPr="00C6052E">
        <w:t>their</w:t>
      </w:r>
      <w:r w:rsidR="00177848" w:rsidRPr="00C6052E">
        <w:t xml:space="preserve"> </w:t>
      </w:r>
      <w:r w:rsidRPr="00C6052E">
        <w:t>fair</w:t>
      </w:r>
      <w:r w:rsidR="00177848" w:rsidRPr="00C6052E">
        <w:t xml:space="preserve"> </w:t>
      </w:r>
      <w:r w:rsidRPr="00C6052E">
        <w:t>value</w:t>
      </w:r>
      <w:r w:rsidR="00177848" w:rsidRPr="00C6052E">
        <w:t xml:space="preserve"> </w:t>
      </w:r>
      <w:r w:rsidRPr="00C6052E">
        <w:t>is</w:t>
      </w:r>
      <w:r w:rsidR="00177848" w:rsidRPr="00C6052E">
        <w:t xml:space="preserve"> </w:t>
      </w:r>
      <w:r w:rsidRPr="00C6052E">
        <w:t>positive</w:t>
      </w:r>
      <w:r w:rsidR="00177848" w:rsidRPr="00C6052E">
        <w:t xml:space="preserve"> </w:t>
      </w:r>
      <w:r w:rsidRPr="00C6052E">
        <w:t>and</w:t>
      </w:r>
      <w:r w:rsidR="00177848" w:rsidRPr="00C6052E">
        <w:t xml:space="preserve"> </w:t>
      </w:r>
      <w:r w:rsidRPr="00C6052E">
        <w:t>as</w:t>
      </w:r>
      <w:r w:rsidR="00177848" w:rsidRPr="00C6052E">
        <w:t xml:space="preserve"> </w:t>
      </w:r>
      <w:r w:rsidRPr="00C6052E">
        <w:t>liabilities</w:t>
      </w:r>
      <w:r w:rsidR="00177848" w:rsidRPr="00C6052E">
        <w:t xml:space="preserve"> </w:t>
      </w:r>
      <w:r w:rsidRPr="00C6052E">
        <w:t>when</w:t>
      </w:r>
      <w:r w:rsidR="00177848" w:rsidRPr="00C6052E">
        <w:t xml:space="preserve"> </w:t>
      </w:r>
      <w:r w:rsidRPr="00C6052E">
        <w:t>their</w:t>
      </w:r>
      <w:r w:rsidR="00177848" w:rsidRPr="00C6052E">
        <w:t xml:space="preserve"> </w:t>
      </w:r>
      <w:r w:rsidRPr="00C6052E">
        <w:t>fair</w:t>
      </w:r>
      <w:r w:rsidR="00177848" w:rsidRPr="00C6052E">
        <w:t xml:space="preserve"> </w:t>
      </w:r>
      <w:r w:rsidRPr="00C6052E">
        <w:t>value</w:t>
      </w:r>
      <w:r w:rsidR="00177848" w:rsidRPr="00C6052E">
        <w:t xml:space="preserve"> </w:t>
      </w:r>
      <w:r w:rsidRPr="00C6052E">
        <w:t>is</w:t>
      </w:r>
      <w:r w:rsidR="00177848" w:rsidRPr="00C6052E">
        <w:t xml:space="preserve"> </w:t>
      </w:r>
      <w:r w:rsidRPr="00C6052E">
        <w:t>negative.</w:t>
      </w:r>
      <w:r w:rsidR="00177848" w:rsidRPr="00C6052E">
        <w:t xml:space="preserve"> </w:t>
      </w:r>
      <w:r w:rsidRPr="00C6052E">
        <w:t>Any</w:t>
      </w:r>
      <w:r w:rsidR="00177848" w:rsidRPr="00C6052E">
        <w:t xml:space="preserve"> </w:t>
      </w:r>
      <w:r w:rsidRPr="00C6052E">
        <w:t>gains</w:t>
      </w:r>
      <w:r w:rsidR="00177848" w:rsidRPr="00C6052E">
        <w:t xml:space="preserve"> </w:t>
      </w:r>
      <w:r w:rsidRPr="00C6052E">
        <w:t>or</w:t>
      </w:r>
      <w:r w:rsidR="00177848" w:rsidRPr="00C6052E">
        <w:t xml:space="preserve"> </w:t>
      </w:r>
      <w:r w:rsidRPr="00C6052E">
        <w:t>losses</w:t>
      </w:r>
      <w:r w:rsidR="00177848" w:rsidRPr="00C6052E">
        <w:t xml:space="preserve"> </w:t>
      </w:r>
      <w:r w:rsidRPr="00C6052E">
        <w:t>arising</w:t>
      </w:r>
      <w:r w:rsidR="00177848" w:rsidRPr="00C6052E">
        <w:t xml:space="preserve"> </w:t>
      </w:r>
      <w:r w:rsidRPr="00C6052E">
        <w:t>from</w:t>
      </w:r>
      <w:r w:rsidR="00177848" w:rsidRPr="00C6052E">
        <w:t xml:space="preserve"> </w:t>
      </w:r>
      <w:r w:rsidRPr="00C6052E">
        <w:t>changes</w:t>
      </w:r>
      <w:r w:rsidR="00177848" w:rsidRPr="00C6052E">
        <w:t xml:space="preserve"> </w:t>
      </w:r>
      <w:r w:rsidRPr="00C6052E">
        <w:t>in</w:t>
      </w:r>
      <w:r w:rsidR="00177848" w:rsidRPr="00C6052E">
        <w:t xml:space="preserve"> </w:t>
      </w:r>
      <w:r w:rsidRPr="00C6052E">
        <w:t>the</w:t>
      </w:r>
      <w:r w:rsidR="00177848" w:rsidRPr="00C6052E">
        <w:t xml:space="preserve"> </w:t>
      </w:r>
      <w:r w:rsidRPr="00C6052E">
        <w:t>fair</w:t>
      </w:r>
      <w:r w:rsidR="00177848" w:rsidRPr="00C6052E">
        <w:t xml:space="preserve"> </w:t>
      </w:r>
      <w:r w:rsidRPr="00C6052E">
        <w:t>value</w:t>
      </w:r>
      <w:r w:rsidR="00177848" w:rsidRPr="00C6052E">
        <w:t xml:space="preserve"> </w:t>
      </w:r>
      <w:r w:rsidRPr="00C6052E">
        <w:t>of</w:t>
      </w:r>
      <w:r w:rsidR="00177848" w:rsidRPr="00C6052E">
        <w:t xml:space="preserve"> </w:t>
      </w:r>
      <w:r w:rsidRPr="00C6052E">
        <w:t>derivatives</w:t>
      </w:r>
      <w:r w:rsidR="00177848" w:rsidRPr="00C6052E">
        <w:t xml:space="preserve"> </w:t>
      </w:r>
      <w:r w:rsidRPr="00C6052E">
        <w:t>after</w:t>
      </w:r>
      <w:r w:rsidR="00177848" w:rsidRPr="00C6052E">
        <w:t xml:space="preserve"> </w:t>
      </w:r>
      <w:r w:rsidRPr="00C6052E">
        <w:t>initial</w:t>
      </w:r>
      <w:r w:rsidR="00177848" w:rsidRPr="00C6052E">
        <w:t xml:space="preserve"> </w:t>
      </w:r>
      <w:r w:rsidRPr="00C6052E">
        <w:t>recognition</w:t>
      </w:r>
      <w:r w:rsidR="00177848" w:rsidRPr="00C6052E">
        <w:t xml:space="preserve"> </w:t>
      </w:r>
      <w:r w:rsidRPr="00C6052E">
        <w:t>are</w:t>
      </w:r>
      <w:r w:rsidR="00177848" w:rsidRPr="00C6052E">
        <w:t xml:space="preserve"> </w:t>
      </w:r>
      <w:r w:rsidRPr="00C6052E">
        <w:t>recognised</w:t>
      </w:r>
      <w:r w:rsidR="00177848" w:rsidRPr="00C6052E">
        <w:t xml:space="preserve"> </w:t>
      </w:r>
      <w:r w:rsidRPr="00C6052E">
        <w:t>in</w:t>
      </w:r>
      <w:r w:rsidR="00177848" w:rsidRPr="00C6052E">
        <w:t xml:space="preserve"> </w:t>
      </w:r>
      <w:r w:rsidRPr="00C6052E">
        <w:t>the</w:t>
      </w:r>
      <w:r w:rsidR="00177848" w:rsidRPr="00C6052E">
        <w:t xml:space="preserve"> </w:t>
      </w:r>
      <w:r w:rsidRPr="00C6052E">
        <w:t>comprehensive</w:t>
      </w:r>
      <w:r w:rsidR="00177848" w:rsidRPr="00C6052E">
        <w:t xml:space="preserve"> </w:t>
      </w:r>
      <w:r w:rsidRPr="00C6052E">
        <w:t>operating</w:t>
      </w:r>
      <w:r w:rsidR="00177848" w:rsidRPr="00C6052E">
        <w:t xml:space="preserve"> </w:t>
      </w:r>
      <w:r w:rsidRPr="00C6052E">
        <w:t>statement</w:t>
      </w:r>
      <w:r w:rsidR="00177848" w:rsidRPr="00C6052E">
        <w:t xml:space="preserve"> </w:t>
      </w:r>
      <w:r w:rsidRPr="00C6052E">
        <w:t>as</w:t>
      </w:r>
      <w:r w:rsidR="00177848" w:rsidRPr="00C6052E">
        <w:t xml:space="preserve"> </w:t>
      </w:r>
      <w:r w:rsidRPr="00C6052E">
        <w:t>an</w:t>
      </w:r>
      <w:r w:rsidR="00177848" w:rsidRPr="00C6052E">
        <w:t xml:space="preserve"> </w:t>
      </w:r>
      <w:r w:rsidRPr="00C6052E">
        <w:t>‘other</w:t>
      </w:r>
      <w:r w:rsidR="00177848" w:rsidRPr="00C6052E">
        <w:t xml:space="preserve"> </w:t>
      </w:r>
      <w:r w:rsidRPr="00C6052E">
        <w:t>economic</w:t>
      </w:r>
      <w:r w:rsidR="00177848" w:rsidRPr="00C6052E">
        <w:t xml:space="preserve"> </w:t>
      </w:r>
      <w:r w:rsidRPr="00C6052E">
        <w:t>flow’</w:t>
      </w:r>
      <w:r w:rsidR="00177848" w:rsidRPr="00C6052E">
        <w:t xml:space="preserve"> </w:t>
      </w:r>
      <w:r w:rsidRPr="00C6052E">
        <w:t>included</w:t>
      </w:r>
      <w:r w:rsidR="00177848" w:rsidRPr="00C6052E">
        <w:t xml:space="preserve"> </w:t>
      </w:r>
      <w:r w:rsidRPr="00C6052E">
        <w:t>in</w:t>
      </w:r>
      <w:r w:rsidR="00177848" w:rsidRPr="00C6052E">
        <w:t xml:space="preserve"> </w:t>
      </w:r>
      <w:r w:rsidRPr="00C6052E">
        <w:t>the</w:t>
      </w:r>
      <w:r w:rsidR="00177848" w:rsidRPr="00C6052E">
        <w:t xml:space="preserve"> </w:t>
      </w:r>
      <w:r w:rsidRPr="00C6052E">
        <w:t>net</w:t>
      </w:r>
      <w:r w:rsidR="00177848" w:rsidRPr="00C6052E">
        <w:t xml:space="preserve"> </w:t>
      </w:r>
      <w:r w:rsidRPr="00C6052E">
        <w:t>result.</w:t>
      </w:r>
    </w:p>
    <w:p w14:paraId="5B179886" w14:textId="708F8680" w:rsidR="00EE5BB8" w:rsidRPr="00C6052E" w:rsidRDefault="00EE5BB8" w:rsidP="00EE5BB8">
      <w:r w:rsidRPr="00C6052E">
        <w:rPr>
          <w:rStyle w:val="Medium"/>
        </w:rPr>
        <w:t>Offsetting</w:t>
      </w:r>
      <w:r w:rsidR="00177848" w:rsidRPr="00C6052E">
        <w:rPr>
          <w:rStyle w:val="Medium"/>
        </w:rPr>
        <w:t xml:space="preserve"> </w:t>
      </w:r>
      <w:r w:rsidRPr="00C6052E">
        <w:rPr>
          <w:rStyle w:val="Medium"/>
        </w:rPr>
        <w:t>financial</w:t>
      </w:r>
      <w:r w:rsidR="00177848" w:rsidRPr="00C6052E">
        <w:rPr>
          <w:rStyle w:val="Medium"/>
        </w:rPr>
        <w:t xml:space="preserve"> </w:t>
      </w:r>
      <w:r w:rsidRPr="00C6052E">
        <w:rPr>
          <w:rStyle w:val="Medium"/>
        </w:rPr>
        <w:t>instruments:</w:t>
      </w:r>
      <w:r w:rsidR="00177848" w:rsidRPr="00C6052E">
        <w:t xml:space="preserve"> </w:t>
      </w:r>
      <w:r w:rsidRPr="00C6052E">
        <w:t>Financial</w:t>
      </w:r>
      <w:r w:rsidR="00177848" w:rsidRPr="00C6052E">
        <w:t xml:space="preserve"> </w:t>
      </w:r>
      <w:r w:rsidRPr="00C6052E">
        <w:t>instrument</w:t>
      </w:r>
      <w:r w:rsidR="00177848" w:rsidRPr="00C6052E">
        <w:t xml:space="preserve"> </w:t>
      </w:r>
      <w:r w:rsidRPr="00C6052E">
        <w:t>assets</w:t>
      </w:r>
      <w:r w:rsidR="00177848" w:rsidRPr="00C6052E">
        <w:t xml:space="preserve"> </w:t>
      </w:r>
      <w:r w:rsidRPr="00C6052E">
        <w:t>and</w:t>
      </w:r>
      <w:r w:rsidR="00177848" w:rsidRPr="00C6052E">
        <w:t xml:space="preserve"> </w:t>
      </w:r>
      <w:r w:rsidRPr="00C6052E">
        <w:t>liabilities</w:t>
      </w:r>
      <w:r w:rsidR="00177848" w:rsidRPr="00C6052E">
        <w:t xml:space="preserve"> </w:t>
      </w:r>
      <w:r w:rsidRPr="00C6052E">
        <w:t>are</w:t>
      </w:r>
      <w:r w:rsidR="00177848" w:rsidRPr="00C6052E">
        <w:t xml:space="preserve"> </w:t>
      </w:r>
      <w:r w:rsidRPr="00C6052E">
        <w:t>offset,</w:t>
      </w:r>
      <w:r w:rsidR="00177848" w:rsidRPr="00C6052E">
        <w:t xml:space="preserve"> </w:t>
      </w:r>
      <w:r w:rsidRPr="00C6052E">
        <w:t>and</w:t>
      </w:r>
      <w:r w:rsidR="00177848" w:rsidRPr="00C6052E">
        <w:t xml:space="preserve"> </w:t>
      </w:r>
      <w:r w:rsidRPr="00C6052E">
        <w:t>the</w:t>
      </w:r>
      <w:r w:rsidR="00177848" w:rsidRPr="00C6052E">
        <w:t xml:space="preserve"> </w:t>
      </w:r>
      <w:r w:rsidRPr="00C6052E">
        <w:t>net</w:t>
      </w:r>
      <w:r w:rsidR="00177848" w:rsidRPr="00C6052E">
        <w:t xml:space="preserve"> </w:t>
      </w:r>
      <w:r w:rsidRPr="00C6052E">
        <w:t>amount</w:t>
      </w:r>
      <w:r w:rsidR="00177848" w:rsidRPr="00C6052E">
        <w:t xml:space="preserve"> </w:t>
      </w:r>
      <w:r w:rsidRPr="00C6052E">
        <w:t>presented</w:t>
      </w:r>
      <w:r w:rsidR="00177848" w:rsidRPr="00C6052E">
        <w:t xml:space="preserve"> </w:t>
      </w:r>
      <w:r w:rsidRPr="00C6052E">
        <w:t>in</w:t>
      </w:r>
      <w:r w:rsidR="00177848" w:rsidRPr="00C6052E">
        <w:t xml:space="preserve"> </w:t>
      </w:r>
      <w:r w:rsidRPr="00C6052E">
        <w:t>the</w:t>
      </w:r>
      <w:r w:rsidR="00177848" w:rsidRPr="00C6052E">
        <w:t xml:space="preserve"> </w:t>
      </w:r>
      <w:r w:rsidRPr="00C6052E">
        <w:t>balance</w:t>
      </w:r>
      <w:r w:rsidR="00177848" w:rsidRPr="00C6052E">
        <w:t xml:space="preserve"> </w:t>
      </w:r>
      <w:r w:rsidRPr="00C6052E">
        <w:t>sheet</w:t>
      </w:r>
      <w:r w:rsidR="00177848" w:rsidRPr="00C6052E">
        <w:t xml:space="preserve"> </w:t>
      </w:r>
      <w:r w:rsidRPr="00C6052E">
        <w:t>when,</w:t>
      </w:r>
      <w:r w:rsidR="00177848" w:rsidRPr="00C6052E">
        <w:t xml:space="preserve"> </w:t>
      </w:r>
      <w:r w:rsidRPr="00C6052E">
        <w:t>and</w:t>
      </w:r>
      <w:r w:rsidR="00177848" w:rsidRPr="00C6052E">
        <w:t xml:space="preserve"> </w:t>
      </w:r>
      <w:r w:rsidRPr="00C6052E">
        <w:t>only</w:t>
      </w:r>
      <w:r w:rsidR="00177848" w:rsidRPr="00C6052E">
        <w:t xml:space="preserve"> </w:t>
      </w:r>
      <w:r w:rsidRPr="00C6052E">
        <w:t>when,</w:t>
      </w:r>
      <w:r w:rsidR="00177848" w:rsidRPr="00C6052E">
        <w:t xml:space="preserve"> </w:t>
      </w:r>
      <w:r w:rsidRPr="00C6052E">
        <w:t>DJSIR</w:t>
      </w:r>
      <w:r w:rsidR="00177848" w:rsidRPr="00C6052E">
        <w:t xml:space="preserve"> </w:t>
      </w:r>
      <w:r w:rsidRPr="00C6052E">
        <w:t>has</w:t>
      </w:r>
      <w:r w:rsidR="00177848" w:rsidRPr="00C6052E">
        <w:t xml:space="preserve"> </w:t>
      </w:r>
      <w:r w:rsidRPr="00C6052E">
        <w:t>a</w:t>
      </w:r>
      <w:r w:rsidR="00177848" w:rsidRPr="00C6052E">
        <w:t xml:space="preserve"> </w:t>
      </w:r>
      <w:r w:rsidRPr="00C6052E">
        <w:t>legal</w:t>
      </w:r>
      <w:r w:rsidR="00177848" w:rsidRPr="00C6052E">
        <w:t xml:space="preserve"> </w:t>
      </w:r>
      <w:r w:rsidRPr="00C6052E">
        <w:t>right</w:t>
      </w:r>
      <w:r w:rsidR="00177848" w:rsidRPr="00C6052E">
        <w:t xml:space="preserve"> </w:t>
      </w:r>
      <w:r w:rsidRPr="00C6052E">
        <w:t>to</w:t>
      </w:r>
      <w:r w:rsidR="00177848" w:rsidRPr="00C6052E">
        <w:t xml:space="preserve"> </w:t>
      </w:r>
      <w:r w:rsidRPr="00C6052E">
        <w:t>offset</w:t>
      </w:r>
      <w:r w:rsidR="00177848" w:rsidRPr="00C6052E">
        <w:t xml:space="preserve"> </w:t>
      </w:r>
      <w:r w:rsidRPr="00C6052E">
        <w:t>the</w:t>
      </w:r>
      <w:r w:rsidR="00177848" w:rsidRPr="00C6052E">
        <w:t xml:space="preserve"> </w:t>
      </w:r>
      <w:r w:rsidRPr="00C6052E">
        <w:t>amounts</w:t>
      </w:r>
      <w:r w:rsidR="00177848" w:rsidRPr="00C6052E">
        <w:t xml:space="preserve"> </w:t>
      </w:r>
      <w:r w:rsidRPr="00C6052E">
        <w:t>and</w:t>
      </w:r>
      <w:r w:rsidR="00177848" w:rsidRPr="00C6052E">
        <w:t xml:space="preserve"> </w:t>
      </w:r>
      <w:r w:rsidRPr="00C6052E">
        <w:t>intends</w:t>
      </w:r>
      <w:r w:rsidR="00177848" w:rsidRPr="00C6052E">
        <w:t xml:space="preserve"> </w:t>
      </w:r>
      <w:r w:rsidRPr="00C6052E">
        <w:t>either</w:t>
      </w:r>
      <w:r w:rsidR="00177848" w:rsidRPr="00C6052E">
        <w:t xml:space="preserve"> </w:t>
      </w:r>
      <w:r w:rsidRPr="00C6052E">
        <w:t>to</w:t>
      </w:r>
      <w:r w:rsidR="00177848" w:rsidRPr="00C6052E">
        <w:t xml:space="preserve"> </w:t>
      </w:r>
      <w:r w:rsidRPr="00C6052E">
        <w:t>settle</w:t>
      </w:r>
      <w:r w:rsidR="00177848" w:rsidRPr="00C6052E">
        <w:t xml:space="preserve"> </w:t>
      </w:r>
      <w:r w:rsidRPr="00C6052E">
        <w:t>on</w:t>
      </w:r>
      <w:r w:rsidR="00177848" w:rsidRPr="00C6052E">
        <w:t xml:space="preserve"> </w:t>
      </w:r>
      <w:r w:rsidRPr="00C6052E">
        <w:t>a</w:t>
      </w:r>
      <w:r w:rsidR="00177848" w:rsidRPr="00C6052E">
        <w:t xml:space="preserve"> </w:t>
      </w:r>
      <w:r w:rsidRPr="00C6052E">
        <w:t>net</w:t>
      </w:r>
      <w:r w:rsidR="00177848" w:rsidRPr="00C6052E">
        <w:t xml:space="preserve"> </w:t>
      </w:r>
      <w:r w:rsidRPr="00C6052E">
        <w:t>basis</w:t>
      </w:r>
      <w:r w:rsidR="00177848" w:rsidRPr="00C6052E">
        <w:t xml:space="preserve"> </w:t>
      </w:r>
      <w:r w:rsidRPr="00C6052E">
        <w:t>or</w:t>
      </w:r>
      <w:r w:rsidR="00177848" w:rsidRPr="00C6052E">
        <w:t xml:space="preserve"> </w:t>
      </w:r>
      <w:r w:rsidRPr="00C6052E">
        <w:t>to</w:t>
      </w:r>
      <w:r w:rsidR="00177848" w:rsidRPr="00C6052E">
        <w:t xml:space="preserve"> </w:t>
      </w:r>
      <w:r w:rsidRPr="00C6052E">
        <w:t>realise</w:t>
      </w:r>
      <w:r w:rsidR="00177848" w:rsidRPr="00C6052E">
        <w:t xml:space="preserve"> </w:t>
      </w:r>
      <w:r w:rsidRPr="00C6052E">
        <w:t>the</w:t>
      </w:r>
      <w:r w:rsidR="00177848" w:rsidRPr="00C6052E">
        <w:t xml:space="preserve"> </w:t>
      </w:r>
      <w:r w:rsidRPr="00C6052E">
        <w:t>asset</w:t>
      </w:r>
      <w:r w:rsidR="00177848" w:rsidRPr="00C6052E">
        <w:t xml:space="preserve"> </w:t>
      </w:r>
      <w:r w:rsidRPr="00C6052E">
        <w:t>and</w:t>
      </w:r>
      <w:r w:rsidR="00177848" w:rsidRPr="00C6052E">
        <w:t xml:space="preserve"> </w:t>
      </w:r>
      <w:r w:rsidRPr="00C6052E">
        <w:t>settle</w:t>
      </w:r>
      <w:r w:rsidR="00177848" w:rsidRPr="00C6052E">
        <w:t xml:space="preserve"> </w:t>
      </w:r>
      <w:r w:rsidRPr="00C6052E">
        <w:t>the</w:t>
      </w:r>
      <w:r w:rsidR="00177848" w:rsidRPr="00C6052E">
        <w:t xml:space="preserve"> </w:t>
      </w:r>
      <w:r w:rsidRPr="00C6052E">
        <w:t>liability</w:t>
      </w:r>
      <w:r w:rsidR="00177848" w:rsidRPr="00C6052E">
        <w:t xml:space="preserve"> </w:t>
      </w:r>
      <w:r w:rsidRPr="00C6052E">
        <w:t>simultaneously.</w:t>
      </w:r>
    </w:p>
    <w:p w14:paraId="33434251" w14:textId="09AC19AD" w:rsidR="00EE5BB8" w:rsidRPr="00C6052E" w:rsidRDefault="00EE5BB8" w:rsidP="00EE5BB8">
      <w:r w:rsidRPr="00C6052E">
        <w:t>Some</w:t>
      </w:r>
      <w:r w:rsidR="00177848" w:rsidRPr="00C6052E">
        <w:t xml:space="preserve"> </w:t>
      </w:r>
      <w:r w:rsidRPr="00C6052E">
        <w:t>master</w:t>
      </w:r>
      <w:r w:rsidR="00177848" w:rsidRPr="00C6052E">
        <w:t xml:space="preserve"> </w:t>
      </w:r>
      <w:r w:rsidRPr="00C6052E">
        <w:t>netting</w:t>
      </w:r>
      <w:r w:rsidR="00177848" w:rsidRPr="00C6052E">
        <w:t xml:space="preserve"> </w:t>
      </w:r>
      <w:r w:rsidRPr="00C6052E">
        <w:t>arrangements</w:t>
      </w:r>
      <w:r w:rsidR="00177848" w:rsidRPr="00C6052E">
        <w:t xml:space="preserve"> </w:t>
      </w:r>
      <w:r w:rsidRPr="00C6052E">
        <w:t>do</w:t>
      </w:r>
      <w:r w:rsidR="00177848" w:rsidRPr="00C6052E">
        <w:t xml:space="preserve"> </w:t>
      </w:r>
      <w:r w:rsidRPr="00C6052E">
        <w:t>not</w:t>
      </w:r>
      <w:r w:rsidR="00177848" w:rsidRPr="00C6052E">
        <w:t xml:space="preserve"> </w:t>
      </w:r>
      <w:r w:rsidRPr="00C6052E">
        <w:t>result</w:t>
      </w:r>
      <w:r w:rsidR="00177848" w:rsidRPr="00C6052E">
        <w:t xml:space="preserve"> </w:t>
      </w:r>
      <w:r w:rsidRPr="00C6052E">
        <w:t>in</w:t>
      </w:r>
      <w:r w:rsidR="00177848" w:rsidRPr="00C6052E">
        <w:t xml:space="preserve"> </w:t>
      </w:r>
      <w:r w:rsidRPr="00C6052E">
        <w:t>an</w:t>
      </w:r>
      <w:r w:rsidR="00177848" w:rsidRPr="00C6052E">
        <w:t xml:space="preserve"> </w:t>
      </w:r>
      <w:r w:rsidRPr="00C6052E">
        <w:t>offset</w:t>
      </w:r>
      <w:r w:rsidR="00177848" w:rsidRPr="00C6052E">
        <w:t xml:space="preserve"> </w:t>
      </w:r>
      <w:r w:rsidRPr="00C6052E">
        <w:t>of</w:t>
      </w:r>
      <w:r w:rsidR="00177848" w:rsidRPr="00C6052E">
        <w:t xml:space="preserve"> </w:t>
      </w:r>
      <w:r w:rsidRPr="00C6052E">
        <w:t>balance</w:t>
      </w:r>
      <w:r w:rsidR="00177848" w:rsidRPr="00C6052E">
        <w:t xml:space="preserve"> </w:t>
      </w:r>
      <w:r w:rsidRPr="00C6052E">
        <w:t>sheet</w:t>
      </w:r>
      <w:r w:rsidR="00177848" w:rsidRPr="00C6052E">
        <w:t xml:space="preserve"> </w:t>
      </w:r>
      <w:r w:rsidRPr="00C6052E">
        <w:t>assets</w:t>
      </w:r>
      <w:r w:rsidR="00177848" w:rsidRPr="00C6052E">
        <w:t xml:space="preserve"> </w:t>
      </w:r>
      <w:r w:rsidRPr="00C6052E">
        <w:t>and</w:t>
      </w:r>
      <w:r w:rsidR="00177848" w:rsidRPr="00C6052E">
        <w:t xml:space="preserve"> </w:t>
      </w:r>
      <w:r w:rsidRPr="00C6052E">
        <w:t>liabilities.</w:t>
      </w:r>
      <w:r w:rsidR="00177848" w:rsidRPr="00C6052E">
        <w:t xml:space="preserve"> </w:t>
      </w:r>
      <w:r w:rsidRPr="00C6052E">
        <w:t>Where</w:t>
      </w:r>
      <w:r w:rsidR="00177848" w:rsidRPr="00C6052E">
        <w:t xml:space="preserve"> </w:t>
      </w:r>
      <w:r w:rsidRPr="00C6052E">
        <w:t>DJSIR</w:t>
      </w:r>
      <w:r w:rsidR="00177848" w:rsidRPr="00C6052E">
        <w:t xml:space="preserve"> </w:t>
      </w:r>
      <w:r w:rsidRPr="00C6052E">
        <w:t>does</w:t>
      </w:r>
      <w:r w:rsidR="00177848" w:rsidRPr="00C6052E">
        <w:t xml:space="preserve"> </w:t>
      </w:r>
      <w:r w:rsidRPr="00C6052E">
        <w:t>not</w:t>
      </w:r>
      <w:r w:rsidR="00177848" w:rsidRPr="00C6052E">
        <w:t xml:space="preserve"> </w:t>
      </w:r>
      <w:r w:rsidRPr="00C6052E">
        <w:t>have</w:t>
      </w:r>
      <w:r w:rsidR="00177848" w:rsidRPr="00C6052E">
        <w:t xml:space="preserve"> </w:t>
      </w:r>
      <w:r w:rsidRPr="00C6052E">
        <w:t>a</w:t>
      </w:r>
      <w:r w:rsidR="00177848" w:rsidRPr="00C6052E">
        <w:t xml:space="preserve"> </w:t>
      </w:r>
      <w:r w:rsidRPr="00C6052E">
        <w:t>legally</w:t>
      </w:r>
      <w:r w:rsidR="00177848" w:rsidRPr="00C6052E">
        <w:t xml:space="preserve"> </w:t>
      </w:r>
      <w:r w:rsidRPr="00C6052E">
        <w:t>enforceable</w:t>
      </w:r>
      <w:r w:rsidR="00177848" w:rsidRPr="00C6052E">
        <w:t xml:space="preserve"> </w:t>
      </w:r>
      <w:r w:rsidRPr="00C6052E">
        <w:t>right</w:t>
      </w:r>
      <w:r w:rsidR="00177848" w:rsidRPr="00C6052E">
        <w:t xml:space="preserve"> </w:t>
      </w:r>
      <w:r w:rsidRPr="00C6052E">
        <w:t>to</w:t>
      </w:r>
      <w:r w:rsidR="00177848" w:rsidRPr="00C6052E">
        <w:t xml:space="preserve"> </w:t>
      </w:r>
      <w:r w:rsidRPr="00C6052E">
        <w:t>offset</w:t>
      </w:r>
      <w:r w:rsidR="00177848" w:rsidRPr="00C6052E">
        <w:t xml:space="preserve"> </w:t>
      </w:r>
      <w:r w:rsidRPr="00C6052E">
        <w:t>recognised</w:t>
      </w:r>
      <w:r w:rsidR="00177848" w:rsidRPr="00C6052E">
        <w:t xml:space="preserve"> </w:t>
      </w:r>
      <w:r w:rsidRPr="00C6052E">
        <w:t>amounts,</w:t>
      </w:r>
      <w:r w:rsidR="00177848" w:rsidRPr="00C6052E">
        <w:t xml:space="preserve"> </w:t>
      </w:r>
      <w:r w:rsidRPr="00C6052E">
        <w:t>because</w:t>
      </w:r>
      <w:r w:rsidR="00177848" w:rsidRPr="00C6052E">
        <w:t xml:space="preserve"> </w:t>
      </w:r>
      <w:r w:rsidRPr="00C6052E">
        <w:t>the</w:t>
      </w:r>
      <w:r w:rsidR="00177848" w:rsidRPr="00C6052E">
        <w:t xml:space="preserve"> </w:t>
      </w:r>
      <w:r w:rsidRPr="00C6052E">
        <w:t>right</w:t>
      </w:r>
      <w:r w:rsidR="00177848" w:rsidRPr="00C6052E">
        <w:t xml:space="preserve"> </w:t>
      </w:r>
      <w:r w:rsidRPr="00C6052E">
        <w:t>to</w:t>
      </w:r>
      <w:r w:rsidR="00177848" w:rsidRPr="00C6052E">
        <w:t xml:space="preserve"> </w:t>
      </w:r>
      <w:r w:rsidRPr="00C6052E">
        <w:t>offset</w:t>
      </w:r>
      <w:r w:rsidR="00177848" w:rsidRPr="00C6052E">
        <w:t xml:space="preserve"> </w:t>
      </w:r>
      <w:r w:rsidRPr="00C6052E">
        <w:t>is</w:t>
      </w:r>
      <w:r w:rsidR="00177848" w:rsidRPr="00C6052E">
        <w:t xml:space="preserve"> </w:t>
      </w:r>
      <w:r w:rsidRPr="00C6052E">
        <w:t>enforceable</w:t>
      </w:r>
      <w:r w:rsidR="00177848" w:rsidRPr="00C6052E">
        <w:t xml:space="preserve"> </w:t>
      </w:r>
      <w:r w:rsidRPr="00C6052E">
        <w:t>only</w:t>
      </w:r>
      <w:r w:rsidR="00177848" w:rsidRPr="00C6052E">
        <w:t xml:space="preserve"> </w:t>
      </w:r>
      <w:r w:rsidRPr="00C6052E">
        <w:t>on</w:t>
      </w:r>
      <w:r w:rsidR="00177848" w:rsidRPr="00C6052E">
        <w:t xml:space="preserve"> </w:t>
      </w:r>
      <w:r w:rsidRPr="00C6052E">
        <w:t>the</w:t>
      </w:r>
      <w:r w:rsidR="00177848" w:rsidRPr="00C6052E">
        <w:t xml:space="preserve"> </w:t>
      </w:r>
      <w:r w:rsidRPr="00C6052E">
        <w:t>occurrence</w:t>
      </w:r>
      <w:r w:rsidR="00177848" w:rsidRPr="00C6052E">
        <w:t xml:space="preserve"> </w:t>
      </w:r>
      <w:r w:rsidRPr="00C6052E">
        <w:t>of</w:t>
      </w:r>
      <w:r w:rsidR="00177848" w:rsidRPr="00C6052E">
        <w:t xml:space="preserve"> </w:t>
      </w:r>
      <w:r w:rsidRPr="00C6052E">
        <w:t>future</w:t>
      </w:r>
      <w:r w:rsidR="00177848" w:rsidRPr="00C6052E">
        <w:t xml:space="preserve"> </w:t>
      </w:r>
      <w:r w:rsidRPr="00C6052E">
        <w:t>events</w:t>
      </w:r>
      <w:r w:rsidR="00177848" w:rsidRPr="00C6052E">
        <w:t xml:space="preserve"> </w:t>
      </w:r>
      <w:r w:rsidRPr="00C6052E">
        <w:t>such</w:t>
      </w:r>
      <w:r w:rsidR="00177848" w:rsidRPr="00C6052E">
        <w:t xml:space="preserve"> </w:t>
      </w:r>
      <w:r w:rsidRPr="00C6052E">
        <w:t>as</w:t>
      </w:r>
      <w:r w:rsidR="00177848" w:rsidRPr="00C6052E">
        <w:t xml:space="preserve"> </w:t>
      </w:r>
      <w:r w:rsidRPr="00C6052E">
        <w:t>default,</w:t>
      </w:r>
      <w:r w:rsidR="00177848" w:rsidRPr="00C6052E">
        <w:t xml:space="preserve"> </w:t>
      </w:r>
      <w:r w:rsidRPr="00C6052E">
        <w:t>insolvency</w:t>
      </w:r>
      <w:r w:rsidR="00177848" w:rsidRPr="00C6052E">
        <w:t xml:space="preserve"> </w:t>
      </w:r>
      <w:r w:rsidRPr="00C6052E">
        <w:t>or</w:t>
      </w:r>
      <w:r w:rsidR="00177848" w:rsidRPr="00C6052E">
        <w:t xml:space="preserve"> </w:t>
      </w:r>
      <w:r w:rsidRPr="00C6052E">
        <w:t>bankruptcy,</w:t>
      </w:r>
      <w:r w:rsidR="00177848" w:rsidRPr="00C6052E">
        <w:t xml:space="preserve"> </w:t>
      </w:r>
      <w:r w:rsidRPr="00C6052E">
        <w:t>they</w:t>
      </w:r>
      <w:r w:rsidR="00177848" w:rsidRPr="00C6052E">
        <w:t xml:space="preserve"> </w:t>
      </w:r>
      <w:r w:rsidRPr="00C6052E">
        <w:t>are</w:t>
      </w:r>
      <w:r w:rsidR="00177848" w:rsidRPr="00C6052E">
        <w:t xml:space="preserve"> </w:t>
      </w:r>
      <w:r w:rsidRPr="00C6052E">
        <w:t>reported</w:t>
      </w:r>
      <w:r w:rsidR="00177848" w:rsidRPr="00C6052E">
        <w:t xml:space="preserve"> </w:t>
      </w:r>
      <w:r w:rsidRPr="00C6052E">
        <w:t>on</w:t>
      </w:r>
      <w:r w:rsidR="00177848" w:rsidRPr="00C6052E">
        <w:t xml:space="preserve"> </w:t>
      </w:r>
      <w:r w:rsidRPr="00C6052E">
        <w:t>a</w:t>
      </w:r>
      <w:r w:rsidR="00177848" w:rsidRPr="00C6052E">
        <w:t xml:space="preserve"> </w:t>
      </w:r>
      <w:r w:rsidRPr="00C6052E">
        <w:t>gross</w:t>
      </w:r>
      <w:r w:rsidR="00177848" w:rsidRPr="00C6052E">
        <w:t xml:space="preserve"> </w:t>
      </w:r>
      <w:r w:rsidRPr="00C6052E">
        <w:t>basis.</w:t>
      </w:r>
    </w:p>
    <w:p w14:paraId="3653FE02" w14:textId="2C2651B7" w:rsidR="00EE5BB8" w:rsidRPr="00C6052E" w:rsidRDefault="00EE5BB8" w:rsidP="0028635E">
      <w:pPr>
        <w:pStyle w:val="Normalbeforebullets"/>
      </w:pPr>
      <w:r w:rsidRPr="00C6052E">
        <w:rPr>
          <w:rStyle w:val="Medium"/>
        </w:rPr>
        <w:lastRenderedPageBreak/>
        <w:t>Derecognition</w:t>
      </w:r>
      <w:r w:rsidR="00177848" w:rsidRPr="00C6052E">
        <w:rPr>
          <w:rStyle w:val="Medium"/>
        </w:rPr>
        <w:t xml:space="preserve"> </w:t>
      </w:r>
      <w:r w:rsidRPr="00C6052E">
        <w:rPr>
          <w:rStyle w:val="Medium"/>
        </w:rPr>
        <w:t>of</w:t>
      </w:r>
      <w:r w:rsidR="00177848" w:rsidRPr="00C6052E">
        <w:rPr>
          <w:rStyle w:val="Medium"/>
        </w:rPr>
        <w:t xml:space="preserve"> </w:t>
      </w:r>
      <w:r w:rsidRPr="00C6052E">
        <w:rPr>
          <w:rStyle w:val="Medium"/>
        </w:rPr>
        <w:t>financial</w:t>
      </w:r>
      <w:r w:rsidR="00177848" w:rsidRPr="00C6052E">
        <w:rPr>
          <w:rStyle w:val="Medium"/>
        </w:rPr>
        <w:t xml:space="preserve"> </w:t>
      </w:r>
      <w:r w:rsidRPr="00C6052E">
        <w:rPr>
          <w:rStyle w:val="Medium"/>
        </w:rPr>
        <w:t>assets</w:t>
      </w:r>
      <w:r w:rsidR="00177848" w:rsidRPr="00C6052E">
        <w:rPr>
          <w:rStyle w:val="Medium"/>
        </w:rPr>
        <w:t xml:space="preserve"> </w:t>
      </w:r>
      <w:r w:rsidRPr="00C6052E">
        <w:rPr>
          <w:rStyle w:val="Medium"/>
        </w:rPr>
        <w:br/>
      </w:r>
      <w:r w:rsidRPr="00C6052E">
        <w:t>A</w:t>
      </w:r>
      <w:r w:rsidR="00177848" w:rsidRPr="00C6052E">
        <w:t xml:space="preserve"> </w:t>
      </w:r>
      <w:r w:rsidRPr="00C6052E">
        <w:t>financial</w:t>
      </w:r>
      <w:r w:rsidR="00177848" w:rsidRPr="00C6052E">
        <w:t xml:space="preserve"> </w:t>
      </w:r>
      <w:r w:rsidRPr="00C6052E">
        <w:t>asset</w:t>
      </w:r>
      <w:r w:rsidR="00177848" w:rsidRPr="00C6052E">
        <w:t xml:space="preserve"> </w:t>
      </w:r>
      <w:r w:rsidRPr="00C6052E">
        <w:t>(or,</w:t>
      </w:r>
      <w:r w:rsidR="00177848" w:rsidRPr="00C6052E">
        <w:t xml:space="preserve"> </w:t>
      </w:r>
      <w:r w:rsidRPr="00C6052E">
        <w:t>where</w:t>
      </w:r>
      <w:r w:rsidR="00177848" w:rsidRPr="00C6052E">
        <w:t xml:space="preserve"> </w:t>
      </w:r>
      <w:r w:rsidRPr="00C6052E">
        <w:t>applicable,</w:t>
      </w:r>
      <w:r w:rsidR="00177848" w:rsidRPr="00C6052E">
        <w:t xml:space="preserve"> </w:t>
      </w:r>
      <w:r w:rsidRPr="00C6052E">
        <w:t>a</w:t>
      </w:r>
      <w:r w:rsidR="00177848" w:rsidRPr="00C6052E">
        <w:t xml:space="preserve"> </w:t>
      </w:r>
      <w:r w:rsidRPr="00C6052E">
        <w:t>part</w:t>
      </w:r>
      <w:r w:rsidR="00177848" w:rsidRPr="00C6052E">
        <w:t xml:space="preserve"> </w:t>
      </w:r>
      <w:r w:rsidRPr="00C6052E">
        <w:t>of</w:t>
      </w:r>
      <w:r w:rsidR="00177848" w:rsidRPr="00C6052E">
        <w:t xml:space="preserve"> </w:t>
      </w:r>
      <w:r w:rsidRPr="00C6052E">
        <w:t>a</w:t>
      </w:r>
      <w:r w:rsidR="00177848" w:rsidRPr="00C6052E">
        <w:t xml:space="preserve"> </w:t>
      </w:r>
      <w:r w:rsidRPr="00C6052E">
        <w:t>financial</w:t>
      </w:r>
      <w:r w:rsidR="00177848" w:rsidRPr="00C6052E">
        <w:t xml:space="preserve"> </w:t>
      </w:r>
      <w:r w:rsidRPr="00C6052E">
        <w:t>asset</w:t>
      </w:r>
      <w:r w:rsidR="00177848" w:rsidRPr="00C6052E">
        <w:t xml:space="preserve"> </w:t>
      </w:r>
      <w:r w:rsidRPr="00C6052E">
        <w:t>or</w:t>
      </w:r>
      <w:r w:rsidR="00177848" w:rsidRPr="00C6052E">
        <w:t xml:space="preserve"> </w:t>
      </w:r>
      <w:r w:rsidRPr="00C6052E">
        <w:t>part</w:t>
      </w:r>
      <w:r w:rsidR="00177848" w:rsidRPr="00C6052E">
        <w:t xml:space="preserve"> </w:t>
      </w:r>
      <w:r w:rsidRPr="00C6052E">
        <w:t>of</w:t>
      </w:r>
      <w:r w:rsidR="00177848" w:rsidRPr="00C6052E">
        <w:t xml:space="preserve"> </w:t>
      </w:r>
      <w:r w:rsidRPr="00C6052E">
        <w:t>a</w:t>
      </w:r>
      <w:r w:rsidR="00177848" w:rsidRPr="00C6052E">
        <w:t xml:space="preserve"> </w:t>
      </w:r>
      <w:r w:rsidRPr="00C6052E">
        <w:t>group</w:t>
      </w:r>
      <w:r w:rsidR="00177848" w:rsidRPr="00C6052E">
        <w:t xml:space="preserve"> </w:t>
      </w:r>
      <w:r w:rsidRPr="00C6052E">
        <w:t>of</w:t>
      </w:r>
      <w:r w:rsidR="00177848" w:rsidRPr="00C6052E">
        <w:t xml:space="preserve"> </w:t>
      </w:r>
      <w:r w:rsidRPr="00C6052E">
        <w:t>similar</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is</w:t>
      </w:r>
      <w:r w:rsidR="00177848" w:rsidRPr="00C6052E">
        <w:t xml:space="preserve"> </w:t>
      </w:r>
      <w:r w:rsidRPr="00C6052E">
        <w:t>derecognised</w:t>
      </w:r>
      <w:r w:rsidR="00177848" w:rsidRPr="00C6052E">
        <w:t xml:space="preserve"> </w:t>
      </w:r>
      <w:r w:rsidRPr="00C6052E">
        <w:t>when:</w:t>
      </w:r>
    </w:p>
    <w:p w14:paraId="4F4471BC" w14:textId="0F2F31F5" w:rsidR="00EE5BB8" w:rsidRPr="00C6052E" w:rsidRDefault="00EE5BB8" w:rsidP="00EE5BB8">
      <w:pPr>
        <w:pStyle w:val="Bullet1"/>
        <w:numPr>
          <w:ilvl w:val="0"/>
          <w:numId w:val="1"/>
        </w:numPr>
        <w:spacing w:line="278" w:lineRule="auto"/>
        <w:ind w:left="284" w:hanging="284"/>
        <w:rPr>
          <w:lang w:val="en-AU"/>
        </w:rPr>
      </w:pPr>
      <w:r w:rsidRPr="00C6052E">
        <w:rPr>
          <w:lang w:val="en-AU"/>
        </w:rPr>
        <w:t>the</w:t>
      </w:r>
      <w:r w:rsidR="00177848" w:rsidRPr="00C6052E">
        <w:rPr>
          <w:lang w:val="en-AU"/>
        </w:rPr>
        <w:t xml:space="preserve"> </w:t>
      </w:r>
      <w:r w:rsidRPr="00C6052E">
        <w:rPr>
          <w:lang w:val="en-AU"/>
        </w:rPr>
        <w:t>rights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receive</w:t>
      </w:r>
      <w:r w:rsidR="00177848" w:rsidRPr="00C6052E">
        <w:rPr>
          <w:lang w:val="en-AU"/>
        </w:rPr>
        <w:t xml:space="preserve"> </w:t>
      </w:r>
      <w:r w:rsidRPr="00C6052E">
        <w:rPr>
          <w:lang w:val="en-AU"/>
        </w:rPr>
        <w:t>cash</w:t>
      </w:r>
      <w:r w:rsidR="00177848" w:rsidRPr="00C6052E">
        <w:rPr>
          <w:lang w:val="en-AU"/>
        </w:rPr>
        <w:t xml:space="preserve"> </w:t>
      </w:r>
      <w:r w:rsidRPr="00C6052E">
        <w:rPr>
          <w:lang w:val="en-AU"/>
        </w:rPr>
        <w:t>flows</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asset</w:t>
      </w:r>
      <w:r w:rsidR="00177848" w:rsidRPr="00C6052E">
        <w:rPr>
          <w:lang w:val="en-AU"/>
        </w:rPr>
        <w:t xml:space="preserve"> </w:t>
      </w:r>
      <w:r w:rsidRPr="00C6052E">
        <w:rPr>
          <w:lang w:val="en-AU"/>
        </w:rPr>
        <w:t>have</w:t>
      </w:r>
      <w:r w:rsidR="00177848" w:rsidRPr="00C6052E">
        <w:rPr>
          <w:lang w:val="en-AU"/>
        </w:rPr>
        <w:t xml:space="preserve"> </w:t>
      </w:r>
      <w:r w:rsidRPr="00C6052E">
        <w:rPr>
          <w:lang w:val="en-AU"/>
        </w:rPr>
        <w:t>expired;</w:t>
      </w:r>
      <w:r w:rsidR="00177848" w:rsidRPr="00C6052E">
        <w:rPr>
          <w:lang w:val="en-AU"/>
        </w:rPr>
        <w:t xml:space="preserve"> </w:t>
      </w:r>
      <w:r w:rsidRPr="00C6052E">
        <w:rPr>
          <w:lang w:val="en-AU"/>
        </w:rPr>
        <w:t>or</w:t>
      </w:r>
    </w:p>
    <w:p w14:paraId="0FCC1F6D" w14:textId="5587D7AD" w:rsidR="00EE5BB8" w:rsidRPr="00C6052E" w:rsidRDefault="00EE5BB8" w:rsidP="00EE5BB8">
      <w:pPr>
        <w:pStyle w:val="Bullet1"/>
        <w:numPr>
          <w:ilvl w:val="0"/>
          <w:numId w:val="1"/>
        </w:numPr>
        <w:spacing w:line="278" w:lineRule="auto"/>
        <w:ind w:left="284" w:hanging="284"/>
        <w:rPr>
          <w:lang w:val="en-AU"/>
        </w:rPr>
      </w:pPr>
      <w:r w:rsidRPr="00C6052E">
        <w:rPr>
          <w:lang w:val="en-AU"/>
        </w:rPr>
        <w:t>DJSIR</w:t>
      </w:r>
      <w:r w:rsidR="00177848" w:rsidRPr="00C6052E">
        <w:rPr>
          <w:lang w:val="en-AU"/>
        </w:rPr>
        <w:t xml:space="preserve"> </w:t>
      </w:r>
      <w:r w:rsidRPr="00C6052E">
        <w:rPr>
          <w:lang w:val="en-AU"/>
        </w:rPr>
        <w:t>retains</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right</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receive</w:t>
      </w:r>
      <w:r w:rsidR="00177848" w:rsidRPr="00C6052E">
        <w:rPr>
          <w:lang w:val="en-AU"/>
        </w:rPr>
        <w:t xml:space="preserve"> </w:t>
      </w:r>
      <w:r w:rsidRPr="00C6052E">
        <w:rPr>
          <w:lang w:val="en-AU"/>
        </w:rPr>
        <w:t>cash</w:t>
      </w:r>
      <w:r w:rsidR="00177848" w:rsidRPr="00C6052E">
        <w:rPr>
          <w:lang w:val="en-AU"/>
        </w:rPr>
        <w:t xml:space="preserve"> </w:t>
      </w:r>
      <w:r w:rsidRPr="00C6052E">
        <w:rPr>
          <w:lang w:val="en-AU"/>
        </w:rPr>
        <w:t>flows</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asset,</w:t>
      </w:r>
      <w:r w:rsidR="00177848" w:rsidRPr="00C6052E">
        <w:rPr>
          <w:lang w:val="en-AU"/>
        </w:rPr>
        <w:t xml:space="preserve"> </w:t>
      </w:r>
      <w:r w:rsidRPr="00C6052E">
        <w:rPr>
          <w:lang w:val="en-AU"/>
        </w:rPr>
        <w:t>but</w:t>
      </w:r>
      <w:r w:rsidR="00177848" w:rsidRPr="00C6052E">
        <w:rPr>
          <w:lang w:val="en-AU"/>
        </w:rPr>
        <w:t xml:space="preserve"> </w:t>
      </w:r>
      <w:r w:rsidRPr="00C6052E">
        <w:rPr>
          <w:lang w:val="en-AU"/>
        </w:rPr>
        <w:t>has</w:t>
      </w:r>
      <w:r w:rsidR="00177848" w:rsidRPr="00C6052E">
        <w:rPr>
          <w:lang w:val="en-AU"/>
        </w:rPr>
        <w:t xml:space="preserve"> </w:t>
      </w:r>
      <w:r w:rsidRPr="00C6052E">
        <w:rPr>
          <w:lang w:val="en-AU"/>
        </w:rPr>
        <w:t>assumed</w:t>
      </w:r>
      <w:r w:rsidR="00177848" w:rsidRPr="00C6052E">
        <w:rPr>
          <w:lang w:val="en-AU"/>
        </w:rPr>
        <w:t xml:space="preserve"> </w:t>
      </w:r>
      <w:r w:rsidRPr="00C6052E">
        <w:rPr>
          <w:lang w:val="en-AU"/>
        </w:rPr>
        <w:t>an</w:t>
      </w:r>
      <w:r w:rsidR="00177848" w:rsidRPr="00C6052E">
        <w:rPr>
          <w:lang w:val="en-AU"/>
        </w:rPr>
        <w:t xml:space="preserve"> </w:t>
      </w:r>
      <w:r w:rsidRPr="00C6052E">
        <w:rPr>
          <w:lang w:val="en-AU"/>
        </w:rPr>
        <w:t>obligation</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pay</w:t>
      </w:r>
      <w:r w:rsidR="00177848" w:rsidRPr="00C6052E">
        <w:rPr>
          <w:lang w:val="en-AU"/>
        </w:rPr>
        <w:t xml:space="preserve"> </w:t>
      </w:r>
      <w:r w:rsidRPr="00C6052E">
        <w:rPr>
          <w:lang w:val="en-AU"/>
        </w:rPr>
        <w:t>them</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full</w:t>
      </w:r>
      <w:r w:rsidR="00177848" w:rsidRPr="00C6052E">
        <w:rPr>
          <w:lang w:val="en-AU"/>
        </w:rPr>
        <w:t xml:space="preserve"> </w:t>
      </w:r>
      <w:r w:rsidRPr="00C6052E">
        <w:rPr>
          <w:lang w:val="en-AU"/>
        </w:rPr>
        <w:t>without</w:t>
      </w:r>
      <w:r w:rsidR="00177848" w:rsidRPr="00C6052E">
        <w:rPr>
          <w:lang w:val="en-AU"/>
        </w:rPr>
        <w:t xml:space="preserve"> </w:t>
      </w:r>
      <w:r w:rsidRPr="00C6052E">
        <w:rPr>
          <w:lang w:val="en-AU"/>
        </w:rPr>
        <w:t>material</w:t>
      </w:r>
      <w:r w:rsidR="00177848" w:rsidRPr="00C6052E">
        <w:rPr>
          <w:lang w:val="en-AU"/>
        </w:rPr>
        <w:t xml:space="preserve"> </w:t>
      </w:r>
      <w:r w:rsidRPr="00C6052E">
        <w:rPr>
          <w:lang w:val="en-AU"/>
        </w:rPr>
        <w:t>delay</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a</w:t>
      </w:r>
      <w:r w:rsidR="00177848" w:rsidRPr="00C6052E">
        <w:rPr>
          <w:lang w:val="en-AU"/>
        </w:rPr>
        <w:t xml:space="preserve"> </w:t>
      </w:r>
      <w:r w:rsidRPr="00C6052E">
        <w:rPr>
          <w:lang w:val="en-AU"/>
        </w:rPr>
        <w:t>third</w:t>
      </w:r>
      <w:r w:rsidR="00177848" w:rsidRPr="00C6052E">
        <w:rPr>
          <w:lang w:val="en-AU"/>
        </w:rPr>
        <w:t xml:space="preserve"> </w:t>
      </w:r>
      <w:r w:rsidRPr="00C6052E">
        <w:rPr>
          <w:lang w:val="en-AU"/>
        </w:rPr>
        <w:t>party</w:t>
      </w:r>
      <w:r w:rsidR="00177848" w:rsidRPr="00C6052E">
        <w:rPr>
          <w:lang w:val="en-AU"/>
        </w:rPr>
        <w:t xml:space="preserve"> </w:t>
      </w:r>
      <w:r w:rsidRPr="00C6052E">
        <w:rPr>
          <w:lang w:val="en-AU"/>
        </w:rPr>
        <w:t>under</w:t>
      </w:r>
      <w:r w:rsidR="00177848" w:rsidRPr="00C6052E">
        <w:rPr>
          <w:lang w:val="en-AU"/>
        </w:rPr>
        <w:t xml:space="preserve"> </w:t>
      </w:r>
      <w:r w:rsidRPr="00C6052E">
        <w:rPr>
          <w:lang w:val="en-AU"/>
        </w:rPr>
        <w:t>a</w:t>
      </w:r>
      <w:r w:rsidR="00177848" w:rsidRPr="00C6052E">
        <w:rPr>
          <w:lang w:val="en-AU"/>
        </w:rPr>
        <w:t xml:space="preserve"> </w:t>
      </w:r>
      <w:r w:rsidRPr="00C6052E">
        <w:rPr>
          <w:lang w:val="en-AU"/>
        </w:rPr>
        <w:t>‘pass</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arrangement;</w:t>
      </w:r>
      <w:r w:rsidR="00177848" w:rsidRPr="00C6052E">
        <w:rPr>
          <w:lang w:val="en-AU"/>
        </w:rPr>
        <w:t xml:space="preserve"> </w:t>
      </w:r>
      <w:r w:rsidRPr="00C6052E">
        <w:rPr>
          <w:lang w:val="en-AU"/>
        </w:rPr>
        <w:t>or</w:t>
      </w:r>
    </w:p>
    <w:p w14:paraId="24DE622E" w14:textId="0B5D6A2A" w:rsidR="00EE5BB8" w:rsidRPr="00C6052E" w:rsidRDefault="00EE5BB8" w:rsidP="00EE5BB8">
      <w:pPr>
        <w:pStyle w:val="Bullet1"/>
        <w:numPr>
          <w:ilvl w:val="0"/>
          <w:numId w:val="1"/>
        </w:numPr>
        <w:spacing w:line="278" w:lineRule="auto"/>
        <w:ind w:left="284" w:hanging="284"/>
        <w:rPr>
          <w:lang w:val="en-AU"/>
        </w:rPr>
      </w:pPr>
      <w:r w:rsidRPr="00C6052E">
        <w:rPr>
          <w:lang w:val="en-AU"/>
        </w:rPr>
        <w:t>DJSIR</w:t>
      </w:r>
      <w:r w:rsidR="00177848" w:rsidRPr="00C6052E">
        <w:rPr>
          <w:lang w:val="en-AU"/>
        </w:rPr>
        <w:t xml:space="preserve"> </w:t>
      </w:r>
      <w:r w:rsidRPr="00C6052E">
        <w:rPr>
          <w:lang w:val="en-AU"/>
        </w:rPr>
        <w:t>has</w:t>
      </w:r>
      <w:r w:rsidR="00177848" w:rsidRPr="00C6052E">
        <w:rPr>
          <w:lang w:val="en-AU"/>
        </w:rPr>
        <w:t xml:space="preserve"> </w:t>
      </w:r>
      <w:r w:rsidRPr="00C6052E">
        <w:rPr>
          <w:lang w:val="en-AU"/>
        </w:rPr>
        <w:t>transferred</w:t>
      </w:r>
      <w:r w:rsidR="00177848" w:rsidRPr="00C6052E">
        <w:rPr>
          <w:lang w:val="en-AU"/>
        </w:rPr>
        <w:t xml:space="preserve"> </w:t>
      </w:r>
      <w:r w:rsidRPr="00C6052E">
        <w:rPr>
          <w:lang w:val="en-AU"/>
        </w:rPr>
        <w:t>its</w:t>
      </w:r>
      <w:r w:rsidR="00177848" w:rsidRPr="00C6052E">
        <w:rPr>
          <w:lang w:val="en-AU"/>
        </w:rPr>
        <w:t xml:space="preserve"> </w:t>
      </w:r>
      <w:r w:rsidRPr="00C6052E">
        <w:rPr>
          <w:lang w:val="en-AU"/>
        </w:rPr>
        <w:t>rights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receive</w:t>
      </w:r>
      <w:r w:rsidR="00177848" w:rsidRPr="00C6052E">
        <w:rPr>
          <w:lang w:val="en-AU"/>
        </w:rPr>
        <w:t xml:space="preserve"> </w:t>
      </w:r>
      <w:r w:rsidRPr="00C6052E">
        <w:rPr>
          <w:lang w:val="en-AU"/>
        </w:rPr>
        <w:t>cash</w:t>
      </w:r>
      <w:r w:rsidR="00177848" w:rsidRPr="00C6052E">
        <w:rPr>
          <w:lang w:val="en-AU"/>
        </w:rPr>
        <w:t xml:space="preserve"> </w:t>
      </w:r>
      <w:r w:rsidRPr="00C6052E">
        <w:rPr>
          <w:lang w:val="en-AU"/>
        </w:rPr>
        <w:t>flows</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asset</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either:</w:t>
      </w:r>
    </w:p>
    <w:p w14:paraId="0269406D" w14:textId="5D067214" w:rsidR="00EE5BB8" w:rsidRPr="00C6052E" w:rsidRDefault="00EE5BB8" w:rsidP="00EE5BB8">
      <w:pPr>
        <w:pStyle w:val="Bulleta"/>
        <w:numPr>
          <w:ilvl w:val="0"/>
          <w:numId w:val="30"/>
        </w:numPr>
        <w:ind w:left="568"/>
      </w:pPr>
      <w:r w:rsidRPr="00C6052E">
        <w:t>has</w:t>
      </w:r>
      <w:r w:rsidR="00177848" w:rsidRPr="00C6052E">
        <w:t xml:space="preserve"> </w:t>
      </w:r>
      <w:r w:rsidRPr="00C6052E">
        <w:t>transferred</w:t>
      </w:r>
      <w:r w:rsidR="00177848" w:rsidRPr="00C6052E">
        <w:t xml:space="preserve"> </w:t>
      </w:r>
      <w:r w:rsidRPr="00C6052E">
        <w:t>substantially</w:t>
      </w:r>
      <w:r w:rsidR="00177848" w:rsidRPr="00C6052E">
        <w:t xml:space="preserve"> </w:t>
      </w:r>
      <w:r w:rsidRPr="00C6052E">
        <w:t>all</w:t>
      </w:r>
      <w:r w:rsidR="00177848" w:rsidRPr="00C6052E">
        <w:t xml:space="preserve"> </w:t>
      </w:r>
      <w:r w:rsidRPr="00C6052E">
        <w:t>the</w:t>
      </w:r>
      <w:r w:rsidR="00177848" w:rsidRPr="00C6052E">
        <w:t xml:space="preserve"> </w:t>
      </w:r>
      <w:r w:rsidRPr="00C6052E">
        <w:t>risks</w:t>
      </w:r>
      <w:r w:rsidR="00177848" w:rsidRPr="00C6052E">
        <w:t xml:space="preserve"> </w:t>
      </w:r>
      <w:r w:rsidRPr="00C6052E">
        <w:t>and</w:t>
      </w:r>
      <w:r w:rsidR="00177848" w:rsidRPr="00C6052E">
        <w:t xml:space="preserve"> </w:t>
      </w:r>
      <w:r w:rsidRPr="00C6052E">
        <w:t>rewards</w:t>
      </w:r>
      <w:r w:rsidR="00177848" w:rsidRPr="00C6052E">
        <w:t xml:space="preserve"> </w:t>
      </w:r>
      <w:r w:rsidRPr="00C6052E">
        <w:t>of</w:t>
      </w:r>
      <w:r w:rsidR="00177848" w:rsidRPr="00C6052E">
        <w:t xml:space="preserve"> </w:t>
      </w:r>
      <w:r w:rsidRPr="00C6052E">
        <w:t>the</w:t>
      </w:r>
      <w:r w:rsidR="00177848" w:rsidRPr="00C6052E">
        <w:t xml:space="preserve"> </w:t>
      </w:r>
      <w:r w:rsidRPr="00C6052E">
        <w:t>asset;</w:t>
      </w:r>
      <w:r w:rsidR="00177848" w:rsidRPr="00C6052E">
        <w:t xml:space="preserve"> </w:t>
      </w:r>
      <w:r w:rsidRPr="00C6052E">
        <w:t>or</w:t>
      </w:r>
    </w:p>
    <w:p w14:paraId="1AD9548A" w14:textId="0F66B4B8" w:rsidR="00EE5BB8" w:rsidRPr="00C6052E" w:rsidRDefault="00EE5BB8" w:rsidP="00EE5BB8">
      <w:pPr>
        <w:pStyle w:val="Bulleta"/>
        <w:spacing w:after="170"/>
        <w:ind w:left="568" w:hanging="284"/>
      </w:pPr>
      <w:r w:rsidRPr="00C6052E">
        <w:t>has</w:t>
      </w:r>
      <w:r w:rsidR="00177848" w:rsidRPr="00C6052E">
        <w:t xml:space="preserve"> </w:t>
      </w:r>
      <w:r w:rsidRPr="00C6052E">
        <w:t>neither</w:t>
      </w:r>
      <w:r w:rsidR="00177848" w:rsidRPr="00C6052E">
        <w:t xml:space="preserve"> </w:t>
      </w:r>
      <w:r w:rsidRPr="00C6052E">
        <w:t>transferred</w:t>
      </w:r>
      <w:r w:rsidR="00177848" w:rsidRPr="00C6052E">
        <w:t xml:space="preserve"> </w:t>
      </w:r>
      <w:r w:rsidRPr="00C6052E">
        <w:t>nor</w:t>
      </w:r>
      <w:r w:rsidR="00177848" w:rsidRPr="00C6052E">
        <w:t xml:space="preserve"> </w:t>
      </w:r>
      <w:r w:rsidRPr="00C6052E">
        <w:t>retained</w:t>
      </w:r>
      <w:r w:rsidR="00177848" w:rsidRPr="00C6052E">
        <w:t xml:space="preserve"> </w:t>
      </w:r>
      <w:r w:rsidRPr="00C6052E">
        <w:t>substantially</w:t>
      </w:r>
      <w:r w:rsidR="00177848" w:rsidRPr="00C6052E">
        <w:t xml:space="preserve"> </w:t>
      </w:r>
      <w:r w:rsidRPr="00C6052E">
        <w:t>all</w:t>
      </w:r>
      <w:r w:rsidR="00177848" w:rsidRPr="00C6052E">
        <w:t xml:space="preserve"> </w:t>
      </w:r>
      <w:r w:rsidRPr="00C6052E">
        <w:t>the</w:t>
      </w:r>
      <w:r w:rsidR="00177848" w:rsidRPr="00C6052E">
        <w:t xml:space="preserve"> </w:t>
      </w:r>
      <w:r w:rsidRPr="00C6052E">
        <w:t>risks</w:t>
      </w:r>
      <w:r w:rsidR="00177848" w:rsidRPr="00C6052E">
        <w:t xml:space="preserve"> </w:t>
      </w:r>
      <w:r w:rsidRPr="00C6052E">
        <w:t>and</w:t>
      </w:r>
      <w:r w:rsidR="00177848" w:rsidRPr="00C6052E">
        <w:t xml:space="preserve"> </w:t>
      </w:r>
      <w:r w:rsidRPr="00C6052E">
        <w:t>rewards</w:t>
      </w:r>
      <w:r w:rsidR="00177848" w:rsidRPr="00C6052E">
        <w:t xml:space="preserve"> </w:t>
      </w:r>
      <w:r w:rsidRPr="00C6052E">
        <w:t>of</w:t>
      </w:r>
      <w:r w:rsidR="00177848" w:rsidRPr="00C6052E">
        <w:t xml:space="preserve"> </w:t>
      </w:r>
      <w:r w:rsidRPr="00C6052E">
        <w:t>the</w:t>
      </w:r>
      <w:r w:rsidR="00177848" w:rsidRPr="00C6052E">
        <w:t xml:space="preserve"> </w:t>
      </w:r>
      <w:r w:rsidRPr="00C6052E">
        <w:t>asset</w:t>
      </w:r>
      <w:r w:rsidR="00177848" w:rsidRPr="00C6052E">
        <w:t xml:space="preserve"> </w:t>
      </w:r>
      <w:r w:rsidRPr="00C6052E">
        <w:t>but</w:t>
      </w:r>
      <w:r w:rsidR="00177848" w:rsidRPr="00C6052E">
        <w:t xml:space="preserve"> </w:t>
      </w:r>
      <w:r w:rsidRPr="00C6052E">
        <w:t>has</w:t>
      </w:r>
      <w:r w:rsidR="00177848" w:rsidRPr="00C6052E">
        <w:t xml:space="preserve"> </w:t>
      </w:r>
      <w:r w:rsidRPr="00C6052E">
        <w:t>transferred</w:t>
      </w:r>
      <w:r w:rsidR="00177848" w:rsidRPr="00C6052E">
        <w:t xml:space="preserve"> </w:t>
      </w:r>
      <w:r w:rsidRPr="00C6052E">
        <w:t>control</w:t>
      </w:r>
      <w:r w:rsidR="00177848" w:rsidRPr="00C6052E">
        <w:t xml:space="preserve"> </w:t>
      </w:r>
      <w:r w:rsidRPr="00C6052E">
        <w:t>of</w:t>
      </w:r>
      <w:r w:rsidR="00177848" w:rsidRPr="00C6052E">
        <w:t xml:space="preserve"> </w:t>
      </w:r>
      <w:r w:rsidRPr="00C6052E">
        <w:t>the</w:t>
      </w:r>
      <w:r w:rsidR="00177848" w:rsidRPr="00C6052E">
        <w:t xml:space="preserve"> </w:t>
      </w:r>
      <w:r w:rsidRPr="00C6052E">
        <w:t>asset.</w:t>
      </w:r>
    </w:p>
    <w:p w14:paraId="1E8CFBCB" w14:textId="34E3AC1C" w:rsidR="00EE5BB8" w:rsidRPr="00C6052E" w:rsidRDefault="00EE5BB8" w:rsidP="00EE5BB8">
      <w:r w:rsidRPr="00C6052E">
        <w:t>Where</w:t>
      </w:r>
      <w:r w:rsidR="00177848" w:rsidRPr="00C6052E">
        <w:t xml:space="preserve"> </w:t>
      </w:r>
      <w:r w:rsidRPr="00C6052E">
        <w:t>DJSIR</w:t>
      </w:r>
      <w:r w:rsidR="00177848" w:rsidRPr="00C6052E">
        <w:t xml:space="preserve"> </w:t>
      </w:r>
      <w:r w:rsidRPr="00C6052E">
        <w:t>has</w:t>
      </w:r>
      <w:r w:rsidR="00177848" w:rsidRPr="00C6052E">
        <w:t xml:space="preserve"> </w:t>
      </w:r>
      <w:r w:rsidRPr="00C6052E">
        <w:t>neither</w:t>
      </w:r>
      <w:r w:rsidR="00177848" w:rsidRPr="00C6052E">
        <w:t xml:space="preserve"> </w:t>
      </w:r>
      <w:r w:rsidRPr="00C6052E">
        <w:t>transferred</w:t>
      </w:r>
      <w:r w:rsidR="00177848" w:rsidRPr="00C6052E">
        <w:t xml:space="preserve"> </w:t>
      </w:r>
      <w:r w:rsidRPr="00C6052E">
        <w:t>nor</w:t>
      </w:r>
      <w:r w:rsidR="00177848" w:rsidRPr="00C6052E">
        <w:t xml:space="preserve"> </w:t>
      </w:r>
      <w:r w:rsidRPr="00C6052E">
        <w:t>retained</w:t>
      </w:r>
      <w:r w:rsidR="00177848" w:rsidRPr="00C6052E">
        <w:t xml:space="preserve"> </w:t>
      </w:r>
      <w:r w:rsidRPr="00C6052E">
        <w:t>substantially</w:t>
      </w:r>
      <w:r w:rsidR="00177848" w:rsidRPr="00C6052E">
        <w:t xml:space="preserve"> </w:t>
      </w:r>
      <w:r w:rsidRPr="00C6052E">
        <w:t>all</w:t>
      </w:r>
      <w:r w:rsidR="00177848" w:rsidRPr="00C6052E">
        <w:t xml:space="preserve"> </w:t>
      </w:r>
      <w:r w:rsidRPr="00C6052E">
        <w:t>the</w:t>
      </w:r>
      <w:r w:rsidR="00177848" w:rsidRPr="00C6052E">
        <w:t xml:space="preserve"> </w:t>
      </w:r>
      <w:r w:rsidRPr="00C6052E">
        <w:t>risks</w:t>
      </w:r>
      <w:r w:rsidR="00177848" w:rsidRPr="00C6052E">
        <w:t xml:space="preserve"> </w:t>
      </w:r>
      <w:r w:rsidRPr="00C6052E">
        <w:t>and</w:t>
      </w:r>
      <w:r w:rsidR="00177848" w:rsidRPr="00C6052E">
        <w:t xml:space="preserve"> </w:t>
      </w:r>
      <w:r w:rsidRPr="00C6052E">
        <w:t>rewards</w:t>
      </w:r>
      <w:r w:rsidR="00177848" w:rsidRPr="00C6052E">
        <w:t xml:space="preserve"> </w:t>
      </w:r>
      <w:r w:rsidRPr="00C6052E">
        <w:t>or</w:t>
      </w:r>
      <w:r w:rsidR="00177848" w:rsidRPr="00C6052E">
        <w:t xml:space="preserve"> </w:t>
      </w:r>
      <w:r w:rsidRPr="00C6052E">
        <w:t>transferred</w:t>
      </w:r>
      <w:r w:rsidR="00177848" w:rsidRPr="00C6052E">
        <w:t xml:space="preserve"> </w:t>
      </w:r>
      <w:r w:rsidRPr="00C6052E">
        <w:t>control,</w:t>
      </w:r>
      <w:r w:rsidR="00177848" w:rsidRPr="00C6052E">
        <w:t xml:space="preserve"> </w:t>
      </w:r>
      <w:r w:rsidRPr="00C6052E">
        <w:t>the</w:t>
      </w:r>
      <w:r w:rsidR="00177848" w:rsidRPr="00C6052E">
        <w:t xml:space="preserve"> </w:t>
      </w:r>
      <w:r w:rsidRPr="00C6052E">
        <w:t>asset</w:t>
      </w:r>
      <w:r w:rsidR="00177848" w:rsidRPr="00C6052E">
        <w:t xml:space="preserve"> </w:t>
      </w:r>
      <w:r w:rsidRPr="00C6052E">
        <w:t>is</w:t>
      </w:r>
      <w:r w:rsidR="00177848" w:rsidRPr="00C6052E">
        <w:t xml:space="preserve"> </w:t>
      </w:r>
      <w:r w:rsidRPr="00C6052E">
        <w:t>recognised</w:t>
      </w:r>
      <w:r w:rsidR="00177848" w:rsidRPr="00C6052E">
        <w:t xml:space="preserve"> </w:t>
      </w:r>
      <w:r w:rsidRPr="00C6052E">
        <w:t>to</w:t>
      </w:r>
      <w:r w:rsidR="00177848" w:rsidRPr="00C6052E">
        <w:t xml:space="preserve"> </w:t>
      </w:r>
      <w:r w:rsidRPr="00C6052E">
        <w:t>the</w:t>
      </w:r>
      <w:r w:rsidR="00177848" w:rsidRPr="00C6052E">
        <w:t xml:space="preserve"> </w:t>
      </w:r>
      <w:r w:rsidRPr="00C6052E">
        <w:t>extent</w:t>
      </w:r>
      <w:r w:rsidR="00177848" w:rsidRPr="00C6052E">
        <w:t xml:space="preserve"> </w:t>
      </w:r>
      <w:r w:rsidRPr="00C6052E">
        <w:t>of</w:t>
      </w:r>
      <w:r w:rsidR="00177848" w:rsidRPr="00C6052E">
        <w:t xml:space="preserve"> </w:t>
      </w:r>
      <w:r w:rsidRPr="00C6052E">
        <w:t>DJSIR’s</w:t>
      </w:r>
      <w:r w:rsidR="00177848" w:rsidRPr="00C6052E">
        <w:t xml:space="preserve"> </w:t>
      </w:r>
      <w:r w:rsidRPr="00C6052E">
        <w:t>continuing</w:t>
      </w:r>
      <w:r w:rsidR="00177848" w:rsidRPr="00C6052E">
        <w:t xml:space="preserve"> </w:t>
      </w:r>
      <w:r w:rsidRPr="00C6052E">
        <w:t>involvement</w:t>
      </w:r>
      <w:r w:rsidR="00177848" w:rsidRPr="00C6052E">
        <w:t xml:space="preserve"> </w:t>
      </w:r>
      <w:r w:rsidRPr="00C6052E">
        <w:t>in</w:t>
      </w:r>
      <w:r w:rsidR="00177848" w:rsidRPr="00C6052E">
        <w:t xml:space="preserve"> </w:t>
      </w:r>
      <w:r w:rsidRPr="00C6052E">
        <w:t>the</w:t>
      </w:r>
      <w:r w:rsidR="00177848" w:rsidRPr="00C6052E">
        <w:t xml:space="preserve"> </w:t>
      </w:r>
      <w:r w:rsidRPr="00C6052E">
        <w:t>asset.</w:t>
      </w:r>
    </w:p>
    <w:p w14:paraId="21A45412" w14:textId="71C8717E" w:rsidR="00EE5BB8" w:rsidRPr="00C6052E" w:rsidRDefault="00EE5BB8" w:rsidP="00EE5BB8">
      <w:r w:rsidRPr="00C6052E">
        <w:rPr>
          <w:rStyle w:val="Medium"/>
        </w:rPr>
        <w:t>Derecognition</w:t>
      </w:r>
      <w:r w:rsidR="00177848" w:rsidRPr="00C6052E">
        <w:rPr>
          <w:rStyle w:val="Medium"/>
        </w:rPr>
        <w:t xml:space="preserve"> </w:t>
      </w:r>
      <w:r w:rsidRPr="00C6052E">
        <w:rPr>
          <w:rStyle w:val="Medium"/>
        </w:rPr>
        <w:t>of</w:t>
      </w:r>
      <w:r w:rsidR="00177848" w:rsidRPr="00C6052E">
        <w:rPr>
          <w:rStyle w:val="Medium"/>
        </w:rPr>
        <w:t xml:space="preserve"> </w:t>
      </w:r>
      <w:r w:rsidRPr="00C6052E">
        <w:rPr>
          <w:rStyle w:val="Medium"/>
        </w:rPr>
        <w:t>financial</w:t>
      </w:r>
      <w:r w:rsidR="00177848" w:rsidRPr="00C6052E">
        <w:rPr>
          <w:rStyle w:val="Medium"/>
        </w:rPr>
        <w:t xml:space="preserve"> </w:t>
      </w:r>
      <w:r w:rsidRPr="00C6052E">
        <w:rPr>
          <w:rStyle w:val="Medium"/>
        </w:rPr>
        <w:t>liabilities</w:t>
      </w:r>
      <w:r w:rsidRPr="00C6052E">
        <w:br/>
        <w:t>A</w:t>
      </w:r>
      <w:r w:rsidR="00177848" w:rsidRPr="00C6052E">
        <w:t xml:space="preserve"> </w:t>
      </w:r>
      <w:r w:rsidRPr="00C6052E">
        <w:t>financial</w:t>
      </w:r>
      <w:r w:rsidR="00177848" w:rsidRPr="00C6052E">
        <w:t xml:space="preserve"> </w:t>
      </w:r>
      <w:r w:rsidRPr="00C6052E">
        <w:t>liability</w:t>
      </w:r>
      <w:r w:rsidR="00177848" w:rsidRPr="00C6052E">
        <w:t xml:space="preserve"> </w:t>
      </w:r>
      <w:r w:rsidRPr="00C6052E">
        <w:t>is</w:t>
      </w:r>
      <w:r w:rsidR="00177848" w:rsidRPr="00C6052E">
        <w:t xml:space="preserve"> </w:t>
      </w:r>
      <w:r w:rsidRPr="00C6052E">
        <w:t>derecognised</w:t>
      </w:r>
      <w:r w:rsidR="00177848" w:rsidRPr="00C6052E">
        <w:t xml:space="preserve"> </w:t>
      </w:r>
      <w:r w:rsidRPr="00C6052E">
        <w:t>when</w:t>
      </w:r>
      <w:r w:rsidR="00177848" w:rsidRPr="00C6052E">
        <w:t xml:space="preserve"> </w:t>
      </w:r>
      <w:r w:rsidRPr="00C6052E">
        <w:t>the</w:t>
      </w:r>
      <w:r w:rsidR="00177848" w:rsidRPr="00C6052E">
        <w:t xml:space="preserve"> </w:t>
      </w:r>
      <w:r w:rsidRPr="00C6052E">
        <w:t>obligation</w:t>
      </w:r>
      <w:r w:rsidR="00177848" w:rsidRPr="00C6052E">
        <w:t xml:space="preserve"> </w:t>
      </w:r>
      <w:r w:rsidRPr="00C6052E">
        <w:t>under</w:t>
      </w:r>
      <w:r w:rsidR="00177848" w:rsidRPr="00C6052E">
        <w:t xml:space="preserve"> </w:t>
      </w:r>
      <w:r w:rsidRPr="00C6052E">
        <w:t>the</w:t>
      </w:r>
      <w:r w:rsidR="00177848" w:rsidRPr="00C6052E">
        <w:t xml:space="preserve"> </w:t>
      </w:r>
      <w:r w:rsidRPr="00C6052E">
        <w:t>liability</w:t>
      </w:r>
      <w:r w:rsidR="00177848" w:rsidRPr="00C6052E">
        <w:t xml:space="preserve"> </w:t>
      </w:r>
      <w:r w:rsidRPr="00C6052E">
        <w:t>is</w:t>
      </w:r>
      <w:r w:rsidR="00177848" w:rsidRPr="00C6052E">
        <w:t xml:space="preserve"> </w:t>
      </w:r>
      <w:r w:rsidRPr="00C6052E">
        <w:t>discharged,</w:t>
      </w:r>
      <w:r w:rsidR="00177848" w:rsidRPr="00C6052E">
        <w:t xml:space="preserve"> </w:t>
      </w:r>
      <w:r w:rsidRPr="00C6052E">
        <w:t>cancelled</w:t>
      </w:r>
      <w:r w:rsidR="00177848" w:rsidRPr="00C6052E">
        <w:t xml:space="preserve"> </w:t>
      </w:r>
      <w:r w:rsidRPr="00C6052E">
        <w:t>or</w:t>
      </w:r>
      <w:r w:rsidR="00177848" w:rsidRPr="00C6052E">
        <w:t xml:space="preserve"> </w:t>
      </w:r>
      <w:r w:rsidRPr="00C6052E">
        <w:t>expires.</w:t>
      </w:r>
    </w:p>
    <w:p w14:paraId="3839E84B" w14:textId="2DA70841" w:rsidR="00EE5BB8" w:rsidRPr="00C6052E" w:rsidRDefault="00EE5BB8" w:rsidP="00EE5BB8">
      <w:r w:rsidRPr="00C6052E">
        <w:t>When</w:t>
      </w:r>
      <w:r w:rsidR="00177848" w:rsidRPr="00C6052E">
        <w:t xml:space="preserve"> </w:t>
      </w:r>
      <w:r w:rsidRPr="00C6052E">
        <w:t>an</w:t>
      </w:r>
      <w:r w:rsidR="00177848" w:rsidRPr="00C6052E">
        <w:t xml:space="preserve"> </w:t>
      </w:r>
      <w:r w:rsidRPr="00C6052E">
        <w:t>existing</w:t>
      </w:r>
      <w:r w:rsidR="00177848" w:rsidRPr="00C6052E">
        <w:t xml:space="preserve"> </w:t>
      </w:r>
      <w:r w:rsidRPr="00C6052E">
        <w:t>financial</w:t>
      </w:r>
      <w:r w:rsidR="00177848" w:rsidRPr="00C6052E">
        <w:t xml:space="preserve"> </w:t>
      </w:r>
      <w:r w:rsidRPr="00C6052E">
        <w:t>liability</w:t>
      </w:r>
      <w:r w:rsidR="00177848" w:rsidRPr="00C6052E">
        <w:t xml:space="preserve"> </w:t>
      </w:r>
      <w:r w:rsidRPr="00C6052E">
        <w:t>is</w:t>
      </w:r>
      <w:r w:rsidR="00177848" w:rsidRPr="00C6052E">
        <w:t xml:space="preserve"> </w:t>
      </w:r>
      <w:r w:rsidRPr="00C6052E">
        <w:t>replaced</w:t>
      </w:r>
      <w:r w:rsidR="00177848" w:rsidRPr="00C6052E">
        <w:t xml:space="preserve"> </w:t>
      </w:r>
      <w:r w:rsidRPr="00C6052E">
        <w:t>by</w:t>
      </w:r>
      <w:r w:rsidR="00177848" w:rsidRPr="00C6052E">
        <w:t xml:space="preserve"> </w:t>
      </w:r>
      <w:r w:rsidRPr="00C6052E">
        <w:t>another</w:t>
      </w:r>
      <w:r w:rsidR="00177848" w:rsidRPr="00C6052E">
        <w:t xml:space="preserve"> </w:t>
      </w:r>
      <w:r w:rsidRPr="00C6052E">
        <w:t>from</w:t>
      </w:r>
      <w:r w:rsidR="00177848" w:rsidRPr="00C6052E">
        <w:t xml:space="preserve"> </w:t>
      </w:r>
      <w:r w:rsidRPr="00C6052E">
        <w:t>the</w:t>
      </w:r>
      <w:r w:rsidR="00177848" w:rsidRPr="00C6052E">
        <w:t xml:space="preserve"> </w:t>
      </w:r>
      <w:r w:rsidRPr="00C6052E">
        <w:t>same</w:t>
      </w:r>
      <w:r w:rsidR="00177848" w:rsidRPr="00C6052E">
        <w:t xml:space="preserve"> </w:t>
      </w:r>
      <w:r w:rsidRPr="00C6052E">
        <w:t>lender</w:t>
      </w:r>
      <w:r w:rsidR="00177848" w:rsidRPr="00C6052E">
        <w:t xml:space="preserve"> </w:t>
      </w:r>
      <w:r w:rsidRPr="00C6052E">
        <w:t>on</w:t>
      </w:r>
      <w:r w:rsidR="00177848" w:rsidRPr="00C6052E">
        <w:t xml:space="preserve"> </w:t>
      </w:r>
      <w:r w:rsidRPr="00C6052E">
        <w:t>substantially</w:t>
      </w:r>
      <w:r w:rsidR="00177848" w:rsidRPr="00C6052E">
        <w:t xml:space="preserve"> </w:t>
      </w:r>
      <w:r w:rsidRPr="00C6052E">
        <w:t>different</w:t>
      </w:r>
      <w:r w:rsidR="00177848" w:rsidRPr="00C6052E">
        <w:t xml:space="preserve"> </w:t>
      </w:r>
      <w:r w:rsidRPr="00C6052E">
        <w:t>terms,</w:t>
      </w:r>
      <w:r w:rsidR="00177848" w:rsidRPr="00C6052E">
        <w:t xml:space="preserve"> </w:t>
      </w:r>
      <w:r w:rsidRPr="00C6052E">
        <w:t>or</w:t>
      </w:r>
      <w:r w:rsidR="00177848" w:rsidRPr="00C6052E">
        <w:t xml:space="preserve"> </w:t>
      </w:r>
      <w:r w:rsidRPr="00C6052E">
        <w:t>the</w:t>
      </w:r>
      <w:r w:rsidR="00177848" w:rsidRPr="00C6052E">
        <w:t xml:space="preserve"> </w:t>
      </w:r>
      <w:r w:rsidRPr="00C6052E">
        <w:t>terms</w:t>
      </w:r>
      <w:r w:rsidR="00177848" w:rsidRPr="00C6052E">
        <w:t xml:space="preserve"> </w:t>
      </w:r>
      <w:r w:rsidRPr="00C6052E">
        <w:t>of</w:t>
      </w:r>
      <w:r w:rsidR="00177848" w:rsidRPr="00C6052E">
        <w:t xml:space="preserve"> </w:t>
      </w:r>
      <w:r w:rsidRPr="00C6052E">
        <w:t>an</w:t>
      </w:r>
      <w:r w:rsidR="00177848" w:rsidRPr="00C6052E">
        <w:t xml:space="preserve"> </w:t>
      </w:r>
      <w:r w:rsidRPr="00C6052E">
        <w:t>existing</w:t>
      </w:r>
      <w:r w:rsidR="00177848" w:rsidRPr="00C6052E">
        <w:t xml:space="preserve"> </w:t>
      </w:r>
      <w:r w:rsidRPr="00C6052E">
        <w:t>liability</w:t>
      </w:r>
      <w:r w:rsidR="00177848" w:rsidRPr="00C6052E">
        <w:t xml:space="preserve"> </w:t>
      </w:r>
      <w:r w:rsidRPr="00C6052E">
        <w:t>are</w:t>
      </w:r>
      <w:r w:rsidR="00177848" w:rsidRPr="00C6052E">
        <w:t xml:space="preserve"> </w:t>
      </w:r>
      <w:r w:rsidRPr="00C6052E">
        <w:t>substantially</w:t>
      </w:r>
      <w:r w:rsidR="00177848" w:rsidRPr="00C6052E">
        <w:t xml:space="preserve"> </w:t>
      </w:r>
      <w:r w:rsidRPr="00C6052E">
        <w:t>modified,</w:t>
      </w:r>
      <w:r w:rsidR="00177848" w:rsidRPr="00C6052E">
        <w:t xml:space="preserve"> </w:t>
      </w:r>
      <w:r w:rsidRPr="00C6052E">
        <w:t>such</w:t>
      </w:r>
      <w:r w:rsidR="00177848" w:rsidRPr="00C6052E">
        <w:t xml:space="preserve"> </w:t>
      </w:r>
      <w:r w:rsidRPr="00C6052E">
        <w:t>an</w:t>
      </w:r>
      <w:r w:rsidR="00177848" w:rsidRPr="00C6052E">
        <w:t xml:space="preserve"> </w:t>
      </w:r>
      <w:r w:rsidRPr="00C6052E">
        <w:t>exchange</w:t>
      </w:r>
      <w:r w:rsidR="00177848" w:rsidRPr="00C6052E">
        <w:t xml:space="preserve"> </w:t>
      </w:r>
      <w:r w:rsidRPr="00C6052E">
        <w:t>or</w:t>
      </w:r>
      <w:r w:rsidR="00177848" w:rsidRPr="00C6052E">
        <w:t xml:space="preserve"> </w:t>
      </w:r>
      <w:r w:rsidRPr="00C6052E">
        <w:t>modification</w:t>
      </w:r>
      <w:r w:rsidR="00177848" w:rsidRPr="00C6052E">
        <w:t xml:space="preserve"> </w:t>
      </w:r>
      <w:r w:rsidRPr="00C6052E">
        <w:t>is</w:t>
      </w:r>
      <w:r w:rsidR="00177848" w:rsidRPr="00C6052E">
        <w:t xml:space="preserve"> </w:t>
      </w:r>
      <w:r w:rsidRPr="00C6052E">
        <w:t>treated</w:t>
      </w:r>
      <w:r w:rsidR="00177848" w:rsidRPr="00C6052E">
        <w:t xml:space="preserve"> </w:t>
      </w:r>
      <w:r w:rsidRPr="00C6052E">
        <w:t>as</w:t>
      </w:r>
      <w:r w:rsidR="00177848" w:rsidRPr="00C6052E">
        <w:t xml:space="preserve"> </w:t>
      </w:r>
      <w:r w:rsidRPr="00C6052E">
        <w:t>a</w:t>
      </w:r>
      <w:r w:rsidR="00177848" w:rsidRPr="00C6052E">
        <w:t xml:space="preserve"> </w:t>
      </w:r>
      <w:r w:rsidRPr="00C6052E">
        <w:t>derecognition</w:t>
      </w:r>
      <w:r w:rsidR="00177848" w:rsidRPr="00C6052E">
        <w:t xml:space="preserve"> </w:t>
      </w:r>
      <w:r w:rsidRPr="00C6052E">
        <w:t>of</w:t>
      </w:r>
      <w:r w:rsidR="00177848" w:rsidRPr="00C6052E">
        <w:t xml:space="preserve"> </w:t>
      </w:r>
      <w:r w:rsidRPr="00C6052E">
        <w:t>the</w:t>
      </w:r>
      <w:r w:rsidR="00177848" w:rsidRPr="00C6052E">
        <w:t xml:space="preserve"> </w:t>
      </w:r>
      <w:r w:rsidRPr="00C6052E">
        <w:t>original</w:t>
      </w:r>
      <w:r w:rsidR="00177848" w:rsidRPr="00C6052E">
        <w:t xml:space="preserve"> </w:t>
      </w:r>
      <w:r w:rsidRPr="00C6052E">
        <w:t>liability</w:t>
      </w:r>
      <w:r w:rsidR="00177848" w:rsidRPr="00C6052E">
        <w:t xml:space="preserve"> </w:t>
      </w:r>
      <w:r w:rsidRPr="00C6052E">
        <w:t>and</w:t>
      </w:r>
      <w:r w:rsidR="00177848" w:rsidRPr="00C6052E">
        <w:t xml:space="preserve"> </w:t>
      </w:r>
      <w:r w:rsidRPr="00C6052E">
        <w:t>the</w:t>
      </w:r>
      <w:r w:rsidR="00177848" w:rsidRPr="00C6052E">
        <w:t xml:space="preserve"> </w:t>
      </w:r>
      <w:r w:rsidRPr="00C6052E">
        <w:t>recognition</w:t>
      </w:r>
      <w:r w:rsidR="00177848" w:rsidRPr="00C6052E">
        <w:t xml:space="preserve"> </w:t>
      </w:r>
      <w:r w:rsidRPr="00C6052E">
        <w:t>of</w:t>
      </w:r>
      <w:r w:rsidR="00177848" w:rsidRPr="00C6052E">
        <w:t xml:space="preserve"> </w:t>
      </w:r>
      <w:r w:rsidRPr="00C6052E">
        <w:t>a</w:t>
      </w:r>
      <w:r w:rsidR="00177848" w:rsidRPr="00C6052E">
        <w:t xml:space="preserve"> </w:t>
      </w:r>
      <w:r w:rsidRPr="00C6052E">
        <w:t>new</w:t>
      </w:r>
      <w:r w:rsidR="00177848" w:rsidRPr="00C6052E">
        <w:t xml:space="preserve"> </w:t>
      </w:r>
      <w:r w:rsidRPr="00C6052E">
        <w:t>liability.</w:t>
      </w:r>
      <w:r w:rsidR="00177848" w:rsidRPr="00C6052E">
        <w:t xml:space="preserve"> </w:t>
      </w:r>
      <w:r w:rsidRPr="00C6052E">
        <w:t>The</w:t>
      </w:r>
      <w:r w:rsidR="00177848" w:rsidRPr="00C6052E">
        <w:t xml:space="preserve"> </w:t>
      </w:r>
      <w:r w:rsidRPr="00C6052E">
        <w:t>difference</w:t>
      </w:r>
      <w:r w:rsidR="00177848" w:rsidRPr="00C6052E">
        <w:t xml:space="preserve"> </w:t>
      </w:r>
      <w:r w:rsidRPr="00C6052E">
        <w:t>in</w:t>
      </w:r>
      <w:r w:rsidR="00177848" w:rsidRPr="00C6052E">
        <w:t xml:space="preserve"> </w:t>
      </w:r>
      <w:r w:rsidRPr="00C6052E">
        <w:t>the</w:t>
      </w:r>
      <w:r w:rsidR="00177848" w:rsidRPr="00C6052E">
        <w:t xml:space="preserve"> </w:t>
      </w:r>
      <w:r w:rsidRPr="00C6052E">
        <w:t>respective</w:t>
      </w:r>
      <w:r w:rsidR="00177848" w:rsidRPr="00C6052E">
        <w:t xml:space="preserve"> </w:t>
      </w:r>
      <w:r w:rsidRPr="00C6052E">
        <w:t>carrying</w:t>
      </w:r>
      <w:r w:rsidR="00177848" w:rsidRPr="00C6052E">
        <w:t xml:space="preserve"> </w:t>
      </w:r>
      <w:r w:rsidRPr="00C6052E">
        <w:t>amounts</w:t>
      </w:r>
      <w:r w:rsidR="00177848" w:rsidRPr="00C6052E">
        <w:t xml:space="preserve"> </w:t>
      </w:r>
      <w:r w:rsidRPr="00C6052E">
        <w:t>is</w:t>
      </w:r>
      <w:r w:rsidR="00177848" w:rsidRPr="00C6052E">
        <w:t xml:space="preserve"> </w:t>
      </w:r>
      <w:r w:rsidRPr="00C6052E">
        <w:t>recognised</w:t>
      </w:r>
      <w:r w:rsidR="00177848" w:rsidRPr="00C6052E">
        <w:t xml:space="preserve"> </w:t>
      </w:r>
      <w:r w:rsidRPr="00C6052E">
        <w:t>as</w:t>
      </w:r>
      <w:r w:rsidR="00177848" w:rsidRPr="00C6052E">
        <w:t xml:space="preserve"> </w:t>
      </w:r>
      <w:r w:rsidRPr="00C6052E">
        <w:t>another</w:t>
      </w:r>
      <w:r w:rsidR="00177848" w:rsidRPr="00C6052E">
        <w:t xml:space="preserve"> </w:t>
      </w:r>
      <w:r w:rsidRPr="00C6052E">
        <w:t>economic</w:t>
      </w:r>
      <w:r w:rsidR="00177848" w:rsidRPr="00C6052E">
        <w:t xml:space="preserve"> </w:t>
      </w:r>
      <w:r w:rsidRPr="00C6052E">
        <w:t>flow</w:t>
      </w:r>
      <w:r w:rsidR="00177848" w:rsidRPr="00C6052E">
        <w:t xml:space="preserve"> </w:t>
      </w:r>
      <w:r w:rsidRPr="00C6052E">
        <w:t>in</w:t>
      </w:r>
      <w:r w:rsidR="00177848" w:rsidRPr="00C6052E">
        <w:t xml:space="preserve"> </w:t>
      </w:r>
      <w:r w:rsidRPr="00C6052E">
        <w:t>the</w:t>
      </w:r>
      <w:r w:rsidR="00177848" w:rsidRPr="00C6052E">
        <w:t xml:space="preserve"> </w:t>
      </w:r>
      <w:r w:rsidRPr="00C6052E">
        <w:t>estimated</w:t>
      </w:r>
      <w:r w:rsidR="00177848" w:rsidRPr="00C6052E">
        <w:t xml:space="preserve"> </w:t>
      </w:r>
      <w:r w:rsidRPr="00C6052E">
        <w:t>comprehensive</w:t>
      </w:r>
      <w:r w:rsidR="00177848" w:rsidRPr="00C6052E">
        <w:t xml:space="preserve"> </w:t>
      </w:r>
      <w:r w:rsidRPr="00C6052E">
        <w:t>operating</w:t>
      </w:r>
      <w:r w:rsidR="00177848" w:rsidRPr="00C6052E">
        <w:t xml:space="preserve"> </w:t>
      </w:r>
      <w:r w:rsidRPr="00C6052E">
        <w:t>statement.</w:t>
      </w:r>
    </w:p>
    <w:p w14:paraId="2091501A" w14:textId="042CBC1F" w:rsidR="00EE5BB8" w:rsidRPr="00C6052E" w:rsidRDefault="00EE5BB8" w:rsidP="00EE5BB8">
      <w:r w:rsidRPr="00C6052E">
        <w:rPr>
          <w:rStyle w:val="Medium"/>
        </w:rPr>
        <w:t>Reclassification</w:t>
      </w:r>
      <w:r w:rsidR="00177848" w:rsidRPr="00C6052E">
        <w:rPr>
          <w:rStyle w:val="Medium"/>
        </w:rPr>
        <w:t xml:space="preserve"> </w:t>
      </w:r>
      <w:r w:rsidRPr="00C6052E">
        <w:rPr>
          <w:rStyle w:val="Medium"/>
        </w:rPr>
        <w:t>of</w:t>
      </w:r>
      <w:r w:rsidR="00177848" w:rsidRPr="00C6052E">
        <w:rPr>
          <w:rStyle w:val="Medium"/>
        </w:rPr>
        <w:t xml:space="preserve"> </w:t>
      </w:r>
      <w:r w:rsidRPr="00C6052E">
        <w:rPr>
          <w:rStyle w:val="Medium"/>
        </w:rPr>
        <w:t>financial</w:t>
      </w:r>
      <w:r w:rsidR="00177848" w:rsidRPr="00C6052E">
        <w:rPr>
          <w:rStyle w:val="Medium"/>
        </w:rPr>
        <w:t xml:space="preserve"> </w:t>
      </w:r>
      <w:r w:rsidRPr="00C6052E">
        <w:rPr>
          <w:rStyle w:val="Medium"/>
        </w:rPr>
        <w:t>instruments:</w:t>
      </w:r>
      <w:r w:rsidR="00177848" w:rsidRPr="00C6052E">
        <w:t xml:space="preserve"> </w:t>
      </w:r>
      <w:r w:rsidRPr="00C6052E">
        <w:t>Subsequent</w:t>
      </w:r>
      <w:r w:rsidR="00177848" w:rsidRPr="00C6052E">
        <w:t xml:space="preserve"> </w:t>
      </w:r>
      <w:r w:rsidRPr="00C6052E">
        <w:t>to</w:t>
      </w:r>
      <w:r w:rsidR="00177848" w:rsidRPr="00C6052E">
        <w:t xml:space="preserve"> </w:t>
      </w:r>
      <w:r w:rsidRPr="00C6052E">
        <w:t>initial</w:t>
      </w:r>
      <w:r w:rsidR="00177848" w:rsidRPr="00C6052E">
        <w:t xml:space="preserve"> </w:t>
      </w:r>
      <w:r w:rsidRPr="00C6052E">
        <w:t>recognition</w:t>
      </w:r>
      <w:r w:rsidR="00177848" w:rsidRPr="00C6052E">
        <w:t xml:space="preserve"> </w:t>
      </w:r>
      <w:r w:rsidRPr="00C6052E">
        <w:t>reclassification</w:t>
      </w:r>
      <w:r w:rsidR="00177848" w:rsidRPr="00C6052E">
        <w:t xml:space="preserve"> </w:t>
      </w:r>
      <w:r w:rsidRPr="00C6052E">
        <w:t>of</w:t>
      </w:r>
      <w:r w:rsidR="00177848" w:rsidRPr="00C6052E">
        <w:t xml:space="preserve"> </w:t>
      </w:r>
      <w:r w:rsidRPr="00C6052E">
        <w:t>financial</w:t>
      </w:r>
      <w:r w:rsidR="00177848" w:rsidRPr="00C6052E">
        <w:t xml:space="preserve"> </w:t>
      </w:r>
      <w:r w:rsidRPr="00C6052E">
        <w:t>liabilities</w:t>
      </w:r>
      <w:r w:rsidR="00177848" w:rsidRPr="00C6052E">
        <w:t xml:space="preserve"> </w:t>
      </w:r>
      <w:r w:rsidRPr="00C6052E">
        <w:t>is</w:t>
      </w:r>
      <w:r w:rsidR="00177848" w:rsidRPr="00C6052E">
        <w:t xml:space="preserve"> </w:t>
      </w:r>
      <w:r w:rsidRPr="00C6052E">
        <w:t>not</w:t>
      </w:r>
      <w:r w:rsidR="00177848" w:rsidRPr="00C6052E">
        <w:t xml:space="preserve"> </w:t>
      </w:r>
      <w:r w:rsidRPr="00C6052E">
        <w:t>permitted.</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are</w:t>
      </w:r>
      <w:r w:rsidR="00177848" w:rsidRPr="00C6052E">
        <w:t xml:space="preserve"> </w:t>
      </w:r>
      <w:r w:rsidRPr="00C6052E">
        <w:t>required</w:t>
      </w:r>
      <w:r w:rsidR="00177848" w:rsidRPr="00C6052E">
        <w:t xml:space="preserve"> </w:t>
      </w:r>
      <w:r w:rsidRPr="00C6052E">
        <w:t>to</w:t>
      </w:r>
      <w:r w:rsidR="00177848" w:rsidRPr="00C6052E">
        <w:t xml:space="preserve"> </w:t>
      </w:r>
      <w:r w:rsidRPr="00C6052E">
        <w:t>be</w:t>
      </w:r>
      <w:r w:rsidR="00177848" w:rsidRPr="00C6052E">
        <w:t xml:space="preserve"> </w:t>
      </w:r>
      <w:r w:rsidRPr="00C6052E">
        <w:t>reclassified</w:t>
      </w:r>
      <w:r w:rsidR="00177848" w:rsidRPr="00C6052E">
        <w:t xml:space="preserve"> </w:t>
      </w:r>
      <w:r w:rsidRPr="00C6052E">
        <w:t>between</w:t>
      </w:r>
      <w:r w:rsidR="00177848" w:rsidRPr="00C6052E">
        <w:t xml:space="preserve"> </w:t>
      </w:r>
      <w:r w:rsidRPr="00C6052E">
        <w:t>fair</w:t>
      </w:r>
      <w:r w:rsidR="00177848" w:rsidRPr="00C6052E">
        <w:t xml:space="preserve"> </w:t>
      </w:r>
      <w:r w:rsidRPr="00C6052E">
        <w:t>value</w:t>
      </w:r>
      <w:r w:rsidR="00177848" w:rsidRPr="00C6052E">
        <w:t xml:space="preserve"> </w:t>
      </w:r>
      <w:r w:rsidRPr="00C6052E">
        <w:t>through</w:t>
      </w:r>
      <w:r w:rsidR="00177848" w:rsidRPr="00C6052E">
        <w:t xml:space="preserve"> </w:t>
      </w:r>
      <w:r w:rsidRPr="00C6052E">
        <w:t>net</w:t>
      </w:r>
      <w:r w:rsidR="00177848" w:rsidRPr="00C6052E">
        <w:t xml:space="preserve"> </w:t>
      </w:r>
      <w:r w:rsidRPr="00C6052E">
        <w:t>result,</w:t>
      </w:r>
      <w:r w:rsidR="00177848" w:rsidRPr="00C6052E">
        <w:t xml:space="preserve"> </w:t>
      </w:r>
      <w:r w:rsidRPr="00C6052E">
        <w:t>fair</w:t>
      </w:r>
      <w:r w:rsidR="00177848" w:rsidRPr="00C6052E">
        <w:t xml:space="preserve"> </w:t>
      </w:r>
      <w:r w:rsidRPr="00C6052E">
        <w:t>value</w:t>
      </w:r>
      <w:r w:rsidR="00177848" w:rsidRPr="00C6052E">
        <w:t xml:space="preserve"> </w:t>
      </w:r>
      <w:r w:rsidRPr="00C6052E">
        <w:t>through</w:t>
      </w:r>
      <w:r w:rsidR="00177848" w:rsidRPr="00C6052E">
        <w:t xml:space="preserve"> </w:t>
      </w:r>
      <w:r w:rsidRPr="00C6052E">
        <w:t>other</w:t>
      </w:r>
      <w:r w:rsidR="00177848" w:rsidRPr="00C6052E">
        <w:t xml:space="preserve"> </w:t>
      </w:r>
      <w:r w:rsidRPr="00C6052E">
        <w:t>comprehensive</w:t>
      </w:r>
      <w:r w:rsidR="00177848" w:rsidRPr="00C6052E">
        <w:t xml:space="preserve"> </w:t>
      </w:r>
      <w:r w:rsidRPr="00C6052E">
        <w:t>income</w:t>
      </w:r>
      <w:r w:rsidR="00177848" w:rsidRPr="00C6052E">
        <w:t xml:space="preserve"> </w:t>
      </w:r>
      <w:r w:rsidRPr="00C6052E">
        <w:t>and</w:t>
      </w:r>
      <w:r w:rsidR="00177848" w:rsidRPr="00C6052E">
        <w:t xml:space="preserve"> </w:t>
      </w:r>
      <w:r w:rsidRPr="00C6052E">
        <w:t>amortised</w:t>
      </w:r>
      <w:r w:rsidR="00177848" w:rsidRPr="00C6052E">
        <w:t xml:space="preserve"> </w:t>
      </w:r>
      <w:r w:rsidRPr="00C6052E">
        <w:t>cost</w:t>
      </w:r>
      <w:r w:rsidR="00177848" w:rsidRPr="00C6052E">
        <w:t xml:space="preserve"> </w:t>
      </w:r>
      <w:r w:rsidRPr="00C6052E">
        <w:t>when</w:t>
      </w:r>
      <w:r w:rsidR="00177848" w:rsidRPr="00C6052E">
        <w:t xml:space="preserve"> </w:t>
      </w:r>
      <w:r w:rsidRPr="00C6052E">
        <w:t>and</w:t>
      </w:r>
      <w:r w:rsidR="00177848" w:rsidRPr="00C6052E">
        <w:t xml:space="preserve"> </w:t>
      </w:r>
      <w:r w:rsidRPr="00C6052E">
        <w:t>only</w:t>
      </w:r>
      <w:r w:rsidR="00177848" w:rsidRPr="00C6052E">
        <w:t xml:space="preserve"> </w:t>
      </w:r>
      <w:r w:rsidRPr="00C6052E">
        <w:t>when</w:t>
      </w:r>
      <w:r w:rsidR="00177848" w:rsidRPr="00C6052E">
        <w:t xml:space="preserve"> </w:t>
      </w:r>
      <w:r w:rsidRPr="00C6052E">
        <w:t>DJSIR’s</w:t>
      </w:r>
      <w:r w:rsidR="00177848" w:rsidRPr="00C6052E">
        <w:t xml:space="preserve"> </w:t>
      </w:r>
      <w:r w:rsidRPr="00C6052E">
        <w:t>business</w:t>
      </w:r>
      <w:r w:rsidR="00177848" w:rsidRPr="00C6052E">
        <w:t xml:space="preserve"> </w:t>
      </w:r>
      <w:r w:rsidRPr="00C6052E">
        <w:t>model</w:t>
      </w:r>
      <w:r w:rsidR="00177848" w:rsidRPr="00C6052E">
        <w:t xml:space="preserve"> </w:t>
      </w:r>
      <w:r w:rsidRPr="00C6052E">
        <w:t>for</w:t>
      </w:r>
      <w:r w:rsidR="00177848" w:rsidRPr="00C6052E">
        <w:t xml:space="preserve"> </w:t>
      </w:r>
      <w:r w:rsidRPr="00C6052E">
        <w:t>managing</w:t>
      </w:r>
      <w:r w:rsidR="00177848" w:rsidRPr="00C6052E">
        <w:t xml:space="preserve"> </w:t>
      </w:r>
      <w:r w:rsidRPr="00C6052E">
        <w:t>its</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has</w:t>
      </w:r>
      <w:r w:rsidR="00177848" w:rsidRPr="00C6052E">
        <w:t xml:space="preserve"> </w:t>
      </w:r>
      <w:r w:rsidRPr="00C6052E">
        <w:t>changes</w:t>
      </w:r>
      <w:r w:rsidR="00177848" w:rsidRPr="00C6052E">
        <w:t xml:space="preserve"> </w:t>
      </w:r>
      <w:r w:rsidRPr="00C6052E">
        <w:t>such</w:t>
      </w:r>
      <w:r w:rsidR="00177848" w:rsidRPr="00C6052E">
        <w:t xml:space="preserve"> </w:t>
      </w:r>
      <w:r w:rsidRPr="00C6052E">
        <w:t>that</w:t>
      </w:r>
      <w:r w:rsidR="00177848" w:rsidRPr="00C6052E">
        <w:t xml:space="preserve"> </w:t>
      </w:r>
      <w:r w:rsidRPr="00C6052E">
        <w:t>its</w:t>
      </w:r>
      <w:r w:rsidR="00177848" w:rsidRPr="00C6052E">
        <w:t xml:space="preserve"> </w:t>
      </w:r>
      <w:r w:rsidRPr="00C6052E">
        <w:t>previous</w:t>
      </w:r>
      <w:r w:rsidR="00177848" w:rsidRPr="00C6052E">
        <w:t xml:space="preserve"> </w:t>
      </w:r>
      <w:r w:rsidRPr="00C6052E">
        <w:t>model</w:t>
      </w:r>
      <w:r w:rsidR="00177848" w:rsidRPr="00C6052E">
        <w:t xml:space="preserve"> </w:t>
      </w:r>
      <w:r w:rsidRPr="00C6052E">
        <w:t>would</w:t>
      </w:r>
      <w:r w:rsidR="00177848" w:rsidRPr="00C6052E">
        <w:t xml:space="preserve"> </w:t>
      </w:r>
      <w:r w:rsidRPr="00C6052E">
        <w:t>no</w:t>
      </w:r>
      <w:r w:rsidR="00177848" w:rsidRPr="00C6052E">
        <w:t xml:space="preserve"> </w:t>
      </w:r>
      <w:r w:rsidRPr="00C6052E">
        <w:t>longer</w:t>
      </w:r>
      <w:r w:rsidR="00177848" w:rsidRPr="00C6052E">
        <w:t xml:space="preserve"> </w:t>
      </w:r>
      <w:r w:rsidRPr="00C6052E">
        <w:t>apply.</w:t>
      </w:r>
      <w:r w:rsidR="00177848" w:rsidRPr="00C6052E">
        <w:t xml:space="preserve"> </w:t>
      </w:r>
      <w:r w:rsidRPr="00C6052E">
        <w:t>However,</w:t>
      </w:r>
      <w:r w:rsidR="00177848" w:rsidRPr="00C6052E">
        <w:t xml:space="preserve"> </w:t>
      </w:r>
      <w:r w:rsidRPr="00C6052E">
        <w:t>DJSIR</w:t>
      </w:r>
      <w:r w:rsidR="00177848" w:rsidRPr="00C6052E">
        <w:t xml:space="preserve"> </w:t>
      </w:r>
      <w:r w:rsidRPr="00C6052E">
        <w:t>is</w:t>
      </w:r>
      <w:r w:rsidR="00177848" w:rsidRPr="00C6052E">
        <w:t xml:space="preserve"> </w:t>
      </w:r>
      <w:r w:rsidRPr="00C6052E">
        <w:t>generally</w:t>
      </w:r>
      <w:r w:rsidR="00177848" w:rsidRPr="00C6052E">
        <w:t xml:space="preserve"> </w:t>
      </w:r>
      <w:r w:rsidRPr="00C6052E">
        <w:t>unable</w:t>
      </w:r>
      <w:r w:rsidR="00177848" w:rsidRPr="00C6052E">
        <w:t xml:space="preserve"> </w:t>
      </w:r>
      <w:r w:rsidRPr="00C6052E">
        <w:t>to</w:t>
      </w:r>
      <w:r w:rsidR="00177848" w:rsidRPr="00C6052E">
        <w:t xml:space="preserve"> </w:t>
      </w:r>
      <w:r w:rsidRPr="00C6052E">
        <w:t>change</w:t>
      </w:r>
      <w:r w:rsidR="00177848" w:rsidRPr="00C6052E">
        <w:t xml:space="preserve"> </w:t>
      </w:r>
      <w:r w:rsidRPr="00C6052E">
        <w:t>its</w:t>
      </w:r>
      <w:r w:rsidR="00177848" w:rsidRPr="00C6052E">
        <w:t xml:space="preserve"> </w:t>
      </w:r>
      <w:r w:rsidRPr="00C6052E">
        <w:t>business</w:t>
      </w:r>
      <w:r w:rsidR="00177848" w:rsidRPr="00C6052E">
        <w:t xml:space="preserve"> </w:t>
      </w:r>
      <w:r w:rsidRPr="00C6052E">
        <w:t>model</w:t>
      </w:r>
      <w:r w:rsidR="00177848" w:rsidRPr="00C6052E">
        <w:t xml:space="preserve"> </w:t>
      </w:r>
      <w:r w:rsidRPr="00C6052E">
        <w:t>because</w:t>
      </w:r>
      <w:r w:rsidR="00177848" w:rsidRPr="00C6052E">
        <w:t xml:space="preserve"> </w:t>
      </w:r>
      <w:r w:rsidRPr="00C6052E">
        <w:t>it</w:t>
      </w:r>
      <w:r w:rsidR="00177848" w:rsidRPr="00C6052E">
        <w:t xml:space="preserve"> </w:t>
      </w:r>
      <w:r w:rsidRPr="00C6052E">
        <w:t>is</w:t>
      </w:r>
      <w:r w:rsidR="00177848" w:rsidRPr="00C6052E">
        <w:t xml:space="preserve"> </w:t>
      </w:r>
      <w:r w:rsidRPr="00C6052E">
        <w:t>determined</w:t>
      </w:r>
      <w:r w:rsidR="00177848" w:rsidRPr="00C6052E">
        <w:t xml:space="preserve"> </w:t>
      </w:r>
      <w:r w:rsidRPr="00C6052E">
        <w:t>by</w:t>
      </w:r>
      <w:r w:rsidR="00177848" w:rsidRPr="00C6052E">
        <w:t xml:space="preserve"> </w:t>
      </w:r>
      <w:r w:rsidRPr="00C6052E">
        <w:t>the</w:t>
      </w:r>
      <w:r w:rsidR="00177848" w:rsidRPr="00C6052E">
        <w:t xml:space="preserve"> </w:t>
      </w:r>
      <w:r w:rsidRPr="00C6052E">
        <w:t>Performance</w:t>
      </w:r>
      <w:r w:rsidR="00177848" w:rsidRPr="00C6052E">
        <w:t xml:space="preserve"> </w:t>
      </w:r>
      <w:r w:rsidRPr="00C6052E">
        <w:t>Management</w:t>
      </w:r>
      <w:r w:rsidR="00177848" w:rsidRPr="00C6052E">
        <w:t xml:space="preserve"> </w:t>
      </w:r>
      <w:r w:rsidRPr="00C6052E">
        <w:t>Framework</w:t>
      </w:r>
      <w:r w:rsidR="00177848" w:rsidRPr="00C6052E">
        <w:t xml:space="preserve"> </w:t>
      </w:r>
      <w:r w:rsidRPr="00C6052E">
        <w:t>(PMF)</w:t>
      </w:r>
      <w:r w:rsidR="00177848" w:rsidRPr="00C6052E">
        <w:t xml:space="preserve"> </w:t>
      </w:r>
      <w:r w:rsidRPr="00C6052E">
        <w:t>and</w:t>
      </w:r>
      <w:r w:rsidR="00177848" w:rsidRPr="00C6052E">
        <w:t xml:space="preserve"> </w:t>
      </w:r>
      <w:r w:rsidRPr="00C6052E">
        <w:t>all</w:t>
      </w:r>
      <w:r w:rsidR="00177848" w:rsidRPr="00C6052E">
        <w:t xml:space="preserve"> </w:t>
      </w:r>
      <w:r w:rsidRPr="00C6052E">
        <w:t>Victorian</w:t>
      </w:r>
      <w:r w:rsidR="00177848" w:rsidRPr="00C6052E">
        <w:t xml:space="preserve"> </w:t>
      </w:r>
      <w:r w:rsidRPr="00C6052E">
        <w:t>government</w:t>
      </w:r>
      <w:r w:rsidR="00177848" w:rsidRPr="00C6052E">
        <w:t xml:space="preserve"> </w:t>
      </w:r>
      <w:r w:rsidRPr="00C6052E">
        <w:t>departments</w:t>
      </w:r>
      <w:r w:rsidR="00177848" w:rsidRPr="00C6052E">
        <w:t xml:space="preserve"> </w:t>
      </w:r>
      <w:r w:rsidRPr="00C6052E">
        <w:t>are</w:t>
      </w:r>
      <w:r w:rsidR="00177848" w:rsidRPr="00C6052E">
        <w:t xml:space="preserve"> </w:t>
      </w:r>
      <w:r w:rsidRPr="00C6052E">
        <w:t>required</w:t>
      </w:r>
      <w:r w:rsidR="00177848" w:rsidRPr="00C6052E">
        <w:t xml:space="preserve"> </w:t>
      </w:r>
      <w:r w:rsidRPr="00C6052E">
        <w:t>to</w:t>
      </w:r>
      <w:r w:rsidR="00177848" w:rsidRPr="00C6052E">
        <w:t xml:space="preserve"> </w:t>
      </w:r>
      <w:r w:rsidRPr="00C6052E">
        <w:t>apply</w:t>
      </w:r>
      <w:r w:rsidR="00177848" w:rsidRPr="00C6052E">
        <w:t xml:space="preserve"> </w:t>
      </w:r>
      <w:r w:rsidRPr="00C6052E">
        <w:t>the</w:t>
      </w:r>
      <w:r w:rsidR="00177848" w:rsidRPr="00C6052E">
        <w:t xml:space="preserve"> </w:t>
      </w:r>
      <w:r w:rsidRPr="00C6052E">
        <w:t>PMF</w:t>
      </w:r>
      <w:r w:rsidR="00177848" w:rsidRPr="00C6052E">
        <w:t xml:space="preserve"> </w:t>
      </w:r>
      <w:r w:rsidRPr="00C6052E">
        <w:t>under</w:t>
      </w:r>
      <w:r w:rsidR="00177848" w:rsidRPr="00C6052E">
        <w:t xml:space="preserve"> </w:t>
      </w:r>
      <w:r w:rsidRPr="00C6052E">
        <w:t>the</w:t>
      </w:r>
      <w:r w:rsidR="00177848" w:rsidRPr="00C6052E">
        <w:t xml:space="preserve"> </w:t>
      </w:r>
      <w:r w:rsidRPr="00C6052E">
        <w:t>Standing</w:t>
      </w:r>
      <w:r w:rsidR="00177848" w:rsidRPr="00C6052E">
        <w:t xml:space="preserve"> </w:t>
      </w:r>
      <w:r w:rsidRPr="00C6052E">
        <w:t>Directions</w:t>
      </w:r>
      <w:r w:rsidR="00177848" w:rsidRPr="00C6052E">
        <w:t xml:space="preserve"> </w:t>
      </w:r>
      <w:r w:rsidRPr="00C6052E">
        <w:t>under</w:t>
      </w:r>
      <w:r w:rsidR="00177848" w:rsidRPr="00C6052E">
        <w:t xml:space="preserve"> </w:t>
      </w:r>
      <w:r w:rsidRPr="00C6052E">
        <w:t>the</w:t>
      </w:r>
      <w:r w:rsidR="00177848" w:rsidRPr="00C6052E">
        <w:t xml:space="preserve"> </w:t>
      </w:r>
      <w:r w:rsidRPr="00C6052E">
        <w:t>FMA.</w:t>
      </w:r>
    </w:p>
    <w:p w14:paraId="01BABA89" w14:textId="21AD71A0" w:rsidR="00EE5BB8" w:rsidRPr="00C6052E" w:rsidRDefault="00EE5BB8" w:rsidP="00EE5BB8">
      <w:r w:rsidRPr="00C6052E">
        <w:t>If</w:t>
      </w:r>
      <w:r w:rsidR="00177848" w:rsidRPr="00C6052E">
        <w:t xml:space="preserve"> </w:t>
      </w:r>
      <w:r w:rsidRPr="00C6052E">
        <w:t>under</w:t>
      </w:r>
      <w:r w:rsidR="00177848" w:rsidRPr="00C6052E">
        <w:t xml:space="preserve"> </w:t>
      </w:r>
      <w:r w:rsidRPr="00C6052E">
        <w:t>rare</w:t>
      </w:r>
      <w:r w:rsidR="00177848" w:rsidRPr="00C6052E">
        <w:t xml:space="preserve"> </w:t>
      </w:r>
      <w:r w:rsidRPr="00C6052E">
        <w:t>circumstances</w:t>
      </w:r>
      <w:r w:rsidR="00177848" w:rsidRPr="00C6052E">
        <w:t xml:space="preserve"> </w:t>
      </w:r>
      <w:r w:rsidRPr="00C6052E">
        <w:t>an</w:t>
      </w:r>
      <w:r w:rsidR="00177848" w:rsidRPr="00C6052E">
        <w:t xml:space="preserve"> </w:t>
      </w:r>
      <w:r w:rsidRPr="00C6052E">
        <w:t>asset</w:t>
      </w:r>
      <w:r w:rsidR="00177848" w:rsidRPr="00C6052E">
        <w:t xml:space="preserve"> </w:t>
      </w:r>
      <w:r w:rsidRPr="00C6052E">
        <w:t>is</w:t>
      </w:r>
      <w:r w:rsidR="00177848" w:rsidRPr="00C6052E">
        <w:t xml:space="preserve"> </w:t>
      </w:r>
      <w:r w:rsidRPr="00C6052E">
        <w:t>reclassified,</w:t>
      </w:r>
      <w:r w:rsidR="00177848" w:rsidRPr="00C6052E">
        <w:t xml:space="preserve"> </w:t>
      </w:r>
      <w:r w:rsidRPr="00C6052E">
        <w:t>the</w:t>
      </w:r>
      <w:r w:rsidR="00177848" w:rsidRPr="00C6052E">
        <w:t xml:space="preserve"> </w:t>
      </w:r>
      <w:r w:rsidRPr="00C6052E">
        <w:t>reclassification</w:t>
      </w:r>
      <w:r w:rsidR="00177848" w:rsidRPr="00C6052E">
        <w:t xml:space="preserve"> </w:t>
      </w:r>
      <w:r w:rsidRPr="00C6052E">
        <w:t>is</w:t>
      </w:r>
      <w:r w:rsidR="00177848" w:rsidRPr="00C6052E">
        <w:t xml:space="preserve"> </w:t>
      </w:r>
      <w:r w:rsidRPr="00C6052E">
        <w:t>applied</w:t>
      </w:r>
      <w:r w:rsidR="00177848" w:rsidRPr="00C6052E">
        <w:t xml:space="preserve"> </w:t>
      </w:r>
      <w:r w:rsidRPr="00C6052E">
        <w:t>prospectively</w:t>
      </w:r>
      <w:r w:rsidR="00177848" w:rsidRPr="00C6052E">
        <w:t xml:space="preserve"> </w:t>
      </w:r>
      <w:r w:rsidRPr="00C6052E">
        <w:t>from</w:t>
      </w:r>
      <w:r w:rsidR="00177848" w:rsidRPr="00C6052E">
        <w:t xml:space="preserve"> </w:t>
      </w:r>
      <w:r w:rsidRPr="00C6052E">
        <w:t>the</w:t>
      </w:r>
      <w:r w:rsidR="00177848" w:rsidRPr="00C6052E">
        <w:t xml:space="preserve"> </w:t>
      </w:r>
      <w:r w:rsidRPr="00C6052E">
        <w:t>reclassification</w:t>
      </w:r>
      <w:r w:rsidR="00177848" w:rsidRPr="00C6052E">
        <w:t xml:space="preserve"> </w:t>
      </w:r>
      <w:r w:rsidRPr="00C6052E">
        <w:t>date</w:t>
      </w:r>
      <w:r w:rsidR="00177848" w:rsidRPr="00C6052E">
        <w:t xml:space="preserve"> </w:t>
      </w:r>
      <w:r w:rsidRPr="00C6052E">
        <w:t>and</w:t>
      </w:r>
      <w:r w:rsidR="00177848" w:rsidRPr="00C6052E">
        <w:t xml:space="preserve"> </w:t>
      </w:r>
      <w:r w:rsidRPr="00C6052E">
        <w:t>previously</w:t>
      </w:r>
      <w:r w:rsidR="00177848" w:rsidRPr="00C6052E">
        <w:t xml:space="preserve"> </w:t>
      </w:r>
      <w:r w:rsidRPr="00C6052E">
        <w:t>recognised</w:t>
      </w:r>
      <w:r w:rsidR="00177848" w:rsidRPr="00C6052E">
        <w:t xml:space="preserve"> </w:t>
      </w:r>
      <w:r w:rsidRPr="00C6052E">
        <w:t>gains,</w:t>
      </w:r>
      <w:r w:rsidR="00177848" w:rsidRPr="00C6052E">
        <w:t xml:space="preserve"> </w:t>
      </w:r>
      <w:r w:rsidRPr="00C6052E">
        <w:t>losses</w:t>
      </w:r>
      <w:r w:rsidR="00177848" w:rsidRPr="00C6052E">
        <w:t xml:space="preserve"> </w:t>
      </w:r>
      <w:r w:rsidRPr="00C6052E">
        <w:t>or</w:t>
      </w:r>
      <w:r w:rsidR="00177848" w:rsidRPr="00C6052E">
        <w:t xml:space="preserve"> </w:t>
      </w:r>
      <w:r w:rsidRPr="00C6052E">
        <w:t>interest</w:t>
      </w:r>
      <w:r w:rsidR="00177848" w:rsidRPr="00C6052E">
        <w:t xml:space="preserve"> </w:t>
      </w:r>
      <w:r w:rsidRPr="00C6052E">
        <w:t>should</w:t>
      </w:r>
      <w:r w:rsidR="00177848" w:rsidRPr="00C6052E">
        <w:t xml:space="preserve"> </w:t>
      </w:r>
      <w:r w:rsidRPr="00C6052E">
        <w:t>not</w:t>
      </w:r>
      <w:r w:rsidR="00177848" w:rsidRPr="00C6052E">
        <w:t xml:space="preserve"> </w:t>
      </w:r>
      <w:r w:rsidRPr="00C6052E">
        <w:t>be</w:t>
      </w:r>
      <w:r w:rsidR="00177848" w:rsidRPr="00C6052E">
        <w:t xml:space="preserve"> </w:t>
      </w:r>
      <w:r w:rsidRPr="00C6052E">
        <w:t>restated.</w:t>
      </w:r>
      <w:r w:rsidR="00177848" w:rsidRPr="00C6052E">
        <w:t xml:space="preserve"> </w:t>
      </w:r>
      <w:r w:rsidRPr="00C6052E">
        <w:t>If</w:t>
      </w:r>
      <w:r w:rsidR="00177848" w:rsidRPr="00C6052E">
        <w:t xml:space="preserve"> </w:t>
      </w:r>
      <w:r w:rsidRPr="00C6052E">
        <w:t>the</w:t>
      </w:r>
      <w:r w:rsidR="00177848" w:rsidRPr="00C6052E">
        <w:t xml:space="preserve"> </w:t>
      </w:r>
      <w:r w:rsidRPr="00C6052E">
        <w:t>asset</w:t>
      </w:r>
      <w:r w:rsidR="00177848" w:rsidRPr="00C6052E">
        <w:t xml:space="preserve"> </w:t>
      </w:r>
      <w:r w:rsidRPr="00C6052E">
        <w:t>is</w:t>
      </w:r>
      <w:r w:rsidR="00177848" w:rsidRPr="00C6052E">
        <w:t xml:space="preserve"> </w:t>
      </w:r>
      <w:r w:rsidRPr="00C6052E">
        <w:t>reclassified</w:t>
      </w:r>
      <w:r w:rsidR="00177848" w:rsidRPr="00C6052E">
        <w:t xml:space="preserve"> </w:t>
      </w:r>
      <w:r w:rsidRPr="00C6052E">
        <w:t>to</w:t>
      </w:r>
      <w:r w:rsidR="00177848" w:rsidRPr="00C6052E">
        <w:t xml:space="preserve"> </w:t>
      </w:r>
      <w:r w:rsidRPr="00C6052E">
        <w:t>fair</w:t>
      </w:r>
      <w:r w:rsidR="00177848" w:rsidRPr="00C6052E">
        <w:t xml:space="preserve"> </w:t>
      </w:r>
      <w:r w:rsidRPr="00C6052E">
        <w:t>value,</w:t>
      </w:r>
      <w:r w:rsidR="00177848" w:rsidRPr="00C6052E">
        <w:t xml:space="preserve"> </w:t>
      </w:r>
      <w:r w:rsidRPr="00C6052E">
        <w:t>the</w:t>
      </w:r>
      <w:r w:rsidR="00177848" w:rsidRPr="00C6052E">
        <w:t xml:space="preserve"> </w:t>
      </w:r>
      <w:r w:rsidRPr="00C6052E">
        <w:t>fair</w:t>
      </w:r>
      <w:r w:rsidR="00177848" w:rsidRPr="00C6052E">
        <w:t xml:space="preserve"> </w:t>
      </w:r>
      <w:r w:rsidRPr="00C6052E">
        <w:t>value</w:t>
      </w:r>
      <w:r w:rsidR="00177848" w:rsidRPr="00C6052E">
        <w:t xml:space="preserve"> </w:t>
      </w:r>
      <w:r w:rsidRPr="00C6052E">
        <w:t>should</w:t>
      </w:r>
      <w:r w:rsidR="00177848" w:rsidRPr="00C6052E">
        <w:t xml:space="preserve"> </w:t>
      </w:r>
      <w:r w:rsidRPr="00C6052E">
        <w:t>be</w:t>
      </w:r>
      <w:r w:rsidR="00177848" w:rsidRPr="00C6052E">
        <w:t xml:space="preserve"> </w:t>
      </w:r>
      <w:r w:rsidRPr="00C6052E">
        <w:t>determined</w:t>
      </w:r>
      <w:r w:rsidR="00177848" w:rsidRPr="00C6052E">
        <w:t xml:space="preserve"> </w:t>
      </w:r>
      <w:r w:rsidRPr="00C6052E">
        <w:t>at</w:t>
      </w:r>
      <w:r w:rsidR="00177848" w:rsidRPr="00C6052E">
        <w:t xml:space="preserve"> </w:t>
      </w:r>
      <w:r w:rsidRPr="00C6052E">
        <w:t>the</w:t>
      </w:r>
      <w:r w:rsidR="00177848" w:rsidRPr="00C6052E">
        <w:t xml:space="preserve"> </w:t>
      </w:r>
      <w:r w:rsidRPr="00C6052E">
        <w:t>reclassification</w:t>
      </w:r>
      <w:r w:rsidR="00177848" w:rsidRPr="00C6052E">
        <w:t xml:space="preserve"> </w:t>
      </w:r>
      <w:r w:rsidRPr="00C6052E">
        <w:t>date</w:t>
      </w:r>
      <w:r w:rsidR="00177848" w:rsidRPr="00C6052E">
        <w:t xml:space="preserve"> </w:t>
      </w:r>
      <w:r w:rsidRPr="00C6052E">
        <w:t>and</w:t>
      </w:r>
      <w:r w:rsidR="00177848" w:rsidRPr="00C6052E">
        <w:t xml:space="preserve"> </w:t>
      </w:r>
      <w:r w:rsidRPr="00C6052E">
        <w:t>any</w:t>
      </w:r>
      <w:r w:rsidR="00177848" w:rsidRPr="00C6052E">
        <w:t xml:space="preserve"> </w:t>
      </w:r>
      <w:r w:rsidRPr="00C6052E">
        <w:t>gain</w:t>
      </w:r>
      <w:r w:rsidR="00177848" w:rsidRPr="00C6052E">
        <w:t xml:space="preserve"> </w:t>
      </w:r>
      <w:r w:rsidRPr="00C6052E">
        <w:t>or</w:t>
      </w:r>
      <w:r w:rsidR="00177848" w:rsidRPr="00C6052E">
        <w:t xml:space="preserve"> </w:t>
      </w:r>
      <w:r w:rsidRPr="00C6052E">
        <w:t>loss</w:t>
      </w:r>
      <w:r w:rsidR="00177848" w:rsidRPr="00C6052E">
        <w:t xml:space="preserve"> </w:t>
      </w:r>
      <w:r w:rsidRPr="00C6052E">
        <w:t>arising</w:t>
      </w:r>
      <w:r w:rsidR="00177848" w:rsidRPr="00C6052E">
        <w:t xml:space="preserve"> </w:t>
      </w:r>
      <w:r w:rsidRPr="00C6052E">
        <w:t>from</w:t>
      </w:r>
      <w:r w:rsidR="00177848" w:rsidRPr="00C6052E">
        <w:t xml:space="preserve"> </w:t>
      </w:r>
      <w:r w:rsidRPr="00C6052E">
        <w:t>a</w:t>
      </w:r>
      <w:r w:rsidR="00177848" w:rsidRPr="00C6052E">
        <w:t xml:space="preserve"> </w:t>
      </w:r>
      <w:r w:rsidRPr="00C6052E">
        <w:t>difference</w:t>
      </w:r>
      <w:r w:rsidR="00177848" w:rsidRPr="00C6052E">
        <w:t xml:space="preserve"> </w:t>
      </w:r>
      <w:r w:rsidRPr="00C6052E">
        <w:t>between</w:t>
      </w:r>
      <w:r w:rsidR="00177848" w:rsidRPr="00C6052E">
        <w:t xml:space="preserve"> </w:t>
      </w:r>
      <w:r w:rsidRPr="00C6052E">
        <w:t>the</w:t>
      </w:r>
      <w:r w:rsidR="00177848" w:rsidRPr="00C6052E">
        <w:t xml:space="preserve"> </w:t>
      </w:r>
      <w:r w:rsidRPr="00C6052E">
        <w:t>previous</w:t>
      </w:r>
      <w:r w:rsidR="00177848" w:rsidRPr="00C6052E">
        <w:t xml:space="preserve"> </w:t>
      </w:r>
      <w:r w:rsidRPr="00C6052E">
        <w:t>carrying</w:t>
      </w:r>
      <w:r w:rsidR="00177848" w:rsidRPr="00C6052E">
        <w:t xml:space="preserve"> </w:t>
      </w:r>
      <w:r w:rsidRPr="00C6052E">
        <w:t>amount</w:t>
      </w:r>
      <w:r w:rsidR="00177848" w:rsidRPr="00C6052E">
        <w:t xml:space="preserve"> </w:t>
      </w:r>
      <w:r w:rsidRPr="00C6052E">
        <w:t>and</w:t>
      </w:r>
      <w:r w:rsidR="00177848" w:rsidRPr="00C6052E">
        <w:t xml:space="preserve"> </w:t>
      </w:r>
      <w:r w:rsidRPr="00C6052E">
        <w:t>fair</w:t>
      </w:r>
      <w:r w:rsidR="00177848" w:rsidRPr="00C6052E">
        <w:t xml:space="preserve"> </w:t>
      </w:r>
      <w:r w:rsidRPr="00C6052E">
        <w:t>value</w:t>
      </w:r>
      <w:r w:rsidR="00177848" w:rsidRPr="00C6052E">
        <w:t xml:space="preserve"> </w:t>
      </w:r>
      <w:r w:rsidRPr="00C6052E">
        <w:t>is</w:t>
      </w:r>
      <w:r w:rsidR="00177848" w:rsidRPr="00C6052E">
        <w:t xml:space="preserve"> </w:t>
      </w:r>
      <w:r w:rsidRPr="00C6052E">
        <w:t>recognised</w:t>
      </w:r>
      <w:r w:rsidR="00177848" w:rsidRPr="00C6052E">
        <w:t xml:space="preserve"> </w:t>
      </w:r>
      <w:r w:rsidRPr="00C6052E">
        <w:t>in</w:t>
      </w:r>
      <w:r w:rsidR="00177848" w:rsidRPr="00C6052E">
        <w:t xml:space="preserve"> </w:t>
      </w:r>
      <w:r w:rsidRPr="00C6052E">
        <w:t>net</w:t>
      </w:r>
      <w:r w:rsidR="00177848" w:rsidRPr="00C6052E">
        <w:t xml:space="preserve"> </w:t>
      </w:r>
      <w:r w:rsidRPr="00C6052E">
        <w:t>result.</w:t>
      </w:r>
      <w:r w:rsidR="00177848" w:rsidRPr="00C6052E">
        <w:t xml:space="preserve"> </w:t>
      </w:r>
    </w:p>
    <w:p w14:paraId="5ED09E7A" w14:textId="36E82A64" w:rsidR="00EE5BB8" w:rsidRPr="00C6052E" w:rsidRDefault="00EE5BB8" w:rsidP="000C0740">
      <w:pPr>
        <w:pStyle w:val="Heading3numbered0"/>
      </w:pPr>
      <w:bookmarkStart w:id="316" w:name="_Ref161825599"/>
      <w:bookmarkStart w:id="317" w:name="_Ref209532904"/>
      <w:r w:rsidRPr="00C6052E">
        <w:lastRenderedPageBreak/>
        <w:t>Financial</w:t>
      </w:r>
      <w:r w:rsidR="00177848" w:rsidRPr="00C6052E">
        <w:t xml:space="preserve"> </w:t>
      </w:r>
      <w:r w:rsidRPr="00C6052E">
        <w:t>instruments:</w:t>
      </w:r>
      <w:r w:rsidR="00177848" w:rsidRPr="00C6052E">
        <w:t xml:space="preserve"> </w:t>
      </w:r>
      <w:r w:rsidRPr="00C6052E">
        <w:t>Categorisation</w:t>
      </w:r>
      <w:bookmarkEnd w:id="316"/>
      <w:bookmarkEnd w:id="317"/>
    </w:p>
    <w:tbl>
      <w:tblPr>
        <w:tblStyle w:val="TableGrid"/>
        <w:tblW w:w="9714" w:type="dxa"/>
        <w:tblLayout w:type="fixed"/>
        <w:tblLook w:val="04E0" w:firstRow="1" w:lastRow="1" w:firstColumn="1" w:lastColumn="0" w:noHBand="0" w:noVBand="1"/>
      </w:tblPr>
      <w:tblGrid>
        <w:gridCol w:w="3681"/>
        <w:gridCol w:w="1106"/>
        <w:gridCol w:w="1605"/>
        <w:gridCol w:w="1162"/>
        <w:gridCol w:w="1162"/>
        <w:gridCol w:w="998"/>
      </w:tblGrid>
      <w:tr w:rsidR="00EE5BB8" w:rsidRPr="00C6052E" w14:paraId="69BFB95F" w14:textId="77777777" w:rsidTr="006D5FE0">
        <w:trPr>
          <w:tblHeader/>
        </w:trPr>
        <w:tc>
          <w:tcPr>
            <w:tcW w:w="3681" w:type="dxa"/>
            <w:hideMark/>
          </w:tcPr>
          <w:p w14:paraId="46C62A1E" w14:textId="77777777" w:rsidR="00EE5BB8" w:rsidRPr="00C6052E" w:rsidRDefault="00EE5BB8" w:rsidP="000F5B20">
            <w:pPr>
              <w:pStyle w:val="TableColumnHeading"/>
            </w:pPr>
            <w:bookmarkStart w:id="318" w:name="TableColumnHeadings_90"/>
            <w:bookmarkEnd w:id="318"/>
          </w:p>
        </w:tc>
        <w:tc>
          <w:tcPr>
            <w:tcW w:w="1106" w:type="dxa"/>
            <w:hideMark/>
          </w:tcPr>
          <w:p w14:paraId="3B4A9737" w14:textId="72DD0709" w:rsidR="00EE5BB8" w:rsidRPr="00C6052E" w:rsidRDefault="00EE5BB8" w:rsidP="0028635E">
            <w:pPr>
              <w:pStyle w:val="TableColumnHeading"/>
              <w:jc w:val="right"/>
              <w:rPr>
                <w:lang w:val="en-AU"/>
              </w:rPr>
            </w:pPr>
            <w:r w:rsidRPr="00C6052E">
              <w:rPr>
                <w:lang w:val="en-AU"/>
              </w:rPr>
              <w:t>Cash</w:t>
            </w:r>
            <w:r w:rsidR="00B1545C" w:rsidRPr="00C6052E">
              <w:rPr>
                <w:lang w:val="en-AU"/>
              </w:rPr>
              <w:t xml:space="preserve"> </w:t>
            </w:r>
            <w:r w:rsidRPr="00C6052E">
              <w:rPr>
                <w:lang w:val="en-AU"/>
              </w:rPr>
              <w:t>and</w:t>
            </w:r>
            <w:r w:rsidR="00177848" w:rsidRPr="00C6052E">
              <w:rPr>
                <w:lang w:val="en-AU"/>
              </w:rPr>
              <w:t xml:space="preserve"> </w:t>
            </w:r>
            <w:r w:rsidRPr="00C6052E">
              <w:rPr>
                <w:lang w:val="en-AU"/>
              </w:rPr>
              <w:t>deposits</w:t>
            </w:r>
            <w:r w:rsidR="00F660D1">
              <w:rPr>
                <w:lang w:val="en-AU"/>
              </w:rPr>
              <w:br/>
            </w:r>
            <w:r w:rsidR="00F660D1" w:rsidRPr="00C6052E">
              <w:rPr>
                <w:lang w:val="en-AU"/>
              </w:rPr>
              <w:t xml:space="preserve">($ </w:t>
            </w:r>
            <w:r w:rsidR="00F660D1">
              <w:rPr>
                <w:lang w:val="en-AU"/>
              </w:rPr>
              <w:t>‘000</w:t>
            </w:r>
            <w:r w:rsidR="00F660D1" w:rsidRPr="00C6052E">
              <w:rPr>
                <w:lang w:val="en-AU"/>
              </w:rPr>
              <w:t>)</w:t>
            </w:r>
          </w:p>
        </w:tc>
        <w:tc>
          <w:tcPr>
            <w:tcW w:w="1605" w:type="dxa"/>
            <w:hideMark/>
          </w:tcPr>
          <w:p w14:paraId="3797FC69" w14:textId="5F0288E3" w:rsidR="00EE5BB8" w:rsidRPr="00C6052E" w:rsidRDefault="00EE5BB8" w:rsidP="0028635E">
            <w:pPr>
              <w:pStyle w:val="TableColumnHeading"/>
              <w:jc w:val="right"/>
              <w:rPr>
                <w:lang w:val="en-AU"/>
              </w:rPr>
            </w:pPr>
            <w:r w:rsidRPr="00C6052E">
              <w:rPr>
                <w:lang w:val="en-AU"/>
              </w:rPr>
              <w:t>Financial</w:t>
            </w:r>
            <w:r w:rsidR="00B1545C" w:rsidRPr="00C6052E">
              <w:rPr>
                <w:lang w:val="en-AU"/>
              </w:rPr>
              <w:t xml:space="preserve"> </w:t>
            </w:r>
            <w:r w:rsidRPr="00C6052E">
              <w:rPr>
                <w:lang w:val="en-AU"/>
              </w:rPr>
              <w:t>assets/</w:t>
            </w:r>
            <w:r w:rsidR="00177848" w:rsidRPr="00C6052E">
              <w:rPr>
                <w:lang w:val="en-AU"/>
              </w:rPr>
              <w:t xml:space="preserve"> </w:t>
            </w:r>
            <w:r w:rsidRPr="00C6052E">
              <w:rPr>
                <w:lang w:val="en-AU"/>
              </w:rPr>
              <w:t>liabilities</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fair</w:t>
            </w:r>
            <w:r w:rsidR="00177848" w:rsidRPr="00C6052E">
              <w:rPr>
                <w:lang w:val="en-AU"/>
              </w:rPr>
              <w:t xml:space="preserve"> </w:t>
            </w:r>
            <w:r w:rsidRPr="00C6052E">
              <w:rPr>
                <w:lang w:val="en-AU"/>
              </w:rPr>
              <w:t>value</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net</w:t>
            </w:r>
            <w:r w:rsidR="00177848" w:rsidRPr="00C6052E">
              <w:rPr>
                <w:lang w:val="en-AU"/>
              </w:rPr>
              <w:t xml:space="preserve"> </w:t>
            </w:r>
            <w:r w:rsidRPr="00C6052E">
              <w:rPr>
                <w:lang w:val="en-AU"/>
              </w:rPr>
              <w:t>result</w:t>
            </w:r>
            <w:r w:rsidR="00177848" w:rsidRPr="00C6052E">
              <w:rPr>
                <w:lang w:val="en-AU"/>
              </w:rPr>
              <w:t xml:space="preserve"> </w:t>
            </w:r>
            <w:r w:rsidR="00F660D1">
              <w:rPr>
                <w:lang w:val="en-AU"/>
              </w:rPr>
              <w:br/>
            </w:r>
            <w:r w:rsidR="00F660D1" w:rsidRPr="00C6052E">
              <w:rPr>
                <w:lang w:val="en-AU"/>
              </w:rPr>
              <w:t xml:space="preserve">($ </w:t>
            </w:r>
            <w:r w:rsidR="00F660D1">
              <w:rPr>
                <w:lang w:val="en-AU"/>
              </w:rPr>
              <w:t>‘000</w:t>
            </w:r>
            <w:r w:rsidR="00F660D1" w:rsidRPr="00C6052E">
              <w:rPr>
                <w:lang w:val="en-AU"/>
              </w:rPr>
              <w:t>)</w:t>
            </w:r>
          </w:p>
        </w:tc>
        <w:tc>
          <w:tcPr>
            <w:tcW w:w="1162" w:type="dxa"/>
            <w:hideMark/>
          </w:tcPr>
          <w:p w14:paraId="5CBB2368" w14:textId="2067BA37" w:rsidR="00EE5BB8" w:rsidRPr="00C6052E" w:rsidRDefault="00EE5BB8" w:rsidP="0028635E">
            <w:pPr>
              <w:pStyle w:val="TableColumnHeading"/>
              <w:jc w:val="right"/>
              <w:rPr>
                <w:lang w:val="en-AU"/>
              </w:rPr>
            </w:pPr>
            <w:r w:rsidRPr="00C6052E">
              <w:rPr>
                <w:lang w:val="en-AU"/>
              </w:rPr>
              <w:t>Financial</w:t>
            </w:r>
            <w:r w:rsidR="00B1545C" w:rsidRPr="00C6052E">
              <w:rPr>
                <w:lang w:val="en-AU"/>
              </w:rPr>
              <w:t xml:space="preserve"> </w:t>
            </w:r>
            <w:r w:rsidRPr="00C6052E">
              <w:rPr>
                <w:lang w:val="en-AU"/>
              </w:rPr>
              <w:t>assets</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amortised</w:t>
            </w:r>
            <w:r w:rsidR="00177848" w:rsidRPr="00C6052E">
              <w:rPr>
                <w:lang w:val="en-AU"/>
              </w:rPr>
              <w:t xml:space="preserve"> </w:t>
            </w:r>
            <w:r w:rsidRPr="00C6052E">
              <w:rPr>
                <w:lang w:val="en-AU"/>
              </w:rPr>
              <w:t>cost</w:t>
            </w:r>
            <w:r w:rsidR="00F660D1">
              <w:rPr>
                <w:lang w:val="en-AU"/>
              </w:rPr>
              <w:br/>
            </w:r>
            <w:r w:rsidR="00F660D1" w:rsidRPr="00C6052E">
              <w:rPr>
                <w:lang w:val="en-AU"/>
              </w:rPr>
              <w:t xml:space="preserve">($ </w:t>
            </w:r>
            <w:r w:rsidR="00F660D1">
              <w:rPr>
                <w:lang w:val="en-AU"/>
              </w:rPr>
              <w:t>‘000</w:t>
            </w:r>
            <w:r w:rsidR="00F660D1" w:rsidRPr="00C6052E">
              <w:rPr>
                <w:lang w:val="en-AU"/>
              </w:rPr>
              <w:t>)</w:t>
            </w:r>
          </w:p>
        </w:tc>
        <w:tc>
          <w:tcPr>
            <w:tcW w:w="1162" w:type="dxa"/>
            <w:hideMark/>
          </w:tcPr>
          <w:p w14:paraId="124A2FC4" w14:textId="67EF7294" w:rsidR="00EE5BB8" w:rsidRPr="00C6052E" w:rsidRDefault="00EE5BB8" w:rsidP="0028635E">
            <w:pPr>
              <w:pStyle w:val="TableColumnHeading"/>
              <w:jc w:val="right"/>
              <w:rPr>
                <w:lang w:val="en-AU"/>
              </w:rPr>
            </w:pPr>
            <w:r w:rsidRPr="00C6052E">
              <w:rPr>
                <w:lang w:val="en-AU"/>
              </w:rPr>
              <w:t>Financial</w:t>
            </w:r>
            <w:r w:rsidR="00B1545C" w:rsidRPr="00C6052E">
              <w:rPr>
                <w:lang w:val="en-AU"/>
              </w:rPr>
              <w:t xml:space="preserve"> </w:t>
            </w:r>
            <w:r w:rsidRPr="00C6052E">
              <w:rPr>
                <w:lang w:val="en-AU"/>
              </w:rPr>
              <w:t>liabilities</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amortised</w:t>
            </w:r>
            <w:r w:rsidR="00177848" w:rsidRPr="00C6052E">
              <w:rPr>
                <w:lang w:val="en-AU"/>
              </w:rPr>
              <w:t xml:space="preserve"> </w:t>
            </w:r>
            <w:r w:rsidRPr="00C6052E">
              <w:rPr>
                <w:lang w:val="en-AU"/>
              </w:rPr>
              <w:t>cost</w:t>
            </w:r>
            <w:r w:rsidR="00F660D1">
              <w:rPr>
                <w:lang w:val="en-AU"/>
              </w:rPr>
              <w:br/>
            </w:r>
            <w:r w:rsidR="00F660D1" w:rsidRPr="00C6052E">
              <w:rPr>
                <w:lang w:val="en-AU"/>
              </w:rPr>
              <w:t xml:space="preserve">($ </w:t>
            </w:r>
            <w:r w:rsidR="00F660D1">
              <w:rPr>
                <w:lang w:val="en-AU"/>
              </w:rPr>
              <w:t>‘000</w:t>
            </w:r>
            <w:r w:rsidR="00F660D1" w:rsidRPr="00C6052E">
              <w:rPr>
                <w:lang w:val="en-AU"/>
              </w:rPr>
              <w:t>)</w:t>
            </w:r>
          </w:p>
        </w:tc>
        <w:tc>
          <w:tcPr>
            <w:tcW w:w="998" w:type="dxa"/>
            <w:hideMark/>
          </w:tcPr>
          <w:p w14:paraId="431723A8" w14:textId="09953F74" w:rsidR="00EE5BB8" w:rsidRPr="00C6052E" w:rsidRDefault="00EE5BB8" w:rsidP="0028635E">
            <w:pPr>
              <w:pStyle w:val="TableColumnHeading"/>
              <w:jc w:val="right"/>
            </w:pPr>
            <w:r w:rsidRPr="00C6052E">
              <w:t>Total</w:t>
            </w:r>
            <w:r w:rsidR="00F660D1">
              <w:br/>
            </w:r>
            <w:r w:rsidR="00F660D1" w:rsidRPr="00C6052E">
              <w:rPr>
                <w:lang w:val="en-AU"/>
              </w:rPr>
              <w:t xml:space="preserve">($ </w:t>
            </w:r>
            <w:r w:rsidR="00F660D1">
              <w:rPr>
                <w:lang w:val="en-AU"/>
              </w:rPr>
              <w:t>‘000</w:t>
            </w:r>
            <w:r w:rsidR="00F660D1" w:rsidRPr="00C6052E">
              <w:rPr>
                <w:lang w:val="en-AU"/>
              </w:rPr>
              <w:t>)</w:t>
            </w:r>
          </w:p>
        </w:tc>
      </w:tr>
      <w:tr w:rsidR="00F660D1" w:rsidRPr="00C6052E" w14:paraId="27B2469E" w14:textId="77777777" w:rsidTr="006D5FE0">
        <w:tc>
          <w:tcPr>
            <w:tcW w:w="3681" w:type="dxa"/>
          </w:tcPr>
          <w:p w14:paraId="1FB9C449" w14:textId="2E37B8CE" w:rsidR="00F660D1" w:rsidRPr="00C6052E" w:rsidRDefault="00F660D1" w:rsidP="00F660D1">
            <w:pPr>
              <w:pStyle w:val="TableHeading"/>
            </w:pPr>
            <w:r w:rsidRPr="00C6052E">
              <w:t>2025</w:t>
            </w:r>
          </w:p>
        </w:tc>
        <w:tc>
          <w:tcPr>
            <w:tcW w:w="1106" w:type="dxa"/>
            <w:noWrap/>
          </w:tcPr>
          <w:p w14:paraId="34ABE52F" w14:textId="77777777" w:rsidR="00F660D1" w:rsidRPr="00C6052E" w:rsidRDefault="00F660D1" w:rsidP="0028635E">
            <w:pPr>
              <w:pStyle w:val="TableHeading"/>
              <w:jc w:val="right"/>
            </w:pPr>
          </w:p>
        </w:tc>
        <w:tc>
          <w:tcPr>
            <w:tcW w:w="1605" w:type="dxa"/>
            <w:noWrap/>
          </w:tcPr>
          <w:p w14:paraId="41840C8C" w14:textId="77777777" w:rsidR="00F660D1" w:rsidRPr="00C6052E" w:rsidRDefault="00F660D1" w:rsidP="0028635E">
            <w:pPr>
              <w:pStyle w:val="TableHeading"/>
              <w:jc w:val="right"/>
            </w:pPr>
          </w:p>
        </w:tc>
        <w:tc>
          <w:tcPr>
            <w:tcW w:w="1162" w:type="dxa"/>
            <w:noWrap/>
          </w:tcPr>
          <w:p w14:paraId="01E233D9" w14:textId="77777777" w:rsidR="00F660D1" w:rsidRPr="00C6052E" w:rsidRDefault="00F660D1" w:rsidP="0028635E">
            <w:pPr>
              <w:pStyle w:val="TableHeading"/>
              <w:jc w:val="right"/>
            </w:pPr>
          </w:p>
        </w:tc>
        <w:tc>
          <w:tcPr>
            <w:tcW w:w="1162" w:type="dxa"/>
            <w:noWrap/>
          </w:tcPr>
          <w:p w14:paraId="5DEBCF44" w14:textId="77777777" w:rsidR="00F660D1" w:rsidRPr="00C6052E" w:rsidRDefault="00F660D1" w:rsidP="0028635E">
            <w:pPr>
              <w:pStyle w:val="TableHeading"/>
              <w:jc w:val="right"/>
            </w:pPr>
          </w:p>
        </w:tc>
        <w:tc>
          <w:tcPr>
            <w:tcW w:w="998" w:type="dxa"/>
            <w:noWrap/>
          </w:tcPr>
          <w:p w14:paraId="3A7B4FD4" w14:textId="77777777" w:rsidR="00F660D1" w:rsidRPr="00C6052E" w:rsidRDefault="00F660D1" w:rsidP="0028635E">
            <w:pPr>
              <w:pStyle w:val="TableHeading"/>
              <w:jc w:val="right"/>
            </w:pPr>
          </w:p>
        </w:tc>
      </w:tr>
      <w:tr w:rsidR="00F660D1" w:rsidRPr="00C6052E" w14:paraId="1DD2BD5E" w14:textId="77777777" w:rsidTr="006D5FE0">
        <w:tc>
          <w:tcPr>
            <w:tcW w:w="3681" w:type="dxa"/>
          </w:tcPr>
          <w:p w14:paraId="2EE68736" w14:textId="1BC29C91" w:rsidR="00F660D1" w:rsidRPr="00C6052E" w:rsidRDefault="00F660D1" w:rsidP="0006409B">
            <w:pPr>
              <w:pStyle w:val="TableHeading"/>
            </w:pPr>
            <w:r w:rsidRPr="00C6052E">
              <w:t>Contractual financial assets</w:t>
            </w:r>
          </w:p>
        </w:tc>
        <w:tc>
          <w:tcPr>
            <w:tcW w:w="1106" w:type="dxa"/>
            <w:noWrap/>
          </w:tcPr>
          <w:p w14:paraId="5CDDDC63" w14:textId="77777777" w:rsidR="00F660D1" w:rsidRPr="00C6052E" w:rsidRDefault="00F660D1" w:rsidP="0028635E">
            <w:pPr>
              <w:pStyle w:val="TableHeading"/>
              <w:jc w:val="right"/>
            </w:pPr>
          </w:p>
        </w:tc>
        <w:tc>
          <w:tcPr>
            <w:tcW w:w="1605" w:type="dxa"/>
            <w:noWrap/>
          </w:tcPr>
          <w:p w14:paraId="465C9D87" w14:textId="77777777" w:rsidR="00F660D1" w:rsidRPr="00C6052E" w:rsidRDefault="00F660D1" w:rsidP="0028635E">
            <w:pPr>
              <w:pStyle w:val="TableHeading"/>
              <w:jc w:val="right"/>
            </w:pPr>
          </w:p>
        </w:tc>
        <w:tc>
          <w:tcPr>
            <w:tcW w:w="1162" w:type="dxa"/>
            <w:noWrap/>
          </w:tcPr>
          <w:p w14:paraId="6A141C88" w14:textId="77777777" w:rsidR="00F660D1" w:rsidRPr="00C6052E" w:rsidRDefault="00F660D1" w:rsidP="0028635E">
            <w:pPr>
              <w:pStyle w:val="TableHeading"/>
              <w:jc w:val="right"/>
            </w:pPr>
          </w:p>
        </w:tc>
        <w:tc>
          <w:tcPr>
            <w:tcW w:w="1162" w:type="dxa"/>
            <w:noWrap/>
          </w:tcPr>
          <w:p w14:paraId="20977B1A" w14:textId="77777777" w:rsidR="00F660D1" w:rsidRPr="00C6052E" w:rsidRDefault="00F660D1" w:rsidP="0028635E">
            <w:pPr>
              <w:pStyle w:val="TableHeading"/>
              <w:jc w:val="right"/>
            </w:pPr>
          </w:p>
        </w:tc>
        <w:tc>
          <w:tcPr>
            <w:tcW w:w="998" w:type="dxa"/>
            <w:noWrap/>
          </w:tcPr>
          <w:p w14:paraId="6E5A6B49" w14:textId="77777777" w:rsidR="00F660D1" w:rsidRPr="00C6052E" w:rsidRDefault="00F660D1" w:rsidP="0028635E">
            <w:pPr>
              <w:pStyle w:val="TableHeading"/>
              <w:jc w:val="right"/>
            </w:pPr>
          </w:p>
        </w:tc>
      </w:tr>
      <w:tr w:rsidR="00EE5BB8" w:rsidRPr="00C6052E" w14:paraId="3AE7B87E" w14:textId="77777777" w:rsidTr="006D5FE0">
        <w:tc>
          <w:tcPr>
            <w:tcW w:w="3681" w:type="dxa"/>
            <w:hideMark/>
          </w:tcPr>
          <w:p w14:paraId="362F3BF6" w14:textId="63ACEE3E" w:rsidR="00EE5BB8" w:rsidRPr="00C6052E" w:rsidRDefault="00EE5BB8" w:rsidP="0063097D">
            <w:pPr>
              <w:pStyle w:val="TableCopy"/>
            </w:pPr>
            <w:r w:rsidRPr="00C6052E">
              <w:t>Cash</w:t>
            </w:r>
            <w:r w:rsidR="00177848" w:rsidRPr="00C6052E">
              <w:t xml:space="preserve"> </w:t>
            </w:r>
            <w:r w:rsidRPr="00C6052E">
              <w:t>and</w:t>
            </w:r>
            <w:r w:rsidR="00177848" w:rsidRPr="00C6052E">
              <w:t xml:space="preserve"> </w:t>
            </w:r>
            <w:r w:rsidRPr="00C6052E">
              <w:t>deposits</w:t>
            </w:r>
          </w:p>
        </w:tc>
        <w:tc>
          <w:tcPr>
            <w:tcW w:w="1106" w:type="dxa"/>
            <w:noWrap/>
            <w:hideMark/>
          </w:tcPr>
          <w:p w14:paraId="4D1C09F5" w14:textId="77777777" w:rsidR="00EE5BB8" w:rsidRPr="00C6052E" w:rsidRDefault="00EE5BB8" w:rsidP="0028635E">
            <w:pPr>
              <w:pStyle w:val="TableCopy"/>
              <w:jc w:val="right"/>
            </w:pPr>
            <w:r w:rsidRPr="00C6052E">
              <w:t>229,565</w:t>
            </w:r>
          </w:p>
        </w:tc>
        <w:tc>
          <w:tcPr>
            <w:tcW w:w="1605" w:type="dxa"/>
            <w:noWrap/>
            <w:hideMark/>
          </w:tcPr>
          <w:p w14:paraId="47B6E1AE" w14:textId="77777777" w:rsidR="00EE5BB8" w:rsidRPr="00C6052E" w:rsidRDefault="00EE5BB8" w:rsidP="0028635E">
            <w:pPr>
              <w:pStyle w:val="TableCopy"/>
              <w:jc w:val="right"/>
            </w:pPr>
            <w:r w:rsidRPr="00C6052E">
              <w:t>–</w:t>
            </w:r>
          </w:p>
        </w:tc>
        <w:tc>
          <w:tcPr>
            <w:tcW w:w="1162" w:type="dxa"/>
            <w:noWrap/>
            <w:hideMark/>
          </w:tcPr>
          <w:p w14:paraId="4DFCBCB5" w14:textId="77777777" w:rsidR="00EE5BB8" w:rsidRPr="00C6052E" w:rsidRDefault="00EE5BB8" w:rsidP="0028635E">
            <w:pPr>
              <w:pStyle w:val="TableCopy"/>
              <w:jc w:val="right"/>
            </w:pPr>
            <w:r w:rsidRPr="00C6052E">
              <w:t>–</w:t>
            </w:r>
          </w:p>
        </w:tc>
        <w:tc>
          <w:tcPr>
            <w:tcW w:w="1162" w:type="dxa"/>
            <w:noWrap/>
            <w:hideMark/>
          </w:tcPr>
          <w:p w14:paraId="73E04631" w14:textId="77777777" w:rsidR="00EE5BB8" w:rsidRPr="00C6052E" w:rsidRDefault="00EE5BB8" w:rsidP="0028635E">
            <w:pPr>
              <w:pStyle w:val="TableCopy"/>
              <w:jc w:val="right"/>
            </w:pPr>
            <w:r w:rsidRPr="00C6052E">
              <w:t>–</w:t>
            </w:r>
          </w:p>
        </w:tc>
        <w:tc>
          <w:tcPr>
            <w:tcW w:w="998" w:type="dxa"/>
            <w:noWrap/>
            <w:hideMark/>
          </w:tcPr>
          <w:p w14:paraId="7DF1A8DA" w14:textId="77777777" w:rsidR="00EE5BB8" w:rsidRPr="00C6052E" w:rsidRDefault="00EE5BB8" w:rsidP="0028635E">
            <w:pPr>
              <w:pStyle w:val="TableCopy"/>
              <w:jc w:val="right"/>
            </w:pPr>
            <w:r w:rsidRPr="00C6052E">
              <w:t>229,565</w:t>
            </w:r>
          </w:p>
        </w:tc>
      </w:tr>
      <w:tr w:rsidR="00EE5BB8" w:rsidRPr="00C6052E" w14:paraId="238D0DB3" w14:textId="77777777" w:rsidTr="006D5FE0">
        <w:tc>
          <w:tcPr>
            <w:tcW w:w="3681" w:type="dxa"/>
            <w:hideMark/>
          </w:tcPr>
          <w:p w14:paraId="669D9901" w14:textId="77777777" w:rsidR="00EE5BB8" w:rsidRPr="00C6052E" w:rsidRDefault="00EE5BB8" w:rsidP="0063097D">
            <w:pPr>
              <w:pStyle w:val="TableCopy"/>
            </w:pPr>
            <w:r w:rsidRPr="00C6052E">
              <w:t>Receivables</w:t>
            </w:r>
            <w:r w:rsidRPr="00C6052E">
              <w:rPr>
                <w:vertAlign w:val="superscript"/>
              </w:rPr>
              <w:t>(i)</w:t>
            </w:r>
          </w:p>
        </w:tc>
        <w:tc>
          <w:tcPr>
            <w:tcW w:w="1106" w:type="dxa"/>
            <w:noWrap/>
            <w:hideMark/>
          </w:tcPr>
          <w:p w14:paraId="4703B665" w14:textId="77777777" w:rsidR="00EE5BB8" w:rsidRPr="00C6052E" w:rsidRDefault="00EE5BB8" w:rsidP="0028635E">
            <w:pPr>
              <w:pStyle w:val="TableCopy"/>
              <w:jc w:val="right"/>
            </w:pPr>
            <w:r w:rsidRPr="00C6052E">
              <w:t>–</w:t>
            </w:r>
          </w:p>
        </w:tc>
        <w:tc>
          <w:tcPr>
            <w:tcW w:w="1605" w:type="dxa"/>
            <w:noWrap/>
            <w:hideMark/>
          </w:tcPr>
          <w:p w14:paraId="74792445" w14:textId="77777777" w:rsidR="00EE5BB8" w:rsidRPr="00C6052E" w:rsidRDefault="00EE5BB8" w:rsidP="0028635E">
            <w:pPr>
              <w:pStyle w:val="TableCopy"/>
              <w:jc w:val="right"/>
            </w:pPr>
            <w:r w:rsidRPr="00C6052E">
              <w:t>–</w:t>
            </w:r>
          </w:p>
        </w:tc>
        <w:tc>
          <w:tcPr>
            <w:tcW w:w="1162" w:type="dxa"/>
            <w:noWrap/>
            <w:hideMark/>
          </w:tcPr>
          <w:p w14:paraId="66715444" w14:textId="77777777" w:rsidR="00EE5BB8" w:rsidRPr="00C6052E" w:rsidRDefault="00EE5BB8" w:rsidP="0028635E">
            <w:pPr>
              <w:pStyle w:val="TableCopy"/>
              <w:jc w:val="right"/>
            </w:pPr>
            <w:r w:rsidRPr="00C6052E">
              <w:t>151,819</w:t>
            </w:r>
          </w:p>
        </w:tc>
        <w:tc>
          <w:tcPr>
            <w:tcW w:w="1162" w:type="dxa"/>
            <w:noWrap/>
            <w:hideMark/>
          </w:tcPr>
          <w:p w14:paraId="24BA8F71" w14:textId="77777777" w:rsidR="00EE5BB8" w:rsidRPr="00C6052E" w:rsidRDefault="00EE5BB8" w:rsidP="0028635E">
            <w:pPr>
              <w:pStyle w:val="TableCopy"/>
              <w:jc w:val="right"/>
            </w:pPr>
            <w:r w:rsidRPr="00C6052E">
              <w:t>–</w:t>
            </w:r>
          </w:p>
        </w:tc>
        <w:tc>
          <w:tcPr>
            <w:tcW w:w="998" w:type="dxa"/>
            <w:noWrap/>
            <w:hideMark/>
          </w:tcPr>
          <w:p w14:paraId="241DBA9E" w14:textId="77777777" w:rsidR="00EE5BB8" w:rsidRPr="00C6052E" w:rsidRDefault="00EE5BB8" w:rsidP="0028635E">
            <w:pPr>
              <w:pStyle w:val="TableCopy"/>
              <w:jc w:val="right"/>
            </w:pPr>
            <w:r w:rsidRPr="00C6052E">
              <w:t>151,819</w:t>
            </w:r>
          </w:p>
        </w:tc>
      </w:tr>
      <w:tr w:rsidR="00EE5BB8" w:rsidRPr="00C6052E" w14:paraId="6E8F9745" w14:textId="77777777" w:rsidTr="006D5FE0">
        <w:tc>
          <w:tcPr>
            <w:tcW w:w="3681" w:type="dxa"/>
            <w:hideMark/>
          </w:tcPr>
          <w:p w14:paraId="75535EBF" w14:textId="77777777" w:rsidR="00EE5BB8" w:rsidRPr="00C6052E" w:rsidRDefault="00EE5BB8" w:rsidP="0063097D">
            <w:pPr>
              <w:pStyle w:val="TableCopy"/>
            </w:pPr>
            <w:r w:rsidRPr="00C6052E">
              <w:t>Investments</w:t>
            </w:r>
          </w:p>
        </w:tc>
        <w:tc>
          <w:tcPr>
            <w:tcW w:w="1106" w:type="dxa"/>
            <w:noWrap/>
            <w:hideMark/>
          </w:tcPr>
          <w:p w14:paraId="1A66B39C" w14:textId="77777777" w:rsidR="00EE5BB8" w:rsidRPr="00C6052E" w:rsidRDefault="00EE5BB8" w:rsidP="0028635E">
            <w:pPr>
              <w:pStyle w:val="TableCopy"/>
              <w:jc w:val="right"/>
            </w:pPr>
            <w:r w:rsidRPr="00C6052E">
              <w:t>–</w:t>
            </w:r>
          </w:p>
        </w:tc>
        <w:tc>
          <w:tcPr>
            <w:tcW w:w="1605" w:type="dxa"/>
            <w:noWrap/>
            <w:hideMark/>
          </w:tcPr>
          <w:p w14:paraId="710522A3" w14:textId="77777777" w:rsidR="00EE5BB8" w:rsidRPr="00C6052E" w:rsidRDefault="00EE5BB8" w:rsidP="0028635E">
            <w:pPr>
              <w:pStyle w:val="TableCopy"/>
              <w:jc w:val="right"/>
            </w:pPr>
            <w:r w:rsidRPr="00C6052E">
              <w:t>6,261</w:t>
            </w:r>
          </w:p>
        </w:tc>
        <w:tc>
          <w:tcPr>
            <w:tcW w:w="1162" w:type="dxa"/>
            <w:noWrap/>
            <w:hideMark/>
          </w:tcPr>
          <w:p w14:paraId="6D0EC58B" w14:textId="77777777" w:rsidR="00EE5BB8" w:rsidRPr="00C6052E" w:rsidRDefault="00EE5BB8" w:rsidP="0028635E">
            <w:pPr>
              <w:pStyle w:val="TableCopy"/>
              <w:jc w:val="right"/>
            </w:pPr>
            <w:r w:rsidRPr="00C6052E">
              <w:t>–</w:t>
            </w:r>
          </w:p>
        </w:tc>
        <w:tc>
          <w:tcPr>
            <w:tcW w:w="1162" w:type="dxa"/>
            <w:noWrap/>
            <w:hideMark/>
          </w:tcPr>
          <w:p w14:paraId="6ABD48EC" w14:textId="77777777" w:rsidR="00EE5BB8" w:rsidRPr="00C6052E" w:rsidRDefault="00EE5BB8" w:rsidP="0028635E">
            <w:pPr>
              <w:pStyle w:val="TableCopy"/>
              <w:jc w:val="right"/>
            </w:pPr>
            <w:r w:rsidRPr="00C6052E">
              <w:t>–</w:t>
            </w:r>
          </w:p>
        </w:tc>
        <w:tc>
          <w:tcPr>
            <w:tcW w:w="998" w:type="dxa"/>
            <w:noWrap/>
            <w:hideMark/>
          </w:tcPr>
          <w:p w14:paraId="7AA3876F" w14:textId="77777777" w:rsidR="00EE5BB8" w:rsidRPr="00C6052E" w:rsidRDefault="00EE5BB8" w:rsidP="0028635E">
            <w:pPr>
              <w:pStyle w:val="TableCopy"/>
              <w:jc w:val="right"/>
            </w:pPr>
            <w:r w:rsidRPr="00C6052E">
              <w:t>6,261</w:t>
            </w:r>
          </w:p>
        </w:tc>
      </w:tr>
      <w:tr w:rsidR="00EE5BB8" w:rsidRPr="00C6052E" w14:paraId="4E263788" w14:textId="77777777" w:rsidTr="006D5FE0">
        <w:tc>
          <w:tcPr>
            <w:tcW w:w="3681" w:type="dxa"/>
            <w:noWrap/>
            <w:hideMark/>
          </w:tcPr>
          <w:p w14:paraId="15AB2C47" w14:textId="16DE2E1A" w:rsidR="00EE5BB8" w:rsidRPr="00C6052E" w:rsidRDefault="00EE5BB8" w:rsidP="0063097D">
            <w:pPr>
              <w:pStyle w:val="Tabletotal"/>
            </w:pPr>
            <w:r w:rsidRPr="00C6052E">
              <w:t>Total</w:t>
            </w:r>
            <w:r w:rsidR="00177848" w:rsidRPr="00C6052E">
              <w:t xml:space="preserve"> </w:t>
            </w:r>
            <w:r w:rsidRPr="00C6052E">
              <w:t>contractual</w:t>
            </w:r>
            <w:r w:rsidR="00177848" w:rsidRPr="00C6052E">
              <w:t xml:space="preserve"> </w:t>
            </w:r>
            <w:r w:rsidRPr="00C6052E">
              <w:t>financial</w:t>
            </w:r>
            <w:r w:rsidR="00177848" w:rsidRPr="00C6052E">
              <w:t xml:space="preserve"> </w:t>
            </w:r>
            <w:r w:rsidRPr="00C6052E">
              <w:t>assets</w:t>
            </w:r>
          </w:p>
        </w:tc>
        <w:tc>
          <w:tcPr>
            <w:tcW w:w="1106" w:type="dxa"/>
            <w:noWrap/>
            <w:hideMark/>
          </w:tcPr>
          <w:p w14:paraId="62CE5D28" w14:textId="77777777" w:rsidR="00EE5BB8" w:rsidRPr="00C6052E" w:rsidRDefault="00EE5BB8" w:rsidP="0028635E">
            <w:pPr>
              <w:pStyle w:val="Tabletotal"/>
              <w:jc w:val="right"/>
            </w:pPr>
            <w:r w:rsidRPr="00C6052E">
              <w:t>229,565</w:t>
            </w:r>
          </w:p>
        </w:tc>
        <w:tc>
          <w:tcPr>
            <w:tcW w:w="1605" w:type="dxa"/>
            <w:noWrap/>
            <w:hideMark/>
          </w:tcPr>
          <w:p w14:paraId="21D8BEAB" w14:textId="77777777" w:rsidR="00EE5BB8" w:rsidRPr="00C6052E" w:rsidRDefault="00EE5BB8" w:rsidP="0028635E">
            <w:pPr>
              <w:pStyle w:val="Tabletotal"/>
              <w:jc w:val="right"/>
            </w:pPr>
            <w:r w:rsidRPr="00C6052E">
              <w:t>6,261</w:t>
            </w:r>
          </w:p>
        </w:tc>
        <w:tc>
          <w:tcPr>
            <w:tcW w:w="1162" w:type="dxa"/>
            <w:noWrap/>
            <w:hideMark/>
          </w:tcPr>
          <w:p w14:paraId="1317789F" w14:textId="77777777" w:rsidR="00EE5BB8" w:rsidRPr="00C6052E" w:rsidRDefault="00EE5BB8" w:rsidP="0028635E">
            <w:pPr>
              <w:pStyle w:val="Tabletotal"/>
              <w:jc w:val="right"/>
            </w:pPr>
            <w:r w:rsidRPr="00C6052E">
              <w:t>151,819</w:t>
            </w:r>
          </w:p>
        </w:tc>
        <w:tc>
          <w:tcPr>
            <w:tcW w:w="1162" w:type="dxa"/>
            <w:noWrap/>
            <w:hideMark/>
          </w:tcPr>
          <w:p w14:paraId="067B1EB8" w14:textId="77777777" w:rsidR="00EE5BB8" w:rsidRPr="00C6052E" w:rsidRDefault="00EE5BB8" w:rsidP="0028635E">
            <w:pPr>
              <w:pStyle w:val="Tabletotal"/>
              <w:jc w:val="right"/>
            </w:pPr>
            <w:r w:rsidRPr="00C6052E">
              <w:t>–</w:t>
            </w:r>
          </w:p>
        </w:tc>
        <w:tc>
          <w:tcPr>
            <w:tcW w:w="998" w:type="dxa"/>
            <w:noWrap/>
            <w:hideMark/>
          </w:tcPr>
          <w:p w14:paraId="3C5619BD" w14:textId="77777777" w:rsidR="00EE5BB8" w:rsidRPr="00C6052E" w:rsidRDefault="00EE5BB8" w:rsidP="0028635E">
            <w:pPr>
              <w:pStyle w:val="Tabletotal"/>
              <w:jc w:val="right"/>
            </w:pPr>
            <w:r w:rsidRPr="00C6052E">
              <w:t>387,645</w:t>
            </w:r>
          </w:p>
        </w:tc>
      </w:tr>
      <w:tr w:rsidR="0028635E" w:rsidRPr="00C6052E" w14:paraId="70205F82" w14:textId="77777777" w:rsidTr="006D5FE0">
        <w:tc>
          <w:tcPr>
            <w:tcW w:w="3681" w:type="dxa"/>
          </w:tcPr>
          <w:p w14:paraId="75D9C0E9" w14:textId="23D686B0" w:rsidR="0028635E" w:rsidRPr="00C6052E" w:rsidRDefault="0028635E" w:rsidP="0075117D">
            <w:pPr>
              <w:pStyle w:val="TableHeading"/>
            </w:pPr>
            <w:r w:rsidRPr="00C6052E">
              <w:t>Contractual financial liabilities</w:t>
            </w:r>
          </w:p>
        </w:tc>
        <w:tc>
          <w:tcPr>
            <w:tcW w:w="1106" w:type="dxa"/>
            <w:noWrap/>
          </w:tcPr>
          <w:p w14:paraId="3DCA9AE3" w14:textId="77777777" w:rsidR="0028635E" w:rsidRPr="00C6052E" w:rsidRDefault="0028635E" w:rsidP="0028635E">
            <w:pPr>
              <w:pStyle w:val="TableHeading"/>
              <w:jc w:val="right"/>
            </w:pPr>
          </w:p>
        </w:tc>
        <w:tc>
          <w:tcPr>
            <w:tcW w:w="1605" w:type="dxa"/>
            <w:noWrap/>
          </w:tcPr>
          <w:p w14:paraId="20A4D434" w14:textId="77777777" w:rsidR="0028635E" w:rsidRPr="00C6052E" w:rsidRDefault="0028635E" w:rsidP="0028635E">
            <w:pPr>
              <w:pStyle w:val="TableHeading"/>
              <w:jc w:val="right"/>
            </w:pPr>
          </w:p>
        </w:tc>
        <w:tc>
          <w:tcPr>
            <w:tcW w:w="1162" w:type="dxa"/>
            <w:noWrap/>
          </w:tcPr>
          <w:p w14:paraId="6E6D8B48" w14:textId="77777777" w:rsidR="0028635E" w:rsidRPr="00C6052E" w:rsidRDefault="0028635E" w:rsidP="0028635E">
            <w:pPr>
              <w:pStyle w:val="TableHeading"/>
              <w:jc w:val="right"/>
            </w:pPr>
          </w:p>
        </w:tc>
        <w:tc>
          <w:tcPr>
            <w:tcW w:w="1162" w:type="dxa"/>
            <w:noWrap/>
          </w:tcPr>
          <w:p w14:paraId="7B85326D" w14:textId="77777777" w:rsidR="0028635E" w:rsidRPr="00C6052E" w:rsidRDefault="0028635E" w:rsidP="0028635E">
            <w:pPr>
              <w:pStyle w:val="TableHeading"/>
              <w:jc w:val="right"/>
            </w:pPr>
          </w:p>
        </w:tc>
        <w:tc>
          <w:tcPr>
            <w:tcW w:w="998" w:type="dxa"/>
            <w:noWrap/>
          </w:tcPr>
          <w:p w14:paraId="3FEC87BE" w14:textId="77777777" w:rsidR="0028635E" w:rsidRPr="00C6052E" w:rsidRDefault="0028635E" w:rsidP="0028635E">
            <w:pPr>
              <w:pStyle w:val="TableHeading"/>
              <w:jc w:val="right"/>
            </w:pPr>
          </w:p>
        </w:tc>
      </w:tr>
      <w:tr w:rsidR="0028635E" w:rsidRPr="00C6052E" w14:paraId="214B28E4" w14:textId="77777777" w:rsidTr="006D5FE0">
        <w:tc>
          <w:tcPr>
            <w:tcW w:w="3681" w:type="dxa"/>
          </w:tcPr>
          <w:p w14:paraId="7940A1D6" w14:textId="5709536D" w:rsidR="0028635E" w:rsidRPr="00C6052E" w:rsidRDefault="0028635E" w:rsidP="00394372">
            <w:pPr>
              <w:pStyle w:val="TableHeading"/>
            </w:pPr>
            <w:r w:rsidRPr="00C6052E">
              <w:t>Payables</w:t>
            </w:r>
            <w:r w:rsidRPr="00C6052E">
              <w:rPr>
                <w:vertAlign w:val="superscript"/>
              </w:rPr>
              <w:t>(i)</w:t>
            </w:r>
          </w:p>
        </w:tc>
        <w:tc>
          <w:tcPr>
            <w:tcW w:w="1106" w:type="dxa"/>
            <w:noWrap/>
          </w:tcPr>
          <w:p w14:paraId="3F8D93AA" w14:textId="77777777" w:rsidR="0028635E" w:rsidRPr="00C6052E" w:rsidRDefault="0028635E" w:rsidP="0028635E">
            <w:pPr>
              <w:pStyle w:val="TableHeading"/>
              <w:jc w:val="right"/>
            </w:pPr>
          </w:p>
        </w:tc>
        <w:tc>
          <w:tcPr>
            <w:tcW w:w="1605" w:type="dxa"/>
            <w:noWrap/>
          </w:tcPr>
          <w:p w14:paraId="3566C397" w14:textId="77777777" w:rsidR="0028635E" w:rsidRPr="00C6052E" w:rsidRDefault="0028635E" w:rsidP="0028635E">
            <w:pPr>
              <w:pStyle w:val="TableHeading"/>
              <w:jc w:val="right"/>
            </w:pPr>
          </w:p>
        </w:tc>
        <w:tc>
          <w:tcPr>
            <w:tcW w:w="1162" w:type="dxa"/>
            <w:noWrap/>
          </w:tcPr>
          <w:p w14:paraId="426A41BC" w14:textId="77777777" w:rsidR="0028635E" w:rsidRPr="00C6052E" w:rsidRDefault="0028635E" w:rsidP="0028635E">
            <w:pPr>
              <w:pStyle w:val="TableHeading"/>
              <w:jc w:val="right"/>
            </w:pPr>
          </w:p>
        </w:tc>
        <w:tc>
          <w:tcPr>
            <w:tcW w:w="1162" w:type="dxa"/>
            <w:noWrap/>
          </w:tcPr>
          <w:p w14:paraId="0168A6E3" w14:textId="77777777" w:rsidR="0028635E" w:rsidRPr="00C6052E" w:rsidRDefault="0028635E" w:rsidP="0028635E">
            <w:pPr>
              <w:pStyle w:val="TableHeading"/>
              <w:jc w:val="right"/>
            </w:pPr>
          </w:p>
        </w:tc>
        <w:tc>
          <w:tcPr>
            <w:tcW w:w="998" w:type="dxa"/>
            <w:noWrap/>
          </w:tcPr>
          <w:p w14:paraId="26D700EC" w14:textId="77777777" w:rsidR="0028635E" w:rsidRPr="00C6052E" w:rsidRDefault="0028635E" w:rsidP="0028635E">
            <w:pPr>
              <w:pStyle w:val="TableHeading"/>
              <w:jc w:val="right"/>
            </w:pPr>
          </w:p>
        </w:tc>
      </w:tr>
      <w:tr w:rsidR="00EE5BB8" w:rsidRPr="00C6052E" w14:paraId="242B9C46" w14:textId="77777777" w:rsidTr="006D5FE0">
        <w:tc>
          <w:tcPr>
            <w:tcW w:w="3681" w:type="dxa"/>
            <w:hideMark/>
          </w:tcPr>
          <w:p w14:paraId="2F19D490" w14:textId="2714D879" w:rsidR="00EE5BB8" w:rsidRPr="00C6052E" w:rsidRDefault="00EE5BB8" w:rsidP="0063097D">
            <w:pPr>
              <w:pStyle w:val="TableCopy"/>
            </w:pPr>
            <w:r w:rsidRPr="00C6052E">
              <w:t>–</w:t>
            </w:r>
            <w:r w:rsidR="00177848" w:rsidRPr="00C6052E">
              <w:t xml:space="preserve"> </w:t>
            </w:r>
            <w:r w:rsidRPr="00C6052E">
              <w:t>Supplies</w:t>
            </w:r>
            <w:r w:rsidR="00177848" w:rsidRPr="00C6052E">
              <w:t xml:space="preserve"> </w:t>
            </w:r>
            <w:r w:rsidRPr="00C6052E">
              <w:t>and</w:t>
            </w:r>
            <w:r w:rsidR="00177848" w:rsidRPr="00C6052E">
              <w:t xml:space="preserve"> </w:t>
            </w:r>
            <w:r w:rsidRPr="00C6052E">
              <w:t>services</w:t>
            </w:r>
          </w:p>
        </w:tc>
        <w:tc>
          <w:tcPr>
            <w:tcW w:w="1106" w:type="dxa"/>
            <w:noWrap/>
            <w:hideMark/>
          </w:tcPr>
          <w:p w14:paraId="0CFC5B9A" w14:textId="77777777" w:rsidR="00EE5BB8" w:rsidRPr="00C6052E" w:rsidRDefault="00EE5BB8" w:rsidP="0028635E">
            <w:pPr>
              <w:pStyle w:val="TableCopy"/>
              <w:jc w:val="right"/>
            </w:pPr>
            <w:r w:rsidRPr="00C6052E">
              <w:t>–</w:t>
            </w:r>
          </w:p>
        </w:tc>
        <w:tc>
          <w:tcPr>
            <w:tcW w:w="1605" w:type="dxa"/>
            <w:noWrap/>
            <w:hideMark/>
          </w:tcPr>
          <w:p w14:paraId="4852DAC4" w14:textId="77777777" w:rsidR="00EE5BB8" w:rsidRPr="00C6052E" w:rsidRDefault="00EE5BB8" w:rsidP="0028635E">
            <w:pPr>
              <w:pStyle w:val="TableCopy"/>
              <w:jc w:val="right"/>
            </w:pPr>
            <w:r w:rsidRPr="00C6052E">
              <w:t>–</w:t>
            </w:r>
          </w:p>
        </w:tc>
        <w:tc>
          <w:tcPr>
            <w:tcW w:w="1162" w:type="dxa"/>
            <w:noWrap/>
            <w:hideMark/>
          </w:tcPr>
          <w:p w14:paraId="2D9F7768" w14:textId="77777777" w:rsidR="00EE5BB8" w:rsidRPr="00C6052E" w:rsidRDefault="00EE5BB8" w:rsidP="0028635E">
            <w:pPr>
              <w:pStyle w:val="TableCopy"/>
              <w:jc w:val="right"/>
            </w:pPr>
            <w:r w:rsidRPr="00C6052E">
              <w:t>–</w:t>
            </w:r>
          </w:p>
        </w:tc>
        <w:tc>
          <w:tcPr>
            <w:tcW w:w="1162" w:type="dxa"/>
            <w:noWrap/>
            <w:hideMark/>
          </w:tcPr>
          <w:p w14:paraId="59B4A154" w14:textId="77777777" w:rsidR="00EE5BB8" w:rsidRPr="00C6052E" w:rsidRDefault="00EE5BB8" w:rsidP="0028635E">
            <w:pPr>
              <w:pStyle w:val="TableCopy"/>
              <w:jc w:val="right"/>
            </w:pPr>
            <w:r w:rsidRPr="00C6052E">
              <w:t>13,205</w:t>
            </w:r>
          </w:p>
        </w:tc>
        <w:tc>
          <w:tcPr>
            <w:tcW w:w="998" w:type="dxa"/>
            <w:noWrap/>
            <w:hideMark/>
          </w:tcPr>
          <w:p w14:paraId="019DF779" w14:textId="77777777" w:rsidR="00EE5BB8" w:rsidRPr="00C6052E" w:rsidRDefault="00EE5BB8" w:rsidP="0028635E">
            <w:pPr>
              <w:pStyle w:val="TableCopy"/>
              <w:jc w:val="right"/>
            </w:pPr>
            <w:r w:rsidRPr="00C6052E">
              <w:t>13,205</w:t>
            </w:r>
          </w:p>
        </w:tc>
      </w:tr>
      <w:tr w:rsidR="00EE5BB8" w:rsidRPr="00C6052E" w14:paraId="01E38B30" w14:textId="77777777" w:rsidTr="006D5FE0">
        <w:tc>
          <w:tcPr>
            <w:tcW w:w="3681" w:type="dxa"/>
            <w:hideMark/>
          </w:tcPr>
          <w:p w14:paraId="3816EF91" w14:textId="41CF7A26" w:rsidR="00EE5BB8" w:rsidRPr="00C6052E" w:rsidRDefault="00EE5BB8" w:rsidP="0063097D">
            <w:pPr>
              <w:pStyle w:val="TableCopy"/>
            </w:pPr>
            <w:r w:rsidRPr="00C6052E">
              <w:t>–</w:t>
            </w:r>
            <w:r w:rsidR="00177848" w:rsidRPr="00C6052E">
              <w:t xml:space="preserve"> </w:t>
            </w:r>
            <w:r w:rsidRPr="00C6052E">
              <w:t>Accrued</w:t>
            </w:r>
            <w:r w:rsidR="00177848" w:rsidRPr="00C6052E">
              <w:t xml:space="preserve"> </w:t>
            </w:r>
            <w:r w:rsidRPr="00C6052E">
              <w:t>grants</w:t>
            </w:r>
            <w:r w:rsidR="00177848" w:rsidRPr="00C6052E">
              <w:t xml:space="preserve"> </w:t>
            </w:r>
          </w:p>
        </w:tc>
        <w:tc>
          <w:tcPr>
            <w:tcW w:w="1106" w:type="dxa"/>
            <w:noWrap/>
            <w:hideMark/>
          </w:tcPr>
          <w:p w14:paraId="62F14D40" w14:textId="77777777" w:rsidR="00EE5BB8" w:rsidRPr="00C6052E" w:rsidRDefault="00EE5BB8" w:rsidP="0028635E">
            <w:pPr>
              <w:pStyle w:val="TableCopy"/>
              <w:jc w:val="right"/>
            </w:pPr>
            <w:r w:rsidRPr="00C6052E">
              <w:t>–</w:t>
            </w:r>
          </w:p>
        </w:tc>
        <w:tc>
          <w:tcPr>
            <w:tcW w:w="1605" w:type="dxa"/>
            <w:noWrap/>
            <w:hideMark/>
          </w:tcPr>
          <w:p w14:paraId="5E2D81FD" w14:textId="77777777" w:rsidR="00EE5BB8" w:rsidRPr="00C6052E" w:rsidRDefault="00EE5BB8" w:rsidP="0028635E">
            <w:pPr>
              <w:pStyle w:val="TableCopy"/>
              <w:jc w:val="right"/>
            </w:pPr>
            <w:r w:rsidRPr="00C6052E">
              <w:t>–</w:t>
            </w:r>
          </w:p>
        </w:tc>
        <w:tc>
          <w:tcPr>
            <w:tcW w:w="1162" w:type="dxa"/>
            <w:noWrap/>
            <w:hideMark/>
          </w:tcPr>
          <w:p w14:paraId="12E0BCC7" w14:textId="77777777" w:rsidR="00EE5BB8" w:rsidRPr="00C6052E" w:rsidRDefault="00EE5BB8" w:rsidP="0028635E">
            <w:pPr>
              <w:pStyle w:val="TableCopy"/>
              <w:jc w:val="right"/>
            </w:pPr>
            <w:r w:rsidRPr="00C6052E">
              <w:t>–</w:t>
            </w:r>
          </w:p>
        </w:tc>
        <w:tc>
          <w:tcPr>
            <w:tcW w:w="1162" w:type="dxa"/>
            <w:noWrap/>
            <w:hideMark/>
          </w:tcPr>
          <w:p w14:paraId="52B6C70E" w14:textId="77777777" w:rsidR="00EE5BB8" w:rsidRPr="00C6052E" w:rsidRDefault="00EE5BB8" w:rsidP="0028635E">
            <w:pPr>
              <w:pStyle w:val="TableCopy"/>
              <w:jc w:val="right"/>
            </w:pPr>
            <w:r w:rsidRPr="00C6052E">
              <w:t>329,363</w:t>
            </w:r>
          </w:p>
        </w:tc>
        <w:tc>
          <w:tcPr>
            <w:tcW w:w="998" w:type="dxa"/>
            <w:noWrap/>
            <w:hideMark/>
          </w:tcPr>
          <w:p w14:paraId="48FF36BB" w14:textId="77777777" w:rsidR="00EE5BB8" w:rsidRPr="00C6052E" w:rsidRDefault="00EE5BB8" w:rsidP="0028635E">
            <w:pPr>
              <w:pStyle w:val="TableCopy"/>
              <w:jc w:val="right"/>
            </w:pPr>
            <w:r w:rsidRPr="00C6052E">
              <w:t>329,363</w:t>
            </w:r>
          </w:p>
        </w:tc>
      </w:tr>
      <w:tr w:rsidR="00EE5BB8" w:rsidRPr="00C6052E" w14:paraId="3D41C82A" w14:textId="77777777" w:rsidTr="006D5FE0">
        <w:tc>
          <w:tcPr>
            <w:tcW w:w="3681" w:type="dxa"/>
            <w:hideMark/>
          </w:tcPr>
          <w:p w14:paraId="115F6F75" w14:textId="46F40848" w:rsidR="00EE5BB8" w:rsidRPr="00C6052E" w:rsidRDefault="00EE5BB8" w:rsidP="0063097D">
            <w:pPr>
              <w:pStyle w:val="TableCopy"/>
            </w:pPr>
            <w:r w:rsidRPr="00C6052E">
              <w:t>–</w:t>
            </w:r>
            <w:r w:rsidR="00177848" w:rsidRPr="00C6052E">
              <w:t xml:space="preserve"> </w:t>
            </w:r>
            <w:r w:rsidRPr="00C6052E">
              <w:t>Other</w:t>
            </w:r>
            <w:r w:rsidR="00177848" w:rsidRPr="00C6052E">
              <w:t xml:space="preserve"> </w:t>
            </w:r>
            <w:r w:rsidRPr="00C6052E">
              <w:t>amounts</w:t>
            </w:r>
            <w:r w:rsidR="00177848" w:rsidRPr="00C6052E">
              <w:t xml:space="preserve"> </w:t>
            </w:r>
            <w:r w:rsidRPr="00C6052E">
              <w:t>payable</w:t>
            </w:r>
            <w:r w:rsidR="00177848" w:rsidRPr="00C6052E">
              <w:t xml:space="preserve"> </w:t>
            </w:r>
          </w:p>
        </w:tc>
        <w:tc>
          <w:tcPr>
            <w:tcW w:w="1106" w:type="dxa"/>
            <w:noWrap/>
            <w:hideMark/>
          </w:tcPr>
          <w:p w14:paraId="154385C5" w14:textId="77777777" w:rsidR="00EE5BB8" w:rsidRPr="00C6052E" w:rsidRDefault="00EE5BB8" w:rsidP="0028635E">
            <w:pPr>
              <w:pStyle w:val="TableCopy"/>
              <w:jc w:val="right"/>
            </w:pPr>
            <w:r w:rsidRPr="00C6052E">
              <w:t>–</w:t>
            </w:r>
          </w:p>
        </w:tc>
        <w:tc>
          <w:tcPr>
            <w:tcW w:w="1605" w:type="dxa"/>
            <w:noWrap/>
            <w:hideMark/>
          </w:tcPr>
          <w:p w14:paraId="5A6F8BC4" w14:textId="77777777" w:rsidR="00EE5BB8" w:rsidRPr="00C6052E" w:rsidRDefault="00EE5BB8" w:rsidP="0028635E">
            <w:pPr>
              <w:pStyle w:val="TableCopy"/>
              <w:jc w:val="right"/>
            </w:pPr>
            <w:r w:rsidRPr="00C6052E">
              <w:t>–</w:t>
            </w:r>
          </w:p>
        </w:tc>
        <w:tc>
          <w:tcPr>
            <w:tcW w:w="1162" w:type="dxa"/>
            <w:noWrap/>
            <w:hideMark/>
          </w:tcPr>
          <w:p w14:paraId="0451B6B3" w14:textId="77777777" w:rsidR="00EE5BB8" w:rsidRPr="00C6052E" w:rsidRDefault="00EE5BB8" w:rsidP="0028635E">
            <w:pPr>
              <w:pStyle w:val="TableCopy"/>
              <w:jc w:val="right"/>
            </w:pPr>
            <w:r w:rsidRPr="00C6052E">
              <w:t>–</w:t>
            </w:r>
          </w:p>
        </w:tc>
        <w:tc>
          <w:tcPr>
            <w:tcW w:w="1162" w:type="dxa"/>
            <w:noWrap/>
            <w:hideMark/>
          </w:tcPr>
          <w:p w14:paraId="4DDA91FF" w14:textId="77777777" w:rsidR="00EE5BB8" w:rsidRPr="00C6052E" w:rsidRDefault="00EE5BB8" w:rsidP="0028635E">
            <w:pPr>
              <w:pStyle w:val="TableCopy"/>
              <w:jc w:val="right"/>
            </w:pPr>
            <w:r w:rsidRPr="00C6052E">
              <w:t>41,273</w:t>
            </w:r>
          </w:p>
        </w:tc>
        <w:tc>
          <w:tcPr>
            <w:tcW w:w="998" w:type="dxa"/>
            <w:noWrap/>
            <w:hideMark/>
          </w:tcPr>
          <w:p w14:paraId="551FBA7A" w14:textId="77777777" w:rsidR="00EE5BB8" w:rsidRPr="00C6052E" w:rsidRDefault="00EE5BB8" w:rsidP="0028635E">
            <w:pPr>
              <w:pStyle w:val="TableCopy"/>
              <w:jc w:val="right"/>
            </w:pPr>
            <w:r w:rsidRPr="00C6052E">
              <w:t>41,273</w:t>
            </w:r>
          </w:p>
        </w:tc>
      </w:tr>
      <w:tr w:rsidR="0028635E" w:rsidRPr="00C6052E" w14:paraId="113ECFA7" w14:textId="77777777" w:rsidTr="006D5FE0">
        <w:tc>
          <w:tcPr>
            <w:tcW w:w="3681" w:type="dxa"/>
          </w:tcPr>
          <w:p w14:paraId="138BED38" w14:textId="429C1FF3" w:rsidR="0028635E" w:rsidRPr="00C6052E" w:rsidRDefault="0028635E" w:rsidP="007E1206">
            <w:pPr>
              <w:pStyle w:val="TableHeading"/>
            </w:pPr>
            <w:r w:rsidRPr="00C6052E">
              <w:t>Borrowings</w:t>
            </w:r>
          </w:p>
        </w:tc>
        <w:tc>
          <w:tcPr>
            <w:tcW w:w="1106" w:type="dxa"/>
            <w:noWrap/>
          </w:tcPr>
          <w:p w14:paraId="7A182FFE" w14:textId="77777777" w:rsidR="0028635E" w:rsidRPr="00C6052E" w:rsidRDefault="0028635E" w:rsidP="0028635E">
            <w:pPr>
              <w:pStyle w:val="TableHeading"/>
              <w:jc w:val="right"/>
            </w:pPr>
          </w:p>
        </w:tc>
        <w:tc>
          <w:tcPr>
            <w:tcW w:w="1605" w:type="dxa"/>
            <w:noWrap/>
          </w:tcPr>
          <w:p w14:paraId="0CF61B63" w14:textId="77777777" w:rsidR="0028635E" w:rsidRPr="00C6052E" w:rsidRDefault="0028635E" w:rsidP="0028635E">
            <w:pPr>
              <w:pStyle w:val="TableHeading"/>
              <w:jc w:val="right"/>
            </w:pPr>
          </w:p>
        </w:tc>
        <w:tc>
          <w:tcPr>
            <w:tcW w:w="1162" w:type="dxa"/>
            <w:noWrap/>
          </w:tcPr>
          <w:p w14:paraId="58855F08" w14:textId="77777777" w:rsidR="0028635E" w:rsidRPr="00C6052E" w:rsidRDefault="0028635E" w:rsidP="0028635E">
            <w:pPr>
              <w:pStyle w:val="TableHeading"/>
              <w:jc w:val="right"/>
            </w:pPr>
          </w:p>
        </w:tc>
        <w:tc>
          <w:tcPr>
            <w:tcW w:w="1162" w:type="dxa"/>
            <w:noWrap/>
          </w:tcPr>
          <w:p w14:paraId="0F9BAD58" w14:textId="77777777" w:rsidR="0028635E" w:rsidRPr="00C6052E" w:rsidRDefault="0028635E" w:rsidP="0028635E">
            <w:pPr>
              <w:pStyle w:val="TableHeading"/>
              <w:jc w:val="right"/>
            </w:pPr>
          </w:p>
        </w:tc>
        <w:tc>
          <w:tcPr>
            <w:tcW w:w="998" w:type="dxa"/>
            <w:noWrap/>
          </w:tcPr>
          <w:p w14:paraId="6255D0F9" w14:textId="77777777" w:rsidR="0028635E" w:rsidRPr="00C6052E" w:rsidRDefault="0028635E" w:rsidP="0028635E">
            <w:pPr>
              <w:pStyle w:val="TableHeading"/>
              <w:jc w:val="right"/>
            </w:pPr>
          </w:p>
        </w:tc>
      </w:tr>
      <w:tr w:rsidR="00EE5BB8" w:rsidRPr="00C6052E" w14:paraId="37D90C4E" w14:textId="77777777" w:rsidTr="006D5FE0">
        <w:tc>
          <w:tcPr>
            <w:tcW w:w="3681" w:type="dxa"/>
            <w:hideMark/>
          </w:tcPr>
          <w:p w14:paraId="54CAC01F" w14:textId="3CC0CBE2" w:rsidR="00EE5BB8" w:rsidRPr="00C6052E" w:rsidRDefault="00EE5BB8" w:rsidP="0063097D">
            <w:pPr>
              <w:pStyle w:val="TableCopy"/>
            </w:pPr>
            <w:r w:rsidRPr="00C6052E">
              <w:t>–</w:t>
            </w:r>
            <w:r w:rsidR="00177848" w:rsidRPr="00C6052E">
              <w:t xml:space="preserve"> </w:t>
            </w:r>
            <w:r w:rsidRPr="00C6052E">
              <w:t>Lease</w:t>
            </w:r>
            <w:r w:rsidR="00177848" w:rsidRPr="00C6052E">
              <w:t xml:space="preserve"> </w:t>
            </w:r>
            <w:r w:rsidRPr="00C6052E">
              <w:t>liabilities</w:t>
            </w:r>
            <w:r w:rsidR="00177848" w:rsidRPr="00C6052E">
              <w:t xml:space="preserve"> </w:t>
            </w:r>
          </w:p>
        </w:tc>
        <w:tc>
          <w:tcPr>
            <w:tcW w:w="1106" w:type="dxa"/>
            <w:noWrap/>
            <w:hideMark/>
          </w:tcPr>
          <w:p w14:paraId="013937D6" w14:textId="77777777" w:rsidR="00EE5BB8" w:rsidRPr="00C6052E" w:rsidRDefault="00EE5BB8" w:rsidP="0028635E">
            <w:pPr>
              <w:pStyle w:val="TableCopy"/>
              <w:jc w:val="right"/>
            </w:pPr>
            <w:r w:rsidRPr="00C6052E">
              <w:t>–</w:t>
            </w:r>
          </w:p>
        </w:tc>
        <w:tc>
          <w:tcPr>
            <w:tcW w:w="1605" w:type="dxa"/>
            <w:noWrap/>
            <w:hideMark/>
          </w:tcPr>
          <w:p w14:paraId="0B1FC6AA" w14:textId="77777777" w:rsidR="00EE5BB8" w:rsidRPr="00C6052E" w:rsidRDefault="00EE5BB8" w:rsidP="0028635E">
            <w:pPr>
              <w:pStyle w:val="TableCopy"/>
              <w:jc w:val="right"/>
            </w:pPr>
            <w:r w:rsidRPr="00C6052E">
              <w:t>–</w:t>
            </w:r>
          </w:p>
        </w:tc>
        <w:tc>
          <w:tcPr>
            <w:tcW w:w="1162" w:type="dxa"/>
            <w:noWrap/>
            <w:hideMark/>
          </w:tcPr>
          <w:p w14:paraId="5D152AE5" w14:textId="77777777" w:rsidR="00EE5BB8" w:rsidRPr="00C6052E" w:rsidRDefault="00EE5BB8" w:rsidP="0028635E">
            <w:pPr>
              <w:pStyle w:val="TableCopy"/>
              <w:jc w:val="right"/>
            </w:pPr>
            <w:r w:rsidRPr="00C6052E">
              <w:t>–</w:t>
            </w:r>
          </w:p>
        </w:tc>
        <w:tc>
          <w:tcPr>
            <w:tcW w:w="1162" w:type="dxa"/>
            <w:noWrap/>
            <w:hideMark/>
          </w:tcPr>
          <w:p w14:paraId="101B6EF2" w14:textId="77777777" w:rsidR="00EE5BB8" w:rsidRPr="00C6052E" w:rsidRDefault="00EE5BB8" w:rsidP="0028635E">
            <w:pPr>
              <w:pStyle w:val="TableCopy"/>
              <w:jc w:val="right"/>
            </w:pPr>
            <w:r w:rsidRPr="00C6052E">
              <w:t>12,633</w:t>
            </w:r>
          </w:p>
        </w:tc>
        <w:tc>
          <w:tcPr>
            <w:tcW w:w="998" w:type="dxa"/>
            <w:noWrap/>
            <w:hideMark/>
          </w:tcPr>
          <w:p w14:paraId="077BEA52" w14:textId="77777777" w:rsidR="00EE5BB8" w:rsidRPr="00C6052E" w:rsidRDefault="00EE5BB8" w:rsidP="0028635E">
            <w:pPr>
              <w:pStyle w:val="TableCopy"/>
              <w:jc w:val="right"/>
            </w:pPr>
            <w:r w:rsidRPr="00C6052E">
              <w:t>12,633</w:t>
            </w:r>
          </w:p>
        </w:tc>
      </w:tr>
      <w:tr w:rsidR="00EE5BB8" w:rsidRPr="00C6052E" w14:paraId="702AA29A" w14:textId="77777777" w:rsidTr="006D5FE0">
        <w:tc>
          <w:tcPr>
            <w:tcW w:w="3681" w:type="dxa"/>
            <w:hideMark/>
          </w:tcPr>
          <w:p w14:paraId="1CB9CEE0" w14:textId="725E175C" w:rsidR="00EE5BB8" w:rsidRPr="00C6052E" w:rsidRDefault="00EE5BB8" w:rsidP="0063097D">
            <w:pPr>
              <w:pStyle w:val="TableCopy"/>
            </w:pPr>
            <w:r w:rsidRPr="00C6052E">
              <w:t>–</w:t>
            </w:r>
            <w:r w:rsidR="00177848" w:rsidRPr="00C6052E">
              <w:t xml:space="preserve"> </w:t>
            </w:r>
            <w:r w:rsidRPr="00C6052E">
              <w:t>Advances</w:t>
            </w:r>
            <w:r w:rsidR="00177848" w:rsidRPr="00C6052E">
              <w:t xml:space="preserve"> </w:t>
            </w:r>
            <w:r w:rsidRPr="00C6052E">
              <w:t>from</w:t>
            </w:r>
            <w:r w:rsidR="00177848" w:rsidRPr="00C6052E">
              <w:t xml:space="preserve"> </w:t>
            </w:r>
            <w:r w:rsidRPr="00C6052E">
              <w:t>government</w:t>
            </w:r>
          </w:p>
        </w:tc>
        <w:tc>
          <w:tcPr>
            <w:tcW w:w="1106" w:type="dxa"/>
            <w:noWrap/>
            <w:hideMark/>
          </w:tcPr>
          <w:p w14:paraId="1F42263E" w14:textId="77777777" w:rsidR="00EE5BB8" w:rsidRPr="00C6052E" w:rsidRDefault="00EE5BB8" w:rsidP="0028635E">
            <w:pPr>
              <w:pStyle w:val="TableCopy"/>
              <w:jc w:val="right"/>
            </w:pPr>
            <w:r w:rsidRPr="00C6052E">
              <w:t>–</w:t>
            </w:r>
          </w:p>
        </w:tc>
        <w:tc>
          <w:tcPr>
            <w:tcW w:w="1605" w:type="dxa"/>
            <w:noWrap/>
            <w:hideMark/>
          </w:tcPr>
          <w:p w14:paraId="47C1DB36" w14:textId="77777777" w:rsidR="00EE5BB8" w:rsidRPr="00C6052E" w:rsidRDefault="00EE5BB8" w:rsidP="0028635E">
            <w:pPr>
              <w:pStyle w:val="TableCopy"/>
              <w:jc w:val="right"/>
            </w:pPr>
            <w:r w:rsidRPr="00C6052E">
              <w:t>–</w:t>
            </w:r>
          </w:p>
        </w:tc>
        <w:tc>
          <w:tcPr>
            <w:tcW w:w="1162" w:type="dxa"/>
            <w:noWrap/>
            <w:hideMark/>
          </w:tcPr>
          <w:p w14:paraId="7303736A" w14:textId="77777777" w:rsidR="00EE5BB8" w:rsidRPr="00C6052E" w:rsidRDefault="00EE5BB8" w:rsidP="0028635E">
            <w:pPr>
              <w:pStyle w:val="TableCopy"/>
              <w:jc w:val="right"/>
            </w:pPr>
            <w:r w:rsidRPr="00C6052E">
              <w:t>–</w:t>
            </w:r>
          </w:p>
        </w:tc>
        <w:tc>
          <w:tcPr>
            <w:tcW w:w="1162" w:type="dxa"/>
            <w:noWrap/>
            <w:hideMark/>
          </w:tcPr>
          <w:p w14:paraId="666FB0AD" w14:textId="77777777" w:rsidR="00EE5BB8" w:rsidRPr="00C6052E" w:rsidRDefault="00EE5BB8" w:rsidP="0028635E">
            <w:pPr>
              <w:pStyle w:val="TableCopy"/>
              <w:jc w:val="right"/>
            </w:pPr>
            <w:r w:rsidRPr="00C6052E">
              <w:t>52,204</w:t>
            </w:r>
          </w:p>
        </w:tc>
        <w:tc>
          <w:tcPr>
            <w:tcW w:w="998" w:type="dxa"/>
            <w:noWrap/>
            <w:hideMark/>
          </w:tcPr>
          <w:p w14:paraId="65D9D0C2" w14:textId="77777777" w:rsidR="00EE5BB8" w:rsidRPr="00C6052E" w:rsidRDefault="00EE5BB8" w:rsidP="0028635E">
            <w:pPr>
              <w:pStyle w:val="TableCopy"/>
              <w:jc w:val="right"/>
            </w:pPr>
            <w:r w:rsidRPr="00C6052E">
              <w:t>52,204</w:t>
            </w:r>
          </w:p>
        </w:tc>
      </w:tr>
      <w:tr w:rsidR="00EE5BB8" w:rsidRPr="00C6052E" w14:paraId="67F9CDBC" w14:textId="77777777" w:rsidTr="006D5FE0">
        <w:tc>
          <w:tcPr>
            <w:tcW w:w="3681" w:type="dxa"/>
            <w:noWrap/>
            <w:hideMark/>
          </w:tcPr>
          <w:p w14:paraId="2EACDF03" w14:textId="3EC64097" w:rsidR="00EE5BB8" w:rsidRPr="00C6052E" w:rsidRDefault="00EE5BB8" w:rsidP="0063097D">
            <w:pPr>
              <w:pStyle w:val="Tabletotal"/>
            </w:pPr>
            <w:r w:rsidRPr="00C6052E">
              <w:t>Total</w:t>
            </w:r>
            <w:r w:rsidR="00177848" w:rsidRPr="00C6052E">
              <w:t xml:space="preserve"> </w:t>
            </w:r>
            <w:r w:rsidRPr="00C6052E">
              <w:t>contractual</w:t>
            </w:r>
            <w:r w:rsidR="00177848" w:rsidRPr="00C6052E">
              <w:t xml:space="preserve"> </w:t>
            </w:r>
            <w:r w:rsidRPr="00C6052E">
              <w:t>financial</w:t>
            </w:r>
            <w:r w:rsidR="00177848" w:rsidRPr="00C6052E">
              <w:t xml:space="preserve"> </w:t>
            </w:r>
            <w:r w:rsidRPr="00C6052E">
              <w:t>liabilities</w:t>
            </w:r>
          </w:p>
        </w:tc>
        <w:tc>
          <w:tcPr>
            <w:tcW w:w="1106" w:type="dxa"/>
            <w:noWrap/>
            <w:hideMark/>
          </w:tcPr>
          <w:p w14:paraId="38F453AD" w14:textId="77777777" w:rsidR="00EE5BB8" w:rsidRPr="00C6052E" w:rsidRDefault="00EE5BB8" w:rsidP="0028635E">
            <w:pPr>
              <w:pStyle w:val="Tabletotal"/>
              <w:jc w:val="right"/>
            </w:pPr>
            <w:r w:rsidRPr="00C6052E">
              <w:t>–</w:t>
            </w:r>
          </w:p>
        </w:tc>
        <w:tc>
          <w:tcPr>
            <w:tcW w:w="1605" w:type="dxa"/>
            <w:noWrap/>
            <w:hideMark/>
          </w:tcPr>
          <w:p w14:paraId="103AE8AB" w14:textId="77777777" w:rsidR="00EE5BB8" w:rsidRPr="00C6052E" w:rsidRDefault="00EE5BB8" w:rsidP="0028635E">
            <w:pPr>
              <w:pStyle w:val="Tabletotal"/>
              <w:jc w:val="right"/>
            </w:pPr>
            <w:r w:rsidRPr="00C6052E">
              <w:t>–</w:t>
            </w:r>
          </w:p>
        </w:tc>
        <w:tc>
          <w:tcPr>
            <w:tcW w:w="1162" w:type="dxa"/>
            <w:noWrap/>
            <w:hideMark/>
          </w:tcPr>
          <w:p w14:paraId="3EFCB346" w14:textId="77777777" w:rsidR="00EE5BB8" w:rsidRPr="00C6052E" w:rsidRDefault="00EE5BB8" w:rsidP="0028635E">
            <w:pPr>
              <w:pStyle w:val="Tabletotal"/>
              <w:jc w:val="right"/>
            </w:pPr>
            <w:r w:rsidRPr="00C6052E">
              <w:t>–</w:t>
            </w:r>
          </w:p>
        </w:tc>
        <w:tc>
          <w:tcPr>
            <w:tcW w:w="1162" w:type="dxa"/>
            <w:noWrap/>
            <w:hideMark/>
          </w:tcPr>
          <w:p w14:paraId="7F766562" w14:textId="77777777" w:rsidR="00EE5BB8" w:rsidRPr="00C6052E" w:rsidRDefault="00EE5BB8" w:rsidP="0028635E">
            <w:pPr>
              <w:pStyle w:val="Tabletotal"/>
              <w:jc w:val="right"/>
            </w:pPr>
            <w:r w:rsidRPr="00C6052E">
              <w:t>448,678</w:t>
            </w:r>
          </w:p>
        </w:tc>
        <w:tc>
          <w:tcPr>
            <w:tcW w:w="998" w:type="dxa"/>
            <w:noWrap/>
            <w:hideMark/>
          </w:tcPr>
          <w:p w14:paraId="7C1C6273" w14:textId="77777777" w:rsidR="00EE5BB8" w:rsidRPr="00C6052E" w:rsidRDefault="00EE5BB8" w:rsidP="0028635E">
            <w:pPr>
              <w:pStyle w:val="Tabletotal"/>
              <w:jc w:val="right"/>
            </w:pPr>
            <w:r w:rsidRPr="00C6052E">
              <w:t>448,678</w:t>
            </w:r>
          </w:p>
        </w:tc>
      </w:tr>
      <w:tr w:rsidR="0028635E" w:rsidRPr="00C6052E" w14:paraId="10C42B0E" w14:textId="77777777" w:rsidTr="006D5FE0">
        <w:tc>
          <w:tcPr>
            <w:tcW w:w="3681" w:type="dxa"/>
          </w:tcPr>
          <w:p w14:paraId="40262675" w14:textId="0C8EAECB" w:rsidR="0028635E" w:rsidRPr="00C6052E" w:rsidRDefault="0028635E" w:rsidP="00C2492E">
            <w:pPr>
              <w:pStyle w:val="TableHeading"/>
            </w:pPr>
            <w:r w:rsidRPr="00C6052E">
              <w:t>2024</w:t>
            </w:r>
          </w:p>
        </w:tc>
        <w:tc>
          <w:tcPr>
            <w:tcW w:w="1106" w:type="dxa"/>
            <w:noWrap/>
          </w:tcPr>
          <w:p w14:paraId="129E2A47" w14:textId="77777777" w:rsidR="0028635E" w:rsidRPr="00C6052E" w:rsidRDefault="0028635E" w:rsidP="0028635E">
            <w:pPr>
              <w:pStyle w:val="TableHeading"/>
              <w:jc w:val="right"/>
            </w:pPr>
          </w:p>
        </w:tc>
        <w:tc>
          <w:tcPr>
            <w:tcW w:w="1605" w:type="dxa"/>
            <w:noWrap/>
          </w:tcPr>
          <w:p w14:paraId="58C89C1D" w14:textId="77777777" w:rsidR="0028635E" w:rsidRPr="00C6052E" w:rsidRDefault="0028635E" w:rsidP="0028635E">
            <w:pPr>
              <w:pStyle w:val="TableHeading"/>
              <w:jc w:val="right"/>
            </w:pPr>
          </w:p>
        </w:tc>
        <w:tc>
          <w:tcPr>
            <w:tcW w:w="1162" w:type="dxa"/>
            <w:noWrap/>
          </w:tcPr>
          <w:p w14:paraId="2319F8D3" w14:textId="77777777" w:rsidR="0028635E" w:rsidRPr="00C6052E" w:rsidRDefault="0028635E" w:rsidP="0028635E">
            <w:pPr>
              <w:pStyle w:val="TableHeading"/>
              <w:jc w:val="right"/>
            </w:pPr>
          </w:p>
        </w:tc>
        <w:tc>
          <w:tcPr>
            <w:tcW w:w="1162" w:type="dxa"/>
            <w:noWrap/>
          </w:tcPr>
          <w:p w14:paraId="366B8CE5" w14:textId="77777777" w:rsidR="0028635E" w:rsidRPr="00C6052E" w:rsidRDefault="0028635E" w:rsidP="0028635E">
            <w:pPr>
              <w:pStyle w:val="TableHeading"/>
              <w:jc w:val="right"/>
            </w:pPr>
          </w:p>
        </w:tc>
        <w:tc>
          <w:tcPr>
            <w:tcW w:w="998" w:type="dxa"/>
            <w:noWrap/>
          </w:tcPr>
          <w:p w14:paraId="570909A7" w14:textId="77777777" w:rsidR="0028635E" w:rsidRPr="00C6052E" w:rsidRDefault="0028635E" w:rsidP="0028635E">
            <w:pPr>
              <w:pStyle w:val="TableHeading"/>
              <w:jc w:val="right"/>
            </w:pPr>
          </w:p>
        </w:tc>
      </w:tr>
      <w:tr w:rsidR="0028635E" w:rsidRPr="00C6052E" w14:paraId="08BCD888" w14:textId="77777777" w:rsidTr="006D5FE0">
        <w:tc>
          <w:tcPr>
            <w:tcW w:w="3681" w:type="dxa"/>
          </w:tcPr>
          <w:p w14:paraId="3A3452F7" w14:textId="0C65E55D" w:rsidR="0028635E" w:rsidRPr="00C6052E" w:rsidRDefault="0028635E" w:rsidP="004624A9">
            <w:pPr>
              <w:pStyle w:val="TableHeading"/>
            </w:pPr>
            <w:r w:rsidRPr="00C6052E">
              <w:t>Contractual financial assets</w:t>
            </w:r>
          </w:p>
        </w:tc>
        <w:tc>
          <w:tcPr>
            <w:tcW w:w="1106" w:type="dxa"/>
            <w:noWrap/>
          </w:tcPr>
          <w:p w14:paraId="045F95AA" w14:textId="77777777" w:rsidR="0028635E" w:rsidRPr="00C6052E" w:rsidRDefault="0028635E" w:rsidP="0028635E">
            <w:pPr>
              <w:pStyle w:val="TableHeading"/>
              <w:jc w:val="right"/>
            </w:pPr>
          </w:p>
        </w:tc>
        <w:tc>
          <w:tcPr>
            <w:tcW w:w="1605" w:type="dxa"/>
            <w:noWrap/>
          </w:tcPr>
          <w:p w14:paraId="61FD5C9E" w14:textId="77777777" w:rsidR="0028635E" w:rsidRPr="00C6052E" w:rsidRDefault="0028635E" w:rsidP="0028635E">
            <w:pPr>
              <w:pStyle w:val="TableHeading"/>
              <w:jc w:val="right"/>
            </w:pPr>
          </w:p>
        </w:tc>
        <w:tc>
          <w:tcPr>
            <w:tcW w:w="1162" w:type="dxa"/>
            <w:noWrap/>
          </w:tcPr>
          <w:p w14:paraId="4FD70CA3" w14:textId="77777777" w:rsidR="0028635E" w:rsidRPr="00C6052E" w:rsidRDefault="0028635E" w:rsidP="0028635E">
            <w:pPr>
              <w:pStyle w:val="TableHeading"/>
              <w:jc w:val="right"/>
            </w:pPr>
          </w:p>
        </w:tc>
        <w:tc>
          <w:tcPr>
            <w:tcW w:w="1162" w:type="dxa"/>
            <w:noWrap/>
          </w:tcPr>
          <w:p w14:paraId="080CB0FF" w14:textId="77777777" w:rsidR="0028635E" w:rsidRPr="00C6052E" w:rsidRDefault="0028635E" w:rsidP="0028635E">
            <w:pPr>
              <w:pStyle w:val="TableHeading"/>
              <w:jc w:val="right"/>
            </w:pPr>
          </w:p>
        </w:tc>
        <w:tc>
          <w:tcPr>
            <w:tcW w:w="998" w:type="dxa"/>
            <w:noWrap/>
          </w:tcPr>
          <w:p w14:paraId="69EEC9B3" w14:textId="77777777" w:rsidR="0028635E" w:rsidRPr="00C6052E" w:rsidRDefault="0028635E" w:rsidP="0028635E">
            <w:pPr>
              <w:pStyle w:val="TableHeading"/>
              <w:jc w:val="right"/>
            </w:pPr>
          </w:p>
        </w:tc>
      </w:tr>
      <w:tr w:rsidR="00EE5BB8" w:rsidRPr="00C6052E" w14:paraId="4603A7C9" w14:textId="77777777" w:rsidTr="006D5FE0">
        <w:tc>
          <w:tcPr>
            <w:tcW w:w="3681" w:type="dxa"/>
            <w:hideMark/>
          </w:tcPr>
          <w:p w14:paraId="6552827A" w14:textId="227D4531" w:rsidR="00EE5BB8" w:rsidRPr="00C6052E" w:rsidRDefault="00EE5BB8" w:rsidP="0063097D">
            <w:pPr>
              <w:pStyle w:val="TableCopy"/>
            </w:pPr>
            <w:r w:rsidRPr="00C6052E">
              <w:t>Cash</w:t>
            </w:r>
            <w:r w:rsidR="00177848" w:rsidRPr="00C6052E">
              <w:t xml:space="preserve"> </w:t>
            </w:r>
            <w:r w:rsidRPr="00C6052E">
              <w:t>and</w:t>
            </w:r>
            <w:r w:rsidR="00177848" w:rsidRPr="00C6052E">
              <w:t xml:space="preserve"> </w:t>
            </w:r>
            <w:r w:rsidRPr="00C6052E">
              <w:t>deposits</w:t>
            </w:r>
          </w:p>
        </w:tc>
        <w:tc>
          <w:tcPr>
            <w:tcW w:w="1106" w:type="dxa"/>
            <w:noWrap/>
            <w:hideMark/>
          </w:tcPr>
          <w:p w14:paraId="29647856" w14:textId="77777777" w:rsidR="00EE5BB8" w:rsidRPr="00C6052E" w:rsidRDefault="00EE5BB8" w:rsidP="0028635E">
            <w:pPr>
              <w:pStyle w:val="TableCopy"/>
              <w:jc w:val="right"/>
            </w:pPr>
            <w:r w:rsidRPr="00C6052E">
              <w:t>271,311</w:t>
            </w:r>
          </w:p>
        </w:tc>
        <w:tc>
          <w:tcPr>
            <w:tcW w:w="1605" w:type="dxa"/>
            <w:noWrap/>
            <w:hideMark/>
          </w:tcPr>
          <w:p w14:paraId="0E6931F1" w14:textId="77777777" w:rsidR="00EE5BB8" w:rsidRPr="00C6052E" w:rsidRDefault="00EE5BB8" w:rsidP="0028635E">
            <w:pPr>
              <w:pStyle w:val="TableCopy"/>
              <w:jc w:val="right"/>
            </w:pPr>
            <w:r w:rsidRPr="00C6052E">
              <w:t>–</w:t>
            </w:r>
          </w:p>
        </w:tc>
        <w:tc>
          <w:tcPr>
            <w:tcW w:w="1162" w:type="dxa"/>
            <w:noWrap/>
            <w:hideMark/>
          </w:tcPr>
          <w:p w14:paraId="74ADB4F4" w14:textId="77777777" w:rsidR="00EE5BB8" w:rsidRPr="00C6052E" w:rsidRDefault="00EE5BB8" w:rsidP="0028635E">
            <w:pPr>
              <w:pStyle w:val="TableCopy"/>
              <w:jc w:val="right"/>
            </w:pPr>
            <w:r w:rsidRPr="00C6052E">
              <w:t>–</w:t>
            </w:r>
          </w:p>
        </w:tc>
        <w:tc>
          <w:tcPr>
            <w:tcW w:w="1162" w:type="dxa"/>
            <w:noWrap/>
            <w:hideMark/>
          </w:tcPr>
          <w:p w14:paraId="4703DCA4" w14:textId="77777777" w:rsidR="00EE5BB8" w:rsidRPr="00C6052E" w:rsidRDefault="00EE5BB8" w:rsidP="0028635E">
            <w:pPr>
              <w:pStyle w:val="TableCopy"/>
              <w:jc w:val="right"/>
            </w:pPr>
            <w:r w:rsidRPr="00C6052E">
              <w:t>–</w:t>
            </w:r>
          </w:p>
        </w:tc>
        <w:tc>
          <w:tcPr>
            <w:tcW w:w="998" w:type="dxa"/>
            <w:noWrap/>
            <w:hideMark/>
          </w:tcPr>
          <w:p w14:paraId="7A345DE9" w14:textId="77777777" w:rsidR="00EE5BB8" w:rsidRPr="00C6052E" w:rsidRDefault="00EE5BB8" w:rsidP="0028635E">
            <w:pPr>
              <w:pStyle w:val="TableCopy"/>
              <w:jc w:val="right"/>
            </w:pPr>
            <w:r w:rsidRPr="00C6052E">
              <w:t>271,311</w:t>
            </w:r>
          </w:p>
        </w:tc>
      </w:tr>
      <w:tr w:rsidR="00EE5BB8" w:rsidRPr="00C6052E" w14:paraId="2B8BA4E6" w14:textId="77777777" w:rsidTr="006D5FE0">
        <w:tc>
          <w:tcPr>
            <w:tcW w:w="3681" w:type="dxa"/>
            <w:hideMark/>
          </w:tcPr>
          <w:p w14:paraId="1548927A" w14:textId="77777777" w:rsidR="00EE5BB8" w:rsidRPr="00C6052E" w:rsidRDefault="00EE5BB8" w:rsidP="0063097D">
            <w:pPr>
              <w:pStyle w:val="TableCopy"/>
            </w:pPr>
            <w:r w:rsidRPr="00C6052E">
              <w:t>Receivables</w:t>
            </w:r>
            <w:r w:rsidRPr="00C6052E">
              <w:rPr>
                <w:vertAlign w:val="superscript"/>
              </w:rPr>
              <w:t>(i)</w:t>
            </w:r>
          </w:p>
        </w:tc>
        <w:tc>
          <w:tcPr>
            <w:tcW w:w="1106" w:type="dxa"/>
            <w:noWrap/>
            <w:hideMark/>
          </w:tcPr>
          <w:p w14:paraId="1C281E9A" w14:textId="77777777" w:rsidR="00EE5BB8" w:rsidRPr="00C6052E" w:rsidRDefault="00EE5BB8" w:rsidP="0028635E">
            <w:pPr>
              <w:pStyle w:val="TableCopy"/>
              <w:jc w:val="right"/>
            </w:pPr>
            <w:r w:rsidRPr="00C6052E">
              <w:t>–</w:t>
            </w:r>
          </w:p>
        </w:tc>
        <w:tc>
          <w:tcPr>
            <w:tcW w:w="1605" w:type="dxa"/>
            <w:noWrap/>
            <w:hideMark/>
          </w:tcPr>
          <w:p w14:paraId="4A2AA9F9" w14:textId="77777777" w:rsidR="00EE5BB8" w:rsidRPr="00C6052E" w:rsidRDefault="00EE5BB8" w:rsidP="0028635E">
            <w:pPr>
              <w:pStyle w:val="TableCopy"/>
              <w:jc w:val="right"/>
            </w:pPr>
            <w:r w:rsidRPr="00C6052E">
              <w:t>–</w:t>
            </w:r>
          </w:p>
        </w:tc>
        <w:tc>
          <w:tcPr>
            <w:tcW w:w="1162" w:type="dxa"/>
            <w:noWrap/>
            <w:hideMark/>
          </w:tcPr>
          <w:p w14:paraId="61C79FDA" w14:textId="77777777" w:rsidR="00EE5BB8" w:rsidRPr="00C6052E" w:rsidRDefault="00EE5BB8" w:rsidP="0028635E">
            <w:pPr>
              <w:pStyle w:val="TableCopy"/>
              <w:jc w:val="right"/>
            </w:pPr>
            <w:r w:rsidRPr="00C6052E">
              <w:t>157,144</w:t>
            </w:r>
          </w:p>
        </w:tc>
        <w:tc>
          <w:tcPr>
            <w:tcW w:w="1162" w:type="dxa"/>
            <w:noWrap/>
            <w:hideMark/>
          </w:tcPr>
          <w:p w14:paraId="424C6BB3" w14:textId="77777777" w:rsidR="00EE5BB8" w:rsidRPr="00C6052E" w:rsidRDefault="00EE5BB8" w:rsidP="0028635E">
            <w:pPr>
              <w:pStyle w:val="TableCopy"/>
              <w:jc w:val="right"/>
            </w:pPr>
            <w:r w:rsidRPr="00C6052E">
              <w:t>–</w:t>
            </w:r>
          </w:p>
        </w:tc>
        <w:tc>
          <w:tcPr>
            <w:tcW w:w="998" w:type="dxa"/>
            <w:noWrap/>
            <w:hideMark/>
          </w:tcPr>
          <w:p w14:paraId="08CC9563" w14:textId="77777777" w:rsidR="00EE5BB8" w:rsidRPr="00C6052E" w:rsidRDefault="00EE5BB8" w:rsidP="0028635E">
            <w:pPr>
              <w:pStyle w:val="TableCopy"/>
              <w:jc w:val="right"/>
            </w:pPr>
            <w:r w:rsidRPr="00C6052E">
              <w:t>157,144</w:t>
            </w:r>
          </w:p>
        </w:tc>
      </w:tr>
      <w:tr w:rsidR="00EE5BB8" w:rsidRPr="00C6052E" w14:paraId="24F60B5E" w14:textId="77777777" w:rsidTr="006D5FE0">
        <w:tc>
          <w:tcPr>
            <w:tcW w:w="3681" w:type="dxa"/>
            <w:hideMark/>
          </w:tcPr>
          <w:p w14:paraId="2741CC4B" w14:textId="77777777" w:rsidR="00EE5BB8" w:rsidRPr="00C6052E" w:rsidRDefault="00EE5BB8" w:rsidP="0063097D">
            <w:pPr>
              <w:pStyle w:val="TableCopy"/>
            </w:pPr>
            <w:r w:rsidRPr="00C6052E">
              <w:t>Investments</w:t>
            </w:r>
          </w:p>
        </w:tc>
        <w:tc>
          <w:tcPr>
            <w:tcW w:w="1106" w:type="dxa"/>
            <w:noWrap/>
            <w:hideMark/>
          </w:tcPr>
          <w:p w14:paraId="224730B1" w14:textId="77777777" w:rsidR="00EE5BB8" w:rsidRPr="00C6052E" w:rsidRDefault="00EE5BB8" w:rsidP="0028635E">
            <w:pPr>
              <w:pStyle w:val="TableCopy"/>
              <w:jc w:val="right"/>
            </w:pPr>
            <w:r w:rsidRPr="00C6052E">
              <w:t>–</w:t>
            </w:r>
          </w:p>
        </w:tc>
        <w:tc>
          <w:tcPr>
            <w:tcW w:w="1605" w:type="dxa"/>
            <w:noWrap/>
            <w:hideMark/>
          </w:tcPr>
          <w:p w14:paraId="2023A8CE" w14:textId="77777777" w:rsidR="00EE5BB8" w:rsidRPr="00C6052E" w:rsidRDefault="00EE5BB8" w:rsidP="0028635E">
            <w:pPr>
              <w:pStyle w:val="TableCopy"/>
              <w:jc w:val="right"/>
            </w:pPr>
            <w:r w:rsidRPr="00C6052E">
              <w:t>4,761</w:t>
            </w:r>
          </w:p>
        </w:tc>
        <w:tc>
          <w:tcPr>
            <w:tcW w:w="1162" w:type="dxa"/>
            <w:noWrap/>
            <w:hideMark/>
          </w:tcPr>
          <w:p w14:paraId="130FAAA6" w14:textId="77777777" w:rsidR="00EE5BB8" w:rsidRPr="00C6052E" w:rsidRDefault="00EE5BB8" w:rsidP="0028635E">
            <w:pPr>
              <w:pStyle w:val="TableCopy"/>
              <w:jc w:val="right"/>
            </w:pPr>
            <w:r w:rsidRPr="00C6052E">
              <w:t>–</w:t>
            </w:r>
          </w:p>
        </w:tc>
        <w:tc>
          <w:tcPr>
            <w:tcW w:w="1162" w:type="dxa"/>
            <w:noWrap/>
            <w:hideMark/>
          </w:tcPr>
          <w:p w14:paraId="5B12648A" w14:textId="77777777" w:rsidR="00EE5BB8" w:rsidRPr="00C6052E" w:rsidRDefault="00EE5BB8" w:rsidP="0028635E">
            <w:pPr>
              <w:pStyle w:val="TableCopy"/>
              <w:jc w:val="right"/>
            </w:pPr>
            <w:r w:rsidRPr="00C6052E">
              <w:t>–</w:t>
            </w:r>
          </w:p>
        </w:tc>
        <w:tc>
          <w:tcPr>
            <w:tcW w:w="998" w:type="dxa"/>
            <w:noWrap/>
            <w:hideMark/>
          </w:tcPr>
          <w:p w14:paraId="6BA7F1D9" w14:textId="77777777" w:rsidR="00EE5BB8" w:rsidRPr="00C6052E" w:rsidRDefault="00EE5BB8" w:rsidP="0028635E">
            <w:pPr>
              <w:pStyle w:val="TableCopy"/>
              <w:jc w:val="right"/>
            </w:pPr>
            <w:r w:rsidRPr="00C6052E">
              <w:t>4,761</w:t>
            </w:r>
          </w:p>
        </w:tc>
      </w:tr>
      <w:tr w:rsidR="00EE5BB8" w:rsidRPr="00C6052E" w14:paraId="24E6D14C" w14:textId="77777777" w:rsidTr="006D5FE0">
        <w:tc>
          <w:tcPr>
            <w:tcW w:w="3681" w:type="dxa"/>
            <w:noWrap/>
            <w:hideMark/>
          </w:tcPr>
          <w:p w14:paraId="0E1EE09B" w14:textId="74AB0BCE" w:rsidR="00EE5BB8" w:rsidRPr="00C6052E" w:rsidRDefault="00EE5BB8" w:rsidP="0063097D">
            <w:pPr>
              <w:pStyle w:val="Tabletotal"/>
            </w:pPr>
            <w:r w:rsidRPr="00C6052E">
              <w:t>Total</w:t>
            </w:r>
            <w:r w:rsidR="00177848" w:rsidRPr="00C6052E">
              <w:t xml:space="preserve"> </w:t>
            </w:r>
            <w:r w:rsidRPr="00C6052E">
              <w:t>contractual</w:t>
            </w:r>
            <w:r w:rsidR="00177848" w:rsidRPr="00C6052E">
              <w:t xml:space="preserve"> </w:t>
            </w:r>
            <w:r w:rsidRPr="00C6052E">
              <w:t>financial</w:t>
            </w:r>
            <w:r w:rsidR="00177848" w:rsidRPr="00C6052E">
              <w:t xml:space="preserve"> </w:t>
            </w:r>
            <w:r w:rsidRPr="00C6052E">
              <w:t>assets</w:t>
            </w:r>
          </w:p>
        </w:tc>
        <w:tc>
          <w:tcPr>
            <w:tcW w:w="1106" w:type="dxa"/>
            <w:noWrap/>
            <w:hideMark/>
          </w:tcPr>
          <w:p w14:paraId="519B4A69" w14:textId="77777777" w:rsidR="00EE5BB8" w:rsidRPr="00C6052E" w:rsidRDefault="00EE5BB8" w:rsidP="0028635E">
            <w:pPr>
              <w:pStyle w:val="Tabletotal"/>
              <w:jc w:val="right"/>
            </w:pPr>
            <w:r w:rsidRPr="00C6052E">
              <w:t>271,311</w:t>
            </w:r>
          </w:p>
        </w:tc>
        <w:tc>
          <w:tcPr>
            <w:tcW w:w="1605" w:type="dxa"/>
            <w:noWrap/>
            <w:hideMark/>
          </w:tcPr>
          <w:p w14:paraId="4D828F83" w14:textId="77777777" w:rsidR="00EE5BB8" w:rsidRPr="00C6052E" w:rsidRDefault="00EE5BB8" w:rsidP="0028635E">
            <w:pPr>
              <w:pStyle w:val="Tabletotal"/>
              <w:jc w:val="right"/>
            </w:pPr>
            <w:r w:rsidRPr="00C6052E">
              <w:t>4,761</w:t>
            </w:r>
          </w:p>
        </w:tc>
        <w:tc>
          <w:tcPr>
            <w:tcW w:w="1162" w:type="dxa"/>
            <w:noWrap/>
            <w:hideMark/>
          </w:tcPr>
          <w:p w14:paraId="24C8679D" w14:textId="77777777" w:rsidR="00EE5BB8" w:rsidRPr="00C6052E" w:rsidRDefault="00EE5BB8" w:rsidP="0028635E">
            <w:pPr>
              <w:pStyle w:val="Tabletotal"/>
              <w:jc w:val="right"/>
            </w:pPr>
            <w:r w:rsidRPr="00C6052E">
              <w:t>157,144</w:t>
            </w:r>
          </w:p>
        </w:tc>
        <w:tc>
          <w:tcPr>
            <w:tcW w:w="1162" w:type="dxa"/>
            <w:noWrap/>
            <w:hideMark/>
          </w:tcPr>
          <w:p w14:paraId="373BAF67" w14:textId="77777777" w:rsidR="00EE5BB8" w:rsidRPr="00C6052E" w:rsidRDefault="00EE5BB8" w:rsidP="0028635E">
            <w:pPr>
              <w:pStyle w:val="Tabletotal"/>
              <w:jc w:val="right"/>
            </w:pPr>
            <w:r w:rsidRPr="00C6052E">
              <w:t>–</w:t>
            </w:r>
          </w:p>
        </w:tc>
        <w:tc>
          <w:tcPr>
            <w:tcW w:w="998" w:type="dxa"/>
            <w:noWrap/>
            <w:hideMark/>
          </w:tcPr>
          <w:p w14:paraId="07C4D332" w14:textId="77777777" w:rsidR="00EE5BB8" w:rsidRPr="00C6052E" w:rsidRDefault="00EE5BB8" w:rsidP="0028635E">
            <w:pPr>
              <w:pStyle w:val="Tabletotal"/>
              <w:jc w:val="right"/>
            </w:pPr>
            <w:r w:rsidRPr="00C6052E">
              <w:t>433,216</w:t>
            </w:r>
          </w:p>
        </w:tc>
      </w:tr>
      <w:tr w:rsidR="0028635E" w:rsidRPr="00C6052E" w14:paraId="45B4D6CC" w14:textId="77777777" w:rsidTr="006D5FE0">
        <w:tc>
          <w:tcPr>
            <w:tcW w:w="3681" w:type="dxa"/>
          </w:tcPr>
          <w:p w14:paraId="74198097" w14:textId="74CF3C62" w:rsidR="0028635E" w:rsidRPr="00C6052E" w:rsidRDefault="0028635E" w:rsidP="0049489A">
            <w:pPr>
              <w:pStyle w:val="TableHeading"/>
            </w:pPr>
            <w:r w:rsidRPr="00C6052E">
              <w:lastRenderedPageBreak/>
              <w:t>Contractual financial liabilities</w:t>
            </w:r>
          </w:p>
        </w:tc>
        <w:tc>
          <w:tcPr>
            <w:tcW w:w="1106" w:type="dxa"/>
            <w:noWrap/>
          </w:tcPr>
          <w:p w14:paraId="11672123" w14:textId="77777777" w:rsidR="0028635E" w:rsidRPr="00C6052E" w:rsidRDefault="0028635E" w:rsidP="0028635E">
            <w:pPr>
              <w:pStyle w:val="TableHeading"/>
              <w:jc w:val="right"/>
            </w:pPr>
          </w:p>
        </w:tc>
        <w:tc>
          <w:tcPr>
            <w:tcW w:w="1605" w:type="dxa"/>
            <w:noWrap/>
          </w:tcPr>
          <w:p w14:paraId="3C6EEDFE" w14:textId="77777777" w:rsidR="0028635E" w:rsidRPr="00C6052E" w:rsidRDefault="0028635E" w:rsidP="0028635E">
            <w:pPr>
              <w:pStyle w:val="TableHeading"/>
              <w:jc w:val="right"/>
            </w:pPr>
          </w:p>
        </w:tc>
        <w:tc>
          <w:tcPr>
            <w:tcW w:w="1162" w:type="dxa"/>
            <w:noWrap/>
          </w:tcPr>
          <w:p w14:paraId="06ACFE8C" w14:textId="77777777" w:rsidR="0028635E" w:rsidRPr="00C6052E" w:rsidRDefault="0028635E" w:rsidP="0028635E">
            <w:pPr>
              <w:pStyle w:val="TableHeading"/>
              <w:jc w:val="right"/>
            </w:pPr>
          </w:p>
        </w:tc>
        <w:tc>
          <w:tcPr>
            <w:tcW w:w="1162" w:type="dxa"/>
            <w:noWrap/>
          </w:tcPr>
          <w:p w14:paraId="35ADE919" w14:textId="77777777" w:rsidR="0028635E" w:rsidRPr="00C6052E" w:rsidRDefault="0028635E" w:rsidP="0028635E">
            <w:pPr>
              <w:pStyle w:val="TableHeading"/>
              <w:jc w:val="right"/>
            </w:pPr>
          </w:p>
        </w:tc>
        <w:tc>
          <w:tcPr>
            <w:tcW w:w="998" w:type="dxa"/>
            <w:noWrap/>
          </w:tcPr>
          <w:p w14:paraId="6BD42C50" w14:textId="77777777" w:rsidR="0028635E" w:rsidRPr="00C6052E" w:rsidRDefault="0028635E" w:rsidP="0028635E">
            <w:pPr>
              <w:pStyle w:val="TableHeading"/>
              <w:jc w:val="right"/>
            </w:pPr>
          </w:p>
        </w:tc>
      </w:tr>
      <w:tr w:rsidR="0028635E" w:rsidRPr="00C6052E" w14:paraId="317A4F49" w14:textId="77777777" w:rsidTr="006D5FE0">
        <w:tc>
          <w:tcPr>
            <w:tcW w:w="3681" w:type="dxa"/>
          </w:tcPr>
          <w:p w14:paraId="7197F8B0" w14:textId="6D04F67B" w:rsidR="0028635E" w:rsidRPr="00C6052E" w:rsidRDefault="0028635E" w:rsidP="004E61EE">
            <w:pPr>
              <w:pStyle w:val="TableHeading"/>
            </w:pPr>
            <w:r w:rsidRPr="00C6052E">
              <w:t>Payables</w:t>
            </w:r>
            <w:r w:rsidRPr="00C6052E">
              <w:rPr>
                <w:vertAlign w:val="superscript"/>
              </w:rPr>
              <w:t>(i)</w:t>
            </w:r>
          </w:p>
        </w:tc>
        <w:tc>
          <w:tcPr>
            <w:tcW w:w="1106" w:type="dxa"/>
            <w:noWrap/>
          </w:tcPr>
          <w:p w14:paraId="6E2C6A93" w14:textId="77777777" w:rsidR="0028635E" w:rsidRPr="00C6052E" w:rsidRDefault="0028635E" w:rsidP="0028635E">
            <w:pPr>
              <w:pStyle w:val="TableHeading"/>
              <w:jc w:val="right"/>
            </w:pPr>
          </w:p>
        </w:tc>
        <w:tc>
          <w:tcPr>
            <w:tcW w:w="1605" w:type="dxa"/>
            <w:noWrap/>
          </w:tcPr>
          <w:p w14:paraId="3901864F" w14:textId="77777777" w:rsidR="0028635E" w:rsidRPr="00C6052E" w:rsidRDefault="0028635E" w:rsidP="0028635E">
            <w:pPr>
              <w:pStyle w:val="TableHeading"/>
              <w:jc w:val="right"/>
            </w:pPr>
          </w:p>
        </w:tc>
        <w:tc>
          <w:tcPr>
            <w:tcW w:w="1162" w:type="dxa"/>
            <w:noWrap/>
          </w:tcPr>
          <w:p w14:paraId="0A8A56C0" w14:textId="77777777" w:rsidR="0028635E" w:rsidRPr="00C6052E" w:rsidRDefault="0028635E" w:rsidP="0028635E">
            <w:pPr>
              <w:pStyle w:val="TableHeading"/>
              <w:jc w:val="right"/>
            </w:pPr>
          </w:p>
        </w:tc>
        <w:tc>
          <w:tcPr>
            <w:tcW w:w="1162" w:type="dxa"/>
            <w:noWrap/>
          </w:tcPr>
          <w:p w14:paraId="782EB340" w14:textId="77777777" w:rsidR="0028635E" w:rsidRPr="00C6052E" w:rsidRDefault="0028635E" w:rsidP="0028635E">
            <w:pPr>
              <w:pStyle w:val="TableHeading"/>
              <w:jc w:val="right"/>
            </w:pPr>
          </w:p>
        </w:tc>
        <w:tc>
          <w:tcPr>
            <w:tcW w:w="998" w:type="dxa"/>
            <w:noWrap/>
          </w:tcPr>
          <w:p w14:paraId="329FA499" w14:textId="77777777" w:rsidR="0028635E" w:rsidRPr="00C6052E" w:rsidRDefault="0028635E" w:rsidP="0028635E">
            <w:pPr>
              <w:pStyle w:val="TableHeading"/>
              <w:jc w:val="right"/>
            </w:pPr>
          </w:p>
        </w:tc>
      </w:tr>
      <w:tr w:rsidR="00EE5BB8" w:rsidRPr="00C6052E" w14:paraId="0537969D" w14:textId="77777777" w:rsidTr="006D5FE0">
        <w:tc>
          <w:tcPr>
            <w:tcW w:w="3681" w:type="dxa"/>
            <w:hideMark/>
          </w:tcPr>
          <w:p w14:paraId="573D7327" w14:textId="5A57F7C5" w:rsidR="00EE5BB8" w:rsidRPr="00C6052E" w:rsidRDefault="00EE5BB8" w:rsidP="0028635E">
            <w:pPr>
              <w:pStyle w:val="TableCopy"/>
              <w:keepNext/>
            </w:pPr>
            <w:r w:rsidRPr="00C6052E">
              <w:t>–</w:t>
            </w:r>
            <w:r w:rsidR="00177848" w:rsidRPr="00C6052E">
              <w:t xml:space="preserve"> </w:t>
            </w:r>
            <w:r w:rsidRPr="00C6052E">
              <w:t>Supplies</w:t>
            </w:r>
            <w:r w:rsidR="00177848" w:rsidRPr="00C6052E">
              <w:t xml:space="preserve"> </w:t>
            </w:r>
            <w:r w:rsidRPr="00C6052E">
              <w:t>and</w:t>
            </w:r>
            <w:r w:rsidR="00177848" w:rsidRPr="00C6052E">
              <w:t xml:space="preserve"> </w:t>
            </w:r>
            <w:r w:rsidRPr="00C6052E">
              <w:t>services</w:t>
            </w:r>
          </w:p>
        </w:tc>
        <w:tc>
          <w:tcPr>
            <w:tcW w:w="1106" w:type="dxa"/>
            <w:noWrap/>
            <w:hideMark/>
          </w:tcPr>
          <w:p w14:paraId="6B777841" w14:textId="77777777" w:rsidR="00EE5BB8" w:rsidRPr="00C6052E" w:rsidRDefault="00EE5BB8" w:rsidP="0028635E">
            <w:pPr>
              <w:pStyle w:val="TableCopy"/>
              <w:keepNext/>
              <w:jc w:val="right"/>
            </w:pPr>
            <w:r w:rsidRPr="00C6052E">
              <w:t>–</w:t>
            </w:r>
          </w:p>
        </w:tc>
        <w:tc>
          <w:tcPr>
            <w:tcW w:w="1605" w:type="dxa"/>
            <w:noWrap/>
            <w:hideMark/>
          </w:tcPr>
          <w:p w14:paraId="614D54B1" w14:textId="77777777" w:rsidR="00EE5BB8" w:rsidRPr="00C6052E" w:rsidRDefault="00EE5BB8" w:rsidP="0028635E">
            <w:pPr>
              <w:pStyle w:val="TableCopy"/>
              <w:keepNext/>
              <w:jc w:val="right"/>
            </w:pPr>
            <w:r w:rsidRPr="00C6052E">
              <w:t>–</w:t>
            </w:r>
          </w:p>
        </w:tc>
        <w:tc>
          <w:tcPr>
            <w:tcW w:w="1162" w:type="dxa"/>
            <w:noWrap/>
            <w:hideMark/>
          </w:tcPr>
          <w:p w14:paraId="6EB6E689" w14:textId="77777777" w:rsidR="00EE5BB8" w:rsidRPr="00C6052E" w:rsidRDefault="00EE5BB8" w:rsidP="0028635E">
            <w:pPr>
              <w:pStyle w:val="TableCopy"/>
              <w:keepNext/>
              <w:jc w:val="right"/>
            </w:pPr>
            <w:r w:rsidRPr="00C6052E">
              <w:t>–</w:t>
            </w:r>
          </w:p>
        </w:tc>
        <w:tc>
          <w:tcPr>
            <w:tcW w:w="1162" w:type="dxa"/>
            <w:noWrap/>
            <w:hideMark/>
          </w:tcPr>
          <w:p w14:paraId="79B7069C" w14:textId="77777777" w:rsidR="00EE5BB8" w:rsidRPr="00C6052E" w:rsidRDefault="00EE5BB8" w:rsidP="0028635E">
            <w:pPr>
              <w:pStyle w:val="TableCopy"/>
              <w:keepNext/>
              <w:jc w:val="right"/>
            </w:pPr>
            <w:r w:rsidRPr="00C6052E">
              <w:t>90,326</w:t>
            </w:r>
          </w:p>
        </w:tc>
        <w:tc>
          <w:tcPr>
            <w:tcW w:w="998" w:type="dxa"/>
            <w:noWrap/>
            <w:hideMark/>
          </w:tcPr>
          <w:p w14:paraId="7D857DC9" w14:textId="77777777" w:rsidR="00EE5BB8" w:rsidRPr="00C6052E" w:rsidRDefault="00EE5BB8" w:rsidP="0028635E">
            <w:pPr>
              <w:pStyle w:val="TableCopy"/>
              <w:keepNext/>
              <w:jc w:val="right"/>
            </w:pPr>
            <w:r w:rsidRPr="00C6052E">
              <w:t>90,326</w:t>
            </w:r>
          </w:p>
        </w:tc>
      </w:tr>
      <w:tr w:rsidR="00EE5BB8" w:rsidRPr="00C6052E" w14:paraId="6EDE6278" w14:textId="77777777" w:rsidTr="006D5FE0">
        <w:tc>
          <w:tcPr>
            <w:tcW w:w="3681" w:type="dxa"/>
            <w:hideMark/>
          </w:tcPr>
          <w:p w14:paraId="4099ABA0" w14:textId="60079AC7" w:rsidR="00EE5BB8" w:rsidRPr="00C6052E" w:rsidRDefault="00EE5BB8" w:rsidP="0028635E">
            <w:pPr>
              <w:pStyle w:val="TableCopy"/>
              <w:keepNext/>
            </w:pPr>
            <w:r w:rsidRPr="00C6052E">
              <w:t>–</w:t>
            </w:r>
            <w:r w:rsidR="00177848" w:rsidRPr="00C6052E">
              <w:t xml:space="preserve"> </w:t>
            </w:r>
            <w:r w:rsidRPr="00C6052E">
              <w:t>Accrued</w:t>
            </w:r>
            <w:r w:rsidR="00177848" w:rsidRPr="00C6052E">
              <w:t xml:space="preserve"> </w:t>
            </w:r>
            <w:r w:rsidRPr="00C6052E">
              <w:t>grants</w:t>
            </w:r>
            <w:r w:rsidR="00177848" w:rsidRPr="00C6052E">
              <w:t xml:space="preserve"> </w:t>
            </w:r>
          </w:p>
        </w:tc>
        <w:tc>
          <w:tcPr>
            <w:tcW w:w="1106" w:type="dxa"/>
            <w:noWrap/>
            <w:hideMark/>
          </w:tcPr>
          <w:p w14:paraId="6259E181" w14:textId="77777777" w:rsidR="00EE5BB8" w:rsidRPr="00C6052E" w:rsidRDefault="00EE5BB8" w:rsidP="0028635E">
            <w:pPr>
              <w:pStyle w:val="TableCopy"/>
              <w:keepNext/>
              <w:jc w:val="right"/>
            </w:pPr>
            <w:r w:rsidRPr="00C6052E">
              <w:t>–</w:t>
            </w:r>
          </w:p>
        </w:tc>
        <w:tc>
          <w:tcPr>
            <w:tcW w:w="1605" w:type="dxa"/>
            <w:noWrap/>
            <w:hideMark/>
          </w:tcPr>
          <w:p w14:paraId="2D2CFD89" w14:textId="77777777" w:rsidR="00EE5BB8" w:rsidRPr="00C6052E" w:rsidRDefault="00EE5BB8" w:rsidP="0028635E">
            <w:pPr>
              <w:pStyle w:val="TableCopy"/>
              <w:keepNext/>
              <w:jc w:val="right"/>
            </w:pPr>
            <w:r w:rsidRPr="00C6052E">
              <w:t>–</w:t>
            </w:r>
          </w:p>
        </w:tc>
        <w:tc>
          <w:tcPr>
            <w:tcW w:w="1162" w:type="dxa"/>
            <w:noWrap/>
            <w:hideMark/>
          </w:tcPr>
          <w:p w14:paraId="32074B49" w14:textId="77777777" w:rsidR="00EE5BB8" w:rsidRPr="00C6052E" w:rsidRDefault="00EE5BB8" w:rsidP="0028635E">
            <w:pPr>
              <w:pStyle w:val="TableCopy"/>
              <w:keepNext/>
              <w:jc w:val="right"/>
            </w:pPr>
            <w:r w:rsidRPr="00C6052E">
              <w:t>–</w:t>
            </w:r>
          </w:p>
        </w:tc>
        <w:tc>
          <w:tcPr>
            <w:tcW w:w="1162" w:type="dxa"/>
            <w:noWrap/>
            <w:hideMark/>
          </w:tcPr>
          <w:p w14:paraId="5CDFF32E" w14:textId="77777777" w:rsidR="00EE5BB8" w:rsidRPr="00C6052E" w:rsidRDefault="00EE5BB8" w:rsidP="0028635E">
            <w:pPr>
              <w:pStyle w:val="TableCopy"/>
              <w:keepNext/>
              <w:jc w:val="right"/>
            </w:pPr>
            <w:r w:rsidRPr="00C6052E">
              <w:t>443,835</w:t>
            </w:r>
          </w:p>
        </w:tc>
        <w:tc>
          <w:tcPr>
            <w:tcW w:w="998" w:type="dxa"/>
            <w:noWrap/>
            <w:hideMark/>
          </w:tcPr>
          <w:p w14:paraId="16810661" w14:textId="77777777" w:rsidR="00EE5BB8" w:rsidRPr="00C6052E" w:rsidRDefault="00EE5BB8" w:rsidP="0028635E">
            <w:pPr>
              <w:pStyle w:val="TableCopy"/>
              <w:keepNext/>
              <w:jc w:val="right"/>
            </w:pPr>
            <w:r w:rsidRPr="00C6052E">
              <w:t>443,835</w:t>
            </w:r>
          </w:p>
        </w:tc>
      </w:tr>
      <w:tr w:rsidR="00EE5BB8" w:rsidRPr="00C6052E" w14:paraId="7EE119DF" w14:textId="77777777" w:rsidTr="006D5FE0">
        <w:tc>
          <w:tcPr>
            <w:tcW w:w="3681" w:type="dxa"/>
            <w:hideMark/>
          </w:tcPr>
          <w:p w14:paraId="64748E60" w14:textId="131C519F" w:rsidR="00EE5BB8" w:rsidRPr="00C6052E" w:rsidRDefault="00EE5BB8" w:rsidP="0063097D">
            <w:pPr>
              <w:pStyle w:val="TableCopy"/>
            </w:pPr>
            <w:r w:rsidRPr="00C6052E">
              <w:t>–</w:t>
            </w:r>
            <w:r w:rsidR="00177848" w:rsidRPr="00C6052E">
              <w:t xml:space="preserve"> </w:t>
            </w:r>
            <w:r w:rsidRPr="00C6052E">
              <w:t>Other</w:t>
            </w:r>
            <w:r w:rsidR="00177848" w:rsidRPr="00C6052E">
              <w:t xml:space="preserve"> </w:t>
            </w:r>
            <w:r w:rsidRPr="00C6052E">
              <w:t>amounts</w:t>
            </w:r>
            <w:r w:rsidR="00177848" w:rsidRPr="00C6052E">
              <w:t xml:space="preserve"> </w:t>
            </w:r>
            <w:r w:rsidRPr="00C6052E">
              <w:t>payable</w:t>
            </w:r>
          </w:p>
        </w:tc>
        <w:tc>
          <w:tcPr>
            <w:tcW w:w="1106" w:type="dxa"/>
            <w:noWrap/>
            <w:hideMark/>
          </w:tcPr>
          <w:p w14:paraId="6686F195" w14:textId="77777777" w:rsidR="00EE5BB8" w:rsidRPr="00C6052E" w:rsidRDefault="00EE5BB8" w:rsidP="0028635E">
            <w:pPr>
              <w:pStyle w:val="TableCopy"/>
              <w:jc w:val="right"/>
            </w:pPr>
            <w:r w:rsidRPr="00C6052E">
              <w:t>–</w:t>
            </w:r>
          </w:p>
        </w:tc>
        <w:tc>
          <w:tcPr>
            <w:tcW w:w="1605" w:type="dxa"/>
            <w:noWrap/>
            <w:hideMark/>
          </w:tcPr>
          <w:p w14:paraId="61EED2DE" w14:textId="77777777" w:rsidR="00EE5BB8" w:rsidRPr="00C6052E" w:rsidRDefault="00EE5BB8" w:rsidP="0028635E">
            <w:pPr>
              <w:pStyle w:val="TableCopy"/>
              <w:jc w:val="right"/>
            </w:pPr>
            <w:r w:rsidRPr="00C6052E">
              <w:t>–</w:t>
            </w:r>
          </w:p>
        </w:tc>
        <w:tc>
          <w:tcPr>
            <w:tcW w:w="1162" w:type="dxa"/>
            <w:noWrap/>
            <w:hideMark/>
          </w:tcPr>
          <w:p w14:paraId="221C8483" w14:textId="77777777" w:rsidR="00EE5BB8" w:rsidRPr="00C6052E" w:rsidRDefault="00EE5BB8" w:rsidP="0028635E">
            <w:pPr>
              <w:pStyle w:val="TableCopy"/>
              <w:jc w:val="right"/>
            </w:pPr>
            <w:r w:rsidRPr="00C6052E">
              <w:t>–</w:t>
            </w:r>
          </w:p>
        </w:tc>
        <w:tc>
          <w:tcPr>
            <w:tcW w:w="1162" w:type="dxa"/>
            <w:noWrap/>
            <w:hideMark/>
          </w:tcPr>
          <w:p w14:paraId="3B1464B7" w14:textId="77777777" w:rsidR="00EE5BB8" w:rsidRPr="00C6052E" w:rsidRDefault="00EE5BB8" w:rsidP="0028635E">
            <w:pPr>
              <w:pStyle w:val="TableCopy"/>
              <w:jc w:val="right"/>
            </w:pPr>
            <w:r w:rsidRPr="00C6052E">
              <w:t>103,043</w:t>
            </w:r>
          </w:p>
        </w:tc>
        <w:tc>
          <w:tcPr>
            <w:tcW w:w="998" w:type="dxa"/>
            <w:noWrap/>
            <w:hideMark/>
          </w:tcPr>
          <w:p w14:paraId="18689321" w14:textId="77777777" w:rsidR="00EE5BB8" w:rsidRPr="00C6052E" w:rsidRDefault="00EE5BB8" w:rsidP="0028635E">
            <w:pPr>
              <w:pStyle w:val="TableCopy"/>
              <w:jc w:val="right"/>
            </w:pPr>
            <w:r w:rsidRPr="00C6052E">
              <w:t>103,043</w:t>
            </w:r>
          </w:p>
        </w:tc>
      </w:tr>
      <w:tr w:rsidR="0028635E" w:rsidRPr="00C6052E" w14:paraId="64F28042" w14:textId="77777777" w:rsidTr="006D5FE0">
        <w:tc>
          <w:tcPr>
            <w:tcW w:w="3681" w:type="dxa"/>
          </w:tcPr>
          <w:p w14:paraId="4CCD1455" w14:textId="5B8B0CAE" w:rsidR="0028635E" w:rsidRPr="00C6052E" w:rsidRDefault="0028635E" w:rsidP="00044584">
            <w:pPr>
              <w:pStyle w:val="TableHeading"/>
            </w:pPr>
            <w:r w:rsidRPr="00C6052E">
              <w:t>Borrowings</w:t>
            </w:r>
          </w:p>
        </w:tc>
        <w:tc>
          <w:tcPr>
            <w:tcW w:w="1106" w:type="dxa"/>
            <w:noWrap/>
          </w:tcPr>
          <w:p w14:paraId="7291D060" w14:textId="77777777" w:rsidR="0028635E" w:rsidRPr="00C6052E" w:rsidRDefault="0028635E" w:rsidP="0028635E">
            <w:pPr>
              <w:pStyle w:val="TableHeading"/>
              <w:jc w:val="right"/>
            </w:pPr>
          </w:p>
        </w:tc>
        <w:tc>
          <w:tcPr>
            <w:tcW w:w="1605" w:type="dxa"/>
            <w:noWrap/>
          </w:tcPr>
          <w:p w14:paraId="5EF3E85C" w14:textId="77777777" w:rsidR="0028635E" w:rsidRPr="00C6052E" w:rsidRDefault="0028635E" w:rsidP="0028635E">
            <w:pPr>
              <w:pStyle w:val="TableHeading"/>
              <w:jc w:val="right"/>
            </w:pPr>
          </w:p>
        </w:tc>
        <w:tc>
          <w:tcPr>
            <w:tcW w:w="1162" w:type="dxa"/>
            <w:noWrap/>
          </w:tcPr>
          <w:p w14:paraId="4E260A6E" w14:textId="77777777" w:rsidR="0028635E" w:rsidRPr="00C6052E" w:rsidRDefault="0028635E" w:rsidP="0028635E">
            <w:pPr>
              <w:pStyle w:val="TableHeading"/>
              <w:jc w:val="right"/>
            </w:pPr>
          </w:p>
        </w:tc>
        <w:tc>
          <w:tcPr>
            <w:tcW w:w="1162" w:type="dxa"/>
            <w:noWrap/>
          </w:tcPr>
          <w:p w14:paraId="246B0537" w14:textId="77777777" w:rsidR="0028635E" w:rsidRPr="00C6052E" w:rsidRDefault="0028635E" w:rsidP="0028635E">
            <w:pPr>
              <w:pStyle w:val="TableHeading"/>
              <w:jc w:val="right"/>
            </w:pPr>
          </w:p>
        </w:tc>
        <w:tc>
          <w:tcPr>
            <w:tcW w:w="998" w:type="dxa"/>
            <w:noWrap/>
          </w:tcPr>
          <w:p w14:paraId="38B3CDFF" w14:textId="77777777" w:rsidR="0028635E" w:rsidRPr="00C6052E" w:rsidRDefault="0028635E" w:rsidP="0028635E">
            <w:pPr>
              <w:pStyle w:val="TableHeading"/>
              <w:jc w:val="right"/>
            </w:pPr>
          </w:p>
        </w:tc>
      </w:tr>
      <w:tr w:rsidR="00EE5BB8" w:rsidRPr="00C6052E" w14:paraId="1D813545" w14:textId="77777777" w:rsidTr="006D5FE0">
        <w:tc>
          <w:tcPr>
            <w:tcW w:w="3681" w:type="dxa"/>
            <w:hideMark/>
          </w:tcPr>
          <w:p w14:paraId="5E835119" w14:textId="2F8B8263" w:rsidR="00EE5BB8" w:rsidRPr="00C6052E" w:rsidRDefault="00EE5BB8" w:rsidP="0063097D">
            <w:pPr>
              <w:pStyle w:val="TableCopy"/>
            </w:pPr>
            <w:r w:rsidRPr="00C6052E">
              <w:t>–</w:t>
            </w:r>
            <w:r w:rsidR="00177848" w:rsidRPr="00C6052E">
              <w:t xml:space="preserve"> </w:t>
            </w:r>
            <w:r w:rsidRPr="00C6052E">
              <w:t>Lease</w:t>
            </w:r>
            <w:r w:rsidR="00177848" w:rsidRPr="00C6052E">
              <w:t xml:space="preserve"> </w:t>
            </w:r>
            <w:r w:rsidRPr="00C6052E">
              <w:t>liabilities</w:t>
            </w:r>
            <w:r w:rsidR="00177848" w:rsidRPr="00C6052E">
              <w:t xml:space="preserve"> </w:t>
            </w:r>
          </w:p>
        </w:tc>
        <w:tc>
          <w:tcPr>
            <w:tcW w:w="1106" w:type="dxa"/>
            <w:noWrap/>
            <w:hideMark/>
          </w:tcPr>
          <w:p w14:paraId="6ECB22B1" w14:textId="77777777" w:rsidR="00EE5BB8" w:rsidRPr="00C6052E" w:rsidRDefault="00EE5BB8" w:rsidP="0028635E">
            <w:pPr>
              <w:pStyle w:val="TableCopy"/>
              <w:jc w:val="right"/>
            </w:pPr>
            <w:r w:rsidRPr="00C6052E">
              <w:t>–</w:t>
            </w:r>
          </w:p>
        </w:tc>
        <w:tc>
          <w:tcPr>
            <w:tcW w:w="1605" w:type="dxa"/>
            <w:noWrap/>
            <w:hideMark/>
          </w:tcPr>
          <w:p w14:paraId="01FECEC0" w14:textId="77777777" w:rsidR="00EE5BB8" w:rsidRPr="00C6052E" w:rsidRDefault="00EE5BB8" w:rsidP="0028635E">
            <w:pPr>
              <w:pStyle w:val="TableCopy"/>
              <w:jc w:val="right"/>
            </w:pPr>
            <w:r w:rsidRPr="00C6052E">
              <w:t>–</w:t>
            </w:r>
          </w:p>
        </w:tc>
        <w:tc>
          <w:tcPr>
            <w:tcW w:w="1162" w:type="dxa"/>
            <w:noWrap/>
            <w:hideMark/>
          </w:tcPr>
          <w:p w14:paraId="274E4556" w14:textId="77777777" w:rsidR="00EE5BB8" w:rsidRPr="00C6052E" w:rsidRDefault="00EE5BB8" w:rsidP="0028635E">
            <w:pPr>
              <w:pStyle w:val="TableCopy"/>
              <w:jc w:val="right"/>
            </w:pPr>
            <w:r w:rsidRPr="00C6052E">
              <w:t>–</w:t>
            </w:r>
          </w:p>
        </w:tc>
        <w:tc>
          <w:tcPr>
            <w:tcW w:w="1162" w:type="dxa"/>
            <w:noWrap/>
            <w:hideMark/>
          </w:tcPr>
          <w:p w14:paraId="00C6C6D2" w14:textId="77777777" w:rsidR="00EE5BB8" w:rsidRPr="00C6052E" w:rsidRDefault="00EE5BB8" w:rsidP="0028635E">
            <w:pPr>
              <w:pStyle w:val="TableCopy"/>
              <w:jc w:val="right"/>
            </w:pPr>
            <w:r w:rsidRPr="00C6052E">
              <w:t>12,890</w:t>
            </w:r>
          </w:p>
        </w:tc>
        <w:tc>
          <w:tcPr>
            <w:tcW w:w="998" w:type="dxa"/>
            <w:noWrap/>
            <w:hideMark/>
          </w:tcPr>
          <w:p w14:paraId="64C610D9" w14:textId="77777777" w:rsidR="00EE5BB8" w:rsidRPr="00C6052E" w:rsidRDefault="00EE5BB8" w:rsidP="0028635E">
            <w:pPr>
              <w:pStyle w:val="TableCopy"/>
              <w:jc w:val="right"/>
            </w:pPr>
            <w:r w:rsidRPr="00C6052E">
              <w:t>12,890</w:t>
            </w:r>
          </w:p>
        </w:tc>
      </w:tr>
      <w:tr w:rsidR="00EE5BB8" w:rsidRPr="00C6052E" w14:paraId="60EEEDCF" w14:textId="77777777" w:rsidTr="006D5FE0">
        <w:tc>
          <w:tcPr>
            <w:tcW w:w="3681" w:type="dxa"/>
            <w:hideMark/>
          </w:tcPr>
          <w:p w14:paraId="00E54E3E" w14:textId="39618AFE" w:rsidR="00EE5BB8" w:rsidRPr="00C6052E" w:rsidRDefault="00EE5BB8" w:rsidP="0063097D">
            <w:pPr>
              <w:pStyle w:val="TableCopy"/>
            </w:pPr>
            <w:r w:rsidRPr="00C6052E">
              <w:t>–</w:t>
            </w:r>
            <w:r w:rsidR="00177848" w:rsidRPr="00C6052E">
              <w:t xml:space="preserve"> </w:t>
            </w:r>
            <w:r w:rsidRPr="00C6052E">
              <w:t>Advances</w:t>
            </w:r>
            <w:r w:rsidR="00177848" w:rsidRPr="00C6052E">
              <w:t xml:space="preserve"> </w:t>
            </w:r>
            <w:r w:rsidRPr="00C6052E">
              <w:t>from</w:t>
            </w:r>
            <w:r w:rsidR="00177848" w:rsidRPr="00C6052E">
              <w:t xml:space="preserve"> </w:t>
            </w:r>
            <w:r w:rsidRPr="00C6052E">
              <w:t>government</w:t>
            </w:r>
          </w:p>
        </w:tc>
        <w:tc>
          <w:tcPr>
            <w:tcW w:w="1106" w:type="dxa"/>
            <w:noWrap/>
            <w:hideMark/>
          </w:tcPr>
          <w:p w14:paraId="77F76082" w14:textId="77777777" w:rsidR="00EE5BB8" w:rsidRPr="00C6052E" w:rsidRDefault="00EE5BB8" w:rsidP="0028635E">
            <w:pPr>
              <w:pStyle w:val="TableCopy"/>
              <w:jc w:val="right"/>
            </w:pPr>
            <w:r w:rsidRPr="00C6052E">
              <w:t>–</w:t>
            </w:r>
          </w:p>
        </w:tc>
        <w:tc>
          <w:tcPr>
            <w:tcW w:w="1605" w:type="dxa"/>
            <w:noWrap/>
            <w:hideMark/>
          </w:tcPr>
          <w:p w14:paraId="683E6013" w14:textId="77777777" w:rsidR="00EE5BB8" w:rsidRPr="00C6052E" w:rsidRDefault="00EE5BB8" w:rsidP="0028635E">
            <w:pPr>
              <w:pStyle w:val="TableCopy"/>
              <w:jc w:val="right"/>
            </w:pPr>
            <w:r w:rsidRPr="00C6052E">
              <w:t>–</w:t>
            </w:r>
          </w:p>
        </w:tc>
        <w:tc>
          <w:tcPr>
            <w:tcW w:w="1162" w:type="dxa"/>
            <w:noWrap/>
            <w:hideMark/>
          </w:tcPr>
          <w:p w14:paraId="3BF8A03B" w14:textId="77777777" w:rsidR="00EE5BB8" w:rsidRPr="00C6052E" w:rsidRDefault="00EE5BB8" w:rsidP="0028635E">
            <w:pPr>
              <w:pStyle w:val="TableCopy"/>
              <w:jc w:val="right"/>
            </w:pPr>
            <w:r w:rsidRPr="00C6052E">
              <w:t>–</w:t>
            </w:r>
          </w:p>
        </w:tc>
        <w:tc>
          <w:tcPr>
            <w:tcW w:w="1162" w:type="dxa"/>
            <w:noWrap/>
            <w:hideMark/>
          </w:tcPr>
          <w:p w14:paraId="4C27BD6B" w14:textId="77777777" w:rsidR="00EE5BB8" w:rsidRPr="00C6052E" w:rsidRDefault="00EE5BB8" w:rsidP="0028635E">
            <w:pPr>
              <w:pStyle w:val="TableCopy"/>
              <w:jc w:val="right"/>
            </w:pPr>
            <w:r w:rsidRPr="00C6052E">
              <w:t>43,524</w:t>
            </w:r>
          </w:p>
        </w:tc>
        <w:tc>
          <w:tcPr>
            <w:tcW w:w="998" w:type="dxa"/>
            <w:noWrap/>
            <w:hideMark/>
          </w:tcPr>
          <w:p w14:paraId="2B9A7E60" w14:textId="77777777" w:rsidR="00EE5BB8" w:rsidRPr="00C6052E" w:rsidRDefault="00EE5BB8" w:rsidP="0028635E">
            <w:pPr>
              <w:pStyle w:val="TableCopy"/>
              <w:jc w:val="right"/>
            </w:pPr>
            <w:r w:rsidRPr="00C6052E">
              <w:t>43,524</w:t>
            </w:r>
          </w:p>
        </w:tc>
      </w:tr>
      <w:tr w:rsidR="00EE5BB8" w:rsidRPr="00C6052E" w14:paraId="6BCC69DF" w14:textId="77777777" w:rsidTr="006D5FE0">
        <w:tc>
          <w:tcPr>
            <w:tcW w:w="3681" w:type="dxa"/>
            <w:noWrap/>
            <w:hideMark/>
          </w:tcPr>
          <w:p w14:paraId="4925FC3C" w14:textId="5836704D" w:rsidR="00EE5BB8" w:rsidRPr="00C6052E" w:rsidRDefault="00EE5BB8" w:rsidP="0063097D">
            <w:pPr>
              <w:pStyle w:val="Tabletotal"/>
            </w:pPr>
            <w:r w:rsidRPr="00C6052E">
              <w:t>Total</w:t>
            </w:r>
            <w:r w:rsidR="00177848" w:rsidRPr="00C6052E">
              <w:t xml:space="preserve"> </w:t>
            </w:r>
            <w:r w:rsidRPr="00C6052E">
              <w:t>contractual</w:t>
            </w:r>
            <w:r w:rsidR="00177848" w:rsidRPr="00C6052E">
              <w:t xml:space="preserve"> </w:t>
            </w:r>
            <w:r w:rsidRPr="00C6052E">
              <w:t>financial</w:t>
            </w:r>
            <w:r w:rsidR="00177848" w:rsidRPr="00C6052E">
              <w:t xml:space="preserve"> </w:t>
            </w:r>
            <w:r w:rsidRPr="00C6052E">
              <w:t>liabilities</w:t>
            </w:r>
          </w:p>
        </w:tc>
        <w:tc>
          <w:tcPr>
            <w:tcW w:w="1106" w:type="dxa"/>
            <w:noWrap/>
            <w:hideMark/>
          </w:tcPr>
          <w:p w14:paraId="514A6210" w14:textId="77777777" w:rsidR="00EE5BB8" w:rsidRPr="00C6052E" w:rsidRDefault="00EE5BB8" w:rsidP="0028635E">
            <w:pPr>
              <w:pStyle w:val="Tabletotal"/>
              <w:jc w:val="right"/>
            </w:pPr>
            <w:r w:rsidRPr="00C6052E">
              <w:t>–</w:t>
            </w:r>
          </w:p>
        </w:tc>
        <w:tc>
          <w:tcPr>
            <w:tcW w:w="1605" w:type="dxa"/>
            <w:noWrap/>
            <w:hideMark/>
          </w:tcPr>
          <w:p w14:paraId="2DA0D89B" w14:textId="77777777" w:rsidR="00EE5BB8" w:rsidRPr="00C6052E" w:rsidRDefault="00EE5BB8" w:rsidP="0028635E">
            <w:pPr>
              <w:pStyle w:val="Tabletotal"/>
              <w:jc w:val="right"/>
            </w:pPr>
            <w:r w:rsidRPr="00C6052E">
              <w:t>–</w:t>
            </w:r>
          </w:p>
        </w:tc>
        <w:tc>
          <w:tcPr>
            <w:tcW w:w="1162" w:type="dxa"/>
            <w:noWrap/>
            <w:hideMark/>
          </w:tcPr>
          <w:p w14:paraId="0EA26F27" w14:textId="77777777" w:rsidR="00EE5BB8" w:rsidRPr="00C6052E" w:rsidRDefault="00EE5BB8" w:rsidP="0028635E">
            <w:pPr>
              <w:pStyle w:val="Tabletotal"/>
              <w:jc w:val="right"/>
            </w:pPr>
            <w:r w:rsidRPr="00C6052E">
              <w:t>–</w:t>
            </w:r>
          </w:p>
        </w:tc>
        <w:tc>
          <w:tcPr>
            <w:tcW w:w="1162" w:type="dxa"/>
            <w:noWrap/>
            <w:hideMark/>
          </w:tcPr>
          <w:p w14:paraId="088EF188" w14:textId="77777777" w:rsidR="00EE5BB8" w:rsidRPr="00C6052E" w:rsidRDefault="00EE5BB8" w:rsidP="0028635E">
            <w:pPr>
              <w:pStyle w:val="Tabletotal"/>
              <w:jc w:val="right"/>
            </w:pPr>
            <w:r w:rsidRPr="00C6052E">
              <w:t>693,618</w:t>
            </w:r>
          </w:p>
        </w:tc>
        <w:tc>
          <w:tcPr>
            <w:tcW w:w="998" w:type="dxa"/>
            <w:noWrap/>
            <w:hideMark/>
          </w:tcPr>
          <w:p w14:paraId="6ED49105" w14:textId="77777777" w:rsidR="00EE5BB8" w:rsidRPr="00C6052E" w:rsidRDefault="00EE5BB8" w:rsidP="0028635E">
            <w:pPr>
              <w:pStyle w:val="Tabletotal"/>
              <w:jc w:val="right"/>
            </w:pPr>
            <w:r w:rsidRPr="00C6052E">
              <w:t>693,618</w:t>
            </w:r>
          </w:p>
        </w:tc>
      </w:tr>
    </w:tbl>
    <w:p w14:paraId="1C066FFF" w14:textId="7678E0B7" w:rsidR="00EE5BB8" w:rsidRPr="00C6052E" w:rsidRDefault="00EE5BB8" w:rsidP="00EE5BB8">
      <w:pPr>
        <w:pStyle w:val="Tablenotes-numbered"/>
        <w:numPr>
          <w:ilvl w:val="0"/>
          <w:numId w:val="70"/>
        </w:numPr>
      </w:pPr>
      <w:r w:rsidRPr="00C6052E">
        <w:t>Receivables</w:t>
      </w:r>
      <w:r w:rsidR="00177848" w:rsidRPr="00C6052E">
        <w:t xml:space="preserve"> </w:t>
      </w:r>
      <w:r w:rsidRPr="00C6052E">
        <w:t>and</w:t>
      </w:r>
      <w:r w:rsidR="00177848" w:rsidRPr="00C6052E">
        <w:t xml:space="preserve"> </w:t>
      </w:r>
      <w:r w:rsidRPr="00C6052E">
        <w:t>payables</w:t>
      </w:r>
      <w:r w:rsidR="00177848" w:rsidRPr="00C6052E">
        <w:t xml:space="preserve"> </w:t>
      </w:r>
      <w:r w:rsidRPr="00C6052E">
        <w:t>disclosed</w:t>
      </w:r>
      <w:r w:rsidR="00177848" w:rsidRPr="00C6052E">
        <w:t xml:space="preserve"> </w:t>
      </w:r>
      <w:r w:rsidRPr="00C6052E">
        <w:t>above</w:t>
      </w:r>
      <w:r w:rsidR="00177848" w:rsidRPr="00C6052E">
        <w:t xml:space="preserve"> </w:t>
      </w:r>
      <w:r w:rsidRPr="00C6052E">
        <w:t>exclude</w:t>
      </w:r>
      <w:r w:rsidR="00177848" w:rsidRPr="00C6052E">
        <w:t xml:space="preserve"> </w:t>
      </w:r>
      <w:r w:rsidRPr="00C6052E">
        <w:t>statutory</w:t>
      </w:r>
      <w:r w:rsidR="00177848" w:rsidRPr="00C6052E">
        <w:t xml:space="preserve"> </w:t>
      </w:r>
      <w:r w:rsidRPr="00C6052E">
        <w:t>receivables</w:t>
      </w:r>
      <w:r w:rsidR="00177848" w:rsidRPr="00C6052E">
        <w:t xml:space="preserve"> </w:t>
      </w:r>
      <w:r w:rsidRPr="00C6052E">
        <w:t>(i.e.</w:t>
      </w:r>
      <w:r w:rsidR="00177848" w:rsidRPr="00C6052E">
        <w:t xml:space="preserve"> </w:t>
      </w:r>
      <w:r w:rsidRPr="00C6052E">
        <w:t>GST</w:t>
      </w:r>
      <w:r w:rsidR="00177848" w:rsidRPr="00C6052E">
        <w:t xml:space="preserve"> </w:t>
      </w:r>
      <w:r w:rsidRPr="00C6052E">
        <w:t>recoverable)</w:t>
      </w:r>
      <w:r w:rsidR="00177848" w:rsidRPr="00C6052E">
        <w:t xml:space="preserve"> </w:t>
      </w:r>
      <w:r w:rsidRPr="00C6052E">
        <w:t>and</w:t>
      </w:r>
      <w:r w:rsidR="00177848" w:rsidRPr="00C6052E">
        <w:t xml:space="preserve"> </w:t>
      </w:r>
      <w:r w:rsidRPr="00C6052E">
        <w:t>statutory</w:t>
      </w:r>
      <w:r w:rsidR="00177848" w:rsidRPr="00C6052E">
        <w:t xml:space="preserve"> </w:t>
      </w:r>
      <w:r w:rsidRPr="00C6052E">
        <w:t>payables</w:t>
      </w:r>
      <w:r w:rsidR="00177848" w:rsidRPr="00C6052E">
        <w:t xml:space="preserve"> </w:t>
      </w:r>
      <w:r w:rsidRPr="00C6052E">
        <w:t>(i.e.</w:t>
      </w:r>
      <w:r w:rsidR="00177848" w:rsidRPr="00C6052E">
        <w:t xml:space="preserve"> </w:t>
      </w:r>
      <w:r w:rsidRPr="00C6052E">
        <w:t>taxes</w:t>
      </w:r>
      <w:r w:rsidR="00177848" w:rsidRPr="00C6052E">
        <w:t xml:space="preserve"> </w:t>
      </w:r>
      <w:r w:rsidRPr="00C6052E">
        <w:t>payable).</w:t>
      </w:r>
    </w:p>
    <w:p w14:paraId="3E035756" w14:textId="77777777" w:rsidR="00EE5BB8" w:rsidRPr="00C6052E" w:rsidRDefault="00EE5BB8" w:rsidP="00EE5BB8"/>
    <w:p w14:paraId="213A65F2" w14:textId="6B78C745" w:rsidR="00EE5BB8" w:rsidRPr="00C6052E" w:rsidRDefault="00EE5BB8" w:rsidP="000C0740">
      <w:pPr>
        <w:pStyle w:val="Heading3numbered0"/>
      </w:pPr>
      <w:r w:rsidRPr="00C6052E">
        <w:t>Financial</w:t>
      </w:r>
      <w:r w:rsidR="00177848" w:rsidRPr="00C6052E">
        <w:t xml:space="preserve"> </w:t>
      </w:r>
      <w:r w:rsidRPr="00C6052E">
        <w:t>instruments:</w:t>
      </w:r>
      <w:r w:rsidR="00177848" w:rsidRPr="00C6052E">
        <w:t xml:space="preserve"> </w:t>
      </w:r>
      <w:r w:rsidRPr="00C6052E">
        <w:t>Net</w:t>
      </w:r>
      <w:r w:rsidR="00177848" w:rsidRPr="00C6052E">
        <w:t xml:space="preserve"> </w:t>
      </w:r>
      <w:r w:rsidRPr="00C6052E">
        <w:t>holding</w:t>
      </w:r>
      <w:r w:rsidR="00177848" w:rsidRPr="00C6052E">
        <w:t xml:space="preserve"> </w:t>
      </w:r>
      <w:r w:rsidRPr="00C6052E">
        <w:t>gain/(loss)</w:t>
      </w:r>
      <w:r w:rsidR="00177848" w:rsidRPr="00C6052E">
        <w:t xml:space="preserve"> </w:t>
      </w:r>
      <w:r w:rsidRPr="00C6052E">
        <w:t>on</w:t>
      </w:r>
      <w:r w:rsidR="00177848" w:rsidRPr="00C6052E">
        <w:t xml:space="preserve"> </w:t>
      </w:r>
      <w:r w:rsidRPr="00C6052E">
        <w:t>financial</w:t>
      </w:r>
      <w:r w:rsidR="00177848" w:rsidRPr="00C6052E">
        <w:t xml:space="preserve"> </w:t>
      </w:r>
      <w:r w:rsidRPr="00C6052E">
        <w:t>instruments</w:t>
      </w:r>
      <w:r w:rsidR="00177848" w:rsidRPr="00C6052E">
        <w:t xml:space="preserve"> </w:t>
      </w:r>
      <w:r w:rsidRPr="00C6052E">
        <w:t>by</w:t>
      </w:r>
      <w:r w:rsidR="00177848" w:rsidRPr="00C6052E">
        <w:t xml:space="preserve"> </w:t>
      </w:r>
      <w:r w:rsidRPr="00C6052E">
        <w:t>category</w:t>
      </w:r>
    </w:p>
    <w:tbl>
      <w:tblPr>
        <w:tblStyle w:val="TableGrid"/>
        <w:tblW w:w="9722" w:type="dxa"/>
        <w:tblLayout w:type="fixed"/>
        <w:tblLook w:val="04E0" w:firstRow="1" w:lastRow="1" w:firstColumn="1" w:lastColumn="0" w:noHBand="0" w:noVBand="1"/>
      </w:tblPr>
      <w:tblGrid>
        <w:gridCol w:w="4531"/>
        <w:gridCol w:w="1814"/>
        <w:gridCol w:w="1733"/>
        <w:gridCol w:w="1644"/>
      </w:tblGrid>
      <w:tr w:rsidR="00EE5BB8" w:rsidRPr="00C6052E" w14:paraId="5382B1F8" w14:textId="77777777" w:rsidTr="0028635E">
        <w:trPr>
          <w:tblHeader/>
        </w:trPr>
        <w:tc>
          <w:tcPr>
            <w:tcW w:w="4531" w:type="dxa"/>
            <w:hideMark/>
          </w:tcPr>
          <w:p w14:paraId="09C24E1C" w14:textId="77777777" w:rsidR="00EE5BB8" w:rsidRPr="00C6052E" w:rsidRDefault="00EE5BB8" w:rsidP="000F5B20">
            <w:pPr>
              <w:pStyle w:val="TableColumnHeading"/>
            </w:pPr>
            <w:bookmarkStart w:id="319" w:name="TableColumnHeadings_91"/>
            <w:bookmarkEnd w:id="319"/>
          </w:p>
        </w:tc>
        <w:tc>
          <w:tcPr>
            <w:tcW w:w="1814" w:type="dxa"/>
            <w:hideMark/>
          </w:tcPr>
          <w:p w14:paraId="7E3B4622" w14:textId="4E4E0FF3" w:rsidR="00EE5BB8" w:rsidRPr="00C6052E" w:rsidRDefault="00EE5BB8" w:rsidP="0028635E">
            <w:pPr>
              <w:pStyle w:val="TableColumnHeading"/>
              <w:jc w:val="right"/>
              <w:rPr>
                <w:lang w:val="en-AU"/>
              </w:rPr>
            </w:pPr>
            <w:r w:rsidRPr="00C6052E">
              <w:rPr>
                <w:lang w:val="en-AU"/>
              </w:rPr>
              <w:t>Reversal/</w:t>
            </w:r>
            <w:r w:rsidRPr="00C6052E">
              <w:rPr>
                <w:lang w:val="en-AU"/>
              </w:rPr>
              <w:br/>
              <w:t>(Impairment</w:t>
            </w:r>
            <w:r w:rsidR="00B1545C" w:rsidRPr="00C6052E">
              <w:rPr>
                <w:lang w:val="en-AU"/>
              </w:rPr>
              <w:t xml:space="preserve"> </w:t>
            </w:r>
            <w:r w:rsidRPr="00C6052E">
              <w:rPr>
                <w:lang w:val="en-AU"/>
              </w:rPr>
              <w:t>loss)</w:t>
            </w:r>
            <w:r w:rsidR="0028635E">
              <w:rPr>
                <w:lang w:val="en-AU"/>
              </w:rPr>
              <w:br/>
            </w:r>
            <w:r w:rsidR="0028635E" w:rsidRPr="00C6052E">
              <w:rPr>
                <w:lang w:val="en-AU"/>
              </w:rPr>
              <w:t xml:space="preserve">($ </w:t>
            </w:r>
            <w:r w:rsidR="0028635E">
              <w:rPr>
                <w:lang w:val="en-AU"/>
              </w:rPr>
              <w:t>‘000</w:t>
            </w:r>
            <w:r w:rsidR="0028635E" w:rsidRPr="00C6052E">
              <w:rPr>
                <w:lang w:val="en-AU"/>
              </w:rPr>
              <w:t>)</w:t>
            </w:r>
          </w:p>
        </w:tc>
        <w:tc>
          <w:tcPr>
            <w:tcW w:w="1733" w:type="dxa"/>
            <w:hideMark/>
          </w:tcPr>
          <w:p w14:paraId="42FE8EDF" w14:textId="0AAC0EC7" w:rsidR="00EE5BB8" w:rsidRPr="00C6052E" w:rsidRDefault="00EE5BB8" w:rsidP="0028635E">
            <w:pPr>
              <w:pStyle w:val="TableColumnHeading"/>
              <w:jc w:val="right"/>
              <w:rPr>
                <w:lang w:val="en-AU"/>
              </w:rPr>
            </w:pPr>
            <w:r w:rsidRPr="00C6052E">
              <w:rPr>
                <w:lang w:val="en-AU"/>
              </w:rPr>
              <w:t>Interest</w:t>
            </w:r>
            <w:r w:rsidR="00B1545C" w:rsidRPr="00C6052E">
              <w:rPr>
                <w:lang w:val="en-AU"/>
              </w:rPr>
              <w:t xml:space="preserve"> </w:t>
            </w:r>
            <w:r w:rsidRPr="00C6052E">
              <w:rPr>
                <w:lang w:val="en-AU"/>
              </w:rPr>
              <w:t>income/</w:t>
            </w:r>
            <w:r w:rsidR="0028635E">
              <w:rPr>
                <w:lang w:val="en-AU"/>
              </w:rPr>
              <w:t xml:space="preserve"> </w:t>
            </w:r>
            <w:r w:rsidRPr="00C6052E">
              <w:rPr>
                <w:lang w:val="en-AU"/>
              </w:rPr>
              <w:t>(expense)</w:t>
            </w:r>
            <w:r w:rsidR="0028635E">
              <w:rPr>
                <w:lang w:val="en-AU"/>
              </w:rPr>
              <w:br/>
            </w:r>
            <w:r w:rsidR="0028635E" w:rsidRPr="00C6052E">
              <w:rPr>
                <w:lang w:val="en-AU"/>
              </w:rPr>
              <w:t xml:space="preserve">($ </w:t>
            </w:r>
            <w:r w:rsidR="0028635E">
              <w:rPr>
                <w:lang w:val="en-AU"/>
              </w:rPr>
              <w:t>‘000</w:t>
            </w:r>
            <w:r w:rsidR="0028635E" w:rsidRPr="00C6052E">
              <w:rPr>
                <w:lang w:val="en-AU"/>
              </w:rPr>
              <w:t>)</w:t>
            </w:r>
          </w:p>
        </w:tc>
        <w:tc>
          <w:tcPr>
            <w:tcW w:w="1644" w:type="dxa"/>
            <w:hideMark/>
          </w:tcPr>
          <w:p w14:paraId="3ABBD90E" w14:textId="27854E2B" w:rsidR="00EE5BB8" w:rsidRPr="00C6052E" w:rsidRDefault="00EE5BB8" w:rsidP="0028635E">
            <w:pPr>
              <w:pStyle w:val="TableColumnHeading"/>
              <w:jc w:val="right"/>
            </w:pPr>
            <w:r w:rsidRPr="00C6052E">
              <w:t>Total</w:t>
            </w:r>
            <w:r w:rsidR="0028635E">
              <w:br/>
            </w:r>
            <w:r w:rsidR="0028635E" w:rsidRPr="00C6052E">
              <w:rPr>
                <w:lang w:val="en-AU"/>
              </w:rPr>
              <w:t xml:space="preserve">($ </w:t>
            </w:r>
            <w:r w:rsidR="0028635E">
              <w:rPr>
                <w:lang w:val="en-AU"/>
              </w:rPr>
              <w:t>‘000</w:t>
            </w:r>
            <w:r w:rsidR="0028635E" w:rsidRPr="00C6052E">
              <w:rPr>
                <w:lang w:val="en-AU"/>
              </w:rPr>
              <w:t>)</w:t>
            </w:r>
          </w:p>
        </w:tc>
      </w:tr>
      <w:tr w:rsidR="0028635E" w:rsidRPr="00C6052E" w14:paraId="7BA040B5" w14:textId="77777777" w:rsidTr="0028635E">
        <w:tc>
          <w:tcPr>
            <w:tcW w:w="4531" w:type="dxa"/>
          </w:tcPr>
          <w:p w14:paraId="756AC186" w14:textId="13BA16A7" w:rsidR="0028635E" w:rsidRPr="00C6052E" w:rsidRDefault="0028635E" w:rsidP="00E34235">
            <w:pPr>
              <w:pStyle w:val="TableHeading"/>
            </w:pPr>
            <w:r w:rsidRPr="00C6052E">
              <w:t>2025</w:t>
            </w:r>
          </w:p>
        </w:tc>
        <w:tc>
          <w:tcPr>
            <w:tcW w:w="1814" w:type="dxa"/>
            <w:noWrap/>
          </w:tcPr>
          <w:p w14:paraId="1B8F2CA4" w14:textId="77777777" w:rsidR="0028635E" w:rsidRPr="00C6052E" w:rsidRDefault="0028635E" w:rsidP="0028635E">
            <w:pPr>
              <w:pStyle w:val="TableHeading"/>
              <w:jc w:val="right"/>
            </w:pPr>
          </w:p>
        </w:tc>
        <w:tc>
          <w:tcPr>
            <w:tcW w:w="1733" w:type="dxa"/>
            <w:noWrap/>
          </w:tcPr>
          <w:p w14:paraId="5EB045E6" w14:textId="77777777" w:rsidR="0028635E" w:rsidRPr="00C6052E" w:rsidRDefault="0028635E" w:rsidP="0028635E">
            <w:pPr>
              <w:pStyle w:val="TableHeading"/>
              <w:jc w:val="right"/>
            </w:pPr>
          </w:p>
        </w:tc>
        <w:tc>
          <w:tcPr>
            <w:tcW w:w="1644" w:type="dxa"/>
            <w:noWrap/>
          </w:tcPr>
          <w:p w14:paraId="2B767CD8" w14:textId="77777777" w:rsidR="0028635E" w:rsidRPr="00C6052E" w:rsidRDefault="0028635E" w:rsidP="0028635E">
            <w:pPr>
              <w:pStyle w:val="TableHeading"/>
              <w:jc w:val="right"/>
            </w:pPr>
          </w:p>
        </w:tc>
      </w:tr>
      <w:tr w:rsidR="0028635E" w:rsidRPr="00C6052E" w14:paraId="18A83F7A" w14:textId="77777777" w:rsidTr="0028635E">
        <w:tc>
          <w:tcPr>
            <w:tcW w:w="4531" w:type="dxa"/>
          </w:tcPr>
          <w:p w14:paraId="62CA9947" w14:textId="766EC656" w:rsidR="0028635E" w:rsidRPr="00C6052E" w:rsidRDefault="0028635E" w:rsidP="0028635E">
            <w:pPr>
              <w:pStyle w:val="TableHeading"/>
            </w:pPr>
            <w:r w:rsidRPr="00C6052E">
              <w:t>Contractual financial assets</w:t>
            </w:r>
          </w:p>
        </w:tc>
        <w:tc>
          <w:tcPr>
            <w:tcW w:w="1814" w:type="dxa"/>
            <w:noWrap/>
          </w:tcPr>
          <w:p w14:paraId="11671B07" w14:textId="77777777" w:rsidR="0028635E" w:rsidRPr="00C6052E" w:rsidRDefault="0028635E" w:rsidP="0028635E">
            <w:pPr>
              <w:pStyle w:val="TableHeading"/>
              <w:jc w:val="right"/>
            </w:pPr>
          </w:p>
        </w:tc>
        <w:tc>
          <w:tcPr>
            <w:tcW w:w="1733" w:type="dxa"/>
            <w:noWrap/>
          </w:tcPr>
          <w:p w14:paraId="3B84940A" w14:textId="77777777" w:rsidR="0028635E" w:rsidRPr="00C6052E" w:rsidRDefault="0028635E" w:rsidP="0028635E">
            <w:pPr>
              <w:pStyle w:val="TableHeading"/>
              <w:jc w:val="right"/>
            </w:pPr>
          </w:p>
        </w:tc>
        <w:tc>
          <w:tcPr>
            <w:tcW w:w="1644" w:type="dxa"/>
            <w:noWrap/>
          </w:tcPr>
          <w:p w14:paraId="68301BD2" w14:textId="77777777" w:rsidR="0028635E" w:rsidRPr="00C6052E" w:rsidRDefault="0028635E" w:rsidP="0028635E">
            <w:pPr>
              <w:pStyle w:val="TableHeading"/>
              <w:jc w:val="right"/>
            </w:pPr>
          </w:p>
        </w:tc>
      </w:tr>
      <w:tr w:rsidR="00EE5BB8" w:rsidRPr="00C6052E" w14:paraId="0BC6EA4D" w14:textId="77777777" w:rsidTr="0028635E">
        <w:tc>
          <w:tcPr>
            <w:tcW w:w="4531" w:type="dxa"/>
            <w:hideMark/>
          </w:tcPr>
          <w:p w14:paraId="6B4C83D3" w14:textId="644CF0A0" w:rsidR="00EE5BB8" w:rsidRPr="00C6052E" w:rsidRDefault="00EE5BB8" w:rsidP="0063097D">
            <w:pPr>
              <w:pStyle w:val="TableCopy"/>
            </w:pPr>
            <w:r w:rsidRPr="00C6052E">
              <w:t>Financial</w:t>
            </w:r>
            <w:r w:rsidR="00177848" w:rsidRPr="00C6052E">
              <w:t xml:space="preserve"> </w:t>
            </w:r>
            <w:r w:rsidRPr="00C6052E">
              <w:t>assets</w:t>
            </w:r>
            <w:r w:rsidR="00177848" w:rsidRPr="00C6052E">
              <w:t xml:space="preserve"> </w:t>
            </w:r>
            <w:r w:rsidRPr="00C6052E">
              <w:t>designated</w:t>
            </w:r>
            <w:r w:rsidR="00177848" w:rsidRPr="00C6052E">
              <w:t xml:space="preserve"> </w:t>
            </w:r>
            <w:r w:rsidRPr="00C6052E">
              <w:t>at</w:t>
            </w:r>
            <w:r w:rsidR="00177848" w:rsidRPr="00C6052E">
              <w:t xml:space="preserve"> </w:t>
            </w:r>
            <w:r w:rsidRPr="00C6052E">
              <w:t>amortised</w:t>
            </w:r>
            <w:r w:rsidR="00177848" w:rsidRPr="00C6052E">
              <w:t xml:space="preserve"> </w:t>
            </w:r>
            <w:r w:rsidRPr="00C6052E">
              <w:t>cost</w:t>
            </w:r>
            <w:r w:rsidR="00177848" w:rsidRPr="00C6052E">
              <w:t xml:space="preserve"> </w:t>
            </w:r>
          </w:p>
        </w:tc>
        <w:tc>
          <w:tcPr>
            <w:tcW w:w="1814" w:type="dxa"/>
            <w:noWrap/>
            <w:hideMark/>
          </w:tcPr>
          <w:p w14:paraId="716A3122" w14:textId="77777777" w:rsidR="00EE5BB8" w:rsidRPr="00C6052E" w:rsidRDefault="00EE5BB8" w:rsidP="0028635E">
            <w:pPr>
              <w:pStyle w:val="TableCopy"/>
              <w:jc w:val="right"/>
            </w:pPr>
            <w:r w:rsidRPr="00C6052E">
              <w:t>29,576</w:t>
            </w:r>
          </w:p>
        </w:tc>
        <w:tc>
          <w:tcPr>
            <w:tcW w:w="1733" w:type="dxa"/>
            <w:noWrap/>
            <w:hideMark/>
          </w:tcPr>
          <w:p w14:paraId="11EBE376" w14:textId="77777777" w:rsidR="00EE5BB8" w:rsidRPr="00C6052E" w:rsidRDefault="00EE5BB8" w:rsidP="0028635E">
            <w:pPr>
              <w:pStyle w:val="TableCopy"/>
              <w:jc w:val="right"/>
            </w:pPr>
            <w:r w:rsidRPr="00C6052E">
              <w:t>11,424</w:t>
            </w:r>
          </w:p>
        </w:tc>
        <w:tc>
          <w:tcPr>
            <w:tcW w:w="1644" w:type="dxa"/>
            <w:noWrap/>
            <w:hideMark/>
          </w:tcPr>
          <w:p w14:paraId="2181CDF5" w14:textId="77777777" w:rsidR="00EE5BB8" w:rsidRPr="00C6052E" w:rsidRDefault="00EE5BB8" w:rsidP="0028635E">
            <w:pPr>
              <w:pStyle w:val="TableCopy"/>
              <w:jc w:val="right"/>
            </w:pPr>
            <w:r w:rsidRPr="00C6052E">
              <w:t>41,000</w:t>
            </w:r>
          </w:p>
        </w:tc>
      </w:tr>
      <w:tr w:rsidR="00EE5BB8" w:rsidRPr="00C6052E" w14:paraId="687EAA5C" w14:textId="77777777" w:rsidTr="0028635E">
        <w:tc>
          <w:tcPr>
            <w:tcW w:w="4531" w:type="dxa"/>
            <w:noWrap/>
            <w:hideMark/>
          </w:tcPr>
          <w:p w14:paraId="69174B96" w14:textId="75C7E24C" w:rsidR="00EE5BB8" w:rsidRPr="00C6052E" w:rsidRDefault="00EE5BB8" w:rsidP="0063097D">
            <w:pPr>
              <w:pStyle w:val="Tabletotal"/>
            </w:pPr>
            <w:r w:rsidRPr="00C6052E">
              <w:t>Total</w:t>
            </w:r>
            <w:r w:rsidR="00177848" w:rsidRPr="00C6052E">
              <w:t xml:space="preserve"> </w:t>
            </w:r>
            <w:r w:rsidRPr="00C6052E">
              <w:t>contractual</w:t>
            </w:r>
            <w:r w:rsidR="00177848" w:rsidRPr="00C6052E">
              <w:t xml:space="preserve"> </w:t>
            </w:r>
            <w:r w:rsidRPr="00C6052E">
              <w:t>financial</w:t>
            </w:r>
            <w:r w:rsidR="00177848" w:rsidRPr="00C6052E">
              <w:t xml:space="preserve"> </w:t>
            </w:r>
            <w:r w:rsidRPr="00C6052E">
              <w:t>assets</w:t>
            </w:r>
          </w:p>
        </w:tc>
        <w:tc>
          <w:tcPr>
            <w:tcW w:w="1814" w:type="dxa"/>
            <w:noWrap/>
            <w:hideMark/>
          </w:tcPr>
          <w:p w14:paraId="3DBB9B80" w14:textId="77777777" w:rsidR="00EE5BB8" w:rsidRPr="00C6052E" w:rsidRDefault="00EE5BB8" w:rsidP="0028635E">
            <w:pPr>
              <w:pStyle w:val="Tabletotal"/>
              <w:jc w:val="right"/>
            </w:pPr>
            <w:r w:rsidRPr="00C6052E">
              <w:t>29,576</w:t>
            </w:r>
          </w:p>
        </w:tc>
        <w:tc>
          <w:tcPr>
            <w:tcW w:w="1733" w:type="dxa"/>
            <w:noWrap/>
            <w:hideMark/>
          </w:tcPr>
          <w:p w14:paraId="61494774" w14:textId="77777777" w:rsidR="00EE5BB8" w:rsidRPr="00C6052E" w:rsidRDefault="00EE5BB8" w:rsidP="0028635E">
            <w:pPr>
              <w:pStyle w:val="Tabletotal"/>
              <w:jc w:val="right"/>
            </w:pPr>
            <w:r w:rsidRPr="00C6052E">
              <w:t>11,424</w:t>
            </w:r>
          </w:p>
        </w:tc>
        <w:tc>
          <w:tcPr>
            <w:tcW w:w="1644" w:type="dxa"/>
            <w:noWrap/>
            <w:hideMark/>
          </w:tcPr>
          <w:p w14:paraId="534711B2" w14:textId="77777777" w:rsidR="00EE5BB8" w:rsidRPr="00C6052E" w:rsidRDefault="00EE5BB8" w:rsidP="0028635E">
            <w:pPr>
              <w:pStyle w:val="Tabletotal"/>
              <w:jc w:val="right"/>
            </w:pPr>
            <w:r w:rsidRPr="00C6052E">
              <w:t>41,000</w:t>
            </w:r>
          </w:p>
        </w:tc>
      </w:tr>
      <w:tr w:rsidR="0028635E" w:rsidRPr="00C6052E" w14:paraId="0BFDAABA" w14:textId="77777777" w:rsidTr="0028635E">
        <w:tc>
          <w:tcPr>
            <w:tcW w:w="4531" w:type="dxa"/>
          </w:tcPr>
          <w:p w14:paraId="7A439753" w14:textId="599B5D43" w:rsidR="0028635E" w:rsidRPr="00C6052E" w:rsidRDefault="0028635E" w:rsidP="0085749C">
            <w:pPr>
              <w:pStyle w:val="TableHeading"/>
            </w:pPr>
            <w:r w:rsidRPr="00C6052E">
              <w:t>Contractual financial liabilities</w:t>
            </w:r>
          </w:p>
        </w:tc>
        <w:tc>
          <w:tcPr>
            <w:tcW w:w="1814" w:type="dxa"/>
            <w:noWrap/>
          </w:tcPr>
          <w:p w14:paraId="0E11552C" w14:textId="77777777" w:rsidR="0028635E" w:rsidRPr="00C6052E" w:rsidRDefault="0028635E" w:rsidP="0085749C">
            <w:pPr>
              <w:pStyle w:val="TableHeading"/>
              <w:jc w:val="right"/>
            </w:pPr>
          </w:p>
        </w:tc>
        <w:tc>
          <w:tcPr>
            <w:tcW w:w="1733" w:type="dxa"/>
            <w:noWrap/>
          </w:tcPr>
          <w:p w14:paraId="49FD42F0" w14:textId="77777777" w:rsidR="0028635E" w:rsidRPr="00C6052E" w:rsidRDefault="0028635E" w:rsidP="0085749C">
            <w:pPr>
              <w:pStyle w:val="TableHeading"/>
              <w:jc w:val="right"/>
            </w:pPr>
          </w:p>
        </w:tc>
        <w:tc>
          <w:tcPr>
            <w:tcW w:w="1644" w:type="dxa"/>
            <w:noWrap/>
          </w:tcPr>
          <w:p w14:paraId="13FDD5BF" w14:textId="77777777" w:rsidR="0028635E" w:rsidRPr="00C6052E" w:rsidRDefault="0028635E" w:rsidP="0085749C">
            <w:pPr>
              <w:pStyle w:val="TableHeading"/>
              <w:jc w:val="right"/>
            </w:pPr>
          </w:p>
        </w:tc>
      </w:tr>
      <w:tr w:rsidR="00EE5BB8" w:rsidRPr="00C6052E" w14:paraId="1A1DF300" w14:textId="77777777" w:rsidTr="0028635E">
        <w:tc>
          <w:tcPr>
            <w:tcW w:w="4531" w:type="dxa"/>
            <w:hideMark/>
          </w:tcPr>
          <w:p w14:paraId="382CCD00" w14:textId="43576FB2" w:rsidR="00EE5BB8" w:rsidRPr="00C6052E" w:rsidRDefault="00EE5BB8" w:rsidP="0063097D">
            <w:pPr>
              <w:pStyle w:val="TableCopy"/>
            </w:pPr>
            <w:r w:rsidRPr="00C6052E">
              <w:t>Financial</w:t>
            </w:r>
            <w:r w:rsidR="00177848" w:rsidRPr="00C6052E">
              <w:t xml:space="preserve"> </w:t>
            </w:r>
            <w:r w:rsidRPr="00C6052E">
              <w:t>liabilities</w:t>
            </w:r>
            <w:r w:rsidR="00177848" w:rsidRPr="00C6052E">
              <w:t xml:space="preserve"> </w:t>
            </w:r>
            <w:r w:rsidRPr="00C6052E">
              <w:t>designated</w:t>
            </w:r>
            <w:r w:rsidR="00177848" w:rsidRPr="00C6052E">
              <w:t xml:space="preserve"> </w:t>
            </w:r>
            <w:r w:rsidRPr="00C6052E">
              <w:t>at</w:t>
            </w:r>
            <w:r w:rsidR="00177848" w:rsidRPr="00C6052E">
              <w:t xml:space="preserve"> </w:t>
            </w:r>
            <w:r w:rsidRPr="00C6052E">
              <w:t>amortised</w:t>
            </w:r>
            <w:r w:rsidR="00177848" w:rsidRPr="00C6052E">
              <w:t xml:space="preserve"> </w:t>
            </w:r>
            <w:r w:rsidRPr="00C6052E">
              <w:t>cost</w:t>
            </w:r>
            <w:r w:rsidR="00177848" w:rsidRPr="00C6052E">
              <w:t xml:space="preserve"> </w:t>
            </w:r>
          </w:p>
        </w:tc>
        <w:tc>
          <w:tcPr>
            <w:tcW w:w="1814" w:type="dxa"/>
            <w:noWrap/>
            <w:hideMark/>
          </w:tcPr>
          <w:p w14:paraId="29C14D5F" w14:textId="77777777" w:rsidR="00EE5BB8" w:rsidRPr="00C6052E" w:rsidRDefault="00EE5BB8" w:rsidP="0028635E">
            <w:pPr>
              <w:pStyle w:val="TableCopy"/>
              <w:jc w:val="right"/>
            </w:pPr>
            <w:r w:rsidRPr="00C6052E">
              <w:t>–</w:t>
            </w:r>
          </w:p>
        </w:tc>
        <w:tc>
          <w:tcPr>
            <w:tcW w:w="1733" w:type="dxa"/>
            <w:noWrap/>
            <w:hideMark/>
          </w:tcPr>
          <w:p w14:paraId="77C1FD37" w14:textId="77777777" w:rsidR="00EE5BB8" w:rsidRPr="00C6052E" w:rsidRDefault="00EE5BB8" w:rsidP="0028635E">
            <w:pPr>
              <w:pStyle w:val="TableCopy"/>
              <w:jc w:val="right"/>
            </w:pPr>
            <w:r w:rsidRPr="00C6052E">
              <w:t>(1,533)</w:t>
            </w:r>
          </w:p>
        </w:tc>
        <w:tc>
          <w:tcPr>
            <w:tcW w:w="1644" w:type="dxa"/>
            <w:noWrap/>
            <w:hideMark/>
          </w:tcPr>
          <w:p w14:paraId="681C20A9" w14:textId="77777777" w:rsidR="00EE5BB8" w:rsidRPr="00C6052E" w:rsidRDefault="00EE5BB8" w:rsidP="0028635E">
            <w:pPr>
              <w:pStyle w:val="TableCopy"/>
              <w:jc w:val="right"/>
            </w:pPr>
            <w:r w:rsidRPr="00C6052E">
              <w:t>(1,533)</w:t>
            </w:r>
          </w:p>
        </w:tc>
      </w:tr>
      <w:tr w:rsidR="00EE5BB8" w:rsidRPr="00C6052E" w14:paraId="31C6BE66" w14:textId="77777777" w:rsidTr="0028635E">
        <w:tc>
          <w:tcPr>
            <w:tcW w:w="4531" w:type="dxa"/>
            <w:noWrap/>
            <w:hideMark/>
          </w:tcPr>
          <w:p w14:paraId="0A00074B" w14:textId="5E5D27E9" w:rsidR="00EE5BB8" w:rsidRPr="00C6052E" w:rsidRDefault="00EE5BB8" w:rsidP="0063097D">
            <w:pPr>
              <w:pStyle w:val="Tabletotal"/>
            </w:pPr>
            <w:r w:rsidRPr="00C6052E">
              <w:t>Total</w:t>
            </w:r>
            <w:r w:rsidR="00177848" w:rsidRPr="00C6052E">
              <w:t xml:space="preserve"> </w:t>
            </w:r>
            <w:r w:rsidRPr="00C6052E">
              <w:t>contractual</w:t>
            </w:r>
            <w:r w:rsidR="00177848" w:rsidRPr="00C6052E">
              <w:t xml:space="preserve"> </w:t>
            </w:r>
            <w:r w:rsidRPr="00C6052E">
              <w:t>financial</w:t>
            </w:r>
            <w:r w:rsidR="00177848" w:rsidRPr="00C6052E">
              <w:t xml:space="preserve"> </w:t>
            </w:r>
            <w:r w:rsidRPr="00C6052E">
              <w:t>liabilities</w:t>
            </w:r>
          </w:p>
        </w:tc>
        <w:tc>
          <w:tcPr>
            <w:tcW w:w="1814" w:type="dxa"/>
            <w:noWrap/>
            <w:hideMark/>
          </w:tcPr>
          <w:p w14:paraId="3E2475E1" w14:textId="77777777" w:rsidR="00EE5BB8" w:rsidRPr="00C6052E" w:rsidRDefault="00EE5BB8" w:rsidP="0028635E">
            <w:pPr>
              <w:pStyle w:val="Tabletotal"/>
              <w:jc w:val="right"/>
            </w:pPr>
            <w:r w:rsidRPr="00C6052E">
              <w:t>–</w:t>
            </w:r>
          </w:p>
        </w:tc>
        <w:tc>
          <w:tcPr>
            <w:tcW w:w="1733" w:type="dxa"/>
            <w:noWrap/>
            <w:hideMark/>
          </w:tcPr>
          <w:p w14:paraId="17CB03F8" w14:textId="77777777" w:rsidR="00EE5BB8" w:rsidRPr="00C6052E" w:rsidRDefault="00EE5BB8" w:rsidP="0028635E">
            <w:pPr>
              <w:pStyle w:val="Tabletotal"/>
              <w:jc w:val="right"/>
            </w:pPr>
            <w:r w:rsidRPr="00C6052E">
              <w:t>(1,533)</w:t>
            </w:r>
          </w:p>
        </w:tc>
        <w:tc>
          <w:tcPr>
            <w:tcW w:w="1644" w:type="dxa"/>
            <w:noWrap/>
            <w:hideMark/>
          </w:tcPr>
          <w:p w14:paraId="626402A7" w14:textId="77777777" w:rsidR="00EE5BB8" w:rsidRPr="00C6052E" w:rsidRDefault="00EE5BB8" w:rsidP="0028635E">
            <w:pPr>
              <w:pStyle w:val="Tabletotal"/>
              <w:jc w:val="right"/>
            </w:pPr>
            <w:r w:rsidRPr="00C6052E">
              <w:t>(1,533)</w:t>
            </w:r>
          </w:p>
        </w:tc>
      </w:tr>
      <w:tr w:rsidR="0028635E" w:rsidRPr="00C6052E" w14:paraId="1F438DB6" w14:textId="77777777" w:rsidTr="0028635E">
        <w:tc>
          <w:tcPr>
            <w:tcW w:w="4531" w:type="dxa"/>
          </w:tcPr>
          <w:p w14:paraId="0B8B2532" w14:textId="7B88B9B2" w:rsidR="0028635E" w:rsidRPr="00C6052E" w:rsidRDefault="0028635E" w:rsidP="006D2365">
            <w:pPr>
              <w:pStyle w:val="TableHeading"/>
            </w:pPr>
            <w:r w:rsidRPr="00C6052E">
              <w:lastRenderedPageBreak/>
              <w:t>202</w:t>
            </w:r>
            <w:r>
              <w:t>4</w:t>
            </w:r>
          </w:p>
        </w:tc>
        <w:tc>
          <w:tcPr>
            <w:tcW w:w="1814" w:type="dxa"/>
            <w:noWrap/>
          </w:tcPr>
          <w:p w14:paraId="741EB046" w14:textId="77777777" w:rsidR="0028635E" w:rsidRPr="00C6052E" w:rsidRDefault="0028635E" w:rsidP="006D2365">
            <w:pPr>
              <w:pStyle w:val="TableHeading"/>
              <w:jc w:val="right"/>
            </w:pPr>
          </w:p>
        </w:tc>
        <w:tc>
          <w:tcPr>
            <w:tcW w:w="1733" w:type="dxa"/>
            <w:noWrap/>
          </w:tcPr>
          <w:p w14:paraId="585D67B6" w14:textId="77777777" w:rsidR="0028635E" w:rsidRPr="00C6052E" w:rsidRDefault="0028635E" w:rsidP="006D2365">
            <w:pPr>
              <w:pStyle w:val="TableHeading"/>
              <w:jc w:val="right"/>
            </w:pPr>
          </w:p>
        </w:tc>
        <w:tc>
          <w:tcPr>
            <w:tcW w:w="1644" w:type="dxa"/>
            <w:noWrap/>
          </w:tcPr>
          <w:p w14:paraId="12609BBE" w14:textId="77777777" w:rsidR="0028635E" w:rsidRPr="00C6052E" w:rsidRDefault="0028635E" w:rsidP="006D2365">
            <w:pPr>
              <w:pStyle w:val="TableHeading"/>
              <w:jc w:val="right"/>
            </w:pPr>
          </w:p>
        </w:tc>
      </w:tr>
      <w:tr w:rsidR="0028635E" w:rsidRPr="00C6052E" w14:paraId="0798CCC6" w14:textId="77777777" w:rsidTr="0028635E">
        <w:tc>
          <w:tcPr>
            <w:tcW w:w="4531" w:type="dxa"/>
          </w:tcPr>
          <w:p w14:paraId="7DA02FBE" w14:textId="77777777" w:rsidR="0028635E" w:rsidRPr="00C6052E" w:rsidRDefault="0028635E" w:rsidP="006D2365">
            <w:pPr>
              <w:pStyle w:val="TableHeading"/>
            </w:pPr>
            <w:r w:rsidRPr="00C6052E">
              <w:t>Contractual financial assets</w:t>
            </w:r>
          </w:p>
        </w:tc>
        <w:tc>
          <w:tcPr>
            <w:tcW w:w="1814" w:type="dxa"/>
            <w:noWrap/>
          </w:tcPr>
          <w:p w14:paraId="055487CF" w14:textId="77777777" w:rsidR="0028635E" w:rsidRPr="00C6052E" w:rsidRDefault="0028635E" w:rsidP="006D2365">
            <w:pPr>
              <w:pStyle w:val="TableHeading"/>
              <w:jc w:val="right"/>
            </w:pPr>
          </w:p>
        </w:tc>
        <w:tc>
          <w:tcPr>
            <w:tcW w:w="1733" w:type="dxa"/>
            <w:noWrap/>
          </w:tcPr>
          <w:p w14:paraId="16EAC660" w14:textId="77777777" w:rsidR="0028635E" w:rsidRPr="00C6052E" w:rsidRDefault="0028635E" w:rsidP="006D2365">
            <w:pPr>
              <w:pStyle w:val="TableHeading"/>
              <w:jc w:val="right"/>
            </w:pPr>
          </w:p>
        </w:tc>
        <w:tc>
          <w:tcPr>
            <w:tcW w:w="1644" w:type="dxa"/>
            <w:noWrap/>
          </w:tcPr>
          <w:p w14:paraId="47C910DD" w14:textId="77777777" w:rsidR="0028635E" w:rsidRPr="00C6052E" w:rsidRDefault="0028635E" w:rsidP="006D2365">
            <w:pPr>
              <w:pStyle w:val="TableHeading"/>
              <w:jc w:val="right"/>
            </w:pPr>
          </w:p>
        </w:tc>
      </w:tr>
      <w:tr w:rsidR="00EE5BB8" w:rsidRPr="00C6052E" w14:paraId="01148FEE" w14:textId="77777777" w:rsidTr="0028635E">
        <w:tc>
          <w:tcPr>
            <w:tcW w:w="4531" w:type="dxa"/>
            <w:hideMark/>
          </w:tcPr>
          <w:p w14:paraId="01F5951E" w14:textId="43F067AF" w:rsidR="00EE5BB8" w:rsidRPr="00C6052E" w:rsidRDefault="00EE5BB8" w:rsidP="0028635E">
            <w:pPr>
              <w:pStyle w:val="TableCopy"/>
              <w:keepNext/>
            </w:pPr>
            <w:r w:rsidRPr="00C6052E">
              <w:t>Financial</w:t>
            </w:r>
            <w:r w:rsidR="00177848" w:rsidRPr="00C6052E">
              <w:t xml:space="preserve"> </w:t>
            </w:r>
            <w:r w:rsidRPr="00C6052E">
              <w:t>assets</w:t>
            </w:r>
            <w:r w:rsidR="00177848" w:rsidRPr="00C6052E">
              <w:t xml:space="preserve"> </w:t>
            </w:r>
            <w:r w:rsidRPr="00C6052E">
              <w:t>designated</w:t>
            </w:r>
            <w:r w:rsidR="00177848" w:rsidRPr="00C6052E">
              <w:t xml:space="preserve"> </w:t>
            </w:r>
            <w:r w:rsidRPr="00C6052E">
              <w:t>at</w:t>
            </w:r>
            <w:r w:rsidR="00177848" w:rsidRPr="00C6052E">
              <w:t xml:space="preserve"> </w:t>
            </w:r>
            <w:r w:rsidRPr="00C6052E">
              <w:t>amortised</w:t>
            </w:r>
            <w:r w:rsidR="00177848" w:rsidRPr="00C6052E">
              <w:t xml:space="preserve"> </w:t>
            </w:r>
            <w:r w:rsidRPr="00C6052E">
              <w:t>cost</w:t>
            </w:r>
            <w:r w:rsidR="00177848" w:rsidRPr="00C6052E">
              <w:t xml:space="preserve"> </w:t>
            </w:r>
          </w:p>
        </w:tc>
        <w:tc>
          <w:tcPr>
            <w:tcW w:w="1814" w:type="dxa"/>
            <w:noWrap/>
            <w:hideMark/>
          </w:tcPr>
          <w:p w14:paraId="45663FD1" w14:textId="77777777" w:rsidR="00EE5BB8" w:rsidRPr="00C6052E" w:rsidRDefault="00EE5BB8" w:rsidP="0028635E">
            <w:pPr>
              <w:pStyle w:val="TableCopy"/>
              <w:keepNext/>
              <w:jc w:val="right"/>
            </w:pPr>
            <w:r w:rsidRPr="00C6052E">
              <w:t>(20,627)</w:t>
            </w:r>
          </w:p>
        </w:tc>
        <w:tc>
          <w:tcPr>
            <w:tcW w:w="1733" w:type="dxa"/>
            <w:noWrap/>
            <w:hideMark/>
          </w:tcPr>
          <w:p w14:paraId="7EAB1D4D" w14:textId="77777777" w:rsidR="00EE5BB8" w:rsidRPr="00C6052E" w:rsidRDefault="00EE5BB8" w:rsidP="0028635E">
            <w:pPr>
              <w:pStyle w:val="TableCopy"/>
              <w:keepNext/>
              <w:jc w:val="right"/>
            </w:pPr>
            <w:r w:rsidRPr="00C6052E">
              <w:t>10,968</w:t>
            </w:r>
          </w:p>
        </w:tc>
        <w:tc>
          <w:tcPr>
            <w:tcW w:w="1644" w:type="dxa"/>
            <w:noWrap/>
            <w:hideMark/>
          </w:tcPr>
          <w:p w14:paraId="059004CB" w14:textId="77777777" w:rsidR="00EE5BB8" w:rsidRPr="00C6052E" w:rsidRDefault="00EE5BB8" w:rsidP="0028635E">
            <w:pPr>
              <w:pStyle w:val="TableCopy"/>
              <w:keepNext/>
              <w:jc w:val="right"/>
            </w:pPr>
            <w:r w:rsidRPr="00C6052E">
              <w:t>(9,659)</w:t>
            </w:r>
          </w:p>
        </w:tc>
      </w:tr>
      <w:tr w:rsidR="00EE5BB8" w:rsidRPr="00C6052E" w14:paraId="30E7AB2C" w14:textId="77777777" w:rsidTr="0028635E">
        <w:tc>
          <w:tcPr>
            <w:tcW w:w="4531" w:type="dxa"/>
            <w:noWrap/>
            <w:hideMark/>
          </w:tcPr>
          <w:p w14:paraId="0CE24913" w14:textId="468C6B29" w:rsidR="00EE5BB8" w:rsidRPr="00C6052E" w:rsidRDefault="00EE5BB8" w:rsidP="0063097D">
            <w:pPr>
              <w:pStyle w:val="Tabletotal"/>
            </w:pPr>
            <w:r w:rsidRPr="00C6052E">
              <w:t>Total</w:t>
            </w:r>
            <w:r w:rsidR="00177848" w:rsidRPr="00C6052E">
              <w:t xml:space="preserve"> </w:t>
            </w:r>
            <w:r w:rsidRPr="00C6052E">
              <w:t>contractual</w:t>
            </w:r>
            <w:r w:rsidR="00177848" w:rsidRPr="00C6052E">
              <w:t xml:space="preserve"> </w:t>
            </w:r>
            <w:r w:rsidRPr="00C6052E">
              <w:t>financial</w:t>
            </w:r>
            <w:r w:rsidR="00177848" w:rsidRPr="00C6052E">
              <w:t xml:space="preserve"> </w:t>
            </w:r>
            <w:r w:rsidRPr="00C6052E">
              <w:t>assets</w:t>
            </w:r>
          </w:p>
        </w:tc>
        <w:tc>
          <w:tcPr>
            <w:tcW w:w="1814" w:type="dxa"/>
            <w:noWrap/>
            <w:hideMark/>
          </w:tcPr>
          <w:p w14:paraId="601A0670" w14:textId="77777777" w:rsidR="00EE5BB8" w:rsidRPr="00C6052E" w:rsidRDefault="00EE5BB8" w:rsidP="0028635E">
            <w:pPr>
              <w:pStyle w:val="Tabletotal"/>
              <w:jc w:val="right"/>
            </w:pPr>
            <w:r w:rsidRPr="00C6052E">
              <w:t>(20,627)</w:t>
            </w:r>
          </w:p>
        </w:tc>
        <w:tc>
          <w:tcPr>
            <w:tcW w:w="1733" w:type="dxa"/>
            <w:noWrap/>
            <w:hideMark/>
          </w:tcPr>
          <w:p w14:paraId="6175E64B" w14:textId="77777777" w:rsidR="00EE5BB8" w:rsidRPr="00C6052E" w:rsidRDefault="00EE5BB8" w:rsidP="0028635E">
            <w:pPr>
              <w:pStyle w:val="Tabletotal"/>
              <w:jc w:val="right"/>
            </w:pPr>
            <w:r w:rsidRPr="00C6052E">
              <w:t>10,968</w:t>
            </w:r>
          </w:p>
        </w:tc>
        <w:tc>
          <w:tcPr>
            <w:tcW w:w="1644" w:type="dxa"/>
            <w:noWrap/>
            <w:hideMark/>
          </w:tcPr>
          <w:p w14:paraId="0310A71D" w14:textId="77777777" w:rsidR="00EE5BB8" w:rsidRPr="00C6052E" w:rsidRDefault="00EE5BB8" w:rsidP="0028635E">
            <w:pPr>
              <w:pStyle w:val="Tabletotal"/>
              <w:jc w:val="right"/>
            </w:pPr>
            <w:r w:rsidRPr="00C6052E">
              <w:t>(9,659)</w:t>
            </w:r>
          </w:p>
        </w:tc>
      </w:tr>
      <w:tr w:rsidR="0028635E" w:rsidRPr="00C6052E" w14:paraId="737DD036" w14:textId="77777777" w:rsidTr="0028635E">
        <w:tc>
          <w:tcPr>
            <w:tcW w:w="4531" w:type="dxa"/>
          </w:tcPr>
          <w:p w14:paraId="2842DE75" w14:textId="1AFAADDA" w:rsidR="0028635E" w:rsidRPr="00C6052E" w:rsidRDefault="0028635E" w:rsidP="00307E06">
            <w:pPr>
              <w:pStyle w:val="TableHeading"/>
            </w:pPr>
            <w:r w:rsidRPr="00C6052E">
              <w:t>Contractual financial liabilities</w:t>
            </w:r>
          </w:p>
        </w:tc>
        <w:tc>
          <w:tcPr>
            <w:tcW w:w="1814" w:type="dxa"/>
            <w:noWrap/>
          </w:tcPr>
          <w:p w14:paraId="285CFAA2" w14:textId="77777777" w:rsidR="0028635E" w:rsidRPr="00C6052E" w:rsidRDefault="0028635E" w:rsidP="00307E06">
            <w:pPr>
              <w:pStyle w:val="TableHeading"/>
              <w:jc w:val="right"/>
            </w:pPr>
          </w:p>
        </w:tc>
        <w:tc>
          <w:tcPr>
            <w:tcW w:w="1733" w:type="dxa"/>
            <w:noWrap/>
          </w:tcPr>
          <w:p w14:paraId="1207E14F" w14:textId="77777777" w:rsidR="0028635E" w:rsidRPr="00C6052E" w:rsidRDefault="0028635E" w:rsidP="00307E06">
            <w:pPr>
              <w:pStyle w:val="TableHeading"/>
              <w:jc w:val="right"/>
            </w:pPr>
          </w:p>
        </w:tc>
        <w:tc>
          <w:tcPr>
            <w:tcW w:w="1644" w:type="dxa"/>
            <w:noWrap/>
          </w:tcPr>
          <w:p w14:paraId="535B5FFA" w14:textId="77777777" w:rsidR="0028635E" w:rsidRPr="00C6052E" w:rsidRDefault="0028635E" w:rsidP="00307E06">
            <w:pPr>
              <w:pStyle w:val="TableHeading"/>
              <w:jc w:val="right"/>
            </w:pPr>
          </w:p>
        </w:tc>
      </w:tr>
      <w:tr w:rsidR="00EE5BB8" w:rsidRPr="00C6052E" w14:paraId="32E3D908" w14:textId="77777777" w:rsidTr="0028635E">
        <w:tc>
          <w:tcPr>
            <w:tcW w:w="4531" w:type="dxa"/>
            <w:hideMark/>
          </w:tcPr>
          <w:p w14:paraId="2BC9056B" w14:textId="5FD74450" w:rsidR="00EE5BB8" w:rsidRPr="00C6052E" w:rsidRDefault="00EE5BB8" w:rsidP="0063097D">
            <w:pPr>
              <w:pStyle w:val="TableCopy"/>
            </w:pPr>
            <w:r w:rsidRPr="00C6052E">
              <w:t>Financial</w:t>
            </w:r>
            <w:r w:rsidR="00177848" w:rsidRPr="00C6052E">
              <w:t xml:space="preserve"> </w:t>
            </w:r>
            <w:r w:rsidRPr="00C6052E">
              <w:t>liabilities</w:t>
            </w:r>
            <w:r w:rsidR="00177848" w:rsidRPr="00C6052E">
              <w:t xml:space="preserve"> </w:t>
            </w:r>
            <w:r w:rsidRPr="00C6052E">
              <w:t>designated</w:t>
            </w:r>
            <w:r w:rsidR="00177848" w:rsidRPr="00C6052E">
              <w:t xml:space="preserve"> </w:t>
            </w:r>
            <w:r w:rsidRPr="00C6052E">
              <w:t>at</w:t>
            </w:r>
            <w:r w:rsidR="00177848" w:rsidRPr="00C6052E">
              <w:t xml:space="preserve"> </w:t>
            </w:r>
            <w:r w:rsidRPr="00C6052E">
              <w:t>amortised</w:t>
            </w:r>
            <w:r w:rsidR="00177848" w:rsidRPr="00C6052E">
              <w:t xml:space="preserve"> </w:t>
            </w:r>
            <w:r w:rsidRPr="00C6052E">
              <w:t>cost</w:t>
            </w:r>
            <w:r w:rsidR="00177848" w:rsidRPr="00C6052E">
              <w:t xml:space="preserve"> </w:t>
            </w:r>
          </w:p>
        </w:tc>
        <w:tc>
          <w:tcPr>
            <w:tcW w:w="1814" w:type="dxa"/>
            <w:noWrap/>
            <w:hideMark/>
          </w:tcPr>
          <w:p w14:paraId="59E1A014" w14:textId="77777777" w:rsidR="00EE5BB8" w:rsidRPr="00C6052E" w:rsidRDefault="00EE5BB8" w:rsidP="0028635E">
            <w:pPr>
              <w:pStyle w:val="TableCopy"/>
              <w:jc w:val="right"/>
            </w:pPr>
            <w:r w:rsidRPr="00C6052E">
              <w:t>–</w:t>
            </w:r>
          </w:p>
        </w:tc>
        <w:tc>
          <w:tcPr>
            <w:tcW w:w="1733" w:type="dxa"/>
            <w:noWrap/>
            <w:hideMark/>
          </w:tcPr>
          <w:p w14:paraId="3FC700AC" w14:textId="77777777" w:rsidR="00EE5BB8" w:rsidRPr="00C6052E" w:rsidRDefault="00EE5BB8" w:rsidP="0028635E">
            <w:pPr>
              <w:pStyle w:val="TableCopy"/>
              <w:jc w:val="right"/>
            </w:pPr>
            <w:r w:rsidRPr="00C6052E">
              <w:t>(1,131)</w:t>
            </w:r>
          </w:p>
        </w:tc>
        <w:tc>
          <w:tcPr>
            <w:tcW w:w="1644" w:type="dxa"/>
            <w:noWrap/>
            <w:hideMark/>
          </w:tcPr>
          <w:p w14:paraId="5071A56B" w14:textId="77777777" w:rsidR="00EE5BB8" w:rsidRPr="00C6052E" w:rsidRDefault="00EE5BB8" w:rsidP="0028635E">
            <w:pPr>
              <w:pStyle w:val="TableCopy"/>
              <w:jc w:val="right"/>
            </w:pPr>
            <w:r w:rsidRPr="00C6052E">
              <w:t>(1,131)</w:t>
            </w:r>
          </w:p>
        </w:tc>
      </w:tr>
      <w:tr w:rsidR="00EE5BB8" w:rsidRPr="00C6052E" w14:paraId="79D12ADA" w14:textId="77777777" w:rsidTr="0028635E">
        <w:tc>
          <w:tcPr>
            <w:tcW w:w="4531" w:type="dxa"/>
            <w:noWrap/>
            <w:hideMark/>
          </w:tcPr>
          <w:p w14:paraId="6A09D59B" w14:textId="32DF820B" w:rsidR="00EE5BB8" w:rsidRPr="00C6052E" w:rsidRDefault="00EE5BB8" w:rsidP="0063097D">
            <w:pPr>
              <w:pStyle w:val="Tabletotal"/>
            </w:pPr>
            <w:r w:rsidRPr="00C6052E">
              <w:t>Total</w:t>
            </w:r>
            <w:r w:rsidR="00177848" w:rsidRPr="00C6052E">
              <w:t xml:space="preserve"> </w:t>
            </w:r>
            <w:r w:rsidRPr="00C6052E">
              <w:t>contractual</w:t>
            </w:r>
            <w:r w:rsidR="00177848" w:rsidRPr="00C6052E">
              <w:t xml:space="preserve"> </w:t>
            </w:r>
            <w:r w:rsidRPr="00C6052E">
              <w:t>financial</w:t>
            </w:r>
            <w:r w:rsidR="00177848" w:rsidRPr="00C6052E">
              <w:t xml:space="preserve"> </w:t>
            </w:r>
            <w:r w:rsidRPr="00C6052E">
              <w:t>liabilities</w:t>
            </w:r>
          </w:p>
        </w:tc>
        <w:tc>
          <w:tcPr>
            <w:tcW w:w="1814" w:type="dxa"/>
            <w:noWrap/>
            <w:hideMark/>
          </w:tcPr>
          <w:p w14:paraId="16548303" w14:textId="77777777" w:rsidR="00EE5BB8" w:rsidRPr="00C6052E" w:rsidRDefault="00EE5BB8" w:rsidP="0028635E">
            <w:pPr>
              <w:pStyle w:val="Tabletotal"/>
              <w:jc w:val="right"/>
            </w:pPr>
            <w:r w:rsidRPr="00C6052E">
              <w:t>–</w:t>
            </w:r>
          </w:p>
        </w:tc>
        <w:tc>
          <w:tcPr>
            <w:tcW w:w="1733" w:type="dxa"/>
            <w:noWrap/>
            <w:hideMark/>
          </w:tcPr>
          <w:p w14:paraId="4332CC8D" w14:textId="77777777" w:rsidR="00EE5BB8" w:rsidRPr="00C6052E" w:rsidRDefault="00EE5BB8" w:rsidP="0028635E">
            <w:pPr>
              <w:pStyle w:val="Tabletotal"/>
              <w:jc w:val="right"/>
            </w:pPr>
            <w:r w:rsidRPr="00C6052E">
              <w:t>(1,131)</w:t>
            </w:r>
          </w:p>
        </w:tc>
        <w:tc>
          <w:tcPr>
            <w:tcW w:w="1644" w:type="dxa"/>
            <w:noWrap/>
            <w:hideMark/>
          </w:tcPr>
          <w:p w14:paraId="0EDE1B7C" w14:textId="77777777" w:rsidR="00EE5BB8" w:rsidRPr="00C6052E" w:rsidRDefault="00EE5BB8" w:rsidP="0028635E">
            <w:pPr>
              <w:pStyle w:val="Tabletotal"/>
              <w:jc w:val="right"/>
            </w:pPr>
            <w:r w:rsidRPr="00C6052E">
              <w:t>(1,131)</w:t>
            </w:r>
          </w:p>
        </w:tc>
      </w:tr>
    </w:tbl>
    <w:p w14:paraId="6865DFFC" w14:textId="77777777" w:rsidR="00EE5BB8" w:rsidRPr="00C6052E" w:rsidRDefault="00EE5BB8" w:rsidP="00EE5BB8"/>
    <w:p w14:paraId="0FFE3589" w14:textId="7EB3C077" w:rsidR="00EE5BB8" w:rsidRPr="00C6052E" w:rsidRDefault="00EE5BB8" w:rsidP="0028635E">
      <w:pPr>
        <w:pStyle w:val="Normalbeforebullets"/>
      </w:pPr>
      <w:r w:rsidRPr="00C6052E">
        <w:t>The</w:t>
      </w:r>
      <w:r w:rsidR="00177848" w:rsidRPr="00C6052E">
        <w:t xml:space="preserve"> </w:t>
      </w:r>
      <w:r w:rsidRPr="00C6052E">
        <w:t>net</w:t>
      </w:r>
      <w:r w:rsidR="00177848" w:rsidRPr="00C6052E">
        <w:t xml:space="preserve"> </w:t>
      </w:r>
      <w:r w:rsidRPr="00C6052E">
        <w:t>holding</w:t>
      </w:r>
      <w:r w:rsidR="00177848" w:rsidRPr="00C6052E">
        <w:t xml:space="preserve"> </w:t>
      </w:r>
      <w:r w:rsidRPr="00C6052E">
        <w:t>gains</w:t>
      </w:r>
      <w:r w:rsidR="00177848" w:rsidRPr="00C6052E">
        <w:t xml:space="preserve"> </w:t>
      </w:r>
      <w:r w:rsidRPr="00C6052E">
        <w:t>or</w:t>
      </w:r>
      <w:r w:rsidR="00177848" w:rsidRPr="00C6052E">
        <w:t xml:space="preserve"> </w:t>
      </w:r>
      <w:r w:rsidRPr="00C6052E">
        <w:t>losses</w:t>
      </w:r>
      <w:r w:rsidR="00177848" w:rsidRPr="00C6052E">
        <w:t xml:space="preserve"> </w:t>
      </w:r>
      <w:r w:rsidRPr="00C6052E">
        <w:t>disclosed</w:t>
      </w:r>
      <w:r w:rsidR="00177848" w:rsidRPr="00C6052E">
        <w:t xml:space="preserve"> </w:t>
      </w:r>
      <w:r w:rsidRPr="00C6052E">
        <w:t>above</w:t>
      </w:r>
      <w:r w:rsidR="00177848" w:rsidRPr="00C6052E">
        <w:t xml:space="preserve"> </w:t>
      </w:r>
      <w:r w:rsidRPr="00C6052E">
        <w:t>are</w:t>
      </w:r>
      <w:r w:rsidR="00177848" w:rsidRPr="00C6052E">
        <w:t xml:space="preserve"> </w:t>
      </w:r>
      <w:r w:rsidRPr="00C6052E">
        <w:t>determined</w:t>
      </w:r>
      <w:r w:rsidR="00177848" w:rsidRPr="00C6052E">
        <w:t xml:space="preserve"> </w:t>
      </w:r>
      <w:r w:rsidRPr="00C6052E">
        <w:t>as</w:t>
      </w:r>
      <w:r w:rsidR="00177848" w:rsidRPr="00C6052E">
        <w:t xml:space="preserve"> </w:t>
      </w:r>
      <w:r w:rsidRPr="00C6052E">
        <w:t>follows:</w:t>
      </w:r>
    </w:p>
    <w:p w14:paraId="26587A4D" w14:textId="341CC125" w:rsidR="00EE5BB8" w:rsidRPr="00C6052E" w:rsidRDefault="00EE5BB8" w:rsidP="00EE5BB8">
      <w:pPr>
        <w:pStyle w:val="Bullet1"/>
        <w:numPr>
          <w:ilvl w:val="0"/>
          <w:numId w:val="1"/>
        </w:numPr>
        <w:spacing w:line="278" w:lineRule="auto"/>
        <w:ind w:left="284" w:hanging="284"/>
        <w:rPr>
          <w:lang w:val="en-AU"/>
        </w:rPr>
      </w:pPr>
      <w:r w:rsidRPr="00C6052E">
        <w:rPr>
          <w:lang w:val="en-AU"/>
        </w:rPr>
        <w:t>For</w:t>
      </w:r>
      <w:r w:rsidR="00177848" w:rsidRPr="00C6052E">
        <w:rPr>
          <w:lang w:val="en-AU"/>
        </w:rPr>
        <w:t xml:space="preserve"> </w:t>
      </w:r>
      <w:r w:rsidRPr="00C6052E">
        <w:rPr>
          <w:lang w:val="en-AU"/>
        </w:rPr>
        <w:t>cash</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cash</w:t>
      </w:r>
      <w:r w:rsidR="00177848" w:rsidRPr="00C6052E">
        <w:rPr>
          <w:lang w:val="en-AU"/>
        </w:rPr>
        <w:t xml:space="preserve"> </w:t>
      </w:r>
      <w:r w:rsidRPr="00C6052E">
        <w:rPr>
          <w:lang w:val="en-AU"/>
        </w:rPr>
        <w:t>equivalents,</w:t>
      </w:r>
      <w:r w:rsidR="00177848" w:rsidRPr="00C6052E">
        <w:rPr>
          <w:lang w:val="en-AU"/>
        </w:rPr>
        <w:t xml:space="preserve"> </w:t>
      </w:r>
      <w:r w:rsidRPr="00C6052E">
        <w:rPr>
          <w:lang w:val="en-AU"/>
        </w:rPr>
        <w:t>financial</w:t>
      </w:r>
      <w:r w:rsidR="00177848" w:rsidRPr="00C6052E">
        <w:rPr>
          <w:lang w:val="en-AU"/>
        </w:rPr>
        <w:t xml:space="preserve"> </w:t>
      </w:r>
      <w:r w:rsidRPr="00C6052E">
        <w:rPr>
          <w:lang w:val="en-AU"/>
        </w:rPr>
        <w:t>assets</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amortised</w:t>
      </w:r>
      <w:r w:rsidR="00177848" w:rsidRPr="00C6052E">
        <w:rPr>
          <w:lang w:val="en-AU"/>
        </w:rPr>
        <w:t xml:space="preserve"> </w:t>
      </w:r>
      <w:r w:rsidRPr="00C6052E">
        <w:rPr>
          <w:lang w:val="en-AU"/>
        </w:rPr>
        <w:t>cost</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debt</w:t>
      </w:r>
      <w:r w:rsidR="00177848" w:rsidRPr="00C6052E">
        <w:rPr>
          <w:lang w:val="en-AU"/>
        </w:rPr>
        <w:t xml:space="preserve"> </w:t>
      </w:r>
      <w:r w:rsidRPr="00C6052E">
        <w:rPr>
          <w:lang w:val="en-AU"/>
        </w:rPr>
        <w:t>instruments</w:t>
      </w:r>
      <w:r w:rsidR="00177848" w:rsidRPr="00C6052E">
        <w:rPr>
          <w:lang w:val="en-AU"/>
        </w:rPr>
        <w:t xml:space="preserve"> </w:t>
      </w:r>
      <w:r w:rsidRPr="00C6052E">
        <w:rPr>
          <w:lang w:val="en-AU"/>
        </w:rPr>
        <w:t>that</w:t>
      </w:r>
      <w:r w:rsidR="00177848" w:rsidRPr="00C6052E">
        <w:rPr>
          <w:lang w:val="en-AU"/>
        </w:rPr>
        <w:t xml:space="preserve"> </w:t>
      </w:r>
      <w:r w:rsidRPr="00C6052E">
        <w:rPr>
          <w:lang w:val="en-AU"/>
        </w:rPr>
        <w:t>are</w:t>
      </w:r>
      <w:r w:rsidR="00177848" w:rsidRPr="00C6052E">
        <w:rPr>
          <w:lang w:val="en-AU"/>
        </w:rPr>
        <w:t xml:space="preserve"> </w:t>
      </w:r>
      <w:r w:rsidRPr="00C6052E">
        <w:rPr>
          <w:lang w:val="en-AU"/>
        </w:rPr>
        <w:t>classified</w:t>
      </w:r>
      <w:r w:rsidR="00177848" w:rsidRPr="00C6052E">
        <w:rPr>
          <w:lang w:val="en-AU"/>
        </w:rPr>
        <w:t xml:space="preserve"> </w:t>
      </w:r>
      <w:r w:rsidRPr="00C6052E">
        <w:rPr>
          <w:lang w:val="en-AU"/>
        </w:rPr>
        <w:t>as</w:t>
      </w:r>
      <w:r w:rsidR="00177848" w:rsidRPr="00C6052E">
        <w:rPr>
          <w:lang w:val="en-AU"/>
        </w:rPr>
        <w:t xml:space="preserve"> </w:t>
      </w:r>
      <w:r w:rsidRPr="00C6052E">
        <w:rPr>
          <w:lang w:val="en-AU"/>
        </w:rPr>
        <w:t>financial</w:t>
      </w:r>
      <w:r w:rsidR="00177848" w:rsidRPr="00C6052E">
        <w:rPr>
          <w:lang w:val="en-AU"/>
        </w:rPr>
        <w:t xml:space="preserve"> </w:t>
      </w:r>
      <w:r w:rsidRPr="00C6052E">
        <w:rPr>
          <w:lang w:val="en-AU"/>
        </w:rPr>
        <w:t>assets</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fair</w:t>
      </w:r>
      <w:r w:rsidR="00177848" w:rsidRPr="00C6052E">
        <w:rPr>
          <w:lang w:val="en-AU"/>
        </w:rPr>
        <w:t xml:space="preserve"> </w:t>
      </w:r>
      <w:r w:rsidRPr="00C6052E">
        <w:rPr>
          <w:lang w:val="en-AU"/>
        </w:rPr>
        <w:t>value</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other</w:t>
      </w:r>
      <w:r w:rsidR="00177848" w:rsidRPr="00C6052E">
        <w:rPr>
          <w:lang w:val="en-AU"/>
        </w:rPr>
        <w:t xml:space="preserve"> </w:t>
      </w:r>
      <w:r w:rsidRPr="00C6052E">
        <w:rPr>
          <w:lang w:val="en-AU"/>
        </w:rPr>
        <w:t>comprehensive</w:t>
      </w:r>
      <w:r w:rsidR="00177848" w:rsidRPr="00C6052E">
        <w:rPr>
          <w:lang w:val="en-AU"/>
        </w:rPr>
        <w:t xml:space="preserve"> </w:t>
      </w:r>
      <w:r w:rsidRPr="00C6052E">
        <w:rPr>
          <w:lang w:val="en-AU"/>
        </w:rPr>
        <w:t>income,</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net</w:t>
      </w:r>
      <w:r w:rsidR="00177848" w:rsidRPr="00C6052E">
        <w:rPr>
          <w:lang w:val="en-AU"/>
        </w:rPr>
        <w:t xml:space="preserve"> </w:t>
      </w:r>
      <w:r w:rsidRPr="00C6052E">
        <w:rPr>
          <w:lang w:val="en-AU"/>
        </w:rPr>
        <w:t>gain</w:t>
      </w:r>
      <w:r w:rsidR="00177848" w:rsidRPr="00C6052E">
        <w:rPr>
          <w:lang w:val="en-AU"/>
        </w:rPr>
        <w:t xml:space="preserve"> </w:t>
      </w:r>
      <w:r w:rsidRPr="00C6052E">
        <w:rPr>
          <w:lang w:val="en-AU"/>
        </w:rPr>
        <w:t>or</w:t>
      </w:r>
      <w:r w:rsidR="00177848" w:rsidRPr="00C6052E">
        <w:rPr>
          <w:lang w:val="en-AU"/>
        </w:rPr>
        <w:t xml:space="preserve"> </w:t>
      </w:r>
      <w:r w:rsidRPr="00C6052E">
        <w:rPr>
          <w:lang w:val="en-AU"/>
        </w:rPr>
        <w:t>loss</w:t>
      </w:r>
      <w:r w:rsidR="00177848" w:rsidRPr="00C6052E">
        <w:rPr>
          <w:lang w:val="en-AU"/>
        </w:rPr>
        <w:t xml:space="preserve"> </w:t>
      </w:r>
      <w:r w:rsidRPr="00C6052E">
        <w:rPr>
          <w:lang w:val="en-AU"/>
        </w:rPr>
        <w:t>is</w:t>
      </w:r>
      <w:r w:rsidR="00177848" w:rsidRPr="00C6052E">
        <w:rPr>
          <w:lang w:val="en-AU"/>
        </w:rPr>
        <w:t xml:space="preserve"> </w:t>
      </w:r>
      <w:r w:rsidRPr="00C6052E">
        <w:rPr>
          <w:lang w:val="en-AU"/>
        </w:rPr>
        <w:t>calculated</w:t>
      </w:r>
      <w:r w:rsidR="00177848" w:rsidRPr="00C6052E">
        <w:rPr>
          <w:lang w:val="en-AU"/>
        </w:rPr>
        <w:t xml:space="preserve"> </w:t>
      </w:r>
      <w:r w:rsidRPr="00C6052E">
        <w:rPr>
          <w:lang w:val="en-AU"/>
        </w:rPr>
        <w:t>by</w:t>
      </w:r>
      <w:r w:rsidR="00177848" w:rsidRPr="00C6052E">
        <w:rPr>
          <w:lang w:val="en-AU"/>
        </w:rPr>
        <w:t xml:space="preserve"> </w:t>
      </w:r>
      <w:r w:rsidRPr="00C6052E">
        <w:rPr>
          <w:lang w:val="en-AU"/>
        </w:rPr>
        <w:t>taking</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movement</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fair</w:t>
      </w:r>
      <w:r w:rsidR="00177848" w:rsidRPr="00C6052E">
        <w:rPr>
          <w:lang w:val="en-AU"/>
        </w:rPr>
        <w:t xml:space="preserve"> </w:t>
      </w:r>
      <w:r w:rsidRPr="00C6052E">
        <w:rPr>
          <w:lang w:val="en-AU"/>
        </w:rPr>
        <w:t>value</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asset,</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interest</w:t>
      </w:r>
      <w:r w:rsidR="00177848" w:rsidRPr="00C6052E">
        <w:rPr>
          <w:lang w:val="en-AU"/>
        </w:rPr>
        <w:t xml:space="preserve"> </w:t>
      </w:r>
      <w:r w:rsidRPr="00C6052E">
        <w:rPr>
          <w:lang w:val="en-AU"/>
        </w:rPr>
        <w:t>income,</w:t>
      </w:r>
      <w:r w:rsidR="00177848" w:rsidRPr="00C6052E">
        <w:rPr>
          <w:lang w:val="en-AU"/>
        </w:rPr>
        <w:t xml:space="preserve"> </w:t>
      </w:r>
      <w:r w:rsidRPr="00C6052E">
        <w:rPr>
          <w:lang w:val="en-AU"/>
        </w:rPr>
        <w:t>plus</w:t>
      </w:r>
      <w:r w:rsidR="00177848" w:rsidRPr="00C6052E">
        <w:rPr>
          <w:lang w:val="en-AU"/>
        </w:rPr>
        <w:t xml:space="preserve"> </w:t>
      </w:r>
      <w:r w:rsidRPr="00C6052E">
        <w:rPr>
          <w:lang w:val="en-AU"/>
        </w:rPr>
        <w:t>or</w:t>
      </w:r>
      <w:r w:rsidR="00177848" w:rsidRPr="00C6052E">
        <w:rPr>
          <w:lang w:val="en-AU"/>
        </w:rPr>
        <w:t xml:space="preserve"> </w:t>
      </w:r>
      <w:r w:rsidRPr="00C6052E">
        <w:rPr>
          <w:lang w:val="en-AU"/>
        </w:rPr>
        <w:t>minus</w:t>
      </w:r>
      <w:r w:rsidR="00177848" w:rsidRPr="00C6052E">
        <w:rPr>
          <w:lang w:val="en-AU"/>
        </w:rPr>
        <w:t xml:space="preserve"> </w:t>
      </w:r>
      <w:r w:rsidRPr="00C6052E">
        <w:rPr>
          <w:lang w:val="en-AU"/>
        </w:rPr>
        <w:t>foreign</w:t>
      </w:r>
      <w:r w:rsidR="00177848" w:rsidRPr="00C6052E">
        <w:rPr>
          <w:lang w:val="en-AU"/>
        </w:rPr>
        <w:t xml:space="preserve"> </w:t>
      </w:r>
      <w:r w:rsidRPr="00C6052E">
        <w:rPr>
          <w:lang w:val="en-AU"/>
        </w:rPr>
        <w:t>exchange</w:t>
      </w:r>
      <w:r w:rsidR="00177848" w:rsidRPr="00C6052E">
        <w:rPr>
          <w:lang w:val="en-AU"/>
        </w:rPr>
        <w:t xml:space="preserve"> </w:t>
      </w:r>
      <w:r w:rsidRPr="00C6052E">
        <w:rPr>
          <w:lang w:val="en-AU"/>
        </w:rPr>
        <w:t>gains</w:t>
      </w:r>
      <w:r w:rsidR="00177848" w:rsidRPr="00C6052E">
        <w:rPr>
          <w:lang w:val="en-AU"/>
        </w:rPr>
        <w:t xml:space="preserve"> </w:t>
      </w:r>
      <w:r w:rsidRPr="00C6052E">
        <w:rPr>
          <w:lang w:val="en-AU"/>
        </w:rPr>
        <w:t>or</w:t>
      </w:r>
      <w:r w:rsidR="00177848" w:rsidRPr="00C6052E">
        <w:rPr>
          <w:lang w:val="en-AU"/>
        </w:rPr>
        <w:t xml:space="preserve"> </w:t>
      </w:r>
      <w:r w:rsidRPr="00C6052E">
        <w:rPr>
          <w:lang w:val="en-AU"/>
        </w:rPr>
        <w:t>losses</w:t>
      </w:r>
      <w:r w:rsidR="00177848" w:rsidRPr="00C6052E">
        <w:rPr>
          <w:lang w:val="en-AU"/>
        </w:rPr>
        <w:t xml:space="preserve"> </w:t>
      </w:r>
      <w:r w:rsidRPr="00C6052E">
        <w:rPr>
          <w:lang w:val="en-AU"/>
        </w:rPr>
        <w:t>arising</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revaluation</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financial</w:t>
      </w:r>
      <w:r w:rsidR="00177848" w:rsidRPr="00C6052E">
        <w:rPr>
          <w:lang w:val="en-AU"/>
        </w:rPr>
        <w:t xml:space="preserve"> </w:t>
      </w:r>
      <w:r w:rsidRPr="00C6052E">
        <w:rPr>
          <w:lang w:val="en-AU"/>
        </w:rPr>
        <w:t>assets,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minus</w:t>
      </w:r>
      <w:r w:rsidR="00177848" w:rsidRPr="00C6052E">
        <w:rPr>
          <w:lang w:val="en-AU"/>
        </w:rPr>
        <w:t xml:space="preserve"> </w:t>
      </w:r>
      <w:r w:rsidRPr="00C6052E">
        <w:rPr>
          <w:lang w:val="en-AU"/>
        </w:rPr>
        <w:t>any</w:t>
      </w:r>
      <w:r w:rsidR="00177848" w:rsidRPr="00C6052E">
        <w:rPr>
          <w:lang w:val="en-AU"/>
        </w:rPr>
        <w:t xml:space="preserve"> </w:t>
      </w:r>
      <w:r w:rsidRPr="00C6052E">
        <w:rPr>
          <w:lang w:val="en-AU"/>
        </w:rPr>
        <w:t>impairment</w:t>
      </w:r>
      <w:r w:rsidR="00177848" w:rsidRPr="00C6052E">
        <w:rPr>
          <w:lang w:val="en-AU"/>
        </w:rPr>
        <w:t xml:space="preserve"> </w:t>
      </w:r>
      <w:r w:rsidRPr="00C6052E">
        <w:rPr>
          <w:lang w:val="en-AU"/>
        </w:rPr>
        <w:t>recognised</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net</w:t>
      </w:r>
      <w:r w:rsidR="00177848" w:rsidRPr="00C6052E">
        <w:rPr>
          <w:lang w:val="en-AU"/>
        </w:rPr>
        <w:t xml:space="preserve"> </w:t>
      </w:r>
      <w:r w:rsidRPr="00C6052E">
        <w:rPr>
          <w:lang w:val="en-AU"/>
        </w:rPr>
        <w:t>result;</w:t>
      </w:r>
      <w:r w:rsidR="00177848" w:rsidRPr="00C6052E">
        <w:rPr>
          <w:lang w:val="en-AU"/>
        </w:rPr>
        <w:t xml:space="preserve"> </w:t>
      </w:r>
    </w:p>
    <w:p w14:paraId="2B5891EC" w14:textId="62AED256" w:rsidR="00EE5BB8" w:rsidRPr="00C6052E" w:rsidRDefault="00EE5BB8" w:rsidP="00EE5BB8">
      <w:pPr>
        <w:pStyle w:val="Bullet1"/>
        <w:numPr>
          <w:ilvl w:val="0"/>
          <w:numId w:val="1"/>
        </w:numPr>
        <w:spacing w:line="278" w:lineRule="auto"/>
        <w:ind w:left="284" w:hanging="284"/>
        <w:rPr>
          <w:lang w:val="en-AU"/>
        </w:rPr>
      </w:pPr>
      <w:r w:rsidRPr="00C6052E">
        <w:rPr>
          <w:lang w:val="en-AU"/>
        </w:rPr>
        <w:t>For</w:t>
      </w:r>
      <w:r w:rsidR="00177848" w:rsidRPr="00C6052E">
        <w:rPr>
          <w:lang w:val="en-AU"/>
        </w:rPr>
        <w:t xml:space="preserve"> </w:t>
      </w:r>
      <w:r w:rsidRPr="00C6052E">
        <w:rPr>
          <w:lang w:val="en-AU"/>
        </w:rPr>
        <w:t>financial</w:t>
      </w:r>
      <w:r w:rsidR="00177848" w:rsidRPr="00C6052E">
        <w:rPr>
          <w:lang w:val="en-AU"/>
        </w:rPr>
        <w:t xml:space="preserve"> </w:t>
      </w:r>
      <w:r w:rsidRPr="00C6052E">
        <w:rPr>
          <w:lang w:val="en-AU"/>
        </w:rPr>
        <w:t>liabilities</w:t>
      </w:r>
      <w:r w:rsidR="00177848" w:rsidRPr="00C6052E">
        <w:rPr>
          <w:lang w:val="en-AU"/>
        </w:rPr>
        <w:t xml:space="preserve"> </w:t>
      </w:r>
      <w:r w:rsidRPr="00C6052E">
        <w:rPr>
          <w:lang w:val="en-AU"/>
        </w:rPr>
        <w:t>measured</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amortised</w:t>
      </w:r>
      <w:r w:rsidR="00177848" w:rsidRPr="00C6052E">
        <w:rPr>
          <w:lang w:val="en-AU"/>
        </w:rPr>
        <w:t xml:space="preserve"> </w:t>
      </w:r>
      <w:r w:rsidRPr="00C6052E">
        <w:rPr>
          <w:lang w:val="en-AU"/>
        </w:rPr>
        <w:t>cost,</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net</w:t>
      </w:r>
      <w:r w:rsidR="00177848" w:rsidRPr="00C6052E">
        <w:rPr>
          <w:lang w:val="en-AU"/>
        </w:rPr>
        <w:t xml:space="preserve"> </w:t>
      </w:r>
      <w:r w:rsidRPr="00C6052E">
        <w:rPr>
          <w:lang w:val="en-AU"/>
        </w:rPr>
        <w:t>gain</w:t>
      </w:r>
      <w:r w:rsidR="00177848" w:rsidRPr="00C6052E">
        <w:rPr>
          <w:lang w:val="en-AU"/>
        </w:rPr>
        <w:t xml:space="preserve"> </w:t>
      </w:r>
      <w:r w:rsidRPr="00C6052E">
        <w:rPr>
          <w:lang w:val="en-AU"/>
        </w:rPr>
        <w:t>or</w:t>
      </w:r>
      <w:r w:rsidR="00177848" w:rsidRPr="00C6052E">
        <w:rPr>
          <w:lang w:val="en-AU"/>
        </w:rPr>
        <w:t xml:space="preserve"> </w:t>
      </w:r>
      <w:r w:rsidRPr="00C6052E">
        <w:rPr>
          <w:lang w:val="en-AU"/>
        </w:rPr>
        <w:t>loss</w:t>
      </w:r>
      <w:r w:rsidR="00177848" w:rsidRPr="00C6052E">
        <w:rPr>
          <w:lang w:val="en-AU"/>
        </w:rPr>
        <w:t xml:space="preserve"> </w:t>
      </w:r>
      <w:r w:rsidRPr="00C6052E">
        <w:rPr>
          <w:lang w:val="en-AU"/>
        </w:rPr>
        <w:t>is</w:t>
      </w:r>
      <w:r w:rsidR="00177848" w:rsidRPr="00C6052E">
        <w:rPr>
          <w:lang w:val="en-AU"/>
        </w:rPr>
        <w:t xml:space="preserve"> </w:t>
      </w:r>
      <w:r w:rsidRPr="00C6052E">
        <w:rPr>
          <w:lang w:val="en-AU"/>
        </w:rPr>
        <w:t>calculated</w:t>
      </w:r>
      <w:r w:rsidR="00177848" w:rsidRPr="00C6052E">
        <w:rPr>
          <w:lang w:val="en-AU"/>
        </w:rPr>
        <w:t xml:space="preserve"> </w:t>
      </w:r>
      <w:r w:rsidRPr="00C6052E">
        <w:rPr>
          <w:lang w:val="en-AU"/>
        </w:rPr>
        <w:t>by</w:t>
      </w:r>
      <w:r w:rsidR="00177848" w:rsidRPr="00C6052E">
        <w:rPr>
          <w:lang w:val="en-AU"/>
        </w:rPr>
        <w:t xml:space="preserve"> </w:t>
      </w:r>
      <w:r w:rsidRPr="00C6052E">
        <w:rPr>
          <w:lang w:val="en-AU"/>
        </w:rPr>
        <w:t>taking</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interest</w:t>
      </w:r>
      <w:r w:rsidR="00177848" w:rsidRPr="00C6052E">
        <w:rPr>
          <w:lang w:val="en-AU"/>
        </w:rPr>
        <w:t xml:space="preserve"> </w:t>
      </w:r>
      <w:r w:rsidRPr="00C6052E">
        <w:rPr>
          <w:lang w:val="en-AU"/>
        </w:rPr>
        <w:t>expense,</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plus</w:t>
      </w:r>
      <w:r w:rsidR="00177848" w:rsidRPr="00C6052E">
        <w:rPr>
          <w:lang w:val="en-AU"/>
        </w:rPr>
        <w:t xml:space="preserve"> </w:t>
      </w:r>
      <w:r w:rsidRPr="00C6052E">
        <w:rPr>
          <w:lang w:val="en-AU"/>
        </w:rPr>
        <w:t>or</w:t>
      </w:r>
      <w:r w:rsidR="00177848" w:rsidRPr="00C6052E">
        <w:rPr>
          <w:lang w:val="en-AU"/>
        </w:rPr>
        <w:t xml:space="preserve"> </w:t>
      </w:r>
      <w:r w:rsidRPr="00C6052E">
        <w:rPr>
          <w:lang w:val="en-AU"/>
        </w:rPr>
        <w:t>minus</w:t>
      </w:r>
      <w:r w:rsidR="00177848" w:rsidRPr="00C6052E">
        <w:rPr>
          <w:lang w:val="en-AU"/>
        </w:rPr>
        <w:t xml:space="preserve"> </w:t>
      </w:r>
      <w:r w:rsidRPr="00C6052E">
        <w:rPr>
          <w:lang w:val="en-AU"/>
        </w:rPr>
        <w:t>foreign</w:t>
      </w:r>
      <w:r w:rsidR="00177848" w:rsidRPr="00C6052E">
        <w:rPr>
          <w:lang w:val="en-AU"/>
        </w:rPr>
        <w:t xml:space="preserve"> </w:t>
      </w:r>
      <w:r w:rsidRPr="00C6052E">
        <w:rPr>
          <w:lang w:val="en-AU"/>
        </w:rPr>
        <w:t>exchange</w:t>
      </w:r>
      <w:r w:rsidR="00177848" w:rsidRPr="00C6052E">
        <w:rPr>
          <w:lang w:val="en-AU"/>
        </w:rPr>
        <w:t xml:space="preserve"> </w:t>
      </w:r>
      <w:r w:rsidRPr="00C6052E">
        <w:rPr>
          <w:lang w:val="en-AU"/>
        </w:rPr>
        <w:t>gains</w:t>
      </w:r>
      <w:r w:rsidR="00177848" w:rsidRPr="00C6052E">
        <w:rPr>
          <w:lang w:val="en-AU"/>
        </w:rPr>
        <w:t xml:space="preserve"> </w:t>
      </w:r>
      <w:r w:rsidRPr="00C6052E">
        <w:rPr>
          <w:lang w:val="en-AU"/>
        </w:rPr>
        <w:t>or</w:t>
      </w:r>
      <w:r w:rsidR="00177848" w:rsidRPr="00C6052E">
        <w:rPr>
          <w:lang w:val="en-AU"/>
        </w:rPr>
        <w:t xml:space="preserve"> </w:t>
      </w:r>
      <w:r w:rsidRPr="00C6052E">
        <w:rPr>
          <w:lang w:val="en-AU"/>
        </w:rPr>
        <w:t>losses</w:t>
      </w:r>
      <w:r w:rsidR="00177848" w:rsidRPr="00C6052E">
        <w:rPr>
          <w:lang w:val="en-AU"/>
        </w:rPr>
        <w:t xml:space="preserve"> </w:t>
      </w:r>
      <w:r w:rsidRPr="00C6052E">
        <w:rPr>
          <w:lang w:val="en-AU"/>
        </w:rPr>
        <w:t>arising</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revaluation</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financial</w:t>
      </w:r>
      <w:r w:rsidR="00177848" w:rsidRPr="00C6052E">
        <w:rPr>
          <w:lang w:val="en-AU"/>
        </w:rPr>
        <w:t xml:space="preserve"> </w:t>
      </w:r>
      <w:r w:rsidRPr="00C6052E">
        <w:rPr>
          <w:lang w:val="en-AU"/>
        </w:rPr>
        <w:t>liabilities</w:t>
      </w:r>
      <w:r w:rsidR="00177848" w:rsidRPr="00C6052E">
        <w:rPr>
          <w:lang w:val="en-AU"/>
        </w:rPr>
        <w:t xml:space="preserve"> </w:t>
      </w:r>
      <w:r w:rsidRPr="00C6052E">
        <w:rPr>
          <w:lang w:val="en-AU"/>
        </w:rPr>
        <w:t>measured</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amortised</w:t>
      </w:r>
      <w:r w:rsidR="00177848" w:rsidRPr="00C6052E">
        <w:rPr>
          <w:lang w:val="en-AU"/>
        </w:rPr>
        <w:t xml:space="preserve"> </w:t>
      </w:r>
      <w:r w:rsidRPr="00C6052E">
        <w:rPr>
          <w:lang w:val="en-AU"/>
        </w:rPr>
        <w:t>cost;</w:t>
      </w:r>
      <w:r w:rsidR="00177848" w:rsidRPr="00C6052E">
        <w:rPr>
          <w:lang w:val="en-AU"/>
        </w:rPr>
        <w:t xml:space="preserve"> </w:t>
      </w:r>
      <w:r w:rsidRPr="00C6052E">
        <w:rPr>
          <w:lang w:val="en-AU"/>
        </w:rPr>
        <w:t>and</w:t>
      </w:r>
      <w:r w:rsidR="00177848" w:rsidRPr="00C6052E">
        <w:rPr>
          <w:lang w:val="en-AU"/>
        </w:rPr>
        <w:t xml:space="preserve"> </w:t>
      </w:r>
    </w:p>
    <w:p w14:paraId="7FE2DC2E" w14:textId="576F980A" w:rsidR="00EE5BB8" w:rsidRPr="00C6052E" w:rsidRDefault="00EE5BB8" w:rsidP="00EE5BB8">
      <w:pPr>
        <w:pStyle w:val="Bullet1last"/>
        <w:numPr>
          <w:ilvl w:val="0"/>
          <w:numId w:val="1"/>
        </w:numPr>
        <w:spacing w:line="278" w:lineRule="auto"/>
        <w:ind w:left="284" w:hanging="284"/>
        <w:rPr>
          <w:lang w:val="en-AU"/>
        </w:rPr>
      </w:pPr>
      <w:r w:rsidRPr="00C6052E">
        <w:rPr>
          <w:lang w:val="en-AU"/>
        </w:rPr>
        <w:t>For</w:t>
      </w:r>
      <w:r w:rsidR="00177848" w:rsidRPr="00C6052E">
        <w:rPr>
          <w:lang w:val="en-AU"/>
        </w:rPr>
        <w:t xml:space="preserve"> </w:t>
      </w:r>
      <w:r w:rsidRPr="00C6052E">
        <w:rPr>
          <w:lang w:val="en-AU"/>
        </w:rPr>
        <w:t>financial</w:t>
      </w:r>
      <w:r w:rsidR="00177848" w:rsidRPr="00C6052E">
        <w:rPr>
          <w:lang w:val="en-AU"/>
        </w:rPr>
        <w:t xml:space="preserve"> </w:t>
      </w:r>
      <w:r w:rsidRPr="00C6052E">
        <w:rPr>
          <w:lang w:val="en-AU"/>
        </w:rPr>
        <w:t>asset</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liabilities</w:t>
      </w:r>
      <w:r w:rsidR="00177848" w:rsidRPr="00C6052E">
        <w:rPr>
          <w:lang w:val="en-AU"/>
        </w:rPr>
        <w:t xml:space="preserve"> </w:t>
      </w:r>
      <w:r w:rsidRPr="00C6052E">
        <w:rPr>
          <w:lang w:val="en-AU"/>
        </w:rPr>
        <w:t>that</w:t>
      </w:r>
      <w:r w:rsidR="00177848" w:rsidRPr="00C6052E">
        <w:rPr>
          <w:lang w:val="en-AU"/>
        </w:rPr>
        <w:t xml:space="preserve"> </w:t>
      </w:r>
      <w:r w:rsidRPr="00C6052E">
        <w:rPr>
          <w:lang w:val="en-AU"/>
        </w:rPr>
        <w:t>are</w:t>
      </w:r>
      <w:r w:rsidR="00177848" w:rsidRPr="00C6052E">
        <w:rPr>
          <w:lang w:val="en-AU"/>
        </w:rPr>
        <w:t xml:space="preserve"> </w:t>
      </w:r>
      <w:r w:rsidRPr="00C6052E">
        <w:rPr>
          <w:lang w:val="en-AU"/>
        </w:rPr>
        <w:t>mandatorily</w:t>
      </w:r>
      <w:r w:rsidR="00177848" w:rsidRPr="00C6052E">
        <w:rPr>
          <w:lang w:val="en-AU"/>
        </w:rPr>
        <w:t xml:space="preserve"> </w:t>
      </w:r>
      <w:r w:rsidRPr="00C6052E">
        <w:rPr>
          <w:lang w:val="en-AU"/>
        </w:rPr>
        <w:t>measured</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or</w:t>
      </w:r>
      <w:r w:rsidR="00177848" w:rsidRPr="00C6052E">
        <w:rPr>
          <w:lang w:val="en-AU"/>
        </w:rPr>
        <w:t xml:space="preserve"> </w:t>
      </w:r>
      <w:r w:rsidRPr="00C6052E">
        <w:rPr>
          <w:lang w:val="en-AU"/>
        </w:rPr>
        <w:t>designated</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fair</w:t>
      </w:r>
      <w:r w:rsidR="00177848" w:rsidRPr="00C6052E">
        <w:rPr>
          <w:lang w:val="en-AU"/>
        </w:rPr>
        <w:t xml:space="preserve"> </w:t>
      </w:r>
      <w:r w:rsidRPr="00C6052E">
        <w:rPr>
          <w:lang w:val="en-AU"/>
        </w:rPr>
        <w:t>value</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net</w:t>
      </w:r>
      <w:r w:rsidR="00177848" w:rsidRPr="00C6052E">
        <w:rPr>
          <w:lang w:val="en-AU"/>
        </w:rPr>
        <w:t xml:space="preserve"> </w:t>
      </w:r>
      <w:r w:rsidRPr="00C6052E">
        <w:rPr>
          <w:lang w:val="en-AU"/>
        </w:rPr>
        <w:t>result,</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net</w:t>
      </w:r>
      <w:r w:rsidR="00177848" w:rsidRPr="00C6052E">
        <w:rPr>
          <w:lang w:val="en-AU"/>
        </w:rPr>
        <w:t xml:space="preserve"> </w:t>
      </w:r>
      <w:r w:rsidRPr="00C6052E">
        <w:rPr>
          <w:lang w:val="en-AU"/>
        </w:rPr>
        <w:t>gain</w:t>
      </w:r>
      <w:r w:rsidR="00177848" w:rsidRPr="00C6052E">
        <w:rPr>
          <w:lang w:val="en-AU"/>
        </w:rPr>
        <w:t xml:space="preserve"> </w:t>
      </w:r>
      <w:r w:rsidRPr="00C6052E">
        <w:rPr>
          <w:lang w:val="en-AU"/>
        </w:rPr>
        <w:t>or</w:t>
      </w:r>
      <w:r w:rsidR="00177848" w:rsidRPr="00C6052E">
        <w:rPr>
          <w:lang w:val="en-AU"/>
        </w:rPr>
        <w:t xml:space="preserve"> </w:t>
      </w:r>
      <w:r w:rsidRPr="00C6052E">
        <w:rPr>
          <w:lang w:val="en-AU"/>
        </w:rPr>
        <w:t>loss</w:t>
      </w:r>
      <w:r w:rsidR="00177848" w:rsidRPr="00C6052E">
        <w:rPr>
          <w:lang w:val="en-AU"/>
        </w:rPr>
        <w:t xml:space="preserve"> </w:t>
      </w:r>
      <w:r w:rsidRPr="00C6052E">
        <w:rPr>
          <w:lang w:val="en-AU"/>
        </w:rPr>
        <w:t>is</w:t>
      </w:r>
      <w:r w:rsidR="00177848" w:rsidRPr="00C6052E">
        <w:rPr>
          <w:lang w:val="en-AU"/>
        </w:rPr>
        <w:t xml:space="preserve"> </w:t>
      </w:r>
      <w:r w:rsidRPr="00C6052E">
        <w:rPr>
          <w:lang w:val="en-AU"/>
        </w:rPr>
        <w:t>calculated</w:t>
      </w:r>
      <w:r w:rsidR="00177848" w:rsidRPr="00C6052E">
        <w:rPr>
          <w:lang w:val="en-AU"/>
        </w:rPr>
        <w:t xml:space="preserve"> </w:t>
      </w:r>
      <w:r w:rsidRPr="00C6052E">
        <w:rPr>
          <w:lang w:val="en-AU"/>
        </w:rPr>
        <w:t>by</w:t>
      </w:r>
      <w:r w:rsidR="00177848" w:rsidRPr="00C6052E">
        <w:rPr>
          <w:lang w:val="en-AU"/>
        </w:rPr>
        <w:t xml:space="preserve"> </w:t>
      </w:r>
      <w:r w:rsidRPr="00C6052E">
        <w:rPr>
          <w:lang w:val="en-AU"/>
        </w:rPr>
        <w:t>taking</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movement</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fair</w:t>
      </w:r>
      <w:r w:rsidR="00177848" w:rsidRPr="00C6052E">
        <w:rPr>
          <w:lang w:val="en-AU"/>
        </w:rPr>
        <w:t xml:space="preserve"> </w:t>
      </w:r>
      <w:r w:rsidRPr="00C6052E">
        <w:rPr>
          <w:lang w:val="en-AU"/>
        </w:rPr>
        <w:t>value</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financial</w:t>
      </w:r>
      <w:r w:rsidR="00177848" w:rsidRPr="00C6052E">
        <w:rPr>
          <w:lang w:val="en-AU"/>
        </w:rPr>
        <w:t xml:space="preserve"> </w:t>
      </w:r>
      <w:r w:rsidRPr="00C6052E">
        <w:rPr>
          <w:lang w:val="en-AU"/>
        </w:rPr>
        <w:t>asset</w:t>
      </w:r>
      <w:r w:rsidR="00177848" w:rsidRPr="00C6052E">
        <w:rPr>
          <w:lang w:val="en-AU"/>
        </w:rPr>
        <w:t xml:space="preserve"> </w:t>
      </w:r>
      <w:r w:rsidRPr="00C6052E">
        <w:rPr>
          <w:lang w:val="en-AU"/>
        </w:rPr>
        <w:t>or</w:t>
      </w:r>
      <w:r w:rsidR="00177848" w:rsidRPr="00C6052E">
        <w:rPr>
          <w:lang w:val="en-AU"/>
        </w:rPr>
        <w:t xml:space="preserve"> </w:t>
      </w:r>
      <w:r w:rsidRPr="00C6052E">
        <w:rPr>
          <w:lang w:val="en-AU"/>
        </w:rPr>
        <w:t>liability.</w:t>
      </w:r>
    </w:p>
    <w:p w14:paraId="3D25BB8F" w14:textId="1C090DEE" w:rsidR="00EE5BB8" w:rsidRPr="00C6052E" w:rsidRDefault="00EE5BB8" w:rsidP="000C0740">
      <w:pPr>
        <w:pStyle w:val="Heading3numbered0"/>
      </w:pPr>
      <w:bookmarkStart w:id="320" w:name="_Ref190163863"/>
      <w:r w:rsidRPr="00C6052E">
        <w:t>Financial</w:t>
      </w:r>
      <w:r w:rsidR="00177848" w:rsidRPr="00C6052E">
        <w:t xml:space="preserve"> </w:t>
      </w:r>
      <w:r w:rsidRPr="00C6052E">
        <w:t>risk</w:t>
      </w:r>
      <w:r w:rsidR="00177848" w:rsidRPr="00C6052E">
        <w:t xml:space="preserve"> </w:t>
      </w:r>
      <w:r w:rsidRPr="00C6052E">
        <w:t>management</w:t>
      </w:r>
      <w:r w:rsidR="00177848" w:rsidRPr="00C6052E">
        <w:t xml:space="preserve"> </w:t>
      </w:r>
      <w:r w:rsidRPr="00C6052E">
        <w:t>objectives</w:t>
      </w:r>
      <w:r w:rsidR="00177848" w:rsidRPr="00C6052E">
        <w:t xml:space="preserve"> </w:t>
      </w:r>
      <w:r w:rsidRPr="00C6052E">
        <w:t>and</w:t>
      </w:r>
      <w:r w:rsidR="00177848" w:rsidRPr="00C6052E">
        <w:t xml:space="preserve"> </w:t>
      </w:r>
      <w:r w:rsidRPr="00C6052E">
        <w:t>policies</w:t>
      </w:r>
      <w:bookmarkEnd w:id="320"/>
      <w:r w:rsidR="00177848" w:rsidRPr="00C6052E">
        <w:t xml:space="preserve"> </w:t>
      </w:r>
    </w:p>
    <w:p w14:paraId="6B9937AF" w14:textId="6F058A9E" w:rsidR="00EE5BB8" w:rsidRPr="00C6052E" w:rsidRDefault="00EE5BB8" w:rsidP="00EE5BB8">
      <w:pPr>
        <w:keepNext/>
        <w:keepLines/>
      </w:pPr>
      <w:r w:rsidRPr="00C6052E">
        <w:t>DJSIR’s</w:t>
      </w:r>
      <w:r w:rsidR="00177848" w:rsidRPr="00C6052E">
        <w:t xml:space="preserve"> </w:t>
      </w:r>
      <w:r w:rsidRPr="00C6052E">
        <w:t>activities</w:t>
      </w:r>
      <w:r w:rsidR="00177848" w:rsidRPr="00C6052E">
        <w:t xml:space="preserve"> </w:t>
      </w:r>
      <w:r w:rsidRPr="00C6052E">
        <w:t>expose</w:t>
      </w:r>
      <w:r w:rsidR="00177848" w:rsidRPr="00C6052E">
        <w:t xml:space="preserve"> </w:t>
      </w:r>
      <w:r w:rsidRPr="00C6052E">
        <w:t>it</w:t>
      </w:r>
      <w:r w:rsidR="00177848" w:rsidRPr="00C6052E">
        <w:t xml:space="preserve"> </w:t>
      </w:r>
      <w:r w:rsidRPr="00C6052E">
        <w:t>primarily</w:t>
      </w:r>
      <w:r w:rsidR="00177848" w:rsidRPr="00C6052E">
        <w:t xml:space="preserve"> </w:t>
      </w:r>
      <w:r w:rsidRPr="00C6052E">
        <w:t>to</w:t>
      </w:r>
      <w:r w:rsidR="00177848" w:rsidRPr="00C6052E">
        <w:t xml:space="preserve"> </w:t>
      </w:r>
      <w:r w:rsidRPr="00C6052E">
        <w:t>the</w:t>
      </w:r>
      <w:r w:rsidR="00177848" w:rsidRPr="00C6052E">
        <w:t xml:space="preserve"> </w:t>
      </w:r>
      <w:r w:rsidRPr="00C6052E">
        <w:t>financial</w:t>
      </w:r>
      <w:r w:rsidR="00177848" w:rsidRPr="00C6052E">
        <w:t xml:space="preserve"> </w:t>
      </w:r>
      <w:r w:rsidRPr="00C6052E">
        <w:t>risk</w:t>
      </w:r>
      <w:r w:rsidR="00177848" w:rsidRPr="00C6052E">
        <w:t xml:space="preserve"> </w:t>
      </w:r>
      <w:r w:rsidRPr="00C6052E">
        <w:t>of</w:t>
      </w:r>
      <w:r w:rsidR="00177848" w:rsidRPr="00C6052E">
        <w:t xml:space="preserve"> </w:t>
      </w:r>
      <w:r w:rsidRPr="00C6052E">
        <w:t>changes</w:t>
      </w:r>
      <w:r w:rsidR="00177848" w:rsidRPr="00C6052E">
        <w:t xml:space="preserve"> </w:t>
      </w:r>
      <w:r w:rsidRPr="00C6052E">
        <w:t>in</w:t>
      </w:r>
      <w:r w:rsidR="00177848" w:rsidRPr="00C6052E">
        <w:t xml:space="preserve"> </w:t>
      </w:r>
      <w:r w:rsidRPr="00C6052E">
        <w:t>interest</w:t>
      </w:r>
      <w:r w:rsidR="00177848" w:rsidRPr="00C6052E">
        <w:t xml:space="preserve"> </w:t>
      </w:r>
      <w:r w:rsidRPr="00C6052E">
        <w:t>rates.</w:t>
      </w:r>
      <w:r w:rsidR="00177848" w:rsidRPr="00C6052E">
        <w:t xml:space="preserve"> </w:t>
      </w:r>
      <w:r w:rsidRPr="00C6052E">
        <w:t>DJSIR</w:t>
      </w:r>
      <w:r w:rsidR="00177848" w:rsidRPr="00C6052E">
        <w:t xml:space="preserve"> </w:t>
      </w:r>
      <w:r w:rsidRPr="00C6052E">
        <w:t>does</w:t>
      </w:r>
      <w:r w:rsidR="00177848" w:rsidRPr="00C6052E">
        <w:t xml:space="preserve"> </w:t>
      </w:r>
      <w:r w:rsidRPr="00C6052E">
        <w:t>not</w:t>
      </w:r>
      <w:r w:rsidR="00177848" w:rsidRPr="00C6052E">
        <w:t xml:space="preserve"> </w:t>
      </w:r>
      <w:r w:rsidRPr="00C6052E">
        <w:t>enter</w:t>
      </w:r>
      <w:r w:rsidR="00177848" w:rsidRPr="00C6052E">
        <w:t xml:space="preserve"> </w:t>
      </w:r>
      <w:r w:rsidRPr="00C6052E">
        <w:t>into</w:t>
      </w:r>
      <w:r w:rsidR="00177848" w:rsidRPr="00C6052E">
        <w:t xml:space="preserve"> </w:t>
      </w:r>
      <w:r w:rsidRPr="00C6052E">
        <w:t>derivative</w:t>
      </w:r>
      <w:r w:rsidR="00177848" w:rsidRPr="00C6052E">
        <w:t xml:space="preserve"> </w:t>
      </w:r>
      <w:r w:rsidRPr="00C6052E">
        <w:t>financial</w:t>
      </w:r>
      <w:r w:rsidR="00177848" w:rsidRPr="00C6052E">
        <w:t xml:space="preserve"> </w:t>
      </w:r>
      <w:r w:rsidRPr="00C6052E">
        <w:t>instruments</w:t>
      </w:r>
      <w:r w:rsidR="00177848" w:rsidRPr="00C6052E">
        <w:t xml:space="preserve"> </w:t>
      </w:r>
      <w:r w:rsidRPr="00C6052E">
        <w:t>to</w:t>
      </w:r>
      <w:r w:rsidR="00177848" w:rsidRPr="00C6052E">
        <w:t xml:space="preserve"> </w:t>
      </w:r>
      <w:r w:rsidRPr="00C6052E">
        <w:t>manage</w:t>
      </w:r>
      <w:r w:rsidR="00177848" w:rsidRPr="00C6052E">
        <w:t xml:space="preserve"> </w:t>
      </w:r>
      <w:r w:rsidRPr="00C6052E">
        <w:t>its</w:t>
      </w:r>
      <w:r w:rsidR="00177848" w:rsidRPr="00C6052E">
        <w:t xml:space="preserve"> </w:t>
      </w:r>
      <w:r w:rsidRPr="00C6052E">
        <w:t>exposure</w:t>
      </w:r>
      <w:r w:rsidR="00177848" w:rsidRPr="00C6052E">
        <w:t xml:space="preserve"> </w:t>
      </w:r>
      <w:r w:rsidRPr="00C6052E">
        <w:t>to</w:t>
      </w:r>
      <w:r w:rsidR="00177848" w:rsidRPr="00C6052E">
        <w:t xml:space="preserve"> </w:t>
      </w:r>
      <w:r w:rsidRPr="00C6052E">
        <w:t>interest</w:t>
      </w:r>
      <w:r w:rsidR="00177848" w:rsidRPr="00C6052E">
        <w:t xml:space="preserve"> </w:t>
      </w:r>
      <w:r w:rsidRPr="00C6052E">
        <w:t>rate.</w:t>
      </w:r>
      <w:r w:rsidR="00177848" w:rsidRPr="00C6052E">
        <w:t xml:space="preserve"> </w:t>
      </w:r>
    </w:p>
    <w:p w14:paraId="6FFA3380" w14:textId="51583003" w:rsidR="00EE5BB8" w:rsidRPr="00C6052E" w:rsidRDefault="00EE5BB8" w:rsidP="00EE5BB8">
      <w:r w:rsidRPr="00C6052E">
        <w:t>DJSIR</w:t>
      </w:r>
      <w:r w:rsidR="00177848" w:rsidRPr="00C6052E">
        <w:t xml:space="preserve"> </w:t>
      </w:r>
      <w:r w:rsidRPr="00C6052E">
        <w:t>does</w:t>
      </w:r>
      <w:r w:rsidR="00177848" w:rsidRPr="00C6052E">
        <w:t xml:space="preserve"> </w:t>
      </w:r>
      <w:r w:rsidRPr="00C6052E">
        <w:t>not</w:t>
      </w:r>
      <w:r w:rsidR="00177848" w:rsidRPr="00C6052E">
        <w:t xml:space="preserve"> </w:t>
      </w:r>
      <w:r w:rsidRPr="00C6052E">
        <w:t>enter</w:t>
      </w:r>
      <w:r w:rsidR="00177848" w:rsidRPr="00C6052E">
        <w:t xml:space="preserve"> </w:t>
      </w:r>
      <w:r w:rsidRPr="00C6052E">
        <w:t>into</w:t>
      </w:r>
      <w:r w:rsidR="00177848" w:rsidRPr="00C6052E">
        <w:t xml:space="preserve"> </w:t>
      </w:r>
      <w:r w:rsidRPr="00C6052E">
        <w:t>or</w:t>
      </w:r>
      <w:r w:rsidR="00177848" w:rsidRPr="00C6052E">
        <w:t xml:space="preserve"> </w:t>
      </w:r>
      <w:r w:rsidRPr="00C6052E">
        <w:t>trade</w:t>
      </w:r>
      <w:r w:rsidR="00177848" w:rsidRPr="00C6052E">
        <w:t xml:space="preserve"> </w:t>
      </w:r>
      <w:r w:rsidRPr="00C6052E">
        <w:t>financial</w:t>
      </w:r>
      <w:r w:rsidR="00177848" w:rsidRPr="00C6052E">
        <w:t xml:space="preserve"> </w:t>
      </w:r>
      <w:r w:rsidRPr="00C6052E">
        <w:t>instruments,</w:t>
      </w:r>
      <w:r w:rsidR="00177848" w:rsidRPr="00C6052E">
        <w:t xml:space="preserve"> </w:t>
      </w:r>
      <w:r w:rsidRPr="00C6052E">
        <w:t>including</w:t>
      </w:r>
      <w:r w:rsidR="00177848" w:rsidRPr="00C6052E">
        <w:t xml:space="preserve"> </w:t>
      </w:r>
      <w:r w:rsidRPr="00C6052E">
        <w:t>derivative</w:t>
      </w:r>
      <w:r w:rsidR="00177848" w:rsidRPr="00C6052E">
        <w:t xml:space="preserve"> </w:t>
      </w:r>
      <w:r w:rsidRPr="00C6052E">
        <w:t>financial</w:t>
      </w:r>
      <w:r w:rsidR="00177848" w:rsidRPr="00C6052E">
        <w:t xml:space="preserve"> </w:t>
      </w:r>
      <w:r w:rsidRPr="00C6052E">
        <w:t>instruments,</w:t>
      </w:r>
      <w:r w:rsidR="00177848" w:rsidRPr="00C6052E">
        <w:t xml:space="preserve"> </w:t>
      </w:r>
      <w:r w:rsidRPr="00C6052E">
        <w:t>for</w:t>
      </w:r>
      <w:r w:rsidR="00177848" w:rsidRPr="00C6052E">
        <w:t xml:space="preserve"> </w:t>
      </w:r>
      <w:r w:rsidRPr="00C6052E">
        <w:t>speculative</w:t>
      </w:r>
      <w:r w:rsidR="00177848" w:rsidRPr="00C6052E">
        <w:t xml:space="preserve"> </w:t>
      </w:r>
      <w:r w:rsidRPr="00C6052E">
        <w:t>purposes.</w:t>
      </w:r>
    </w:p>
    <w:p w14:paraId="6C96AA50" w14:textId="7171C83F" w:rsidR="00EE5BB8" w:rsidRPr="00C6052E" w:rsidRDefault="00EE5BB8" w:rsidP="0028635E">
      <w:pPr>
        <w:pStyle w:val="Normalbeforebullets"/>
      </w:pPr>
      <w:r w:rsidRPr="00C6052E">
        <w:t>DJSIR’s</w:t>
      </w:r>
      <w:r w:rsidR="00177848" w:rsidRPr="00C6052E">
        <w:t xml:space="preserve"> </w:t>
      </w:r>
      <w:r w:rsidRPr="00C6052E">
        <w:t>principal</w:t>
      </w:r>
      <w:r w:rsidR="00177848" w:rsidRPr="00C6052E">
        <w:t xml:space="preserve"> </w:t>
      </w:r>
      <w:r w:rsidRPr="00C6052E">
        <w:t>financial</w:t>
      </w:r>
      <w:r w:rsidR="00177848" w:rsidRPr="00C6052E">
        <w:t xml:space="preserve"> </w:t>
      </w:r>
      <w:r w:rsidRPr="00C6052E">
        <w:t>instruments</w:t>
      </w:r>
      <w:r w:rsidR="00177848" w:rsidRPr="00C6052E">
        <w:t xml:space="preserve"> </w:t>
      </w:r>
      <w:r w:rsidRPr="00C6052E">
        <w:t>comprise:</w:t>
      </w:r>
    </w:p>
    <w:p w14:paraId="6B109FCB" w14:textId="77777777" w:rsidR="00EE5BB8" w:rsidRPr="00C6052E" w:rsidRDefault="00EE5BB8" w:rsidP="00EE5BB8">
      <w:pPr>
        <w:pStyle w:val="Bullet1"/>
        <w:numPr>
          <w:ilvl w:val="0"/>
          <w:numId w:val="1"/>
        </w:numPr>
        <w:spacing w:line="278" w:lineRule="auto"/>
        <w:ind w:left="284" w:hanging="284"/>
        <w:rPr>
          <w:lang w:val="en-AU"/>
        </w:rPr>
      </w:pPr>
      <w:r w:rsidRPr="00C6052E">
        <w:rPr>
          <w:lang w:val="en-AU"/>
        </w:rPr>
        <w:t>cash</w:t>
      </w:r>
    </w:p>
    <w:p w14:paraId="77CF1BC4" w14:textId="1151C0A9" w:rsidR="00EE5BB8" w:rsidRPr="00C6052E" w:rsidRDefault="00EE5BB8" w:rsidP="00EE5BB8">
      <w:pPr>
        <w:pStyle w:val="Bullet1"/>
        <w:numPr>
          <w:ilvl w:val="0"/>
          <w:numId w:val="1"/>
        </w:numPr>
        <w:spacing w:line="278" w:lineRule="auto"/>
        <w:ind w:left="284" w:hanging="284"/>
        <w:rPr>
          <w:lang w:val="en-AU"/>
        </w:rPr>
      </w:pPr>
      <w:r w:rsidRPr="00C6052E">
        <w:rPr>
          <w:lang w:val="en-AU"/>
        </w:rPr>
        <w:t>term</w:t>
      </w:r>
      <w:r w:rsidR="00177848" w:rsidRPr="00C6052E">
        <w:rPr>
          <w:lang w:val="en-AU"/>
        </w:rPr>
        <w:t xml:space="preserve"> </w:t>
      </w:r>
      <w:r w:rsidRPr="00C6052E">
        <w:rPr>
          <w:lang w:val="en-AU"/>
        </w:rPr>
        <w:t>deposits</w:t>
      </w:r>
    </w:p>
    <w:p w14:paraId="5F691321" w14:textId="4EDF7AD4" w:rsidR="00EE5BB8" w:rsidRPr="00C6052E" w:rsidRDefault="00EE5BB8" w:rsidP="00EE5BB8">
      <w:pPr>
        <w:pStyle w:val="Bullet1"/>
        <w:numPr>
          <w:ilvl w:val="0"/>
          <w:numId w:val="1"/>
        </w:numPr>
        <w:spacing w:line="278" w:lineRule="auto"/>
        <w:ind w:left="284" w:hanging="284"/>
        <w:rPr>
          <w:lang w:val="en-AU"/>
        </w:rPr>
      </w:pPr>
      <w:r w:rsidRPr="00C6052E">
        <w:rPr>
          <w:lang w:val="en-AU"/>
        </w:rPr>
        <w:t>receivables</w:t>
      </w:r>
      <w:r w:rsidR="00177848" w:rsidRPr="00C6052E">
        <w:rPr>
          <w:lang w:val="en-AU"/>
        </w:rPr>
        <w:t xml:space="preserve"> </w:t>
      </w:r>
      <w:r w:rsidRPr="00C6052E">
        <w:rPr>
          <w:lang w:val="en-AU"/>
        </w:rPr>
        <w:t>(excluding</w:t>
      </w:r>
      <w:r w:rsidR="00177848" w:rsidRPr="00C6052E">
        <w:rPr>
          <w:lang w:val="en-AU"/>
        </w:rPr>
        <w:t xml:space="preserve"> </w:t>
      </w:r>
      <w:r w:rsidRPr="00C6052E">
        <w:rPr>
          <w:lang w:val="en-AU"/>
        </w:rPr>
        <w:t>statutory</w:t>
      </w:r>
      <w:r w:rsidR="00177848" w:rsidRPr="00C6052E">
        <w:rPr>
          <w:lang w:val="en-AU"/>
        </w:rPr>
        <w:t xml:space="preserve"> </w:t>
      </w:r>
      <w:r w:rsidRPr="00C6052E">
        <w:rPr>
          <w:lang w:val="en-AU"/>
        </w:rPr>
        <w:t>receivables)</w:t>
      </w:r>
    </w:p>
    <w:p w14:paraId="5D0FCC9A" w14:textId="77884AC4" w:rsidR="00EE5BB8" w:rsidRPr="00C6052E" w:rsidRDefault="00EE5BB8" w:rsidP="00EE5BB8">
      <w:pPr>
        <w:pStyle w:val="Bullet1"/>
        <w:numPr>
          <w:ilvl w:val="0"/>
          <w:numId w:val="1"/>
        </w:numPr>
        <w:spacing w:line="278" w:lineRule="auto"/>
        <w:ind w:left="284" w:hanging="284"/>
        <w:rPr>
          <w:lang w:val="en-AU"/>
        </w:rPr>
      </w:pPr>
      <w:r w:rsidRPr="00C6052E">
        <w:rPr>
          <w:lang w:val="en-AU"/>
        </w:rPr>
        <w:t>payables</w:t>
      </w:r>
      <w:r w:rsidR="00177848" w:rsidRPr="00C6052E">
        <w:rPr>
          <w:lang w:val="en-AU"/>
        </w:rPr>
        <w:t xml:space="preserve"> </w:t>
      </w:r>
      <w:r w:rsidRPr="00C6052E">
        <w:rPr>
          <w:lang w:val="en-AU"/>
        </w:rPr>
        <w:t>(excluding</w:t>
      </w:r>
      <w:r w:rsidR="00177848" w:rsidRPr="00C6052E">
        <w:rPr>
          <w:lang w:val="en-AU"/>
        </w:rPr>
        <w:t xml:space="preserve"> </w:t>
      </w:r>
      <w:r w:rsidRPr="00C6052E">
        <w:rPr>
          <w:lang w:val="en-AU"/>
        </w:rPr>
        <w:t>statutory</w:t>
      </w:r>
      <w:r w:rsidR="00177848" w:rsidRPr="00C6052E">
        <w:rPr>
          <w:lang w:val="en-AU"/>
        </w:rPr>
        <w:t xml:space="preserve"> </w:t>
      </w:r>
      <w:r w:rsidRPr="00C6052E">
        <w:rPr>
          <w:lang w:val="en-AU"/>
        </w:rPr>
        <w:t>payables)</w:t>
      </w:r>
    </w:p>
    <w:p w14:paraId="42291433" w14:textId="6F98A30C" w:rsidR="00EE5BB8" w:rsidRPr="00C6052E" w:rsidRDefault="00EE5BB8" w:rsidP="00EE5BB8">
      <w:pPr>
        <w:pStyle w:val="Bullet1"/>
        <w:numPr>
          <w:ilvl w:val="0"/>
          <w:numId w:val="1"/>
        </w:numPr>
        <w:spacing w:line="278" w:lineRule="auto"/>
        <w:ind w:left="284" w:hanging="284"/>
        <w:rPr>
          <w:lang w:val="en-AU"/>
        </w:rPr>
      </w:pPr>
      <w:r w:rsidRPr="00C6052E">
        <w:rPr>
          <w:lang w:val="en-AU"/>
        </w:rPr>
        <w:lastRenderedPageBreak/>
        <w:t>borrowings,</w:t>
      </w:r>
      <w:r w:rsidR="00177848" w:rsidRPr="00C6052E">
        <w:rPr>
          <w:lang w:val="en-AU"/>
        </w:rPr>
        <w:t xml:space="preserve"> </w:t>
      </w:r>
      <w:r w:rsidRPr="00C6052E">
        <w:rPr>
          <w:lang w:val="en-AU"/>
        </w:rPr>
        <w:t>and</w:t>
      </w:r>
    </w:p>
    <w:p w14:paraId="3CF8C3B7" w14:textId="0B393CD3" w:rsidR="00EE5BB8" w:rsidRPr="00C6052E" w:rsidRDefault="00EE5BB8" w:rsidP="00EE5BB8">
      <w:pPr>
        <w:pStyle w:val="Bullet1last"/>
        <w:numPr>
          <w:ilvl w:val="0"/>
          <w:numId w:val="1"/>
        </w:numPr>
        <w:spacing w:line="278" w:lineRule="auto"/>
        <w:ind w:left="284" w:hanging="284"/>
        <w:rPr>
          <w:lang w:val="en-AU"/>
        </w:rPr>
      </w:pPr>
      <w:r w:rsidRPr="00C6052E">
        <w:rPr>
          <w:lang w:val="en-AU"/>
        </w:rPr>
        <w:t>lease</w:t>
      </w:r>
      <w:r w:rsidR="00177848" w:rsidRPr="00C6052E">
        <w:rPr>
          <w:lang w:val="en-AU"/>
        </w:rPr>
        <w:t xml:space="preserve"> </w:t>
      </w:r>
      <w:r w:rsidRPr="00C6052E">
        <w:rPr>
          <w:lang w:val="en-AU"/>
        </w:rPr>
        <w:t>liabilities.</w:t>
      </w:r>
    </w:p>
    <w:p w14:paraId="2E791F7E" w14:textId="7219F3AD" w:rsidR="00EE5BB8" w:rsidRPr="00C6052E" w:rsidRDefault="00EE5BB8" w:rsidP="00EE5BB8">
      <w:r w:rsidRPr="00C6052E">
        <w:t>Details</w:t>
      </w:r>
      <w:r w:rsidR="00177848" w:rsidRPr="00C6052E">
        <w:t xml:space="preserve"> </w:t>
      </w:r>
      <w:r w:rsidRPr="00C6052E">
        <w:t>of</w:t>
      </w:r>
      <w:r w:rsidR="00177848" w:rsidRPr="00C6052E">
        <w:t xml:space="preserve"> </w:t>
      </w:r>
      <w:r w:rsidRPr="00C6052E">
        <w:t>the</w:t>
      </w:r>
      <w:r w:rsidR="00177848" w:rsidRPr="00C6052E">
        <w:t xml:space="preserve"> </w:t>
      </w:r>
      <w:r w:rsidRPr="00C6052E">
        <w:t>significant</w:t>
      </w:r>
      <w:r w:rsidR="00177848" w:rsidRPr="00C6052E">
        <w:t xml:space="preserve"> </w:t>
      </w:r>
      <w:r w:rsidRPr="00C6052E">
        <w:t>accounting</w:t>
      </w:r>
      <w:r w:rsidR="00177848" w:rsidRPr="00C6052E">
        <w:t xml:space="preserve"> </w:t>
      </w:r>
      <w:r w:rsidRPr="00C6052E">
        <w:t>policies</w:t>
      </w:r>
      <w:r w:rsidR="00177848" w:rsidRPr="00C6052E">
        <w:t xml:space="preserve"> </w:t>
      </w:r>
      <w:r w:rsidRPr="00C6052E">
        <w:t>and</w:t>
      </w:r>
      <w:r w:rsidR="00177848" w:rsidRPr="00C6052E">
        <w:t xml:space="preserve"> </w:t>
      </w:r>
      <w:r w:rsidRPr="00C6052E">
        <w:t>methods</w:t>
      </w:r>
      <w:r w:rsidR="00177848" w:rsidRPr="00C6052E">
        <w:t xml:space="preserve"> </w:t>
      </w:r>
      <w:r w:rsidRPr="00C6052E">
        <w:t>adopted,</w:t>
      </w:r>
      <w:r w:rsidR="00177848" w:rsidRPr="00C6052E">
        <w:t xml:space="preserve"> </w:t>
      </w:r>
      <w:r w:rsidRPr="00C6052E">
        <w:t>including</w:t>
      </w:r>
      <w:r w:rsidR="00177848" w:rsidRPr="00C6052E">
        <w:t xml:space="preserve"> </w:t>
      </w:r>
      <w:r w:rsidRPr="00C6052E">
        <w:t>the</w:t>
      </w:r>
      <w:r w:rsidR="00177848" w:rsidRPr="00C6052E">
        <w:t xml:space="preserve"> </w:t>
      </w:r>
      <w:r w:rsidRPr="00C6052E">
        <w:t>criteria</w:t>
      </w:r>
      <w:r w:rsidR="00177848" w:rsidRPr="00C6052E">
        <w:t xml:space="preserve"> </w:t>
      </w:r>
      <w:r w:rsidRPr="00C6052E">
        <w:t>for</w:t>
      </w:r>
      <w:r w:rsidR="00177848" w:rsidRPr="00C6052E">
        <w:t xml:space="preserve"> </w:t>
      </w:r>
      <w:r w:rsidRPr="00C6052E">
        <w:t>recognition,</w:t>
      </w:r>
      <w:r w:rsidR="00177848" w:rsidRPr="00C6052E">
        <w:t xml:space="preserve"> </w:t>
      </w:r>
      <w:r w:rsidRPr="00C6052E">
        <w:t>the</w:t>
      </w:r>
      <w:r w:rsidR="00177848" w:rsidRPr="00C6052E">
        <w:t xml:space="preserve"> </w:t>
      </w:r>
      <w:r w:rsidRPr="00C6052E">
        <w:t>basis</w:t>
      </w:r>
      <w:r w:rsidR="00177848" w:rsidRPr="00C6052E">
        <w:t xml:space="preserve"> </w:t>
      </w:r>
      <w:r w:rsidRPr="00C6052E">
        <w:t>of</w:t>
      </w:r>
      <w:r w:rsidR="00177848" w:rsidRPr="00C6052E">
        <w:t xml:space="preserve"> </w:t>
      </w:r>
      <w:r w:rsidRPr="00C6052E">
        <w:t>measurement,</w:t>
      </w:r>
      <w:r w:rsidR="00177848" w:rsidRPr="00C6052E">
        <w:t xml:space="preserve"> </w:t>
      </w:r>
      <w:r w:rsidRPr="00C6052E">
        <w:t>and</w:t>
      </w:r>
      <w:r w:rsidR="00177848" w:rsidRPr="00C6052E">
        <w:t xml:space="preserve"> </w:t>
      </w:r>
      <w:r w:rsidRPr="00C6052E">
        <w:t>the</w:t>
      </w:r>
      <w:r w:rsidR="00177848" w:rsidRPr="00C6052E">
        <w:t xml:space="preserve"> </w:t>
      </w:r>
      <w:r w:rsidRPr="00C6052E">
        <w:t>basis</w:t>
      </w:r>
      <w:r w:rsidR="00177848" w:rsidRPr="00C6052E">
        <w:t xml:space="preserve"> </w:t>
      </w:r>
      <w:r w:rsidRPr="00C6052E">
        <w:t>on</w:t>
      </w:r>
      <w:r w:rsidR="00177848" w:rsidRPr="00C6052E">
        <w:t xml:space="preserve"> </w:t>
      </w:r>
      <w:r w:rsidRPr="00C6052E">
        <w:t>which</w:t>
      </w:r>
      <w:r w:rsidR="00177848" w:rsidRPr="00C6052E">
        <w:t xml:space="preserve"> </w:t>
      </w:r>
      <w:r w:rsidRPr="00C6052E">
        <w:t>income</w:t>
      </w:r>
      <w:r w:rsidR="00177848" w:rsidRPr="00C6052E">
        <w:t xml:space="preserve"> </w:t>
      </w:r>
      <w:r w:rsidRPr="00C6052E">
        <w:t>and</w:t>
      </w:r>
      <w:r w:rsidR="00177848" w:rsidRPr="00C6052E">
        <w:t xml:space="preserve"> </w:t>
      </w:r>
      <w:r w:rsidRPr="00C6052E">
        <w:t>expenses</w:t>
      </w:r>
      <w:r w:rsidR="00177848" w:rsidRPr="00C6052E">
        <w:t xml:space="preserve"> </w:t>
      </w:r>
      <w:r w:rsidRPr="00C6052E">
        <w:t>are</w:t>
      </w:r>
      <w:r w:rsidR="00177848" w:rsidRPr="00C6052E">
        <w:t xml:space="preserve"> </w:t>
      </w:r>
      <w:r w:rsidRPr="00C6052E">
        <w:t>recognised,</w:t>
      </w:r>
      <w:r w:rsidR="00177848" w:rsidRPr="00C6052E">
        <w:t xml:space="preserve"> </w:t>
      </w:r>
      <w:r w:rsidRPr="00C6052E">
        <w:t>with</w:t>
      </w:r>
      <w:r w:rsidR="00177848" w:rsidRPr="00C6052E">
        <w:t xml:space="preserve"> </w:t>
      </w:r>
      <w:r w:rsidRPr="00C6052E">
        <w:t>respect</w:t>
      </w:r>
      <w:r w:rsidR="00177848" w:rsidRPr="00C6052E">
        <w:t xml:space="preserve"> </w:t>
      </w:r>
      <w:r w:rsidRPr="00C6052E">
        <w:t>to</w:t>
      </w:r>
      <w:r w:rsidR="00177848" w:rsidRPr="00C6052E">
        <w:t xml:space="preserve"> </w:t>
      </w:r>
      <w:r w:rsidRPr="00C6052E">
        <w:t>each</w:t>
      </w:r>
      <w:r w:rsidR="00177848" w:rsidRPr="00C6052E">
        <w:t xml:space="preserve"> </w:t>
      </w:r>
      <w:r w:rsidRPr="00C6052E">
        <w:t>class</w:t>
      </w:r>
      <w:r w:rsidR="00177848" w:rsidRPr="00C6052E">
        <w:t xml:space="preserve"> </w:t>
      </w:r>
      <w:r w:rsidRPr="00C6052E">
        <w:t>of</w:t>
      </w:r>
      <w:r w:rsidR="00177848" w:rsidRPr="00C6052E">
        <w:t xml:space="preserve"> </w:t>
      </w:r>
      <w:r w:rsidRPr="00C6052E">
        <w:t>financial</w:t>
      </w:r>
      <w:r w:rsidR="00177848" w:rsidRPr="00C6052E">
        <w:t xml:space="preserve"> </w:t>
      </w:r>
      <w:r w:rsidRPr="00C6052E">
        <w:t>asset,</w:t>
      </w:r>
      <w:r w:rsidR="00177848" w:rsidRPr="00C6052E">
        <w:t xml:space="preserve"> </w:t>
      </w:r>
      <w:r w:rsidRPr="00C6052E">
        <w:t>financial</w:t>
      </w:r>
      <w:r w:rsidR="00177848" w:rsidRPr="00C6052E">
        <w:t xml:space="preserve"> </w:t>
      </w:r>
      <w:r w:rsidRPr="00C6052E">
        <w:t>liability</w:t>
      </w:r>
      <w:r w:rsidR="00177848" w:rsidRPr="00C6052E">
        <w:t xml:space="preserve"> </w:t>
      </w:r>
      <w:r w:rsidRPr="00C6052E">
        <w:t>and</w:t>
      </w:r>
      <w:r w:rsidR="00177848" w:rsidRPr="00C6052E">
        <w:t xml:space="preserve"> </w:t>
      </w:r>
      <w:r w:rsidRPr="00C6052E">
        <w:t>equity</w:t>
      </w:r>
      <w:r w:rsidR="00177848" w:rsidRPr="00C6052E">
        <w:t xml:space="preserve"> </w:t>
      </w:r>
      <w:r w:rsidRPr="00C6052E">
        <w:t>instrument</w:t>
      </w:r>
      <w:r w:rsidR="00177848" w:rsidRPr="00C6052E">
        <w:t xml:space="preserve"> </w:t>
      </w:r>
      <w:r w:rsidRPr="00C6052E">
        <w:t>above</w:t>
      </w:r>
      <w:r w:rsidR="00177848" w:rsidRPr="00C6052E">
        <w:t xml:space="preserve"> </w:t>
      </w:r>
      <w:r w:rsidRPr="00C6052E">
        <w:t>are</w:t>
      </w:r>
      <w:r w:rsidR="00177848" w:rsidRPr="00C6052E">
        <w:t xml:space="preserve"> </w:t>
      </w:r>
      <w:r w:rsidRPr="00C6052E">
        <w:t>disclosed</w:t>
      </w:r>
      <w:r w:rsidR="00177848" w:rsidRPr="00C6052E">
        <w:t xml:space="preserve"> </w:t>
      </w:r>
      <w:r w:rsidRPr="00C6052E">
        <w:t>in</w:t>
      </w:r>
      <w:r w:rsidR="00177848" w:rsidRPr="00C6052E">
        <w:t xml:space="preserve"> </w:t>
      </w:r>
      <w:r w:rsidRPr="00C6052E">
        <w:t>relevant</w:t>
      </w:r>
      <w:r w:rsidR="00177848" w:rsidRPr="00C6052E">
        <w:t xml:space="preserve"> </w:t>
      </w:r>
      <w:r w:rsidRPr="00C6052E">
        <w:t>notes</w:t>
      </w:r>
      <w:r w:rsidR="00177848" w:rsidRPr="00C6052E">
        <w:t xml:space="preserve"> </w:t>
      </w:r>
      <w:r w:rsidRPr="00C6052E">
        <w:t>within</w:t>
      </w:r>
      <w:r w:rsidR="00177848" w:rsidRPr="00C6052E">
        <w:t xml:space="preserve"> </w:t>
      </w:r>
      <w:r w:rsidRPr="00C6052E">
        <w:t>the</w:t>
      </w:r>
      <w:r w:rsidR="00177848" w:rsidRPr="00C6052E">
        <w:t xml:space="preserve"> </w:t>
      </w:r>
      <w:r w:rsidRPr="00C6052E">
        <w:t>financial</w:t>
      </w:r>
      <w:r w:rsidR="00177848" w:rsidRPr="00C6052E">
        <w:t xml:space="preserve"> </w:t>
      </w:r>
      <w:r w:rsidRPr="00C6052E">
        <w:t>statements.</w:t>
      </w:r>
    </w:p>
    <w:p w14:paraId="77BA00B5" w14:textId="5EBB40E3" w:rsidR="00EE5BB8" w:rsidRPr="00C6052E" w:rsidRDefault="00EE5BB8" w:rsidP="00EE5BB8">
      <w:pPr>
        <w:keepNext/>
      </w:pPr>
      <w:r w:rsidRPr="00C6052E">
        <w:t>DJSIR</w:t>
      </w:r>
      <w:r w:rsidR="00177848" w:rsidRPr="00C6052E">
        <w:t xml:space="preserve"> </w:t>
      </w:r>
      <w:r w:rsidRPr="00C6052E">
        <w:t>uses</w:t>
      </w:r>
      <w:r w:rsidR="00177848" w:rsidRPr="00C6052E">
        <w:t xml:space="preserve"> </w:t>
      </w:r>
      <w:r w:rsidRPr="00C6052E">
        <w:t>different</w:t>
      </w:r>
      <w:r w:rsidR="00177848" w:rsidRPr="00C6052E">
        <w:t xml:space="preserve"> </w:t>
      </w:r>
      <w:r w:rsidRPr="00C6052E">
        <w:t>methods</w:t>
      </w:r>
      <w:r w:rsidR="00177848" w:rsidRPr="00C6052E">
        <w:t xml:space="preserve"> </w:t>
      </w:r>
      <w:r w:rsidRPr="00C6052E">
        <w:t>to</w:t>
      </w:r>
      <w:r w:rsidR="00177848" w:rsidRPr="00C6052E">
        <w:t xml:space="preserve"> </w:t>
      </w:r>
      <w:r w:rsidRPr="00C6052E">
        <w:t>measure</w:t>
      </w:r>
      <w:r w:rsidR="00177848" w:rsidRPr="00C6052E">
        <w:t xml:space="preserve"> </w:t>
      </w:r>
      <w:r w:rsidRPr="00C6052E">
        <w:t>and</w:t>
      </w:r>
      <w:r w:rsidR="00177848" w:rsidRPr="00C6052E">
        <w:t xml:space="preserve"> </w:t>
      </w:r>
      <w:r w:rsidRPr="00C6052E">
        <w:t>manage</w:t>
      </w:r>
      <w:r w:rsidR="00177848" w:rsidRPr="00C6052E">
        <w:t xml:space="preserve"> </w:t>
      </w:r>
      <w:r w:rsidRPr="00C6052E">
        <w:t>the</w:t>
      </w:r>
      <w:r w:rsidR="00177848" w:rsidRPr="00C6052E">
        <w:t xml:space="preserve"> </w:t>
      </w:r>
      <w:r w:rsidRPr="00C6052E">
        <w:t>different</w:t>
      </w:r>
      <w:r w:rsidR="00177848" w:rsidRPr="00C6052E">
        <w:t xml:space="preserve"> </w:t>
      </w:r>
      <w:r w:rsidRPr="00C6052E">
        <w:t>risks</w:t>
      </w:r>
      <w:r w:rsidR="00177848" w:rsidRPr="00C6052E">
        <w:t xml:space="preserve"> </w:t>
      </w:r>
      <w:r w:rsidRPr="00C6052E">
        <w:t>to</w:t>
      </w:r>
      <w:r w:rsidR="00177848" w:rsidRPr="00C6052E">
        <w:t xml:space="preserve"> </w:t>
      </w:r>
      <w:r w:rsidRPr="00C6052E">
        <w:t>which</w:t>
      </w:r>
      <w:r w:rsidR="00177848" w:rsidRPr="00C6052E">
        <w:t xml:space="preserve"> </w:t>
      </w:r>
      <w:r w:rsidRPr="00C6052E">
        <w:t>it</w:t>
      </w:r>
      <w:r w:rsidR="00177848" w:rsidRPr="00C6052E">
        <w:t xml:space="preserve"> </w:t>
      </w:r>
      <w:r w:rsidRPr="00C6052E">
        <w:t>is</w:t>
      </w:r>
      <w:r w:rsidR="00177848" w:rsidRPr="00C6052E">
        <w:t xml:space="preserve"> </w:t>
      </w:r>
      <w:r w:rsidRPr="00C6052E">
        <w:t>exposed.</w:t>
      </w:r>
      <w:r w:rsidR="00177848" w:rsidRPr="00C6052E">
        <w:t xml:space="preserve"> </w:t>
      </w:r>
    </w:p>
    <w:p w14:paraId="35BA1B16" w14:textId="39044E02" w:rsidR="00EE5BB8" w:rsidRPr="00C6052E" w:rsidRDefault="00EE5BB8" w:rsidP="00EE5BB8">
      <w:r w:rsidRPr="00C6052E">
        <w:t>The</w:t>
      </w:r>
      <w:r w:rsidR="00177848" w:rsidRPr="00C6052E">
        <w:t xml:space="preserve"> </w:t>
      </w:r>
      <w:r w:rsidRPr="00C6052E">
        <w:t>carrying</w:t>
      </w:r>
      <w:r w:rsidR="00177848" w:rsidRPr="00C6052E">
        <w:t xml:space="preserve"> </w:t>
      </w:r>
      <w:r w:rsidRPr="00C6052E">
        <w:t>amounts</w:t>
      </w:r>
      <w:r w:rsidR="00177848" w:rsidRPr="00C6052E">
        <w:t xml:space="preserve"> </w:t>
      </w:r>
      <w:r w:rsidRPr="00C6052E">
        <w:t>of</w:t>
      </w:r>
      <w:r w:rsidR="00177848" w:rsidRPr="00C6052E">
        <w:t xml:space="preserve"> </w:t>
      </w:r>
      <w:r w:rsidRPr="00C6052E">
        <w:t>DJSIR’s</w:t>
      </w:r>
      <w:r w:rsidR="00177848" w:rsidRPr="00C6052E">
        <w:t xml:space="preserve"> </w:t>
      </w:r>
      <w:r w:rsidRPr="00C6052E">
        <w:t>contractual</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and</w:t>
      </w:r>
      <w:r w:rsidR="00177848" w:rsidRPr="00C6052E">
        <w:t xml:space="preserve"> </w:t>
      </w:r>
      <w:r w:rsidRPr="00C6052E">
        <w:t>financial</w:t>
      </w:r>
      <w:r w:rsidR="00177848" w:rsidRPr="00C6052E">
        <w:t xml:space="preserve"> </w:t>
      </w:r>
      <w:r w:rsidRPr="00C6052E">
        <w:t>liabilities</w:t>
      </w:r>
      <w:r w:rsidR="00177848" w:rsidRPr="00C6052E">
        <w:t xml:space="preserve"> </w:t>
      </w:r>
      <w:r w:rsidRPr="00C6052E">
        <w:t>by</w:t>
      </w:r>
      <w:r w:rsidR="00177848" w:rsidRPr="00C6052E">
        <w:t xml:space="preserve"> </w:t>
      </w:r>
      <w:r w:rsidRPr="00C6052E">
        <w:t>category</w:t>
      </w:r>
      <w:r w:rsidR="00177848" w:rsidRPr="00C6052E">
        <w:t xml:space="preserve"> </w:t>
      </w:r>
      <w:r w:rsidRPr="00C6052E">
        <w:t>are</w:t>
      </w:r>
      <w:r w:rsidR="00177848" w:rsidRPr="00C6052E">
        <w:t xml:space="preserve"> </w:t>
      </w:r>
      <w:r w:rsidRPr="00C6052E">
        <w:t>disclosed</w:t>
      </w:r>
      <w:r w:rsidR="00177848" w:rsidRPr="00C6052E">
        <w:t xml:space="preserve"> </w:t>
      </w:r>
      <w:r w:rsidRPr="00C6052E">
        <w:t>in</w:t>
      </w:r>
      <w:r w:rsidR="00177848" w:rsidRPr="00C6052E">
        <w:t xml:space="preserve"> </w:t>
      </w:r>
      <w:r w:rsidRPr="00C6052E">
        <w:t>the</w:t>
      </w:r>
      <w:r w:rsidR="00177848" w:rsidRPr="00C6052E">
        <w:t xml:space="preserve"> </w:t>
      </w:r>
      <w:r w:rsidRPr="00C6052E">
        <w:t>Note</w:t>
      </w:r>
      <w:r w:rsidR="00177848" w:rsidRPr="00C6052E">
        <w:t xml:space="preserve"> </w:t>
      </w:r>
      <w:r w:rsidRPr="00C6052E">
        <w:fldChar w:fldCharType="begin"/>
      </w:r>
      <w:r w:rsidRPr="00C6052E">
        <w:instrText xml:space="preserve"> REF _Ref209532904 \r \h </w:instrText>
      </w:r>
      <w:r w:rsidRPr="00C6052E">
        <w:fldChar w:fldCharType="separate"/>
      </w:r>
      <w:r w:rsidRPr="00C6052E">
        <w:t>8.1.1</w:t>
      </w:r>
      <w:r w:rsidRPr="00C6052E">
        <w:fldChar w:fldCharType="end"/>
      </w:r>
      <w:r w:rsidR="00177848" w:rsidRPr="00C6052E">
        <w:t xml:space="preserve"> </w:t>
      </w:r>
      <w:r w:rsidRPr="00C6052E">
        <w:t>–</w:t>
      </w:r>
      <w:r w:rsidR="00177848" w:rsidRPr="00C6052E">
        <w:t xml:space="preserve"> </w:t>
      </w:r>
      <w:r w:rsidRPr="00C6052E">
        <w:fldChar w:fldCharType="begin"/>
      </w:r>
      <w:r w:rsidRPr="00C6052E">
        <w:instrText xml:space="preserve"> REF _Ref209532904 \h </w:instrText>
      </w:r>
      <w:r w:rsidRPr="00C6052E">
        <w:fldChar w:fldCharType="separate"/>
      </w:r>
      <w:r w:rsidRPr="00C6052E">
        <w:t>Financial</w:t>
      </w:r>
      <w:r w:rsidR="00177848" w:rsidRPr="00C6052E">
        <w:t xml:space="preserve"> </w:t>
      </w:r>
      <w:r w:rsidRPr="00C6052E">
        <w:t>instruments:</w:t>
      </w:r>
      <w:r w:rsidR="00177848" w:rsidRPr="00C6052E">
        <w:t xml:space="preserve"> </w:t>
      </w:r>
      <w:r w:rsidRPr="00C6052E">
        <w:t>Categorisation</w:t>
      </w:r>
      <w:r w:rsidRPr="00C6052E">
        <w:fldChar w:fldCharType="end"/>
      </w:r>
      <w:r w:rsidRPr="00C6052E">
        <w:t>.</w:t>
      </w:r>
    </w:p>
    <w:p w14:paraId="3FADF43B" w14:textId="0A3C16FF" w:rsidR="00EE5BB8" w:rsidRPr="00C6052E" w:rsidRDefault="00EE5BB8" w:rsidP="00EE5BB8">
      <w:pPr>
        <w:pStyle w:val="Heading4"/>
      </w:pPr>
      <w:r w:rsidRPr="00C6052E">
        <w:t>Financial</w:t>
      </w:r>
      <w:r w:rsidR="00177848" w:rsidRPr="00C6052E">
        <w:t xml:space="preserve"> </w:t>
      </w:r>
      <w:r w:rsidRPr="00C6052E">
        <w:t>instruments:</w:t>
      </w:r>
      <w:r w:rsidR="00177848" w:rsidRPr="00C6052E">
        <w:t xml:space="preserve"> </w:t>
      </w:r>
      <w:r w:rsidRPr="00C6052E">
        <w:t>Credit</w:t>
      </w:r>
      <w:r w:rsidR="00177848" w:rsidRPr="00C6052E">
        <w:t xml:space="preserve"> </w:t>
      </w:r>
      <w:r w:rsidRPr="00C6052E">
        <w:t>risk</w:t>
      </w:r>
    </w:p>
    <w:p w14:paraId="0F7F6217" w14:textId="4C7774A8" w:rsidR="00EE5BB8" w:rsidRPr="00C6052E" w:rsidRDefault="00EE5BB8" w:rsidP="00EE5BB8">
      <w:r w:rsidRPr="00C6052E">
        <w:t>Credit</w:t>
      </w:r>
      <w:r w:rsidR="00177848" w:rsidRPr="00C6052E">
        <w:t xml:space="preserve"> </w:t>
      </w:r>
      <w:r w:rsidRPr="00C6052E">
        <w:t>risk</w:t>
      </w:r>
      <w:r w:rsidR="00177848" w:rsidRPr="00C6052E">
        <w:t xml:space="preserve"> </w:t>
      </w:r>
      <w:r w:rsidRPr="00C6052E">
        <w:t>arises</w:t>
      </w:r>
      <w:r w:rsidR="00177848" w:rsidRPr="00C6052E">
        <w:t xml:space="preserve"> </w:t>
      </w:r>
      <w:r w:rsidRPr="00C6052E">
        <w:t>from</w:t>
      </w:r>
      <w:r w:rsidR="00177848" w:rsidRPr="00C6052E">
        <w:t xml:space="preserve"> </w:t>
      </w:r>
      <w:r w:rsidRPr="00C6052E">
        <w:t>the</w:t>
      </w:r>
      <w:r w:rsidR="00177848" w:rsidRPr="00C6052E">
        <w:t xml:space="preserve"> </w:t>
      </w:r>
      <w:r w:rsidRPr="00C6052E">
        <w:t>contractual</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of</w:t>
      </w:r>
      <w:r w:rsidR="00177848" w:rsidRPr="00C6052E">
        <w:t xml:space="preserve"> </w:t>
      </w:r>
      <w:r w:rsidRPr="00C6052E">
        <w:t>DJSIR,</w:t>
      </w:r>
      <w:r w:rsidR="00177848" w:rsidRPr="00C6052E">
        <w:t xml:space="preserve"> </w:t>
      </w:r>
      <w:r w:rsidRPr="00C6052E">
        <w:t>which</w:t>
      </w:r>
      <w:r w:rsidR="00177848" w:rsidRPr="00C6052E">
        <w:t xml:space="preserve"> </w:t>
      </w:r>
      <w:r w:rsidRPr="00C6052E">
        <w:t>comprise</w:t>
      </w:r>
      <w:r w:rsidR="00177848" w:rsidRPr="00C6052E">
        <w:t xml:space="preserve"> </w:t>
      </w:r>
      <w:r w:rsidRPr="00C6052E">
        <w:t>cash</w:t>
      </w:r>
      <w:r w:rsidR="00177848" w:rsidRPr="00C6052E">
        <w:t xml:space="preserve"> </w:t>
      </w:r>
      <w:r w:rsidRPr="00C6052E">
        <w:t>and</w:t>
      </w:r>
      <w:r w:rsidR="00177848" w:rsidRPr="00C6052E">
        <w:t xml:space="preserve"> </w:t>
      </w:r>
      <w:r w:rsidRPr="00C6052E">
        <w:t>deposits,</w:t>
      </w:r>
      <w:r w:rsidR="00177848" w:rsidRPr="00C6052E">
        <w:t xml:space="preserve"> </w:t>
      </w:r>
      <w:r w:rsidRPr="00C6052E">
        <w:t>non-statutory</w:t>
      </w:r>
      <w:r w:rsidR="00177848" w:rsidRPr="00C6052E">
        <w:t xml:space="preserve"> </w:t>
      </w:r>
      <w:r w:rsidRPr="00C6052E">
        <w:t>receivables</w:t>
      </w:r>
      <w:r w:rsidR="00177848" w:rsidRPr="00C6052E">
        <w:t xml:space="preserve"> </w:t>
      </w:r>
      <w:r w:rsidRPr="00C6052E">
        <w:t>and</w:t>
      </w:r>
      <w:r w:rsidR="00177848" w:rsidRPr="00C6052E">
        <w:t xml:space="preserve"> </w:t>
      </w:r>
      <w:r w:rsidRPr="00C6052E">
        <w:t>available-for-sale</w:t>
      </w:r>
      <w:r w:rsidR="00177848" w:rsidRPr="00C6052E">
        <w:t xml:space="preserve"> </w:t>
      </w:r>
      <w:r w:rsidRPr="00C6052E">
        <w:t>contractual</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DJSIR’s</w:t>
      </w:r>
      <w:r w:rsidR="00177848" w:rsidRPr="00C6052E">
        <w:t xml:space="preserve"> </w:t>
      </w:r>
      <w:r w:rsidRPr="00C6052E">
        <w:t>exposure</w:t>
      </w:r>
      <w:r w:rsidR="00177848" w:rsidRPr="00C6052E">
        <w:t xml:space="preserve"> </w:t>
      </w:r>
      <w:r w:rsidRPr="00C6052E">
        <w:t>to</w:t>
      </w:r>
      <w:r w:rsidR="00177848" w:rsidRPr="00C6052E">
        <w:t xml:space="preserve"> </w:t>
      </w:r>
      <w:r w:rsidRPr="00C6052E">
        <w:t>credit</w:t>
      </w:r>
      <w:r w:rsidR="00177848" w:rsidRPr="00C6052E">
        <w:t xml:space="preserve"> </w:t>
      </w:r>
      <w:r w:rsidRPr="00C6052E">
        <w:t>risk</w:t>
      </w:r>
      <w:r w:rsidR="00177848" w:rsidRPr="00C6052E">
        <w:t xml:space="preserve"> </w:t>
      </w:r>
      <w:r w:rsidRPr="00C6052E">
        <w:t>arises</w:t>
      </w:r>
      <w:r w:rsidR="00177848" w:rsidRPr="00C6052E">
        <w:t xml:space="preserve"> </w:t>
      </w:r>
      <w:r w:rsidRPr="00C6052E">
        <w:t>from</w:t>
      </w:r>
      <w:r w:rsidR="00177848" w:rsidRPr="00C6052E">
        <w:t xml:space="preserve"> </w:t>
      </w:r>
      <w:r w:rsidRPr="00C6052E">
        <w:t>the</w:t>
      </w:r>
      <w:r w:rsidR="00177848" w:rsidRPr="00C6052E">
        <w:t xml:space="preserve"> </w:t>
      </w:r>
      <w:r w:rsidRPr="00C6052E">
        <w:t>potential</w:t>
      </w:r>
      <w:r w:rsidR="00177848" w:rsidRPr="00C6052E">
        <w:t xml:space="preserve"> </w:t>
      </w:r>
      <w:r w:rsidRPr="00C6052E">
        <w:t>default</w:t>
      </w:r>
      <w:r w:rsidR="00177848" w:rsidRPr="00C6052E">
        <w:t xml:space="preserve"> </w:t>
      </w:r>
      <w:r w:rsidRPr="00C6052E">
        <w:t>of</w:t>
      </w:r>
      <w:r w:rsidR="00177848" w:rsidRPr="00C6052E">
        <w:t xml:space="preserve"> </w:t>
      </w:r>
      <w:r w:rsidRPr="00C6052E">
        <w:t>the</w:t>
      </w:r>
      <w:r w:rsidR="00177848" w:rsidRPr="00C6052E">
        <w:t xml:space="preserve"> </w:t>
      </w:r>
      <w:r w:rsidRPr="00C6052E">
        <w:t>counter</w:t>
      </w:r>
      <w:r w:rsidR="00177848" w:rsidRPr="00C6052E">
        <w:t xml:space="preserve"> </w:t>
      </w:r>
      <w:r w:rsidRPr="00C6052E">
        <w:t>party</w:t>
      </w:r>
      <w:r w:rsidR="00177848" w:rsidRPr="00C6052E">
        <w:t xml:space="preserve"> </w:t>
      </w:r>
      <w:r w:rsidRPr="00C6052E">
        <w:t>on</w:t>
      </w:r>
      <w:r w:rsidR="00177848" w:rsidRPr="00C6052E">
        <w:t xml:space="preserve"> </w:t>
      </w:r>
      <w:r w:rsidRPr="00C6052E">
        <w:t>their</w:t>
      </w:r>
      <w:r w:rsidR="00177848" w:rsidRPr="00C6052E">
        <w:t xml:space="preserve"> </w:t>
      </w:r>
      <w:r w:rsidRPr="00C6052E">
        <w:t>contractual</w:t>
      </w:r>
      <w:r w:rsidR="00177848" w:rsidRPr="00C6052E">
        <w:t xml:space="preserve"> </w:t>
      </w:r>
      <w:r w:rsidRPr="00C6052E">
        <w:t>obligations</w:t>
      </w:r>
      <w:r w:rsidR="00177848" w:rsidRPr="00C6052E">
        <w:t xml:space="preserve"> </w:t>
      </w:r>
      <w:r w:rsidRPr="00C6052E">
        <w:t>resulting</w:t>
      </w:r>
      <w:r w:rsidR="00177848" w:rsidRPr="00C6052E">
        <w:t xml:space="preserve"> </w:t>
      </w:r>
      <w:r w:rsidRPr="00C6052E">
        <w:t>in</w:t>
      </w:r>
      <w:r w:rsidR="00177848" w:rsidRPr="00C6052E">
        <w:t xml:space="preserve"> </w:t>
      </w:r>
      <w:r w:rsidRPr="00C6052E">
        <w:t>financial</w:t>
      </w:r>
      <w:r w:rsidR="00177848" w:rsidRPr="00C6052E">
        <w:t xml:space="preserve"> </w:t>
      </w:r>
      <w:r w:rsidRPr="00C6052E">
        <w:t>loss</w:t>
      </w:r>
      <w:r w:rsidR="00177848" w:rsidRPr="00C6052E">
        <w:t xml:space="preserve"> </w:t>
      </w:r>
      <w:r w:rsidRPr="00C6052E">
        <w:t>to</w:t>
      </w:r>
      <w:r w:rsidR="00177848" w:rsidRPr="00C6052E">
        <w:t xml:space="preserve"> </w:t>
      </w:r>
      <w:r w:rsidRPr="00C6052E">
        <w:t>DJSIR.</w:t>
      </w:r>
      <w:r w:rsidR="00177848" w:rsidRPr="00C6052E">
        <w:t xml:space="preserve"> </w:t>
      </w:r>
      <w:r w:rsidRPr="00C6052E">
        <w:t>Credit</w:t>
      </w:r>
      <w:r w:rsidR="00177848" w:rsidRPr="00C6052E">
        <w:t xml:space="preserve"> </w:t>
      </w:r>
      <w:r w:rsidRPr="00C6052E">
        <w:t>risk</w:t>
      </w:r>
      <w:r w:rsidR="00177848" w:rsidRPr="00C6052E">
        <w:t xml:space="preserve"> </w:t>
      </w:r>
      <w:r w:rsidRPr="00C6052E">
        <w:t>is</w:t>
      </w:r>
      <w:r w:rsidR="00177848" w:rsidRPr="00C6052E">
        <w:t xml:space="preserve"> </w:t>
      </w:r>
      <w:r w:rsidRPr="00C6052E">
        <w:t>measured</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r w:rsidR="00177848" w:rsidRPr="00C6052E">
        <w:t xml:space="preserve"> </w:t>
      </w:r>
      <w:r w:rsidRPr="00C6052E">
        <w:t>and</w:t>
      </w:r>
      <w:r w:rsidR="00177848" w:rsidRPr="00C6052E">
        <w:t xml:space="preserve"> </w:t>
      </w:r>
      <w:r w:rsidRPr="00C6052E">
        <w:t>is</w:t>
      </w:r>
      <w:r w:rsidR="00177848" w:rsidRPr="00C6052E">
        <w:t xml:space="preserve"> </w:t>
      </w:r>
      <w:r w:rsidRPr="00C6052E">
        <w:t>monitored</w:t>
      </w:r>
      <w:r w:rsidR="00177848" w:rsidRPr="00C6052E">
        <w:t xml:space="preserve"> </w:t>
      </w:r>
      <w:r w:rsidRPr="00C6052E">
        <w:t>on</w:t>
      </w:r>
      <w:r w:rsidR="00177848" w:rsidRPr="00C6052E">
        <w:t xml:space="preserve"> </w:t>
      </w:r>
      <w:r w:rsidRPr="00C6052E">
        <w:t>a</w:t>
      </w:r>
      <w:r w:rsidR="00177848" w:rsidRPr="00C6052E">
        <w:t xml:space="preserve"> </w:t>
      </w:r>
      <w:r w:rsidRPr="00C6052E">
        <w:t>regular</w:t>
      </w:r>
      <w:r w:rsidR="00177848" w:rsidRPr="00C6052E">
        <w:t xml:space="preserve"> </w:t>
      </w:r>
      <w:r w:rsidRPr="00C6052E">
        <w:t>basis.</w:t>
      </w:r>
    </w:p>
    <w:p w14:paraId="24E2B9FD" w14:textId="5A0FAEAF" w:rsidR="00EE5BB8" w:rsidRPr="00C6052E" w:rsidRDefault="00EE5BB8" w:rsidP="00EE5BB8">
      <w:r w:rsidRPr="00C6052E">
        <w:t>Credit</w:t>
      </w:r>
      <w:r w:rsidR="00177848" w:rsidRPr="00C6052E">
        <w:t xml:space="preserve"> </w:t>
      </w:r>
      <w:r w:rsidRPr="00C6052E">
        <w:t>risk</w:t>
      </w:r>
      <w:r w:rsidR="00177848" w:rsidRPr="00C6052E">
        <w:t xml:space="preserve"> </w:t>
      </w:r>
      <w:r w:rsidRPr="00C6052E">
        <w:t>associated</w:t>
      </w:r>
      <w:r w:rsidR="00177848" w:rsidRPr="00C6052E">
        <w:t xml:space="preserve"> </w:t>
      </w:r>
      <w:r w:rsidRPr="00C6052E">
        <w:t>with</w:t>
      </w:r>
      <w:r w:rsidR="00177848" w:rsidRPr="00C6052E">
        <w:t xml:space="preserve"> </w:t>
      </w:r>
      <w:r w:rsidRPr="00C6052E">
        <w:t>DJSIR’s</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is</w:t>
      </w:r>
      <w:r w:rsidR="00177848" w:rsidRPr="00C6052E">
        <w:t xml:space="preserve"> </w:t>
      </w:r>
      <w:r w:rsidRPr="00C6052E">
        <w:t>minimal</w:t>
      </w:r>
      <w:r w:rsidR="00177848" w:rsidRPr="00C6052E">
        <w:t xml:space="preserve"> </w:t>
      </w:r>
      <w:r w:rsidRPr="00C6052E">
        <w:t>because</w:t>
      </w:r>
      <w:r w:rsidR="00177848" w:rsidRPr="00C6052E">
        <w:t xml:space="preserve"> </w:t>
      </w:r>
      <w:r w:rsidRPr="00C6052E">
        <w:t>its</w:t>
      </w:r>
      <w:r w:rsidR="00177848" w:rsidRPr="00C6052E">
        <w:t xml:space="preserve"> </w:t>
      </w:r>
      <w:r w:rsidRPr="00C6052E">
        <w:t>main</w:t>
      </w:r>
      <w:r w:rsidR="00177848" w:rsidRPr="00C6052E">
        <w:t xml:space="preserve"> </w:t>
      </w:r>
      <w:r w:rsidRPr="00C6052E">
        <w:t>debtor</w:t>
      </w:r>
      <w:r w:rsidR="00177848" w:rsidRPr="00C6052E">
        <w:t xml:space="preserve"> </w:t>
      </w:r>
      <w:r w:rsidRPr="00C6052E">
        <w:t>is</w:t>
      </w:r>
      <w:r w:rsidR="00177848" w:rsidRPr="00C6052E">
        <w:t xml:space="preserve"> </w:t>
      </w:r>
      <w:r w:rsidRPr="00C6052E">
        <w:t>the</w:t>
      </w:r>
      <w:r w:rsidR="00177848" w:rsidRPr="00C6052E">
        <w:t xml:space="preserve"> </w:t>
      </w:r>
      <w:r w:rsidRPr="00C6052E">
        <w:t>Victorian</w:t>
      </w:r>
      <w:r w:rsidR="00177848" w:rsidRPr="00C6052E">
        <w:t xml:space="preserve"> </w:t>
      </w:r>
      <w:r w:rsidRPr="00C6052E">
        <w:t>Government.</w:t>
      </w:r>
      <w:r w:rsidR="00177848" w:rsidRPr="00C6052E">
        <w:t xml:space="preserve"> </w:t>
      </w:r>
      <w:r w:rsidRPr="00C6052E">
        <w:t>For</w:t>
      </w:r>
      <w:r w:rsidR="00177848" w:rsidRPr="00C6052E">
        <w:t xml:space="preserve"> </w:t>
      </w:r>
      <w:r w:rsidRPr="00C6052E">
        <w:t>debtors</w:t>
      </w:r>
      <w:r w:rsidR="00177848" w:rsidRPr="00C6052E">
        <w:t xml:space="preserve"> </w:t>
      </w:r>
      <w:r w:rsidRPr="00C6052E">
        <w:t>other</w:t>
      </w:r>
      <w:r w:rsidR="00177848" w:rsidRPr="00C6052E">
        <w:t xml:space="preserve"> </w:t>
      </w:r>
      <w:r w:rsidRPr="00C6052E">
        <w:t>than</w:t>
      </w:r>
      <w:r w:rsidR="00177848" w:rsidRPr="00C6052E">
        <w:t xml:space="preserve"> </w:t>
      </w:r>
      <w:r w:rsidRPr="00C6052E">
        <w:t>government,</w:t>
      </w:r>
      <w:r w:rsidR="00177848" w:rsidRPr="00C6052E">
        <w:t xml:space="preserve"> </w:t>
      </w:r>
      <w:r w:rsidRPr="00C6052E">
        <w:t>it</w:t>
      </w:r>
      <w:r w:rsidR="00177848" w:rsidRPr="00C6052E">
        <w:t xml:space="preserve"> </w:t>
      </w:r>
      <w:r w:rsidRPr="00C6052E">
        <w:t>is</w:t>
      </w:r>
      <w:r w:rsidR="00177848" w:rsidRPr="00C6052E">
        <w:t xml:space="preserve"> </w:t>
      </w:r>
      <w:r w:rsidRPr="00C6052E">
        <w:t>DJSIR’s</w:t>
      </w:r>
      <w:r w:rsidR="00177848" w:rsidRPr="00C6052E">
        <w:t xml:space="preserve"> </w:t>
      </w:r>
      <w:r w:rsidRPr="00C6052E">
        <w:t>policy</w:t>
      </w:r>
      <w:r w:rsidR="00177848" w:rsidRPr="00C6052E">
        <w:t xml:space="preserve"> </w:t>
      </w:r>
      <w:r w:rsidRPr="00C6052E">
        <w:t>to</w:t>
      </w:r>
      <w:r w:rsidR="00177848" w:rsidRPr="00C6052E">
        <w:t xml:space="preserve"> </w:t>
      </w:r>
      <w:r w:rsidRPr="00C6052E">
        <w:t>only</w:t>
      </w:r>
      <w:r w:rsidR="00177848" w:rsidRPr="00C6052E">
        <w:t xml:space="preserve"> </w:t>
      </w:r>
      <w:r w:rsidRPr="00C6052E">
        <w:t>deal</w:t>
      </w:r>
      <w:r w:rsidR="00177848" w:rsidRPr="00C6052E">
        <w:t xml:space="preserve"> </w:t>
      </w:r>
      <w:r w:rsidRPr="00C6052E">
        <w:t>with</w:t>
      </w:r>
      <w:r w:rsidR="00177848" w:rsidRPr="00C6052E">
        <w:t xml:space="preserve"> </w:t>
      </w:r>
      <w:r w:rsidRPr="00C6052E">
        <w:t>entities</w:t>
      </w:r>
      <w:r w:rsidR="00177848" w:rsidRPr="00C6052E">
        <w:t xml:space="preserve"> </w:t>
      </w:r>
      <w:r w:rsidRPr="00C6052E">
        <w:t>with</w:t>
      </w:r>
      <w:r w:rsidR="00177848" w:rsidRPr="00C6052E">
        <w:t xml:space="preserve"> </w:t>
      </w:r>
      <w:r w:rsidRPr="00C6052E">
        <w:t>high</w:t>
      </w:r>
      <w:r w:rsidR="00177848" w:rsidRPr="00C6052E">
        <w:t xml:space="preserve"> </w:t>
      </w:r>
      <w:r w:rsidRPr="00C6052E">
        <w:t>credit</w:t>
      </w:r>
      <w:r w:rsidR="00177848" w:rsidRPr="00C6052E">
        <w:t xml:space="preserve"> </w:t>
      </w:r>
      <w:r w:rsidRPr="00C6052E">
        <w:t>ratings</w:t>
      </w:r>
      <w:r w:rsidR="00177848" w:rsidRPr="00C6052E">
        <w:t xml:space="preserve"> </w:t>
      </w:r>
      <w:r w:rsidRPr="00C6052E">
        <w:t>of</w:t>
      </w:r>
      <w:r w:rsidR="00177848" w:rsidRPr="00C6052E">
        <w:t xml:space="preserve"> </w:t>
      </w:r>
      <w:r w:rsidRPr="00C6052E">
        <w:t>a</w:t>
      </w:r>
      <w:r w:rsidR="00177848" w:rsidRPr="00C6052E">
        <w:t xml:space="preserve"> </w:t>
      </w:r>
      <w:r w:rsidRPr="00C6052E">
        <w:t>minimum</w:t>
      </w:r>
      <w:r w:rsidR="00177848" w:rsidRPr="00C6052E">
        <w:t xml:space="preserve"> </w:t>
      </w:r>
      <w:r w:rsidRPr="00C6052E">
        <w:t>triple-B</w:t>
      </w:r>
      <w:r w:rsidR="00177848" w:rsidRPr="00C6052E">
        <w:t xml:space="preserve"> </w:t>
      </w:r>
      <w:r w:rsidRPr="00C6052E">
        <w:t>rating</w:t>
      </w:r>
      <w:r w:rsidR="00177848" w:rsidRPr="00C6052E">
        <w:t xml:space="preserve"> </w:t>
      </w:r>
      <w:r w:rsidRPr="00C6052E">
        <w:t>and</w:t>
      </w:r>
      <w:r w:rsidR="00177848" w:rsidRPr="00C6052E">
        <w:t xml:space="preserve"> </w:t>
      </w:r>
      <w:r w:rsidRPr="00C6052E">
        <w:t>to</w:t>
      </w:r>
      <w:r w:rsidR="00177848" w:rsidRPr="00C6052E">
        <w:t xml:space="preserve"> </w:t>
      </w:r>
      <w:r w:rsidRPr="00C6052E">
        <w:t>obtain</w:t>
      </w:r>
      <w:r w:rsidR="00177848" w:rsidRPr="00C6052E">
        <w:t xml:space="preserve"> </w:t>
      </w:r>
      <w:r w:rsidRPr="00C6052E">
        <w:t>sufficient</w:t>
      </w:r>
      <w:r w:rsidR="00177848" w:rsidRPr="00C6052E">
        <w:t xml:space="preserve"> </w:t>
      </w:r>
      <w:r w:rsidRPr="00C6052E">
        <w:t>collateral</w:t>
      </w:r>
      <w:r w:rsidR="00177848" w:rsidRPr="00C6052E">
        <w:t xml:space="preserve"> </w:t>
      </w:r>
      <w:r w:rsidRPr="00C6052E">
        <w:t>or</w:t>
      </w:r>
      <w:r w:rsidR="00177848" w:rsidRPr="00C6052E">
        <w:t xml:space="preserve"> </w:t>
      </w:r>
      <w:r w:rsidRPr="00C6052E">
        <w:t>credit</w:t>
      </w:r>
      <w:r w:rsidR="00177848" w:rsidRPr="00C6052E">
        <w:t xml:space="preserve"> </w:t>
      </w:r>
      <w:r w:rsidRPr="00C6052E">
        <w:t>enhancements,</w:t>
      </w:r>
      <w:r w:rsidR="00177848" w:rsidRPr="00C6052E">
        <w:t xml:space="preserve"> </w:t>
      </w:r>
      <w:r w:rsidRPr="00C6052E">
        <w:t>where</w:t>
      </w:r>
      <w:r w:rsidR="00177848" w:rsidRPr="00C6052E">
        <w:t xml:space="preserve"> </w:t>
      </w:r>
      <w:r w:rsidRPr="00C6052E">
        <w:t>appropriate.</w:t>
      </w:r>
    </w:p>
    <w:p w14:paraId="2905EA24" w14:textId="01A6C36B" w:rsidR="00EE5BB8" w:rsidRPr="00C6052E" w:rsidRDefault="00EE5BB8" w:rsidP="00EE5BB8">
      <w:r w:rsidRPr="00C6052E">
        <w:t>In</w:t>
      </w:r>
      <w:r w:rsidR="00177848" w:rsidRPr="00C6052E">
        <w:t xml:space="preserve"> </w:t>
      </w:r>
      <w:r w:rsidRPr="00C6052E">
        <w:t>addition,</w:t>
      </w:r>
      <w:r w:rsidR="00177848" w:rsidRPr="00C6052E">
        <w:t xml:space="preserve"> </w:t>
      </w:r>
      <w:r w:rsidRPr="00C6052E">
        <w:t>DJSIR</w:t>
      </w:r>
      <w:r w:rsidR="00177848" w:rsidRPr="00C6052E">
        <w:t xml:space="preserve"> </w:t>
      </w:r>
      <w:r w:rsidRPr="00C6052E">
        <w:t>does</w:t>
      </w:r>
      <w:r w:rsidR="00177848" w:rsidRPr="00C6052E">
        <w:t xml:space="preserve"> </w:t>
      </w:r>
      <w:r w:rsidRPr="00C6052E">
        <w:t>not</w:t>
      </w:r>
      <w:r w:rsidR="00177848" w:rsidRPr="00C6052E">
        <w:t xml:space="preserve"> </w:t>
      </w:r>
      <w:r w:rsidRPr="00C6052E">
        <w:t>engage</w:t>
      </w:r>
      <w:r w:rsidR="00177848" w:rsidRPr="00C6052E">
        <w:t xml:space="preserve"> </w:t>
      </w:r>
      <w:r w:rsidRPr="00C6052E">
        <w:t>in</w:t>
      </w:r>
      <w:r w:rsidR="00177848" w:rsidRPr="00C6052E">
        <w:t xml:space="preserve"> </w:t>
      </w:r>
      <w:r w:rsidRPr="00C6052E">
        <w:t>hedging</w:t>
      </w:r>
      <w:r w:rsidR="00177848" w:rsidRPr="00C6052E">
        <w:t xml:space="preserve"> </w:t>
      </w:r>
      <w:r w:rsidRPr="00C6052E">
        <w:t>for</w:t>
      </w:r>
      <w:r w:rsidR="00177848" w:rsidRPr="00C6052E">
        <w:t xml:space="preserve"> </w:t>
      </w:r>
      <w:r w:rsidRPr="00C6052E">
        <w:t>its</w:t>
      </w:r>
      <w:r w:rsidR="00177848" w:rsidRPr="00C6052E">
        <w:t xml:space="preserve"> </w:t>
      </w:r>
      <w:r w:rsidRPr="00C6052E">
        <w:t>contractual</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and</w:t>
      </w:r>
      <w:r w:rsidR="00177848" w:rsidRPr="00C6052E">
        <w:t xml:space="preserve"> </w:t>
      </w:r>
      <w:r w:rsidRPr="00C6052E">
        <w:t>mainly</w:t>
      </w:r>
      <w:r w:rsidR="00177848" w:rsidRPr="00C6052E">
        <w:t xml:space="preserve"> </w:t>
      </w:r>
      <w:r w:rsidRPr="00C6052E">
        <w:t>obtains</w:t>
      </w:r>
      <w:r w:rsidR="00177848" w:rsidRPr="00C6052E">
        <w:t xml:space="preserve"> </w:t>
      </w:r>
      <w:r w:rsidRPr="00C6052E">
        <w:t>contractual</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that</w:t>
      </w:r>
      <w:r w:rsidR="00177848" w:rsidRPr="00C6052E">
        <w:t xml:space="preserve"> </w:t>
      </w:r>
      <w:r w:rsidRPr="00C6052E">
        <w:t>are</w:t>
      </w:r>
      <w:r w:rsidR="00177848" w:rsidRPr="00C6052E">
        <w:t xml:space="preserve"> </w:t>
      </w:r>
      <w:r w:rsidRPr="00C6052E">
        <w:t>on</w:t>
      </w:r>
      <w:r w:rsidR="00177848" w:rsidRPr="00C6052E">
        <w:t xml:space="preserve"> </w:t>
      </w:r>
      <w:r w:rsidRPr="00C6052E">
        <w:t>fixed</w:t>
      </w:r>
      <w:r w:rsidR="00177848" w:rsidRPr="00C6052E">
        <w:t xml:space="preserve"> </w:t>
      </w:r>
      <w:r w:rsidRPr="00C6052E">
        <w:t>interest,</w:t>
      </w:r>
      <w:r w:rsidR="00177848" w:rsidRPr="00C6052E">
        <w:t xml:space="preserve"> </w:t>
      </w:r>
      <w:r w:rsidRPr="00C6052E">
        <w:t>except</w:t>
      </w:r>
      <w:r w:rsidR="00177848" w:rsidRPr="00C6052E">
        <w:t xml:space="preserve"> </w:t>
      </w:r>
      <w:r w:rsidRPr="00C6052E">
        <w:t>for</w:t>
      </w:r>
      <w:r w:rsidR="00177848" w:rsidRPr="00C6052E">
        <w:t xml:space="preserve"> </w:t>
      </w:r>
      <w:r w:rsidRPr="00C6052E">
        <w:t>cash</w:t>
      </w:r>
      <w:r w:rsidR="00177848" w:rsidRPr="00C6052E">
        <w:t xml:space="preserve"> </w:t>
      </w:r>
      <w:r w:rsidRPr="00C6052E">
        <w:t>and</w:t>
      </w:r>
      <w:r w:rsidR="00177848" w:rsidRPr="00C6052E">
        <w:t xml:space="preserve"> </w:t>
      </w:r>
      <w:r w:rsidRPr="00C6052E">
        <w:t>deposits,</w:t>
      </w:r>
      <w:r w:rsidR="00177848" w:rsidRPr="00C6052E">
        <w:t xml:space="preserve"> </w:t>
      </w:r>
      <w:r w:rsidRPr="00C6052E">
        <w:t>which</w:t>
      </w:r>
      <w:r w:rsidR="00177848" w:rsidRPr="00C6052E">
        <w:t xml:space="preserve"> </w:t>
      </w:r>
      <w:r w:rsidRPr="00C6052E">
        <w:t>are</w:t>
      </w:r>
      <w:r w:rsidR="00177848" w:rsidRPr="00C6052E">
        <w:t xml:space="preserve"> </w:t>
      </w:r>
      <w:r w:rsidRPr="00C6052E">
        <w:t>mainly</w:t>
      </w:r>
      <w:r w:rsidR="00177848" w:rsidRPr="00C6052E">
        <w:t xml:space="preserve"> </w:t>
      </w:r>
      <w:r w:rsidRPr="00C6052E">
        <w:t>cash</w:t>
      </w:r>
      <w:r w:rsidR="00177848" w:rsidRPr="00C6052E">
        <w:t xml:space="preserve"> </w:t>
      </w:r>
      <w:r w:rsidRPr="00C6052E">
        <w:t>at</w:t>
      </w:r>
      <w:r w:rsidR="00177848" w:rsidRPr="00C6052E">
        <w:t xml:space="preserve"> </w:t>
      </w:r>
      <w:r w:rsidRPr="00C6052E">
        <w:t>bank.</w:t>
      </w:r>
      <w:r w:rsidR="00177848" w:rsidRPr="00C6052E">
        <w:t xml:space="preserve"> </w:t>
      </w:r>
      <w:r w:rsidRPr="00C6052E">
        <w:t>As</w:t>
      </w:r>
      <w:r w:rsidR="00177848" w:rsidRPr="00C6052E">
        <w:t xml:space="preserve"> </w:t>
      </w:r>
      <w:r w:rsidRPr="00C6052E">
        <w:t>with</w:t>
      </w:r>
      <w:r w:rsidR="00177848" w:rsidRPr="00C6052E">
        <w:t xml:space="preserve"> </w:t>
      </w:r>
      <w:r w:rsidRPr="00C6052E">
        <w:t>the</w:t>
      </w:r>
      <w:r w:rsidR="00177848" w:rsidRPr="00C6052E">
        <w:t xml:space="preserve"> </w:t>
      </w:r>
      <w:r w:rsidRPr="00C6052E">
        <w:t>policy</w:t>
      </w:r>
      <w:r w:rsidR="00177848" w:rsidRPr="00C6052E">
        <w:t xml:space="preserve"> </w:t>
      </w:r>
      <w:r w:rsidRPr="00C6052E">
        <w:t>for</w:t>
      </w:r>
      <w:r w:rsidR="00177848" w:rsidRPr="00C6052E">
        <w:t xml:space="preserve"> </w:t>
      </w:r>
      <w:r w:rsidRPr="00C6052E">
        <w:t>debtors,</w:t>
      </w:r>
      <w:r w:rsidR="00177848" w:rsidRPr="00C6052E">
        <w:t xml:space="preserve"> </w:t>
      </w:r>
      <w:r w:rsidRPr="00C6052E">
        <w:t>DJSIR’s</w:t>
      </w:r>
      <w:r w:rsidR="00177848" w:rsidRPr="00C6052E">
        <w:t xml:space="preserve"> </w:t>
      </w:r>
      <w:r w:rsidRPr="00C6052E">
        <w:t>policy</w:t>
      </w:r>
      <w:r w:rsidR="00177848" w:rsidRPr="00C6052E">
        <w:t xml:space="preserve"> </w:t>
      </w:r>
      <w:r w:rsidRPr="00C6052E">
        <w:t>is</w:t>
      </w:r>
      <w:r w:rsidR="00177848" w:rsidRPr="00C6052E">
        <w:t xml:space="preserve"> </w:t>
      </w:r>
      <w:r w:rsidRPr="00C6052E">
        <w:t>to</w:t>
      </w:r>
      <w:r w:rsidR="00177848" w:rsidRPr="00C6052E">
        <w:t xml:space="preserve"> </w:t>
      </w:r>
      <w:r w:rsidRPr="00C6052E">
        <w:t>only</w:t>
      </w:r>
      <w:r w:rsidR="00177848" w:rsidRPr="00C6052E">
        <w:t xml:space="preserve"> </w:t>
      </w:r>
      <w:r w:rsidRPr="00C6052E">
        <w:t>deal</w:t>
      </w:r>
      <w:r w:rsidR="00177848" w:rsidRPr="00C6052E">
        <w:t xml:space="preserve"> </w:t>
      </w:r>
      <w:r w:rsidRPr="00C6052E">
        <w:t>with</w:t>
      </w:r>
      <w:r w:rsidR="00177848" w:rsidRPr="00C6052E">
        <w:t xml:space="preserve"> </w:t>
      </w:r>
      <w:r w:rsidRPr="00C6052E">
        <w:t>banks</w:t>
      </w:r>
      <w:r w:rsidR="00177848" w:rsidRPr="00C6052E">
        <w:t xml:space="preserve"> </w:t>
      </w:r>
      <w:r w:rsidRPr="00C6052E">
        <w:t>with</w:t>
      </w:r>
      <w:r w:rsidR="00177848" w:rsidRPr="00C6052E">
        <w:t xml:space="preserve"> </w:t>
      </w:r>
      <w:r w:rsidRPr="00C6052E">
        <w:t>high</w:t>
      </w:r>
      <w:r w:rsidR="00177848" w:rsidRPr="00C6052E">
        <w:t xml:space="preserve"> </w:t>
      </w:r>
      <w:r w:rsidRPr="00C6052E">
        <w:t>credit</w:t>
      </w:r>
      <w:r w:rsidR="00177848" w:rsidRPr="00C6052E">
        <w:t xml:space="preserve"> </w:t>
      </w:r>
      <w:r w:rsidRPr="00C6052E">
        <w:t>ratings.</w:t>
      </w:r>
    </w:p>
    <w:p w14:paraId="62F428A3" w14:textId="2740327F" w:rsidR="00EE5BB8" w:rsidRPr="00C6052E" w:rsidRDefault="00EE5BB8" w:rsidP="00EE5BB8">
      <w:r w:rsidRPr="00C6052E">
        <w:t>DJSIR</w:t>
      </w:r>
      <w:r w:rsidR="00177848" w:rsidRPr="00C6052E">
        <w:t xml:space="preserve"> </w:t>
      </w:r>
      <w:r w:rsidRPr="00C6052E">
        <w:t>mainly</w:t>
      </w:r>
      <w:r w:rsidR="00177848" w:rsidRPr="00C6052E">
        <w:t xml:space="preserve"> </w:t>
      </w:r>
      <w:r w:rsidRPr="00C6052E">
        <w:t>holds</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that</w:t>
      </w:r>
      <w:r w:rsidR="00177848" w:rsidRPr="00C6052E">
        <w:t xml:space="preserve"> </w:t>
      </w:r>
      <w:r w:rsidRPr="00C6052E">
        <w:t>are</w:t>
      </w:r>
      <w:r w:rsidR="00177848" w:rsidRPr="00C6052E">
        <w:t xml:space="preserve"> </w:t>
      </w:r>
      <w:r w:rsidRPr="00C6052E">
        <w:t>on</w:t>
      </w:r>
      <w:r w:rsidR="00177848" w:rsidRPr="00C6052E">
        <w:t xml:space="preserve"> </w:t>
      </w:r>
      <w:r w:rsidRPr="00C6052E">
        <w:t>fixed</w:t>
      </w:r>
      <w:r w:rsidR="00177848" w:rsidRPr="00C6052E">
        <w:t xml:space="preserve"> </w:t>
      </w:r>
      <w:r w:rsidRPr="00C6052E">
        <w:t>interest</w:t>
      </w:r>
      <w:r w:rsidR="00177848" w:rsidRPr="00C6052E">
        <w:t xml:space="preserve"> </w:t>
      </w:r>
      <w:r w:rsidRPr="00C6052E">
        <w:t>except</w:t>
      </w:r>
      <w:r w:rsidR="00177848" w:rsidRPr="00C6052E">
        <w:t xml:space="preserve"> </w:t>
      </w:r>
      <w:r w:rsidRPr="00C6052E">
        <w:t>for</w:t>
      </w:r>
      <w:r w:rsidR="00177848" w:rsidRPr="00C6052E">
        <w:t xml:space="preserve"> </w:t>
      </w:r>
      <w:r w:rsidRPr="00C6052E">
        <w:t>cash</w:t>
      </w:r>
      <w:r w:rsidR="00177848" w:rsidRPr="00C6052E">
        <w:t xml:space="preserve"> </w:t>
      </w:r>
      <w:r w:rsidRPr="00C6052E">
        <w:t>assets</w:t>
      </w:r>
      <w:r w:rsidR="00177848" w:rsidRPr="00C6052E">
        <w:t xml:space="preserve"> </w:t>
      </w:r>
      <w:r w:rsidRPr="00C6052E">
        <w:t>which</w:t>
      </w:r>
      <w:r w:rsidR="00177848" w:rsidRPr="00C6052E">
        <w:t xml:space="preserve"> </w:t>
      </w:r>
      <w:r w:rsidRPr="00C6052E">
        <w:t>are</w:t>
      </w:r>
      <w:r w:rsidR="00177848" w:rsidRPr="00C6052E">
        <w:t xml:space="preserve"> </w:t>
      </w:r>
      <w:r w:rsidRPr="00C6052E">
        <w:t>mainly</w:t>
      </w:r>
      <w:r w:rsidR="00177848" w:rsidRPr="00C6052E">
        <w:t xml:space="preserve"> </w:t>
      </w:r>
      <w:r w:rsidRPr="00C6052E">
        <w:t>cash</w:t>
      </w:r>
      <w:r w:rsidR="00177848" w:rsidRPr="00C6052E">
        <w:t xml:space="preserve"> </w:t>
      </w:r>
      <w:r w:rsidRPr="00C6052E">
        <w:t>at</w:t>
      </w:r>
      <w:r w:rsidR="00177848" w:rsidRPr="00C6052E">
        <w:t xml:space="preserve"> </w:t>
      </w:r>
      <w:r w:rsidRPr="00C6052E">
        <w:t>bank.</w:t>
      </w:r>
      <w:r w:rsidR="00177848" w:rsidRPr="00C6052E">
        <w:t xml:space="preserve"> </w:t>
      </w:r>
      <w:r w:rsidRPr="00C6052E">
        <w:t>As</w:t>
      </w:r>
      <w:r w:rsidR="00177848" w:rsidRPr="00C6052E">
        <w:t xml:space="preserve"> </w:t>
      </w:r>
      <w:r w:rsidRPr="00C6052E">
        <w:t>with</w:t>
      </w:r>
      <w:r w:rsidR="00177848" w:rsidRPr="00C6052E">
        <w:t xml:space="preserve"> </w:t>
      </w:r>
      <w:r w:rsidRPr="00C6052E">
        <w:t>the</w:t>
      </w:r>
      <w:r w:rsidR="00177848" w:rsidRPr="00C6052E">
        <w:t xml:space="preserve"> </w:t>
      </w:r>
      <w:r w:rsidRPr="00C6052E">
        <w:t>policy</w:t>
      </w:r>
      <w:r w:rsidR="00177848" w:rsidRPr="00C6052E">
        <w:t xml:space="preserve"> </w:t>
      </w:r>
      <w:r w:rsidRPr="00C6052E">
        <w:t>for</w:t>
      </w:r>
      <w:r w:rsidR="00177848" w:rsidRPr="00C6052E">
        <w:t xml:space="preserve"> </w:t>
      </w:r>
      <w:r w:rsidRPr="00C6052E">
        <w:t>debtors,</w:t>
      </w:r>
      <w:r w:rsidR="00177848" w:rsidRPr="00C6052E">
        <w:t xml:space="preserve"> </w:t>
      </w:r>
      <w:r w:rsidRPr="00C6052E">
        <w:t>DJSIR’s</w:t>
      </w:r>
      <w:r w:rsidR="00177848" w:rsidRPr="00C6052E">
        <w:t xml:space="preserve"> </w:t>
      </w:r>
      <w:r w:rsidRPr="00C6052E">
        <w:t>policy</w:t>
      </w:r>
      <w:r w:rsidR="00177848" w:rsidRPr="00C6052E">
        <w:t xml:space="preserve"> </w:t>
      </w:r>
      <w:r w:rsidRPr="00C6052E">
        <w:t>is</w:t>
      </w:r>
      <w:r w:rsidR="00177848" w:rsidRPr="00C6052E">
        <w:t xml:space="preserve"> </w:t>
      </w:r>
      <w:r w:rsidRPr="00C6052E">
        <w:rPr>
          <w:spacing w:val="-2"/>
        </w:rPr>
        <w:t>to</w:t>
      </w:r>
      <w:r w:rsidR="00177848" w:rsidRPr="00C6052E">
        <w:rPr>
          <w:spacing w:val="-2"/>
        </w:rPr>
        <w:t xml:space="preserve"> </w:t>
      </w:r>
      <w:r w:rsidRPr="00C6052E">
        <w:rPr>
          <w:spacing w:val="-2"/>
        </w:rPr>
        <w:t>only</w:t>
      </w:r>
      <w:r w:rsidR="00177848" w:rsidRPr="00C6052E">
        <w:rPr>
          <w:spacing w:val="-2"/>
        </w:rPr>
        <w:t xml:space="preserve"> </w:t>
      </w:r>
      <w:r w:rsidRPr="00C6052E">
        <w:rPr>
          <w:spacing w:val="-2"/>
        </w:rPr>
        <w:t>deal</w:t>
      </w:r>
      <w:r w:rsidR="00177848" w:rsidRPr="00C6052E">
        <w:rPr>
          <w:spacing w:val="-2"/>
        </w:rPr>
        <w:t xml:space="preserve"> </w:t>
      </w:r>
      <w:r w:rsidRPr="00C6052E">
        <w:rPr>
          <w:spacing w:val="-2"/>
        </w:rPr>
        <w:t>with</w:t>
      </w:r>
      <w:r w:rsidR="00177848" w:rsidRPr="00C6052E">
        <w:rPr>
          <w:spacing w:val="-2"/>
        </w:rPr>
        <w:t xml:space="preserve"> </w:t>
      </w:r>
      <w:r w:rsidRPr="00C6052E">
        <w:rPr>
          <w:spacing w:val="-2"/>
        </w:rPr>
        <w:t>domestic</w:t>
      </w:r>
      <w:r w:rsidR="00177848" w:rsidRPr="00C6052E">
        <w:rPr>
          <w:spacing w:val="-2"/>
        </w:rPr>
        <w:t xml:space="preserve"> </w:t>
      </w:r>
      <w:r w:rsidRPr="00C6052E">
        <w:rPr>
          <w:spacing w:val="-2"/>
        </w:rPr>
        <w:t>banks</w:t>
      </w:r>
      <w:r w:rsidR="00177848" w:rsidRPr="00C6052E">
        <w:rPr>
          <w:spacing w:val="-2"/>
        </w:rPr>
        <w:t xml:space="preserve"> </w:t>
      </w:r>
      <w:r w:rsidRPr="00C6052E">
        <w:rPr>
          <w:spacing w:val="-2"/>
        </w:rPr>
        <w:t>with</w:t>
      </w:r>
      <w:r w:rsidR="00177848" w:rsidRPr="00C6052E">
        <w:rPr>
          <w:spacing w:val="-2"/>
        </w:rPr>
        <w:t xml:space="preserve"> </w:t>
      </w:r>
      <w:r w:rsidRPr="00C6052E">
        <w:rPr>
          <w:spacing w:val="-2"/>
        </w:rPr>
        <w:t>high</w:t>
      </w:r>
      <w:r w:rsidR="00177848" w:rsidRPr="00C6052E">
        <w:rPr>
          <w:spacing w:val="-2"/>
        </w:rPr>
        <w:t xml:space="preserve"> </w:t>
      </w:r>
      <w:r w:rsidRPr="00C6052E">
        <w:rPr>
          <w:spacing w:val="-2"/>
        </w:rPr>
        <w:t>credit</w:t>
      </w:r>
      <w:r w:rsidR="00177848" w:rsidRPr="00C6052E">
        <w:rPr>
          <w:spacing w:val="-2"/>
        </w:rPr>
        <w:t xml:space="preserve"> </w:t>
      </w:r>
      <w:r w:rsidRPr="00C6052E">
        <w:rPr>
          <w:spacing w:val="-2"/>
        </w:rPr>
        <w:t>ratings</w:t>
      </w:r>
      <w:r w:rsidRPr="00C6052E">
        <w:t>.</w:t>
      </w:r>
    </w:p>
    <w:p w14:paraId="4BC7F2F2" w14:textId="7C8D31C9" w:rsidR="00EE5BB8" w:rsidRPr="00C6052E" w:rsidRDefault="00EE5BB8" w:rsidP="00EE5BB8">
      <w:r w:rsidRPr="00C6052E">
        <w:t>Provision</w:t>
      </w:r>
      <w:r w:rsidR="00177848" w:rsidRPr="00C6052E">
        <w:t xml:space="preserve"> </w:t>
      </w:r>
      <w:r w:rsidRPr="00C6052E">
        <w:t>for</w:t>
      </w:r>
      <w:r w:rsidR="00177848" w:rsidRPr="00C6052E">
        <w:t xml:space="preserve"> </w:t>
      </w:r>
      <w:r w:rsidRPr="00C6052E">
        <w:t>impairment</w:t>
      </w:r>
      <w:r w:rsidR="00177848" w:rsidRPr="00C6052E">
        <w:t xml:space="preserve"> </w:t>
      </w:r>
      <w:r w:rsidRPr="00C6052E">
        <w:t>for</w:t>
      </w:r>
      <w:r w:rsidR="00177848" w:rsidRPr="00C6052E">
        <w:t xml:space="preserve"> </w:t>
      </w:r>
      <w:r w:rsidRPr="00C6052E">
        <w:t>contractual</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is</w:t>
      </w:r>
      <w:r w:rsidR="00177848" w:rsidRPr="00C6052E">
        <w:t xml:space="preserve"> </w:t>
      </w:r>
      <w:r w:rsidRPr="00C6052E">
        <w:t>recognised</w:t>
      </w:r>
      <w:r w:rsidR="00177848" w:rsidRPr="00C6052E">
        <w:t xml:space="preserve"> </w:t>
      </w:r>
      <w:r w:rsidRPr="00C6052E">
        <w:t>when</w:t>
      </w:r>
      <w:r w:rsidR="00177848" w:rsidRPr="00C6052E">
        <w:t xml:space="preserve"> </w:t>
      </w:r>
      <w:r w:rsidRPr="00C6052E">
        <w:t>there</w:t>
      </w:r>
      <w:r w:rsidR="00177848" w:rsidRPr="00C6052E">
        <w:t xml:space="preserve"> </w:t>
      </w:r>
      <w:r w:rsidRPr="00C6052E">
        <w:t>is</w:t>
      </w:r>
      <w:r w:rsidR="00177848" w:rsidRPr="00C6052E">
        <w:t xml:space="preserve"> </w:t>
      </w:r>
      <w:r w:rsidRPr="00C6052E">
        <w:t>objective</w:t>
      </w:r>
      <w:r w:rsidR="00177848" w:rsidRPr="00C6052E">
        <w:t xml:space="preserve"> </w:t>
      </w:r>
      <w:r w:rsidRPr="00C6052E">
        <w:t>evidence</w:t>
      </w:r>
      <w:r w:rsidR="00177848" w:rsidRPr="00C6052E">
        <w:t xml:space="preserve"> </w:t>
      </w:r>
      <w:r w:rsidRPr="00C6052E">
        <w:t>that</w:t>
      </w:r>
      <w:r w:rsidR="00177848" w:rsidRPr="00C6052E">
        <w:t xml:space="preserve"> </w:t>
      </w:r>
      <w:r w:rsidRPr="00C6052E">
        <w:t>DJSIR</w:t>
      </w:r>
      <w:r w:rsidR="00177848" w:rsidRPr="00C6052E">
        <w:t xml:space="preserve"> </w:t>
      </w:r>
      <w:r w:rsidRPr="00C6052E">
        <w:t>will</w:t>
      </w:r>
      <w:r w:rsidR="00177848" w:rsidRPr="00C6052E">
        <w:t xml:space="preserve"> </w:t>
      </w:r>
      <w:r w:rsidRPr="00C6052E">
        <w:t>not</w:t>
      </w:r>
      <w:r w:rsidR="00177848" w:rsidRPr="00C6052E">
        <w:t xml:space="preserve"> </w:t>
      </w:r>
      <w:r w:rsidRPr="00C6052E">
        <w:t>be</w:t>
      </w:r>
      <w:r w:rsidR="00177848" w:rsidRPr="00C6052E">
        <w:t xml:space="preserve"> </w:t>
      </w:r>
      <w:r w:rsidRPr="00C6052E">
        <w:t>able</w:t>
      </w:r>
      <w:r w:rsidR="00177848" w:rsidRPr="00C6052E">
        <w:t xml:space="preserve"> </w:t>
      </w:r>
      <w:r w:rsidRPr="00C6052E">
        <w:t>to</w:t>
      </w:r>
      <w:r w:rsidR="00177848" w:rsidRPr="00C6052E">
        <w:t xml:space="preserve"> </w:t>
      </w:r>
      <w:r w:rsidRPr="00C6052E">
        <w:t>collect</w:t>
      </w:r>
      <w:r w:rsidR="00177848" w:rsidRPr="00C6052E">
        <w:t xml:space="preserve"> </w:t>
      </w:r>
      <w:r w:rsidRPr="00C6052E">
        <w:t>a</w:t>
      </w:r>
      <w:r w:rsidR="00177848" w:rsidRPr="00C6052E">
        <w:t xml:space="preserve"> </w:t>
      </w:r>
      <w:r w:rsidRPr="00C6052E">
        <w:t>receivable.</w:t>
      </w:r>
      <w:r w:rsidR="00177848" w:rsidRPr="00C6052E">
        <w:t xml:space="preserve"> </w:t>
      </w:r>
      <w:r w:rsidRPr="00C6052E">
        <w:t>Objective</w:t>
      </w:r>
      <w:r w:rsidR="00177848" w:rsidRPr="00C6052E">
        <w:t xml:space="preserve"> </w:t>
      </w:r>
      <w:r w:rsidRPr="00C6052E">
        <w:t>evidence</w:t>
      </w:r>
      <w:r w:rsidR="00177848" w:rsidRPr="00C6052E">
        <w:t xml:space="preserve"> </w:t>
      </w:r>
      <w:r w:rsidRPr="00C6052E">
        <w:t>includes</w:t>
      </w:r>
      <w:r w:rsidR="00177848" w:rsidRPr="00C6052E">
        <w:t xml:space="preserve"> </w:t>
      </w:r>
      <w:r w:rsidRPr="00C6052E">
        <w:t>financial</w:t>
      </w:r>
      <w:r w:rsidR="00177848" w:rsidRPr="00C6052E">
        <w:t xml:space="preserve"> </w:t>
      </w:r>
      <w:r w:rsidRPr="00C6052E">
        <w:t>difficulties</w:t>
      </w:r>
      <w:r w:rsidR="00177848" w:rsidRPr="00C6052E">
        <w:t xml:space="preserve"> </w:t>
      </w:r>
      <w:r w:rsidRPr="00C6052E">
        <w:t>of</w:t>
      </w:r>
      <w:r w:rsidR="00177848" w:rsidRPr="00C6052E">
        <w:t xml:space="preserve"> </w:t>
      </w:r>
      <w:r w:rsidRPr="00C6052E">
        <w:t>the</w:t>
      </w:r>
      <w:r w:rsidR="00177848" w:rsidRPr="00C6052E">
        <w:t xml:space="preserve"> </w:t>
      </w:r>
      <w:r w:rsidRPr="00C6052E">
        <w:t>debtor,</w:t>
      </w:r>
      <w:r w:rsidR="00177848" w:rsidRPr="00C6052E">
        <w:t xml:space="preserve"> </w:t>
      </w:r>
      <w:r w:rsidRPr="00C6052E">
        <w:t>default</w:t>
      </w:r>
      <w:r w:rsidR="00177848" w:rsidRPr="00C6052E">
        <w:t xml:space="preserve"> </w:t>
      </w:r>
      <w:r w:rsidRPr="00C6052E">
        <w:t>payments,</w:t>
      </w:r>
      <w:r w:rsidR="00177848" w:rsidRPr="00C6052E">
        <w:t xml:space="preserve"> </w:t>
      </w:r>
      <w:r w:rsidRPr="00C6052E">
        <w:t>debts</w:t>
      </w:r>
      <w:r w:rsidR="00177848" w:rsidRPr="00C6052E">
        <w:t xml:space="preserve"> </w:t>
      </w:r>
      <w:r w:rsidRPr="00C6052E">
        <w:t>which</w:t>
      </w:r>
      <w:r w:rsidR="00177848" w:rsidRPr="00C6052E">
        <w:t xml:space="preserve"> </w:t>
      </w:r>
      <w:r w:rsidRPr="00C6052E">
        <w:t>are</w:t>
      </w:r>
      <w:r w:rsidR="00177848" w:rsidRPr="00C6052E">
        <w:t xml:space="preserve"> </w:t>
      </w:r>
      <w:r w:rsidRPr="00C6052E">
        <w:t>more</w:t>
      </w:r>
      <w:r w:rsidR="00177848" w:rsidRPr="00C6052E">
        <w:t xml:space="preserve"> </w:t>
      </w:r>
      <w:r w:rsidRPr="00C6052E">
        <w:t>than</w:t>
      </w:r>
      <w:r w:rsidR="00177848" w:rsidRPr="00C6052E">
        <w:t xml:space="preserve"> </w:t>
      </w:r>
      <w:r w:rsidRPr="00C6052E">
        <w:t>60</w:t>
      </w:r>
      <w:r w:rsidR="00177848" w:rsidRPr="00C6052E">
        <w:t xml:space="preserve"> </w:t>
      </w:r>
      <w:r w:rsidRPr="00C6052E">
        <w:t>days</w:t>
      </w:r>
      <w:r w:rsidR="00177848" w:rsidRPr="00C6052E">
        <w:t xml:space="preserve"> </w:t>
      </w:r>
      <w:r w:rsidRPr="00C6052E">
        <w:t>overdue,</w:t>
      </w:r>
      <w:r w:rsidR="00177848" w:rsidRPr="00C6052E">
        <w:t xml:space="preserve"> </w:t>
      </w:r>
      <w:r w:rsidRPr="00C6052E">
        <w:t>and</w:t>
      </w:r>
      <w:r w:rsidR="00177848" w:rsidRPr="00C6052E">
        <w:t xml:space="preserve"> </w:t>
      </w:r>
      <w:r w:rsidRPr="00C6052E">
        <w:t>changes</w:t>
      </w:r>
      <w:r w:rsidR="00177848" w:rsidRPr="00C6052E">
        <w:t xml:space="preserve"> </w:t>
      </w:r>
      <w:r w:rsidRPr="00C6052E">
        <w:t>in</w:t>
      </w:r>
      <w:r w:rsidR="00177848" w:rsidRPr="00C6052E">
        <w:t xml:space="preserve"> </w:t>
      </w:r>
      <w:r w:rsidRPr="00C6052E">
        <w:t>debtor</w:t>
      </w:r>
      <w:r w:rsidR="00177848" w:rsidRPr="00C6052E">
        <w:t xml:space="preserve"> </w:t>
      </w:r>
      <w:r w:rsidRPr="00C6052E">
        <w:t>credit</w:t>
      </w:r>
      <w:r w:rsidR="00177848" w:rsidRPr="00C6052E">
        <w:t xml:space="preserve"> </w:t>
      </w:r>
      <w:r w:rsidRPr="00C6052E">
        <w:t>ratings.</w:t>
      </w:r>
    </w:p>
    <w:p w14:paraId="50BFFFCF" w14:textId="13634D8A" w:rsidR="00EE5BB8" w:rsidRPr="00C6052E" w:rsidRDefault="00EE5BB8" w:rsidP="00EE5BB8">
      <w:r w:rsidRPr="00C6052E">
        <w:t>Contract</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are</w:t>
      </w:r>
      <w:r w:rsidR="00177848" w:rsidRPr="00C6052E">
        <w:t xml:space="preserve"> </w:t>
      </w:r>
      <w:r w:rsidRPr="00C6052E">
        <w:t>written</w:t>
      </w:r>
      <w:r w:rsidR="00177848" w:rsidRPr="00C6052E">
        <w:t xml:space="preserve"> </w:t>
      </w:r>
      <w:r w:rsidRPr="00C6052E">
        <w:t>off</w:t>
      </w:r>
      <w:r w:rsidR="00177848" w:rsidRPr="00C6052E">
        <w:t xml:space="preserve"> </w:t>
      </w:r>
      <w:r w:rsidRPr="00C6052E">
        <w:t>against</w:t>
      </w:r>
      <w:r w:rsidR="00177848" w:rsidRPr="00C6052E">
        <w:t xml:space="preserve"> </w:t>
      </w:r>
      <w:r w:rsidRPr="00C6052E">
        <w:t>the</w:t>
      </w:r>
      <w:r w:rsidR="00177848" w:rsidRPr="00C6052E">
        <w:t xml:space="preserve"> </w:t>
      </w:r>
      <w:r w:rsidRPr="00C6052E">
        <w:t>carrying</w:t>
      </w:r>
      <w:r w:rsidR="00177848" w:rsidRPr="00C6052E">
        <w:t xml:space="preserve"> </w:t>
      </w:r>
      <w:r w:rsidRPr="00C6052E">
        <w:t>amount</w:t>
      </w:r>
      <w:r w:rsidR="00177848" w:rsidRPr="00C6052E">
        <w:t xml:space="preserve"> </w:t>
      </w:r>
      <w:r w:rsidRPr="00C6052E">
        <w:t>when</w:t>
      </w:r>
      <w:r w:rsidR="00177848" w:rsidRPr="00C6052E">
        <w:t xml:space="preserve"> </w:t>
      </w:r>
      <w:r w:rsidRPr="00C6052E">
        <w:t>there</w:t>
      </w:r>
      <w:r w:rsidR="00177848" w:rsidRPr="00C6052E">
        <w:t xml:space="preserve"> </w:t>
      </w:r>
      <w:r w:rsidRPr="00C6052E">
        <w:t>is</w:t>
      </w:r>
      <w:r w:rsidR="00177848" w:rsidRPr="00C6052E">
        <w:t xml:space="preserve"> </w:t>
      </w:r>
      <w:r w:rsidRPr="00C6052E">
        <w:t>no</w:t>
      </w:r>
      <w:r w:rsidR="00177848" w:rsidRPr="00C6052E">
        <w:t xml:space="preserve"> </w:t>
      </w:r>
      <w:r w:rsidRPr="00C6052E">
        <w:t>reasonable</w:t>
      </w:r>
      <w:r w:rsidR="00177848" w:rsidRPr="00C6052E">
        <w:t xml:space="preserve"> </w:t>
      </w:r>
      <w:r w:rsidRPr="00C6052E">
        <w:t>expectation</w:t>
      </w:r>
      <w:r w:rsidR="00177848" w:rsidRPr="00C6052E">
        <w:t xml:space="preserve"> </w:t>
      </w:r>
      <w:r w:rsidRPr="00C6052E">
        <w:t>of</w:t>
      </w:r>
      <w:r w:rsidR="00177848" w:rsidRPr="00C6052E">
        <w:t xml:space="preserve"> </w:t>
      </w:r>
      <w:r w:rsidRPr="00C6052E">
        <w:t>recovery.</w:t>
      </w:r>
      <w:r w:rsidR="00177848" w:rsidRPr="00C6052E">
        <w:t xml:space="preserve"> </w:t>
      </w:r>
      <w:r w:rsidRPr="00C6052E">
        <w:t>Bad</w:t>
      </w:r>
      <w:r w:rsidR="00177848" w:rsidRPr="00C6052E">
        <w:t xml:space="preserve"> </w:t>
      </w:r>
      <w:r w:rsidRPr="00C6052E">
        <w:t>debt</w:t>
      </w:r>
      <w:r w:rsidR="00177848" w:rsidRPr="00C6052E">
        <w:t xml:space="preserve"> </w:t>
      </w:r>
      <w:r w:rsidRPr="00C6052E">
        <w:t>written</w:t>
      </w:r>
      <w:r w:rsidR="00177848" w:rsidRPr="00C6052E">
        <w:t xml:space="preserve"> </w:t>
      </w:r>
      <w:r w:rsidRPr="00C6052E">
        <w:t>off</w:t>
      </w:r>
      <w:r w:rsidR="00177848" w:rsidRPr="00C6052E">
        <w:t xml:space="preserve"> </w:t>
      </w:r>
      <w:r w:rsidRPr="00C6052E">
        <w:t>by</w:t>
      </w:r>
      <w:r w:rsidR="00177848" w:rsidRPr="00C6052E">
        <w:t xml:space="preserve"> </w:t>
      </w:r>
      <w:r w:rsidRPr="00C6052E">
        <w:t>mutual</w:t>
      </w:r>
      <w:r w:rsidR="00177848" w:rsidRPr="00C6052E">
        <w:t xml:space="preserve"> </w:t>
      </w:r>
      <w:r w:rsidRPr="00C6052E">
        <w:t>consent</w:t>
      </w:r>
      <w:r w:rsidR="00177848" w:rsidRPr="00C6052E">
        <w:t xml:space="preserve"> </w:t>
      </w:r>
      <w:r w:rsidRPr="00C6052E">
        <w:t>is</w:t>
      </w:r>
      <w:r w:rsidR="00177848" w:rsidRPr="00C6052E">
        <w:t xml:space="preserve"> </w:t>
      </w:r>
      <w:r w:rsidRPr="00C6052E">
        <w:t>classified</w:t>
      </w:r>
      <w:r w:rsidR="00177848" w:rsidRPr="00C6052E">
        <w:t xml:space="preserve"> </w:t>
      </w:r>
      <w:r w:rsidRPr="00C6052E">
        <w:t>as</w:t>
      </w:r>
      <w:r w:rsidR="00177848" w:rsidRPr="00C6052E">
        <w:t xml:space="preserve"> </w:t>
      </w:r>
      <w:r w:rsidRPr="00C6052E">
        <w:t>a</w:t>
      </w:r>
      <w:r w:rsidR="00177848" w:rsidRPr="00C6052E">
        <w:t xml:space="preserve"> </w:t>
      </w:r>
      <w:r w:rsidRPr="00C6052E">
        <w:t>transaction</w:t>
      </w:r>
      <w:r w:rsidR="00177848" w:rsidRPr="00C6052E">
        <w:t xml:space="preserve"> </w:t>
      </w:r>
      <w:r w:rsidRPr="00C6052E">
        <w:t>expense.</w:t>
      </w:r>
      <w:r w:rsidR="00177848" w:rsidRPr="00C6052E">
        <w:t xml:space="preserve"> </w:t>
      </w:r>
      <w:r w:rsidRPr="00C6052E">
        <w:t>Bad</w:t>
      </w:r>
      <w:r w:rsidR="00177848" w:rsidRPr="00C6052E">
        <w:t xml:space="preserve"> </w:t>
      </w:r>
      <w:r w:rsidRPr="00C6052E">
        <w:t>debt</w:t>
      </w:r>
      <w:r w:rsidR="00177848" w:rsidRPr="00C6052E">
        <w:t xml:space="preserve"> </w:t>
      </w:r>
      <w:r w:rsidRPr="00C6052E">
        <w:t>written</w:t>
      </w:r>
      <w:r w:rsidR="00177848" w:rsidRPr="00C6052E">
        <w:t xml:space="preserve"> </w:t>
      </w:r>
      <w:r w:rsidRPr="00C6052E">
        <w:t>off</w:t>
      </w:r>
      <w:r w:rsidR="00177848" w:rsidRPr="00C6052E">
        <w:t xml:space="preserve"> </w:t>
      </w:r>
      <w:r w:rsidRPr="00C6052E">
        <w:t>following</w:t>
      </w:r>
      <w:r w:rsidR="00177848" w:rsidRPr="00C6052E">
        <w:t xml:space="preserve"> </w:t>
      </w:r>
      <w:r w:rsidRPr="00C6052E">
        <w:t>a</w:t>
      </w:r>
      <w:r w:rsidR="00177848" w:rsidRPr="00C6052E">
        <w:t xml:space="preserve"> </w:t>
      </w:r>
      <w:r w:rsidRPr="00C6052E">
        <w:t>unilateral</w:t>
      </w:r>
      <w:r w:rsidR="00177848" w:rsidRPr="00C6052E">
        <w:t xml:space="preserve"> </w:t>
      </w:r>
      <w:r w:rsidRPr="00C6052E">
        <w:t>decision</w:t>
      </w:r>
      <w:r w:rsidR="00177848" w:rsidRPr="00C6052E">
        <w:t xml:space="preserve"> </w:t>
      </w:r>
      <w:r w:rsidRPr="00C6052E">
        <w:t>is</w:t>
      </w:r>
      <w:r w:rsidR="00177848" w:rsidRPr="00C6052E">
        <w:t xml:space="preserve"> </w:t>
      </w:r>
      <w:r w:rsidRPr="00C6052E">
        <w:t>recognised</w:t>
      </w:r>
      <w:r w:rsidR="00177848" w:rsidRPr="00C6052E">
        <w:t xml:space="preserve"> </w:t>
      </w:r>
      <w:r w:rsidRPr="00C6052E">
        <w:t>as</w:t>
      </w:r>
      <w:r w:rsidR="00177848" w:rsidRPr="00C6052E">
        <w:t xml:space="preserve"> </w:t>
      </w:r>
      <w:r w:rsidRPr="00C6052E">
        <w:t>other</w:t>
      </w:r>
      <w:r w:rsidR="00177848" w:rsidRPr="00C6052E">
        <w:t xml:space="preserve"> </w:t>
      </w:r>
      <w:r w:rsidRPr="00C6052E">
        <w:t>economic</w:t>
      </w:r>
      <w:r w:rsidR="00177848" w:rsidRPr="00C6052E">
        <w:t xml:space="preserve"> </w:t>
      </w:r>
      <w:r w:rsidRPr="00C6052E">
        <w:t>flows</w:t>
      </w:r>
      <w:r w:rsidR="00177848" w:rsidRPr="00C6052E">
        <w:t xml:space="preserve"> </w:t>
      </w:r>
      <w:r w:rsidRPr="00C6052E">
        <w:t>in</w:t>
      </w:r>
      <w:r w:rsidR="00177848" w:rsidRPr="00C6052E">
        <w:t xml:space="preserve"> </w:t>
      </w:r>
      <w:r w:rsidRPr="00C6052E">
        <w:t>the</w:t>
      </w:r>
      <w:r w:rsidR="00177848" w:rsidRPr="00C6052E">
        <w:t xml:space="preserve"> </w:t>
      </w:r>
      <w:r w:rsidRPr="00C6052E">
        <w:t>net</w:t>
      </w:r>
      <w:r w:rsidR="00177848" w:rsidRPr="00C6052E">
        <w:t xml:space="preserve"> </w:t>
      </w:r>
      <w:r w:rsidRPr="00C6052E">
        <w:t>result.</w:t>
      </w:r>
    </w:p>
    <w:p w14:paraId="70C5967E" w14:textId="17C6C29E" w:rsidR="00EE5BB8" w:rsidRPr="00C6052E" w:rsidRDefault="00EE5BB8" w:rsidP="0028635E">
      <w:pPr>
        <w:keepLines/>
      </w:pPr>
      <w:r w:rsidRPr="00C6052E">
        <w:lastRenderedPageBreak/>
        <w:t>Except</w:t>
      </w:r>
      <w:r w:rsidR="00177848" w:rsidRPr="00C6052E">
        <w:t xml:space="preserve"> </w:t>
      </w:r>
      <w:r w:rsidRPr="00C6052E">
        <w:t>as</w:t>
      </w:r>
      <w:r w:rsidR="00177848" w:rsidRPr="00C6052E">
        <w:t xml:space="preserve"> </w:t>
      </w:r>
      <w:r w:rsidRPr="00C6052E">
        <w:t>otherwise</w:t>
      </w:r>
      <w:r w:rsidR="00177848" w:rsidRPr="00C6052E">
        <w:t xml:space="preserve"> </w:t>
      </w:r>
      <w:r w:rsidRPr="00C6052E">
        <w:t>detailed</w:t>
      </w:r>
      <w:r w:rsidR="00177848" w:rsidRPr="00C6052E">
        <w:t xml:space="preserve"> </w:t>
      </w:r>
      <w:r w:rsidRPr="00C6052E">
        <w:t>in</w:t>
      </w:r>
      <w:r w:rsidR="00177848" w:rsidRPr="00C6052E">
        <w:t xml:space="preserve"> </w:t>
      </w:r>
      <w:r w:rsidRPr="00C6052E">
        <w:t>the</w:t>
      </w:r>
      <w:r w:rsidR="00177848" w:rsidRPr="00C6052E">
        <w:t xml:space="preserve"> </w:t>
      </w:r>
      <w:r w:rsidRPr="00C6052E">
        <w:t>following</w:t>
      </w:r>
      <w:r w:rsidR="00177848" w:rsidRPr="00C6052E">
        <w:t xml:space="preserve"> </w:t>
      </w:r>
      <w:r w:rsidRPr="00C6052E">
        <w:t>table,</w:t>
      </w:r>
      <w:r w:rsidR="00177848" w:rsidRPr="00C6052E">
        <w:t xml:space="preserve"> </w:t>
      </w:r>
      <w:r w:rsidRPr="00C6052E">
        <w:t>the</w:t>
      </w:r>
      <w:r w:rsidR="00177848" w:rsidRPr="00C6052E">
        <w:t xml:space="preserve"> </w:t>
      </w:r>
      <w:r w:rsidRPr="00C6052E">
        <w:t>carrying</w:t>
      </w:r>
      <w:r w:rsidR="00177848" w:rsidRPr="00C6052E">
        <w:t xml:space="preserve"> </w:t>
      </w:r>
      <w:r w:rsidRPr="00C6052E">
        <w:t>amount</w:t>
      </w:r>
      <w:r w:rsidR="00177848" w:rsidRPr="00C6052E">
        <w:t xml:space="preserve"> </w:t>
      </w:r>
      <w:r w:rsidRPr="00C6052E">
        <w:t>of</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recorded</w:t>
      </w:r>
      <w:r w:rsidR="00177848" w:rsidRPr="00C6052E">
        <w:t xml:space="preserve"> </w:t>
      </w:r>
      <w:r w:rsidRPr="00C6052E">
        <w:t>in</w:t>
      </w:r>
      <w:r w:rsidR="00177848" w:rsidRPr="00C6052E">
        <w:t xml:space="preserve"> </w:t>
      </w:r>
      <w:r w:rsidRPr="00C6052E">
        <w:t>the</w:t>
      </w:r>
      <w:r w:rsidR="00177848" w:rsidRPr="00C6052E">
        <w:t xml:space="preserve"> </w:t>
      </w:r>
      <w:r w:rsidRPr="00C6052E">
        <w:t>financial</w:t>
      </w:r>
      <w:r w:rsidR="00177848" w:rsidRPr="00C6052E">
        <w:t xml:space="preserve"> </w:t>
      </w:r>
      <w:r w:rsidRPr="00C6052E">
        <w:t>statements,</w:t>
      </w:r>
      <w:r w:rsidR="00177848" w:rsidRPr="00C6052E">
        <w:t xml:space="preserve"> </w:t>
      </w:r>
      <w:r w:rsidRPr="00C6052E">
        <w:t>net</w:t>
      </w:r>
      <w:r w:rsidR="00177848" w:rsidRPr="00C6052E">
        <w:t xml:space="preserve"> </w:t>
      </w:r>
      <w:r w:rsidRPr="00C6052E">
        <w:t>of</w:t>
      </w:r>
      <w:r w:rsidR="00177848" w:rsidRPr="00C6052E">
        <w:t xml:space="preserve"> </w:t>
      </w:r>
      <w:r w:rsidRPr="00C6052E">
        <w:t>any</w:t>
      </w:r>
      <w:r w:rsidR="00177848" w:rsidRPr="00C6052E">
        <w:t xml:space="preserve"> </w:t>
      </w:r>
      <w:r w:rsidRPr="00C6052E">
        <w:t>allowances</w:t>
      </w:r>
      <w:r w:rsidR="00177848" w:rsidRPr="00C6052E">
        <w:t xml:space="preserve"> </w:t>
      </w:r>
      <w:r w:rsidRPr="00C6052E">
        <w:t>for</w:t>
      </w:r>
      <w:r w:rsidR="00177848" w:rsidRPr="00C6052E">
        <w:t xml:space="preserve"> </w:t>
      </w:r>
      <w:r w:rsidRPr="00C6052E">
        <w:t>losses,</w:t>
      </w:r>
      <w:r w:rsidR="00177848" w:rsidRPr="00C6052E">
        <w:t xml:space="preserve"> </w:t>
      </w:r>
      <w:r w:rsidRPr="00C6052E">
        <w:t>represents</w:t>
      </w:r>
      <w:r w:rsidR="00177848" w:rsidRPr="00C6052E">
        <w:t xml:space="preserve"> </w:t>
      </w:r>
      <w:r w:rsidRPr="00C6052E">
        <w:t>DJSIR’s</w:t>
      </w:r>
      <w:r w:rsidR="00177848" w:rsidRPr="00C6052E">
        <w:t xml:space="preserve"> </w:t>
      </w:r>
      <w:r w:rsidRPr="00C6052E">
        <w:t>maximum</w:t>
      </w:r>
      <w:r w:rsidR="00177848" w:rsidRPr="00C6052E">
        <w:t xml:space="preserve"> </w:t>
      </w:r>
      <w:r w:rsidRPr="00C6052E">
        <w:t>exposure</w:t>
      </w:r>
      <w:r w:rsidR="00177848" w:rsidRPr="00C6052E">
        <w:t xml:space="preserve"> </w:t>
      </w:r>
      <w:r w:rsidRPr="00C6052E">
        <w:t>to</w:t>
      </w:r>
      <w:r w:rsidR="00177848" w:rsidRPr="00C6052E">
        <w:t xml:space="preserve"> </w:t>
      </w:r>
      <w:r w:rsidRPr="00C6052E">
        <w:t>credit</w:t>
      </w:r>
      <w:r w:rsidR="00177848" w:rsidRPr="00C6052E">
        <w:t xml:space="preserve"> </w:t>
      </w:r>
      <w:r w:rsidRPr="00C6052E">
        <w:t>risk</w:t>
      </w:r>
      <w:r w:rsidR="00177848" w:rsidRPr="00C6052E">
        <w:t xml:space="preserve"> </w:t>
      </w:r>
      <w:r w:rsidRPr="00C6052E">
        <w:t>without</w:t>
      </w:r>
      <w:r w:rsidR="00177848" w:rsidRPr="00C6052E">
        <w:t xml:space="preserve"> </w:t>
      </w:r>
      <w:r w:rsidRPr="00C6052E">
        <w:t>taking</w:t>
      </w:r>
      <w:r w:rsidR="00177848" w:rsidRPr="00C6052E">
        <w:t xml:space="preserve"> </w:t>
      </w:r>
      <w:r w:rsidRPr="00C6052E">
        <w:t>account</w:t>
      </w:r>
      <w:r w:rsidR="00177848" w:rsidRPr="00C6052E">
        <w:t xml:space="preserve"> </w:t>
      </w:r>
      <w:r w:rsidRPr="00C6052E">
        <w:t>of</w:t>
      </w:r>
      <w:r w:rsidR="00177848" w:rsidRPr="00C6052E">
        <w:t xml:space="preserve"> </w:t>
      </w:r>
      <w:r w:rsidRPr="00C6052E">
        <w:t>the</w:t>
      </w:r>
      <w:r w:rsidR="00177848" w:rsidRPr="00C6052E">
        <w:t xml:space="preserve"> </w:t>
      </w:r>
      <w:r w:rsidRPr="00C6052E">
        <w:t>value</w:t>
      </w:r>
      <w:r w:rsidR="00177848" w:rsidRPr="00C6052E">
        <w:t xml:space="preserve"> </w:t>
      </w:r>
      <w:r w:rsidRPr="00C6052E">
        <w:t>of</w:t>
      </w:r>
      <w:r w:rsidR="00177848" w:rsidRPr="00C6052E">
        <w:t xml:space="preserve"> </w:t>
      </w:r>
      <w:r w:rsidRPr="00C6052E">
        <w:t>any</w:t>
      </w:r>
      <w:r w:rsidR="00177848" w:rsidRPr="00C6052E">
        <w:t xml:space="preserve"> </w:t>
      </w:r>
      <w:r w:rsidRPr="00C6052E">
        <w:t>collateral</w:t>
      </w:r>
      <w:r w:rsidR="00177848" w:rsidRPr="00C6052E">
        <w:t xml:space="preserve"> </w:t>
      </w:r>
      <w:r w:rsidRPr="00C6052E">
        <w:t>obtained.</w:t>
      </w:r>
      <w:r w:rsidR="00177848" w:rsidRPr="00C6052E">
        <w:t xml:space="preserve"> </w:t>
      </w:r>
      <w:r w:rsidRPr="00C6052E">
        <w:t>There</w:t>
      </w:r>
      <w:r w:rsidR="00177848" w:rsidRPr="00C6052E">
        <w:t xml:space="preserve"> </w:t>
      </w:r>
      <w:r w:rsidRPr="00C6052E">
        <w:t>has</w:t>
      </w:r>
      <w:r w:rsidR="00177848" w:rsidRPr="00C6052E">
        <w:t xml:space="preserve"> </w:t>
      </w:r>
      <w:r w:rsidRPr="00C6052E">
        <w:t>been</w:t>
      </w:r>
      <w:r w:rsidR="00177848" w:rsidRPr="00C6052E">
        <w:t xml:space="preserve"> </w:t>
      </w:r>
      <w:r w:rsidRPr="00C6052E">
        <w:t>no</w:t>
      </w:r>
      <w:r w:rsidR="00177848" w:rsidRPr="00C6052E">
        <w:t xml:space="preserve"> </w:t>
      </w:r>
      <w:r w:rsidRPr="00C6052E">
        <w:t>material</w:t>
      </w:r>
      <w:r w:rsidR="00177848" w:rsidRPr="00C6052E">
        <w:t xml:space="preserve"> </w:t>
      </w:r>
      <w:r w:rsidRPr="00C6052E">
        <w:t>change</w:t>
      </w:r>
      <w:r w:rsidR="00177848" w:rsidRPr="00C6052E">
        <w:t xml:space="preserve"> </w:t>
      </w:r>
      <w:r w:rsidRPr="00C6052E">
        <w:t>to</w:t>
      </w:r>
      <w:r w:rsidR="00177848" w:rsidRPr="00C6052E">
        <w:t xml:space="preserve"> </w:t>
      </w:r>
      <w:r w:rsidRPr="00C6052E">
        <w:t>DJSIR’s</w:t>
      </w:r>
      <w:r w:rsidR="00177848" w:rsidRPr="00C6052E">
        <w:t xml:space="preserve"> </w:t>
      </w:r>
      <w:r w:rsidRPr="00C6052E">
        <w:t>credit</w:t>
      </w:r>
      <w:r w:rsidR="00177848" w:rsidRPr="00C6052E">
        <w:t xml:space="preserve"> </w:t>
      </w:r>
      <w:r w:rsidRPr="00C6052E">
        <w:t>risk</w:t>
      </w:r>
      <w:r w:rsidR="00177848" w:rsidRPr="00C6052E">
        <w:t xml:space="preserve"> </w:t>
      </w:r>
      <w:r w:rsidRPr="00C6052E">
        <w:t>profile</w:t>
      </w:r>
      <w:r w:rsidR="00177848" w:rsidRPr="00C6052E">
        <w:t xml:space="preserve"> </w:t>
      </w:r>
      <w:r w:rsidRPr="00C6052E">
        <w:t>in</w:t>
      </w:r>
      <w:r w:rsidR="00177848" w:rsidRPr="00C6052E">
        <w:t xml:space="preserve"> </w:t>
      </w:r>
      <w:r w:rsidRPr="00C6052E">
        <w:t>FY2024-25.</w:t>
      </w:r>
    </w:p>
    <w:p w14:paraId="0275F4F5" w14:textId="20989D45" w:rsidR="00EE5BB8" w:rsidRPr="00C6052E" w:rsidRDefault="00C6052E" w:rsidP="0028635E">
      <w:pPr>
        <w:pStyle w:val="TableHeading"/>
      </w:pPr>
      <w:r w:rsidRPr="00C6052E">
        <w:t>Credit</w:t>
      </w:r>
      <w:r w:rsidR="00177848" w:rsidRPr="00C6052E">
        <w:t xml:space="preserve"> </w:t>
      </w:r>
      <w:r w:rsidRPr="00C6052E">
        <w:t>quality</w:t>
      </w:r>
      <w:r w:rsidR="00177848" w:rsidRPr="00C6052E">
        <w:t xml:space="preserve"> </w:t>
      </w:r>
      <w:r w:rsidRPr="00C6052E">
        <w:t>of</w:t>
      </w:r>
      <w:r w:rsidR="00177848" w:rsidRPr="00C6052E">
        <w:t xml:space="preserve"> </w:t>
      </w:r>
      <w:r w:rsidRPr="00C6052E">
        <w:t>contractual</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that</w:t>
      </w:r>
      <w:r w:rsidR="00177848" w:rsidRPr="00C6052E">
        <w:t xml:space="preserve"> </w:t>
      </w:r>
      <w:r w:rsidRPr="00C6052E">
        <w:t>are</w:t>
      </w:r>
      <w:r w:rsidR="00177848" w:rsidRPr="00C6052E">
        <w:t xml:space="preserve"> </w:t>
      </w:r>
      <w:r w:rsidRPr="00C6052E">
        <w:t>neither</w:t>
      </w:r>
      <w:r w:rsidR="00177848" w:rsidRPr="00C6052E">
        <w:t xml:space="preserve"> </w:t>
      </w:r>
      <w:r w:rsidRPr="00C6052E">
        <w:t>past</w:t>
      </w:r>
      <w:r w:rsidR="00177848" w:rsidRPr="00C6052E">
        <w:t xml:space="preserve"> </w:t>
      </w:r>
      <w:r w:rsidRPr="00C6052E">
        <w:t>due</w:t>
      </w:r>
      <w:r w:rsidR="00177848" w:rsidRPr="00C6052E">
        <w:t xml:space="preserve"> </w:t>
      </w:r>
      <w:r w:rsidRPr="00C6052E">
        <w:t>nor</w:t>
      </w:r>
      <w:r w:rsidR="00177848" w:rsidRPr="00C6052E">
        <w:t xml:space="preserve"> </w:t>
      </w:r>
      <w:r w:rsidRPr="00C6052E">
        <w:t>impaired</w:t>
      </w:r>
    </w:p>
    <w:tbl>
      <w:tblPr>
        <w:tblStyle w:val="TableGrid"/>
        <w:tblW w:w="9640" w:type="dxa"/>
        <w:tblLayout w:type="fixed"/>
        <w:tblLook w:val="04E0" w:firstRow="1" w:lastRow="1" w:firstColumn="1" w:lastColumn="0" w:noHBand="0" w:noVBand="1"/>
      </w:tblPr>
      <w:tblGrid>
        <w:gridCol w:w="3397"/>
        <w:gridCol w:w="1975"/>
        <w:gridCol w:w="1660"/>
        <w:gridCol w:w="1304"/>
        <w:gridCol w:w="1304"/>
      </w:tblGrid>
      <w:tr w:rsidR="00EE5BB8" w:rsidRPr="00C6052E" w14:paraId="278EC807" w14:textId="77777777" w:rsidTr="00887305">
        <w:tc>
          <w:tcPr>
            <w:tcW w:w="3397" w:type="dxa"/>
            <w:hideMark/>
          </w:tcPr>
          <w:p w14:paraId="7B2AE70C" w14:textId="77777777" w:rsidR="00EE5BB8" w:rsidRPr="00C6052E" w:rsidRDefault="00EE5BB8" w:rsidP="000F5B20">
            <w:pPr>
              <w:pStyle w:val="TableColumnHeading"/>
            </w:pPr>
            <w:bookmarkStart w:id="321" w:name="TableColumnHeadings_92"/>
            <w:bookmarkEnd w:id="321"/>
          </w:p>
        </w:tc>
        <w:tc>
          <w:tcPr>
            <w:tcW w:w="1975" w:type="dxa"/>
            <w:hideMark/>
          </w:tcPr>
          <w:p w14:paraId="37EEA4FB" w14:textId="2C593CBB" w:rsidR="00EE5BB8" w:rsidRPr="00C6052E" w:rsidRDefault="00EE5BB8" w:rsidP="00887305">
            <w:pPr>
              <w:pStyle w:val="TableColumnHeading"/>
              <w:jc w:val="right"/>
              <w:rPr>
                <w:lang w:val="en-AU"/>
              </w:rPr>
            </w:pPr>
            <w:r w:rsidRPr="00C6052E">
              <w:rPr>
                <w:lang w:val="en-AU"/>
              </w:rPr>
              <w:t>Financial</w:t>
            </w:r>
            <w:r w:rsidR="00B1545C" w:rsidRPr="00C6052E">
              <w:rPr>
                <w:lang w:val="en-AU"/>
              </w:rPr>
              <w:t xml:space="preserve"> </w:t>
            </w:r>
            <w:r w:rsidRPr="00C6052E">
              <w:rPr>
                <w:lang w:val="en-AU"/>
              </w:rPr>
              <w:t>Institution</w:t>
            </w:r>
            <w:r w:rsidR="00177848" w:rsidRPr="00C6052E">
              <w:rPr>
                <w:lang w:val="en-AU"/>
              </w:rPr>
              <w:t xml:space="preserve"> </w:t>
            </w:r>
            <w:r w:rsidRPr="00C6052E">
              <w:rPr>
                <w:lang w:val="en-AU"/>
              </w:rPr>
              <w:t>agencies</w:t>
            </w:r>
            <w:r w:rsidR="00177848" w:rsidRPr="00C6052E">
              <w:rPr>
                <w:lang w:val="en-AU"/>
              </w:rPr>
              <w:t xml:space="preserve"> </w:t>
            </w:r>
            <w:r w:rsidRPr="00C6052E">
              <w:rPr>
                <w:lang w:val="en-AU"/>
              </w:rPr>
              <w:br/>
              <w:t>(AAA</w:t>
            </w:r>
            <w:r w:rsidR="00177848" w:rsidRPr="00C6052E">
              <w:rPr>
                <w:lang w:val="en-AU"/>
              </w:rPr>
              <w:t xml:space="preserve"> </w:t>
            </w:r>
            <w:r w:rsidRPr="00C6052E">
              <w:rPr>
                <w:lang w:val="en-AU"/>
              </w:rPr>
              <w:t>credit</w:t>
            </w:r>
            <w:r w:rsidR="00177848" w:rsidRPr="00C6052E">
              <w:rPr>
                <w:lang w:val="en-AU"/>
              </w:rPr>
              <w:t xml:space="preserve"> </w:t>
            </w:r>
            <w:r w:rsidRPr="00C6052E">
              <w:rPr>
                <w:lang w:val="en-AU"/>
              </w:rPr>
              <w:t>rating)</w:t>
            </w:r>
            <w:r w:rsidR="0028635E">
              <w:rPr>
                <w:lang w:val="en-AU"/>
              </w:rPr>
              <w:br/>
            </w:r>
            <w:r w:rsidR="00887305" w:rsidRPr="00C6052E">
              <w:rPr>
                <w:lang w:val="en-AU"/>
              </w:rPr>
              <w:t xml:space="preserve">($ </w:t>
            </w:r>
            <w:r w:rsidR="00887305">
              <w:rPr>
                <w:lang w:val="en-AU"/>
              </w:rPr>
              <w:t>‘000</w:t>
            </w:r>
            <w:r w:rsidR="00887305" w:rsidRPr="00C6052E">
              <w:rPr>
                <w:lang w:val="en-AU"/>
              </w:rPr>
              <w:t>)</w:t>
            </w:r>
          </w:p>
        </w:tc>
        <w:tc>
          <w:tcPr>
            <w:tcW w:w="1660" w:type="dxa"/>
            <w:hideMark/>
          </w:tcPr>
          <w:p w14:paraId="593C0122" w14:textId="15F1CBFB" w:rsidR="00EE5BB8" w:rsidRPr="00C6052E" w:rsidRDefault="00EE5BB8" w:rsidP="00887305">
            <w:pPr>
              <w:pStyle w:val="TableColumnHeading"/>
              <w:jc w:val="right"/>
              <w:rPr>
                <w:lang w:val="en-AU"/>
              </w:rPr>
            </w:pPr>
            <w:r w:rsidRPr="00C6052E">
              <w:rPr>
                <w:lang w:val="en-AU"/>
              </w:rPr>
              <w:t>Government</w:t>
            </w:r>
            <w:r w:rsidR="00B1545C" w:rsidRPr="00C6052E">
              <w:rPr>
                <w:lang w:val="en-AU"/>
              </w:rPr>
              <w:t xml:space="preserve"> </w:t>
            </w:r>
            <w:r w:rsidRPr="00C6052E">
              <w:rPr>
                <w:lang w:val="en-AU"/>
              </w:rPr>
              <w:t>agencies</w:t>
            </w:r>
            <w:r w:rsidR="00177848" w:rsidRPr="00C6052E">
              <w:rPr>
                <w:lang w:val="en-AU"/>
              </w:rPr>
              <w:t xml:space="preserve"> </w:t>
            </w:r>
            <w:r w:rsidRPr="00C6052E">
              <w:rPr>
                <w:lang w:val="en-AU"/>
              </w:rPr>
              <w:br/>
              <w:t>(BBB</w:t>
            </w:r>
            <w:r w:rsidR="00177848" w:rsidRPr="00C6052E">
              <w:rPr>
                <w:lang w:val="en-AU"/>
              </w:rPr>
              <w:t xml:space="preserve"> </w:t>
            </w:r>
            <w:r w:rsidRPr="00C6052E">
              <w:rPr>
                <w:lang w:val="en-AU"/>
              </w:rPr>
              <w:t>credit</w:t>
            </w:r>
            <w:r w:rsidR="00177848" w:rsidRPr="00C6052E">
              <w:rPr>
                <w:lang w:val="en-AU"/>
              </w:rPr>
              <w:t xml:space="preserve"> </w:t>
            </w:r>
            <w:r w:rsidRPr="00C6052E">
              <w:rPr>
                <w:lang w:val="en-AU"/>
              </w:rPr>
              <w:t>rating)</w:t>
            </w:r>
            <w:r w:rsidR="0028635E">
              <w:rPr>
                <w:lang w:val="en-AU"/>
              </w:rPr>
              <w:br/>
            </w:r>
            <w:r w:rsidR="00887305" w:rsidRPr="00C6052E">
              <w:rPr>
                <w:lang w:val="en-AU"/>
              </w:rPr>
              <w:t xml:space="preserve">($ </w:t>
            </w:r>
            <w:r w:rsidR="00887305">
              <w:rPr>
                <w:lang w:val="en-AU"/>
              </w:rPr>
              <w:t>‘000</w:t>
            </w:r>
            <w:r w:rsidR="00887305" w:rsidRPr="00C6052E">
              <w:rPr>
                <w:lang w:val="en-AU"/>
              </w:rPr>
              <w:t>)</w:t>
            </w:r>
          </w:p>
        </w:tc>
        <w:tc>
          <w:tcPr>
            <w:tcW w:w="1304" w:type="dxa"/>
            <w:hideMark/>
          </w:tcPr>
          <w:p w14:paraId="6E0447EC" w14:textId="5442A017" w:rsidR="00EE5BB8" w:rsidRPr="00C6052E" w:rsidRDefault="00EE5BB8" w:rsidP="00887305">
            <w:pPr>
              <w:pStyle w:val="TableColumnHeading"/>
              <w:jc w:val="right"/>
            </w:pPr>
            <w:r w:rsidRPr="00C6052E">
              <w:t>Other</w:t>
            </w:r>
            <w:r w:rsidR="0028635E">
              <w:br/>
            </w:r>
            <w:r w:rsidR="00887305" w:rsidRPr="00C6052E">
              <w:rPr>
                <w:lang w:val="en-AU"/>
              </w:rPr>
              <w:t xml:space="preserve">($ </w:t>
            </w:r>
            <w:r w:rsidR="00887305">
              <w:rPr>
                <w:lang w:val="en-AU"/>
              </w:rPr>
              <w:t>‘000</w:t>
            </w:r>
            <w:r w:rsidR="00887305" w:rsidRPr="00C6052E">
              <w:rPr>
                <w:lang w:val="en-AU"/>
              </w:rPr>
              <w:t>)</w:t>
            </w:r>
          </w:p>
        </w:tc>
        <w:tc>
          <w:tcPr>
            <w:tcW w:w="1304" w:type="dxa"/>
            <w:hideMark/>
          </w:tcPr>
          <w:p w14:paraId="35480905" w14:textId="2CEA3912" w:rsidR="00EE5BB8" w:rsidRPr="00C6052E" w:rsidRDefault="00EE5BB8" w:rsidP="00887305">
            <w:pPr>
              <w:pStyle w:val="TableColumnHeading"/>
              <w:jc w:val="right"/>
            </w:pPr>
            <w:r w:rsidRPr="00C6052E">
              <w:t>Total</w:t>
            </w:r>
            <w:r w:rsidR="0028635E">
              <w:br/>
            </w:r>
            <w:r w:rsidR="00887305" w:rsidRPr="00C6052E">
              <w:rPr>
                <w:lang w:val="en-AU"/>
              </w:rPr>
              <w:t xml:space="preserve">($ </w:t>
            </w:r>
            <w:r w:rsidR="00887305">
              <w:rPr>
                <w:lang w:val="en-AU"/>
              </w:rPr>
              <w:t>‘000</w:t>
            </w:r>
            <w:r w:rsidR="00887305" w:rsidRPr="00C6052E">
              <w:rPr>
                <w:lang w:val="en-AU"/>
              </w:rPr>
              <w:t>)</w:t>
            </w:r>
          </w:p>
        </w:tc>
      </w:tr>
      <w:tr w:rsidR="00887305" w:rsidRPr="00C6052E" w14:paraId="2F93BB47" w14:textId="77777777" w:rsidTr="00887305">
        <w:tc>
          <w:tcPr>
            <w:tcW w:w="3397" w:type="dxa"/>
          </w:tcPr>
          <w:p w14:paraId="2C240290" w14:textId="174C04AA" w:rsidR="00887305" w:rsidRPr="00C6052E" w:rsidRDefault="00887305" w:rsidP="00887305">
            <w:pPr>
              <w:pStyle w:val="TableHeading"/>
            </w:pPr>
            <w:r w:rsidRPr="00C6052E">
              <w:t>2025</w:t>
            </w:r>
          </w:p>
        </w:tc>
        <w:tc>
          <w:tcPr>
            <w:tcW w:w="1975" w:type="dxa"/>
            <w:noWrap/>
          </w:tcPr>
          <w:p w14:paraId="7C83223B" w14:textId="77777777" w:rsidR="00887305" w:rsidRPr="00C6052E" w:rsidRDefault="00887305" w:rsidP="00887305">
            <w:pPr>
              <w:pStyle w:val="TableHeading"/>
              <w:jc w:val="right"/>
            </w:pPr>
          </w:p>
        </w:tc>
        <w:tc>
          <w:tcPr>
            <w:tcW w:w="1660" w:type="dxa"/>
            <w:noWrap/>
          </w:tcPr>
          <w:p w14:paraId="4DC51C0E" w14:textId="77777777" w:rsidR="00887305" w:rsidRPr="00C6052E" w:rsidRDefault="00887305" w:rsidP="00887305">
            <w:pPr>
              <w:pStyle w:val="TableHeading"/>
              <w:jc w:val="right"/>
            </w:pPr>
          </w:p>
        </w:tc>
        <w:tc>
          <w:tcPr>
            <w:tcW w:w="1304" w:type="dxa"/>
            <w:noWrap/>
          </w:tcPr>
          <w:p w14:paraId="1DD23136" w14:textId="77777777" w:rsidR="00887305" w:rsidRPr="00C6052E" w:rsidRDefault="00887305" w:rsidP="00887305">
            <w:pPr>
              <w:pStyle w:val="TableHeading"/>
              <w:jc w:val="right"/>
            </w:pPr>
          </w:p>
        </w:tc>
        <w:tc>
          <w:tcPr>
            <w:tcW w:w="1304" w:type="dxa"/>
            <w:noWrap/>
          </w:tcPr>
          <w:p w14:paraId="23B69C37" w14:textId="77777777" w:rsidR="00887305" w:rsidRPr="00C6052E" w:rsidRDefault="00887305" w:rsidP="00887305">
            <w:pPr>
              <w:pStyle w:val="TableHeading"/>
              <w:jc w:val="right"/>
            </w:pPr>
          </w:p>
        </w:tc>
      </w:tr>
      <w:tr w:rsidR="00EE5BB8" w:rsidRPr="00C6052E" w14:paraId="5D965515" w14:textId="77777777" w:rsidTr="00887305">
        <w:tc>
          <w:tcPr>
            <w:tcW w:w="3397" w:type="dxa"/>
            <w:hideMark/>
          </w:tcPr>
          <w:p w14:paraId="3A5C37A6" w14:textId="7CADC0F8" w:rsidR="00EE5BB8" w:rsidRPr="00C6052E" w:rsidRDefault="00EE5BB8" w:rsidP="0063097D">
            <w:pPr>
              <w:pStyle w:val="TableCopy"/>
            </w:pPr>
            <w:r w:rsidRPr="00C6052E">
              <w:t>Cash</w:t>
            </w:r>
            <w:r w:rsidR="00177848" w:rsidRPr="00C6052E">
              <w:t xml:space="preserve"> </w:t>
            </w:r>
            <w:r w:rsidRPr="00C6052E">
              <w:t>and</w:t>
            </w:r>
            <w:r w:rsidR="00177848" w:rsidRPr="00C6052E">
              <w:t xml:space="preserve"> </w:t>
            </w:r>
            <w:r w:rsidRPr="00C6052E">
              <w:t>deposits</w:t>
            </w:r>
          </w:p>
        </w:tc>
        <w:tc>
          <w:tcPr>
            <w:tcW w:w="1975" w:type="dxa"/>
            <w:noWrap/>
            <w:hideMark/>
          </w:tcPr>
          <w:p w14:paraId="7ECF9C6A" w14:textId="77777777" w:rsidR="00EE5BB8" w:rsidRPr="00C6052E" w:rsidRDefault="00EE5BB8" w:rsidP="00887305">
            <w:pPr>
              <w:pStyle w:val="TableCopy"/>
              <w:jc w:val="right"/>
            </w:pPr>
            <w:r w:rsidRPr="00C6052E">
              <w:t>229,565</w:t>
            </w:r>
          </w:p>
        </w:tc>
        <w:tc>
          <w:tcPr>
            <w:tcW w:w="1660" w:type="dxa"/>
            <w:noWrap/>
            <w:hideMark/>
          </w:tcPr>
          <w:p w14:paraId="7DB088CA" w14:textId="77777777" w:rsidR="00EE5BB8" w:rsidRPr="00C6052E" w:rsidRDefault="00EE5BB8" w:rsidP="00887305">
            <w:pPr>
              <w:pStyle w:val="TableCopy"/>
              <w:jc w:val="right"/>
            </w:pPr>
            <w:r w:rsidRPr="00C6052E">
              <w:t>–</w:t>
            </w:r>
          </w:p>
        </w:tc>
        <w:tc>
          <w:tcPr>
            <w:tcW w:w="1304" w:type="dxa"/>
            <w:noWrap/>
            <w:hideMark/>
          </w:tcPr>
          <w:p w14:paraId="787C9801" w14:textId="77777777" w:rsidR="00EE5BB8" w:rsidRPr="00C6052E" w:rsidRDefault="00EE5BB8" w:rsidP="00887305">
            <w:pPr>
              <w:pStyle w:val="TableCopy"/>
              <w:jc w:val="right"/>
            </w:pPr>
            <w:r w:rsidRPr="00C6052E">
              <w:t>–</w:t>
            </w:r>
          </w:p>
        </w:tc>
        <w:tc>
          <w:tcPr>
            <w:tcW w:w="1304" w:type="dxa"/>
            <w:noWrap/>
            <w:hideMark/>
          </w:tcPr>
          <w:p w14:paraId="5EE04A7C" w14:textId="77777777" w:rsidR="00EE5BB8" w:rsidRPr="00C6052E" w:rsidRDefault="00EE5BB8" w:rsidP="00887305">
            <w:pPr>
              <w:pStyle w:val="TableCopy"/>
              <w:jc w:val="right"/>
            </w:pPr>
            <w:r w:rsidRPr="00C6052E">
              <w:t>229,565</w:t>
            </w:r>
          </w:p>
        </w:tc>
      </w:tr>
      <w:tr w:rsidR="00EE5BB8" w:rsidRPr="00C6052E" w14:paraId="4AFEB744" w14:textId="77777777" w:rsidTr="00887305">
        <w:tc>
          <w:tcPr>
            <w:tcW w:w="3397" w:type="dxa"/>
            <w:hideMark/>
          </w:tcPr>
          <w:p w14:paraId="6B4ADEE4" w14:textId="77777777" w:rsidR="00EE5BB8" w:rsidRPr="00C6052E" w:rsidRDefault="00EE5BB8" w:rsidP="0063097D">
            <w:pPr>
              <w:pStyle w:val="TableCopy"/>
            </w:pPr>
            <w:r w:rsidRPr="00C6052E">
              <w:t>Receivables</w:t>
            </w:r>
            <w:r w:rsidRPr="00C6052E">
              <w:rPr>
                <w:vertAlign w:val="superscript"/>
              </w:rPr>
              <w:t>(i)</w:t>
            </w:r>
          </w:p>
        </w:tc>
        <w:tc>
          <w:tcPr>
            <w:tcW w:w="1975" w:type="dxa"/>
            <w:noWrap/>
            <w:hideMark/>
          </w:tcPr>
          <w:p w14:paraId="3255CFFC" w14:textId="77777777" w:rsidR="00EE5BB8" w:rsidRPr="00C6052E" w:rsidRDefault="00EE5BB8" w:rsidP="00887305">
            <w:pPr>
              <w:pStyle w:val="TableCopy"/>
              <w:jc w:val="right"/>
            </w:pPr>
            <w:r w:rsidRPr="00C6052E">
              <w:t>–</w:t>
            </w:r>
          </w:p>
        </w:tc>
        <w:tc>
          <w:tcPr>
            <w:tcW w:w="1660" w:type="dxa"/>
            <w:noWrap/>
            <w:hideMark/>
          </w:tcPr>
          <w:p w14:paraId="2118B377" w14:textId="77777777" w:rsidR="00EE5BB8" w:rsidRPr="00C6052E" w:rsidRDefault="00EE5BB8" w:rsidP="00887305">
            <w:pPr>
              <w:pStyle w:val="TableCopy"/>
              <w:jc w:val="right"/>
            </w:pPr>
            <w:r w:rsidRPr="00C6052E">
              <w:t>123,013</w:t>
            </w:r>
          </w:p>
        </w:tc>
        <w:tc>
          <w:tcPr>
            <w:tcW w:w="1304" w:type="dxa"/>
            <w:noWrap/>
            <w:hideMark/>
          </w:tcPr>
          <w:p w14:paraId="4BA9A98E" w14:textId="77777777" w:rsidR="00EE5BB8" w:rsidRPr="00C6052E" w:rsidRDefault="00EE5BB8" w:rsidP="00887305">
            <w:pPr>
              <w:pStyle w:val="TableCopy"/>
              <w:jc w:val="right"/>
            </w:pPr>
            <w:r w:rsidRPr="00C6052E">
              <w:t>28,806</w:t>
            </w:r>
          </w:p>
        </w:tc>
        <w:tc>
          <w:tcPr>
            <w:tcW w:w="1304" w:type="dxa"/>
            <w:noWrap/>
            <w:hideMark/>
          </w:tcPr>
          <w:p w14:paraId="46DA97CF" w14:textId="77777777" w:rsidR="00EE5BB8" w:rsidRPr="00C6052E" w:rsidRDefault="00EE5BB8" w:rsidP="00887305">
            <w:pPr>
              <w:pStyle w:val="TableCopy"/>
              <w:jc w:val="right"/>
            </w:pPr>
            <w:r w:rsidRPr="00C6052E">
              <w:t>151,819</w:t>
            </w:r>
          </w:p>
        </w:tc>
      </w:tr>
      <w:tr w:rsidR="00EE5BB8" w:rsidRPr="00C6052E" w14:paraId="4B0D8D82" w14:textId="77777777" w:rsidTr="00887305">
        <w:tc>
          <w:tcPr>
            <w:tcW w:w="3397" w:type="dxa"/>
            <w:noWrap/>
            <w:hideMark/>
          </w:tcPr>
          <w:p w14:paraId="28C98817" w14:textId="7790F386" w:rsidR="00EE5BB8" w:rsidRPr="00C6052E" w:rsidRDefault="00EE5BB8" w:rsidP="0063097D">
            <w:pPr>
              <w:pStyle w:val="Tabletotal"/>
            </w:pPr>
            <w:r w:rsidRPr="00C6052E">
              <w:t>Total</w:t>
            </w:r>
            <w:r w:rsidR="00177848" w:rsidRPr="00C6052E">
              <w:t xml:space="preserve"> </w:t>
            </w:r>
            <w:r w:rsidRPr="00C6052E">
              <w:t>contractual</w:t>
            </w:r>
            <w:r w:rsidR="00177848" w:rsidRPr="00C6052E">
              <w:t xml:space="preserve"> </w:t>
            </w:r>
            <w:r w:rsidRPr="00C6052E">
              <w:t>financial</w:t>
            </w:r>
            <w:r w:rsidR="00177848" w:rsidRPr="00C6052E">
              <w:t xml:space="preserve"> </w:t>
            </w:r>
            <w:r w:rsidRPr="00C6052E">
              <w:t>assets</w:t>
            </w:r>
          </w:p>
        </w:tc>
        <w:tc>
          <w:tcPr>
            <w:tcW w:w="1975" w:type="dxa"/>
            <w:noWrap/>
            <w:hideMark/>
          </w:tcPr>
          <w:p w14:paraId="5676B2C5" w14:textId="77777777" w:rsidR="00EE5BB8" w:rsidRPr="00C6052E" w:rsidRDefault="00EE5BB8" w:rsidP="00887305">
            <w:pPr>
              <w:pStyle w:val="Tabletotal"/>
              <w:jc w:val="right"/>
            </w:pPr>
            <w:r w:rsidRPr="00C6052E">
              <w:t>229,565</w:t>
            </w:r>
          </w:p>
        </w:tc>
        <w:tc>
          <w:tcPr>
            <w:tcW w:w="1660" w:type="dxa"/>
            <w:noWrap/>
            <w:hideMark/>
          </w:tcPr>
          <w:p w14:paraId="22B5164C" w14:textId="77777777" w:rsidR="00EE5BB8" w:rsidRPr="00C6052E" w:rsidRDefault="00EE5BB8" w:rsidP="00887305">
            <w:pPr>
              <w:pStyle w:val="Tabletotal"/>
              <w:jc w:val="right"/>
            </w:pPr>
            <w:r w:rsidRPr="00C6052E">
              <w:t>123,013</w:t>
            </w:r>
          </w:p>
        </w:tc>
        <w:tc>
          <w:tcPr>
            <w:tcW w:w="1304" w:type="dxa"/>
            <w:noWrap/>
            <w:hideMark/>
          </w:tcPr>
          <w:p w14:paraId="18251636" w14:textId="77777777" w:rsidR="00EE5BB8" w:rsidRPr="00C6052E" w:rsidRDefault="00EE5BB8" w:rsidP="00887305">
            <w:pPr>
              <w:pStyle w:val="Tabletotal"/>
              <w:jc w:val="right"/>
            </w:pPr>
            <w:r w:rsidRPr="00C6052E">
              <w:t>28,806</w:t>
            </w:r>
          </w:p>
        </w:tc>
        <w:tc>
          <w:tcPr>
            <w:tcW w:w="1304" w:type="dxa"/>
            <w:noWrap/>
            <w:hideMark/>
          </w:tcPr>
          <w:p w14:paraId="61D1DCB9" w14:textId="77777777" w:rsidR="00EE5BB8" w:rsidRPr="00C6052E" w:rsidRDefault="00EE5BB8" w:rsidP="00887305">
            <w:pPr>
              <w:pStyle w:val="Tabletotal"/>
              <w:jc w:val="right"/>
            </w:pPr>
            <w:r w:rsidRPr="00C6052E">
              <w:t>381,384</w:t>
            </w:r>
          </w:p>
        </w:tc>
      </w:tr>
      <w:tr w:rsidR="00887305" w:rsidRPr="00C6052E" w14:paraId="1112EFDF" w14:textId="77777777" w:rsidTr="00887305">
        <w:tc>
          <w:tcPr>
            <w:tcW w:w="3397" w:type="dxa"/>
          </w:tcPr>
          <w:p w14:paraId="6C04F55E" w14:textId="1BA8B344" w:rsidR="00887305" w:rsidRPr="00C6052E" w:rsidRDefault="00887305" w:rsidP="00EA4297">
            <w:pPr>
              <w:pStyle w:val="TableHeading"/>
            </w:pPr>
            <w:r w:rsidRPr="00C6052E">
              <w:t>2024</w:t>
            </w:r>
          </w:p>
        </w:tc>
        <w:tc>
          <w:tcPr>
            <w:tcW w:w="1975" w:type="dxa"/>
            <w:noWrap/>
          </w:tcPr>
          <w:p w14:paraId="154609CB" w14:textId="77777777" w:rsidR="00887305" w:rsidRPr="00C6052E" w:rsidRDefault="00887305" w:rsidP="00887305">
            <w:pPr>
              <w:pStyle w:val="TableHeading"/>
              <w:jc w:val="right"/>
            </w:pPr>
          </w:p>
        </w:tc>
        <w:tc>
          <w:tcPr>
            <w:tcW w:w="1660" w:type="dxa"/>
            <w:noWrap/>
          </w:tcPr>
          <w:p w14:paraId="3AF260ED" w14:textId="77777777" w:rsidR="00887305" w:rsidRPr="00C6052E" w:rsidRDefault="00887305" w:rsidP="00887305">
            <w:pPr>
              <w:pStyle w:val="TableHeading"/>
              <w:jc w:val="right"/>
            </w:pPr>
          </w:p>
        </w:tc>
        <w:tc>
          <w:tcPr>
            <w:tcW w:w="1304" w:type="dxa"/>
            <w:noWrap/>
          </w:tcPr>
          <w:p w14:paraId="7F7D3611" w14:textId="77777777" w:rsidR="00887305" w:rsidRPr="00C6052E" w:rsidRDefault="00887305" w:rsidP="00887305">
            <w:pPr>
              <w:pStyle w:val="TableHeading"/>
              <w:jc w:val="right"/>
            </w:pPr>
          </w:p>
        </w:tc>
        <w:tc>
          <w:tcPr>
            <w:tcW w:w="1304" w:type="dxa"/>
            <w:noWrap/>
          </w:tcPr>
          <w:p w14:paraId="01901F71" w14:textId="77777777" w:rsidR="00887305" w:rsidRPr="00C6052E" w:rsidRDefault="00887305" w:rsidP="00887305">
            <w:pPr>
              <w:pStyle w:val="TableHeading"/>
              <w:jc w:val="right"/>
            </w:pPr>
          </w:p>
        </w:tc>
      </w:tr>
      <w:tr w:rsidR="00EE5BB8" w:rsidRPr="00C6052E" w14:paraId="01EF09F5" w14:textId="77777777" w:rsidTr="00887305">
        <w:tc>
          <w:tcPr>
            <w:tcW w:w="3397" w:type="dxa"/>
            <w:hideMark/>
          </w:tcPr>
          <w:p w14:paraId="1C1E8DF9" w14:textId="3329ACE5" w:rsidR="00EE5BB8" w:rsidRPr="00C6052E" w:rsidRDefault="00EE5BB8" w:rsidP="0063097D">
            <w:pPr>
              <w:pStyle w:val="TableCopy"/>
            </w:pPr>
            <w:r w:rsidRPr="00C6052E">
              <w:t>Cash</w:t>
            </w:r>
            <w:r w:rsidR="00177848" w:rsidRPr="00C6052E">
              <w:t xml:space="preserve"> </w:t>
            </w:r>
            <w:r w:rsidRPr="00C6052E">
              <w:t>and</w:t>
            </w:r>
            <w:r w:rsidR="00177848" w:rsidRPr="00C6052E">
              <w:t xml:space="preserve"> </w:t>
            </w:r>
            <w:r w:rsidRPr="00C6052E">
              <w:t>deposits</w:t>
            </w:r>
          </w:p>
        </w:tc>
        <w:tc>
          <w:tcPr>
            <w:tcW w:w="1975" w:type="dxa"/>
            <w:noWrap/>
            <w:hideMark/>
          </w:tcPr>
          <w:p w14:paraId="5B3939B6" w14:textId="77777777" w:rsidR="00EE5BB8" w:rsidRPr="00C6052E" w:rsidRDefault="00EE5BB8" w:rsidP="00887305">
            <w:pPr>
              <w:pStyle w:val="TableCopy"/>
              <w:jc w:val="right"/>
            </w:pPr>
            <w:r w:rsidRPr="00C6052E">
              <w:t>256,765</w:t>
            </w:r>
          </w:p>
        </w:tc>
        <w:tc>
          <w:tcPr>
            <w:tcW w:w="1660" w:type="dxa"/>
            <w:noWrap/>
            <w:hideMark/>
          </w:tcPr>
          <w:p w14:paraId="3D67D40F" w14:textId="77777777" w:rsidR="00EE5BB8" w:rsidRPr="00C6052E" w:rsidRDefault="00EE5BB8" w:rsidP="00887305">
            <w:pPr>
              <w:pStyle w:val="TableCopy"/>
              <w:jc w:val="right"/>
            </w:pPr>
            <w:r w:rsidRPr="00C6052E">
              <w:t>–</w:t>
            </w:r>
          </w:p>
        </w:tc>
        <w:tc>
          <w:tcPr>
            <w:tcW w:w="1304" w:type="dxa"/>
            <w:noWrap/>
            <w:hideMark/>
          </w:tcPr>
          <w:p w14:paraId="533F0E3A" w14:textId="77777777" w:rsidR="00EE5BB8" w:rsidRPr="00C6052E" w:rsidRDefault="00EE5BB8" w:rsidP="00887305">
            <w:pPr>
              <w:pStyle w:val="TableCopy"/>
              <w:jc w:val="right"/>
            </w:pPr>
            <w:r w:rsidRPr="00C6052E">
              <w:t>14,546</w:t>
            </w:r>
          </w:p>
        </w:tc>
        <w:tc>
          <w:tcPr>
            <w:tcW w:w="1304" w:type="dxa"/>
            <w:noWrap/>
            <w:hideMark/>
          </w:tcPr>
          <w:p w14:paraId="3511AB8D" w14:textId="77777777" w:rsidR="00EE5BB8" w:rsidRPr="00C6052E" w:rsidRDefault="00EE5BB8" w:rsidP="00887305">
            <w:pPr>
              <w:pStyle w:val="TableCopy"/>
              <w:jc w:val="right"/>
            </w:pPr>
            <w:r w:rsidRPr="00C6052E">
              <w:t>271,311</w:t>
            </w:r>
          </w:p>
        </w:tc>
      </w:tr>
      <w:tr w:rsidR="00EE5BB8" w:rsidRPr="00C6052E" w14:paraId="01C060DA" w14:textId="77777777" w:rsidTr="00887305">
        <w:tc>
          <w:tcPr>
            <w:tcW w:w="3397" w:type="dxa"/>
            <w:hideMark/>
          </w:tcPr>
          <w:p w14:paraId="4A5DA54A" w14:textId="77777777" w:rsidR="00EE5BB8" w:rsidRPr="00C6052E" w:rsidRDefault="00EE5BB8" w:rsidP="0063097D">
            <w:pPr>
              <w:pStyle w:val="TableCopy"/>
            </w:pPr>
            <w:r w:rsidRPr="00C6052E">
              <w:t>Receivables</w:t>
            </w:r>
            <w:r w:rsidRPr="00C6052E">
              <w:rPr>
                <w:vertAlign w:val="superscript"/>
              </w:rPr>
              <w:t>(i)</w:t>
            </w:r>
          </w:p>
        </w:tc>
        <w:tc>
          <w:tcPr>
            <w:tcW w:w="1975" w:type="dxa"/>
            <w:noWrap/>
            <w:hideMark/>
          </w:tcPr>
          <w:p w14:paraId="059AE4F3" w14:textId="77777777" w:rsidR="00EE5BB8" w:rsidRPr="00C6052E" w:rsidRDefault="00EE5BB8" w:rsidP="00887305">
            <w:pPr>
              <w:pStyle w:val="TableCopy"/>
              <w:jc w:val="right"/>
            </w:pPr>
            <w:r w:rsidRPr="00C6052E">
              <w:t>–</w:t>
            </w:r>
          </w:p>
        </w:tc>
        <w:tc>
          <w:tcPr>
            <w:tcW w:w="1660" w:type="dxa"/>
            <w:noWrap/>
            <w:hideMark/>
          </w:tcPr>
          <w:p w14:paraId="224DF953" w14:textId="77777777" w:rsidR="00EE5BB8" w:rsidRPr="00C6052E" w:rsidRDefault="00EE5BB8" w:rsidP="00887305">
            <w:pPr>
              <w:pStyle w:val="TableCopy"/>
              <w:jc w:val="right"/>
            </w:pPr>
            <w:r w:rsidRPr="00C6052E">
              <w:t>106,069</w:t>
            </w:r>
          </w:p>
        </w:tc>
        <w:tc>
          <w:tcPr>
            <w:tcW w:w="1304" w:type="dxa"/>
            <w:noWrap/>
            <w:hideMark/>
          </w:tcPr>
          <w:p w14:paraId="24629DBA" w14:textId="77777777" w:rsidR="00EE5BB8" w:rsidRPr="00C6052E" w:rsidRDefault="00EE5BB8" w:rsidP="00887305">
            <w:pPr>
              <w:pStyle w:val="TableCopy"/>
              <w:jc w:val="right"/>
            </w:pPr>
            <w:r w:rsidRPr="00C6052E">
              <w:t>51,075</w:t>
            </w:r>
          </w:p>
        </w:tc>
        <w:tc>
          <w:tcPr>
            <w:tcW w:w="1304" w:type="dxa"/>
            <w:noWrap/>
            <w:hideMark/>
          </w:tcPr>
          <w:p w14:paraId="7649A15D" w14:textId="77777777" w:rsidR="00EE5BB8" w:rsidRPr="00C6052E" w:rsidRDefault="00EE5BB8" w:rsidP="00887305">
            <w:pPr>
              <w:pStyle w:val="TableCopy"/>
              <w:jc w:val="right"/>
            </w:pPr>
            <w:r w:rsidRPr="00C6052E">
              <w:t>157,144</w:t>
            </w:r>
          </w:p>
        </w:tc>
      </w:tr>
      <w:tr w:rsidR="00EE5BB8" w:rsidRPr="00C6052E" w14:paraId="45651516" w14:textId="77777777" w:rsidTr="00887305">
        <w:tc>
          <w:tcPr>
            <w:tcW w:w="3397" w:type="dxa"/>
            <w:noWrap/>
            <w:hideMark/>
          </w:tcPr>
          <w:p w14:paraId="4C504C9B" w14:textId="6BE48BD0" w:rsidR="00EE5BB8" w:rsidRPr="00C6052E" w:rsidRDefault="00EE5BB8" w:rsidP="0063097D">
            <w:pPr>
              <w:pStyle w:val="Tabletotal"/>
            </w:pPr>
            <w:r w:rsidRPr="00C6052E">
              <w:t>Total</w:t>
            </w:r>
            <w:r w:rsidR="00177848" w:rsidRPr="00C6052E">
              <w:t xml:space="preserve"> </w:t>
            </w:r>
            <w:r w:rsidRPr="00C6052E">
              <w:t>contractual</w:t>
            </w:r>
            <w:r w:rsidR="00177848" w:rsidRPr="00C6052E">
              <w:t xml:space="preserve"> </w:t>
            </w:r>
            <w:r w:rsidRPr="00C6052E">
              <w:t>financial</w:t>
            </w:r>
            <w:r w:rsidR="00177848" w:rsidRPr="00C6052E">
              <w:t xml:space="preserve"> </w:t>
            </w:r>
            <w:r w:rsidRPr="00C6052E">
              <w:t>assets</w:t>
            </w:r>
          </w:p>
        </w:tc>
        <w:tc>
          <w:tcPr>
            <w:tcW w:w="1975" w:type="dxa"/>
            <w:noWrap/>
            <w:hideMark/>
          </w:tcPr>
          <w:p w14:paraId="3F97C61B" w14:textId="77777777" w:rsidR="00EE5BB8" w:rsidRPr="00C6052E" w:rsidRDefault="00EE5BB8" w:rsidP="00887305">
            <w:pPr>
              <w:pStyle w:val="Tabletotal"/>
              <w:jc w:val="right"/>
            </w:pPr>
            <w:r w:rsidRPr="00C6052E">
              <w:t>256,765</w:t>
            </w:r>
          </w:p>
        </w:tc>
        <w:tc>
          <w:tcPr>
            <w:tcW w:w="1660" w:type="dxa"/>
            <w:noWrap/>
            <w:hideMark/>
          </w:tcPr>
          <w:p w14:paraId="3C97C496" w14:textId="77777777" w:rsidR="00EE5BB8" w:rsidRPr="00C6052E" w:rsidRDefault="00EE5BB8" w:rsidP="00887305">
            <w:pPr>
              <w:pStyle w:val="Tabletotal"/>
              <w:jc w:val="right"/>
            </w:pPr>
            <w:r w:rsidRPr="00C6052E">
              <w:t>106,069</w:t>
            </w:r>
          </w:p>
        </w:tc>
        <w:tc>
          <w:tcPr>
            <w:tcW w:w="1304" w:type="dxa"/>
            <w:noWrap/>
            <w:hideMark/>
          </w:tcPr>
          <w:p w14:paraId="255D92F9" w14:textId="77777777" w:rsidR="00EE5BB8" w:rsidRPr="00C6052E" w:rsidRDefault="00EE5BB8" w:rsidP="00887305">
            <w:pPr>
              <w:pStyle w:val="Tabletotal"/>
              <w:jc w:val="right"/>
            </w:pPr>
            <w:r w:rsidRPr="00C6052E">
              <w:t>65,621</w:t>
            </w:r>
          </w:p>
        </w:tc>
        <w:tc>
          <w:tcPr>
            <w:tcW w:w="1304" w:type="dxa"/>
            <w:noWrap/>
            <w:hideMark/>
          </w:tcPr>
          <w:p w14:paraId="11DC2431" w14:textId="77777777" w:rsidR="00EE5BB8" w:rsidRPr="00C6052E" w:rsidRDefault="00EE5BB8" w:rsidP="00887305">
            <w:pPr>
              <w:pStyle w:val="Tabletotal"/>
              <w:jc w:val="right"/>
            </w:pPr>
            <w:r w:rsidRPr="00C6052E">
              <w:t>428,455</w:t>
            </w:r>
          </w:p>
        </w:tc>
      </w:tr>
    </w:tbl>
    <w:p w14:paraId="51E6CA0D" w14:textId="73A583DC" w:rsidR="00EE5BB8" w:rsidRPr="00C6052E" w:rsidRDefault="00EE5BB8" w:rsidP="00EE5BB8">
      <w:pPr>
        <w:pStyle w:val="Tablenotes-numbered"/>
        <w:numPr>
          <w:ilvl w:val="0"/>
          <w:numId w:val="32"/>
        </w:numPr>
        <w:spacing w:after="170"/>
      </w:pPr>
      <w:r w:rsidRPr="00C6052E">
        <w:t>The</w:t>
      </w:r>
      <w:r w:rsidR="00177848" w:rsidRPr="00C6052E">
        <w:t xml:space="preserve"> </w:t>
      </w:r>
      <w:r w:rsidRPr="00C6052E">
        <w:t>carrying</w:t>
      </w:r>
      <w:r w:rsidR="00177848" w:rsidRPr="00C6052E">
        <w:t xml:space="preserve"> </w:t>
      </w:r>
      <w:r w:rsidRPr="00C6052E">
        <w:t>amounts</w:t>
      </w:r>
      <w:r w:rsidR="00177848" w:rsidRPr="00C6052E">
        <w:t xml:space="preserve"> </w:t>
      </w:r>
      <w:r w:rsidRPr="00C6052E">
        <w:t>disclosed</w:t>
      </w:r>
      <w:r w:rsidR="00177848" w:rsidRPr="00C6052E">
        <w:t xml:space="preserve"> </w:t>
      </w:r>
      <w:r w:rsidRPr="00C6052E">
        <w:t>exclude</w:t>
      </w:r>
      <w:r w:rsidR="00177848" w:rsidRPr="00C6052E">
        <w:t xml:space="preserve"> </w:t>
      </w:r>
      <w:r w:rsidRPr="00C6052E">
        <w:t>statutory</w:t>
      </w:r>
      <w:r w:rsidR="00177848" w:rsidRPr="00C6052E">
        <w:t xml:space="preserve"> </w:t>
      </w:r>
      <w:r w:rsidRPr="00C6052E">
        <w:t>receivables</w:t>
      </w:r>
      <w:r w:rsidR="00177848" w:rsidRPr="00C6052E">
        <w:t xml:space="preserve"> </w:t>
      </w:r>
      <w:r w:rsidRPr="00C6052E">
        <w:t>(e.g.</w:t>
      </w:r>
      <w:r w:rsidR="00177848" w:rsidRPr="00C6052E">
        <w:t xml:space="preserve"> </w:t>
      </w:r>
      <w:r w:rsidRPr="00C6052E">
        <w:t>amounts</w:t>
      </w:r>
      <w:r w:rsidR="00177848" w:rsidRPr="00C6052E">
        <w:t xml:space="preserve"> </w:t>
      </w:r>
      <w:r w:rsidRPr="00C6052E">
        <w:t>owing</w:t>
      </w:r>
      <w:r w:rsidR="00177848" w:rsidRPr="00C6052E">
        <w:t xml:space="preserve"> </w:t>
      </w:r>
      <w:r w:rsidRPr="00C6052E">
        <w:t>from</w:t>
      </w:r>
      <w:r w:rsidR="00177848" w:rsidRPr="00C6052E">
        <w:t xml:space="preserve"> </w:t>
      </w:r>
      <w:r w:rsidRPr="00C6052E">
        <w:t>the</w:t>
      </w:r>
      <w:r w:rsidR="00177848" w:rsidRPr="00C6052E">
        <w:t xml:space="preserve"> </w:t>
      </w:r>
      <w:r w:rsidRPr="00C6052E">
        <w:t>State</w:t>
      </w:r>
      <w:r w:rsidR="00177848" w:rsidRPr="00C6052E">
        <w:t xml:space="preserve"> </w:t>
      </w:r>
      <w:r w:rsidRPr="00C6052E">
        <w:t>of</w:t>
      </w:r>
      <w:r w:rsidR="00177848" w:rsidRPr="00C6052E">
        <w:t xml:space="preserve"> </w:t>
      </w:r>
      <w:r w:rsidRPr="00C6052E">
        <w:t>Victoria</w:t>
      </w:r>
      <w:r w:rsidR="00177848" w:rsidRPr="00C6052E">
        <w:t xml:space="preserve"> </w:t>
      </w:r>
      <w:r w:rsidRPr="00C6052E">
        <w:t>and</w:t>
      </w:r>
      <w:r w:rsidR="00177848" w:rsidRPr="00C6052E">
        <w:t xml:space="preserve"> </w:t>
      </w:r>
      <w:r w:rsidRPr="00C6052E">
        <w:t>GST</w:t>
      </w:r>
      <w:r w:rsidR="00177848" w:rsidRPr="00C6052E">
        <w:t xml:space="preserve"> </w:t>
      </w:r>
      <w:r w:rsidRPr="00C6052E">
        <w:t>recoverable).</w:t>
      </w:r>
    </w:p>
    <w:p w14:paraId="1DE2457E" w14:textId="1DF68C9A" w:rsidR="00EE5BB8" w:rsidRPr="00C6052E" w:rsidRDefault="00EE5BB8" w:rsidP="00EE5BB8">
      <w:pPr>
        <w:pStyle w:val="Heading4"/>
      </w:pPr>
      <w:r w:rsidRPr="00C6052E">
        <w:t>Contractual</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that</w:t>
      </w:r>
      <w:r w:rsidR="00177848" w:rsidRPr="00C6052E">
        <w:t xml:space="preserve"> </w:t>
      </w:r>
      <w:r w:rsidRPr="00C6052E">
        <w:t>are</w:t>
      </w:r>
      <w:r w:rsidR="00177848" w:rsidRPr="00C6052E">
        <w:t xml:space="preserve"> </w:t>
      </w:r>
      <w:r w:rsidRPr="00C6052E">
        <w:t>either</w:t>
      </w:r>
      <w:r w:rsidR="00177848" w:rsidRPr="00C6052E">
        <w:t xml:space="preserve"> </w:t>
      </w:r>
      <w:r w:rsidRPr="00C6052E">
        <w:t>past</w:t>
      </w:r>
      <w:r w:rsidR="00177848" w:rsidRPr="00C6052E">
        <w:t xml:space="preserve"> </w:t>
      </w:r>
      <w:r w:rsidRPr="00C6052E">
        <w:t>due</w:t>
      </w:r>
      <w:r w:rsidR="00177848" w:rsidRPr="00C6052E">
        <w:t xml:space="preserve"> </w:t>
      </w:r>
      <w:r w:rsidRPr="00C6052E">
        <w:t>or</w:t>
      </w:r>
      <w:r w:rsidR="00177848" w:rsidRPr="00C6052E">
        <w:t xml:space="preserve"> </w:t>
      </w:r>
      <w:r w:rsidRPr="00C6052E">
        <w:t>impaired</w:t>
      </w:r>
    </w:p>
    <w:p w14:paraId="0C90B46A" w14:textId="7B166759" w:rsidR="00EE5BB8" w:rsidRPr="00C6052E" w:rsidRDefault="00EE5BB8" w:rsidP="00EE5BB8">
      <w:r w:rsidRPr="00C6052E">
        <w:t>There</w:t>
      </w:r>
      <w:r w:rsidR="00177848" w:rsidRPr="00C6052E">
        <w:t xml:space="preserve"> </w:t>
      </w:r>
      <w:r w:rsidRPr="00C6052E">
        <w:t>are</w:t>
      </w:r>
      <w:r w:rsidR="00177848" w:rsidRPr="00C6052E">
        <w:t xml:space="preserve"> </w:t>
      </w:r>
      <w:r w:rsidRPr="00C6052E">
        <w:t>no</w:t>
      </w:r>
      <w:r w:rsidR="00177848" w:rsidRPr="00C6052E">
        <w:t xml:space="preserve"> </w:t>
      </w:r>
      <w:r w:rsidRPr="00C6052E">
        <w:t>material</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which</w:t>
      </w:r>
      <w:r w:rsidR="00177848" w:rsidRPr="00C6052E">
        <w:t xml:space="preserve"> </w:t>
      </w:r>
      <w:r w:rsidRPr="00C6052E">
        <w:t>are</w:t>
      </w:r>
      <w:r w:rsidR="00177848" w:rsidRPr="00C6052E">
        <w:t xml:space="preserve"> </w:t>
      </w:r>
      <w:r w:rsidRPr="00C6052E">
        <w:t>individually</w:t>
      </w:r>
      <w:r w:rsidR="00177848" w:rsidRPr="00C6052E">
        <w:t xml:space="preserve"> </w:t>
      </w:r>
      <w:r w:rsidRPr="00C6052E">
        <w:t>determined</w:t>
      </w:r>
      <w:r w:rsidR="00177848" w:rsidRPr="00C6052E">
        <w:t xml:space="preserve"> </w:t>
      </w:r>
      <w:r w:rsidRPr="00C6052E">
        <w:t>to</w:t>
      </w:r>
      <w:r w:rsidR="00177848" w:rsidRPr="00C6052E">
        <w:t xml:space="preserve"> </w:t>
      </w:r>
      <w:r w:rsidRPr="00C6052E">
        <w:t>be</w:t>
      </w:r>
      <w:r w:rsidR="00177848" w:rsidRPr="00C6052E">
        <w:t xml:space="preserve"> </w:t>
      </w:r>
      <w:r w:rsidRPr="00C6052E">
        <w:t>impaired.</w:t>
      </w:r>
      <w:r w:rsidR="00177848" w:rsidRPr="00C6052E">
        <w:t xml:space="preserve"> </w:t>
      </w:r>
      <w:r w:rsidRPr="00C6052E">
        <w:t>Currently,</w:t>
      </w:r>
      <w:r w:rsidR="00177848" w:rsidRPr="00C6052E">
        <w:t xml:space="preserve"> </w:t>
      </w:r>
      <w:r w:rsidRPr="00C6052E">
        <w:t>DJSIR</w:t>
      </w:r>
      <w:r w:rsidR="00177848" w:rsidRPr="00C6052E">
        <w:t xml:space="preserve"> </w:t>
      </w:r>
      <w:r w:rsidRPr="00C6052E">
        <w:t>does</w:t>
      </w:r>
      <w:r w:rsidR="00177848" w:rsidRPr="00C6052E">
        <w:t xml:space="preserve"> </w:t>
      </w:r>
      <w:r w:rsidRPr="00C6052E">
        <w:t>not</w:t>
      </w:r>
      <w:r w:rsidR="00177848" w:rsidRPr="00C6052E">
        <w:t xml:space="preserve"> </w:t>
      </w:r>
      <w:r w:rsidRPr="00C6052E">
        <w:t>hold</w:t>
      </w:r>
      <w:r w:rsidR="00177848" w:rsidRPr="00C6052E">
        <w:t xml:space="preserve"> </w:t>
      </w:r>
      <w:r w:rsidRPr="00C6052E">
        <w:t>any</w:t>
      </w:r>
      <w:r w:rsidR="00177848" w:rsidRPr="00C6052E">
        <w:t xml:space="preserve"> </w:t>
      </w:r>
      <w:r w:rsidRPr="00C6052E">
        <w:t>collateral</w:t>
      </w:r>
      <w:r w:rsidR="00177848" w:rsidRPr="00C6052E">
        <w:t xml:space="preserve"> </w:t>
      </w:r>
      <w:r w:rsidRPr="00C6052E">
        <w:t>as</w:t>
      </w:r>
      <w:r w:rsidR="00177848" w:rsidRPr="00C6052E">
        <w:t xml:space="preserve"> </w:t>
      </w:r>
      <w:r w:rsidRPr="00C6052E">
        <w:t>security</w:t>
      </w:r>
      <w:r w:rsidR="00177848" w:rsidRPr="00C6052E">
        <w:t xml:space="preserve"> </w:t>
      </w:r>
      <w:r w:rsidRPr="00C6052E">
        <w:t>nor</w:t>
      </w:r>
      <w:r w:rsidR="00177848" w:rsidRPr="00C6052E">
        <w:t xml:space="preserve"> </w:t>
      </w:r>
      <w:r w:rsidRPr="00C6052E">
        <w:t>credit</w:t>
      </w:r>
      <w:r w:rsidR="00177848" w:rsidRPr="00C6052E">
        <w:t xml:space="preserve"> </w:t>
      </w:r>
      <w:r w:rsidRPr="00C6052E">
        <w:t>enhancements</w:t>
      </w:r>
      <w:r w:rsidR="00177848" w:rsidRPr="00C6052E">
        <w:t xml:space="preserve"> </w:t>
      </w:r>
      <w:r w:rsidRPr="00C6052E">
        <w:t>relating</w:t>
      </w:r>
      <w:r w:rsidR="00177848" w:rsidRPr="00C6052E">
        <w:t xml:space="preserve"> </w:t>
      </w:r>
      <w:r w:rsidRPr="00C6052E">
        <w:t>to</w:t>
      </w:r>
      <w:r w:rsidR="00177848" w:rsidRPr="00C6052E">
        <w:t xml:space="preserve"> </w:t>
      </w:r>
      <w:r w:rsidRPr="00C6052E">
        <w:t>any</w:t>
      </w:r>
      <w:r w:rsidR="00177848" w:rsidRPr="00C6052E">
        <w:t xml:space="preserve"> </w:t>
      </w:r>
      <w:r w:rsidRPr="00C6052E">
        <w:t>of</w:t>
      </w:r>
      <w:r w:rsidR="00177848" w:rsidRPr="00C6052E">
        <w:t xml:space="preserve"> </w:t>
      </w:r>
      <w:r w:rsidRPr="00C6052E">
        <w:t>its</w:t>
      </w:r>
      <w:r w:rsidR="00177848" w:rsidRPr="00C6052E">
        <w:t xml:space="preserve"> </w:t>
      </w:r>
      <w:r w:rsidRPr="00C6052E">
        <w:t>financial</w:t>
      </w:r>
      <w:r w:rsidR="00177848" w:rsidRPr="00C6052E">
        <w:t xml:space="preserve"> </w:t>
      </w:r>
      <w:r w:rsidRPr="00C6052E">
        <w:t>assets.</w:t>
      </w:r>
    </w:p>
    <w:p w14:paraId="2665FE7B" w14:textId="586F902D" w:rsidR="00EE5BB8" w:rsidRPr="00C6052E" w:rsidRDefault="00EE5BB8" w:rsidP="00EE5BB8">
      <w:r w:rsidRPr="00C6052E">
        <w:t>There</w:t>
      </w:r>
      <w:r w:rsidR="00177848" w:rsidRPr="00C6052E">
        <w:t xml:space="preserve"> </w:t>
      </w:r>
      <w:r w:rsidRPr="00C6052E">
        <w:t>are</w:t>
      </w:r>
      <w:r w:rsidR="00177848" w:rsidRPr="00C6052E">
        <w:t xml:space="preserve"> </w:t>
      </w:r>
      <w:r w:rsidRPr="00C6052E">
        <w:t>no</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that</w:t>
      </w:r>
      <w:r w:rsidR="00177848" w:rsidRPr="00C6052E">
        <w:t xml:space="preserve"> </w:t>
      </w:r>
      <w:r w:rsidRPr="00C6052E">
        <w:t>have</w:t>
      </w:r>
      <w:r w:rsidR="00177848" w:rsidRPr="00C6052E">
        <w:t xml:space="preserve"> </w:t>
      </w:r>
      <w:r w:rsidRPr="00C6052E">
        <w:t>had</w:t>
      </w:r>
      <w:r w:rsidR="00177848" w:rsidRPr="00C6052E">
        <w:t xml:space="preserve"> </w:t>
      </w:r>
      <w:r w:rsidRPr="00C6052E">
        <w:t>their</w:t>
      </w:r>
      <w:r w:rsidR="00177848" w:rsidRPr="00C6052E">
        <w:t xml:space="preserve"> </w:t>
      </w:r>
      <w:r w:rsidRPr="00C6052E">
        <w:t>terms</w:t>
      </w:r>
      <w:r w:rsidR="00177848" w:rsidRPr="00C6052E">
        <w:t xml:space="preserve"> </w:t>
      </w:r>
      <w:r w:rsidRPr="00C6052E">
        <w:t>renegotiated</w:t>
      </w:r>
      <w:r w:rsidR="00177848" w:rsidRPr="00C6052E">
        <w:t xml:space="preserve"> </w:t>
      </w:r>
      <w:r w:rsidRPr="00C6052E">
        <w:t>so</w:t>
      </w:r>
      <w:r w:rsidR="00177848" w:rsidRPr="00C6052E">
        <w:t xml:space="preserve"> </w:t>
      </w:r>
      <w:r w:rsidRPr="00C6052E">
        <w:t>as</w:t>
      </w:r>
      <w:r w:rsidR="00177848" w:rsidRPr="00C6052E">
        <w:t xml:space="preserve"> </w:t>
      </w:r>
      <w:r w:rsidRPr="00C6052E">
        <w:t>to</w:t>
      </w:r>
      <w:r w:rsidR="00177848" w:rsidRPr="00C6052E">
        <w:t xml:space="preserve"> </w:t>
      </w:r>
      <w:r w:rsidRPr="00C6052E">
        <w:t>prevent</w:t>
      </w:r>
      <w:r w:rsidR="00177848" w:rsidRPr="00C6052E">
        <w:t xml:space="preserve"> </w:t>
      </w:r>
      <w:r w:rsidRPr="00C6052E">
        <w:t>them</w:t>
      </w:r>
      <w:r w:rsidR="00177848" w:rsidRPr="00C6052E">
        <w:t xml:space="preserve"> </w:t>
      </w:r>
      <w:r w:rsidRPr="00C6052E">
        <w:t>from</w:t>
      </w:r>
      <w:r w:rsidR="00177848" w:rsidRPr="00C6052E">
        <w:t xml:space="preserve"> </w:t>
      </w:r>
      <w:r w:rsidRPr="00C6052E">
        <w:t>being</w:t>
      </w:r>
      <w:r w:rsidR="00177848" w:rsidRPr="00C6052E">
        <w:t xml:space="preserve"> </w:t>
      </w:r>
      <w:r w:rsidRPr="00C6052E">
        <w:t>past</w:t>
      </w:r>
      <w:r w:rsidR="00177848" w:rsidRPr="00C6052E">
        <w:t xml:space="preserve"> </w:t>
      </w:r>
      <w:r w:rsidRPr="00C6052E">
        <w:t>due</w:t>
      </w:r>
      <w:r w:rsidR="00177848" w:rsidRPr="00C6052E">
        <w:t xml:space="preserve"> </w:t>
      </w:r>
      <w:r w:rsidRPr="00C6052E">
        <w:t>or</w:t>
      </w:r>
      <w:r w:rsidR="00177848" w:rsidRPr="00C6052E">
        <w:t xml:space="preserve"> </w:t>
      </w:r>
      <w:r w:rsidRPr="00C6052E">
        <w:t>impaired,</w:t>
      </w:r>
      <w:r w:rsidR="00177848" w:rsidRPr="00C6052E">
        <w:t xml:space="preserve"> </w:t>
      </w:r>
      <w:r w:rsidRPr="00C6052E">
        <w:t>and</w:t>
      </w:r>
      <w:r w:rsidR="00177848" w:rsidRPr="00C6052E">
        <w:t xml:space="preserve"> </w:t>
      </w:r>
      <w:r w:rsidRPr="00C6052E">
        <w:t>they</w:t>
      </w:r>
      <w:r w:rsidR="00177848" w:rsidRPr="00C6052E">
        <w:t xml:space="preserve"> </w:t>
      </w:r>
      <w:r w:rsidRPr="00C6052E">
        <w:t>are</w:t>
      </w:r>
      <w:r w:rsidR="00177848" w:rsidRPr="00C6052E">
        <w:t xml:space="preserve"> </w:t>
      </w:r>
      <w:r w:rsidRPr="00C6052E">
        <w:t>stated</w:t>
      </w:r>
      <w:r w:rsidR="00177848" w:rsidRPr="00C6052E">
        <w:t xml:space="preserve"> </w:t>
      </w:r>
      <w:r w:rsidRPr="00C6052E">
        <w:t>at</w:t>
      </w:r>
      <w:r w:rsidR="00177848" w:rsidRPr="00C6052E">
        <w:t xml:space="preserve"> </w:t>
      </w:r>
      <w:r w:rsidRPr="00C6052E">
        <w:t>the</w:t>
      </w:r>
      <w:r w:rsidR="00177848" w:rsidRPr="00C6052E">
        <w:t xml:space="preserve"> </w:t>
      </w:r>
      <w:r w:rsidRPr="00C6052E">
        <w:t>carrying</w:t>
      </w:r>
      <w:r w:rsidR="00177848" w:rsidRPr="00C6052E">
        <w:t xml:space="preserve"> </w:t>
      </w:r>
      <w:r w:rsidRPr="00C6052E">
        <w:t>amounts</w:t>
      </w:r>
      <w:r w:rsidR="00177848" w:rsidRPr="00C6052E">
        <w:t xml:space="preserve"> </w:t>
      </w:r>
      <w:r w:rsidRPr="00C6052E">
        <w:t>as</w:t>
      </w:r>
      <w:r w:rsidR="00177848" w:rsidRPr="00C6052E">
        <w:t xml:space="preserve"> </w:t>
      </w:r>
      <w:r w:rsidRPr="00C6052E">
        <w:t>indicated.</w:t>
      </w:r>
    </w:p>
    <w:p w14:paraId="31E08276" w14:textId="1E6AEF81" w:rsidR="00EE5BB8" w:rsidRPr="00C6052E" w:rsidRDefault="00EE5BB8" w:rsidP="00EE5BB8">
      <w:pPr>
        <w:pStyle w:val="Heading4"/>
      </w:pPr>
      <w:r w:rsidRPr="00C6052E">
        <w:t>Contractual</w:t>
      </w:r>
      <w:r w:rsidR="00177848" w:rsidRPr="00C6052E">
        <w:t xml:space="preserve"> </w:t>
      </w:r>
      <w:r w:rsidRPr="00C6052E">
        <w:t>receivables</w:t>
      </w:r>
      <w:r w:rsidR="00177848" w:rsidRPr="00C6052E">
        <w:t xml:space="preserve"> </w:t>
      </w:r>
      <w:r w:rsidRPr="00C6052E">
        <w:t>at</w:t>
      </w:r>
      <w:r w:rsidR="00177848" w:rsidRPr="00C6052E">
        <w:t xml:space="preserve"> </w:t>
      </w:r>
      <w:r w:rsidRPr="00C6052E">
        <w:t>amortised</w:t>
      </w:r>
      <w:r w:rsidR="00177848" w:rsidRPr="00C6052E">
        <w:t xml:space="preserve"> </w:t>
      </w:r>
      <w:r w:rsidRPr="00C6052E">
        <w:t>cost</w:t>
      </w:r>
    </w:p>
    <w:p w14:paraId="0CF9B12D" w14:textId="65C72BD3" w:rsidR="00EE5BB8" w:rsidRPr="00C6052E" w:rsidRDefault="00EE5BB8" w:rsidP="00EE5BB8">
      <w:r w:rsidRPr="00C6052E">
        <w:t>Impairment</w:t>
      </w:r>
      <w:r w:rsidR="00177848" w:rsidRPr="00C6052E">
        <w:t xml:space="preserve"> </w:t>
      </w:r>
      <w:r w:rsidRPr="00C6052E">
        <w:t>of</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under</w:t>
      </w:r>
      <w:r w:rsidR="00177848" w:rsidRPr="00C6052E">
        <w:t xml:space="preserve"> </w:t>
      </w:r>
      <w:r w:rsidRPr="00C6052E">
        <w:t>AASB</w:t>
      </w:r>
      <w:r w:rsidR="00177848" w:rsidRPr="00C6052E">
        <w:t xml:space="preserve"> </w:t>
      </w:r>
      <w:r w:rsidRPr="00C6052E">
        <w:t>9:</w:t>
      </w:r>
      <w:r w:rsidR="00177848" w:rsidRPr="00C6052E">
        <w:t xml:space="preserve"> </w:t>
      </w:r>
      <w:r w:rsidRPr="00C6052E">
        <w:t>DJSIR</w:t>
      </w:r>
      <w:r w:rsidR="00177848" w:rsidRPr="00C6052E">
        <w:t xml:space="preserve"> </w:t>
      </w:r>
      <w:r w:rsidRPr="00C6052E">
        <w:t>assesses</w:t>
      </w:r>
      <w:r w:rsidR="00177848" w:rsidRPr="00C6052E">
        <w:t xml:space="preserve"> </w:t>
      </w:r>
      <w:r w:rsidRPr="00C6052E">
        <w:t>at</w:t>
      </w:r>
      <w:r w:rsidR="00177848" w:rsidRPr="00C6052E">
        <w:t xml:space="preserve"> </w:t>
      </w:r>
      <w:r w:rsidRPr="00C6052E">
        <w:t>the</w:t>
      </w:r>
      <w:r w:rsidR="00177848" w:rsidRPr="00C6052E">
        <w:t xml:space="preserve"> </w:t>
      </w:r>
      <w:r w:rsidRPr="00C6052E">
        <w:t>end</w:t>
      </w:r>
      <w:r w:rsidR="00177848" w:rsidRPr="00C6052E">
        <w:t xml:space="preserve"> </w:t>
      </w:r>
      <w:r w:rsidRPr="00C6052E">
        <w:t>of</w:t>
      </w:r>
      <w:r w:rsidR="00177848" w:rsidRPr="00C6052E">
        <w:t xml:space="preserve"> </w:t>
      </w:r>
      <w:r w:rsidRPr="00C6052E">
        <w:t>each</w:t>
      </w:r>
      <w:r w:rsidR="00177848" w:rsidRPr="00C6052E">
        <w:t xml:space="preserve"> </w:t>
      </w:r>
      <w:r w:rsidRPr="00C6052E">
        <w:t>reporting</w:t>
      </w:r>
      <w:r w:rsidR="00177848" w:rsidRPr="00C6052E">
        <w:t xml:space="preserve"> </w:t>
      </w:r>
      <w:r w:rsidRPr="00C6052E">
        <w:t>period</w:t>
      </w:r>
      <w:r w:rsidR="00177848" w:rsidRPr="00C6052E">
        <w:t xml:space="preserve"> </w:t>
      </w:r>
      <w:r w:rsidRPr="00C6052E">
        <w:t>whether</w:t>
      </w:r>
      <w:r w:rsidR="00177848" w:rsidRPr="00C6052E">
        <w:t xml:space="preserve"> </w:t>
      </w:r>
      <w:r w:rsidRPr="00C6052E">
        <w:t>there</w:t>
      </w:r>
      <w:r w:rsidR="00177848" w:rsidRPr="00C6052E">
        <w:t xml:space="preserve"> </w:t>
      </w:r>
      <w:r w:rsidRPr="00C6052E">
        <w:t>is</w:t>
      </w:r>
      <w:r w:rsidR="00177848" w:rsidRPr="00C6052E">
        <w:t xml:space="preserve"> </w:t>
      </w:r>
      <w:r w:rsidRPr="00C6052E">
        <w:t>objective</w:t>
      </w:r>
      <w:r w:rsidR="00177848" w:rsidRPr="00C6052E">
        <w:t xml:space="preserve"> </w:t>
      </w:r>
      <w:r w:rsidRPr="00C6052E">
        <w:t>evidence</w:t>
      </w:r>
      <w:r w:rsidR="00177848" w:rsidRPr="00C6052E">
        <w:t xml:space="preserve"> </w:t>
      </w:r>
      <w:r w:rsidRPr="00C6052E">
        <w:t>that</w:t>
      </w:r>
      <w:r w:rsidR="00177848" w:rsidRPr="00C6052E">
        <w:t xml:space="preserve"> </w:t>
      </w:r>
      <w:r w:rsidRPr="00C6052E">
        <w:t>a</w:t>
      </w:r>
      <w:r w:rsidR="00177848" w:rsidRPr="00C6052E">
        <w:t xml:space="preserve"> </w:t>
      </w:r>
      <w:r w:rsidRPr="00C6052E">
        <w:t>financial</w:t>
      </w:r>
      <w:r w:rsidR="00177848" w:rsidRPr="00C6052E">
        <w:t xml:space="preserve"> </w:t>
      </w:r>
      <w:r w:rsidRPr="00C6052E">
        <w:t>asset</w:t>
      </w:r>
      <w:r w:rsidR="00177848" w:rsidRPr="00C6052E">
        <w:t xml:space="preserve"> </w:t>
      </w:r>
      <w:r w:rsidRPr="00C6052E">
        <w:t>or</w:t>
      </w:r>
      <w:r w:rsidR="00177848" w:rsidRPr="00C6052E">
        <w:t xml:space="preserve"> </w:t>
      </w:r>
      <w:r w:rsidRPr="00C6052E">
        <w:t>group</w:t>
      </w:r>
      <w:r w:rsidR="00177848" w:rsidRPr="00C6052E">
        <w:t xml:space="preserve"> </w:t>
      </w:r>
      <w:r w:rsidRPr="00C6052E">
        <w:t>of</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is</w:t>
      </w:r>
      <w:r w:rsidR="00177848" w:rsidRPr="00C6052E">
        <w:t xml:space="preserve"> </w:t>
      </w:r>
      <w:r w:rsidRPr="00C6052E">
        <w:t>impaired.</w:t>
      </w:r>
      <w:r w:rsidR="00177848" w:rsidRPr="00C6052E">
        <w:t xml:space="preserve"> </w:t>
      </w:r>
      <w:r w:rsidRPr="00C6052E">
        <w:t>All</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except</w:t>
      </w:r>
      <w:r w:rsidR="00177848" w:rsidRPr="00C6052E">
        <w:t xml:space="preserve"> </w:t>
      </w:r>
      <w:r w:rsidRPr="00C6052E">
        <w:t>those</w:t>
      </w:r>
      <w:r w:rsidR="00177848" w:rsidRPr="00C6052E">
        <w:t xml:space="preserve"> </w:t>
      </w:r>
      <w:r w:rsidRPr="00C6052E">
        <w:t>measured</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r w:rsidR="00177848" w:rsidRPr="00C6052E">
        <w:t xml:space="preserve"> </w:t>
      </w:r>
      <w:r w:rsidRPr="00C6052E">
        <w:t>through</w:t>
      </w:r>
      <w:r w:rsidR="00177848" w:rsidRPr="00C6052E">
        <w:t xml:space="preserve"> </w:t>
      </w:r>
      <w:r w:rsidRPr="00C6052E">
        <w:t>profit</w:t>
      </w:r>
      <w:r w:rsidR="00177848" w:rsidRPr="00C6052E">
        <w:t xml:space="preserve"> </w:t>
      </w:r>
      <w:r w:rsidRPr="00C6052E">
        <w:t>or</w:t>
      </w:r>
      <w:r w:rsidR="00177848" w:rsidRPr="00C6052E">
        <w:t xml:space="preserve"> </w:t>
      </w:r>
      <w:r w:rsidRPr="00C6052E">
        <w:t>loss,</w:t>
      </w:r>
      <w:r w:rsidR="00177848" w:rsidRPr="00C6052E">
        <w:t xml:space="preserve"> </w:t>
      </w:r>
      <w:r w:rsidRPr="00C6052E">
        <w:t>are</w:t>
      </w:r>
      <w:r w:rsidR="00177848" w:rsidRPr="00C6052E">
        <w:t xml:space="preserve"> </w:t>
      </w:r>
      <w:r w:rsidRPr="00C6052E">
        <w:t>subject</w:t>
      </w:r>
      <w:r w:rsidR="00177848" w:rsidRPr="00C6052E">
        <w:t xml:space="preserve"> </w:t>
      </w:r>
      <w:r w:rsidRPr="00C6052E">
        <w:t>to</w:t>
      </w:r>
      <w:r w:rsidR="00177848" w:rsidRPr="00C6052E">
        <w:t xml:space="preserve"> </w:t>
      </w:r>
      <w:r w:rsidRPr="00C6052E">
        <w:t>annual</w:t>
      </w:r>
      <w:r w:rsidR="00177848" w:rsidRPr="00C6052E">
        <w:t xml:space="preserve"> </w:t>
      </w:r>
      <w:r w:rsidRPr="00C6052E">
        <w:t>review</w:t>
      </w:r>
      <w:r w:rsidR="00177848" w:rsidRPr="00C6052E">
        <w:t xml:space="preserve"> </w:t>
      </w:r>
      <w:r w:rsidRPr="00C6052E">
        <w:t>for</w:t>
      </w:r>
      <w:r w:rsidR="00177848" w:rsidRPr="00C6052E">
        <w:t xml:space="preserve"> </w:t>
      </w:r>
      <w:r w:rsidRPr="00C6052E">
        <w:t>impairment.</w:t>
      </w:r>
      <w:r w:rsidR="00177848" w:rsidRPr="00C6052E">
        <w:t xml:space="preserve"> </w:t>
      </w:r>
      <w:r w:rsidRPr="00C6052E">
        <w:t>Bad</w:t>
      </w:r>
      <w:r w:rsidR="00177848" w:rsidRPr="00C6052E">
        <w:t xml:space="preserve"> </w:t>
      </w:r>
      <w:r w:rsidRPr="00C6052E">
        <w:t>and</w:t>
      </w:r>
      <w:r w:rsidR="00177848" w:rsidRPr="00C6052E">
        <w:t xml:space="preserve"> </w:t>
      </w:r>
      <w:r w:rsidRPr="00C6052E">
        <w:t>doubtful</w:t>
      </w:r>
      <w:r w:rsidR="00177848" w:rsidRPr="00C6052E">
        <w:t xml:space="preserve"> </w:t>
      </w:r>
      <w:r w:rsidRPr="00C6052E">
        <w:t>debts</w:t>
      </w:r>
      <w:r w:rsidR="00177848" w:rsidRPr="00C6052E">
        <w:t xml:space="preserve"> </w:t>
      </w:r>
      <w:r w:rsidRPr="00C6052E">
        <w:t>are</w:t>
      </w:r>
      <w:r w:rsidR="00177848" w:rsidRPr="00C6052E">
        <w:t xml:space="preserve"> </w:t>
      </w:r>
      <w:r w:rsidRPr="00C6052E">
        <w:t>assessed</w:t>
      </w:r>
      <w:r w:rsidR="00177848" w:rsidRPr="00C6052E">
        <w:t xml:space="preserve"> </w:t>
      </w:r>
      <w:r w:rsidRPr="00C6052E">
        <w:t>on</w:t>
      </w:r>
      <w:r w:rsidR="00177848" w:rsidRPr="00C6052E">
        <w:t xml:space="preserve"> </w:t>
      </w:r>
      <w:r w:rsidRPr="00C6052E">
        <w:t>a</w:t>
      </w:r>
      <w:r w:rsidR="00177848" w:rsidRPr="00C6052E">
        <w:t xml:space="preserve"> </w:t>
      </w:r>
      <w:r w:rsidRPr="00C6052E">
        <w:t>regular</w:t>
      </w:r>
      <w:r w:rsidR="00177848" w:rsidRPr="00C6052E">
        <w:t xml:space="preserve"> </w:t>
      </w:r>
      <w:r w:rsidRPr="00C6052E">
        <w:t>basis.</w:t>
      </w:r>
      <w:r w:rsidR="00177848" w:rsidRPr="00C6052E">
        <w:t xml:space="preserve"> </w:t>
      </w:r>
      <w:r w:rsidRPr="00C6052E">
        <w:t>Those</w:t>
      </w:r>
      <w:r w:rsidR="00177848" w:rsidRPr="00C6052E">
        <w:t xml:space="preserve"> </w:t>
      </w:r>
      <w:r w:rsidRPr="00C6052E">
        <w:t>bad</w:t>
      </w:r>
      <w:r w:rsidR="00177848" w:rsidRPr="00C6052E">
        <w:t xml:space="preserve"> </w:t>
      </w:r>
      <w:r w:rsidRPr="00C6052E">
        <w:t>debts</w:t>
      </w:r>
      <w:r w:rsidR="00177848" w:rsidRPr="00C6052E">
        <w:t xml:space="preserve"> </w:t>
      </w:r>
      <w:r w:rsidRPr="00C6052E">
        <w:t>considered</w:t>
      </w:r>
      <w:r w:rsidR="00177848" w:rsidRPr="00C6052E">
        <w:t xml:space="preserve"> </w:t>
      </w:r>
      <w:r w:rsidRPr="00C6052E">
        <w:t>as</w:t>
      </w:r>
      <w:r w:rsidR="00177848" w:rsidRPr="00C6052E">
        <w:t xml:space="preserve"> </w:t>
      </w:r>
      <w:r w:rsidRPr="00C6052E">
        <w:t>written</w:t>
      </w:r>
      <w:r w:rsidR="00177848" w:rsidRPr="00C6052E">
        <w:t xml:space="preserve"> </w:t>
      </w:r>
      <w:r w:rsidRPr="00C6052E">
        <w:t>off</w:t>
      </w:r>
      <w:r w:rsidR="00177848" w:rsidRPr="00C6052E">
        <w:t xml:space="preserve"> </w:t>
      </w:r>
      <w:r w:rsidRPr="00C6052E">
        <w:t>by</w:t>
      </w:r>
      <w:r w:rsidR="00177848" w:rsidRPr="00C6052E">
        <w:t xml:space="preserve"> </w:t>
      </w:r>
      <w:r w:rsidRPr="00C6052E">
        <w:t>mutual</w:t>
      </w:r>
      <w:r w:rsidR="00177848" w:rsidRPr="00C6052E">
        <w:t xml:space="preserve"> </w:t>
      </w:r>
      <w:r w:rsidRPr="00C6052E">
        <w:t>consent</w:t>
      </w:r>
      <w:r w:rsidR="00177848" w:rsidRPr="00C6052E">
        <w:t xml:space="preserve"> </w:t>
      </w:r>
      <w:r w:rsidRPr="00C6052E">
        <w:t>are</w:t>
      </w:r>
      <w:r w:rsidR="00177848" w:rsidRPr="00C6052E">
        <w:t xml:space="preserve"> </w:t>
      </w:r>
      <w:r w:rsidRPr="00C6052E">
        <w:t>classified</w:t>
      </w:r>
      <w:r w:rsidR="00177848" w:rsidRPr="00C6052E">
        <w:t xml:space="preserve"> </w:t>
      </w:r>
      <w:r w:rsidRPr="00C6052E">
        <w:t>as</w:t>
      </w:r>
      <w:r w:rsidR="00177848" w:rsidRPr="00C6052E">
        <w:t xml:space="preserve"> </w:t>
      </w:r>
      <w:r w:rsidRPr="00C6052E">
        <w:t>an</w:t>
      </w:r>
      <w:r w:rsidR="00177848" w:rsidRPr="00C6052E">
        <w:t xml:space="preserve"> </w:t>
      </w:r>
      <w:r w:rsidRPr="00C6052E">
        <w:t>expense.</w:t>
      </w:r>
      <w:r w:rsidR="00177848" w:rsidRPr="00C6052E">
        <w:t xml:space="preserve"> </w:t>
      </w:r>
      <w:r w:rsidRPr="00C6052E">
        <w:t>The</w:t>
      </w:r>
      <w:r w:rsidR="00177848" w:rsidRPr="00C6052E">
        <w:t xml:space="preserve"> </w:t>
      </w:r>
      <w:r w:rsidRPr="00C6052E">
        <w:t>allowance</w:t>
      </w:r>
      <w:r w:rsidR="00177848" w:rsidRPr="00C6052E">
        <w:t xml:space="preserve"> </w:t>
      </w:r>
      <w:r w:rsidRPr="00C6052E">
        <w:t>for</w:t>
      </w:r>
      <w:r w:rsidR="00177848" w:rsidRPr="00C6052E">
        <w:t xml:space="preserve"> </w:t>
      </w:r>
      <w:r w:rsidRPr="00C6052E">
        <w:t>doubtful</w:t>
      </w:r>
      <w:r w:rsidR="00177848" w:rsidRPr="00C6052E">
        <w:t xml:space="preserve"> </w:t>
      </w:r>
      <w:r w:rsidRPr="00C6052E">
        <w:t>receivables</w:t>
      </w:r>
      <w:r w:rsidR="00177848" w:rsidRPr="00C6052E">
        <w:t xml:space="preserve"> </w:t>
      </w:r>
      <w:r w:rsidRPr="00C6052E">
        <w:t>and</w:t>
      </w:r>
      <w:r w:rsidR="00177848" w:rsidRPr="00C6052E">
        <w:t xml:space="preserve"> </w:t>
      </w:r>
      <w:r w:rsidRPr="00C6052E">
        <w:t>bad</w:t>
      </w:r>
      <w:r w:rsidR="00177848" w:rsidRPr="00C6052E">
        <w:t xml:space="preserve"> </w:t>
      </w:r>
      <w:r w:rsidRPr="00C6052E">
        <w:t>debts</w:t>
      </w:r>
      <w:r w:rsidR="00177848" w:rsidRPr="00C6052E">
        <w:t xml:space="preserve"> </w:t>
      </w:r>
      <w:r w:rsidRPr="00C6052E">
        <w:t>not</w:t>
      </w:r>
      <w:r w:rsidR="00177848" w:rsidRPr="00C6052E">
        <w:t xml:space="preserve"> </w:t>
      </w:r>
      <w:r w:rsidRPr="00C6052E">
        <w:t>written</w:t>
      </w:r>
      <w:r w:rsidR="00177848" w:rsidRPr="00C6052E">
        <w:t xml:space="preserve"> </w:t>
      </w:r>
      <w:r w:rsidRPr="00C6052E">
        <w:t>off</w:t>
      </w:r>
      <w:r w:rsidR="00177848" w:rsidRPr="00C6052E">
        <w:t xml:space="preserve"> </w:t>
      </w:r>
      <w:r w:rsidRPr="00C6052E">
        <w:t>by</w:t>
      </w:r>
      <w:r w:rsidR="00177848" w:rsidRPr="00C6052E">
        <w:t xml:space="preserve"> </w:t>
      </w:r>
      <w:r w:rsidRPr="00C6052E">
        <w:t>mutual</w:t>
      </w:r>
      <w:r w:rsidR="00177848" w:rsidRPr="00C6052E">
        <w:t xml:space="preserve"> </w:t>
      </w:r>
      <w:r w:rsidRPr="00C6052E">
        <w:t>consent</w:t>
      </w:r>
      <w:r w:rsidR="00177848" w:rsidRPr="00C6052E">
        <w:t xml:space="preserve"> </w:t>
      </w:r>
      <w:r w:rsidRPr="00C6052E">
        <w:t>are</w:t>
      </w:r>
      <w:r w:rsidR="00177848" w:rsidRPr="00C6052E">
        <w:t xml:space="preserve"> </w:t>
      </w:r>
      <w:r w:rsidRPr="00C6052E">
        <w:t>adjusted</w:t>
      </w:r>
      <w:r w:rsidR="00177848" w:rsidRPr="00C6052E">
        <w:t xml:space="preserve"> </w:t>
      </w:r>
      <w:r w:rsidRPr="00C6052E">
        <w:t>as</w:t>
      </w:r>
      <w:r w:rsidR="00177848" w:rsidRPr="00C6052E">
        <w:t xml:space="preserve"> </w:t>
      </w:r>
      <w:r w:rsidRPr="00C6052E">
        <w:t>other</w:t>
      </w:r>
      <w:r w:rsidR="00177848" w:rsidRPr="00C6052E">
        <w:t xml:space="preserve"> </w:t>
      </w:r>
      <w:r w:rsidRPr="00C6052E">
        <w:t>economic</w:t>
      </w:r>
      <w:r w:rsidR="00177848" w:rsidRPr="00C6052E">
        <w:t xml:space="preserve"> </w:t>
      </w:r>
      <w:r w:rsidRPr="00C6052E">
        <w:t>flows.</w:t>
      </w:r>
      <w:r w:rsidR="00177848" w:rsidRPr="00C6052E">
        <w:t xml:space="preserve"> </w:t>
      </w:r>
      <w:r w:rsidRPr="00C6052E">
        <w:t>Full</w:t>
      </w:r>
      <w:r w:rsidR="00177848" w:rsidRPr="00C6052E">
        <w:t xml:space="preserve"> </w:t>
      </w:r>
      <w:r w:rsidRPr="00C6052E">
        <w:t>allowance,</w:t>
      </w:r>
      <w:r w:rsidR="00177848" w:rsidRPr="00C6052E">
        <w:t xml:space="preserve"> </w:t>
      </w:r>
      <w:r w:rsidRPr="00C6052E">
        <w:t>instead</w:t>
      </w:r>
      <w:r w:rsidR="00177848" w:rsidRPr="00C6052E">
        <w:t xml:space="preserve"> </w:t>
      </w:r>
      <w:r w:rsidRPr="00C6052E">
        <w:t>of</w:t>
      </w:r>
      <w:r w:rsidR="00177848" w:rsidRPr="00C6052E">
        <w:t xml:space="preserve"> </w:t>
      </w:r>
      <w:r w:rsidRPr="00C6052E">
        <w:t>estimates</w:t>
      </w:r>
      <w:r w:rsidR="00177848" w:rsidRPr="00C6052E">
        <w:t xml:space="preserve"> </w:t>
      </w:r>
      <w:r w:rsidRPr="00C6052E">
        <w:t>for</w:t>
      </w:r>
      <w:r w:rsidR="00177848" w:rsidRPr="00C6052E">
        <w:t xml:space="preserve"> </w:t>
      </w:r>
      <w:r w:rsidRPr="00C6052E">
        <w:t>doubtful</w:t>
      </w:r>
      <w:r w:rsidR="00177848" w:rsidRPr="00C6052E">
        <w:t xml:space="preserve"> </w:t>
      </w:r>
      <w:r w:rsidRPr="00C6052E">
        <w:t>receivables</w:t>
      </w:r>
      <w:r w:rsidR="00177848" w:rsidRPr="00C6052E">
        <w:t xml:space="preserve"> </w:t>
      </w:r>
      <w:r w:rsidRPr="00C6052E">
        <w:t>are</w:t>
      </w:r>
      <w:r w:rsidR="00177848" w:rsidRPr="00C6052E">
        <w:t xml:space="preserve"> </w:t>
      </w:r>
      <w:r w:rsidRPr="00C6052E">
        <w:t>made</w:t>
      </w:r>
      <w:r w:rsidR="00177848" w:rsidRPr="00C6052E">
        <w:t xml:space="preserve"> </w:t>
      </w:r>
      <w:r w:rsidRPr="00C6052E">
        <w:t>upon</w:t>
      </w:r>
      <w:r w:rsidR="00177848" w:rsidRPr="00C6052E">
        <w:t xml:space="preserve"> </w:t>
      </w:r>
      <w:r w:rsidRPr="00C6052E">
        <w:t>earliest</w:t>
      </w:r>
      <w:r w:rsidR="00177848" w:rsidRPr="00C6052E">
        <w:t xml:space="preserve"> </w:t>
      </w:r>
      <w:r w:rsidRPr="00C6052E">
        <w:t>notification</w:t>
      </w:r>
      <w:r w:rsidR="00177848" w:rsidRPr="00C6052E">
        <w:t xml:space="preserve"> </w:t>
      </w:r>
      <w:r w:rsidRPr="00C6052E">
        <w:t>of</w:t>
      </w:r>
      <w:r w:rsidR="00177848" w:rsidRPr="00C6052E">
        <w:t xml:space="preserve"> </w:t>
      </w:r>
      <w:r w:rsidRPr="00C6052E">
        <w:t>payment</w:t>
      </w:r>
      <w:r w:rsidR="00177848" w:rsidRPr="00C6052E">
        <w:t xml:space="preserve"> </w:t>
      </w:r>
      <w:r w:rsidRPr="00C6052E">
        <w:t>to</w:t>
      </w:r>
      <w:r w:rsidR="00177848" w:rsidRPr="00C6052E">
        <w:t xml:space="preserve"> </w:t>
      </w:r>
      <w:r w:rsidRPr="00C6052E">
        <w:t>ineligible</w:t>
      </w:r>
      <w:r w:rsidR="00177848" w:rsidRPr="00C6052E">
        <w:t xml:space="preserve"> </w:t>
      </w:r>
      <w:r w:rsidRPr="00C6052E">
        <w:t>grantees</w:t>
      </w:r>
      <w:r w:rsidR="00177848" w:rsidRPr="00C6052E">
        <w:t xml:space="preserve"> </w:t>
      </w:r>
      <w:r w:rsidRPr="00C6052E">
        <w:t>or</w:t>
      </w:r>
      <w:r w:rsidR="00177848" w:rsidRPr="00C6052E">
        <w:t xml:space="preserve"> </w:t>
      </w:r>
      <w:r w:rsidRPr="00C6052E">
        <w:t>collectability</w:t>
      </w:r>
      <w:r w:rsidR="00177848" w:rsidRPr="00C6052E">
        <w:t xml:space="preserve"> </w:t>
      </w:r>
      <w:r w:rsidRPr="00C6052E">
        <w:t>concerns</w:t>
      </w:r>
      <w:r w:rsidR="00177848" w:rsidRPr="00C6052E">
        <w:t xml:space="preserve"> </w:t>
      </w:r>
      <w:r w:rsidRPr="00C6052E">
        <w:t>arise.</w:t>
      </w:r>
      <w:r w:rsidR="00177848" w:rsidRPr="00C6052E">
        <w:t xml:space="preserve"> </w:t>
      </w:r>
      <w:r w:rsidRPr="00C6052E">
        <w:t>No</w:t>
      </w:r>
      <w:r w:rsidR="00177848" w:rsidRPr="00C6052E">
        <w:t xml:space="preserve"> </w:t>
      </w:r>
      <w:r w:rsidRPr="00C6052E">
        <w:t>further</w:t>
      </w:r>
      <w:r w:rsidR="00177848" w:rsidRPr="00C6052E">
        <w:t xml:space="preserve"> </w:t>
      </w:r>
      <w:r w:rsidRPr="00C6052E">
        <w:t>adjustments</w:t>
      </w:r>
      <w:r w:rsidR="00177848" w:rsidRPr="00C6052E">
        <w:t xml:space="preserve"> </w:t>
      </w:r>
      <w:r w:rsidRPr="00C6052E">
        <w:t>or</w:t>
      </w:r>
      <w:r w:rsidR="00177848" w:rsidRPr="00C6052E">
        <w:t xml:space="preserve"> </w:t>
      </w:r>
      <w:r w:rsidRPr="00C6052E">
        <w:lastRenderedPageBreak/>
        <w:t>provisions</w:t>
      </w:r>
      <w:r w:rsidR="00177848" w:rsidRPr="00C6052E">
        <w:t xml:space="preserve"> </w:t>
      </w:r>
      <w:r w:rsidRPr="00C6052E">
        <w:t>have</w:t>
      </w:r>
      <w:r w:rsidR="00177848" w:rsidRPr="00C6052E">
        <w:t xml:space="preserve"> </w:t>
      </w:r>
      <w:r w:rsidRPr="00C6052E">
        <w:t>been</w:t>
      </w:r>
      <w:r w:rsidR="00177848" w:rsidRPr="00C6052E">
        <w:t xml:space="preserve"> </w:t>
      </w:r>
      <w:r w:rsidRPr="00C6052E">
        <w:t>made,</w:t>
      </w:r>
      <w:r w:rsidR="00177848" w:rsidRPr="00C6052E">
        <w:t xml:space="preserve"> </w:t>
      </w:r>
      <w:r w:rsidRPr="00C6052E">
        <w:t>as</w:t>
      </w:r>
      <w:r w:rsidR="00177848" w:rsidRPr="00C6052E">
        <w:t xml:space="preserve"> </w:t>
      </w:r>
      <w:r w:rsidRPr="00C6052E">
        <w:t>DJSIR’s</w:t>
      </w:r>
      <w:r w:rsidR="00177848" w:rsidRPr="00C6052E">
        <w:t xml:space="preserve"> </w:t>
      </w:r>
      <w:r w:rsidRPr="00C6052E">
        <w:t>debtors</w:t>
      </w:r>
      <w:r w:rsidR="00177848" w:rsidRPr="00C6052E">
        <w:t xml:space="preserve"> </w:t>
      </w:r>
      <w:r w:rsidRPr="00C6052E">
        <w:t>are</w:t>
      </w:r>
      <w:r w:rsidR="00177848" w:rsidRPr="00C6052E">
        <w:t xml:space="preserve"> </w:t>
      </w:r>
      <w:r w:rsidRPr="00C6052E">
        <w:t>predominantly</w:t>
      </w:r>
      <w:r w:rsidR="00177848" w:rsidRPr="00C6052E">
        <w:t xml:space="preserve"> </w:t>
      </w:r>
      <w:r w:rsidRPr="00C6052E">
        <w:t>government</w:t>
      </w:r>
      <w:r w:rsidR="00177848" w:rsidRPr="00C6052E">
        <w:t xml:space="preserve"> </w:t>
      </w:r>
      <w:r w:rsidRPr="00C6052E">
        <w:t>entities</w:t>
      </w:r>
      <w:r w:rsidR="00177848" w:rsidRPr="00C6052E">
        <w:t xml:space="preserve"> </w:t>
      </w:r>
      <w:r w:rsidRPr="00C6052E">
        <w:t>and</w:t>
      </w:r>
      <w:r w:rsidR="00177848" w:rsidRPr="00C6052E">
        <w:t xml:space="preserve"> </w:t>
      </w:r>
      <w:r w:rsidRPr="00C6052E">
        <w:t>assessed</w:t>
      </w:r>
      <w:r w:rsidR="00177848" w:rsidRPr="00C6052E">
        <w:t xml:space="preserve"> </w:t>
      </w:r>
      <w:r w:rsidRPr="00C6052E">
        <w:t>as</w:t>
      </w:r>
      <w:r w:rsidR="00177848" w:rsidRPr="00C6052E">
        <w:t xml:space="preserve"> </w:t>
      </w:r>
      <w:r w:rsidRPr="00C6052E">
        <w:t>low</w:t>
      </w:r>
      <w:r w:rsidR="00177848" w:rsidRPr="00C6052E">
        <w:t xml:space="preserve"> </w:t>
      </w:r>
      <w:r w:rsidRPr="00C6052E">
        <w:t>credit</w:t>
      </w:r>
      <w:r w:rsidR="00177848" w:rsidRPr="00C6052E">
        <w:t xml:space="preserve"> </w:t>
      </w:r>
      <w:r w:rsidRPr="00C6052E">
        <w:t>risk</w:t>
      </w:r>
      <w:r w:rsidR="00177848" w:rsidRPr="00C6052E">
        <w:t xml:space="preserve"> </w:t>
      </w:r>
      <w:r w:rsidRPr="00C6052E">
        <w:t>entities.</w:t>
      </w:r>
    </w:p>
    <w:tbl>
      <w:tblPr>
        <w:tblStyle w:val="TableGrid"/>
        <w:tblW w:w="9651" w:type="dxa"/>
        <w:tblLayout w:type="fixed"/>
        <w:tblLook w:val="04E0" w:firstRow="1" w:lastRow="1" w:firstColumn="1" w:lastColumn="0" w:noHBand="0" w:noVBand="1"/>
      </w:tblPr>
      <w:tblGrid>
        <w:gridCol w:w="3539"/>
        <w:gridCol w:w="1020"/>
        <w:gridCol w:w="1074"/>
        <w:gridCol w:w="1020"/>
        <w:gridCol w:w="1074"/>
        <w:gridCol w:w="1074"/>
        <w:gridCol w:w="850"/>
      </w:tblGrid>
      <w:tr w:rsidR="00EE5BB8" w:rsidRPr="00C6052E" w14:paraId="004E9C1F" w14:textId="77777777" w:rsidTr="00B66698">
        <w:tc>
          <w:tcPr>
            <w:tcW w:w="3539" w:type="dxa"/>
            <w:hideMark/>
          </w:tcPr>
          <w:p w14:paraId="4FAE3B46" w14:textId="77777777" w:rsidR="00EE5BB8" w:rsidRPr="00C6052E" w:rsidRDefault="00EE5BB8" w:rsidP="0035690A">
            <w:pPr>
              <w:pStyle w:val="TableColumnHeading"/>
            </w:pPr>
            <w:bookmarkStart w:id="322" w:name="TableColumnHeadings_93"/>
            <w:bookmarkEnd w:id="322"/>
          </w:p>
        </w:tc>
        <w:tc>
          <w:tcPr>
            <w:tcW w:w="1020" w:type="dxa"/>
            <w:hideMark/>
          </w:tcPr>
          <w:p w14:paraId="6A24BA34" w14:textId="4D8ED385" w:rsidR="00EE5BB8" w:rsidRPr="00C6052E" w:rsidRDefault="00EE5BB8" w:rsidP="00B66698">
            <w:pPr>
              <w:pStyle w:val="TableColumnHeading"/>
              <w:jc w:val="right"/>
            </w:pPr>
            <w:r w:rsidRPr="00C6052E">
              <w:t>Current</w:t>
            </w:r>
            <w:r w:rsidR="00B66698">
              <w:br/>
            </w:r>
            <w:r w:rsidR="00B66698" w:rsidRPr="00C6052E">
              <w:rPr>
                <w:lang w:val="en-AU"/>
              </w:rPr>
              <w:t xml:space="preserve">($ </w:t>
            </w:r>
            <w:r w:rsidR="00B66698">
              <w:rPr>
                <w:lang w:val="en-AU"/>
              </w:rPr>
              <w:t>‘000</w:t>
            </w:r>
            <w:r w:rsidR="00B66698" w:rsidRPr="00C6052E">
              <w:rPr>
                <w:lang w:val="en-AU"/>
              </w:rPr>
              <w:t>)</w:t>
            </w:r>
          </w:p>
        </w:tc>
        <w:tc>
          <w:tcPr>
            <w:tcW w:w="1074" w:type="dxa"/>
            <w:hideMark/>
          </w:tcPr>
          <w:p w14:paraId="1E084B90" w14:textId="02981459" w:rsidR="00EE5BB8" w:rsidRPr="00C6052E" w:rsidRDefault="00EE5BB8" w:rsidP="00B66698">
            <w:pPr>
              <w:pStyle w:val="TableColumnHeading"/>
              <w:jc w:val="right"/>
              <w:rPr>
                <w:lang w:val="en-AU"/>
              </w:rPr>
            </w:pPr>
            <w:r w:rsidRPr="00C6052E">
              <w:rPr>
                <w:lang w:val="en-AU"/>
              </w:rPr>
              <w:t>Less</w:t>
            </w:r>
            <w:r w:rsidR="00B1545C" w:rsidRPr="00C6052E">
              <w:rPr>
                <w:lang w:val="en-AU"/>
              </w:rPr>
              <w:t xml:space="preserve"> </w:t>
            </w:r>
            <w:r w:rsidRPr="00C6052E">
              <w:rPr>
                <w:lang w:val="en-AU"/>
              </w:rPr>
              <w:t>than</w:t>
            </w:r>
            <w:r w:rsidR="00177848" w:rsidRPr="00C6052E">
              <w:rPr>
                <w:lang w:val="en-AU"/>
              </w:rPr>
              <w:t xml:space="preserve"> </w:t>
            </w:r>
            <w:r w:rsidRPr="00C6052E">
              <w:rPr>
                <w:lang w:val="en-AU"/>
              </w:rPr>
              <w:t>1</w:t>
            </w:r>
            <w:r w:rsidR="00177848" w:rsidRPr="00C6052E">
              <w:rPr>
                <w:lang w:val="en-AU"/>
              </w:rPr>
              <w:t xml:space="preserve"> </w:t>
            </w:r>
            <w:r w:rsidRPr="00C6052E">
              <w:rPr>
                <w:lang w:val="en-AU"/>
              </w:rPr>
              <w:t>month</w:t>
            </w:r>
            <w:r w:rsidR="00B66698">
              <w:rPr>
                <w:lang w:val="en-AU"/>
              </w:rPr>
              <w:br/>
            </w:r>
            <w:r w:rsidR="00B66698" w:rsidRPr="00C6052E">
              <w:rPr>
                <w:lang w:val="en-AU"/>
              </w:rPr>
              <w:t xml:space="preserve">($ </w:t>
            </w:r>
            <w:r w:rsidR="00B66698">
              <w:rPr>
                <w:lang w:val="en-AU"/>
              </w:rPr>
              <w:t>‘000</w:t>
            </w:r>
            <w:r w:rsidR="00B66698" w:rsidRPr="00C6052E">
              <w:rPr>
                <w:lang w:val="en-AU"/>
              </w:rPr>
              <w:t>)</w:t>
            </w:r>
          </w:p>
        </w:tc>
        <w:tc>
          <w:tcPr>
            <w:tcW w:w="1020" w:type="dxa"/>
            <w:hideMark/>
          </w:tcPr>
          <w:p w14:paraId="3F4791A7" w14:textId="0D82E34C" w:rsidR="00EE5BB8" w:rsidRPr="00C6052E" w:rsidRDefault="00EE5BB8" w:rsidP="00B66698">
            <w:pPr>
              <w:pStyle w:val="TableColumnHeading"/>
              <w:jc w:val="right"/>
              <w:rPr>
                <w:lang w:val="en-AU"/>
              </w:rPr>
            </w:pPr>
            <w:r w:rsidRPr="00C6052E">
              <w:rPr>
                <w:lang w:val="en-AU"/>
              </w:rPr>
              <w:t>1-3</w:t>
            </w:r>
            <w:r w:rsidR="00B1545C" w:rsidRPr="00C6052E">
              <w:rPr>
                <w:lang w:val="en-AU"/>
              </w:rPr>
              <w:t xml:space="preserve"> </w:t>
            </w:r>
            <w:r w:rsidRPr="00C6052E">
              <w:rPr>
                <w:lang w:val="en-AU"/>
              </w:rPr>
              <w:t>months</w:t>
            </w:r>
            <w:r w:rsidR="00B66698">
              <w:rPr>
                <w:lang w:val="en-AU"/>
              </w:rPr>
              <w:br/>
            </w:r>
            <w:r w:rsidR="00B66698" w:rsidRPr="00C6052E">
              <w:rPr>
                <w:lang w:val="en-AU"/>
              </w:rPr>
              <w:t xml:space="preserve">($ </w:t>
            </w:r>
            <w:r w:rsidR="00B66698">
              <w:rPr>
                <w:lang w:val="en-AU"/>
              </w:rPr>
              <w:t>‘000</w:t>
            </w:r>
            <w:r w:rsidR="00B66698" w:rsidRPr="00C6052E">
              <w:rPr>
                <w:lang w:val="en-AU"/>
              </w:rPr>
              <w:t>)</w:t>
            </w:r>
          </w:p>
        </w:tc>
        <w:tc>
          <w:tcPr>
            <w:tcW w:w="1074" w:type="dxa"/>
            <w:hideMark/>
          </w:tcPr>
          <w:p w14:paraId="37AB924E" w14:textId="09558F26" w:rsidR="00EE5BB8" w:rsidRPr="00C6052E" w:rsidRDefault="00EE5BB8" w:rsidP="00B66698">
            <w:pPr>
              <w:pStyle w:val="TableColumnHeading"/>
              <w:jc w:val="right"/>
              <w:rPr>
                <w:lang w:val="en-AU"/>
              </w:rPr>
            </w:pPr>
            <w:r w:rsidRPr="00C6052E">
              <w:rPr>
                <w:lang w:val="en-AU"/>
              </w:rPr>
              <w:t>3</w:t>
            </w:r>
            <w:r w:rsidR="00B1545C" w:rsidRPr="00C6052E">
              <w:rPr>
                <w:lang w:val="en-AU"/>
              </w:rPr>
              <w:t xml:space="preserve"> </w:t>
            </w:r>
            <w:r w:rsidRPr="00C6052E">
              <w:rPr>
                <w:lang w:val="en-AU"/>
              </w:rPr>
              <w:t>months-1</w:t>
            </w:r>
            <w:r w:rsidR="00177848" w:rsidRPr="00C6052E">
              <w:rPr>
                <w:lang w:val="en-AU"/>
              </w:rPr>
              <w:t xml:space="preserve"> </w:t>
            </w:r>
            <w:r w:rsidRPr="00C6052E">
              <w:rPr>
                <w:lang w:val="en-AU"/>
              </w:rPr>
              <w:t>year</w:t>
            </w:r>
            <w:r w:rsidR="00B66698">
              <w:rPr>
                <w:lang w:val="en-AU"/>
              </w:rPr>
              <w:br/>
            </w:r>
            <w:r w:rsidR="00B66698" w:rsidRPr="00C6052E">
              <w:rPr>
                <w:lang w:val="en-AU"/>
              </w:rPr>
              <w:t xml:space="preserve">($ </w:t>
            </w:r>
            <w:r w:rsidR="00B66698">
              <w:rPr>
                <w:lang w:val="en-AU"/>
              </w:rPr>
              <w:t>‘000</w:t>
            </w:r>
            <w:r w:rsidR="00B66698" w:rsidRPr="00C6052E">
              <w:rPr>
                <w:lang w:val="en-AU"/>
              </w:rPr>
              <w:t>)</w:t>
            </w:r>
          </w:p>
        </w:tc>
        <w:tc>
          <w:tcPr>
            <w:tcW w:w="1074" w:type="dxa"/>
            <w:hideMark/>
          </w:tcPr>
          <w:p w14:paraId="4C187D9F" w14:textId="7B941641" w:rsidR="00EE5BB8" w:rsidRPr="00C6052E" w:rsidRDefault="00EE5BB8" w:rsidP="00B66698">
            <w:pPr>
              <w:pStyle w:val="TableColumnHeading"/>
              <w:jc w:val="right"/>
              <w:rPr>
                <w:lang w:val="en-AU"/>
              </w:rPr>
            </w:pPr>
            <w:r w:rsidRPr="00C6052E">
              <w:rPr>
                <w:lang w:val="en-AU"/>
              </w:rPr>
              <w:t>1-5</w:t>
            </w:r>
            <w:r w:rsidR="00B1545C" w:rsidRPr="00C6052E">
              <w:rPr>
                <w:lang w:val="en-AU"/>
              </w:rPr>
              <w:t xml:space="preserve"> </w:t>
            </w:r>
            <w:r w:rsidRPr="00C6052E">
              <w:rPr>
                <w:lang w:val="en-AU"/>
              </w:rPr>
              <w:t>year</w:t>
            </w:r>
            <w:r w:rsidR="00B66698">
              <w:rPr>
                <w:lang w:val="en-AU"/>
              </w:rPr>
              <w:br/>
            </w:r>
            <w:r w:rsidR="00B66698" w:rsidRPr="00C6052E">
              <w:rPr>
                <w:lang w:val="en-AU"/>
              </w:rPr>
              <w:t xml:space="preserve">($ </w:t>
            </w:r>
            <w:r w:rsidR="00B66698">
              <w:rPr>
                <w:lang w:val="en-AU"/>
              </w:rPr>
              <w:t>‘000</w:t>
            </w:r>
            <w:r w:rsidR="00B66698" w:rsidRPr="00C6052E">
              <w:rPr>
                <w:lang w:val="en-AU"/>
              </w:rPr>
              <w:t>)</w:t>
            </w:r>
          </w:p>
        </w:tc>
        <w:tc>
          <w:tcPr>
            <w:tcW w:w="850" w:type="dxa"/>
            <w:hideMark/>
          </w:tcPr>
          <w:p w14:paraId="62981AF2" w14:textId="76112769" w:rsidR="00EE5BB8" w:rsidRPr="00C6052E" w:rsidRDefault="00EE5BB8" w:rsidP="00B66698">
            <w:pPr>
              <w:pStyle w:val="TableColumnHeading"/>
              <w:jc w:val="right"/>
            </w:pPr>
            <w:r w:rsidRPr="00C6052E">
              <w:t>Total</w:t>
            </w:r>
            <w:r w:rsidR="00B66698">
              <w:br/>
            </w:r>
            <w:r w:rsidR="00B66698" w:rsidRPr="00C6052E">
              <w:rPr>
                <w:lang w:val="en-AU"/>
              </w:rPr>
              <w:t xml:space="preserve">($ </w:t>
            </w:r>
            <w:r w:rsidR="00B66698">
              <w:rPr>
                <w:lang w:val="en-AU"/>
              </w:rPr>
              <w:t>‘000</w:t>
            </w:r>
            <w:r w:rsidR="00B66698" w:rsidRPr="00C6052E">
              <w:rPr>
                <w:lang w:val="en-AU"/>
              </w:rPr>
              <w:t>)</w:t>
            </w:r>
          </w:p>
        </w:tc>
      </w:tr>
      <w:tr w:rsidR="00B66698" w:rsidRPr="00C6052E" w14:paraId="5184B8C0" w14:textId="77777777" w:rsidTr="00B66698">
        <w:tc>
          <w:tcPr>
            <w:tcW w:w="3539" w:type="dxa"/>
          </w:tcPr>
          <w:p w14:paraId="3B1FEA09" w14:textId="3C282DA7" w:rsidR="00B66698" w:rsidRPr="00C6052E" w:rsidRDefault="00B66698" w:rsidP="0023569F">
            <w:pPr>
              <w:pStyle w:val="TableHeading"/>
            </w:pPr>
            <w:r w:rsidRPr="00C6052E">
              <w:t>30 June 2025</w:t>
            </w:r>
          </w:p>
        </w:tc>
        <w:tc>
          <w:tcPr>
            <w:tcW w:w="1020" w:type="dxa"/>
            <w:noWrap/>
          </w:tcPr>
          <w:p w14:paraId="5262357B" w14:textId="77777777" w:rsidR="00B66698" w:rsidRPr="00C6052E" w:rsidRDefault="00B66698" w:rsidP="00B66698">
            <w:pPr>
              <w:pStyle w:val="TableHeading"/>
              <w:jc w:val="right"/>
            </w:pPr>
          </w:p>
        </w:tc>
        <w:tc>
          <w:tcPr>
            <w:tcW w:w="1074" w:type="dxa"/>
            <w:noWrap/>
          </w:tcPr>
          <w:p w14:paraId="1CAAA433" w14:textId="77777777" w:rsidR="00B66698" w:rsidRPr="00C6052E" w:rsidRDefault="00B66698" w:rsidP="00B66698">
            <w:pPr>
              <w:pStyle w:val="TableHeading"/>
              <w:jc w:val="right"/>
            </w:pPr>
          </w:p>
        </w:tc>
        <w:tc>
          <w:tcPr>
            <w:tcW w:w="1020" w:type="dxa"/>
            <w:noWrap/>
          </w:tcPr>
          <w:p w14:paraId="5969FD4F" w14:textId="77777777" w:rsidR="00B66698" w:rsidRPr="00C6052E" w:rsidRDefault="00B66698" w:rsidP="00B66698">
            <w:pPr>
              <w:pStyle w:val="TableHeading"/>
              <w:jc w:val="right"/>
            </w:pPr>
          </w:p>
        </w:tc>
        <w:tc>
          <w:tcPr>
            <w:tcW w:w="1074" w:type="dxa"/>
            <w:noWrap/>
          </w:tcPr>
          <w:p w14:paraId="5227B629" w14:textId="77777777" w:rsidR="00B66698" w:rsidRPr="00C6052E" w:rsidRDefault="00B66698" w:rsidP="00B66698">
            <w:pPr>
              <w:pStyle w:val="TableHeading"/>
              <w:jc w:val="right"/>
            </w:pPr>
          </w:p>
        </w:tc>
        <w:tc>
          <w:tcPr>
            <w:tcW w:w="1074" w:type="dxa"/>
            <w:noWrap/>
          </w:tcPr>
          <w:p w14:paraId="58842367" w14:textId="77777777" w:rsidR="00B66698" w:rsidRPr="00C6052E" w:rsidRDefault="00B66698" w:rsidP="00B66698">
            <w:pPr>
              <w:pStyle w:val="TableHeading"/>
              <w:jc w:val="right"/>
            </w:pPr>
          </w:p>
        </w:tc>
        <w:tc>
          <w:tcPr>
            <w:tcW w:w="850" w:type="dxa"/>
            <w:noWrap/>
          </w:tcPr>
          <w:p w14:paraId="604EFE75" w14:textId="77777777" w:rsidR="00B66698" w:rsidRPr="00C6052E" w:rsidRDefault="00B66698" w:rsidP="00B66698">
            <w:pPr>
              <w:pStyle w:val="TableHeading"/>
              <w:jc w:val="right"/>
            </w:pPr>
          </w:p>
        </w:tc>
      </w:tr>
      <w:tr w:rsidR="00EE5BB8" w:rsidRPr="00C6052E" w14:paraId="775B23A6" w14:textId="77777777" w:rsidTr="00B66698">
        <w:tc>
          <w:tcPr>
            <w:tcW w:w="3539" w:type="dxa"/>
            <w:hideMark/>
          </w:tcPr>
          <w:p w14:paraId="60479236" w14:textId="26E5E122" w:rsidR="00EE5BB8" w:rsidRPr="00C6052E" w:rsidRDefault="00EE5BB8" w:rsidP="0063097D">
            <w:pPr>
              <w:pStyle w:val="TableCopy"/>
            </w:pPr>
            <w:r w:rsidRPr="00C6052E">
              <w:t>Loss</w:t>
            </w:r>
            <w:r w:rsidR="00177848" w:rsidRPr="00C6052E">
              <w:t xml:space="preserve"> </w:t>
            </w:r>
            <w:r w:rsidRPr="00C6052E">
              <w:t>allowance</w:t>
            </w:r>
            <w:r w:rsidR="00177848" w:rsidRPr="00C6052E">
              <w:t xml:space="preserve"> </w:t>
            </w:r>
            <w:r w:rsidRPr="00C6052E">
              <w:t>(%)</w:t>
            </w:r>
          </w:p>
        </w:tc>
        <w:tc>
          <w:tcPr>
            <w:tcW w:w="1020" w:type="dxa"/>
            <w:noWrap/>
            <w:hideMark/>
          </w:tcPr>
          <w:p w14:paraId="34C10952" w14:textId="77777777" w:rsidR="00EE5BB8" w:rsidRPr="00C6052E" w:rsidRDefault="00EE5BB8" w:rsidP="00B66698">
            <w:pPr>
              <w:pStyle w:val="TableCopy"/>
              <w:jc w:val="right"/>
            </w:pPr>
            <w:r w:rsidRPr="00C6052E">
              <w:t>0.0%</w:t>
            </w:r>
          </w:p>
        </w:tc>
        <w:tc>
          <w:tcPr>
            <w:tcW w:w="1074" w:type="dxa"/>
            <w:noWrap/>
            <w:hideMark/>
          </w:tcPr>
          <w:p w14:paraId="6C8F5140" w14:textId="77777777" w:rsidR="00EE5BB8" w:rsidRPr="00C6052E" w:rsidRDefault="00EE5BB8" w:rsidP="00B66698">
            <w:pPr>
              <w:pStyle w:val="TableCopy"/>
              <w:jc w:val="right"/>
            </w:pPr>
            <w:r w:rsidRPr="00C6052E">
              <w:t>0.0%</w:t>
            </w:r>
          </w:p>
        </w:tc>
        <w:tc>
          <w:tcPr>
            <w:tcW w:w="1020" w:type="dxa"/>
            <w:noWrap/>
            <w:hideMark/>
          </w:tcPr>
          <w:p w14:paraId="512CE282" w14:textId="77777777" w:rsidR="00EE5BB8" w:rsidRPr="00C6052E" w:rsidRDefault="00EE5BB8" w:rsidP="00B66698">
            <w:pPr>
              <w:pStyle w:val="TableCopy"/>
              <w:jc w:val="right"/>
            </w:pPr>
            <w:r w:rsidRPr="00C6052E">
              <w:t>0.0%</w:t>
            </w:r>
          </w:p>
        </w:tc>
        <w:tc>
          <w:tcPr>
            <w:tcW w:w="1074" w:type="dxa"/>
            <w:noWrap/>
            <w:hideMark/>
          </w:tcPr>
          <w:p w14:paraId="41FA828C" w14:textId="77777777" w:rsidR="00EE5BB8" w:rsidRPr="00C6052E" w:rsidRDefault="00EE5BB8" w:rsidP="00B66698">
            <w:pPr>
              <w:pStyle w:val="TableCopy"/>
              <w:jc w:val="right"/>
            </w:pPr>
            <w:r w:rsidRPr="00C6052E">
              <w:t>0.0%</w:t>
            </w:r>
          </w:p>
        </w:tc>
        <w:tc>
          <w:tcPr>
            <w:tcW w:w="1074" w:type="dxa"/>
            <w:noWrap/>
            <w:hideMark/>
          </w:tcPr>
          <w:p w14:paraId="426F0F39" w14:textId="77777777" w:rsidR="00EE5BB8" w:rsidRPr="00C6052E" w:rsidRDefault="00EE5BB8" w:rsidP="00B66698">
            <w:pPr>
              <w:pStyle w:val="TableCopy"/>
              <w:jc w:val="right"/>
            </w:pPr>
            <w:r w:rsidRPr="00C6052E">
              <w:t>26.2%</w:t>
            </w:r>
          </w:p>
        </w:tc>
        <w:tc>
          <w:tcPr>
            <w:tcW w:w="850" w:type="dxa"/>
            <w:noWrap/>
            <w:hideMark/>
          </w:tcPr>
          <w:p w14:paraId="39A7D9CB" w14:textId="77777777" w:rsidR="00EE5BB8" w:rsidRPr="00C6052E" w:rsidRDefault="00EE5BB8" w:rsidP="00B66698">
            <w:pPr>
              <w:pStyle w:val="TableCopy"/>
              <w:jc w:val="right"/>
            </w:pPr>
            <w:r w:rsidRPr="00C6052E">
              <w:t>8.3%</w:t>
            </w:r>
          </w:p>
        </w:tc>
      </w:tr>
      <w:tr w:rsidR="00EE5BB8" w:rsidRPr="00C6052E" w14:paraId="7A95173F" w14:textId="77777777" w:rsidTr="00B66698">
        <w:tc>
          <w:tcPr>
            <w:tcW w:w="3539" w:type="dxa"/>
            <w:hideMark/>
          </w:tcPr>
          <w:p w14:paraId="7E738E83" w14:textId="0F1FDB9F" w:rsidR="00EE5BB8" w:rsidRPr="00C6052E" w:rsidRDefault="00EE5BB8" w:rsidP="0063097D">
            <w:pPr>
              <w:pStyle w:val="TableCopy"/>
            </w:pPr>
            <w:r w:rsidRPr="00C6052E">
              <w:rPr>
                <w:spacing w:val="-2"/>
              </w:rPr>
              <w:t>Gross</w:t>
            </w:r>
            <w:r w:rsidR="00177848" w:rsidRPr="00C6052E">
              <w:rPr>
                <w:spacing w:val="-2"/>
              </w:rPr>
              <w:t xml:space="preserve"> </w:t>
            </w:r>
            <w:r w:rsidRPr="00C6052E">
              <w:rPr>
                <w:spacing w:val="-2"/>
              </w:rPr>
              <w:t>carrying</w:t>
            </w:r>
            <w:r w:rsidR="00177848" w:rsidRPr="00C6052E">
              <w:rPr>
                <w:spacing w:val="-2"/>
              </w:rPr>
              <w:t xml:space="preserve"> </w:t>
            </w:r>
            <w:r w:rsidRPr="00C6052E">
              <w:rPr>
                <w:spacing w:val="-2"/>
              </w:rPr>
              <w:t>amount</w:t>
            </w:r>
            <w:r w:rsidR="00177848" w:rsidRPr="00C6052E">
              <w:rPr>
                <w:spacing w:val="-2"/>
              </w:rPr>
              <w:t xml:space="preserve"> </w:t>
            </w:r>
            <w:r w:rsidRPr="00C6052E">
              <w:rPr>
                <w:spacing w:val="-2"/>
              </w:rPr>
              <w:t>of</w:t>
            </w:r>
            <w:r w:rsidR="00177848" w:rsidRPr="00C6052E">
              <w:rPr>
                <w:spacing w:val="-2"/>
              </w:rPr>
              <w:t xml:space="preserve"> </w:t>
            </w:r>
            <w:r w:rsidRPr="00C6052E">
              <w:rPr>
                <w:spacing w:val="-2"/>
              </w:rPr>
              <w:t>contractual</w:t>
            </w:r>
            <w:r w:rsidR="00177848" w:rsidRPr="00C6052E">
              <w:rPr>
                <w:spacing w:val="-2"/>
              </w:rPr>
              <w:t xml:space="preserve"> </w:t>
            </w:r>
            <w:r w:rsidRPr="00C6052E">
              <w:rPr>
                <w:spacing w:val="-2"/>
              </w:rPr>
              <w:t>receivables</w:t>
            </w:r>
          </w:p>
        </w:tc>
        <w:tc>
          <w:tcPr>
            <w:tcW w:w="1020" w:type="dxa"/>
            <w:noWrap/>
            <w:hideMark/>
          </w:tcPr>
          <w:p w14:paraId="322F377E" w14:textId="77777777" w:rsidR="00EE5BB8" w:rsidRPr="00C6052E" w:rsidRDefault="00EE5BB8" w:rsidP="00B66698">
            <w:pPr>
              <w:pStyle w:val="TableCopy"/>
              <w:jc w:val="right"/>
            </w:pPr>
            <w:r w:rsidRPr="00C6052E">
              <w:t>55,149</w:t>
            </w:r>
          </w:p>
        </w:tc>
        <w:tc>
          <w:tcPr>
            <w:tcW w:w="1074" w:type="dxa"/>
            <w:noWrap/>
            <w:hideMark/>
          </w:tcPr>
          <w:p w14:paraId="5870B902" w14:textId="77777777" w:rsidR="00EE5BB8" w:rsidRPr="00C6052E" w:rsidRDefault="00EE5BB8" w:rsidP="00B66698">
            <w:pPr>
              <w:pStyle w:val="TableCopy"/>
              <w:jc w:val="right"/>
            </w:pPr>
            <w:r w:rsidRPr="00C6052E">
              <w:t>23,799</w:t>
            </w:r>
          </w:p>
        </w:tc>
        <w:tc>
          <w:tcPr>
            <w:tcW w:w="1020" w:type="dxa"/>
            <w:noWrap/>
            <w:hideMark/>
          </w:tcPr>
          <w:p w14:paraId="77767291" w14:textId="77777777" w:rsidR="00EE5BB8" w:rsidRPr="00C6052E" w:rsidRDefault="00EE5BB8" w:rsidP="00B66698">
            <w:pPr>
              <w:pStyle w:val="TableCopy"/>
              <w:jc w:val="right"/>
            </w:pPr>
            <w:r w:rsidRPr="00C6052E">
              <w:t>4,151</w:t>
            </w:r>
          </w:p>
        </w:tc>
        <w:tc>
          <w:tcPr>
            <w:tcW w:w="1074" w:type="dxa"/>
            <w:noWrap/>
            <w:hideMark/>
          </w:tcPr>
          <w:p w14:paraId="161613A6" w14:textId="77777777" w:rsidR="00EE5BB8" w:rsidRPr="00C6052E" w:rsidRDefault="00EE5BB8" w:rsidP="00B66698">
            <w:pPr>
              <w:pStyle w:val="TableCopy"/>
              <w:jc w:val="right"/>
            </w:pPr>
            <w:r w:rsidRPr="00C6052E">
              <w:t>29,777</w:t>
            </w:r>
          </w:p>
        </w:tc>
        <w:tc>
          <w:tcPr>
            <w:tcW w:w="1074" w:type="dxa"/>
            <w:noWrap/>
            <w:hideMark/>
          </w:tcPr>
          <w:p w14:paraId="67FC7B3A" w14:textId="77777777" w:rsidR="00EE5BB8" w:rsidRPr="00C6052E" w:rsidRDefault="00EE5BB8" w:rsidP="00B66698">
            <w:pPr>
              <w:pStyle w:val="TableCopy"/>
              <w:jc w:val="right"/>
            </w:pPr>
            <w:r w:rsidRPr="00C6052E">
              <w:t>52,765</w:t>
            </w:r>
          </w:p>
        </w:tc>
        <w:tc>
          <w:tcPr>
            <w:tcW w:w="850" w:type="dxa"/>
            <w:noWrap/>
            <w:hideMark/>
          </w:tcPr>
          <w:p w14:paraId="5C105B8D" w14:textId="77777777" w:rsidR="00EE5BB8" w:rsidRPr="00C6052E" w:rsidRDefault="00EE5BB8" w:rsidP="00B66698">
            <w:pPr>
              <w:pStyle w:val="TableCopy"/>
              <w:jc w:val="right"/>
            </w:pPr>
            <w:r w:rsidRPr="00C6052E">
              <w:t>165,641</w:t>
            </w:r>
          </w:p>
        </w:tc>
      </w:tr>
      <w:tr w:rsidR="00EE5BB8" w:rsidRPr="00C6052E" w14:paraId="6F2770E1" w14:textId="77777777" w:rsidTr="00B66698">
        <w:tc>
          <w:tcPr>
            <w:tcW w:w="3539" w:type="dxa"/>
            <w:noWrap/>
            <w:hideMark/>
          </w:tcPr>
          <w:p w14:paraId="44A9C2B9" w14:textId="2F1B9130" w:rsidR="00EE5BB8" w:rsidRPr="00C6052E" w:rsidRDefault="00EE5BB8" w:rsidP="0063097D">
            <w:pPr>
              <w:pStyle w:val="Tabletotal"/>
            </w:pPr>
            <w:r w:rsidRPr="00C6052E">
              <w:t>Loss</w:t>
            </w:r>
            <w:r w:rsidR="00177848" w:rsidRPr="00C6052E">
              <w:t xml:space="preserve"> </w:t>
            </w:r>
            <w:r w:rsidRPr="00C6052E">
              <w:t>allowance</w:t>
            </w:r>
            <w:r w:rsidR="00177848" w:rsidRPr="00C6052E">
              <w:t xml:space="preserve"> </w:t>
            </w:r>
          </w:p>
        </w:tc>
        <w:tc>
          <w:tcPr>
            <w:tcW w:w="1020" w:type="dxa"/>
            <w:noWrap/>
            <w:hideMark/>
          </w:tcPr>
          <w:p w14:paraId="3FA01058" w14:textId="77777777" w:rsidR="00EE5BB8" w:rsidRPr="00C6052E" w:rsidRDefault="00EE5BB8" w:rsidP="00B66698">
            <w:pPr>
              <w:pStyle w:val="Tabletotal"/>
              <w:jc w:val="right"/>
            </w:pPr>
            <w:r w:rsidRPr="00C6052E">
              <w:t>–</w:t>
            </w:r>
          </w:p>
        </w:tc>
        <w:tc>
          <w:tcPr>
            <w:tcW w:w="1074" w:type="dxa"/>
            <w:noWrap/>
            <w:hideMark/>
          </w:tcPr>
          <w:p w14:paraId="7A9FD156" w14:textId="77777777" w:rsidR="00EE5BB8" w:rsidRPr="00C6052E" w:rsidRDefault="00EE5BB8" w:rsidP="00B66698">
            <w:pPr>
              <w:pStyle w:val="Tabletotal"/>
              <w:jc w:val="right"/>
            </w:pPr>
            <w:r w:rsidRPr="00C6052E">
              <w:t>–</w:t>
            </w:r>
          </w:p>
        </w:tc>
        <w:tc>
          <w:tcPr>
            <w:tcW w:w="1020" w:type="dxa"/>
            <w:noWrap/>
            <w:hideMark/>
          </w:tcPr>
          <w:p w14:paraId="602EDA7C" w14:textId="77777777" w:rsidR="00EE5BB8" w:rsidRPr="00C6052E" w:rsidRDefault="00EE5BB8" w:rsidP="00B66698">
            <w:pPr>
              <w:pStyle w:val="Tabletotal"/>
              <w:jc w:val="right"/>
            </w:pPr>
            <w:r w:rsidRPr="00C6052E">
              <w:t>–</w:t>
            </w:r>
          </w:p>
        </w:tc>
        <w:tc>
          <w:tcPr>
            <w:tcW w:w="1074" w:type="dxa"/>
            <w:noWrap/>
            <w:hideMark/>
          </w:tcPr>
          <w:p w14:paraId="0080A5D6" w14:textId="77777777" w:rsidR="00EE5BB8" w:rsidRPr="00C6052E" w:rsidRDefault="00EE5BB8" w:rsidP="00B66698">
            <w:pPr>
              <w:pStyle w:val="Tabletotal"/>
              <w:jc w:val="right"/>
            </w:pPr>
            <w:r w:rsidRPr="00C6052E">
              <w:t>–</w:t>
            </w:r>
          </w:p>
        </w:tc>
        <w:tc>
          <w:tcPr>
            <w:tcW w:w="1074" w:type="dxa"/>
            <w:noWrap/>
            <w:hideMark/>
          </w:tcPr>
          <w:p w14:paraId="6266AD99" w14:textId="77777777" w:rsidR="00EE5BB8" w:rsidRPr="00C6052E" w:rsidRDefault="00EE5BB8" w:rsidP="00B66698">
            <w:pPr>
              <w:pStyle w:val="Tabletotal"/>
              <w:jc w:val="right"/>
            </w:pPr>
            <w:r w:rsidRPr="00C6052E">
              <w:t>13,822</w:t>
            </w:r>
          </w:p>
        </w:tc>
        <w:tc>
          <w:tcPr>
            <w:tcW w:w="850" w:type="dxa"/>
            <w:noWrap/>
            <w:hideMark/>
          </w:tcPr>
          <w:p w14:paraId="181EC2E4" w14:textId="77777777" w:rsidR="00EE5BB8" w:rsidRPr="00C6052E" w:rsidRDefault="00EE5BB8" w:rsidP="00B66698">
            <w:pPr>
              <w:pStyle w:val="Tabletotal"/>
              <w:jc w:val="right"/>
            </w:pPr>
            <w:r w:rsidRPr="00C6052E">
              <w:t>13,822</w:t>
            </w:r>
          </w:p>
        </w:tc>
      </w:tr>
      <w:tr w:rsidR="00B66698" w:rsidRPr="00C6052E" w14:paraId="3DFB7B96" w14:textId="77777777" w:rsidTr="00B66698">
        <w:tc>
          <w:tcPr>
            <w:tcW w:w="3539" w:type="dxa"/>
          </w:tcPr>
          <w:p w14:paraId="095705D8" w14:textId="5EB4DE7E" w:rsidR="00B66698" w:rsidRPr="00C6052E" w:rsidRDefault="00B66698" w:rsidP="00E10EA5">
            <w:pPr>
              <w:pStyle w:val="TableHeading"/>
            </w:pPr>
            <w:r w:rsidRPr="00C6052E">
              <w:t>30 June 2024</w:t>
            </w:r>
          </w:p>
        </w:tc>
        <w:tc>
          <w:tcPr>
            <w:tcW w:w="1020" w:type="dxa"/>
            <w:noWrap/>
          </w:tcPr>
          <w:p w14:paraId="6A87D322" w14:textId="77777777" w:rsidR="00B66698" w:rsidRPr="00C6052E" w:rsidRDefault="00B66698" w:rsidP="00B66698">
            <w:pPr>
              <w:pStyle w:val="TableHeading"/>
              <w:jc w:val="right"/>
            </w:pPr>
          </w:p>
        </w:tc>
        <w:tc>
          <w:tcPr>
            <w:tcW w:w="1074" w:type="dxa"/>
            <w:noWrap/>
          </w:tcPr>
          <w:p w14:paraId="77BBAADF" w14:textId="77777777" w:rsidR="00B66698" w:rsidRPr="00C6052E" w:rsidRDefault="00B66698" w:rsidP="00B66698">
            <w:pPr>
              <w:pStyle w:val="TableHeading"/>
              <w:jc w:val="right"/>
            </w:pPr>
          </w:p>
        </w:tc>
        <w:tc>
          <w:tcPr>
            <w:tcW w:w="1020" w:type="dxa"/>
            <w:noWrap/>
          </w:tcPr>
          <w:p w14:paraId="75971FF3" w14:textId="77777777" w:rsidR="00B66698" w:rsidRPr="00C6052E" w:rsidRDefault="00B66698" w:rsidP="00B66698">
            <w:pPr>
              <w:pStyle w:val="TableHeading"/>
              <w:jc w:val="right"/>
            </w:pPr>
          </w:p>
        </w:tc>
        <w:tc>
          <w:tcPr>
            <w:tcW w:w="1074" w:type="dxa"/>
            <w:noWrap/>
          </w:tcPr>
          <w:p w14:paraId="41B19FB1" w14:textId="77777777" w:rsidR="00B66698" w:rsidRPr="00C6052E" w:rsidRDefault="00B66698" w:rsidP="00B66698">
            <w:pPr>
              <w:pStyle w:val="TableHeading"/>
              <w:jc w:val="right"/>
            </w:pPr>
          </w:p>
        </w:tc>
        <w:tc>
          <w:tcPr>
            <w:tcW w:w="1074" w:type="dxa"/>
            <w:noWrap/>
          </w:tcPr>
          <w:p w14:paraId="5648313A" w14:textId="77777777" w:rsidR="00B66698" w:rsidRPr="00C6052E" w:rsidRDefault="00B66698" w:rsidP="00B66698">
            <w:pPr>
              <w:pStyle w:val="TableHeading"/>
              <w:jc w:val="right"/>
            </w:pPr>
          </w:p>
        </w:tc>
        <w:tc>
          <w:tcPr>
            <w:tcW w:w="850" w:type="dxa"/>
            <w:noWrap/>
          </w:tcPr>
          <w:p w14:paraId="2A955570" w14:textId="77777777" w:rsidR="00B66698" w:rsidRPr="00C6052E" w:rsidRDefault="00B66698" w:rsidP="00B66698">
            <w:pPr>
              <w:pStyle w:val="TableHeading"/>
              <w:jc w:val="right"/>
            </w:pPr>
          </w:p>
        </w:tc>
      </w:tr>
      <w:tr w:rsidR="00EE5BB8" w:rsidRPr="00C6052E" w14:paraId="676F424F" w14:textId="77777777" w:rsidTr="00B66698">
        <w:tc>
          <w:tcPr>
            <w:tcW w:w="3539" w:type="dxa"/>
            <w:hideMark/>
          </w:tcPr>
          <w:p w14:paraId="6905675F" w14:textId="6D024F28" w:rsidR="00EE5BB8" w:rsidRPr="00C6052E" w:rsidRDefault="00EE5BB8" w:rsidP="0063097D">
            <w:pPr>
              <w:pStyle w:val="TableCopy"/>
            </w:pPr>
            <w:r w:rsidRPr="00C6052E">
              <w:t>Loss</w:t>
            </w:r>
            <w:r w:rsidR="00177848" w:rsidRPr="00C6052E">
              <w:t xml:space="preserve"> </w:t>
            </w:r>
            <w:r w:rsidRPr="00C6052E">
              <w:t>allowance</w:t>
            </w:r>
            <w:r w:rsidR="00177848" w:rsidRPr="00C6052E">
              <w:t xml:space="preserve"> </w:t>
            </w:r>
            <w:r w:rsidRPr="00C6052E">
              <w:t>(%)</w:t>
            </w:r>
          </w:p>
        </w:tc>
        <w:tc>
          <w:tcPr>
            <w:tcW w:w="1020" w:type="dxa"/>
            <w:noWrap/>
            <w:hideMark/>
          </w:tcPr>
          <w:p w14:paraId="0F5B8D31" w14:textId="77777777" w:rsidR="00EE5BB8" w:rsidRPr="00C6052E" w:rsidRDefault="00EE5BB8" w:rsidP="00B66698">
            <w:pPr>
              <w:pStyle w:val="TableCopy"/>
              <w:jc w:val="right"/>
            </w:pPr>
            <w:r w:rsidRPr="00C6052E">
              <w:t>0.0%</w:t>
            </w:r>
          </w:p>
        </w:tc>
        <w:tc>
          <w:tcPr>
            <w:tcW w:w="1074" w:type="dxa"/>
            <w:noWrap/>
            <w:hideMark/>
          </w:tcPr>
          <w:p w14:paraId="464456EF" w14:textId="77777777" w:rsidR="00EE5BB8" w:rsidRPr="00C6052E" w:rsidRDefault="00EE5BB8" w:rsidP="00B66698">
            <w:pPr>
              <w:pStyle w:val="TableCopy"/>
              <w:jc w:val="right"/>
            </w:pPr>
            <w:r w:rsidRPr="00C6052E">
              <w:t>0.0%</w:t>
            </w:r>
          </w:p>
        </w:tc>
        <w:tc>
          <w:tcPr>
            <w:tcW w:w="1020" w:type="dxa"/>
            <w:noWrap/>
            <w:hideMark/>
          </w:tcPr>
          <w:p w14:paraId="46C7E943" w14:textId="77777777" w:rsidR="00EE5BB8" w:rsidRPr="00C6052E" w:rsidRDefault="00EE5BB8" w:rsidP="00B66698">
            <w:pPr>
              <w:pStyle w:val="TableCopy"/>
              <w:jc w:val="right"/>
            </w:pPr>
            <w:r w:rsidRPr="00C6052E">
              <w:t>0.0%</w:t>
            </w:r>
          </w:p>
        </w:tc>
        <w:tc>
          <w:tcPr>
            <w:tcW w:w="1074" w:type="dxa"/>
            <w:noWrap/>
            <w:hideMark/>
          </w:tcPr>
          <w:p w14:paraId="7E4C9264" w14:textId="77777777" w:rsidR="00EE5BB8" w:rsidRPr="00C6052E" w:rsidRDefault="00EE5BB8" w:rsidP="00B66698">
            <w:pPr>
              <w:pStyle w:val="TableCopy"/>
              <w:jc w:val="right"/>
            </w:pPr>
            <w:r w:rsidRPr="00C6052E">
              <w:t>0.0%</w:t>
            </w:r>
          </w:p>
        </w:tc>
        <w:tc>
          <w:tcPr>
            <w:tcW w:w="1074" w:type="dxa"/>
            <w:noWrap/>
            <w:hideMark/>
          </w:tcPr>
          <w:p w14:paraId="5A990B79" w14:textId="77777777" w:rsidR="00EE5BB8" w:rsidRPr="00C6052E" w:rsidRDefault="00EE5BB8" w:rsidP="00B66698">
            <w:pPr>
              <w:pStyle w:val="TableCopy"/>
              <w:jc w:val="right"/>
            </w:pPr>
            <w:r w:rsidRPr="00C6052E">
              <w:t>47.9%</w:t>
            </w:r>
          </w:p>
        </w:tc>
        <w:tc>
          <w:tcPr>
            <w:tcW w:w="850" w:type="dxa"/>
            <w:noWrap/>
            <w:hideMark/>
          </w:tcPr>
          <w:p w14:paraId="3C5A189E" w14:textId="77777777" w:rsidR="00EE5BB8" w:rsidRPr="00C6052E" w:rsidRDefault="00EE5BB8" w:rsidP="00B66698">
            <w:pPr>
              <w:pStyle w:val="TableCopy"/>
              <w:jc w:val="right"/>
            </w:pPr>
            <w:r w:rsidRPr="00C6052E">
              <w:t>21.3%</w:t>
            </w:r>
          </w:p>
        </w:tc>
      </w:tr>
      <w:tr w:rsidR="00EE5BB8" w:rsidRPr="00C6052E" w14:paraId="1E72CF80" w14:textId="77777777" w:rsidTr="00B66698">
        <w:tc>
          <w:tcPr>
            <w:tcW w:w="3539" w:type="dxa"/>
            <w:hideMark/>
          </w:tcPr>
          <w:p w14:paraId="324FB388" w14:textId="37BC3C5F" w:rsidR="00EE5BB8" w:rsidRPr="00C6052E" w:rsidRDefault="00EE5BB8" w:rsidP="0063097D">
            <w:pPr>
              <w:pStyle w:val="TableCopy"/>
            </w:pPr>
            <w:r w:rsidRPr="00C6052E">
              <w:rPr>
                <w:spacing w:val="-2"/>
              </w:rPr>
              <w:t>Gross</w:t>
            </w:r>
            <w:r w:rsidR="00177848" w:rsidRPr="00C6052E">
              <w:rPr>
                <w:spacing w:val="-2"/>
              </w:rPr>
              <w:t xml:space="preserve"> </w:t>
            </w:r>
            <w:r w:rsidRPr="00C6052E">
              <w:rPr>
                <w:spacing w:val="-2"/>
              </w:rPr>
              <w:t>carrying</w:t>
            </w:r>
            <w:r w:rsidR="00177848" w:rsidRPr="00C6052E">
              <w:rPr>
                <w:spacing w:val="-2"/>
              </w:rPr>
              <w:t xml:space="preserve"> </w:t>
            </w:r>
            <w:r w:rsidRPr="00C6052E">
              <w:rPr>
                <w:spacing w:val="-2"/>
              </w:rPr>
              <w:t>amount</w:t>
            </w:r>
            <w:r w:rsidR="00177848" w:rsidRPr="00C6052E">
              <w:rPr>
                <w:spacing w:val="-2"/>
              </w:rPr>
              <w:t xml:space="preserve"> </w:t>
            </w:r>
            <w:r w:rsidRPr="00C6052E">
              <w:rPr>
                <w:spacing w:val="-2"/>
              </w:rPr>
              <w:t>of</w:t>
            </w:r>
            <w:r w:rsidR="00177848" w:rsidRPr="00C6052E">
              <w:rPr>
                <w:spacing w:val="-2"/>
              </w:rPr>
              <w:t xml:space="preserve"> </w:t>
            </w:r>
            <w:r w:rsidRPr="00C6052E">
              <w:rPr>
                <w:spacing w:val="-2"/>
              </w:rPr>
              <w:t>contractual</w:t>
            </w:r>
            <w:r w:rsidR="00177848" w:rsidRPr="00C6052E">
              <w:rPr>
                <w:spacing w:val="-2"/>
              </w:rPr>
              <w:t xml:space="preserve"> </w:t>
            </w:r>
            <w:r w:rsidRPr="00C6052E">
              <w:rPr>
                <w:spacing w:val="-2"/>
              </w:rPr>
              <w:t>receivables</w:t>
            </w:r>
          </w:p>
        </w:tc>
        <w:tc>
          <w:tcPr>
            <w:tcW w:w="1020" w:type="dxa"/>
            <w:noWrap/>
            <w:hideMark/>
          </w:tcPr>
          <w:p w14:paraId="36A73249" w14:textId="77777777" w:rsidR="00EE5BB8" w:rsidRPr="00C6052E" w:rsidRDefault="00EE5BB8" w:rsidP="00B66698">
            <w:pPr>
              <w:pStyle w:val="TableCopy"/>
              <w:jc w:val="right"/>
            </w:pPr>
            <w:r w:rsidRPr="00C6052E">
              <w:t>46,385</w:t>
            </w:r>
          </w:p>
        </w:tc>
        <w:tc>
          <w:tcPr>
            <w:tcW w:w="1074" w:type="dxa"/>
            <w:noWrap/>
            <w:hideMark/>
          </w:tcPr>
          <w:p w14:paraId="4740F81B" w14:textId="77777777" w:rsidR="00EE5BB8" w:rsidRPr="00C6052E" w:rsidRDefault="00EE5BB8" w:rsidP="00B66698">
            <w:pPr>
              <w:pStyle w:val="TableCopy"/>
              <w:jc w:val="right"/>
            </w:pPr>
            <w:r w:rsidRPr="00C6052E">
              <w:t>34,386</w:t>
            </w:r>
          </w:p>
        </w:tc>
        <w:tc>
          <w:tcPr>
            <w:tcW w:w="1020" w:type="dxa"/>
            <w:noWrap/>
            <w:hideMark/>
          </w:tcPr>
          <w:p w14:paraId="227AF8A1" w14:textId="77777777" w:rsidR="00EE5BB8" w:rsidRPr="00C6052E" w:rsidRDefault="00EE5BB8" w:rsidP="00B66698">
            <w:pPr>
              <w:pStyle w:val="TableCopy"/>
              <w:jc w:val="right"/>
            </w:pPr>
            <w:r w:rsidRPr="00C6052E">
              <w:t>6,991</w:t>
            </w:r>
          </w:p>
        </w:tc>
        <w:tc>
          <w:tcPr>
            <w:tcW w:w="1074" w:type="dxa"/>
            <w:noWrap/>
            <w:hideMark/>
          </w:tcPr>
          <w:p w14:paraId="62A103A4" w14:textId="77777777" w:rsidR="00EE5BB8" w:rsidRPr="00C6052E" w:rsidRDefault="00EE5BB8" w:rsidP="00B66698">
            <w:pPr>
              <w:pStyle w:val="TableCopy"/>
              <w:jc w:val="right"/>
            </w:pPr>
            <w:r w:rsidRPr="00C6052E">
              <w:t>23,097</w:t>
            </w:r>
          </w:p>
        </w:tc>
        <w:tc>
          <w:tcPr>
            <w:tcW w:w="1074" w:type="dxa"/>
            <w:noWrap/>
            <w:hideMark/>
          </w:tcPr>
          <w:p w14:paraId="56158B89" w14:textId="77777777" w:rsidR="00EE5BB8" w:rsidRPr="00C6052E" w:rsidRDefault="00EE5BB8" w:rsidP="00B66698">
            <w:pPr>
              <w:pStyle w:val="TableCopy"/>
              <w:jc w:val="right"/>
            </w:pPr>
            <w:r w:rsidRPr="00C6052E">
              <w:t>88,925</w:t>
            </w:r>
          </w:p>
        </w:tc>
        <w:tc>
          <w:tcPr>
            <w:tcW w:w="850" w:type="dxa"/>
            <w:noWrap/>
            <w:hideMark/>
          </w:tcPr>
          <w:p w14:paraId="1396E243" w14:textId="77777777" w:rsidR="00EE5BB8" w:rsidRPr="00C6052E" w:rsidRDefault="00EE5BB8" w:rsidP="00B66698">
            <w:pPr>
              <w:pStyle w:val="TableCopy"/>
              <w:jc w:val="right"/>
            </w:pPr>
            <w:r w:rsidRPr="00C6052E">
              <w:t>199,784</w:t>
            </w:r>
          </w:p>
        </w:tc>
      </w:tr>
      <w:tr w:rsidR="00EE5BB8" w:rsidRPr="00C6052E" w14:paraId="40BE334F" w14:textId="77777777" w:rsidTr="00B66698">
        <w:tc>
          <w:tcPr>
            <w:tcW w:w="3539" w:type="dxa"/>
            <w:noWrap/>
            <w:hideMark/>
          </w:tcPr>
          <w:p w14:paraId="358F2CF4" w14:textId="0C716998" w:rsidR="00EE5BB8" w:rsidRPr="00C6052E" w:rsidRDefault="00EE5BB8" w:rsidP="0063097D">
            <w:pPr>
              <w:pStyle w:val="Tabletotal"/>
            </w:pPr>
            <w:r w:rsidRPr="00C6052E">
              <w:t>Loss</w:t>
            </w:r>
            <w:r w:rsidR="00177848" w:rsidRPr="00C6052E">
              <w:t xml:space="preserve"> </w:t>
            </w:r>
            <w:r w:rsidRPr="00C6052E">
              <w:t>allowance</w:t>
            </w:r>
            <w:r w:rsidR="00177848" w:rsidRPr="00C6052E">
              <w:t xml:space="preserve"> </w:t>
            </w:r>
          </w:p>
        </w:tc>
        <w:tc>
          <w:tcPr>
            <w:tcW w:w="1020" w:type="dxa"/>
            <w:noWrap/>
            <w:hideMark/>
          </w:tcPr>
          <w:p w14:paraId="50BC631B" w14:textId="77777777" w:rsidR="00EE5BB8" w:rsidRPr="00C6052E" w:rsidRDefault="00EE5BB8" w:rsidP="00B66698">
            <w:pPr>
              <w:pStyle w:val="Tabletotal"/>
              <w:jc w:val="right"/>
            </w:pPr>
            <w:r w:rsidRPr="00C6052E">
              <w:t>–</w:t>
            </w:r>
          </w:p>
        </w:tc>
        <w:tc>
          <w:tcPr>
            <w:tcW w:w="1074" w:type="dxa"/>
            <w:noWrap/>
            <w:hideMark/>
          </w:tcPr>
          <w:p w14:paraId="6632F42C" w14:textId="77777777" w:rsidR="00EE5BB8" w:rsidRPr="00C6052E" w:rsidRDefault="00EE5BB8" w:rsidP="00B66698">
            <w:pPr>
              <w:pStyle w:val="Tabletotal"/>
              <w:jc w:val="right"/>
            </w:pPr>
            <w:r w:rsidRPr="00C6052E">
              <w:t>–</w:t>
            </w:r>
          </w:p>
        </w:tc>
        <w:tc>
          <w:tcPr>
            <w:tcW w:w="1020" w:type="dxa"/>
            <w:noWrap/>
            <w:hideMark/>
          </w:tcPr>
          <w:p w14:paraId="4BCE355E" w14:textId="77777777" w:rsidR="00EE5BB8" w:rsidRPr="00C6052E" w:rsidRDefault="00EE5BB8" w:rsidP="00B66698">
            <w:pPr>
              <w:pStyle w:val="Tabletotal"/>
              <w:jc w:val="right"/>
            </w:pPr>
            <w:r w:rsidRPr="00C6052E">
              <w:t>–</w:t>
            </w:r>
          </w:p>
        </w:tc>
        <w:tc>
          <w:tcPr>
            <w:tcW w:w="1074" w:type="dxa"/>
            <w:noWrap/>
            <w:hideMark/>
          </w:tcPr>
          <w:p w14:paraId="40E23AE1" w14:textId="77777777" w:rsidR="00EE5BB8" w:rsidRPr="00C6052E" w:rsidRDefault="00EE5BB8" w:rsidP="00B66698">
            <w:pPr>
              <w:pStyle w:val="Tabletotal"/>
              <w:jc w:val="right"/>
            </w:pPr>
            <w:r w:rsidRPr="00C6052E">
              <w:t>–</w:t>
            </w:r>
          </w:p>
        </w:tc>
        <w:tc>
          <w:tcPr>
            <w:tcW w:w="1074" w:type="dxa"/>
            <w:noWrap/>
            <w:hideMark/>
          </w:tcPr>
          <w:p w14:paraId="41F99A83" w14:textId="77777777" w:rsidR="00EE5BB8" w:rsidRPr="00C6052E" w:rsidRDefault="00EE5BB8" w:rsidP="00B66698">
            <w:pPr>
              <w:pStyle w:val="Tabletotal"/>
              <w:jc w:val="right"/>
            </w:pPr>
            <w:r w:rsidRPr="00C6052E">
              <w:t>42,639</w:t>
            </w:r>
          </w:p>
        </w:tc>
        <w:tc>
          <w:tcPr>
            <w:tcW w:w="850" w:type="dxa"/>
            <w:noWrap/>
            <w:hideMark/>
          </w:tcPr>
          <w:p w14:paraId="1FA96617" w14:textId="77777777" w:rsidR="00EE5BB8" w:rsidRPr="00C6052E" w:rsidRDefault="00EE5BB8" w:rsidP="00B66698">
            <w:pPr>
              <w:pStyle w:val="Tabletotal"/>
              <w:jc w:val="right"/>
            </w:pPr>
            <w:r w:rsidRPr="00C6052E">
              <w:t>42,639</w:t>
            </w:r>
          </w:p>
        </w:tc>
      </w:tr>
    </w:tbl>
    <w:p w14:paraId="5BC324F4" w14:textId="77777777" w:rsidR="00EE5BB8" w:rsidRPr="00C6052E" w:rsidRDefault="00EE5BB8" w:rsidP="00EE5BB8"/>
    <w:p w14:paraId="4FDB7557" w14:textId="3D374F22" w:rsidR="00EE5BB8" w:rsidRPr="00C6052E" w:rsidRDefault="00C6052E" w:rsidP="00B66698">
      <w:pPr>
        <w:pStyle w:val="TableHeading"/>
      </w:pPr>
      <w:r w:rsidRPr="00C6052E">
        <w:t>Reconciliation</w:t>
      </w:r>
      <w:r w:rsidR="00177848" w:rsidRPr="00C6052E">
        <w:t xml:space="preserve"> </w:t>
      </w:r>
      <w:r w:rsidRPr="00C6052E">
        <w:t>of</w:t>
      </w:r>
      <w:r w:rsidR="00177848" w:rsidRPr="00C6052E">
        <w:t xml:space="preserve"> </w:t>
      </w:r>
      <w:r w:rsidRPr="00C6052E">
        <w:t>the</w:t>
      </w:r>
      <w:r w:rsidR="00177848" w:rsidRPr="00C6052E">
        <w:t xml:space="preserve"> </w:t>
      </w:r>
      <w:r w:rsidRPr="00C6052E">
        <w:t>movement</w:t>
      </w:r>
      <w:r w:rsidR="00177848" w:rsidRPr="00C6052E">
        <w:t xml:space="preserve"> </w:t>
      </w:r>
      <w:r w:rsidRPr="00C6052E">
        <w:t>in</w:t>
      </w:r>
      <w:r w:rsidR="00177848" w:rsidRPr="00C6052E">
        <w:t xml:space="preserve"> </w:t>
      </w:r>
      <w:r w:rsidRPr="00C6052E">
        <w:t>the</w:t>
      </w:r>
      <w:r w:rsidR="00177848" w:rsidRPr="00C6052E">
        <w:t xml:space="preserve"> </w:t>
      </w:r>
      <w:r w:rsidRPr="00C6052E">
        <w:t>loss</w:t>
      </w:r>
      <w:r w:rsidR="00177848" w:rsidRPr="00C6052E">
        <w:t xml:space="preserve"> </w:t>
      </w:r>
      <w:r w:rsidRPr="00C6052E">
        <w:t>allowance</w:t>
      </w:r>
      <w:r w:rsidR="00177848" w:rsidRPr="00C6052E">
        <w:t xml:space="preserve"> </w:t>
      </w:r>
      <w:r w:rsidRPr="00C6052E">
        <w:t>for</w:t>
      </w:r>
      <w:r w:rsidR="00177848" w:rsidRPr="00C6052E">
        <w:t xml:space="preserve"> </w:t>
      </w:r>
      <w:r w:rsidRPr="00C6052E">
        <w:t>contractual</w:t>
      </w:r>
      <w:r w:rsidR="00177848" w:rsidRPr="00C6052E">
        <w:t xml:space="preserve"> </w:t>
      </w:r>
      <w:r w:rsidRPr="00C6052E">
        <w:t>receivables</w:t>
      </w:r>
      <w:r w:rsidR="00177848" w:rsidRPr="00C6052E">
        <w:t xml:space="preserve"> </w:t>
      </w:r>
      <w:r w:rsidRPr="00C6052E">
        <w:t>is</w:t>
      </w:r>
      <w:r w:rsidR="00177848" w:rsidRPr="00C6052E">
        <w:t xml:space="preserve"> </w:t>
      </w:r>
      <w:r w:rsidRPr="00C6052E">
        <w:t>shown</w:t>
      </w:r>
      <w:r w:rsidR="00177848" w:rsidRPr="00C6052E">
        <w:t xml:space="preserve"> </w:t>
      </w:r>
      <w:r w:rsidRPr="00C6052E">
        <w:t>as</w:t>
      </w:r>
      <w:r w:rsidR="00177848" w:rsidRPr="00C6052E">
        <w:t xml:space="preserve"> </w:t>
      </w:r>
      <w:r w:rsidRPr="00C6052E">
        <w:t>follows:</w:t>
      </w:r>
      <w:r w:rsidR="00177848" w:rsidRPr="00C6052E">
        <w:t xml:space="preserve"> </w:t>
      </w:r>
    </w:p>
    <w:tbl>
      <w:tblPr>
        <w:tblStyle w:val="TableGrid"/>
        <w:tblW w:w="9639" w:type="dxa"/>
        <w:tblLayout w:type="fixed"/>
        <w:tblLook w:val="04E0" w:firstRow="1" w:lastRow="1" w:firstColumn="1" w:lastColumn="0" w:noHBand="0" w:noVBand="1"/>
      </w:tblPr>
      <w:tblGrid>
        <w:gridCol w:w="7257"/>
        <w:gridCol w:w="1191"/>
        <w:gridCol w:w="1191"/>
      </w:tblGrid>
      <w:tr w:rsidR="00EE5BB8" w:rsidRPr="00C6052E" w14:paraId="6CEA4D28" w14:textId="77777777" w:rsidTr="00B66698">
        <w:tc>
          <w:tcPr>
            <w:tcW w:w="7257" w:type="dxa"/>
            <w:noWrap/>
            <w:hideMark/>
          </w:tcPr>
          <w:p w14:paraId="559B6E6A" w14:textId="77777777" w:rsidR="00EE5BB8" w:rsidRPr="00C6052E" w:rsidRDefault="00EE5BB8" w:rsidP="0035690A">
            <w:pPr>
              <w:pStyle w:val="TableColumnHeading"/>
            </w:pPr>
            <w:bookmarkStart w:id="323" w:name="TableColumnHeadings_94"/>
            <w:bookmarkEnd w:id="323"/>
          </w:p>
        </w:tc>
        <w:tc>
          <w:tcPr>
            <w:tcW w:w="1191" w:type="dxa"/>
            <w:hideMark/>
          </w:tcPr>
          <w:p w14:paraId="46E7CCCC" w14:textId="656C3BDE" w:rsidR="00EE5BB8" w:rsidRPr="00C6052E" w:rsidRDefault="00EE5BB8" w:rsidP="00B66698">
            <w:pPr>
              <w:pStyle w:val="TableColumnHeading"/>
              <w:jc w:val="right"/>
            </w:pPr>
            <w:r w:rsidRPr="00C6052E">
              <w:t>2025</w:t>
            </w:r>
            <w:r w:rsidR="00B66698">
              <w:br/>
            </w:r>
            <w:r w:rsidR="00B66698" w:rsidRPr="00C6052E">
              <w:rPr>
                <w:lang w:val="en-AU"/>
              </w:rPr>
              <w:t xml:space="preserve">($ </w:t>
            </w:r>
            <w:r w:rsidR="00B66698">
              <w:rPr>
                <w:lang w:val="en-AU"/>
              </w:rPr>
              <w:t>‘000</w:t>
            </w:r>
            <w:r w:rsidR="00B66698" w:rsidRPr="00C6052E">
              <w:rPr>
                <w:lang w:val="en-AU"/>
              </w:rPr>
              <w:t>)</w:t>
            </w:r>
          </w:p>
        </w:tc>
        <w:tc>
          <w:tcPr>
            <w:tcW w:w="1191" w:type="dxa"/>
            <w:hideMark/>
          </w:tcPr>
          <w:p w14:paraId="45A8845A" w14:textId="273DDE91" w:rsidR="00EE5BB8" w:rsidRPr="00C6052E" w:rsidRDefault="00EE5BB8" w:rsidP="00B66698">
            <w:pPr>
              <w:pStyle w:val="TableColumnHeading"/>
              <w:jc w:val="right"/>
            </w:pPr>
            <w:r w:rsidRPr="00C6052E">
              <w:t>2024</w:t>
            </w:r>
            <w:r w:rsidR="00B66698">
              <w:br/>
            </w:r>
            <w:r w:rsidR="00B66698" w:rsidRPr="00C6052E">
              <w:rPr>
                <w:lang w:val="en-AU"/>
              </w:rPr>
              <w:t xml:space="preserve">($ </w:t>
            </w:r>
            <w:r w:rsidR="00B66698">
              <w:rPr>
                <w:lang w:val="en-AU"/>
              </w:rPr>
              <w:t>‘000</w:t>
            </w:r>
            <w:r w:rsidR="00B66698" w:rsidRPr="00C6052E">
              <w:rPr>
                <w:lang w:val="en-AU"/>
              </w:rPr>
              <w:t>)</w:t>
            </w:r>
          </w:p>
        </w:tc>
      </w:tr>
      <w:tr w:rsidR="00EE5BB8" w:rsidRPr="00C6052E" w14:paraId="137F033A" w14:textId="77777777" w:rsidTr="00B66698">
        <w:tc>
          <w:tcPr>
            <w:tcW w:w="7257" w:type="dxa"/>
            <w:noWrap/>
            <w:hideMark/>
          </w:tcPr>
          <w:p w14:paraId="739ED6EA" w14:textId="2E3E6935" w:rsidR="00EE5BB8" w:rsidRPr="00C6052E" w:rsidRDefault="00EE5BB8" w:rsidP="0063097D">
            <w:pPr>
              <w:pStyle w:val="Tabletotal"/>
            </w:pPr>
            <w:r w:rsidRPr="00C6052E">
              <w:t>Balance</w:t>
            </w:r>
            <w:r w:rsidR="00177848" w:rsidRPr="00C6052E">
              <w:t xml:space="preserve"> </w:t>
            </w:r>
            <w:r w:rsidRPr="00C6052E">
              <w:t>at</w:t>
            </w:r>
            <w:r w:rsidR="00177848" w:rsidRPr="00C6052E">
              <w:t xml:space="preserve"> </w:t>
            </w:r>
            <w:r w:rsidRPr="00C6052E">
              <w:t>beginning</w:t>
            </w:r>
            <w:r w:rsidR="00177848" w:rsidRPr="00C6052E">
              <w:t xml:space="preserve"> </w:t>
            </w:r>
            <w:r w:rsidRPr="00C6052E">
              <w:t>of</w:t>
            </w:r>
            <w:r w:rsidR="00177848" w:rsidRPr="00C6052E">
              <w:t xml:space="preserve"> </w:t>
            </w:r>
            <w:r w:rsidRPr="00C6052E">
              <w:t>year</w:t>
            </w:r>
          </w:p>
        </w:tc>
        <w:tc>
          <w:tcPr>
            <w:tcW w:w="1191" w:type="dxa"/>
            <w:noWrap/>
            <w:hideMark/>
          </w:tcPr>
          <w:p w14:paraId="2FA7B1B1" w14:textId="77777777" w:rsidR="00EE5BB8" w:rsidRPr="00C6052E" w:rsidRDefault="00EE5BB8" w:rsidP="00B66698">
            <w:pPr>
              <w:pStyle w:val="TableCopy"/>
              <w:jc w:val="right"/>
            </w:pPr>
            <w:r w:rsidRPr="00C6052E">
              <w:t>(42,639)</w:t>
            </w:r>
          </w:p>
        </w:tc>
        <w:tc>
          <w:tcPr>
            <w:tcW w:w="1191" w:type="dxa"/>
            <w:noWrap/>
            <w:hideMark/>
          </w:tcPr>
          <w:p w14:paraId="4F588F51" w14:textId="77777777" w:rsidR="00EE5BB8" w:rsidRPr="00C6052E" w:rsidRDefault="00EE5BB8" w:rsidP="00B66698">
            <w:pPr>
              <w:pStyle w:val="TableCopy"/>
              <w:jc w:val="right"/>
            </w:pPr>
            <w:r w:rsidRPr="00C6052E">
              <w:t>(61,794)</w:t>
            </w:r>
          </w:p>
        </w:tc>
      </w:tr>
      <w:tr w:rsidR="00EE5BB8" w:rsidRPr="00C6052E" w14:paraId="3516AAA5" w14:textId="77777777" w:rsidTr="00B66698">
        <w:tc>
          <w:tcPr>
            <w:tcW w:w="7257" w:type="dxa"/>
            <w:hideMark/>
          </w:tcPr>
          <w:p w14:paraId="0AAB71A9" w14:textId="786B4BE1" w:rsidR="00EE5BB8" w:rsidRPr="00C6052E" w:rsidRDefault="00EE5BB8" w:rsidP="0063097D">
            <w:pPr>
              <w:pStyle w:val="TableCopy"/>
            </w:pPr>
            <w:r w:rsidRPr="00C6052E">
              <w:t>Increase</w:t>
            </w:r>
            <w:r w:rsidR="00177848" w:rsidRPr="00C6052E">
              <w:t xml:space="preserve"> </w:t>
            </w:r>
            <w:r w:rsidRPr="00C6052E">
              <w:t>in</w:t>
            </w:r>
            <w:r w:rsidR="00177848" w:rsidRPr="00C6052E">
              <w:t xml:space="preserve"> </w:t>
            </w:r>
            <w:r w:rsidRPr="00C6052E">
              <w:t>provision</w:t>
            </w:r>
            <w:r w:rsidR="00177848" w:rsidRPr="00C6052E">
              <w:t xml:space="preserve"> </w:t>
            </w:r>
            <w:r w:rsidRPr="00C6052E">
              <w:t>recognised</w:t>
            </w:r>
            <w:r w:rsidR="00177848" w:rsidRPr="00C6052E">
              <w:t xml:space="preserve"> </w:t>
            </w:r>
            <w:r w:rsidRPr="00C6052E">
              <w:t>in</w:t>
            </w:r>
            <w:r w:rsidR="00177848" w:rsidRPr="00C6052E">
              <w:t xml:space="preserve"> </w:t>
            </w:r>
            <w:r w:rsidRPr="00C6052E">
              <w:t>the</w:t>
            </w:r>
            <w:r w:rsidR="00177848" w:rsidRPr="00C6052E">
              <w:t xml:space="preserve"> </w:t>
            </w:r>
            <w:r w:rsidRPr="00C6052E">
              <w:t>net</w:t>
            </w:r>
            <w:r w:rsidR="00177848" w:rsidRPr="00C6052E">
              <w:t xml:space="preserve"> </w:t>
            </w:r>
            <w:r w:rsidRPr="00C6052E">
              <w:t>result</w:t>
            </w:r>
          </w:p>
        </w:tc>
        <w:tc>
          <w:tcPr>
            <w:tcW w:w="1191" w:type="dxa"/>
            <w:noWrap/>
            <w:hideMark/>
          </w:tcPr>
          <w:p w14:paraId="6E340C9A" w14:textId="77777777" w:rsidR="00EE5BB8" w:rsidRPr="00C6052E" w:rsidRDefault="00EE5BB8" w:rsidP="00B66698">
            <w:pPr>
              <w:pStyle w:val="TableCopy"/>
              <w:jc w:val="right"/>
            </w:pPr>
            <w:r w:rsidRPr="00C6052E">
              <w:t>(7,327)</w:t>
            </w:r>
          </w:p>
        </w:tc>
        <w:tc>
          <w:tcPr>
            <w:tcW w:w="1191" w:type="dxa"/>
            <w:noWrap/>
            <w:hideMark/>
          </w:tcPr>
          <w:p w14:paraId="5DD4503A" w14:textId="77777777" w:rsidR="00EE5BB8" w:rsidRPr="00C6052E" w:rsidRDefault="00EE5BB8" w:rsidP="00B66698">
            <w:pPr>
              <w:pStyle w:val="TableCopy"/>
              <w:jc w:val="right"/>
            </w:pPr>
            <w:r w:rsidRPr="00C6052E">
              <w:t>(20,627)</w:t>
            </w:r>
          </w:p>
        </w:tc>
      </w:tr>
      <w:tr w:rsidR="00EE5BB8" w:rsidRPr="00C6052E" w14:paraId="29AD3169" w14:textId="77777777" w:rsidTr="00B66698">
        <w:tc>
          <w:tcPr>
            <w:tcW w:w="7257" w:type="dxa"/>
            <w:hideMark/>
          </w:tcPr>
          <w:p w14:paraId="419D5328" w14:textId="5D40E10C" w:rsidR="00EE5BB8" w:rsidRPr="00C6052E" w:rsidRDefault="00EE5BB8" w:rsidP="0063097D">
            <w:pPr>
              <w:pStyle w:val="TableCopy"/>
            </w:pPr>
            <w:r w:rsidRPr="00C6052E">
              <w:t>Reversal</w:t>
            </w:r>
            <w:r w:rsidR="00177848" w:rsidRPr="00C6052E">
              <w:t xml:space="preserve"> </w:t>
            </w:r>
            <w:r w:rsidRPr="00C6052E">
              <w:t>of</w:t>
            </w:r>
            <w:r w:rsidR="00177848" w:rsidRPr="00C6052E">
              <w:t xml:space="preserve"> </w:t>
            </w:r>
            <w:r w:rsidRPr="00C6052E">
              <w:t>provision</w:t>
            </w:r>
            <w:r w:rsidR="00177848" w:rsidRPr="00C6052E">
              <w:t xml:space="preserve"> </w:t>
            </w:r>
            <w:r w:rsidRPr="00C6052E">
              <w:t>of</w:t>
            </w:r>
            <w:r w:rsidR="00177848" w:rsidRPr="00C6052E">
              <w:t xml:space="preserve"> </w:t>
            </w:r>
            <w:r w:rsidRPr="00C6052E">
              <w:t>receivables</w:t>
            </w:r>
            <w:r w:rsidR="00177848" w:rsidRPr="00C6052E">
              <w:t xml:space="preserve"> </w:t>
            </w:r>
            <w:r w:rsidRPr="00C6052E">
              <w:t>written</w:t>
            </w:r>
            <w:r w:rsidR="00177848" w:rsidRPr="00C6052E">
              <w:t xml:space="preserve"> </w:t>
            </w:r>
            <w:r w:rsidRPr="00C6052E">
              <w:t>off</w:t>
            </w:r>
            <w:r w:rsidR="00177848" w:rsidRPr="00C6052E">
              <w:t xml:space="preserve"> </w:t>
            </w:r>
            <w:r w:rsidRPr="00C6052E">
              <w:t>during</w:t>
            </w:r>
            <w:r w:rsidR="00177848" w:rsidRPr="00C6052E">
              <w:t xml:space="preserve"> </w:t>
            </w:r>
            <w:r w:rsidRPr="00C6052E">
              <w:t>the</w:t>
            </w:r>
            <w:r w:rsidR="00177848" w:rsidRPr="00C6052E">
              <w:t xml:space="preserve"> </w:t>
            </w:r>
            <w:r w:rsidRPr="00C6052E">
              <w:t>year</w:t>
            </w:r>
            <w:r w:rsidR="00177848" w:rsidRPr="00C6052E">
              <w:t xml:space="preserve"> </w:t>
            </w:r>
            <w:r w:rsidRPr="00C6052E">
              <w:t>as</w:t>
            </w:r>
            <w:r w:rsidR="00177848" w:rsidRPr="00C6052E">
              <w:t xml:space="preserve"> </w:t>
            </w:r>
            <w:r w:rsidRPr="00C6052E">
              <w:t>uncollectible</w:t>
            </w:r>
          </w:p>
        </w:tc>
        <w:tc>
          <w:tcPr>
            <w:tcW w:w="1191" w:type="dxa"/>
            <w:noWrap/>
            <w:hideMark/>
          </w:tcPr>
          <w:p w14:paraId="4B8C0FDB" w14:textId="77777777" w:rsidR="00EE5BB8" w:rsidRPr="00C6052E" w:rsidRDefault="00EE5BB8" w:rsidP="00B66698">
            <w:pPr>
              <w:pStyle w:val="TableCopy"/>
              <w:jc w:val="right"/>
            </w:pPr>
            <w:r w:rsidRPr="00C6052E">
              <w:t>34,691</w:t>
            </w:r>
          </w:p>
        </w:tc>
        <w:tc>
          <w:tcPr>
            <w:tcW w:w="1191" w:type="dxa"/>
            <w:noWrap/>
            <w:hideMark/>
          </w:tcPr>
          <w:p w14:paraId="574914BB" w14:textId="77777777" w:rsidR="00EE5BB8" w:rsidRPr="00C6052E" w:rsidRDefault="00EE5BB8" w:rsidP="00B66698">
            <w:pPr>
              <w:pStyle w:val="TableCopy"/>
              <w:jc w:val="right"/>
            </w:pPr>
            <w:r w:rsidRPr="00C6052E">
              <w:t>39,725</w:t>
            </w:r>
          </w:p>
        </w:tc>
      </w:tr>
      <w:tr w:rsidR="00EE5BB8" w:rsidRPr="00C6052E" w14:paraId="722F2A5F" w14:textId="77777777" w:rsidTr="00B66698">
        <w:tc>
          <w:tcPr>
            <w:tcW w:w="7257" w:type="dxa"/>
            <w:hideMark/>
          </w:tcPr>
          <w:p w14:paraId="744D5D10" w14:textId="3B0E8476" w:rsidR="00EE5BB8" w:rsidRPr="00C6052E" w:rsidRDefault="00EE5BB8" w:rsidP="0063097D">
            <w:pPr>
              <w:pStyle w:val="TableCopy"/>
            </w:pPr>
            <w:r w:rsidRPr="00C6052E">
              <w:t>Reversal</w:t>
            </w:r>
            <w:r w:rsidR="00177848" w:rsidRPr="00C6052E">
              <w:t xml:space="preserve"> </w:t>
            </w:r>
            <w:r w:rsidRPr="00C6052E">
              <w:t>of</w:t>
            </w:r>
            <w:r w:rsidR="00177848" w:rsidRPr="00C6052E">
              <w:t xml:space="preserve"> </w:t>
            </w:r>
            <w:r w:rsidRPr="00C6052E">
              <w:t>loss</w:t>
            </w:r>
            <w:r w:rsidR="00177848" w:rsidRPr="00C6052E">
              <w:t xml:space="preserve"> </w:t>
            </w:r>
            <w:r w:rsidRPr="00C6052E">
              <w:t>allowance</w:t>
            </w:r>
            <w:r w:rsidR="00177848" w:rsidRPr="00C6052E">
              <w:t xml:space="preserve"> </w:t>
            </w:r>
            <w:r w:rsidRPr="00C6052E">
              <w:t>due</w:t>
            </w:r>
            <w:r w:rsidR="00177848" w:rsidRPr="00C6052E">
              <w:t xml:space="preserve"> </w:t>
            </w:r>
            <w:r w:rsidRPr="00C6052E">
              <w:t>to</w:t>
            </w:r>
            <w:r w:rsidR="00177848" w:rsidRPr="00C6052E">
              <w:t xml:space="preserve"> </w:t>
            </w:r>
            <w:r w:rsidRPr="00C6052E">
              <w:t>recoveries</w:t>
            </w:r>
            <w:r w:rsidR="00177848" w:rsidRPr="00C6052E">
              <w:t xml:space="preserve"> </w:t>
            </w:r>
            <w:r w:rsidRPr="00C6052E">
              <w:t>received</w:t>
            </w:r>
            <w:r w:rsidR="00177848" w:rsidRPr="00C6052E">
              <w:t xml:space="preserve"> </w:t>
            </w:r>
            <w:r w:rsidRPr="00C6052E">
              <w:t>during</w:t>
            </w:r>
            <w:r w:rsidR="00177848" w:rsidRPr="00C6052E">
              <w:t xml:space="preserve"> </w:t>
            </w:r>
            <w:r w:rsidRPr="00C6052E">
              <w:t>the</w:t>
            </w:r>
            <w:r w:rsidR="00177848" w:rsidRPr="00C6052E">
              <w:t xml:space="preserve"> </w:t>
            </w:r>
            <w:r w:rsidRPr="00C6052E">
              <w:t>year</w:t>
            </w:r>
          </w:p>
        </w:tc>
        <w:tc>
          <w:tcPr>
            <w:tcW w:w="1191" w:type="dxa"/>
            <w:noWrap/>
            <w:hideMark/>
          </w:tcPr>
          <w:p w14:paraId="56F8196F" w14:textId="77777777" w:rsidR="00EE5BB8" w:rsidRPr="00C6052E" w:rsidRDefault="00EE5BB8" w:rsidP="00B66698">
            <w:pPr>
              <w:pStyle w:val="TableCopy"/>
              <w:jc w:val="right"/>
            </w:pPr>
            <w:r w:rsidRPr="00C6052E">
              <w:t>1,453</w:t>
            </w:r>
          </w:p>
        </w:tc>
        <w:tc>
          <w:tcPr>
            <w:tcW w:w="1191" w:type="dxa"/>
            <w:noWrap/>
            <w:hideMark/>
          </w:tcPr>
          <w:p w14:paraId="06F4A373" w14:textId="77777777" w:rsidR="00EE5BB8" w:rsidRPr="00C6052E" w:rsidRDefault="00EE5BB8" w:rsidP="00B66698">
            <w:pPr>
              <w:pStyle w:val="TableCopy"/>
              <w:jc w:val="right"/>
            </w:pPr>
            <w:r w:rsidRPr="00C6052E">
              <w:t>57</w:t>
            </w:r>
          </w:p>
        </w:tc>
      </w:tr>
      <w:tr w:rsidR="00EE5BB8" w:rsidRPr="00C6052E" w14:paraId="2CAB5FF3" w14:textId="77777777" w:rsidTr="00B66698">
        <w:tc>
          <w:tcPr>
            <w:tcW w:w="7257" w:type="dxa"/>
            <w:hideMark/>
          </w:tcPr>
          <w:p w14:paraId="1679762D" w14:textId="5D7B0BEA" w:rsidR="00EE5BB8" w:rsidRPr="00C6052E" w:rsidRDefault="00EE5BB8" w:rsidP="0063097D">
            <w:pPr>
              <w:pStyle w:val="Tabletotal"/>
            </w:pPr>
            <w:r w:rsidRPr="00C6052E">
              <w:t>Balance</w:t>
            </w:r>
            <w:r w:rsidR="00177848" w:rsidRPr="00C6052E">
              <w:t xml:space="preserve"> </w:t>
            </w:r>
            <w:r w:rsidRPr="00C6052E">
              <w:t>at</w:t>
            </w:r>
            <w:r w:rsidR="00177848" w:rsidRPr="00C6052E">
              <w:t xml:space="preserve"> </w:t>
            </w:r>
            <w:r w:rsidRPr="00C6052E">
              <w:t>end</w:t>
            </w:r>
            <w:r w:rsidR="00177848" w:rsidRPr="00C6052E">
              <w:t xml:space="preserve"> </w:t>
            </w:r>
            <w:r w:rsidRPr="00C6052E">
              <w:t>of</w:t>
            </w:r>
            <w:r w:rsidR="00177848" w:rsidRPr="00C6052E">
              <w:t xml:space="preserve"> </w:t>
            </w:r>
            <w:r w:rsidRPr="00C6052E">
              <w:t>year</w:t>
            </w:r>
          </w:p>
        </w:tc>
        <w:tc>
          <w:tcPr>
            <w:tcW w:w="1191" w:type="dxa"/>
            <w:noWrap/>
            <w:hideMark/>
          </w:tcPr>
          <w:p w14:paraId="4CB752F8" w14:textId="77777777" w:rsidR="00EE5BB8" w:rsidRPr="00C6052E" w:rsidRDefault="00EE5BB8" w:rsidP="00B66698">
            <w:pPr>
              <w:pStyle w:val="Tabletotal"/>
              <w:jc w:val="right"/>
            </w:pPr>
            <w:r w:rsidRPr="00C6052E">
              <w:t>(13,822)</w:t>
            </w:r>
          </w:p>
        </w:tc>
        <w:tc>
          <w:tcPr>
            <w:tcW w:w="1191" w:type="dxa"/>
            <w:noWrap/>
            <w:hideMark/>
          </w:tcPr>
          <w:p w14:paraId="2FF6DDE5" w14:textId="77777777" w:rsidR="00EE5BB8" w:rsidRPr="00C6052E" w:rsidRDefault="00EE5BB8" w:rsidP="00B66698">
            <w:pPr>
              <w:pStyle w:val="Tabletotal"/>
              <w:jc w:val="right"/>
            </w:pPr>
            <w:r w:rsidRPr="00C6052E">
              <w:t>(42,639)</w:t>
            </w:r>
          </w:p>
        </w:tc>
      </w:tr>
    </w:tbl>
    <w:p w14:paraId="458CCB3D" w14:textId="77777777" w:rsidR="00EE5BB8" w:rsidRPr="00C6052E" w:rsidRDefault="00EE5BB8" w:rsidP="00B66698"/>
    <w:p w14:paraId="455DB475" w14:textId="3D067D19" w:rsidR="00EE5BB8" w:rsidRPr="00C6052E" w:rsidRDefault="00EE5BB8" w:rsidP="00EE5BB8">
      <w:r w:rsidRPr="00C6052E">
        <w:t>Credit</w:t>
      </w:r>
      <w:r w:rsidR="00177848" w:rsidRPr="00C6052E">
        <w:t xml:space="preserve"> </w:t>
      </w:r>
      <w:r w:rsidRPr="00C6052E">
        <w:t>loss</w:t>
      </w:r>
      <w:r w:rsidR="00177848" w:rsidRPr="00C6052E">
        <w:t xml:space="preserve"> </w:t>
      </w:r>
      <w:r w:rsidRPr="00C6052E">
        <w:t>allowance</w:t>
      </w:r>
      <w:r w:rsidR="00177848" w:rsidRPr="00C6052E">
        <w:t xml:space="preserve"> </w:t>
      </w:r>
      <w:r w:rsidRPr="00C6052E">
        <w:t>is</w:t>
      </w:r>
      <w:r w:rsidR="00177848" w:rsidRPr="00C6052E">
        <w:t xml:space="preserve"> </w:t>
      </w:r>
      <w:r w:rsidRPr="00C6052E">
        <w:t>classified</w:t>
      </w:r>
      <w:r w:rsidR="00177848" w:rsidRPr="00C6052E">
        <w:t xml:space="preserve"> </w:t>
      </w:r>
      <w:r w:rsidRPr="00C6052E">
        <w:t>as</w:t>
      </w:r>
      <w:r w:rsidR="00177848" w:rsidRPr="00C6052E">
        <w:t xml:space="preserve"> </w:t>
      </w:r>
      <w:r w:rsidRPr="00C6052E">
        <w:t>other</w:t>
      </w:r>
      <w:r w:rsidR="00177848" w:rsidRPr="00C6052E">
        <w:t xml:space="preserve"> </w:t>
      </w:r>
      <w:r w:rsidRPr="00C6052E">
        <w:t>economic</w:t>
      </w:r>
      <w:r w:rsidR="00177848" w:rsidRPr="00C6052E">
        <w:t xml:space="preserve"> </w:t>
      </w:r>
      <w:r w:rsidRPr="00C6052E">
        <w:t>flows</w:t>
      </w:r>
      <w:r w:rsidR="00177848" w:rsidRPr="00C6052E">
        <w:t xml:space="preserve"> </w:t>
      </w:r>
      <w:r w:rsidRPr="00C6052E">
        <w:t>in</w:t>
      </w:r>
      <w:r w:rsidR="00177848" w:rsidRPr="00C6052E">
        <w:t xml:space="preserve"> </w:t>
      </w:r>
      <w:r w:rsidRPr="00C6052E">
        <w:t>the</w:t>
      </w:r>
      <w:r w:rsidR="00177848" w:rsidRPr="00C6052E">
        <w:t xml:space="preserve"> </w:t>
      </w:r>
      <w:r w:rsidRPr="00C6052E">
        <w:t>net</w:t>
      </w:r>
      <w:r w:rsidR="00177848" w:rsidRPr="00C6052E">
        <w:t xml:space="preserve"> </w:t>
      </w:r>
      <w:r w:rsidRPr="00C6052E">
        <w:t>result.</w:t>
      </w:r>
      <w:r w:rsidR="00177848" w:rsidRPr="00C6052E">
        <w:t xml:space="preserve"> </w:t>
      </w:r>
      <w:r w:rsidRPr="00C6052E">
        <w:t>Contractual</w:t>
      </w:r>
      <w:r w:rsidR="00177848" w:rsidRPr="00C6052E">
        <w:t xml:space="preserve"> </w:t>
      </w:r>
      <w:r w:rsidRPr="00C6052E">
        <w:t>receivables</w:t>
      </w:r>
      <w:r w:rsidR="00177848" w:rsidRPr="00C6052E">
        <w:t xml:space="preserve"> </w:t>
      </w:r>
      <w:r w:rsidRPr="00C6052E">
        <w:t>are</w:t>
      </w:r>
      <w:r w:rsidR="00177848" w:rsidRPr="00C6052E">
        <w:t xml:space="preserve"> </w:t>
      </w:r>
      <w:r w:rsidRPr="00C6052E">
        <w:t>written</w:t>
      </w:r>
      <w:r w:rsidR="00177848" w:rsidRPr="00C6052E">
        <w:t xml:space="preserve"> </w:t>
      </w:r>
      <w:r w:rsidRPr="00C6052E">
        <w:t>off</w:t>
      </w:r>
      <w:r w:rsidR="00177848" w:rsidRPr="00C6052E">
        <w:t xml:space="preserve"> </w:t>
      </w:r>
      <w:r w:rsidRPr="00C6052E">
        <w:t>when</w:t>
      </w:r>
      <w:r w:rsidR="00177848" w:rsidRPr="00C6052E">
        <w:t xml:space="preserve"> </w:t>
      </w:r>
      <w:r w:rsidRPr="00C6052E">
        <w:t>there</w:t>
      </w:r>
      <w:r w:rsidR="00177848" w:rsidRPr="00C6052E">
        <w:t xml:space="preserve"> </w:t>
      </w:r>
      <w:r w:rsidRPr="00C6052E">
        <w:t>is</w:t>
      </w:r>
      <w:r w:rsidR="00177848" w:rsidRPr="00C6052E">
        <w:t xml:space="preserve"> </w:t>
      </w:r>
      <w:r w:rsidRPr="00C6052E">
        <w:t>no</w:t>
      </w:r>
      <w:r w:rsidR="00177848" w:rsidRPr="00C6052E">
        <w:t xml:space="preserve"> </w:t>
      </w:r>
      <w:r w:rsidRPr="00C6052E">
        <w:t>reasonable</w:t>
      </w:r>
      <w:r w:rsidR="00177848" w:rsidRPr="00C6052E">
        <w:t xml:space="preserve"> </w:t>
      </w:r>
      <w:r w:rsidRPr="00C6052E">
        <w:t>expectation</w:t>
      </w:r>
      <w:r w:rsidR="00177848" w:rsidRPr="00C6052E">
        <w:t xml:space="preserve"> </w:t>
      </w:r>
      <w:r w:rsidRPr="00C6052E">
        <w:t>of</w:t>
      </w:r>
      <w:r w:rsidR="00177848" w:rsidRPr="00C6052E">
        <w:t xml:space="preserve"> </w:t>
      </w:r>
      <w:r w:rsidRPr="00C6052E">
        <w:t>recovery</w:t>
      </w:r>
      <w:r w:rsidR="00177848" w:rsidRPr="00C6052E">
        <w:t xml:space="preserve"> </w:t>
      </w:r>
      <w:r w:rsidRPr="00C6052E">
        <w:t>and</w:t>
      </w:r>
      <w:r w:rsidR="00177848" w:rsidRPr="00C6052E">
        <w:t xml:space="preserve"> </w:t>
      </w:r>
      <w:r w:rsidRPr="00C6052E">
        <w:t>impairment</w:t>
      </w:r>
      <w:r w:rsidR="00177848" w:rsidRPr="00C6052E">
        <w:t xml:space="preserve"> </w:t>
      </w:r>
      <w:r w:rsidRPr="00C6052E">
        <w:t>losses</w:t>
      </w:r>
      <w:r w:rsidR="00177848" w:rsidRPr="00C6052E">
        <w:t xml:space="preserve"> </w:t>
      </w:r>
      <w:r w:rsidRPr="00C6052E">
        <w:t>are</w:t>
      </w:r>
      <w:r w:rsidR="00177848" w:rsidRPr="00C6052E">
        <w:t xml:space="preserve"> </w:t>
      </w:r>
      <w:r w:rsidRPr="00C6052E">
        <w:t>classified</w:t>
      </w:r>
      <w:r w:rsidR="00177848" w:rsidRPr="00C6052E">
        <w:t xml:space="preserve"> </w:t>
      </w:r>
      <w:r w:rsidRPr="00C6052E">
        <w:t>as</w:t>
      </w:r>
      <w:r w:rsidR="00177848" w:rsidRPr="00C6052E">
        <w:t xml:space="preserve"> </w:t>
      </w:r>
      <w:r w:rsidRPr="00C6052E">
        <w:t>a</w:t>
      </w:r>
      <w:r w:rsidR="00177848" w:rsidRPr="00C6052E">
        <w:t xml:space="preserve"> </w:t>
      </w:r>
      <w:r w:rsidRPr="00C6052E">
        <w:t>transaction</w:t>
      </w:r>
      <w:r w:rsidR="00177848" w:rsidRPr="00C6052E">
        <w:t xml:space="preserve"> </w:t>
      </w:r>
      <w:r w:rsidRPr="00C6052E">
        <w:t>expense.</w:t>
      </w:r>
      <w:r w:rsidR="00177848" w:rsidRPr="00C6052E">
        <w:t xml:space="preserve"> </w:t>
      </w:r>
      <w:r w:rsidRPr="00C6052E">
        <w:t>Subsequent</w:t>
      </w:r>
      <w:r w:rsidR="00177848" w:rsidRPr="00C6052E">
        <w:t xml:space="preserve"> </w:t>
      </w:r>
      <w:r w:rsidRPr="00C6052E">
        <w:t>recoveries</w:t>
      </w:r>
      <w:r w:rsidR="00177848" w:rsidRPr="00C6052E">
        <w:t xml:space="preserve"> </w:t>
      </w:r>
      <w:r w:rsidRPr="00C6052E">
        <w:t>of</w:t>
      </w:r>
      <w:r w:rsidR="00177848" w:rsidRPr="00C6052E">
        <w:t xml:space="preserve"> </w:t>
      </w:r>
      <w:r w:rsidRPr="00C6052E">
        <w:t>amounts</w:t>
      </w:r>
      <w:r w:rsidR="00177848" w:rsidRPr="00C6052E">
        <w:t xml:space="preserve"> </w:t>
      </w:r>
      <w:r w:rsidRPr="00C6052E">
        <w:t>previously</w:t>
      </w:r>
      <w:r w:rsidR="00177848" w:rsidRPr="00C6052E">
        <w:t xml:space="preserve"> </w:t>
      </w:r>
      <w:r w:rsidRPr="00C6052E">
        <w:t>written</w:t>
      </w:r>
      <w:r w:rsidR="00177848" w:rsidRPr="00C6052E">
        <w:t xml:space="preserve"> </w:t>
      </w:r>
      <w:r w:rsidRPr="00C6052E">
        <w:t>off</w:t>
      </w:r>
      <w:r w:rsidR="00177848" w:rsidRPr="00C6052E">
        <w:t xml:space="preserve"> </w:t>
      </w:r>
      <w:r w:rsidRPr="00C6052E">
        <w:t>are</w:t>
      </w:r>
      <w:r w:rsidR="00177848" w:rsidRPr="00C6052E">
        <w:t xml:space="preserve"> </w:t>
      </w:r>
      <w:r w:rsidRPr="00C6052E">
        <w:t>credited</w:t>
      </w:r>
      <w:r w:rsidR="00177848" w:rsidRPr="00C6052E">
        <w:t xml:space="preserve"> </w:t>
      </w:r>
      <w:r w:rsidRPr="00C6052E">
        <w:t>against</w:t>
      </w:r>
      <w:r w:rsidR="00177848" w:rsidRPr="00C6052E">
        <w:t xml:space="preserve"> </w:t>
      </w:r>
      <w:r w:rsidRPr="00C6052E">
        <w:t>the</w:t>
      </w:r>
      <w:r w:rsidR="00177848" w:rsidRPr="00C6052E">
        <w:t xml:space="preserve"> </w:t>
      </w:r>
      <w:r w:rsidRPr="00C6052E">
        <w:t>same</w:t>
      </w:r>
      <w:r w:rsidR="00177848" w:rsidRPr="00C6052E">
        <w:t xml:space="preserve"> </w:t>
      </w:r>
      <w:r w:rsidRPr="00C6052E">
        <w:t>line</w:t>
      </w:r>
      <w:r w:rsidR="00177848" w:rsidRPr="00C6052E">
        <w:t xml:space="preserve"> </w:t>
      </w:r>
      <w:r w:rsidRPr="00C6052E">
        <w:t>item.</w:t>
      </w:r>
    </w:p>
    <w:p w14:paraId="36E0C96A" w14:textId="02D0F179" w:rsidR="00EE5BB8" w:rsidRPr="00C6052E" w:rsidRDefault="00EE5BB8" w:rsidP="00EE5BB8">
      <w:pPr>
        <w:pStyle w:val="Heading4"/>
      </w:pPr>
      <w:r w:rsidRPr="00C6052E">
        <w:t>Statutory</w:t>
      </w:r>
      <w:r w:rsidR="00177848" w:rsidRPr="00C6052E">
        <w:t xml:space="preserve"> </w:t>
      </w:r>
      <w:r w:rsidRPr="00C6052E">
        <w:t>receivables</w:t>
      </w:r>
      <w:r w:rsidR="00177848" w:rsidRPr="00C6052E">
        <w:t xml:space="preserve"> </w:t>
      </w:r>
      <w:r w:rsidRPr="00C6052E">
        <w:t>and</w:t>
      </w:r>
      <w:r w:rsidR="00177848" w:rsidRPr="00C6052E">
        <w:t xml:space="preserve"> </w:t>
      </w:r>
      <w:r w:rsidRPr="00C6052E">
        <w:t>debt</w:t>
      </w:r>
      <w:r w:rsidR="00177848" w:rsidRPr="00C6052E">
        <w:t xml:space="preserve"> </w:t>
      </w:r>
      <w:r w:rsidRPr="00C6052E">
        <w:t>investments</w:t>
      </w:r>
      <w:r w:rsidR="00177848" w:rsidRPr="00C6052E">
        <w:t xml:space="preserve"> </w:t>
      </w:r>
      <w:r w:rsidRPr="00C6052E">
        <w:t>at</w:t>
      </w:r>
      <w:r w:rsidR="00177848" w:rsidRPr="00C6052E">
        <w:t xml:space="preserve"> </w:t>
      </w:r>
      <w:r w:rsidRPr="00C6052E">
        <w:t>amortised</w:t>
      </w:r>
      <w:r w:rsidR="00177848" w:rsidRPr="00C6052E">
        <w:t xml:space="preserve"> </w:t>
      </w:r>
      <w:r w:rsidRPr="00C6052E">
        <w:t>cost</w:t>
      </w:r>
    </w:p>
    <w:p w14:paraId="689BCA56" w14:textId="1ADC1F00" w:rsidR="00EE5BB8" w:rsidRPr="00C6052E" w:rsidRDefault="00EE5BB8" w:rsidP="00EE5BB8">
      <w:r w:rsidRPr="00C6052E">
        <w:rPr>
          <w:spacing w:val="-2"/>
        </w:rPr>
        <w:t>DJSIR’s</w:t>
      </w:r>
      <w:r w:rsidR="00177848" w:rsidRPr="00C6052E">
        <w:rPr>
          <w:spacing w:val="-2"/>
        </w:rPr>
        <w:t xml:space="preserve"> </w:t>
      </w:r>
      <w:r w:rsidRPr="00C6052E">
        <w:rPr>
          <w:spacing w:val="-2"/>
        </w:rPr>
        <w:t>non-contractual</w:t>
      </w:r>
      <w:r w:rsidR="00177848" w:rsidRPr="00C6052E">
        <w:rPr>
          <w:spacing w:val="-2"/>
        </w:rPr>
        <w:t xml:space="preserve"> </w:t>
      </w:r>
      <w:r w:rsidRPr="00C6052E">
        <w:rPr>
          <w:spacing w:val="-2"/>
        </w:rPr>
        <w:t>receivables</w:t>
      </w:r>
      <w:r w:rsidR="00177848" w:rsidRPr="00C6052E">
        <w:rPr>
          <w:spacing w:val="-2"/>
        </w:rPr>
        <w:t xml:space="preserve"> </w:t>
      </w:r>
      <w:r w:rsidRPr="00C6052E">
        <w:rPr>
          <w:spacing w:val="-2"/>
        </w:rPr>
        <w:t>arising</w:t>
      </w:r>
      <w:r w:rsidR="00177848" w:rsidRPr="00C6052E">
        <w:rPr>
          <w:spacing w:val="-2"/>
        </w:rPr>
        <w:t xml:space="preserve"> </w:t>
      </w:r>
      <w:r w:rsidRPr="00C6052E">
        <w:rPr>
          <w:spacing w:val="-2"/>
        </w:rPr>
        <w:t>from</w:t>
      </w:r>
      <w:r w:rsidR="00177848" w:rsidRPr="00C6052E">
        <w:rPr>
          <w:spacing w:val="-2"/>
        </w:rPr>
        <w:t xml:space="preserve"> </w:t>
      </w:r>
      <w:r w:rsidRPr="00C6052E">
        <w:rPr>
          <w:spacing w:val="-2"/>
        </w:rPr>
        <w:t>statutory</w:t>
      </w:r>
      <w:r w:rsidR="00177848" w:rsidRPr="00C6052E">
        <w:rPr>
          <w:spacing w:val="-2"/>
        </w:rPr>
        <w:t xml:space="preserve"> </w:t>
      </w:r>
      <w:r w:rsidRPr="00C6052E">
        <w:rPr>
          <w:spacing w:val="-2"/>
        </w:rPr>
        <w:t>requirements</w:t>
      </w:r>
      <w:r w:rsidR="00177848" w:rsidRPr="00C6052E">
        <w:rPr>
          <w:spacing w:val="-2"/>
        </w:rPr>
        <w:t xml:space="preserve"> </w:t>
      </w:r>
      <w:r w:rsidRPr="00C6052E">
        <w:rPr>
          <w:spacing w:val="-2"/>
        </w:rPr>
        <w:t>are</w:t>
      </w:r>
      <w:r w:rsidR="00177848" w:rsidRPr="00C6052E">
        <w:rPr>
          <w:spacing w:val="-2"/>
        </w:rPr>
        <w:t xml:space="preserve"> </w:t>
      </w:r>
      <w:r w:rsidRPr="00C6052E">
        <w:rPr>
          <w:spacing w:val="-2"/>
        </w:rPr>
        <w:t>not</w:t>
      </w:r>
      <w:r w:rsidR="00177848" w:rsidRPr="00C6052E">
        <w:rPr>
          <w:spacing w:val="-2"/>
        </w:rPr>
        <w:t xml:space="preserve"> </w:t>
      </w:r>
      <w:r w:rsidRPr="00C6052E">
        <w:rPr>
          <w:spacing w:val="-2"/>
        </w:rPr>
        <w:t>financial</w:t>
      </w:r>
      <w:r w:rsidR="00177848" w:rsidRPr="00C6052E">
        <w:rPr>
          <w:spacing w:val="-2"/>
        </w:rPr>
        <w:t xml:space="preserve"> </w:t>
      </w:r>
      <w:r w:rsidRPr="00C6052E">
        <w:rPr>
          <w:spacing w:val="-2"/>
        </w:rPr>
        <w:t>instruments.</w:t>
      </w:r>
      <w:r w:rsidR="00177848" w:rsidRPr="00C6052E">
        <w:rPr>
          <w:spacing w:val="-2"/>
        </w:rPr>
        <w:t xml:space="preserve"> </w:t>
      </w:r>
      <w:r w:rsidRPr="00C6052E">
        <w:rPr>
          <w:spacing w:val="-2"/>
        </w:rPr>
        <w:t>However,</w:t>
      </w:r>
      <w:r w:rsidR="00177848" w:rsidRPr="00C6052E">
        <w:rPr>
          <w:spacing w:val="-2"/>
        </w:rPr>
        <w:t xml:space="preserve"> </w:t>
      </w:r>
      <w:r w:rsidRPr="00C6052E">
        <w:rPr>
          <w:spacing w:val="-2"/>
        </w:rPr>
        <w:t>they</w:t>
      </w:r>
      <w:r w:rsidR="00177848" w:rsidRPr="00C6052E">
        <w:t xml:space="preserve"> </w:t>
      </w:r>
      <w:r w:rsidRPr="00C6052E">
        <w:t>are</w:t>
      </w:r>
      <w:r w:rsidR="00177848" w:rsidRPr="00C6052E">
        <w:t xml:space="preserve"> </w:t>
      </w:r>
      <w:r w:rsidRPr="00C6052E">
        <w:t>nevertheless</w:t>
      </w:r>
      <w:r w:rsidR="00177848" w:rsidRPr="00C6052E">
        <w:t xml:space="preserve"> </w:t>
      </w:r>
      <w:r w:rsidRPr="00C6052E">
        <w:t>recognised</w:t>
      </w:r>
      <w:r w:rsidR="00177848" w:rsidRPr="00C6052E">
        <w:t xml:space="preserve"> </w:t>
      </w:r>
      <w:r w:rsidRPr="00C6052E">
        <w:t>and</w:t>
      </w:r>
      <w:r w:rsidR="00177848" w:rsidRPr="00C6052E">
        <w:t xml:space="preserve"> </w:t>
      </w:r>
      <w:r w:rsidRPr="00C6052E">
        <w:t>measured</w:t>
      </w:r>
      <w:r w:rsidR="00177848" w:rsidRPr="00C6052E">
        <w:t xml:space="preserve"> </w:t>
      </w:r>
      <w:r w:rsidRPr="00C6052E">
        <w:t>in</w:t>
      </w:r>
      <w:r w:rsidR="00177848" w:rsidRPr="00C6052E">
        <w:t xml:space="preserve"> </w:t>
      </w:r>
      <w:r w:rsidRPr="00C6052E">
        <w:t>accordance</w:t>
      </w:r>
      <w:r w:rsidR="00177848" w:rsidRPr="00C6052E">
        <w:t xml:space="preserve"> </w:t>
      </w:r>
      <w:r w:rsidRPr="00C6052E">
        <w:t>with</w:t>
      </w:r>
      <w:r w:rsidR="00177848" w:rsidRPr="00C6052E">
        <w:t xml:space="preserve"> </w:t>
      </w:r>
      <w:r w:rsidRPr="00C6052E">
        <w:t>AASB</w:t>
      </w:r>
      <w:r w:rsidR="00177848" w:rsidRPr="00C6052E">
        <w:t xml:space="preserve"> </w:t>
      </w:r>
      <w:r w:rsidRPr="00C6052E">
        <w:t>9</w:t>
      </w:r>
      <w:r w:rsidR="00177848" w:rsidRPr="00C6052E">
        <w:t xml:space="preserve"> </w:t>
      </w:r>
      <w:r w:rsidRPr="00C6052E">
        <w:t>requirements</w:t>
      </w:r>
      <w:r w:rsidR="00177848" w:rsidRPr="00C6052E">
        <w:t xml:space="preserve"> </w:t>
      </w:r>
      <w:r w:rsidRPr="00C6052E">
        <w:t>as</w:t>
      </w:r>
      <w:r w:rsidR="00177848" w:rsidRPr="00C6052E">
        <w:t xml:space="preserve"> </w:t>
      </w:r>
      <w:r w:rsidRPr="00C6052E">
        <w:t>if</w:t>
      </w:r>
      <w:r w:rsidR="00177848" w:rsidRPr="00C6052E">
        <w:t xml:space="preserve"> </w:t>
      </w:r>
      <w:r w:rsidRPr="00C6052E">
        <w:t>those</w:t>
      </w:r>
      <w:r w:rsidR="00177848" w:rsidRPr="00C6052E">
        <w:t xml:space="preserve"> </w:t>
      </w:r>
      <w:r w:rsidRPr="00C6052E">
        <w:t>receivables</w:t>
      </w:r>
      <w:r w:rsidR="00177848" w:rsidRPr="00C6052E">
        <w:t xml:space="preserve"> </w:t>
      </w:r>
      <w:r w:rsidRPr="00C6052E">
        <w:t>are</w:t>
      </w:r>
      <w:r w:rsidR="00177848" w:rsidRPr="00C6052E">
        <w:t xml:space="preserve"> </w:t>
      </w:r>
      <w:r w:rsidRPr="00C6052E">
        <w:t>financial</w:t>
      </w:r>
      <w:r w:rsidR="00177848" w:rsidRPr="00C6052E">
        <w:t xml:space="preserve"> </w:t>
      </w:r>
      <w:r w:rsidRPr="00C6052E">
        <w:t>instruments.</w:t>
      </w:r>
    </w:p>
    <w:p w14:paraId="3BAE357C" w14:textId="4FAC1824" w:rsidR="00EE5BB8" w:rsidRPr="00C6052E" w:rsidRDefault="00EE5BB8" w:rsidP="00EE5BB8">
      <w:r w:rsidRPr="00C6052E">
        <w:lastRenderedPageBreak/>
        <w:t>Both</w:t>
      </w:r>
      <w:r w:rsidR="00177848" w:rsidRPr="00C6052E">
        <w:t xml:space="preserve"> </w:t>
      </w:r>
      <w:r w:rsidRPr="00C6052E">
        <w:t>the</w:t>
      </w:r>
      <w:r w:rsidR="00177848" w:rsidRPr="00C6052E">
        <w:t xml:space="preserve"> </w:t>
      </w:r>
      <w:r w:rsidRPr="00C6052E">
        <w:t>statutory</w:t>
      </w:r>
      <w:r w:rsidR="00177848" w:rsidRPr="00C6052E">
        <w:t xml:space="preserve"> </w:t>
      </w:r>
      <w:r w:rsidRPr="00C6052E">
        <w:t>receivables</w:t>
      </w:r>
      <w:r w:rsidR="00177848" w:rsidRPr="00C6052E">
        <w:t xml:space="preserve"> </w:t>
      </w:r>
      <w:r w:rsidRPr="00C6052E">
        <w:t>and</w:t>
      </w:r>
      <w:r w:rsidR="00177848" w:rsidRPr="00C6052E">
        <w:t xml:space="preserve"> </w:t>
      </w:r>
      <w:r w:rsidRPr="00C6052E">
        <w:t>investments</w:t>
      </w:r>
      <w:r w:rsidR="00177848" w:rsidRPr="00C6052E">
        <w:t xml:space="preserve"> </w:t>
      </w:r>
      <w:r w:rsidRPr="00C6052E">
        <w:t>in</w:t>
      </w:r>
      <w:r w:rsidR="00177848" w:rsidRPr="00C6052E">
        <w:t xml:space="preserve"> </w:t>
      </w:r>
      <w:r w:rsidRPr="00C6052E">
        <w:t>debt</w:t>
      </w:r>
      <w:r w:rsidR="00177848" w:rsidRPr="00C6052E">
        <w:t xml:space="preserve"> </w:t>
      </w:r>
      <w:r w:rsidRPr="00C6052E">
        <w:t>instruments</w:t>
      </w:r>
      <w:r w:rsidR="00177848" w:rsidRPr="00C6052E">
        <w:t xml:space="preserve"> </w:t>
      </w:r>
      <w:r w:rsidRPr="00C6052E">
        <w:t>are</w:t>
      </w:r>
      <w:r w:rsidR="00177848" w:rsidRPr="00C6052E">
        <w:t xml:space="preserve"> </w:t>
      </w:r>
      <w:r w:rsidRPr="00C6052E">
        <w:t>considered</w:t>
      </w:r>
      <w:r w:rsidR="00177848" w:rsidRPr="00C6052E">
        <w:t xml:space="preserve"> </w:t>
      </w:r>
      <w:r w:rsidRPr="00C6052E">
        <w:t>to</w:t>
      </w:r>
      <w:r w:rsidR="00177848" w:rsidRPr="00C6052E">
        <w:t xml:space="preserve"> </w:t>
      </w:r>
      <w:r w:rsidRPr="00C6052E">
        <w:t>have</w:t>
      </w:r>
      <w:r w:rsidR="00177848" w:rsidRPr="00C6052E">
        <w:t xml:space="preserve"> </w:t>
      </w:r>
      <w:r w:rsidRPr="00C6052E">
        <w:t>low</w:t>
      </w:r>
      <w:r w:rsidR="00177848" w:rsidRPr="00C6052E">
        <w:t xml:space="preserve"> </w:t>
      </w:r>
      <w:r w:rsidRPr="00C6052E">
        <w:t>credit</w:t>
      </w:r>
      <w:r w:rsidR="00177848" w:rsidRPr="00C6052E">
        <w:t xml:space="preserve"> </w:t>
      </w:r>
      <w:r w:rsidRPr="00C6052E">
        <w:t>risk,</w:t>
      </w:r>
      <w:r w:rsidR="00177848" w:rsidRPr="00C6052E">
        <w:t xml:space="preserve"> </w:t>
      </w:r>
      <w:r w:rsidRPr="00C6052E">
        <w:t>taking</w:t>
      </w:r>
      <w:r w:rsidR="00177848" w:rsidRPr="00C6052E">
        <w:t xml:space="preserve"> </w:t>
      </w:r>
      <w:r w:rsidRPr="00C6052E">
        <w:t>into</w:t>
      </w:r>
      <w:r w:rsidR="00177848" w:rsidRPr="00C6052E">
        <w:t xml:space="preserve"> </w:t>
      </w:r>
      <w:r w:rsidRPr="00C6052E">
        <w:t>account</w:t>
      </w:r>
      <w:r w:rsidR="00177848" w:rsidRPr="00C6052E">
        <w:t xml:space="preserve"> </w:t>
      </w:r>
      <w:r w:rsidRPr="00C6052E">
        <w:t>the</w:t>
      </w:r>
      <w:r w:rsidR="00177848" w:rsidRPr="00C6052E">
        <w:t xml:space="preserve"> </w:t>
      </w:r>
      <w:r w:rsidRPr="00C6052E">
        <w:t>counterparty’s</w:t>
      </w:r>
      <w:r w:rsidR="00177848" w:rsidRPr="00C6052E">
        <w:t xml:space="preserve"> </w:t>
      </w:r>
      <w:r w:rsidRPr="00C6052E">
        <w:t>credit</w:t>
      </w:r>
      <w:r w:rsidR="00177848" w:rsidRPr="00C6052E">
        <w:t xml:space="preserve"> </w:t>
      </w:r>
      <w:r w:rsidRPr="00C6052E">
        <w:t>rating,</w:t>
      </w:r>
      <w:r w:rsidR="00177848" w:rsidRPr="00C6052E">
        <w:t xml:space="preserve"> </w:t>
      </w:r>
      <w:r w:rsidRPr="00C6052E">
        <w:t>risk</w:t>
      </w:r>
      <w:r w:rsidR="00177848" w:rsidRPr="00C6052E">
        <w:t xml:space="preserve"> </w:t>
      </w:r>
      <w:r w:rsidRPr="00C6052E">
        <w:t>of</w:t>
      </w:r>
      <w:r w:rsidR="00177848" w:rsidRPr="00C6052E">
        <w:t xml:space="preserve"> </w:t>
      </w:r>
      <w:r w:rsidRPr="00C6052E">
        <w:t>default</w:t>
      </w:r>
      <w:r w:rsidR="00177848" w:rsidRPr="00C6052E">
        <w:t xml:space="preserve"> </w:t>
      </w:r>
      <w:r w:rsidRPr="00C6052E">
        <w:t>and</w:t>
      </w:r>
      <w:r w:rsidR="00177848" w:rsidRPr="00C6052E">
        <w:t xml:space="preserve"> </w:t>
      </w:r>
      <w:r w:rsidRPr="00C6052E">
        <w:t>capacity</w:t>
      </w:r>
      <w:r w:rsidR="00177848" w:rsidRPr="00C6052E">
        <w:t xml:space="preserve"> </w:t>
      </w:r>
      <w:r w:rsidRPr="00C6052E">
        <w:t>to</w:t>
      </w:r>
      <w:r w:rsidR="00177848" w:rsidRPr="00C6052E">
        <w:t xml:space="preserve"> </w:t>
      </w:r>
      <w:r w:rsidRPr="00C6052E">
        <w:t>meet</w:t>
      </w:r>
      <w:r w:rsidR="00177848" w:rsidRPr="00C6052E">
        <w:t xml:space="preserve"> </w:t>
      </w:r>
      <w:r w:rsidRPr="00C6052E">
        <w:t>contractual</w:t>
      </w:r>
      <w:r w:rsidR="00177848" w:rsidRPr="00C6052E">
        <w:t xml:space="preserve"> </w:t>
      </w:r>
      <w:r w:rsidRPr="00C6052E">
        <w:t>cash</w:t>
      </w:r>
      <w:r w:rsidR="00177848" w:rsidRPr="00C6052E">
        <w:t xml:space="preserve"> </w:t>
      </w:r>
      <w:r w:rsidRPr="00C6052E">
        <w:t>flow</w:t>
      </w:r>
      <w:r w:rsidR="00177848" w:rsidRPr="00C6052E">
        <w:t xml:space="preserve"> </w:t>
      </w:r>
      <w:r w:rsidRPr="00C6052E">
        <w:t>obligations</w:t>
      </w:r>
      <w:r w:rsidR="00177848" w:rsidRPr="00C6052E">
        <w:t xml:space="preserve"> </w:t>
      </w:r>
      <w:r w:rsidRPr="00C6052E">
        <w:t>in</w:t>
      </w:r>
      <w:r w:rsidR="00177848" w:rsidRPr="00C6052E">
        <w:t xml:space="preserve"> </w:t>
      </w:r>
      <w:r w:rsidRPr="00C6052E">
        <w:t>the</w:t>
      </w:r>
      <w:r w:rsidR="00177848" w:rsidRPr="00C6052E">
        <w:t xml:space="preserve"> </w:t>
      </w:r>
      <w:r w:rsidRPr="00C6052E">
        <w:t>near</w:t>
      </w:r>
      <w:r w:rsidR="00177848" w:rsidRPr="00C6052E">
        <w:t xml:space="preserve"> </w:t>
      </w:r>
      <w:r w:rsidRPr="00C6052E">
        <w:t>term.</w:t>
      </w:r>
      <w:r w:rsidR="00177848" w:rsidRPr="00C6052E">
        <w:t xml:space="preserve"> </w:t>
      </w:r>
      <w:r w:rsidRPr="00C6052E">
        <w:t>As</w:t>
      </w:r>
      <w:r w:rsidR="00177848" w:rsidRPr="00C6052E">
        <w:t xml:space="preserve"> </w:t>
      </w:r>
      <w:r w:rsidRPr="00C6052E">
        <w:t>a</w:t>
      </w:r>
      <w:r w:rsidR="00177848" w:rsidRPr="00C6052E">
        <w:t xml:space="preserve"> </w:t>
      </w:r>
      <w:r w:rsidRPr="00C6052E">
        <w:t>result,</w:t>
      </w:r>
      <w:r w:rsidR="00177848" w:rsidRPr="00C6052E">
        <w:t xml:space="preserve"> </w:t>
      </w:r>
      <w:r w:rsidRPr="00C6052E">
        <w:t>the</w:t>
      </w:r>
      <w:r w:rsidR="00177848" w:rsidRPr="00C6052E">
        <w:t xml:space="preserve"> </w:t>
      </w:r>
      <w:r w:rsidRPr="00C6052E">
        <w:t>loss</w:t>
      </w:r>
      <w:r w:rsidR="00177848" w:rsidRPr="00C6052E">
        <w:t xml:space="preserve"> </w:t>
      </w:r>
      <w:r w:rsidRPr="00C6052E">
        <w:t>allowance</w:t>
      </w:r>
      <w:r w:rsidR="00177848" w:rsidRPr="00C6052E">
        <w:t xml:space="preserve"> </w:t>
      </w:r>
      <w:r w:rsidRPr="00C6052E">
        <w:t>recognised</w:t>
      </w:r>
      <w:r w:rsidR="00177848" w:rsidRPr="00C6052E">
        <w:t xml:space="preserve"> </w:t>
      </w:r>
      <w:r w:rsidRPr="00C6052E">
        <w:t>for</w:t>
      </w:r>
      <w:r w:rsidR="00177848" w:rsidRPr="00C6052E">
        <w:t xml:space="preserve"> </w:t>
      </w:r>
      <w:r w:rsidRPr="00C6052E">
        <w:t>these</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during</w:t>
      </w:r>
      <w:r w:rsidR="00177848" w:rsidRPr="00C6052E">
        <w:t xml:space="preserve"> </w:t>
      </w:r>
      <w:r w:rsidRPr="00C6052E">
        <w:t>the</w:t>
      </w:r>
      <w:r w:rsidR="00177848" w:rsidRPr="00C6052E">
        <w:t xml:space="preserve"> </w:t>
      </w:r>
      <w:r w:rsidRPr="00C6052E">
        <w:t>period</w:t>
      </w:r>
      <w:r w:rsidR="00177848" w:rsidRPr="00C6052E">
        <w:t xml:space="preserve"> </w:t>
      </w:r>
      <w:r w:rsidRPr="00C6052E">
        <w:t>was</w:t>
      </w:r>
      <w:r w:rsidR="00177848" w:rsidRPr="00C6052E">
        <w:t xml:space="preserve"> </w:t>
      </w:r>
      <w:r w:rsidRPr="00C6052E">
        <w:t>limited</w:t>
      </w:r>
      <w:r w:rsidR="00177848" w:rsidRPr="00C6052E">
        <w:t xml:space="preserve"> </w:t>
      </w:r>
      <w:r w:rsidRPr="00C6052E">
        <w:t>to</w:t>
      </w:r>
      <w:r w:rsidR="00177848" w:rsidRPr="00C6052E">
        <w:t xml:space="preserve"> </w:t>
      </w:r>
      <w:r w:rsidRPr="00C6052E">
        <w:t>12</w:t>
      </w:r>
      <w:r w:rsidR="00177848" w:rsidRPr="00C6052E">
        <w:t xml:space="preserve"> </w:t>
      </w:r>
      <w:r w:rsidRPr="00C6052E">
        <w:t>months</w:t>
      </w:r>
      <w:r w:rsidR="00177848" w:rsidRPr="00C6052E">
        <w:t xml:space="preserve"> </w:t>
      </w:r>
      <w:r w:rsidRPr="00C6052E">
        <w:t>expected</w:t>
      </w:r>
      <w:r w:rsidR="00177848" w:rsidRPr="00C6052E">
        <w:t xml:space="preserve"> </w:t>
      </w:r>
      <w:r w:rsidRPr="00C6052E">
        <w:t>losses.</w:t>
      </w:r>
      <w:r w:rsidR="00177848" w:rsidRPr="00C6052E">
        <w:t xml:space="preserve"> </w:t>
      </w:r>
      <w:r w:rsidRPr="00C6052E">
        <w:t>No</w:t>
      </w:r>
      <w:r w:rsidR="00177848" w:rsidRPr="00C6052E">
        <w:t xml:space="preserve"> </w:t>
      </w:r>
      <w:r w:rsidRPr="00C6052E">
        <w:t>loss</w:t>
      </w:r>
      <w:r w:rsidR="00177848" w:rsidRPr="00C6052E">
        <w:t xml:space="preserve"> </w:t>
      </w:r>
      <w:r w:rsidRPr="00C6052E">
        <w:t>allowance</w:t>
      </w:r>
      <w:r w:rsidR="00177848" w:rsidRPr="00C6052E">
        <w:t xml:space="preserve"> </w:t>
      </w:r>
      <w:r w:rsidRPr="00C6052E">
        <w:t>has</w:t>
      </w:r>
      <w:r w:rsidR="00177848" w:rsidRPr="00C6052E">
        <w:t xml:space="preserve"> </w:t>
      </w:r>
      <w:r w:rsidRPr="00C6052E">
        <w:t>been</w:t>
      </w:r>
      <w:r w:rsidR="00177848" w:rsidRPr="00C6052E">
        <w:t xml:space="preserve"> </w:t>
      </w:r>
      <w:r w:rsidRPr="00C6052E">
        <w:t>recognised.</w:t>
      </w:r>
    </w:p>
    <w:p w14:paraId="2546B3A2" w14:textId="1882D9E1" w:rsidR="00EE5BB8" w:rsidRPr="00C6052E" w:rsidRDefault="00EE5BB8" w:rsidP="00EE5BB8">
      <w:pPr>
        <w:pStyle w:val="Heading4"/>
      </w:pPr>
      <w:r w:rsidRPr="00C6052E">
        <w:t>Financial</w:t>
      </w:r>
      <w:r w:rsidR="00177848" w:rsidRPr="00C6052E">
        <w:t xml:space="preserve"> </w:t>
      </w:r>
      <w:r w:rsidRPr="00C6052E">
        <w:t>instruments:</w:t>
      </w:r>
      <w:r w:rsidR="00177848" w:rsidRPr="00C6052E">
        <w:t xml:space="preserve"> </w:t>
      </w:r>
      <w:r w:rsidRPr="00C6052E">
        <w:t>Liquidity</w:t>
      </w:r>
      <w:r w:rsidR="00177848" w:rsidRPr="00C6052E">
        <w:t xml:space="preserve"> </w:t>
      </w:r>
      <w:r w:rsidRPr="00C6052E">
        <w:t>risk</w:t>
      </w:r>
    </w:p>
    <w:p w14:paraId="246622AC" w14:textId="72E98F4B" w:rsidR="00EE5BB8" w:rsidRPr="00C6052E" w:rsidRDefault="00EE5BB8" w:rsidP="00EE5BB8">
      <w:r w:rsidRPr="00C6052E">
        <w:t>Liquidity</w:t>
      </w:r>
      <w:r w:rsidR="00177848" w:rsidRPr="00C6052E">
        <w:t xml:space="preserve"> </w:t>
      </w:r>
      <w:r w:rsidRPr="00C6052E">
        <w:t>risk</w:t>
      </w:r>
      <w:r w:rsidR="00177848" w:rsidRPr="00C6052E">
        <w:t xml:space="preserve"> </w:t>
      </w:r>
      <w:r w:rsidRPr="00C6052E">
        <w:t>is</w:t>
      </w:r>
      <w:r w:rsidR="00177848" w:rsidRPr="00C6052E">
        <w:t xml:space="preserve"> </w:t>
      </w:r>
      <w:r w:rsidRPr="00C6052E">
        <w:t>the</w:t>
      </w:r>
      <w:r w:rsidR="00177848" w:rsidRPr="00C6052E">
        <w:t xml:space="preserve"> </w:t>
      </w:r>
      <w:r w:rsidRPr="00C6052E">
        <w:t>risk</w:t>
      </w:r>
      <w:r w:rsidR="00177848" w:rsidRPr="00C6052E">
        <w:t xml:space="preserve"> </w:t>
      </w:r>
      <w:r w:rsidRPr="00C6052E">
        <w:t>that</w:t>
      </w:r>
      <w:r w:rsidR="00177848" w:rsidRPr="00C6052E">
        <w:t xml:space="preserve"> </w:t>
      </w:r>
      <w:r w:rsidRPr="00C6052E">
        <w:t>DJSIR</w:t>
      </w:r>
      <w:r w:rsidR="00177848" w:rsidRPr="00C6052E">
        <w:t xml:space="preserve"> </w:t>
      </w:r>
      <w:r w:rsidRPr="00C6052E">
        <w:t>would</w:t>
      </w:r>
      <w:r w:rsidR="00177848" w:rsidRPr="00C6052E">
        <w:t xml:space="preserve"> </w:t>
      </w:r>
      <w:r w:rsidRPr="00C6052E">
        <w:t>be</w:t>
      </w:r>
      <w:r w:rsidR="00177848" w:rsidRPr="00C6052E">
        <w:t xml:space="preserve"> </w:t>
      </w:r>
      <w:r w:rsidRPr="00C6052E">
        <w:t>unable</w:t>
      </w:r>
      <w:r w:rsidR="00177848" w:rsidRPr="00C6052E">
        <w:t xml:space="preserve"> </w:t>
      </w:r>
      <w:r w:rsidRPr="00C6052E">
        <w:t>to</w:t>
      </w:r>
      <w:r w:rsidR="00177848" w:rsidRPr="00C6052E">
        <w:t xml:space="preserve"> </w:t>
      </w:r>
      <w:r w:rsidRPr="00C6052E">
        <w:t>meet</w:t>
      </w:r>
      <w:r w:rsidR="00177848" w:rsidRPr="00C6052E">
        <w:t xml:space="preserve"> </w:t>
      </w:r>
      <w:r w:rsidRPr="00C6052E">
        <w:t>its</w:t>
      </w:r>
      <w:r w:rsidR="00177848" w:rsidRPr="00C6052E">
        <w:t xml:space="preserve"> </w:t>
      </w:r>
      <w:r w:rsidRPr="00C6052E">
        <w:t>financial</w:t>
      </w:r>
      <w:r w:rsidR="00177848" w:rsidRPr="00C6052E">
        <w:t xml:space="preserve"> </w:t>
      </w:r>
      <w:r w:rsidRPr="00C6052E">
        <w:t>obligations</w:t>
      </w:r>
      <w:r w:rsidR="00177848" w:rsidRPr="00C6052E">
        <w:t xml:space="preserve"> </w:t>
      </w:r>
      <w:r w:rsidRPr="00C6052E">
        <w:t>as</w:t>
      </w:r>
      <w:r w:rsidR="00177848" w:rsidRPr="00C6052E">
        <w:t xml:space="preserve"> </w:t>
      </w:r>
      <w:r w:rsidRPr="00C6052E">
        <w:t>and</w:t>
      </w:r>
      <w:r w:rsidR="00177848" w:rsidRPr="00C6052E">
        <w:t xml:space="preserve"> </w:t>
      </w:r>
      <w:r w:rsidRPr="00C6052E">
        <w:t>when</w:t>
      </w:r>
      <w:r w:rsidR="00177848" w:rsidRPr="00C6052E">
        <w:t xml:space="preserve"> </w:t>
      </w:r>
      <w:r w:rsidRPr="00C6052E">
        <w:t>they</w:t>
      </w:r>
      <w:r w:rsidR="00177848" w:rsidRPr="00C6052E">
        <w:t xml:space="preserve"> </w:t>
      </w:r>
      <w:r w:rsidRPr="00C6052E">
        <w:t>fall</w:t>
      </w:r>
      <w:r w:rsidR="00177848" w:rsidRPr="00C6052E">
        <w:t xml:space="preserve"> </w:t>
      </w:r>
      <w:r w:rsidRPr="00C6052E">
        <w:t>due.</w:t>
      </w:r>
      <w:r w:rsidR="00177848" w:rsidRPr="00C6052E">
        <w:t xml:space="preserve"> </w:t>
      </w:r>
      <w:r w:rsidRPr="00C6052E">
        <w:t>DJSIR</w:t>
      </w:r>
      <w:r w:rsidR="00177848" w:rsidRPr="00C6052E">
        <w:t xml:space="preserve"> </w:t>
      </w:r>
      <w:r w:rsidRPr="00C6052E">
        <w:t>operates</w:t>
      </w:r>
      <w:r w:rsidR="00177848" w:rsidRPr="00C6052E">
        <w:t xml:space="preserve"> </w:t>
      </w:r>
      <w:r w:rsidRPr="00C6052E">
        <w:t>under</w:t>
      </w:r>
      <w:r w:rsidR="00177848" w:rsidRPr="00C6052E">
        <w:t xml:space="preserve"> </w:t>
      </w:r>
      <w:r w:rsidRPr="00C6052E">
        <w:t>the</w:t>
      </w:r>
      <w:r w:rsidR="00177848" w:rsidRPr="00C6052E">
        <w:t xml:space="preserve"> </w:t>
      </w:r>
      <w:r w:rsidRPr="00C6052E">
        <w:t>government</w:t>
      </w:r>
      <w:r w:rsidR="00177848" w:rsidRPr="00C6052E">
        <w:t xml:space="preserve"> </w:t>
      </w:r>
      <w:r w:rsidRPr="00C6052E">
        <w:t>fair</w:t>
      </w:r>
      <w:r w:rsidR="00177848" w:rsidRPr="00C6052E">
        <w:t xml:space="preserve"> </w:t>
      </w:r>
      <w:r w:rsidRPr="00C6052E">
        <w:t>payments</w:t>
      </w:r>
      <w:r w:rsidR="00177848" w:rsidRPr="00C6052E">
        <w:t xml:space="preserve"> </w:t>
      </w:r>
      <w:r w:rsidRPr="00C6052E">
        <w:t>policy</w:t>
      </w:r>
      <w:r w:rsidR="00177848" w:rsidRPr="00C6052E">
        <w:t xml:space="preserve"> </w:t>
      </w:r>
      <w:r w:rsidRPr="00C6052E">
        <w:t>of</w:t>
      </w:r>
      <w:r w:rsidR="00177848" w:rsidRPr="00C6052E">
        <w:t xml:space="preserve"> </w:t>
      </w:r>
      <w:r w:rsidRPr="00C6052E">
        <w:t>settling</w:t>
      </w:r>
      <w:r w:rsidR="00177848" w:rsidRPr="00C6052E">
        <w:t xml:space="preserve"> </w:t>
      </w:r>
      <w:r w:rsidRPr="00C6052E">
        <w:t>financial</w:t>
      </w:r>
      <w:r w:rsidR="00177848" w:rsidRPr="00C6052E">
        <w:t xml:space="preserve"> </w:t>
      </w:r>
      <w:r w:rsidRPr="00C6052E">
        <w:t>obligations</w:t>
      </w:r>
      <w:r w:rsidR="00177848" w:rsidRPr="00C6052E">
        <w:t xml:space="preserve"> </w:t>
      </w:r>
      <w:r w:rsidRPr="00C6052E">
        <w:t>within</w:t>
      </w:r>
      <w:r w:rsidR="00177848" w:rsidRPr="00C6052E">
        <w:t xml:space="preserve"> </w:t>
      </w:r>
      <w:r w:rsidRPr="00C6052E">
        <w:t>30</w:t>
      </w:r>
      <w:r w:rsidR="00177848" w:rsidRPr="00C6052E">
        <w:t xml:space="preserve"> </w:t>
      </w:r>
      <w:r w:rsidRPr="00C6052E">
        <w:t>days</w:t>
      </w:r>
      <w:r w:rsidR="00177848" w:rsidRPr="00C6052E">
        <w:t xml:space="preserve"> </w:t>
      </w:r>
      <w:r w:rsidRPr="00C6052E">
        <w:t>and</w:t>
      </w:r>
      <w:r w:rsidR="00177848" w:rsidRPr="00C6052E">
        <w:t xml:space="preserve"> </w:t>
      </w:r>
      <w:r w:rsidRPr="00C6052E">
        <w:t>in</w:t>
      </w:r>
      <w:r w:rsidR="00177848" w:rsidRPr="00C6052E">
        <w:t xml:space="preserve"> </w:t>
      </w:r>
      <w:r w:rsidRPr="00C6052E">
        <w:t>the</w:t>
      </w:r>
      <w:r w:rsidR="00177848" w:rsidRPr="00C6052E">
        <w:t xml:space="preserve"> </w:t>
      </w:r>
      <w:r w:rsidRPr="00C6052E">
        <w:t>event</w:t>
      </w:r>
      <w:r w:rsidR="00177848" w:rsidRPr="00C6052E">
        <w:t xml:space="preserve"> </w:t>
      </w:r>
      <w:r w:rsidRPr="00C6052E">
        <w:t>of</w:t>
      </w:r>
      <w:r w:rsidR="00177848" w:rsidRPr="00C6052E">
        <w:t xml:space="preserve"> </w:t>
      </w:r>
      <w:r w:rsidRPr="00C6052E">
        <w:t>a</w:t>
      </w:r>
      <w:r w:rsidR="00177848" w:rsidRPr="00C6052E">
        <w:t xml:space="preserve"> </w:t>
      </w:r>
      <w:r w:rsidRPr="00C6052E">
        <w:t>dispute,</w:t>
      </w:r>
      <w:r w:rsidR="00177848" w:rsidRPr="00C6052E">
        <w:t xml:space="preserve"> </w:t>
      </w:r>
      <w:r w:rsidRPr="00C6052E">
        <w:t>making</w:t>
      </w:r>
      <w:r w:rsidR="00177848" w:rsidRPr="00C6052E">
        <w:t xml:space="preserve"> </w:t>
      </w:r>
      <w:r w:rsidRPr="00C6052E">
        <w:t>payments</w:t>
      </w:r>
      <w:r w:rsidR="00177848" w:rsidRPr="00C6052E">
        <w:t xml:space="preserve"> </w:t>
      </w:r>
      <w:r w:rsidRPr="00C6052E">
        <w:t>within</w:t>
      </w:r>
      <w:r w:rsidR="00177848" w:rsidRPr="00C6052E">
        <w:t xml:space="preserve"> </w:t>
      </w:r>
      <w:r w:rsidRPr="00C6052E">
        <w:t>30</w:t>
      </w:r>
      <w:r w:rsidR="00177848" w:rsidRPr="00C6052E">
        <w:t xml:space="preserve"> </w:t>
      </w:r>
      <w:r w:rsidRPr="00C6052E">
        <w:t>days</w:t>
      </w:r>
      <w:r w:rsidR="00177848" w:rsidRPr="00C6052E">
        <w:t xml:space="preserve"> </w:t>
      </w:r>
      <w:r w:rsidRPr="00C6052E">
        <w:t>from</w:t>
      </w:r>
      <w:r w:rsidR="00177848" w:rsidRPr="00C6052E">
        <w:t xml:space="preserve"> </w:t>
      </w:r>
      <w:r w:rsidRPr="00C6052E">
        <w:t>the</w:t>
      </w:r>
      <w:r w:rsidR="00177848" w:rsidRPr="00C6052E">
        <w:t xml:space="preserve"> </w:t>
      </w:r>
      <w:r w:rsidRPr="00C6052E">
        <w:t>date</w:t>
      </w:r>
      <w:r w:rsidR="00177848" w:rsidRPr="00C6052E">
        <w:t xml:space="preserve"> </w:t>
      </w:r>
      <w:r w:rsidRPr="00C6052E">
        <w:t>of</w:t>
      </w:r>
      <w:r w:rsidR="00177848" w:rsidRPr="00C6052E">
        <w:t xml:space="preserve"> </w:t>
      </w:r>
      <w:r w:rsidRPr="00C6052E">
        <w:t>resolution.</w:t>
      </w:r>
    </w:p>
    <w:p w14:paraId="7D4CEBA2" w14:textId="1FF80592" w:rsidR="00EE5BB8" w:rsidRPr="00C6052E" w:rsidRDefault="00EE5BB8" w:rsidP="0028635E">
      <w:pPr>
        <w:pStyle w:val="Normalbeforebullets"/>
      </w:pPr>
      <w:r w:rsidRPr="00C6052E">
        <w:t>DJSIR’s</w:t>
      </w:r>
      <w:r w:rsidR="00177848" w:rsidRPr="00C6052E">
        <w:t xml:space="preserve"> </w:t>
      </w:r>
      <w:r w:rsidRPr="00C6052E">
        <w:t>maximum</w:t>
      </w:r>
      <w:r w:rsidR="00177848" w:rsidRPr="00C6052E">
        <w:t xml:space="preserve"> </w:t>
      </w:r>
      <w:r w:rsidRPr="00C6052E">
        <w:t>exposure</w:t>
      </w:r>
      <w:r w:rsidR="00177848" w:rsidRPr="00C6052E">
        <w:t xml:space="preserve"> </w:t>
      </w:r>
      <w:r w:rsidRPr="00C6052E">
        <w:t>to</w:t>
      </w:r>
      <w:r w:rsidR="00177848" w:rsidRPr="00C6052E">
        <w:t xml:space="preserve"> </w:t>
      </w:r>
      <w:r w:rsidRPr="00C6052E">
        <w:t>liquidity</w:t>
      </w:r>
      <w:r w:rsidR="00177848" w:rsidRPr="00C6052E">
        <w:t xml:space="preserve"> </w:t>
      </w:r>
      <w:r w:rsidRPr="00C6052E">
        <w:t>risk</w:t>
      </w:r>
      <w:r w:rsidR="00177848" w:rsidRPr="00C6052E">
        <w:t xml:space="preserve"> </w:t>
      </w:r>
      <w:r w:rsidRPr="00C6052E">
        <w:t>is</w:t>
      </w:r>
      <w:r w:rsidR="00177848" w:rsidRPr="00C6052E">
        <w:t xml:space="preserve"> </w:t>
      </w:r>
      <w:r w:rsidRPr="00C6052E">
        <w:t>the</w:t>
      </w:r>
      <w:r w:rsidR="00177848" w:rsidRPr="00C6052E">
        <w:t xml:space="preserve"> </w:t>
      </w:r>
      <w:r w:rsidRPr="00C6052E">
        <w:t>carrying</w:t>
      </w:r>
      <w:r w:rsidR="00177848" w:rsidRPr="00C6052E">
        <w:t xml:space="preserve"> </w:t>
      </w:r>
      <w:r w:rsidRPr="00C6052E">
        <w:t>amounts</w:t>
      </w:r>
      <w:r w:rsidR="00177848" w:rsidRPr="00C6052E">
        <w:t xml:space="preserve"> </w:t>
      </w:r>
      <w:r w:rsidRPr="00C6052E">
        <w:t>of</w:t>
      </w:r>
      <w:r w:rsidR="00177848" w:rsidRPr="00C6052E">
        <w:t xml:space="preserve"> </w:t>
      </w:r>
      <w:r w:rsidRPr="00C6052E">
        <w:t>financial</w:t>
      </w:r>
      <w:r w:rsidR="00177848" w:rsidRPr="00C6052E">
        <w:t xml:space="preserve"> </w:t>
      </w:r>
      <w:r w:rsidRPr="00C6052E">
        <w:t>liabilities</w:t>
      </w:r>
      <w:r w:rsidR="00177848" w:rsidRPr="00C6052E">
        <w:t xml:space="preserve"> </w:t>
      </w:r>
      <w:r w:rsidRPr="00C6052E">
        <w:t>as</w:t>
      </w:r>
      <w:r w:rsidR="00177848" w:rsidRPr="00C6052E">
        <w:t xml:space="preserve"> </w:t>
      </w:r>
      <w:r w:rsidRPr="00C6052E">
        <w:t>disclosed</w:t>
      </w:r>
      <w:r w:rsidR="00177848" w:rsidRPr="00C6052E">
        <w:t xml:space="preserve"> </w:t>
      </w:r>
      <w:r w:rsidRPr="00C6052E">
        <w:t>in</w:t>
      </w:r>
      <w:r w:rsidR="00177848" w:rsidRPr="00C6052E">
        <w:t xml:space="preserve"> </w:t>
      </w:r>
      <w:r w:rsidRPr="00C6052E">
        <w:t>the</w:t>
      </w:r>
      <w:r w:rsidR="00177848" w:rsidRPr="00C6052E">
        <w:t xml:space="preserve"> </w:t>
      </w:r>
      <w:r w:rsidRPr="00C6052E">
        <w:t>balance</w:t>
      </w:r>
      <w:r w:rsidR="00177848" w:rsidRPr="00C6052E">
        <w:t xml:space="preserve"> </w:t>
      </w:r>
      <w:r w:rsidRPr="00C6052E">
        <w:t>sheet.</w:t>
      </w:r>
      <w:r w:rsidR="00177848" w:rsidRPr="00C6052E">
        <w:t xml:space="preserve"> </w:t>
      </w:r>
      <w:r w:rsidRPr="00C6052E">
        <w:t>DJSIR</w:t>
      </w:r>
      <w:r w:rsidR="00177848" w:rsidRPr="00C6052E">
        <w:t xml:space="preserve"> </w:t>
      </w:r>
      <w:r w:rsidRPr="00C6052E">
        <w:t>manages</w:t>
      </w:r>
      <w:r w:rsidR="00177848" w:rsidRPr="00C6052E">
        <w:t xml:space="preserve"> </w:t>
      </w:r>
      <w:r w:rsidRPr="00C6052E">
        <w:t>its</w:t>
      </w:r>
      <w:r w:rsidR="00177848" w:rsidRPr="00C6052E">
        <w:t xml:space="preserve"> </w:t>
      </w:r>
      <w:r w:rsidRPr="00C6052E">
        <w:t>liquidity</w:t>
      </w:r>
      <w:r w:rsidR="00177848" w:rsidRPr="00C6052E">
        <w:t xml:space="preserve"> </w:t>
      </w:r>
      <w:r w:rsidRPr="00C6052E">
        <w:t>risk</w:t>
      </w:r>
      <w:r w:rsidR="00177848" w:rsidRPr="00C6052E">
        <w:t xml:space="preserve"> </w:t>
      </w:r>
      <w:r w:rsidRPr="00C6052E">
        <w:t>by:</w:t>
      </w:r>
    </w:p>
    <w:p w14:paraId="0AF8AD2D" w14:textId="5FCBC7A7" w:rsidR="00EE5BB8" w:rsidRPr="00C6052E" w:rsidRDefault="00EE5BB8" w:rsidP="00EE5BB8">
      <w:pPr>
        <w:pStyle w:val="Bullet1"/>
        <w:numPr>
          <w:ilvl w:val="0"/>
          <w:numId w:val="1"/>
        </w:numPr>
        <w:spacing w:line="278" w:lineRule="auto"/>
        <w:ind w:left="284" w:hanging="284"/>
        <w:rPr>
          <w:lang w:val="en-AU"/>
        </w:rPr>
      </w:pPr>
      <w:r w:rsidRPr="00C6052E">
        <w:rPr>
          <w:lang w:val="en-AU"/>
        </w:rPr>
        <w:t>close</w:t>
      </w:r>
      <w:r w:rsidR="00177848" w:rsidRPr="00C6052E">
        <w:rPr>
          <w:lang w:val="en-AU"/>
        </w:rPr>
        <w:t xml:space="preserve"> </w:t>
      </w:r>
      <w:r w:rsidRPr="00C6052E">
        <w:rPr>
          <w:lang w:val="en-AU"/>
        </w:rPr>
        <w:t>monitoring</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its</w:t>
      </w:r>
      <w:r w:rsidR="00177848" w:rsidRPr="00C6052E">
        <w:rPr>
          <w:lang w:val="en-AU"/>
        </w:rPr>
        <w:t xml:space="preserve"> </w:t>
      </w:r>
      <w:r w:rsidRPr="00C6052E">
        <w:rPr>
          <w:lang w:val="en-AU"/>
        </w:rPr>
        <w:t>short-term</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long-term</w:t>
      </w:r>
      <w:r w:rsidR="00177848" w:rsidRPr="00C6052E">
        <w:rPr>
          <w:lang w:val="en-AU"/>
        </w:rPr>
        <w:t xml:space="preserve"> </w:t>
      </w:r>
      <w:r w:rsidRPr="00C6052E">
        <w:rPr>
          <w:lang w:val="en-AU"/>
        </w:rPr>
        <w:t>borrowings</w:t>
      </w:r>
      <w:r w:rsidR="00177848" w:rsidRPr="00C6052E">
        <w:rPr>
          <w:lang w:val="en-AU"/>
        </w:rPr>
        <w:t xml:space="preserve"> </w:t>
      </w:r>
      <w:r w:rsidRPr="00C6052E">
        <w:rPr>
          <w:lang w:val="en-AU"/>
        </w:rPr>
        <w:t>by</w:t>
      </w:r>
      <w:r w:rsidR="00177848" w:rsidRPr="00C6052E">
        <w:rPr>
          <w:lang w:val="en-AU"/>
        </w:rPr>
        <w:t xml:space="preserve"> </w:t>
      </w:r>
      <w:r w:rsidRPr="00C6052E">
        <w:rPr>
          <w:lang w:val="en-AU"/>
        </w:rPr>
        <w:t>senior</w:t>
      </w:r>
      <w:r w:rsidR="00177848" w:rsidRPr="00C6052E">
        <w:rPr>
          <w:lang w:val="en-AU"/>
        </w:rPr>
        <w:t xml:space="preserve"> </w:t>
      </w:r>
      <w:r w:rsidRPr="00C6052E">
        <w:rPr>
          <w:lang w:val="en-AU"/>
        </w:rPr>
        <w:t>management,</w:t>
      </w:r>
      <w:r w:rsidR="00177848" w:rsidRPr="00C6052E">
        <w:rPr>
          <w:lang w:val="en-AU"/>
        </w:rPr>
        <w:t xml:space="preserve"> </w:t>
      </w:r>
      <w:r w:rsidRPr="00C6052E">
        <w:rPr>
          <w:lang w:val="en-AU"/>
        </w:rPr>
        <w:t>including</w:t>
      </w:r>
      <w:r w:rsidR="00177848" w:rsidRPr="00C6052E">
        <w:rPr>
          <w:lang w:val="en-AU"/>
        </w:rPr>
        <w:t xml:space="preserve"> </w:t>
      </w:r>
      <w:r w:rsidRPr="00C6052E">
        <w:rPr>
          <w:lang w:val="en-AU"/>
        </w:rPr>
        <w:t>monthly</w:t>
      </w:r>
      <w:r w:rsidR="00177848" w:rsidRPr="00C6052E">
        <w:rPr>
          <w:lang w:val="en-AU"/>
        </w:rPr>
        <w:t xml:space="preserve"> </w:t>
      </w:r>
      <w:r w:rsidRPr="00C6052E">
        <w:rPr>
          <w:lang w:val="en-AU"/>
        </w:rPr>
        <w:t>reviews</w:t>
      </w:r>
      <w:r w:rsidR="00177848" w:rsidRPr="00C6052E">
        <w:rPr>
          <w:lang w:val="en-AU"/>
        </w:rPr>
        <w:t xml:space="preserve"> </w:t>
      </w:r>
      <w:r w:rsidRPr="00C6052E">
        <w:rPr>
          <w:lang w:val="en-AU"/>
        </w:rPr>
        <w:t>on</w:t>
      </w:r>
      <w:r w:rsidR="00177848" w:rsidRPr="00C6052E">
        <w:rPr>
          <w:lang w:val="en-AU"/>
        </w:rPr>
        <w:t xml:space="preserve"> </w:t>
      </w:r>
      <w:r w:rsidRPr="00C6052E">
        <w:rPr>
          <w:lang w:val="en-AU"/>
        </w:rPr>
        <w:t>current</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future</w:t>
      </w:r>
      <w:r w:rsidR="00177848" w:rsidRPr="00C6052E">
        <w:rPr>
          <w:lang w:val="en-AU"/>
        </w:rPr>
        <w:t xml:space="preserve"> </w:t>
      </w:r>
      <w:r w:rsidRPr="00C6052E">
        <w:rPr>
          <w:lang w:val="en-AU"/>
        </w:rPr>
        <w:t>borrowing</w:t>
      </w:r>
      <w:r w:rsidR="00177848" w:rsidRPr="00C6052E">
        <w:rPr>
          <w:lang w:val="en-AU"/>
        </w:rPr>
        <w:t xml:space="preserve"> </w:t>
      </w:r>
      <w:r w:rsidRPr="00C6052E">
        <w:rPr>
          <w:lang w:val="en-AU"/>
        </w:rPr>
        <w:t>levels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requirements;</w:t>
      </w:r>
    </w:p>
    <w:p w14:paraId="01184CA0" w14:textId="4B9B7EBD" w:rsidR="00EE5BB8" w:rsidRPr="00C6052E" w:rsidRDefault="00EE5BB8" w:rsidP="00EE5BB8">
      <w:pPr>
        <w:pStyle w:val="Bullet1"/>
        <w:numPr>
          <w:ilvl w:val="0"/>
          <w:numId w:val="1"/>
        </w:numPr>
        <w:spacing w:line="278" w:lineRule="auto"/>
        <w:ind w:left="284" w:hanging="284"/>
        <w:rPr>
          <w:lang w:val="en-AU"/>
        </w:rPr>
      </w:pPr>
      <w:r w:rsidRPr="00C6052E">
        <w:rPr>
          <w:lang w:val="en-AU"/>
        </w:rPr>
        <w:t>holding</w:t>
      </w:r>
      <w:r w:rsidR="00177848" w:rsidRPr="00C6052E">
        <w:rPr>
          <w:lang w:val="en-AU"/>
        </w:rPr>
        <w:t xml:space="preserve"> </w:t>
      </w:r>
      <w:r w:rsidRPr="00C6052E">
        <w:rPr>
          <w:lang w:val="en-AU"/>
        </w:rPr>
        <w:t>investments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other</w:t>
      </w:r>
      <w:r w:rsidR="00177848" w:rsidRPr="00C6052E">
        <w:rPr>
          <w:lang w:val="en-AU"/>
        </w:rPr>
        <w:t xml:space="preserve"> </w:t>
      </w:r>
      <w:r w:rsidRPr="00C6052E">
        <w:rPr>
          <w:lang w:val="en-AU"/>
        </w:rPr>
        <w:t>contractual</w:t>
      </w:r>
      <w:r w:rsidR="00177848" w:rsidRPr="00C6052E">
        <w:rPr>
          <w:lang w:val="en-AU"/>
        </w:rPr>
        <w:t xml:space="preserve"> </w:t>
      </w:r>
      <w:r w:rsidRPr="00C6052E">
        <w:rPr>
          <w:lang w:val="en-AU"/>
        </w:rPr>
        <w:t>financial</w:t>
      </w:r>
      <w:r w:rsidR="00177848" w:rsidRPr="00C6052E">
        <w:rPr>
          <w:lang w:val="en-AU"/>
        </w:rPr>
        <w:t xml:space="preserve"> </w:t>
      </w:r>
      <w:r w:rsidRPr="00C6052E">
        <w:rPr>
          <w:lang w:val="en-AU"/>
        </w:rPr>
        <w:t>assets</w:t>
      </w:r>
      <w:r w:rsidR="00177848" w:rsidRPr="00C6052E">
        <w:rPr>
          <w:lang w:val="en-AU"/>
        </w:rPr>
        <w:t xml:space="preserve"> </w:t>
      </w:r>
      <w:r w:rsidRPr="00C6052E">
        <w:rPr>
          <w:lang w:val="en-AU"/>
        </w:rPr>
        <w:t>that</w:t>
      </w:r>
      <w:r w:rsidR="00177848" w:rsidRPr="00C6052E">
        <w:rPr>
          <w:lang w:val="en-AU"/>
        </w:rPr>
        <w:t xml:space="preserve"> </w:t>
      </w:r>
      <w:r w:rsidRPr="00C6052E">
        <w:rPr>
          <w:lang w:val="en-AU"/>
        </w:rPr>
        <w:t>are</w:t>
      </w:r>
      <w:r w:rsidR="00177848" w:rsidRPr="00C6052E">
        <w:rPr>
          <w:lang w:val="en-AU"/>
        </w:rPr>
        <w:t xml:space="preserve"> </w:t>
      </w:r>
      <w:r w:rsidRPr="00C6052E">
        <w:rPr>
          <w:lang w:val="en-AU"/>
        </w:rPr>
        <w:t>readily</w:t>
      </w:r>
      <w:r w:rsidR="00177848" w:rsidRPr="00C6052E">
        <w:rPr>
          <w:lang w:val="en-AU"/>
        </w:rPr>
        <w:t xml:space="preserve"> </w:t>
      </w:r>
      <w:r w:rsidRPr="00C6052E">
        <w:rPr>
          <w:lang w:val="en-AU"/>
        </w:rPr>
        <w:t>tradeable</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financial</w:t>
      </w:r>
      <w:r w:rsidR="00177848" w:rsidRPr="00C6052E">
        <w:rPr>
          <w:lang w:val="en-AU"/>
        </w:rPr>
        <w:t xml:space="preserve"> </w:t>
      </w:r>
      <w:r w:rsidRPr="00C6052E">
        <w:rPr>
          <w:lang w:val="en-AU"/>
        </w:rPr>
        <w:t>markets</w:t>
      </w:r>
    </w:p>
    <w:p w14:paraId="1C404F39" w14:textId="47D8EF17" w:rsidR="00EE5BB8" w:rsidRPr="00C6052E" w:rsidRDefault="00EE5BB8" w:rsidP="00EE5BB8">
      <w:pPr>
        <w:pStyle w:val="Bullet1"/>
        <w:numPr>
          <w:ilvl w:val="0"/>
          <w:numId w:val="1"/>
        </w:numPr>
        <w:spacing w:line="278" w:lineRule="auto"/>
        <w:ind w:left="284" w:hanging="284"/>
        <w:rPr>
          <w:lang w:val="en-AU"/>
        </w:rPr>
      </w:pPr>
      <w:r w:rsidRPr="00C6052E">
        <w:rPr>
          <w:lang w:val="en-AU"/>
        </w:rPr>
        <w:t>careful</w:t>
      </w:r>
      <w:r w:rsidR="00177848" w:rsidRPr="00C6052E">
        <w:rPr>
          <w:lang w:val="en-AU"/>
        </w:rPr>
        <w:t xml:space="preserve"> </w:t>
      </w:r>
      <w:r w:rsidRPr="00C6052E">
        <w:rPr>
          <w:lang w:val="en-AU"/>
        </w:rPr>
        <w:t>maturity</w:t>
      </w:r>
      <w:r w:rsidR="00177848" w:rsidRPr="00C6052E">
        <w:rPr>
          <w:lang w:val="en-AU"/>
        </w:rPr>
        <w:t xml:space="preserve"> </w:t>
      </w:r>
      <w:r w:rsidRPr="00C6052E">
        <w:rPr>
          <w:lang w:val="en-AU"/>
        </w:rPr>
        <w:t>planning</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its</w:t>
      </w:r>
      <w:r w:rsidR="00177848" w:rsidRPr="00C6052E">
        <w:rPr>
          <w:lang w:val="en-AU"/>
        </w:rPr>
        <w:t xml:space="preserve"> </w:t>
      </w:r>
      <w:r w:rsidRPr="00C6052E">
        <w:rPr>
          <w:lang w:val="en-AU"/>
        </w:rPr>
        <w:t>financial</w:t>
      </w:r>
      <w:r w:rsidR="00177848" w:rsidRPr="00C6052E">
        <w:rPr>
          <w:lang w:val="en-AU"/>
        </w:rPr>
        <w:t xml:space="preserve"> </w:t>
      </w:r>
      <w:r w:rsidRPr="00C6052E">
        <w:rPr>
          <w:lang w:val="en-AU"/>
        </w:rPr>
        <w:t>obligations</w:t>
      </w:r>
      <w:r w:rsidR="00177848" w:rsidRPr="00C6052E">
        <w:rPr>
          <w:lang w:val="en-AU"/>
        </w:rPr>
        <w:t xml:space="preserve"> </w:t>
      </w:r>
      <w:r w:rsidRPr="00C6052E">
        <w:rPr>
          <w:lang w:val="en-AU"/>
        </w:rPr>
        <w:t>based</w:t>
      </w:r>
      <w:r w:rsidR="00177848" w:rsidRPr="00C6052E">
        <w:rPr>
          <w:lang w:val="en-AU"/>
        </w:rPr>
        <w:t xml:space="preserve"> </w:t>
      </w:r>
      <w:r w:rsidRPr="00C6052E">
        <w:rPr>
          <w:lang w:val="en-AU"/>
        </w:rPr>
        <w:t>on</w:t>
      </w:r>
      <w:r w:rsidR="00177848" w:rsidRPr="00C6052E">
        <w:rPr>
          <w:lang w:val="en-AU"/>
        </w:rPr>
        <w:t xml:space="preserve"> </w:t>
      </w:r>
      <w:r w:rsidRPr="00C6052E">
        <w:rPr>
          <w:lang w:val="en-AU"/>
        </w:rPr>
        <w:t>forecasts</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future</w:t>
      </w:r>
      <w:r w:rsidR="00177848" w:rsidRPr="00C6052E">
        <w:rPr>
          <w:lang w:val="en-AU"/>
        </w:rPr>
        <w:t xml:space="preserve"> </w:t>
      </w:r>
      <w:r w:rsidRPr="00C6052E">
        <w:rPr>
          <w:lang w:val="en-AU"/>
        </w:rPr>
        <w:t>cash</w:t>
      </w:r>
      <w:r w:rsidR="00177848" w:rsidRPr="00C6052E">
        <w:rPr>
          <w:lang w:val="en-AU"/>
        </w:rPr>
        <w:t xml:space="preserve"> </w:t>
      </w:r>
      <w:r w:rsidRPr="00C6052E">
        <w:rPr>
          <w:lang w:val="en-AU"/>
        </w:rPr>
        <w:t>flows</w:t>
      </w:r>
    </w:p>
    <w:p w14:paraId="6A2C00EB" w14:textId="192DB887" w:rsidR="00EE5BB8" w:rsidRPr="00C6052E" w:rsidRDefault="00EE5BB8" w:rsidP="00EE5BB8">
      <w:pPr>
        <w:pStyle w:val="Bullet1last"/>
        <w:numPr>
          <w:ilvl w:val="0"/>
          <w:numId w:val="1"/>
        </w:numPr>
        <w:spacing w:line="278" w:lineRule="auto"/>
        <w:ind w:left="284" w:hanging="284"/>
        <w:rPr>
          <w:lang w:val="en-AU"/>
        </w:rPr>
      </w:pPr>
      <w:r w:rsidRPr="00C6052E">
        <w:rPr>
          <w:lang w:val="en-AU"/>
        </w:rPr>
        <w:t>a</w:t>
      </w:r>
      <w:r w:rsidR="00177848" w:rsidRPr="00C6052E">
        <w:rPr>
          <w:lang w:val="en-AU"/>
        </w:rPr>
        <w:t xml:space="preserve"> </w:t>
      </w:r>
      <w:r w:rsidRPr="00C6052E">
        <w:rPr>
          <w:lang w:val="en-AU"/>
        </w:rPr>
        <w:t>high</w:t>
      </w:r>
      <w:r w:rsidR="00177848" w:rsidRPr="00C6052E">
        <w:rPr>
          <w:lang w:val="en-AU"/>
        </w:rPr>
        <w:t xml:space="preserve"> </w:t>
      </w:r>
      <w:r w:rsidRPr="00C6052E">
        <w:rPr>
          <w:lang w:val="en-AU"/>
        </w:rPr>
        <w:t>credit</w:t>
      </w:r>
      <w:r w:rsidR="00177848" w:rsidRPr="00C6052E">
        <w:rPr>
          <w:lang w:val="en-AU"/>
        </w:rPr>
        <w:t xml:space="preserve"> </w:t>
      </w:r>
      <w:r w:rsidRPr="00C6052E">
        <w:rPr>
          <w:lang w:val="en-AU"/>
        </w:rPr>
        <w:t>rating</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State</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(Moody’s</w:t>
      </w:r>
      <w:r w:rsidR="00177848" w:rsidRPr="00C6052E">
        <w:rPr>
          <w:lang w:val="en-AU"/>
        </w:rPr>
        <w:t xml:space="preserve"> </w:t>
      </w:r>
      <w:r w:rsidRPr="00C6052E">
        <w:rPr>
          <w:lang w:val="en-AU"/>
        </w:rPr>
        <w:t>Investor</w:t>
      </w:r>
      <w:r w:rsidR="00177848" w:rsidRPr="00C6052E">
        <w:rPr>
          <w:lang w:val="en-AU"/>
        </w:rPr>
        <w:t xml:space="preserve"> </w:t>
      </w:r>
      <w:r w:rsidRPr="00C6052E">
        <w:rPr>
          <w:lang w:val="en-AU"/>
        </w:rPr>
        <w:t>Services</w:t>
      </w:r>
      <w:r w:rsidR="00177848" w:rsidRPr="00C6052E">
        <w:rPr>
          <w:lang w:val="en-AU"/>
        </w:rPr>
        <w:t xml:space="preserve"> </w:t>
      </w:r>
      <w:r w:rsidRPr="00C6052E">
        <w:rPr>
          <w:lang w:val="en-AU"/>
        </w:rPr>
        <w:t>&amp;</w:t>
      </w:r>
      <w:r w:rsidR="00177848" w:rsidRPr="00C6052E">
        <w:rPr>
          <w:lang w:val="en-AU"/>
        </w:rPr>
        <w:t xml:space="preserve"> </w:t>
      </w:r>
      <w:r w:rsidRPr="00C6052E">
        <w:rPr>
          <w:lang w:val="en-AU"/>
        </w:rPr>
        <w:t>Standard</w:t>
      </w:r>
      <w:r w:rsidR="00177848" w:rsidRPr="00C6052E">
        <w:rPr>
          <w:lang w:val="en-AU"/>
        </w:rPr>
        <w:t xml:space="preserve"> </w:t>
      </w:r>
      <w:r w:rsidRPr="00C6052E">
        <w:rPr>
          <w:lang w:val="en-AU"/>
        </w:rPr>
        <w:t>&amp;</w:t>
      </w:r>
      <w:r w:rsidR="00177848" w:rsidRPr="00C6052E">
        <w:rPr>
          <w:lang w:val="en-AU"/>
        </w:rPr>
        <w:t xml:space="preserve"> </w:t>
      </w:r>
      <w:r w:rsidRPr="00C6052E">
        <w:rPr>
          <w:lang w:val="en-AU"/>
        </w:rPr>
        <w:t>Poor’s</w:t>
      </w:r>
      <w:r w:rsidR="00177848" w:rsidRPr="00C6052E">
        <w:rPr>
          <w:lang w:val="en-AU"/>
        </w:rPr>
        <w:t xml:space="preserve"> </w:t>
      </w:r>
      <w:r w:rsidRPr="00C6052E">
        <w:rPr>
          <w:lang w:val="en-AU"/>
        </w:rPr>
        <w:t>double</w:t>
      </w:r>
      <w:r w:rsidR="00177848" w:rsidRPr="00C6052E">
        <w:rPr>
          <w:lang w:val="en-AU"/>
        </w:rPr>
        <w:t xml:space="preserve"> </w:t>
      </w:r>
      <w:r w:rsidRPr="00C6052E">
        <w:rPr>
          <w:lang w:val="en-AU"/>
        </w:rPr>
        <w:t>A),</w:t>
      </w:r>
      <w:r w:rsidR="00177848" w:rsidRPr="00C6052E">
        <w:rPr>
          <w:lang w:val="en-AU"/>
        </w:rPr>
        <w:t xml:space="preserve"> </w:t>
      </w:r>
      <w:r w:rsidRPr="00C6052E">
        <w:rPr>
          <w:lang w:val="en-AU"/>
        </w:rPr>
        <w:t>which</w:t>
      </w:r>
      <w:r w:rsidR="00177848" w:rsidRPr="00C6052E">
        <w:rPr>
          <w:lang w:val="en-AU"/>
        </w:rPr>
        <w:t xml:space="preserve"> </w:t>
      </w:r>
      <w:r w:rsidRPr="00C6052E">
        <w:rPr>
          <w:lang w:val="en-AU"/>
        </w:rPr>
        <w:t>assists</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accessing</w:t>
      </w:r>
      <w:r w:rsidR="00177848" w:rsidRPr="00C6052E">
        <w:rPr>
          <w:lang w:val="en-AU"/>
        </w:rPr>
        <w:t xml:space="preserve"> </w:t>
      </w:r>
      <w:r w:rsidRPr="00C6052E">
        <w:rPr>
          <w:lang w:val="en-AU"/>
        </w:rPr>
        <w:t>debt</w:t>
      </w:r>
      <w:r w:rsidR="00177848" w:rsidRPr="00C6052E">
        <w:rPr>
          <w:lang w:val="en-AU"/>
        </w:rPr>
        <w:t xml:space="preserve"> </w:t>
      </w:r>
      <w:r w:rsidRPr="00C6052E">
        <w:rPr>
          <w:lang w:val="en-AU"/>
        </w:rPr>
        <w:t>market</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a</w:t>
      </w:r>
      <w:r w:rsidR="00177848" w:rsidRPr="00C6052E">
        <w:rPr>
          <w:lang w:val="en-AU"/>
        </w:rPr>
        <w:t xml:space="preserve"> </w:t>
      </w:r>
      <w:r w:rsidRPr="00C6052E">
        <w:rPr>
          <w:lang w:val="en-AU"/>
        </w:rPr>
        <w:t>lower</w:t>
      </w:r>
      <w:r w:rsidR="00177848" w:rsidRPr="00C6052E">
        <w:rPr>
          <w:lang w:val="en-AU"/>
        </w:rPr>
        <w:t xml:space="preserve"> </w:t>
      </w:r>
      <w:r w:rsidRPr="00C6052E">
        <w:rPr>
          <w:lang w:val="en-AU"/>
        </w:rPr>
        <w:t>interest</w:t>
      </w:r>
      <w:r w:rsidR="00177848" w:rsidRPr="00C6052E">
        <w:rPr>
          <w:lang w:val="en-AU"/>
        </w:rPr>
        <w:t xml:space="preserve"> </w:t>
      </w:r>
      <w:r w:rsidRPr="00C6052E">
        <w:rPr>
          <w:lang w:val="en-AU"/>
        </w:rPr>
        <w:t>rate.</w:t>
      </w:r>
    </w:p>
    <w:p w14:paraId="352C1A17" w14:textId="255249AB" w:rsidR="00EE5BB8" w:rsidRPr="00C6052E" w:rsidRDefault="00EE5BB8" w:rsidP="00EE5BB8">
      <w:r w:rsidRPr="00C6052E">
        <w:t>DJSIR’s</w:t>
      </w:r>
      <w:r w:rsidR="00177848" w:rsidRPr="00C6052E">
        <w:t xml:space="preserve"> </w:t>
      </w:r>
      <w:r w:rsidRPr="00C6052E">
        <w:t>exposure</w:t>
      </w:r>
      <w:r w:rsidR="00177848" w:rsidRPr="00C6052E">
        <w:t xml:space="preserve"> </w:t>
      </w:r>
      <w:r w:rsidRPr="00C6052E">
        <w:t>to</w:t>
      </w:r>
      <w:r w:rsidR="00177848" w:rsidRPr="00C6052E">
        <w:t xml:space="preserve"> </w:t>
      </w:r>
      <w:r w:rsidRPr="00C6052E">
        <w:t>liquidity</w:t>
      </w:r>
      <w:r w:rsidR="00177848" w:rsidRPr="00C6052E">
        <w:t xml:space="preserve"> </w:t>
      </w:r>
      <w:r w:rsidRPr="00C6052E">
        <w:t>risk</w:t>
      </w:r>
      <w:r w:rsidR="00177848" w:rsidRPr="00C6052E">
        <w:t xml:space="preserve"> </w:t>
      </w:r>
      <w:r w:rsidRPr="00C6052E">
        <w:t>is</w:t>
      </w:r>
      <w:r w:rsidR="00177848" w:rsidRPr="00C6052E">
        <w:t xml:space="preserve"> </w:t>
      </w:r>
      <w:r w:rsidRPr="00C6052E">
        <w:t>deemed</w:t>
      </w:r>
      <w:r w:rsidR="00177848" w:rsidRPr="00C6052E">
        <w:t xml:space="preserve"> </w:t>
      </w:r>
      <w:r w:rsidRPr="00C6052E">
        <w:t>insignificant</w:t>
      </w:r>
      <w:r w:rsidR="00177848" w:rsidRPr="00C6052E">
        <w:t xml:space="preserve"> </w:t>
      </w:r>
      <w:r w:rsidRPr="00C6052E">
        <w:t>based</w:t>
      </w:r>
      <w:r w:rsidR="00177848" w:rsidRPr="00C6052E">
        <w:t xml:space="preserve"> </w:t>
      </w:r>
      <w:r w:rsidRPr="00C6052E">
        <w:t>the</w:t>
      </w:r>
      <w:r w:rsidR="00177848" w:rsidRPr="00C6052E">
        <w:t xml:space="preserve"> </w:t>
      </w:r>
      <w:r w:rsidRPr="00C6052E">
        <w:t>current</w:t>
      </w:r>
      <w:r w:rsidR="00177848" w:rsidRPr="00C6052E">
        <w:t xml:space="preserve"> </w:t>
      </w:r>
      <w:r w:rsidRPr="00C6052E">
        <w:t>assessment</w:t>
      </w:r>
      <w:r w:rsidR="00177848" w:rsidRPr="00C6052E">
        <w:t xml:space="preserve"> </w:t>
      </w:r>
      <w:r w:rsidRPr="00C6052E">
        <w:t>of</w:t>
      </w:r>
      <w:r w:rsidR="00177848" w:rsidRPr="00C6052E">
        <w:t xml:space="preserve"> </w:t>
      </w:r>
      <w:r w:rsidRPr="00C6052E">
        <w:t>risk.</w:t>
      </w:r>
      <w:r w:rsidR="00177848" w:rsidRPr="00C6052E">
        <w:t xml:space="preserve"> </w:t>
      </w:r>
      <w:r w:rsidRPr="00C6052E">
        <w:t>Cash</w:t>
      </w:r>
      <w:r w:rsidR="00177848" w:rsidRPr="00C6052E">
        <w:t xml:space="preserve"> </w:t>
      </w:r>
      <w:r w:rsidRPr="00C6052E">
        <w:t>for</w:t>
      </w:r>
      <w:r w:rsidR="00177848" w:rsidRPr="00C6052E">
        <w:t xml:space="preserve"> </w:t>
      </w:r>
      <w:r w:rsidRPr="00C6052E">
        <w:t>unexpected</w:t>
      </w:r>
      <w:r w:rsidR="00177848" w:rsidRPr="00C6052E">
        <w:t xml:space="preserve"> </w:t>
      </w:r>
      <w:r w:rsidRPr="00C6052E">
        <w:t>events</w:t>
      </w:r>
      <w:r w:rsidR="00177848" w:rsidRPr="00C6052E">
        <w:t xml:space="preserve"> </w:t>
      </w:r>
      <w:r w:rsidRPr="00C6052E">
        <w:t>is</w:t>
      </w:r>
      <w:r w:rsidR="00177848" w:rsidRPr="00C6052E">
        <w:t xml:space="preserve"> </w:t>
      </w:r>
      <w:r w:rsidRPr="00C6052E">
        <w:t>generally</w:t>
      </w:r>
      <w:r w:rsidR="00177848" w:rsidRPr="00C6052E">
        <w:t xml:space="preserve"> </w:t>
      </w:r>
      <w:r w:rsidRPr="00C6052E">
        <w:t>sourced</w:t>
      </w:r>
      <w:r w:rsidR="00177848" w:rsidRPr="00C6052E">
        <w:t xml:space="preserve"> </w:t>
      </w:r>
      <w:r w:rsidRPr="00C6052E">
        <w:t>from</w:t>
      </w:r>
      <w:r w:rsidR="00177848" w:rsidRPr="00C6052E">
        <w:t xml:space="preserve"> </w:t>
      </w:r>
      <w:r w:rsidRPr="00C6052E">
        <w:t>liquidation</w:t>
      </w:r>
      <w:r w:rsidR="00177848" w:rsidRPr="00C6052E">
        <w:t xml:space="preserve"> </w:t>
      </w:r>
      <w:r w:rsidRPr="00C6052E">
        <w:t>of</w:t>
      </w:r>
      <w:r w:rsidR="00177848" w:rsidRPr="00C6052E">
        <w:t xml:space="preserve"> </w:t>
      </w:r>
      <w:r w:rsidRPr="00C6052E">
        <w:t>financial</w:t>
      </w:r>
      <w:r w:rsidR="00177848" w:rsidRPr="00C6052E">
        <w:t xml:space="preserve"> </w:t>
      </w:r>
      <w:r w:rsidRPr="00C6052E">
        <w:t>investments.</w:t>
      </w:r>
      <w:r w:rsidR="00177848" w:rsidRPr="00C6052E">
        <w:t xml:space="preserve"> </w:t>
      </w:r>
      <w:r w:rsidRPr="00C6052E">
        <w:t>Maximum</w:t>
      </w:r>
      <w:r w:rsidR="00177848" w:rsidRPr="00C6052E">
        <w:t xml:space="preserve"> </w:t>
      </w:r>
      <w:r w:rsidRPr="00C6052E">
        <w:t>exposure</w:t>
      </w:r>
      <w:r w:rsidR="00177848" w:rsidRPr="00C6052E">
        <w:t xml:space="preserve"> </w:t>
      </w:r>
      <w:r w:rsidRPr="00C6052E">
        <w:t>to</w:t>
      </w:r>
      <w:r w:rsidR="00177848" w:rsidRPr="00C6052E">
        <w:t xml:space="preserve"> </w:t>
      </w:r>
      <w:r w:rsidRPr="00C6052E">
        <w:t>liquidity</w:t>
      </w:r>
      <w:r w:rsidR="00177848" w:rsidRPr="00C6052E">
        <w:t xml:space="preserve"> </w:t>
      </w:r>
      <w:r w:rsidRPr="00C6052E">
        <w:t>risk</w:t>
      </w:r>
      <w:r w:rsidR="00177848" w:rsidRPr="00C6052E">
        <w:t xml:space="preserve"> </w:t>
      </w:r>
      <w:r w:rsidRPr="00C6052E">
        <w:t>is</w:t>
      </w:r>
      <w:r w:rsidR="00177848" w:rsidRPr="00C6052E">
        <w:t xml:space="preserve"> </w:t>
      </w:r>
      <w:r w:rsidRPr="00C6052E">
        <w:t>the</w:t>
      </w:r>
      <w:r w:rsidR="00177848" w:rsidRPr="00C6052E">
        <w:t xml:space="preserve"> </w:t>
      </w:r>
      <w:r w:rsidRPr="00C6052E">
        <w:t>carrying</w:t>
      </w:r>
      <w:r w:rsidR="00177848" w:rsidRPr="00C6052E">
        <w:t xml:space="preserve"> </w:t>
      </w:r>
      <w:r w:rsidRPr="00C6052E">
        <w:t>amounts</w:t>
      </w:r>
      <w:r w:rsidR="00177848" w:rsidRPr="00C6052E">
        <w:t xml:space="preserve"> </w:t>
      </w:r>
      <w:r w:rsidRPr="00C6052E">
        <w:t>of</w:t>
      </w:r>
      <w:r w:rsidR="00177848" w:rsidRPr="00C6052E">
        <w:t xml:space="preserve"> </w:t>
      </w:r>
      <w:r w:rsidRPr="00C6052E">
        <w:t>financial</w:t>
      </w:r>
      <w:r w:rsidR="00177848" w:rsidRPr="00C6052E">
        <w:t xml:space="preserve"> </w:t>
      </w:r>
      <w:r w:rsidRPr="00C6052E">
        <w:t>liabilities</w:t>
      </w:r>
      <w:r w:rsidR="00177848" w:rsidRPr="00C6052E">
        <w:t xml:space="preserve"> </w:t>
      </w:r>
      <w:r w:rsidRPr="00C6052E">
        <w:t>as</w:t>
      </w:r>
      <w:r w:rsidR="00177848" w:rsidRPr="00C6052E">
        <w:t xml:space="preserve"> </w:t>
      </w:r>
      <w:r w:rsidRPr="00C6052E">
        <w:t>disclosed</w:t>
      </w:r>
      <w:r w:rsidR="00177848" w:rsidRPr="00C6052E">
        <w:t xml:space="preserve"> </w:t>
      </w:r>
      <w:r w:rsidRPr="00C6052E">
        <w:t>in</w:t>
      </w:r>
      <w:r w:rsidR="00177848" w:rsidRPr="00C6052E">
        <w:t xml:space="preserve"> </w:t>
      </w:r>
      <w:r w:rsidRPr="00C6052E">
        <w:t>the</w:t>
      </w:r>
      <w:r w:rsidR="00177848" w:rsidRPr="00C6052E">
        <w:t xml:space="preserve"> </w:t>
      </w:r>
      <w:r w:rsidRPr="00C6052E">
        <w:t>balance</w:t>
      </w:r>
      <w:r w:rsidR="00177848" w:rsidRPr="00C6052E">
        <w:t xml:space="preserve"> </w:t>
      </w:r>
      <w:r w:rsidRPr="00C6052E">
        <w:t>sheet.</w:t>
      </w:r>
    </w:p>
    <w:p w14:paraId="77F1B6EC" w14:textId="103512EE" w:rsidR="00EE5BB8" w:rsidRPr="00C6052E" w:rsidRDefault="00EE5BB8" w:rsidP="00EE5BB8">
      <w:pPr>
        <w:pStyle w:val="Heading4"/>
      </w:pPr>
      <w:r w:rsidRPr="00C6052E">
        <w:t>Financial</w:t>
      </w:r>
      <w:r w:rsidR="00177848" w:rsidRPr="00C6052E">
        <w:t xml:space="preserve"> </w:t>
      </w:r>
      <w:r w:rsidRPr="00C6052E">
        <w:t>instruments:</w:t>
      </w:r>
      <w:r w:rsidR="00177848" w:rsidRPr="00C6052E">
        <w:t xml:space="preserve"> </w:t>
      </w:r>
      <w:r w:rsidRPr="00C6052E">
        <w:t>Market</w:t>
      </w:r>
      <w:r w:rsidR="00177848" w:rsidRPr="00C6052E">
        <w:t xml:space="preserve"> </w:t>
      </w:r>
      <w:r w:rsidRPr="00C6052E">
        <w:t>risk</w:t>
      </w:r>
    </w:p>
    <w:p w14:paraId="0F038262" w14:textId="4778C853" w:rsidR="00EE5BB8" w:rsidRPr="00C6052E" w:rsidRDefault="00EE5BB8" w:rsidP="00EE5BB8">
      <w:r w:rsidRPr="00C6052E">
        <w:t>DJSIR’s</w:t>
      </w:r>
      <w:r w:rsidR="00177848" w:rsidRPr="00C6052E">
        <w:t xml:space="preserve"> </w:t>
      </w:r>
      <w:r w:rsidRPr="00C6052E">
        <w:t>exposures</w:t>
      </w:r>
      <w:r w:rsidR="00177848" w:rsidRPr="00C6052E">
        <w:t xml:space="preserve"> </w:t>
      </w:r>
      <w:r w:rsidRPr="00C6052E">
        <w:t>to</w:t>
      </w:r>
      <w:r w:rsidR="00177848" w:rsidRPr="00C6052E">
        <w:t xml:space="preserve"> </w:t>
      </w:r>
      <w:r w:rsidRPr="00C6052E">
        <w:t>market</w:t>
      </w:r>
      <w:r w:rsidR="00177848" w:rsidRPr="00C6052E">
        <w:t xml:space="preserve"> </w:t>
      </w:r>
      <w:r w:rsidRPr="00C6052E">
        <w:t>risk</w:t>
      </w:r>
      <w:r w:rsidR="00177848" w:rsidRPr="00C6052E">
        <w:t xml:space="preserve"> </w:t>
      </w:r>
      <w:r w:rsidRPr="00C6052E">
        <w:t>are</w:t>
      </w:r>
      <w:r w:rsidR="00177848" w:rsidRPr="00C6052E">
        <w:t xml:space="preserve"> </w:t>
      </w:r>
      <w:r w:rsidRPr="00C6052E">
        <w:t>primarily</w:t>
      </w:r>
      <w:r w:rsidR="00177848" w:rsidRPr="00C6052E">
        <w:t xml:space="preserve"> </w:t>
      </w:r>
      <w:r w:rsidRPr="00C6052E">
        <w:t>through</w:t>
      </w:r>
      <w:r w:rsidR="00177848" w:rsidRPr="00C6052E">
        <w:t xml:space="preserve"> </w:t>
      </w:r>
      <w:r w:rsidRPr="00C6052E">
        <w:t>interest</w:t>
      </w:r>
      <w:r w:rsidR="00177848" w:rsidRPr="00C6052E">
        <w:t xml:space="preserve"> </w:t>
      </w:r>
      <w:r w:rsidRPr="00C6052E">
        <w:t>rate</w:t>
      </w:r>
      <w:r w:rsidR="00177848" w:rsidRPr="00C6052E">
        <w:t xml:space="preserve"> </w:t>
      </w:r>
      <w:r w:rsidRPr="00C6052E">
        <w:t>risk</w:t>
      </w:r>
      <w:r w:rsidR="00177848" w:rsidRPr="00C6052E">
        <w:t xml:space="preserve"> </w:t>
      </w:r>
      <w:r w:rsidRPr="00C6052E">
        <w:t>with</w:t>
      </w:r>
      <w:r w:rsidR="00177848" w:rsidRPr="00C6052E">
        <w:t xml:space="preserve"> </w:t>
      </w:r>
      <w:r w:rsidRPr="00C6052E">
        <w:t>only</w:t>
      </w:r>
      <w:r w:rsidR="00177848" w:rsidRPr="00C6052E">
        <w:t xml:space="preserve"> </w:t>
      </w:r>
      <w:r w:rsidRPr="00C6052E">
        <w:t>insignificant</w:t>
      </w:r>
      <w:r w:rsidR="00177848" w:rsidRPr="00C6052E">
        <w:t xml:space="preserve"> </w:t>
      </w:r>
      <w:r w:rsidRPr="00C6052E">
        <w:t>exposure</w:t>
      </w:r>
      <w:r w:rsidR="00177848" w:rsidRPr="00C6052E">
        <w:t xml:space="preserve"> </w:t>
      </w:r>
      <w:r w:rsidRPr="00C6052E">
        <w:t>to</w:t>
      </w:r>
      <w:r w:rsidR="00177848" w:rsidRPr="00C6052E">
        <w:t xml:space="preserve"> </w:t>
      </w:r>
      <w:r w:rsidRPr="00C6052E">
        <w:t>foreign</w:t>
      </w:r>
      <w:r w:rsidR="00177848" w:rsidRPr="00C6052E">
        <w:t xml:space="preserve"> </w:t>
      </w:r>
      <w:r w:rsidRPr="00C6052E">
        <w:t>currency</w:t>
      </w:r>
      <w:r w:rsidR="00177848" w:rsidRPr="00C6052E">
        <w:t xml:space="preserve"> </w:t>
      </w:r>
      <w:r w:rsidRPr="00C6052E">
        <w:t>and</w:t>
      </w:r>
      <w:r w:rsidR="00177848" w:rsidRPr="00C6052E">
        <w:t xml:space="preserve"> </w:t>
      </w:r>
      <w:r w:rsidRPr="00C6052E">
        <w:t>other</w:t>
      </w:r>
      <w:r w:rsidR="00177848" w:rsidRPr="00C6052E">
        <w:t xml:space="preserve"> </w:t>
      </w:r>
      <w:r w:rsidRPr="00C6052E">
        <w:t>price</w:t>
      </w:r>
      <w:r w:rsidR="00177848" w:rsidRPr="00C6052E">
        <w:t xml:space="preserve"> </w:t>
      </w:r>
      <w:r w:rsidRPr="00C6052E">
        <w:t>risks.</w:t>
      </w:r>
      <w:r w:rsidR="00177848" w:rsidRPr="00C6052E">
        <w:t xml:space="preserve"> </w:t>
      </w:r>
      <w:r w:rsidRPr="00C6052E">
        <w:t>Objectives,</w:t>
      </w:r>
      <w:r w:rsidR="00177848" w:rsidRPr="00C6052E">
        <w:t xml:space="preserve"> </w:t>
      </w:r>
      <w:r w:rsidRPr="00C6052E">
        <w:t>policies</w:t>
      </w:r>
      <w:r w:rsidR="00177848" w:rsidRPr="00C6052E">
        <w:t xml:space="preserve"> </w:t>
      </w:r>
      <w:r w:rsidRPr="00C6052E">
        <w:t>and</w:t>
      </w:r>
      <w:r w:rsidR="00177848" w:rsidRPr="00C6052E">
        <w:t xml:space="preserve"> </w:t>
      </w:r>
      <w:r w:rsidRPr="00C6052E">
        <w:t>processes</w:t>
      </w:r>
      <w:r w:rsidR="00177848" w:rsidRPr="00C6052E">
        <w:t xml:space="preserve"> </w:t>
      </w:r>
      <w:r w:rsidRPr="00C6052E">
        <w:t>used</w:t>
      </w:r>
      <w:r w:rsidR="00177848" w:rsidRPr="00C6052E">
        <w:t xml:space="preserve"> </w:t>
      </w:r>
      <w:r w:rsidRPr="00C6052E">
        <w:t>to</w:t>
      </w:r>
      <w:r w:rsidR="00177848" w:rsidRPr="00C6052E">
        <w:t xml:space="preserve"> </w:t>
      </w:r>
      <w:r w:rsidRPr="00C6052E">
        <w:t>manage</w:t>
      </w:r>
      <w:r w:rsidR="00177848" w:rsidRPr="00C6052E">
        <w:t xml:space="preserve"> </w:t>
      </w:r>
      <w:r w:rsidRPr="00C6052E">
        <w:t>each</w:t>
      </w:r>
      <w:r w:rsidR="00177848" w:rsidRPr="00C6052E">
        <w:t xml:space="preserve"> </w:t>
      </w:r>
      <w:r w:rsidRPr="00C6052E">
        <w:t>of</w:t>
      </w:r>
      <w:r w:rsidR="00177848" w:rsidRPr="00C6052E">
        <w:t xml:space="preserve"> </w:t>
      </w:r>
      <w:r w:rsidRPr="00C6052E">
        <w:t>these</w:t>
      </w:r>
      <w:r w:rsidR="00177848" w:rsidRPr="00C6052E">
        <w:t xml:space="preserve"> </w:t>
      </w:r>
      <w:r w:rsidRPr="00C6052E">
        <w:t>risks</w:t>
      </w:r>
      <w:r w:rsidR="00177848" w:rsidRPr="00C6052E">
        <w:t xml:space="preserve"> </w:t>
      </w:r>
      <w:r w:rsidRPr="00C6052E">
        <w:t>are</w:t>
      </w:r>
      <w:r w:rsidR="00177848" w:rsidRPr="00C6052E">
        <w:t xml:space="preserve"> </w:t>
      </w:r>
      <w:r w:rsidRPr="00C6052E">
        <w:t>disclosed</w:t>
      </w:r>
      <w:r w:rsidR="00177848" w:rsidRPr="00C6052E">
        <w:t xml:space="preserve"> </w:t>
      </w:r>
      <w:r w:rsidRPr="00C6052E">
        <w:t>in</w:t>
      </w:r>
      <w:r w:rsidR="00177848" w:rsidRPr="00C6052E">
        <w:t xml:space="preserve"> </w:t>
      </w:r>
      <w:r w:rsidRPr="00C6052E">
        <w:t>the</w:t>
      </w:r>
      <w:r w:rsidR="00177848" w:rsidRPr="00C6052E">
        <w:t xml:space="preserve"> </w:t>
      </w:r>
      <w:r w:rsidRPr="00C6052E">
        <w:t>paragraphs</w:t>
      </w:r>
      <w:r w:rsidR="00177848" w:rsidRPr="00C6052E">
        <w:t xml:space="preserve"> </w:t>
      </w:r>
      <w:r w:rsidRPr="00C6052E">
        <w:t>below:</w:t>
      </w:r>
    </w:p>
    <w:p w14:paraId="14ADACD1" w14:textId="216D6FD9" w:rsidR="00EE5BB8" w:rsidRPr="00C6052E" w:rsidRDefault="00EE5BB8" w:rsidP="00E9084D">
      <w:pPr>
        <w:pStyle w:val="Heading4"/>
      </w:pPr>
      <w:r w:rsidRPr="00C6052E">
        <w:t>Foreign</w:t>
      </w:r>
      <w:r w:rsidR="00177848" w:rsidRPr="00C6052E">
        <w:t xml:space="preserve"> </w:t>
      </w:r>
      <w:r w:rsidRPr="00C6052E">
        <w:t>currency</w:t>
      </w:r>
      <w:r w:rsidR="00177848" w:rsidRPr="00C6052E">
        <w:t xml:space="preserve"> </w:t>
      </w:r>
      <w:r w:rsidRPr="00C6052E">
        <w:t>risk</w:t>
      </w:r>
    </w:p>
    <w:p w14:paraId="65CB7EC7" w14:textId="5A47D1D9" w:rsidR="00EE5BB8" w:rsidRPr="00C6052E" w:rsidRDefault="00EE5BB8" w:rsidP="00EE5BB8">
      <w:r w:rsidRPr="00C6052E">
        <w:t>DJSIR</w:t>
      </w:r>
      <w:r w:rsidR="00177848" w:rsidRPr="00C6052E">
        <w:t xml:space="preserve"> </w:t>
      </w:r>
      <w:r w:rsidRPr="00C6052E">
        <w:t>is</w:t>
      </w:r>
      <w:r w:rsidR="00177848" w:rsidRPr="00C6052E">
        <w:t xml:space="preserve"> </w:t>
      </w:r>
      <w:r w:rsidRPr="00C6052E">
        <w:t>exposed</w:t>
      </w:r>
      <w:r w:rsidR="00177848" w:rsidRPr="00C6052E">
        <w:t xml:space="preserve"> </w:t>
      </w:r>
      <w:r w:rsidRPr="00C6052E">
        <w:t>to</w:t>
      </w:r>
      <w:r w:rsidR="00177848" w:rsidRPr="00C6052E">
        <w:t xml:space="preserve"> </w:t>
      </w:r>
      <w:r w:rsidRPr="00C6052E">
        <w:t>minimal</w:t>
      </w:r>
      <w:r w:rsidR="00177848" w:rsidRPr="00C6052E">
        <w:t xml:space="preserve"> </w:t>
      </w:r>
      <w:r w:rsidRPr="00C6052E">
        <w:t>foreign</w:t>
      </w:r>
      <w:r w:rsidR="00177848" w:rsidRPr="00C6052E">
        <w:t xml:space="preserve"> </w:t>
      </w:r>
      <w:r w:rsidRPr="00C6052E">
        <w:t>currency</w:t>
      </w:r>
      <w:r w:rsidR="00177848" w:rsidRPr="00C6052E">
        <w:t xml:space="preserve"> </w:t>
      </w:r>
      <w:r w:rsidRPr="00C6052E">
        <w:t>risk</w:t>
      </w:r>
      <w:r w:rsidR="00177848" w:rsidRPr="00C6052E">
        <w:t xml:space="preserve"> </w:t>
      </w:r>
      <w:r w:rsidRPr="00C6052E">
        <w:t>through</w:t>
      </w:r>
      <w:r w:rsidR="00177848" w:rsidRPr="00C6052E">
        <w:t xml:space="preserve"> </w:t>
      </w:r>
      <w:r w:rsidRPr="00C6052E">
        <w:t>its</w:t>
      </w:r>
      <w:r w:rsidR="00177848" w:rsidRPr="00C6052E">
        <w:t xml:space="preserve"> </w:t>
      </w:r>
      <w:r w:rsidRPr="00C6052E">
        <w:t>payables</w:t>
      </w:r>
      <w:r w:rsidR="00177848" w:rsidRPr="00C6052E">
        <w:t xml:space="preserve"> </w:t>
      </w:r>
      <w:r w:rsidRPr="00C6052E">
        <w:t>relating</w:t>
      </w:r>
      <w:r w:rsidR="00177848" w:rsidRPr="00C6052E">
        <w:t xml:space="preserve"> </w:t>
      </w:r>
      <w:r w:rsidRPr="00C6052E">
        <w:t>to</w:t>
      </w:r>
      <w:r w:rsidR="00177848" w:rsidRPr="00C6052E">
        <w:t xml:space="preserve"> </w:t>
      </w:r>
      <w:r w:rsidRPr="00C6052E">
        <w:t>purchases</w:t>
      </w:r>
      <w:r w:rsidR="00177848" w:rsidRPr="00C6052E">
        <w:t xml:space="preserve"> </w:t>
      </w:r>
      <w:r w:rsidRPr="00C6052E">
        <w:t>of</w:t>
      </w:r>
      <w:r w:rsidR="00177848" w:rsidRPr="00C6052E">
        <w:t xml:space="preserve"> </w:t>
      </w:r>
      <w:r w:rsidRPr="00C6052E">
        <w:t>supplies</w:t>
      </w:r>
      <w:r w:rsidR="00177848" w:rsidRPr="00C6052E">
        <w:t xml:space="preserve"> </w:t>
      </w:r>
      <w:r w:rsidRPr="00C6052E">
        <w:t>and</w:t>
      </w:r>
      <w:r w:rsidR="00177848" w:rsidRPr="00C6052E">
        <w:t xml:space="preserve"> </w:t>
      </w:r>
      <w:r w:rsidRPr="00C6052E">
        <w:t>consumables</w:t>
      </w:r>
      <w:r w:rsidR="00177848" w:rsidRPr="00C6052E">
        <w:t xml:space="preserve"> </w:t>
      </w:r>
      <w:r w:rsidRPr="00C6052E">
        <w:t>from</w:t>
      </w:r>
      <w:r w:rsidR="00177848" w:rsidRPr="00C6052E">
        <w:t xml:space="preserve"> </w:t>
      </w:r>
      <w:r w:rsidRPr="00C6052E">
        <w:t>overseas.</w:t>
      </w:r>
      <w:r w:rsidR="00177848" w:rsidRPr="00C6052E">
        <w:t xml:space="preserve"> </w:t>
      </w:r>
      <w:r w:rsidRPr="00C6052E">
        <w:t>This</w:t>
      </w:r>
      <w:r w:rsidR="00177848" w:rsidRPr="00C6052E">
        <w:t xml:space="preserve"> </w:t>
      </w:r>
      <w:r w:rsidRPr="00C6052E">
        <w:t>is</w:t>
      </w:r>
      <w:r w:rsidR="00177848" w:rsidRPr="00C6052E">
        <w:t xml:space="preserve"> </w:t>
      </w:r>
      <w:r w:rsidRPr="00C6052E">
        <w:t>because</w:t>
      </w:r>
      <w:r w:rsidR="00177848" w:rsidRPr="00C6052E">
        <w:t xml:space="preserve"> </w:t>
      </w:r>
      <w:r w:rsidRPr="00C6052E">
        <w:t>of</w:t>
      </w:r>
      <w:r w:rsidR="00177848" w:rsidRPr="00C6052E">
        <w:t xml:space="preserve"> </w:t>
      </w:r>
      <w:r w:rsidRPr="00C6052E">
        <w:t>a</w:t>
      </w:r>
      <w:r w:rsidR="00177848" w:rsidRPr="00C6052E">
        <w:t xml:space="preserve"> </w:t>
      </w:r>
      <w:r w:rsidRPr="00C6052E">
        <w:t>limited</w:t>
      </w:r>
      <w:r w:rsidR="00177848" w:rsidRPr="00C6052E">
        <w:t xml:space="preserve"> </w:t>
      </w:r>
      <w:r w:rsidRPr="00C6052E">
        <w:t>amount</w:t>
      </w:r>
      <w:r w:rsidR="00177848" w:rsidRPr="00C6052E">
        <w:t xml:space="preserve"> </w:t>
      </w:r>
      <w:r w:rsidRPr="00C6052E">
        <w:t>of</w:t>
      </w:r>
      <w:r w:rsidR="00177848" w:rsidRPr="00C6052E">
        <w:t xml:space="preserve"> </w:t>
      </w:r>
      <w:r w:rsidRPr="00C6052E">
        <w:t>purchases</w:t>
      </w:r>
      <w:r w:rsidR="00177848" w:rsidRPr="00C6052E">
        <w:t xml:space="preserve"> </w:t>
      </w:r>
      <w:r w:rsidRPr="00C6052E">
        <w:t>denominated</w:t>
      </w:r>
      <w:r w:rsidR="00177848" w:rsidRPr="00C6052E">
        <w:t xml:space="preserve"> </w:t>
      </w:r>
      <w:r w:rsidRPr="00C6052E">
        <w:t>in</w:t>
      </w:r>
      <w:r w:rsidR="00177848" w:rsidRPr="00C6052E">
        <w:t xml:space="preserve"> </w:t>
      </w:r>
      <w:r w:rsidRPr="00C6052E">
        <w:t>foreign</w:t>
      </w:r>
      <w:r w:rsidR="00177848" w:rsidRPr="00C6052E">
        <w:t xml:space="preserve"> </w:t>
      </w:r>
      <w:r w:rsidRPr="00C6052E">
        <w:t>currencies</w:t>
      </w:r>
      <w:r w:rsidR="00177848" w:rsidRPr="00C6052E">
        <w:t xml:space="preserve"> </w:t>
      </w:r>
      <w:r w:rsidRPr="00C6052E">
        <w:t>and</w:t>
      </w:r>
      <w:r w:rsidR="00177848" w:rsidRPr="00C6052E">
        <w:t xml:space="preserve"> </w:t>
      </w:r>
      <w:r w:rsidRPr="00C6052E">
        <w:t>a</w:t>
      </w:r>
      <w:r w:rsidR="00177848" w:rsidRPr="00C6052E">
        <w:t xml:space="preserve"> </w:t>
      </w:r>
      <w:r w:rsidRPr="00C6052E">
        <w:t>short</w:t>
      </w:r>
      <w:r w:rsidR="00177848" w:rsidRPr="00C6052E">
        <w:t xml:space="preserve"> </w:t>
      </w:r>
      <w:r w:rsidRPr="00C6052E">
        <w:t>timeframe</w:t>
      </w:r>
      <w:r w:rsidR="00177848" w:rsidRPr="00C6052E">
        <w:t xml:space="preserve"> </w:t>
      </w:r>
      <w:r w:rsidRPr="00C6052E">
        <w:t>between</w:t>
      </w:r>
      <w:r w:rsidR="00177848" w:rsidRPr="00C6052E">
        <w:t xml:space="preserve"> </w:t>
      </w:r>
      <w:r w:rsidRPr="00C6052E">
        <w:t>commitment</w:t>
      </w:r>
      <w:r w:rsidR="00177848" w:rsidRPr="00C6052E">
        <w:t xml:space="preserve"> </w:t>
      </w:r>
      <w:r w:rsidRPr="00C6052E">
        <w:t>and</w:t>
      </w:r>
      <w:r w:rsidR="00177848" w:rsidRPr="00C6052E">
        <w:t xml:space="preserve"> </w:t>
      </w:r>
      <w:r w:rsidRPr="00C6052E">
        <w:t>settlement.</w:t>
      </w:r>
    </w:p>
    <w:p w14:paraId="4ACB829E" w14:textId="0293D453" w:rsidR="00EE5BB8" w:rsidRPr="00C6052E" w:rsidRDefault="00EE5BB8" w:rsidP="00E9084D">
      <w:pPr>
        <w:pStyle w:val="Heading4"/>
      </w:pPr>
      <w:r w:rsidRPr="00C6052E">
        <w:lastRenderedPageBreak/>
        <w:t>Interest</w:t>
      </w:r>
      <w:r w:rsidR="00177848" w:rsidRPr="00C6052E">
        <w:t xml:space="preserve"> </w:t>
      </w:r>
      <w:r w:rsidRPr="00C6052E">
        <w:t>rate</w:t>
      </w:r>
      <w:r w:rsidR="00177848" w:rsidRPr="00C6052E">
        <w:t xml:space="preserve"> </w:t>
      </w:r>
      <w:r w:rsidRPr="00C6052E">
        <w:t>risk</w:t>
      </w:r>
    </w:p>
    <w:p w14:paraId="7C5EB791" w14:textId="2A73D2BE" w:rsidR="00EE5BB8" w:rsidRPr="00C6052E" w:rsidRDefault="00EE5BB8" w:rsidP="00B66698">
      <w:pPr>
        <w:keepLines/>
      </w:pPr>
      <w:r w:rsidRPr="00C6052E">
        <w:t>Exposure</w:t>
      </w:r>
      <w:r w:rsidR="00177848" w:rsidRPr="00C6052E">
        <w:t xml:space="preserve"> </w:t>
      </w:r>
      <w:r w:rsidRPr="00C6052E">
        <w:t>to</w:t>
      </w:r>
      <w:r w:rsidR="00177848" w:rsidRPr="00C6052E">
        <w:t xml:space="preserve"> </w:t>
      </w:r>
      <w:r w:rsidRPr="00C6052E">
        <w:t>interest</w:t>
      </w:r>
      <w:r w:rsidR="00177848" w:rsidRPr="00C6052E">
        <w:t xml:space="preserve"> </w:t>
      </w:r>
      <w:r w:rsidRPr="00C6052E">
        <w:t>rate</w:t>
      </w:r>
      <w:r w:rsidR="00177848" w:rsidRPr="00C6052E">
        <w:t xml:space="preserve"> </w:t>
      </w:r>
      <w:r w:rsidRPr="00C6052E">
        <w:t>risk</w:t>
      </w:r>
      <w:r w:rsidR="00177848" w:rsidRPr="00C6052E">
        <w:t xml:space="preserve"> </w:t>
      </w:r>
      <w:r w:rsidRPr="00C6052E">
        <w:t>is</w:t>
      </w:r>
      <w:r w:rsidR="00177848" w:rsidRPr="00C6052E">
        <w:t xml:space="preserve"> </w:t>
      </w:r>
      <w:r w:rsidRPr="00C6052E">
        <w:t>insignificant</w:t>
      </w:r>
      <w:r w:rsidR="00177848" w:rsidRPr="00C6052E">
        <w:t xml:space="preserve"> </w:t>
      </w:r>
      <w:r w:rsidRPr="00C6052E">
        <w:t>and</w:t>
      </w:r>
      <w:r w:rsidR="00177848" w:rsidRPr="00C6052E">
        <w:t xml:space="preserve"> </w:t>
      </w:r>
      <w:r w:rsidRPr="00C6052E">
        <w:t>might</w:t>
      </w:r>
      <w:r w:rsidR="00177848" w:rsidRPr="00C6052E">
        <w:t xml:space="preserve"> </w:t>
      </w:r>
      <w:r w:rsidRPr="00C6052E">
        <w:t>arise</w:t>
      </w:r>
      <w:r w:rsidR="00177848" w:rsidRPr="00C6052E">
        <w:t xml:space="preserve"> </w:t>
      </w:r>
      <w:r w:rsidRPr="00C6052E">
        <w:t>primarily</w:t>
      </w:r>
      <w:r w:rsidR="00177848" w:rsidRPr="00C6052E">
        <w:t xml:space="preserve"> </w:t>
      </w:r>
      <w:r w:rsidRPr="00C6052E">
        <w:t>through</w:t>
      </w:r>
      <w:r w:rsidR="00177848" w:rsidRPr="00C6052E">
        <w:t xml:space="preserve"> </w:t>
      </w:r>
      <w:r w:rsidRPr="00C6052E">
        <w:t>DJSIR’s</w:t>
      </w:r>
      <w:r w:rsidR="00177848" w:rsidRPr="00C6052E">
        <w:t xml:space="preserve"> </w:t>
      </w:r>
      <w:r w:rsidRPr="00C6052E">
        <w:t>interest</w:t>
      </w:r>
      <w:r w:rsidR="00177848" w:rsidRPr="00C6052E">
        <w:t xml:space="preserve"> </w:t>
      </w:r>
      <w:r w:rsidRPr="00C6052E">
        <w:t>bearing</w:t>
      </w:r>
      <w:r w:rsidR="00177848" w:rsidRPr="00C6052E">
        <w:t xml:space="preserve"> </w:t>
      </w:r>
      <w:r w:rsidRPr="00C6052E">
        <w:t>liabilities</w:t>
      </w:r>
      <w:r w:rsidR="00177848" w:rsidRPr="00C6052E">
        <w:t xml:space="preserve"> </w:t>
      </w:r>
      <w:r w:rsidRPr="00C6052E">
        <w:t>and</w:t>
      </w:r>
      <w:r w:rsidR="00177848" w:rsidRPr="00C6052E">
        <w:t xml:space="preserve"> </w:t>
      </w:r>
      <w:r w:rsidRPr="00C6052E">
        <w:t>assets.</w:t>
      </w:r>
      <w:r w:rsidR="00177848" w:rsidRPr="00C6052E">
        <w:t xml:space="preserve"> </w:t>
      </w:r>
      <w:r w:rsidRPr="00C6052E">
        <w:t>The</w:t>
      </w:r>
      <w:r w:rsidR="00177848" w:rsidRPr="00C6052E">
        <w:t xml:space="preserve"> </w:t>
      </w:r>
      <w:r w:rsidRPr="00C6052E">
        <w:t>only</w:t>
      </w:r>
      <w:r w:rsidR="00177848" w:rsidRPr="00C6052E">
        <w:t xml:space="preserve"> </w:t>
      </w:r>
      <w:r w:rsidRPr="00C6052E">
        <w:t>interest-bearing</w:t>
      </w:r>
      <w:r w:rsidR="00177848" w:rsidRPr="00C6052E">
        <w:t xml:space="preserve"> </w:t>
      </w:r>
      <w:r w:rsidRPr="00C6052E">
        <w:t>liabilities</w:t>
      </w:r>
      <w:r w:rsidR="00177848" w:rsidRPr="00C6052E">
        <w:t xml:space="preserve"> </w:t>
      </w:r>
      <w:r w:rsidRPr="00C6052E">
        <w:t>and</w:t>
      </w:r>
      <w:r w:rsidR="00177848" w:rsidRPr="00C6052E">
        <w:t xml:space="preserve"> </w:t>
      </w:r>
      <w:r w:rsidRPr="00C6052E">
        <w:t>assets</w:t>
      </w:r>
      <w:r w:rsidR="00177848" w:rsidRPr="00C6052E">
        <w:t xml:space="preserve"> </w:t>
      </w:r>
      <w:r w:rsidRPr="00C6052E">
        <w:t>are</w:t>
      </w:r>
      <w:r w:rsidR="00177848" w:rsidRPr="00C6052E">
        <w:t xml:space="preserve"> </w:t>
      </w:r>
      <w:r w:rsidRPr="00C6052E">
        <w:t>the</w:t>
      </w:r>
      <w:r w:rsidR="00177848" w:rsidRPr="00C6052E">
        <w:t xml:space="preserve"> </w:t>
      </w:r>
      <w:r w:rsidRPr="00C6052E">
        <w:t>lease</w:t>
      </w:r>
      <w:r w:rsidR="00177848" w:rsidRPr="00C6052E">
        <w:t xml:space="preserve"> </w:t>
      </w:r>
      <w:r w:rsidRPr="00C6052E">
        <w:t>liabilities</w:t>
      </w:r>
      <w:r w:rsidR="00177848" w:rsidRPr="00C6052E">
        <w:t xml:space="preserve"> </w:t>
      </w:r>
      <w:r w:rsidRPr="00C6052E">
        <w:t>and</w:t>
      </w:r>
      <w:r w:rsidR="00177848" w:rsidRPr="00C6052E">
        <w:t xml:space="preserve"> </w:t>
      </w:r>
      <w:r w:rsidRPr="00C6052E">
        <w:t>term</w:t>
      </w:r>
      <w:r w:rsidR="00177848" w:rsidRPr="00C6052E">
        <w:t xml:space="preserve"> </w:t>
      </w:r>
      <w:r w:rsidRPr="00C6052E">
        <w:t>deposits.</w:t>
      </w:r>
      <w:r w:rsidR="00177848" w:rsidRPr="00C6052E">
        <w:t xml:space="preserve"> </w:t>
      </w:r>
      <w:r w:rsidRPr="00C6052E">
        <w:t>The</w:t>
      </w:r>
      <w:r w:rsidR="00177848" w:rsidRPr="00C6052E">
        <w:t xml:space="preserve"> </w:t>
      </w:r>
      <w:r w:rsidRPr="00C6052E">
        <w:t>carrying</w:t>
      </w:r>
      <w:r w:rsidR="00177848" w:rsidRPr="00C6052E">
        <w:t xml:space="preserve"> </w:t>
      </w:r>
      <w:r w:rsidRPr="00C6052E">
        <w:t>amounts</w:t>
      </w:r>
      <w:r w:rsidR="00177848" w:rsidRPr="00C6052E">
        <w:t xml:space="preserve"> </w:t>
      </w:r>
      <w:r w:rsidRPr="00C6052E">
        <w:t>of</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and</w:t>
      </w:r>
      <w:r w:rsidR="00177848" w:rsidRPr="00C6052E">
        <w:t xml:space="preserve"> </w:t>
      </w:r>
      <w:r w:rsidRPr="00C6052E">
        <w:t>financial</w:t>
      </w:r>
      <w:r w:rsidR="00177848" w:rsidRPr="00C6052E">
        <w:t xml:space="preserve"> </w:t>
      </w:r>
      <w:r w:rsidRPr="00C6052E">
        <w:t>liabilities</w:t>
      </w:r>
      <w:r w:rsidR="00177848" w:rsidRPr="00C6052E">
        <w:t xml:space="preserve"> </w:t>
      </w:r>
      <w:r w:rsidRPr="00C6052E">
        <w:t>that</w:t>
      </w:r>
      <w:r w:rsidR="00177848" w:rsidRPr="00C6052E">
        <w:t xml:space="preserve"> </w:t>
      </w:r>
      <w:r w:rsidRPr="00C6052E">
        <w:t>are</w:t>
      </w:r>
      <w:r w:rsidR="00177848" w:rsidRPr="00C6052E">
        <w:t xml:space="preserve"> </w:t>
      </w:r>
      <w:r w:rsidRPr="00C6052E">
        <w:t>exposed</w:t>
      </w:r>
      <w:r w:rsidR="00177848" w:rsidRPr="00C6052E">
        <w:t xml:space="preserve"> </w:t>
      </w:r>
      <w:r w:rsidRPr="00C6052E">
        <w:t>to</w:t>
      </w:r>
      <w:r w:rsidR="00177848" w:rsidRPr="00C6052E">
        <w:t xml:space="preserve"> </w:t>
      </w:r>
      <w:r w:rsidRPr="00C6052E">
        <w:t>interest</w:t>
      </w:r>
      <w:r w:rsidR="00177848" w:rsidRPr="00C6052E">
        <w:t xml:space="preserve"> </w:t>
      </w:r>
      <w:r w:rsidRPr="00C6052E">
        <w:t>rates</w:t>
      </w:r>
      <w:r w:rsidR="00177848" w:rsidRPr="00C6052E">
        <w:t xml:space="preserve"> </w:t>
      </w:r>
      <w:r w:rsidRPr="00C6052E">
        <w:t>and</w:t>
      </w:r>
      <w:r w:rsidR="00177848" w:rsidRPr="00C6052E">
        <w:t xml:space="preserve"> </w:t>
      </w:r>
      <w:r w:rsidRPr="00C6052E">
        <w:t>DJSIR’s</w:t>
      </w:r>
      <w:r w:rsidR="00177848" w:rsidRPr="00C6052E">
        <w:t xml:space="preserve"> </w:t>
      </w:r>
      <w:r w:rsidRPr="00C6052E">
        <w:t>sensitivity</w:t>
      </w:r>
      <w:r w:rsidR="00177848" w:rsidRPr="00C6052E">
        <w:t xml:space="preserve"> </w:t>
      </w:r>
      <w:r w:rsidRPr="00C6052E">
        <w:t>to</w:t>
      </w:r>
      <w:r w:rsidR="00177848" w:rsidRPr="00C6052E">
        <w:t xml:space="preserve"> </w:t>
      </w:r>
      <w:r w:rsidRPr="00C6052E">
        <w:t>interest</w:t>
      </w:r>
      <w:r w:rsidR="00177848" w:rsidRPr="00C6052E">
        <w:t xml:space="preserve"> </w:t>
      </w:r>
      <w:r w:rsidRPr="00C6052E">
        <w:t>rate</w:t>
      </w:r>
      <w:r w:rsidR="00177848" w:rsidRPr="00C6052E">
        <w:t xml:space="preserve"> </w:t>
      </w:r>
      <w:r w:rsidRPr="00C6052E">
        <w:t>risk</w:t>
      </w:r>
      <w:r w:rsidR="00177848" w:rsidRPr="00C6052E">
        <w:t xml:space="preserve"> </w:t>
      </w:r>
      <w:r w:rsidRPr="00C6052E">
        <w:t>are</w:t>
      </w:r>
      <w:r w:rsidR="00177848" w:rsidRPr="00C6052E">
        <w:t xml:space="preserve"> </w:t>
      </w:r>
      <w:r w:rsidRPr="00C6052E">
        <w:t>set</w:t>
      </w:r>
      <w:r w:rsidR="00177848" w:rsidRPr="00C6052E">
        <w:t xml:space="preserve"> </w:t>
      </w:r>
      <w:r w:rsidRPr="00C6052E">
        <w:t>out</w:t>
      </w:r>
      <w:r w:rsidR="00177848" w:rsidRPr="00C6052E">
        <w:t xml:space="preserve"> </w:t>
      </w:r>
      <w:r w:rsidRPr="00C6052E">
        <w:t>in</w:t>
      </w:r>
      <w:r w:rsidR="00177848" w:rsidRPr="00C6052E">
        <w:t xml:space="preserve"> </w:t>
      </w:r>
      <w:r w:rsidRPr="00C6052E">
        <w:t>the</w:t>
      </w:r>
      <w:r w:rsidR="00177848" w:rsidRPr="00C6052E">
        <w:t xml:space="preserve"> </w:t>
      </w:r>
      <w:r w:rsidRPr="00C6052E">
        <w:t>table</w:t>
      </w:r>
      <w:r w:rsidR="00177848" w:rsidRPr="00C6052E">
        <w:t xml:space="preserve"> </w:t>
      </w:r>
      <w:r w:rsidRPr="00C6052E">
        <w:t>that</w:t>
      </w:r>
      <w:r w:rsidR="00177848" w:rsidRPr="00C6052E">
        <w:t xml:space="preserve"> </w:t>
      </w:r>
      <w:r w:rsidRPr="00C6052E">
        <w:t>follows.</w:t>
      </w:r>
    </w:p>
    <w:p w14:paraId="58B54384" w14:textId="57E6391D" w:rsidR="00EE5BB8" w:rsidRPr="00C6052E" w:rsidRDefault="00C6052E" w:rsidP="00B66698">
      <w:pPr>
        <w:pStyle w:val="TableHeading"/>
      </w:pPr>
      <w:r w:rsidRPr="00C6052E">
        <w:t>Interest</w:t>
      </w:r>
      <w:r w:rsidR="00177848" w:rsidRPr="00C6052E">
        <w:t xml:space="preserve"> </w:t>
      </w:r>
      <w:r w:rsidRPr="00C6052E">
        <w:t>rate</w:t>
      </w:r>
      <w:r w:rsidR="00177848" w:rsidRPr="00C6052E">
        <w:t xml:space="preserve"> </w:t>
      </w:r>
      <w:r w:rsidRPr="00C6052E">
        <w:t>exposure</w:t>
      </w:r>
      <w:r w:rsidR="00177848" w:rsidRPr="00C6052E">
        <w:t xml:space="preserve"> </w:t>
      </w:r>
      <w:r w:rsidRPr="00C6052E">
        <w:t>of</w:t>
      </w:r>
      <w:r w:rsidR="00177848" w:rsidRPr="00C6052E">
        <w:t xml:space="preserve"> </w:t>
      </w:r>
      <w:r w:rsidRPr="00C6052E">
        <w:t>financial</w:t>
      </w:r>
      <w:r w:rsidR="00177848" w:rsidRPr="00C6052E">
        <w:t xml:space="preserve"> </w:t>
      </w:r>
      <w:r w:rsidRPr="00C6052E">
        <w:t>instruments</w:t>
      </w:r>
      <w:r w:rsidR="00B66698">
        <w:t xml:space="preserve"> </w:t>
      </w:r>
      <w:r w:rsidR="00B66698" w:rsidRPr="00C6052E">
        <w:t>($ thousand)</w:t>
      </w:r>
    </w:p>
    <w:tbl>
      <w:tblPr>
        <w:tblStyle w:val="TableGrid"/>
        <w:tblW w:w="9695" w:type="dxa"/>
        <w:tblLayout w:type="fixed"/>
        <w:tblLook w:val="04E0" w:firstRow="1" w:lastRow="1" w:firstColumn="1" w:lastColumn="0" w:noHBand="0" w:noVBand="1"/>
      </w:tblPr>
      <w:tblGrid>
        <w:gridCol w:w="3402"/>
        <w:gridCol w:w="1077"/>
        <w:gridCol w:w="1304"/>
        <w:gridCol w:w="1304"/>
        <w:gridCol w:w="1304"/>
        <w:gridCol w:w="1304"/>
      </w:tblGrid>
      <w:tr w:rsidR="00E9084D" w:rsidRPr="00C6052E" w14:paraId="3447C824" w14:textId="77777777" w:rsidTr="00E9084D">
        <w:trPr>
          <w:tblHeader/>
        </w:trPr>
        <w:tc>
          <w:tcPr>
            <w:tcW w:w="3402" w:type="dxa"/>
            <w:hideMark/>
          </w:tcPr>
          <w:p w14:paraId="02EED012" w14:textId="77777777" w:rsidR="00EE5BB8" w:rsidRPr="00C6052E" w:rsidRDefault="00EE5BB8" w:rsidP="000F5B20">
            <w:pPr>
              <w:pStyle w:val="TableColumnHeading"/>
            </w:pPr>
            <w:bookmarkStart w:id="324" w:name="TableColumnHeadings_95"/>
            <w:bookmarkEnd w:id="324"/>
          </w:p>
        </w:tc>
        <w:tc>
          <w:tcPr>
            <w:tcW w:w="1077" w:type="dxa"/>
            <w:hideMark/>
          </w:tcPr>
          <w:p w14:paraId="1EB0E216" w14:textId="7E1A111E" w:rsidR="00EE5BB8" w:rsidRPr="00C6052E" w:rsidRDefault="00EE5BB8" w:rsidP="00E9084D">
            <w:pPr>
              <w:pStyle w:val="TableColumnHeading"/>
              <w:jc w:val="right"/>
              <w:rPr>
                <w:lang w:val="en-AU"/>
              </w:rPr>
            </w:pPr>
            <w:r w:rsidRPr="00C6052E">
              <w:rPr>
                <w:lang w:val="en-AU"/>
              </w:rPr>
              <w:t>Weighted</w:t>
            </w:r>
            <w:r w:rsidR="00B1545C" w:rsidRPr="00C6052E">
              <w:rPr>
                <w:lang w:val="en-AU"/>
              </w:rPr>
              <w:t xml:space="preserve"> </w:t>
            </w:r>
            <w:r w:rsidRPr="00C6052E">
              <w:rPr>
                <w:lang w:val="en-AU"/>
              </w:rPr>
              <w:t>average</w:t>
            </w:r>
            <w:r w:rsidR="00177848" w:rsidRPr="00C6052E">
              <w:rPr>
                <w:lang w:val="en-AU"/>
              </w:rPr>
              <w:t xml:space="preserve"> </w:t>
            </w:r>
            <w:r w:rsidRPr="00C6052E">
              <w:rPr>
                <w:lang w:val="en-AU"/>
              </w:rPr>
              <w:t>interest</w:t>
            </w:r>
            <w:r w:rsidR="00177848" w:rsidRPr="00C6052E">
              <w:rPr>
                <w:lang w:val="en-AU"/>
              </w:rPr>
              <w:t xml:space="preserve"> </w:t>
            </w:r>
            <w:r w:rsidRPr="00C6052E">
              <w:rPr>
                <w:lang w:val="en-AU"/>
              </w:rPr>
              <w:t>rate</w:t>
            </w:r>
          </w:p>
        </w:tc>
        <w:tc>
          <w:tcPr>
            <w:tcW w:w="1304" w:type="dxa"/>
            <w:hideMark/>
          </w:tcPr>
          <w:p w14:paraId="02DE2B88" w14:textId="27946B5F" w:rsidR="00EE5BB8" w:rsidRPr="00C6052E" w:rsidRDefault="00B66698" w:rsidP="00E9084D">
            <w:pPr>
              <w:pStyle w:val="TableColumnHeading"/>
              <w:jc w:val="right"/>
              <w:rPr>
                <w:lang w:val="en-AU"/>
              </w:rPr>
            </w:pPr>
            <w:r w:rsidRPr="00C6052E">
              <w:rPr>
                <w:lang w:val="en-AU"/>
              </w:rPr>
              <w:t xml:space="preserve">Interest rate exposure </w:t>
            </w:r>
            <w:r w:rsidR="00EE5BB8" w:rsidRPr="00C6052E">
              <w:rPr>
                <w:lang w:val="en-AU"/>
              </w:rPr>
              <w:t>Carrying</w:t>
            </w:r>
            <w:r w:rsidR="00B1545C" w:rsidRPr="00C6052E">
              <w:rPr>
                <w:lang w:val="en-AU"/>
              </w:rPr>
              <w:t xml:space="preserve"> </w:t>
            </w:r>
            <w:r w:rsidR="00EE5BB8" w:rsidRPr="00C6052E">
              <w:rPr>
                <w:lang w:val="en-AU"/>
              </w:rPr>
              <w:t>amount</w:t>
            </w:r>
          </w:p>
        </w:tc>
        <w:tc>
          <w:tcPr>
            <w:tcW w:w="1304" w:type="dxa"/>
            <w:hideMark/>
          </w:tcPr>
          <w:p w14:paraId="2038BA1A" w14:textId="0EAFF6FA" w:rsidR="00EE5BB8" w:rsidRPr="00C6052E" w:rsidRDefault="00B66698" w:rsidP="00E9084D">
            <w:pPr>
              <w:pStyle w:val="TableColumnHeading"/>
              <w:jc w:val="right"/>
              <w:rPr>
                <w:lang w:val="en-AU"/>
              </w:rPr>
            </w:pPr>
            <w:r w:rsidRPr="00C6052E">
              <w:rPr>
                <w:lang w:val="en-AU"/>
              </w:rPr>
              <w:t xml:space="preserve">Interest rate exposure </w:t>
            </w:r>
            <w:r w:rsidR="00EE5BB8" w:rsidRPr="00C6052E">
              <w:rPr>
                <w:lang w:val="en-AU"/>
              </w:rPr>
              <w:t>Fixed</w:t>
            </w:r>
            <w:r w:rsidR="00B1545C" w:rsidRPr="00C6052E">
              <w:rPr>
                <w:lang w:val="en-AU"/>
              </w:rPr>
              <w:t xml:space="preserve"> </w:t>
            </w:r>
            <w:r w:rsidR="00EE5BB8" w:rsidRPr="00C6052E">
              <w:rPr>
                <w:lang w:val="en-AU"/>
              </w:rPr>
              <w:t>interest</w:t>
            </w:r>
            <w:r w:rsidR="00177848" w:rsidRPr="00C6052E">
              <w:rPr>
                <w:lang w:val="en-AU"/>
              </w:rPr>
              <w:t xml:space="preserve"> </w:t>
            </w:r>
            <w:r w:rsidR="00EE5BB8" w:rsidRPr="00C6052E">
              <w:rPr>
                <w:lang w:val="en-AU"/>
              </w:rPr>
              <w:t>rate</w:t>
            </w:r>
          </w:p>
        </w:tc>
        <w:tc>
          <w:tcPr>
            <w:tcW w:w="1304" w:type="dxa"/>
            <w:hideMark/>
          </w:tcPr>
          <w:p w14:paraId="3B484C0B" w14:textId="59EE43A4" w:rsidR="00EE5BB8" w:rsidRPr="00C6052E" w:rsidRDefault="00B66698" w:rsidP="00E9084D">
            <w:pPr>
              <w:pStyle w:val="TableColumnHeading"/>
              <w:jc w:val="right"/>
              <w:rPr>
                <w:lang w:val="en-AU"/>
              </w:rPr>
            </w:pPr>
            <w:r w:rsidRPr="00C6052E">
              <w:rPr>
                <w:lang w:val="en-AU"/>
              </w:rPr>
              <w:t xml:space="preserve">Interest rate exposure </w:t>
            </w:r>
            <w:r w:rsidR="00EE5BB8" w:rsidRPr="00C6052E">
              <w:rPr>
                <w:lang w:val="en-AU"/>
              </w:rPr>
              <w:t>Variable</w:t>
            </w:r>
            <w:r w:rsidR="00B1545C" w:rsidRPr="00C6052E">
              <w:rPr>
                <w:lang w:val="en-AU"/>
              </w:rPr>
              <w:t xml:space="preserve"> </w:t>
            </w:r>
            <w:r w:rsidR="00EE5BB8" w:rsidRPr="00C6052E">
              <w:rPr>
                <w:lang w:val="en-AU"/>
              </w:rPr>
              <w:t>interest</w:t>
            </w:r>
            <w:r w:rsidR="00177848" w:rsidRPr="00C6052E">
              <w:rPr>
                <w:lang w:val="en-AU"/>
              </w:rPr>
              <w:t xml:space="preserve"> </w:t>
            </w:r>
            <w:r w:rsidR="00EE5BB8" w:rsidRPr="00C6052E">
              <w:rPr>
                <w:lang w:val="en-AU"/>
              </w:rPr>
              <w:t>rate</w:t>
            </w:r>
          </w:p>
        </w:tc>
        <w:tc>
          <w:tcPr>
            <w:tcW w:w="1304" w:type="dxa"/>
            <w:hideMark/>
          </w:tcPr>
          <w:p w14:paraId="5F9A0F3F" w14:textId="30A71E4B" w:rsidR="00EE5BB8" w:rsidRPr="00C6052E" w:rsidRDefault="00B66698" w:rsidP="00E9084D">
            <w:pPr>
              <w:pStyle w:val="TableColumnHeading"/>
              <w:jc w:val="right"/>
              <w:rPr>
                <w:lang w:val="en-AU"/>
              </w:rPr>
            </w:pPr>
            <w:r w:rsidRPr="00C6052E">
              <w:rPr>
                <w:lang w:val="en-AU"/>
              </w:rPr>
              <w:t xml:space="preserve">Interest rate exposure </w:t>
            </w:r>
            <w:r w:rsidR="00EE5BB8" w:rsidRPr="00C6052E">
              <w:rPr>
                <w:lang w:val="en-AU"/>
              </w:rPr>
              <w:t>Non-interest</w:t>
            </w:r>
            <w:r w:rsidR="00B1545C" w:rsidRPr="00C6052E">
              <w:rPr>
                <w:lang w:val="en-AU"/>
              </w:rPr>
              <w:t xml:space="preserve"> </w:t>
            </w:r>
            <w:r w:rsidR="00EE5BB8" w:rsidRPr="00C6052E">
              <w:rPr>
                <w:lang w:val="en-AU"/>
              </w:rPr>
              <w:t>bearing</w:t>
            </w:r>
          </w:p>
        </w:tc>
      </w:tr>
      <w:tr w:rsidR="00E9084D" w:rsidRPr="00C6052E" w14:paraId="3D974229" w14:textId="77777777" w:rsidTr="00E9084D">
        <w:tc>
          <w:tcPr>
            <w:tcW w:w="3402" w:type="dxa"/>
          </w:tcPr>
          <w:p w14:paraId="2A7A844C" w14:textId="5BB4DC09" w:rsidR="00B66698" w:rsidRPr="00C6052E" w:rsidRDefault="00B66698" w:rsidP="00B66698">
            <w:pPr>
              <w:pStyle w:val="TableHeading"/>
            </w:pPr>
            <w:r w:rsidRPr="00C6052E">
              <w:t>2025</w:t>
            </w:r>
          </w:p>
        </w:tc>
        <w:tc>
          <w:tcPr>
            <w:tcW w:w="1077" w:type="dxa"/>
            <w:noWrap/>
          </w:tcPr>
          <w:p w14:paraId="3932272F" w14:textId="77777777" w:rsidR="00B66698" w:rsidRPr="00C6052E" w:rsidRDefault="00B66698" w:rsidP="00E9084D">
            <w:pPr>
              <w:pStyle w:val="TableHeading"/>
              <w:jc w:val="right"/>
            </w:pPr>
          </w:p>
        </w:tc>
        <w:tc>
          <w:tcPr>
            <w:tcW w:w="1304" w:type="dxa"/>
            <w:noWrap/>
          </w:tcPr>
          <w:p w14:paraId="54160C2A" w14:textId="77777777" w:rsidR="00B66698" w:rsidRPr="00C6052E" w:rsidRDefault="00B66698" w:rsidP="00E9084D">
            <w:pPr>
              <w:pStyle w:val="TableHeading"/>
              <w:jc w:val="right"/>
            </w:pPr>
          </w:p>
        </w:tc>
        <w:tc>
          <w:tcPr>
            <w:tcW w:w="1304" w:type="dxa"/>
            <w:noWrap/>
          </w:tcPr>
          <w:p w14:paraId="6CDD9C25" w14:textId="77777777" w:rsidR="00B66698" w:rsidRPr="00C6052E" w:rsidRDefault="00B66698" w:rsidP="00E9084D">
            <w:pPr>
              <w:pStyle w:val="TableHeading"/>
              <w:jc w:val="right"/>
            </w:pPr>
          </w:p>
        </w:tc>
        <w:tc>
          <w:tcPr>
            <w:tcW w:w="1304" w:type="dxa"/>
            <w:noWrap/>
          </w:tcPr>
          <w:p w14:paraId="0CBC1F12" w14:textId="77777777" w:rsidR="00B66698" w:rsidRPr="00C6052E" w:rsidRDefault="00B66698" w:rsidP="00E9084D">
            <w:pPr>
              <w:pStyle w:val="TableHeading"/>
              <w:jc w:val="right"/>
            </w:pPr>
          </w:p>
        </w:tc>
        <w:tc>
          <w:tcPr>
            <w:tcW w:w="1304" w:type="dxa"/>
            <w:noWrap/>
          </w:tcPr>
          <w:p w14:paraId="2800B11C" w14:textId="77777777" w:rsidR="00B66698" w:rsidRPr="00C6052E" w:rsidRDefault="00B66698" w:rsidP="00E9084D">
            <w:pPr>
              <w:pStyle w:val="TableHeading"/>
              <w:jc w:val="right"/>
            </w:pPr>
          </w:p>
        </w:tc>
      </w:tr>
      <w:tr w:rsidR="00E9084D" w:rsidRPr="00C6052E" w14:paraId="61048FB4" w14:textId="77777777" w:rsidTr="00E9084D">
        <w:tc>
          <w:tcPr>
            <w:tcW w:w="3402" w:type="dxa"/>
          </w:tcPr>
          <w:p w14:paraId="6EF6D5C2" w14:textId="4BFB7B8F" w:rsidR="00B66698" w:rsidRPr="00C6052E" w:rsidRDefault="00B66698" w:rsidP="00D24996">
            <w:pPr>
              <w:pStyle w:val="TableHeading"/>
            </w:pPr>
            <w:r w:rsidRPr="00C6052E">
              <w:t>Financial assets</w:t>
            </w:r>
          </w:p>
        </w:tc>
        <w:tc>
          <w:tcPr>
            <w:tcW w:w="1077" w:type="dxa"/>
            <w:noWrap/>
          </w:tcPr>
          <w:p w14:paraId="0E7356FC" w14:textId="77777777" w:rsidR="00B66698" w:rsidRPr="00C6052E" w:rsidRDefault="00B66698" w:rsidP="00E9084D">
            <w:pPr>
              <w:pStyle w:val="TableHeading"/>
              <w:jc w:val="right"/>
            </w:pPr>
          </w:p>
        </w:tc>
        <w:tc>
          <w:tcPr>
            <w:tcW w:w="1304" w:type="dxa"/>
            <w:noWrap/>
          </w:tcPr>
          <w:p w14:paraId="79DCBD69" w14:textId="77777777" w:rsidR="00B66698" w:rsidRPr="00C6052E" w:rsidRDefault="00B66698" w:rsidP="00E9084D">
            <w:pPr>
              <w:pStyle w:val="TableHeading"/>
              <w:jc w:val="right"/>
            </w:pPr>
          </w:p>
        </w:tc>
        <w:tc>
          <w:tcPr>
            <w:tcW w:w="1304" w:type="dxa"/>
            <w:noWrap/>
          </w:tcPr>
          <w:p w14:paraId="245B6A5E" w14:textId="77777777" w:rsidR="00B66698" w:rsidRPr="00C6052E" w:rsidRDefault="00B66698" w:rsidP="00E9084D">
            <w:pPr>
              <w:pStyle w:val="TableHeading"/>
              <w:jc w:val="right"/>
            </w:pPr>
          </w:p>
        </w:tc>
        <w:tc>
          <w:tcPr>
            <w:tcW w:w="1304" w:type="dxa"/>
            <w:noWrap/>
          </w:tcPr>
          <w:p w14:paraId="620C707D" w14:textId="77777777" w:rsidR="00B66698" w:rsidRPr="00C6052E" w:rsidRDefault="00B66698" w:rsidP="00E9084D">
            <w:pPr>
              <w:pStyle w:val="TableHeading"/>
              <w:jc w:val="right"/>
            </w:pPr>
          </w:p>
        </w:tc>
        <w:tc>
          <w:tcPr>
            <w:tcW w:w="1304" w:type="dxa"/>
            <w:noWrap/>
          </w:tcPr>
          <w:p w14:paraId="12444B2C" w14:textId="77777777" w:rsidR="00B66698" w:rsidRPr="00C6052E" w:rsidRDefault="00B66698" w:rsidP="00E9084D">
            <w:pPr>
              <w:pStyle w:val="TableHeading"/>
              <w:jc w:val="right"/>
            </w:pPr>
          </w:p>
        </w:tc>
      </w:tr>
      <w:tr w:rsidR="00EE5BB8" w:rsidRPr="00C6052E" w14:paraId="58B45455" w14:textId="77777777" w:rsidTr="00E9084D">
        <w:tc>
          <w:tcPr>
            <w:tcW w:w="3402" w:type="dxa"/>
            <w:hideMark/>
          </w:tcPr>
          <w:p w14:paraId="710D8631" w14:textId="30BC89EB" w:rsidR="00EE5BB8" w:rsidRPr="00C6052E" w:rsidRDefault="00EE5BB8" w:rsidP="0063097D">
            <w:pPr>
              <w:pStyle w:val="TableCopy"/>
            </w:pPr>
            <w:r w:rsidRPr="00C6052E">
              <w:t>Cash</w:t>
            </w:r>
            <w:r w:rsidR="00177848" w:rsidRPr="00C6052E">
              <w:t xml:space="preserve"> </w:t>
            </w:r>
            <w:r w:rsidRPr="00C6052E">
              <w:t>and</w:t>
            </w:r>
            <w:r w:rsidR="00177848" w:rsidRPr="00C6052E">
              <w:t xml:space="preserve"> </w:t>
            </w:r>
            <w:r w:rsidRPr="00C6052E">
              <w:t>deposits</w:t>
            </w:r>
          </w:p>
        </w:tc>
        <w:tc>
          <w:tcPr>
            <w:tcW w:w="1077" w:type="dxa"/>
            <w:noWrap/>
            <w:hideMark/>
          </w:tcPr>
          <w:p w14:paraId="2EE204E1" w14:textId="77777777" w:rsidR="00EE5BB8" w:rsidRPr="00C6052E" w:rsidRDefault="00EE5BB8" w:rsidP="00E9084D">
            <w:pPr>
              <w:pStyle w:val="TableCopy"/>
              <w:jc w:val="right"/>
            </w:pPr>
            <w:r w:rsidRPr="00C6052E">
              <w:t>4.00%</w:t>
            </w:r>
          </w:p>
        </w:tc>
        <w:tc>
          <w:tcPr>
            <w:tcW w:w="1304" w:type="dxa"/>
            <w:noWrap/>
            <w:hideMark/>
          </w:tcPr>
          <w:p w14:paraId="2FE207FA" w14:textId="77777777" w:rsidR="00EE5BB8" w:rsidRPr="00C6052E" w:rsidRDefault="00EE5BB8" w:rsidP="00E9084D">
            <w:pPr>
              <w:pStyle w:val="TableCopy"/>
              <w:jc w:val="right"/>
            </w:pPr>
            <w:r w:rsidRPr="00C6052E">
              <w:t>229,565</w:t>
            </w:r>
          </w:p>
        </w:tc>
        <w:tc>
          <w:tcPr>
            <w:tcW w:w="1304" w:type="dxa"/>
            <w:noWrap/>
            <w:hideMark/>
          </w:tcPr>
          <w:p w14:paraId="0D58CC4D" w14:textId="77777777" w:rsidR="00EE5BB8" w:rsidRPr="00C6052E" w:rsidRDefault="00EE5BB8" w:rsidP="00E9084D">
            <w:pPr>
              <w:pStyle w:val="TableCopy"/>
              <w:jc w:val="right"/>
            </w:pPr>
            <w:r w:rsidRPr="00C6052E">
              <w:t>–</w:t>
            </w:r>
          </w:p>
        </w:tc>
        <w:tc>
          <w:tcPr>
            <w:tcW w:w="1304" w:type="dxa"/>
            <w:noWrap/>
            <w:hideMark/>
          </w:tcPr>
          <w:p w14:paraId="22A26E95" w14:textId="77777777" w:rsidR="00EE5BB8" w:rsidRPr="00C6052E" w:rsidRDefault="00EE5BB8" w:rsidP="00E9084D">
            <w:pPr>
              <w:pStyle w:val="TableCopy"/>
              <w:jc w:val="right"/>
            </w:pPr>
            <w:r w:rsidRPr="00C6052E">
              <w:t>229,565</w:t>
            </w:r>
          </w:p>
        </w:tc>
        <w:tc>
          <w:tcPr>
            <w:tcW w:w="1304" w:type="dxa"/>
            <w:noWrap/>
            <w:hideMark/>
          </w:tcPr>
          <w:p w14:paraId="4C78FDFB" w14:textId="77777777" w:rsidR="00EE5BB8" w:rsidRPr="00C6052E" w:rsidRDefault="00EE5BB8" w:rsidP="00E9084D">
            <w:pPr>
              <w:pStyle w:val="TableCopy"/>
              <w:jc w:val="right"/>
            </w:pPr>
            <w:r w:rsidRPr="00C6052E">
              <w:t>–</w:t>
            </w:r>
          </w:p>
        </w:tc>
      </w:tr>
      <w:tr w:rsidR="00EE5BB8" w:rsidRPr="00C6052E" w14:paraId="05D087E6" w14:textId="77777777" w:rsidTr="00E9084D">
        <w:tc>
          <w:tcPr>
            <w:tcW w:w="3402" w:type="dxa"/>
            <w:hideMark/>
          </w:tcPr>
          <w:p w14:paraId="19142C07" w14:textId="4957B1A3" w:rsidR="00EE5BB8" w:rsidRPr="00C6052E" w:rsidRDefault="00EE5BB8" w:rsidP="0063097D">
            <w:pPr>
              <w:pStyle w:val="TableCopy"/>
            </w:pPr>
            <w:r w:rsidRPr="00C6052E">
              <w:t>Receivables</w:t>
            </w:r>
            <w:r w:rsidRPr="00C6052E">
              <w:rPr>
                <w:vertAlign w:val="superscript"/>
              </w:rPr>
              <w:t>(i)</w:t>
            </w:r>
            <w:r w:rsidR="00177848" w:rsidRPr="00C6052E">
              <w:t xml:space="preserve"> </w:t>
            </w:r>
          </w:p>
        </w:tc>
        <w:tc>
          <w:tcPr>
            <w:tcW w:w="1077" w:type="dxa"/>
            <w:noWrap/>
            <w:hideMark/>
          </w:tcPr>
          <w:p w14:paraId="35E9D8A4" w14:textId="77777777" w:rsidR="00EE5BB8" w:rsidRPr="00C6052E" w:rsidRDefault="00EE5BB8" w:rsidP="00E9084D">
            <w:pPr>
              <w:pStyle w:val="Tabletext"/>
              <w:jc w:val="right"/>
            </w:pPr>
          </w:p>
        </w:tc>
        <w:tc>
          <w:tcPr>
            <w:tcW w:w="1304" w:type="dxa"/>
            <w:noWrap/>
            <w:hideMark/>
          </w:tcPr>
          <w:p w14:paraId="6728EC15" w14:textId="77777777" w:rsidR="00EE5BB8" w:rsidRPr="00C6052E" w:rsidRDefault="00EE5BB8" w:rsidP="00E9084D">
            <w:pPr>
              <w:pStyle w:val="TableCopy"/>
              <w:jc w:val="right"/>
            </w:pPr>
            <w:r w:rsidRPr="00C6052E">
              <w:t>151,819</w:t>
            </w:r>
          </w:p>
        </w:tc>
        <w:tc>
          <w:tcPr>
            <w:tcW w:w="1304" w:type="dxa"/>
            <w:noWrap/>
            <w:hideMark/>
          </w:tcPr>
          <w:p w14:paraId="27F5E009" w14:textId="77777777" w:rsidR="00EE5BB8" w:rsidRPr="00C6052E" w:rsidRDefault="00EE5BB8" w:rsidP="00E9084D">
            <w:pPr>
              <w:pStyle w:val="TableCopy"/>
              <w:jc w:val="right"/>
            </w:pPr>
            <w:r w:rsidRPr="00C6052E">
              <w:t>–</w:t>
            </w:r>
          </w:p>
        </w:tc>
        <w:tc>
          <w:tcPr>
            <w:tcW w:w="1304" w:type="dxa"/>
            <w:noWrap/>
            <w:hideMark/>
          </w:tcPr>
          <w:p w14:paraId="1EA07D28" w14:textId="77777777" w:rsidR="00EE5BB8" w:rsidRPr="00C6052E" w:rsidRDefault="00EE5BB8" w:rsidP="00E9084D">
            <w:pPr>
              <w:pStyle w:val="TableCopy"/>
              <w:jc w:val="right"/>
            </w:pPr>
            <w:r w:rsidRPr="00C6052E">
              <w:t>–</w:t>
            </w:r>
          </w:p>
        </w:tc>
        <w:tc>
          <w:tcPr>
            <w:tcW w:w="1304" w:type="dxa"/>
            <w:noWrap/>
            <w:hideMark/>
          </w:tcPr>
          <w:p w14:paraId="0DEE30BD" w14:textId="77777777" w:rsidR="00EE5BB8" w:rsidRPr="00C6052E" w:rsidRDefault="00EE5BB8" w:rsidP="00E9084D">
            <w:pPr>
              <w:pStyle w:val="TableCopy"/>
              <w:jc w:val="right"/>
            </w:pPr>
            <w:r w:rsidRPr="00C6052E">
              <w:t>151,819</w:t>
            </w:r>
          </w:p>
        </w:tc>
      </w:tr>
      <w:tr w:rsidR="00EE5BB8" w:rsidRPr="00C6052E" w14:paraId="5284A1EC" w14:textId="77777777" w:rsidTr="00E9084D">
        <w:tc>
          <w:tcPr>
            <w:tcW w:w="3402" w:type="dxa"/>
            <w:noWrap/>
            <w:hideMark/>
          </w:tcPr>
          <w:p w14:paraId="2BFA2FBD" w14:textId="3CF8047B" w:rsidR="00EE5BB8" w:rsidRPr="00C6052E" w:rsidRDefault="00EE5BB8" w:rsidP="0063097D">
            <w:pPr>
              <w:pStyle w:val="Tabletotal"/>
            </w:pPr>
            <w:r w:rsidRPr="00C6052E">
              <w:t>Total</w:t>
            </w:r>
            <w:r w:rsidR="00177848" w:rsidRPr="00C6052E">
              <w:t xml:space="preserve"> </w:t>
            </w:r>
            <w:r w:rsidRPr="00C6052E">
              <w:t>financial</w:t>
            </w:r>
            <w:r w:rsidR="00177848" w:rsidRPr="00C6052E">
              <w:t xml:space="preserve"> </w:t>
            </w:r>
            <w:r w:rsidRPr="00C6052E">
              <w:t>assets</w:t>
            </w:r>
          </w:p>
        </w:tc>
        <w:tc>
          <w:tcPr>
            <w:tcW w:w="1077" w:type="dxa"/>
            <w:hideMark/>
          </w:tcPr>
          <w:p w14:paraId="38062D71" w14:textId="77777777" w:rsidR="00EE5BB8" w:rsidRPr="00C6052E" w:rsidRDefault="00EE5BB8" w:rsidP="00E9084D">
            <w:pPr>
              <w:pStyle w:val="Tabletotal"/>
              <w:jc w:val="right"/>
            </w:pPr>
          </w:p>
        </w:tc>
        <w:tc>
          <w:tcPr>
            <w:tcW w:w="1304" w:type="dxa"/>
            <w:noWrap/>
            <w:hideMark/>
          </w:tcPr>
          <w:p w14:paraId="600A2256" w14:textId="77777777" w:rsidR="00EE5BB8" w:rsidRPr="00C6052E" w:rsidRDefault="00EE5BB8" w:rsidP="00E9084D">
            <w:pPr>
              <w:pStyle w:val="Tabletotal"/>
              <w:jc w:val="right"/>
            </w:pPr>
            <w:r w:rsidRPr="00C6052E">
              <w:t>381,384</w:t>
            </w:r>
          </w:p>
        </w:tc>
        <w:tc>
          <w:tcPr>
            <w:tcW w:w="1304" w:type="dxa"/>
            <w:noWrap/>
            <w:hideMark/>
          </w:tcPr>
          <w:p w14:paraId="7FD438B8" w14:textId="77777777" w:rsidR="00EE5BB8" w:rsidRPr="00C6052E" w:rsidRDefault="00EE5BB8" w:rsidP="00E9084D">
            <w:pPr>
              <w:pStyle w:val="Tabletotal"/>
              <w:jc w:val="right"/>
            </w:pPr>
            <w:r w:rsidRPr="00C6052E">
              <w:t>–</w:t>
            </w:r>
          </w:p>
        </w:tc>
        <w:tc>
          <w:tcPr>
            <w:tcW w:w="1304" w:type="dxa"/>
            <w:noWrap/>
            <w:hideMark/>
          </w:tcPr>
          <w:p w14:paraId="0B90F83D" w14:textId="77777777" w:rsidR="00EE5BB8" w:rsidRPr="00C6052E" w:rsidRDefault="00EE5BB8" w:rsidP="00E9084D">
            <w:pPr>
              <w:pStyle w:val="Tabletotal"/>
              <w:jc w:val="right"/>
            </w:pPr>
            <w:r w:rsidRPr="00C6052E">
              <w:t>229,565</w:t>
            </w:r>
          </w:p>
        </w:tc>
        <w:tc>
          <w:tcPr>
            <w:tcW w:w="1304" w:type="dxa"/>
            <w:noWrap/>
            <w:hideMark/>
          </w:tcPr>
          <w:p w14:paraId="538FE658" w14:textId="77777777" w:rsidR="00EE5BB8" w:rsidRPr="00C6052E" w:rsidRDefault="00EE5BB8" w:rsidP="00E9084D">
            <w:pPr>
              <w:pStyle w:val="Tabletotal"/>
              <w:jc w:val="right"/>
            </w:pPr>
            <w:r w:rsidRPr="00C6052E">
              <w:t>151,819</w:t>
            </w:r>
          </w:p>
        </w:tc>
      </w:tr>
      <w:tr w:rsidR="00E9084D" w:rsidRPr="00C6052E" w14:paraId="2D05E6F3" w14:textId="77777777" w:rsidTr="00E9084D">
        <w:tc>
          <w:tcPr>
            <w:tcW w:w="3402" w:type="dxa"/>
          </w:tcPr>
          <w:p w14:paraId="21F62370" w14:textId="7537BF4B" w:rsidR="00B66698" w:rsidRPr="00C6052E" w:rsidRDefault="00B66698" w:rsidP="00FD69D9">
            <w:pPr>
              <w:pStyle w:val="TableHeading"/>
            </w:pPr>
            <w:r w:rsidRPr="00C6052E">
              <w:t>Financial liabilities</w:t>
            </w:r>
          </w:p>
        </w:tc>
        <w:tc>
          <w:tcPr>
            <w:tcW w:w="1077" w:type="dxa"/>
            <w:noWrap/>
          </w:tcPr>
          <w:p w14:paraId="7ABA5687" w14:textId="77777777" w:rsidR="00B66698" w:rsidRPr="00C6052E" w:rsidRDefault="00B66698" w:rsidP="00E9084D">
            <w:pPr>
              <w:pStyle w:val="TableHeading"/>
              <w:jc w:val="right"/>
            </w:pPr>
          </w:p>
        </w:tc>
        <w:tc>
          <w:tcPr>
            <w:tcW w:w="1304" w:type="dxa"/>
            <w:noWrap/>
          </w:tcPr>
          <w:p w14:paraId="599666E3" w14:textId="77777777" w:rsidR="00B66698" w:rsidRPr="00C6052E" w:rsidRDefault="00B66698" w:rsidP="00E9084D">
            <w:pPr>
              <w:pStyle w:val="TableHeading"/>
              <w:jc w:val="right"/>
            </w:pPr>
          </w:p>
        </w:tc>
        <w:tc>
          <w:tcPr>
            <w:tcW w:w="1304" w:type="dxa"/>
            <w:noWrap/>
          </w:tcPr>
          <w:p w14:paraId="79F5F764" w14:textId="77777777" w:rsidR="00B66698" w:rsidRPr="00C6052E" w:rsidRDefault="00B66698" w:rsidP="00E9084D">
            <w:pPr>
              <w:pStyle w:val="TableHeading"/>
              <w:jc w:val="right"/>
            </w:pPr>
          </w:p>
        </w:tc>
        <w:tc>
          <w:tcPr>
            <w:tcW w:w="1304" w:type="dxa"/>
            <w:noWrap/>
          </w:tcPr>
          <w:p w14:paraId="6C20AADD" w14:textId="77777777" w:rsidR="00B66698" w:rsidRPr="00C6052E" w:rsidRDefault="00B66698" w:rsidP="00E9084D">
            <w:pPr>
              <w:pStyle w:val="TableHeading"/>
              <w:jc w:val="right"/>
            </w:pPr>
          </w:p>
        </w:tc>
        <w:tc>
          <w:tcPr>
            <w:tcW w:w="1304" w:type="dxa"/>
            <w:noWrap/>
          </w:tcPr>
          <w:p w14:paraId="3C47E416" w14:textId="77777777" w:rsidR="00B66698" w:rsidRPr="00C6052E" w:rsidRDefault="00B66698" w:rsidP="00E9084D">
            <w:pPr>
              <w:pStyle w:val="TableHeading"/>
              <w:jc w:val="right"/>
            </w:pPr>
          </w:p>
        </w:tc>
      </w:tr>
      <w:tr w:rsidR="00E9084D" w:rsidRPr="00C6052E" w14:paraId="1CAFC32C" w14:textId="77777777" w:rsidTr="00E9084D">
        <w:tc>
          <w:tcPr>
            <w:tcW w:w="3402" w:type="dxa"/>
          </w:tcPr>
          <w:p w14:paraId="7EE66E9C" w14:textId="5C10518E" w:rsidR="00B66698" w:rsidRPr="00C6052E" w:rsidRDefault="00B66698" w:rsidP="00AD08B9">
            <w:pPr>
              <w:pStyle w:val="TableHeading"/>
            </w:pPr>
            <w:r w:rsidRPr="00C6052E">
              <w:t xml:space="preserve">Payables </w:t>
            </w:r>
            <w:r w:rsidRPr="00C6052E">
              <w:rPr>
                <w:vertAlign w:val="superscript"/>
              </w:rPr>
              <w:t>(i)</w:t>
            </w:r>
          </w:p>
        </w:tc>
        <w:tc>
          <w:tcPr>
            <w:tcW w:w="1077" w:type="dxa"/>
            <w:noWrap/>
          </w:tcPr>
          <w:p w14:paraId="692E4603" w14:textId="77777777" w:rsidR="00B66698" w:rsidRPr="00C6052E" w:rsidRDefault="00B66698" w:rsidP="00E9084D">
            <w:pPr>
              <w:pStyle w:val="TableHeading"/>
              <w:jc w:val="right"/>
            </w:pPr>
          </w:p>
        </w:tc>
        <w:tc>
          <w:tcPr>
            <w:tcW w:w="1304" w:type="dxa"/>
            <w:noWrap/>
          </w:tcPr>
          <w:p w14:paraId="2F40DE4C" w14:textId="77777777" w:rsidR="00B66698" w:rsidRPr="00C6052E" w:rsidRDefault="00B66698" w:rsidP="00E9084D">
            <w:pPr>
              <w:pStyle w:val="TableHeading"/>
              <w:jc w:val="right"/>
            </w:pPr>
          </w:p>
        </w:tc>
        <w:tc>
          <w:tcPr>
            <w:tcW w:w="1304" w:type="dxa"/>
            <w:noWrap/>
          </w:tcPr>
          <w:p w14:paraId="669CD117" w14:textId="77777777" w:rsidR="00B66698" w:rsidRPr="00C6052E" w:rsidRDefault="00B66698" w:rsidP="00E9084D">
            <w:pPr>
              <w:pStyle w:val="TableHeading"/>
              <w:jc w:val="right"/>
            </w:pPr>
          </w:p>
        </w:tc>
        <w:tc>
          <w:tcPr>
            <w:tcW w:w="1304" w:type="dxa"/>
            <w:noWrap/>
          </w:tcPr>
          <w:p w14:paraId="290E4423" w14:textId="77777777" w:rsidR="00B66698" w:rsidRPr="00C6052E" w:rsidRDefault="00B66698" w:rsidP="00E9084D">
            <w:pPr>
              <w:pStyle w:val="TableHeading"/>
              <w:jc w:val="right"/>
            </w:pPr>
          </w:p>
        </w:tc>
        <w:tc>
          <w:tcPr>
            <w:tcW w:w="1304" w:type="dxa"/>
            <w:noWrap/>
          </w:tcPr>
          <w:p w14:paraId="2358B1F5" w14:textId="77777777" w:rsidR="00B66698" w:rsidRPr="00C6052E" w:rsidRDefault="00B66698" w:rsidP="00E9084D">
            <w:pPr>
              <w:pStyle w:val="TableHeading"/>
              <w:jc w:val="right"/>
            </w:pPr>
          </w:p>
        </w:tc>
      </w:tr>
      <w:tr w:rsidR="00EE5BB8" w:rsidRPr="00C6052E" w14:paraId="46473FC4" w14:textId="77777777" w:rsidTr="00E9084D">
        <w:tc>
          <w:tcPr>
            <w:tcW w:w="3402" w:type="dxa"/>
            <w:hideMark/>
          </w:tcPr>
          <w:p w14:paraId="0D3AABE3" w14:textId="15EEE98E" w:rsidR="00EE5BB8" w:rsidRPr="00C6052E" w:rsidRDefault="00EE5BB8" w:rsidP="0063097D">
            <w:pPr>
              <w:pStyle w:val="TableCopy"/>
            </w:pPr>
            <w:r w:rsidRPr="00C6052E">
              <w:t>Supplies</w:t>
            </w:r>
            <w:r w:rsidR="00177848" w:rsidRPr="00C6052E">
              <w:t xml:space="preserve"> </w:t>
            </w:r>
            <w:r w:rsidRPr="00C6052E">
              <w:t>and</w:t>
            </w:r>
            <w:r w:rsidR="00177848" w:rsidRPr="00C6052E">
              <w:t xml:space="preserve"> </w:t>
            </w:r>
            <w:r w:rsidRPr="00C6052E">
              <w:t>services</w:t>
            </w:r>
          </w:p>
        </w:tc>
        <w:tc>
          <w:tcPr>
            <w:tcW w:w="1077" w:type="dxa"/>
            <w:noWrap/>
            <w:hideMark/>
          </w:tcPr>
          <w:p w14:paraId="1EE0CA35" w14:textId="77777777" w:rsidR="00EE5BB8" w:rsidRPr="00C6052E" w:rsidRDefault="00EE5BB8" w:rsidP="00E9084D">
            <w:pPr>
              <w:pStyle w:val="TableCopy"/>
              <w:jc w:val="right"/>
            </w:pPr>
          </w:p>
        </w:tc>
        <w:tc>
          <w:tcPr>
            <w:tcW w:w="1304" w:type="dxa"/>
            <w:noWrap/>
            <w:hideMark/>
          </w:tcPr>
          <w:p w14:paraId="30BA0336" w14:textId="77777777" w:rsidR="00EE5BB8" w:rsidRPr="00C6052E" w:rsidRDefault="00EE5BB8" w:rsidP="00E9084D">
            <w:pPr>
              <w:pStyle w:val="TableCopy"/>
              <w:jc w:val="right"/>
            </w:pPr>
            <w:r w:rsidRPr="00C6052E">
              <w:t>13,205</w:t>
            </w:r>
          </w:p>
        </w:tc>
        <w:tc>
          <w:tcPr>
            <w:tcW w:w="1304" w:type="dxa"/>
            <w:noWrap/>
            <w:hideMark/>
          </w:tcPr>
          <w:p w14:paraId="6B19EBAE" w14:textId="77777777" w:rsidR="00EE5BB8" w:rsidRPr="00C6052E" w:rsidRDefault="00EE5BB8" w:rsidP="00E9084D">
            <w:pPr>
              <w:pStyle w:val="TableCopy"/>
              <w:jc w:val="right"/>
            </w:pPr>
            <w:r w:rsidRPr="00C6052E">
              <w:t>–</w:t>
            </w:r>
          </w:p>
        </w:tc>
        <w:tc>
          <w:tcPr>
            <w:tcW w:w="1304" w:type="dxa"/>
            <w:noWrap/>
            <w:hideMark/>
          </w:tcPr>
          <w:p w14:paraId="5C7373D6" w14:textId="77777777" w:rsidR="00EE5BB8" w:rsidRPr="00C6052E" w:rsidRDefault="00EE5BB8" w:rsidP="00E9084D">
            <w:pPr>
              <w:pStyle w:val="TableCopy"/>
              <w:jc w:val="right"/>
            </w:pPr>
            <w:r w:rsidRPr="00C6052E">
              <w:t>–</w:t>
            </w:r>
          </w:p>
        </w:tc>
        <w:tc>
          <w:tcPr>
            <w:tcW w:w="1304" w:type="dxa"/>
            <w:noWrap/>
            <w:hideMark/>
          </w:tcPr>
          <w:p w14:paraId="542FBBDF" w14:textId="77777777" w:rsidR="00EE5BB8" w:rsidRPr="00C6052E" w:rsidRDefault="00EE5BB8" w:rsidP="00E9084D">
            <w:pPr>
              <w:pStyle w:val="TableCopy"/>
              <w:jc w:val="right"/>
            </w:pPr>
            <w:r w:rsidRPr="00C6052E">
              <w:t>13,205</w:t>
            </w:r>
          </w:p>
        </w:tc>
      </w:tr>
      <w:tr w:rsidR="00EE5BB8" w:rsidRPr="00C6052E" w14:paraId="0C841B11" w14:textId="77777777" w:rsidTr="00E9084D">
        <w:tc>
          <w:tcPr>
            <w:tcW w:w="3402" w:type="dxa"/>
            <w:hideMark/>
          </w:tcPr>
          <w:p w14:paraId="36660F4E" w14:textId="34EE0FB6" w:rsidR="00EE5BB8" w:rsidRPr="00C6052E" w:rsidRDefault="00EE5BB8" w:rsidP="0063097D">
            <w:pPr>
              <w:pStyle w:val="TableCopy"/>
            </w:pPr>
            <w:r w:rsidRPr="00C6052E">
              <w:t>Amounts</w:t>
            </w:r>
            <w:r w:rsidR="00177848" w:rsidRPr="00C6052E">
              <w:t xml:space="preserve"> </w:t>
            </w:r>
            <w:r w:rsidRPr="00C6052E">
              <w:t>payable</w:t>
            </w:r>
            <w:r w:rsidR="00177848" w:rsidRPr="00C6052E">
              <w:t xml:space="preserve"> </w:t>
            </w:r>
            <w:r w:rsidRPr="00C6052E">
              <w:t>to</w:t>
            </w:r>
            <w:r w:rsidR="00177848" w:rsidRPr="00C6052E">
              <w:t xml:space="preserve"> </w:t>
            </w:r>
            <w:r w:rsidRPr="00C6052E">
              <w:t>government</w:t>
            </w:r>
            <w:r w:rsidR="00177848" w:rsidRPr="00C6052E">
              <w:t xml:space="preserve"> </w:t>
            </w:r>
            <w:r w:rsidRPr="00C6052E">
              <w:t>and</w:t>
            </w:r>
            <w:r w:rsidR="00177848" w:rsidRPr="00C6052E">
              <w:t xml:space="preserve"> </w:t>
            </w:r>
            <w:r w:rsidRPr="00C6052E">
              <w:t>agencies</w:t>
            </w:r>
            <w:r w:rsidR="00177848" w:rsidRPr="00C6052E">
              <w:t xml:space="preserve"> </w:t>
            </w:r>
          </w:p>
        </w:tc>
        <w:tc>
          <w:tcPr>
            <w:tcW w:w="1077" w:type="dxa"/>
            <w:noWrap/>
            <w:hideMark/>
          </w:tcPr>
          <w:p w14:paraId="0465F9A8" w14:textId="77777777" w:rsidR="00EE5BB8" w:rsidRPr="00C6052E" w:rsidRDefault="00EE5BB8" w:rsidP="00E9084D">
            <w:pPr>
              <w:pStyle w:val="TableCopy"/>
              <w:jc w:val="right"/>
            </w:pPr>
          </w:p>
        </w:tc>
        <w:tc>
          <w:tcPr>
            <w:tcW w:w="1304" w:type="dxa"/>
            <w:noWrap/>
            <w:hideMark/>
          </w:tcPr>
          <w:p w14:paraId="57275F19" w14:textId="77777777" w:rsidR="00EE5BB8" w:rsidRPr="00C6052E" w:rsidRDefault="00EE5BB8" w:rsidP="00E9084D">
            <w:pPr>
              <w:pStyle w:val="TableCopy"/>
              <w:jc w:val="right"/>
            </w:pPr>
            <w:r w:rsidRPr="00C6052E">
              <w:t>41,273</w:t>
            </w:r>
          </w:p>
        </w:tc>
        <w:tc>
          <w:tcPr>
            <w:tcW w:w="1304" w:type="dxa"/>
            <w:noWrap/>
            <w:hideMark/>
          </w:tcPr>
          <w:p w14:paraId="1C781D59" w14:textId="77777777" w:rsidR="00EE5BB8" w:rsidRPr="00C6052E" w:rsidRDefault="00EE5BB8" w:rsidP="00E9084D">
            <w:pPr>
              <w:pStyle w:val="TableCopy"/>
              <w:jc w:val="right"/>
            </w:pPr>
            <w:r w:rsidRPr="00C6052E">
              <w:t>–</w:t>
            </w:r>
          </w:p>
        </w:tc>
        <w:tc>
          <w:tcPr>
            <w:tcW w:w="1304" w:type="dxa"/>
            <w:noWrap/>
            <w:hideMark/>
          </w:tcPr>
          <w:p w14:paraId="470A9BF3" w14:textId="77777777" w:rsidR="00EE5BB8" w:rsidRPr="00C6052E" w:rsidRDefault="00EE5BB8" w:rsidP="00E9084D">
            <w:pPr>
              <w:pStyle w:val="TableCopy"/>
              <w:jc w:val="right"/>
            </w:pPr>
            <w:r w:rsidRPr="00C6052E">
              <w:t>–</w:t>
            </w:r>
          </w:p>
        </w:tc>
        <w:tc>
          <w:tcPr>
            <w:tcW w:w="1304" w:type="dxa"/>
            <w:noWrap/>
            <w:hideMark/>
          </w:tcPr>
          <w:p w14:paraId="7D0D9117" w14:textId="77777777" w:rsidR="00EE5BB8" w:rsidRPr="00C6052E" w:rsidRDefault="00EE5BB8" w:rsidP="00E9084D">
            <w:pPr>
              <w:pStyle w:val="TableCopy"/>
              <w:jc w:val="right"/>
            </w:pPr>
            <w:r w:rsidRPr="00C6052E">
              <w:t>41,273</w:t>
            </w:r>
          </w:p>
        </w:tc>
      </w:tr>
      <w:tr w:rsidR="00E9084D" w:rsidRPr="00C6052E" w14:paraId="4EEC8DC4" w14:textId="77777777" w:rsidTr="00E9084D">
        <w:tc>
          <w:tcPr>
            <w:tcW w:w="3402" w:type="dxa"/>
          </w:tcPr>
          <w:p w14:paraId="34699E3E" w14:textId="318A5F8D" w:rsidR="00B66698" w:rsidRPr="00C6052E" w:rsidRDefault="00B66698" w:rsidP="00F94D20">
            <w:pPr>
              <w:pStyle w:val="TableHeading"/>
            </w:pPr>
            <w:r w:rsidRPr="00C6052E">
              <w:t>Borrowings</w:t>
            </w:r>
          </w:p>
        </w:tc>
        <w:tc>
          <w:tcPr>
            <w:tcW w:w="1077" w:type="dxa"/>
            <w:noWrap/>
          </w:tcPr>
          <w:p w14:paraId="52E881D2" w14:textId="77777777" w:rsidR="00B66698" w:rsidRPr="00C6052E" w:rsidRDefault="00B66698" w:rsidP="00E9084D">
            <w:pPr>
              <w:pStyle w:val="TableHeading"/>
              <w:jc w:val="right"/>
            </w:pPr>
          </w:p>
        </w:tc>
        <w:tc>
          <w:tcPr>
            <w:tcW w:w="1304" w:type="dxa"/>
            <w:noWrap/>
          </w:tcPr>
          <w:p w14:paraId="3CC93233" w14:textId="77777777" w:rsidR="00B66698" w:rsidRPr="00C6052E" w:rsidRDefault="00B66698" w:rsidP="00E9084D">
            <w:pPr>
              <w:pStyle w:val="TableHeading"/>
              <w:jc w:val="right"/>
            </w:pPr>
          </w:p>
        </w:tc>
        <w:tc>
          <w:tcPr>
            <w:tcW w:w="1304" w:type="dxa"/>
            <w:noWrap/>
          </w:tcPr>
          <w:p w14:paraId="0D97B15C" w14:textId="77777777" w:rsidR="00B66698" w:rsidRPr="00C6052E" w:rsidRDefault="00B66698" w:rsidP="00E9084D">
            <w:pPr>
              <w:pStyle w:val="TableHeading"/>
              <w:jc w:val="right"/>
            </w:pPr>
          </w:p>
        </w:tc>
        <w:tc>
          <w:tcPr>
            <w:tcW w:w="1304" w:type="dxa"/>
            <w:noWrap/>
          </w:tcPr>
          <w:p w14:paraId="0F7BE04E" w14:textId="77777777" w:rsidR="00B66698" w:rsidRPr="00C6052E" w:rsidRDefault="00B66698" w:rsidP="00E9084D">
            <w:pPr>
              <w:pStyle w:val="TableHeading"/>
              <w:jc w:val="right"/>
            </w:pPr>
          </w:p>
        </w:tc>
        <w:tc>
          <w:tcPr>
            <w:tcW w:w="1304" w:type="dxa"/>
            <w:noWrap/>
          </w:tcPr>
          <w:p w14:paraId="1E58C78F" w14:textId="77777777" w:rsidR="00B66698" w:rsidRPr="00C6052E" w:rsidRDefault="00B66698" w:rsidP="00E9084D">
            <w:pPr>
              <w:pStyle w:val="TableHeading"/>
              <w:jc w:val="right"/>
            </w:pPr>
          </w:p>
        </w:tc>
      </w:tr>
      <w:tr w:rsidR="00EE5BB8" w:rsidRPr="00C6052E" w14:paraId="4B9C9EC6" w14:textId="77777777" w:rsidTr="00E9084D">
        <w:tc>
          <w:tcPr>
            <w:tcW w:w="3402" w:type="dxa"/>
            <w:hideMark/>
          </w:tcPr>
          <w:p w14:paraId="2CAA2F1F" w14:textId="316E9EE8" w:rsidR="00EE5BB8" w:rsidRPr="00C6052E" w:rsidRDefault="00EE5BB8" w:rsidP="0063097D">
            <w:pPr>
              <w:pStyle w:val="TableCopy"/>
            </w:pPr>
            <w:r w:rsidRPr="00C6052E">
              <w:t>Lease</w:t>
            </w:r>
            <w:r w:rsidR="00177848" w:rsidRPr="00C6052E">
              <w:t xml:space="preserve"> </w:t>
            </w:r>
            <w:r w:rsidRPr="00C6052E">
              <w:t>liabilities</w:t>
            </w:r>
            <w:r w:rsidR="00177848" w:rsidRPr="00C6052E">
              <w:t xml:space="preserve"> </w:t>
            </w:r>
          </w:p>
        </w:tc>
        <w:tc>
          <w:tcPr>
            <w:tcW w:w="1077" w:type="dxa"/>
            <w:noWrap/>
            <w:hideMark/>
          </w:tcPr>
          <w:p w14:paraId="17DE7182" w14:textId="77777777" w:rsidR="00EE5BB8" w:rsidRPr="00C6052E" w:rsidRDefault="00EE5BB8" w:rsidP="00E9084D">
            <w:pPr>
              <w:pStyle w:val="TableCopy"/>
              <w:jc w:val="right"/>
            </w:pPr>
            <w:r w:rsidRPr="00C6052E">
              <w:t>2.99%</w:t>
            </w:r>
          </w:p>
        </w:tc>
        <w:tc>
          <w:tcPr>
            <w:tcW w:w="1304" w:type="dxa"/>
            <w:noWrap/>
            <w:hideMark/>
          </w:tcPr>
          <w:p w14:paraId="4BB55960" w14:textId="77777777" w:rsidR="00EE5BB8" w:rsidRPr="00C6052E" w:rsidRDefault="00EE5BB8" w:rsidP="00E9084D">
            <w:pPr>
              <w:pStyle w:val="TableCopy"/>
              <w:jc w:val="right"/>
            </w:pPr>
            <w:r w:rsidRPr="00C6052E">
              <w:t>12,633</w:t>
            </w:r>
          </w:p>
        </w:tc>
        <w:tc>
          <w:tcPr>
            <w:tcW w:w="1304" w:type="dxa"/>
            <w:noWrap/>
            <w:hideMark/>
          </w:tcPr>
          <w:p w14:paraId="073286DA" w14:textId="77777777" w:rsidR="00EE5BB8" w:rsidRPr="00C6052E" w:rsidRDefault="00EE5BB8" w:rsidP="00E9084D">
            <w:pPr>
              <w:pStyle w:val="TableCopy"/>
              <w:jc w:val="right"/>
            </w:pPr>
            <w:r w:rsidRPr="00C6052E">
              <w:t>12,633</w:t>
            </w:r>
          </w:p>
        </w:tc>
        <w:tc>
          <w:tcPr>
            <w:tcW w:w="1304" w:type="dxa"/>
            <w:noWrap/>
            <w:hideMark/>
          </w:tcPr>
          <w:p w14:paraId="386C1DE8" w14:textId="77777777" w:rsidR="00EE5BB8" w:rsidRPr="00C6052E" w:rsidRDefault="00EE5BB8" w:rsidP="00E9084D">
            <w:pPr>
              <w:pStyle w:val="TableCopy"/>
              <w:jc w:val="right"/>
            </w:pPr>
            <w:r w:rsidRPr="00C6052E">
              <w:t>–</w:t>
            </w:r>
          </w:p>
        </w:tc>
        <w:tc>
          <w:tcPr>
            <w:tcW w:w="1304" w:type="dxa"/>
            <w:noWrap/>
            <w:hideMark/>
          </w:tcPr>
          <w:p w14:paraId="26C4166A" w14:textId="77777777" w:rsidR="00EE5BB8" w:rsidRPr="00C6052E" w:rsidRDefault="00EE5BB8" w:rsidP="00E9084D">
            <w:pPr>
              <w:pStyle w:val="TableCopy"/>
              <w:jc w:val="right"/>
            </w:pPr>
            <w:r w:rsidRPr="00C6052E">
              <w:t>–</w:t>
            </w:r>
          </w:p>
        </w:tc>
      </w:tr>
      <w:tr w:rsidR="00EE5BB8" w:rsidRPr="00C6052E" w14:paraId="72445A00" w14:textId="77777777" w:rsidTr="00E9084D">
        <w:tc>
          <w:tcPr>
            <w:tcW w:w="3402" w:type="dxa"/>
            <w:hideMark/>
          </w:tcPr>
          <w:p w14:paraId="5283E998" w14:textId="7AF7996B" w:rsidR="00EE5BB8" w:rsidRPr="00C6052E" w:rsidRDefault="00EE5BB8" w:rsidP="0063097D">
            <w:pPr>
              <w:pStyle w:val="TableCopy"/>
            </w:pPr>
            <w:r w:rsidRPr="00C6052E">
              <w:t>Advances</w:t>
            </w:r>
            <w:r w:rsidR="00177848" w:rsidRPr="00C6052E">
              <w:t xml:space="preserve"> </w:t>
            </w:r>
            <w:r w:rsidRPr="00C6052E">
              <w:t>from</w:t>
            </w:r>
            <w:r w:rsidR="00177848" w:rsidRPr="00C6052E">
              <w:t xml:space="preserve"> </w:t>
            </w:r>
            <w:r w:rsidRPr="00C6052E">
              <w:t>government</w:t>
            </w:r>
          </w:p>
        </w:tc>
        <w:tc>
          <w:tcPr>
            <w:tcW w:w="1077" w:type="dxa"/>
            <w:noWrap/>
            <w:hideMark/>
          </w:tcPr>
          <w:p w14:paraId="29A559FE" w14:textId="77777777" w:rsidR="00EE5BB8" w:rsidRPr="00C6052E" w:rsidRDefault="00EE5BB8" w:rsidP="00E9084D">
            <w:pPr>
              <w:pStyle w:val="TableCopy"/>
              <w:jc w:val="right"/>
            </w:pPr>
          </w:p>
        </w:tc>
        <w:tc>
          <w:tcPr>
            <w:tcW w:w="1304" w:type="dxa"/>
            <w:noWrap/>
            <w:hideMark/>
          </w:tcPr>
          <w:p w14:paraId="477A1CB8" w14:textId="77777777" w:rsidR="00EE5BB8" w:rsidRPr="00C6052E" w:rsidRDefault="00EE5BB8" w:rsidP="00E9084D">
            <w:pPr>
              <w:pStyle w:val="TableCopy"/>
              <w:jc w:val="right"/>
            </w:pPr>
            <w:r w:rsidRPr="00C6052E">
              <w:t>52,204</w:t>
            </w:r>
          </w:p>
        </w:tc>
        <w:tc>
          <w:tcPr>
            <w:tcW w:w="1304" w:type="dxa"/>
            <w:noWrap/>
            <w:hideMark/>
          </w:tcPr>
          <w:p w14:paraId="32ACA892" w14:textId="77777777" w:rsidR="00EE5BB8" w:rsidRPr="00C6052E" w:rsidRDefault="00EE5BB8" w:rsidP="00E9084D">
            <w:pPr>
              <w:pStyle w:val="TableCopy"/>
              <w:jc w:val="right"/>
            </w:pPr>
            <w:r w:rsidRPr="00C6052E">
              <w:t>–</w:t>
            </w:r>
          </w:p>
        </w:tc>
        <w:tc>
          <w:tcPr>
            <w:tcW w:w="1304" w:type="dxa"/>
            <w:noWrap/>
            <w:hideMark/>
          </w:tcPr>
          <w:p w14:paraId="24CBA7D5" w14:textId="77777777" w:rsidR="00EE5BB8" w:rsidRPr="00C6052E" w:rsidRDefault="00EE5BB8" w:rsidP="00E9084D">
            <w:pPr>
              <w:pStyle w:val="TableCopy"/>
              <w:jc w:val="right"/>
            </w:pPr>
            <w:r w:rsidRPr="00C6052E">
              <w:t>–</w:t>
            </w:r>
          </w:p>
        </w:tc>
        <w:tc>
          <w:tcPr>
            <w:tcW w:w="1304" w:type="dxa"/>
            <w:noWrap/>
            <w:hideMark/>
          </w:tcPr>
          <w:p w14:paraId="33F25219" w14:textId="77777777" w:rsidR="00EE5BB8" w:rsidRPr="00C6052E" w:rsidRDefault="00EE5BB8" w:rsidP="00E9084D">
            <w:pPr>
              <w:pStyle w:val="TableCopy"/>
              <w:jc w:val="right"/>
            </w:pPr>
            <w:r w:rsidRPr="00C6052E">
              <w:t>52,204</w:t>
            </w:r>
          </w:p>
        </w:tc>
      </w:tr>
      <w:tr w:rsidR="00EE5BB8" w:rsidRPr="00C6052E" w14:paraId="7A2FFFD2" w14:textId="77777777" w:rsidTr="00E9084D">
        <w:tc>
          <w:tcPr>
            <w:tcW w:w="3402" w:type="dxa"/>
            <w:noWrap/>
            <w:hideMark/>
          </w:tcPr>
          <w:p w14:paraId="433DB8CC" w14:textId="43C60882" w:rsidR="00EE5BB8" w:rsidRPr="00C6052E" w:rsidRDefault="00EE5BB8" w:rsidP="0063097D">
            <w:pPr>
              <w:pStyle w:val="Tabletotal"/>
            </w:pPr>
            <w:r w:rsidRPr="00C6052E">
              <w:t>Total</w:t>
            </w:r>
            <w:r w:rsidR="00177848" w:rsidRPr="00C6052E">
              <w:t xml:space="preserve"> </w:t>
            </w:r>
            <w:r w:rsidRPr="00C6052E">
              <w:t>financial</w:t>
            </w:r>
            <w:r w:rsidR="00177848" w:rsidRPr="00C6052E">
              <w:t xml:space="preserve"> </w:t>
            </w:r>
            <w:r w:rsidRPr="00C6052E">
              <w:t>liabilities</w:t>
            </w:r>
          </w:p>
        </w:tc>
        <w:tc>
          <w:tcPr>
            <w:tcW w:w="1077" w:type="dxa"/>
            <w:hideMark/>
          </w:tcPr>
          <w:p w14:paraId="31E73B42" w14:textId="77777777" w:rsidR="00EE5BB8" w:rsidRPr="00C6052E" w:rsidRDefault="00EE5BB8" w:rsidP="00E9084D">
            <w:pPr>
              <w:pStyle w:val="Tabletotal"/>
              <w:jc w:val="right"/>
            </w:pPr>
          </w:p>
        </w:tc>
        <w:tc>
          <w:tcPr>
            <w:tcW w:w="1304" w:type="dxa"/>
            <w:noWrap/>
            <w:hideMark/>
          </w:tcPr>
          <w:p w14:paraId="0ED921F4" w14:textId="77777777" w:rsidR="00EE5BB8" w:rsidRPr="00C6052E" w:rsidRDefault="00EE5BB8" w:rsidP="00E9084D">
            <w:pPr>
              <w:pStyle w:val="Tabletotal"/>
              <w:jc w:val="right"/>
            </w:pPr>
            <w:r w:rsidRPr="00C6052E">
              <w:t>119,315</w:t>
            </w:r>
          </w:p>
        </w:tc>
        <w:tc>
          <w:tcPr>
            <w:tcW w:w="1304" w:type="dxa"/>
            <w:noWrap/>
            <w:hideMark/>
          </w:tcPr>
          <w:p w14:paraId="3AF8525A" w14:textId="77777777" w:rsidR="00EE5BB8" w:rsidRPr="00C6052E" w:rsidRDefault="00EE5BB8" w:rsidP="00E9084D">
            <w:pPr>
              <w:pStyle w:val="Tabletotal"/>
              <w:jc w:val="right"/>
            </w:pPr>
            <w:r w:rsidRPr="00C6052E">
              <w:t>12,633</w:t>
            </w:r>
          </w:p>
        </w:tc>
        <w:tc>
          <w:tcPr>
            <w:tcW w:w="1304" w:type="dxa"/>
            <w:noWrap/>
            <w:hideMark/>
          </w:tcPr>
          <w:p w14:paraId="637C0FD3" w14:textId="77777777" w:rsidR="00EE5BB8" w:rsidRPr="00C6052E" w:rsidRDefault="00EE5BB8" w:rsidP="00E9084D">
            <w:pPr>
              <w:pStyle w:val="Tabletotal"/>
              <w:jc w:val="right"/>
            </w:pPr>
            <w:r w:rsidRPr="00C6052E">
              <w:t>–</w:t>
            </w:r>
          </w:p>
        </w:tc>
        <w:tc>
          <w:tcPr>
            <w:tcW w:w="1304" w:type="dxa"/>
            <w:noWrap/>
            <w:hideMark/>
          </w:tcPr>
          <w:p w14:paraId="2977F648" w14:textId="77777777" w:rsidR="00EE5BB8" w:rsidRPr="00C6052E" w:rsidRDefault="00EE5BB8" w:rsidP="00E9084D">
            <w:pPr>
              <w:pStyle w:val="Tabletotal"/>
              <w:jc w:val="right"/>
            </w:pPr>
            <w:r w:rsidRPr="00C6052E">
              <w:t>106,682</w:t>
            </w:r>
          </w:p>
        </w:tc>
      </w:tr>
      <w:tr w:rsidR="00E9084D" w:rsidRPr="00C6052E" w14:paraId="4FD5CC92" w14:textId="77777777" w:rsidTr="00E9084D">
        <w:tc>
          <w:tcPr>
            <w:tcW w:w="3402" w:type="dxa"/>
          </w:tcPr>
          <w:p w14:paraId="02362012" w14:textId="38F8AA08" w:rsidR="00B66698" w:rsidRPr="00C6052E" w:rsidRDefault="00B66698" w:rsidP="00770E4F">
            <w:pPr>
              <w:pStyle w:val="TableHeading"/>
            </w:pPr>
            <w:r w:rsidRPr="00C6052E">
              <w:t>202</w:t>
            </w:r>
            <w:r>
              <w:t>4</w:t>
            </w:r>
          </w:p>
        </w:tc>
        <w:tc>
          <w:tcPr>
            <w:tcW w:w="1077" w:type="dxa"/>
            <w:noWrap/>
          </w:tcPr>
          <w:p w14:paraId="7178FA79" w14:textId="77777777" w:rsidR="00B66698" w:rsidRPr="00C6052E" w:rsidRDefault="00B66698" w:rsidP="00E9084D">
            <w:pPr>
              <w:pStyle w:val="TableHeading"/>
              <w:jc w:val="right"/>
            </w:pPr>
          </w:p>
        </w:tc>
        <w:tc>
          <w:tcPr>
            <w:tcW w:w="1304" w:type="dxa"/>
            <w:noWrap/>
          </w:tcPr>
          <w:p w14:paraId="492DED0B" w14:textId="77777777" w:rsidR="00B66698" w:rsidRPr="00C6052E" w:rsidRDefault="00B66698" w:rsidP="00E9084D">
            <w:pPr>
              <w:pStyle w:val="TableHeading"/>
              <w:jc w:val="right"/>
            </w:pPr>
          </w:p>
        </w:tc>
        <w:tc>
          <w:tcPr>
            <w:tcW w:w="1304" w:type="dxa"/>
            <w:noWrap/>
          </w:tcPr>
          <w:p w14:paraId="01EB9DEF" w14:textId="77777777" w:rsidR="00B66698" w:rsidRPr="00C6052E" w:rsidRDefault="00B66698" w:rsidP="00E9084D">
            <w:pPr>
              <w:pStyle w:val="TableHeading"/>
              <w:jc w:val="right"/>
            </w:pPr>
          </w:p>
        </w:tc>
        <w:tc>
          <w:tcPr>
            <w:tcW w:w="1304" w:type="dxa"/>
            <w:noWrap/>
          </w:tcPr>
          <w:p w14:paraId="4716929F" w14:textId="77777777" w:rsidR="00B66698" w:rsidRPr="00C6052E" w:rsidRDefault="00B66698" w:rsidP="00E9084D">
            <w:pPr>
              <w:pStyle w:val="TableHeading"/>
              <w:jc w:val="right"/>
            </w:pPr>
          </w:p>
        </w:tc>
        <w:tc>
          <w:tcPr>
            <w:tcW w:w="1304" w:type="dxa"/>
            <w:noWrap/>
          </w:tcPr>
          <w:p w14:paraId="4803AB77" w14:textId="77777777" w:rsidR="00B66698" w:rsidRPr="00C6052E" w:rsidRDefault="00B66698" w:rsidP="00E9084D">
            <w:pPr>
              <w:pStyle w:val="TableHeading"/>
              <w:jc w:val="right"/>
            </w:pPr>
          </w:p>
        </w:tc>
      </w:tr>
      <w:tr w:rsidR="00E9084D" w:rsidRPr="00C6052E" w14:paraId="6ED8206B" w14:textId="77777777" w:rsidTr="00E9084D">
        <w:tc>
          <w:tcPr>
            <w:tcW w:w="3402" w:type="dxa"/>
          </w:tcPr>
          <w:p w14:paraId="5815DCCC" w14:textId="77777777" w:rsidR="00B66698" w:rsidRPr="00C6052E" w:rsidRDefault="00B66698" w:rsidP="00770E4F">
            <w:pPr>
              <w:pStyle w:val="TableHeading"/>
            </w:pPr>
            <w:r w:rsidRPr="00C6052E">
              <w:t>Financial assets</w:t>
            </w:r>
          </w:p>
        </w:tc>
        <w:tc>
          <w:tcPr>
            <w:tcW w:w="1077" w:type="dxa"/>
            <w:noWrap/>
          </w:tcPr>
          <w:p w14:paraId="59C45D31" w14:textId="77777777" w:rsidR="00B66698" w:rsidRPr="00C6052E" w:rsidRDefault="00B66698" w:rsidP="00E9084D">
            <w:pPr>
              <w:pStyle w:val="TableHeading"/>
              <w:jc w:val="right"/>
            </w:pPr>
          </w:p>
        </w:tc>
        <w:tc>
          <w:tcPr>
            <w:tcW w:w="1304" w:type="dxa"/>
            <w:noWrap/>
          </w:tcPr>
          <w:p w14:paraId="5D380DE5" w14:textId="77777777" w:rsidR="00B66698" w:rsidRPr="00C6052E" w:rsidRDefault="00B66698" w:rsidP="00E9084D">
            <w:pPr>
              <w:pStyle w:val="TableHeading"/>
              <w:jc w:val="right"/>
            </w:pPr>
          </w:p>
        </w:tc>
        <w:tc>
          <w:tcPr>
            <w:tcW w:w="1304" w:type="dxa"/>
            <w:noWrap/>
          </w:tcPr>
          <w:p w14:paraId="4A79F603" w14:textId="77777777" w:rsidR="00B66698" w:rsidRPr="00C6052E" w:rsidRDefault="00B66698" w:rsidP="00E9084D">
            <w:pPr>
              <w:pStyle w:val="TableHeading"/>
              <w:jc w:val="right"/>
            </w:pPr>
          </w:p>
        </w:tc>
        <w:tc>
          <w:tcPr>
            <w:tcW w:w="1304" w:type="dxa"/>
            <w:noWrap/>
          </w:tcPr>
          <w:p w14:paraId="43DFB98A" w14:textId="77777777" w:rsidR="00B66698" w:rsidRPr="00C6052E" w:rsidRDefault="00B66698" w:rsidP="00E9084D">
            <w:pPr>
              <w:pStyle w:val="TableHeading"/>
              <w:jc w:val="right"/>
            </w:pPr>
          </w:p>
        </w:tc>
        <w:tc>
          <w:tcPr>
            <w:tcW w:w="1304" w:type="dxa"/>
            <w:noWrap/>
          </w:tcPr>
          <w:p w14:paraId="78DDC4E9" w14:textId="77777777" w:rsidR="00B66698" w:rsidRPr="00C6052E" w:rsidRDefault="00B66698" w:rsidP="00E9084D">
            <w:pPr>
              <w:pStyle w:val="TableHeading"/>
              <w:jc w:val="right"/>
            </w:pPr>
          </w:p>
        </w:tc>
      </w:tr>
      <w:tr w:rsidR="00EE5BB8" w:rsidRPr="00C6052E" w14:paraId="62FB8BC6" w14:textId="77777777" w:rsidTr="00E9084D">
        <w:tc>
          <w:tcPr>
            <w:tcW w:w="3402" w:type="dxa"/>
            <w:noWrap/>
          </w:tcPr>
          <w:p w14:paraId="3CE41E5A" w14:textId="23D0F721" w:rsidR="00EE5BB8" w:rsidRPr="00C6052E" w:rsidRDefault="00EE5BB8" w:rsidP="0063097D">
            <w:pPr>
              <w:pStyle w:val="TableCopy"/>
            </w:pPr>
            <w:r w:rsidRPr="00C6052E">
              <w:t>Cash</w:t>
            </w:r>
            <w:r w:rsidR="00177848" w:rsidRPr="00C6052E">
              <w:t xml:space="preserve"> </w:t>
            </w:r>
            <w:r w:rsidRPr="00C6052E">
              <w:t>and</w:t>
            </w:r>
            <w:r w:rsidR="00177848" w:rsidRPr="00C6052E">
              <w:t xml:space="preserve"> </w:t>
            </w:r>
            <w:r w:rsidRPr="00C6052E">
              <w:t>deposits</w:t>
            </w:r>
          </w:p>
        </w:tc>
        <w:tc>
          <w:tcPr>
            <w:tcW w:w="1077" w:type="dxa"/>
          </w:tcPr>
          <w:p w14:paraId="166D3618" w14:textId="77777777" w:rsidR="00EE5BB8" w:rsidRPr="00C6052E" w:rsidRDefault="00EE5BB8" w:rsidP="00E9084D">
            <w:pPr>
              <w:pStyle w:val="TableCopy"/>
              <w:jc w:val="right"/>
            </w:pPr>
            <w:r w:rsidRPr="00C6052E">
              <w:t>4.35%</w:t>
            </w:r>
          </w:p>
        </w:tc>
        <w:tc>
          <w:tcPr>
            <w:tcW w:w="1304" w:type="dxa"/>
            <w:noWrap/>
          </w:tcPr>
          <w:p w14:paraId="76C0F08F" w14:textId="77777777" w:rsidR="00EE5BB8" w:rsidRPr="00C6052E" w:rsidRDefault="00EE5BB8" w:rsidP="00E9084D">
            <w:pPr>
              <w:pStyle w:val="TableCopy"/>
              <w:jc w:val="right"/>
            </w:pPr>
            <w:r w:rsidRPr="00C6052E">
              <w:t>271,311</w:t>
            </w:r>
          </w:p>
        </w:tc>
        <w:tc>
          <w:tcPr>
            <w:tcW w:w="1304" w:type="dxa"/>
            <w:noWrap/>
          </w:tcPr>
          <w:p w14:paraId="62D9A6D7" w14:textId="77777777" w:rsidR="00EE5BB8" w:rsidRPr="00C6052E" w:rsidRDefault="00EE5BB8" w:rsidP="00E9084D">
            <w:pPr>
              <w:pStyle w:val="TableCopy"/>
              <w:jc w:val="right"/>
            </w:pPr>
            <w:r w:rsidRPr="00C6052E">
              <w:t>–</w:t>
            </w:r>
          </w:p>
        </w:tc>
        <w:tc>
          <w:tcPr>
            <w:tcW w:w="1304" w:type="dxa"/>
            <w:noWrap/>
          </w:tcPr>
          <w:p w14:paraId="52E280E9" w14:textId="77777777" w:rsidR="00EE5BB8" w:rsidRPr="00C6052E" w:rsidRDefault="00EE5BB8" w:rsidP="00E9084D">
            <w:pPr>
              <w:pStyle w:val="TableCopy"/>
              <w:jc w:val="right"/>
            </w:pPr>
            <w:r w:rsidRPr="00C6052E">
              <w:t>256,765</w:t>
            </w:r>
          </w:p>
        </w:tc>
        <w:tc>
          <w:tcPr>
            <w:tcW w:w="1304" w:type="dxa"/>
            <w:noWrap/>
          </w:tcPr>
          <w:p w14:paraId="56785FAE" w14:textId="77777777" w:rsidR="00EE5BB8" w:rsidRPr="00C6052E" w:rsidRDefault="00EE5BB8" w:rsidP="00E9084D">
            <w:pPr>
              <w:pStyle w:val="TableCopy"/>
              <w:jc w:val="right"/>
            </w:pPr>
            <w:r w:rsidRPr="00C6052E">
              <w:t>14,546</w:t>
            </w:r>
          </w:p>
        </w:tc>
      </w:tr>
      <w:tr w:rsidR="00EE5BB8" w:rsidRPr="00C6052E" w14:paraId="1D2E3931" w14:textId="77777777" w:rsidTr="00E9084D">
        <w:tc>
          <w:tcPr>
            <w:tcW w:w="3402" w:type="dxa"/>
            <w:noWrap/>
          </w:tcPr>
          <w:p w14:paraId="672E048B" w14:textId="77777777" w:rsidR="00EE5BB8" w:rsidRPr="00C6052E" w:rsidRDefault="00EE5BB8" w:rsidP="0063097D">
            <w:pPr>
              <w:pStyle w:val="TableCopy"/>
            </w:pPr>
            <w:r w:rsidRPr="00C6052E">
              <w:t>Receivables</w:t>
            </w:r>
            <w:r w:rsidRPr="00C6052E">
              <w:rPr>
                <w:vertAlign w:val="superscript"/>
              </w:rPr>
              <w:t>(i)</w:t>
            </w:r>
          </w:p>
        </w:tc>
        <w:tc>
          <w:tcPr>
            <w:tcW w:w="1077" w:type="dxa"/>
          </w:tcPr>
          <w:p w14:paraId="6B712BA0" w14:textId="77777777" w:rsidR="00EE5BB8" w:rsidRPr="00C6052E" w:rsidRDefault="00EE5BB8" w:rsidP="00E9084D">
            <w:pPr>
              <w:pStyle w:val="TableCopy"/>
              <w:jc w:val="right"/>
            </w:pPr>
          </w:p>
        </w:tc>
        <w:tc>
          <w:tcPr>
            <w:tcW w:w="1304" w:type="dxa"/>
            <w:noWrap/>
          </w:tcPr>
          <w:p w14:paraId="6FA37EE0" w14:textId="77777777" w:rsidR="00EE5BB8" w:rsidRPr="00C6052E" w:rsidRDefault="00EE5BB8" w:rsidP="00E9084D">
            <w:pPr>
              <w:pStyle w:val="TableCopy"/>
              <w:jc w:val="right"/>
            </w:pPr>
            <w:r w:rsidRPr="00C6052E">
              <w:t>157,144</w:t>
            </w:r>
          </w:p>
        </w:tc>
        <w:tc>
          <w:tcPr>
            <w:tcW w:w="1304" w:type="dxa"/>
            <w:noWrap/>
          </w:tcPr>
          <w:p w14:paraId="6E474AFD" w14:textId="77777777" w:rsidR="00EE5BB8" w:rsidRPr="00C6052E" w:rsidRDefault="00EE5BB8" w:rsidP="00E9084D">
            <w:pPr>
              <w:pStyle w:val="TableCopy"/>
              <w:jc w:val="right"/>
            </w:pPr>
            <w:r w:rsidRPr="00C6052E">
              <w:t>–</w:t>
            </w:r>
          </w:p>
        </w:tc>
        <w:tc>
          <w:tcPr>
            <w:tcW w:w="1304" w:type="dxa"/>
            <w:noWrap/>
          </w:tcPr>
          <w:p w14:paraId="4014B03D" w14:textId="77777777" w:rsidR="00EE5BB8" w:rsidRPr="00C6052E" w:rsidRDefault="00EE5BB8" w:rsidP="00E9084D">
            <w:pPr>
              <w:pStyle w:val="TableCopy"/>
              <w:jc w:val="right"/>
            </w:pPr>
            <w:r w:rsidRPr="00C6052E">
              <w:t>–</w:t>
            </w:r>
          </w:p>
        </w:tc>
        <w:tc>
          <w:tcPr>
            <w:tcW w:w="1304" w:type="dxa"/>
            <w:noWrap/>
          </w:tcPr>
          <w:p w14:paraId="74B9F663" w14:textId="77777777" w:rsidR="00EE5BB8" w:rsidRPr="00C6052E" w:rsidRDefault="00EE5BB8" w:rsidP="00E9084D">
            <w:pPr>
              <w:pStyle w:val="TableCopy"/>
              <w:jc w:val="right"/>
            </w:pPr>
            <w:r w:rsidRPr="00C6052E">
              <w:t>157,144</w:t>
            </w:r>
          </w:p>
        </w:tc>
      </w:tr>
      <w:tr w:rsidR="00EE5BB8" w:rsidRPr="00C6052E" w14:paraId="17E3CC4C" w14:textId="77777777" w:rsidTr="00E9084D">
        <w:tc>
          <w:tcPr>
            <w:tcW w:w="3402" w:type="dxa"/>
            <w:noWrap/>
          </w:tcPr>
          <w:p w14:paraId="1154BEC8" w14:textId="56689534" w:rsidR="00EE5BB8" w:rsidRPr="00C6052E" w:rsidRDefault="00EE5BB8" w:rsidP="0063097D">
            <w:pPr>
              <w:pStyle w:val="Tabletotal"/>
            </w:pPr>
            <w:r w:rsidRPr="00C6052E">
              <w:t>Total</w:t>
            </w:r>
            <w:r w:rsidR="00177848" w:rsidRPr="00C6052E">
              <w:t xml:space="preserve"> </w:t>
            </w:r>
            <w:r w:rsidRPr="00C6052E">
              <w:t>financial</w:t>
            </w:r>
            <w:r w:rsidR="00177848" w:rsidRPr="00C6052E">
              <w:t xml:space="preserve"> </w:t>
            </w:r>
            <w:r w:rsidRPr="00C6052E">
              <w:t>assets</w:t>
            </w:r>
          </w:p>
        </w:tc>
        <w:tc>
          <w:tcPr>
            <w:tcW w:w="1077" w:type="dxa"/>
          </w:tcPr>
          <w:p w14:paraId="7B27B80C" w14:textId="77777777" w:rsidR="00EE5BB8" w:rsidRPr="00C6052E" w:rsidRDefault="00EE5BB8" w:rsidP="00E9084D">
            <w:pPr>
              <w:pStyle w:val="Tabletotal"/>
              <w:jc w:val="right"/>
            </w:pPr>
          </w:p>
        </w:tc>
        <w:tc>
          <w:tcPr>
            <w:tcW w:w="1304" w:type="dxa"/>
            <w:noWrap/>
          </w:tcPr>
          <w:p w14:paraId="3DCCA9CF" w14:textId="77777777" w:rsidR="00EE5BB8" w:rsidRPr="00C6052E" w:rsidRDefault="00EE5BB8" w:rsidP="00E9084D">
            <w:pPr>
              <w:pStyle w:val="Tabletotal"/>
              <w:jc w:val="right"/>
            </w:pPr>
            <w:r w:rsidRPr="00C6052E">
              <w:t>428,455</w:t>
            </w:r>
          </w:p>
        </w:tc>
        <w:tc>
          <w:tcPr>
            <w:tcW w:w="1304" w:type="dxa"/>
            <w:noWrap/>
          </w:tcPr>
          <w:p w14:paraId="6F9B3101" w14:textId="77777777" w:rsidR="00EE5BB8" w:rsidRPr="00C6052E" w:rsidRDefault="00EE5BB8" w:rsidP="00E9084D">
            <w:pPr>
              <w:pStyle w:val="Tabletotal"/>
              <w:jc w:val="right"/>
            </w:pPr>
            <w:r w:rsidRPr="00C6052E">
              <w:t>–</w:t>
            </w:r>
          </w:p>
        </w:tc>
        <w:tc>
          <w:tcPr>
            <w:tcW w:w="1304" w:type="dxa"/>
            <w:noWrap/>
          </w:tcPr>
          <w:p w14:paraId="2FB3E628" w14:textId="77777777" w:rsidR="00EE5BB8" w:rsidRPr="00C6052E" w:rsidRDefault="00EE5BB8" w:rsidP="00E9084D">
            <w:pPr>
              <w:pStyle w:val="Tabletotal"/>
              <w:jc w:val="right"/>
            </w:pPr>
            <w:r w:rsidRPr="00C6052E">
              <w:t>256,765</w:t>
            </w:r>
          </w:p>
        </w:tc>
        <w:tc>
          <w:tcPr>
            <w:tcW w:w="1304" w:type="dxa"/>
            <w:noWrap/>
          </w:tcPr>
          <w:p w14:paraId="23914A80" w14:textId="77777777" w:rsidR="00EE5BB8" w:rsidRPr="00C6052E" w:rsidRDefault="00EE5BB8" w:rsidP="00E9084D">
            <w:pPr>
              <w:pStyle w:val="Tabletotal"/>
              <w:jc w:val="right"/>
            </w:pPr>
            <w:r w:rsidRPr="00C6052E">
              <w:t>171,690</w:t>
            </w:r>
          </w:p>
        </w:tc>
      </w:tr>
      <w:tr w:rsidR="00E9084D" w:rsidRPr="00C6052E" w14:paraId="5542D4A9" w14:textId="77777777" w:rsidTr="00E9084D">
        <w:tc>
          <w:tcPr>
            <w:tcW w:w="3402" w:type="dxa"/>
          </w:tcPr>
          <w:p w14:paraId="452F8848" w14:textId="77777777" w:rsidR="00B66698" w:rsidRPr="00C6052E" w:rsidRDefault="00B66698" w:rsidP="00C24A64">
            <w:pPr>
              <w:pStyle w:val="TableHeading"/>
            </w:pPr>
            <w:r w:rsidRPr="00C6052E">
              <w:lastRenderedPageBreak/>
              <w:t>Financial liabilities</w:t>
            </w:r>
          </w:p>
        </w:tc>
        <w:tc>
          <w:tcPr>
            <w:tcW w:w="1077" w:type="dxa"/>
            <w:noWrap/>
          </w:tcPr>
          <w:p w14:paraId="4B8BFB83" w14:textId="77777777" w:rsidR="00B66698" w:rsidRPr="00C6052E" w:rsidRDefault="00B66698" w:rsidP="00E9084D">
            <w:pPr>
              <w:pStyle w:val="TableHeading"/>
              <w:jc w:val="right"/>
            </w:pPr>
          </w:p>
        </w:tc>
        <w:tc>
          <w:tcPr>
            <w:tcW w:w="1304" w:type="dxa"/>
            <w:noWrap/>
          </w:tcPr>
          <w:p w14:paraId="543CA3C2" w14:textId="77777777" w:rsidR="00B66698" w:rsidRPr="00C6052E" w:rsidRDefault="00B66698" w:rsidP="00E9084D">
            <w:pPr>
              <w:pStyle w:val="TableHeading"/>
              <w:jc w:val="right"/>
            </w:pPr>
          </w:p>
        </w:tc>
        <w:tc>
          <w:tcPr>
            <w:tcW w:w="1304" w:type="dxa"/>
            <w:noWrap/>
          </w:tcPr>
          <w:p w14:paraId="35633B25" w14:textId="77777777" w:rsidR="00B66698" w:rsidRPr="00C6052E" w:rsidRDefault="00B66698" w:rsidP="00E9084D">
            <w:pPr>
              <w:pStyle w:val="TableHeading"/>
              <w:jc w:val="right"/>
            </w:pPr>
          </w:p>
        </w:tc>
        <w:tc>
          <w:tcPr>
            <w:tcW w:w="1304" w:type="dxa"/>
            <w:noWrap/>
          </w:tcPr>
          <w:p w14:paraId="3AE0C2F9" w14:textId="77777777" w:rsidR="00B66698" w:rsidRPr="00C6052E" w:rsidRDefault="00B66698" w:rsidP="00E9084D">
            <w:pPr>
              <w:pStyle w:val="TableHeading"/>
              <w:jc w:val="right"/>
            </w:pPr>
          </w:p>
        </w:tc>
        <w:tc>
          <w:tcPr>
            <w:tcW w:w="1304" w:type="dxa"/>
            <w:noWrap/>
          </w:tcPr>
          <w:p w14:paraId="5BA49DB3" w14:textId="77777777" w:rsidR="00B66698" w:rsidRPr="00C6052E" w:rsidRDefault="00B66698" w:rsidP="00E9084D">
            <w:pPr>
              <w:pStyle w:val="TableHeading"/>
              <w:jc w:val="right"/>
            </w:pPr>
          </w:p>
        </w:tc>
      </w:tr>
      <w:tr w:rsidR="00E9084D" w:rsidRPr="00C6052E" w14:paraId="6DB33A03" w14:textId="77777777" w:rsidTr="00E9084D">
        <w:tc>
          <w:tcPr>
            <w:tcW w:w="3402" w:type="dxa"/>
          </w:tcPr>
          <w:p w14:paraId="7FE5422A" w14:textId="77777777" w:rsidR="00B66698" w:rsidRPr="00C6052E" w:rsidRDefault="00B66698" w:rsidP="00C24A64">
            <w:pPr>
              <w:pStyle w:val="TableHeading"/>
            </w:pPr>
            <w:r w:rsidRPr="00C6052E">
              <w:t xml:space="preserve">Payables </w:t>
            </w:r>
            <w:r w:rsidRPr="00C6052E">
              <w:rPr>
                <w:vertAlign w:val="superscript"/>
              </w:rPr>
              <w:t>(i)</w:t>
            </w:r>
          </w:p>
        </w:tc>
        <w:tc>
          <w:tcPr>
            <w:tcW w:w="1077" w:type="dxa"/>
            <w:noWrap/>
          </w:tcPr>
          <w:p w14:paraId="19283F3E" w14:textId="77777777" w:rsidR="00B66698" w:rsidRPr="00C6052E" w:rsidRDefault="00B66698" w:rsidP="00E9084D">
            <w:pPr>
              <w:pStyle w:val="TableHeading"/>
              <w:jc w:val="right"/>
            </w:pPr>
          </w:p>
        </w:tc>
        <w:tc>
          <w:tcPr>
            <w:tcW w:w="1304" w:type="dxa"/>
            <w:noWrap/>
          </w:tcPr>
          <w:p w14:paraId="380EFC46" w14:textId="77777777" w:rsidR="00B66698" w:rsidRPr="00C6052E" w:rsidRDefault="00B66698" w:rsidP="00E9084D">
            <w:pPr>
              <w:pStyle w:val="TableHeading"/>
              <w:jc w:val="right"/>
            </w:pPr>
          </w:p>
        </w:tc>
        <w:tc>
          <w:tcPr>
            <w:tcW w:w="1304" w:type="dxa"/>
            <w:noWrap/>
          </w:tcPr>
          <w:p w14:paraId="31F0DF99" w14:textId="77777777" w:rsidR="00B66698" w:rsidRPr="00C6052E" w:rsidRDefault="00B66698" w:rsidP="00E9084D">
            <w:pPr>
              <w:pStyle w:val="TableHeading"/>
              <w:jc w:val="right"/>
            </w:pPr>
          </w:p>
        </w:tc>
        <w:tc>
          <w:tcPr>
            <w:tcW w:w="1304" w:type="dxa"/>
            <w:noWrap/>
          </w:tcPr>
          <w:p w14:paraId="00BEC614" w14:textId="77777777" w:rsidR="00B66698" w:rsidRPr="00C6052E" w:rsidRDefault="00B66698" w:rsidP="00E9084D">
            <w:pPr>
              <w:pStyle w:val="TableHeading"/>
              <w:jc w:val="right"/>
            </w:pPr>
          </w:p>
        </w:tc>
        <w:tc>
          <w:tcPr>
            <w:tcW w:w="1304" w:type="dxa"/>
            <w:noWrap/>
          </w:tcPr>
          <w:p w14:paraId="31C1AA69" w14:textId="77777777" w:rsidR="00B66698" w:rsidRPr="00C6052E" w:rsidRDefault="00B66698" w:rsidP="00E9084D">
            <w:pPr>
              <w:pStyle w:val="TableHeading"/>
              <w:jc w:val="right"/>
            </w:pPr>
          </w:p>
        </w:tc>
      </w:tr>
      <w:tr w:rsidR="00E9084D" w:rsidRPr="00C6052E" w14:paraId="3C0DE736" w14:textId="77777777" w:rsidTr="00E9084D">
        <w:tc>
          <w:tcPr>
            <w:tcW w:w="3402" w:type="dxa"/>
            <w:noWrap/>
          </w:tcPr>
          <w:p w14:paraId="5166FE37" w14:textId="0C3764AC" w:rsidR="00EE5BB8" w:rsidRPr="00C6052E" w:rsidRDefault="00EE5BB8" w:rsidP="00E9084D">
            <w:pPr>
              <w:pStyle w:val="TableCopy"/>
              <w:keepNext/>
            </w:pPr>
            <w:r w:rsidRPr="00C6052E">
              <w:t>Supplies</w:t>
            </w:r>
            <w:r w:rsidR="00177848" w:rsidRPr="00C6052E">
              <w:t xml:space="preserve"> </w:t>
            </w:r>
            <w:r w:rsidRPr="00C6052E">
              <w:t>and</w:t>
            </w:r>
            <w:r w:rsidR="00177848" w:rsidRPr="00C6052E">
              <w:t xml:space="preserve"> </w:t>
            </w:r>
            <w:r w:rsidRPr="00C6052E">
              <w:t>services</w:t>
            </w:r>
          </w:p>
        </w:tc>
        <w:tc>
          <w:tcPr>
            <w:tcW w:w="1077" w:type="dxa"/>
          </w:tcPr>
          <w:p w14:paraId="77335C8B" w14:textId="77777777" w:rsidR="00EE5BB8" w:rsidRPr="00E9084D" w:rsidRDefault="00EE5BB8" w:rsidP="00E9084D">
            <w:pPr>
              <w:pStyle w:val="TableCopy"/>
              <w:jc w:val="right"/>
            </w:pPr>
          </w:p>
        </w:tc>
        <w:tc>
          <w:tcPr>
            <w:tcW w:w="1304" w:type="dxa"/>
            <w:noWrap/>
          </w:tcPr>
          <w:p w14:paraId="0872352A" w14:textId="77777777" w:rsidR="00EE5BB8" w:rsidRPr="00C6052E" w:rsidRDefault="00EE5BB8" w:rsidP="00E9084D">
            <w:pPr>
              <w:pStyle w:val="TableCopy"/>
              <w:keepNext/>
              <w:jc w:val="right"/>
            </w:pPr>
            <w:r w:rsidRPr="00C6052E">
              <w:t>90,326</w:t>
            </w:r>
          </w:p>
        </w:tc>
        <w:tc>
          <w:tcPr>
            <w:tcW w:w="1304" w:type="dxa"/>
            <w:noWrap/>
          </w:tcPr>
          <w:p w14:paraId="206E38B1" w14:textId="77777777" w:rsidR="00EE5BB8" w:rsidRPr="00C6052E" w:rsidRDefault="00EE5BB8" w:rsidP="00E9084D">
            <w:pPr>
              <w:pStyle w:val="TableCopy"/>
              <w:keepNext/>
              <w:jc w:val="right"/>
            </w:pPr>
            <w:r w:rsidRPr="00C6052E">
              <w:t>–</w:t>
            </w:r>
          </w:p>
        </w:tc>
        <w:tc>
          <w:tcPr>
            <w:tcW w:w="1304" w:type="dxa"/>
            <w:noWrap/>
          </w:tcPr>
          <w:p w14:paraId="3F81AD20" w14:textId="77777777" w:rsidR="00EE5BB8" w:rsidRPr="00C6052E" w:rsidRDefault="00EE5BB8" w:rsidP="00E9084D">
            <w:pPr>
              <w:pStyle w:val="TableCopy"/>
              <w:keepNext/>
              <w:jc w:val="right"/>
            </w:pPr>
            <w:r w:rsidRPr="00C6052E">
              <w:t>–</w:t>
            </w:r>
          </w:p>
        </w:tc>
        <w:tc>
          <w:tcPr>
            <w:tcW w:w="1304" w:type="dxa"/>
            <w:noWrap/>
          </w:tcPr>
          <w:p w14:paraId="6CDB81C2" w14:textId="77777777" w:rsidR="00EE5BB8" w:rsidRPr="00C6052E" w:rsidRDefault="00EE5BB8" w:rsidP="00E9084D">
            <w:pPr>
              <w:pStyle w:val="TableCopy"/>
              <w:keepNext/>
              <w:jc w:val="right"/>
            </w:pPr>
            <w:r w:rsidRPr="00C6052E">
              <w:t>90,326</w:t>
            </w:r>
          </w:p>
        </w:tc>
      </w:tr>
      <w:tr w:rsidR="00EE5BB8" w:rsidRPr="00C6052E" w14:paraId="2DFDDBB7" w14:textId="77777777" w:rsidTr="00E9084D">
        <w:tc>
          <w:tcPr>
            <w:tcW w:w="3402" w:type="dxa"/>
            <w:noWrap/>
          </w:tcPr>
          <w:p w14:paraId="7C6BE6A5" w14:textId="3CA2389C" w:rsidR="00EE5BB8" w:rsidRPr="00C6052E" w:rsidRDefault="00EE5BB8" w:rsidP="0063097D">
            <w:pPr>
              <w:pStyle w:val="TableCopy"/>
            </w:pPr>
            <w:r w:rsidRPr="00C6052E">
              <w:t>Amounts</w:t>
            </w:r>
            <w:r w:rsidR="00177848" w:rsidRPr="00C6052E">
              <w:t xml:space="preserve"> </w:t>
            </w:r>
            <w:r w:rsidRPr="00C6052E">
              <w:t>payable</w:t>
            </w:r>
            <w:r w:rsidR="00177848" w:rsidRPr="00C6052E">
              <w:t xml:space="preserve"> </w:t>
            </w:r>
            <w:r w:rsidRPr="00C6052E">
              <w:t>to</w:t>
            </w:r>
            <w:r w:rsidR="00177848" w:rsidRPr="00C6052E">
              <w:t xml:space="preserve"> </w:t>
            </w:r>
            <w:r w:rsidRPr="00C6052E">
              <w:t>government</w:t>
            </w:r>
            <w:r w:rsidR="00177848" w:rsidRPr="00C6052E">
              <w:t xml:space="preserve"> </w:t>
            </w:r>
            <w:r w:rsidRPr="00C6052E">
              <w:t>and</w:t>
            </w:r>
            <w:r w:rsidR="00177848" w:rsidRPr="00C6052E">
              <w:t xml:space="preserve"> </w:t>
            </w:r>
            <w:r w:rsidRPr="00C6052E">
              <w:t>agencies</w:t>
            </w:r>
            <w:r w:rsidR="00177848" w:rsidRPr="00C6052E">
              <w:t xml:space="preserve"> </w:t>
            </w:r>
          </w:p>
        </w:tc>
        <w:tc>
          <w:tcPr>
            <w:tcW w:w="1077" w:type="dxa"/>
          </w:tcPr>
          <w:p w14:paraId="527C3496" w14:textId="77777777" w:rsidR="00EE5BB8" w:rsidRPr="00E9084D" w:rsidRDefault="00EE5BB8" w:rsidP="00E9084D">
            <w:pPr>
              <w:pStyle w:val="TableCopy"/>
              <w:jc w:val="right"/>
            </w:pPr>
          </w:p>
        </w:tc>
        <w:tc>
          <w:tcPr>
            <w:tcW w:w="1304" w:type="dxa"/>
            <w:noWrap/>
          </w:tcPr>
          <w:p w14:paraId="01FA4705" w14:textId="77777777" w:rsidR="00EE5BB8" w:rsidRPr="00C6052E" w:rsidRDefault="00EE5BB8" w:rsidP="00E9084D">
            <w:pPr>
              <w:pStyle w:val="TableCopy"/>
              <w:jc w:val="right"/>
            </w:pPr>
            <w:r w:rsidRPr="00C6052E">
              <w:t>103,043</w:t>
            </w:r>
          </w:p>
        </w:tc>
        <w:tc>
          <w:tcPr>
            <w:tcW w:w="1304" w:type="dxa"/>
            <w:noWrap/>
          </w:tcPr>
          <w:p w14:paraId="79834D33" w14:textId="77777777" w:rsidR="00EE5BB8" w:rsidRPr="00C6052E" w:rsidRDefault="00EE5BB8" w:rsidP="00E9084D">
            <w:pPr>
              <w:pStyle w:val="TableCopy"/>
              <w:jc w:val="right"/>
            </w:pPr>
            <w:r w:rsidRPr="00C6052E">
              <w:t>–</w:t>
            </w:r>
          </w:p>
        </w:tc>
        <w:tc>
          <w:tcPr>
            <w:tcW w:w="1304" w:type="dxa"/>
            <w:noWrap/>
          </w:tcPr>
          <w:p w14:paraId="3D359B2F" w14:textId="77777777" w:rsidR="00EE5BB8" w:rsidRPr="00C6052E" w:rsidRDefault="00EE5BB8" w:rsidP="00E9084D">
            <w:pPr>
              <w:pStyle w:val="TableCopy"/>
              <w:jc w:val="right"/>
            </w:pPr>
            <w:r w:rsidRPr="00C6052E">
              <w:t>–</w:t>
            </w:r>
          </w:p>
        </w:tc>
        <w:tc>
          <w:tcPr>
            <w:tcW w:w="1304" w:type="dxa"/>
            <w:noWrap/>
          </w:tcPr>
          <w:p w14:paraId="4C8F3C01" w14:textId="77777777" w:rsidR="00EE5BB8" w:rsidRPr="00C6052E" w:rsidRDefault="00EE5BB8" w:rsidP="00E9084D">
            <w:pPr>
              <w:pStyle w:val="TableCopy"/>
              <w:jc w:val="right"/>
            </w:pPr>
            <w:r w:rsidRPr="00C6052E">
              <w:t>103,043</w:t>
            </w:r>
          </w:p>
        </w:tc>
      </w:tr>
      <w:tr w:rsidR="00E9084D" w:rsidRPr="00C6052E" w14:paraId="08D1EDC9" w14:textId="77777777" w:rsidTr="00E9084D">
        <w:tc>
          <w:tcPr>
            <w:tcW w:w="3402" w:type="dxa"/>
          </w:tcPr>
          <w:p w14:paraId="4044B1E6" w14:textId="77777777" w:rsidR="00E9084D" w:rsidRPr="00C6052E" w:rsidRDefault="00E9084D" w:rsidP="007C70A2">
            <w:pPr>
              <w:pStyle w:val="TableHeading"/>
            </w:pPr>
            <w:r w:rsidRPr="00C6052E">
              <w:t>Borrowings</w:t>
            </w:r>
          </w:p>
        </w:tc>
        <w:tc>
          <w:tcPr>
            <w:tcW w:w="1077" w:type="dxa"/>
            <w:noWrap/>
          </w:tcPr>
          <w:p w14:paraId="26698EF6" w14:textId="77777777" w:rsidR="00E9084D" w:rsidRPr="00C6052E" w:rsidRDefault="00E9084D" w:rsidP="00E9084D">
            <w:pPr>
              <w:pStyle w:val="TableHeading"/>
              <w:jc w:val="right"/>
            </w:pPr>
          </w:p>
        </w:tc>
        <w:tc>
          <w:tcPr>
            <w:tcW w:w="1304" w:type="dxa"/>
            <w:noWrap/>
          </w:tcPr>
          <w:p w14:paraId="3A9E3501" w14:textId="77777777" w:rsidR="00E9084D" w:rsidRPr="00C6052E" w:rsidRDefault="00E9084D" w:rsidP="00E9084D">
            <w:pPr>
              <w:pStyle w:val="TableHeading"/>
              <w:jc w:val="right"/>
            </w:pPr>
          </w:p>
        </w:tc>
        <w:tc>
          <w:tcPr>
            <w:tcW w:w="1304" w:type="dxa"/>
            <w:noWrap/>
          </w:tcPr>
          <w:p w14:paraId="626445B2" w14:textId="77777777" w:rsidR="00E9084D" w:rsidRPr="00C6052E" w:rsidRDefault="00E9084D" w:rsidP="00E9084D">
            <w:pPr>
              <w:pStyle w:val="TableHeading"/>
              <w:jc w:val="right"/>
            </w:pPr>
          </w:p>
        </w:tc>
        <w:tc>
          <w:tcPr>
            <w:tcW w:w="1304" w:type="dxa"/>
            <w:noWrap/>
          </w:tcPr>
          <w:p w14:paraId="3BD2B1CE" w14:textId="77777777" w:rsidR="00E9084D" w:rsidRPr="00C6052E" w:rsidRDefault="00E9084D" w:rsidP="00E9084D">
            <w:pPr>
              <w:pStyle w:val="TableHeading"/>
              <w:jc w:val="right"/>
            </w:pPr>
          </w:p>
        </w:tc>
        <w:tc>
          <w:tcPr>
            <w:tcW w:w="1304" w:type="dxa"/>
            <w:noWrap/>
          </w:tcPr>
          <w:p w14:paraId="1CFBF425" w14:textId="77777777" w:rsidR="00E9084D" w:rsidRPr="00C6052E" w:rsidRDefault="00E9084D" w:rsidP="00E9084D">
            <w:pPr>
              <w:pStyle w:val="TableHeading"/>
              <w:jc w:val="right"/>
            </w:pPr>
          </w:p>
        </w:tc>
      </w:tr>
      <w:tr w:rsidR="00EE5BB8" w:rsidRPr="00C6052E" w14:paraId="6184CF29" w14:textId="77777777" w:rsidTr="00E9084D">
        <w:tc>
          <w:tcPr>
            <w:tcW w:w="3402" w:type="dxa"/>
            <w:noWrap/>
          </w:tcPr>
          <w:p w14:paraId="6D3BB296" w14:textId="1A64A4D3" w:rsidR="00EE5BB8" w:rsidRPr="00C6052E" w:rsidRDefault="00EE5BB8" w:rsidP="0063097D">
            <w:pPr>
              <w:pStyle w:val="TableCopy"/>
            </w:pPr>
            <w:r w:rsidRPr="00C6052E">
              <w:t>Lease</w:t>
            </w:r>
            <w:r w:rsidR="00177848" w:rsidRPr="00C6052E">
              <w:t xml:space="preserve"> </w:t>
            </w:r>
            <w:r w:rsidRPr="00C6052E">
              <w:t>liabilities</w:t>
            </w:r>
            <w:r w:rsidR="00177848" w:rsidRPr="00C6052E">
              <w:t xml:space="preserve"> </w:t>
            </w:r>
          </w:p>
        </w:tc>
        <w:tc>
          <w:tcPr>
            <w:tcW w:w="1077" w:type="dxa"/>
          </w:tcPr>
          <w:p w14:paraId="263F1689" w14:textId="77777777" w:rsidR="00EE5BB8" w:rsidRPr="00C6052E" w:rsidRDefault="00EE5BB8" w:rsidP="00E9084D">
            <w:pPr>
              <w:pStyle w:val="TableCopy"/>
              <w:jc w:val="right"/>
            </w:pPr>
            <w:r w:rsidRPr="00C6052E">
              <w:t>1.98%</w:t>
            </w:r>
          </w:p>
        </w:tc>
        <w:tc>
          <w:tcPr>
            <w:tcW w:w="1304" w:type="dxa"/>
            <w:noWrap/>
          </w:tcPr>
          <w:p w14:paraId="5D504AED" w14:textId="77777777" w:rsidR="00EE5BB8" w:rsidRPr="00C6052E" w:rsidRDefault="00EE5BB8" w:rsidP="00E9084D">
            <w:pPr>
              <w:pStyle w:val="TableCopy"/>
              <w:jc w:val="right"/>
            </w:pPr>
            <w:r w:rsidRPr="00C6052E">
              <w:t>12,890</w:t>
            </w:r>
          </w:p>
        </w:tc>
        <w:tc>
          <w:tcPr>
            <w:tcW w:w="1304" w:type="dxa"/>
            <w:noWrap/>
          </w:tcPr>
          <w:p w14:paraId="6C575909" w14:textId="77777777" w:rsidR="00EE5BB8" w:rsidRPr="00C6052E" w:rsidRDefault="00EE5BB8" w:rsidP="00E9084D">
            <w:pPr>
              <w:pStyle w:val="TableCopy"/>
              <w:jc w:val="right"/>
            </w:pPr>
            <w:r w:rsidRPr="00C6052E">
              <w:t>12,890</w:t>
            </w:r>
          </w:p>
        </w:tc>
        <w:tc>
          <w:tcPr>
            <w:tcW w:w="1304" w:type="dxa"/>
            <w:noWrap/>
          </w:tcPr>
          <w:p w14:paraId="6DFFA088" w14:textId="77777777" w:rsidR="00EE5BB8" w:rsidRPr="00C6052E" w:rsidRDefault="00EE5BB8" w:rsidP="00E9084D">
            <w:pPr>
              <w:pStyle w:val="TableCopy"/>
              <w:jc w:val="right"/>
            </w:pPr>
            <w:r w:rsidRPr="00C6052E">
              <w:t>–</w:t>
            </w:r>
          </w:p>
        </w:tc>
        <w:tc>
          <w:tcPr>
            <w:tcW w:w="1304" w:type="dxa"/>
            <w:noWrap/>
          </w:tcPr>
          <w:p w14:paraId="02BE81C3" w14:textId="77777777" w:rsidR="00EE5BB8" w:rsidRPr="00C6052E" w:rsidRDefault="00EE5BB8" w:rsidP="00E9084D">
            <w:pPr>
              <w:pStyle w:val="TableCopy"/>
              <w:jc w:val="right"/>
            </w:pPr>
            <w:r w:rsidRPr="00C6052E">
              <w:t>–</w:t>
            </w:r>
          </w:p>
        </w:tc>
      </w:tr>
      <w:tr w:rsidR="00EE5BB8" w:rsidRPr="00C6052E" w14:paraId="26DD9C55" w14:textId="77777777" w:rsidTr="00E9084D">
        <w:tc>
          <w:tcPr>
            <w:tcW w:w="3402" w:type="dxa"/>
            <w:noWrap/>
          </w:tcPr>
          <w:p w14:paraId="3F0C3003" w14:textId="36252862" w:rsidR="00EE5BB8" w:rsidRPr="00C6052E" w:rsidRDefault="00EE5BB8" w:rsidP="0063097D">
            <w:pPr>
              <w:pStyle w:val="TableCopy"/>
            </w:pPr>
            <w:r w:rsidRPr="00C6052E">
              <w:t>Advances</w:t>
            </w:r>
            <w:r w:rsidR="00177848" w:rsidRPr="00C6052E">
              <w:t xml:space="preserve"> </w:t>
            </w:r>
            <w:r w:rsidRPr="00C6052E">
              <w:t>from</w:t>
            </w:r>
            <w:r w:rsidR="00177848" w:rsidRPr="00C6052E">
              <w:t xml:space="preserve"> </w:t>
            </w:r>
            <w:r w:rsidRPr="00C6052E">
              <w:t>government</w:t>
            </w:r>
          </w:p>
        </w:tc>
        <w:tc>
          <w:tcPr>
            <w:tcW w:w="1077" w:type="dxa"/>
          </w:tcPr>
          <w:p w14:paraId="519AC4F2" w14:textId="77777777" w:rsidR="00EE5BB8" w:rsidRPr="00C6052E" w:rsidRDefault="00EE5BB8" w:rsidP="00E9084D">
            <w:pPr>
              <w:pStyle w:val="TableCopy"/>
              <w:jc w:val="right"/>
            </w:pPr>
          </w:p>
        </w:tc>
        <w:tc>
          <w:tcPr>
            <w:tcW w:w="1304" w:type="dxa"/>
            <w:noWrap/>
          </w:tcPr>
          <w:p w14:paraId="39825A4C" w14:textId="77777777" w:rsidR="00EE5BB8" w:rsidRPr="00C6052E" w:rsidRDefault="00EE5BB8" w:rsidP="00E9084D">
            <w:pPr>
              <w:pStyle w:val="TableCopy"/>
              <w:jc w:val="right"/>
            </w:pPr>
            <w:r w:rsidRPr="00C6052E">
              <w:t>43,524</w:t>
            </w:r>
          </w:p>
        </w:tc>
        <w:tc>
          <w:tcPr>
            <w:tcW w:w="1304" w:type="dxa"/>
            <w:noWrap/>
          </w:tcPr>
          <w:p w14:paraId="58CEDC0A" w14:textId="77777777" w:rsidR="00EE5BB8" w:rsidRPr="00C6052E" w:rsidRDefault="00EE5BB8" w:rsidP="00E9084D">
            <w:pPr>
              <w:pStyle w:val="TableCopy"/>
              <w:jc w:val="right"/>
            </w:pPr>
            <w:r w:rsidRPr="00C6052E">
              <w:t>–</w:t>
            </w:r>
          </w:p>
        </w:tc>
        <w:tc>
          <w:tcPr>
            <w:tcW w:w="1304" w:type="dxa"/>
            <w:noWrap/>
          </w:tcPr>
          <w:p w14:paraId="12DC61F3" w14:textId="77777777" w:rsidR="00EE5BB8" w:rsidRPr="00C6052E" w:rsidRDefault="00EE5BB8" w:rsidP="00E9084D">
            <w:pPr>
              <w:pStyle w:val="TableCopy"/>
              <w:jc w:val="right"/>
            </w:pPr>
            <w:r w:rsidRPr="00C6052E">
              <w:t>–</w:t>
            </w:r>
          </w:p>
        </w:tc>
        <w:tc>
          <w:tcPr>
            <w:tcW w:w="1304" w:type="dxa"/>
            <w:noWrap/>
          </w:tcPr>
          <w:p w14:paraId="2BA6537D" w14:textId="77777777" w:rsidR="00EE5BB8" w:rsidRPr="00C6052E" w:rsidRDefault="00EE5BB8" w:rsidP="00E9084D">
            <w:pPr>
              <w:pStyle w:val="TableCopy"/>
              <w:jc w:val="right"/>
            </w:pPr>
            <w:r w:rsidRPr="00C6052E">
              <w:t>43,524</w:t>
            </w:r>
          </w:p>
        </w:tc>
      </w:tr>
      <w:tr w:rsidR="00EE5BB8" w:rsidRPr="00C6052E" w14:paraId="5D69074E" w14:textId="77777777" w:rsidTr="00E9084D">
        <w:tc>
          <w:tcPr>
            <w:tcW w:w="3402" w:type="dxa"/>
            <w:noWrap/>
          </w:tcPr>
          <w:p w14:paraId="1EC32C04" w14:textId="6C6F9794" w:rsidR="00EE5BB8" w:rsidRPr="00C6052E" w:rsidRDefault="00EE5BB8" w:rsidP="0063097D">
            <w:pPr>
              <w:pStyle w:val="Tabletotal"/>
            </w:pPr>
            <w:r w:rsidRPr="00C6052E">
              <w:t>Total</w:t>
            </w:r>
            <w:r w:rsidR="00177848" w:rsidRPr="00C6052E">
              <w:t xml:space="preserve"> </w:t>
            </w:r>
            <w:r w:rsidRPr="00C6052E">
              <w:t>financial</w:t>
            </w:r>
            <w:r w:rsidR="00177848" w:rsidRPr="00C6052E">
              <w:t xml:space="preserve"> </w:t>
            </w:r>
            <w:r w:rsidRPr="00C6052E">
              <w:t>liabilities</w:t>
            </w:r>
          </w:p>
        </w:tc>
        <w:tc>
          <w:tcPr>
            <w:tcW w:w="1077" w:type="dxa"/>
          </w:tcPr>
          <w:p w14:paraId="407C65B4" w14:textId="77777777" w:rsidR="00EE5BB8" w:rsidRPr="00C6052E" w:rsidRDefault="00EE5BB8" w:rsidP="00E9084D">
            <w:pPr>
              <w:pStyle w:val="Tabletotal"/>
              <w:jc w:val="right"/>
              <w:rPr>
                <w:rFonts w:cs="Cambria"/>
              </w:rPr>
            </w:pPr>
          </w:p>
        </w:tc>
        <w:tc>
          <w:tcPr>
            <w:tcW w:w="1304" w:type="dxa"/>
            <w:noWrap/>
          </w:tcPr>
          <w:p w14:paraId="7F567278" w14:textId="77777777" w:rsidR="00EE5BB8" w:rsidRPr="00C6052E" w:rsidRDefault="00EE5BB8" w:rsidP="00E9084D">
            <w:pPr>
              <w:pStyle w:val="Tabletotal"/>
              <w:jc w:val="right"/>
            </w:pPr>
            <w:r w:rsidRPr="00C6052E">
              <w:t>249,783</w:t>
            </w:r>
          </w:p>
        </w:tc>
        <w:tc>
          <w:tcPr>
            <w:tcW w:w="1304" w:type="dxa"/>
            <w:noWrap/>
          </w:tcPr>
          <w:p w14:paraId="32725BC2" w14:textId="77777777" w:rsidR="00EE5BB8" w:rsidRPr="00C6052E" w:rsidRDefault="00EE5BB8" w:rsidP="00E9084D">
            <w:pPr>
              <w:pStyle w:val="Tabletotal"/>
              <w:jc w:val="right"/>
            </w:pPr>
            <w:r w:rsidRPr="00C6052E">
              <w:t>12,890</w:t>
            </w:r>
          </w:p>
        </w:tc>
        <w:tc>
          <w:tcPr>
            <w:tcW w:w="1304" w:type="dxa"/>
            <w:noWrap/>
          </w:tcPr>
          <w:p w14:paraId="6836E62F" w14:textId="77777777" w:rsidR="00EE5BB8" w:rsidRPr="00C6052E" w:rsidRDefault="00EE5BB8" w:rsidP="00E9084D">
            <w:pPr>
              <w:pStyle w:val="Tabletotal"/>
              <w:jc w:val="right"/>
            </w:pPr>
            <w:r w:rsidRPr="00C6052E">
              <w:t>–</w:t>
            </w:r>
          </w:p>
        </w:tc>
        <w:tc>
          <w:tcPr>
            <w:tcW w:w="1304" w:type="dxa"/>
            <w:noWrap/>
          </w:tcPr>
          <w:p w14:paraId="1D298892" w14:textId="77777777" w:rsidR="00EE5BB8" w:rsidRPr="00C6052E" w:rsidRDefault="00EE5BB8" w:rsidP="00E9084D">
            <w:pPr>
              <w:pStyle w:val="Tabletotal"/>
              <w:jc w:val="right"/>
            </w:pPr>
            <w:r w:rsidRPr="00C6052E">
              <w:t>236,893</w:t>
            </w:r>
          </w:p>
        </w:tc>
      </w:tr>
    </w:tbl>
    <w:p w14:paraId="214A1301" w14:textId="120FCBA2" w:rsidR="00EE5BB8" w:rsidRPr="00C6052E" w:rsidRDefault="00EE5BB8" w:rsidP="00C6052E">
      <w:pPr>
        <w:pStyle w:val="Tablenotes-numbered"/>
        <w:numPr>
          <w:ilvl w:val="0"/>
          <w:numId w:val="33"/>
        </w:numPr>
        <w:spacing w:after="240"/>
      </w:pPr>
      <w:r w:rsidRPr="00C6052E">
        <w:t>The</w:t>
      </w:r>
      <w:r w:rsidR="00177848" w:rsidRPr="00C6052E">
        <w:t xml:space="preserve"> </w:t>
      </w:r>
      <w:r w:rsidRPr="00C6052E">
        <w:t>carrying</w:t>
      </w:r>
      <w:r w:rsidR="00177848" w:rsidRPr="00C6052E">
        <w:t xml:space="preserve"> </w:t>
      </w:r>
      <w:r w:rsidRPr="00C6052E">
        <w:t>amounts</w:t>
      </w:r>
      <w:r w:rsidR="00177848" w:rsidRPr="00C6052E">
        <w:t xml:space="preserve"> </w:t>
      </w:r>
      <w:r w:rsidRPr="00C6052E">
        <w:t>disclosed</w:t>
      </w:r>
      <w:r w:rsidR="00177848" w:rsidRPr="00C6052E">
        <w:t xml:space="preserve"> </w:t>
      </w:r>
      <w:r w:rsidRPr="00C6052E">
        <w:t>exclude</w:t>
      </w:r>
      <w:r w:rsidR="00177848" w:rsidRPr="00C6052E">
        <w:t xml:space="preserve"> </w:t>
      </w:r>
      <w:r w:rsidRPr="00C6052E">
        <w:t>statutory</w:t>
      </w:r>
      <w:r w:rsidR="00177848" w:rsidRPr="00C6052E">
        <w:t xml:space="preserve"> </w:t>
      </w:r>
      <w:r w:rsidRPr="00C6052E">
        <w:t>receivables</w:t>
      </w:r>
      <w:r w:rsidR="00177848" w:rsidRPr="00C6052E">
        <w:t xml:space="preserve"> </w:t>
      </w:r>
      <w:r w:rsidRPr="00C6052E">
        <w:t>and</w:t>
      </w:r>
      <w:r w:rsidR="00177848" w:rsidRPr="00C6052E">
        <w:t xml:space="preserve"> </w:t>
      </w:r>
      <w:r w:rsidRPr="00C6052E">
        <w:t>payables</w:t>
      </w:r>
      <w:r w:rsidR="00177848" w:rsidRPr="00C6052E">
        <w:t xml:space="preserve"> </w:t>
      </w:r>
      <w:r w:rsidRPr="00C6052E">
        <w:t>(e.g.</w:t>
      </w:r>
      <w:r w:rsidR="00177848" w:rsidRPr="00C6052E">
        <w:t xml:space="preserve"> </w:t>
      </w:r>
      <w:r w:rsidRPr="00C6052E">
        <w:t>amounts</w:t>
      </w:r>
      <w:r w:rsidR="00177848" w:rsidRPr="00C6052E">
        <w:t xml:space="preserve"> </w:t>
      </w:r>
      <w:r w:rsidRPr="00C6052E">
        <w:t>owing</w:t>
      </w:r>
      <w:r w:rsidR="00177848" w:rsidRPr="00C6052E">
        <w:t xml:space="preserve"> </w:t>
      </w:r>
      <w:r w:rsidRPr="00C6052E">
        <w:t>from</w:t>
      </w:r>
      <w:r w:rsidR="00177848" w:rsidRPr="00C6052E">
        <w:t xml:space="preserve"> </w:t>
      </w:r>
      <w:r w:rsidRPr="00C6052E">
        <w:t>Victorian</w:t>
      </w:r>
      <w:r w:rsidR="00177848" w:rsidRPr="00C6052E">
        <w:t xml:space="preserve"> </w:t>
      </w:r>
      <w:r w:rsidRPr="00C6052E">
        <w:t>Government,</w:t>
      </w:r>
      <w:r w:rsidR="00177848" w:rsidRPr="00C6052E">
        <w:t xml:space="preserve"> </w:t>
      </w:r>
      <w:r w:rsidRPr="00C6052E">
        <w:t>GST</w:t>
      </w:r>
      <w:r w:rsidR="00177848" w:rsidRPr="00C6052E">
        <w:t xml:space="preserve"> </w:t>
      </w:r>
      <w:r w:rsidRPr="00C6052E">
        <w:t>recoverable</w:t>
      </w:r>
      <w:r w:rsidR="00177848" w:rsidRPr="00C6052E">
        <w:t xml:space="preserve"> </w:t>
      </w:r>
      <w:r w:rsidRPr="00C6052E">
        <w:t>and</w:t>
      </w:r>
      <w:r w:rsidR="00177848" w:rsidRPr="00C6052E">
        <w:t xml:space="preserve"> </w:t>
      </w:r>
      <w:r w:rsidRPr="00C6052E">
        <w:t>GST</w:t>
      </w:r>
      <w:r w:rsidR="00177848" w:rsidRPr="00C6052E">
        <w:t xml:space="preserve"> </w:t>
      </w:r>
      <w:r w:rsidRPr="00C6052E">
        <w:t>payable).</w:t>
      </w:r>
    </w:p>
    <w:p w14:paraId="0D9CB79A" w14:textId="061EA178" w:rsidR="00EE5BB8" w:rsidRPr="00C6052E" w:rsidRDefault="00EE5BB8" w:rsidP="00EE5BB8">
      <w:pPr>
        <w:pStyle w:val="Heading4"/>
      </w:pPr>
      <w:r w:rsidRPr="00C6052E">
        <w:t>Sensitivity</w:t>
      </w:r>
      <w:r w:rsidR="00177848" w:rsidRPr="00C6052E">
        <w:t xml:space="preserve"> </w:t>
      </w:r>
      <w:r w:rsidRPr="00C6052E">
        <w:t>analysis</w:t>
      </w:r>
      <w:r w:rsidR="00177848" w:rsidRPr="00C6052E">
        <w:t xml:space="preserve"> </w:t>
      </w:r>
      <w:r w:rsidRPr="00C6052E">
        <w:t>disclosure</w:t>
      </w:r>
    </w:p>
    <w:p w14:paraId="503C4DBC" w14:textId="43392909" w:rsidR="00EE5BB8" w:rsidRPr="00C6052E" w:rsidRDefault="00EE5BB8" w:rsidP="00EE5BB8">
      <w:r w:rsidRPr="00C6052E">
        <w:t>DJSIR’s</w:t>
      </w:r>
      <w:r w:rsidR="00177848" w:rsidRPr="00C6052E">
        <w:t xml:space="preserve"> </w:t>
      </w:r>
      <w:r w:rsidRPr="00C6052E">
        <w:t>sensitivity</w:t>
      </w:r>
      <w:r w:rsidR="00177848" w:rsidRPr="00C6052E">
        <w:t xml:space="preserve"> </w:t>
      </w:r>
      <w:r w:rsidRPr="00C6052E">
        <w:t>to</w:t>
      </w:r>
      <w:r w:rsidR="00177848" w:rsidRPr="00C6052E">
        <w:t xml:space="preserve"> </w:t>
      </w:r>
      <w:r w:rsidRPr="00C6052E">
        <w:t>market</w:t>
      </w:r>
      <w:r w:rsidR="00177848" w:rsidRPr="00C6052E">
        <w:t xml:space="preserve"> </w:t>
      </w:r>
      <w:r w:rsidRPr="00C6052E">
        <w:t>risk</w:t>
      </w:r>
      <w:r w:rsidR="00177848" w:rsidRPr="00C6052E">
        <w:t xml:space="preserve"> </w:t>
      </w:r>
      <w:r w:rsidRPr="00C6052E">
        <w:t>is</w:t>
      </w:r>
      <w:r w:rsidR="00177848" w:rsidRPr="00C6052E">
        <w:t xml:space="preserve"> </w:t>
      </w:r>
      <w:r w:rsidRPr="00C6052E">
        <w:t>determined</w:t>
      </w:r>
      <w:r w:rsidR="00177848" w:rsidRPr="00C6052E">
        <w:t xml:space="preserve"> </w:t>
      </w:r>
      <w:r w:rsidRPr="00C6052E">
        <w:t>based</w:t>
      </w:r>
      <w:r w:rsidR="00177848" w:rsidRPr="00C6052E">
        <w:t xml:space="preserve"> </w:t>
      </w:r>
      <w:r w:rsidRPr="00C6052E">
        <w:t>on</w:t>
      </w:r>
      <w:r w:rsidR="00177848" w:rsidRPr="00C6052E">
        <w:t xml:space="preserve"> </w:t>
      </w:r>
      <w:r w:rsidRPr="00C6052E">
        <w:t>the</w:t>
      </w:r>
      <w:r w:rsidR="00177848" w:rsidRPr="00C6052E">
        <w:t xml:space="preserve"> </w:t>
      </w:r>
      <w:r w:rsidRPr="00C6052E">
        <w:t>observed</w:t>
      </w:r>
      <w:r w:rsidR="00177848" w:rsidRPr="00C6052E">
        <w:t xml:space="preserve"> </w:t>
      </w:r>
      <w:r w:rsidRPr="00C6052E">
        <w:t>range</w:t>
      </w:r>
      <w:r w:rsidR="00177848" w:rsidRPr="00C6052E">
        <w:t xml:space="preserve"> </w:t>
      </w:r>
      <w:r w:rsidRPr="00C6052E">
        <w:t>of</w:t>
      </w:r>
      <w:r w:rsidR="00177848" w:rsidRPr="00C6052E">
        <w:t xml:space="preserve"> </w:t>
      </w:r>
      <w:r w:rsidRPr="00C6052E">
        <w:t>actual</w:t>
      </w:r>
      <w:r w:rsidR="00177848" w:rsidRPr="00C6052E">
        <w:t xml:space="preserve"> </w:t>
      </w:r>
      <w:r w:rsidRPr="00C6052E">
        <w:t>historical</w:t>
      </w:r>
      <w:r w:rsidR="00177848" w:rsidRPr="00C6052E">
        <w:t xml:space="preserve"> </w:t>
      </w:r>
      <w:r w:rsidRPr="00C6052E">
        <w:t>data</w:t>
      </w:r>
      <w:r w:rsidR="00177848" w:rsidRPr="00C6052E">
        <w:t xml:space="preserve"> </w:t>
      </w:r>
      <w:r w:rsidRPr="00C6052E">
        <w:t>for</w:t>
      </w:r>
      <w:r w:rsidR="00177848" w:rsidRPr="00C6052E">
        <w:t xml:space="preserve"> </w:t>
      </w:r>
      <w:r w:rsidRPr="00C6052E">
        <w:t>the</w:t>
      </w:r>
      <w:r w:rsidR="00177848" w:rsidRPr="00C6052E">
        <w:t xml:space="preserve"> </w:t>
      </w:r>
      <w:r w:rsidRPr="00C6052E">
        <w:t>preceding</w:t>
      </w:r>
      <w:r w:rsidR="00177848" w:rsidRPr="00C6052E">
        <w:t xml:space="preserve"> </w:t>
      </w:r>
      <w:r w:rsidRPr="00C6052E">
        <w:t>5–year</w:t>
      </w:r>
      <w:r w:rsidR="00177848" w:rsidRPr="00C6052E">
        <w:t xml:space="preserve"> </w:t>
      </w:r>
      <w:r w:rsidRPr="00C6052E">
        <w:t>period.</w:t>
      </w:r>
      <w:r w:rsidR="00177848" w:rsidRPr="00C6052E">
        <w:t xml:space="preserve"> </w:t>
      </w:r>
      <w:r w:rsidRPr="00C6052E">
        <w:t>The</w:t>
      </w:r>
      <w:r w:rsidR="00177848" w:rsidRPr="00C6052E">
        <w:t xml:space="preserve"> </w:t>
      </w:r>
      <w:r w:rsidRPr="00C6052E">
        <w:t>following</w:t>
      </w:r>
      <w:r w:rsidR="00177848" w:rsidRPr="00C6052E">
        <w:t xml:space="preserve"> </w:t>
      </w:r>
      <w:r w:rsidRPr="00C6052E">
        <w:t>movements</w:t>
      </w:r>
      <w:r w:rsidR="00177848" w:rsidRPr="00C6052E">
        <w:t xml:space="preserve"> </w:t>
      </w:r>
      <w:r w:rsidRPr="00C6052E">
        <w:t>are</w:t>
      </w:r>
      <w:r w:rsidR="00177848" w:rsidRPr="00C6052E">
        <w:t xml:space="preserve"> </w:t>
      </w:r>
      <w:r w:rsidRPr="00C6052E">
        <w:t>“reasonably</w:t>
      </w:r>
      <w:r w:rsidR="00177848" w:rsidRPr="00C6052E">
        <w:t xml:space="preserve"> </w:t>
      </w:r>
      <w:r w:rsidRPr="00C6052E">
        <w:t>possible”</w:t>
      </w:r>
      <w:r w:rsidR="00177848" w:rsidRPr="00C6052E">
        <w:t xml:space="preserve"> </w:t>
      </w:r>
      <w:r w:rsidRPr="00C6052E">
        <w:t>over</w:t>
      </w:r>
      <w:r w:rsidR="00177848" w:rsidRPr="00C6052E">
        <w:t xml:space="preserve"> </w:t>
      </w:r>
      <w:r w:rsidRPr="00C6052E">
        <w:t>the</w:t>
      </w:r>
      <w:r w:rsidR="00177848" w:rsidRPr="00C6052E">
        <w:t xml:space="preserve"> </w:t>
      </w:r>
      <w:r w:rsidRPr="00C6052E">
        <w:t>next</w:t>
      </w:r>
      <w:r w:rsidR="00177848" w:rsidRPr="00C6052E">
        <w:t xml:space="preserve"> </w:t>
      </w:r>
      <w:r w:rsidRPr="00C6052E">
        <w:t>12</w:t>
      </w:r>
      <w:r w:rsidR="00177848" w:rsidRPr="00C6052E">
        <w:t xml:space="preserve"> </w:t>
      </w:r>
      <w:r w:rsidRPr="00C6052E">
        <w:t>months.</w:t>
      </w:r>
    </w:p>
    <w:p w14:paraId="347F0761" w14:textId="616BAFE8" w:rsidR="00EE5BB8" w:rsidRPr="00C6052E" w:rsidRDefault="00EE5BB8" w:rsidP="00EE5BB8">
      <w:r w:rsidRPr="00C6052E">
        <w:t>A</w:t>
      </w:r>
      <w:r w:rsidR="00177848" w:rsidRPr="00C6052E">
        <w:t xml:space="preserve"> </w:t>
      </w:r>
      <w:r w:rsidRPr="00C6052E">
        <w:t>shift</w:t>
      </w:r>
      <w:r w:rsidR="00177848" w:rsidRPr="00C6052E">
        <w:t xml:space="preserve"> </w:t>
      </w:r>
      <w:r w:rsidRPr="00C6052E">
        <w:t>of</w:t>
      </w:r>
      <w:r w:rsidR="00177848" w:rsidRPr="00C6052E">
        <w:t xml:space="preserve"> </w:t>
      </w:r>
      <w:r w:rsidRPr="00C6052E">
        <w:t>+100</w:t>
      </w:r>
      <w:r w:rsidR="00177848" w:rsidRPr="00C6052E">
        <w:t xml:space="preserve"> </w:t>
      </w:r>
      <w:r w:rsidRPr="00C6052E">
        <w:t>basis</w:t>
      </w:r>
      <w:r w:rsidR="00177848" w:rsidRPr="00C6052E">
        <w:t xml:space="preserve"> </w:t>
      </w:r>
      <w:r w:rsidRPr="00C6052E">
        <w:t>points</w:t>
      </w:r>
      <w:r w:rsidR="00177848" w:rsidRPr="00C6052E">
        <w:t xml:space="preserve"> </w:t>
      </w:r>
      <w:r w:rsidRPr="00C6052E">
        <w:t>(1%)</w:t>
      </w:r>
      <w:r w:rsidR="00177848" w:rsidRPr="00C6052E">
        <w:t xml:space="preserve"> </w:t>
      </w:r>
      <w:r w:rsidRPr="00C6052E">
        <w:t>per</w:t>
      </w:r>
      <w:r w:rsidR="00177848" w:rsidRPr="00C6052E">
        <w:t xml:space="preserve"> </w:t>
      </w:r>
      <w:r w:rsidRPr="00C6052E">
        <w:t>cent</w:t>
      </w:r>
      <w:r w:rsidR="00177848" w:rsidRPr="00C6052E">
        <w:t xml:space="preserve"> </w:t>
      </w:r>
      <w:r w:rsidRPr="00C6052E">
        <w:t>and</w:t>
      </w:r>
      <w:r w:rsidR="00177848" w:rsidRPr="00C6052E">
        <w:t xml:space="preserve"> </w:t>
      </w:r>
      <w:r w:rsidRPr="00C6052E">
        <w:t>–</w:t>
      </w:r>
      <w:r w:rsidR="00177848" w:rsidRPr="00C6052E">
        <w:t xml:space="preserve"> </w:t>
      </w:r>
      <w:r w:rsidRPr="00C6052E">
        <w:t>100</w:t>
      </w:r>
      <w:r w:rsidR="00177848" w:rsidRPr="00C6052E">
        <w:t xml:space="preserve"> </w:t>
      </w:r>
      <w:r w:rsidRPr="00C6052E">
        <w:t>basis</w:t>
      </w:r>
      <w:r w:rsidR="00177848" w:rsidRPr="00C6052E">
        <w:t xml:space="preserve"> </w:t>
      </w:r>
      <w:r w:rsidRPr="00C6052E">
        <w:t>points</w:t>
      </w:r>
      <w:r w:rsidR="00177848" w:rsidRPr="00C6052E">
        <w:t xml:space="preserve"> </w:t>
      </w:r>
      <w:r w:rsidRPr="00C6052E">
        <w:t>(1%)</w:t>
      </w:r>
      <w:r w:rsidR="00177848" w:rsidRPr="00C6052E">
        <w:t xml:space="preserve"> </w:t>
      </w:r>
      <w:r w:rsidRPr="00C6052E">
        <w:t>per</w:t>
      </w:r>
      <w:r w:rsidR="00177848" w:rsidRPr="00C6052E">
        <w:t xml:space="preserve"> </w:t>
      </w:r>
      <w:r w:rsidRPr="00C6052E">
        <w:t>cent</w:t>
      </w:r>
      <w:r w:rsidR="00177848" w:rsidRPr="00C6052E">
        <w:t xml:space="preserve"> </w:t>
      </w:r>
      <w:r w:rsidRPr="00C6052E">
        <w:t>in</w:t>
      </w:r>
      <w:r w:rsidR="00177848" w:rsidRPr="00C6052E">
        <w:t xml:space="preserve"> </w:t>
      </w:r>
      <w:r w:rsidRPr="00C6052E">
        <w:t>market</w:t>
      </w:r>
      <w:r w:rsidR="00177848" w:rsidRPr="00C6052E">
        <w:t xml:space="preserve"> </w:t>
      </w:r>
      <w:r w:rsidRPr="00C6052E">
        <w:t>interest</w:t>
      </w:r>
      <w:r w:rsidR="00177848" w:rsidRPr="00C6052E">
        <w:t xml:space="preserve"> </w:t>
      </w:r>
      <w:r w:rsidRPr="00C6052E">
        <w:t>rates</w:t>
      </w:r>
      <w:r w:rsidR="00177848" w:rsidRPr="00C6052E">
        <w:t xml:space="preserve"> </w:t>
      </w:r>
      <w:r w:rsidRPr="00C6052E">
        <w:t>(AUD)</w:t>
      </w:r>
      <w:r w:rsidR="00177848" w:rsidRPr="00C6052E">
        <w:t xml:space="preserve"> </w:t>
      </w:r>
      <w:r w:rsidRPr="00C6052E">
        <w:t>from</w:t>
      </w:r>
      <w:r w:rsidR="00177848" w:rsidRPr="00C6052E">
        <w:t xml:space="preserve"> </w:t>
      </w:r>
      <w:r w:rsidRPr="00C6052E">
        <w:t>year-end</w:t>
      </w:r>
      <w:r w:rsidR="00177848" w:rsidRPr="00C6052E">
        <w:t xml:space="preserve"> </w:t>
      </w:r>
      <w:r w:rsidRPr="00C6052E">
        <w:t>rates</w:t>
      </w:r>
      <w:r w:rsidR="00177848" w:rsidRPr="00C6052E">
        <w:t xml:space="preserve"> </w:t>
      </w:r>
      <w:r w:rsidRPr="00C6052E">
        <w:t>will</w:t>
      </w:r>
      <w:r w:rsidR="00177848" w:rsidRPr="00C6052E">
        <w:t xml:space="preserve"> </w:t>
      </w:r>
      <w:r w:rsidRPr="00C6052E">
        <w:t>result</w:t>
      </w:r>
      <w:r w:rsidR="00177848" w:rsidRPr="00C6052E">
        <w:t xml:space="preserve"> </w:t>
      </w:r>
      <w:r w:rsidRPr="00C6052E">
        <w:t>in</w:t>
      </w:r>
      <w:r w:rsidR="00177848" w:rsidRPr="00C6052E">
        <w:t xml:space="preserve"> </w:t>
      </w:r>
      <w:r w:rsidRPr="00C6052E">
        <w:t>an</w:t>
      </w:r>
      <w:r w:rsidR="00177848" w:rsidRPr="00C6052E">
        <w:t xml:space="preserve"> </w:t>
      </w:r>
      <w:r w:rsidRPr="00C6052E">
        <w:t>impact</w:t>
      </w:r>
      <w:r w:rsidR="00177848" w:rsidRPr="00C6052E">
        <w:t xml:space="preserve"> </w:t>
      </w:r>
      <w:r w:rsidRPr="00C6052E">
        <w:t>on</w:t>
      </w:r>
      <w:r w:rsidR="00177848" w:rsidRPr="00C6052E">
        <w:t xml:space="preserve"> </w:t>
      </w:r>
      <w:r w:rsidRPr="00C6052E">
        <w:t>cash</w:t>
      </w:r>
      <w:r w:rsidR="00177848" w:rsidRPr="00C6052E">
        <w:t xml:space="preserve"> </w:t>
      </w:r>
      <w:r w:rsidRPr="00C6052E">
        <w:t>and</w:t>
      </w:r>
      <w:r w:rsidR="00177848" w:rsidRPr="00C6052E">
        <w:t xml:space="preserve"> </w:t>
      </w:r>
      <w:r w:rsidRPr="00C6052E">
        <w:t>deposits</w:t>
      </w:r>
      <w:r w:rsidR="00177848" w:rsidRPr="00C6052E">
        <w:t xml:space="preserve"> </w:t>
      </w:r>
      <w:r w:rsidRPr="00C6052E">
        <w:t>of</w:t>
      </w:r>
      <w:r w:rsidR="00177848" w:rsidRPr="00C6052E">
        <w:t xml:space="preserve"> </w:t>
      </w:r>
      <w:r w:rsidRPr="00C6052E">
        <w:t>$2.3m</w:t>
      </w:r>
      <w:r w:rsidR="00177848" w:rsidRPr="00C6052E">
        <w:t xml:space="preserve"> </w:t>
      </w:r>
      <w:r w:rsidRPr="00C6052E">
        <w:t>(2024:</w:t>
      </w:r>
      <w:r w:rsidR="00177848" w:rsidRPr="00C6052E">
        <w:t xml:space="preserve"> </w:t>
      </w:r>
      <w:r w:rsidRPr="00C6052E">
        <w:t>$2.7m).</w:t>
      </w:r>
      <w:r w:rsidR="00177848" w:rsidRPr="00C6052E">
        <w:t xml:space="preserve"> </w:t>
      </w:r>
    </w:p>
    <w:p w14:paraId="084AE52A" w14:textId="2687B92D" w:rsidR="00EE5BB8" w:rsidRPr="00C6052E" w:rsidRDefault="00EE5BB8" w:rsidP="00C6052E">
      <w:pPr>
        <w:pStyle w:val="Heading2numbered0"/>
      </w:pPr>
      <w:bookmarkStart w:id="325" w:name="_Toc163565988"/>
      <w:bookmarkStart w:id="326" w:name="_Ref209518806"/>
      <w:bookmarkStart w:id="327" w:name="_Ref209518819"/>
      <w:r w:rsidRPr="00C6052E">
        <w:t>Contingent</w:t>
      </w:r>
      <w:r w:rsidR="00177848" w:rsidRPr="00C6052E">
        <w:t xml:space="preserve"> </w:t>
      </w:r>
      <w:r w:rsidRPr="00C6052E">
        <w:t>assets</w:t>
      </w:r>
      <w:r w:rsidR="00177848" w:rsidRPr="00C6052E">
        <w:t xml:space="preserve"> </w:t>
      </w:r>
      <w:r w:rsidRPr="00C6052E">
        <w:t>and</w:t>
      </w:r>
      <w:r w:rsidR="00177848" w:rsidRPr="00C6052E">
        <w:t xml:space="preserve"> </w:t>
      </w:r>
      <w:r w:rsidRPr="00C6052E">
        <w:t>contingent</w:t>
      </w:r>
      <w:r w:rsidR="00177848" w:rsidRPr="00C6052E">
        <w:t xml:space="preserve"> </w:t>
      </w:r>
      <w:r w:rsidRPr="00C6052E">
        <w:t>liabilities</w:t>
      </w:r>
      <w:bookmarkEnd w:id="325"/>
      <w:bookmarkEnd w:id="326"/>
      <w:bookmarkEnd w:id="327"/>
    </w:p>
    <w:p w14:paraId="3C463654" w14:textId="1F7E56E5" w:rsidR="00EE5BB8" w:rsidRPr="00C6052E" w:rsidRDefault="00EE5BB8" w:rsidP="00EE5BB8">
      <w:r w:rsidRPr="00C6052E">
        <w:t>Contingent</w:t>
      </w:r>
      <w:r w:rsidR="00177848" w:rsidRPr="00C6052E">
        <w:t xml:space="preserve"> </w:t>
      </w:r>
      <w:r w:rsidRPr="00C6052E">
        <w:t>assets</w:t>
      </w:r>
      <w:r w:rsidR="00177848" w:rsidRPr="00C6052E">
        <w:t xml:space="preserve"> </w:t>
      </w:r>
      <w:r w:rsidRPr="00C6052E">
        <w:t>and</w:t>
      </w:r>
      <w:r w:rsidR="00177848" w:rsidRPr="00C6052E">
        <w:t xml:space="preserve"> </w:t>
      </w:r>
      <w:r w:rsidRPr="00C6052E">
        <w:t>contingent</w:t>
      </w:r>
      <w:r w:rsidR="00177848" w:rsidRPr="00C6052E">
        <w:t xml:space="preserve"> </w:t>
      </w:r>
      <w:r w:rsidRPr="00C6052E">
        <w:t>liabilities</w:t>
      </w:r>
      <w:r w:rsidR="00177848" w:rsidRPr="00C6052E">
        <w:t xml:space="preserve"> </w:t>
      </w:r>
      <w:r w:rsidRPr="00C6052E">
        <w:t>are</w:t>
      </w:r>
      <w:r w:rsidR="00177848" w:rsidRPr="00C6052E">
        <w:t xml:space="preserve"> </w:t>
      </w:r>
      <w:r w:rsidRPr="00C6052E">
        <w:t>not</w:t>
      </w:r>
      <w:r w:rsidR="00177848" w:rsidRPr="00C6052E">
        <w:t xml:space="preserve"> </w:t>
      </w:r>
      <w:r w:rsidRPr="00C6052E">
        <w:t>recognised</w:t>
      </w:r>
      <w:r w:rsidR="00177848" w:rsidRPr="00C6052E">
        <w:t xml:space="preserve"> </w:t>
      </w:r>
      <w:r w:rsidRPr="00C6052E">
        <w:t>in</w:t>
      </w:r>
      <w:r w:rsidR="00177848" w:rsidRPr="00C6052E">
        <w:t xml:space="preserve"> </w:t>
      </w:r>
      <w:r w:rsidRPr="00C6052E">
        <w:t>the</w:t>
      </w:r>
      <w:r w:rsidR="00177848" w:rsidRPr="00C6052E">
        <w:t xml:space="preserve"> </w:t>
      </w:r>
      <w:r w:rsidRPr="00C6052E">
        <w:t>balance</w:t>
      </w:r>
      <w:r w:rsidR="00177848" w:rsidRPr="00C6052E">
        <w:t xml:space="preserve"> </w:t>
      </w:r>
      <w:r w:rsidRPr="00C6052E">
        <w:t>sheet,</w:t>
      </w:r>
      <w:r w:rsidR="00177848" w:rsidRPr="00C6052E">
        <w:t xml:space="preserve"> </w:t>
      </w:r>
      <w:r w:rsidRPr="00C6052E">
        <w:t>but</w:t>
      </w:r>
      <w:r w:rsidR="00177848" w:rsidRPr="00C6052E">
        <w:t xml:space="preserve"> </w:t>
      </w:r>
      <w:r w:rsidRPr="00C6052E">
        <w:t>are</w:t>
      </w:r>
      <w:r w:rsidR="00177848" w:rsidRPr="00C6052E">
        <w:t xml:space="preserve"> </w:t>
      </w:r>
      <w:r w:rsidRPr="00C6052E">
        <w:t>disclosed</w:t>
      </w:r>
      <w:r w:rsidR="00177848" w:rsidRPr="00C6052E">
        <w:t xml:space="preserve"> </w:t>
      </w:r>
      <w:r w:rsidRPr="00C6052E">
        <w:t>by</w:t>
      </w:r>
      <w:r w:rsidR="00177848" w:rsidRPr="00C6052E">
        <w:t xml:space="preserve"> </w:t>
      </w:r>
      <w:r w:rsidRPr="00C6052E">
        <w:t>way</w:t>
      </w:r>
      <w:r w:rsidR="00177848" w:rsidRPr="00C6052E">
        <w:t xml:space="preserve"> </w:t>
      </w:r>
      <w:r w:rsidRPr="00C6052E">
        <w:t>of</w:t>
      </w:r>
      <w:r w:rsidR="00177848" w:rsidRPr="00C6052E">
        <w:t xml:space="preserve"> </w:t>
      </w:r>
      <w:r w:rsidRPr="00C6052E">
        <w:t>a</w:t>
      </w:r>
      <w:r w:rsidR="00177848" w:rsidRPr="00C6052E">
        <w:t xml:space="preserve"> </w:t>
      </w:r>
      <w:r w:rsidRPr="00C6052E">
        <w:t>note</w:t>
      </w:r>
      <w:r w:rsidR="00177848" w:rsidRPr="00C6052E">
        <w:t xml:space="preserve"> </w:t>
      </w:r>
      <w:r w:rsidRPr="00C6052E">
        <w:t>and,</w:t>
      </w:r>
      <w:r w:rsidR="00177848" w:rsidRPr="00C6052E">
        <w:t xml:space="preserve"> </w:t>
      </w:r>
      <w:r w:rsidRPr="00C6052E">
        <w:t>if</w:t>
      </w:r>
      <w:r w:rsidR="00177848" w:rsidRPr="00C6052E">
        <w:t xml:space="preserve"> </w:t>
      </w:r>
      <w:r w:rsidRPr="00C6052E">
        <w:t>quantifiable,</w:t>
      </w:r>
      <w:r w:rsidR="00177848" w:rsidRPr="00C6052E">
        <w:t xml:space="preserve"> </w:t>
      </w:r>
      <w:r w:rsidRPr="00C6052E">
        <w:t>are</w:t>
      </w:r>
      <w:r w:rsidR="00177848" w:rsidRPr="00C6052E">
        <w:t xml:space="preserve"> </w:t>
      </w:r>
      <w:r w:rsidRPr="00C6052E">
        <w:t>measured</w:t>
      </w:r>
      <w:r w:rsidR="00177848" w:rsidRPr="00C6052E">
        <w:t xml:space="preserve"> </w:t>
      </w:r>
      <w:r w:rsidRPr="00C6052E">
        <w:t>at</w:t>
      </w:r>
      <w:r w:rsidR="00177848" w:rsidRPr="00C6052E">
        <w:t xml:space="preserve"> </w:t>
      </w:r>
      <w:r w:rsidRPr="00C6052E">
        <w:t>nominal</w:t>
      </w:r>
      <w:r w:rsidR="00177848" w:rsidRPr="00C6052E">
        <w:t xml:space="preserve"> </w:t>
      </w:r>
      <w:r w:rsidRPr="00C6052E">
        <w:t>value.</w:t>
      </w:r>
      <w:r w:rsidR="00177848" w:rsidRPr="00C6052E">
        <w:t xml:space="preserve"> </w:t>
      </w:r>
      <w:r w:rsidRPr="00C6052E">
        <w:t>Contingent</w:t>
      </w:r>
      <w:r w:rsidR="00177848" w:rsidRPr="00C6052E">
        <w:t xml:space="preserve"> </w:t>
      </w:r>
      <w:r w:rsidRPr="00C6052E">
        <w:t>assets</w:t>
      </w:r>
      <w:r w:rsidR="00177848" w:rsidRPr="00C6052E">
        <w:t xml:space="preserve"> </w:t>
      </w:r>
      <w:r w:rsidRPr="00C6052E">
        <w:t>and</w:t>
      </w:r>
      <w:r w:rsidR="00177848" w:rsidRPr="00C6052E">
        <w:t xml:space="preserve"> </w:t>
      </w:r>
      <w:r w:rsidRPr="00C6052E">
        <w:t>liabilities</w:t>
      </w:r>
      <w:r w:rsidR="00177848" w:rsidRPr="00C6052E">
        <w:t xml:space="preserve"> </w:t>
      </w:r>
      <w:r w:rsidRPr="00C6052E">
        <w:t>are</w:t>
      </w:r>
      <w:r w:rsidR="00177848" w:rsidRPr="00C6052E">
        <w:t xml:space="preserve"> </w:t>
      </w:r>
      <w:r w:rsidRPr="00C6052E">
        <w:t>presented</w:t>
      </w:r>
      <w:r w:rsidR="00177848" w:rsidRPr="00C6052E">
        <w:t xml:space="preserve"> </w:t>
      </w:r>
      <w:r w:rsidRPr="00C6052E">
        <w:t>inclusive</w:t>
      </w:r>
      <w:r w:rsidR="00177848" w:rsidRPr="00C6052E">
        <w:t xml:space="preserve"> </w:t>
      </w:r>
      <w:r w:rsidRPr="00C6052E">
        <w:t>of</w:t>
      </w:r>
      <w:r w:rsidR="00177848" w:rsidRPr="00C6052E">
        <w:t xml:space="preserve"> </w:t>
      </w:r>
      <w:r w:rsidRPr="00C6052E">
        <w:t>GST</w:t>
      </w:r>
      <w:r w:rsidR="00177848" w:rsidRPr="00C6052E">
        <w:t xml:space="preserve"> </w:t>
      </w:r>
      <w:r w:rsidRPr="00C6052E">
        <w:t>receivable</w:t>
      </w:r>
      <w:r w:rsidR="00177848" w:rsidRPr="00C6052E">
        <w:t xml:space="preserve"> </w:t>
      </w:r>
      <w:r w:rsidRPr="00C6052E">
        <w:t>or</w:t>
      </w:r>
      <w:r w:rsidR="00177848" w:rsidRPr="00C6052E">
        <w:t xml:space="preserve"> </w:t>
      </w:r>
      <w:r w:rsidRPr="00C6052E">
        <w:t>payable</w:t>
      </w:r>
      <w:r w:rsidR="00177848" w:rsidRPr="00C6052E">
        <w:t xml:space="preserve"> </w:t>
      </w:r>
      <w:r w:rsidRPr="00C6052E">
        <w:t>respectively.</w:t>
      </w:r>
    </w:p>
    <w:p w14:paraId="6C9F0596" w14:textId="19D95E82" w:rsidR="00EE5BB8" w:rsidRPr="00C6052E" w:rsidRDefault="00EE5BB8" w:rsidP="00E9084D">
      <w:pPr>
        <w:pStyle w:val="Heading3"/>
      </w:pPr>
      <w:r w:rsidRPr="00C6052E">
        <w:t>Contingent</w:t>
      </w:r>
      <w:r w:rsidR="00177848" w:rsidRPr="00C6052E">
        <w:t xml:space="preserve"> </w:t>
      </w:r>
      <w:r w:rsidRPr="00C6052E">
        <w:t>assets</w:t>
      </w:r>
      <w:r w:rsidR="00177848" w:rsidRPr="00C6052E">
        <w:t xml:space="preserve"> </w:t>
      </w:r>
    </w:p>
    <w:p w14:paraId="2BA639DD" w14:textId="4F2A9FA1" w:rsidR="00EE5BB8" w:rsidRPr="00C6052E" w:rsidRDefault="00EE5BB8" w:rsidP="00EE5BB8">
      <w:r w:rsidRPr="00C6052E">
        <w:t>Contingent</w:t>
      </w:r>
      <w:r w:rsidR="00177848" w:rsidRPr="00C6052E">
        <w:t xml:space="preserve"> </w:t>
      </w:r>
      <w:r w:rsidRPr="00C6052E">
        <w:t>assets</w:t>
      </w:r>
      <w:r w:rsidR="00177848" w:rsidRPr="00C6052E">
        <w:t xml:space="preserve"> </w:t>
      </w:r>
      <w:r w:rsidRPr="00C6052E">
        <w:t>are</w:t>
      </w:r>
      <w:r w:rsidR="00177848" w:rsidRPr="00C6052E">
        <w:t xml:space="preserve"> </w:t>
      </w:r>
      <w:r w:rsidRPr="00C6052E">
        <w:t>possible</w:t>
      </w:r>
      <w:r w:rsidR="00177848" w:rsidRPr="00C6052E">
        <w:t xml:space="preserve"> </w:t>
      </w:r>
      <w:r w:rsidRPr="00C6052E">
        <w:t>assets</w:t>
      </w:r>
      <w:r w:rsidR="00177848" w:rsidRPr="00C6052E">
        <w:t xml:space="preserve"> </w:t>
      </w:r>
      <w:r w:rsidRPr="00C6052E">
        <w:t>that</w:t>
      </w:r>
      <w:r w:rsidR="00177848" w:rsidRPr="00C6052E">
        <w:t xml:space="preserve"> </w:t>
      </w:r>
      <w:r w:rsidRPr="00C6052E">
        <w:t>arise</w:t>
      </w:r>
      <w:r w:rsidR="00177848" w:rsidRPr="00C6052E">
        <w:t xml:space="preserve"> </w:t>
      </w:r>
      <w:r w:rsidRPr="00C6052E">
        <w:t>from</w:t>
      </w:r>
      <w:r w:rsidR="00177848" w:rsidRPr="00C6052E">
        <w:t xml:space="preserve"> </w:t>
      </w:r>
      <w:r w:rsidRPr="00C6052E">
        <w:t>past</w:t>
      </w:r>
      <w:r w:rsidR="00177848" w:rsidRPr="00C6052E">
        <w:t xml:space="preserve"> </w:t>
      </w:r>
      <w:r w:rsidRPr="00C6052E">
        <w:t>events,</w:t>
      </w:r>
      <w:r w:rsidR="00177848" w:rsidRPr="00C6052E">
        <w:t xml:space="preserve"> </w:t>
      </w:r>
      <w:r w:rsidRPr="00C6052E">
        <w:t>whose</w:t>
      </w:r>
      <w:r w:rsidR="00177848" w:rsidRPr="00C6052E">
        <w:t xml:space="preserve"> </w:t>
      </w:r>
      <w:r w:rsidRPr="00C6052E">
        <w:t>existence</w:t>
      </w:r>
      <w:r w:rsidR="00177848" w:rsidRPr="00C6052E">
        <w:t xml:space="preserve"> </w:t>
      </w:r>
      <w:r w:rsidRPr="00C6052E">
        <w:t>will</w:t>
      </w:r>
      <w:r w:rsidR="00177848" w:rsidRPr="00C6052E">
        <w:t xml:space="preserve"> </w:t>
      </w:r>
      <w:r w:rsidRPr="00C6052E">
        <w:t>be</w:t>
      </w:r>
      <w:r w:rsidR="00177848" w:rsidRPr="00C6052E">
        <w:t xml:space="preserve"> </w:t>
      </w:r>
      <w:r w:rsidRPr="00C6052E">
        <w:t>confirmed</w:t>
      </w:r>
      <w:r w:rsidR="00177848" w:rsidRPr="00C6052E">
        <w:t xml:space="preserve"> </w:t>
      </w:r>
      <w:r w:rsidRPr="00C6052E">
        <w:t>only</w:t>
      </w:r>
      <w:r w:rsidR="00177848" w:rsidRPr="00C6052E">
        <w:t xml:space="preserve"> </w:t>
      </w:r>
      <w:r w:rsidRPr="00C6052E">
        <w:t>by</w:t>
      </w:r>
      <w:r w:rsidR="00177848" w:rsidRPr="00C6052E">
        <w:t xml:space="preserve"> </w:t>
      </w:r>
      <w:r w:rsidRPr="00C6052E">
        <w:t>the</w:t>
      </w:r>
      <w:r w:rsidR="00177848" w:rsidRPr="00C6052E">
        <w:t xml:space="preserve"> </w:t>
      </w:r>
      <w:r w:rsidRPr="00C6052E">
        <w:t>occurrence</w:t>
      </w:r>
      <w:r w:rsidR="00177848" w:rsidRPr="00C6052E">
        <w:t xml:space="preserve"> </w:t>
      </w:r>
      <w:r w:rsidRPr="00C6052E">
        <w:t>or</w:t>
      </w:r>
      <w:r w:rsidR="00177848" w:rsidRPr="00C6052E">
        <w:t xml:space="preserve"> </w:t>
      </w:r>
      <w:r w:rsidRPr="00C6052E">
        <w:t>non–occurrence</w:t>
      </w:r>
      <w:r w:rsidR="00177848" w:rsidRPr="00C6052E">
        <w:t xml:space="preserve"> </w:t>
      </w:r>
      <w:r w:rsidRPr="00C6052E">
        <w:t>of</w:t>
      </w:r>
      <w:r w:rsidR="00177848" w:rsidRPr="00C6052E">
        <w:t xml:space="preserve"> </w:t>
      </w:r>
      <w:r w:rsidRPr="00C6052E">
        <w:t>one</w:t>
      </w:r>
      <w:r w:rsidR="00177848" w:rsidRPr="00C6052E">
        <w:t xml:space="preserve"> </w:t>
      </w:r>
      <w:r w:rsidRPr="00C6052E">
        <w:t>or</w:t>
      </w:r>
      <w:r w:rsidR="00177848" w:rsidRPr="00C6052E">
        <w:t xml:space="preserve"> </w:t>
      </w:r>
      <w:r w:rsidRPr="00C6052E">
        <w:t>more</w:t>
      </w:r>
      <w:r w:rsidR="00177848" w:rsidRPr="00C6052E">
        <w:t xml:space="preserve"> </w:t>
      </w:r>
      <w:r w:rsidRPr="00C6052E">
        <w:t>uncertain</w:t>
      </w:r>
      <w:r w:rsidR="00177848" w:rsidRPr="00C6052E">
        <w:t xml:space="preserve"> </w:t>
      </w:r>
      <w:r w:rsidRPr="00C6052E">
        <w:t>future</w:t>
      </w:r>
      <w:r w:rsidR="00177848" w:rsidRPr="00C6052E">
        <w:t xml:space="preserve"> </w:t>
      </w:r>
      <w:r w:rsidRPr="00C6052E">
        <w:t>events</w:t>
      </w:r>
      <w:r w:rsidR="00177848" w:rsidRPr="00C6052E">
        <w:t xml:space="preserve"> </w:t>
      </w:r>
      <w:r w:rsidRPr="00C6052E">
        <w:t>not</w:t>
      </w:r>
      <w:r w:rsidR="00177848" w:rsidRPr="00C6052E">
        <w:t xml:space="preserve"> </w:t>
      </w:r>
      <w:r w:rsidRPr="00C6052E">
        <w:t>wholly</w:t>
      </w:r>
      <w:r w:rsidR="00177848" w:rsidRPr="00C6052E">
        <w:t xml:space="preserve"> </w:t>
      </w:r>
      <w:r w:rsidRPr="00C6052E">
        <w:t>within</w:t>
      </w:r>
      <w:r w:rsidR="00177848" w:rsidRPr="00C6052E">
        <w:t xml:space="preserve"> </w:t>
      </w:r>
      <w:r w:rsidRPr="00C6052E">
        <w:t>the</w:t>
      </w:r>
      <w:r w:rsidR="00177848" w:rsidRPr="00C6052E">
        <w:t xml:space="preserve"> </w:t>
      </w:r>
      <w:r w:rsidRPr="00C6052E">
        <w:t>control</w:t>
      </w:r>
      <w:r w:rsidR="00177848" w:rsidRPr="00C6052E">
        <w:t xml:space="preserve"> </w:t>
      </w:r>
      <w:r w:rsidRPr="00C6052E">
        <w:t>of</w:t>
      </w:r>
      <w:r w:rsidR="00177848" w:rsidRPr="00C6052E">
        <w:t xml:space="preserve"> </w:t>
      </w:r>
      <w:r w:rsidRPr="00C6052E">
        <w:t>DJSIR.</w:t>
      </w:r>
    </w:p>
    <w:p w14:paraId="23069C31" w14:textId="43E7F71D" w:rsidR="00EE5BB8" w:rsidRPr="00C6052E" w:rsidRDefault="00EE5BB8" w:rsidP="00EE5BB8">
      <w:r w:rsidRPr="00C6052E">
        <w:t>DJSIR</w:t>
      </w:r>
      <w:r w:rsidR="00177848" w:rsidRPr="00C6052E">
        <w:t xml:space="preserve"> </w:t>
      </w:r>
      <w:r w:rsidRPr="00C6052E">
        <w:t>did</w:t>
      </w:r>
      <w:r w:rsidR="00177848" w:rsidRPr="00C6052E">
        <w:t xml:space="preserve"> </w:t>
      </w:r>
      <w:r w:rsidRPr="00C6052E">
        <w:t>not</w:t>
      </w:r>
      <w:r w:rsidR="00177848" w:rsidRPr="00C6052E">
        <w:t xml:space="preserve"> </w:t>
      </w:r>
      <w:r w:rsidRPr="00C6052E">
        <w:t>have</w:t>
      </w:r>
      <w:r w:rsidR="00177848" w:rsidRPr="00C6052E">
        <w:t xml:space="preserve"> </w:t>
      </w:r>
      <w:r w:rsidRPr="00C6052E">
        <w:t>any</w:t>
      </w:r>
      <w:r w:rsidR="00177848" w:rsidRPr="00C6052E">
        <w:t xml:space="preserve"> </w:t>
      </w:r>
      <w:r w:rsidRPr="00C6052E">
        <w:t>significant</w:t>
      </w:r>
      <w:r w:rsidR="00177848" w:rsidRPr="00C6052E">
        <w:t xml:space="preserve"> </w:t>
      </w:r>
      <w:r w:rsidRPr="00C6052E">
        <w:t>contingent</w:t>
      </w:r>
      <w:r w:rsidR="00177848" w:rsidRPr="00C6052E">
        <w:t xml:space="preserve"> </w:t>
      </w:r>
      <w:r w:rsidRPr="00C6052E">
        <w:t>assets</w:t>
      </w:r>
      <w:r w:rsidR="00177848" w:rsidRPr="00C6052E">
        <w:t xml:space="preserve"> </w:t>
      </w:r>
      <w:r w:rsidRPr="00C6052E">
        <w:t>as</w:t>
      </w:r>
      <w:r w:rsidR="00177848" w:rsidRPr="00C6052E">
        <w:t xml:space="preserve"> </w:t>
      </w:r>
      <w:r w:rsidRPr="00C6052E">
        <w:t>at</w:t>
      </w:r>
      <w:r w:rsidR="00177848" w:rsidRPr="00C6052E">
        <w:t xml:space="preserve"> </w:t>
      </w:r>
      <w:fldSimple w:instr=" DOCPROPERTY  pEnd  \* MERGEFORMAT ">
        <w:r w:rsidRPr="00C6052E">
          <w:t>30</w:t>
        </w:r>
        <w:r w:rsidR="00177848" w:rsidRPr="00C6052E">
          <w:t xml:space="preserve"> </w:t>
        </w:r>
        <w:r w:rsidRPr="00C6052E">
          <w:t>June</w:t>
        </w:r>
      </w:fldSimple>
      <w:r w:rsidR="00177848" w:rsidRPr="00C6052E">
        <w:t xml:space="preserve"> </w:t>
      </w:r>
      <w:fldSimple w:instr=" DOCPROPERTY  crYear  \* MERGEFORMAT ">
        <w:r w:rsidRPr="00C6052E">
          <w:t>2025</w:t>
        </w:r>
      </w:fldSimple>
      <w:r w:rsidR="00177848" w:rsidRPr="00C6052E">
        <w:t xml:space="preserve"> </w:t>
      </w:r>
      <w:r w:rsidRPr="00C6052E">
        <w:t>(</w:t>
      </w:r>
      <w:fldSimple w:instr=" DOCPROPERTY  prYear  \* MERGEFORMAT ">
        <w:r w:rsidRPr="00C6052E">
          <w:t>2024</w:t>
        </w:r>
      </w:fldSimple>
      <w:r w:rsidRPr="00C6052E">
        <w:t>:</w:t>
      </w:r>
      <w:r w:rsidR="00177848" w:rsidRPr="00C6052E">
        <w:t xml:space="preserve"> </w:t>
      </w:r>
      <w:r w:rsidRPr="00C6052E">
        <w:t>$nil).</w:t>
      </w:r>
    </w:p>
    <w:p w14:paraId="4FA2D386" w14:textId="59CF2735" w:rsidR="00EE5BB8" w:rsidRPr="00C6052E" w:rsidRDefault="00EE5BB8" w:rsidP="00E9084D">
      <w:pPr>
        <w:pStyle w:val="Heading3"/>
      </w:pPr>
      <w:r w:rsidRPr="00C6052E">
        <w:lastRenderedPageBreak/>
        <w:t>Contingent</w:t>
      </w:r>
      <w:r w:rsidR="00177848" w:rsidRPr="00C6052E">
        <w:t xml:space="preserve"> </w:t>
      </w:r>
      <w:r w:rsidRPr="00C6052E">
        <w:t>liabilities</w:t>
      </w:r>
    </w:p>
    <w:p w14:paraId="34999FB6" w14:textId="7372E52A" w:rsidR="00EE5BB8" w:rsidRPr="00C6052E" w:rsidRDefault="00EE5BB8" w:rsidP="0028635E">
      <w:pPr>
        <w:pStyle w:val="Normalbeforebullets"/>
      </w:pPr>
      <w:r w:rsidRPr="00C6052E">
        <w:t>Contingent</w:t>
      </w:r>
      <w:r w:rsidR="00177848" w:rsidRPr="00C6052E">
        <w:t xml:space="preserve"> </w:t>
      </w:r>
      <w:r w:rsidRPr="00C6052E">
        <w:t>liabilities</w:t>
      </w:r>
      <w:r w:rsidR="00177848" w:rsidRPr="00C6052E">
        <w:t xml:space="preserve"> </w:t>
      </w:r>
      <w:r w:rsidRPr="00C6052E">
        <w:t>are:</w:t>
      </w:r>
    </w:p>
    <w:p w14:paraId="0490CF67" w14:textId="27B7DCC7" w:rsidR="00EE5BB8" w:rsidRPr="00C6052E" w:rsidRDefault="00EE5BB8" w:rsidP="00EE5BB8">
      <w:pPr>
        <w:pStyle w:val="Bullet1"/>
        <w:numPr>
          <w:ilvl w:val="0"/>
          <w:numId w:val="1"/>
        </w:numPr>
        <w:spacing w:line="278" w:lineRule="auto"/>
        <w:ind w:left="284" w:hanging="284"/>
        <w:rPr>
          <w:lang w:val="en-AU"/>
        </w:rPr>
      </w:pPr>
      <w:r w:rsidRPr="00C6052E">
        <w:rPr>
          <w:lang w:val="en-AU"/>
        </w:rPr>
        <w:t>possible</w:t>
      </w:r>
      <w:r w:rsidR="00177848" w:rsidRPr="00C6052E">
        <w:rPr>
          <w:lang w:val="en-AU"/>
        </w:rPr>
        <w:t xml:space="preserve"> </w:t>
      </w:r>
      <w:r w:rsidRPr="00C6052E">
        <w:rPr>
          <w:lang w:val="en-AU"/>
        </w:rPr>
        <w:t>obligations</w:t>
      </w:r>
      <w:r w:rsidR="00177848" w:rsidRPr="00C6052E">
        <w:rPr>
          <w:lang w:val="en-AU"/>
        </w:rPr>
        <w:t xml:space="preserve"> </w:t>
      </w:r>
      <w:r w:rsidRPr="00C6052E">
        <w:rPr>
          <w:lang w:val="en-AU"/>
        </w:rPr>
        <w:t>that</w:t>
      </w:r>
      <w:r w:rsidR="00177848" w:rsidRPr="00C6052E">
        <w:rPr>
          <w:lang w:val="en-AU"/>
        </w:rPr>
        <w:t xml:space="preserve"> </w:t>
      </w:r>
      <w:r w:rsidRPr="00C6052E">
        <w:rPr>
          <w:lang w:val="en-AU"/>
        </w:rPr>
        <w:t>arise</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past</w:t>
      </w:r>
      <w:r w:rsidR="00177848" w:rsidRPr="00C6052E">
        <w:rPr>
          <w:lang w:val="en-AU"/>
        </w:rPr>
        <w:t xml:space="preserve"> </w:t>
      </w:r>
      <w:r w:rsidRPr="00C6052E">
        <w:rPr>
          <w:lang w:val="en-AU"/>
        </w:rPr>
        <w:t>events,</w:t>
      </w:r>
      <w:r w:rsidR="00177848" w:rsidRPr="00C6052E">
        <w:rPr>
          <w:lang w:val="en-AU"/>
        </w:rPr>
        <w:t xml:space="preserve"> </w:t>
      </w:r>
      <w:r w:rsidRPr="00C6052E">
        <w:rPr>
          <w:lang w:val="en-AU"/>
        </w:rPr>
        <w:t>whose</w:t>
      </w:r>
      <w:r w:rsidR="00177848" w:rsidRPr="00C6052E">
        <w:rPr>
          <w:lang w:val="en-AU"/>
        </w:rPr>
        <w:t xml:space="preserve"> </w:t>
      </w:r>
      <w:r w:rsidRPr="00C6052E">
        <w:rPr>
          <w:lang w:val="en-AU"/>
        </w:rPr>
        <w:t>existence</w:t>
      </w:r>
      <w:r w:rsidR="00177848" w:rsidRPr="00C6052E">
        <w:rPr>
          <w:lang w:val="en-AU"/>
        </w:rPr>
        <w:t xml:space="preserve"> </w:t>
      </w:r>
      <w:r w:rsidRPr="00C6052E">
        <w:rPr>
          <w:lang w:val="en-AU"/>
        </w:rPr>
        <w:t>will</w:t>
      </w:r>
      <w:r w:rsidR="00177848" w:rsidRPr="00C6052E">
        <w:rPr>
          <w:lang w:val="en-AU"/>
        </w:rPr>
        <w:t xml:space="preserve"> </w:t>
      </w:r>
      <w:r w:rsidRPr="00C6052E">
        <w:rPr>
          <w:lang w:val="en-AU"/>
        </w:rPr>
        <w:t>be</w:t>
      </w:r>
      <w:r w:rsidR="00177848" w:rsidRPr="00C6052E">
        <w:rPr>
          <w:lang w:val="en-AU"/>
        </w:rPr>
        <w:t xml:space="preserve"> </w:t>
      </w:r>
      <w:r w:rsidRPr="00C6052E">
        <w:rPr>
          <w:lang w:val="en-AU"/>
        </w:rPr>
        <w:t>confirmed</w:t>
      </w:r>
      <w:r w:rsidR="00177848" w:rsidRPr="00C6052E">
        <w:rPr>
          <w:lang w:val="en-AU"/>
        </w:rPr>
        <w:t xml:space="preserve"> </w:t>
      </w:r>
      <w:r w:rsidRPr="00C6052E">
        <w:rPr>
          <w:lang w:val="en-AU"/>
        </w:rPr>
        <w:t>only</w:t>
      </w:r>
      <w:r w:rsidR="00177848" w:rsidRPr="00C6052E">
        <w:rPr>
          <w:lang w:val="en-AU"/>
        </w:rPr>
        <w:t xml:space="preserve"> </w:t>
      </w:r>
      <w:r w:rsidRPr="00C6052E">
        <w:rPr>
          <w:lang w:val="en-AU"/>
        </w:rPr>
        <w:t>by</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occurrence</w:t>
      </w:r>
      <w:r w:rsidR="00177848" w:rsidRPr="00C6052E">
        <w:rPr>
          <w:lang w:val="en-AU"/>
        </w:rPr>
        <w:t xml:space="preserve"> </w:t>
      </w:r>
      <w:r w:rsidRPr="00C6052E">
        <w:rPr>
          <w:lang w:val="en-AU"/>
        </w:rPr>
        <w:t>or</w:t>
      </w:r>
      <w:r w:rsidR="00177848" w:rsidRPr="00C6052E">
        <w:rPr>
          <w:lang w:val="en-AU"/>
        </w:rPr>
        <w:t xml:space="preserve"> </w:t>
      </w:r>
      <w:r w:rsidRPr="00C6052E">
        <w:rPr>
          <w:lang w:val="en-AU"/>
        </w:rPr>
        <w:t>non–occurrence</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one</w:t>
      </w:r>
      <w:r w:rsidR="00177848" w:rsidRPr="00C6052E">
        <w:rPr>
          <w:lang w:val="en-AU"/>
        </w:rPr>
        <w:t xml:space="preserve"> </w:t>
      </w:r>
      <w:r w:rsidRPr="00C6052E">
        <w:rPr>
          <w:lang w:val="en-AU"/>
        </w:rPr>
        <w:t>or</w:t>
      </w:r>
      <w:r w:rsidR="00177848" w:rsidRPr="00C6052E">
        <w:rPr>
          <w:lang w:val="en-AU"/>
        </w:rPr>
        <w:t xml:space="preserve"> </w:t>
      </w:r>
      <w:r w:rsidRPr="00C6052E">
        <w:rPr>
          <w:lang w:val="en-AU"/>
        </w:rPr>
        <w:t>more</w:t>
      </w:r>
      <w:r w:rsidR="00177848" w:rsidRPr="00C6052E">
        <w:rPr>
          <w:lang w:val="en-AU"/>
        </w:rPr>
        <w:t xml:space="preserve"> </w:t>
      </w:r>
      <w:r w:rsidRPr="00C6052E">
        <w:rPr>
          <w:lang w:val="en-AU"/>
        </w:rPr>
        <w:t>uncertain</w:t>
      </w:r>
      <w:r w:rsidR="00177848" w:rsidRPr="00C6052E">
        <w:rPr>
          <w:lang w:val="en-AU"/>
        </w:rPr>
        <w:t xml:space="preserve"> </w:t>
      </w:r>
      <w:r w:rsidRPr="00C6052E">
        <w:rPr>
          <w:lang w:val="en-AU"/>
        </w:rPr>
        <w:t>future</w:t>
      </w:r>
      <w:r w:rsidR="00177848" w:rsidRPr="00C6052E">
        <w:rPr>
          <w:lang w:val="en-AU"/>
        </w:rPr>
        <w:t xml:space="preserve"> </w:t>
      </w:r>
      <w:r w:rsidRPr="00C6052E">
        <w:rPr>
          <w:lang w:val="en-AU"/>
        </w:rPr>
        <w:t>events</w:t>
      </w:r>
      <w:r w:rsidR="00177848" w:rsidRPr="00C6052E">
        <w:rPr>
          <w:lang w:val="en-AU"/>
        </w:rPr>
        <w:t xml:space="preserve"> </w:t>
      </w:r>
      <w:r w:rsidRPr="00C6052E">
        <w:rPr>
          <w:lang w:val="en-AU"/>
        </w:rPr>
        <w:t>not</w:t>
      </w:r>
      <w:r w:rsidR="00177848" w:rsidRPr="00C6052E">
        <w:rPr>
          <w:lang w:val="en-AU"/>
        </w:rPr>
        <w:t xml:space="preserve"> </w:t>
      </w:r>
      <w:r w:rsidRPr="00C6052E">
        <w:rPr>
          <w:lang w:val="en-AU"/>
        </w:rPr>
        <w:t>wholly</w:t>
      </w:r>
      <w:r w:rsidR="00177848" w:rsidRPr="00C6052E">
        <w:rPr>
          <w:lang w:val="en-AU"/>
        </w:rPr>
        <w:t xml:space="preserve"> </w:t>
      </w:r>
      <w:r w:rsidRPr="00C6052E">
        <w:rPr>
          <w:lang w:val="en-AU"/>
        </w:rPr>
        <w:t>within</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control</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entity,</w:t>
      </w:r>
      <w:r w:rsidR="00177848" w:rsidRPr="00C6052E">
        <w:rPr>
          <w:lang w:val="en-AU"/>
        </w:rPr>
        <w:t xml:space="preserve"> </w:t>
      </w:r>
      <w:r w:rsidRPr="00C6052E">
        <w:rPr>
          <w:lang w:val="en-AU"/>
        </w:rPr>
        <w:t>or</w:t>
      </w:r>
    </w:p>
    <w:p w14:paraId="4271646E" w14:textId="15E4CF21" w:rsidR="00EE5BB8" w:rsidRPr="00C6052E" w:rsidRDefault="00EE5BB8" w:rsidP="00EE5BB8">
      <w:pPr>
        <w:pStyle w:val="Bullet1"/>
        <w:numPr>
          <w:ilvl w:val="0"/>
          <w:numId w:val="1"/>
        </w:numPr>
        <w:spacing w:line="278" w:lineRule="auto"/>
        <w:ind w:left="284" w:hanging="284"/>
        <w:rPr>
          <w:lang w:val="en-AU"/>
        </w:rPr>
      </w:pPr>
      <w:r w:rsidRPr="00C6052E">
        <w:rPr>
          <w:lang w:val="en-AU"/>
        </w:rPr>
        <w:t>present</w:t>
      </w:r>
      <w:r w:rsidR="00177848" w:rsidRPr="00C6052E">
        <w:rPr>
          <w:lang w:val="en-AU"/>
        </w:rPr>
        <w:t xml:space="preserve"> </w:t>
      </w:r>
      <w:r w:rsidRPr="00C6052E">
        <w:rPr>
          <w:lang w:val="en-AU"/>
        </w:rPr>
        <w:t>obligations</w:t>
      </w:r>
      <w:r w:rsidR="00177848" w:rsidRPr="00C6052E">
        <w:rPr>
          <w:lang w:val="en-AU"/>
        </w:rPr>
        <w:t xml:space="preserve"> </w:t>
      </w:r>
      <w:r w:rsidRPr="00C6052E">
        <w:rPr>
          <w:lang w:val="en-AU"/>
        </w:rPr>
        <w:t>that</w:t>
      </w:r>
      <w:r w:rsidR="00177848" w:rsidRPr="00C6052E">
        <w:rPr>
          <w:lang w:val="en-AU"/>
        </w:rPr>
        <w:t xml:space="preserve"> </w:t>
      </w:r>
      <w:r w:rsidRPr="00C6052E">
        <w:rPr>
          <w:lang w:val="en-AU"/>
        </w:rPr>
        <w:t>arise</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past</w:t>
      </w:r>
      <w:r w:rsidR="00177848" w:rsidRPr="00C6052E">
        <w:rPr>
          <w:lang w:val="en-AU"/>
        </w:rPr>
        <w:t xml:space="preserve"> </w:t>
      </w:r>
      <w:r w:rsidRPr="00C6052E">
        <w:rPr>
          <w:lang w:val="en-AU"/>
        </w:rPr>
        <w:t>events</w:t>
      </w:r>
      <w:r w:rsidR="00177848" w:rsidRPr="00C6052E">
        <w:rPr>
          <w:lang w:val="en-AU"/>
        </w:rPr>
        <w:t xml:space="preserve"> </w:t>
      </w:r>
      <w:r w:rsidRPr="00C6052E">
        <w:rPr>
          <w:lang w:val="en-AU"/>
        </w:rPr>
        <w:t>but</w:t>
      </w:r>
      <w:r w:rsidR="00177848" w:rsidRPr="00C6052E">
        <w:rPr>
          <w:lang w:val="en-AU"/>
        </w:rPr>
        <w:t xml:space="preserve"> </w:t>
      </w:r>
      <w:r w:rsidRPr="00C6052E">
        <w:rPr>
          <w:lang w:val="en-AU"/>
        </w:rPr>
        <w:t>are</w:t>
      </w:r>
      <w:r w:rsidR="00177848" w:rsidRPr="00C6052E">
        <w:rPr>
          <w:lang w:val="en-AU"/>
        </w:rPr>
        <w:t xml:space="preserve"> </w:t>
      </w:r>
      <w:r w:rsidRPr="00C6052E">
        <w:rPr>
          <w:lang w:val="en-AU"/>
        </w:rPr>
        <w:t>not</w:t>
      </w:r>
      <w:r w:rsidR="00177848" w:rsidRPr="00C6052E">
        <w:rPr>
          <w:lang w:val="en-AU"/>
        </w:rPr>
        <w:t xml:space="preserve"> </w:t>
      </w:r>
      <w:r w:rsidRPr="00C6052E">
        <w:rPr>
          <w:lang w:val="en-AU"/>
        </w:rPr>
        <w:t>recognised</w:t>
      </w:r>
      <w:r w:rsidR="00177848" w:rsidRPr="00C6052E">
        <w:rPr>
          <w:lang w:val="en-AU"/>
        </w:rPr>
        <w:t xml:space="preserve"> </w:t>
      </w:r>
      <w:r w:rsidRPr="00C6052E">
        <w:rPr>
          <w:lang w:val="en-AU"/>
        </w:rPr>
        <w:t>because:</w:t>
      </w:r>
    </w:p>
    <w:p w14:paraId="1326AAC7" w14:textId="1313AD4D" w:rsidR="00EE5BB8" w:rsidRPr="00C6052E" w:rsidRDefault="00EE5BB8" w:rsidP="00EE5BB8">
      <w:pPr>
        <w:pStyle w:val="Bullet2"/>
        <w:numPr>
          <w:ilvl w:val="0"/>
          <w:numId w:val="11"/>
        </w:numPr>
        <w:ind w:left="568" w:hanging="284"/>
      </w:pPr>
      <w:r w:rsidRPr="00C6052E">
        <w:t>it</w:t>
      </w:r>
      <w:r w:rsidR="00177848" w:rsidRPr="00C6052E">
        <w:t xml:space="preserve"> </w:t>
      </w:r>
      <w:r w:rsidRPr="00C6052E">
        <w:t>is</w:t>
      </w:r>
      <w:r w:rsidR="00177848" w:rsidRPr="00C6052E">
        <w:t xml:space="preserve"> </w:t>
      </w:r>
      <w:r w:rsidRPr="00C6052E">
        <w:t>not</w:t>
      </w:r>
      <w:r w:rsidR="00177848" w:rsidRPr="00C6052E">
        <w:t xml:space="preserve"> </w:t>
      </w:r>
      <w:r w:rsidRPr="00C6052E">
        <w:t>probable</w:t>
      </w:r>
      <w:r w:rsidR="00177848" w:rsidRPr="00C6052E">
        <w:t xml:space="preserve"> </w:t>
      </w:r>
      <w:r w:rsidRPr="00C6052E">
        <w:t>that</w:t>
      </w:r>
      <w:r w:rsidR="00177848" w:rsidRPr="00C6052E">
        <w:t xml:space="preserve"> </w:t>
      </w:r>
      <w:r w:rsidRPr="00C6052E">
        <w:t>an</w:t>
      </w:r>
      <w:r w:rsidR="00177848" w:rsidRPr="00C6052E">
        <w:t xml:space="preserve"> </w:t>
      </w:r>
      <w:r w:rsidRPr="00C6052E">
        <w:t>outflow</w:t>
      </w:r>
      <w:r w:rsidR="00177848" w:rsidRPr="00C6052E">
        <w:t xml:space="preserve"> </w:t>
      </w:r>
      <w:r w:rsidRPr="00C6052E">
        <w:t>of</w:t>
      </w:r>
      <w:r w:rsidR="00177848" w:rsidRPr="00C6052E">
        <w:t xml:space="preserve"> </w:t>
      </w:r>
      <w:r w:rsidRPr="00C6052E">
        <w:t>resources</w:t>
      </w:r>
      <w:r w:rsidR="00177848" w:rsidRPr="00C6052E">
        <w:t xml:space="preserve"> </w:t>
      </w:r>
      <w:r w:rsidRPr="00C6052E">
        <w:t>embodying</w:t>
      </w:r>
      <w:r w:rsidR="00177848" w:rsidRPr="00C6052E">
        <w:t xml:space="preserve"> </w:t>
      </w:r>
      <w:r w:rsidRPr="00C6052E">
        <w:t>economic</w:t>
      </w:r>
      <w:r w:rsidR="00177848" w:rsidRPr="00C6052E">
        <w:t xml:space="preserve"> </w:t>
      </w:r>
      <w:r w:rsidRPr="00C6052E">
        <w:t>benefits</w:t>
      </w:r>
      <w:r w:rsidR="00177848" w:rsidRPr="00C6052E">
        <w:t xml:space="preserve"> </w:t>
      </w:r>
      <w:r w:rsidRPr="00C6052E">
        <w:t>will</w:t>
      </w:r>
      <w:r w:rsidR="00177848" w:rsidRPr="00C6052E">
        <w:t xml:space="preserve"> </w:t>
      </w:r>
      <w:r w:rsidRPr="00C6052E">
        <w:t>be</w:t>
      </w:r>
      <w:r w:rsidR="00177848" w:rsidRPr="00C6052E">
        <w:t xml:space="preserve"> </w:t>
      </w:r>
      <w:r w:rsidRPr="00C6052E">
        <w:t>required</w:t>
      </w:r>
      <w:r w:rsidR="00177848" w:rsidRPr="00C6052E">
        <w:t xml:space="preserve"> </w:t>
      </w:r>
      <w:r w:rsidRPr="00C6052E">
        <w:t>to</w:t>
      </w:r>
      <w:r w:rsidR="00177848" w:rsidRPr="00C6052E">
        <w:t xml:space="preserve"> </w:t>
      </w:r>
      <w:r w:rsidRPr="00C6052E">
        <w:t>settle</w:t>
      </w:r>
      <w:r w:rsidR="00177848" w:rsidRPr="00C6052E">
        <w:t xml:space="preserve"> </w:t>
      </w:r>
      <w:r w:rsidRPr="00C6052E">
        <w:t>the</w:t>
      </w:r>
      <w:r w:rsidR="00177848" w:rsidRPr="00C6052E">
        <w:t xml:space="preserve"> </w:t>
      </w:r>
      <w:r w:rsidRPr="00C6052E">
        <w:t>obligations,</w:t>
      </w:r>
      <w:r w:rsidR="00177848" w:rsidRPr="00C6052E">
        <w:t xml:space="preserve"> </w:t>
      </w:r>
      <w:r w:rsidRPr="00C6052E">
        <w:t>or</w:t>
      </w:r>
    </w:p>
    <w:p w14:paraId="4D724D76" w14:textId="1CBC16A2" w:rsidR="00EE5BB8" w:rsidRPr="00C6052E" w:rsidRDefault="00EE5BB8" w:rsidP="00EE5BB8">
      <w:pPr>
        <w:pStyle w:val="Bullet2last"/>
        <w:numPr>
          <w:ilvl w:val="0"/>
          <w:numId w:val="11"/>
        </w:numPr>
        <w:ind w:left="568" w:hanging="284"/>
      </w:pPr>
      <w:r w:rsidRPr="00C6052E">
        <w:t>the</w:t>
      </w:r>
      <w:r w:rsidR="00177848" w:rsidRPr="00C6052E">
        <w:t xml:space="preserve"> </w:t>
      </w:r>
      <w:r w:rsidRPr="00C6052E">
        <w:t>amount</w:t>
      </w:r>
      <w:r w:rsidR="00177848" w:rsidRPr="00C6052E">
        <w:t xml:space="preserve"> </w:t>
      </w:r>
      <w:r w:rsidRPr="00C6052E">
        <w:t>of</w:t>
      </w:r>
      <w:r w:rsidR="00177848" w:rsidRPr="00C6052E">
        <w:t xml:space="preserve"> </w:t>
      </w:r>
      <w:r w:rsidRPr="00C6052E">
        <w:t>the</w:t>
      </w:r>
      <w:r w:rsidR="00177848" w:rsidRPr="00C6052E">
        <w:t xml:space="preserve"> </w:t>
      </w:r>
      <w:r w:rsidRPr="00C6052E">
        <w:t>obligations</w:t>
      </w:r>
      <w:r w:rsidR="00177848" w:rsidRPr="00C6052E">
        <w:t xml:space="preserve"> </w:t>
      </w:r>
      <w:r w:rsidRPr="00C6052E">
        <w:t>cannot</w:t>
      </w:r>
      <w:r w:rsidR="00177848" w:rsidRPr="00C6052E">
        <w:t xml:space="preserve"> </w:t>
      </w:r>
      <w:r w:rsidRPr="00C6052E">
        <w:t>be</w:t>
      </w:r>
      <w:r w:rsidR="00177848" w:rsidRPr="00C6052E">
        <w:t xml:space="preserve"> </w:t>
      </w:r>
      <w:r w:rsidRPr="00C6052E">
        <w:t>measured</w:t>
      </w:r>
      <w:r w:rsidR="00177848" w:rsidRPr="00C6052E">
        <w:t xml:space="preserve"> </w:t>
      </w:r>
      <w:r w:rsidRPr="00C6052E">
        <w:t>with</w:t>
      </w:r>
      <w:r w:rsidR="00177848" w:rsidRPr="00C6052E">
        <w:t xml:space="preserve"> </w:t>
      </w:r>
      <w:r w:rsidRPr="00C6052E">
        <w:t>sufficient</w:t>
      </w:r>
      <w:r w:rsidR="00177848" w:rsidRPr="00C6052E">
        <w:t xml:space="preserve"> </w:t>
      </w:r>
      <w:r w:rsidRPr="00C6052E">
        <w:t>reliability.</w:t>
      </w:r>
    </w:p>
    <w:p w14:paraId="35129869" w14:textId="4082AEBD" w:rsidR="00EE5BB8" w:rsidRPr="00C6052E" w:rsidRDefault="00EE5BB8" w:rsidP="00EE5BB8">
      <w:r w:rsidRPr="00C6052E">
        <w:t>Contingent</w:t>
      </w:r>
      <w:r w:rsidR="00177848" w:rsidRPr="00C6052E">
        <w:t xml:space="preserve"> </w:t>
      </w:r>
      <w:r w:rsidRPr="00C6052E">
        <w:t>liabilities</w:t>
      </w:r>
      <w:r w:rsidR="00177848" w:rsidRPr="00C6052E">
        <w:t xml:space="preserve"> </w:t>
      </w:r>
      <w:r w:rsidRPr="00C6052E">
        <w:t>are</w:t>
      </w:r>
      <w:r w:rsidR="00177848" w:rsidRPr="00C6052E">
        <w:t xml:space="preserve"> </w:t>
      </w:r>
      <w:r w:rsidRPr="00C6052E">
        <w:t>also</w:t>
      </w:r>
      <w:r w:rsidR="00177848" w:rsidRPr="00C6052E">
        <w:t xml:space="preserve"> </w:t>
      </w:r>
      <w:r w:rsidRPr="00C6052E">
        <w:t>classified</w:t>
      </w:r>
      <w:r w:rsidR="00177848" w:rsidRPr="00C6052E">
        <w:t xml:space="preserve"> </w:t>
      </w:r>
      <w:r w:rsidRPr="00C6052E">
        <w:t>as</w:t>
      </w:r>
      <w:r w:rsidR="00177848" w:rsidRPr="00C6052E">
        <w:t xml:space="preserve"> </w:t>
      </w:r>
      <w:r w:rsidRPr="00C6052E">
        <w:t>either</w:t>
      </w:r>
      <w:r w:rsidR="00177848" w:rsidRPr="00C6052E">
        <w:t xml:space="preserve"> </w:t>
      </w:r>
      <w:r w:rsidRPr="00C6052E">
        <w:t>quantifiable</w:t>
      </w:r>
      <w:r w:rsidR="00177848" w:rsidRPr="00C6052E">
        <w:t xml:space="preserve"> </w:t>
      </w:r>
      <w:r w:rsidRPr="00C6052E">
        <w:t>or</w:t>
      </w:r>
      <w:r w:rsidR="00177848" w:rsidRPr="00C6052E">
        <w:t xml:space="preserve"> </w:t>
      </w:r>
      <w:r w:rsidRPr="00C6052E">
        <w:t>non-quantifiable.</w:t>
      </w:r>
    </w:p>
    <w:p w14:paraId="256DC73E" w14:textId="60A8DC19" w:rsidR="00EE5BB8" w:rsidRPr="00C6052E" w:rsidRDefault="00EE5BB8" w:rsidP="00EE5BB8">
      <w:r w:rsidRPr="00C6052E">
        <w:t>Contingent</w:t>
      </w:r>
      <w:r w:rsidR="00177848" w:rsidRPr="00C6052E">
        <w:t xml:space="preserve"> </w:t>
      </w:r>
      <w:r w:rsidRPr="00C6052E">
        <w:t>assets</w:t>
      </w:r>
      <w:r w:rsidR="00177848" w:rsidRPr="00C6052E">
        <w:t xml:space="preserve"> </w:t>
      </w:r>
      <w:r w:rsidRPr="00C6052E">
        <w:t>and</w:t>
      </w:r>
      <w:r w:rsidR="00177848" w:rsidRPr="00C6052E">
        <w:t xml:space="preserve"> </w:t>
      </w:r>
      <w:r w:rsidRPr="00C6052E">
        <w:t>contingent</w:t>
      </w:r>
      <w:r w:rsidR="00177848" w:rsidRPr="00C6052E">
        <w:t xml:space="preserve"> </w:t>
      </w:r>
      <w:r w:rsidRPr="00C6052E">
        <w:t>liabilities</w:t>
      </w:r>
      <w:r w:rsidR="00177848" w:rsidRPr="00C6052E">
        <w:t xml:space="preserve"> </w:t>
      </w:r>
      <w:r w:rsidRPr="00C6052E">
        <w:t>that</w:t>
      </w:r>
      <w:r w:rsidR="00177848" w:rsidRPr="00C6052E">
        <w:t xml:space="preserve"> </w:t>
      </w:r>
      <w:r w:rsidRPr="00C6052E">
        <w:t>relate</w:t>
      </w:r>
      <w:r w:rsidR="00177848" w:rsidRPr="00C6052E">
        <w:t xml:space="preserve"> </w:t>
      </w:r>
      <w:r w:rsidRPr="00C6052E">
        <w:t>to</w:t>
      </w:r>
      <w:r w:rsidR="00177848" w:rsidRPr="00C6052E">
        <w:t xml:space="preserve"> </w:t>
      </w:r>
      <w:r w:rsidRPr="00C6052E">
        <w:t>functions</w:t>
      </w:r>
      <w:r w:rsidR="00177848" w:rsidRPr="00C6052E">
        <w:t xml:space="preserve"> </w:t>
      </w:r>
      <w:r w:rsidRPr="00C6052E">
        <w:t>transferred</w:t>
      </w:r>
      <w:r w:rsidR="00177848" w:rsidRPr="00C6052E">
        <w:t xml:space="preserve"> </w:t>
      </w:r>
      <w:r w:rsidRPr="00C6052E">
        <w:t>out</w:t>
      </w:r>
      <w:r w:rsidR="00177848" w:rsidRPr="00C6052E">
        <w:t xml:space="preserve"> </w:t>
      </w:r>
      <w:r w:rsidRPr="00C6052E">
        <w:t>as</w:t>
      </w:r>
      <w:r w:rsidR="00177848" w:rsidRPr="00C6052E">
        <w:t xml:space="preserve"> </w:t>
      </w:r>
      <w:r w:rsidRPr="00C6052E">
        <w:t>part</w:t>
      </w:r>
      <w:r w:rsidR="00177848" w:rsidRPr="00C6052E">
        <w:t xml:space="preserve"> </w:t>
      </w:r>
      <w:r w:rsidRPr="00C6052E">
        <w:t>of</w:t>
      </w:r>
      <w:r w:rsidR="00177848" w:rsidRPr="00C6052E">
        <w:t xml:space="preserve"> </w:t>
      </w:r>
      <w:r w:rsidRPr="00C6052E">
        <w:t>the</w:t>
      </w:r>
      <w:r w:rsidR="00177848" w:rsidRPr="00C6052E">
        <w:t xml:space="preserve"> </w:t>
      </w:r>
      <w:r w:rsidRPr="00C6052E">
        <w:t>machinery</w:t>
      </w:r>
      <w:r w:rsidR="00177848" w:rsidRPr="00C6052E">
        <w:t xml:space="preserve"> </w:t>
      </w:r>
      <w:r w:rsidRPr="00C6052E">
        <w:t>of</w:t>
      </w:r>
      <w:r w:rsidR="00177848" w:rsidRPr="00C6052E">
        <w:t xml:space="preserve"> </w:t>
      </w:r>
      <w:r w:rsidRPr="00C6052E">
        <w:t>government</w:t>
      </w:r>
      <w:r w:rsidR="00177848" w:rsidRPr="00C6052E">
        <w:t xml:space="preserve"> </w:t>
      </w:r>
      <w:r w:rsidRPr="00C6052E">
        <w:t>changes</w:t>
      </w:r>
      <w:r w:rsidR="00177848" w:rsidRPr="00C6052E">
        <w:t xml:space="preserve"> </w:t>
      </w:r>
      <w:r w:rsidRPr="00C6052E">
        <w:t>have</w:t>
      </w:r>
      <w:r w:rsidR="00177848" w:rsidRPr="00C6052E">
        <w:t xml:space="preserve"> </w:t>
      </w:r>
      <w:r w:rsidRPr="00C6052E">
        <w:t>been</w:t>
      </w:r>
      <w:r w:rsidR="00177848" w:rsidRPr="00C6052E">
        <w:t xml:space="preserve"> </w:t>
      </w:r>
      <w:r w:rsidRPr="00C6052E">
        <w:t>transferred</w:t>
      </w:r>
      <w:r w:rsidR="00177848" w:rsidRPr="00C6052E">
        <w:t xml:space="preserve"> </w:t>
      </w:r>
      <w:r w:rsidRPr="00C6052E">
        <w:t>out</w:t>
      </w:r>
      <w:r w:rsidR="00177848" w:rsidRPr="00C6052E">
        <w:t xml:space="preserve"> </w:t>
      </w:r>
      <w:r w:rsidRPr="00C6052E">
        <w:t>of</w:t>
      </w:r>
      <w:r w:rsidR="00177848" w:rsidRPr="00C6052E">
        <w:t xml:space="preserve"> </w:t>
      </w:r>
      <w:r w:rsidRPr="00C6052E">
        <w:t>DJSIR</w:t>
      </w:r>
      <w:r w:rsidR="00177848" w:rsidRPr="00C6052E">
        <w:t xml:space="preserve"> </w:t>
      </w:r>
      <w:r w:rsidRPr="00C6052E">
        <w:t>and</w:t>
      </w:r>
      <w:r w:rsidR="00177848" w:rsidRPr="00C6052E">
        <w:t xml:space="preserve"> </w:t>
      </w:r>
      <w:r w:rsidRPr="00C6052E">
        <w:t>those</w:t>
      </w:r>
      <w:r w:rsidR="00177848" w:rsidRPr="00C6052E">
        <w:t xml:space="preserve"> </w:t>
      </w:r>
      <w:r w:rsidRPr="00C6052E">
        <w:t>relating</w:t>
      </w:r>
      <w:r w:rsidR="00177848" w:rsidRPr="00C6052E">
        <w:t xml:space="preserve"> </w:t>
      </w:r>
      <w:r w:rsidRPr="00C6052E">
        <w:t>to</w:t>
      </w:r>
      <w:r w:rsidR="00177848" w:rsidRPr="00C6052E">
        <w:t xml:space="preserve"> </w:t>
      </w:r>
      <w:r w:rsidRPr="00C6052E">
        <w:t>functions</w:t>
      </w:r>
      <w:r w:rsidR="00177848" w:rsidRPr="00C6052E">
        <w:t xml:space="preserve"> </w:t>
      </w:r>
      <w:r w:rsidRPr="00C6052E">
        <w:t>transferred</w:t>
      </w:r>
      <w:r w:rsidR="00177848" w:rsidRPr="00C6052E">
        <w:t xml:space="preserve"> </w:t>
      </w:r>
      <w:r w:rsidRPr="00C6052E">
        <w:t>into</w:t>
      </w:r>
      <w:r w:rsidR="00177848" w:rsidRPr="00C6052E">
        <w:t xml:space="preserve"> </w:t>
      </w:r>
      <w:r w:rsidRPr="00C6052E">
        <w:t>DJSIR</w:t>
      </w:r>
      <w:r w:rsidR="00177848" w:rsidRPr="00C6052E">
        <w:t xml:space="preserve"> </w:t>
      </w:r>
      <w:r w:rsidRPr="00C6052E">
        <w:t>have</w:t>
      </w:r>
      <w:r w:rsidR="00177848" w:rsidRPr="00C6052E">
        <w:t xml:space="preserve"> </w:t>
      </w:r>
      <w:r w:rsidRPr="00C6052E">
        <w:t>been</w:t>
      </w:r>
      <w:r w:rsidR="00177848" w:rsidRPr="00C6052E">
        <w:t xml:space="preserve"> </w:t>
      </w:r>
      <w:r w:rsidRPr="00C6052E">
        <w:t>included</w:t>
      </w:r>
      <w:r w:rsidR="00177848" w:rsidRPr="00C6052E">
        <w:t xml:space="preserve"> </w:t>
      </w:r>
      <w:r w:rsidRPr="00C6052E">
        <w:t>below.</w:t>
      </w:r>
    </w:p>
    <w:p w14:paraId="7F8159DB" w14:textId="568181AE" w:rsidR="00EE5BB8" w:rsidRPr="00C6052E" w:rsidRDefault="00C6052E" w:rsidP="00E9084D">
      <w:pPr>
        <w:pStyle w:val="TableHeading"/>
      </w:pPr>
      <w:r w:rsidRPr="00C6052E">
        <w:t>Quantifiable</w:t>
      </w:r>
      <w:r w:rsidR="00177848" w:rsidRPr="00C6052E">
        <w:t xml:space="preserve"> </w:t>
      </w:r>
      <w:r w:rsidRPr="00C6052E">
        <w:t>contingent</w:t>
      </w:r>
      <w:r w:rsidR="00177848" w:rsidRPr="00C6052E">
        <w:t xml:space="preserve"> </w:t>
      </w:r>
      <w:r w:rsidRPr="00C6052E">
        <w:t>liabilities</w:t>
      </w:r>
      <w:r w:rsidR="00177848" w:rsidRPr="00C6052E">
        <w:t xml:space="preserve"> </w:t>
      </w:r>
      <w:r w:rsidRPr="00C6052E">
        <w:t>as</w:t>
      </w:r>
      <w:r w:rsidR="00177848" w:rsidRPr="00C6052E">
        <w:t xml:space="preserve"> </w:t>
      </w:r>
      <w:r w:rsidRPr="00C6052E">
        <w:t>at</w:t>
      </w:r>
      <w:r w:rsidR="00177848" w:rsidRPr="00C6052E">
        <w:t xml:space="preserve"> </w:t>
      </w:r>
      <w:r w:rsidR="00EE5BB8" w:rsidRPr="00C6052E">
        <w:t>30</w:t>
      </w:r>
      <w:r w:rsidR="00177848" w:rsidRPr="00C6052E">
        <w:t xml:space="preserve"> </w:t>
      </w:r>
      <w:r w:rsidR="00E9084D" w:rsidRPr="00C6052E">
        <w:t>June</w:t>
      </w:r>
    </w:p>
    <w:tbl>
      <w:tblPr>
        <w:tblStyle w:val="TableGrid"/>
        <w:tblW w:w="5897" w:type="dxa"/>
        <w:tblLayout w:type="fixed"/>
        <w:tblLook w:val="04E0" w:firstRow="1" w:lastRow="1" w:firstColumn="1" w:lastColumn="0" w:noHBand="0" w:noVBand="1"/>
      </w:tblPr>
      <w:tblGrid>
        <w:gridCol w:w="2835"/>
        <w:gridCol w:w="1531"/>
        <w:gridCol w:w="1531"/>
      </w:tblGrid>
      <w:tr w:rsidR="00EE5BB8" w:rsidRPr="00C6052E" w14:paraId="763F6902" w14:textId="77777777" w:rsidTr="00E9084D">
        <w:tc>
          <w:tcPr>
            <w:tcW w:w="2835" w:type="dxa"/>
            <w:noWrap/>
            <w:hideMark/>
          </w:tcPr>
          <w:p w14:paraId="1EE39B9D" w14:textId="77777777" w:rsidR="00EE5BB8" w:rsidRPr="00C6052E" w:rsidRDefault="00EE5BB8" w:rsidP="0035690A">
            <w:pPr>
              <w:pStyle w:val="TableColumnHeading"/>
            </w:pPr>
            <w:bookmarkStart w:id="328" w:name="TableColumnHeadings_96"/>
            <w:bookmarkEnd w:id="328"/>
          </w:p>
        </w:tc>
        <w:tc>
          <w:tcPr>
            <w:tcW w:w="1531" w:type="dxa"/>
            <w:hideMark/>
          </w:tcPr>
          <w:p w14:paraId="1CD5A829" w14:textId="5E5E3237" w:rsidR="00EE5BB8" w:rsidRPr="00C6052E" w:rsidRDefault="00EE5BB8" w:rsidP="00E9084D">
            <w:pPr>
              <w:pStyle w:val="TableColumnHeading"/>
              <w:jc w:val="right"/>
            </w:pPr>
            <w:r w:rsidRPr="00C6052E">
              <w:t>2025</w:t>
            </w:r>
            <w:r w:rsidR="00E9084D">
              <w:t xml:space="preserve"> </w:t>
            </w:r>
            <w:r w:rsidR="00E9084D">
              <w:br/>
            </w:r>
            <w:r w:rsidR="00E9084D" w:rsidRPr="00C6052E">
              <w:rPr>
                <w:lang w:val="en-AU"/>
              </w:rPr>
              <w:t>($ thousand)</w:t>
            </w:r>
          </w:p>
        </w:tc>
        <w:tc>
          <w:tcPr>
            <w:tcW w:w="1531" w:type="dxa"/>
            <w:hideMark/>
          </w:tcPr>
          <w:p w14:paraId="4BA0E35E" w14:textId="0480DB00" w:rsidR="00EE5BB8" w:rsidRPr="00C6052E" w:rsidRDefault="00EE5BB8" w:rsidP="00E9084D">
            <w:pPr>
              <w:pStyle w:val="TableColumnHeading"/>
              <w:jc w:val="right"/>
            </w:pPr>
            <w:r w:rsidRPr="00C6052E">
              <w:t>2024</w:t>
            </w:r>
            <w:r w:rsidR="00E9084D">
              <w:br/>
            </w:r>
            <w:r w:rsidR="00E9084D" w:rsidRPr="00C6052E">
              <w:rPr>
                <w:lang w:val="en-AU"/>
              </w:rPr>
              <w:t>($ thousand)</w:t>
            </w:r>
          </w:p>
        </w:tc>
      </w:tr>
      <w:tr w:rsidR="00EE5BB8" w:rsidRPr="00C6052E" w14:paraId="63E72EF9" w14:textId="77777777" w:rsidTr="00E9084D">
        <w:tc>
          <w:tcPr>
            <w:tcW w:w="2835" w:type="dxa"/>
            <w:hideMark/>
          </w:tcPr>
          <w:p w14:paraId="79AC6616" w14:textId="7B69D072" w:rsidR="00EE5BB8" w:rsidRPr="00C6052E" w:rsidRDefault="00EE5BB8" w:rsidP="0063097D">
            <w:pPr>
              <w:pStyle w:val="TableCopy"/>
            </w:pPr>
            <w:r w:rsidRPr="00C6052E">
              <w:t>Legal</w:t>
            </w:r>
            <w:r w:rsidR="00177848" w:rsidRPr="00C6052E">
              <w:t xml:space="preserve"> </w:t>
            </w:r>
            <w:r w:rsidRPr="00C6052E">
              <w:t>disputes</w:t>
            </w:r>
          </w:p>
        </w:tc>
        <w:tc>
          <w:tcPr>
            <w:tcW w:w="1531" w:type="dxa"/>
            <w:noWrap/>
            <w:hideMark/>
          </w:tcPr>
          <w:p w14:paraId="65D55DA4" w14:textId="77777777" w:rsidR="00EE5BB8" w:rsidRPr="00C6052E" w:rsidRDefault="00EE5BB8" w:rsidP="00E9084D">
            <w:pPr>
              <w:pStyle w:val="TableCopy"/>
              <w:jc w:val="right"/>
            </w:pPr>
            <w:r w:rsidRPr="00C6052E">
              <w:t>639</w:t>
            </w:r>
          </w:p>
        </w:tc>
        <w:tc>
          <w:tcPr>
            <w:tcW w:w="1531" w:type="dxa"/>
            <w:noWrap/>
            <w:hideMark/>
          </w:tcPr>
          <w:p w14:paraId="45763BF6" w14:textId="77777777" w:rsidR="00EE5BB8" w:rsidRPr="00C6052E" w:rsidRDefault="00EE5BB8" w:rsidP="00E9084D">
            <w:pPr>
              <w:pStyle w:val="TableCopy"/>
              <w:jc w:val="right"/>
            </w:pPr>
            <w:r w:rsidRPr="00C6052E">
              <w:t>60</w:t>
            </w:r>
          </w:p>
        </w:tc>
      </w:tr>
      <w:tr w:rsidR="00EE5BB8" w:rsidRPr="00C6052E" w14:paraId="110C4125" w14:textId="77777777" w:rsidTr="00E9084D">
        <w:tc>
          <w:tcPr>
            <w:tcW w:w="2835" w:type="dxa"/>
            <w:hideMark/>
          </w:tcPr>
          <w:p w14:paraId="3701E1CC" w14:textId="5BA5FA0E" w:rsidR="00EE5BB8" w:rsidRPr="00C6052E" w:rsidRDefault="00EE5BB8" w:rsidP="0063097D">
            <w:pPr>
              <w:pStyle w:val="TableCopy"/>
            </w:pPr>
            <w:r w:rsidRPr="00C6052E">
              <w:t>Insurance</w:t>
            </w:r>
            <w:r w:rsidR="00177848" w:rsidRPr="00C6052E">
              <w:t xml:space="preserve"> </w:t>
            </w:r>
            <w:r w:rsidRPr="00C6052E">
              <w:t>claims</w:t>
            </w:r>
            <w:r w:rsidR="00177848" w:rsidRPr="00C6052E">
              <w:t xml:space="preserve"> </w:t>
            </w:r>
          </w:p>
        </w:tc>
        <w:tc>
          <w:tcPr>
            <w:tcW w:w="1531" w:type="dxa"/>
            <w:noWrap/>
            <w:hideMark/>
          </w:tcPr>
          <w:p w14:paraId="5E4012B1" w14:textId="77777777" w:rsidR="00EE5BB8" w:rsidRPr="00C6052E" w:rsidRDefault="00EE5BB8" w:rsidP="00E9084D">
            <w:pPr>
              <w:pStyle w:val="TableCopy"/>
              <w:jc w:val="right"/>
            </w:pPr>
            <w:r w:rsidRPr="00C6052E">
              <w:t>702</w:t>
            </w:r>
          </w:p>
        </w:tc>
        <w:tc>
          <w:tcPr>
            <w:tcW w:w="1531" w:type="dxa"/>
            <w:noWrap/>
            <w:hideMark/>
          </w:tcPr>
          <w:p w14:paraId="5B1A0A5C" w14:textId="77777777" w:rsidR="00EE5BB8" w:rsidRPr="00C6052E" w:rsidRDefault="00EE5BB8" w:rsidP="00E9084D">
            <w:pPr>
              <w:pStyle w:val="TableCopy"/>
              <w:jc w:val="right"/>
            </w:pPr>
            <w:r w:rsidRPr="00C6052E">
              <w:t>911</w:t>
            </w:r>
          </w:p>
        </w:tc>
      </w:tr>
      <w:tr w:rsidR="00EE5BB8" w:rsidRPr="00C6052E" w14:paraId="20888A1B" w14:textId="77777777" w:rsidTr="00E9084D">
        <w:tc>
          <w:tcPr>
            <w:tcW w:w="2835" w:type="dxa"/>
            <w:hideMark/>
          </w:tcPr>
          <w:p w14:paraId="1E2BD421" w14:textId="2619EA71" w:rsidR="00EE5BB8" w:rsidRPr="00C6052E" w:rsidRDefault="00EE5BB8" w:rsidP="0063097D">
            <w:pPr>
              <w:pStyle w:val="Tabletotal"/>
            </w:pPr>
            <w:r w:rsidRPr="00C6052E">
              <w:t>Total</w:t>
            </w:r>
            <w:r w:rsidR="00177848" w:rsidRPr="00C6052E">
              <w:t xml:space="preserve"> </w:t>
            </w:r>
            <w:r w:rsidRPr="00C6052E">
              <w:t>contingent</w:t>
            </w:r>
            <w:r w:rsidR="00177848" w:rsidRPr="00C6052E">
              <w:t xml:space="preserve"> </w:t>
            </w:r>
            <w:r w:rsidRPr="00C6052E">
              <w:t>liabilities</w:t>
            </w:r>
          </w:p>
        </w:tc>
        <w:tc>
          <w:tcPr>
            <w:tcW w:w="1531" w:type="dxa"/>
            <w:noWrap/>
            <w:hideMark/>
          </w:tcPr>
          <w:p w14:paraId="1275A57F" w14:textId="77777777" w:rsidR="00EE5BB8" w:rsidRPr="00C6052E" w:rsidRDefault="00EE5BB8" w:rsidP="00E9084D">
            <w:pPr>
              <w:pStyle w:val="Tabletotal"/>
              <w:jc w:val="right"/>
            </w:pPr>
            <w:r w:rsidRPr="00C6052E">
              <w:t>1,341</w:t>
            </w:r>
          </w:p>
        </w:tc>
        <w:tc>
          <w:tcPr>
            <w:tcW w:w="1531" w:type="dxa"/>
            <w:noWrap/>
            <w:hideMark/>
          </w:tcPr>
          <w:p w14:paraId="465AB2C2" w14:textId="77777777" w:rsidR="00EE5BB8" w:rsidRPr="00C6052E" w:rsidRDefault="00EE5BB8" w:rsidP="00E9084D">
            <w:pPr>
              <w:pStyle w:val="Tabletotal"/>
              <w:jc w:val="right"/>
            </w:pPr>
            <w:r w:rsidRPr="00C6052E">
              <w:t>971</w:t>
            </w:r>
          </w:p>
        </w:tc>
      </w:tr>
    </w:tbl>
    <w:p w14:paraId="3126E82E" w14:textId="77777777" w:rsidR="00EE5BB8" w:rsidRPr="00C6052E" w:rsidRDefault="00EE5BB8" w:rsidP="00EE5BB8">
      <w:pPr>
        <w:spacing w:after="0"/>
      </w:pPr>
    </w:p>
    <w:p w14:paraId="3CA5F34B" w14:textId="63131D64" w:rsidR="00EE5BB8" w:rsidRPr="00C6052E" w:rsidRDefault="00EE5BB8" w:rsidP="00E9084D">
      <w:pPr>
        <w:pStyle w:val="Heading3"/>
      </w:pPr>
      <w:bookmarkStart w:id="329" w:name="_Hlk208934209"/>
      <w:r w:rsidRPr="00C6052E">
        <w:t>Non–quantifiable</w:t>
      </w:r>
      <w:r w:rsidR="00177848" w:rsidRPr="00C6052E">
        <w:t xml:space="preserve"> </w:t>
      </w:r>
      <w:r w:rsidRPr="00C6052E">
        <w:t>contingent</w:t>
      </w:r>
      <w:r w:rsidR="00177848" w:rsidRPr="00C6052E">
        <w:t xml:space="preserve"> </w:t>
      </w:r>
      <w:r w:rsidRPr="00C6052E">
        <w:t>liabilities</w:t>
      </w:r>
    </w:p>
    <w:p w14:paraId="45736222" w14:textId="2D6D4FD4" w:rsidR="00EE5BB8" w:rsidRPr="00C6052E" w:rsidRDefault="00EE5BB8" w:rsidP="00EE5BB8">
      <w:r w:rsidRPr="00C6052E">
        <w:t>A</w:t>
      </w:r>
      <w:r w:rsidR="00177848" w:rsidRPr="00C6052E">
        <w:t xml:space="preserve"> </w:t>
      </w:r>
      <w:r w:rsidRPr="00C6052E">
        <w:t>class</w:t>
      </w:r>
      <w:r w:rsidR="00177848" w:rsidRPr="00C6052E">
        <w:t xml:space="preserve"> </w:t>
      </w:r>
      <w:r w:rsidRPr="00C6052E">
        <w:t>action</w:t>
      </w:r>
      <w:r w:rsidR="00177848" w:rsidRPr="00C6052E">
        <w:t xml:space="preserve"> </w:t>
      </w:r>
      <w:r w:rsidRPr="00C6052E">
        <w:t>has</w:t>
      </w:r>
      <w:r w:rsidR="00177848" w:rsidRPr="00C6052E">
        <w:t xml:space="preserve"> </w:t>
      </w:r>
      <w:r w:rsidRPr="00C6052E">
        <w:t>been</w:t>
      </w:r>
      <w:r w:rsidR="00177848" w:rsidRPr="00C6052E">
        <w:t xml:space="preserve"> </w:t>
      </w:r>
      <w:r w:rsidRPr="00C6052E">
        <w:t>filed</w:t>
      </w:r>
      <w:r w:rsidR="00177848" w:rsidRPr="00C6052E">
        <w:t xml:space="preserve"> </w:t>
      </w:r>
      <w:r w:rsidRPr="00C6052E">
        <w:t>in</w:t>
      </w:r>
      <w:r w:rsidR="00177848" w:rsidRPr="00C6052E">
        <w:t xml:space="preserve"> </w:t>
      </w:r>
      <w:r w:rsidRPr="00C6052E">
        <w:t>the</w:t>
      </w:r>
      <w:r w:rsidR="00177848" w:rsidRPr="00C6052E">
        <w:t xml:space="preserve"> </w:t>
      </w:r>
      <w:r w:rsidRPr="00C6052E">
        <w:t>Supreme</w:t>
      </w:r>
      <w:r w:rsidR="00177848" w:rsidRPr="00C6052E">
        <w:t xml:space="preserve"> </w:t>
      </w:r>
      <w:r w:rsidRPr="00C6052E">
        <w:t>Court</w:t>
      </w:r>
      <w:r w:rsidR="00177848" w:rsidRPr="00C6052E">
        <w:t xml:space="preserve"> </w:t>
      </w:r>
      <w:r w:rsidRPr="00C6052E">
        <w:t>of</w:t>
      </w:r>
      <w:r w:rsidR="00177848" w:rsidRPr="00C6052E">
        <w:t xml:space="preserve"> </w:t>
      </w:r>
      <w:r w:rsidRPr="00C6052E">
        <w:t>Victoria</w:t>
      </w:r>
      <w:r w:rsidR="00177848" w:rsidRPr="00C6052E">
        <w:t xml:space="preserve"> </w:t>
      </w:r>
      <w:r w:rsidRPr="00C6052E">
        <w:t>against</w:t>
      </w:r>
      <w:r w:rsidR="00177848" w:rsidRPr="00C6052E">
        <w:t xml:space="preserve"> </w:t>
      </w:r>
      <w:r w:rsidRPr="00C6052E">
        <w:t>the</w:t>
      </w:r>
      <w:r w:rsidR="00177848" w:rsidRPr="00C6052E">
        <w:t xml:space="preserve"> </w:t>
      </w:r>
      <w:r w:rsidRPr="00C6052E">
        <w:t>State</w:t>
      </w:r>
      <w:r w:rsidR="00177848" w:rsidRPr="00C6052E">
        <w:t xml:space="preserve"> </w:t>
      </w:r>
      <w:r w:rsidRPr="00C6052E">
        <w:t>of</w:t>
      </w:r>
      <w:r w:rsidR="00177848" w:rsidRPr="00C6052E">
        <w:t xml:space="preserve"> </w:t>
      </w:r>
      <w:r w:rsidRPr="00C6052E">
        <w:t>Victoria,</w:t>
      </w:r>
      <w:r w:rsidR="00177848" w:rsidRPr="00C6052E">
        <w:t xml:space="preserve"> </w:t>
      </w:r>
      <w:r w:rsidRPr="00C6052E">
        <w:t>the</w:t>
      </w:r>
      <w:r w:rsidR="00177848" w:rsidRPr="00C6052E">
        <w:t xml:space="preserve"> </w:t>
      </w:r>
      <w:r w:rsidRPr="00C6052E">
        <w:t>former</w:t>
      </w:r>
      <w:r w:rsidR="00177848" w:rsidRPr="00C6052E">
        <w:t xml:space="preserve"> </w:t>
      </w:r>
      <w:r w:rsidRPr="00C6052E">
        <w:t>Minister</w:t>
      </w:r>
      <w:r w:rsidR="00177848" w:rsidRPr="00C6052E">
        <w:t xml:space="preserve"> </w:t>
      </w:r>
      <w:r w:rsidRPr="00C6052E">
        <w:t>for</w:t>
      </w:r>
      <w:r w:rsidR="00177848" w:rsidRPr="00C6052E">
        <w:t xml:space="preserve"> </w:t>
      </w:r>
      <w:r w:rsidRPr="00C6052E">
        <w:t>Jobs,</w:t>
      </w:r>
      <w:r w:rsidR="00177848" w:rsidRPr="00C6052E">
        <w:t xml:space="preserve"> </w:t>
      </w:r>
      <w:r w:rsidRPr="00C6052E">
        <w:t>and</w:t>
      </w:r>
      <w:r w:rsidR="00177848" w:rsidRPr="00C6052E">
        <w:t xml:space="preserve"> </w:t>
      </w:r>
      <w:r w:rsidRPr="00C6052E">
        <w:t>the</w:t>
      </w:r>
      <w:r w:rsidR="00177848" w:rsidRPr="00C6052E">
        <w:t xml:space="preserve"> </w:t>
      </w:r>
      <w:r w:rsidRPr="00C6052E">
        <w:t>former</w:t>
      </w:r>
      <w:r w:rsidR="00177848" w:rsidRPr="00C6052E">
        <w:t xml:space="preserve"> </w:t>
      </w:r>
      <w:r w:rsidRPr="00C6052E">
        <w:t>Secretary</w:t>
      </w:r>
      <w:r w:rsidR="00177848" w:rsidRPr="00C6052E">
        <w:t xml:space="preserve"> </w:t>
      </w:r>
      <w:r w:rsidRPr="00C6052E">
        <w:t>of</w:t>
      </w:r>
      <w:r w:rsidR="00177848" w:rsidRPr="00C6052E">
        <w:t xml:space="preserve"> </w:t>
      </w:r>
      <w:r w:rsidRPr="00C6052E">
        <w:t>the</w:t>
      </w:r>
      <w:r w:rsidR="00177848" w:rsidRPr="00C6052E">
        <w:t xml:space="preserve"> </w:t>
      </w:r>
      <w:r w:rsidRPr="00C6052E">
        <w:t>former</w:t>
      </w:r>
      <w:r w:rsidR="00177848" w:rsidRPr="00C6052E">
        <w:t xml:space="preserve"> </w:t>
      </w:r>
      <w:r w:rsidRPr="00C6052E">
        <w:t>Department</w:t>
      </w:r>
      <w:r w:rsidR="00177848" w:rsidRPr="00C6052E">
        <w:t xml:space="preserve"> </w:t>
      </w:r>
      <w:r w:rsidRPr="00C6052E">
        <w:t>of</w:t>
      </w:r>
      <w:r w:rsidR="00177848" w:rsidRPr="00C6052E">
        <w:t xml:space="preserve"> </w:t>
      </w:r>
      <w:r w:rsidRPr="00C6052E">
        <w:t>Jobs,</w:t>
      </w:r>
      <w:r w:rsidR="00177848" w:rsidRPr="00C6052E">
        <w:t xml:space="preserve"> </w:t>
      </w:r>
      <w:r w:rsidRPr="00C6052E">
        <w:t>Precincts</w:t>
      </w:r>
      <w:r w:rsidR="00177848" w:rsidRPr="00C6052E">
        <w:t xml:space="preserve"> </w:t>
      </w:r>
      <w:r w:rsidRPr="00C6052E">
        <w:t>and</w:t>
      </w:r>
      <w:r w:rsidR="00177848" w:rsidRPr="00C6052E">
        <w:t xml:space="preserve"> </w:t>
      </w:r>
      <w:r w:rsidRPr="00C6052E">
        <w:t>Regions</w:t>
      </w:r>
      <w:r w:rsidR="00177848" w:rsidRPr="00C6052E">
        <w:t xml:space="preserve"> </w:t>
      </w:r>
      <w:r w:rsidRPr="00C6052E">
        <w:t>relating</w:t>
      </w:r>
      <w:r w:rsidR="00177848" w:rsidRPr="00C6052E">
        <w:t xml:space="preserve"> </w:t>
      </w:r>
      <w:r w:rsidRPr="00C6052E">
        <w:t>to</w:t>
      </w:r>
      <w:r w:rsidR="00177848" w:rsidRPr="00C6052E">
        <w:t xml:space="preserve"> </w:t>
      </w:r>
      <w:r w:rsidRPr="00C6052E">
        <w:t>economic</w:t>
      </w:r>
      <w:r w:rsidR="00177848" w:rsidRPr="00C6052E">
        <w:t xml:space="preserve"> </w:t>
      </w:r>
      <w:r w:rsidRPr="00C6052E">
        <w:t>losses</w:t>
      </w:r>
      <w:r w:rsidR="00177848" w:rsidRPr="00C6052E">
        <w:t xml:space="preserve"> </w:t>
      </w:r>
      <w:r w:rsidRPr="00C6052E">
        <w:t>suffered</w:t>
      </w:r>
      <w:r w:rsidR="00177848" w:rsidRPr="00C6052E">
        <w:t xml:space="preserve"> </w:t>
      </w:r>
      <w:r w:rsidRPr="00C6052E">
        <w:t>by</w:t>
      </w:r>
      <w:r w:rsidR="00177848" w:rsidRPr="00C6052E">
        <w:t xml:space="preserve"> </w:t>
      </w:r>
      <w:r w:rsidRPr="00C6052E">
        <w:t>Victorian</w:t>
      </w:r>
      <w:r w:rsidR="00177848" w:rsidRPr="00C6052E">
        <w:t xml:space="preserve"> </w:t>
      </w:r>
      <w:r w:rsidRPr="00C6052E">
        <w:t>businesses</w:t>
      </w:r>
      <w:r w:rsidR="00177848" w:rsidRPr="00C6052E">
        <w:t xml:space="preserve"> </w:t>
      </w:r>
      <w:r w:rsidRPr="00C6052E">
        <w:t>under</w:t>
      </w:r>
      <w:r w:rsidR="00177848" w:rsidRPr="00C6052E">
        <w:t xml:space="preserve"> </w:t>
      </w:r>
      <w:r w:rsidRPr="00C6052E">
        <w:t>Stage</w:t>
      </w:r>
      <w:r w:rsidR="00177848" w:rsidRPr="00C6052E">
        <w:t xml:space="preserve"> </w:t>
      </w:r>
      <w:r w:rsidRPr="00C6052E">
        <w:t>3</w:t>
      </w:r>
      <w:r w:rsidR="00177848" w:rsidRPr="00C6052E">
        <w:t xml:space="preserve"> </w:t>
      </w:r>
      <w:r w:rsidRPr="00C6052E">
        <w:t>and</w:t>
      </w:r>
      <w:r w:rsidR="00177848" w:rsidRPr="00C6052E">
        <w:t xml:space="preserve"> </w:t>
      </w:r>
      <w:r w:rsidRPr="00C6052E">
        <w:t>4</w:t>
      </w:r>
      <w:r w:rsidR="00177848" w:rsidRPr="00C6052E">
        <w:t xml:space="preserve"> </w:t>
      </w:r>
      <w:r w:rsidRPr="00C6052E">
        <w:t>public</w:t>
      </w:r>
      <w:r w:rsidR="00177848" w:rsidRPr="00C6052E">
        <w:t xml:space="preserve"> </w:t>
      </w:r>
      <w:r w:rsidRPr="00C6052E">
        <w:t>health</w:t>
      </w:r>
      <w:r w:rsidR="00177848" w:rsidRPr="00C6052E">
        <w:t xml:space="preserve"> </w:t>
      </w:r>
      <w:r w:rsidRPr="00C6052E">
        <w:t>restrictions.</w:t>
      </w:r>
      <w:r w:rsidR="00177848" w:rsidRPr="00C6052E">
        <w:t xml:space="preserve"> </w:t>
      </w:r>
      <w:r w:rsidRPr="00C6052E">
        <w:t>The</w:t>
      </w:r>
      <w:r w:rsidR="00177848" w:rsidRPr="00C6052E">
        <w:t xml:space="preserve"> </w:t>
      </w:r>
      <w:r w:rsidRPr="00C6052E">
        <w:t>Victorian</w:t>
      </w:r>
      <w:r w:rsidR="00177848" w:rsidRPr="00C6052E">
        <w:t xml:space="preserve"> </w:t>
      </w:r>
      <w:r w:rsidRPr="00C6052E">
        <w:t>Managed</w:t>
      </w:r>
      <w:r w:rsidR="00177848" w:rsidRPr="00C6052E">
        <w:t xml:space="preserve"> </w:t>
      </w:r>
      <w:r w:rsidRPr="00C6052E">
        <w:t>Insurance</w:t>
      </w:r>
      <w:r w:rsidR="00177848" w:rsidRPr="00C6052E">
        <w:t xml:space="preserve"> </w:t>
      </w:r>
      <w:r w:rsidRPr="00C6052E">
        <w:t>Authority</w:t>
      </w:r>
      <w:r w:rsidR="00177848" w:rsidRPr="00C6052E">
        <w:t xml:space="preserve"> </w:t>
      </w:r>
      <w:r w:rsidRPr="00C6052E">
        <w:t>(VMIA)</w:t>
      </w:r>
      <w:r w:rsidR="00177848" w:rsidRPr="00C6052E">
        <w:t xml:space="preserve"> </w:t>
      </w:r>
      <w:r w:rsidRPr="00C6052E">
        <w:t>has</w:t>
      </w:r>
      <w:r w:rsidR="00177848" w:rsidRPr="00C6052E">
        <w:t xml:space="preserve"> </w:t>
      </w:r>
      <w:r w:rsidRPr="00C6052E">
        <w:t>been</w:t>
      </w:r>
      <w:r w:rsidR="00177848" w:rsidRPr="00C6052E">
        <w:t xml:space="preserve"> </w:t>
      </w:r>
      <w:r w:rsidRPr="00C6052E">
        <w:t>notified</w:t>
      </w:r>
      <w:r w:rsidR="00177848" w:rsidRPr="00C6052E">
        <w:t xml:space="preserve"> </w:t>
      </w:r>
      <w:r w:rsidRPr="00C6052E">
        <w:t>of</w:t>
      </w:r>
      <w:r w:rsidR="00177848" w:rsidRPr="00C6052E">
        <w:t xml:space="preserve"> </w:t>
      </w:r>
      <w:r w:rsidRPr="00C6052E">
        <w:t>this</w:t>
      </w:r>
      <w:r w:rsidR="00177848" w:rsidRPr="00C6052E">
        <w:t xml:space="preserve"> </w:t>
      </w:r>
      <w:r w:rsidRPr="00C6052E">
        <w:t>proceeding,</w:t>
      </w:r>
      <w:r w:rsidR="00177848" w:rsidRPr="00C6052E">
        <w:t xml:space="preserve"> </w:t>
      </w:r>
      <w:r w:rsidRPr="00C6052E">
        <w:t>and</w:t>
      </w:r>
      <w:r w:rsidR="00177848" w:rsidRPr="00C6052E">
        <w:t xml:space="preserve"> </w:t>
      </w:r>
      <w:r w:rsidRPr="00C6052E">
        <w:t>it</w:t>
      </w:r>
      <w:r w:rsidR="00177848" w:rsidRPr="00C6052E">
        <w:t xml:space="preserve"> </w:t>
      </w:r>
      <w:r w:rsidRPr="00C6052E">
        <w:t>is</w:t>
      </w:r>
      <w:r w:rsidR="00177848" w:rsidRPr="00C6052E">
        <w:t xml:space="preserve"> </w:t>
      </w:r>
      <w:r w:rsidRPr="00C6052E">
        <w:t>intended</w:t>
      </w:r>
      <w:r w:rsidR="00177848" w:rsidRPr="00C6052E">
        <w:t xml:space="preserve"> </w:t>
      </w:r>
      <w:r w:rsidRPr="00C6052E">
        <w:t>that</w:t>
      </w:r>
      <w:r w:rsidR="00177848" w:rsidRPr="00C6052E">
        <w:t xml:space="preserve"> </w:t>
      </w:r>
      <w:r w:rsidRPr="00C6052E">
        <w:t>VMIA’s</w:t>
      </w:r>
      <w:r w:rsidR="00177848" w:rsidRPr="00C6052E">
        <w:t xml:space="preserve"> </w:t>
      </w:r>
      <w:r w:rsidRPr="00C6052E">
        <w:t>Combined</w:t>
      </w:r>
      <w:r w:rsidR="00177848" w:rsidRPr="00C6052E">
        <w:t xml:space="preserve"> </w:t>
      </w:r>
      <w:r w:rsidRPr="00C6052E">
        <w:t>Liability</w:t>
      </w:r>
      <w:r w:rsidR="00177848" w:rsidRPr="00C6052E">
        <w:t xml:space="preserve"> </w:t>
      </w:r>
      <w:r w:rsidRPr="00C6052E">
        <w:t>Policy</w:t>
      </w:r>
      <w:r w:rsidR="00177848" w:rsidRPr="00C6052E">
        <w:t xml:space="preserve"> </w:t>
      </w:r>
      <w:r w:rsidRPr="00C6052E">
        <w:t>will</w:t>
      </w:r>
      <w:r w:rsidR="00177848" w:rsidRPr="00C6052E">
        <w:t xml:space="preserve"> </w:t>
      </w:r>
      <w:r w:rsidRPr="00C6052E">
        <w:t>respond.</w:t>
      </w:r>
    </w:p>
    <w:p w14:paraId="76887CAD" w14:textId="080D4AA5" w:rsidR="00EE5BB8" w:rsidRPr="00C6052E" w:rsidRDefault="00EE5BB8" w:rsidP="00EE5BB8">
      <w:r w:rsidRPr="00C6052E">
        <w:t>At</w:t>
      </w:r>
      <w:r w:rsidR="00177848" w:rsidRPr="00C6052E">
        <w:t xml:space="preserve"> </w:t>
      </w:r>
      <w:r w:rsidRPr="00C6052E">
        <w:t>this</w:t>
      </w:r>
      <w:r w:rsidR="00177848" w:rsidRPr="00C6052E">
        <w:t xml:space="preserve"> </w:t>
      </w:r>
      <w:r w:rsidRPr="00C6052E">
        <w:t>stage</w:t>
      </w:r>
      <w:r w:rsidR="00177848" w:rsidRPr="00C6052E">
        <w:t xml:space="preserve"> </w:t>
      </w:r>
      <w:r w:rsidRPr="00C6052E">
        <w:t>it</w:t>
      </w:r>
      <w:r w:rsidR="00177848" w:rsidRPr="00C6052E">
        <w:t xml:space="preserve"> </w:t>
      </w:r>
      <w:r w:rsidRPr="00C6052E">
        <w:t>is</w:t>
      </w:r>
      <w:r w:rsidR="00177848" w:rsidRPr="00C6052E">
        <w:t xml:space="preserve"> </w:t>
      </w:r>
      <w:r w:rsidRPr="00C6052E">
        <w:t>impractical</w:t>
      </w:r>
      <w:r w:rsidR="00177848" w:rsidRPr="00C6052E">
        <w:t xml:space="preserve"> </w:t>
      </w:r>
      <w:r w:rsidRPr="00C6052E">
        <w:t>to</w:t>
      </w:r>
      <w:r w:rsidR="00177848" w:rsidRPr="00C6052E">
        <w:t xml:space="preserve"> </w:t>
      </w:r>
      <w:r w:rsidRPr="00C6052E">
        <w:t>quantify</w:t>
      </w:r>
      <w:r w:rsidR="00177848" w:rsidRPr="00C6052E">
        <w:t xml:space="preserve"> </w:t>
      </w:r>
      <w:r w:rsidRPr="00C6052E">
        <w:t>the</w:t>
      </w:r>
      <w:r w:rsidR="00177848" w:rsidRPr="00C6052E">
        <w:t xml:space="preserve"> </w:t>
      </w:r>
      <w:r w:rsidRPr="00C6052E">
        <w:t>financial</w:t>
      </w:r>
      <w:r w:rsidR="00177848" w:rsidRPr="00C6052E">
        <w:t xml:space="preserve"> </w:t>
      </w:r>
      <w:r w:rsidRPr="00C6052E">
        <w:t>effects.</w:t>
      </w:r>
      <w:r w:rsidR="00177848" w:rsidRPr="00C6052E">
        <w:t xml:space="preserve"> </w:t>
      </w:r>
    </w:p>
    <w:p w14:paraId="6D24003E" w14:textId="0BF26CFD" w:rsidR="00EE5BB8" w:rsidRPr="00C6052E" w:rsidRDefault="00EE5BB8" w:rsidP="00C6052E">
      <w:pPr>
        <w:pStyle w:val="Heading2numbered0"/>
      </w:pPr>
      <w:bookmarkStart w:id="330" w:name="_Toc163565989"/>
      <w:bookmarkStart w:id="331" w:name="_Ref163567374"/>
      <w:bookmarkStart w:id="332" w:name="_Ref163567380"/>
      <w:bookmarkStart w:id="333" w:name="_Ref209518829"/>
      <w:bookmarkStart w:id="334" w:name="_Ref209518837"/>
      <w:bookmarkEnd w:id="329"/>
      <w:r w:rsidRPr="00C6052E">
        <w:t>Fair</w:t>
      </w:r>
      <w:r w:rsidR="00177848" w:rsidRPr="00C6052E">
        <w:t xml:space="preserve"> </w:t>
      </w:r>
      <w:r w:rsidRPr="00C6052E">
        <w:t>value</w:t>
      </w:r>
      <w:r w:rsidR="00177848" w:rsidRPr="00C6052E">
        <w:t xml:space="preserve"> </w:t>
      </w:r>
      <w:r w:rsidRPr="00C6052E">
        <w:t>determination</w:t>
      </w:r>
      <w:bookmarkEnd w:id="330"/>
      <w:bookmarkEnd w:id="331"/>
      <w:bookmarkEnd w:id="332"/>
      <w:bookmarkEnd w:id="333"/>
      <w:bookmarkEnd w:id="334"/>
    </w:p>
    <w:p w14:paraId="192A2D0F" w14:textId="76033119" w:rsidR="00EE5BB8" w:rsidRPr="00C6052E" w:rsidRDefault="00EE5BB8" w:rsidP="00EE5BB8">
      <w:r w:rsidRPr="00C6052E">
        <w:t>This</w:t>
      </w:r>
      <w:r w:rsidR="00177848" w:rsidRPr="00C6052E">
        <w:t xml:space="preserve"> </w:t>
      </w:r>
      <w:r w:rsidRPr="00C6052E">
        <w:t>section</w:t>
      </w:r>
      <w:r w:rsidR="00177848" w:rsidRPr="00C6052E">
        <w:t xml:space="preserve"> </w:t>
      </w:r>
      <w:r w:rsidRPr="00C6052E">
        <w:t>sets</w:t>
      </w:r>
      <w:r w:rsidR="00177848" w:rsidRPr="00C6052E">
        <w:t xml:space="preserve"> </w:t>
      </w:r>
      <w:r w:rsidRPr="00C6052E">
        <w:t>out</w:t>
      </w:r>
      <w:r w:rsidR="00177848" w:rsidRPr="00C6052E">
        <w:t xml:space="preserve"> </w:t>
      </w:r>
      <w:r w:rsidRPr="00C6052E">
        <w:t>information</w:t>
      </w:r>
      <w:r w:rsidR="00177848" w:rsidRPr="00C6052E">
        <w:t xml:space="preserve"> </w:t>
      </w:r>
      <w:r w:rsidRPr="00C6052E">
        <w:t>on</w:t>
      </w:r>
      <w:r w:rsidR="00177848" w:rsidRPr="00C6052E">
        <w:t xml:space="preserve"> </w:t>
      </w:r>
      <w:r w:rsidRPr="00C6052E">
        <w:t>how</w:t>
      </w:r>
      <w:r w:rsidR="00177848" w:rsidRPr="00C6052E">
        <w:t xml:space="preserve"> </w:t>
      </w:r>
      <w:r w:rsidRPr="00C6052E">
        <w:t>DJSIR</w:t>
      </w:r>
      <w:r w:rsidR="00177848" w:rsidRPr="00C6052E">
        <w:t xml:space="preserve"> </w:t>
      </w:r>
      <w:r w:rsidRPr="00C6052E">
        <w:t>determined</w:t>
      </w:r>
      <w:r w:rsidR="00177848" w:rsidRPr="00C6052E">
        <w:t xml:space="preserve"> </w:t>
      </w:r>
      <w:r w:rsidRPr="00C6052E">
        <w:t>fair</w:t>
      </w:r>
      <w:r w:rsidR="00177848" w:rsidRPr="00C6052E">
        <w:t xml:space="preserve"> </w:t>
      </w:r>
      <w:r w:rsidRPr="00C6052E">
        <w:t>value</w:t>
      </w:r>
      <w:r w:rsidR="00177848" w:rsidRPr="00C6052E">
        <w:t xml:space="preserve"> </w:t>
      </w:r>
      <w:r w:rsidRPr="00C6052E">
        <w:t>for</w:t>
      </w:r>
      <w:r w:rsidR="00177848" w:rsidRPr="00C6052E">
        <w:t xml:space="preserve"> </w:t>
      </w:r>
      <w:r w:rsidRPr="00C6052E">
        <w:t>financial</w:t>
      </w:r>
      <w:r w:rsidR="00177848" w:rsidRPr="00C6052E">
        <w:t xml:space="preserve"> </w:t>
      </w:r>
      <w:r w:rsidRPr="00C6052E">
        <w:t>reporting</w:t>
      </w:r>
      <w:r w:rsidR="00177848" w:rsidRPr="00C6052E">
        <w:t xml:space="preserve"> </w:t>
      </w:r>
      <w:r w:rsidRPr="00C6052E">
        <w:t>purposes.</w:t>
      </w:r>
      <w:r w:rsidR="00177848" w:rsidRPr="00C6052E">
        <w:t xml:space="preserve"> </w:t>
      </w:r>
      <w:r w:rsidRPr="00C6052E">
        <w:t>Fair</w:t>
      </w:r>
      <w:r w:rsidR="00177848" w:rsidRPr="00C6052E">
        <w:t xml:space="preserve"> </w:t>
      </w:r>
      <w:r w:rsidRPr="00C6052E">
        <w:t>value</w:t>
      </w:r>
      <w:r w:rsidR="00177848" w:rsidRPr="00C6052E">
        <w:t xml:space="preserve"> </w:t>
      </w:r>
      <w:r w:rsidRPr="00C6052E">
        <w:t>is</w:t>
      </w:r>
      <w:r w:rsidR="00177848" w:rsidRPr="00C6052E">
        <w:t xml:space="preserve"> </w:t>
      </w:r>
      <w:r w:rsidRPr="00C6052E">
        <w:t>the</w:t>
      </w:r>
      <w:r w:rsidR="00177848" w:rsidRPr="00C6052E">
        <w:t xml:space="preserve"> </w:t>
      </w:r>
      <w:r w:rsidRPr="00C6052E">
        <w:t>price</w:t>
      </w:r>
      <w:r w:rsidR="00177848" w:rsidRPr="00C6052E">
        <w:t xml:space="preserve"> </w:t>
      </w:r>
      <w:r w:rsidRPr="00C6052E">
        <w:t>that</w:t>
      </w:r>
      <w:r w:rsidR="00177848" w:rsidRPr="00C6052E">
        <w:t xml:space="preserve"> </w:t>
      </w:r>
      <w:r w:rsidRPr="00C6052E">
        <w:t>would</w:t>
      </w:r>
      <w:r w:rsidR="00177848" w:rsidRPr="00C6052E">
        <w:t xml:space="preserve"> </w:t>
      </w:r>
      <w:r w:rsidRPr="00C6052E">
        <w:t>be</w:t>
      </w:r>
      <w:r w:rsidR="00177848" w:rsidRPr="00C6052E">
        <w:t xml:space="preserve"> </w:t>
      </w:r>
      <w:r w:rsidRPr="00C6052E">
        <w:t>received</w:t>
      </w:r>
      <w:r w:rsidR="00177848" w:rsidRPr="00C6052E">
        <w:t xml:space="preserve"> </w:t>
      </w:r>
      <w:r w:rsidRPr="00C6052E">
        <w:t>to</w:t>
      </w:r>
      <w:r w:rsidR="00177848" w:rsidRPr="00C6052E">
        <w:t xml:space="preserve"> </w:t>
      </w:r>
      <w:r w:rsidRPr="00C6052E">
        <w:t>sell</w:t>
      </w:r>
      <w:r w:rsidR="00177848" w:rsidRPr="00C6052E">
        <w:t xml:space="preserve"> </w:t>
      </w:r>
      <w:r w:rsidRPr="00C6052E">
        <w:t>an</w:t>
      </w:r>
      <w:r w:rsidR="00177848" w:rsidRPr="00C6052E">
        <w:t xml:space="preserve"> </w:t>
      </w:r>
      <w:r w:rsidRPr="00C6052E">
        <w:t>asset</w:t>
      </w:r>
      <w:r w:rsidR="00177848" w:rsidRPr="00C6052E">
        <w:t xml:space="preserve"> </w:t>
      </w:r>
      <w:r w:rsidRPr="00C6052E">
        <w:t>or</w:t>
      </w:r>
      <w:r w:rsidR="00177848" w:rsidRPr="00C6052E">
        <w:t xml:space="preserve"> </w:t>
      </w:r>
      <w:r w:rsidRPr="00C6052E">
        <w:t>paid</w:t>
      </w:r>
      <w:r w:rsidR="00177848" w:rsidRPr="00C6052E">
        <w:t xml:space="preserve"> </w:t>
      </w:r>
      <w:r w:rsidRPr="00C6052E">
        <w:t>to</w:t>
      </w:r>
      <w:r w:rsidR="00177848" w:rsidRPr="00C6052E">
        <w:t xml:space="preserve"> </w:t>
      </w:r>
      <w:r w:rsidRPr="00C6052E">
        <w:t>transfer</w:t>
      </w:r>
      <w:r w:rsidR="00177848" w:rsidRPr="00C6052E">
        <w:t xml:space="preserve"> </w:t>
      </w:r>
      <w:r w:rsidRPr="00C6052E">
        <w:t>a</w:t>
      </w:r>
      <w:r w:rsidR="00177848" w:rsidRPr="00C6052E">
        <w:t xml:space="preserve"> </w:t>
      </w:r>
      <w:r w:rsidRPr="00C6052E">
        <w:t>liability</w:t>
      </w:r>
      <w:r w:rsidR="00177848" w:rsidRPr="00C6052E">
        <w:t xml:space="preserve"> </w:t>
      </w:r>
      <w:r w:rsidRPr="00C6052E">
        <w:t>in</w:t>
      </w:r>
      <w:r w:rsidR="00177848" w:rsidRPr="00C6052E">
        <w:t xml:space="preserve"> </w:t>
      </w:r>
      <w:r w:rsidRPr="00C6052E">
        <w:t>an</w:t>
      </w:r>
      <w:r w:rsidR="00177848" w:rsidRPr="00C6052E">
        <w:t xml:space="preserve"> </w:t>
      </w:r>
      <w:r w:rsidRPr="00C6052E">
        <w:t>orderly</w:t>
      </w:r>
      <w:r w:rsidR="00177848" w:rsidRPr="00C6052E">
        <w:t xml:space="preserve"> </w:t>
      </w:r>
      <w:r w:rsidRPr="00C6052E">
        <w:t>transaction</w:t>
      </w:r>
      <w:r w:rsidR="00177848" w:rsidRPr="00C6052E">
        <w:t xml:space="preserve"> </w:t>
      </w:r>
      <w:r w:rsidRPr="00C6052E">
        <w:t>between</w:t>
      </w:r>
      <w:r w:rsidR="00177848" w:rsidRPr="00C6052E">
        <w:t xml:space="preserve"> </w:t>
      </w:r>
      <w:r w:rsidRPr="00C6052E">
        <w:t>market</w:t>
      </w:r>
      <w:r w:rsidR="00177848" w:rsidRPr="00C6052E">
        <w:t xml:space="preserve"> </w:t>
      </w:r>
      <w:r w:rsidRPr="00C6052E">
        <w:t>participants</w:t>
      </w:r>
      <w:r w:rsidR="00177848" w:rsidRPr="00C6052E">
        <w:t xml:space="preserve"> </w:t>
      </w:r>
      <w:r w:rsidRPr="00C6052E">
        <w:t>at</w:t>
      </w:r>
      <w:r w:rsidR="00177848" w:rsidRPr="00C6052E">
        <w:t xml:space="preserve"> </w:t>
      </w:r>
      <w:r w:rsidRPr="00C6052E">
        <w:t>the</w:t>
      </w:r>
      <w:r w:rsidR="00177848" w:rsidRPr="00C6052E">
        <w:t xml:space="preserve"> </w:t>
      </w:r>
      <w:r w:rsidRPr="00C6052E">
        <w:t>measurement</w:t>
      </w:r>
      <w:r w:rsidR="00177848" w:rsidRPr="00C6052E">
        <w:t xml:space="preserve"> </w:t>
      </w:r>
      <w:r w:rsidRPr="00C6052E">
        <w:t>date.</w:t>
      </w:r>
      <w:r w:rsidR="00177848" w:rsidRPr="00C6052E">
        <w:t xml:space="preserve"> </w:t>
      </w:r>
    </w:p>
    <w:p w14:paraId="020F4689" w14:textId="0E1A58EE" w:rsidR="00EE5BB8" w:rsidRPr="00C6052E" w:rsidRDefault="00EE5BB8" w:rsidP="0028635E">
      <w:pPr>
        <w:pStyle w:val="Normalbeforebullets"/>
      </w:pPr>
      <w:r w:rsidRPr="00C6052E">
        <w:lastRenderedPageBreak/>
        <w:t>The</w:t>
      </w:r>
      <w:r w:rsidR="00177848" w:rsidRPr="00C6052E">
        <w:t xml:space="preserve"> </w:t>
      </w:r>
      <w:r w:rsidRPr="00C6052E">
        <w:t>following</w:t>
      </w:r>
      <w:r w:rsidR="00177848" w:rsidRPr="00C6052E">
        <w:t xml:space="preserve"> </w:t>
      </w:r>
      <w:r w:rsidRPr="00C6052E">
        <w:t>assets</w:t>
      </w:r>
      <w:r w:rsidR="00177848" w:rsidRPr="00C6052E">
        <w:t xml:space="preserve"> </w:t>
      </w:r>
      <w:r w:rsidRPr="00C6052E">
        <w:t>and</w:t>
      </w:r>
      <w:r w:rsidR="00177848" w:rsidRPr="00C6052E">
        <w:t xml:space="preserve"> </w:t>
      </w:r>
      <w:r w:rsidRPr="00C6052E">
        <w:t>liabilities</w:t>
      </w:r>
      <w:r w:rsidR="00177848" w:rsidRPr="00C6052E">
        <w:t xml:space="preserve"> </w:t>
      </w:r>
      <w:r w:rsidRPr="00C6052E">
        <w:t>are</w:t>
      </w:r>
      <w:r w:rsidR="00177848" w:rsidRPr="00C6052E">
        <w:t xml:space="preserve"> </w:t>
      </w:r>
      <w:r w:rsidRPr="00C6052E">
        <w:t>carried</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r w:rsidR="00177848" w:rsidRPr="00C6052E">
        <w:t xml:space="preserve"> </w:t>
      </w:r>
    </w:p>
    <w:p w14:paraId="1F119E15" w14:textId="5C7245A6" w:rsidR="00EE5BB8" w:rsidRPr="00C6052E" w:rsidRDefault="00EE5BB8" w:rsidP="00EE5BB8">
      <w:pPr>
        <w:pStyle w:val="Bullet1"/>
        <w:numPr>
          <w:ilvl w:val="0"/>
          <w:numId w:val="1"/>
        </w:numPr>
        <w:spacing w:line="278" w:lineRule="auto"/>
        <w:ind w:left="284" w:hanging="284"/>
        <w:rPr>
          <w:lang w:val="en-AU"/>
        </w:rPr>
      </w:pPr>
      <w:r w:rsidRPr="00C6052E">
        <w:rPr>
          <w:lang w:val="en-AU"/>
        </w:rPr>
        <w:t>financial</w:t>
      </w:r>
      <w:r w:rsidR="00177848" w:rsidRPr="00C6052E">
        <w:rPr>
          <w:lang w:val="en-AU"/>
        </w:rPr>
        <w:t xml:space="preserve"> </w:t>
      </w:r>
      <w:r w:rsidRPr="00C6052E">
        <w:rPr>
          <w:lang w:val="en-AU"/>
        </w:rPr>
        <w:t>assets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liabilities</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fair</w:t>
      </w:r>
      <w:r w:rsidR="00177848" w:rsidRPr="00C6052E">
        <w:rPr>
          <w:lang w:val="en-AU"/>
        </w:rPr>
        <w:t xml:space="preserve"> </w:t>
      </w:r>
      <w:r w:rsidRPr="00C6052E">
        <w:rPr>
          <w:lang w:val="en-AU"/>
        </w:rPr>
        <w:t>value</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operating</w:t>
      </w:r>
      <w:r w:rsidR="00177848" w:rsidRPr="00C6052E">
        <w:rPr>
          <w:lang w:val="en-AU"/>
        </w:rPr>
        <w:t xml:space="preserve"> </w:t>
      </w:r>
      <w:r w:rsidRPr="00C6052E">
        <w:rPr>
          <w:lang w:val="en-AU"/>
        </w:rPr>
        <w:t>result;</w:t>
      </w:r>
      <w:r w:rsidR="00177848" w:rsidRPr="00C6052E">
        <w:rPr>
          <w:lang w:val="en-AU"/>
        </w:rPr>
        <w:t xml:space="preserve"> </w:t>
      </w:r>
      <w:r w:rsidRPr="00C6052E">
        <w:rPr>
          <w:lang w:val="en-AU"/>
        </w:rPr>
        <w:t>and</w:t>
      </w:r>
    </w:p>
    <w:p w14:paraId="01EA5AD6" w14:textId="19FF3DFD" w:rsidR="00EE5BB8" w:rsidRPr="00C6052E" w:rsidRDefault="00EE5BB8" w:rsidP="00EE5BB8">
      <w:pPr>
        <w:pStyle w:val="Bullet1last"/>
        <w:numPr>
          <w:ilvl w:val="0"/>
          <w:numId w:val="1"/>
        </w:numPr>
        <w:spacing w:line="278" w:lineRule="auto"/>
        <w:ind w:left="284" w:hanging="284"/>
        <w:rPr>
          <w:lang w:val="en-AU"/>
        </w:rPr>
      </w:pPr>
      <w:r w:rsidRPr="00C6052E">
        <w:rPr>
          <w:lang w:val="en-AU"/>
        </w:rPr>
        <w:t>property,</w:t>
      </w:r>
      <w:r w:rsidR="00177848" w:rsidRPr="00C6052E">
        <w:rPr>
          <w:lang w:val="en-AU"/>
        </w:rPr>
        <w:t xml:space="preserve"> </w:t>
      </w:r>
      <w:r w:rsidRPr="00C6052E">
        <w:rPr>
          <w:lang w:val="en-AU"/>
        </w:rPr>
        <w:t>plant</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equipment.</w:t>
      </w:r>
    </w:p>
    <w:p w14:paraId="16AB67A3" w14:textId="4029C264" w:rsidR="00EE5BB8" w:rsidRPr="00C6052E" w:rsidRDefault="00EE5BB8" w:rsidP="00E9084D">
      <w:pPr>
        <w:pStyle w:val="Heading3"/>
      </w:pPr>
      <w:r w:rsidRPr="00C6052E">
        <w:t>Fair</w:t>
      </w:r>
      <w:r w:rsidR="00177848" w:rsidRPr="00C6052E">
        <w:t xml:space="preserve"> </w:t>
      </w:r>
      <w:r w:rsidRPr="00C6052E">
        <w:t>value</w:t>
      </w:r>
      <w:r w:rsidR="00177848" w:rsidRPr="00C6052E">
        <w:t xml:space="preserve"> </w:t>
      </w:r>
      <w:r w:rsidRPr="00C6052E">
        <w:t>hierarchy</w:t>
      </w:r>
    </w:p>
    <w:p w14:paraId="48B38BEB" w14:textId="7DC20BA9" w:rsidR="00EE5BB8" w:rsidRPr="00C6052E" w:rsidRDefault="00EE5BB8" w:rsidP="0028635E">
      <w:pPr>
        <w:pStyle w:val="Normalbeforebullets"/>
      </w:pPr>
      <w:r w:rsidRPr="00C6052E">
        <w:t>In</w:t>
      </w:r>
      <w:r w:rsidR="00177848" w:rsidRPr="00C6052E">
        <w:t xml:space="preserve"> </w:t>
      </w:r>
      <w:r w:rsidRPr="00C6052E">
        <w:t>determining</w:t>
      </w:r>
      <w:r w:rsidR="00177848" w:rsidRPr="00C6052E">
        <w:t xml:space="preserve"> </w:t>
      </w:r>
      <w:r w:rsidRPr="00C6052E">
        <w:t>fair</w:t>
      </w:r>
      <w:r w:rsidR="00177848" w:rsidRPr="00C6052E">
        <w:t xml:space="preserve"> </w:t>
      </w:r>
      <w:r w:rsidRPr="00C6052E">
        <w:t>values,</w:t>
      </w:r>
      <w:r w:rsidR="00177848" w:rsidRPr="00C6052E">
        <w:t xml:space="preserve"> </w:t>
      </w:r>
      <w:r w:rsidRPr="00C6052E">
        <w:t>a</w:t>
      </w:r>
      <w:r w:rsidR="00177848" w:rsidRPr="00C6052E">
        <w:t xml:space="preserve"> </w:t>
      </w:r>
      <w:r w:rsidRPr="00C6052E">
        <w:t>number</w:t>
      </w:r>
      <w:r w:rsidR="00177848" w:rsidRPr="00C6052E">
        <w:t xml:space="preserve"> </w:t>
      </w:r>
      <w:r w:rsidRPr="00C6052E">
        <w:t>of</w:t>
      </w:r>
      <w:r w:rsidR="00177848" w:rsidRPr="00C6052E">
        <w:t xml:space="preserve"> </w:t>
      </w:r>
      <w:r w:rsidRPr="00C6052E">
        <w:t>inputs</w:t>
      </w:r>
      <w:r w:rsidR="00177848" w:rsidRPr="00C6052E">
        <w:t xml:space="preserve"> </w:t>
      </w:r>
      <w:r w:rsidRPr="00C6052E">
        <w:t>are</w:t>
      </w:r>
      <w:r w:rsidR="00177848" w:rsidRPr="00C6052E">
        <w:t xml:space="preserve"> </w:t>
      </w:r>
      <w:r w:rsidRPr="00C6052E">
        <w:t>used.</w:t>
      </w:r>
      <w:r w:rsidR="00177848" w:rsidRPr="00C6052E">
        <w:t xml:space="preserve"> </w:t>
      </w:r>
      <w:r w:rsidRPr="00C6052E">
        <w:t>To</w:t>
      </w:r>
      <w:r w:rsidR="00177848" w:rsidRPr="00C6052E">
        <w:t xml:space="preserve"> </w:t>
      </w:r>
      <w:r w:rsidRPr="00C6052E">
        <w:t>increase</w:t>
      </w:r>
      <w:r w:rsidR="00177848" w:rsidRPr="00C6052E">
        <w:t xml:space="preserve"> </w:t>
      </w:r>
      <w:r w:rsidRPr="00C6052E">
        <w:t>consistency</w:t>
      </w:r>
      <w:r w:rsidR="00177848" w:rsidRPr="00C6052E">
        <w:t xml:space="preserve"> </w:t>
      </w:r>
      <w:r w:rsidRPr="00C6052E">
        <w:t>and</w:t>
      </w:r>
      <w:r w:rsidR="00177848" w:rsidRPr="00C6052E">
        <w:t xml:space="preserve"> </w:t>
      </w:r>
      <w:r w:rsidRPr="00C6052E">
        <w:t>comparability</w:t>
      </w:r>
      <w:r w:rsidR="00177848" w:rsidRPr="00C6052E">
        <w:t xml:space="preserve"> </w:t>
      </w:r>
      <w:r w:rsidRPr="00C6052E">
        <w:t>in</w:t>
      </w:r>
      <w:r w:rsidR="00177848" w:rsidRPr="00C6052E">
        <w:t xml:space="preserve"> </w:t>
      </w:r>
      <w:r w:rsidRPr="00C6052E">
        <w:t>the</w:t>
      </w:r>
      <w:r w:rsidR="00177848" w:rsidRPr="00C6052E">
        <w:t xml:space="preserve"> </w:t>
      </w:r>
      <w:r w:rsidRPr="00C6052E">
        <w:t>financial</w:t>
      </w:r>
      <w:r w:rsidR="00177848" w:rsidRPr="00C6052E">
        <w:t xml:space="preserve"> </w:t>
      </w:r>
      <w:r w:rsidRPr="00C6052E">
        <w:t>statements,</w:t>
      </w:r>
      <w:r w:rsidR="00177848" w:rsidRPr="00C6052E">
        <w:t xml:space="preserve"> </w:t>
      </w:r>
      <w:r w:rsidRPr="00C6052E">
        <w:t>these</w:t>
      </w:r>
      <w:r w:rsidR="00177848" w:rsidRPr="00C6052E">
        <w:t xml:space="preserve"> </w:t>
      </w:r>
      <w:r w:rsidRPr="00C6052E">
        <w:t>inputs</w:t>
      </w:r>
      <w:r w:rsidR="00177848" w:rsidRPr="00C6052E">
        <w:t xml:space="preserve"> </w:t>
      </w:r>
      <w:r w:rsidRPr="00C6052E">
        <w:t>are</w:t>
      </w:r>
      <w:r w:rsidR="00177848" w:rsidRPr="00C6052E">
        <w:t xml:space="preserve"> </w:t>
      </w:r>
      <w:r w:rsidRPr="00C6052E">
        <w:t>categorised</w:t>
      </w:r>
      <w:r w:rsidR="00177848" w:rsidRPr="00C6052E">
        <w:t xml:space="preserve"> </w:t>
      </w:r>
      <w:r w:rsidRPr="00C6052E">
        <w:t>into</w:t>
      </w:r>
      <w:r w:rsidR="00177848" w:rsidRPr="00C6052E">
        <w:t xml:space="preserve"> </w:t>
      </w:r>
      <w:r w:rsidRPr="00C6052E">
        <w:t>three</w:t>
      </w:r>
      <w:r w:rsidR="00177848" w:rsidRPr="00C6052E">
        <w:t xml:space="preserve"> </w:t>
      </w:r>
      <w:r w:rsidRPr="00C6052E">
        <w:t>levels,</w:t>
      </w:r>
      <w:r w:rsidR="00177848" w:rsidRPr="00C6052E">
        <w:t xml:space="preserve"> </w:t>
      </w:r>
      <w:r w:rsidRPr="00C6052E">
        <w:t>also</w:t>
      </w:r>
      <w:r w:rsidR="00177848" w:rsidRPr="00C6052E">
        <w:t xml:space="preserve"> </w:t>
      </w:r>
      <w:r w:rsidRPr="00C6052E">
        <w:t>known</w:t>
      </w:r>
      <w:r w:rsidR="00177848" w:rsidRPr="00C6052E">
        <w:t xml:space="preserve"> </w:t>
      </w:r>
      <w:r w:rsidRPr="00C6052E">
        <w:t>as</w:t>
      </w:r>
      <w:r w:rsidR="00177848" w:rsidRPr="00C6052E">
        <w:t xml:space="preserve"> </w:t>
      </w:r>
      <w:r w:rsidRPr="00C6052E">
        <w:t>the</w:t>
      </w:r>
      <w:r w:rsidR="00177848" w:rsidRPr="00C6052E">
        <w:t xml:space="preserve"> </w:t>
      </w:r>
      <w:r w:rsidRPr="00C6052E">
        <w:t>fair</w:t>
      </w:r>
      <w:r w:rsidR="00177848" w:rsidRPr="00C6052E">
        <w:t xml:space="preserve"> </w:t>
      </w:r>
      <w:r w:rsidRPr="00C6052E">
        <w:t>value</w:t>
      </w:r>
      <w:r w:rsidR="00177848" w:rsidRPr="00C6052E">
        <w:t xml:space="preserve"> </w:t>
      </w:r>
      <w:r w:rsidRPr="00C6052E">
        <w:t>hierarchy.</w:t>
      </w:r>
      <w:r w:rsidR="00177848" w:rsidRPr="00C6052E">
        <w:t xml:space="preserve"> </w:t>
      </w:r>
      <w:r w:rsidRPr="00C6052E">
        <w:t>The</w:t>
      </w:r>
      <w:r w:rsidR="00177848" w:rsidRPr="00C6052E">
        <w:t xml:space="preserve"> </w:t>
      </w:r>
      <w:r w:rsidRPr="00C6052E">
        <w:t>levels</w:t>
      </w:r>
      <w:r w:rsidR="00177848" w:rsidRPr="00C6052E">
        <w:t xml:space="preserve"> </w:t>
      </w:r>
      <w:r w:rsidRPr="00C6052E">
        <w:t>are</w:t>
      </w:r>
      <w:r w:rsidR="00177848" w:rsidRPr="00C6052E">
        <w:t xml:space="preserve"> </w:t>
      </w:r>
      <w:r w:rsidRPr="00C6052E">
        <w:t>as</w:t>
      </w:r>
      <w:r w:rsidR="00177848" w:rsidRPr="00C6052E">
        <w:t xml:space="preserve"> </w:t>
      </w:r>
      <w:r w:rsidRPr="00C6052E">
        <w:t>follows:</w:t>
      </w:r>
    </w:p>
    <w:p w14:paraId="2B0B8D97" w14:textId="297C7A52" w:rsidR="00EE5BB8" w:rsidRPr="00C6052E" w:rsidRDefault="00EE5BB8" w:rsidP="00EE5BB8">
      <w:pPr>
        <w:pStyle w:val="Bullet1"/>
        <w:numPr>
          <w:ilvl w:val="0"/>
          <w:numId w:val="1"/>
        </w:numPr>
        <w:spacing w:line="278" w:lineRule="auto"/>
        <w:ind w:left="284" w:hanging="284"/>
        <w:rPr>
          <w:lang w:val="en-AU"/>
        </w:rPr>
      </w:pPr>
      <w:r w:rsidRPr="00C6052E">
        <w:rPr>
          <w:lang w:val="en-AU"/>
        </w:rPr>
        <w:t>Level</w:t>
      </w:r>
      <w:r w:rsidR="00177848" w:rsidRPr="00C6052E">
        <w:rPr>
          <w:lang w:val="en-AU"/>
        </w:rPr>
        <w:t xml:space="preserve"> </w:t>
      </w:r>
      <w:r w:rsidRPr="00C6052E">
        <w:rPr>
          <w:lang w:val="en-AU"/>
        </w:rPr>
        <w:t>1</w:t>
      </w:r>
      <w:r w:rsidR="00177848" w:rsidRPr="00C6052E">
        <w:rPr>
          <w:lang w:val="en-AU"/>
        </w:rPr>
        <w:t xml:space="preserve"> </w:t>
      </w:r>
      <w:r w:rsidRPr="00C6052E">
        <w:rPr>
          <w:lang w:val="en-AU"/>
        </w:rPr>
        <w:t>–</w:t>
      </w:r>
      <w:r w:rsidR="00177848" w:rsidRPr="00C6052E">
        <w:rPr>
          <w:lang w:val="en-AU"/>
        </w:rPr>
        <w:t xml:space="preserve"> </w:t>
      </w:r>
      <w:r w:rsidRPr="00C6052E">
        <w:rPr>
          <w:lang w:val="en-AU"/>
        </w:rPr>
        <w:t>quoted</w:t>
      </w:r>
      <w:r w:rsidR="00177848" w:rsidRPr="00C6052E">
        <w:rPr>
          <w:lang w:val="en-AU"/>
        </w:rPr>
        <w:t xml:space="preserve"> </w:t>
      </w:r>
      <w:r w:rsidRPr="00C6052E">
        <w:rPr>
          <w:lang w:val="en-AU"/>
        </w:rPr>
        <w:t>(unadjusted)</w:t>
      </w:r>
      <w:r w:rsidR="00177848" w:rsidRPr="00C6052E">
        <w:rPr>
          <w:lang w:val="en-AU"/>
        </w:rPr>
        <w:t xml:space="preserve"> </w:t>
      </w:r>
      <w:r w:rsidRPr="00C6052E">
        <w:rPr>
          <w:lang w:val="en-AU"/>
        </w:rPr>
        <w:t>market</w:t>
      </w:r>
      <w:r w:rsidR="00177848" w:rsidRPr="00C6052E">
        <w:rPr>
          <w:lang w:val="en-AU"/>
        </w:rPr>
        <w:t xml:space="preserve"> </w:t>
      </w:r>
      <w:r w:rsidRPr="00C6052E">
        <w:rPr>
          <w:lang w:val="en-AU"/>
        </w:rPr>
        <w:t>prices</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active</w:t>
      </w:r>
      <w:r w:rsidR="00177848" w:rsidRPr="00C6052E">
        <w:rPr>
          <w:lang w:val="en-AU"/>
        </w:rPr>
        <w:t xml:space="preserve"> </w:t>
      </w:r>
      <w:r w:rsidRPr="00C6052E">
        <w:rPr>
          <w:lang w:val="en-AU"/>
        </w:rPr>
        <w:t>markets</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identical</w:t>
      </w:r>
      <w:r w:rsidR="00177848" w:rsidRPr="00C6052E">
        <w:rPr>
          <w:lang w:val="en-AU"/>
        </w:rPr>
        <w:t xml:space="preserve"> </w:t>
      </w:r>
      <w:r w:rsidRPr="00C6052E">
        <w:rPr>
          <w:lang w:val="en-AU"/>
        </w:rPr>
        <w:t>assets</w:t>
      </w:r>
      <w:r w:rsidR="00177848" w:rsidRPr="00C6052E">
        <w:rPr>
          <w:lang w:val="en-AU"/>
        </w:rPr>
        <w:t xml:space="preserve"> </w:t>
      </w:r>
      <w:r w:rsidRPr="00C6052E">
        <w:rPr>
          <w:lang w:val="en-AU"/>
        </w:rPr>
        <w:t>or</w:t>
      </w:r>
      <w:r w:rsidR="00177848" w:rsidRPr="00C6052E">
        <w:rPr>
          <w:lang w:val="en-AU"/>
        </w:rPr>
        <w:t xml:space="preserve"> </w:t>
      </w:r>
      <w:r w:rsidRPr="00C6052E">
        <w:rPr>
          <w:lang w:val="en-AU"/>
        </w:rPr>
        <w:t>liabilities;</w:t>
      </w:r>
    </w:p>
    <w:p w14:paraId="75439DD0" w14:textId="428324BC" w:rsidR="00EE5BB8" w:rsidRPr="00C6052E" w:rsidRDefault="00EE5BB8" w:rsidP="00EE5BB8">
      <w:pPr>
        <w:pStyle w:val="Bullet1"/>
        <w:numPr>
          <w:ilvl w:val="0"/>
          <w:numId w:val="1"/>
        </w:numPr>
        <w:spacing w:line="278" w:lineRule="auto"/>
        <w:ind w:left="284" w:hanging="284"/>
        <w:rPr>
          <w:spacing w:val="-2"/>
          <w:lang w:val="en-AU"/>
        </w:rPr>
      </w:pPr>
      <w:r w:rsidRPr="00C6052E">
        <w:rPr>
          <w:lang w:val="en-AU"/>
        </w:rPr>
        <w:t>Level</w:t>
      </w:r>
      <w:r w:rsidR="00177848" w:rsidRPr="00C6052E">
        <w:rPr>
          <w:lang w:val="en-AU"/>
        </w:rPr>
        <w:t xml:space="preserve"> </w:t>
      </w:r>
      <w:r w:rsidRPr="00C6052E">
        <w:rPr>
          <w:lang w:val="en-AU"/>
        </w:rPr>
        <w:t>2</w:t>
      </w:r>
      <w:r w:rsidR="00177848" w:rsidRPr="00C6052E">
        <w:rPr>
          <w:lang w:val="en-AU"/>
        </w:rPr>
        <w:t xml:space="preserve"> </w:t>
      </w:r>
      <w:r w:rsidRPr="00C6052E">
        <w:rPr>
          <w:lang w:val="en-AU"/>
        </w:rPr>
        <w:t>–</w:t>
      </w:r>
      <w:r w:rsidR="00177848" w:rsidRPr="00C6052E">
        <w:rPr>
          <w:lang w:val="en-AU"/>
        </w:rPr>
        <w:t xml:space="preserve"> </w:t>
      </w:r>
      <w:r w:rsidRPr="00C6052E">
        <w:rPr>
          <w:lang w:val="en-AU"/>
        </w:rPr>
        <w:t>valuation</w:t>
      </w:r>
      <w:r w:rsidR="00177848" w:rsidRPr="00C6052E">
        <w:rPr>
          <w:lang w:val="en-AU"/>
        </w:rPr>
        <w:t xml:space="preserve"> </w:t>
      </w:r>
      <w:r w:rsidRPr="00C6052E">
        <w:rPr>
          <w:lang w:val="en-AU"/>
        </w:rPr>
        <w:t>techniques</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which</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lowest</w:t>
      </w:r>
      <w:r w:rsidR="00177848" w:rsidRPr="00C6052E">
        <w:rPr>
          <w:lang w:val="en-AU"/>
        </w:rPr>
        <w:t xml:space="preserve"> </w:t>
      </w:r>
      <w:r w:rsidRPr="00C6052E">
        <w:rPr>
          <w:lang w:val="en-AU"/>
        </w:rPr>
        <w:t>level</w:t>
      </w:r>
      <w:r w:rsidR="00177848" w:rsidRPr="00C6052E">
        <w:rPr>
          <w:lang w:val="en-AU"/>
        </w:rPr>
        <w:t xml:space="preserve"> </w:t>
      </w:r>
      <w:r w:rsidRPr="00C6052E">
        <w:rPr>
          <w:lang w:val="en-AU"/>
        </w:rPr>
        <w:t>input</w:t>
      </w:r>
      <w:r w:rsidR="00177848" w:rsidRPr="00C6052E">
        <w:rPr>
          <w:lang w:val="en-AU"/>
        </w:rPr>
        <w:t xml:space="preserve"> </w:t>
      </w:r>
      <w:r w:rsidRPr="00C6052E">
        <w:rPr>
          <w:lang w:val="en-AU"/>
        </w:rPr>
        <w:t>that</w:t>
      </w:r>
      <w:r w:rsidR="00177848" w:rsidRPr="00C6052E">
        <w:rPr>
          <w:lang w:val="en-AU"/>
        </w:rPr>
        <w:t xml:space="preserve"> </w:t>
      </w:r>
      <w:r w:rsidRPr="00C6052E">
        <w:rPr>
          <w:lang w:val="en-AU"/>
        </w:rPr>
        <w:t>is</w:t>
      </w:r>
      <w:r w:rsidR="00177848" w:rsidRPr="00C6052E">
        <w:rPr>
          <w:lang w:val="en-AU"/>
        </w:rPr>
        <w:t xml:space="preserve"> </w:t>
      </w:r>
      <w:r w:rsidRPr="00C6052E">
        <w:rPr>
          <w:lang w:val="en-AU"/>
        </w:rPr>
        <w:t>significant</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fair</w:t>
      </w:r>
      <w:r w:rsidR="00177848" w:rsidRPr="00C6052E">
        <w:rPr>
          <w:lang w:val="en-AU"/>
        </w:rPr>
        <w:t xml:space="preserve"> </w:t>
      </w:r>
      <w:r w:rsidRPr="00C6052E">
        <w:rPr>
          <w:lang w:val="en-AU"/>
        </w:rPr>
        <w:t>value</w:t>
      </w:r>
      <w:r w:rsidR="00177848" w:rsidRPr="00C6052E">
        <w:rPr>
          <w:spacing w:val="-2"/>
          <w:lang w:val="en-AU"/>
        </w:rPr>
        <w:t xml:space="preserve"> </w:t>
      </w:r>
      <w:r w:rsidRPr="00C6052E">
        <w:rPr>
          <w:spacing w:val="-2"/>
          <w:lang w:val="en-AU"/>
        </w:rPr>
        <w:t>measurement</w:t>
      </w:r>
      <w:r w:rsidR="00177848" w:rsidRPr="00C6052E">
        <w:rPr>
          <w:spacing w:val="-2"/>
          <w:lang w:val="en-AU"/>
        </w:rPr>
        <w:t xml:space="preserve"> </w:t>
      </w:r>
      <w:r w:rsidRPr="00C6052E">
        <w:rPr>
          <w:spacing w:val="-2"/>
          <w:lang w:val="en-AU"/>
        </w:rPr>
        <w:t>is</w:t>
      </w:r>
      <w:r w:rsidR="00177848" w:rsidRPr="00C6052E">
        <w:rPr>
          <w:spacing w:val="-2"/>
          <w:lang w:val="en-AU"/>
        </w:rPr>
        <w:t xml:space="preserve"> </w:t>
      </w:r>
      <w:r w:rsidRPr="00C6052E">
        <w:rPr>
          <w:spacing w:val="-2"/>
          <w:lang w:val="en-AU"/>
        </w:rPr>
        <w:t>directly</w:t>
      </w:r>
      <w:r w:rsidR="00177848" w:rsidRPr="00C6052E">
        <w:rPr>
          <w:spacing w:val="-2"/>
          <w:lang w:val="en-AU"/>
        </w:rPr>
        <w:t xml:space="preserve"> </w:t>
      </w:r>
      <w:r w:rsidRPr="00C6052E">
        <w:rPr>
          <w:spacing w:val="-2"/>
          <w:lang w:val="en-AU"/>
        </w:rPr>
        <w:t>or</w:t>
      </w:r>
      <w:r w:rsidR="00177848" w:rsidRPr="00C6052E">
        <w:rPr>
          <w:spacing w:val="-2"/>
          <w:lang w:val="en-AU"/>
        </w:rPr>
        <w:t xml:space="preserve"> </w:t>
      </w:r>
      <w:r w:rsidRPr="00C6052E">
        <w:rPr>
          <w:spacing w:val="-2"/>
          <w:lang w:val="en-AU"/>
        </w:rPr>
        <w:t>indirectly</w:t>
      </w:r>
      <w:r w:rsidR="00177848" w:rsidRPr="00C6052E">
        <w:rPr>
          <w:spacing w:val="-2"/>
          <w:lang w:val="en-AU"/>
        </w:rPr>
        <w:t xml:space="preserve"> </w:t>
      </w:r>
      <w:r w:rsidRPr="00C6052E">
        <w:rPr>
          <w:spacing w:val="-2"/>
          <w:lang w:val="en-AU"/>
        </w:rPr>
        <w:t>observable;</w:t>
      </w:r>
      <w:r w:rsidR="00177848" w:rsidRPr="00C6052E">
        <w:rPr>
          <w:spacing w:val="-2"/>
          <w:lang w:val="en-AU"/>
        </w:rPr>
        <w:t xml:space="preserve"> </w:t>
      </w:r>
      <w:r w:rsidRPr="00C6052E">
        <w:rPr>
          <w:spacing w:val="-2"/>
          <w:lang w:val="en-AU"/>
        </w:rPr>
        <w:t>and</w:t>
      </w:r>
      <w:r w:rsidR="00177848" w:rsidRPr="00C6052E">
        <w:rPr>
          <w:spacing w:val="-2"/>
          <w:lang w:val="en-AU"/>
        </w:rPr>
        <w:t xml:space="preserve"> </w:t>
      </w:r>
    </w:p>
    <w:p w14:paraId="3E0A2B19" w14:textId="0FE0D662" w:rsidR="00EE5BB8" w:rsidRPr="00C6052E" w:rsidRDefault="00EE5BB8" w:rsidP="00EE5BB8">
      <w:pPr>
        <w:pStyle w:val="Bullet1last"/>
        <w:numPr>
          <w:ilvl w:val="0"/>
          <w:numId w:val="1"/>
        </w:numPr>
        <w:spacing w:line="278" w:lineRule="auto"/>
        <w:ind w:left="284" w:hanging="284"/>
        <w:rPr>
          <w:lang w:val="en-AU"/>
        </w:rPr>
      </w:pPr>
      <w:r w:rsidRPr="00C6052E">
        <w:rPr>
          <w:lang w:val="en-AU"/>
        </w:rPr>
        <w:t>Level</w:t>
      </w:r>
      <w:r w:rsidR="00177848" w:rsidRPr="00C6052E">
        <w:rPr>
          <w:lang w:val="en-AU"/>
        </w:rPr>
        <w:t xml:space="preserve"> </w:t>
      </w:r>
      <w:r w:rsidRPr="00C6052E">
        <w:rPr>
          <w:lang w:val="en-AU"/>
        </w:rPr>
        <w:t>3</w:t>
      </w:r>
      <w:r w:rsidR="00177848" w:rsidRPr="00C6052E">
        <w:rPr>
          <w:lang w:val="en-AU"/>
        </w:rPr>
        <w:t xml:space="preserve"> </w:t>
      </w:r>
      <w:r w:rsidRPr="00C6052E">
        <w:rPr>
          <w:lang w:val="en-AU"/>
        </w:rPr>
        <w:t>–</w:t>
      </w:r>
      <w:r w:rsidR="00177848" w:rsidRPr="00C6052E">
        <w:rPr>
          <w:lang w:val="en-AU"/>
        </w:rPr>
        <w:t xml:space="preserve"> </w:t>
      </w:r>
      <w:r w:rsidRPr="00C6052E">
        <w:rPr>
          <w:lang w:val="en-AU"/>
        </w:rPr>
        <w:t>valuation</w:t>
      </w:r>
      <w:r w:rsidR="00177848" w:rsidRPr="00C6052E">
        <w:rPr>
          <w:lang w:val="en-AU"/>
        </w:rPr>
        <w:t xml:space="preserve"> </w:t>
      </w:r>
      <w:r w:rsidRPr="00C6052E">
        <w:rPr>
          <w:lang w:val="en-AU"/>
        </w:rPr>
        <w:t>techniques</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which</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lowest</w:t>
      </w:r>
      <w:r w:rsidR="00177848" w:rsidRPr="00C6052E">
        <w:rPr>
          <w:lang w:val="en-AU"/>
        </w:rPr>
        <w:t xml:space="preserve"> </w:t>
      </w:r>
      <w:r w:rsidRPr="00C6052E">
        <w:rPr>
          <w:lang w:val="en-AU"/>
        </w:rPr>
        <w:t>level</w:t>
      </w:r>
      <w:r w:rsidR="00177848" w:rsidRPr="00C6052E">
        <w:rPr>
          <w:lang w:val="en-AU"/>
        </w:rPr>
        <w:t xml:space="preserve"> </w:t>
      </w:r>
      <w:r w:rsidRPr="00C6052E">
        <w:rPr>
          <w:lang w:val="en-AU"/>
        </w:rPr>
        <w:t>input</w:t>
      </w:r>
      <w:r w:rsidR="00177848" w:rsidRPr="00C6052E">
        <w:rPr>
          <w:lang w:val="en-AU"/>
        </w:rPr>
        <w:t xml:space="preserve"> </w:t>
      </w:r>
      <w:r w:rsidRPr="00C6052E">
        <w:rPr>
          <w:lang w:val="en-AU"/>
        </w:rPr>
        <w:t>that</w:t>
      </w:r>
      <w:r w:rsidR="00177848" w:rsidRPr="00C6052E">
        <w:rPr>
          <w:lang w:val="en-AU"/>
        </w:rPr>
        <w:t xml:space="preserve"> </w:t>
      </w:r>
      <w:r w:rsidRPr="00C6052E">
        <w:rPr>
          <w:lang w:val="en-AU"/>
        </w:rPr>
        <w:t>is</w:t>
      </w:r>
      <w:r w:rsidR="00177848" w:rsidRPr="00C6052E">
        <w:rPr>
          <w:lang w:val="en-AU"/>
        </w:rPr>
        <w:t xml:space="preserve"> </w:t>
      </w:r>
      <w:r w:rsidRPr="00C6052E">
        <w:rPr>
          <w:lang w:val="en-AU"/>
        </w:rPr>
        <w:t>significant</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fair</w:t>
      </w:r>
      <w:r w:rsidR="00177848" w:rsidRPr="00C6052E">
        <w:rPr>
          <w:lang w:val="en-AU"/>
        </w:rPr>
        <w:t xml:space="preserve"> </w:t>
      </w:r>
      <w:r w:rsidRPr="00C6052E">
        <w:rPr>
          <w:lang w:val="en-AU"/>
        </w:rPr>
        <w:t>value</w:t>
      </w:r>
      <w:r w:rsidR="00177848" w:rsidRPr="00C6052E">
        <w:rPr>
          <w:lang w:val="en-AU"/>
        </w:rPr>
        <w:t xml:space="preserve"> </w:t>
      </w:r>
      <w:r w:rsidRPr="00C6052E">
        <w:rPr>
          <w:lang w:val="en-AU"/>
        </w:rPr>
        <w:t>measurement</w:t>
      </w:r>
      <w:r w:rsidR="00177848" w:rsidRPr="00C6052E">
        <w:rPr>
          <w:lang w:val="en-AU"/>
        </w:rPr>
        <w:t xml:space="preserve"> </w:t>
      </w:r>
      <w:r w:rsidRPr="00C6052E">
        <w:rPr>
          <w:lang w:val="en-AU"/>
        </w:rPr>
        <w:t>is</w:t>
      </w:r>
      <w:r w:rsidR="00177848" w:rsidRPr="00C6052E">
        <w:rPr>
          <w:lang w:val="en-AU"/>
        </w:rPr>
        <w:t xml:space="preserve"> </w:t>
      </w:r>
      <w:r w:rsidRPr="00C6052E">
        <w:rPr>
          <w:lang w:val="en-AU"/>
        </w:rPr>
        <w:t>unobservable.</w:t>
      </w:r>
    </w:p>
    <w:p w14:paraId="272445B6" w14:textId="6FFD9EAF" w:rsidR="00EE5BB8" w:rsidRPr="00C6052E" w:rsidRDefault="00EE5BB8" w:rsidP="00EE5BB8">
      <w:r w:rsidRPr="00C6052E">
        <w:t>DJSIR</w:t>
      </w:r>
      <w:r w:rsidR="00177848" w:rsidRPr="00C6052E">
        <w:t xml:space="preserve"> </w:t>
      </w:r>
      <w:r w:rsidRPr="00C6052E">
        <w:t>determines</w:t>
      </w:r>
      <w:r w:rsidR="00177848" w:rsidRPr="00C6052E">
        <w:t xml:space="preserve"> </w:t>
      </w:r>
      <w:r w:rsidRPr="00C6052E">
        <w:t>whether</w:t>
      </w:r>
      <w:r w:rsidR="00177848" w:rsidRPr="00C6052E">
        <w:t xml:space="preserve"> </w:t>
      </w:r>
      <w:r w:rsidRPr="00C6052E">
        <w:t>transfers</w:t>
      </w:r>
      <w:r w:rsidR="00177848" w:rsidRPr="00C6052E">
        <w:t xml:space="preserve"> </w:t>
      </w:r>
      <w:r w:rsidRPr="00C6052E">
        <w:t>have</w:t>
      </w:r>
      <w:r w:rsidR="00177848" w:rsidRPr="00C6052E">
        <w:t xml:space="preserve"> </w:t>
      </w:r>
      <w:r w:rsidRPr="00C6052E">
        <w:t>occurred</w:t>
      </w:r>
      <w:r w:rsidR="00177848" w:rsidRPr="00C6052E">
        <w:t xml:space="preserve"> </w:t>
      </w:r>
      <w:r w:rsidRPr="00C6052E">
        <w:t>between</w:t>
      </w:r>
      <w:r w:rsidR="00177848" w:rsidRPr="00C6052E">
        <w:t xml:space="preserve"> </w:t>
      </w:r>
      <w:r w:rsidRPr="00C6052E">
        <w:t>levels</w:t>
      </w:r>
      <w:r w:rsidR="00177848" w:rsidRPr="00C6052E">
        <w:t xml:space="preserve"> </w:t>
      </w:r>
      <w:r w:rsidRPr="00C6052E">
        <w:t>in</w:t>
      </w:r>
      <w:r w:rsidR="00177848" w:rsidRPr="00C6052E">
        <w:t xml:space="preserve"> </w:t>
      </w:r>
      <w:r w:rsidRPr="00C6052E">
        <w:t>the</w:t>
      </w:r>
      <w:r w:rsidR="00177848" w:rsidRPr="00C6052E">
        <w:t xml:space="preserve"> </w:t>
      </w:r>
      <w:r w:rsidRPr="00C6052E">
        <w:t>hierarchy</w:t>
      </w:r>
      <w:r w:rsidR="00177848" w:rsidRPr="00C6052E">
        <w:t xml:space="preserve"> </w:t>
      </w:r>
      <w:r w:rsidRPr="00C6052E">
        <w:t>by</w:t>
      </w:r>
      <w:r w:rsidR="00177848" w:rsidRPr="00C6052E">
        <w:t xml:space="preserve"> </w:t>
      </w:r>
      <w:r w:rsidRPr="00C6052E">
        <w:t>reassessing</w:t>
      </w:r>
      <w:r w:rsidR="00177848" w:rsidRPr="00C6052E">
        <w:t xml:space="preserve"> </w:t>
      </w:r>
      <w:r w:rsidRPr="00C6052E">
        <w:t>categorisation</w:t>
      </w:r>
      <w:r w:rsidR="00177848" w:rsidRPr="00C6052E">
        <w:t xml:space="preserve"> </w:t>
      </w:r>
      <w:r w:rsidRPr="00C6052E">
        <w:t>(based</w:t>
      </w:r>
      <w:r w:rsidR="00177848" w:rsidRPr="00C6052E">
        <w:t xml:space="preserve"> </w:t>
      </w:r>
      <w:r w:rsidRPr="00C6052E">
        <w:t>on</w:t>
      </w:r>
      <w:r w:rsidR="00177848" w:rsidRPr="00C6052E">
        <w:t xml:space="preserve"> </w:t>
      </w:r>
      <w:r w:rsidRPr="00C6052E">
        <w:t>the</w:t>
      </w:r>
      <w:r w:rsidR="00177848" w:rsidRPr="00C6052E">
        <w:t xml:space="preserve"> </w:t>
      </w:r>
      <w:r w:rsidRPr="00C6052E">
        <w:t>lowest</w:t>
      </w:r>
      <w:r w:rsidR="00177848" w:rsidRPr="00C6052E">
        <w:t xml:space="preserve"> </w:t>
      </w:r>
      <w:r w:rsidRPr="00C6052E">
        <w:t>level</w:t>
      </w:r>
      <w:r w:rsidR="00177848" w:rsidRPr="00C6052E">
        <w:t xml:space="preserve"> </w:t>
      </w:r>
      <w:r w:rsidRPr="00C6052E">
        <w:t>input</w:t>
      </w:r>
      <w:r w:rsidR="00177848" w:rsidRPr="00C6052E">
        <w:t xml:space="preserve"> </w:t>
      </w:r>
      <w:r w:rsidRPr="00C6052E">
        <w:t>that</w:t>
      </w:r>
      <w:r w:rsidR="00177848" w:rsidRPr="00C6052E">
        <w:t xml:space="preserve"> </w:t>
      </w:r>
      <w:r w:rsidRPr="00C6052E">
        <w:t>is</w:t>
      </w:r>
      <w:r w:rsidR="00177848" w:rsidRPr="00C6052E">
        <w:t xml:space="preserve"> </w:t>
      </w:r>
      <w:r w:rsidRPr="00C6052E">
        <w:t>significant</w:t>
      </w:r>
      <w:r w:rsidR="00177848" w:rsidRPr="00C6052E">
        <w:t xml:space="preserve"> </w:t>
      </w:r>
      <w:r w:rsidRPr="00C6052E">
        <w:t>to</w:t>
      </w:r>
      <w:r w:rsidR="00177848" w:rsidRPr="00C6052E">
        <w:t xml:space="preserve"> </w:t>
      </w:r>
      <w:r w:rsidRPr="00C6052E">
        <w:t>the</w:t>
      </w:r>
      <w:r w:rsidR="00177848" w:rsidRPr="00C6052E">
        <w:t xml:space="preserve"> </w:t>
      </w:r>
      <w:r w:rsidRPr="00C6052E">
        <w:t>fair</w:t>
      </w:r>
      <w:r w:rsidR="00177848" w:rsidRPr="00C6052E">
        <w:t xml:space="preserve"> </w:t>
      </w:r>
      <w:r w:rsidRPr="00C6052E">
        <w:t>value</w:t>
      </w:r>
      <w:r w:rsidR="00177848" w:rsidRPr="00C6052E">
        <w:t xml:space="preserve"> </w:t>
      </w:r>
      <w:r w:rsidRPr="00C6052E">
        <w:t>measurement</w:t>
      </w:r>
      <w:r w:rsidR="00177848" w:rsidRPr="00C6052E">
        <w:t xml:space="preserve"> </w:t>
      </w:r>
      <w:r w:rsidRPr="00C6052E">
        <w:t>as</w:t>
      </w:r>
      <w:r w:rsidR="00177848" w:rsidRPr="00C6052E">
        <w:t xml:space="preserve"> </w:t>
      </w:r>
      <w:r w:rsidRPr="00C6052E">
        <w:t>a</w:t>
      </w:r>
      <w:r w:rsidR="00177848" w:rsidRPr="00C6052E">
        <w:t xml:space="preserve"> </w:t>
      </w:r>
      <w:r w:rsidRPr="00C6052E">
        <w:t>whole)</w:t>
      </w:r>
      <w:r w:rsidR="00177848" w:rsidRPr="00C6052E">
        <w:t xml:space="preserve"> </w:t>
      </w:r>
      <w:r w:rsidRPr="00C6052E">
        <w:t>at</w:t>
      </w:r>
      <w:r w:rsidR="00177848" w:rsidRPr="00C6052E">
        <w:t xml:space="preserve"> </w:t>
      </w:r>
      <w:r w:rsidRPr="00C6052E">
        <w:t>the</w:t>
      </w:r>
      <w:r w:rsidR="00177848" w:rsidRPr="00C6052E">
        <w:t xml:space="preserve"> </w:t>
      </w:r>
      <w:r w:rsidRPr="00C6052E">
        <w:t>end</w:t>
      </w:r>
      <w:r w:rsidR="00177848" w:rsidRPr="00C6052E">
        <w:t xml:space="preserve"> </w:t>
      </w:r>
      <w:r w:rsidRPr="00C6052E">
        <w:t>of</w:t>
      </w:r>
      <w:r w:rsidR="00177848" w:rsidRPr="00C6052E">
        <w:t xml:space="preserve"> </w:t>
      </w:r>
      <w:r w:rsidRPr="00C6052E">
        <w:t>each</w:t>
      </w:r>
      <w:r w:rsidR="00177848" w:rsidRPr="00C6052E">
        <w:t xml:space="preserve"> </w:t>
      </w:r>
      <w:r w:rsidRPr="00C6052E">
        <w:t>reporting</w:t>
      </w:r>
      <w:r w:rsidR="00177848" w:rsidRPr="00C6052E">
        <w:t xml:space="preserve"> </w:t>
      </w:r>
      <w:r w:rsidRPr="00C6052E">
        <w:t>period.</w:t>
      </w:r>
      <w:r w:rsidR="00177848" w:rsidRPr="00C6052E">
        <w:t xml:space="preserve"> </w:t>
      </w:r>
    </w:p>
    <w:p w14:paraId="3593129C" w14:textId="7E8B4218" w:rsidR="00EE5BB8" w:rsidRPr="00C6052E" w:rsidRDefault="00EE5BB8" w:rsidP="00EE5BB8">
      <w:r w:rsidRPr="00C6052E">
        <w:t>The</w:t>
      </w:r>
      <w:r w:rsidR="00177848" w:rsidRPr="00C6052E">
        <w:t xml:space="preserve"> </w:t>
      </w:r>
      <w:r w:rsidRPr="00C6052E">
        <w:t>Valuer–General</w:t>
      </w:r>
      <w:r w:rsidR="00177848" w:rsidRPr="00C6052E">
        <w:t xml:space="preserve"> </w:t>
      </w:r>
      <w:r w:rsidRPr="00C6052E">
        <w:t>Victoria</w:t>
      </w:r>
      <w:r w:rsidR="00177848" w:rsidRPr="00C6052E">
        <w:t xml:space="preserve"> </w:t>
      </w:r>
      <w:r w:rsidRPr="00C6052E">
        <w:t>(VGV)</w:t>
      </w:r>
      <w:r w:rsidR="00177848" w:rsidRPr="00C6052E">
        <w:t xml:space="preserve"> </w:t>
      </w:r>
      <w:r w:rsidRPr="00C6052E">
        <w:t>is</w:t>
      </w:r>
      <w:r w:rsidR="00177848" w:rsidRPr="00C6052E">
        <w:t xml:space="preserve"> </w:t>
      </w:r>
      <w:r w:rsidRPr="00C6052E">
        <w:t>DJSIR’s</w:t>
      </w:r>
      <w:r w:rsidR="00177848" w:rsidRPr="00C6052E">
        <w:t xml:space="preserve"> </w:t>
      </w:r>
      <w:r w:rsidRPr="00C6052E">
        <w:t>independent</w:t>
      </w:r>
      <w:r w:rsidR="00177848" w:rsidRPr="00C6052E">
        <w:t xml:space="preserve"> </w:t>
      </w:r>
      <w:r w:rsidRPr="00C6052E">
        <w:t>valuation</w:t>
      </w:r>
      <w:r w:rsidR="00177848" w:rsidRPr="00C6052E">
        <w:t xml:space="preserve"> </w:t>
      </w:r>
      <w:r w:rsidRPr="00C6052E">
        <w:t>agency</w:t>
      </w:r>
      <w:r w:rsidR="00177848" w:rsidRPr="00C6052E">
        <w:t xml:space="preserve"> </w:t>
      </w:r>
      <w:r w:rsidRPr="00C6052E">
        <w:t>and</w:t>
      </w:r>
      <w:r w:rsidR="00177848" w:rsidRPr="00C6052E">
        <w:t xml:space="preserve"> </w:t>
      </w:r>
      <w:r w:rsidRPr="00C6052E">
        <w:t>DJSIR</w:t>
      </w:r>
      <w:r w:rsidR="00177848" w:rsidRPr="00C6052E">
        <w:t xml:space="preserve"> </w:t>
      </w:r>
      <w:r w:rsidRPr="00C6052E">
        <w:t>will</w:t>
      </w:r>
      <w:r w:rsidR="00177848" w:rsidRPr="00C6052E">
        <w:t xml:space="preserve"> </w:t>
      </w:r>
      <w:r w:rsidRPr="00C6052E">
        <w:t>engage</w:t>
      </w:r>
      <w:r w:rsidR="00177848" w:rsidRPr="00C6052E">
        <w:t xml:space="preserve"> </w:t>
      </w:r>
      <w:r w:rsidRPr="00C6052E">
        <w:t>them</w:t>
      </w:r>
      <w:r w:rsidR="00177848" w:rsidRPr="00C6052E">
        <w:t xml:space="preserve"> </w:t>
      </w:r>
      <w:r w:rsidRPr="00C6052E">
        <w:t>to</w:t>
      </w:r>
      <w:r w:rsidR="00177848" w:rsidRPr="00C6052E">
        <w:t xml:space="preserve"> </w:t>
      </w:r>
      <w:r w:rsidRPr="00C6052E">
        <w:t>monitor</w:t>
      </w:r>
      <w:r w:rsidR="00177848" w:rsidRPr="00C6052E">
        <w:t xml:space="preserve"> </w:t>
      </w:r>
      <w:r w:rsidRPr="00C6052E">
        <w:t>changes</w:t>
      </w:r>
      <w:r w:rsidR="00177848" w:rsidRPr="00C6052E">
        <w:t xml:space="preserve"> </w:t>
      </w:r>
      <w:r w:rsidRPr="00C6052E">
        <w:t>in</w:t>
      </w:r>
      <w:r w:rsidR="00177848" w:rsidRPr="00C6052E">
        <w:t xml:space="preserve"> </w:t>
      </w:r>
      <w:r w:rsidRPr="00C6052E">
        <w:t>the</w:t>
      </w:r>
      <w:r w:rsidR="00177848" w:rsidRPr="00C6052E">
        <w:t xml:space="preserve"> </w:t>
      </w:r>
      <w:r w:rsidRPr="00C6052E">
        <w:t>fair</w:t>
      </w:r>
      <w:r w:rsidR="00177848" w:rsidRPr="00C6052E">
        <w:t xml:space="preserve"> </w:t>
      </w:r>
      <w:r w:rsidRPr="00C6052E">
        <w:t>value</w:t>
      </w:r>
      <w:r w:rsidR="00177848" w:rsidRPr="00C6052E">
        <w:t xml:space="preserve"> </w:t>
      </w:r>
      <w:r w:rsidRPr="00C6052E">
        <w:t>of</w:t>
      </w:r>
      <w:r w:rsidR="00177848" w:rsidRPr="00C6052E">
        <w:t xml:space="preserve"> </w:t>
      </w:r>
      <w:r w:rsidRPr="00C6052E">
        <w:t>each</w:t>
      </w:r>
      <w:r w:rsidR="00177848" w:rsidRPr="00C6052E">
        <w:t xml:space="preserve"> </w:t>
      </w:r>
      <w:r w:rsidRPr="00C6052E">
        <w:t>asset</w:t>
      </w:r>
      <w:r w:rsidR="00177848" w:rsidRPr="00C6052E">
        <w:t xml:space="preserve"> </w:t>
      </w:r>
      <w:r w:rsidRPr="00C6052E">
        <w:t>and</w:t>
      </w:r>
      <w:r w:rsidR="00177848" w:rsidRPr="00C6052E">
        <w:t xml:space="preserve"> </w:t>
      </w:r>
      <w:r w:rsidRPr="00C6052E">
        <w:t>liability</w:t>
      </w:r>
      <w:r w:rsidR="00177848" w:rsidRPr="00C6052E">
        <w:t xml:space="preserve"> </w:t>
      </w:r>
      <w:r w:rsidRPr="00C6052E">
        <w:t>through</w:t>
      </w:r>
      <w:r w:rsidR="00177848" w:rsidRPr="00C6052E">
        <w:t xml:space="preserve"> </w:t>
      </w:r>
      <w:r w:rsidRPr="00C6052E">
        <w:t>relevant</w:t>
      </w:r>
      <w:r w:rsidR="00177848" w:rsidRPr="00C6052E">
        <w:t xml:space="preserve"> </w:t>
      </w:r>
      <w:r w:rsidRPr="00C6052E">
        <w:t>data</w:t>
      </w:r>
      <w:r w:rsidR="00177848" w:rsidRPr="00C6052E">
        <w:t xml:space="preserve"> </w:t>
      </w:r>
      <w:r w:rsidRPr="00C6052E">
        <w:t>sources</w:t>
      </w:r>
      <w:r w:rsidR="00177848" w:rsidRPr="00C6052E">
        <w:t xml:space="preserve"> </w:t>
      </w:r>
      <w:r w:rsidRPr="00C6052E">
        <w:t>to</w:t>
      </w:r>
      <w:r w:rsidR="00177848" w:rsidRPr="00C6052E">
        <w:t xml:space="preserve"> </w:t>
      </w:r>
      <w:r w:rsidRPr="00C6052E">
        <w:t>determine</w:t>
      </w:r>
      <w:r w:rsidR="00177848" w:rsidRPr="00C6052E">
        <w:t xml:space="preserve"> </w:t>
      </w:r>
      <w:r w:rsidRPr="00C6052E">
        <w:t>revaluations</w:t>
      </w:r>
      <w:r w:rsidR="00177848" w:rsidRPr="00C6052E">
        <w:t xml:space="preserve"> </w:t>
      </w:r>
      <w:r w:rsidRPr="00C6052E">
        <w:t>when</w:t>
      </w:r>
      <w:r w:rsidR="00177848" w:rsidRPr="00C6052E">
        <w:t xml:space="preserve"> </w:t>
      </w:r>
      <w:r w:rsidRPr="00C6052E">
        <w:t>it</w:t>
      </w:r>
      <w:r w:rsidR="00177848" w:rsidRPr="00C6052E">
        <w:t xml:space="preserve"> </w:t>
      </w:r>
      <w:r w:rsidRPr="00C6052E">
        <w:t>is</w:t>
      </w:r>
      <w:r w:rsidR="00177848" w:rsidRPr="00C6052E">
        <w:t xml:space="preserve"> </w:t>
      </w:r>
      <w:r w:rsidRPr="00C6052E">
        <w:t>required.</w:t>
      </w:r>
    </w:p>
    <w:p w14:paraId="663DCD0D" w14:textId="71F8AD6C" w:rsidR="00EE5BB8" w:rsidRPr="00C6052E" w:rsidRDefault="00EE5BB8" w:rsidP="00E9084D">
      <w:pPr>
        <w:pStyle w:val="Heading3"/>
      </w:pPr>
      <w:r w:rsidRPr="00C6052E">
        <w:t>How</w:t>
      </w:r>
      <w:r w:rsidR="00177848" w:rsidRPr="00C6052E">
        <w:t xml:space="preserve"> </w:t>
      </w:r>
      <w:r w:rsidRPr="00C6052E">
        <w:t>this</w:t>
      </w:r>
      <w:r w:rsidR="00177848" w:rsidRPr="00C6052E">
        <w:t xml:space="preserve"> </w:t>
      </w:r>
      <w:r w:rsidRPr="00C6052E">
        <w:t>section</w:t>
      </w:r>
      <w:r w:rsidR="00177848" w:rsidRPr="00C6052E">
        <w:t xml:space="preserve"> </w:t>
      </w:r>
      <w:r w:rsidRPr="00C6052E">
        <w:t>is</w:t>
      </w:r>
      <w:r w:rsidR="00177848" w:rsidRPr="00C6052E">
        <w:t xml:space="preserve"> </w:t>
      </w:r>
      <w:r w:rsidRPr="00C6052E">
        <w:t>structured</w:t>
      </w:r>
    </w:p>
    <w:p w14:paraId="6BF05884" w14:textId="105EA370" w:rsidR="00EE5BB8" w:rsidRPr="00C6052E" w:rsidRDefault="00EE5BB8" w:rsidP="0028635E">
      <w:pPr>
        <w:pStyle w:val="Normalbeforebullets"/>
      </w:pPr>
      <w:r w:rsidRPr="00C6052E">
        <w:t>For</w:t>
      </w:r>
      <w:r w:rsidR="00177848" w:rsidRPr="00C6052E">
        <w:t xml:space="preserve"> </w:t>
      </w:r>
      <w:r w:rsidRPr="00C6052E">
        <w:t>those</w:t>
      </w:r>
      <w:r w:rsidR="00177848" w:rsidRPr="00C6052E">
        <w:t xml:space="preserve"> </w:t>
      </w:r>
      <w:r w:rsidRPr="00C6052E">
        <w:t>assets</w:t>
      </w:r>
      <w:r w:rsidR="00177848" w:rsidRPr="00C6052E">
        <w:t xml:space="preserve"> </w:t>
      </w:r>
      <w:r w:rsidRPr="00C6052E">
        <w:t>and</w:t>
      </w:r>
      <w:r w:rsidR="00177848" w:rsidRPr="00C6052E">
        <w:t xml:space="preserve"> </w:t>
      </w:r>
      <w:r w:rsidRPr="00C6052E">
        <w:t>liabilities</w:t>
      </w:r>
      <w:r w:rsidR="00177848" w:rsidRPr="00C6052E">
        <w:t xml:space="preserve"> </w:t>
      </w:r>
      <w:r w:rsidRPr="00C6052E">
        <w:t>for</w:t>
      </w:r>
      <w:r w:rsidR="00177848" w:rsidRPr="00C6052E">
        <w:t xml:space="preserve"> </w:t>
      </w:r>
      <w:r w:rsidRPr="00C6052E">
        <w:t>which</w:t>
      </w:r>
      <w:r w:rsidR="00177848" w:rsidRPr="00C6052E">
        <w:t xml:space="preserve"> </w:t>
      </w:r>
      <w:r w:rsidRPr="00C6052E">
        <w:t>fair</w:t>
      </w:r>
      <w:r w:rsidR="00177848" w:rsidRPr="00C6052E">
        <w:t xml:space="preserve"> </w:t>
      </w:r>
      <w:r w:rsidRPr="00C6052E">
        <w:t>values</w:t>
      </w:r>
      <w:r w:rsidR="00177848" w:rsidRPr="00C6052E">
        <w:t xml:space="preserve"> </w:t>
      </w:r>
      <w:r w:rsidRPr="00C6052E">
        <w:t>are</w:t>
      </w:r>
      <w:r w:rsidR="00177848" w:rsidRPr="00C6052E">
        <w:t xml:space="preserve"> </w:t>
      </w:r>
      <w:r w:rsidRPr="00C6052E">
        <w:t>determined,</w:t>
      </w:r>
      <w:r w:rsidR="00177848" w:rsidRPr="00C6052E">
        <w:t xml:space="preserve"> </w:t>
      </w:r>
      <w:r w:rsidRPr="00C6052E">
        <w:t>the</w:t>
      </w:r>
      <w:r w:rsidR="00177848" w:rsidRPr="00C6052E">
        <w:t xml:space="preserve"> </w:t>
      </w:r>
      <w:r w:rsidRPr="00C6052E">
        <w:t>following</w:t>
      </w:r>
      <w:r w:rsidR="00177848" w:rsidRPr="00C6052E">
        <w:t xml:space="preserve"> </w:t>
      </w:r>
      <w:r w:rsidRPr="00C6052E">
        <w:t>disclosures</w:t>
      </w:r>
      <w:r w:rsidR="00177848" w:rsidRPr="00C6052E">
        <w:t xml:space="preserve"> </w:t>
      </w:r>
      <w:r w:rsidRPr="00C6052E">
        <w:t>are</w:t>
      </w:r>
      <w:r w:rsidR="00177848" w:rsidRPr="00C6052E">
        <w:t xml:space="preserve"> </w:t>
      </w:r>
      <w:r w:rsidRPr="00C6052E">
        <w:t>provided:</w:t>
      </w:r>
    </w:p>
    <w:p w14:paraId="7E80B643" w14:textId="66A8A005" w:rsidR="00EE5BB8" w:rsidRPr="00C6052E" w:rsidRDefault="00EE5BB8" w:rsidP="00EE5BB8">
      <w:pPr>
        <w:pStyle w:val="Bullet1"/>
        <w:numPr>
          <w:ilvl w:val="0"/>
          <w:numId w:val="1"/>
        </w:numPr>
        <w:spacing w:line="278" w:lineRule="auto"/>
        <w:ind w:left="284" w:hanging="284"/>
        <w:rPr>
          <w:lang w:val="en-AU"/>
        </w:rPr>
      </w:pPr>
      <w:r w:rsidRPr="00C6052E">
        <w:rPr>
          <w:lang w:val="en-AU"/>
        </w:rPr>
        <w:t>carrying</w:t>
      </w:r>
      <w:r w:rsidR="00177848" w:rsidRPr="00C6052E">
        <w:rPr>
          <w:lang w:val="en-AU"/>
        </w:rPr>
        <w:t xml:space="preserve"> </w:t>
      </w:r>
      <w:r w:rsidRPr="00C6052E">
        <w:rPr>
          <w:lang w:val="en-AU"/>
        </w:rPr>
        <w:t>amount</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fair</w:t>
      </w:r>
      <w:r w:rsidR="00177848" w:rsidRPr="00C6052E">
        <w:rPr>
          <w:lang w:val="en-AU"/>
        </w:rPr>
        <w:t xml:space="preserve"> </w:t>
      </w:r>
      <w:r w:rsidRPr="00C6052E">
        <w:rPr>
          <w:lang w:val="en-AU"/>
        </w:rPr>
        <w:t>value</w:t>
      </w:r>
      <w:r w:rsidR="00177848" w:rsidRPr="00C6052E">
        <w:rPr>
          <w:lang w:val="en-AU"/>
        </w:rPr>
        <w:t xml:space="preserve"> </w:t>
      </w:r>
      <w:r w:rsidRPr="00C6052E">
        <w:rPr>
          <w:lang w:val="en-AU"/>
        </w:rPr>
        <w:t>(which</w:t>
      </w:r>
      <w:r w:rsidR="00177848" w:rsidRPr="00C6052E">
        <w:rPr>
          <w:lang w:val="en-AU"/>
        </w:rPr>
        <w:t xml:space="preserve"> </w:t>
      </w:r>
      <w:r w:rsidRPr="00C6052E">
        <w:rPr>
          <w:lang w:val="en-AU"/>
        </w:rPr>
        <w:t>would</w:t>
      </w:r>
      <w:r w:rsidR="00177848" w:rsidRPr="00C6052E">
        <w:rPr>
          <w:lang w:val="en-AU"/>
        </w:rPr>
        <w:t xml:space="preserve"> </w:t>
      </w:r>
      <w:r w:rsidRPr="00C6052E">
        <w:rPr>
          <w:lang w:val="en-AU"/>
        </w:rPr>
        <w:t>be</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same</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those</w:t>
      </w:r>
      <w:r w:rsidR="00177848" w:rsidRPr="00C6052E">
        <w:rPr>
          <w:lang w:val="en-AU"/>
        </w:rPr>
        <w:t xml:space="preserve"> </w:t>
      </w:r>
      <w:r w:rsidRPr="00C6052E">
        <w:rPr>
          <w:lang w:val="en-AU"/>
        </w:rPr>
        <w:t>assets</w:t>
      </w:r>
      <w:r w:rsidR="00177848" w:rsidRPr="00C6052E">
        <w:rPr>
          <w:lang w:val="en-AU"/>
        </w:rPr>
        <w:t xml:space="preserve"> </w:t>
      </w:r>
      <w:r w:rsidRPr="00C6052E">
        <w:rPr>
          <w:lang w:val="en-AU"/>
        </w:rPr>
        <w:t>measured</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fair</w:t>
      </w:r>
      <w:r w:rsidR="00177848" w:rsidRPr="00C6052E">
        <w:rPr>
          <w:lang w:val="en-AU"/>
        </w:rPr>
        <w:t xml:space="preserve"> </w:t>
      </w:r>
      <w:r w:rsidRPr="00C6052E">
        <w:rPr>
          <w:lang w:val="en-AU"/>
        </w:rPr>
        <w:t>value);</w:t>
      </w:r>
    </w:p>
    <w:p w14:paraId="2ADD215A" w14:textId="0B8FC5AC" w:rsidR="00EE5BB8" w:rsidRPr="00C6052E" w:rsidRDefault="00EE5BB8" w:rsidP="00EE5BB8">
      <w:pPr>
        <w:pStyle w:val="Bullet1"/>
        <w:numPr>
          <w:ilvl w:val="0"/>
          <w:numId w:val="1"/>
        </w:numPr>
        <w:spacing w:line="278" w:lineRule="auto"/>
        <w:ind w:left="284" w:hanging="284"/>
        <w:rPr>
          <w:lang w:val="en-AU"/>
        </w:rPr>
      </w:pPr>
      <w:r w:rsidRPr="00C6052E">
        <w:rPr>
          <w:lang w:val="en-AU"/>
        </w:rPr>
        <w:t>which</w:t>
      </w:r>
      <w:r w:rsidR="00177848" w:rsidRPr="00C6052E">
        <w:rPr>
          <w:lang w:val="en-AU"/>
        </w:rPr>
        <w:t xml:space="preserve"> </w:t>
      </w:r>
      <w:r w:rsidRPr="00C6052E">
        <w:rPr>
          <w:lang w:val="en-AU"/>
        </w:rPr>
        <w:t>level</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fair</w:t>
      </w:r>
      <w:r w:rsidR="00177848" w:rsidRPr="00C6052E">
        <w:rPr>
          <w:lang w:val="en-AU"/>
        </w:rPr>
        <w:t xml:space="preserve"> </w:t>
      </w:r>
      <w:r w:rsidRPr="00C6052E">
        <w:rPr>
          <w:lang w:val="en-AU"/>
        </w:rPr>
        <w:t>value</w:t>
      </w:r>
      <w:r w:rsidR="00177848" w:rsidRPr="00C6052E">
        <w:rPr>
          <w:lang w:val="en-AU"/>
        </w:rPr>
        <w:t xml:space="preserve"> </w:t>
      </w:r>
      <w:r w:rsidRPr="00C6052E">
        <w:rPr>
          <w:lang w:val="en-AU"/>
        </w:rPr>
        <w:t>hierarchy</w:t>
      </w:r>
      <w:r w:rsidR="00177848" w:rsidRPr="00C6052E">
        <w:rPr>
          <w:lang w:val="en-AU"/>
        </w:rPr>
        <w:t xml:space="preserve"> </w:t>
      </w:r>
      <w:r w:rsidRPr="00C6052E">
        <w:rPr>
          <w:lang w:val="en-AU"/>
        </w:rPr>
        <w:t>was</w:t>
      </w:r>
      <w:r w:rsidR="00177848" w:rsidRPr="00C6052E">
        <w:rPr>
          <w:lang w:val="en-AU"/>
        </w:rPr>
        <w:t xml:space="preserve"> </w:t>
      </w:r>
      <w:r w:rsidRPr="00C6052E">
        <w:rPr>
          <w:lang w:val="en-AU"/>
        </w:rPr>
        <w:t>used</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determine</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fair</w:t>
      </w:r>
      <w:r w:rsidR="00177848" w:rsidRPr="00C6052E">
        <w:rPr>
          <w:lang w:val="en-AU"/>
        </w:rPr>
        <w:t xml:space="preserve"> </w:t>
      </w:r>
      <w:r w:rsidRPr="00C6052E">
        <w:rPr>
          <w:lang w:val="en-AU"/>
        </w:rPr>
        <w:t>value;</w:t>
      </w:r>
      <w:r w:rsidR="00177848" w:rsidRPr="00C6052E">
        <w:rPr>
          <w:lang w:val="en-AU"/>
        </w:rPr>
        <w:t xml:space="preserve"> </w:t>
      </w:r>
      <w:r w:rsidRPr="00C6052E">
        <w:rPr>
          <w:lang w:val="en-AU"/>
        </w:rPr>
        <w:t>and</w:t>
      </w:r>
    </w:p>
    <w:p w14:paraId="00553AAA" w14:textId="76A9E52C" w:rsidR="00EE5BB8" w:rsidRPr="00C6052E" w:rsidRDefault="00EE5BB8" w:rsidP="00EE5BB8">
      <w:pPr>
        <w:pStyle w:val="Bullet1"/>
        <w:numPr>
          <w:ilvl w:val="0"/>
          <w:numId w:val="1"/>
        </w:numPr>
        <w:spacing w:line="278" w:lineRule="auto"/>
        <w:ind w:left="284" w:hanging="284"/>
        <w:rPr>
          <w:lang w:val="en-AU"/>
        </w:rPr>
      </w:pPr>
      <w:r w:rsidRPr="00C6052E">
        <w:rPr>
          <w:lang w:val="en-AU"/>
        </w:rPr>
        <w:t>in</w:t>
      </w:r>
      <w:r w:rsidR="00177848" w:rsidRPr="00C6052E">
        <w:rPr>
          <w:lang w:val="en-AU"/>
        </w:rPr>
        <w:t xml:space="preserve"> </w:t>
      </w:r>
      <w:r w:rsidRPr="00C6052E">
        <w:rPr>
          <w:lang w:val="en-AU"/>
        </w:rPr>
        <w:t>respect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those</w:t>
      </w:r>
      <w:r w:rsidR="00177848" w:rsidRPr="00C6052E">
        <w:rPr>
          <w:lang w:val="en-AU"/>
        </w:rPr>
        <w:t xml:space="preserve"> </w:t>
      </w:r>
      <w:r w:rsidRPr="00C6052E">
        <w:rPr>
          <w:lang w:val="en-AU"/>
        </w:rPr>
        <w:t>assets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liabilities</w:t>
      </w:r>
      <w:r w:rsidR="00177848" w:rsidRPr="00C6052E">
        <w:rPr>
          <w:lang w:val="en-AU"/>
        </w:rPr>
        <w:t xml:space="preserve"> </w:t>
      </w:r>
      <w:r w:rsidRPr="00C6052E">
        <w:rPr>
          <w:lang w:val="en-AU"/>
        </w:rPr>
        <w:t>subject</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fair</w:t>
      </w:r>
      <w:r w:rsidR="00177848" w:rsidRPr="00C6052E">
        <w:rPr>
          <w:lang w:val="en-AU"/>
        </w:rPr>
        <w:t xml:space="preserve"> </w:t>
      </w:r>
      <w:r w:rsidRPr="00C6052E">
        <w:rPr>
          <w:lang w:val="en-AU"/>
        </w:rPr>
        <w:t>value</w:t>
      </w:r>
      <w:r w:rsidR="00177848" w:rsidRPr="00C6052E">
        <w:rPr>
          <w:lang w:val="en-AU"/>
        </w:rPr>
        <w:t xml:space="preserve"> </w:t>
      </w:r>
      <w:r w:rsidRPr="00C6052E">
        <w:rPr>
          <w:lang w:val="en-AU"/>
        </w:rPr>
        <w:t>determination</w:t>
      </w:r>
      <w:r w:rsidR="00177848" w:rsidRPr="00C6052E">
        <w:rPr>
          <w:lang w:val="en-AU"/>
        </w:rPr>
        <w:t xml:space="preserve"> </w:t>
      </w:r>
      <w:r w:rsidRPr="00C6052E">
        <w:rPr>
          <w:lang w:val="en-AU"/>
        </w:rPr>
        <w:t>using</w:t>
      </w:r>
      <w:r w:rsidR="00177848" w:rsidRPr="00C6052E">
        <w:rPr>
          <w:lang w:val="en-AU"/>
        </w:rPr>
        <w:t xml:space="preserve"> </w:t>
      </w:r>
      <w:r w:rsidRPr="00C6052E">
        <w:rPr>
          <w:lang w:val="en-AU"/>
        </w:rPr>
        <w:t>Level</w:t>
      </w:r>
      <w:r w:rsidR="00177848" w:rsidRPr="00C6052E">
        <w:rPr>
          <w:lang w:val="en-AU"/>
        </w:rPr>
        <w:t xml:space="preserve"> </w:t>
      </w:r>
      <w:r w:rsidRPr="00C6052E">
        <w:rPr>
          <w:lang w:val="en-AU"/>
        </w:rPr>
        <w:t>3</w:t>
      </w:r>
      <w:r w:rsidR="00177848" w:rsidRPr="00C6052E">
        <w:rPr>
          <w:lang w:val="en-AU"/>
        </w:rPr>
        <w:t xml:space="preserve"> </w:t>
      </w:r>
      <w:r w:rsidRPr="00C6052E">
        <w:rPr>
          <w:lang w:val="en-AU"/>
        </w:rPr>
        <w:t>inputs:</w:t>
      </w:r>
    </w:p>
    <w:p w14:paraId="60B82B60" w14:textId="72588E80" w:rsidR="00EE5BB8" w:rsidRPr="00C6052E" w:rsidRDefault="00EE5BB8" w:rsidP="00EE5BB8">
      <w:pPr>
        <w:pStyle w:val="Bullet2"/>
        <w:numPr>
          <w:ilvl w:val="0"/>
          <w:numId w:val="11"/>
        </w:numPr>
        <w:ind w:left="568" w:hanging="284"/>
      </w:pPr>
      <w:r w:rsidRPr="00C6052E">
        <w:t>a</w:t>
      </w:r>
      <w:r w:rsidR="00177848" w:rsidRPr="00C6052E">
        <w:t xml:space="preserve"> </w:t>
      </w:r>
      <w:r w:rsidRPr="00C6052E">
        <w:t>reconciliation</w:t>
      </w:r>
      <w:r w:rsidR="00177848" w:rsidRPr="00C6052E">
        <w:t xml:space="preserve"> </w:t>
      </w:r>
      <w:r w:rsidRPr="00C6052E">
        <w:t>of</w:t>
      </w:r>
      <w:r w:rsidR="00177848" w:rsidRPr="00C6052E">
        <w:t xml:space="preserve"> </w:t>
      </w:r>
      <w:r w:rsidRPr="00C6052E">
        <w:t>the</w:t>
      </w:r>
      <w:r w:rsidR="00177848" w:rsidRPr="00C6052E">
        <w:t xml:space="preserve"> </w:t>
      </w:r>
      <w:r w:rsidRPr="00C6052E">
        <w:t>movements</w:t>
      </w:r>
      <w:r w:rsidR="00177848" w:rsidRPr="00C6052E">
        <w:t xml:space="preserve"> </w:t>
      </w:r>
      <w:r w:rsidRPr="00C6052E">
        <w:t>in</w:t>
      </w:r>
      <w:r w:rsidR="00177848" w:rsidRPr="00C6052E">
        <w:t xml:space="preserve"> </w:t>
      </w:r>
      <w:r w:rsidRPr="00C6052E">
        <w:t>fair</w:t>
      </w:r>
      <w:r w:rsidR="00177848" w:rsidRPr="00C6052E">
        <w:t xml:space="preserve"> </w:t>
      </w:r>
      <w:r w:rsidRPr="00C6052E">
        <w:t>values</w:t>
      </w:r>
      <w:r w:rsidR="00177848" w:rsidRPr="00C6052E">
        <w:t xml:space="preserve"> </w:t>
      </w:r>
      <w:r w:rsidRPr="00C6052E">
        <w:t>from</w:t>
      </w:r>
      <w:r w:rsidR="00177848" w:rsidRPr="00C6052E">
        <w:t xml:space="preserve"> </w:t>
      </w:r>
      <w:r w:rsidRPr="00C6052E">
        <w:t>the</w:t>
      </w:r>
      <w:r w:rsidR="00177848" w:rsidRPr="00C6052E">
        <w:t xml:space="preserve"> </w:t>
      </w:r>
      <w:r w:rsidRPr="00C6052E">
        <w:t>beginning</w:t>
      </w:r>
      <w:r w:rsidR="00177848" w:rsidRPr="00C6052E">
        <w:t xml:space="preserve"> </w:t>
      </w:r>
      <w:r w:rsidRPr="00C6052E">
        <w:t>of</w:t>
      </w:r>
      <w:r w:rsidR="00177848" w:rsidRPr="00C6052E">
        <w:t xml:space="preserve"> </w:t>
      </w:r>
      <w:r w:rsidRPr="00C6052E">
        <w:t>the</w:t>
      </w:r>
      <w:r w:rsidR="00177848" w:rsidRPr="00C6052E">
        <w:t xml:space="preserve"> </w:t>
      </w:r>
      <w:r w:rsidRPr="00C6052E">
        <w:t>year</w:t>
      </w:r>
      <w:r w:rsidR="00177848" w:rsidRPr="00C6052E">
        <w:t xml:space="preserve"> </w:t>
      </w:r>
      <w:r w:rsidRPr="00C6052E">
        <w:t>to</w:t>
      </w:r>
      <w:r w:rsidR="00177848" w:rsidRPr="00C6052E">
        <w:t xml:space="preserve"> </w:t>
      </w:r>
      <w:r w:rsidRPr="00C6052E">
        <w:t>the</w:t>
      </w:r>
      <w:r w:rsidR="00177848" w:rsidRPr="00C6052E">
        <w:t xml:space="preserve"> </w:t>
      </w:r>
      <w:r w:rsidRPr="00C6052E">
        <w:t>end;</w:t>
      </w:r>
      <w:r w:rsidR="00177848" w:rsidRPr="00C6052E">
        <w:t xml:space="preserve"> </w:t>
      </w:r>
      <w:r w:rsidRPr="00C6052E">
        <w:t>and</w:t>
      </w:r>
    </w:p>
    <w:p w14:paraId="1464F4BF" w14:textId="001DE648" w:rsidR="00EE5BB8" w:rsidRPr="00C6052E" w:rsidRDefault="00EE5BB8" w:rsidP="00EE5BB8">
      <w:pPr>
        <w:pStyle w:val="Bullet2last"/>
        <w:numPr>
          <w:ilvl w:val="0"/>
          <w:numId w:val="11"/>
        </w:numPr>
        <w:ind w:left="568" w:hanging="284"/>
      </w:pPr>
      <w:r w:rsidRPr="00C6052E">
        <w:t>details</w:t>
      </w:r>
      <w:r w:rsidR="00177848" w:rsidRPr="00C6052E">
        <w:t xml:space="preserve"> </w:t>
      </w:r>
      <w:r w:rsidRPr="00C6052E">
        <w:t>of</w:t>
      </w:r>
      <w:r w:rsidR="00177848" w:rsidRPr="00C6052E">
        <w:t xml:space="preserve"> </w:t>
      </w:r>
      <w:r w:rsidRPr="00C6052E">
        <w:t>significant</w:t>
      </w:r>
      <w:r w:rsidR="00177848" w:rsidRPr="00C6052E">
        <w:t xml:space="preserve"> </w:t>
      </w:r>
      <w:r w:rsidRPr="00C6052E">
        <w:t>unobservable</w:t>
      </w:r>
      <w:r w:rsidR="00177848" w:rsidRPr="00C6052E">
        <w:t xml:space="preserve"> </w:t>
      </w:r>
      <w:r w:rsidRPr="00C6052E">
        <w:t>inputs</w:t>
      </w:r>
      <w:r w:rsidR="00177848" w:rsidRPr="00C6052E">
        <w:t xml:space="preserve"> </w:t>
      </w:r>
      <w:r w:rsidRPr="00C6052E">
        <w:t>used</w:t>
      </w:r>
      <w:r w:rsidR="00177848" w:rsidRPr="00C6052E">
        <w:t xml:space="preserve"> </w:t>
      </w:r>
      <w:r w:rsidRPr="00C6052E">
        <w:t>in</w:t>
      </w:r>
      <w:r w:rsidR="00177848" w:rsidRPr="00C6052E">
        <w:t xml:space="preserve"> </w:t>
      </w:r>
      <w:r w:rsidRPr="00C6052E">
        <w:t>the</w:t>
      </w:r>
      <w:r w:rsidR="00177848" w:rsidRPr="00C6052E">
        <w:t xml:space="preserve"> </w:t>
      </w:r>
      <w:r w:rsidRPr="00C6052E">
        <w:t>fair</w:t>
      </w:r>
      <w:r w:rsidR="00177848" w:rsidRPr="00C6052E">
        <w:t xml:space="preserve"> </w:t>
      </w:r>
      <w:r w:rsidRPr="00C6052E">
        <w:t>value</w:t>
      </w:r>
      <w:r w:rsidR="00177848" w:rsidRPr="00C6052E">
        <w:t xml:space="preserve"> </w:t>
      </w:r>
      <w:r w:rsidRPr="00C6052E">
        <w:t>determination.</w:t>
      </w:r>
    </w:p>
    <w:p w14:paraId="000DF059" w14:textId="5A200C73" w:rsidR="00EE5BB8" w:rsidRPr="00C6052E" w:rsidRDefault="00EE5BB8" w:rsidP="00EE5BB8">
      <w:r w:rsidRPr="00C6052E">
        <w:t>This</w:t>
      </w:r>
      <w:r w:rsidR="00177848" w:rsidRPr="00C6052E">
        <w:t xml:space="preserve"> </w:t>
      </w:r>
      <w:r w:rsidRPr="00C6052E">
        <w:t>section</w:t>
      </w:r>
      <w:r w:rsidR="00177848" w:rsidRPr="00C6052E">
        <w:t xml:space="preserve"> </w:t>
      </w:r>
      <w:r w:rsidRPr="00C6052E">
        <w:t>is</w:t>
      </w:r>
      <w:r w:rsidR="00177848" w:rsidRPr="00C6052E">
        <w:t xml:space="preserve"> </w:t>
      </w:r>
      <w:r w:rsidRPr="00C6052E">
        <w:t>divided</w:t>
      </w:r>
      <w:r w:rsidR="00177848" w:rsidRPr="00C6052E">
        <w:t xml:space="preserve"> </w:t>
      </w:r>
      <w:r w:rsidRPr="00C6052E">
        <w:t>between</w:t>
      </w:r>
      <w:r w:rsidR="00177848" w:rsidRPr="00C6052E">
        <w:t xml:space="preserve"> </w:t>
      </w:r>
      <w:r w:rsidRPr="00C6052E">
        <w:t>disclosures</w:t>
      </w:r>
      <w:r w:rsidR="00177848" w:rsidRPr="00C6052E">
        <w:t xml:space="preserve"> </w:t>
      </w:r>
      <w:r w:rsidRPr="00C6052E">
        <w:t>in</w:t>
      </w:r>
      <w:r w:rsidR="00177848" w:rsidRPr="00C6052E">
        <w:t xml:space="preserve"> </w:t>
      </w:r>
      <w:r w:rsidRPr="00C6052E">
        <w:t>connection</w:t>
      </w:r>
      <w:r w:rsidR="00177848" w:rsidRPr="00C6052E">
        <w:t xml:space="preserve"> </w:t>
      </w:r>
      <w:r w:rsidRPr="00C6052E">
        <w:t>with</w:t>
      </w:r>
      <w:r w:rsidR="00177848" w:rsidRPr="00C6052E">
        <w:t xml:space="preserve"> </w:t>
      </w:r>
      <w:r w:rsidRPr="00C6052E">
        <w:t>fair</w:t>
      </w:r>
      <w:r w:rsidR="00177848" w:rsidRPr="00C6052E">
        <w:t xml:space="preserve"> </w:t>
      </w:r>
      <w:r w:rsidRPr="00C6052E">
        <w:t>value</w:t>
      </w:r>
      <w:r w:rsidR="00177848" w:rsidRPr="00C6052E">
        <w:t xml:space="preserve"> </w:t>
      </w:r>
      <w:r w:rsidRPr="00C6052E">
        <w:t>determination</w:t>
      </w:r>
      <w:r w:rsidR="00177848" w:rsidRPr="00C6052E">
        <w:t xml:space="preserve"> </w:t>
      </w:r>
      <w:r w:rsidRPr="00C6052E">
        <w:t>for</w:t>
      </w:r>
      <w:r w:rsidR="00177848" w:rsidRPr="00C6052E">
        <w:t xml:space="preserve"> </w:t>
      </w:r>
      <w:r w:rsidRPr="00C6052E">
        <w:t>financial</w:t>
      </w:r>
      <w:r w:rsidR="00177848" w:rsidRPr="00C6052E">
        <w:t xml:space="preserve"> </w:t>
      </w:r>
      <w:r w:rsidRPr="00C6052E">
        <w:t>instruments</w:t>
      </w:r>
      <w:r w:rsidR="00177848" w:rsidRPr="00C6052E">
        <w:t xml:space="preserve"> </w:t>
      </w:r>
      <w:r w:rsidRPr="00C6052E">
        <w:t>(refer</w:t>
      </w:r>
      <w:r w:rsidR="00177848" w:rsidRPr="00C6052E">
        <w:t xml:space="preserve"> </w:t>
      </w:r>
      <w:r w:rsidRPr="00C6052E">
        <w:t>to</w:t>
      </w:r>
      <w:r w:rsidR="00177848" w:rsidRPr="00C6052E">
        <w:t xml:space="preserve"> </w:t>
      </w:r>
      <w:r w:rsidRPr="00C6052E">
        <w:t>Note</w:t>
      </w:r>
      <w:r w:rsidR="00177848" w:rsidRPr="00C6052E">
        <w:t xml:space="preserve"> </w:t>
      </w:r>
      <w:r w:rsidRPr="00C6052E">
        <w:fldChar w:fldCharType="begin"/>
      </w:r>
      <w:r w:rsidRPr="00C6052E">
        <w:instrText xml:space="preserve"> REF _Ref190163497 \r \h  \* MERGEFORMAT </w:instrText>
      </w:r>
      <w:r w:rsidRPr="00C6052E">
        <w:fldChar w:fldCharType="separate"/>
      </w:r>
      <w:r w:rsidRPr="00C6052E">
        <w:t>8.3.1</w:t>
      </w:r>
      <w:r w:rsidRPr="00C6052E">
        <w:fldChar w:fldCharType="end"/>
      </w:r>
      <w:r w:rsidR="00177848" w:rsidRPr="00C6052E">
        <w:t xml:space="preserve"> </w:t>
      </w:r>
      <w:r w:rsidRPr="00C6052E">
        <w:t>–</w:t>
      </w:r>
      <w:r w:rsidR="00177848" w:rsidRPr="00C6052E">
        <w:t xml:space="preserve"> </w:t>
      </w:r>
      <w:r w:rsidRPr="00C6052E">
        <w:fldChar w:fldCharType="begin"/>
      </w:r>
      <w:r w:rsidRPr="00C6052E">
        <w:instrText xml:space="preserve"> REF _Ref190163497 \h  \* MERGEFORMAT </w:instrText>
      </w:r>
      <w:r w:rsidRPr="00C6052E">
        <w:fldChar w:fldCharType="separate"/>
      </w:r>
      <w:r w:rsidRPr="00C6052E">
        <w:t>Fair</w:t>
      </w:r>
      <w:r w:rsidR="00177848" w:rsidRPr="00C6052E">
        <w:t xml:space="preserve"> </w:t>
      </w:r>
      <w:r w:rsidRPr="00C6052E">
        <w:t>value</w:t>
      </w:r>
      <w:r w:rsidR="00177848" w:rsidRPr="00C6052E">
        <w:t xml:space="preserve"> </w:t>
      </w:r>
      <w:r w:rsidRPr="00C6052E">
        <w:t>determination</w:t>
      </w:r>
      <w:r w:rsidR="00177848" w:rsidRPr="00C6052E">
        <w:t xml:space="preserve"> </w:t>
      </w:r>
      <w:r w:rsidRPr="00C6052E">
        <w:t>of</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and</w:t>
      </w:r>
      <w:r w:rsidR="00177848" w:rsidRPr="00C6052E">
        <w:t xml:space="preserve"> </w:t>
      </w:r>
      <w:r w:rsidRPr="00C6052E">
        <w:t>liabilities</w:t>
      </w:r>
      <w:r w:rsidRPr="00C6052E">
        <w:fldChar w:fldCharType="end"/>
      </w:r>
      <w:r w:rsidRPr="00C6052E">
        <w:t>)</w:t>
      </w:r>
      <w:r w:rsidR="00177848" w:rsidRPr="00C6052E">
        <w:t xml:space="preserve"> </w:t>
      </w:r>
      <w:r w:rsidRPr="00C6052E">
        <w:t>and</w:t>
      </w:r>
      <w:r w:rsidR="00177848" w:rsidRPr="00C6052E">
        <w:t xml:space="preserve"> </w:t>
      </w:r>
      <w:r w:rsidRPr="00C6052E">
        <w:t>non–financial</w:t>
      </w:r>
      <w:r w:rsidR="00177848" w:rsidRPr="00C6052E">
        <w:t xml:space="preserve"> </w:t>
      </w:r>
      <w:r w:rsidRPr="00C6052E">
        <w:t>physical</w:t>
      </w:r>
      <w:r w:rsidR="00177848" w:rsidRPr="00C6052E">
        <w:t xml:space="preserve"> </w:t>
      </w:r>
      <w:r w:rsidRPr="00C6052E">
        <w:t>assets</w:t>
      </w:r>
      <w:r w:rsidR="00177848" w:rsidRPr="00C6052E">
        <w:t xml:space="preserve"> </w:t>
      </w:r>
      <w:r w:rsidRPr="00C6052E">
        <w:t>(refer</w:t>
      </w:r>
      <w:r w:rsidR="00177848" w:rsidRPr="00C6052E">
        <w:t xml:space="preserve"> </w:t>
      </w:r>
      <w:r w:rsidRPr="00C6052E">
        <w:t>to</w:t>
      </w:r>
      <w:r w:rsidR="00177848" w:rsidRPr="00C6052E">
        <w:t xml:space="preserve"> </w:t>
      </w:r>
      <w:r w:rsidRPr="00C6052E">
        <w:t>Note</w:t>
      </w:r>
      <w:r w:rsidR="00177848" w:rsidRPr="00C6052E">
        <w:t xml:space="preserve"> </w:t>
      </w:r>
      <w:r w:rsidRPr="00C6052E">
        <w:fldChar w:fldCharType="begin"/>
      </w:r>
      <w:r w:rsidRPr="00C6052E">
        <w:instrText xml:space="preserve"> REF _Ref161754185 \r \h  \* MERGEFORMAT </w:instrText>
      </w:r>
      <w:r w:rsidRPr="00C6052E">
        <w:fldChar w:fldCharType="separate"/>
      </w:r>
      <w:r w:rsidRPr="00C6052E">
        <w:t>8.3.2</w:t>
      </w:r>
      <w:r w:rsidRPr="00C6052E">
        <w:fldChar w:fldCharType="end"/>
      </w:r>
      <w:r w:rsidR="00177848" w:rsidRPr="00C6052E">
        <w:t xml:space="preserve"> </w:t>
      </w:r>
      <w:r w:rsidRPr="00C6052E">
        <w:t>–</w:t>
      </w:r>
      <w:r w:rsidR="00177848" w:rsidRPr="00C6052E">
        <w:t xml:space="preserve"> </w:t>
      </w:r>
      <w:r w:rsidRPr="00C6052E">
        <w:fldChar w:fldCharType="begin"/>
      </w:r>
      <w:r w:rsidRPr="00C6052E">
        <w:instrText xml:space="preserve"> REF _Ref161754185 \h  \* MERGEFORMAT </w:instrText>
      </w:r>
      <w:r w:rsidRPr="00C6052E">
        <w:fldChar w:fldCharType="separate"/>
      </w:r>
      <w:r w:rsidRPr="00C6052E">
        <w:t>Fair</w:t>
      </w:r>
      <w:r w:rsidR="00177848" w:rsidRPr="00C6052E">
        <w:t xml:space="preserve"> </w:t>
      </w:r>
      <w:r w:rsidRPr="00C6052E">
        <w:t>value</w:t>
      </w:r>
      <w:r w:rsidR="00177848" w:rsidRPr="00C6052E">
        <w:t xml:space="preserve"> </w:t>
      </w:r>
      <w:r w:rsidRPr="00C6052E">
        <w:t>determination:</w:t>
      </w:r>
      <w:r w:rsidR="00177848" w:rsidRPr="00C6052E">
        <w:t xml:space="preserve"> </w:t>
      </w:r>
      <w:r w:rsidRPr="00C6052E">
        <w:t>Non–financial</w:t>
      </w:r>
      <w:r w:rsidR="00177848" w:rsidRPr="00C6052E">
        <w:t xml:space="preserve"> </w:t>
      </w:r>
      <w:r w:rsidRPr="00C6052E">
        <w:t>physical</w:t>
      </w:r>
      <w:r w:rsidR="00177848" w:rsidRPr="00C6052E">
        <w:t xml:space="preserve"> </w:t>
      </w:r>
      <w:r w:rsidRPr="00C6052E">
        <w:t>assets</w:t>
      </w:r>
      <w:r w:rsidRPr="00C6052E">
        <w:fldChar w:fldCharType="end"/>
      </w:r>
      <w:r w:rsidRPr="00C6052E">
        <w:t>).</w:t>
      </w:r>
    </w:p>
    <w:p w14:paraId="31CA3936" w14:textId="37E41548" w:rsidR="00EE5BB8" w:rsidRPr="00C6052E" w:rsidRDefault="00EE5BB8" w:rsidP="00EE5BB8">
      <w:r w:rsidRPr="00C6052E">
        <w:lastRenderedPageBreak/>
        <w:t>DJSIR</w:t>
      </w:r>
      <w:r w:rsidR="00177848" w:rsidRPr="00C6052E">
        <w:t xml:space="preserve"> </w:t>
      </w:r>
      <w:r w:rsidRPr="00C6052E">
        <w:t>currently</w:t>
      </w:r>
      <w:r w:rsidR="00177848" w:rsidRPr="00C6052E">
        <w:t xml:space="preserve"> </w:t>
      </w:r>
      <w:r w:rsidRPr="00C6052E">
        <w:t>holds</w:t>
      </w:r>
      <w:r w:rsidR="00177848" w:rsidRPr="00C6052E">
        <w:t xml:space="preserve"> </w:t>
      </w:r>
      <w:r w:rsidRPr="00C6052E">
        <w:t>a</w:t>
      </w:r>
      <w:r w:rsidR="00177848" w:rsidRPr="00C6052E">
        <w:t xml:space="preserve"> </w:t>
      </w:r>
      <w:r w:rsidRPr="00C6052E">
        <w:t>range</w:t>
      </w:r>
      <w:r w:rsidR="00177848" w:rsidRPr="00C6052E">
        <w:t xml:space="preserve"> </w:t>
      </w:r>
      <w:r w:rsidRPr="00C6052E">
        <w:t>of</w:t>
      </w:r>
      <w:r w:rsidR="00177848" w:rsidRPr="00C6052E">
        <w:t xml:space="preserve"> </w:t>
      </w:r>
      <w:r w:rsidRPr="00C6052E">
        <w:t>financial</w:t>
      </w:r>
      <w:r w:rsidR="00177848" w:rsidRPr="00C6052E">
        <w:t xml:space="preserve"> </w:t>
      </w:r>
      <w:r w:rsidRPr="00C6052E">
        <w:t>instruments</w:t>
      </w:r>
      <w:r w:rsidR="00177848" w:rsidRPr="00C6052E">
        <w:t xml:space="preserve"> </w:t>
      </w:r>
      <w:r w:rsidRPr="00C6052E">
        <w:t>that</w:t>
      </w:r>
      <w:r w:rsidR="00177848" w:rsidRPr="00C6052E">
        <w:t xml:space="preserve"> </w:t>
      </w:r>
      <w:r w:rsidRPr="00C6052E">
        <w:t>are</w:t>
      </w:r>
      <w:r w:rsidR="00177848" w:rsidRPr="00C6052E">
        <w:t xml:space="preserve"> </w:t>
      </w:r>
      <w:r w:rsidRPr="00C6052E">
        <w:t>recorded</w:t>
      </w:r>
      <w:r w:rsidR="00177848" w:rsidRPr="00C6052E">
        <w:t xml:space="preserve"> </w:t>
      </w:r>
      <w:r w:rsidRPr="00C6052E">
        <w:t>in</w:t>
      </w:r>
      <w:r w:rsidR="00177848" w:rsidRPr="00C6052E">
        <w:t xml:space="preserve"> </w:t>
      </w:r>
      <w:r w:rsidRPr="00C6052E">
        <w:t>the</w:t>
      </w:r>
      <w:r w:rsidR="00177848" w:rsidRPr="00C6052E">
        <w:t xml:space="preserve"> </w:t>
      </w:r>
      <w:r w:rsidRPr="00C6052E">
        <w:t>financial</w:t>
      </w:r>
      <w:r w:rsidR="00177848" w:rsidRPr="00C6052E">
        <w:t xml:space="preserve"> </w:t>
      </w:r>
      <w:r w:rsidRPr="00C6052E">
        <w:t>statements</w:t>
      </w:r>
      <w:r w:rsidR="00177848" w:rsidRPr="00C6052E">
        <w:t xml:space="preserve"> </w:t>
      </w:r>
      <w:r w:rsidRPr="00C6052E">
        <w:t>where</w:t>
      </w:r>
      <w:r w:rsidR="00177848" w:rsidRPr="00C6052E">
        <w:t xml:space="preserve"> </w:t>
      </w:r>
      <w:r w:rsidRPr="00C6052E">
        <w:t>the</w:t>
      </w:r>
      <w:r w:rsidR="00177848" w:rsidRPr="00C6052E">
        <w:t xml:space="preserve"> </w:t>
      </w:r>
      <w:r w:rsidRPr="00C6052E">
        <w:t>carrying</w:t>
      </w:r>
      <w:r w:rsidR="00177848" w:rsidRPr="00C6052E">
        <w:t xml:space="preserve"> </w:t>
      </w:r>
      <w:r w:rsidRPr="00C6052E">
        <w:t>amounts</w:t>
      </w:r>
      <w:r w:rsidR="00177848" w:rsidRPr="00C6052E">
        <w:t xml:space="preserve"> </w:t>
      </w:r>
      <w:r w:rsidRPr="00C6052E">
        <w:t>are</w:t>
      </w:r>
      <w:r w:rsidR="00177848" w:rsidRPr="00C6052E">
        <w:t xml:space="preserve"> </w:t>
      </w:r>
      <w:r w:rsidRPr="00C6052E">
        <w:t>a</w:t>
      </w:r>
      <w:r w:rsidR="00177848" w:rsidRPr="00C6052E">
        <w:t xml:space="preserve"> </w:t>
      </w:r>
      <w:r w:rsidRPr="00C6052E">
        <w:t>reasonable</w:t>
      </w:r>
      <w:r w:rsidR="00177848" w:rsidRPr="00C6052E">
        <w:t xml:space="preserve"> </w:t>
      </w:r>
      <w:r w:rsidRPr="00C6052E">
        <w:t>approximation</w:t>
      </w:r>
      <w:r w:rsidR="00177848" w:rsidRPr="00C6052E">
        <w:t xml:space="preserve"> </w:t>
      </w:r>
      <w:r w:rsidRPr="00C6052E">
        <w:t>of</w:t>
      </w:r>
      <w:r w:rsidR="00177848" w:rsidRPr="00C6052E">
        <w:t xml:space="preserve"> </w:t>
      </w:r>
      <w:r w:rsidRPr="00C6052E">
        <w:t>fair</w:t>
      </w:r>
      <w:r w:rsidR="00177848" w:rsidRPr="00C6052E">
        <w:t xml:space="preserve"> </w:t>
      </w:r>
      <w:r w:rsidRPr="00C6052E">
        <w:t>value,</w:t>
      </w:r>
      <w:r w:rsidR="00177848" w:rsidRPr="00C6052E">
        <w:t xml:space="preserve"> </w:t>
      </w:r>
      <w:r w:rsidRPr="00C6052E">
        <w:t>either</w:t>
      </w:r>
      <w:r w:rsidR="00177848" w:rsidRPr="00C6052E">
        <w:t xml:space="preserve"> </w:t>
      </w:r>
      <w:r w:rsidRPr="00C6052E">
        <w:t>due</w:t>
      </w:r>
      <w:r w:rsidR="00177848" w:rsidRPr="00C6052E">
        <w:t xml:space="preserve"> </w:t>
      </w:r>
      <w:r w:rsidRPr="00C6052E">
        <w:t>to</w:t>
      </w:r>
      <w:r w:rsidR="00177848" w:rsidRPr="00C6052E">
        <w:t xml:space="preserve"> </w:t>
      </w:r>
      <w:r w:rsidRPr="00C6052E">
        <w:t>their</w:t>
      </w:r>
      <w:r w:rsidR="00177848" w:rsidRPr="00C6052E">
        <w:t xml:space="preserve"> </w:t>
      </w:r>
      <w:r w:rsidRPr="00C6052E">
        <w:t>short–term</w:t>
      </w:r>
      <w:r w:rsidR="00177848" w:rsidRPr="00C6052E">
        <w:t xml:space="preserve"> </w:t>
      </w:r>
      <w:r w:rsidRPr="00C6052E">
        <w:t>nature</w:t>
      </w:r>
      <w:r w:rsidR="00177848" w:rsidRPr="00C6052E">
        <w:t xml:space="preserve"> </w:t>
      </w:r>
      <w:r w:rsidRPr="00C6052E">
        <w:t>or</w:t>
      </w:r>
      <w:r w:rsidR="00177848" w:rsidRPr="00C6052E">
        <w:t xml:space="preserve"> </w:t>
      </w:r>
      <w:r w:rsidRPr="00C6052E">
        <w:t>with</w:t>
      </w:r>
      <w:r w:rsidR="00177848" w:rsidRPr="00C6052E">
        <w:t xml:space="preserve"> </w:t>
      </w:r>
      <w:r w:rsidRPr="00C6052E">
        <w:t>the</w:t>
      </w:r>
      <w:r w:rsidR="00177848" w:rsidRPr="00C6052E">
        <w:t xml:space="preserve"> </w:t>
      </w:r>
      <w:r w:rsidRPr="00C6052E">
        <w:t>expectation</w:t>
      </w:r>
      <w:r w:rsidR="00177848" w:rsidRPr="00C6052E">
        <w:t xml:space="preserve"> </w:t>
      </w:r>
      <w:r w:rsidRPr="00C6052E">
        <w:t>that</w:t>
      </w:r>
      <w:r w:rsidR="00177848" w:rsidRPr="00C6052E">
        <w:t xml:space="preserve"> </w:t>
      </w:r>
      <w:r w:rsidRPr="00C6052E">
        <w:t>they</w:t>
      </w:r>
      <w:r w:rsidR="00177848" w:rsidRPr="00C6052E">
        <w:t xml:space="preserve"> </w:t>
      </w:r>
      <w:r w:rsidRPr="00C6052E">
        <w:t>will</w:t>
      </w:r>
      <w:r w:rsidR="00177848" w:rsidRPr="00C6052E">
        <w:t xml:space="preserve"> </w:t>
      </w:r>
      <w:r w:rsidRPr="00C6052E">
        <w:t>be</w:t>
      </w:r>
      <w:r w:rsidR="00177848" w:rsidRPr="00C6052E">
        <w:t xml:space="preserve"> </w:t>
      </w:r>
      <w:r w:rsidRPr="00C6052E">
        <w:t>paid</w:t>
      </w:r>
      <w:r w:rsidR="00177848" w:rsidRPr="00C6052E">
        <w:t xml:space="preserve"> </w:t>
      </w:r>
      <w:r w:rsidRPr="00C6052E">
        <w:t>in</w:t>
      </w:r>
      <w:r w:rsidR="00177848" w:rsidRPr="00C6052E">
        <w:t xml:space="preserve"> </w:t>
      </w:r>
      <w:r w:rsidRPr="00C6052E">
        <w:t>full</w:t>
      </w:r>
      <w:r w:rsidR="00177848" w:rsidRPr="00C6052E">
        <w:t xml:space="preserve"> </w:t>
      </w:r>
      <w:r w:rsidRPr="00C6052E">
        <w:t>by</w:t>
      </w:r>
      <w:r w:rsidR="00177848" w:rsidRPr="00C6052E">
        <w:t xml:space="preserve"> </w:t>
      </w:r>
      <w:r w:rsidRPr="00C6052E">
        <w:t>the</w:t>
      </w:r>
      <w:r w:rsidR="00177848" w:rsidRPr="00C6052E">
        <w:t xml:space="preserve"> </w:t>
      </w:r>
      <w:r w:rsidRPr="00C6052E">
        <w:t>end</w:t>
      </w:r>
      <w:r w:rsidR="00177848" w:rsidRPr="00C6052E">
        <w:t xml:space="preserve"> </w:t>
      </w:r>
      <w:r w:rsidRPr="00C6052E">
        <w:t>of</w:t>
      </w:r>
      <w:r w:rsidR="00177848" w:rsidRPr="00C6052E">
        <w:t xml:space="preserve"> </w:t>
      </w:r>
      <w:r w:rsidRPr="00C6052E">
        <w:t>the</w:t>
      </w:r>
      <w:r w:rsidR="00177848" w:rsidRPr="00C6052E">
        <w:t xml:space="preserve"> </w:t>
      </w:r>
      <w:fldSimple w:instr=" DOCPROPERTY  CYHeading_A  \* MERGEFORMAT ">
        <w:r w:rsidRPr="00C6052E">
          <w:t>2024–25</w:t>
        </w:r>
      </w:fldSimple>
      <w:r w:rsidR="00177848" w:rsidRPr="00C6052E">
        <w:t xml:space="preserve"> </w:t>
      </w:r>
      <w:r w:rsidRPr="00C6052E">
        <w:t>reporting</w:t>
      </w:r>
      <w:r w:rsidR="00177848" w:rsidRPr="00C6052E">
        <w:t xml:space="preserve"> </w:t>
      </w:r>
      <w:r w:rsidRPr="00C6052E">
        <w:t>period.</w:t>
      </w:r>
      <w:r w:rsidR="00177848" w:rsidRPr="00C6052E">
        <w:t xml:space="preserve"> </w:t>
      </w:r>
    </w:p>
    <w:p w14:paraId="0D8FBB7D" w14:textId="21F2B87C" w:rsidR="00EE5BB8" w:rsidRPr="00C6052E" w:rsidRDefault="00C6052E" w:rsidP="00E9084D">
      <w:pPr>
        <w:pStyle w:val="TableHeading"/>
      </w:pPr>
      <w:r w:rsidRPr="00C6052E">
        <w:t>Fair</w:t>
      </w:r>
      <w:r w:rsidR="00177848" w:rsidRPr="00C6052E">
        <w:t xml:space="preserve"> </w:t>
      </w:r>
      <w:r w:rsidRPr="00C6052E">
        <w:t>value</w:t>
      </w:r>
      <w:r w:rsidR="00177848" w:rsidRPr="00C6052E">
        <w:t xml:space="preserve"> </w:t>
      </w:r>
      <w:r w:rsidRPr="00C6052E">
        <w:t>of</w:t>
      </w:r>
      <w:r w:rsidR="00177848" w:rsidRPr="00C6052E">
        <w:t xml:space="preserve"> </w:t>
      </w:r>
      <w:r w:rsidRPr="00C6052E">
        <w:t>financial</w:t>
      </w:r>
      <w:r w:rsidR="00177848" w:rsidRPr="00C6052E">
        <w:t xml:space="preserve"> </w:t>
      </w:r>
      <w:r w:rsidRPr="00C6052E">
        <w:t>instruments</w:t>
      </w:r>
      <w:r w:rsidR="00177848" w:rsidRPr="00C6052E">
        <w:t xml:space="preserve"> </w:t>
      </w:r>
      <w:r w:rsidRPr="00C6052E">
        <w:t>measured</w:t>
      </w:r>
      <w:r w:rsidR="00177848" w:rsidRPr="00C6052E">
        <w:t xml:space="preserve"> </w:t>
      </w:r>
      <w:r w:rsidRPr="00C6052E">
        <w:t>at</w:t>
      </w:r>
      <w:r w:rsidR="00177848" w:rsidRPr="00C6052E">
        <w:t xml:space="preserve"> </w:t>
      </w:r>
      <w:r w:rsidRPr="00C6052E">
        <w:t>amortised</w:t>
      </w:r>
      <w:r w:rsidR="00177848" w:rsidRPr="00C6052E">
        <w:t xml:space="preserve"> </w:t>
      </w:r>
      <w:r w:rsidRPr="00C6052E">
        <w:t>cost</w:t>
      </w:r>
      <w:r w:rsidR="00177848" w:rsidRPr="00C6052E">
        <w:t xml:space="preserve"> </w:t>
      </w:r>
    </w:p>
    <w:tbl>
      <w:tblPr>
        <w:tblStyle w:val="TableGrid"/>
        <w:tblW w:w="9684" w:type="dxa"/>
        <w:tblLayout w:type="fixed"/>
        <w:tblLook w:val="04E0" w:firstRow="1" w:lastRow="1" w:firstColumn="1" w:lastColumn="0" w:noHBand="0" w:noVBand="1"/>
      </w:tblPr>
      <w:tblGrid>
        <w:gridCol w:w="4082"/>
        <w:gridCol w:w="1400"/>
        <w:gridCol w:w="1401"/>
        <w:gridCol w:w="1400"/>
        <w:gridCol w:w="1401"/>
      </w:tblGrid>
      <w:tr w:rsidR="00EE5BB8" w:rsidRPr="00C6052E" w14:paraId="0A1DC2CA" w14:textId="77777777" w:rsidTr="00E9084D">
        <w:tc>
          <w:tcPr>
            <w:tcW w:w="4082" w:type="dxa"/>
            <w:hideMark/>
          </w:tcPr>
          <w:p w14:paraId="0CAC9662" w14:textId="77777777" w:rsidR="00EE5BB8" w:rsidRPr="00C6052E" w:rsidRDefault="00EE5BB8" w:rsidP="000F5B20">
            <w:pPr>
              <w:pStyle w:val="TableColumnHeading"/>
            </w:pPr>
            <w:bookmarkStart w:id="335" w:name="TableColumnHeadings_97"/>
            <w:bookmarkEnd w:id="335"/>
          </w:p>
        </w:tc>
        <w:tc>
          <w:tcPr>
            <w:tcW w:w="1400" w:type="dxa"/>
            <w:hideMark/>
          </w:tcPr>
          <w:p w14:paraId="5411E413" w14:textId="7EF4AC72" w:rsidR="00EE5BB8" w:rsidRPr="00C6052E" w:rsidRDefault="00EE5BB8" w:rsidP="00E9084D">
            <w:pPr>
              <w:pStyle w:val="TableColumnHeading"/>
              <w:jc w:val="right"/>
              <w:rPr>
                <w:lang w:val="en-AU"/>
              </w:rPr>
            </w:pPr>
            <w:r w:rsidRPr="00C6052E">
              <w:rPr>
                <w:lang w:val="en-AU"/>
              </w:rPr>
              <w:t>Carrying</w:t>
            </w:r>
            <w:r w:rsidR="00B1545C" w:rsidRPr="00C6052E">
              <w:rPr>
                <w:lang w:val="en-AU"/>
              </w:rPr>
              <w:t xml:space="preserve"> </w:t>
            </w:r>
            <w:r w:rsidRPr="00C6052E">
              <w:rPr>
                <w:lang w:val="en-AU"/>
              </w:rPr>
              <w:t>amount</w:t>
            </w:r>
            <w:r w:rsidR="00E9084D">
              <w:rPr>
                <w:lang w:val="en-AU"/>
              </w:rPr>
              <w:br/>
            </w:r>
            <w:r w:rsidR="00E9084D" w:rsidRPr="00C6052E">
              <w:t>2025</w:t>
            </w:r>
            <w:r w:rsidR="00E9084D">
              <w:br/>
            </w:r>
            <w:r w:rsidR="00E9084D" w:rsidRPr="00C6052E">
              <w:rPr>
                <w:lang w:val="en-AU"/>
              </w:rPr>
              <w:t>($ thousand)</w:t>
            </w:r>
          </w:p>
        </w:tc>
        <w:tc>
          <w:tcPr>
            <w:tcW w:w="1401" w:type="dxa"/>
            <w:hideMark/>
          </w:tcPr>
          <w:p w14:paraId="4D6788C4" w14:textId="4CD2D420" w:rsidR="00EE5BB8" w:rsidRPr="00C6052E" w:rsidRDefault="00EE5BB8" w:rsidP="00E9084D">
            <w:pPr>
              <w:pStyle w:val="TableColumnHeading"/>
              <w:jc w:val="right"/>
              <w:rPr>
                <w:lang w:val="en-AU"/>
              </w:rPr>
            </w:pPr>
            <w:r w:rsidRPr="00C6052E">
              <w:rPr>
                <w:lang w:val="en-AU"/>
              </w:rPr>
              <w:t>Carrying</w:t>
            </w:r>
            <w:r w:rsidR="00B1545C" w:rsidRPr="00C6052E">
              <w:rPr>
                <w:lang w:val="en-AU"/>
              </w:rPr>
              <w:t xml:space="preserve"> </w:t>
            </w:r>
            <w:r w:rsidRPr="00C6052E">
              <w:rPr>
                <w:lang w:val="en-AU"/>
              </w:rPr>
              <w:t>amount</w:t>
            </w:r>
            <w:r w:rsidR="00E9084D">
              <w:rPr>
                <w:lang w:val="en-AU"/>
              </w:rPr>
              <w:br/>
            </w:r>
            <w:r w:rsidR="00E9084D" w:rsidRPr="00C6052E">
              <w:t>2024</w:t>
            </w:r>
            <w:r w:rsidR="00E9084D">
              <w:br/>
            </w:r>
            <w:r w:rsidR="00E9084D" w:rsidRPr="00C6052E">
              <w:rPr>
                <w:lang w:val="en-AU"/>
              </w:rPr>
              <w:t>($ thousand)</w:t>
            </w:r>
          </w:p>
        </w:tc>
        <w:tc>
          <w:tcPr>
            <w:tcW w:w="1400" w:type="dxa"/>
            <w:hideMark/>
          </w:tcPr>
          <w:p w14:paraId="17F69535" w14:textId="2C65793E" w:rsidR="00EE5BB8" w:rsidRPr="00C6052E" w:rsidRDefault="00EE5BB8" w:rsidP="00E9084D">
            <w:pPr>
              <w:pStyle w:val="TableColumnHeading"/>
              <w:jc w:val="right"/>
              <w:rPr>
                <w:lang w:val="en-AU"/>
              </w:rPr>
            </w:pPr>
            <w:r w:rsidRPr="00C6052E">
              <w:rPr>
                <w:lang w:val="en-AU"/>
              </w:rPr>
              <w:t>Fair</w:t>
            </w:r>
            <w:r w:rsidR="00B1545C" w:rsidRPr="00C6052E">
              <w:rPr>
                <w:lang w:val="en-AU"/>
              </w:rPr>
              <w:t xml:space="preserve"> </w:t>
            </w:r>
            <w:r w:rsidRPr="00C6052E">
              <w:rPr>
                <w:lang w:val="en-AU"/>
              </w:rPr>
              <w:t>Value</w:t>
            </w:r>
            <w:r w:rsidR="00E9084D">
              <w:rPr>
                <w:lang w:val="en-AU"/>
              </w:rPr>
              <w:br/>
            </w:r>
            <w:r w:rsidR="00E9084D" w:rsidRPr="00C6052E">
              <w:t>2025</w:t>
            </w:r>
            <w:r w:rsidR="00E9084D">
              <w:br/>
            </w:r>
            <w:r w:rsidR="00E9084D" w:rsidRPr="00C6052E">
              <w:rPr>
                <w:lang w:val="en-AU"/>
              </w:rPr>
              <w:t>($ thousand)</w:t>
            </w:r>
          </w:p>
        </w:tc>
        <w:tc>
          <w:tcPr>
            <w:tcW w:w="1401" w:type="dxa"/>
            <w:hideMark/>
          </w:tcPr>
          <w:p w14:paraId="69C6C919" w14:textId="06C9E02A" w:rsidR="00EE5BB8" w:rsidRPr="00C6052E" w:rsidRDefault="00EE5BB8" w:rsidP="00E9084D">
            <w:pPr>
              <w:pStyle w:val="TableColumnHeading"/>
              <w:jc w:val="right"/>
              <w:rPr>
                <w:lang w:val="en-AU"/>
              </w:rPr>
            </w:pPr>
            <w:r w:rsidRPr="00C6052E">
              <w:rPr>
                <w:lang w:val="en-AU"/>
              </w:rPr>
              <w:t>Fair</w:t>
            </w:r>
            <w:r w:rsidR="00B1545C" w:rsidRPr="00C6052E">
              <w:rPr>
                <w:lang w:val="en-AU"/>
              </w:rPr>
              <w:t xml:space="preserve"> </w:t>
            </w:r>
            <w:r w:rsidRPr="00C6052E">
              <w:rPr>
                <w:lang w:val="en-AU"/>
              </w:rPr>
              <w:t>Value</w:t>
            </w:r>
            <w:r w:rsidR="00E9084D">
              <w:rPr>
                <w:lang w:val="en-AU"/>
              </w:rPr>
              <w:br/>
            </w:r>
            <w:r w:rsidR="00E9084D" w:rsidRPr="00C6052E">
              <w:t>2024</w:t>
            </w:r>
            <w:r w:rsidR="00E9084D">
              <w:br/>
            </w:r>
            <w:r w:rsidR="00E9084D" w:rsidRPr="00C6052E">
              <w:rPr>
                <w:lang w:val="en-AU"/>
              </w:rPr>
              <w:t>($ thousand)</w:t>
            </w:r>
          </w:p>
        </w:tc>
      </w:tr>
      <w:tr w:rsidR="00E9084D" w:rsidRPr="00C6052E" w14:paraId="2CA224B2" w14:textId="77777777" w:rsidTr="00E9084D">
        <w:tc>
          <w:tcPr>
            <w:tcW w:w="4082" w:type="dxa"/>
          </w:tcPr>
          <w:p w14:paraId="5109F96F" w14:textId="58ABC75A" w:rsidR="00E9084D" w:rsidRPr="00C6052E" w:rsidRDefault="00E9084D" w:rsidP="00E9084D">
            <w:pPr>
              <w:pStyle w:val="TableHeading"/>
            </w:pPr>
            <w:r w:rsidRPr="00C6052E">
              <w:t>Contractual financial assets</w:t>
            </w:r>
          </w:p>
        </w:tc>
        <w:tc>
          <w:tcPr>
            <w:tcW w:w="1400" w:type="dxa"/>
            <w:noWrap/>
          </w:tcPr>
          <w:p w14:paraId="06B2FB0F" w14:textId="77777777" w:rsidR="00E9084D" w:rsidRPr="00C6052E" w:rsidRDefault="00E9084D" w:rsidP="00E9084D">
            <w:pPr>
              <w:pStyle w:val="TableHeading"/>
              <w:jc w:val="right"/>
            </w:pPr>
          </w:p>
        </w:tc>
        <w:tc>
          <w:tcPr>
            <w:tcW w:w="1401" w:type="dxa"/>
            <w:noWrap/>
          </w:tcPr>
          <w:p w14:paraId="1B5618DC" w14:textId="77777777" w:rsidR="00E9084D" w:rsidRPr="00C6052E" w:rsidRDefault="00E9084D" w:rsidP="00E9084D">
            <w:pPr>
              <w:pStyle w:val="TableHeading"/>
              <w:jc w:val="right"/>
            </w:pPr>
          </w:p>
        </w:tc>
        <w:tc>
          <w:tcPr>
            <w:tcW w:w="1400" w:type="dxa"/>
            <w:noWrap/>
          </w:tcPr>
          <w:p w14:paraId="5104826B" w14:textId="77777777" w:rsidR="00E9084D" w:rsidRPr="00C6052E" w:rsidRDefault="00E9084D" w:rsidP="00E9084D">
            <w:pPr>
              <w:pStyle w:val="TableHeading"/>
              <w:jc w:val="right"/>
            </w:pPr>
          </w:p>
        </w:tc>
        <w:tc>
          <w:tcPr>
            <w:tcW w:w="1401" w:type="dxa"/>
            <w:noWrap/>
          </w:tcPr>
          <w:p w14:paraId="350C1C30" w14:textId="77777777" w:rsidR="00E9084D" w:rsidRPr="00C6052E" w:rsidRDefault="00E9084D" w:rsidP="00E9084D">
            <w:pPr>
              <w:pStyle w:val="TableHeading"/>
              <w:jc w:val="right"/>
            </w:pPr>
          </w:p>
        </w:tc>
      </w:tr>
      <w:tr w:rsidR="00EE5BB8" w:rsidRPr="00C6052E" w14:paraId="7C8A1049" w14:textId="77777777" w:rsidTr="00E9084D">
        <w:tc>
          <w:tcPr>
            <w:tcW w:w="4082" w:type="dxa"/>
            <w:hideMark/>
          </w:tcPr>
          <w:p w14:paraId="57CBD118" w14:textId="645B3944" w:rsidR="00EE5BB8" w:rsidRPr="00C6052E" w:rsidRDefault="00EE5BB8" w:rsidP="0063097D">
            <w:pPr>
              <w:pStyle w:val="TableCopy"/>
            </w:pPr>
            <w:r w:rsidRPr="00C6052E">
              <w:t>Cash</w:t>
            </w:r>
            <w:r w:rsidR="00177848" w:rsidRPr="00C6052E">
              <w:t xml:space="preserve"> </w:t>
            </w:r>
            <w:r w:rsidRPr="00C6052E">
              <w:t>and</w:t>
            </w:r>
            <w:r w:rsidR="00177848" w:rsidRPr="00C6052E">
              <w:t xml:space="preserve"> </w:t>
            </w:r>
            <w:r w:rsidRPr="00C6052E">
              <w:t>deposits</w:t>
            </w:r>
          </w:p>
        </w:tc>
        <w:tc>
          <w:tcPr>
            <w:tcW w:w="1400" w:type="dxa"/>
            <w:noWrap/>
            <w:hideMark/>
          </w:tcPr>
          <w:p w14:paraId="41215FEF" w14:textId="77777777" w:rsidR="00EE5BB8" w:rsidRPr="00C6052E" w:rsidRDefault="00EE5BB8" w:rsidP="00E9084D">
            <w:pPr>
              <w:pStyle w:val="TableCopy"/>
              <w:jc w:val="right"/>
            </w:pPr>
            <w:r w:rsidRPr="00C6052E">
              <w:t>229,565</w:t>
            </w:r>
          </w:p>
        </w:tc>
        <w:tc>
          <w:tcPr>
            <w:tcW w:w="1401" w:type="dxa"/>
            <w:noWrap/>
            <w:hideMark/>
          </w:tcPr>
          <w:p w14:paraId="386A21FA" w14:textId="77777777" w:rsidR="00EE5BB8" w:rsidRPr="00C6052E" w:rsidRDefault="00EE5BB8" w:rsidP="00E9084D">
            <w:pPr>
              <w:pStyle w:val="TableCopy"/>
              <w:jc w:val="right"/>
            </w:pPr>
            <w:r w:rsidRPr="00C6052E">
              <w:t>271,311</w:t>
            </w:r>
          </w:p>
        </w:tc>
        <w:tc>
          <w:tcPr>
            <w:tcW w:w="1400" w:type="dxa"/>
            <w:noWrap/>
            <w:hideMark/>
          </w:tcPr>
          <w:p w14:paraId="5AA6389A" w14:textId="77777777" w:rsidR="00EE5BB8" w:rsidRPr="00C6052E" w:rsidRDefault="00EE5BB8" w:rsidP="00E9084D">
            <w:pPr>
              <w:pStyle w:val="TableCopy"/>
              <w:jc w:val="right"/>
            </w:pPr>
            <w:r w:rsidRPr="00C6052E">
              <w:t>229,565</w:t>
            </w:r>
          </w:p>
        </w:tc>
        <w:tc>
          <w:tcPr>
            <w:tcW w:w="1401" w:type="dxa"/>
            <w:noWrap/>
            <w:hideMark/>
          </w:tcPr>
          <w:p w14:paraId="35D66268" w14:textId="77777777" w:rsidR="00EE5BB8" w:rsidRPr="00C6052E" w:rsidRDefault="00EE5BB8" w:rsidP="00E9084D">
            <w:pPr>
              <w:pStyle w:val="TableCopy"/>
              <w:jc w:val="right"/>
            </w:pPr>
            <w:r w:rsidRPr="00C6052E">
              <w:t>271,311</w:t>
            </w:r>
          </w:p>
        </w:tc>
      </w:tr>
      <w:tr w:rsidR="00EE5BB8" w:rsidRPr="00C6052E" w14:paraId="0191CDE5" w14:textId="77777777" w:rsidTr="00E9084D">
        <w:tc>
          <w:tcPr>
            <w:tcW w:w="4082" w:type="dxa"/>
            <w:hideMark/>
          </w:tcPr>
          <w:p w14:paraId="579FBEEC" w14:textId="77777777" w:rsidR="00EE5BB8" w:rsidRPr="00C6052E" w:rsidRDefault="00EE5BB8" w:rsidP="0063097D">
            <w:pPr>
              <w:pStyle w:val="TableCopy"/>
            </w:pPr>
            <w:r w:rsidRPr="00C6052E">
              <w:t>Receivables</w:t>
            </w:r>
            <w:r w:rsidRPr="00C6052E">
              <w:rPr>
                <w:vertAlign w:val="superscript"/>
              </w:rPr>
              <w:t>(i)</w:t>
            </w:r>
          </w:p>
        </w:tc>
        <w:tc>
          <w:tcPr>
            <w:tcW w:w="1400" w:type="dxa"/>
            <w:noWrap/>
            <w:hideMark/>
          </w:tcPr>
          <w:p w14:paraId="266C4E0F" w14:textId="77777777" w:rsidR="00EE5BB8" w:rsidRPr="00C6052E" w:rsidRDefault="00EE5BB8" w:rsidP="00E9084D">
            <w:pPr>
              <w:pStyle w:val="TableCopy"/>
              <w:jc w:val="right"/>
            </w:pPr>
            <w:r w:rsidRPr="00C6052E">
              <w:t>151,819</w:t>
            </w:r>
          </w:p>
        </w:tc>
        <w:tc>
          <w:tcPr>
            <w:tcW w:w="1401" w:type="dxa"/>
            <w:noWrap/>
            <w:hideMark/>
          </w:tcPr>
          <w:p w14:paraId="23FB65A0" w14:textId="77777777" w:rsidR="00EE5BB8" w:rsidRPr="00C6052E" w:rsidRDefault="00EE5BB8" w:rsidP="00E9084D">
            <w:pPr>
              <w:pStyle w:val="TableCopy"/>
              <w:jc w:val="right"/>
            </w:pPr>
            <w:r w:rsidRPr="00C6052E">
              <w:t>157,144</w:t>
            </w:r>
          </w:p>
        </w:tc>
        <w:tc>
          <w:tcPr>
            <w:tcW w:w="1400" w:type="dxa"/>
            <w:noWrap/>
            <w:hideMark/>
          </w:tcPr>
          <w:p w14:paraId="7E766C3C" w14:textId="77777777" w:rsidR="00EE5BB8" w:rsidRPr="00C6052E" w:rsidRDefault="00EE5BB8" w:rsidP="00E9084D">
            <w:pPr>
              <w:pStyle w:val="TableCopy"/>
              <w:jc w:val="right"/>
            </w:pPr>
            <w:r w:rsidRPr="00C6052E">
              <w:t>151,819</w:t>
            </w:r>
          </w:p>
        </w:tc>
        <w:tc>
          <w:tcPr>
            <w:tcW w:w="1401" w:type="dxa"/>
            <w:noWrap/>
            <w:hideMark/>
          </w:tcPr>
          <w:p w14:paraId="20233415" w14:textId="77777777" w:rsidR="00EE5BB8" w:rsidRPr="00C6052E" w:rsidRDefault="00EE5BB8" w:rsidP="00E9084D">
            <w:pPr>
              <w:pStyle w:val="TableCopy"/>
              <w:jc w:val="right"/>
            </w:pPr>
            <w:r w:rsidRPr="00C6052E">
              <w:t>157,144</w:t>
            </w:r>
          </w:p>
        </w:tc>
      </w:tr>
      <w:tr w:rsidR="00EE5BB8" w:rsidRPr="00C6052E" w14:paraId="2A7F8181" w14:textId="77777777" w:rsidTr="00E9084D">
        <w:tc>
          <w:tcPr>
            <w:tcW w:w="4082" w:type="dxa"/>
            <w:noWrap/>
            <w:hideMark/>
          </w:tcPr>
          <w:p w14:paraId="51946983" w14:textId="2717A824" w:rsidR="00EE5BB8" w:rsidRPr="00C6052E" w:rsidRDefault="00EE5BB8" w:rsidP="0063097D">
            <w:pPr>
              <w:pStyle w:val="Tabletotal"/>
            </w:pPr>
            <w:r w:rsidRPr="00C6052E">
              <w:t>Total</w:t>
            </w:r>
            <w:r w:rsidR="00177848" w:rsidRPr="00C6052E">
              <w:t xml:space="preserve"> </w:t>
            </w:r>
            <w:r w:rsidRPr="00C6052E">
              <w:t>contractual</w:t>
            </w:r>
            <w:r w:rsidR="00177848" w:rsidRPr="00C6052E">
              <w:t xml:space="preserve"> </w:t>
            </w:r>
            <w:r w:rsidRPr="00C6052E">
              <w:t>financial</w:t>
            </w:r>
            <w:r w:rsidR="00177848" w:rsidRPr="00C6052E">
              <w:t xml:space="preserve"> </w:t>
            </w:r>
            <w:r w:rsidRPr="00C6052E">
              <w:t>assets</w:t>
            </w:r>
          </w:p>
        </w:tc>
        <w:tc>
          <w:tcPr>
            <w:tcW w:w="1400" w:type="dxa"/>
            <w:noWrap/>
            <w:hideMark/>
          </w:tcPr>
          <w:p w14:paraId="45A09D95" w14:textId="77777777" w:rsidR="00EE5BB8" w:rsidRPr="00C6052E" w:rsidRDefault="00EE5BB8" w:rsidP="00E9084D">
            <w:pPr>
              <w:pStyle w:val="Tabletotal"/>
              <w:jc w:val="right"/>
            </w:pPr>
            <w:r w:rsidRPr="00C6052E">
              <w:t>381,384</w:t>
            </w:r>
          </w:p>
        </w:tc>
        <w:tc>
          <w:tcPr>
            <w:tcW w:w="1401" w:type="dxa"/>
            <w:noWrap/>
            <w:hideMark/>
          </w:tcPr>
          <w:p w14:paraId="3DCA3E03" w14:textId="77777777" w:rsidR="00EE5BB8" w:rsidRPr="00C6052E" w:rsidRDefault="00EE5BB8" w:rsidP="00E9084D">
            <w:pPr>
              <w:pStyle w:val="Tabletotal"/>
              <w:jc w:val="right"/>
            </w:pPr>
            <w:r w:rsidRPr="00C6052E">
              <w:t>428,455</w:t>
            </w:r>
          </w:p>
        </w:tc>
        <w:tc>
          <w:tcPr>
            <w:tcW w:w="1400" w:type="dxa"/>
            <w:noWrap/>
            <w:hideMark/>
          </w:tcPr>
          <w:p w14:paraId="12B9CD9D" w14:textId="77777777" w:rsidR="00EE5BB8" w:rsidRPr="00C6052E" w:rsidRDefault="00EE5BB8" w:rsidP="00E9084D">
            <w:pPr>
              <w:pStyle w:val="Tabletotal"/>
              <w:jc w:val="right"/>
            </w:pPr>
            <w:r w:rsidRPr="00C6052E">
              <w:t>381,384</w:t>
            </w:r>
          </w:p>
        </w:tc>
        <w:tc>
          <w:tcPr>
            <w:tcW w:w="1401" w:type="dxa"/>
            <w:noWrap/>
            <w:hideMark/>
          </w:tcPr>
          <w:p w14:paraId="7D11AF50" w14:textId="77777777" w:rsidR="00EE5BB8" w:rsidRPr="00C6052E" w:rsidRDefault="00EE5BB8" w:rsidP="00E9084D">
            <w:pPr>
              <w:pStyle w:val="Tabletotal"/>
              <w:jc w:val="right"/>
            </w:pPr>
            <w:r w:rsidRPr="00C6052E">
              <w:t>428,455</w:t>
            </w:r>
          </w:p>
        </w:tc>
      </w:tr>
      <w:tr w:rsidR="00E9084D" w:rsidRPr="00C6052E" w14:paraId="25219B2E" w14:textId="77777777" w:rsidTr="00E9084D">
        <w:tc>
          <w:tcPr>
            <w:tcW w:w="4082" w:type="dxa"/>
          </w:tcPr>
          <w:p w14:paraId="038FD97B" w14:textId="3ACB6459" w:rsidR="00E9084D" w:rsidRPr="00C6052E" w:rsidRDefault="00E9084D" w:rsidP="00087135">
            <w:pPr>
              <w:pStyle w:val="TableHeading"/>
            </w:pPr>
            <w:r w:rsidRPr="00C6052E">
              <w:t>Contractual financial liabilities</w:t>
            </w:r>
          </w:p>
        </w:tc>
        <w:tc>
          <w:tcPr>
            <w:tcW w:w="1400" w:type="dxa"/>
            <w:noWrap/>
          </w:tcPr>
          <w:p w14:paraId="409701F3" w14:textId="77777777" w:rsidR="00E9084D" w:rsidRPr="00C6052E" w:rsidRDefault="00E9084D" w:rsidP="00E9084D">
            <w:pPr>
              <w:pStyle w:val="TableHeading"/>
              <w:jc w:val="right"/>
            </w:pPr>
          </w:p>
        </w:tc>
        <w:tc>
          <w:tcPr>
            <w:tcW w:w="1401" w:type="dxa"/>
            <w:noWrap/>
          </w:tcPr>
          <w:p w14:paraId="7C329EF1" w14:textId="77777777" w:rsidR="00E9084D" w:rsidRPr="00C6052E" w:rsidRDefault="00E9084D" w:rsidP="00E9084D">
            <w:pPr>
              <w:pStyle w:val="TableHeading"/>
              <w:jc w:val="right"/>
            </w:pPr>
          </w:p>
        </w:tc>
        <w:tc>
          <w:tcPr>
            <w:tcW w:w="1400" w:type="dxa"/>
            <w:noWrap/>
          </w:tcPr>
          <w:p w14:paraId="3D087152" w14:textId="77777777" w:rsidR="00E9084D" w:rsidRPr="00C6052E" w:rsidRDefault="00E9084D" w:rsidP="00E9084D">
            <w:pPr>
              <w:pStyle w:val="TableHeading"/>
              <w:jc w:val="right"/>
            </w:pPr>
          </w:p>
        </w:tc>
        <w:tc>
          <w:tcPr>
            <w:tcW w:w="1401" w:type="dxa"/>
            <w:noWrap/>
          </w:tcPr>
          <w:p w14:paraId="07F034AE" w14:textId="77777777" w:rsidR="00E9084D" w:rsidRPr="00C6052E" w:rsidRDefault="00E9084D" w:rsidP="00E9084D">
            <w:pPr>
              <w:pStyle w:val="TableHeading"/>
              <w:jc w:val="right"/>
            </w:pPr>
          </w:p>
        </w:tc>
      </w:tr>
      <w:tr w:rsidR="00E9084D" w:rsidRPr="00C6052E" w14:paraId="6CA5C69A" w14:textId="77777777" w:rsidTr="00E9084D">
        <w:tc>
          <w:tcPr>
            <w:tcW w:w="4082" w:type="dxa"/>
          </w:tcPr>
          <w:p w14:paraId="56D6DEB1" w14:textId="701C8A0C" w:rsidR="00E9084D" w:rsidRPr="00C6052E" w:rsidRDefault="00E9084D" w:rsidP="00C84362">
            <w:pPr>
              <w:pStyle w:val="TableHeading"/>
            </w:pPr>
            <w:r w:rsidRPr="00C6052E">
              <w:t>Payables</w:t>
            </w:r>
            <w:r w:rsidRPr="00C6052E">
              <w:rPr>
                <w:vertAlign w:val="superscript"/>
              </w:rPr>
              <w:t>(i)</w:t>
            </w:r>
          </w:p>
        </w:tc>
        <w:tc>
          <w:tcPr>
            <w:tcW w:w="1400" w:type="dxa"/>
            <w:noWrap/>
          </w:tcPr>
          <w:p w14:paraId="0C2A126E" w14:textId="77777777" w:rsidR="00E9084D" w:rsidRPr="00C6052E" w:rsidRDefault="00E9084D" w:rsidP="00E9084D">
            <w:pPr>
              <w:pStyle w:val="TableHeading"/>
              <w:jc w:val="right"/>
            </w:pPr>
          </w:p>
        </w:tc>
        <w:tc>
          <w:tcPr>
            <w:tcW w:w="1401" w:type="dxa"/>
            <w:noWrap/>
          </w:tcPr>
          <w:p w14:paraId="4511CF8A" w14:textId="77777777" w:rsidR="00E9084D" w:rsidRPr="00C6052E" w:rsidRDefault="00E9084D" w:rsidP="00E9084D">
            <w:pPr>
              <w:pStyle w:val="TableHeading"/>
              <w:jc w:val="right"/>
            </w:pPr>
          </w:p>
        </w:tc>
        <w:tc>
          <w:tcPr>
            <w:tcW w:w="1400" w:type="dxa"/>
            <w:noWrap/>
          </w:tcPr>
          <w:p w14:paraId="5753C935" w14:textId="77777777" w:rsidR="00E9084D" w:rsidRPr="00C6052E" w:rsidRDefault="00E9084D" w:rsidP="00E9084D">
            <w:pPr>
              <w:pStyle w:val="TableHeading"/>
              <w:jc w:val="right"/>
            </w:pPr>
          </w:p>
        </w:tc>
        <w:tc>
          <w:tcPr>
            <w:tcW w:w="1401" w:type="dxa"/>
            <w:noWrap/>
          </w:tcPr>
          <w:p w14:paraId="445ADB8F" w14:textId="77777777" w:rsidR="00E9084D" w:rsidRPr="00C6052E" w:rsidRDefault="00E9084D" w:rsidP="00E9084D">
            <w:pPr>
              <w:pStyle w:val="TableHeading"/>
              <w:jc w:val="right"/>
            </w:pPr>
          </w:p>
        </w:tc>
      </w:tr>
      <w:tr w:rsidR="00EE5BB8" w:rsidRPr="00C6052E" w14:paraId="53B11757" w14:textId="77777777" w:rsidTr="00E9084D">
        <w:tc>
          <w:tcPr>
            <w:tcW w:w="4082" w:type="dxa"/>
            <w:hideMark/>
          </w:tcPr>
          <w:p w14:paraId="68BE59C7" w14:textId="1CC08C84" w:rsidR="00EE5BB8" w:rsidRPr="00C6052E" w:rsidRDefault="00EE5BB8" w:rsidP="0063097D">
            <w:pPr>
              <w:pStyle w:val="TableCopy"/>
            </w:pPr>
            <w:r w:rsidRPr="00C6052E">
              <w:t>–</w:t>
            </w:r>
            <w:r w:rsidR="00177848" w:rsidRPr="00C6052E">
              <w:t xml:space="preserve"> </w:t>
            </w:r>
            <w:r w:rsidRPr="00C6052E">
              <w:t>Supplies</w:t>
            </w:r>
            <w:r w:rsidR="00177848" w:rsidRPr="00C6052E">
              <w:t xml:space="preserve"> </w:t>
            </w:r>
            <w:r w:rsidRPr="00C6052E">
              <w:t>and</w:t>
            </w:r>
            <w:r w:rsidR="00177848" w:rsidRPr="00C6052E">
              <w:t xml:space="preserve"> </w:t>
            </w:r>
            <w:r w:rsidRPr="00C6052E">
              <w:t>services</w:t>
            </w:r>
          </w:p>
        </w:tc>
        <w:tc>
          <w:tcPr>
            <w:tcW w:w="1400" w:type="dxa"/>
            <w:noWrap/>
            <w:hideMark/>
          </w:tcPr>
          <w:p w14:paraId="69871091" w14:textId="77777777" w:rsidR="00EE5BB8" w:rsidRPr="00C6052E" w:rsidRDefault="00EE5BB8" w:rsidP="00E9084D">
            <w:pPr>
              <w:pStyle w:val="TableCopy"/>
              <w:jc w:val="right"/>
            </w:pPr>
            <w:r w:rsidRPr="00C6052E">
              <w:t>383,841</w:t>
            </w:r>
          </w:p>
        </w:tc>
        <w:tc>
          <w:tcPr>
            <w:tcW w:w="1401" w:type="dxa"/>
            <w:noWrap/>
            <w:hideMark/>
          </w:tcPr>
          <w:p w14:paraId="7D936C61" w14:textId="77777777" w:rsidR="00EE5BB8" w:rsidRPr="00C6052E" w:rsidRDefault="00EE5BB8" w:rsidP="00E9084D">
            <w:pPr>
              <w:pStyle w:val="TableCopy"/>
              <w:jc w:val="right"/>
            </w:pPr>
            <w:r w:rsidRPr="00C6052E">
              <w:t>637,204</w:t>
            </w:r>
          </w:p>
        </w:tc>
        <w:tc>
          <w:tcPr>
            <w:tcW w:w="1400" w:type="dxa"/>
            <w:noWrap/>
            <w:hideMark/>
          </w:tcPr>
          <w:p w14:paraId="1BB1C00C" w14:textId="77777777" w:rsidR="00EE5BB8" w:rsidRPr="00C6052E" w:rsidRDefault="00EE5BB8" w:rsidP="00E9084D">
            <w:pPr>
              <w:pStyle w:val="TableCopy"/>
              <w:jc w:val="right"/>
            </w:pPr>
            <w:r w:rsidRPr="00C6052E">
              <w:t>383,841</w:t>
            </w:r>
          </w:p>
        </w:tc>
        <w:tc>
          <w:tcPr>
            <w:tcW w:w="1401" w:type="dxa"/>
            <w:noWrap/>
            <w:hideMark/>
          </w:tcPr>
          <w:p w14:paraId="0D215B1D" w14:textId="77777777" w:rsidR="00EE5BB8" w:rsidRPr="00C6052E" w:rsidRDefault="00EE5BB8" w:rsidP="00E9084D">
            <w:pPr>
              <w:pStyle w:val="TableCopy"/>
              <w:jc w:val="right"/>
            </w:pPr>
            <w:r w:rsidRPr="00C6052E">
              <w:t>637,204</w:t>
            </w:r>
          </w:p>
        </w:tc>
      </w:tr>
      <w:tr w:rsidR="00E9084D" w:rsidRPr="00C6052E" w14:paraId="694253AC" w14:textId="77777777" w:rsidTr="00E9084D">
        <w:tc>
          <w:tcPr>
            <w:tcW w:w="4082" w:type="dxa"/>
          </w:tcPr>
          <w:p w14:paraId="755E7AE3" w14:textId="6ECCC6A3" w:rsidR="00E9084D" w:rsidRPr="00C6052E" w:rsidRDefault="00E9084D" w:rsidP="00C67172">
            <w:pPr>
              <w:pStyle w:val="TableHeading"/>
            </w:pPr>
            <w:r w:rsidRPr="00C6052E">
              <w:t>Borrowings</w:t>
            </w:r>
          </w:p>
        </w:tc>
        <w:tc>
          <w:tcPr>
            <w:tcW w:w="1400" w:type="dxa"/>
            <w:noWrap/>
          </w:tcPr>
          <w:p w14:paraId="449D3A6B" w14:textId="77777777" w:rsidR="00E9084D" w:rsidRPr="00C6052E" w:rsidRDefault="00E9084D" w:rsidP="00E9084D">
            <w:pPr>
              <w:pStyle w:val="TableHeading"/>
              <w:jc w:val="right"/>
            </w:pPr>
          </w:p>
        </w:tc>
        <w:tc>
          <w:tcPr>
            <w:tcW w:w="1401" w:type="dxa"/>
            <w:noWrap/>
          </w:tcPr>
          <w:p w14:paraId="5ED700B2" w14:textId="77777777" w:rsidR="00E9084D" w:rsidRPr="00C6052E" w:rsidRDefault="00E9084D" w:rsidP="00E9084D">
            <w:pPr>
              <w:pStyle w:val="TableHeading"/>
              <w:jc w:val="right"/>
            </w:pPr>
          </w:p>
        </w:tc>
        <w:tc>
          <w:tcPr>
            <w:tcW w:w="1400" w:type="dxa"/>
            <w:noWrap/>
          </w:tcPr>
          <w:p w14:paraId="7942A718" w14:textId="77777777" w:rsidR="00E9084D" w:rsidRPr="00C6052E" w:rsidRDefault="00E9084D" w:rsidP="00E9084D">
            <w:pPr>
              <w:pStyle w:val="TableHeading"/>
              <w:jc w:val="right"/>
            </w:pPr>
          </w:p>
        </w:tc>
        <w:tc>
          <w:tcPr>
            <w:tcW w:w="1401" w:type="dxa"/>
            <w:noWrap/>
          </w:tcPr>
          <w:p w14:paraId="0D113C48" w14:textId="77777777" w:rsidR="00E9084D" w:rsidRPr="00C6052E" w:rsidRDefault="00E9084D" w:rsidP="00E9084D">
            <w:pPr>
              <w:pStyle w:val="TableHeading"/>
              <w:jc w:val="right"/>
            </w:pPr>
          </w:p>
        </w:tc>
      </w:tr>
      <w:tr w:rsidR="00EE5BB8" w:rsidRPr="00C6052E" w14:paraId="167A4D38" w14:textId="77777777" w:rsidTr="00E9084D">
        <w:tc>
          <w:tcPr>
            <w:tcW w:w="4082" w:type="dxa"/>
            <w:hideMark/>
          </w:tcPr>
          <w:p w14:paraId="1B9AC0BA" w14:textId="43E57618" w:rsidR="00EE5BB8" w:rsidRPr="00C6052E" w:rsidRDefault="00EE5BB8" w:rsidP="0063097D">
            <w:pPr>
              <w:pStyle w:val="TableCopy"/>
            </w:pPr>
            <w:r w:rsidRPr="00C6052E">
              <w:t>–</w:t>
            </w:r>
            <w:r w:rsidR="00177848" w:rsidRPr="00C6052E">
              <w:t xml:space="preserve"> </w:t>
            </w:r>
            <w:r w:rsidRPr="00C6052E">
              <w:t>Lease</w:t>
            </w:r>
            <w:r w:rsidR="00177848" w:rsidRPr="00C6052E">
              <w:t xml:space="preserve"> </w:t>
            </w:r>
            <w:r w:rsidRPr="00C6052E">
              <w:t>liabilities</w:t>
            </w:r>
            <w:r w:rsidR="00177848" w:rsidRPr="00C6052E">
              <w:t xml:space="preserve"> </w:t>
            </w:r>
          </w:p>
        </w:tc>
        <w:tc>
          <w:tcPr>
            <w:tcW w:w="1400" w:type="dxa"/>
            <w:noWrap/>
            <w:hideMark/>
          </w:tcPr>
          <w:p w14:paraId="1AE05812" w14:textId="77777777" w:rsidR="00EE5BB8" w:rsidRPr="00C6052E" w:rsidRDefault="00EE5BB8" w:rsidP="00E9084D">
            <w:pPr>
              <w:pStyle w:val="TableCopy"/>
              <w:jc w:val="right"/>
            </w:pPr>
            <w:r w:rsidRPr="00C6052E">
              <w:t>12,633</w:t>
            </w:r>
          </w:p>
        </w:tc>
        <w:tc>
          <w:tcPr>
            <w:tcW w:w="1401" w:type="dxa"/>
            <w:noWrap/>
            <w:hideMark/>
          </w:tcPr>
          <w:p w14:paraId="2B9F5C5E" w14:textId="77777777" w:rsidR="00EE5BB8" w:rsidRPr="00C6052E" w:rsidRDefault="00EE5BB8" w:rsidP="00E9084D">
            <w:pPr>
              <w:pStyle w:val="TableCopy"/>
              <w:jc w:val="right"/>
            </w:pPr>
            <w:r w:rsidRPr="00C6052E">
              <w:t>12,890</w:t>
            </w:r>
          </w:p>
        </w:tc>
        <w:tc>
          <w:tcPr>
            <w:tcW w:w="1400" w:type="dxa"/>
            <w:noWrap/>
            <w:hideMark/>
          </w:tcPr>
          <w:p w14:paraId="1BA753F9" w14:textId="77777777" w:rsidR="00EE5BB8" w:rsidRPr="00C6052E" w:rsidRDefault="00EE5BB8" w:rsidP="00E9084D">
            <w:pPr>
              <w:pStyle w:val="TableCopy"/>
              <w:jc w:val="right"/>
            </w:pPr>
            <w:r w:rsidRPr="00C6052E">
              <w:t>12,633</w:t>
            </w:r>
          </w:p>
        </w:tc>
        <w:tc>
          <w:tcPr>
            <w:tcW w:w="1401" w:type="dxa"/>
            <w:noWrap/>
            <w:hideMark/>
          </w:tcPr>
          <w:p w14:paraId="7D4D386B" w14:textId="77777777" w:rsidR="00EE5BB8" w:rsidRPr="00C6052E" w:rsidRDefault="00EE5BB8" w:rsidP="00E9084D">
            <w:pPr>
              <w:pStyle w:val="TableCopy"/>
              <w:jc w:val="right"/>
            </w:pPr>
            <w:r w:rsidRPr="00C6052E">
              <w:t>12,890</w:t>
            </w:r>
          </w:p>
        </w:tc>
      </w:tr>
      <w:tr w:rsidR="00EE5BB8" w:rsidRPr="00C6052E" w14:paraId="7CB59A47" w14:textId="77777777" w:rsidTr="00E9084D">
        <w:tc>
          <w:tcPr>
            <w:tcW w:w="4082" w:type="dxa"/>
            <w:hideMark/>
          </w:tcPr>
          <w:p w14:paraId="6CF129FE" w14:textId="039D5C0B" w:rsidR="00EE5BB8" w:rsidRPr="00C6052E" w:rsidRDefault="00EE5BB8" w:rsidP="0063097D">
            <w:pPr>
              <w:pStyle w:val="TableCopy"/>
            </w:pPr>
            <w:r w:rsidRPr="00C6052E">
              <w:t>–</w:t>
            </w:r>
            <w:r w:rsidR="00177848" w:rsidRPr="00C6052E">
              <w:t xml:space="preserve"> </w:t>
            </w:r>
            <w:r w:rsidRPr="00C6052E">
              <w:t>Advances</w:t>
            </w:r>
            <w:r w:rsidR="00177848" w:rsidRPr="00C6052E">
              <w:t xml:space="preserve"> </w:t>
            </w:r>
            <w:r w:rsidRPr="00C6052E">
              <w:t>from</w:t>
            </w:r>
            <w:r w:rsidR="00177848" w:rsidRPr="00C6052E">
              <w:t xml:space="preserve"> </w:t>
            </w:r>
            <w:r w:rsidRPr="00C6052E">
              <w:t>government</w:t>
            </w:r>
          </w:p>
        </w:tc>
        <w:tc>
          <w:tcPr>
            <w:tcW w:w="1400" w:type="dxa"/>
            <w:noWrap/>
            <w:hideMark/>
          </w:tcPr>
          <w:p w14:paraId="7AE4EE81" w14:textId="77777777" w:rsidR="00EE5BB8" w:rsidRPr="00C6052E" w:rsidRDefault="00EE5BB8" w:rsidP="00E9084D">
            <w:pPr>
              <w:pStyle w:val="TableCopy"/>
              <w:jc w:val="right"/>
            </w:pPr>
            <w:r w:rsidRPr="00C6052E">
              <w:t>52,204</w:t>
            </w:r>
          </w:p>
        </w:tc>
        <w:tc>
          <w:tcPr>
            <w:tcW w:w="1401" w:type="dxa"/>
            <w:noWrap/>
            <w:hideMark/>
          </w:tcPr>
          <w:p w14:paraId="3B9EC72B" w14:textId="77777777" w:rsidR="00EE5BB8" w:rsidRPr="00C6052E" w:rsidRDefault="00EE5BB8" w:rsidP="00E9084D">
            <w:pPr>
              <w:pStyle w:val="TableCopy"/>
              <w:jc w:val="right"/>
            </w:pPr>
            <w:r w:rsidRPr="00C6052E">
              <w:t>43,524</w:t>
            </w:r>
          </w:p>
        </w:tc>
        <w:tc>
          <w:tcPr>
            <w:tcW w:w="1400" w:type="dxa"/>
            <w:noWrap/>
            <w:hideMark/>
          </w:tcPr>
          <w:p w14:paraId="554BA3A6" w14:textId="77777777" w:rsidR="00EE5BB8" w:rsidRPr="00C6052E" w:rsidRDefault="00EE5BB8" w:rsidP="00E9084D">
            <w:pPr>
              <w:pStyle w:val="TableCopy"/>
              <w:jc w:val="right"/>
            </w:pPr>
            <w:r w:rsidRPr="00C6052E">
              <w:t>52,204</w:t>
            </w:r>
          </w:p>
        </w:tc>
        <w:tc>
          <w:tcPr>
            <w:tcW w:w="1401" w:type="dxa"/>
            <w:noWrap/>
            <w:hideMark/>
          </w:tcPr>
          <w:p w14:paraId="51D1E7C7" w14:textId="77777777" w:rsidR="00EE5BB8" w:rsidRPr="00C6052E" w:rsidRDefault="00EE5BB8" w:rsidP="00E9084D">
            <w:pPr>
              <w:pStyle w:val="TableCopy"/>
              <w:jc w:val="right"/>
            </w:pPr>
            <w:r w:rsidRPr="00C6052E">
              <w:t>43,524</w:t>
            </w:r>
          </w:p>
        </w:tc>
      </w:tr>
      <w:tr w:rsidR="00EE5BB8" w:rsidRPr="00C6052E" w14:paraId="326BF10E" w14:textId="77777777" w:rsidTr="00E9084D">
        <w:tc>
          <w:tcPr>
            <w:tcW w:w="4082" w:type="dxa"/>
            <w:noWrap/>
            <w:hideMark/>
          </w:tcPr>
          <w:p w14:paraId="5DEC7F97" w14:textId="12924F57" w:rsidR="00EE5BB8" w:rsidRPr="00C6052E" w:rsidRDefault="00EE5BB8" w:rsidP="0063097D">
            <w:pPr>
              <w:pStyle w:val="Tabletotal"/>
            </w:pPr>
            <w:r w:rsidRPr="00C6052E">
              <w:t>Total</w:t>
            </w:r>
            <w:r w:rsidR="00177848" w:rsidRPr="00C6052E">
              <w:t xml:space="preserve"> </w:t>
            </w:r>
            <w:r w:rsidRPr="00C6052E">
              <w:t>contractual</w:t>
            </w:r>
            <w:r w:rsidR="00177848" w:rsidRPr="00C6052E">
              <w:t xml:space="preserve"> </w:t>
            </w:r>
            <w:r w:rsidRPr="00C6052E">
              <w:t>financial</w:t>
            </w:r>
            <w:r w:rsidR="00177848" w:rsidRPr="00C6052E">
              <w:t xml:space="preserve"> </w:t>
            </w:r>
            <w:r w:rsidRPr="00C6052E">
              <w:t>liabilities</w:t>
            </w:r>
            <w:r w:rsidR="00177848" w:rsidRPr="00C6052E">
              <w:t xml:space="preserve"> </w:t>
            </w:r>
          </w:p>
        </w:tc>
        <w:tc>
          <w:tcPr>
            <w:tcW w:w="1400" w:type="dxa"/>
            <w:noWrap/>
            <w:hideMark/>
          </w:tcPr>
          <w:p w14:paraId="54E7AFFA" w14:textId="77777777" w:rsidR="00EE5BB8" w:rsidRPr="00C6052E" w:rsidRDefault="00EE5BB8" w:rsidP="00E9084D">
            <w:pPr>
              <w:pStyle w:val="Tabletotal"/>
              <w:jc w:val="right"/>
            </w:pPr>
            <w:r w:rsidRPr="00C6052E">
              <w:t>448,678</w:t>
            </w:r>
          </w:p>
        </w:tc>
        <w:tc>
          <w:tcPr>
            <w:tcW w:w="1401" w:type="dxa"/>
            <w:noWrap/>
            <w:hideMark/>
          </w:tcPr>
          <w:p w14:paraId="5756E7C7" w14:textId="77777777" w:rsidR="00EE5BB8" w:rsidRPr="00C6052E" w:rsidRDefault="00EE5BB8" w:rsidP="00E9084D">
            <w:pPr>
              <w:pStyle w:val="Tabletotal"/>
              <w:jc w:val="right"/>
            </w:pPr>
            <w:r w:rsidRPr="00C6052E">
              <w:t>693,618</w:t>
            </w:r>
          </w:p>
        </w:tc>
        <w:tc>
          <w:tcPr>
            <w:tcW w:w="1400" w:type="dxa"/>
            <w:noWrap/>
            <w:hideMark/>
          </w:tcPr>
          <w:p w14:paraId="3C06B4F4" w14:textId="77777777" w:rsidR="00EE5BB8" w:rsidRPr="00C6052E" w:rsidRDefault="00EE5BB8" w:rsidP="00E9084D">
            <w:pPr>
              <w:pStyle w:val="Tabletotal"/>
              <w:jc w:val="right"/>
            </w:pPr>
            <w:r w:rsidRPr="00C6052E">
              <w:t>448,678</w:t>
            </w:r>
          </w:p>
        </w:tc>
        <w:tc>
          <w:tcPr>
            <w:tcW w:w="1401" w:type="dxa"/>
            <w:noWrap/>
            <w:hideMark/>
          </w:tcPr>
          <w:p w14:paraId="6858D18D" w14:textId="77777777" w:rsidR="00EE5BB8" w:rsidRPr="00C6052E" w:rsidRDefault="00EE5BB8" w:rsidP="00E9084D">
            <w:pPr>
              <w:pStyle w:val="Tabletotal"/>
              <w:jc w:val="right"/>
            </w:pPr>
            <w:r w:rsidRPr="00C6052E">
              <w:t>693,618</w:t>
            </w:r>
          </w:p>
        </w:tc>
      </w:tr>
    </w:tbl>
    <w:p w14:paraId="720B6FF6" w14:textId="0FC5446C" w:rsidR="00EE5BB8" w:rsidRPr="00C6052E" w:rsidRDefault="00EE5BB8" w:rsidP="00EE5BB8">
      <w:pPr>
        <w:pStyle w:val="Tablenotes-numbered"/>
        <w:numPr>
          <w:ilvl w:val="0"/>
          <w:numId w:val="34"/>
        </w:numPr>
        <w:spacing w:after="0"/>
      </w:pPr>
      <w:r w:rsidRPr="00C6052E">
        <w:t>The</w:t>
      </w:r>
      <w:r w:rsidR="00177848" w:rsidRPr="00C6052E">
        <w:t xml:space="preserve"> </w:t>
      </w:r>
      <w:r w:rsidRPr="00C6052E">
        <w:t>carrying</w:t>
      </w:r>
      <w:r w:rsidR="00177848" w:rsidRPr="00C6052E">
        <w:t xml:space="preserve"> </w:t>
      </w:r>
      <w:r w:rsidRPr="00C6052E">
        <w:t>amounts</w:t>
      </w:r>
      <w:r w:rsidR="00177848" w:rsidRPr="00C6052E">
        <w:t xml:space="preserve"> </w:t>
      </w:r>
      <w:r w:rsidRPr="00C6052E">
        <w:t>exclude</w:t>
      </w:r>
      <w:r w:rsidR="00177848" w:rsidRPr="00C6052E">
        <w:t xml:space="preserve"> </w:t>
      </w:r>
      <w:r w:rsidRPr="00C6052E">
        <w:t>statutory</w:t>
      </w:r>
      <w:r w:rsidR="00177848" w:rsidRPr="00C6052E">
        <w:t xml:space="preserve"> </w:t>
      </w:r>
      <w:r w:rsidRPr="00C6052E">
        <w:t>amounts</w:t>
      </w:r>
      <w:r w:rsidR="00177848" w:rsidRPr="00C6052E">
        <w:t xml:space="preserve"> </w:t>
      </w:r>
      <w:r w:rsidRPr="00C6052E">
        <w:t>(e.g.</w:t>
      </w:r>
      <w:r w:rsidR="00177848" w:rsidRPr="00C6052E">
        <w:t xml:space="preserve"> </w:t>
      </w:r>
      <w:r w:rsidRPr="00C6052E">
        <w:t>amounts</w:t>
      </w:r>
      <w:r w:rsidR="00177848" w:rsidRPr="00C6052E">
        <w:t xml:space="preserve"> </w:t>
      </w:r>
      <w:r w:rsidRPr="00C6052E">
        <w:t>owing</w:t>
      </w:r>
      <w:r w:rsidR="00177848" w:rsidRPr="00C6052E">
        <w:t xml:space="preserve"> </w:t>
      </w:r>
      <w:r w:rsidRPr="00C6052E">
        <w:t>from</w:t>
      </w:r>
      <w:r w:rsidR="00177848" w:rsidRPr="00C6052E">
        <w:t xml:space="preserve"> </w:t>
      </w:r>
      <w:r w:rsidRPr="00C6052E">
        <w:t>government,</w:t>
      </w:r>
      <w:r w:rsidR="00177848" w:rsidRPr="00C6052E">
        <w:t xml:space="preserve"> </w:t>
      </w:r>
      <w:r w:rsidRPr="00C6052E">
        <w:t>GST</w:t>
      </w:r>
      <w:r w:rsidR="00177848" w:rsidRPr="00C6052E">
        <w:t xml:space="preserve"> </w:t>
      </w:r>
      <w:r w:rsidRPr="00C6052E">
        <w:t>input</w:t>
      </w:r>
      <w:r w:rsidR="00177848" w:rsidRPr="00C6052E">
        <w:t xml:space="preserve"> </w:t>
      </w:r>
      <w:r w:rsidRPr="00C6052E">
        <w:t>tax</w:t>
      </w:r>
      <w:r w:rsidR="00177848" w:rsidRPr="00C6052E">
        <w:t xml:space="preserve"> </w:t>
      </w:r>
      <w:r w:rsidRPr="00C6052E">
        <w:t>credit</w:t>
      </w:r>
      <w:r w:rsidR="00177848" w:rsidRPr="00C6052E">
        <w:t xml:space="preserve"> </w:t>
      </w:r>
      <w:r w:rsidRPr="00C6052E">
        <w:t>recoverable,</w:t>
      </w:r>
      <w:r w:rsidR="00177848" w:rsidRPr="00C6052E">
        <w:t xml:space="preserve"> </w:t>
      </w:r>
      <w:r w:rsidRPr="00C6052E">
        <w:t>and</w:t>
      </w:r>
      <w:r w:rsidR="00177848" w:rsidRPr="00C6052E">
        <w:t xml:space="preserve"> </w:t>
      </w:r>
      <w:r w:rsidRPr="00C6052E">
        <w:t>GST</w:t>
      </w:r>
      <w:r w:rsidR="00177848" w:rsidRPr="00C6052E">
        <w:t xml:space="preserve"> </w:t>
      </w:r>
      <w:r w:rsidRPr="00C6052E">
        <w:t>payable).</w:t>
      </w:r>
    </w:p>
    <w:p w14:paraId="3BD33451" w14:textId="77777777" w:rsidR="00EE5BB8" w:rsidRPr="00C6052E" w:rsidRDefault="00EE5BB8" w:rsidP="00EE5BB8"/>
    <w:p w14:paraId="308ADC52" w14:textId="3520FBD1" w:rsidR="00EE5BB8" w:rsidRPr="00C6052E" w:rsidRDefault="00EE5BB8" w:rsidP="000C0740">
      <w:pPr>
        <w:pStyle w:val="Heading3numbered0"/>
      </w:pPr>
      <w:bookmarkStart w:id="336" w:name="_Ref190163497"/>
      <w:r w:rsidRPr="00C6052E">
        <w:lastRenderedPageBreak/>
        <w:t>Fair</w:t>
      </w:r>
      <w:r w:rsidR="00177848" w:rsidRPr="00C6052E">
        <w:t xml:space="preserve"> </w:t>
      </w:r>
      <w:r w:rsidRPr="00C6052E">
        <w:t>value</w:t>
      </w:r>
      <w:r w:rsidR="00177848" w:rsidRPr="00C6052E">
        <w:t xml:space="preserve"> </w:t>
      </w:r>
      <w:r w:rsidRPr="00C6052E">
        <w:t>determination</w:t>
      </w:r>
      <w:r w:rsidR="00177848" w:rsidRPr="00C6052E">
        <w:t xml:space="preserve"> </w:t>
      </w:r>
      <w:r w:rsidRPr="00C6052E">
        <w:t>of</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and</w:t>
      </w:r>
      <w:r w:rsidR="00177848" w:rsidRPr="00C6052E">
        <w:t xml:space="preserve"> </w:t>
      </w:r>
      <w:r w:rsidRPr="00C6052E">
        <w:t>liabilities</w:t>
      </w:r>
      <w:bookmarkEnd w:id="336"/>
    </w:p>
    <w:p w14:paraId="5A3307E9" w14:textId="5FAFCF37" w:rsidR="00EE5BB8" w:rsidRPr="00C6052E" w:rsidRDefault="00C6052E" w:rsidP="00E9084D">
      <w:pPr>
        <w:pStyle w:val="TableHeading"/>
      </w:pPr>
      <w:r w:rsidRPr="00C6052E">
        <w:t>Financial</w:t>
      </w:r>
      <w:r w:rsidR="00177848" w:rsidRPr="00C6052E">
        <w:t xml:space="preserve"> </w:t>
      </w:r>
      <w:r w:rsidRPr="00C6052E">
        <w:t>assets</w:t>
      </w:r>
      <w:r w:rsidR="00177848" w:rsidRPr="00C6052E">
        <w:t xml:space="preserve"> </w:t>
      </w:r>
      <w:r w:rsidRPr="00C6052E">
        <w:t>and</w:t>
      </w:r>
      <w:r w:rsidR="00177848" w:rsidRPr="00C6052E">
        <w:t xml:space="preserve"> </w:t>
      </w:r>
      <w:r w:rsidRPr="00C6052E">
        <w:t>liabilities</w:t>
      </w:r>
      <w:r w:rsidR="00177848" w:rsidRPr="00C6052E">
        <w:t xml:space="preserve"> </w:t>
      </w:r>
      <w:r w:rsidRPr="00C6052E">
        <w:t>measured</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r w:rsidR="00EE5BB8" w:rsidRPr="00C6052E">
        <w:rPr>
          <w:vertAlign w:val="superscript"/>
        </w:rPr>
        <w:t>(i)</w:t>
      </w:r>
      <w:r w:rsidR="00E9084D">
        <w:rPr>
          <w:vertAlign w:val="superscript"/>
        </w:rPr>
        <w:t xml:space="preserve"> </w:t>
      </w:r>
      <w:r w:rsidR="00E9084D" w:rsidRPr="00C6052E">
        <w:t>($ thousand)</w:t>
      </w:r>
    </w:p>
    <w:tbl>
      <w:tblPr>
        <w:tblStyle w:val="TableGrid"/>
        <w:tblW w:w="9666" w:type="dxa"/>
        <w:tblLayout w:type="fixed"/>
        <w:tblLook w:val="04E0" w:firstRow="1" w:lastRow="1" w:firstColumn="1" w:lastColumn="0" w:noHBand="0" w:noVBand="1"/>
      </w:tblPr>
      <w:tblGrid>
        <w:gridCol w:w="4535"/>
        <w:gridCol w:w="964"/>
        <w:gridCol w:w="1389"/>
        <w:gridCol w:w="1389"/>
        <w:gridCol w:w="1389"/>
      </w:tblGrid>
      <w:tr w:rsidR="00EE5BB8" w:rsidRPr="00C6052E" w14:paraId="49E1BA29" w14:textId="77777777" w:rsidTr="002A3B26">
        <w:trPr>
          <w:tblHeader/>
        </w:trPr>
        <w:tc>
          <w:tcPr>
            <w:tcW w:w="4535" w:type="dxa"/>
          </w:tcPr>
          <w:p w14:paraId="7075BD80" w14:textId="77777777" w:rsidR="00EE5BB8" w:rsidRPr="00C6052E" w:rsidRDefault="00EE5BB8" w:rsidP="0035690A">
            <w:pPr>
              <w:pStyle w:val="TableColumnHeading"/>
            </w:pPr>
            <w:bookmarkStart w:id="337" w:name="TableColumnHeadings_98"/>
            <w:bookmarkEnd w:id="337"/>
          </w:p>
        </w:tc>
        <w:tc>
          <w:tcPr>
            <w:tcW w:w="964" w:type="dxa"/>
            <w:hideMark/>
          </w:tcPr>
          <w:p w14:paraId="6FF3B7EE" w14:textId="7A263B24" w:rsidR="00EE5BB8" w:rsidRPr="00C6052E" w:rsidRDefault="00E9084D" w:rsidP="002A3B26">
            <w:pPr>
              <w:pStyle w:val="TableColumnHeading"/>
              <w:jc w:val="right"/>
            </w:pPr>
            <w:r w:rsidRPr="00C6052E">
              <w:rPr>
                <w:lang w:val="en-AU"/>
              </w:rPr>
              <w:t>Carrying amount</w:t>
            </w:r>
          </w:p>
        </w:tc>
        <w:tc>
          <w:tcPr>
            <w:tcW w:w="1389" w:type="dxa"/>
            <w:hideMark/>
          </w:tcPr>
          <w:p w14:paraId="73E41CF8" w14:textId="47805F89" w:rsidR="00EE5BB8" w:rsidRPr="00C6052E" w:rsidRDefault="002A3B26" w:rsidP="002A3B26">
            <w:pPr>
              <w:pStyle w:val="TableColumnHeading"/>
              <w:jc w:val="right"/>
              <w:rPr>
                <w:lang w:val="en-AU"/>
              </w:rPr>
            </w:pPr>
            <w:r w:rsidRPr="00C6052E">
              <w:rPr>
                <w:lang w:val="en-AU"/>
              </w:rPr>
              <w:t>Fair value measure</w:t>
            </w:r>
            <w:r>
              <w:rPr>
                <w:lang w:val="en-AU"/>
              </w:rPr>
              <w:softHyphen/>
            </w:r>
            <w:r w:rsidRPr="00C6052E">
              <w:rPr>
                <w:lang w:val="en-AU"/>
              </w:rPr>
              <w:t>ment at end of reporting period using:</w:t>
            </w:r>
            <w:r>
              <w:rPr>
                <w:lang w:val="en-AU"/>
              </w:rPr>
              <w:t xml:space="preserve"> </w:t>
            </w:r>
            <w:r w:rsidR="00EE5BB8" w:rsidRPr="00C6052E">
              <w:rPr>
                <w:lang w:val="en-AU"/>
              </w:rPr>
              <w:t>Level</w:t>
            </w:r>
            <w:r w:rsidR="00B1545C" w:rsidRPr="00C6052E">
              <w:rPr>
                <w:lang w:val="en-AU"/>
              </w:rPr>
              <w:t xml:space="preserve"> </w:t>
            </w:r>
            <w:r w:rsidR="00EE5BB8" w:rsidRPr="00C6052E">
              <w:rPr>
                <w:lang w:val="en-AU"/>
              </w:rPr>
              <w:t>1</w:t>
            </w:r>
            <w:r w:rsidR="00EE5BB8" w:rsidRPr="00C6052E">
              <w:rPr>
                <w:vertAlign w:val="superscript"/>
                <w:lang w:val="en-AU"/>
              </w:rPr>
              <w:t>(i)</w:t>
            </w:r>
          </w:p>
        </w:tc>
        <w:tc>
          <w:tcPr>
            <w:tcW w:w="1389" w:type="dxa"/>
            <w:hideMark/>
          </w:tcPr>
          <w:p w14:paraId="11384B82" w14:textId="7C7ACE95" w:rsidR="00EE5BB8" w:rsidRPr="00C6052E" w:rsidRDefault="002A3B26" w:rsidP="002A3B26">
            <w:pPr>
              <w:pStyle w:val="TableColumnHeading"/>
              <w:jc w:val="right"/>
              <w:rPr>
                <w:lang w:val="en-AU"/>
              </w:rPr>
            </w:pPr>
            <w:r w:rsidRPr="00C6052E">
              <w:rPr>
                <w:lang w:val="en-AU"/>
              </w:rPr>
              <w:t>Fair value measure</w:t>
            </w:r>
            <w:r>
              <w:rPr>
                <w:lang w:val="en-AU"/>
              </w:rPr>
              <w:softHyphen/>
            </w:r>
            <w:r w:rsidRPr="00C6052E">
              <w:rPr>
                <w:lang w:val="en-AU"/>
              </w:rPr>
              <w:t>ment at end of reporting period using:</w:t>
            </w:r>
            <w:r>
              <w:rPr>
                <w:lang w:val="en-AU"/>
              </w:rPr>
              <w:t xml:space="preserve"> </w:t>
            </w:r>
            <w:r w:rsidR="00EE5BB8" w:rsidRPr="00C6052E">
              <w:rPr>
                <w:lang w:val="en-AU"/>
              </w:rPr>
              <w:t>Level</w:t>
            </w:r>
            <w:r w:rsidR="00B1545C" w:rsidRPr="00C6052E">
              <w:rPr>
                <w:lang w:val="en-AU"/>
              </w:rPr>
              <w:t xml:space="preserve"> </w:t>
            </w:r>
            <w:r w:rsidR="00EE5BB8" w:rsidRPr="00C6052E">
              <w:rPr>
                <w:lang w:val="en-AU"/>
              </w:rPr>
              <w:t>2</w:t>
            </w:r>
            <w:r w:rsidR="00EE5BB8" w:rsidRPr="00C6052E">
              <w:rPr>
                <w:vertAlign w:val="superscript"/>
                <w:lang w:val="en-AU"/>
              </w:rPr>
              <w:t>(i)</w:t>
            </w:r>
          </w:p>
        </w:tc>
        <w:tc>
          <w:tcPr>
            <w:tcW w:w="1389" w:type="dxa"/>
            <w:hideMark/>
          </w:tcPr>
          <w:p w14:paraId="37B585FB" w14:textId="529E9164" w:rsidR="00EE5BB8" w:rsidRPr="00C6052E" w:rsidRDefault="002A3B26" w:rsidP="002A3B26">
            <w:pPr>
              <w:pStyle w:val="TableColumnHeading"/>
              <w:jc w:val="right"/>
              <w:rPr>
                <w:lang w:val="en-AU"/>
              </w:rPr>
            </w:pPr>
            <w:r w:rsidRPr="00C6052E">
              <w:rPr>
                <w:lang w:val="en-AU"/>
              </w:rPr>
              <w:t>Fair value measure</w:t>
            </w:r>
            <w:r>
              <w:rPr>
                <w:lang w:val="en-AU"/>
              </w:rPr>
              <w:softHyphen/>
            </w:r>
            <w:r w:rsidRPr="00C6052E">
              <w:rPr>
                <w:lang w:val="en-AU"/>
              </w:rPr>
              <w:t>ment at end of reporting period using:</w:t>
            </w:r>
            <w:r>
              <w:rPr>
                <w:lang w:val="en-AU"/>
              </w:rPr>
              <w:t xml:space="preserve"> </w:t>
            </w:r>
            <w:r w:rsidR="00EE5BB8" w:rsidRPr="00C6052E">
              <w:rPr>
                <w:lang w:val="en-AU"/>
              </w:rPr>
              <w:t>Level</w:t>
            </w:r>
            <w:r w:rsidR="00B1545C" w:rsidRPr="00C6052E">
              <w:rPr>
                <w:lang w:val="en-AU"/>
              </w:rPr>
              <w:t xml:space="preserve"> </w:t>
            </w:r>
            <w:r w:rsidR="00EE5BB8" w:rsidRPr="00C6052E">
              <w:rPr>
                <w:lang w:val="en-AU"/>
              </w:rPr>
              <w:t>3</w:t>
            </w:r>
            <w:r w:rsidR="00EE5BB8" w:rsidRPr="00C6052E">
              <w:rPr>
                <w:vertAlign w:val="superscript"/>
                <w:lang w:val="en-AU"/>
              </w:rPr>
              <w:t>(i)</w:t>
            </w:r>
          </w:p>
        </w:tc>
      </w:tr>
      <w:tr w:rsidR="002A3B26" w:rsidRPr="00C6052E" w14:paraId="727AD7D4" w14:textId="77777777" w:rsidTr="002A3B26">
        <w:tc>
          <w:tcPr>
            <w:tcW w:w="4535" w:type="dxa"/>
          </w:tcPr>
          <w:p w14:paraId="14365E56" w14:textId="5382CD72" w:rsidR="002A3B26" w:rsidRPr="00C6052E" w:rsidRDefault="002A3B26" w:rsidP="002A3B26">
            <w:pPr>
              <w:pStyle w:val="TableHeading"/>
            </w:pPr>
            <w:r w:rsidRPr="00C6052E">
              <w:t>2025</w:t>
            </w:r>
          </w:p>
        </w:tc>
        <w:tc>
          <w:tcPr>
            <w:tcW w:w="964" w:type="dxa"/>
            <w:noWrap/>
          </w:tcPr>
          <w:p w14:paraId="04CDD3A6" w14:textId="77777777" w:rsidR="002A3B26" w:rsidRPr="00C6052E" w:rsidRDefault="002A3B26" w:rsidP="002A3B26">
            <w:pPr>
              <w:pStyle w:val="TableHeading"/>
              <w:jc w:val="right"/>
            </w:pPr>
          </w:p>
        </w:tc>
        <w:tc>
          <w:tcPr>
            <w:tcW w:w="1389" w:type="dxa"/>
            <w:noWrap/>
          </w:tcPr>
          <w:p w14:paraId="673D48F1" w14:textId="77777777" w:rsidR="002A3B26" w:rsidRPr="00C6052E" w:rsidRDefault="002A3B26" w:rsidP="002A3B26">
            <w:pPr>
              <w:pStyle w:val="TableHeading"/>
              <w:jc w:val="right"/>
            </w:pPr>
          </w:p>
        </w:tc>
        <w:tc>
          <w:tcPr>
            <w:tcW w:w="1389" w:type="dxa"/>
            <w:noWrap/>
          </w:tcPr>
          <w:p w14:paraId="352423E3" w14:textId="77777777" w:rsidR="002A3B26" w:rsidRPr="00C6052E" w:rsidRDefault="002A3B26" w:rsidP="002A3B26">
            <w:pPr>
              <w:pStyle w:val="TableHeading"/>
              <w:jc w:val="right"/>
            </w:pPr>
          </w:p>
        </w:tc>
        <w:tc>
          <w:tcPr>
            <w:tcW w:w="1389" w:type="dxa"/>
            <w:noWrap/>
          </w:tcPr>
          <w:p w14:paraId="4681893E" w14:textId="77777777" w:rsidR="002A3B26" w:rsidRPr="00C6052E" w:rsidRDefault="002A3B26" w:rsidP="002A3B26">
            <w:pPr>
              <w:pStyle w:val="TableHeading"/>
              <w:jc w:val="right"/>
            </w:pPr>
          </w:p>
        </w:tc>
      </w:tr>
      <w:tr w:rsidR="002A3B26" w:rsidRPr="00C6052E" w14:paraId="6C11D1D7" w14:textId="77777777" w:rsidTr="002A3B26">
        <w:tc>
          <w:tcPr>
            <w:tcW w:w="4535" w:type="dxa"/>
          </w:tcPr>
          <w:p w14:paraId="6ADC88AF" w14:textId="065A4D8C" w:rsidR="002A3B26" w:rsidRPr="00C6052E" w:rsidRDefault="002A3B26" w:rsidP="0046194B">
            <w:pPr>
              <w:pStyle w:val="TableHeading"/>
            </w:pPr>
            <w:r w:rsidRPr="00C6052E">
              <w:t>Financial assets at fair value through net results</w:t>
            </w:r>
          </w:p>
        </w:tc>
        <w:tc>
          <w:tcPr>
            <w:tcW w:w="964" w:type="dxa"/>
            <w:noWrap/>
          </w:tcPr>
          <w:p w14:paraId="29747FC3" w14:textId="77777777" w:rsidR="002A3B26" w:rsidRPr="00C6052E" w:rsidRDefault="002A3B26" w:rsidP="002A3B26">
            <w:pPr>
              <w:pStyle w:val="TableHeading"/>
              <w:jc w:val="right"/>
            </w:pPr>
          </w:p>
        </w:tc>
        <w:tc>
          <w:tcPr>
            <w:tcW w:w="1389" w:type="dxa"/>
            <w:noWrap/>
          </w:tcPr>
          <w:p w14:paraId="75561BC0" w14:textId="77777777" w:rsidR="002A3B26" w:rsidRPr="00C6052E" w:rsidRDefault="002A3B26" w:rsidP="002A3B26">
            <w:pPr>
              <w:pStyle w:val="TableHeading"/>
              <w:jc w:val="right"/>
            </w:pPr>
          </w:p>
        </w:tc>
        <w:tc>
          <w:tcPr>
            <w:tcW w:w="1389" w:type="dxa"/>
            <w:noWrap/>
          </w:tcPr>
          <w:p w14:paraId="037392A2" w14:textId="77777777" w:rsidR="002A3B26" w:rsidRPr="00C6052E" w:rsidRDefault="002A3B26" w:rsidP="002A3B26">
            <w:pPr>
              <w:pStyle w:val="TableHeading"/>
              <w:jc w:val="right"/>
            </w:pPr>
          </w:p>
        </w:tc>
        <w:tc>
          <w:tcPr>
            <w:tcW w:w="1389" w:type="dxa"/>
            <w:noWrap/>
          </w:tcPr>
          <w:p w14:paraId="03CD0A53" w14:textId="77777777" w:rsidR="002A3B26" w:rsidRPr="00C6052E" w:rsidRDefault="002A3B26" w:rsidP="002A3B26">
            <w:pPr>
              <w:pStyle w:val="TableHeading"/>
              <w:jc w:val="right"/>
            </w:pPr>
          </w:p>
        </w:tc>
      </w:tr>
      <w:tr w:rsidR="00EE5BB8" w:rsidRPr="00C6052E" w14:paraId="455D3AF9" w14:textId="77777777" w:rsidTr="002A3B26">
        <w:tc>
          <w:tcPr>
            <w:tcW w:w="4535" w:type="dxa"/>
            <w:hideMark/>
          </w:tcPr>
          <w:p w14:paraId="3A743105" w14:textId="77777777" w:rsidR="00EE5BB8" w:rsidRPr="00C6052E" w:rsidRDefault="00EE5BB8" w:rsidP="002A3B26">
            <w:pPr>
              <w:pStyle w:val="TableCopy"/>
              <w:keepNext/>
            </w:pPr>
            <w:r w:rsidRPr="00C6052E">
              <w:t>Investments</w:t>
            </w:r>
          </w:p>
        </w:tc>
        <w:tc>
          <w:tcPr>
            <w:tcW w:w="964" w:type="dxa"/>
            <w:noWrap/>
            <w:hideMark/>
          </w:tcPr>
          <w:p w14:paraId="16895400" w14:textId="77777777" w:rsidR="00EE5BB8" w:rsidRPr="00C6052E" w:rsidRDefault="00EE5BB8" w:rsidP="002A3B26">
            <w:pPr>
              <w:pStyle w:val="TableCopy"/>
              <w:keepNext/>
              <w:jc w:val="right"/>
            </w:pPr>
            <w:r w:rsidRPr="00C6052E">
              <w:t>6,261</w:t>
            </w:r>
          </w:p>
        </w:tc>
        <w:tc>
          <w:tcPr>
            <w:tcW w:w="1389" w:type="dxa"/>
            <w:noWrap/>
            <w:hideMark/>
          </w:tcPr>
          <w:p w14:paraId="2D684CE8" w14:textId="77777777" w:rsidR="00EE5BB8" w:rsidRPr="00C6052E" w:rsidRDefault="00EE5BB8" w:rsidP="002A3B26">
            <w:pPr>
              <w:pStyle w:val="TableCopy"/>
              <w:keepNext/>
              <w:jc w:val="right"/>
            </w:pPr>
            <w:r w:rsidRPr="00C6052E">
              <w:t>661</w:t>
            </w:r>
          </w:p>
        </w:tc>
        <w:tc>
          <w:tcPr>
            <w:tcW w:w="1389" w:type="dxa"/>
            <w:noWrap/>
            <w:hideMark/>
          </w:tcPr>
          <w:p w14:paraId="155B3002" w14:textId="77777777" w:rsidR="00EE5BB8" w:rsidRPr="00C6052E" w:rsidRDefault="00EE5BB8" w:rsidP="002A3B26">
            <w:pPr>
              <w:pStyle w:val="TableCopy"/>
              <w:keepNext/>
              <w:jc w:val="right"/>
            </w:pPr>
            <w:r w:rsidRPr="00C6052E">
              <w:t>–</w:t>
            </w:r>
          </w:p>
        </w:tc>
        <w:tc>
          <w:tcPr>
            <w:tcW w:w="1389" w:type="dxa"/>
            <w:noWrap/>
            <w:hideMark/>
          </w:tcPr>
          <w:p w14:paraId="664D7A64" w14:textId="77777777" w:rsidR="00EE5BB8" w:rsidRPr="00C6052E" w:rsidRDefault="00EE5BB8" w:rsidP="002A3B26">
            <w:pPr>
              <w:pStyle w:val="TableCopy"/>
              <w:keepNext/>
              <w:jc w:val="right"/>
            </w:pPr>
            <w:r w:rsidRPr="00C6052E">
              <w:t>5,600</w:t>
            </w:r>
          </w:p>
        </w:tc>
      </w:tr>
      <w:tr w:rsidR="00EE5BB8" w:rsidRPr="00C6052E" w14:paraId="73F6176C" w14:textId="77777777" w:rsidTr="002A3B26">
        <w:tc>
          <w:tcPr>
            <w:tcW w:w="4535" w:type="dxa"/>
            <w:noWrap/>
            <w:hideMark/>
          </w:tcPr>
          <w:p w14:paraId="24AC4AD6" w14:textId="3F3352E5" w:rsidR="00EE5BB8" w:rsidRPr="00C6052E" w:rsidRDefault="00EE5BB8" w:rsidP="0063097D">
            <w:pPr>
              <w:pStyle w:val="Tabletotal"/>
            </w:pPr>
            <w:r w:rsidRPr="00C6052E">
              <w:t>Total</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p>
        </w:tc>
        <w:tc>
          <w:tcPr>
            <w:tcW w:w="964" w:type="dxa"/>
            <w:noWrap/>
            <w:hideMark/>
          </w:tcPr>
          <w:p w14:paraId="00BFA832" w14:textId="77777777" w:rsidR="00EE5BB8" w:rsidRPr="00C6052E" w:rsidRDefault="00EE5BB8" w:rsidP="002A3B26">
            <w:pPr>
              <w:pStyle w:val="Tabletotal"/>
              <w:jc w:val="right"/>
            </w:pPr>
            <w:r w:rsidRPr="00C6052E">
              <w:t>6,261</w:t>
            </w:r>
          </w:p>
        </w:tc>
        <w:tc>
          <w:tcPr>
            <w:tcW w:w="1389" w:type="dxa"/>
            <w:noWrap/>
            <w:hideMark/>
          </w:tcPr>
          <w:p w14:paraId="53A43F55" w14:textId="77777777" w:rsidR="00EE5BB8" w:rsidRPr="00C6052E" w:rsidRDefault="00EE5BB8" w:rsidP="002A3B26">
            <w:pPr>
              <w:pStyle w:val="Tabletotal"/>
              <w:jc w:val="right"/>
            </w:pPr>
            <w:r w:rsidRPr="00C6052E">
              <w:t>661</w:t>
            </w:r>
          </w:p>
        </w:tc>
        <w:tc>
          <w:tcPr>
            <w:tcW w:w="1389" w:type="dxa"/>
            <w:noWrap/>
            <w:hideMark/>
          </w:tcPr>
          <w:p w14:paraId="5F1E906C" w14:textId="77777777" w:rsidR="00EE5BB8" w:rsidRPr="00C6052E" w:rsidRDefault="00EE5BB8" w:rsidP="002A3B26">
            <w:pPr>
              <w:pStyle w:val="Tabletotal"/>
              <w:jc w:val="right"/>
            </w:pPr>
            <w:r w:rsidRPr="00C6052E">
              <w:t>–</w:t>
            </w:r>
          </w:p>
        </w:tc>
        <w:tc>
          <w:tcPr>
            <w:tcW w:w="1389" w:type="dxa"/>
            <w:noWrap/>
            <w:hideMark/>
          </w:tcPr>
          <w:p w14:paraId="32975DCC" w14:textId="77777777" w:rsidR="00EE5BB8" w:rsidRPr="00C6052E" w:rsidRDefault="00EE5BB8" w:rsidP="002A3B26">
            <w:pPr>
              <w:pStyle w:val="Tabletotal"/>
              <w:jc w:val="right"/>
            </w:pPr>
            <w:r w:rsidRPr="00C6052E">
              <w:t>5,600</w:t>
            </w:r>
          </w:p>
        </w:tc>
      </w:tr>
      <w:tr w:rsidR="002A3B26" w:rsidRPr="00C6052E" w14:paraId="6C3FBFEF" w14:textId="77777777" w:rsidTr="002A3B26">
        <w:tc>
          <w:tcPr>
            <w:tcW w:w="4535" w:type="dxa"/>
          </w:tcPr>
          <w:p w14:paraId="11D77614" w14:textId="5FEFC761" w:rsidR="002A3B26" w:rsidRPr="00C6052E" w:rsidRDefault="002A3B26" w:rsidP="00513756">
            <w:pPr>
              <w:pStyle w:val="TableHeading"/>
            </w:pPr>
            <w:r w:rsidRPr="00C6052E">
              <w:t>202</w:t>
            </w:r>
            <w:r>
              <w:t>4</w:t>
            </w:r>
          </w:p>
        </w:tc>
        <w:tc>
          <w:tcPr>
            <w:tcW w:w="964" w:type="dxa"/>
            <w:noWrap/>
          </w:tcPr>
          <w:p w14:paraId="11D9A068" w14:textId="77777777" w:rsidR="002A3B26" w:rsidRPr="00C6052E" w:rsidRDefault="002A3B26" w:rsidP="002A3B26">
            <w:pPr>
              <w:pStyle w:val="TableHeading"/>
              <w:jc w:val="right"/>
            </w:pPr>
          </w:p>
        </w:tc>
        <w:tc>
          <w:tcPr>
            <w:tcW w:w="1389" w:type="dxa"/>
            <w:noWrap/>
          </w:tcPr>
          <w:p w14:paraId="64EB5FAA" w14:textId="77777777" w:rsidR="002A3B26" w:rsidRPr="00C6052E" w:rsidRDefault="002A3B26" w:rsidP="002A3B26">
            <w:pPr>
              <w:pStyle w:val="TableHeading"/>
              <w:jc w:val="right"/>
            </w:pPr>
          </w:p>
        </w:tc>
        <w:tc>
          <w:tcPr>
            <w:tcW w:w="1389" w:type="dxa"/>
            <w:noWrap/>
          </w:tcPr>
          <w:p w14:paraId="34C1EB34" w14:textId="77777777" w:rsidR="002A3B26" w:rsidRPr="00C6052E" w:rsidRDefault="002A3B26" w:rsidP="002A3B26">
            <w:pPr>
              <w:pStyle w:val="TableHeading"/>
              <w:jc w:val="right"/>
            </w:pPr>
          </w:p>
        </w:tc>
        <w:tc>
          <w:tcPr>
            <w:tcW w:w="1389" w:type="dxa"/>
            <w:noWrap/>
          </w:tcPr>
          <w:p w14:paraId="0E68F9B1" w14:textId="77777777" w:rsidR="002A3B26" w:rsidRPr="00C6052E" w:rsidRDefault="002A3B26" w:rsidP="002A3B26">
            <w:pPr>
              <w:pStyle w:val="TableHeading"/>
              <w:jc w:val="right"/>
            </w:pPr>
          </w:p>
        </w:tc>
      </w:tr>
      <w:tr w:rsidR="002A3B26" w:rsidRPr="00C6052E" w14:paraId="7DA0846A" w14:textId="77777777" w:rsidTr="002A3B26">
        <w:tc>
          <w:tcPr>
            <w:tcW w:w="4535" w:type="dxa"/>
          </w:tcPr>
          <w:p w14:paraId="64B31C59" w14:textId="77777777" w:rsidR="002A3B26" w:rsidRPr="00C6052E" w:rsidRDefault="002A3B26" w:rsidP="00513756">
            <w:pPr>
              <w:pStyle w:val="TableHeading"/>
            </w:pPr>
            <w:r w:rsidRPr="00C6052E">
              <w:t>Financial assets at fair value through net results</w:t>
            </w:r>
          </w:p>
        </w:tc>
        <w:tc>
          <w:tcPr>
            <w:tcW w:w="964" w:type="dxa"/>
            <w:noWrap/>
          </w:tcPr>
          <w:p w14:paraId="46536B28" w14:textId="77777777" w:rsidR="002A3B26" w:rsidRPr="00C6052E" w:rsidRDefault="002A3B26" w:rsidP="002A3B26">
            <w:pPr>
              <w:pStyle w:val="TableHeading"/>
              <w:jc w:val="right"/>
            </w:pPr>
          </w:p>
        </w:tc>
        <w:tc>
          <w:tcPr>
            <w:tcW w:w="1389" w:type="dxa"/>
            <w:noWrap/>
          </w:tcPr>
          <w:p w14:paraId="0942BBCB" w14:textId="77777777" w:rsidR="002A3B26" w:rsidRPr="00C6052E" w:rsidRDefault="002A3B26" w:rsidP="002A3B26">
            <w:pPr>
              <w:pStyle w:val="TableHeading"/>
              <w:jc w:val="right"/>
            </w:pPr>
          </w:p>
        </w:tc>
        <w:tc>
          <w:tcPr>
            <w:tcW w:w="1389" w:type="dxa"/>
            <w:noWrap/>
          </w:tcPr>
          <w:p w14:paraId="602B218D" w14:textId="77777777" w:rsidR="002A3B26" w:rsidRPr="00C6052E" w:rsidRDefault="002A3B26" w:rsidP="002A3B26">
            <w:pPr>
              <w:pStyle w:val="TableHeading"/>
              <w:jc w:val="right"/>
            </w:pPr>
          </w:p>
        </w:tc>
        <w:tc>
          <w:tcPr>
            <w:tcW w:w="1389" w:type="dxa"/>
            <w:noWrap/>
          </w:tcPr>
          <w:p w14:paraId="71B31103" w14:textId="77777777" w:rsidR="002A3B26" w:rsidRPr="00C6052E" w:rsidRDefault="002A3B26" w:rsidP="002A3B26">
            <w:pPr>
              <w:pStyle w:val="TableHeading"/>
              <w:jc w:val="right"/>
            </w:pPr>
          </w:p>
        </w:tc>
      </w:tr>
      <w:tr w:rsidR="00EE5BB8" w:rsidRPr="00C6052E" w14:paraId="7122AF15" w14:textId="77777777" w:rsidTr="002A3B26">
        <w:tc>
          <w:tcPr>
            <w:tcW w:w="4535" w:type="dxa"/>
            <w:hideMark/>
          </w:tcPr>
          <w:p w14:paraId="49F474D5" w14:textId="77777777" w:rsidR="00EE5BB8" w:rsidRPr="00C6052E" w:rsidRDefault="00EE5BB8" w:rsidP="0063097D">
            <w:pPr>
              <w:pStyle w:val="TableCopy"/>
            </w:pPr>
            <w:r w:rsidRPr="00C6052E">
              <w:t>Investments</w:t>
            </w:r>
          </w:p>
        </w:tc>
        <w:tc>
          <w:tcPr>
            <w:tcW w:w="964" w:type="dxa"/>
            <w:noWrap/>
            <w:hideMark/>
          </w:tcPr>
          <w:p w14:paraId="4232E71F" w14:textId="77777777" w:rsidR="00EE5BB8" w:rsidRPr="00C6052E" w:rsidRDefault="00EE5BB8" w:rsidP="002A3B26">
            <w:pPr>
              <w:pStyle w:val="TableCopy"/>
              <w:jc w:val="right"/>
            </w:pPr>
            <w:r w:rsidRPr="00C6052E">
              <w:t>4,761</w:t>
            </w:r>
          </w:p>
        </w:tc>
        <w:tc>
          <w:tcPr>
            <w:tcW w:w="1389" w:type="dxa"/>
            <w:noWrap/>
            <w:hideMark/>
          </w:tcPr>
          <w:p w14:paraId="35D95EA3" w14:textId="77777777" w:rsidR="00EE5BB8" w:rsidRPr="00C6052E" w:rsidRDefault="00EE5BB8" w:rsidP="002A3B26">
            <w:pPr>
              <w:pStyle w:val="TableCopy"/>
              <w:jc w:val="right"/>
            </w:pPr>
            <w:r w:rsidRPr="00C6052E">
              <w:t>661</w:t>
            </w:r>
          </w:p>
        </w:tc>
        <w:tc>
          <w:tcPr>
            <w:tcW w:w="1389" w:type="dxa"/>
            <w:noWrap/>
            <w:hideMark/>
          </w:tcPr>
          <w:p w14:paraId="6F106CE7" w14:textId="77777777" w:rsidR="00EE5BB8" w:rsidRPr="00C6052E" w:rsidRDefault="00EE5BB8" w:rsidP="002A3B26">
            <w:pPr>
              <w:pStyle w:val="TableCopy"/>
              <w:jc w:val="right"/>
            </w:pPr>
            <w:r w:rsidRPr="00C6052E">
              <w:t>–</w:t>
            </w:r>
          </w:p>
        </w:tc>
        <w:tc>
          <w:tcPr>
            <w:tcW w:w="1389" w:type="dxa"/>
            <w:noWrap/>
            <w:hideMark/>
          </w:tcPr>
          <w:p w14:paraId="642EC404" w14:textId="77777777" w:rsidR="00EE5BB8" w:rsidRPr="00C6052E" w:rsidRDefault="00EE5BB8" w:rsidP="002A3B26">
            <w:pPr>
              <w:pStyle w:val="TableCopy"/>
              <w:jc w:val="right"/>
            </w:pPr>
            <w:r w:rsidRPr="00C6052E">
              <w:t>4,100</w:t>
            </w:r>
          </w:p>
        </w:tc>
      </w:tr>
      <w:tr w:rsidR="00EE5BB8" w:rsidRPr="00C6052E" w14:paraId="1BC90D60" w14:textId="77777777" w:rsidTr="002A3B26">
        <w:tc>
          <w:tcPr>
            <w:tcW w:w="4535" w:type="dxa"/>
            <w:noWrap/>
            <w:hideMark/>
          </w:tcPr>
          <w:p w14:paraId="5AA3AC77" w14:textId="02E19B8B" w:rsidR="00EE5BB8" w:rsidRPr="00C6052E" w:rsidRDefault="00EE5BB8" w:rsidP="0063097D">
            <w:pPr>
              <w:pStyle w:val="Tabletotal"/>
            </w:pPr>
            <w:r w:rsidRPr="00C6052E">
              <w:t>Total</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p>
        </w:tc>
        <w:tc>
          <w:tcPr>
            <w:tcW w:w="964" w:type="dxa"/>
            <w:noWrap/>
            <w:hideMark/>
          </w:tcPr>
          <w:p w14:paraId="541C4A8A" w14:textId="77777777" w:rsidR="00EE5BB8" w:rsidRPr="00C6052E" w:rsidRDefault="00EE5BB8" w:rsidP="002A3B26">
            <w:pPr>
              <w:pStyle w:val="Tabletotal"/>
              <w:jc w:val="right"/>
            </w:pPr>
            <w:r w:rsidRPr="00C6052E">
              <w:t>4,761</w:t>
            </w:r>
          </w:p>
        </w:tc>
        <w:tc>
          <w:tcPr>
            <w:tcW w:w="1389" w:type="dxa"/>
            <w:noWrap/>
            <w:hideMark/>
          </w:tcPr>
          <w:p w14:paraId="5C646CE5" w14:textId="77777777" w:rsidR="00EE5BB8" w:rsidRPr="00C6052E" w:rsidRDefault="00EE5BB8" w:rsidP="002A3B26">
            <w:pPr>
              <w:pStyle w:val="Tabletotal"/>
              <w:jc w:val="right"/>
            </w:pPr>
            <w:r w:rsidRPr="00C6052E">
              <w:t>661</w:t>
            </w:r>
          </w:p>
        </w:tc>
        <w:tc>
          <w:tcPr>
            <w:tcW w:w="1389" w:type="dxa"/>
            <w:noWrap/>
            <w:hideMark/>
          </w:tcPr>
          <w:p w14:paraId="13B26217" w14:textId="77777777" w:rsidR="00EE5BB8" w:rsidRPr="00C6052E" w:rsidRDefault="00EE5BB8" w:rsidP="002A3B26">
            <w:pPr>
              <w:pStyle w:val="Tabletotal"/>
              <w:jc w:val="right"/>
            </w:pPr>
            <w:r w:rsidRPr="00C6052E">
              <w:t>–</w:t>
            </w:r>
          </w:p>
        </w:tc>
        <w:tc>
          <w:tcPr>
            <w:tcW w:w="1389" w:type="dxa"/>
            <w:noWrap/>
            <w:hideMark/>
          </w:tcPr>
          <w:p w14:paraId="3D69B81D" w14:textId="77777777" w:rsidR="00EE5BB8" w:rsidRPr="00C6052E" w:rsidRDefault="00EE5BB8" w:rsidP="002A3B26">
            <w:pPr>
              <w:pStyle w:val="Tabletotal"/>
              <w:jc w:val="right"/>
            </w:pPr>
            <w:r w:rsidRPr="00C6052E">
              <w:t>4,100</w:t>
            </w:r>
          </w:p>
        </w:tc>
      </w:tr>
    </w:tbl>
    <w:p w14:paraId="0B12D161" w14:textId="492AFAE9" w:rsidR="00EE5BB8" w:rsidRPr="00C6052E" w:rsidRDefault="00EE5BB8" w:rsidP="002A3B26">
      <w:pPr>
        <w:pStyle w:val="Tablenotes-numbered"/>
        <w:numPr>
          <w:ilvl w:val="0"/>
          <w:numId w:val="35"/>
        </w:numPr>
        <w:spacing w:after="240"/>
      </w:pPr>
      <w:r w:rsidRPr="00C6052E">
        <w:t>The</w:t>
      </w:r>
      <w:r w:rsidR="00177848" w:rsidRPr="00C6052E">
        <w:t xml:space="preserve"> </w:t>
      </w:r>
      <w:r w:rsidRPr="00C6052E">
        <w:t>fair</w:t>
      </w:r>
      <w:r w:rsidR="00177848" w:rsidRPr="00C6052E">
        <w:t xml:space="preserve"> </w:t>
      </w:r>
      <w:r w:rsidRPr="00C6052E">
        <w:t>value</w:t>
      </w:r>
      <w:r w:rsidR="00177848" w:rsidRPr="00C6052E">
        <w:t xml:space="preserve"> </w:t>
      </w:r>
      <w:r w:rsidRPr="00C6052E">
        <w:t>hierarchies</w:t>
      </w:r>
      <w:r w:rsidR="00177848" w:rsidRPr="00C6052E">
        <w:t xml:space="preserve"> </w:t>
      </w:r>
      <w:r w:rsidRPr="00C6052E">
        <w:t>are</w:t>
      </w:r>
      <w:r w:rsidR="00177848" w:rsidRPr="00C6052E">
        <w:t xml:space="preserve"> </w:t>
      </w:r>
      <w:r w:rsidRPr="00C6052E">
        <w:t>disclosed</w:t>
      </w:r>
      <w:r w:rsidR="00177848" w:rsidRPr="00C6052E">
        <w:t xml:space="preserve"> </w:t>
      </w:r>
      <w:r w:rsidRPr="00C6052E">
        <w:t>by</w:t>
      </w:r>
      <w:r w:rsidR="00177848" w:rsidRPr="00C6052E">
        <w:t xml:space="preserve"> </w:t>
      </w:r>
      <w:r w:rsidRPr="00C6052E">
        <w:t>class</w:t>
      </w:r>
      <w:r w:rsidR="00177848" w:rsidRPr="00C6052E">
        <w:t xml:space="preserve"> </w:t>
      </w:r>
      <w:r w:rsidRPr="00C6052E">
        <w:t>of</w:t>
      </w:r>
      <w:r w:rsidR="00177848" w:rsidRPr="00C6052E">
        <w:t xml:space="preserve"> </w:t>
      </w:r>
      <w:r w:rsidRPr="00C6052E">
        <w:t>financial</w:t>
      </w:r>
      <w:r w:rsidR="00177848" w:rsidRPr="00C6052E">
        <w:t xml:space="preserve"> </w:t>
      </w:r>
      <w:r w:rsidRPr="00C6052E">
        <w:t>instrument.</w:t>
      </w:r>
    </w:p>
    <w:p w14:paraId="0241F797" w14:textId="040BC6D9" w:rsidR="00EE5BB8" w:rsidRPr="00C6052E" w:rsidRDefault="00EE5BB8" w:rsidP="00EE5BB8">
      <w:r w:rsidRPr="00C6052E">
        <w:t>There</w:t>
      </w:r>
      <w:r w:rsidR="00177848" w:rsidRPr="00C6052E">
        <w:t xml:space="preserve"> </w:t>
      </w:r>
      <w:r w:rsidRPr="00C6052E">
        <w:t>have</w:t>
      </w:r>
      <w:r w:rsidR="00177848" w:rsidRPr="00C6052E">
        <w:t xml:space="preserve"> </w:t>
      </w:r>
      <w:r w:rsidRPr="00C6052E">
        <w:t>been</w:t>
      </w:r>
      <w:r w:rsidR="00177848" w:rsidRPr="00C6052E">
        <w:t xml:space="preserve"> </w:t>
      </w:r>
      <w:r w:rsidRPr="00C6052E">
        <w:t>no</w:t>
      </w:r>
      <w:r w:rsidR="00177848" w:rsidRPr="00C6052E">
        <w:t xml:space="preserve"> </w:t>
      </w:r>
      <w:r w:rsidRPr="00C6052E">
        <w:t>transfers</w:t>
      </w:r>
      <w:r w:rsidR="00177848" w:rsidRPr="00C6052E">
        <w:t xml:space="preserve"> </w:t>
      </w:r>
      <w:r w:rsidRPr="00C6052E">
        <w:t>between</w:t>
      </w:r>
      <w:r w:rsidR="00177848" w:rsidRPr="00C6052E">
        <w:t xml:space="preserve"> </w:t>
      </w:r>
      <w:r w:rsidRPr="00C6052E">
        <w:t>levels</w:t>
      </w:r>
      <w:r w:rsidR="00177848" w:rsidRPr="00C6052E">
        <w:t xml:space="preserve"> </w:t>
      </w:r>
      <w:r w:rsidRPr="00C6052E">
        <w:t>during</w:t>
      </w:r>
      <w:r w:rsidR="00177848" w:rsidRPr="00C6052E">
        <w:t xml:space="preserve"> </w:t>
      </w:r>
      <w:r w:rsidRPr="00C6052E">
        <w:t>the</w:t>
      </w:r>
      <w:r w:rsidR="00177848" w:rsidRPr="00C6052E">
        <w:t xml:space="preserve"> </w:t>
      </w:r>
      <w:r w:rsidRPr="00C6052E">
        <w:t>period.</w:t>
      </w:r>
      <w:r w:rsidR="00177848" w:rsidRPr="00C6052E">
        <w:t xml:space="preserve"> </w:t>
      </w:r>
    </w:p>
    <w:p w14:paraId="37C40DD5" w14:textId="3D15A7B9" w:rsidR="00EE5BB8" w:rsidRPr="00C6052E" w:rsidRDefault="00EE5BB8" w:rsidP="00EE5BB8">
      <w:r w:rsidRPr="00C6052E">
        <w:t>The</w:t>
      </w:r>
      <w:r w:rsidR="00177848" w:rsidRPr="00C6052E">
        <w:t xml:space="preserve"> </w:t>
      </w:r>
      <w:r w:rsidRPr="00C6052E">
        <w:t>fair</w:t>
      </w:r>
      <w:r w:rsidR="00177848" w:rsidRPr="00C6052E">
        <w:t xml:space="preserve"> </w:t>
      </w:r>
      <w:r w:rsidRPr="00C6052E">
        <w:t>value</w:t>
      </w:r>
      <w:r w:rsidR="00177848" w:rsidRPr="00C6052E">
        <w:t xml:space="preserve"> </w:t>
      </w:r>
      <w:r w:rsidRPr="00C6052E">
        <w:t>of</w:t>
      </w:r>
      <w:r w:rsidR="00177848" w:rsidRPr="00C6052E">
        <w:t xml:space="preserve"> </w:t>
      </w:r>
      <w:r w:rsidRPr="00C6052E">
        <w:t>the</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and</w:t>
      </w:r>
      <w:r w:rsidR="00177848" w:rsidRPr="00C6052E">
        <w:t xml:space="preserve"> </w:t>
      </w:r>
      <w:r w:rsidRPr="00C6052E">
        <w:t>liabilities</w:t>
      </w:r>
      <w:r w:rsidR="00177848" w:rsidRPr="00C6052E">
        <w:t xml:space="preserve"> </w:t>
      </w:r>
      <w:r w:rsidRPr="00C6052E">
        <w:t>is</w:t>
      </w:r>
      <w:r w:rsidR="00177848" w:rsidRPr="00C6052E">
        <w:t xml:space="preserve"> </w:t>
      </w:r>
      <w:r w:rsidRPr="00C6052E">
        <w:t>included</w:t>
      </w:r>
      <w:r w:rsidR="00177848" w:rsidRPr="00C6052E">
        <w:t xml:space="preserve"> </w:t>
      </w:r>
      <w:r w:rsidRPr="00C6052E">
        <w:t>at</w:t>
      </w:r>
      <w:r w:rsidR="00177848" w:rsidRPr="00C6052E">
        <w:t xml:space="preserve"> </w:t>
      </w:r>
      <w:r w:rsidRPr="00C6052E">
        <w:t>the</w:t>
      </w:r>
      <w:r w:rsidR="00177848" w:rsidRPr="00C6052E">
        <w:t xml:space="preserve"> </w:t>
      </w:r>
      <w:r w:rsidRPr="00C6052E">
        <w:t>amount</w:t>
      </w:r>
      <w:r w:rsidR="00177848" w:rsidRPr="00C6052E">
        <w:t xml:space="preserve"> </w:t>
      </w:r>
      <w:r w:rsidRPr="00C6052E">
        <w:t>at</w:t>
      </w:r>
      <w:r w:rsidR="00177848" w:rsidRPr="00C6052E">
        <w:t xml:space="preserve"> </w:t>
      </w:r>
      <w:r w:rsidRPr="00C6052E">
        <w:t>which</w:t>
      </w:r>
      <w:r w:rsidR="00177848" w:rsidRPr="00C6052E">
        <w:t xml:space="preserve"> </w:t>
      </w:r>
      <w:r w:rsidRPr="00C6052E">
        <w:t>the</w:t>
      </w:r>
      <w:r w:rsidR="00177848" w:rsidRPr="00C6052E">
        <w:t xml:space="preserve"> </w:t>
      </w:r>
      <w:r w:rsidRPr="00C6052E">
        <w:t>instrument</w:t>
      </w:r>
      <w:r w:rsidR="00177848" w:rsidRPr="00C6052E">
        <w:t xml:space="preserve"> </w:t>
      </w:r>
      <w:r w:rsidRPr="00C6052E">
        <w:t>could</w:t>
      </w:r>
      <w:r w:rsidR="00177848" w:rsidRPr="00C6052E">
        <w:t xml:space="preserve"> </w:t>
      </w:r>
      <w:r w:rsidRPr="00C6052E">
        <w:t>be</w:t>
      </w:r>
      <w:r w:rsidR="00177848" w:rsidRPr="00C6052E">
        <w:t xml:space="preserve"> </w:t>
      </w:r>
      <w:r w:rsidRPr="00C6052E">
        <w:t>exchanged</w:t>
      </w:r>
      <w:r w:rsidR="00177848" w:rsidRPr="00C6052E">
        <w:t xml:space="preserve"> </w:t>
      </w:r>
      <w:r w:rsidRPr="00C6052E">
        <w:t>in</w:t>
      </w:r>
      <w:r w:rsidR="00177848" w:rsidRPr="00C6052E">
        <w:t xml:space="preserve"> </w:t>
      </w:r>
      <w:r w:rsidRPr="00C6052E">
        <w:t>a</w:t>
      </w:r>
      <w:r w:rsidR="00177848" w:rsidRPr="00C6052E">
        <w:t xml:space="preserve"> </w:t>
      </w:r>
      <w:r w:rsidRPr="00C6052E">
        <w:t>current</w:t>
      </w:r>
      <w:r w:rsidR="00177848" w:rsidRPr="00C6052E">
        <w:t xml:space="preserve"> </w:t>
      </w:r>
      <w:r w:rsidRPr="00C6052E">
        <w:t>transaction</w:t>
      </w:r>
      <w:r w:rsidR="00177848" w:rsidRPr="00C6052E">
        <w:t xml:space="preserve"> </w:t>
      </w:r>
      <w:r w:rsidRPr="00C6052E">
        <w:t>between</w:t>
      </w:r>
      <w:r w:rsidR="00177848" w:rsidRPr="00C6052E">
        <w:t xml:space="preserve"> </w:t>
      </w:r>
      <w:r w:rsidRPr="00C6052E">
        <w:t>willing</w:t>
      </w:r>
      <w:r w:rsidR="00177848" w:rsidRPr="00C6052E">
        <w:t xml:space="preserve"> </w:t>
      </w:r>
      <w:r w:rsidRPr="00C6052E">
        <w:t>parties,</w:t>
      </w:r>
      <w:r w:rsidR="00177848" w:rsidRPr="00C6052E">
        <w:t xml:space="preserve"> </w:t>
      </w:r>
      <w:r w:rsidRPr="00C6052E">
        <w:t>other</w:t>
      </w:r>
      <w:r w:rsidR="00177848" w:rsidRPr="00C6052E">
        <w:t xml:space="preserve"> </w:t>
      </w:r>
      <w:r w:rsidRPr="00C6052E">
        <w:t>than</w:t>
      </w:r>
      <w:r w:rsidR="00177848" w:rsidRPr="00C6052E">
        <w:t xml:space="preserve"> </w:t>
      </w:r>
      <w:r w:rsidRPr="00C6052E">
        <w:t>in</w:t>
      </w:r>
      <w:r w:rsidR="00177848" w:rsidRPr="00C6052E">
        <w:t xml:space="preserve"> </w:t>
      </w:r>
      <w:r w:rsidRPr="00C6052E">
        <w:t>a</w:t>
      </w:r>
      <w:r w:rsidR="00177848" w:rsidRPr="00C6052E">
        <w:t xml:space="preserve"> </w:t>
      </w:r>
      <w:r w:rsidRPr="00C6052E">
        <w:t>forced</w:t>
      </w:r>
      <w:r w:rsidR="00177848" w:rsidRPr="00C6052E">
        <w:t xml:space="preserve"> </w:t>
      </w:r>
      <w:r w:rsidRPr="00C6052E">
        <w:t>or</w:t>
      </w:r>
      <w:r w:rsidR="00177848" w:rsidRPr="00C6052E">
        <w:t xml:space="preserve"> </w:t>
      </w:r>
      <w:r w:rsidRPr="00C6052E">
        <w:t>liquidation</w:t>
      </w:r>
      <w:r w:rsidR="00177848" w:rsidRPr="00C6052E">
        <w:t xml:space="preserve"> </w:t>
      </w:r>
      <w:r w:rsidRPr="00C6052E">
        <w:t>sale.</w:t>
      </w:r>
    </w:p>
    <w:p w14:paraId="5A0128CD" w14:textId="376334B0" w:rsidR="00EE5BB8" w:rsidRPr="00C6052E" w:rsidRDefault="00EE5BB8" w:rsidP="000C0740">
      <w:pPr>
        <w:pStyle w:val="Heading3numbered0"/>
      </w:pPr>
      <w:bookmarkStart w:id="338" w:name="_Ref161754185"/>
      <w:r w:rsidRPr="00C6052E">
        <w:t>Fair</w:t>
      </w:r>
      <w:r w:rsidR="00177848" w:rsidRPr="00C6052E">
        <w:t xml:space="preserve"> </w:t>
      </w:r>
      <w:r w:rsidRPr="00C6052E">
        <w:t>value</w:t>
      </w:r>
      <w:r w:rsidR="00177848" w:rsidRPr="00C6052E">
        <w:t xml:space="preserve"> </w:t>
      </w:r>
      <w:r w:rsidRPr="00C6052E">
        <w:t>determination:</w:t>
      </w:r>
      <w:r w:rsidR="00177848" w:rsidRPr="00C6052E">
        <w:t xml:space="preserve"> </w:t>
      </w:r>
      <w:r w:rsidRPr="00C6052E">
        <w:t>Non–financial</w:t>
      </w:r>
      <w:r w:rsidR="00177848" w:rsidRPr="00C6052E">
        <w:t xml:space="preserve"> </w:t>
      </w:r>
      <w:r w:rsidRPr="00C6052E">
        <w:t>physical</w:t>
      </w:r>
      <w:r w:rsidR="00177848" w:rsidRPr="00C6052E">
        <w:t xml:space="preserve"> </w:t>
      </w:r>
      <w:r w:rsidRPr="00C6052E">
        <w:t>assets</w:t>
      </w:r>
      <w:bookmarkEnd w:id="338"/>
    </w:p>
    <w:p w14:paraId="79872480" w14:textId="23BB1EAA" w:rsidR="00EE5BB8" w:rsidRPr="00C6052E" w:rsidRDefault="00C6052E" w:rsidP="002A3B26">
      <w:pPr>
        <w:pStyle w:val="TableHeading"/>
      </w:pPr>
      <w:r w:rsidRPr="00C6052E">
        <w:t>Fair</w:t>
      </w:r>
      <w:r w:rsidR="00177848" w:rsidRPr="00C6052E">
        <w:t xml:space="preserve"> </w:t>
      </w:r>
      <w:r w:rsidRPr="00C6052E">
        <w:t>value</w:t>
      </w:r>
      <w:r w:rsidR="00177848" w:rsidRPr="00C6052E">
        <w:t xml:space="preserve"> </w:t>
      </w:r>
      <w:r w:rsidRPr="00C6052E">
        <w:t>measurement</w:t>
      </w:r>
      <w:r w:rsidR="00177848" w:rsidRPr="00C6052E">
        <w:t xml:space="preserve"> </w:t>
      </w:r>
      <w:r w:rsidRPr="00C6052E">
        <w:t>hierarchy</w:t>
      </w:r>
      <w:r w:rsidR="00177848" w:rsidRPr="00C6052E">
        <w:t xml:space="preserve"> </w:t>
      </w:r>
      <w:r w:rsidRPr="00C6052E">
        <w:t>for</w:t>
      </w:r>
      <w:r w:rsidR="00177848" w:rsidRPr="00C6052E">
        <w:t xml:space="preserve"> </w:t>
      </w:r>
      <w:r w:rsidRPr="00C6052E">
        <w:t>assets</w:t>
      </w:r>
      <w:r w:rsidR="002A3B26">
        <w:t xml:space="preserve"> </w:t>
      </w:r>
      <w:r w:rsidR="002A3B26" w:rsidRPr="00C6052E">
        <w:t>($ thousand)</w:t>
      </w:r>
    </w:p>
    <w:tbl>
      <w:tblPr>
        <w:tblStyle w:val="TableGrid"/>
        <w:tblW w:w="9709" w:type="dxa"/>
        <w:tblLayout w:type="fixed"/>
        <w:tblLook w:val="04E0" w:firstRow="1" w:lastRow="1" w:firstColumn="1" w:lastColumn="0" w:noHBand="0" w:noVBand="1"/>
      </w:tblPr>
      <w:tblGrid>
        <w:gridCol w:w="4139"/>
        <w:gridCol w:w="1403"/>
        <w:gridCol w:w="1389"/>
        <w:gridCol w:w="1389"/>
        <w:gridCol w:w="1389"/>
      </w:tblGrid>
      <w:tr w:rsidR="00EE5BB8" w:rsidRPr="00C6052E" w14:paraId="79C635BC" w14:textId="77777777" w:rsidTr="002A3B26">
        <w:trPr>
          <w:tblHeader/>
        </w:trPr>
        <w:tc>
          <w:tcPr>
            <w:tcW w:w="4139" w:type="dxa"/>
          </w:tcPr>
          <w:p w14:paraId="1AD5B5C1" w14:textId="77777777" w:rsidR="00EE5BB8" w:rsidRPr="00C6052E" w:rsidRDefault="00EE5BB8" w:rsidP="0035690A">
            <w:pPr>
              <w:pStyle w:val="TableColumnHeading"/>
            </w:pPr>
            <w:bookmarkStart w:id="339" w:name="TableColumnHeadings_99"/>
            <w:bookmarkEnd w:id="339"/>
          </w:p>
        </w:tc>
        <w:tc>
          <w:tcPr>
            <w:tcW w:w="1403" w:type="dxa"/>
          </w:tcPr>
          <w:p w14:paraId="13AA7F9D" w14:textId="111C7892" w:rsidR="00EE5BB8" w:rsidRPr="00C6052E" w:rsidRDefault="002A3B26" w:rsidP="002A3B26">
            <w:pPr>
              <w:pStyle w:val="TableColumnHeading"/>
              <w:jc w:val="right"/>
            </w:pPr>
            <w:r w:rsidRPr="00C6052E">
              <w:rPr>
                <w:lang w:val="en-AU"/>
              </w:rPr>
              <w:t>Restated carrying amount as at 30 June 2025</w:t>
            </w:r>
          </w:p>
        </w:tc>
        <w:tc>
          <w:tcPr>
            <w:tcW w:w="1389" w:type="dxa"/>
            <w:hideMark/>
          </w:tcPr>
          <w:p w14:paraId="0EEE5CFD" w14:textId="5644335B" w:rsidR="00EE5BB8" w:rsidRPr="00C6052E" w:rsidRDefault="002A3B26" w:rsidP="002A3B26">
            <w:pPr>
              <w:pStyle w:val="TableColumnHeading"/>
              <w:jc w:val="right"/>
              <w:rPr>
                <w:lang w:val="en-AU"/>
              </w:rPr>
            </w:pPr>
            <w:r w:rsidRPr="00C6052E">
              <w:rPr>
                <w:lang w:val="en-AU"/>
              </w:rPr>
              <w:t>Fair value measure</w:t>
            </w:r>
            <w:r>
              <w:rPr>
                <w:lang w:val="en-AU"/>
              </w:rPr>
              <w:softHyphen/>
            </w:r>
            <w:r w:rsidRPr="00C6052E">
              <w:rPr>
                <w:lang w:val="en-AU"/>
              </w:rPr>
              <w:t xml:space="preserve">ment at end </w:t>
            </w:r>
            <w:r w:rsidRPr="00C6052E">
              <w:rPr>
                <w:lang w:val="en-AU"/>
              </w:rPr>
              <w:br/>
              <w:t>of reporting period using:</w:t>
            </w:r>
            <w:r>
              <w:rPr>
                <w:lang w:val="en-AU"/>
              </w:rPr>
              <w:t xml:space="preserve"> </w:t>
            </w:r>
            <w:r w:rsidR="00EE5BB8" w:rsidRPr="00C6052E">
              <w:rPr>
                <w:lang w:val="en-AU"/>
              </w:rPr>
              <w:t>Level</w:t>
            </w:r>
            <w:r w:rsidR="00B1545C" w:rsidRPr="00C6052E">
              <w:rPr>
                <w:lang w:val="en-AU"/>
              </w:rPr>
              <w:t xml:space="preserve"> </w:t>
            </w:r>
            <w:r w:rsidR="00EE5BB8" w:rsidRPr="00C6052E">
              <w:rPr>
                <w:lang w:val="en-AU"/>
              </w:rPr>
              <w:t>1</w:t>
            </w:r>
            <w:r w:rsidR="00EE5BB8" w:rsidRPr="00C6052E">
              <w:rPr>
                <w:vertAlign w:val="superscript"/>
                <w:lang w:val="en-AU"/>
              </w:rPr>
              <w:t>(i)</w:t>
            </w:r>
          </w:p>
        </w:tc>
        <w:tc>
          <w:tcPr>
            <w:tcW w:w="1389" w:type="dxa"/>
            <w:hideMark/>
          </w:tcPr>
          <w:p w14:paraId="69721D2A" w14:textId="220D4FA4" w:rsidR="00EE5BB8" w:rsidRPr="00C6052E" w:rsidRDefault="002A3B26" w:rsidP="002A3B26">
            <w:pPr>
              <w:pStyle w:val="TableColumnHeading"/>
              <w:jc w:val="right"/>
              <w:rPr>
                <w:lang w:val="en-AU"/>
              </w:rPr>
            </w:pPr>
            <w:r w:rsidRPr="00C6052E">
              <w:rPr>
                <w:lang w:val="en-AU"/>
              </w:rPr>
              <w:t>Fair value measure</w:t>
            </w:r>
            <w:r>
              <w:rPr>
                <w:lang w:val="en-AU"/>
              </w:rPr>
              <w:softHyphen/>
            </w:r>
            <w:r w:rsidRPr="00C6052E">
              <w:rPr>
                <w:lang w:val="en-AU"/>
              </w:rPr>
              <w:t xml:space="preserve">ment at end </w:t>
            </w:r>
            <w:r w:rsidRPr="00C6052E">
              <w:rPr>
                <w:lang w:val="en-AU"/>
              </w:rPr>
              <w:br/>
              <w:t>of reporting period using:</w:t>
            </w:r>
            <w:r>
              <w:rPr>
                <w:lang w:val="en-AU"/>
              </w:rPr>
              <w:t xml:space="preserve"> </w:t>
            </w:r>
            <w:r w:rsidR="00EE5BB8" w:rsidRPr="00C6052E">
              <w:rPr>
                <w:lang w:val="en-AU"/>
              </w:rPr>
              <w:t>Level</w:t>
            </w:r>
            <w:r w:rsidR="00B1545C" w:rsidRPr="00C6052E">
              <w:rPr>
                <w:lang w:val="en-AU"/>
              </w:rPr>
              <w:t xml:space="preserve"> </w:t>
            </w:r>
            <w:r w:rsidR="00EE5BB8" w:rsidRPr="00C6052E">
              <w:rPr>
                <w:lang w:val="en-AU"/>
              </w:rPr>
              <w:t>2</w:t>
            </w:r>
            <w:r w:rsidR="00EE5BB8" w:rsidRPr="00C6052E">
              <w:rPr>
                <w:vertAlign w:val="superscript"/>
                <w:lang w:val="en-AU"/>
              </w:rPr>
              <w:t>(i)</w:t>
            </w:r>
          </w:p>
        </w:tc>
        <w:tc>
          <w:tcPr>
            <w:tcW w:w="1389" w:type="dxa"/>
            <w:hideMark/>
          </w:tcPr>
          <w:p w14:paraId="59D5CA7E" w14:textId="3AB4CCD9" w:rsidR="00EE5BB8" w:rsidRPr="00C6052E" w:rsidRDefault="002A3B26" w:rsidP="002A3B26">
            <w:pPr>
              <w:pStyle w:val="TableColumnHeading"/>
              <w:jc w:val="right"/>
              <w:rPr>
                <w:lang w:val="en-AU"/>
              </w:rPr>
            </w:pPr>
            <w:r w:rsidRPr="00C6052E">
              <w:rPr>
                <w:lang w:val="en-AU"/>
              </w:rPr>
              <w:t>Fair value measure</w:t>
            </w:r>
            <w:r>
              <w:rPr>
                <w:lang w:val="en-AU"/>
              </w:rPr>
              <w:softHyphen/>
            </w:r>
            <w:r w:rsidRPr="00C6052E">
              <w:rPr>
                <w:lang w:val="en-AU"/>
              </w:rPr>
              <w:t xml:space="preserve">ment at end </w:t>
            </w:r>
            <w:r w:rsidRPr="00C6052E">
              <w:rPr>
                <w:lang w:val="en-AU"/>
              </w:rPr>
              <w:br/>
              <w:t>of reporting period using:</w:t>
            </w:r>
            <w:r>
              <w:rPr>
                <w:lang w:val="en-AU"/>
              </w:rPr>
              <w:t xml:space="preserve"> </w:t>
            </w:r>
            <w:r w:rsidR="00EE5BB8" w:rsidRPr="00C6052E">
              <w:rPr>
                <w:lang w:val="en-AU"/>
              </w:rPr>
              <w:t>Level</w:t>
            </w:r>
            <w:r w:rsidR="00B1545C" w:rsidRPr="00C6052E">
              <w:rPr>
                <w:lang w:val="en-AU"/>
              </w:rPr>
              <w:t xml:space="preserve"> </w:t>
            </w:r>
            <w:r w:rsidR="00EE5BB8" w:rsidRPr="00C6052E">
              <w:rPr>
                <w:lang w:val="en-AU"/>
              </w:rPr>
              <w:t>3</w:t>
            </w:r>
            <w:r w:rsidR="00EE5BB8" w:rsidRPr="00C6052E">
              <w:rPr>
                <w:vertAlign w:val="superscript"/>
                <w:lang w:val="en-AU"/>
              </w:rPr>
              <w:t>(i)</w:t>
            </w:r>
          </w:p>
        </w:tc>
      </w:tr>
      <w:tr w:rsidR="002A3B26" w:rsidRPr="00C6052E" w14:paraId="5986DF06" w14:textId="77777777" w:rsidTr="002A3B26">
        <w:tc>
          <w:tcPr>
            <w:tcW w:w="4139" w:type="dxa"/>
          </w:tcPr>
          <w:p w14:paraId="007BCE23" w14:textId="495F1F97" w:rsidR="002A3B26" w:rsidRPr="00C6052E" w:rsidRDefault="002A3B26" w:rsidP="002A3B26">
            <w:pPr>
              <w:pStyle w:val="TableHeading"/>
            </w:pPr>
            <w:r w:rsidRPr="00C6052E">
              <w:t>2025</w:t>
            </w:r>
          </w:p>
        </w:tc>
        <w:tc>
          <w:tcPr>
            <w:tcW w:w="1403" w:type="dxa"/>
            <w:noWrap/>
          </w:tcPr>
          <w:p w14:paraId="289FBC6E" w14:textId="77777777" w:rsidR="002A3B26" w:rsidRPr="00C6052E" w:rsidRDefault="002A3B26" w:rsidP="002A3B26">
            <w:pPr>
              <w:pStyle w:val="TableHeading"/>
              <w:jc w:val="right"/>
            </w:pPr>
          </w:p>
        </w:tc>
        <w:tc>
          <w:tcPr>
            <w:tcW w:w="1389" w:type="dxa"/>
            <w:noWrap/>
          </w:tcPr>
          <w:p w14:paraId="130C85C8" w14:textId="77777777" w:rsidR="002A3B26" w:rsidRPr="00C6052E" w:rsidRDefault="002A3B26" w:rsidP="002A3B26">
            <w:pPr>
              <w:pStyle w:val="TableHeading"/>
              <w:jc w:val="right"/>
            </w:pPr>
          </w:p>
        </w:tc>
        <w:tc>
          <w:tcPr>
            <w:tcW w:w="1389" w:type="dxa"/>
            <w:noWrap/>
          </w:tcPr>
          <w:p w14:paraId="62750303" w14:textId="77777777" w:rsidR="002A3B26" w:rsidRPr="00C6052E" w:rsidRDefault="002A3B26" w:rsidP="002A3B26">
            <w:pPr>
              <w:pStyle w:val="TableHeading"/>
              <w:jc w:val="right"/>
            </w:pPr>
          </w:p>
        </w:tc>
        <w:tc>
          <w:tcPr>
            <w:tcW w:w="1389" w:type="dxa"/>
            <w:noWrap/>
          </w:tcPr>
          <w:p w14:paraId="3E0178DF" w14:textId="77777777" w:rsidR="002A3B26" w:rsidRPr="00C6052E" w:rsidRDefault="002A3B26" w:rsidP="002A3B26">
            <w:pPr>
              <w:pStyle w:val="TableHeading"/>
              <w:jc w:val="right"/>
            </w:pPr>
          </w:p>
        </w:tc>
      </w:tr>
      <w:tr w:rsidR="002A3B26" w:rsidRPr="00C6052E" w14:paraId="2B520D25" w14:textId="77777777" w:rsidTr="002A3B26">
        <w:tc>
          <w:tcPr>
            <w:tcW w:w="4139" w:type="dxa"/>
          </w:tcPr>
          <w:p w14:paraId="68EBB6EC" w14:textId="5BF5480E" w:rsidR="002A3B26" w:rsidRPr="00C6052E" w:rsidRDefault="002A3B26" w:rsidP="007D3E91">
            <w:pPr>
              <w:pStyle w:val="TableHeading"/>
            </w:pPr>
            <w:r w:rsidRPr="00C6052E">
              <w:t>Land at fair value</w:t>
            </w:r>
          </w:p>
        </w:tc>
        <w:tc>
          <w:tcPr>
            <w:tcW w:w="1403" w:type="dxa"/>
            <w:noWrap/>
          </w:tcPr>
          <w:p w14:paraId="35D5727F" w14:textId="77777777" w:rsidR="002A3B26" w:rsidRPr="00C6052E" w:rsidRDefault="002A3B26" w:rsidP="002A3B26">
            <w:pPr>
              <w:pStyle w:val="TableHeading"/>
              <w:jc w:val="right"/>
            </w:pPr>
          </w:p>
        </w:tc>
        <w:tc>
          <w:tcPr>
            <w:tcW w:w="1389" w:type="dxa"/>
            <w:noWrap/>
          </w:tcPr>
          <w:p w14:paraId="58964827" w14:textId="77777777" w:rsidR="002A3B26" w:rsidRPr="00C6052E" w:rsidRDefault="002A3B26" w:rsidP="002A3B26">
            <w:pPr>
              <w:pStyle w:val="TableHeading"/>
              <w:jc w:val="right"/>
            </w:pPr>
          </w:p>
        </w:tc>
        <w:tc>
          <w:tcPr>
            <w:tcW w:w="1389" w:type="dxa"/>
            <w:noWrap/>
          </w:tcPr>
          <w:p w14:paraId="185AEE17" w14:textId="77777777" w:rsidR="002A3B26" w:rsidRPr="00C6052E" w:rsidRDefault="002A3B26" w:rsidP="002A3B26">
            <w:pPr>
              <w:pStyle w:val="TableHeading"/>
              <w:jc w:val="right"/>
            </w:pPr>
          </w:p>
        </w:tc>
        <w:tc>
          <w:tcPr>
            <w:tcW w:w="1389" w:type="dxa"/>
            <w:noWrap/>
          </w:tcPr>
          <w:p w14:paraId="736CADBC" w14:textId="77777777" w:rsidR="002A3B26" w:rsidRPr="00C6052E" w:rsidRDefault="002A3B26" w:rsidP="002A3B26">
            <w:pPr>
              <w:pStyle w:val="TableHeading"/>
              <w:jc w:val="right"/>
            </w:pPr>
          </w:p>
        </w:tc>
      </w:tr>
      <w:tr w:rsidR="00EE5BB8" w:rsidRPr="00C6052E" w14:paraId="7BCF6B35" w14:textId="77777777" w:rsidTr="002A3B26">
        <w:tc>
          <w:tcPr>
            <w:tcW w:w="4139" w:type="dxa"/>
            <w:hideMark/>
          </w:tcPr>
          <w:p w14:paraId="25DAD33A" w14:textId="4E8BC8EA" w:rsidR="00EE5BB8" w:rsidRPr="00C6052E" w:rsidRDefault="00EE5BB8" w:rsidP="002A3B26">
            <w:pPr>
              <w:pStyle w:val="TableCopy"/>
              <w:keepNext/>
            </w:pPr>
            <w:r w:rsidRPr="00C6052E">
              <w:t>Non–specialised</w:t>
            </w:r>
            <w:r w:rsidR="00177848" w:rsidRPr="00C6052E">
              <w:t xml:space="preserve"> </w:t>
            </w:r>
            <w:r w:rsidRPr="00C6052E">
              <w:t>land</w:t>
            </w:r>
          </w:p>
        </w:tc>
        <w:tc>
          <w:tcPr>
            <w:tcW w:w="1403" w:type="dxa"/>
            <w:noWrap/>
            <w:hideMark/>
          </w:tcPr>
          <w:p w14:paraId="56E62E50" w14:textId="77777777" w:rsidR="00EE5BB8" w:rsidRPr="00C6052E" w:rsidRDefault="00EE5BB8" w:rsidP="002A3B26">
            <w:pPr>
              <w:pStyle w:val="TableCopy"/>
              <w:keepNext/>
              <w:jc w:val="right"/>
            </w:pPr>
            <w:r w:rsidRPr="00C6052E">
              <w:t>14,783</w:t>
            </w:r>
          </w:p>
        </w:tc>
        <w:tc>
          <w:tcPr>
            <w:tcW w:w="1389" w:type="dxa"/>
            <w:noWrap/>
            <w:hideMark/>
          </w:tcPr>
          <w:p w14:paraId="578B8F86" w14:textId="77777777" w:rsidR="00EE5BB8" w:rsidRPr="00C6052E" w:rsidRDefault="00EE5BB8" w:rsidP="002A3B26">
            <w:pPr>
              <w:pStyle w:val="TableCopy"/>
              <w:keepNext/>
              <w:jc w:val="right"/>
            </w:pPr>
            <w:r w:rsidRPr="00C6052E">
              <w:t>–</w:t>
            </w:r>
          </w:p>
        </w:tc>
        <w:tc>
          <w:tcPr>
            <w:tcW w:w="1389" w:type="dxa"/>
            <w:noWrap/>
            <w:hideMark/>
          </w:tcPr>
          <w:p w14:paraId="200DE711" w14:textId="77777777" w:rsidR="00EE5BB8" w:rsidRPr="00C6052E" w:rsidRDefault="00EE5BB8" w:rsidP="002A3B26">
            <w:pPr>
              <w:pStyle w:val="TableCopy"/>
              <w:keepNext/>
              <w:jc w:val="right"/>
            </w:pPr>
            <w:r w:rsidRPr="00C6052E">
              <w:t>14,783</w:t>
            </w:r>
          </w:p>
        </w:tc>
        <w:tc>
          <w:tcPr>
            <w:tcW w:w="1389" w:type="dxa"/>
            <w:noWrap/>
            <w:hideMark/>
          </w:tcPr>
          <w:p w14:paraId="5066336B" w14:textId="77777777" w:rsidR="00EE5BB8" w:rsidRPr="00C6052E" w:rsidRDefault="00EE5BB8" w:rsidP="002A3B26">
            <w:pPr>
              <w:pStyle w:val="TableCopy"/>
              <w:keepNext/>
              <w:jc w:val="right"/>
            </w:pPr>
            <w:r w:rsidRPr="00C6052E">
              <w:t>–</w:t>
            </w:r>
          </w:p>
        </w:tc>
      </w:tr>
      <w:tr w:rsidR="00EE5BB8" w:rsidRPr="00C6052E" w14:paraId="6766ECD8" w14:textId="77777777" w:rsidTr="002A3B26">
        <w:tc>
          <w:tcPr>
            <w:tcW w:w="4139" w:type="dxa"/>
            <w:hideMark/>
          </w:tcPr>
          <w:p w14:paraId="5F50BA33" w14:textId="30E7076A" w:rsidR="00EE5BB8" w:rsidRPr="00C6052E" w:rsidRDefault="00EE5BB8" w:rsidP="002A3B26">
            <w:pPr>
              <w:pStyle w:val="TableCopy"/>
              <w:keepNext/>
            </w:pPr>
            <w:r w:rsidRPr="00C6052E">
              <w:t>Specialised</w:t>
            </w:r>
            <w:r w:rsidR="00177848" w:rsidRPr="00C6052E">
              <w:t xml:space="preserve"> </w:t>
            </w:r>
            <w:r w:rsidRPr="00C6052E">
              <w:t>land</w:t>
            </w:r>
          </w:p>
        </w:tc>
        <w:tc>
          <w:tcPr>
            <w:tcW w:w="1403" w:type="dxa"/>
            <w:noWrap/>
            <w:hideMark/>
          </w:tcPr>
          <w:p w14:paraId="370430BC" w14:textId="77777777" w:rsidR="00EE5BB8" w:rsidRPr="00C6052E" w:rsidRDefault="00EE5BB8" w:rsidP="002A3B26">
            <w:pPr>
              <w:pStyle w:val="TableCopy"/>
              <w:keepNext/>
              <w:jc w:val="right"/>
            </w:pPr>
            <w:r w:rsidRPr="00C6052E">
              <w:t>350,668</w:t>
            </w:r>
          </w:p>
        </w:tc>
        <w:tc>
          <w:tcPr>
            <w:tcW w:w="1389" w:type="dxa"/>
            <w:noWrap/>
            <w:hideMark/>
          </w:tcPr>
          <w:p w14:paraId="36CE7FF4" w14:textId="77777777" w:rsidR="00EE5BB8" w:rsidRPr="00C6052E" w:rsidRDefault="00EE5BB8" w:rsidP="002A3B26">
            <w:pPr>
              <w:pStyle w:val="TableCopy"/>
              <w:keepNext/>
              <w:jc w:val="right"/>
            </w:pPr>
            <w:r w:rsidRPr="00C6052E">
              <w:t>–</w:t>
            </w:r>
          </w:p>
        </w:tc>
        <w:tc>
          <w:tcPr>
            <w:tcW w:w="1389" w:type="dxa"/>
            <w:noWrap/>
            <w:hideMark/>
          </w:tcPr>
          <w:p w14:paraId="2B0F7D72" w14:textId="77777777" w:rsidR="00EE5BB8" w:rsidRPr="00C6052E" w:rsidRDefault="00EE5BB8" w:rsidP="002A3B26">
            <w:pPr>
              <w:pStyle w:val="TableCopy"/>
              <w:keepNext/>
              <w:jc w:val="right"/>
            </w:pPr>
            <w:r w:rsidRPr="00C6052E">
              <w:t>–</w:t>
            </w:r>
          </w:p>
        </w:tc>
        <w:tc>
          <w:tcPr>
            <w:tcW w:w="1389" w:type="dxa"/>
            <w:noWrap/>
            <w:hideMark/>
          </w:tcPr>
          <w:p w14:paraId="0C4C5509" w14:textId="77777777" w:rsidR="00EE5BB8" w:rsidRPr="00C6052E" w:rsidRDefault="00EE5BB8" w:rsidP="002A3B26">
            <w:pPr>
              <w:pStyle w:val="TableCopy"/>
              <w:keepNext/>
              <w:jc w:val="right"/>
            </w:pPr>
            <w:r w:rsidRPr="00C6052E">
              <w:t>350,668</w:t>
            </w:r>
          </w:p>
        </w:tc>
      </w:tr>
      <w:tr w:rsidR="00EE5BB8" w:rsidRPr="00C6052E" w14:paraId="4AE02823" w14:textId="77777777" w:rsidTr="002A3B26">
        <w:tc>
          <w:tcPr>
            <w:tcW w:w="4139" w:type="dxa"/>
            <w:noWrap/>
            <w:hideMark/>
          </w:tcPr>
          <w:p w14:paraId="72990B9C" w14:textId="54D68EA2" w:rsidR="00EE5BB8" w:rsidRPr="00C6052E" w:rsidRDefault="00EE5BB8" w:rsidP="0063097D">
            <w:pPr>
              <w:pStyle w:val="Tabletotal"/>
            </w:pPr>
            <w:r w:rsidRPr="00C6052E">
              <w:t>Total</w:t>
            </w:r>
            <w:r w:rsidR="00177848" w:rsidRPr="00C6052E">
              <w:t xml:space="preserve"> </w:t>
            </w:r>
            <w:r w:rsidRPr="00C6052E">
              <w:t>of</w:t>
            </w:r>
            <w:r w:rsidR="00177848" w:rsidRPr="00C6052E">
              <w:t xml:space="preserve"> </w:t>
            </w:r>
            <w:r w:rsidRPr="00C6052E">
              <w:t>land</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p>
        </w:tc>
        <w:tc>
          <w:tcPr>
            <w:tcW w:w="1403" w:type="dxa"/>
            <w:noWrap/>
            <w:hideMark/>
          </w:tcPr>
          <w:p w14:paraId="745F4426" w14:textId="77777777" w:rsidR="00EE5BB8" w:rsidRPr="00C6052E" w:rsidRDefault="00EE5BB8" w:rsidP="002A3B26">
            <w:pPr>
              <w:pStyle w:val="Tabletotal"/>
              <w:jc w:val="right"/>
            </w:pPr>
            <w:r w:rsidRPr="00C6052E">
              <w:t>365,451</w:t>
            </w:r>
          </w:p>
        </w:tc>
        <w:tc>
          <w:tcPr>
            <w:tcW w:w="1389" w:type="dxa"/>
            <w:noWrap/>
            <w:hideMark/>
          </w:tcPr>
          <w:p w14:paraId="05C655FA" w14:textId="77777777" w:rsidR="00EE5BB8" w:rsidRPr="00C6052E" w:rsidRDefault="00EE5BB8" w:rsidP="002A3B26">
            <w:pPr>
              <w:pStyle w:val="Tabletotal"/>
              <w:jc w:val="right"/>
            </w:pPr>
          </w:p>
        </w:tc>
        <w:tc>
          <w:tcPr>
            <w:tcW w:w="1389" w:type="dxa"/>
            <w:noWrap/>
            <w:hideMark/>
          </w:tcPr>
          <w:p w14:paraId="24DD0827" w14:textId="77777777" w:rsidR="00EE5BB8" w:rsidRPr="00C6052E" w:rsidRDefault="00EE5BB8" w:rsidP="002A3B26">
            <w:pPr>
              <w:pStyle w:val="Tabletotal"/>
              <w:jc w:val="right"/>
            </w:pPr>
            <w:r w:rsidRPr="00C6052E">
              <w:t>14,783</w:t>
            </w:r>
          </w:p>
        </w:tc>
        <w:tc>
          <w:tcPr>
            <w:tcW w:w="1389" w:type="dxa"/>
            <w:noWrap/>
            <w:hideMark/>
          </w:tcPr>
          <w:p w14:paraId="4E8E79B6" w14:textId="77777777" w:rsidR="00EE5BB8" w:rsidRPr="00C6052E" w:rsidRDefault="00EE5BB8" w:rsidP="002A3B26">
            <w:pPr>
              <w:pStyle w:val="Tabletotal"/>
              <w:jc w:val="right"/>
            </w:pPr>
            <w:r w:rsidRPr="00C6052E">
              <w:t>350,668</w:t>
            </w:r>
          </w:p>
        </w:tc>
      </w:tr>
      <w:tr w:rsidR="002A3B26" w:rsidRPr="00C6052E" w14:paraId="38C7CA9E" w14:textId="77777777" w:rsidTr="002A3B26">
        <w:tc>
          <w:tcPr>
            <w:tcW w:w="4139" w:type="dxa"/>
          </w:tcPr>
          <w:p w14:paraId="512F205F" w14:textId="2B10B975" w:rsidR="002A3B26" w:rsidRPr="00C6052E" w:rsidRDefault="002A3B26" w:rsidP="000774BA">
            <w:pPr>
              <w:pStyle w:val="TableHeading"/>
            </w:pPr>
            <w:r w:rsidRPr="00C6052E">
              <w:lastRenderedPageBreak/>
              <w:t>Buildings at fair value</w:t>
            </w:r>
          </w:p>
        </w:tc>
        <w:tc>
          <w:tcPr>
            <w:tcW w:w="1403" w:type="dxa"/>
            <w:noWrap/>
          </w:tcPr>
          <w:p w14:paraId="17F9C6B0" w14:textId="77777777" w:rsidR="002A3B26" w:rsidRPr="00C6052E" w:rsidRDefault="002A3B26" w:rsidP="002A3B26">
            <w:pPr>
              <w:pStyle w:val="TableHeading"/>
              <w:jc w:val="right"/>
            </w:pPr>
          </w:p>
        </w:tc>
        <w:tc>
          <w:tcPr>
            <w:tcW w:w="1389" w:type="dxa"/>
            <w:noWrap/>
          </w:tcPr>
          <w:p w14:paraId="6448102C" w14:textId="77777777" w:rsidR="002A3B26" w:rsidRPr="00C6052E" w:rsidRDefault="002A3B26" w:rsidP="002A3B26">
            <w:pPr>
              <w:pStyle w:val="TableHeading"/>
              <w:jc w:val="right"/>
            </w:pPr>
          </w:p>
        </w:tc>
        <w:tc>
          <w:tcPr>
            <w:tcW w:w="1389" w:type="dxa"/>
            <w:noWrap/>
          </w:tcPr>
          <w:p w14:paraId="3BA157B4" w14:textId="77777777" w:rsidR="002A3B26" w:rsidRPr="00C6052E" w:rsidRDefault="002A3B26" w:rsidP="002A3B26">
            <w:pPr>
              <w:pStyle w:val="TableHeading"/>
              <w:jc w:val="right"/>
            </w:pPr>
          </w:p>
        </w:tc>
        <w:tc>
          <w:tcPr>
            <w:tcW w:w="1389" w:type="dxa"/>
            <w:noWrap/>
          </w:tcPr>
          <w:p w14:paraId="37AE6790" w14:textId="77777777" w:rsidR="002A3B26" w:rsidRPr="00C6052E" w:rsidRDefault="002A3B26" w:rsidP="002A3B26">
            <w:pPr>
              <w:pStyle w:val="TableHeading"/>
              <w:jc w:val="right"/>
            </w:pPr>
          </w:p>
        </w:tc>
      </w:tr>
      <w:tr w:rsidR="00EE5BB8" w:rsidRPr="00C6052E" w14:paraId="6B05C6F3" w14:textId="77777777" w:rsidTr="002A3B26">
        <w:tc>
          <w:tcPr>
            <w:tcW w:w="4139" w:type="dxa"/>
            <w:hideMark/>
          </w:tcPr>
          <w:p w14:paraId="6B2C404B" w14:textId="5CFC31F0" w:rsidR="00EE5BB8" w:rsidRPr="00C6052E" w:rsidRDefault="00EE5BB8" w:rsidP="0063097D">
            <w:pPr>
              <w:pStyle w:val="TableCopy"/>
            </w:pPr>
            <w:r w:rsidRPr="00C6052E">
              <w:t>Non–specialised</w:t>
            </w:r>
            <w:r w:rsidR="00177848" w:rsidRPr="00C6052E">
              <w:t xml:space="preserve"> </w:t>
            </w:r>
            <w:r w:rsidRPr="00C6052E">
              <w:t>buildings</w:t>
            </w:r>
          </w:p>
        </w:tc>
        <w:tc>
          <w:tcPr>
            <w:tcW w:w="1403" w:type="dxa"/>
            <w:noWrap/>
            <w:hideMark/>
          </w:tcPr>
          <w:p w14:paraId="1BAB5C2F" w14:textId="77777777" w:rsidR="00EE5BB8" w:rsidRPr="00C6052E" w:rsidRDefault="00EE5BB8" w:rsidP="002A3B26">
            <w:pPr>
              <w:pStyle w:val="TableCopy"/>
              <w:jc w:val="right"/>
            </w:pPr>
            <w:r w:rsidRPr="00C6052E">
              <w:t>7,851</w:t>
            </w:r>
          </w:p>
        </w:tc>
        <w:tc>
          <w:tcPr>
            <w:tcW w:w="1389" w:type="dxa"/>
            <w:noWrap/>
            <w:hideMark/>
          </w:tcPr>
          <w:p w14:paraId="17FC2FF3" w14:textId="77777777" w:rsidR="00EE5BB8" w:rsidRPr="00C6052E" w:rsidRDefault="00EE5BB8" w:rsidP="002A3B26">
            <w:pPr>
              <w:pStyle w:val="TableCopy"/>
              <w:jc w:val="right"/>
            </w:pPr>
            <w:r w:rsidRPr="00C6052E">
              <w:t>–</w:t>
            </w:r>
          </w:p>
        </w:tc>
        <w:tc>
          <w:tcPr>
            <w:tcW w:w="1389" w:type="dxa"/>
            <w:noWrap/>
            <w:hideMark/>
          </w:tcPr>
          <w:p w14:paraId="40C82B95" w14:textId="77777777" w:rsidR="00EE5BB8" w:rsidRPr="00C6052E" w:rsidRDefault="00EE5BB8" w:rsidP="002A3B26">
            <w:pPr>
              <w:pStyle w:val="TableCopy"/>
              <w:jc w:val="right"/>
            </w:pPr>
            <w:r w:rsidRPr="00C6052E">
              <w:t>–</w:t>
            </w:r>
          </w:p>
        </w:tc>
        <w:tc>
          <w:tcPr>
            <w:tcW w:w="1389" w:type="dxa"/>
            <w:noWrap/>
            <w:hideMark/>
          </w:tcPr>
          <w:p w14:paraId="5A3CD6B5" w14:textId="77777777" w:rsidR="00EE5BB8" w:rsidRPr="00C6052E" w:rsidRDefault="00EE5BB8" w:rsidP="002A3B26">
            <w:pPr>
              <w:pStyle w:val="TableCopy"/>
              <w:jc w:val="right"/>
            </w:pPr>
            <w:r w:rsidRPr="00C6052E">
              <w:t>7,851</w:t>
            </w:r>
          </w:p>
        </w:tc>
      </w:tr>
      <w:tr w:rsidR="00EE5BB8" w:rsidRPr="00C6052E" w14:paraId="5CC70CFE" w14:textId="77777777" w:rsidTr="002A3B26">
        <w:tc>
          <w:tcPr>
            <w:tcW w:w="4139" w:type="dxa"/>
            <w:hideMark/>
          </w:tcPr>
          <w:p w14:paraId="57AE5961" w14:textId="7C3BA17F" w:rsidR="00EE5BB8" w:rsidRPr="00C6052E" w:rsidRDefault="00EE5BB8" w:rsidP="0063097D">
            <w:pPr>
              <w:pStyle w:val="TableCopy"/>
            </w:pPr>
            <w:r w:rsidRPr="00C6052E">
              <w:t>Specialised</w:t>
            </w:r>
            <w:r w:rsidR="00177848" w:rsidRPr="00C6052E">
              <w:t xml:space="preserve"> </w:t>
            </w:r>
            <w:r w:rsidRPr="00C6052E">
              <w:t>buildings</w:t>
            </w:r>
          </w:p>
        </w:tc>
        <w:tc>
          <w:tcPr>
            <w:tcW w:w="1403" w:type="dxa"/>
            <w:noWrap/>
            <w:hideMark/>
          </w:tcPr>
          <w:p w14:paraId="56A7B6E1" w14:textId="77777777" w:rsidR="00EE5BB8" w:rsidRPr="00C6052E" w:rsidRDefault="00EE5BB8" w:rsidP="002A3B26">
            <w:pPr>
              <w:pStyle w:val="TableCopy"/>
              <w:jc w:val="right"/>
            </w:pPr>
            <w:r w:rsidRPr="00C6052E">
              <w:t>106,926</w:t>
            </w:r>
          </w:p>
        </w:tc>
        <w:tc>
          <w:tcPr>
            <w:tcW w:w="1389" w:type="dxa"/>
            <w:noWrap/>
            <w:hideMark/>
          </w:tcPr>
          <w:p w14:paraId="7B1FAB01" w14:textId="77777777" w:rsidR="00EE5BB8" w:rsidRPr="00C6052E" w:rsidRDefault="00EE5BB8" w:rsidP="002A3B26">
            <w:pPr>
              <w:pStyle w:val="TableCopy"/>
              <w:jc w:val="right"/>
            </w:pPr>
            <w:r w:rsidRPr="00C6052E">
              <w:t>–</w:t>
            </w:r>
          </w:p>
        </w:tc>
        <w:tc>
          <w:tcPr>
            <w:tcW w:w="1389" w:type="dxa"/>
            <w:noWrap/>
            <w:hideMark/>
          </w:tcPr>
          <w:p w14:paraId="08F03A54" w14:textId="77777777" w:rsidR="00EE5BB8" w:rsidRPr="00C6052E" w:rsidRDefault="00EE5BB8" w:rsidP="002A3B26">
            <w:pPr>
              <w:pStyle w:val="TableCopy"/>
              <w:jc w:val="right"/>
            </w:pPr>
            <w:r w:rsidRPr="00C6052E">
              <w:t>–</w:t>
            </w:r>
          </w:p>
        </w:tc>
        <w:tc>
          <w:tcPr>
            <w:tcW w:w="1389" w:type="dxa"/>
            <w:noWrap/>
            <w:hideMark/>
          </w:tcPr>
          <w:p w14:paraId="02FA70D3" w14:textId="77777777" w:rsidR="00EE5BB8" w:rsidRPr="00C6052E" w:rsidRDefault="00EE5BB8" w:rsidP="002A3B26">
            <w:pPr>
              <w:pStyle w:val="TableCopy"/>
              <w:jc w:val="right"/>
            </w:pPr>
            <w:r w:rsidRPr="00C6052E">
              <w:t>106,926</w:t>
            </w:r>
          </w:p>
        </w:tc>
      </w:tr>
      <w:tr w:rsidR="00EE5BB8" w:rsidRPr="00C6052E" w14:paraId="7DC52A25" w14:textId="77777777" w:rsidTr="002A3B26">
        <w:tc>
          <w:tcPr>
            <w:tcW w:w="4139" w:type="dxa"/>
            <w:noWrap/>
            <w:hideMark/>
          </w:tcPr>
          <w:p w14:paraId="5B4A4AE9" w14:textId="141476A0" w:rsidR="00EE5BB8" w:rsidRPr="00C6052E" w:rsidRDefault="00EE5BB8" w:rsidP="0063097D">
            <w:pPr>
              <w:pStyle w:val="Tabletotal"/>
            </w:pPr>
            <w:r w:rsidRPr="00C6052E">
              <w:t>Total</w:t>
            </w:r>
            <w:r w:rsidR="00177848" w:rsidRPr="00C6052E">
              <w:t xml:space="preserve"> </w:t>
            </w:r>
            <w:r w:rsidRPr="00C6052E">
              <w:t>of</w:t>
            </w:r>
            <w:r w:rsidR="00177848" w:rsidRPr="00C6052E">
              <w:t xml:space="preserve"> </w:t>
            </w:r>
            <w:r w:rsidRPr="00C6052E">
              <w:t>buildings</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p>
        </w:tc>
        <w:tc>
          <w:tcPr>
            <w:tcW w:w="1403" w:type="dxa"/>
            <w:noWrap/>
            <w:hideMark/>
          </w:tcPr>
          <w:p w14:paraId="4C28A6EF" w14:textId="77777777" w:rsidR="00EE5BB8" w:rsidRPr="00C6052E" w:rsidRDefault="00EE5BB8" w:rsidP="002A3B26">
            <w:pPr>
              <w:pStyle w:val="Tabletotal"/>
              <w:jc w:val="right"/>
            </w:pPr>
            <w:r w:rsidRPr="00C6052E">
              <w:t>114,777</w:t>
            </w:r>
          </w:p>
        </w:tc>
        <w:tc>
          <w:tcPr>
            <w:tcW w:w="1389" w:type="dxa"/>
            <w:noWrap/>
            <w:hideMark/>
          </w:tcPr>
          <w:p w14:paraId="4E98F3F1" w14:textId="51BB0B78" w:rsidR="00EE5BB8" w:rsidRPr="00C6052E" w:rsidRDefault="00177848" w:rsidP="002A3B26">
            <w:pPr>
              <w:pStyle w:val="Tabletotal"/>
              <w:jc w:val="right"/>
            </w:pPr>
            <w:r w:rsidRPr="00C6052E">
              <w:rPr>
                <w:rFonts w:cs="Cambria"/>
              </w:rPr>
              <w:t xml:space="preserve"> </w:t>
            </w:r>
          </w:p>
        </w:tc>
        <w:tc>
          <w:tcPr>
            <w:tcW w:w="1389" w:type="dxa"/>
            <w:noWrap/>
            <w:hideMark/>
          </w:tcPr>
          <w:p w14:paraId="5CD34B93" w14:textId="77777777" w:rsidR="00EE5BB8" w:rsidRPr="00C6052E" w:rsidRDefault="00EE5BB8" w:rsidP="002A3B26">
            <w:pPr>
              <w:pStyle w:val="Tabletotal"/>
              <w:jc w:val="right"/>
            </w:pPr>
            <w:r w:rsidRPr="00C6052E">
              <w:t>–</w:t>
            </w:r>
          </w:p>
        </w:tc>
        <w:tc>
          <w:tcPr>
            <w:tcW w:w="1389" w:type="dxa"/>
            <w:noWrap/>
            <w:hideMark/>
          </w:tcPr>
          <w:p w14:paraId="31073D3D" w14:textId="77777777" w:rsidR="00EE5BB8" w:rsidRPr="00C6052E" w:rsidRDefault="00EE5BB8" w:rsidP="002A3B26">
            <w:pPr>
              <w:pStyle w:val="Tabletotal"/>
              <w:jc w:val="right"/>
            </w:pPr>
            <w:r w:rsidRPr="00C6052E">
              <w:t>114,777</w:t>
            </w:r>
          </w:p>
        </w:tc>
      </w:tr>
      <w:tr w:rsidR="002A3B26" w:rsidRPr="00C6052E" w14:paraId="6C1E4720" w14:textId="77777777" w:rsidTr="002A3B26">
        <w:tc>
          <w:tcPr>
            <w:tcW w:w="4139" w:type="dxa"/>
          </w:tcPr>
          <w:p w14:paraId="71AFC5A0" w14:textId="3E93A49C" w:rsidR="002A3B26" w:rsidRPr="00C6052E" w:rsidRDefault="002A3B26" w:rsidP="00967601">
            <w:pPr>
              <w:pStyle w:val="TableHeading"/>
            </w:pPr>
            <w:r w:rsidRPr="00C6052E">
              <w:t>Plant and equipment at fair value</w:t>
            </w:r>
          </w:p>
        </w:tc>
        <w:tc>
          <w:tcPr>
            <w:tcW w:w="1403" w:type="dxa"/>
            <w:noWrap/>
          </w:tcPr>
          <w:p w14:paraId="7F3D8362" w14:textId="77777777" w:rsidR="002A3B26" w:rsidRPr="00C6052E" w:rsidRDefault="002A3B26" w:rsidP="002A3B26">
            <w:pPr>
              <w:pStyle w:val="TableHeading"/>
              <w:jc w:val="right"/>
            </w:pPr>
          </w:p>
        </w:tc>
        <w:tc>
          <w:tcPr>
            <w:tcW w:w="1389" w:type="dxa"/>
            <w:noWrap/>
          </w:tcPr>
          <w:p w14:paraId="75E634F8" w14:textId="77777777" w:rsidR="002A3B26" w:rsidRPr="00C6052E" w:rsidRDefault="002A3B26" w:rsidP="002A3B26">
            <w:pPr>
              <w:pStyle w:val="TableHeading"/>
              <w:jc w:val="right"/>
            </w:pPr>
          </w:p>
        </w:tc>
        <w:tc>
          <w:tcPr>
            <w:tcW w:w="1389" w:type="dxa"/>
            <w:noWrap/>
          </w:tcPr>
          <w:p w14:paraId="1B8AFD5D" w14:textId="77777777" w:rsidR="002A3B26" w:rsidRPr="00C6052E" w:rsidRDefault="002A3B26" w:rsidP="002A3B26">
            <w:pPr>
              <w:pStyle w:val="TableHeading"/>
              <w:jc w:val="right"/>
            </w:pPr>
          </w:p>
        </w:tc>
        <w:tc>
          <w:tcPr>
            <w:tcW w:w="1389" w:type="dxa"/>
            <w:noWrap/>
          </w:tcPr>
          <w:p w14:paraId="3E26A896" w14:textId="77777777" w:rsidR="002A3B26" w:rsidRPr="00C6052E" w:rsidRDefault="002A3B26" w:rsidP="002A3B26">
            <w:pPr>
              <w:pStyle w:val="TableHeading"/>
              <w:jc w:val="right"/>
            </w:pPr>
          </w:p>
        </w:tc>
      </w:tr>
      <w:tr w:rsidR="00EE5BB8" w:rsidRPr="00C6052E" w14:paraId="0D6ACCF6" w14:textId="77777777" w:rsidTr="002A3B26">
        <w:tc>
          <w:tcPr>
            <w:tcW w:w="4139" w:type="dxa"/>
            <w:hideMark/>
          </w:tcPr>
          <w:p w14:paraId="0104271F" w14:textId="0D8EAC46" w:rsidR="00EE5BB8" w:rsidRPr="00C6052E" w:rsidRDefault="00EE5BB8" w:rsidP="0063097D">
            <w:pPr>
              <w:pStyle w:val="TableCopy"/>
            </w:pPr>
            <w:r w:rsidRPr="00C6052E">
              <w:t>Plant</w:t>
            </w:r>
            <w:r w:rsidR="00177848" w:rsidRPr="00C6052E">
              <w:t xml:space="preserve"> </w:t>
            </w:r>
            <w:r w:rsidRPr="00C6052E">
              <w:t>and</w:t>
            </w:r>
            <w:r w:rsidR="00177848" w:rsidRPr="00C6052E">
              <w:t xml:space="preserve"> </w:t>
            </w:r>
            <w:r w:rsidRPr="00C6052E">
              <w:t>equipment</w:t>
            </w:r>
          </w:p>
        </w:tc>
        <w:tc>
          <w:tcPr>
            <w:tcW w:w="1403" w:type="dxa"/>
            <w:noWrap/>
            <w:hideMark/>
          </w:tcPr>
          <w:p w14:paraId="175D7B33" w14:textId="77777777" w:rsidR="00EE5BB8" w:rsidRPr="00C6052E" w:rsidRDefault="00EE5BB8" w:rsidP="002A3B26">
            <w:pPr>
              <w:pStyle w:val="TableCopy"/>
              <w:jc w:val="right"/>
            </w:pPr>
            <w:r w:rsidRPr="00C6052E">
              <w:t>477</w:t>
            </w:r>
          </w:p>
        </w:tc>
        <w:tc>
          <w:tcPr>
            <w:tcW w:w="1389" w:type="dxa"/>
            <w:noWrap/>
            <w:hideMark/>
          </w:tcPr>
          <w:p w14:paraId="784C0A13" w14:textId="77777777" w:rsidR="00EE5BB8" w:rsidRPr="00C6052E" w:rsidRDefault="00EE5BB8" w:rsidP="002A3B26">
            <w:pPr>
              <w:pStyle w:val="TableCopy"/>
              <w:jc w:val="right"/>
            </w:pPr>
            <w:r w:rsidRPr="00C6052E">
              <w:t>–</w:t>
            </w:r>
          </w:p>
        </w:tc>
        <w:tc>
          <w:tcPr>
            <w:tcW w:w="1389" w:type="dxa"/>
            <w:noWrap/>
            <w:hideMark/>
          </w:tcPr>
          <w:p w14:paraId="182B693D" w14:textId="77777777" w:rsidR="00EE5BB8" w:rsidRPr="00C6052E" w:rsidRDefault="00EE5BB8" w:rsidP="002A3B26">
            <w:pPr>
              <w:pStyle w:val="TableCopy"/>
              <w:jc w:val="right"/>
            </w:pPr>
            <w:r w:rsidRPr="00C6052E">
              <w:t>–</w:t>
            </w:r>
          </w:p>
        </w:tc>
        <w:tc>
          <w:tcPr>
            <w:tcW w:w="1389" w:type="dxa"/>
            <w:noWrap/>
            <w:hideMark/>
          </w:tcPr>
          <w:p w14:paraId="5470FB70" w14:textId="77777777" w:rsidR="00EE5BB8" w:rsidRPr="00C6052E" w:rsidRDefault="00EE5BB8" w:rsidP="002A3B26">
            <w:pPr>
              <w:pStyle w:val="TableCopy"/>
              <w:jc w:val="right"/>
            </w:pPr>
            <w:r w:rsidRPr="00C6052E">
              <w:t>477</w:t>
            </w:r>
          </w:p>
        </w:tc>
      </w:tr>
      <w:tr w:rsidR="00EE5BB8" w:rsidRPr="00C6052E" w14:paraId="4EF6CEE6" w14:textId="77777777" w:rsidTr="002A3B26">
        <w:tc>
          <w:tcPr>
            <w:tcW w:w="4139" w:type="dxa"/>
            <w:noWrap/>
            <w:hideMark/>
          </w:tcPr>
          <w:p w14:paraId="5545A19A" w14:textId="6CB47B8A" w:rsidR="00EE5BB8" w:rsidRPr="00C6052E" w:rsidRDefault="00EE5BB8" w:rsidP="0063097D">
            <w:pPr>
              <w:pStyle w:val="Tabletotal"/>
            </w:pPr>
            <w:r w:rsidRPr="00C6052E">
              <w:t>Total</w:t>
            </w:r>
            <w:r w:rsidR="00177848" w:rsidRPr="00C6052E">
              <w:t xml:space="preserve"> </w:t>
            </w:r>
            <w:r w:rsidRPr="00C6052E">
              <w:t>plant</w:t>
            </w:r>
            <w:r w:rsidR="00177848" w:rsidRPr="00C6052E">
              <w:t xml:space="preserve"> </w:t>
            </w:r>
            <w:r w:rsidRPr="00C6052E">
              <w:t>and</w:t>
            </w:r>
            <w:r w:rsidR="00177848" w:rsidRPr="00C6052E">
              <w:t xml:space="preserve"> </w:t>
            </w:r>
            <w:r w:rsidRPr="00C6052E">
              <w:t>equipment</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p>
        </w:tc>
        <w:tc>
          <w:tcPr>
            <w:tcW w:w="1403" w:type="dxa"/>
            <w:noWrap/>
            <w:hideMark/>
          </w:tcPr>
          <w:p w14:paraId="6B557F8A" w14:textId="77777777" w:rsidR="00EE5BB8" w:rsidRPr="00C6052E" w:rsidRDefault="00EE5BB8" w:rsidP="002A3B26">
            <w:pPr>
              <w:pStyle w:val="Tabletotal"/>
              <w:jc w:val="right"/>
            </w:pPr>
            <w:r w:rsidRPr="00C6052E">
              <w:t>477</w:t>
            </w:r>
          </w:p>
        </w:tc>
        <w:tc>
          <w:tcPr>
            <w:tcW w:w="1389" w:type="dxa"/>
            <w:noWrap/>
            <w:hideMark/>
          </w:tcPr>
          <w:p w14:paraId="4A0AAEDE" w14:textId="510FBC32" w:rsidR="00EE5BB8" w:rsidRPr="00C6052E" w:rsidRDefault="00177848" w:rsidP="002A3B26">
            <w:pPr>
              <w:pStyle w:val="Tabletotal"/>
              <w:jc w:val="right"/>
            </w:pPr>
            <w:r w:rsidRPr="00C6052E">
              <w:rPr>
                <w:rFonts w:cs="Cambria"/>
              </w:rPr>
              <w:t xml:space="preserve"> </w:t>
            </w:r>
          </w:p>
        </w:tc>
        <w:tc>
          <w:tcPr>
            <w:tcW w:w="1389" w:type="dxa"/>
            <w:noWrap/>
            <w:hideMark/>
          </w:tcPr>
          <w:p w14:paraId="16E35D7B" w14:textId="77777777" w:rsidR="00EE5BB8" w:rsidRPr="00C6052E" w:rsidRDefault="00EE5BB8" w:rsidP="002A3B26">
            <w:pPr>
              <w:pStyle w:val="Tabletotal"/>
              <w:jc w:val="right"/>
            </w:pPr>
            <w:r w:rsidRPr="00C6052E">
              <w:t>–</w:t>
            </w:r>
          </w:p>
        </w:tc>
        <w:tc>
          <w:tcPr>
            <w:tcW w:w="1389" w:type="dxa"/>
            <w:noWrap/>
            <w:hideMark/>
          </w:tcPr>
          <w:p w14:paraId="2B860191" w14:textId="77777777" w:rsidR="00EE5BB8" w:rsidRPr="00C6052E" w:rsidRDefault="00EE5BB8" w:rsidP="002A3B26">
            <w:pPr>
              <w:pStyle w:val="Tabletotal"/>
              <w:jc w:val="right"/>
            </w:pPr>
            <w:r w:rsidRPr="00C6052E">
              <w:t>477</w:t>
            </w:r>
          </w:p>
        </w:tc>
      </w:tr>
      <w:tr w:rsidR="002A3B26" w:rsidRPr="00C6052E" w14:paraId="0E09B162" w14:textId="77777777" w:rsidTr="002A3B26">
        <w:tc>
          <w:tcPr>
            <w:tcW w:w="4139" w:type="dxa"/>
          </w:tcPr>
          <w:p w14:paraId="3E33566E" w14:textId="1E1ADA7C" w:rsidR="002A3B26" w:rsidRPr="00C6052E" w:rsidRDefault="002A3B26" w:rsidP="008F0972">
            <w:pPr>
              <w:pStyle w:val="TableHeading"/>
            </w:pPr>
            <w:r w:rsidRPr="00C6052E">
              <w:t>Cultural assets at fair value</w:t>
            </w:r>
          </w:p>
        </w:tc>
        <w:tc>
          <w:tcPr>
            <w:tcW w:w="1403" w:type="dxa"/>
            <w:noWrap/>
          </w:tcPr>
          <w:p w14:paraId="52879AC4" w14:textId="77777777" w:rsidR="002A3B26" w:rsidRPr="00C6052E" w:rsidRDefault="002A3B26" w:rsidP="002A3B26">
            <w:pPr>
              <w:pStyle w:val="TableHeading"/>
              <w:jc w:val="right"/>
            </w:pPr>
          </w:p>
        </w:tc>
        <w:tc>
          <w:tcPr>
            <w:tcW w:w="1389" w:type="dxa"/>
            <w:noWrap/>
          </w:tcPr>
          <w:p w14:paraId="3749451E" w14:textId="77777777" w:rsidR="002A3B26" w:rsidRPr="00C6052E" w:rsidRDefault="002A3B26" w:rsidP="002A3B26">
            <w:pPr>
              <w:pStyle w:val="TableHeading"/>
              <w:jc w:val="right"/>
            </w:pPr>
          </w:p>
        </w:tc>
        <w:tc>
          <w:tcPr>
            <w:tcW w:w="1389" w:type="dxa"/>
            <w:noWrap/>
          </w:tcPr>
          <w:p w14:paraId="10ED69AA" w14:textId="77777777" w:rsidR="002A3B26" w:rsidRPr="00C6052E" w:rsidRDefault="002A3B26" w:rsidP="002A3B26">
            <w:pPr>
              <w:pStyle w:val="TableHeading"/>
              <w:jc w:val="right"/>
            </w:pPr>
          </w:p>
        </w:tc>
        <w:tc>
          <w:tcPr>
            <w:tcW w:w="1389" w:type="dxa"/>
            <w:noWrap/>
          </w:tcPr>
          <w:p w14:paraId="7EFB6975" w14:textId="77777777" w:rsidR="002A3B26" w:rsidRPr="00C6052E" w:rsidRDefault="002A3B26" w:rsidP="002A3B26">
            <w:pPr>
              <w:pStyle w:val="TableHeading"/>
              <w:jc w:val="right"/>
            </w:pPr>
          </w:p>
        </w:tc>
      </w:tr>
      <w:tr w:rsidR="00EE5BB8" w:rsidRPr="00C6052E" w14:paraId="36C394C0" w14:textId="77777777" w:rsidTr="002A3B26">
        <w:tc>
          <w:tcPr>
            <w:tcW w:w="4139" w:type="dxa"/>
            <w:hideMark/>
          </w:tcPr>
          <w:p w14:paraId="19C25594" w14:textId="7DDC55A2" w:rsidR="00EE5BB8" w:rsidRPr="00C6052E" w:rsidRDefault="00EE5BB8" w:rsidP="0063097D">
            <w:pPr>
              <w:pStyle w:val="TableCopy"/>
            </w:pPr>
            <w:r w:rsidRPr="00C6052E">
              <w:t>Cultural</w:t>
            </w:r>
            <w:r w:rsidR="00177848" w:rsidRPr="00C6052E">
              <w:t xml:space="preserve"> </w:t>
            </w:r>
            <w:r w:rsidRPr="00C6052E">
              <w:t>assets</w:t>
            </w:r>
          </w:p>
        </w:tc>
        <w:tc>
          <w:tcPr>
            <w:tcW w:w="1403" w:type="dxa"/>
            <w:noWrap/>
            <w:hideMark/>
          </w:tcPr>
          <w:p w14:paraId="4F59CADC" w14:textId="77777777" w:rsidR="00EE5BB8" w:rsidRPr="00C6052E" w:rsidRDefault="00EE5BB8" w:rsidP="002A3B26">
            <w:pPr>
              <w:pStyle w:val="TableCopy"/>
              <w:jc w:val="right"/>
            </w:pPr>
            <w:r w:rsidRPr="00C6052E">
              <w:t>2,634</w:t>
            </w:r>
          </w:p>
        </w:tc>
        <w:tc>
          <w:tcPr>
            <w:tcW w:w="1389" w:type="dxa"/>
            <w:noWrap/>
            <w:hideMark/>
          </w:tcPr>
          <w:p w14:paraId="42C82753" w14:textId="77777777" w:rsidR="00EE5BB8" w:rsidRPr="00C6052E" w:rsidRDefault="00EE5BB8" w:rsidP="002A3B26">
            <w:pPr>
              <w:pStyle w:val="TableCopy"/>
              <w:jc w:val="right"/>
            </w:pPr>
            <w:r w:rsidRPr="00C6052E">
              <w:t>–</w:t>
            </w:r>
          </w:p>
        </w:tc>
        <w:tc>
          <w:tcPr>
            <w:tcW w:w="1389" w:type="dxa"/>
            <w:noWrap/>
            <w:hideMark/>
          </w:tcPr>
          <w:p w14:paraId="139966FC" w14:textId="77777777" w:rsidR="00EE5BB8" w:rsidRPr="00C6052E" w:rsidRDefault="00EE5BB8" w:rsidP="002A3B26">
            <w:pPr>
              <w:pStyle w:val="TableCopy"/>
              <w:jc w:val="right"/>
            </w:pPr>
            <w:r w:rsidRPr="00C6052E">
              <w:t>–</w:t>
            </w:r>
          </w:p>
        </w:tc>
        <w:tc>
          <w:tcPr>
            <w:tcW w:w="1389" w:type="dxa"/>
            <w:noWrap/>
            <w:hideMark/>
          </w:tcPr>
          <w:p w14:paraId="7F107E20" w14:textId="77777777" w:rsidR="00EE5BB8" w:rsidRPr="00C6052E" w:rsidRDefault="00EE5BB8" w:rsidP="002A3B26">
            <w:pPr>
              <w:pStyle w:val="TableCopy"/>
              <w:jc w:val="right"/>
            </w:pPr>
            <w:r w:rsidRPr="00C6052E">
              <w:t>2,634</w:t>
            </w:r>
          </w:p>
        </w:tc>
      </w:tr>
      <w:tr w:rsidR="00EE5BB8" w:rsidRPr="00C6052E" w14:paraId="5DC8BBAD" w14:textId="77777777" w:rsidTr="002A3B26">
        <w:tc>
          <w:tcPr>
            <w:tcW w:w="4139" w:type="dxa"/>
            <w:noWrap/>
            <w:hideMark/>
          </w:tcPr>
          <w:p w14:paraId="082E5ECC" w14:textId="784970B8" w:rsidR="00EE5BB8" w:rsidRPr="00C6052E" w:rsidRDefault="00EE5BB8" w:rsidP="0063097D">
            <w:pPr>
              <w:pStyle w:val="Tabletotal"/>
            </w:pPr>
            <w:r w:rsidRPr="00C6052E">
              <w:t>Total</w:t>
            </w:r>
            <w:r w:rsidR="00177848" w:rsidRPr="00C6052E">
              <w:t xml:space="preserve"> </w:t>
            </w:r>
            <w:r w:rsidRPr="00C6052E">
              <w:t>cultural</w:t>
            </w:r>
            <w:r w:rsidR="00177848" w:rsidRPr="00C6052E">
              <w:t xml:space="preserve"> </w:t>
            </w:r>
            <w:r w:rsidRPr="00C6052E">
              <w:t>assets</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r w:rsidR="00177848" w:rsidRPr="00C6052E">
              <w:t xml:space="preserve"> </w:t>
            </w:r>
          </w:p>
        </w:tc>
        <w:tc>
          <w:tcPr>
            <w:tcW w:w="1403" w:type="dxa"/>
            <w:noWrap/>
            <w:hideMark/>
          </w:tcPr>
          <w:p w14:paraId="75F771CD" w14:textId="77777777" w:rsidR="00EE5BB8" w:rsidRPr="00C6052E" w:rsidRDefault="00EE5BB8" w:rsidP="002A3B26">
            <w:pPr>
              <w:pStyle w:val="Tabletotal"/>
              <w:jc w:val="right"/>
            </w:pPr>
            <w:r w:rsidRPr="00C6052E">
              <w:t>2,634</w:t>
            </w:r>
          </w:p>
        </w:tc>
        <w:tc>
          <w:tcPr>
            <w:tcW w:w="1389" w:type="dxa"/>
            <w:noWrap/>
            <w:hideMark/>
          </w:tcPr>
          <w:p w14:paraId="30D5C06E" w14:textId="390DC87D" w:rsidR="00EE5BB8" w:rsidRPr="00C6052E" w:rsidRDefault="00177848" w:rsidP="002A3B26">
            <w:pPr>
              <w:pStyle w:val="Tabletotal"/>
              <w:jc w:val="right"/>
            </w:pPr>
            <w:r w:rsidRPr="00C6052E">
              <w:rPr>
                <w:rFonts w:cs="Cambria"/>
              </w:rPr>
              <w:t xml:space="preserve"> </w:t>
            </w:r>
          </w:p>
        </w:tc>
        <w:tc>
          <w:tcPr>
            <w:tcW w:w="1389" w:type="dxa"/>
            <w:noWrap/>
            <w:hideMark/>
          </w:tcPr>
          <w:p w14:paraId="134418A6" w14:textId="77777777" w:rsidR="00EE5BB8" w:rsidRPr="00C6052E" w:rsidRDefault="00EE5BB8" w:rsidP="002A3B26">
            <w:pPr>
              <w:pStyle w:val="Tabletotal"/>
              <w:jc w:val="right"/>
            </w:pPr>
            <w:r w:rsidRPr="00C6052E">
              <w:t>–</w:t>
            </w:r>
          </w:p>
        </w:tc>
        <w:tc>
          <w:tcPr>
            <w:tcW w:w="1389" w:type="dxa"/>
            <w:noWrap/>
            <w:hideMark/>
          </w:tcPr>
          <w:p w14:paraId="3672663B" w14:textId="77777777" w:rsidR="00EE5BB8" w:rsidRPr="00C6052E" w:rsidRDefault="00EE5BB8" w:rsidP="002A3B26">
            <w:pPr>
              <w:pStyle w:val="Tabletotal"/>
              <w:jc w:val="right"/>
            </w:pPr>
            <w:r w:rsidRPr="00C6052E">
              <w:t>2,634</w:t>
            </w:r>
          </w:p>
        </w:tc>
      </w:tr>
      <w:tr w:rsidR="002A3B26" w:rsidRPr="00C6052E" w14:paraId="3BA53E20" w14:textId="77777777" w:rsidTr="002A3B26">
        <w:tc>
          <w:tcPr>
            <w:tcW w:w="4139" w:type="dxa"/>
          </w:tcPr>
          <w:p w14:paraId="5078AFA6" w14:textId="23482281" w:rsidR="002A3B26" w:rsidRPr="00C6052E" w:rsidRDefault="002A3B26" w:rsidP="003B7834">
            <w:pPr>
              <w:pStyle w:val="TableHeading"/>
            </w:pPr>
            <w:r w:rsidRPr="00C6052E">
              <w:t>Building leasehold improvements at fair value</w:t>
            </w:r>
          </w:p>
        </w:tc>
        <w:tc>
          <w:tcPr>
            <w:tcW w:w="1403" w:type="dxa"/>
            <w:noWrap/>
          </w:tcPr>
          <w:p w14:paraId="40F75862" w14:textId="77777777" w:rsidR="002A3B26" w:rsidRPr="00C6052E" w:rsidRDefault="002A3B26" w:rsidP="002A3B26">
            <w:pPr>
              <w:pStyle w:val="TableHeading"/>
              <w:jc w:val="right"/>
            </w:pPr>
          </w:p>
        </w:tc>
        <w:tc>
          <w:tcPr>
            <w:tcW w:w="1389" w:type="dxa"/>
            <w:noWrap/>
          </w:tcPr>
          <w:p w14:paraId="6C0682B6" w14:textId="77777777" w:rsidR="002A3B26" w:rsidRPr="00C6052E" w:rsidRDefault="002A3B26" w:rsidP="002A3B26">
            <w:pPr>
              <w:pStyle w:val="TableHeading"/>
              <w:jc w:val="right"/>
            </w:pPr>
          </w:p>
        </w:tc>
        <w:tc>
          <w:tcPr>
            <w:tcW w:w="1389" w:type="dxa"/>
            <w:noWrap/>
          </w:tcPr>
          <w:p w14:paraId="50D17B86" w14:textId="77777777" w:rsidR="002A3B26" w:rsidRPr="00C6052E" w:rsidRDefault="002A3B26" w:rsidP="002A3B26">
            <w:pPr>
              <w:pStyle w:val="TableHeading"/>
              <w:jc w:val="right"/>
            </w:pPr>
          </w:p>
        </w:tc>
        <w:tc>
          <w:tcPr>
            <w:tcW w:w="1389" w:type="dxa"/>
            <w:noWrap/>
          </w:tcPr>
          <w:p w14:paraId="0F7CA3D1" w14:textId="77777777" w:rsidR="002A3B26" w:rsidRPr="00C6052E" w:rsidRDefault="002A3B26" w:rsidP="002A3B26">
            <w:pPr>
              <w:pStyle w:val="TableHeading"/>
              <w:jc w:val="right"/>
            </w:pPr>
          </w:p>
        </w:tc>
      </w:tr>
      <w:tr w:rsidR="00EE5BB8" w:rsidRPr="00C6052E" w14:paraId="7AFF4C0E" w14:textId="77777777" w:rsidTr="002A3B26">
        <w:tc>
          <w:tcPr>
            <w:tcW w:w="4139" w:type="dxa"/>
            <w:hideMark/>
          </w:tcPr>
          <w:p w14:paraId="50EA9E4F" w14:textId="7236C4DF" w:rsidR="00EE5BB8" w:rsidRPr="00C6052E" w:rsidRDefault="00EE5BB8" w:rsidP="0063097D">
            <w:pPr>
              <w:pStyle w:val="TableCopy"/>
            </w:pPr>
            <w:r w:rsidRPr="00C6052E">
              <w:t>Leasehold</w:t>
            </w:r>
            <w:r w:rsidR="00177848" w:rsidRPr="00C6052E">
              <w:t xml:space="preserve"> </w:t>
            </w:r>
            <w:r w:rsidRPr="00C6052E">
              <w:t>improvements</w:t>
            </w:r>
            <w:r w:rsidR="00177848" w:rsidRPr="00C6052E">
              <w:t xml:space="preserve"> </w:t>
            </w:r>
          </w:p>
        </w:tc>
        <w:tc>
          <w:tcPr>
            <w:tcW w:w="1403" w:type="dxa"/>
            <w:noWrap/>
            <w:hideMark/>
          </w:tcPr>
          <w:p w14:paraId="53C81F01" w14:textId="77777777" w:rsidR="00EE5BB8" w:rsidRPr="00C6052E" w:rsidRDefault="00EE5BB8" w:rsidP="002A3B26">
            <w:pPr>
              <w:pStyle w:val="TableCopy"/>
              <w:jc w:val="right"/>
            </w:pPr>
            <w:r w:rsidRPr="00C6052E">
              <w:t>6,492</w:t>
            </w:r>
          </w:p>
        </w:tc>
        <w:tc>
          <w:tcPr>
            <w:tcW w:w="1389" w:type="dxa"/>
            <w:noWrap/>
            <w:hideMark/>
          </w:tcPr>
          <w:p w14:paraId="3F5A4F31" w14:textId="77777777" w:rsidR="00EE5BB8" w:rsidRPr="00C6052E" w:rsidRDefault="00EE5BB8" w:rsidP="002A3B26">
            <w:pPr>
              <w:pStyle w:val="TableCopy"/>
              <w:jc w:val="right"/>
            </w:pPr>
            <w:r w:rsidRPr="00C6052E">
              <w:t>–</w:t>
            </w:r>
          </w:p>
        </w:tc>
        <w:tc>
          <w:tcPr>
            <w:tcW w:w="1389" w:type="dxa"/>
            <w:noWrap/>
            <w:hideMark/>
          </w:tcPr>
          <w:p w14:paraId="069CDEE0" w14:textId="77777777" w:rsidR="00EE5BB8" w:rsidRPr="00C6052E" w:rsidRDefault="00EE5BB8" w:rsidP="002A3B26">
            <w:pPr>
              <w:pStyle w:val="TableCopy"/>
              <w:jc w:val="right"/>
            </w:pPr>
            <w:r w:rsidRPr="00C6052E">
              <w:t>–</w:t>
            </w:r>
          </w:p>
        </w:tc>
        <w:tc>
          <w:tcPr>
            <w:tcW w:w="1389" w:type="dxa"/>
            <w:noWrap/>
            <w:hideMark/>
          </w:tcPr>
          <w:p w14:paraId="4B1EE335" w14:textId="77777777" w:rsidR="00EE5BB8" w:rsidRPr="00C6052E" w:rsidRDefault="00EE5BB8" w:rsidP="002A3B26">
            <w:pPr>
              <w:pStyle w:val="TableCopy"/>
              <w:jc w:val="right"/>
            </w:pPr>
            <w:r w:rsidRPr="00C6052E">
              <w:t>6,492</w:t>
            </w:r>
          </w:p>
        </w:tc>
      </w:tr>
      <w:tr w:rsidR="00EE5BB8" w:rsidRPr="00C6052E" w14:paraId="5FE45C27" w14:textId="77777777" w:rsidTr="002A3B26">
        <w:tc>
          <w:tcPr>
            <w:tcW w:w="4139" w:type="dxa"/>
            <w:hideMark/>
          </w:tcPr>
          <w:p w14:paraId="2F15B331" w14:textId="3D4F2A8D" w:rsidR="00EE5BB8" w:rsidRPr="00C6052E" w:rsidRDefault="00EE5BB8" w:rsidP="0063097D">
            <w:pPr>
              <w:pStyle w:val="Tabletotal"/>
            </w:pPr>
            <w:r w:rsidRPr="00C6052E">
              <w:t>Total</w:t>
            </w:r>
            <w:r w:rsidR="00177848" w:rsidRPr="00C6052E">
              <w:t xml:space="preserve"> </w:t>
            </w:r>
            <w:r w:rsidRPr="00C6052E">
              <w:t>building</w:t>
            </w:r>
            <w:r w:rsidR="00177848" w:rsidRPr="00C6052E">
              <w:t xml:space="preserve"> </w:t>
            </w:r>
            <w:r w:rsidRPr="00C6052E">
              <w:t>leasehold</w:t>
            </w:r>
            <w:r w:rsidR="00177848" w:rsidRPr="00C6052E">
              <w:t xml:space="preserve"> </w:t>
            </w:r>
            <w:r w:rsidRPr="00C6052E">
              <w:t>improvements</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p>
        </w:tc>
        <w:tc>
          <w:tcPr>
            <w:tcW w:w="1403" w:type="dxa"/>
            <w:noWrap/>
            <w:hideMark/>
          </w:tcPr>
          <w:p w14:paraId="6E882D40" w14:textId="77777777" w:rsidR="00EE5BB8" w:rsidRPr="00C6052E" w:rsidRDefault="00EE5BB8" w:rsidP="002A3B26">
            <w:pPr>
              <w:pStyle w:val="Tabletotal"/>
              <w:jc w:val="right"/>
            </w:pPr>
            <w:r w:rsidRPr="00C6052E">
              <w:t>6,492</w:t>
            </w:r>
          </w:p>
        </w:tc>
        <w:tc>
          <w:tcPr>
            <w:tcW w:w="1389" w:type="dxa"/>
            <w:noWrap/>
            <w:hideMark/>
          </w:tcPr>
          <w:p w14:paraId="793CD0E8" w14:textId="6A32BEBF" w:rsidR="00EE5BB8" w:rsidRPr="00C6052E" w:rsidRDefault="00177848" w:rsidP="002A3B26">
            <w:pPr>
              <w:pStyle w:val="Tabletotal"/>
              <w:jc w:val="right"/>
            </w:pPr>
            <w:r w:rsidRPr="00C6052E">
              <w:rPr>
                <w:rFonts w:cs="Cambria"/>
              </w:rPr>
              <w:t xml:space="preserve"> </w:t>
            </w:r>
          </w:p>
        </w:tc>
        <w:tc>
          <w:tcPr>
            <w:tcW w:w="1389" w:type="dxa"/>
            <w:noWrap/>
            <w:hideMark/>
          </w:tcPr>
          <w:p w14:paraId="2D273A69" w14:textId="77777777" w:rsidR="00EE5BB8" w:rsidRPr="00C6052E" w:rsidRDefault="00EE5BB8" w:rsidP="002A3B26">
            <w:pPr>
              <w:pStyle w:val="Tabletotal"/>
              <w:jc w:val="right"/>
            </w:pPr>
            <w:r w:rsidRPr="00C6052E">
              <w:t>–</w:t>
            </w:r>
          </w:p>
        </w:tc>
        <w:tc>
          <w:tcPr>
            <w:tcW w:w="1389" w:type="dxa"/>
            <w:noWrap/>
            <w:hideMark/>
          </w:tcPr>
          <w:p w14:paraId="54F897CC" w14:textId="77777777" w:rsidR="00EE5BB8" w:rsidRPr="00C6052E" w:rsidRDefault="00EE5BB8" w:rsidP="002A3B26">
            <w:pPr>
              <w:pStyle w:val="Tabletotal"/>
              <w:jc w:val="right"/>
            </w:pPr>
            <w:r w:rsidRPr="00C6052E">
              <w:t>6,492</w:t>
            </w:r>
          </w:p>
        </w:tc>
      </w:tr>
      <w:tr w:rsidR="002A3B26" w:rsidRPr="00C6052E" w14:paraId="2C09B8A3" w14:textId="77777777" w:rsidTr="002A3B26">
        <w:tc>
          <w:tcPr>
            <w:tcW w:w="4139" w:type="dxa"/>
          </w:tcPr>
          <w:p w14:paraId="519D53D9" w14:textId="2F0006E6" w:rsidR="002A3B26" w:rsidRPr="00C6052E" w:rsidRDefault="002A3B26" w:rsidP="003A3FA5">
            <w:pPr>
              <w:pStyle w:val="TableHeading"/>
            </w:pPr>
            <w:r w:rsidRPr="00C6052E">
              <w:t>Motor vehicles at fair value</w:t>
            </w:r>
          </w:p>
        </w:tc>
        <w:tc>
          <w:tcPr>
            <w:tcW w:w="1403" w:type="dxa"/>
            <w:noWrap/>
          </w:tcPr>
          <w:p w14:paraId="1BA687FF" w14:textId="77777777" w:rsidR="002A3B26" w:rsidRPr="00C6052E" w:rsidRDefault="002A3B26" w:rsidP="002A3B26">
            <w:pPr>
              <w:pStyle w:val="TableHeading"/>
              <w:jc w:val="right"/>
            </w:pPr>
          </w:p>
        </w:tc>
        <w:tc>
          <w:tcPr>
            <w:tcW w:w="1389" w:type="dxa"/>
            <w:noWrap/>
          </w:tcPr>
          <w:p w14:paraId="5EBC0525" w14:textId="77777777" w:rsidR="002A3B26" w:rsidRPr="00C6052E" w:rsidRDefault="002A3B26" w:rsidP="002A3B26">
            <w:pPr>
              <w:pStyle w:val="TableHeading"/>
              <w:jc w:val="right"/>
            </w:pPr>
          </w:p>
        </w:tc>
        <w:tc>
          <w:tcPr>
            <w:tcW w:w="1389" w:type="dxa"/>
            <w:noWrap/>
          </w:tcPr>
          <w:p w14:paraId="6E1E4F87" w14:textId="77777777" w:rsidR="002A3B26" w:rsidRPr="00C6052E" w:rsidRDefault="002A3B26" w:rsidP="002A3B26">
            <w:pPr>
              <w:pStyle w:val="TableHeading"/>
              <w:jc w:val="right"/>
            </w:pPr>
          </w:p>
        </w:tc>
        <w:tc>
          <w:tcPr>
            <w:tcW w:w="1389" w:type="dxa"/>
            <w:noWrap/>
          </w:tcPr>
          <w:p w14:paraId="1BDDEE3F" w14:textId="77777777" w:rsidR="002A3B26" w:rsidRPr="00C6052E" w:rsidRDefault="002A3B26" w:rsidP="002A3B26">
            <w:pPr>
              <w:pStyle w:val="TableHeading"/>
              <w:jc w:val="right"/>
            </w:pPr>
          </w:p>
        </w:tc>
      </w:tr>
      <w:tr w:rsidR="00EE5BB8" w:rsidRPr="00C6052E" w14:paraId="5EA57408" w14:textId="77777777" w:rsidTr="002A3B26">
        <w:tc>
          <w:tcPr>
            <w:tcW w:w="4139" w:type="dxa"/>
            <w:hideMark/>
          </w:tcPr>
          <w:p w14:paraId="10B61FBB" w14:textId="17803DF2" w:rsidR="00EE5BB8" w:rsidRPr="00C6052E" w:rsidRDefault="00EE5BB8" w:rsidP="0063097D">
            <w:pPr>
              <w:pStyle w:val="TableCopy"/>
            </w:pPr>
            <w:r w:rsidRPr="00C6052E">
              <w:t>Motor</w:t>
            </w:r>
            <w:r w:rsidR="00177848" w:rsidRPr="00C6052E">
              <w:t xml:space="preserve"> </w:t>
            </w:r>
            <w:r w:rsidRPr="00C6052E">
              <w:t>vehicles</w:t>
            </w:r>
          </w:p>
        </w:tc>
        <w:tc>
          <w:tcPr>
            <w:tcW w:w="1403" w:type="dxa"/>
            <w:noWrap/>
            <w:hideMark/>
          </w:tcPr>
          <w:p w14:paraId="35EC1583" w14:textId="77777777" w:rsidR="00EE5BB8" w:rsidRPr="00C6052E" w:rsidRDefault="00EE5BB8" w:rsidP="002A3B26">
            <w:pPr>
              <w:pStyle w:val="TableCopy"/>
              <w:jc w:val="right"/>
            </w:pPr>
            <w:r w:rsidRPr="00C6052E">
              <w:t>4,465</w:t>
            </w:r>
          </w:p>
        </w:tc>
        <w:tc>
          <w:tcPr>
            <w:tcW w:w="1389" w:type="dxa"/>
            <w:noWrap/>
            <w:hideMark/>
          </w:tcPr>
          <w:p w14:paraId="3D020E7E" w14:textId="77777777" w:rsidR="00EE5BB8" w:rsidRPr="00C6052E" w:rsidRDefault="00EE5BB8" w:rsidP="002A3B26">
            <w:pPr>
              <w:pStyle w:val="TableCopy"/>
              <w:jc w:val="right"/>
            </w:pPr>
            <w:r w:rsidRPr="00C6052E">
              <w:t>–</w:t>
            </w:r>
          </w:p>
        </w:tc>
        <w:tc>
          <w:tcPr>
            <w:tcW w:w="1389" w:type="dxa"/>
            <w:noWrap/>
            <w:hideMark/>
          </w:tcPr>
          <w:p w14:paraId="12F2D1B1" w14:textId="77777777" w:rsidR="00EE5BB8" w:rsidRPr="00C6052E" w:rsidRDefault="00EE5BB8" w:rsidP="002A3B26">
            <w:pPr>
              <w:pStyle w:val="TableCopy"/>
              <w:jc w:val="right"/>
            </w:pPr>
            <w:r w:rsidRPr="00C6052E">
              <w:t>–</w:t>
            </w:r>
          </w:p>
        </w:tc>
        <w:tc>
          <w:tcPr>
            <w:tcW w:w="1389" w:type="dxa"/>
            <w:noWrap/>
            <w:hideMark/>
          </w:tcPr>
          <w:p w14:paraId="08632595" w14:textId="77777777" w:rsidR="00EE5BB8" w:rsidRPr="00C6052E" w:rsidRDefault="00EE5BB8" w:rsidP="002A3B26">
            <w:pPr>
              <w:pStyle w:val="TableCopy"/>
              <w:jc w:val="right"/>
            </w:pPr>
            <w:r w:rsidRPr="00C6052E">
              <w:t>4,465</w:t>
            </w:r>
          </w:p>
        </w:tc>
      </w:tr>
      <w:tr w:rsidR="00EE5BB8" w:rsidRPr="00C6052E" w14:paraId="348EF5F6" w14:textId="77777777" w:rsidTr="002A3B26">
        <w:tc>
          <w:tcPr>
            <w:tcW w:w="4139" w:type="dxa"/>
            <w:noWrap/>
            <w:hideMark/>
          </w:tcPr>
          <w:p w14:paraId="0C614BDF" w14:textId="2F911D84" w:rsidR="00EE5BB8" w:rsidRPr="00C6052E" w:rsidRDefault="00EE5BB8" w:rsidP="0063097D">
            <w:pPr>
              <w:pStyle w:val="Tabletotal"/>
            </w:pPr>
            <w:r w:rsidRPr="00C6052E">
              <w:t>Total</w:t>
            </w:r>
            <w:r w:rsidR="00177848" w:rsidRPr="00C6052E">
              <w:t xml:space="preserve"> </w:t>
            </w:r>
            <w:r w:rsidRPr="00C6052E">
              <w:t>motor</w:t>
            </w:r>
            <w:r w:rsidR="00177848" w:rsidRPr="00C6052E">
              <w:t xml:space="preserve"> </w:t>
            </w:r>
            <w:r w:rsidRPr="00C6052E">
              <w:t>vehicles</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p>
        </w:tc>
        <w:tc>
          <w:tcPr>
            <w:tcW w:w="1403" w:type="dxa"/>
            <w:noWrap/>
            <w:hideMark/>
          </w:tcPr>
          <w:p w14:paraId="0BA8723F" w14:textId="77777777" w:rsidR="00EE5BB8" w:rsidRPr="00C6052E" w:rsidRDefault="00EE5BB8" w:rsidP="002A3B26">
            <w:pPr>
              <w:pStyle w:val="Tabletotal"/>
              <w:jc w:val="right"/>
            </w:pPr>
            <w:r w:rsidRPr="00C6052E">
              <w:t>4,465</w:t>
            </w:r>
          </w:p>
        </w:tc>
        <w:tc>
          <w:tcPr>
            <w:tcW w:w="1389" w:type="dxa"/>
            <w:noWrap/>
            <w:hideMark/>
          </w:tcPr>
          <w:p w14:paraId="58339242" w14:textId="77777777" w:rsidR="00EE5BB8" w:rsidRPr="00C6052E" w:rsidRDefault="00EE5BB8" w:rsidP="002A3B26">
            <w:pPr>
              <w:pStyle w:val="Tabletotal"/>
              <w:jc w:val="right"/>
            </w:pPr>
            <w:r w:rsidRPr="00C6052E">
              <w:t>–</w:t>
            </w:r>
          </w:p>
        </w:tc>
        <w:tc>
          <w:tcPr>
            <w:tcW w:w="1389" w:type="dxa"/>
            <w:noWrap/>
            <w:hideMark/>
          </w:tcPr>
          <w:p w14:paraId="4D7ED0BB" w14:textId="77777777" w:rsidR="00EE5BB8" w:rsidRPr="00C6052E" w:rsidRDefault="00EE5BB8" w:rsidP="002A3B26">
            <w:pPr>
              <w:pStyle w:val="Tabletotal"/>
              <w:jc w:val="right"/>
            </w:pPr>
            <w:r w:rsidRPr="00C6052E">
              <w:t>–</w:t>
            </w:r>
          </w:p>
        </w:tc>
        <w:tc>
          <w:tcPr>
            <w:tcW w:w="1389" w:type="dxa"/>
            <w:noWrap/>
            <w:hideMark/>
          </w:tcPr>
          <w:p w14:paraId="151A7F36" w14:textId="77777777" w:rsidR="00EE5BB8" w:rsidRPr="00C6052E" w:rsidRDefault="00EE5BB8" w:rsidP="002A3B26">
            <w:pPr>
              <w:pStyle w:val="Tabletotal"/>
              <w:jc w:val="right"/>
            </w:pPr>
            <w:r w:rsidRPr="00C6052E">
              <w:t>4,465</w:t>
            </w:r>
          </w:p>
        </w:tc>
      </w:tr>
      <w:tr w:rsidR="00EE5BB8" w:rsidRPr="00C6052E" w14:paraId="3215A31B" w14:textId="77777777" w:rsidTr="002A3B26">
        <w:tc>
          <w:tcPr>
            <w:tcW w:w="4139" w:type="dxa"/>
            <w:hideMark/>
          </w:tcPr>
          <w:p w14:paraId="6B7EB2CF" w14:textId="6CDED7C6" w:rsidR="00EE5BB8" w:rsidRPr="00C6052E" w:rsidRDefault="00EE5BB8" w:rsidP="0063097D">
            <w:pPr>
              <w:pStyle w:val="Tabletotal"/>
            </w:pPr>
            <w:r w:rsidRPr="00C6052E">
              <w:t>Total</w:t>
            </w:r>
            <w:r w:rsidR="00177848" w:rsidRPr="00C6052E">
              <w:t xml:space="preserve"> </w:t>
            </w:r>
            <w:r w:rsidRPr="00C6052E">
              <w:t>property,</w:t>
            </w:r>
            <w:r w:rsidR="00177848" w:rsidRPr="00C6052E">
              <w:t xml:space="preserve"> </w:t>
            </w:r>
            <w:r w:rsidRPr="00C6052E">
              <w:t>plant,</w:t>
            </w:r>
            <w:r w:rsidR="00177848" w:rsidRPr="00C6052E">
              <w:t xml:space="preserve"> </w:t>
            </w:r>
            <w:r w:rsidRPr="00C6052E">
              <w:t>equipment</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p>
        </w:tc>
        <w:tc>
          <w:tcPr>
            <w:tcW w:w="1403" w:type="dxa"/>
            <w:noWrap/>
            <w:hideMark/>
          </w:tcPr>
          <w:p w14:paraId="769EA43C" w14:textId="77777777" w:rsidR="00EE5BB8" w:rsidRPr="00C6052E" w:rsidRDefault="00EE5BB8" w:rsidP="002A3B26">
            <w:pPr>
              <w:pStyle w:val="Tabletotal"/>
              <w:jc w:val="right"/>
            </w:pPr>
            <w:r w:rsidRPr="00C6052E">
              <w:t>494,296</w:t>
            </w:r>
          </w:p>
        </w:tc>
        <w:tc>
          <w:tcPr>
            <w:tcW w:w="1389" w:type="dxa"/>
            <w:noWrap/>
            <w:hideMark/>
          </w:tcPr>
          <w:p w14:paraId="3F0F8782" w14:textId="77777777" w:rsidR="00EE5BB8" w:rsidRPr="00C6052E" w:rsidRDefault="00EE5BB8" w:rsidP="002A3B26">
            <w:pPr>
              <w:pStyle w:val="Tabletotal"/>
              <w:jc w:val="right"/>
            </w:pPr>
            <w:r w:rsidRPr="00C6052E">
              <w:t>–</w:t>
            </w:r>
          </w:p>
        </w:tc>
        <w:tc>
          <w:tcPr>
            <w:tcW w:w="1389" w:type="dxa"/>
            <w:noWrap/>
            <w:hideMark/>
          </w:tcPr>
          <w:p w14:paraId="51CE6DDA" w14:textId="77777777" w:rsidR="00EE5BB8" w:rsidRPr="00C6052E" w:rsidRDefault="00EE5BB8" w:rsidP="002A3B26">
            <w:pPr>
              <w:pStyle w:val="Tabletotal"/>
              <w:jc w:val="right"/>
            </w:pPr>
            <w:r w:rsidRPr="00C6052E">
              <w:t>14,783</w:t>
            </w:r>
          </w:p>
        </w:tc>
        <w:tc>
          <w:tcPr>
            <w:tcW w:w="1389" w:type="dxa"/>
            <w:noWrap/>
            <w:hideMark/>
          </w:tcPr>
          <w:p w14:paraId="7759260C" w14:textId="77777777" w:rsidR="00EE5BB8" w:rsidRPr="00C6052E" w:rsidRDefault="00EE5BB8" w:rsidP="002A3B26">
            <w:pPr>
              <w:pStyle w:val="Tabletotal"/>
              <w:jc w:val="right"/>
            </w:pPr>
            <w:r w:rsidRPr="00C6052E">
              <w:t>479,513</w:t>
            </w:r>
          </w:p>
        </w:tc>
      </w:tr>
    </w:tbl>
    <w:p w14:paraId="031F0952" w14:textId="77777777" w:rsidR="00EE5BB8" w:rsidRPr="00C6052E" w:rsidRDefault="00EE5BB8" w:rsidP="00EE5BB8"/>
    <w:p w14:paraId="3C4BE16C" w14:textId="573C3EE1" w:rsidR="00EE5BB8" w:rsidRPr="00C6052E" w:rsidRDefault="00EE5BB8" w:rsidP="000C0740">
      <w:pPr>
        <w:pStyle w:val="Heading3numbered0"/>
        <w:numPr>
          <w:ilvl w:val="0"/>
          <w:numId w:val="0"/>
        </w:numPr>
      </w:pPr>
      <w:r w:rsidRPr="00C6052E">
        <w:lastRenderedPageBreak/>
        <w:fldChar w:fldCharType="begin"/>
      </w:r>
      <w:r w:rsidRPr="00C6052E">
        <w:instrText xml:space="preserve"> REF _Ref161754185 \r \h  \* MERGEFORMAT </w:instrText>
      </w:r>
      <w:r w:rsidRPr="00C6052E">
        <w:fldChar w:fldCharType="separate"/>
      </w:r>
      <w:r w:rsidRPr="00C6052E">
        <w:t>8.3.2</w:t>
      </w:r>
      <w:r w:rsidRPr="00C6052E">
        <w:fldChar w:fldCharType="end"/>
      </w:r>
      <w:r w:rsidRPr="00C6052E">
        <w:tab/>
      </w:r>
      <w:r w:rsidRPr="00C6052E">
        <w:fldChar w:fldCharType="begin"/>
      </w:r>
      <w:r w:rsidRPr="00C6052E">
        <w:instrText xml:space="preserve"> REF _Ref161754185 \h  \* MERGEFORMAT </w:instrText>
      </w:r>
      <w:r w:rsidRPr="00C6052E">
        <w:fldChar w:fldCharType="separate"/>
      </w:r>
      <w:r w:rsidRPr="00C6052E">
        <w:t>Fair</w:t>
      </w:r>
      <w:r w:rsidR="00177848" w:rsidRPr="00C6052E">
        <w:t xml:space="preserve"> </w:t>
      </w:r>
      <w:r w:rsidRPr="00C6052E">
        <w:t>value</w:t>
      </w:r>
      <w:r w:rsidR="00177848" w:rsidRPr="00C6052E">
        <w:t xml:space="preserve"> </w:t>
      </w:r>
      <w:r w:rsidRPr="00C6052E">
        <w:t>determination:</w:t>
      </w:r>
      <w:r w:rsidR="00177848" w:rsidRPr="00C6052E">
        <w:t xml:space="preserve"> </w:t>
      </w:r>
      <w:r w:rsidRPr="00C6052E">
        <w:t>Non–financial</w:t>
      </w:r>
      <w:r w:rsidR="00177848" w:rsidRPr="00C6052E">
        <w:t xml:space="preserve"> </w:t>
      </w:r>
      <w:r w:rsidRPr="00C6052E">
        <w:t>physical</w:t>
      </w:r>
      <w:r w:rsidR="00177848" w:rsidRPr="00C6052E">
        <w:t xml:space="preserve"> </w:t>
      </w:r>
      <w:r w:rsidRPr="00C6052E">
        <w:t>assets</w:t>
      </w:r>
      <w:r w:rsidRPr="00C6052E">
        <w:fldChar w:fldCharType="end"/>
      </w:r>
      <w:r w:rsidR="00177848" w:rsidRPr="00C6052E">
        <w:t xml:space="preserve"> </w:t>
      </w:r>
      <w:r w:rsidRPr="00C6052E">
        <w:t>(continued)</w:t>
      </w:r>
    </w:p>
    <w:p w14:paraId="4613BD88" w14:textId="4C961DA6" w:rsidR="00EE5BB8" w:rsidRPr="001E567B" w:rsidRDefault="00C6052E" w:rsidP="002A3B26">
      <w:pPr>
        <w:pStyle w:val="TableHeading"/>
        <w:rPr>
          <w:lang w:val="en-US"/>
        </w:rPr>
      </w:pPr>
      <w:r w:rsidRPr="00C6052E">
        <w:t>Fair</w:t>
      </w:r>
      <w:r w:rsidR="00177848" w:rsidRPr="00C6052E">
        <w:t xml:space="preserve"> </w:t>
      </w:r>
      <w:r w:rsidRPr="00C6052E">
        <w:t>value</w:t>
      </w:r>
      <w:r w:rsidR="00177848" w:rsidRPr="00C6052E">
        <w:t xml:space="preserve"> </w:t>
      </w:r>
      <w:r w:rsidRPr="00C6052E">
        <w:t>measurement</w:t>
      </w:r>
      <w:r w:rsidR="00177848" w:rsidRPr="00C6052E">
        <w:t xml:space="preserve"> </w:t>
      </w:r>
      <w:r w:rsidRPr="00C6052E">
        <w:t>hierarchy</w:t>
      </w:r>
      <w:r w:rsidR="00177848" w:rsidRPr="00C6052E">
        <w:t xml:space="preserve"> </w:t>
      </w:r>
      <w:r w:rsidRPr="00C6052E">
        <w:t>for</w:t>
      </w:r>
      <w:r w:rsidR="00177848" w:rsidRPr="00C6052E">
        <w:t xml:space="preserve"> </w:t>
      </w:r>
      <w:r w:rsidRPr="00C6052E">
        <w:t>assets</w:t>
      </w:r>
      <w:r w:rsidR="00914AF9">
        <w:t xml:space="preserve"> </w:t>
      </w:r>
      <w:r w:rsidR="00914AF9" w:rsidRPr="00C6052E">
        <w:t>($ thousand)</w:t>
      </w:r>
    </w:p>
    <w:tbl>
      <w:tblPr>
        <w:tblStyle w:val="TableGrid"/>
        <w:tblW w:w="9710" w:type="dxa"/>
        <w:tblLayout w:type="fixed"/>
        <w:tblLook w:val="04E0" w:firstRow="1" w:lastRow="1" w:firstColumn="1" w:lastColumn="0" w:noHBand="0" w:noVBand="1"/>
      </w:tblPr>
      <w:tblGrid>
        <w:gridCol w:w="4531"/>
        <w:gridCol w:w="1012"/>
        <w:gridCol w:w="1389"/>
        <w:gridCol w:w="1389"/>
        <w:gridCol w:w="1389"/>
      </w:tblGrid>
      <w:tr w:rsidR="00EE5BB8" w:rsidRPr="00C6052E" w14:paraId="0EB71842" w14:textId="77777777" w:rsidTr="00914AF9">
        <w:tc>
          <w:tcPr>
            <w:tcW w:w="4531" w:type="dxa"/>
          </w:tcPr>
          <w:p w14:paraId="2FBFDD27" w14:textId="77777777" w:rsidR="00EE5BB8" w:rsidRPr="00C6052E" w:rsidRDefault="00EE5BB8" w:rsidP="0035690A">
            <w:pPr>
              <w:pStyle w:val="TableColumnHeading"/>
            </w:pPr>
            <w:bookmarkStart w:id="340" w:name="TableColumnHeadings_100"/>
            <w:bookmarkEnd w:id="340"/>
          </w:p>
        </w:tc>
        <w:tc>
          <w:tcPr>
            <w:tcW w:w="1012" w:type="dxa"/>
          </w:tcPr>
          <w:p w14:paraId="6E93DCF5" w14:textId="579BE385" w:rsidR="00EE5BB8" w:rsidRPr="00C6052E" w:rsidRDefault="00914AF9" w:rsidP="00914AF9">
            <w:pPr>
              <w:pStyle w:val="TableColumnHeading"/>
              <w:jc w:val="right"/>
            </w:pPr>
            <w:r w:rsidRPr="00C6052E">
              <w:rPr>
                <w:lang w:val="en-AU"/>
              </w:rPr>
              <w:t>Carrying amount as at 30</w:t>
            </w:r>
            <w:r>
              <w:rPr>
                <w:lang w:val="en-AU"/>
              </w:rPr>
              <w:t> </w:t>
            </w:r>
            <w:r w:rsidRPr="00C6052E">
              <w:rPr>
                <w:lang w:val="en-AU"/>
              </w:rPr>
              <w:t>June 2024</w:t>
            </w:r>
          </w:p>
        </w:tc>
        <w:tc>
          <w:tcPr>
            <w:tcW w:w="1389" w:type="dxa"/>
            <w:hideMark/>
          </w:tcPr>
          <w:p w14:paraId="3990A142" w14:textId="5B88B2A7" w:rsidR="00EE5BB8" w:rsidRPr="00C6052E" w:rsidRDefault="00914AF9" w:rsidP="00914AF9">
            <w:pPr>
              <w:pStyle w:val="TableColumnHeading"/>
              <w:jc w:val="right"/>
              <w:rPr>
                <w:lang w:val="en-AU"/>
              </w:rPr>
            </w:pPr>
            <w:r w:rsidRPr="00C6052E">
              <w:rPr>
                <w:lang w:val="en-AU"/>
              </w:rPr>
              <w:t>Fair value measure</w:t>
            </w:r>
            <w:r>
              <w:rPr>
                <w:lang w:val="en-AU"/>
              </w:rPr>
              <w:softHyphen/>
            </w:r>
            <w:r w:rsidRPr="00C6052E">
              <w:rPr>
                <w:lang w:val="en-AU"/>
              </w:rPr>
              <w:t>ment at end of reporting period using:</w:t>
            </w:r>
            <w:r>
              <w:rPr>
                <w:lang w:val="en-AU"/>
              </w:rPr>
              <w:t xml:space="preserve"> </w:t>
            </w:r>
            <w:r w:rsidR="00EE5BB8" w:rsidRPr="00C6052E">
              <w:rPr>
                <w:lang w:val="en-AU"/>
              </w:rPr>
              <w:t>Level</w:t>
            </w:r>
            <w:r w:rsidR="00B1545C" w:rsidRPr="00C6052E">
              <w:rPr>
                <w:lang w:val="en-AU"/>
              </w:rPr>
              <w:t xml:space="preserve"> </w:t>
            </w:r>
            <w:r w:rsidR="00EE5BB8" w:rsidRPr="00C6052E">
              <w:rPr>
                <w:lang w:val="en-AU"/>
              </w:rPr>
              <w:t>1</w:t>
            </w:r>
            <w:r w:rsidR="00EE5BB8" w:rsidRPr="00C6052E">
              <w:rPr>
                <w:vertAlign w:val="superscript"/>
                <w:lang w:val="en-AU"/>
              </w:rPr>
              <w:t>(i)</w:t>
            </w:r>
          </w:p>
        </w:tc>
        <w:tc>
          <w:tcPr>
            <w:tcW w:w="1389" w:type="dxa"/>
            <w:hideMark/>
          </w:tcPr>
          <w:p w14:paraId="7C873D5C" w14:textId="08354DDD" w:rsidR="00EE5BB8" w:rsidRPr="00C6052E" w:rsidRDefault="00914AF9" w:rsidP="00914AF9">
            <w:pPr>
              <w:pStyle w:val="TableColumnHeading"/>
              <w:jc w:val="right"/>
              <w:rPr>
                <w:lang w:val="en-AU"/>
              </w:rPr>
            </w:pPr>
            <w:r w:rsidRPr="00C6052E">
              <w:rPr>
                <w:lang w:val="en-AU"/>
              </w:rPr>
              <w:t>Fair value measure</w:t>
            </w:r>
            <w:r>
              <w:rPr>
                <w:lang w:val="en-AU"/>
              </w:rPr>
              <w:softHyphen/>
            </w:r>
            <w:r w:rsidRPr="00C6052E">
              <w:rPr>
                <w:lang w:val="en-AU"/>
              </w:rPr>
              <w:t>ment at end of reporting period using:</w:t>
            </w:r>
            <w:r>
              <w:rPr>
                <w:lang w:val="en-AU"/>
              </w:rPr>
              <w:t xml:space="preserve"> </w:t>
            </w:r>
            <w:r w:rsidR="00EE5BB8" w:rsidRPr="00C6052E">
              <w:rPr>
                <w:lang w:val="en-AU"/>
              </w:rPr>
              <w:t>Level</w:t>
            </w:r>
            <w:r w:rsidR="00B1545C" w:rsidRPr="00C6052E">
              <w:rPr>
                <w:lang w:val="en-AU"/>
              </w:rPr>
              <w:t xml:space="preserve"> </w:t>
            </w:r>
            <w:r w:rsidR="00EE5BB8" w:rsidRPr="00C6052E">
              <w:rPr>
                <w:lang w:val="en-AU"/>
              </w:rPr>
              <w:t>2</w:t>
            </w:r>
            <w:r w:rsidR="00EE5BB8" w:rsidRPr="00C6052E">
              <w:rPr>
                <w:vertAlign w:val="superscript"/>
                <w:lang w:val="en-AU"/>
              </w:rPr>
              <w:t>(i)</w:t>
            </w:r>
          </w:p>
        </w:tc>
        <w:tc>
          <w:tcPr>
            <w:tcW w:w="1389" w:type="dxa"/>
            <w:hideMark/>
          </w:tcPr>
          <w:p w14:paraId="6B49F133" w14:textId="1FE32C8C" w:rsidR="00EE5BB8" w:rsidRPr="00C6052E" w:rsidRDefault="00914AF9" w:rsidP="00914AF9">
            <w:pPr>
              <w:pStyle w:val="TableColumnHeading"/>
              <w:jc w:val="right"/>
              <w:rPr>
                <w:lang w:val="en-AU"/>
              </w:rPr>
            </w:pPr>
            <w:r w:rsidRPr="00C6052E">
              <w:rPr>
                <w:lang w:val="en-AU"/>
              </w:rPr>
              <w:t>Fair value measure</w:t>
            </w:r>
            <w:r>
              <w:rPr>
                <w:lang w:val="en-AU"/>
              </w:rPr>
              <w:softHyphen/>
            </w:r>
            <w:r w:rsidRPr="00C6052E">
              <w:rPr>
                <w:lang w:val="en-AU"/>
              </w:rPr>
              <w:t>ment at end of reporting period using:</w:t>
            </w:r>
            <w:r>
              <w:rPr>
                <w:lang w:val="en-AU"/>
              </w:rPr>
              <w:t xml:space="preserve"> </w:t>
            </w:r>
            <w:r w:rsidR="00EE5BB8" w:rsidRPr="00C6052E">
              <w:rPr>
                <w:lang w:val="en-AU"/>
              </w:rPr>
              <w:t>Level</w:t>
            </w:r>
            <w:r w:rsidR="00B1545C" w:rsidRPr="00C6052E">
              <w:rPr>
                <w:lang w:val="en-AU"/>
              </w:rPr>
              <w:t xml:space="preserve"> </w:t>
            </w:r>
            <w:r w:rsidR="00EE5BB8" w:rsidRPr="00C6052E">
              <w:rPr>
                <w:lang w:val="en-AU"/>
              </w:rPr>
              <w:t>3</w:t>
            </w:r>
            <w:r w:rsidR="00EE5BB8" w:rsidRPr="00C6052E">
              <w:rPr>
                <w:vertAlign w:val="superscript"/>
                <w:lang w:val="en-AU"/>
              </w:rPr>
              <w:t>(i)</w:t>
            </w:r>
          </w:p>
        </w:tc>
      </w:tr>
      <w:tr w:rsidR="00914AF9" w:rsidRPr="00C6052E" w14:paraId="3509F57C" w14:textId="77777777" w:rsidTr="00914AF9">
        <w:tc>
          <w:tcPr>
            <w:tcW w:w="4531" w:type="dxa"/>
          </w:tcPr>
          <w:p w14:paraId="32A49F1C" w14:textId="6D638733" w:rsidR="00914AF9" w:rsidRPr="00C6052E" w:rsidRDefault="00914AF9" w:rsidP="00F3315F">
            <w:pPr>
              <w:pStyle w:val="TableHeading"/>
            </w:pPr>
            <w:r w:rsidRPr="00C6052E">
              <w:t>2024</w:t>
            </w:r>
          </w:p>
        </w:tc>
        <w:tc>
          <w:tcPr>
            <w:tcW w:w="1012" w:type="dxa"/>
            <w:noWrap/>
          </w:tcPr>
          <w:p w14:paraId="7078B096" w14:textId="77777777" w:rsidR="00914AF9" w:rsidRPr="00C6052E" w:rsidRDefault="00914AF9" w:rsidP="00914AF9">
            <w:pPr>
              <w:pStyle w:val="TableHeading"/>
              <w:jc w:val="right"/>
            </w:pPr>
          </w:p>
        </w:tc>
        <w:tc>
          <w:tcPr>
            <w:tcW w:w="1389" w:type="dxa"/>
            <w:noWrap/>
          </w:tcPr>
          <w:p w14:paraId="611B6C44" w14:textId="77777777" w:rsidR="00914AF9" w:rsidRPr="00C6052E" w:rsidRDefault="00914AF9" w:rsidP="00914AF9">
            <w:pPr>
              <w:pStyle w:val="TableHeading"/>
              <w:jc w:val="right"/>
            </w:pPr>
          </w:p>
        </w:tc>
        <w:tc>
          <w:tcPr>
            <w:tcW w:w="1389" w:type="dxa"/>
            <w:noWrap/>
          </w:tcPr>
          <w:p w14:paraId="74155D9E" w14:textId="77777777" w:rsidR="00914AF9" w:rsidRPr="00C6052E" w:rsidRDefault="00914AF9" w:rsidP="00914AF9">
            <w:pPr>
              <w:pStyle w:val="TableHeading"/>
              <w:jc w:val="right"/>
            </w:pPr>
          </w:p>
        </w:tc>
        <w:tc>
          <w:tcPr>
            <w:tcW w:w="1389" w:type="dxa"/>
            <w:noWrap/>
          </w:tcPr>
          <w:p w14:paraId="72B56C55" w14:textId="77777777" w:rsidR="00914AF9" w:rsidRPr="00C6052E" w:rsidRDefault="00914AF9" w:rsidP="00914AF9">
            <w:pPr>
              <w:pStyle w:val="TableHeading"/>
              <w:jc w:val="right"/>
            </w:pPr>
          </w:p>
        </w:tc>
      </w:tr>
      <w:tr w:rsidR="00914AF9" w:rsidRPr="00C6052E" w14:paraId="0C0910B5" w14:textId="77777777" w:rsidTr="00914AF9">
        <w:tc>
          <w:tcPr>
            <w:tcW w:w="4531" w:type="dxa"/>
          </w:tcPr>
          <w:p w14:paraId="001C5F62" w14:textId="5624A0AB" w:rsidR="00914AF9" w:rsidRPr="00C6052E" w:rsidRDefault="00914AF9" w:rsidP="000D01A8">
            <w:pPr>
              <w:pStyle w:val="TableHeading"/>
            </w:pPr>
            <w:r w:rsidRPr="00C6052E">
              <w:t>Land at fair value</w:t>
            </w:r>
          </w:p>
        </w:tc>
        <w:tc>
          <w:tcPr>
            <w:tcW w:w="1012" w:type="dxa"/>
            <w:noWrap/>
          </w:tcPr>
          <w:p w14:paraId="5B83CFAC" w14:textId="77777777" w:rsidR="00914AF9" w:rsidRPr="00C6052E" w:rsidRDefault="00914AF9" w:rsidP="00914AF9">
            <w:pPr>
              <w:pStyle w:val="TableHeading"/>
              <w:jc w:val="right"/>
            </w:pPr>
          </w:p>
        </w:tc>
        <w:tc>
          <w:tcPr>
            <w:tcW w:w="1389" w:type="dxa"/>
            <w:noWrap/>
          </w:tcPr>
          <w:p w14:paraId="6AC2E59B" w14:textId="77777777" w:rsidR="00914AF9" w:rsidRPr="00C6052E" w:rsidRDefault="00914AF9" w:rsidP="00914AF9">
            <w:pPr>
              <w:pStyle w:val="TableHeading"/>
              <w:jc w:val="right"/>
            </w:pPr>
          </w:p>
        </w:tc>
        <w:tc>
          <w:tcPr>
            <w:tcW w:w="1389" w:type="dxa"/>
            <w:noWrap/>
          </w:tcPr>
          <w:p w14:paraId="51EF57A7" w14:textId="77777777" w:rsidR="00914AF9" w:rsidRPr="00C6052E" w:rsidRDefault="00914AF9" w:rsidP="00914AF9">
            <w:pPr>
              <w:pStyle w:val="TableHeading"/>
              <w:jc w:val="right"/>
            </w:pPr>
          </w:p>
        </w:tc>
        <w:tc>
          <w:tcPr>
            <w:tcW w:w="1389" w:type="dxa"/>
            <w:noWrap/>
          </w:tcPr>
          <w:p w14:paraId="66029488" w14:textId="77777777" w:rsidR="00914AF9" w:rsidRPr="00C6052E" w:rsidRDefault="00914AF9" w:rsidP="00914AF9">
            <w:pPr>
              <w:pStyle w:val="TableHeading"/>
              <w:jc w:val="right"/>
            </w:pPr>
          </w:p>
        </w:tc>
      </w:tr>
      <w:tr w:rsidR="00EE5BB8" w:rsidRPr="00C6052E" w14:paraId="0CC18815" w14:textId="77777777" w:rsidTr="00914AF9">
        <w:tc>
          <w:tcPr>
            <w:tcW w:w="4531" w:type="dxa"/>
            <w:hideMark/>
          </w:tcPr>
          <w:p w14:paraId="2C672E2D" w14:textId="041DCDDD" w:rsidR="00EE5BB8" w:rsidRPr="00C6052E" w:rsidRDefault="00EE5BB8" w:rsidP="0063097D">
            <w:pPr>
              <w:pStyle w:val="TableCopy"/>
            </w:pPr>
            <w:r w:rsidRPr="00C6052E">
              <w:t>Non–specialised</w:t>
            </w:r>
            <w:r w:rsidR="00177848" w:rsidRPr="00C6052E">
              <w:t xml:space="preserve"> </w:t>
            </w:r>
            <w:r w:rsidRPr="00C6052E">
              <w:t>land</w:t>
            </w:r>
          </w:p>
        </w:tc>
        <w:tc>
          <w:tcPr>
            <w:tcW w:w="1012" w:type="dxa"/>
            <w:noWrap/>
            <w:hideMark/>
          </w:tcPr>
          <w:p w14:paraId="0D634BCB" w14:textId="77777777" w:rsidR="00EE5BB8" w:rsidRPr="00C6052E" w:rsidRDefault="00EE5BB8" w:rsidP="00914AF9">
            <w:pPr>
              <w:pStyle w:val="TableCopy"/>
              <w:jc w:val="right"/>
            </w:pPr>
            <w:r w:rsidRPr="00C6052E">
              <w:t>16,134</w:t>
            </w:r>
          </w:p>
        </w:tc>
        <w:tc>
          <w:tcPr>
            <w:tcW w:w="1389" w:type="dxa"/>
            <w:noWrap/>
            <w:hideMark/>
          </w:tcPr>
          <w:p w14:paraId="355F5D40" w14:textId="77777777" w:rsidR="00EE5BB8" w:rsidRPr="00C6052E" w:rsidRDefault="00EE5BB8" w:rsidP="00914AF9">
            <w:pPr>
              <w:pStyle w:val="TableCopy"/>
              <w:jc w:val="right"/>
            </w:pPr>
            <w:r w:rsidRPr="00C6052E">
              <w:t>–</w:t>
            </w:r>
          </w:p>
        </w:tc>
        <w:tc>
          <w:tcPr>
            <w:tcW w:w="1389" w:type="dxa"/>
            <w:noWrap/>
            <w:hideMark/>
          </w:tcPr>
          <w:p w14:paraId="26892410" w14:textId="77777777" w:rsidR="00EE5BB8" w:rsidRPr="00C6052E" w:rsidRDefault="00EE5BB8" w:rsidP="00914AF9">
            <w:pPr>
              <w:pStyle w:val="TableCopy"/>
              <w:jc w:val="right"/>
            </w:pPr>
            <w:r w:rsidRPr="00C6052E">
              <w:t>16,134</w:t>
            </w:r>
          </w:p>
        </w:tc>
        <w:tc>
          <w:tcPr>
            <w:tcW w:w="1389" w:type="dxa"/>
            <w:noWrap/>
            <w:hideMark/>
          </w:tcPr>
          <w:p w14:paraId="76393C0C" w14:textId="77777777" w:rsidR="00EE5BB8" w:rsidRPr="00C6052E" w:rsidRDefault="00EE5BB8" w:rsidP="00914AF9">
            <w:pPr>
              <w:pStyle w:val="TableCopy"/>
              <w:jc w:val="right"/>
            </w:pPr>
            <w:r w:rsidRPr="00C6052E">
              <w:t>–</w:t>
            </w:r>
          </w:p>
        </w:tc>
      </w:tr>
      <w:tr w:rsidR="00EE5BB8" w:rsidRPr="00C6052E" w14:paraId="42AF6F62" w14:textId="77777777" w:rsidTr="00914AF9">
        <w:tc>
          <w:tcPr>
            <w:tcW w:w="4531" w:type="dxa"/>
            <w:hideMark/>
          </w:tcPr>
          <w:p w14:paraId="778E3A82" w14:textId="78FB10D5" w:rsidR="00EE5BB8" w:rsidRPr="00C6052E" w:rsidRDefault="00EE5BB8" w:rsidP="0063097D">
            <w:pPr>
              <w:pStyle w:val="TableCopy"/>
            </w:pPr>
            <w:r w:rsidRPr="00C6052E">
              <w:t>Specialised</w:t>
            </w:r>
            <w:r w:rsidR="00177848" w:rsidRPr="00C6052E">
              <w:t xml:space="preserve"> </w:t>
            </w:r>
            <w:r w:rsidRPr="00C6052E">
              <w:t>land</w:t>
            </w:r>
          </w:p>
        </w:tc>
        <w:tc>
          <w:tcPr>
            <w:tcW w:w="1012" w:type="dxa"/>
            <w:noWrap/>
            <w:hideMark/>
          </w:tcPr>
          <w:p w14:paraId="266785DD" w14:textId="77777777" w:rsidR="00EE5BB8" w:rsidRPr="00C6052E" w:rsidRDefault="00EE5BB8" w:rsidP="00914AF9">
            <w:pPr>
              <w:pStyle w:val="TableCopy"/>
              <w:jc w:val="right"/>
            </w:pPr>
            <w:r w:rsidRPr="00C6052E">
              <w:t>382,486</w:t>
            </w:r>
          </w:p>
        </w:tc>
        <w:tc>
          <w:tcPr>
            <w:tcW w:w="1389" w:type="dxa"/>
            <w:noWrap/>
            <w:hideMark/>
          </w:tcPr>
          <w:p w14:paraId="6C8733D8" w14:textId="77777777" w:rsidR="00EE5BB8" w:rsidRPr="00C6052E" w:rsidRDefault="00EE5BB8" w:rsidP="00914AF9">
            <w:pPr>
              <w:pStyle w:val="TableCopy"/>
              <w:jc w:val="right"/>
            </w:pPr>
            <w:r w:rsidRPr="00C6052E">
              <w:t>–</w:t>
            </w:r>
          </w:p>
        </w:tc>
        <w:tc>
          <w:tcPr>
            <w:tcW w:w="1389" w:type="dxa"/>
            <w:noWrap/>
            <w:hideMark/>
          </w:tcPr>
          <w:p w14:paraId="19DCC707" w14:textId="77777777" w:rsidR="00EE5BB8" w:rsidRPr="00C6052E" w:rsidRDefault="00EE5BB8" w:rsidP="00914AF9">
            <w:pPr>
              <w:pStyle w:val="TableCopy"/>
              <w:jc w:val="right"/>
            </w:pPr>
            <w:r w:rsidRPr="00C6052E">
              <w:t>–</w:t>
            </w:r>
          </w:p>
        </w:tc>
        <w:tc>
          <w:tcPr>
            <w:tcW w:w="1389" w:type="dxa"/>
            <w:noWrap/>
            <w:hideMark/>
          </w:tcPr>
          <w:p w14:paraId="45CC1E33" w14:textId="77777777" w:rsidR="00EE5BB8" w:rsidRPr="00C6052E" w:rsidRDefault="00EE5BB8" w:rsidP="00914AF9">
            <w:pPr>
              <w:pStyle w:val="TableCopy"/>
              <w:jc w:val="right"/>
            </w:pPr>
            <w:r w:rsidRPr="00C6052E">
              <w:t>382,486</w:t>
            </w:r>
          </w:p>
        </w:tc>
      </w:tr>
      <w:tr w:rsidR="00EE5BB8" w:rsidRPr="00C6052E" w14:paraId="6A408C34" w14:textId="77777777" w:rsidTr="00914AF9">
        <w:tc>
          <w:tcPr>
            <w:tcW w:w="4531" w:type="dxa"/>
            <w:noWrap/>
            <w:hideMark/>
          </w:tcPr>
          <w:p w14:paraId="5F50C8CF" w14:textId="18C4CA8A" w:rsidR="00EE5BB8" w:rsidRPr="00C6052E" w:rsidRDefault="00EE5BB8" w:rsidP="0063097D">
            <w:pPr>
              <w:pStyle w:val="Tabletotal"/>
            </w:pPr>
            <w:r w:rsidRPr="00C6052E">
              <w:t>Total</w:t>
            </w:r>
            <w:r w:rsidR="00177848" w:rsidRPr="00C6052E">
              <w:t xml:space="preserve"> </w:t>
            </w:r>
            <w:r w:rsidRPr="00C6052E">
              <w:t>of</w:t>
            </w:r>
            <w:r w:rsidR="00177848" w:rsidRPr="00C6052E">
              <w:t xml:space="preserve"> </w:t>
            </w:r>
            <w:r w:rsidRPr="00C6052E">
              <w:t>land</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p>
        </w:tc>
        <w:tc>
          <w:tcPr>
            <w:tcW w:w="1012" w:type="dxa"/>
            <w:noWrap/>
            <w:hideMark/>
          </w:tcPr>
          <w:p w14:paraId="39348E9B" w14:textId="77777777" w:rsidR="00EE5BB8" w:rsidRPr="00C6052E" w:rsidRDefault="00EE5BB8" w:rsidP="00914AF9">
            <w:pPr>
              <w:pStyle w:val="Tabletotal"/>
              <w:jc w:val="right"/>
            </w:pPr>
            <w:r w:rsidRPr="00C6052E">
              <w:t>398,620</w:t>
            </w:r>
          </w:p>
        </w:tc>
        <w:tc>
          <w:tcPr>
            <w:tcW w:w="1389" w:type="dxa"/>
            <w:noWrap/>
            <w:hideMark/>
          </w:tcPr>
          <w:p w14:paraId="304FAF3E" w14:textId="77777777" w:rsidR="00EE5BB8" w:rsidRPr="00C6052E" w:rsidRDefault="00EE5BB8" w:rsidP="00914AF9">
            <w:pPr>
              <w:pStyle w:val="Tabletotal"/>
              <w:jc w:val="right"/>
            </w:pPr>
            <w:r w:rsidRPr="00C6052E">
              <w:t>–</w:t>
            </w:r>
          </w:p>
        </w:tc>
        <w:tc>
          <w:tcPr>
            <w:tcW w:w="1389" w:type="dxa"/>
            <w:noWrap/>
            <w:hideMark/>
          </w:tcPr>
          <w:p w14:paraId="7C02BCAE" w14:textId="77777777" w:rsidR="00EE5BB8" w:rsidRPr="00C6052E" w:rsidRDefault="00EE5BB8" w:rsidP="00914AF9">
            <w:pPr>
              <w:pStyle w:val="Tabletotal"/>
              <w:jc w:val="right"/>
            </w:pPr>
            <w:r w:rsidRPr="00C6052E">
              <w:t>16,134</w:t>
            </w:r>
          </w:p>
        </w:tc>
        <w:tc>
          <w:tcPr>
            <w:tcW w:w="1389" w:type="dxa"/>
            <w:noWrap/>
            <w:hideMark/>
          </w:tcPr>
          <w:p w14:paraId="100D5347" w14:textId="77777777" w:rsidR="00EE5BB8" w:rsidRPr="00C6052E" w:rsidRDefault="00EE5BB8" w:rsidP="00914AF9">
            <w:pPr>
              <w:pStyle w:val="Tabletotal"/>
              <w:jc w:val="right"/>
            </w:pPr>
            <w:r w:rsidRPr="00C6052E">
              <w:t>382,486</w:t>
            </w:r>
          </w:p>
        </w:tc>
      </w:tr>
      <w:tr w:rsidR="00914AF9" w:rsidRPr="00C6052E" w14:paraId="3DFB4F38" w14:textId="77777777" w:rsidTr="00914AF9">
        <w:tc>
          <w:tcPr>
            <w:tcW w:w="4531" w:type="dxa"/>
          </w:tcPr>
          <w:p w14:paraId="313638B1" w14:textId="3345C55B" w:rsidR="00914AF9" w:rsidRPr="00C6052E" w:rsidRDefault="00914AF9" w:rsidP="00E4696C">
            <w:pPr>
              <w:pStyle w:val="TableHeading"/>
            </w:pPr>
            <w:r w:rsidRPr="00C6052E">
              <w:t>Buildings at fair value</w:t>
            </w:r>
          </w:p>
        </w:tc>
        <w:tc>
          <w:tcPr>
            <w:tcW w:w="1012" w:type="dxa"/>
            <w:noWrap/>
          </w:tcPr>
          <w:p w14:paraId="082998E6" w14:textId="77777777" w:rsidR="00914AF9" w:rsidRPr="00C6052E" w:rsidRDefault="00914AF9" w:rsidP="00914AF9">
            <w:pPr>
              <w:pStyle w:val="TableHeading"/>
              <w:jc w:val="right"/>
            </w:pPr>
          </w:p>
        </w:tc>
        <w:tc>
          <w:tcPr>
            <w:tcW w:w="1389" w:type="dxa"/>
            <w:noWrap/>
          </w:tcPr>
          <w:p w14:paraId="3EDB64AE" w14:textId="77777777" w:rsidR="00914AF9" w:rsidRPr="00C6052E" w:rsidRDefault="00914AF9" w:rsidP="00914AF9">
            <w:pPr>
              <w:pStyle w:val="TableHeading"/>
              <w:jc w:val="right"/>
            </w:pPr>
          </w:p>
        </w:tc>
        <w:tc>
          <w:tcPr>
            <w:tcW w:w="1389" w:type="dxa"/>
            <w:noWrap/>
          </w:tcPr>
          <w:p w14:paraId="01B238BD" w14:textId="77777777" w:rsidR="00914AF9" w:rsidRPr="00C6052E" w:rsidRDefault="00914AF9" w:rsidP="00914AF9">
            <w:pPr>
              <w:pStyle w:val="TableHeading"/>
              <w:jc w:val="right"/>
            </w:pPr>
          </w:p>
        </w:tc>
        <w:tc>
          <w:tcPr>
            <w:tcW w:w="1389" w:type="dxa"/>
            <w:noWrap/>
          </w:tcPr>
          <w:p w14:paraId="2D374FC0" w14:textId="77777777" w:rsidR="00914AF9" w:rsidRPr="00C6052E" w:rsidRDefault="00914AF9" w:rsidP="00914AF9">
            <w:pPr>
              <w:pStyle w:val="TableHeading"/>
              <w:jc w:val="right"/>
            </w:pPr>
          </w:p>
        </w:tc>
      </w:tr>
      <w:tr w:rsidR="00EE5BB8" w:rsidRPr="00C6052E" w14:paraId="3FC2657D" w14:textId="77777777" w:rsidTr="00914AF9">
        <w:tc>
          <w:tcPr>
            <w:tcW w:w="4531" w:type="dxa"/>
            <w:hideMark/>
          </w:tcPr>
          <w:p w14:paraId="0066E0AB" w14:textId="105B6528" w:rsidR="00EE5BB8" w:rsidRPr="00C6052E" w:rsidRDefault="00EE5BB8" w:rsidP="0063097D">
            <w:pPr>
              <w:pStyle w:val="TableCopy"/>
            </w:pPr>
            <w:r w:rsidRPr="00C6052E">
              <w:t>Non–specialised</w:t>
            </w:r>
            <w:r w:rsidR="00177848" w:rsidRPr="00C6052E">
              <w:t xml:space="preserve"> </w:t>
            </w:r>
            <w:r w:rsidRPr="00C6052E">
              <w:t>buildings</w:t>
            </w:r>
          </w:p>
        </w:tc>
        <w:tc>
          <w:tcPr>
            <w:tcW w:w="1012" w:type="dxa"/>
            <w:noWrap/>
            <w:hideMark/>
          </w:tcPr>
          <w:p w14:paraId="05C5A2AB" w14:textId="77777777" w:rsidR="00EE5BB8" w:rsidRPr="00C6052E" w:rsidRDefault="00EE5BB8" w:rsidP="00914AF9">
            <w:pPr>
              <w:pStyle w:val="TableCopy"/>
              <w:jc w:val="right"/>
            </w:pPr>
            <w:r w:rsidRPr="00C6052E">
              <w:t>8,498</w:t>
            </w:r>
          </w:p>
        </w:tc>
        <w:tc>
          <w:tcPr>
            <w:tcW w:w="1389" w:type="dxa"/>
            <w:noWrap/>
            <w:hideMark/>
          </w:tcPr>
          <w:p w14:paraId="09FE237D" w14:textId="77777777" w:rsidR="00EE5BB8" w:rsidRPr="00C6052E" w:rsidRDefault="00EE5BB8" w:rsidP="00914AF9">
            <w:pPr>
              <w:pStyle w:val="TableCopy"/>
              <w:jc w:val="right"/>
            </w:pPr>
            <w:r w:rsidRPr="00C6052E">
              <w:t>–</w:t>
            </w:r>
          </w:p>
        </w:tc>
        <w:tc>
          <w:tcPr>
            <w:tcW w:w="1389" w:type="dxa"/>
            <w:noWrap/>
            <w:hideMark/>
          </w:tcPr>
          <w:p w14:paraId="75A41815" w14:textId="77777777" w:rsidR="00EE5BB8" w:rsidRPr="00C6052E" w:rsidRDefault="00EE5BB8" w:rsidP="00914AF9">
            <w:pPr>
              <w:pStyle w:val="TableCopy"/>
              <w:jc w:val="right"/>
            </w:pPr>
            <w:r w:rsidRPr="00C6052E">
              <w:t>–</w:t>
            </w:r>
          </w:p>
        </w:tc>
        <w:tc>
          <w:tcPr>
            <w:tcW w:w="1389" w:type="dxa"/>
            <w:noWrap/>
            <w:hideMark/>
          </w:tcPr>
          <w:p w14:paraId="333CD4F4" w14:textId="77777777" w:rsidR="00EE5BB8" w:rsidRPr="00C6052E" w:rsidRDefault="00EE5BB8" w:rsidP="00914AF9">
            <w:pPr>
              <w:pStyle w:val="TableCopy"/>
              <w:jc w:val="right"/>
            </w:pPr>
            <w:r w:rsidRPr="00C6052E">
              <w:t>8,498</w:t>
            </w:r>
          </w:p>
        </w:tc>
      </w:tr>
      <w:tr w:rsidR="00EE5BB8" w:rsidRPr="00C6052E" w14:paraId="17C0AFBA" w14:textId="77777777" w:rsidTr="00914AF9">
        <w:tc>
          <w:tcPr>
            <w:tcW w:w="4531" w:type="dxa"/>
            <w:hideMark/>
          </w:tcPr>
          <w:p w14:paraId="1FBC45E0" w14:textId="64380E27" w:rsidR="00EE5BB8" w:rsidRPr="00C6052E" w:rsidRDefault="00EE5BB8" w:rsidP="0063097D">
            <w:pPr>
              <w:pStyle w:val="TableCopy"/>
            </w:pPr>
            <w:r w:rsidRPr="00C6052E">
              <w:t>Specialised</w:t>
            </w:r>
            <w:r w:rsidR="00177848" w:rsidRPr="00C6052E">
              <w:t xml:space="preserve"> </w:t>
            </w:r>
            <w:r w:rsidRPr="00C6052E">
              <w:t>buildings</w:t>
            </w:r>
          </w:p>
        </w:tc>
        <w:tc>
          <w:tcPr>
            <w:tcW w:w="1012" w:type="dxa"/>
            <w:noWrap/>
            <w:hideMark/>
          </w:tcPr>
          <w:p w14:paraId="14D17792" w14:textId="77777777" w:rsidR="00EE5BB8" w:rsidRPr="00C6052E" w:rsidRDefault="00EE5BB8" w:rsidP="00914AF9">
            <w:pPr>
              <w:pStyle w:val="TableCopy"/>
              <w:jc w:val="right"/>
            </w:pPr>
            <w:r w:rsidRPr="00C6052E">
              <w:t>136,663</w:t>
            </w:r>
          </w:p>
        </w:tc>
        <w:tc>
          <w:tcPr>
            <w:tcW w:w="1389" w:type="dxa"/>
            <w:noWrap/>
            <w:hideMark/>
          </w:tcPr>
          <w:p w14:paraId="42E4E3AC" w14:textId="77777777" w:rsidR="00EE5BB8" w:rsidRPr="00C6052E" w:rsidRDefault="00EE5BB8" w:rsidP="00914AF9">
            <w:pPr>
              <w:pStyle w:val="TableCopy"/>
              <w:jc w:val="right"/>
            </w:pPr>
            <w:r w:rsidRPr="00C6052E">
              <w:t>–</w:t>
            </w:r>
          </w:p>
        </w:tc>
        <w:tc>
          <w:tcPr>
            <w:tcW w:w="1389" w:type="dxa"/>
            <w:noWrap/>
            <w:hideMark/>
          </w:tcPr>
          <w:p w14:paraId="61FF09D6" w14:textId="77777777" w:rsidR="00EE5BB8" w:rsidRPr="00C6052E" w:rsidRDefault="00EE5BB8" w:rsidP="00914AF9">
            <w:pPr>
              <w:pStyle w:val="TableCopy"/>
              <w:jc w:val="right"/>
            </w:pPr>
            <w:r w:rsidRPr="00C6052E">
              <w:t>–</w:t>
            </w:r>
          </w:p>
        </w:tc>
        <w:tc>
          <w:tcPr>
            <w:tcW w:w="1389" w:type="dxa"/>
            <w:noWrap/>
            <w:hideMark/>
          </w:tcPr>
          <w:p w14:paraId="1029341B" w14:textId="77777777" w:rsidR="00EE5BB8" w:rsidRPr="00C6052E" w:rsidRDefault="00EE5BB8" w:rsidP="00914AF9">
            <w:pPr>
              <w:pStyle w:val="TableCopy"/>
              <w:jc w:val="right"/>
            </w:pPr>
            <w:r w:rsidRPr="00C6052E">
              <w:t>136,663</w:t>
            </w:r>
          </w:p>
        </w:tc>
      </w:tr>
      <w:tr w:rsidR="00EE5BB8" w:rsidRPr="00C6052E" w14:paraId="2F3F97AB" w14:textId="77777777" w:rsidTr="00914AF9">
        <w:tc>
          <w:tcPr>
            <w:tcW w:w="4531" w:type="dxa"/>
            <w:noWrap/>
            <w:hideMark/>
          </w:tcPr>
          <w:p w14:paraId="562223B9" w14:textId="7B61F267" w:rsidR="00EE5BB8" w:rsidRPr="00C6052E" w:rsidRDefault="00EE5BB8" w:rsidP="0063097D">
            <w:pPr>
              <w:pStyle w:val="Tabletotal"/>
            </w:pPr>
            <w:r w:rsidRPr="00C6052E">
              <w:t>Total</w:t>
            </w:r>
            <w:r w:rsidR="00177848" w:rsidRPr="00C6052E">
              <w:t xml:space="preserve"> </w:t>
            </w:r>
            <w:r w:rsidRPr="00C6052E">
              <w:t>of</w:t>
            </w:r>
            <w:r w:rsidR="00177848" w:rsidRPr="00C6052E">
              <w:t xml:space="preserve"> </w:t>
            </w:r>
            <w:r w:rsidRPr="00C6052E">
              <w:t>buildings</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p>
        </w:tc>
        <w:tc>
          <w:tcPr>
            <w:tcW w:w="1012" w:type="dxa"/>
            <w:noWrap/>
            <w:hideMark/>
          </w:tcPr>
          <w:p w14:paraId="76C1500A" w14:textId="77777777" w:rsidR="00EE5BB8" w:rsidRPr="00C6052E" w:rsidRDefault="00EE5BB8" w:rsidP="00914AF9">
            <w:pPr>
              <w:pStyle w:val="Tabletotal"/>
              <w:jc w:val="right"/>
            </w:pPr>
            <w:r w:rsidRPr="00C6052E">
              <w:t>145,161</w:t>
            </w:r>
          </w:p>
        </w:tc>
        <w:tc>
          <w:tcPr>
            <w:tcW w:w="1389" w:type="dxa"/>
            <w:noWrap/>
            <w:hideMark/>
          </w:tcPr>
          <w:p w14:paraId="712875AF" w14:textId="77777777" w:rsidR="00EE5BB8" w:rsidRPr="00C6052E" w:rsidRDefault="00EE5BB8" w:rsidP="00914AF9">
            <w:pPr>
              <w:pStyle w:val="Tabletotal"/>
              <w:jc w:val="right"/>
            </w:pPr>
            <w:r w:rsidRPr="00C6052E">
              <w:t>–</w:t>
            </w:r>
          </w:p>
        </w:tc>
        <w:tc>
          <w:tcPr>
            <w:tcW w:w="1389" w:type="dxa"/>
            <w:noWrap/>
            <w:hideMark/>
          </w:tcPr>
          <w:p w14:paraId="3837A3B3" w14:textId="77777777" w:rsidR="00EE5BB8" w:rsidRPr="00C6052E" w:rsidRDefault="00EE5BB8" w:rsidP="00914AF9">
            <w:pPr>
              <w:pStyle w:val="Tabletotal"/>
              <w:jc w:val="right"/>
            </w:pPr>
            <w:r w:rsidRPr="00C6052E">
              <w:t>–</w:t>
            </w:r>
          </w:p>
        </w:tc>
        <w:tc>
          <w:tcPr>
            <w:tcW w:w="1389" w:type="dxa"/>
            <w:noWrap/>
            <w:hideMark/>
          </w:tcPr>
          <w:p w14:paraId="498FDDDF" w14:textId="77777777" w:rsidR="00EE5BB8" w:rsidRPr="00C6052E" w:rsidRDefault="00EE5BB8" w:rsidP="00914AF9">
            <w:pPr>
              <w:pStyle w:val="Tabletotal"/>
              <w:jc w:val="right"/>
            </w:pPr>
            <w:r w:rsidRPr="00C6052E">
              <w:t>145,161</w:t>
            </w:r>
          </w:p>
        </w:tc>
      </w:tr>
      <w:tr w:rsidR="00914AF9" w:rsidRPr="00C6052E" w14:paraId="694F440E" w14:textId="77777777" w:rsidTr="00914AF9">
        <w:tc>
          <w:tcPr>
            <w:tcW w:w="4531" w:type="dxa"/>
          </w:tcPr>
          <w:p w14:paraId="7F90BEFC" w14:textId="23A12732" w:rsidR="00914AF9" w:rsidRPr="00C6052E" w:rsidRDefault="00914AF9" w:rsidP="00840922">
            <w:pPr>
              <w:pStyle w:val="TableHeading"/>
            </w:pPr>
            <w:r w:rsidRPr="00C6052E">
              <w:t>Plant and equipment at fair value</w:t>
            </w:r>
          </w:p>
        </w:tc>
        <w:tc>
          <w:tcPr>
            <w:tcW w:w="1012" w:type="dxa"/>
            <w:noWrap/>
          </w:tcPr>
          <w:p w14:paraId="6EFBBAD6" w14:textId="77777777" w:rsidR="00914AF9" w:rsidRPr="00C6052E" w:rsidRDefault="00914AF9" w:rsidP="00914AF9">
            <w:pPr>
              <w:pStyle w:val="TableHeading"/>
              <w:jc w:val="right"/>
            </w:pPr>
          </w:p>
        </w:tc>
        <w:tc>
          <w:tcPr>
            <w:tcW w:w="1389" w:type="dxa"/>
            <w:noWrap/>
          </w:tcPr>
          <w:p w14:paraId="4A3B9628" w14:textId="77777777" w:rsidR="00914AF9" w:rsidRPr="00C6052E" w:rsidRDefault="00914AF9" w:rsidP="00914AF9">
            <w:pPr>
              <w:pStyle w:val="TableHeading"/>
              <w:jc w:val="right"/>
            </w:pPr>
          </w:p>
        </w:tc>
        <w:tc>
          <w:tcPr>
            <w:tcW w:w="1389" w:type="dxa"/>
            <w:noWrap/>
          </w:tcPr>
          <w:p w14:paraId="6AFC6474" w14:textId="77777777" w:rsidR="00914AF9" w:rsidRPr="00C6052E" w:rsidRDefault="00914AF9" w:rsidP="00914AF9">
            <w:pPr>
              <w:pStyle w:val="TableHeading"/>
              <w:jc w:val="right"/>
            </w:pPr>
          </w:p>
        </w:tc>
        <w:tc>
          <w:tcPr>
            <w:tcW w:w="1389" w:type="dxa"/>
            <w:noWrap/>
          </w:tcPr>
          <w:p w14:paraId="6FA6B3DE" w14:textId="77777777" w:rsidR="00914AF9" w:rsidRPr="00C6052E" w:rsidRDefault="00914AF9" w:rsidP="00914AF9">
            <w:pPr>
              <w:pStyle w:val="TableHeading"/>
              <w:jc w:val="right"/>
            </w:pPr>
          </w:p>
        </w:tc>
      </w:tr>
      <w:tr w:rsidR="00EE5BB8" w:rsidRPr="00C6052E" w14:paraId="7306820A" w14:textId="77777777" w:rsidTr="00914AF9">
        <w:tc>
          <w:tcPr>
            <w:tcW w:w="4531" w:type="dxa"/>
            <w:hideMark/>
          </w:tcPr>
          <w:p w14:paraId="3BF85B6C" w14:textId="1A5E5986" w:rsidR="00EE5BB8" w:rsidRPr="00C6052E" w:rsidRDefault="00EE5BB8" w:rsidP="0063097D">
            <w:pPr>
              <w:pStyle w:val="TableCopy"/>
            </w:pPr>
            <w:r w:rsidRPr="00C6052E">
              <w:t>Plant</w:t>
            </w:r>
            <w:r w:rsidR="00177848" w:rsidRPr="00C6052E">
              <w:t xml:space="preserve"> </w:t>
            </w:r>
            <w:r w:rsidRPr="00C6052E">
              <w:t>and</w:t>
            </w:r>
            <w:r w:rsidR="00177848" w:rsidRPr="00C6052E">
              <w:t xml:space="preserve"> </w:t>
            </w:r>
            <w:r w:rsidRPr="00C6052E">
              <w:t>equipment</w:t>
            </w:r>
          </w:p>
        </w:tc>
        <w:tc>
          <w:tcPr>
            <w:tcW w:w="1012" w:type="dxa"/>
            <w:noWrap/>
            <w:hideMark/>
          </w:tcPr>
          <w:p w14:paraId="41D80903" w14:textId="77777777" w:rsidR="00EE5BB8" w:rsidRPr="00C6052E" w:rsidRDefault="00EE5BB8" w:rsidP="00914AF9">
            <w:pPr>
              <w:pStyle w:val="TableCopy"/>
              <w:jc w:val="right"/>
            </w:pPr>
            <w:r w:rsidRPr="00C6052E">
              <w:t>619</w:t>
            </w:r>
          </w:p>
        </w:tc>
        <w:tc>
          <w:tcPr>
            <w:tcW w:w="1389" w:type="dxa"/>
            <w:noWrap/>
            <w:hideMark/>
          </w:tcPr>
          <w:p w14:paraId="17DE9C92" w14:textId="77777777" w:rsidR="00EE5BB8" w:rsidRPr="00C6052E" w:rsidRDefault="00EE5BB8" w:rsidP="00914AF9">
            <w:pPr>
              <w:pStyle w:val="TableCopy"/>
              <w:jc w:val="right"/>
            </w:pPr>
            <w:r w:rsidRPr="00C6052E">
              <w:t>–</w:t>
            </w:r>
          </w:p>
        </w:tc>
        <w:tc>
          <w:tcPr>
            <w:tcW w:w="1389" w:type="dxa"/>
            <w:noWrap/>
            <w:hideMark/>
          </w:tcPr>
          <w:p w14:paraId="522956C5" w14:textId="77777777" w:rsidR="00EE5BB8" w:rsidRPr="00C6052E" w:rsidRDefault="00EE5BB8" w:rsidP="00914AF9">
            <w:pPr>
              <w:pStyle w:val="TableCopy"/>
              <w:jc w:val="right"/>
            </w:pPr>
            <w:r w:rsidRPr="00C6052E">
              <w:t>–</w:t>
            </w:r>
          </w:p>
        </w:tc>
        <w:tc>
          <w:tcPr>
            <w:tcW w:w="1389" w:type="dxa"/>
            <w:noWrap/>
            <w:hideMark/>
          </w:tcPr>
          <w:p w14:paraId="16F29338" w14:textId="77777777" w:rsidR="00EE5BB8" w:rsidRPr="00C6052E" w:rsidRDefault="00EE5BB8" w:rsidP="00914AF9">
            <w:pPr>
              <w:pStyle w:val="TableCopy"/>
              <w:jc w:val="right"/>
            </w:pPr>
            <w:r w:rsidRPr="00C6052E">
              <w:t>619</w:t>
            </w:r>
          </w:p>
        </w:tc>
      </w:tr>
      <w:tr w:rsidR="00EE5BB8" w:rsidRPr="00C6052E" w14:paraId="1CB728C4" w14:textId="77777777" w:rsidTr="00914AF9">
        <w:tc>
          <w:tcPr>
            <w:tcW w:w="4531" w:type="dxa"/>
            <w:noWrap/>
            <w:hideMark/>
          </w:tcPr>
          <w:p w14:paraId="5BB7AA66" w14:textId="11D866E4" w:rsidR="00EE5BB8" w:rsidRPr="00C6052E" w:rsidRDefault="00EE5BB8" w:rsidP="0063097D">
            <w:pPr>
              <w:pStyle w:val="Tabletotal"/>
            </w:pPr>
            <w:r w:rsidRPr="00C6052E">
              <w:t>Total</w:t>
            </w:r>
            <w:r w:rsidR="00177848" w:rsidRPr="00C6052E">
              <w:t xml:space="preserve"> </w:t>
            </w:r>
            <w:r w:rsidRPr="00C6052E">
              <w:t>plant</w:t>
            </w:r>
            <w:r w:rsidR="00177848" w:rsidRPr="00C6052E">
              <w:t xml:space="preserve"> </w:t>
            </w:r>
            <w:r w:rsidRPr="00C6052E">
              <w:t>and</w:t>
            </w:r>
            <w:r w:rsidR="00177848" w:rsidRPr="00C6052E">
              <w:t xml:space="preserve"> </w:t>
            </w:r>
            <w:r w:rsidRPr="00C6052E">
              <w:t>equipment</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p>
        </w:tc>
        <w:tc>
          <w:tcPr>
            <w:tcW w:w="1012" w:type="dxa"/>
            <w:noWrap/>
            <w:hideMark/>
          </w:tcPr>
          <w:p w14:paraId="3010F322" w14:textId="77777777" w:rsidR="00EE5BB8" w:rsidRPr="00C6052E" w:rsidRDefault="00EE5BB8" w:rsidP="00914AF9">
            <w:pPr>
              <w:pStyle w:val="Tabletotal"/>
              <w:jc w:val="right"/>
            </w:pPr>
            <w:r w:rsidRPr="00C6052E">
              <w:t>619</w:t>
            </w:r>
          </w:p>
        </w:tc>
        <w:tc>
          <w:tcPr>
            <w:tcW w:w="1389" w:type="dxa"/>
            <w:noWrap/>
            <w:hideMark/>
          </w:tcPr>
          <w:p w14:paraId="154C1E4B" w14:textId="77777777" w:rsidR="00EE5BB8" w:rsidRPr="00C6052E" w:rsidRDefault="00EE5BB8" w:rsidP="00914AF9">
            <w:pPr>
              <w:pStyle w:val="Tabletotal"/>
              <w:jc w:val="right"/>
            </w:pPr>
            <w:r w:rsidRPr="00C6052E">
              <w:t>–</w:t>
            </w:r>
          </w:p>
        </w:tc>
        <w:tc>
          <w:tcPr>
            <w:tcW w:w="1389" w:type="dxa"/>
            <w:noWrap/>
            <w:hideMark/>
          </w:tcPr>
          <w:p w14:paraId="2432ECE7" w14:textId="77777777" w:rsidR="00EE5BB8" w:rsidRPr="00C6052E" w:rsidRDefault="00EE5BB8" w:rsidP="00914AF9">
            <w:pPr>
              <w:pStyle w:val="Tabletotal"/>
              <w:jc w:val="right"/>
            </w:pPr>
            <w:r w:rsidRPr="00C6052E">
              <w:t>–</w:t>
            </w:r>
          </w:p>
        </w:tc>
        <w:tc>
          <w:tcPr>
            <w:tcW w:w="1389" w:type="dxa"/>
            <w:noWrap/>
            <w:hideMark/>
          </w:tcPr>
          <w:p w14:paraId="50B72299" w14:textId="77777777" w:rsidR="00EE5BB8" w:rsidRPr="00C6052E" w:rsidRDefault="00EE5BB8" w:rsidP="00914AF9">
            <w:pPr>
              <w:pStyle w:val="Tabletotal"/>
              <w:jc w:val="right"/>
            </w:pPr>
            <w:r w:rsidRPr="00C6052E">
              <w:t>619</w:t>
            </w:r>
          </w:p>
        </w:tc>
      </w:tr>
      <w:tr w:rsidR="00914AF9" w:rsidRPr="00C6052E" w14:paraId="1219AE55" w14:textId="77777777" w:rsidTr="00914AF9">
        <w:tc>
          <w:tcPr>
            <w:tcW w:w="4531" w:type="dxa"/>
          </w:tcPr>
          <w:p w14:paraId="32DFA89E" w14:textId="47C0C832" w:rsidR="00914AF9" w:rsidRPr="00C6052E" w:rsidRDefault="00914AF9" w:rsidP="00D515C6">
            <w:pPr>
              <w:pStyle w:val="TableHeading"/>
            </w:pPr>
            <w:r w:rsidRPr="00C6052E">
              <w:t>Cultural assets at fair value</w:t>
            </w:r>
          </w:p>
        </w:tc>
        <w:tc>
          <w:tcPr>
            <w:tcW w:w="1012" w:type="dxa"/>
            <w:noWrap/>
          </w:tcPr>
          <w:p w14:paraId="4954947B" w14:textId="77777777" w:rsidR="00914AF9" w:rsidRPr="00C6052E" w:rsidRDefault="00914AF9" w:rsidP="00914AF9">
            <w:pPr>
              <w:pStyle w:val="TableHeading"/>
              <w:jc w:val="right"/>
            </w:pPr>
          </w:p>
        </w:tc>
        <w:tc>
          <w:tcPr>
            <w:tcW w:w="1389" w:type="dxa"/>
            <w:noWrap/>
          </w:tcPr>
          <w:p w14:paraId="4CD11FC7" w14:textId="77777777" w:rsidR="00914AF9" w:rsidRPr="00C6052E" w:rsidRDefault="00914AF9" w:rsidP="00914AF9">
            <w:pPr>
              <w:pStyle w:val="TableHeading"/>
              <w:jc w:val="right"/>
            </w:pPr>
          </w:p>
        </w:tc>
        <w:tc>
          <w:tcPr>
            <w:tcW w:w="1389" w:type="dxa"/>
            <w:noWrap/>
          </w:tcPr>
          <w:p w14:paraId="0DBD011E" w14:textId="77777777" w:rsidR="00914AF9" w:rsidRPr="00C6052E" w:rsidRDefault="00914AF9" w:rsidP="00914AF9">
            <w:pPr>
              <w:pStyle w:val="TableHeading"/>
              <w:jc w:val="right"/>
            </w:pPr>
          </w:p>
        </w:tc>
        <w:tc>
          <w:tcPr>
            <w:tcW w:w="1389" w:type="dxa"/>
            <w:noWrap/>
          </w:tcPr>
          <w:p w14:paraId="26E09DFD" w14:textId="77777777" w:rsidR="00914AF9" w:rsidRPr="00C6052E" w:rsidRDefault="00914AF9" w:rsidP="00914AF9">
            <w:pPr>
              <w:pStyle w:val="TableHeading"/>
              <w:jc w:val="right"/>
            </w:pPr>
          </w:p>
        </w:tc>
      </w:tr>
      <w:tr w:rsidR="00EE5BB8" w:rsidRPr="00C6052E" w14:paraId="0785E18A" w14:textId="77777777" w:rsidTr="00914AF9">
        <w:tc>
          <w:tcPr>
            <w:tcW w:w="4531" w:type="dxa"/>
            <w:hideMark/>
          </w:tcPr>
          <w:p w14:paraId="5717F694" w14:textId="09B2AADC" w:rsidR="00EE5BB8" w:rsidRPr="00C6052E" w:rsidRDefault="00EE5BB8" w:rsidP="0063097D">
            <w:pPr>
              <w:pStyle w:val="TableCopy"/>
            </w:pPr>
            <w:r w:rsidRPr="00C6052E">
              <w:t>Cultural</w:t>
            </w:r>
            <w:r w:rsidR="00177848" w:rsidRPr="00C6052E">
              <w:t xml:space="preserve"> </w:t>
            </w:r>
            <w:r w:rsidRPr="00C6052E">
              <w:t>assets</w:t>
            </w:r>
          </w:p>
        </w:tc>
        <w:tc>
          <w:tcPr>
            <w:tcW w:w="1012" w:type="dxa"/>
            <w:noWrap/>
            <w:hideMark/>
          </w:tcPr>
          <w:p w14:paraId="4D5B7E08" w14:textId="77777777" w:rsidR="00EE5BB8" w:rsidRPr="00C6052E" w:rsidRDefault="00EE5BB8" w:rsidP="00914AF9">
            <w:pPr>
              <w:pStyle w:val="TableCopy"/>
              <w:jc w:val="right"/>
            </w:pPr>
            <w:r w:rsidRPr="00C6052E">
              <w:t>2,680</w:t>
            </w:r>
          </w:p>
        </w:tc>
        <w:tc>
          <w:tcPr>
            <w:tcW w:w="1389" w:type="dxa"/>
            <w:noWrap/>
            <w:hideMark/>
          </w:tcPr>
          <w:p w14:paraId="49FED2D2" w14:textId="77777777" w:rsidR="00EE5BB8" w:rsidRPr="00C6052E" w:rsidRDefault="00EE5BB8" w:rsidP="00914AF9">
            <w:pPr>
              <w:pStyle w:val="TableCopy"/>
              <w:jc w:val="right"/>
            </w:pPr>
            <w:r w:rsidRPr="00C6052E">
              <w:t>–</w:t>
            </w:r>
          </w:p>
        </w:tc>
        <w:tc>
          <w:tcPr>
            <w:tcW w:w="1389" w:type="dxa"/>
            <w:noWrap/>
            <w:hideMark/>
          </w:tcPr>
          <w:p w14:paraId="4FEA9AEE" w14:textId="77777777" w:rsidR="00EE5BB8" w:rsidRPr="00C6052E" w:rsidRDefault="00EE5BB8" w:rsidP="00914AF9">
            <w:pPr>
              <w:pStyle w:val="TableCopy"/>
              <w:jc w:val="right"/>
            </w:pPr>
            <w:r w:rsidRPr="00C6052E">
              <w:t>–</w:t>
            </w:r>
          </w:p>
        </w:tc>
        <w:tc>
          <w:tcPr>
            <w:tcW w:w="1389" w:type="dxa"/>
            <w:noWrap/>
            <w:hideMark/>
          </w:tcPr>
          <w:p w14:paraId="764671BA" w14:textId="77777777" w:rsidR="00EE5BB8" w:rsidRPr="00C6052E" w:rsidRDefault="00EE5BB8" w:rsidP="00914AF9">
            <w:pPr>
              <w:pStyle w:val="TableCopy"/>
              <w:jc w:val="right"/>
            </w:pPr>
            <w:r w:rsidRPr="00C6052E">
              <w:t>2,680</w:t>
            </w:r>
          </w:p>
        </w:tc>
      </w:tr>
      <w:tr w:rsidR="00EE5BB8" w:rsidRPr="00C6052E" w14:paraId="2D63B352" w14:textId="77777777" w:rsidTr="00914AF9">
        <w:tc>
          <w:tcPr>
            <w:tcW w:w="4531" w:type="dxa"/>
            <w:noWrap/>
            <w:hideMark/>
          </w:tcPr>
          <w:p w14:paraId="362A0D14" w14:textId="27A8AE64" w:rsidR="00EE5BB8" w:rsidRPr="00C6052E" w:rsidRDefault="00EE5BB8" w:rsidP="0063097D">
            <w:pPr>
              <w:pStyle w:val="Tabletotal"/>
            </w:pPr>
            <w:r w:rsidRPr="00C6052E">
              <w:t>Total</w:t>
            </w:r>
            <w:r w:rsidR="00177848" w:rsidRPr="00C6052E">
              <w:t xml:space="preserve"> </w:t>
            </w:r>
            <w:r w:rsidRPr="00C6052E">
              <w:t>cultural</w:t>
            </w:r>
            <w:r w:rsidR="00177848" w:rsidRPr="00C6052E">
              <w:t xml:space="preserve"> </w:t>
            </w:r>
            <w:r w:rsidRPr="00C6052E">
              <w:t>assets</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r w:rsidR="00177848" w:rsidRPr="00C6052E">
              <w:t xml:space="preserve"> </w:t>
            </w:r>
          </w:p>
        </w:tc>
        <w:tc>
          <w:tcPr>
            <w:tcW w:w="1012" w:type="dxa"/>
            <w:noWrap/>
            <w:hideMark/>
          </w:tcPr>
          <w:p w14:paraId="0644769C" w14:textId="77777777" w:rsidR="00EE5BB8" w:rsidRPr="00C6052E" w:rsidRDefault="00EE5BB8" w:rsidP="00914AF9">
            <w:pPr>
              <w:pStyle w:val="Tabletotal"/>
              <w:jc w:val="right"/>
            </w:pPr>
            <w:r w:rsidRPr="00C6052E">
              <w:t>2,680</w:t>
            </w:r>
          </w:p>
        </w:tc>
        <w:tc>
          <w:tcPr>
            <w:tcW w:w="1389" w:type="dxa"/>
            <w:noWrap/>
            <w:hideMark/>
          </w:tcPr>
          <w:p w14:paraId="0B86F6F2" w14:textId="77777777" w:rsidR="00EE5BB8" w:rsidRPr="00C6052E" w:rsidRDefault="00EE5BB8" w:rsidP="00914AF9">
            <w:pPr>
              <w:pStyle w:val="Tabletotal"/>
              <w:jc w:val="right"/>
            </w:pPr>
            <w:r w:rsidRPr="00C6052E">
              <w:t>–</w:t>
            </w:r>
          </w:p>
        </w:tc>
        <w:tc>
          <w:tcPr>
            <w:tcW w:w="1389" w:type="dxa"/>
            <w:noWrap/>
            <w:hideMark/>
          </w:tcPr>
          <w:p w14:paraId="53BC6533" w14:textId="77777777" w:rsidR="00EE5BB8" w:rsidRPr="00C6052E" w:rsidRDefault="00EE5BB8" w:rsidP="00914AF9">
            <w:pPr>
              <w:pStyle w:val="Tabletotal"/>
              <w:jc w:val="right"/>
            </w:pPr>
            <w:r w:rsidRPr="00C6052E">
              <w:t>–</w:t>
            </w:r>
          </w:p>
        </w:tc>
        <w:tc>
          <w:tcPr>
            <w:tcW w:w="1389" w:type="dxa"/>
            <w:noWrap/>
            <w:hideMark/>
          </w:tcPr>
          <w:p w14:paraId="7D8333B5" w14:textId="77777777" w:rsidR="00EE5BB8" w:rsidRPr="00C6052E" w:rsidRDefault="00EE5BB8" w:rsidP="00914AF9">
            <w:pPr>
              <w:pStyle w:val="Tabletotal"/>
              <w:jc w:val="right"/>
            </w:pPr>
            <w:r w:rsidRPr="00C6052E">
              <w:t>2,680</w:t>
            </w:r>
          </w:p>
        </w:tc>
      </w:tr>
      <w:tr w:rsidR="00914AF9" w:rsidRPr="00C6052E" w14:paraId="4BF7F2A6" w14:textId="77777777" w:rsidTr="00914AF9">
        <w:tc>
          <w:tcPr>
            <w:tcW w:w="4531" w:type="dxa"/>
          </w:tcPr>
          <w:p w14:paraId="5E604962" w14:textId="35A5F4D3" w:rsidR="00914AF9" w:rsidRPr="00C6052E" w:rsidRDefault="00914AF9" w:rsidP="007A112A">
            <w:pPr>
              <w:pStyle w:val="TableHeading"/>
            </w:pPr>
            <w:r w:rsidRPr="00C6052E">
              <w:t>Building leasehold improvements at fair value</w:t>
            </w:r>
          </w:p>
        </w:tc>
        <w:tc>
          <w:tcPr>
            <w:tcW w:w="1012" w:type="dxa"/>
            <w:noWrap/>
          </w:tcPr>
          <w:p w14:paraId="2EEC24EC" w14:textId="77777777" w:rsidR="00914AF9" w:rsidRPr="00C6052E" w:rsidRDefault="00914AF9" w:rsidP="00914AF9">
            <w:pPr>
              <w:pStyle w:val="TableHeading"/>
              <w:jc w:val="right"/>
            </w:pPr>
          </w:p>
        </w:tc>
        <w:tc>
          <w:tcPr>
            <w:tcW w:w="1389" w:type="dxa"/>
            <w:noWrap/>
          </w:tcPr>
          <w:p w14:paraId="34512FED" w14:textId="77777777" w:rsidR="00914AF9" w:rsidRPr="00C6052E" w:rsidRDefault="00914AF9" w:rsidP="00914AF9">
            <w:pPr>
              <w:pStyle w:val="TableHeading"/>
              <w:jc w:val="right"/>
            </w:pPr>
          </w:p>
        </w:tc>
        <w:tc>
          <w:tcPr>
            <w:tcW w:w="1389" w:type="dxa"/>
            <w:noWrap/>
          </w:tcPr>
          <w:p w14:paraId="29A867CC" w14:textId="77777777" w:rsidR="00914AF9" w:rsidRPr="00C6052E" w:rsidRDefault="00914AF9" w:rsidP="00914AF9">
            <w:pPr>
              <w:pStyle w:val="TableHeading"/>
              <w:jc w:val="right"/>
            </w:pPr>
          </w:p>
        </w:tc>
        <w:tc>
          <w:tcPr>
            <w:tcW w:w="1389" w:type="dxa"/>
            <w:noWrap/>
          </w:tcPr>
          <w:p w14:paraId="3CA2C8A3" w14:textId="77777777" w:rsidR="00914AF9" w:rsidRPr="00C6052E" w:rsidRDefault="00914AF9" w:rsidP="00914AF9">
            <w:pPr>
              <w:pStyle w:val="TableHeading"/>
              <w:jc w:val="right"/>
            </w:pPr>
          </w:p>
        </w:tc>
      </w:tr>
      <w:tr w:rsidR="00EE5BB8" w:rsidRPr="00C6052E" w14:paraId="7F437083" w14:textId="77777777" w:rsidTr="00914AF9">
        <w:tc>
          <w:tcPr>
            <w:tcW w:w="4531" w:type="dxa"/>
            <w:hideMark/>
          </w:tcPr>
          <w:p w14:paraId="4BAD97D7" w14:textId="5DDDD957" w:rsidR="00EE5BB8" w:rsidRPr="00C6052E" w:rsidRDefault="00EE5BB8" w:rsidP="0063097D">
            <w:pPr>
              <w:pStyle w:val="TableCopy"/>
            </w:pPr>
            <w:r w:rsidRPr="00C6052E">
              <w:t>Leasehold</w:t>
            </w:r>
            <w:r w:rsidR="00177848" w:rsidRPr="00C6052E">
              <w:t xml:space="preserve"> </w:t>
            </w:r>
            <w:r w:rsidRPr="00C6052E">
              <w:t>improvements</w:t>
            </w:r>
            <w:r w:rsidR="00177848" w:rsidRPr="00C6052E">
              <w:t xml:space="preserve"> </w:t>
            </w:r>
          </w:p>
        </w:tc>
        <w:tc>
          <w:tcPr>
            <w:tcW w:w="1012" w:type="dxa"/>
            <w:noWrap/>
            <w:hideMark/>
          </w:tcPr>
          <w:p w14:paraId="5DA6FFAD" w14:textId="77777777" w:rsidR="00EE5BB8" w:rsidRPr="00C6052E" w:rsidRDefault="00EE5BB8" w:rsidP="00914AF9">
            <w:pPr>
              <w:pStyle w:val="TableCopy"/>
              <w:jc w:val="right"/>
            </w:pPr>
            <w:r w:rsidRPr="00C6052E">
              <w:t>5,876</w:t>
            </w:r>
          </w:p>
        </w:tc>
        <w:tc>
          <w:tcPr>
            <w:tcW w:w="1389" w:type="dxa"/>
            <w:noWrap/>
            <w:hideMark/>
          </w:tcPr>
          <w:p w14:paraId="6AAB7141" w14:textId="77777777" w:rsidR="00EE5BB8" w:rsidRPr="00C6052E" w:rsidRDefault="00EE5BB8" w:rsidP="00914AF9">
            <w:pPr>
              <w:pStyle w:val="TableCopy"/>
              <w:jc w:val="right"/>
            </w:pPr>
            <w:r w:rsidRPr="00C6052E">
              <w:t>–</w:t>
            </w:r>
          </w:p>
        </w:tc>
        <w:tc>
          <w:tcPr>
            <w:tcW w:w="1389" w:type="dxa"/>
            <w:noWrap/>
            <w:hideMark/>
          </w:tcPr>
          <w:p w14:paraId="4E24A98C" w14:textId="77777777" w:rsidR="00EE5BB8" w:rsidRPr="00C6052E" w:rsidRDefault="00EE5BB8" w:rsidP="00914AF9">
            <w:pPr>
              <w:pStyle w:val="TableCopy"/>
              <w:jc w:val="right"/>
            </w:pPr>
            <w:r w:rsidRPr="00C6052E">
              <w:t>–</w:t>
            </w:r>
          </w:p>
        </w:tc>
        <w:tc>
          <w:tcPr>
            <w:tcW w:w="1389" w:type="dxa"/>
            <w:noWrap/>
            <w:hideMark/>
          </w:tcPr>
          <w:p w14:paraId="6F893F04" w14:textId="77777777" w:rsidR="00EE5BB8" w:rsidRPr="00C6052E" w:rsidRDefault="00EE5BB8" w:rsidP="00914AF9">
            <w:pPr>
              <w:pStyle w:val="TableCopy"/>
              <w:jc w:val="right"/>
            </w:pPr>
            <w:r w:rsidRPr="00C6052E">
              <w:t>5,876</w:t>
            </w:r>
          </w:p>
        </w:tc>
      </w:tr>
      <w:tr w:rsidR="00EE5BB8" w:rsidRPr="00C6052E" w14:paraId="7DE04CE8" w14:textId="77777777" w:rsidTr="00914AF9">
        <w:tc>
          <w:tcPr>
            <w:tcW w:w="4531" w:type="dxa"/>
            <w:hideMark/>
          </w:tcPr>
          <w:p w14:paraId="59405FBA" w14:textId="2CEE2A92" w:rsidR="00EE5BB8" w:rsidRPr="00C6052E" w:rsidRDefault="00EE5BB8" w:rsidP="0063097D">
            <w:pPr>
              <w:pStyle w:val="Tabletotal"/>
            </w:pPr>
            <w:r w:rsidRPr="00C6052E">
              <w:t>Total</w:t>
            </w:r>
            <w:r w:rsidR="00177848" w:rsidRPr="00C6052E">
              <w:t xml:space="preserve"> </w:t>
            </w:r>
            <w:r w:rsidRPr="00C6052E">
              <w:t>building</w:t>
            </w:r>
            <w:r w:rsidR="00177848" w:rsidRPr="00C6052E">
              <w:t xml:space="preserve"> </w:t>
            </w:r>
            <w:r w:rsidRPr="00C6052E">
              <w:t>leasehold</w:t>
            </w:r>
            <w:r w:rsidR="00177848" w:rsidRPr="00C6052E">
              <w:t xml:space="preserve"> </w:t>
            </w:r>
            <w:r w:rsidRPr="00C6052E">
              <w:t>improvements</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p>
        </w:tc>
        <w:tc>
          <w:tcPr>
            <w:tcW w:w="1012" w:type="dxa"/>
            <w:noWrap/>
            <w:hideMark/>
          </w:tcPr>
          <w:p w14:paraId="15A55271" w14:textId="77777777" w:rsidR="00EE5BB8" w:rsidRPr="00C6052E" w:rsidRDefault="00EE5BB8" w:rsidP="00914AF9">
            <w:pPr>
              <w:pStyle w:val="Tabletotal"/>
              <w:jc w:val="right"/>
            </w:pPr>
            <w:r w:rsidRPr="00C6052E">
              <w:t>5,876</w:t>
            </w:r>
          </w:p>
        </w:tc>
        <w:tc>
          <w:tcPr>
            <w:tcW w:w="1389" w:type="dxa"/>
            <w:noWrap/>
            <w:hideMark/>
          </w:tcPr>
          <w:p w14:paraId="025873CC" w14:textId="77777777" w:rsidR="00EE5BB8" w:rsidRPr="00C6052E" w:rsidRDefault="00EE5BB8" w:rsidP="00914AF9">
            <w:pPr>
              <w:pStyle w:val="Tabletotal"/>
              <w:jc w:val="right"/>
            </w:pPr>
            <w:r w:rsidRPr="00C6052E">
              <w:t>–</w:t>
            </w:r>
          </w:p>
        </w:tc>
        <w:tc>
          <w:tcPr>
            <w:tcW w:w="1389" w:type="dxa"/>
            <w:noWrap/>
            <w:hideMark/>
          </w:tcPr>
          <w:p w14:paraId="165F1C2C" w14:textId="77777777" w:rsidR="00EE5BB8" w:rsidRPr="00C6052E" w:rsidRDefault="00EE5BB8" w:rsidP="00914AF9">
            <w:pPr>
              <w:pStyle w:val="Tabletotal"/>
              <w:jc w:val="right"/>
            </w:pPr>
            <w:r w:rsidRPr="00C6052E">
              <w:t>–</w:t>
            </w:r>
          </w:p>
        </w:tc>
        <w:tc>
          <w:tcPr>
            <w:tcW w:w="1389" w:type="dxa"/>
            <w:noWrap/>
            <w:hideMark/>
          </w:tcPr>
          <w:p w14:paraId="59C88D44" w14:textId="77777777" w:rsidR="00EE5BB8" w:rsidRPr="00C6052E" w:rsidRDefault="00EE5BB8" w:rsidP="00914AF9">
            <w:pPr>
              <w:pStyle w:val="Tabletotal"/>
              <w:jc w:val="right"/>
            </w:pPr>
            <w:r w:rsidRPr="00C6052E">
              <w:t>5,876</w:t>
            </w:r>
          </w:p>
        </w:tc>
      </w:tr>
      <w:tr w:rsidR="00914AF9" w:rsidRPr="00C6052E" w14:paraId="1141D875" w14:textId="77777777" w:rsidTr="00914AF9">
        <w:tc>
          <w:tcPr>
            <w:tcW w:w="4531" w:type="dxa"/>
          </w:tcPr>
          <w:p w14:paraId="3747EA8A" w14:textId="4BEAA030" w:rsidR="00914AF9" w:rsidRPr="00C6052E" w:rsidRDefault="00914AF9" w:rsidP="00AE0224">
            <w:pPr>
              <w:pStyle w:val="TableHeading"/>
            </w:pPr>
            <w:r w:rsidRPr="00C6052E">
              <w:t>Motor vehicles at fair value</w:t>
            </w:r>
          </w:p>
        </w:tc>
        <w:tc>
          <w:tcPr>
            <w:tcW w:w="1012" w:type="dxa"/>
            <w:noWrap/>
          </w:tcPr>
          <w:p w14:paraId="5CFD828D" w14:textId="77777777" w:rsidR="00914AF9" w:rsidRPr="00C6052E" w:rsidRDefault="00914AF9" w:rsidP="00914AF9">
            <w:pPr>
              <w:pStyle w:val="TableHeading"/>
              <w:jc w:val="right"/>
            </w:pPr>
          </w:p>
        </w:tc>
        <w:tc>
          <w:tcPr>
            <w:tcW w:w="1389" w:type="dxa"/>
            <w:noWrap/>
          </w:tcPr>
          <w:p w14:paraId="048653F0" w14:textId="77777777" w:rsidR="00914AF9" w:rsidRPr="00C6052E" w:rsidRDefault="00914AF9" w:rsidP="00914AF9">
            <w:pPr>
              <w:pStyle w:val="TableHeading"/>
              <w:jc w:val="right"/>
            </w:pPr>
          </w:p>
        </w:tc>
        <w:tc>
          <w:tcPr>
            <w:tcW w:w="1389" w:type="dxa"/>
            <w:noWrap/>
          </w:tcPr>
          <w:p w14:paraId="304EC334" w14:textId="77777777" w:rsidR="00914AF9" w:rsidRPr="00C6052E" w:rsidRDefault="00914AF9" w:rsidP="00914AF9">
            <w:pPr>
              <w:pStyle w:val="TableHeading"/>
              <w:jc w:val="right"/>
            </w:pPr>
          </w:p>
        </w:tc>
        <w:tc>
          <w:tcPr>
            <w:tcW w:w="1389" w:type="dxa"/>
            <w:noWrap/>
          </w:tcPr>
          <w:p w14:paraId="58A37163" w14:textId="77777777" w:rsidR="00914AF9" w:rsidRPr="00C6052E" w:rsidRDefault="00914AF9" w:rsidP="00914AF9">
            <w:pPr>
              <w:pStyle w:val="TableHeading"/>
              <w:jc w:val="right"/>
            </w:pPr>
          </w:p>
        </w:tc>
      </w:tr>
      <w:tr w:rsidR="00EE5BB8" w:rsidRPr="00C6052E" w14:paraId="01D67BBB" w14:textId="77777777" w:rsidTr="00914AF9">
        <w:tc>
          <w:tcPr>
            <w:tcW w:w="4531" w:type="dxa"/>
            <w:hideMark/>
          </w:tcPr>
          <w:p w14:paraId="4C2A2E88" w14:textId="3BF51283" w:rsidR="00EE5BB8" w:rsidRPr="00C6052E" w:rsidRDefault="00EE5BB8" w:rsidP="0063097D">
            <w:pPr>
              <w:pStyle w:val="TableCopy"/>
            </w:pPr>
            <w:r w:rsidRPr="00C6052E">
              <w:t>Motor</w:t>
            </w:r>
            <w:r w:rsidR="00177848" w:rsidRPr="00C6052E">
              <w:t xml:space="preserve"> </w:t>
            </w:r>
            <w:r w:rsidRPr="00C6052E">
              <w:t>vehicles</w:t>
            </w:r>
          </w:p>
        </w:tc>
        <w:tc>
          <w:tcPr>
            <w:tcW w:w="1012" w:type="dxa"/>
            <w:noWrap/>
            <w:hideMark/>
          </w:tcPr>
          <w:p w14:paraId="0947F332" w14:textId="77777777" w:rsidR="00EE5BB8" w:rsidRPr="00C6052E" w:rsidRDefault="00EE5BB8" w:rsidP="00914AF9">
            <w:pPr>
              <w:pStyle w:val="TableCopy"/>
              <w:jc w:val="right"/>
            </w:pPr>
            <w:r w:rsidRPr="00C6052E">
              <w:t>4,052</w:t>
            </w:r>
          </w:p>
        </w:tc>
        <w:tc>
          <w:tcPr>
            <w:tcW w:w="1389" w:type="dxa"/>
            <w:noWrap/>
            <w:hideMark/>
          </w:tcPr>
          <w:p w14:paraId="28498C33" w14:textId="77777777" w:rsidR="00EE5BB8" w:rsidRPr="00C6052E" w:rsidRDefault="00EE5BB8" w:rsidP="00914AF9">
            <w:pPr>
              <w:pStyle w:val="TableCopy"/>
              <w:jc w:val="right"/>
            </w:pPr>
            <w:r w:rsidRPr="00C6052E">
              <w:t>–</w:t>
            </w:r>
          </w:p>
        </w:tc>
        <w:tc>
          <w:tcPr>
            <w:tcW w:w="1389" w:type="dxa"/>
            <w:noWrap/>
            <w:hideMark/>
          </w:tcPr>
          <w:p w14:paraId="28943B7F" w14:textId="77777777" w:rsidR="00EE5BB8" w:rsidRPr="00C6052E" w:rsidRDefault="00EE5BB8" w:rsidP="00914AF9">
            <w:pPr>
              <w:pStyle w:val="TableCopy"/>
              <w:jc w:val="right"/>
            </w:pPr>
            <w:r w:rsidRPr="00C6052E">
              <w:t>–</w:t>
            </w:r>
          </w:p>
        </w:tc>
        <w:tc>
          <w:tcPr>
            <w:tcW w:w="1389" w:type="dxa"/>
            <w:noWrap/>
            <w:hideMark/>
          </w:tcPr>
          <w:p w14:paraId="59BB4F1A" w14:textId="77777777" w:rsidR="00EE5BB8" w:rsidRPr="00C6052E" w:rsidRDefault="00EE5BB8" w:rsidP="00914AF9">
            <w:pPr>
              <w:pStyle w:val="TableCopy"/>
              <w:jc w:val="right"/>
            </w:pPr>
            <w:r w:rsidRPr="00C6052E">
              <w:t>4,052</w:t>
            </w:r>
          </w:p>
        </w:tc>
      </w:tr>
      <w:tr w:rsidR="00EE5BB8" w:rsidRPr="00C6052E" w14:paraId="2B474329" w14:textId="77777777" w:rsidTr="00914AF9">
        <w:tc>
          <w:tcPr>
            <w:tcW w:w="4531" w:type="dxa"/>
            <w:noWrap/>
            <w:hideMark/>
          </w:tcPr>
          <w:p w14:paraId="1C555BE6" w14:textId="17A7905E" w:rsidR="00EE5BB8" w:rsidRPr="00C6052E" w:rsidRDefault="00EE5BB8" w:rsidP="0063097D">
            <w:pPr>
              <w:pStyle w:val="Tabletotal"/>
            </w:pPr>
            <w:r w:rsidRPr="00C6052E">
              <w:t>Total</w:t>
            </w:r>
            <w:r w:rsidR="00177848" w:rsidRPr="00C6052E">
              <w:t xml:space="preserve"> </w:t>
            </w:r>
            <w:r w:rsidRPr="00C6052E">
              <w:t>motor</w:t>
            </w:r>
            <w:r w:rsidR="00177848" w:rsidRPr="00C6052E">
              <w:t xml:space="preserve"> </w:t>
            </w:r>
            <w:r w:rsidRPr="00C6052E">
              <w:t>vehicles</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p>
        </w:tc>
        <w:tc>
          <w:tcPr>
            <w:tcW w:w="1012" w:type="dxa"/>
            <w:noWrap/>
            <w:hideMark/>
          </w:tcPr>
          <w:p w14:paraId="11B34B6B" w14:textId="77777777" w:rsidR="00EE5BB8" w:rsidRPr="00C6052E" w:rsidRDefault="00EE5BB8" w:rsidP="00914AF9">
            <w:pPr>
              <w:pStyle w:val="Tabletotal"/>
              <w:jc w:val="right"/>
            </w:pPr>
            <w:r w:rsidRPr="00C6052E">
              <w:t>4,052</w:t>
            </w:r>
          </w:p>
        </w:tc>
        <w:tc>
          <w:tcPr>
            <w:tcW w:w="1389" w:type="dxa"/>
            <w:noWrap/>
            <w:hideMark/>
          </w:tcPr>
          <w:p w14:paraId="26610F94" w14:textId="77777777" w:rsidR="00EE5BB8" w:rsidRPr="00C6052E" w:rsidRDefault="00EE5BB8" w:rsidP="00914AF9">
            <w:pPr>
              <w:pStyle w:val="Tabletotal"/>
              <w:jc w:val="right"/>
            </w:pPr>
            <w:r w:rsidRPr="00C6052E">
              <w:t>–</w:t>
            </w:r>
          </w:p>
        </w:tc>
        <w:tc>
          <w:tcPr>
            <w:tcW w:w="1389" w:type="dxa"/>
            <w:noWrap/>
            <w:hideMark/>
          </w:tcPr>
          <w:p w14:paraId="749F7415" w14:textId="77777777" w:rsidR="00EE5BB8" w:rsidRPr="00C6052E" w:rsidRDefault="00EE5BB8" w:rsidP="00914AF9">
            <w:pPr>
              <w:pStyle w:val="Tabletotal"/>
              <w:jc w:val="right"/>
            </w:pPr>
            <w:r w:rsidRPr="00C6052E">
              <w:t>–</w:t>
            </w:r>
          </w:p>
        </w:tc>
        <w:tc>
          <w:tcPr>
            <w:tcW w:w="1389" w:type="dxa"/>
            <w:noWrap/>
            <w:hideMark/>
          </w:tcPr>
          <w:p w14:paraId="2435493C" w14:textId="77777777" w:rsidR="00EE5BB8" w:rsidRPr="00C6052E" w:rsidRDefault="00EE5BB8" w:rsidP="00914AF9">
            <w:pPr>
              <w:pStyle w:val="Tabletotal"/>
              <w:jc w:val="right"/>
            </w:pPr>
            <w:r w:rsidRPr="00C6052E">
              <w:t>4,052</w:t>
            </w:r>
          </w:p>
        </w:tc>
      </w:tr>
      <w:tr w:rsidR="00EE5BB8" w:rsidRPr="00C6052E" w14:paraId="6E2F4FA5" w14:textId="77777777" w:rsidTr="00914AF9">
        <w:tc>
          <w:tcPr>
            <w:tcW w:w="4531" w:type="dxa"/>
            <w:hideMark/>
          </w:tcPr>
          <w:p w14:paraId="67E856DB" w14:textId="7148E2C9" w:rsidR="00EE5BB8" w:rsidRPr="00C6052E" w:rsidRDefault="00EE5BB8" w:rsidP="0063097D">
            <w:pPr>
              <w:pStyle w:val="Tabletotal"/>
            </w:pPr>
            <w:r w:rsidRPr="00C6052E">
              <w:t>Total</w:t>
            </w:r>
            <w:r w:rsidR="00177848" w:rsidRPr="00C6052E">
              <w:t xml:space="preserve"> </w:t>
            </w:r>
            <w:r w:rsidRPr="00C6052E">
              <w:t>property,</w:t>
            </w:r>
            <w:r w:rsidR="00177848" w:rsidRPr="00C6052E">
              <w:t xml:space="preserve"> </w:t>
            </w:r>
            <w:r w:rsidRPr="00C6052E">
              <w:t>plant,</w:t>
            </w:r>
            <w:r w:rsidR="00177848" w:rsidRPr="00C6052E">
              <w:t xml:space="preserve"> </w:t>
            </w:r>
            <w:r w:rsidRPr="00C6052E">
              <w:t>equipment</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p>
        </w:tc>
        <w:tc>
          <w:tcPr>
            <w:tcW w:w="1012" w:type="dxa"/>
            <w:noWrap/>
            <w:hideMark/>
          </w:tcPr>
          <w:p w14:paraId="5758FD07" w14:textId="77777777" w:rsidR="00EE5BB8" w:rsidRPr="00C6052E" w:rsidRDefault="00EE5BB8" w:rsidP="00914AF9">
            <w:pPr>
              <w:pStyle w:val="Tabletotal"/>
              <w:jc w:val="right"/>
            </w:pPr>
            <w:r w:rsidRPr="00C6052E">
              <w:t>557,008</w:t>
            </w:r>
          </w:p>
        </w:tc>
        <w:tc>
          <w:tcPr>
            <w:tcW w:w="1389" w:type="dxa"/>
            <w:noWrap/>
            <w:hideMark/>
          </w:tcPr>
          <w:p w14:paraId="0BEFDDD9" w14:textId="77777777" w:rsidR="00EE5BB8" w:rsidRPr="00C6052E" w:rsidRDefault="00EE5BB8" w:rsidP="00914AF9">
            <w:pPr>
              <w:pStyle w:val="Tabletotal"/>
              <w:jc w:val="right"/>
            </w:pPr>
            <w:r w:rsidRPr="00C6052E">
              <w:t>–</w:t>
            </w:r>
          </w:p>
        </w:tc>
        <w:tc>
          <w:tcPr>
            <w:tcW w:w="1389" w:type="dxa"/>
            <w:noWrap/>
            <w:hideMark/>
          </w:tcPr>
          <w:p w14:paraId="0C1E7B51" w14:textId="77777777" w:rsidR="00EE5BB8" w:rsidRPr="00C6052E" w:rsidRDefault="00EE5BB8" w:rsidP="00914AF9">
            <w:pPr>
              <w:pStyle w:val="Tabletotal"/>
              <w:jc w:val="right"/>
            </w:pPr>
            <w:r w:rsidRPr="00C6052E">
              <w:t>16,134</w:t>
            </w:r>
          </w:p>
        </w:tc>
        <w:tc>
          <w:tcPr>
            <w:tcW w:w="1389" w:type="dxa"/>
            <w:noWrap/>
            <w:hideMark/>
          </w:tcPr>
          <w:p w14:paraId="086D8FB9" w14:textId="77777777" w:rsidR="00EE5BB8" w:rsidRPr="00C6052E" w:rsidRDefault="00EE5BB8" w:rsidP="00914AF9">
            <w:pPr>
              <w:pStyle w:val="Tabletotal"/>
              <w:jc w:val="right"/>
            </w:pPr>
            <w:r w:rsidRPr="00C6052E">
              <w:t>540,874</w:t>
            </w:r>
          </w:p>
        </w:tc>
      </w:tr>
    </w:tbl>
    <w:p w14:paraId="280F69EC" w14:textId="5FDD0825" w:rsidR="00EE5BB8" w:rsidRPr="00C6052E" w:rsidRDefault="00EE5BB8" w:rsidP="0035690A">
      <w:pPr>
        <w:pStyle w:val="Tablenotes-numbered"/>
        <w:numPr>
          <w:ilvl w:val="0"/>
          <w:numId w:val="36"/>
        </w:numPr>
        <w:spacing w:after="240"/>
      </w:pPr>
      <w:r w:rsidRPr="00C6052E">
        <w:t>Classified</w:t>
      </w:r>
      <w:r w:rsidR="00177848" w:rsidRPr="00C6052E">
        <w:t xml:space="preserve"> </w:t>
      </w:r>
      <w:r w:rsidRPr="00C6052E">
        <w:t>in</w:t>
      </w:r>
      <w:r w:rsidR="00177848" w:rsidRPr="00C6052E">
        <w:t xml:space="preserve"> </w:t>
      </w:r>
      <w:r w:rsidRPr="00C6052E">
        <w:t>accordance</w:t>
      </w:r>
      <w:r w:rsidR="00177848" w:rsidRPr="00C6052E">
        <w:t xml:space="preserve"> </w:t>
      </w:r>
      <w:r w:rsidRPr="00C6052E">
        <w:t>with</w:t>
      </w:r>
      <w:r w:rsidR="00177848" w:rsidRPr="00C6052E">
        <w:t xml:space="preserve"> </w:t>
      </w:r>
      <w:r w:rsidRPr="00C6052E">
        <w:t>the</w:t>
      </w:r>
      <w:r w:rsidR="00177848" w:rsidRPr="00C6052E">
        <w:t xml:space="preserve"> </w:t>
      </w:r>
      <w:r w:rsidRPr="00C6052E">
        <w:t>fair</w:t>
      </w:r>
      <w:r w:rsidR="00177848" w:rsidRPr="00C6052E">
        <w:t xml:space="preserve"> </w:t>
      </w:r>
      <w:r w:rsidRPr="00C6052E">
        <w:t>value</w:t>
      </w:r>
      <w:r w:rsidR="00177848" w:rsidRPr="00C6052E">
        <w:t xml:space="preserve"> </w:t>
      </w:r>
      <w:r w:rsidRPr="00C6052E">
        <w:t>hierarchy.</w:t>
      </w:r>
    </w:p>
    <w:p w14:paraId="4F6CCCC1" w14:textId="12672200" w:rsidR="00EE5BB8" w:rsidRPr="00C6052E" w:rsidRDefault="00EE5BB8" w:rsidP="000C0740">
      <w:pPr>
        <w:pStyle w:val="Heading3numbered0"/>
        <w:numPr>
          <w:ilvl w:val="0"/>
          <w:numId w:val="0"/>
        </w:numPr>
      </w:pPr>
      <w:r w:rsidRPr="00C6052E">
        <w:lastRenderedPageBreak/>
        <w:fldChar w:fldCharType="begin"/>
      </w:r>
      <w:r w:rsidRPr="00C6052E">
        <w:instrText xml:space="preserve"> REF _Ref161754185 \r \h  \* MERGEFORMAT </w:instrText>
      </w:r>
      <w:r w:rsidRPr="00C6052E">
        <w:fldChar w:fldCharType="separate"/>
      </w:r>
      <w:r w:rsidRPr="00C6052E">
        <w:t>8.3.2</w:t>
      </w:r>
      <w:r w:rsidRPr="00C6052E">
        <w:fldChar w:fldCharType="end"/>
      </w:r>
      <w:r w:rsidRPr="00C6052E">
        <w:tab/>
      </w:r>
      <w:r w:rsidRPr="00C6052E">
        <w:fldChar w:fldCharType="begin"/>
      </w:r>
      <w:r w:rsidRPr="00C6052E">
        <w:instrText xml:space="preserve"> REF _Ref161754185 \h  \* MERGEFORMAT </w:instrText>
      </w:r>
      <w:r w:rsidRPr="00C6052E">
        <w:fldChar w:fldCharType="separate"/>
      </w:r>
      <w:r w:rsidRPr="00C6052E">
        <w:t>Fair</w:t>
      </w:r>
      <w:r w:rsidR="00177848" w:rsidRPr="00C6052E">
        <w:t xml:space="preserve"> </w:t>
      </w:r>
      <w:r w:rsidRPr="00C6052E">
        <w:t>value</w:t>
      </w:r>
      <w:r w:rsidR="00177848" w:rsidRPr="00C6052E">
        <w:t xml:space="preserve"> </w:t>
      </w:r>
      <w:r w:rsidRPr="00C6052E">
        <w:t>determination:</w:t>
      </w:r>
      <w:r w:rsidR="00177848" w:rsidRPr="00C6052E">
        <w:t xml:space="preserve"> </w:t>
      </w:r>
      <w:r w:rsidRPr="00C6052E">
        <w:t>Non–financial</w:t>
      </w:r>
      <w:r w:rsidR="00177848" w:rsidRPr="00C6052E">
        <w:t xml:space="preserve"> </w:t>
      </w:r>
      <w:r w:rsidRPr="00C6052E">
        <w:t>physical</w:t>
      </w:r>
      <w:r w:rsidR="00177848" w:rsidRPr="00C6052E">
        <w:t xml:space="preserve"> </w:t>
      </w:r>
      <w:r w:rsidRPr="00C6052E">
        <w:t>assets</w:t>
      </w:r>
      <w:r w:rsidRPr="00C6052E">
        <w:fldChar w:fldCharType="end"/>
      </w:r>
      <w:r w:rsidR="00177848" w:rsidRPr="00C6052E">
        <w:t xml:space="preserve"> </w:t>
      </w:r>
      <w:r w:rsidRPr="00C6052E">
        <w:t>(continued)</w:t>
      </w:r>
    </w:p>
    <w:p w14:paraId="1BF7DFC8" w14:textId="28953355" w:rsidR="00EE5BB8" w:rsidRPr="00C6052E" w:rsidRDefault="00EE5BB8" w:rsidP="00EE5BB8">
      <w:r w:rsidRPr="00C6052E">
        <w:t>DJSIR</w:t>
      </w:r>
      <w:r w:rsidR="00177848" w:rsidRPr="00C6052E">
        <w:t xml:space="preserve"> </w:t>
      </w:r>
      <w:r w:rsidRPr="00C6052E">
        <w:t>assets</w:t>
      </w:r>
      <w:r w:rsidR="00177848" w:rsidRPr="00C6052E">
        <w:t xml:space="preserve"> </w:t>
      </w:r>
      <w:r w:rsidRPr="00C6052E">
        <w:t>relating</w:t>
      </w:r>
      <w:r w:rsidR="00177848" w:rsidRPr="00C6052E">
        <w:t xml:space="preserve"> </w:t>
      </w:r>
      <w:r w:rsidRPr="00C6052E">
        <w:t>to</w:t>
      </w:r>
      <w:r w:rsidR="00177848" w:rsidRPr="00C6052E">
        <w:t xml:space="preserve"> </w:t>
      </w:r>
      <w:r w:rsidRPr="00C6052E">
        <w:t>land,</w:t>
      </w:r>
      <w:r w:rsidR="00177848" w:rsidRPr="00C6052E">
        <w:t xml:space="preserve"> </w:t>
      </w:r>
      <w:r w:rsidRPr="00C6052E">
        <w:t>buildings</w:t>
      </w:r>
      <w:r w:rsidR="00177848" w:rsidRPr="00C6052E">
        <w:t xml:space="preserve"> </w:t>
      </w:r>
      <w:r w:rsidRPr="00C6052E">
        <w:t>and</w:t>
      </w:r>
      <w:r w:rsidR="00177848" w:rsidRPr="00C6052E">
        <w:t xml:space="preserve"> </w:t>
      </w:r>
      <w:r w:rsidRPr="00C6052E">
        <w:t>cultural</w:t>
      </w:r>
      <w:r w:rsidR="00177848" w:rsidRPr="00C6052E">
        <w:t xml:space="preserve"> </w:t>
      </w:r>
      <w:r w:rsidRPr="00C6052E">
        <w:t>assets</w:t>
      </w:r>
      <w:r w:rsidR="00177848" w:rsidRPr="00C6052E">
        <w:t xml:space="preserve"> </w:t>
      </w:r>
      <w:r w:rsidRPr="00C6052E">
        <w:t>under</w:t>
      </w:r>
      <w:r w:rsidR="00177848" w:rsidRPr="00C6052E">
        <w:t xml:space="preserve"> </w:t>
      </w:r>
      <w:r w:rsidRPr="00C6052E">
        <w:t>Recreation,</w:t>
      </w:r>
      <w:r w:rsidR="00177848" w:rsidRPr="00C6052E">
        <w:t xml:space="preserve"> </w:t>
      </w:r>
      <w:r w:rsidRPr="00C6052E">
        <w:t>Culture</w:t>
      </w:r>
      <w:r w:rsidR="00177848" w:rsidRPr="00C6052E">
        <w:t xml:space="preserve"> </w:t>
      </w:r>
      <w:r w:rsidRPr="00C6052E">
        <w:t>and</w:t>
      </w:r>
      <w:r w:rsidR="00177848" w:rsidRPr="00C6052E">
        <w:t xml:space="preserve"> </w:t>
      </w:r>
      <w:r w:rsidRPr="00C6052E">
        <w:t>Religion</w:t>
      </w:r>
      <w:r w:rsidR="00177848" w:rsidRPr="00C6052E">
        <w:t xml:space="preserve"> </w:t>
      </w:r>
      <w:r w:rsidRPr="00C6052E">
        <w:t>were</w:t>
      </w:r>
      <w:r w:rsidR="00177848" w:rsidRPr="00C6052E">
        <w:t xml:space="preserve"> </w:t>
      </w:r>
      <w:r w:rsidRPr="00C6052E">
        <w:t>last</w:t>
      </w:r>
      <w:r w:rsidR="00177848" w:rsidRPr="00C6052E">
        <w:t xml:space="preserve"> </w:t>
      </w:r>
      <w:r w:rsidRPr="00C6052E">
        <w:t>independently</w:t>
      </w:r>
      <w:r w:rsidR="00177848" w:rsidRPr="00C6052E">
        <w:t xml:space="preserve"> </w:t>
      </w:r>
      <w:r w:rsidRPr="00C6052E">
        <w:t>valued</w:t>
      </w:r>
      <w:r w:rsidR="00177848" w:rsidRPr="00C6052E">
        <w:t xml:space="preserve"> </w:t>
      </w:r>
      <w:r w:rsidRPr="00C6052E">
        <w:t>by</w:t>
      </w:r>
      <w:r w:rsidR="00177848" w:rsidRPr="00C6052E">
        <w:t xml:space="preserve"> </w:t>
      </w:r>
      <w:r w:rsidRPr="00C6052E">
        <w:t>the</w:t>
      </w:r>
      <w:r w:rsidR="00177848" w:rsidRPr="00C6052E">
        <w:t xml:space="preserve"> </w:t>
      </w:r>
      <w:r w:rsidRPr="00C6052E">
        <w:t>VGV</w:t>
      </w:r>
      <w:r w:rsidR="00177848" w:rsidRPr="00C6052E">
        <w:t xml:space="preserve"> </w:t>
      </w:r>
      <w:r w:rsidRPr="00C6052E">
        <w:t>in</w:t>
      </w:r>
      <w:r w:rsidR="00177848" w:rsidRPr="00C6052E">
        <w:t xml:space="preserve"> </w:t>
      </w:r>
      <w:r w:rsidRPr="00C6052E">
        <w:t>the</w:t>
      </w:r>
      <w:r w:rsidR="00177848" w:rsidRPr="00C6052E">
        <w:t xml:space="preserve"> </w:t>
      </w:r>
      <w:r w:rsidRPr="00C6052E">
        <w:t>FY2020–21</w:t>
      </w:r>
      <w:r w:rsidR="00177848" w:rsidRPr="00C6052E">
        <w:t xml:space="preserve"> </w:t>
      </w:r>
      <w:r w:rsidRPr="00C6052E">
        <w:t>and</w:t>
      </w:r>
      <w:r w:rsidR="00177848" w:rsidRPr="00C6052E">
        <w:t xml:space="preserve"> </w:t>
      </w:r>
      <w:r w:rsidRPr="00C6052E">
        <w:t>assets</w:t>
      </w:r>
      <w:r w:rsidR="00177848" w:rsidRPr="00C6052E">
        <w:t xml:space="preserve"> </w:t>
      </w:r>
      <w:r w:rsidRPr="00C6052E">
        <w:t>under</w:t>
      </w:r>
      <w:r w:rsidR="00177848" w:rsidRPr="00C6052E">
        <w:t xml:space="preserve"> </w:t>
      </w:r>
      <w:r w:rsidRPr="00C6052E">
        <w:t>Skills</w:t>
      </w:r>
      <w:r w:rsidR="00177848" w:rsidRPr="00C6052E">
        <w:t xml:space="preserve"> </w:t>
      </w:r>
      <w:r w:rsidRPr="00C6052E">
        <w:t>and</w:t>
      </w:r>
      <w:r w:rsidR="00177848" w:rsidRPr="00C6052E">
        <w:t xml:space="preserve"> </w:t>
      </w:r>
      <w:r w:rsidRPr="00C6052E">
        <w:t>Training</w:t>
      </w:r>
      <w:r w:rsidR="00177848" w:rsidRPr="00C6052E">
        <w:t xml:space="preserve"> </w:t>
      </w:r>
      <w:r w:rsidRPr="00C6052E">
        <w:t>category</w:t>
      </w:r>
      <w:r w:rsidR="00177848" w:rsidRPr="00C6052E">
        <w:t xml:space="preserve"> </w:t>
      </w:r>
      <w:r w:rsidRPr="00C6052E">
        <w:t>were</w:t>
      </w:r>
      <w:r w:rsidR="00177848" w:rsidRPr="00C6052E">
        <w:t xml:space="preserve"> </w:t>
      </w:r>
      <w:r w:rsidRPr="00C6052E">
        <w:t>last</w:t>
      </w:r>
      <w:r w:rsidR="00177848" w:rsidRPr="00C6052E">
        <w:t xml:space="preserve"> </w:t>
      </w:r>
      <w:r w:rsidRPr="00C6052E">
        <w:t>revalued</w:t>
      </w:r>
      <w:r w:rsidR="00177848" w:rsidRPr="00C6052E">
        <w:t xml:space="preserve"> </w:t>
      </w:r>
      <w:r w:rsidRPr="00C6052E">
        <w:t>in</w:t>
      </w:r>
      <w:r w:rsidR="00177848" w:rsidRPr="00C6052E">
        <w:t xml:space="preserve"> </w:t>
      </w:r>
      <w:r w:rsidRPr="00C6052E">
        <w:t>the</w:t>
      </w:r>
      <w:r w:rsidR="00177848" w:rsidRPr="00C6052E">
        <w:t xml:space="preserve"> </w:t>
      </w:r>
      <w:r w:rsidRPr="00C6052E">
        <w:t>FY2022–23.</w:t>
      </w:r>
      <w:r w:rsidR="00177848" w:rsidRPr="00C6052E">
        <w:t xml:space="preserve"> </w:t>
      </w:r>
      <w:r w:rsidRPr="00C6052E">
        <w:t>In</w:t>
      </w:r>
      <w:r w:rsidR="00177848" w:rsidRPr="00C6052E">
        <w:t xml:space="preserve"> </w:t>
      </w:r>
      <w:r w:rsidRPr="00C6052E">
        <w:t>accordance</w:t>
      </w:r>
      <w:r w:rsidR="00177848" w:rsidRPr="00C6052E">
        <w:t xml:space="preserve"> </w:t>
      </w:r>
      <w:r w:rsidRPr="00C6052E">
        <w:t>with</w:t>
      </w:r>
      <w:r w:rsidR="00177848" w:rsidRPr="00C6052E">
        <w:t xml:space="preserve"> </w:t>
      </w:r>
      <w:r w:rsidRPr="00C6052E">
        <w:t>Financial</w:t>
      </w:r>
      <w:r w:rsidR="00177848" w:rsidRPr="00C6052E">
        <w:t xml:space="preserve"> </w:t>
      </w:r>
      <w:r w:rsidRPr="00C6052E">
        <w:t>Reporting</w:t>
      </w:r>
      <w:r w:rsidR="00177848" w:rsidRPr="00C6052E">
        <w:t xml:space="preserve"> </w:t>
      </w:r>
      <w:r w:rsidRPr="00C6052E">
        <w:t>Direction</w:t>
      </w:r>
      <w:r w:rsidR="00177848" w:rsidRPr="00C6052E">
        <w:t xml:space="preserve"> </w:t>
      </w:r>
      <w:r w:rsidRPr="00C6052E">
        <w:t>(FRD)</w:t>
      </w:r>
      <w:r w:rsidR="00177848" w:rsidRPr="00C6052E">
        <w:t xml:space="preserve"> </w:t>
      </w:r>
      <w:r w:rsidRPr="00C6052E">
        <w:t>103</w:t>
      </w:r>
      <w:r w:rsidR="00177848" w:rsidRPr="00C6052E">
        <w:t xml:space="preserve"> </w:t>
      </w:r>
      <w:r w:rsidRPr="00C6052E">
        <w:t>–</w:t>
      </w:r>
      <w:r w:rsidR="00177848" w:rsidRPr="00C6052E">
        <w:t xml:space="preserve"> </w:t>
      </w:r>
      <w:r w:rsidRPr="00C6052E">
        <w:rPr>
          <w:rStyle w:val="Italics"/>
        </w:rPr>
        <w:t>Non–financial</w:t>
      </w:r>
      <w:r w:rsidR="00177848" w:rsidRPr="00C6052E">
        <w:rPr>
          <w:rStyle w:val="Italics"/>
        </w:rPr>
        <w:t xml:space="preserve"> </w:t>
      </w:r>
      <w:r w:rsidRPr="00C6052E">
        <w:rPr>
          <w:rStyle w:val="Italics"/>
        </w:rPr>
        <w:t>physical</w:t>
      </w:r>
      <w:r w:rsidR="00177848" w:rsidRPr="00C6052E">
        <w:rPr>
          <w:rStyle w:val="Italics"/>
        </w:rPr>
        <w:t xml:space="preserve"> </w:t>
      </w:r>
      <w:r w:rsidRPr="00C6052E">
        <w:rPr>
          <w:rStyle w:val="Italics"/>
        </w:rPr>
        <w:t>assets</w:t>
      </w:r>
      <w:r w:rsidRPr="00C6052E">
        <w:t>,</w:t>
      </w:r>
      <w:r w:rsidR="00177848" w:rsidRPr="00C6052E">
        <w:t xml:space="preserve"> </w:t>
      </w:r>
      <w:r w:rsidRPr="00C6052E">
        <w:t>DJSIR</w:t>
      </w:r>
      <w:r w:rsidR="00177848" w:rsidRPr="00C6052E">
        <w:t xml:space="preserve"> </w:t>
      </w:r>
      <w:r w:rsidRPr="00C6052E">
        <w:t>annually</w:t>
      </w:r>
      <w:r w:rsidR="00177848" w:rsidRPr="00C6052E">
        <w:t xml:space="preserve"> </w:t>
      </w:r>
      <w:r w:rsidRPr="00C6052E">
        <w:t>assesses</w:t>
      </w:r>
      <w:r w:rsidR="00177848" w:rsidRPr="00C6052E">
        <w:t xml:space="preserve"> </w:t>
      </w:r>
      <w:r w:rsidRPr="00C6052E">
        <w:t>the</w:t>
      </w:r>
      <w:r w:rsidR="00177848" w:rsidRPr="00C6052E">
        <w:t xml:space="preserve"> </w:t>
      </w:r>
      <w:r w:rsidRPr="00C6052E">
        <w:t>fair</w:t>
      </w:r>
      <w:r w:rsidR="00177848" w:rsidRPr="00C6052E">
        <w:t xml:space="preserve"> </w:t>
      </w:r>
      <w:r w:rsidRPr="00C6052E">
        <w:t>values</w:t>
      </w:r>
      <w:r w:rsidR="00177848" w:rsidRPr="00C6052E">
        <w:t xml:space="preserve"> </w:t>
      </w:r>
      <w:r w:rsidRPr="00C6052E">
        <w:t>of</w:t>
      </w:r>
      <w:r w:rsidR="00177848" w:rsidRPr="00C6052E">
        <w:t xml:space="preserve"> </w:t>
      </w:r>
      <w:r w:rsidRPr="00C6052E">
        <w:t>its</w:t>
      </w:r>
      <w:r w:rsidR="00177848" w:rsidRPr="00C6052E">
        <w:t xml:space="preserve"> </w:t>
      </w:r>
      <w:r w:rsidRPr="00C6052E">
        <w:t>land</w:t>
      </w:r>
      <w:r w:rsidR="00177848" w:rsidRPr="00C6052E">
        <w:t xml:space="preserve"> </w:t>
      </w:r>
      <w:r w:rsidRPr="00C6052E">
        <w:t>and</w:t>
      </w:r>
      <w:r w:rsidR="00177848" w:rsidRPr="00C6052E">
        <w:t xml:space="preserve"> </w:t>
      </w:r>
      <w:r w:rsidRPr="00C6052E">
        <w:t>buildings</w:t>
      </w:r>
      <w:r w:rsidR="00177848" w:rsidRPr="00C6052E">
        <w:t xml:space="preserve"> </w:t>
      </w:r>
      <w:r w:rsidRPr="00C6052E">
        <w:t>using</w:t>
      </w:r>
      <w:r w:rsidR="00177848" w:rsidRPr="00C6052E">
        <w:t xml:space="preserve"> </w:t>
      </w:r>
      <w:r w:rsidRPr="00C6052E">
        <w:t>indices</w:t>
      </w:r>
      <w:r w:rsidR="00177848" w:rsidRPr="00C6052E">
        <w:t xml:space="preserve"> </w:t>
      </w:r>
      <w:r w:rsidRPr="00C6052E">
        <w:t>recommended</w:t>
      </w:r>
      <w:r w:rsidR="00177848" w:rsidRPr="00C6052E">
        <w:t xml:space="preserve"> </w:t>
      </w:r>
      <w:r w:rsidRPr="00C6052E">
        <w:t>by</w:t>
      </w:r>
      <w:r w:rsidR="00177848" w:rsidRPr="00C6052E">
        <w:t xml:space="preserve"> </w:t>
      </w:r>
      <w:r w:rsidRPr="00C6052E">
        <w:t>the</w:t>
      </w:r>
      <w:r w:rsidR="00177848" w:rsidRPr="00C6052E">
        <w:t xml:space="preserve"> </w:t>
      </w:r>
      <w:r w:rsidRPr="00C6052E">
        <w:t>VGV.</w:t>
      </w:r>
      <w:r w:rsidR="00177848" w:rsidRPr="00C6052E">
        <w:t xml:space="preserve"> </w:t>
      </w:r>
    </w:p>
    <w:p w14:paraId="0F50C311" w14:textId="4B7C982C" w:rsidR="00EE5BB8" w:rsidRPr="00C6052E" w:rsidRDefault="00C6052E" w:rsidP="00914AF9">
      <w:pPr>
        <w:pStyle w:val="Heading4"/>
      </w:pPr>
      <w:r w:rsidRPr="00C6052E">
        <w:t>Non</w:t>
      </w:r>
      <w:r w:rsidR="00EE5BB8" w:rsidRPr="00C6052E">
        <w:t>–</w:t>
      </w:r>
      <w:r w:rsidRPr="00C6052E">
        <w:t>specialised</w:t>
      </w:r>
      <w:r w:rsidR="00177848" w:rsidRPr="00C6052E">
        <w:t xml:space="preserve"> </w:t>
      </w:r>
      <w:r w:rsidRPr="00C6052E">
        <w:t>land</w:t>
      </w:r>
    </w:p>
    <w:p w14:paraId="28581AA0" w14:textId="519FAB28" w:rsidR="00EE5BB8" w:rsidRPr="00C6052E" w:rsidRDefault="00EE5BB8" w:rsidP="00EE5BB8">
      <w:r w:rsidRPr="00C6052E">
        <w:t>Non–specialised</w:t>
      </w:r>
      <w:r w:rsidR="00177848" w:rsidRPr="00C6052E">
        <w:t xml:space="preserve"> </w:t>
      </w:r>
      <w:r w:rsidRPr="00C6052E">
        <w:t>land</w:t>
      </w:r>
      <w:r w:rsidR="00177848" w:rsidRPr="00C6052E">
        <w:t xml:space="preserve"> </w:t>
      </w:r>
      <w:r w:rsidRPr="00C6052E">
        <w:t>is</w:t>
      </w:r>
      <w:r w:rsidR="00177848" w:rsidRPr="00C6052E">
        <w:t xml:space="preserve"> </w:t>
      </w:r>
      <w:r w:rsidRPr="00C6052E">
        <w:t>valued</w:t>
      </w:r>
      <w:r w:rsidR="00177848" w:rsidRPr="00C6052E">
        <w:t xml:space="preserve"> </w:t>
      </w:r>
      <w:r w:rsidRPr="00C6052E">
        <w:t>using</w:t>
      </w:r>
      <w:r w:rsidR="00177848" w:rsidRPr="00C6052E">
        <w:t xml:space="preserve"> </w:t>
      </w:r>
      <w:r w:rsidRPr="00C6052E">
        <w:t>market</w:t>
      </w:r>
      <w:r w:rsidR="00177848" w:rsidRPr="00C6052E">
        <w:t xml:space="preserve"> </w:t>
      </w:r>
      <w:r w:rsidRPr="00C6052E">
        <w:t>approach.</w:t>
      </w:r>
      <w:r w:rsidR="00177848" w:rsidRPr="00C6052E">
        <w:t xml:space="preserve"> </w:t>
      </w:r>
      <w:r w:rsidRPr="00C6052E">
        <w:t>Under</w:t>
      </w:r>
      <w:r w:rsidR="00177848" w:rsidRPr="00C6052E">
        <w:t xml:space="preserve"> </w:t>
      </w:r>
      <w:r w:rsidRPr="00C6052E">
        <w:t>this</w:t>
      </w:r>
      <w:r w:rsidR="00177848" w:rsidRPr="00C6052E">
        <w:t xml:space="preserve"> </w:t>
      </w:r>
      <w:r w:rsidRPr="00C6052E">
        <w:t>valuation</w:t>
      </w:r>
      <w:r w:rsidR="00177848" w:rsidRPr="00C6052E">
        <w:t xml:space="preserve"> </w:t>
      </w:r>
      <w:r w:rsidRPr="00C6052E">
        <w:t>method,</w:t>
      </w:r>
      <w:r w:rsidR="00177848" w:rsidRPr="00C6052E">
        <w:t xml:space="preserve"> </w:t>
      </w:r>
      <w:r w:rsidRPr="00C6052E">
        <w:t>the</w:t>
      </w:r>
      <w:r w:rsidR="00177848" w:rsidRPr="00C6052E">
        <w:t xml:space="preserve"> </w:t>
      </w:r>
      <w:r w:rsidRPr="00C6052E">
        <w:t>assets</w:t>
      </w:r>
      <w:r w:rsidR="00177848" w:rsidRPr="00C6052E">
        <w:t xml:space="preserve"> </w:t>
      </w:r>
      <w:r w:rsidRPr="00C6052E">
        <w:t>are</w:t>
      </w:r>
      <w:r w:rsidR="00177848" w:rsidRPr="00C6052E">
        <w:t xml:space="preserve"> </w:t>
      </w:r>
      <w:r w:rsidRPr="00C6052E">
        <w:t>compared</w:t>
      </w:r>
      <w:r w:rsidR="00177848" w:rsidRPr="00C6052E">
        <w:t xml:space="preserve"> </w:t>
      </w:r>
      <w:r w:rsidRPr="00C6052E">
        <w:t>to</w:t>
      </w:r>
      <w:r w:rsidR="00177848" w:rsidRPr="00C6052E">
        <w:t xml:space="preserve"> </w:t>
      </w:r>
      <w:r w:rsidRPr="00C6052E">
        <w:t>recent</w:t>
      </w:r>
      <w:r w:rsidR="00177848" w:rsidRPr="00C6052E">
        <w:t xml:space="preserve"> </w:t>
      </w:r>
      <w:r w:rsidRPr="00C6052E">
        <w:t>comparable</w:t>
      </w:r>
      <w:r w:rsidR="00177848" w:rsidRPr="00C6052E">
        <w:t xml:space="preserve"> </w:t>
      </w:r>
      <w:r w:rsidRPr="00C6052E">
        <w:t>sales</w:t>
      </w:r>
      <w:r w:rsidR="00177848" w:rsidRPr="00C6052E">
        <w:t xml:space="preserve"> </w:t>
      </w:r>
      <w:r w:rsidRPr="00C6052E">
        <w:t>or</w:t>
      </w:r>
      <w:r w:rsidR="00177848" w:rsidRPr="00C6052E">
        <w:t xml:space="preserve"> </w:t>
      </w:r>
      <w:r w:rsidRPr="00C6052E">
        <w:t>sales</w:t>
      </w:r>
      <w:r w:rsidR="00177848" w:rsidRPr="00C6052E">
        <w:t xml:space="preserve"> </w:t>
      </w:r>
      <w:r w:rsidRPr="00C6052E">
        <w:t>of</w:t>
      </w:r>
      <w:r w:rsidR="00177848" w:rsidRPr="00C6052E">
        <w:t xml:space="preserve"> </w:t>
      </w:r>
      <w:r w:rsidRPr="00C6052E">
        <w:t>comparable</w:t>
      </w:r>
      <w:r w:rsidR="00177848" w:rsidRPr="00C6052E">
        <w:t xml:space="preserve"> </w:t>
      </w:r>
      <w:r w:rsidRPr="00C6052E">
        <w:t>assets</w:t>
      </w:r>
      <w:r w:rsidR="00177848" w:rsidRPr="00C6052E">
        <w:t xml:space="preserve"> </w:t>
      </w:r>
      <w:r w:rsidRPr="00C6052E">
        <w:t>which</w:t>
      </w:r>
      <w:r w:rsidR="00177848" w:rsidRPr="00C6052E">
        <w:t xml:space="preserve"> </w:t>
      </w:r>
      <w:r w:rsidRPr="00C6052E">
        <w:t>are</w:t>
      </w:r>
      <w:r w:rsidR="00177848" w:rsidRPr="00C6052E">
        <w:t xml:space="preserve"> </w:t>
      </w:r>
      <w:r w:rsidRPr="00C6052E">
        <w:t>considered</w:t>
      </w:r>
      <w:r w:rsidR="00177848" w:rsidRPr="00C6052E">
        <w:t xml:space="preserve"> </w:t>
      </w:r>
      <w:r w:rsidRPr="00C6052E">
        <w:t>to</w:t>
      </w:r>
      <w:r w:rsidR="00177848" w:rsidRPr="00C6052E">
        <w:t xml:space="preserve"> </w:t>
      </w:r>
      <w:r w:rsidRPr="00C6052E">
        <w:t>have</w:t>
      </w:r>
      <w:r w:rsidR="00177848" w:rsidRPr="00C6052E">
        <w:t xml:space="preserve"> </w:t>
      </w:r>
      <w:r w:rsidRPr="00C6052E">
        <w:t>nominal</w:t>
      </w:r>
      <w:r w:rsidR="00177848" w:rsidRPr="00C6052E">
        <w:t xml:space="preserve"> </w:t>
      </w:r>
      <w:r w:rsidRPr="00C6052E">
        <w:t>or</w:t>
      </w:r>
      <w:r w:rsidR="00177848" w:rsidRPr="00C6052E">
        <w:t xml:space="preserve"> </w:t>
      </w:r>
      <w:r w:rsidRPr="00C6052E">
        <w:t>no</w:t>
      </w:r>
      <w:r w:rsidR="00177848" w:rsidRPr="00C6052E">
        <w:t xml:space="preserve"> </w:t>
      </w:r>
      <w:r w:rsidRPr="00C6052E">
        <w:t>added</w:t>
      </w:r>
      <w:r w:rsidR="00177848" w:rsidRPr="00C6052E">
        <w:t xml:space="preserve"> </w:t>
      </w:r>
      <w:r w:rsidRPr="00C6052E">
        <w:t>improvement</w:t>
      </w:r>
      <w:r w:rsidR="00177848" w:rsidRPr="00C6052E">
        <w:t xml:space="preserve"> </w:t>
      </w:r>
      <w:r w:rsidRPr="00C6052E">
        <w:t>value.</w:t>
      </w:r>
    </w:p>
    <w:p w14:paraId="57022F7C" w14:textId="06D48C85" w:rsidR="00EE5BB8" w:rsidRPr="00C6052E" w:rsidRDefault="00EE5BB8" w:rsidP="00EE5BB8">
      <w:r w:rsidRPr="00C6052E">
        <w:t>An</w:t>
      </w:r>
      <w:r w:rsidR="00177848" w:rsidRPr="00C6052E">
        <w:t xml:space="preserve"> </w:t>
      </w:r>
      <w:r w:rsidRPr="00C6052E">
        <w:t>independent</w:t>
      </w:r>
      <w:r w:rsidR="00177848" w:rsidRPr="00C6052E">
        <w:t xml:space="preserve"> </w:t>
      </w:r>
      <w:r w:rsidRPr="00C6052E">
        <w:t>valuation</w:t>
      </w:r>
      <w:r w:rsidR="00177848" w:rsidRPr="00C6052E">
        <w:t xml:space="preserve"> </w:t>
      </w:r>
      <w:r w:rsidRPr="00C6052E">
        <w:t>is</w:t>
      </w:r>
      <w:r w:rsidR="00177848" w:rsidRPr="00C6052E">
        <w:t xml:space="preserve"> </w:t>
      </w:r>
      <w:r w:rsidRPr="00C6052E">
        <w:t>performed</w:t>
      </w:r>
      <w:r w:rsidR="00177848" w:rsidRPr="00C6052E">
        <w:t xml:space="preserve"> </w:t>
      </w:r>
      <w:r w:rsidRPr="00C6052E">
        <w:t>by</w:t>
      </w:r>
      <w:r w:rsidR="00177848" w:rsidRPr="00C6052E">
        <w:t xml:space="preserve"> </w:t>
      </w:r>
      <w:r w:rsidRPr="00C6052E">
        <w:t>the</w:t>
      </w:r>
      <w:r w:rsidR="00177848" w:rsidRPr="00C6052E">
        <w:t xml:space="preserve"> </w:t>
      </w:r>
      <w:r w:rsidRPr="00C6052E">
        <w:t>Valuer-General</w:t>
      </w:r>
      <w:r w:rsidR="00177848" w:rsidRPr="00C6052E">
        <w:t xml:space="preserve"> </w:t>
      </w:r>
      <w:r w:rsidRPr="00C6052E">
        <w:t>Victoria</w:t>
      </w:r>
      <w:r w:rsidR="00177848" w:rsidRPr="00C6052E">
        <w:t xml:space="preserve"> </w:t>
      </w:r>
      <w:r w:rsidRPr="00C6052E">
        <w:t>(VGV)</w:t>
      </w:r>
      <w:r w:rsidR="00177848" w:rsidRPr="00C6052E">
        <w:t xml:space="preserve"> </w:t>
      </w:r>
      <w:r w:rsidRPr="00C6052E">
        <w:t>to</w:t>
      </w:r>
      <w:r w:rsidR="00177848" w:rsidRPr="00C6052E">
        <w:t xml:space="preserve"> </w:t>
      </w:r>
      <w:r w:rsidRPr="00C6052E">
        <w:t>determine</w:t>
      </w:r>
      <w:r w:rsidR="00177848" w:rsidRPr="00C6052E">
        <w:t xml:space="preserve"> </w:t>
      </w:r>
      <w:r w:rsidRPr="00C6052E">
        <w:t>the</w:t>
      </w:r>
      <w:r w:rsidR="00177848" w:rsidRPr="00C6052E">
        <w:t xml:space="preserve"> </w:t>
      </w:r>
      <w:r w:rsidRPr="00C6052E">
        <w:t>fair</w:t>
      </w:r>
      <w:r w:rsidR="00177848" w:rsidRPr="00C6052E">
        <w:t xml:space="preserve"> </w:t>
      </w:r>
      <w:r w:rsidRPr="00C6052E">
        <w:t>value</w:t>
      </w:r>
      <w:r w:rsidR="00177848" w:rsidRPr="00C6052E">
        <w:t xml:space="preserve"> </w:t>
      </w:r>
      <w:r w:rsidRPr="00C6052E">
        <w:t>using</w:t>
      </w:r>
      <w:r w:rsidR="00177848" w:rsidRPr="00C6052E">
        <w:t xml:space="preserve"> </w:t>
      </w:r>
      <w:r w:rsidRPr="00C6052E">
        <w:t>the</w:t>
      </w:r>
      <w:r w:rsidR="00177848" w:rsidRPr="00C6052E">
        <w:t xml:space="preserve"> </w:t>
      </w:r>
      <w:r w:rsidRPr="00C6052E">
        <w:t>market</w:t>
      </w:r>
      <w:r w:rsidR="00177848" w:rsidRPr="00C6052E">
        <w:t xml:space="preserve"> </w:t>
      </w:r>
      <w:r w:rsidRPr="00C6052E">
        <w:t>approach.</w:t>
      </w:r>
      <w:r w:rsidR="00177848" w:rsidRPr="00C6052E">
        <w:t xml:space="preserve"> </w:t>
      </w:r>
      <w:r w:rsidRPr="00C6052E">
        <w:t>Valuation</w:t>
      </w:r>
      <w:r w:rsidR="00177848" w:rsidRPr="00C6052E">
        <w:t xml:space="preserve"> </w:t>
      </w:r>
      <w:r w:rsidRPr="00C6052E">
        <w:t>of</w:t>
      </w:r>
      <w:r w:rsidR="00177848" w:rsidRPr="00C6052E">
        <w:t xml:space="preserve"> </w:t>
      </w:r>
      <w:r w:rsidRPr="00C6052E">
        <w:t>the</w:t>
      </w:r>
      <w:r w:rsidR="00177848" w:rsidRPr="00C6052E">
        <w:t xml:space="preserve"> </w:t>
      </w:r>
      <w:r w:rsidRPr="00C6052E">
        <w:t>assets</w:t>
      </w:r>
      <w:r w:rsidR="00177848" w:rsidRPr="00C6052E">
        <w:t xml:space="preserve"> </w:t>
      </w:r>
      <w:r w:rsidRPr="00C6052E">
        <w:t>is</w:t>
      </w:r>
      <w:r w:rsidR="00177848" w:rsidRPr="00C6052E">
        <w:t xml:space="preserve"> </w:t>
      </w:r>
      <w:r w:rsidRPr="00C6052E">
        <w:t>determined</w:t>
      </w:r>
      <w:r w:rsidR="00177848" w:rsidRPr="00C6052E">
        <w:t xml:space="preserve"> </w:t>
      </w:r>
      <w:r w:rsidRPr="00C6052E">
        <w:t>by</w:t>
      </w:r>
      <w:r w:rsidR="00177848" w:rsidRPr="00C6052E">
        <w:t xml:space="preserve"> </w:t>
      </w:r>
      <w:r w:rsidRPr="00C6052E">
        <w:t>analysing</w:t>
      </w:r>
      <w:r w:rsidR="00177848" w:rsidRPr="00C6052E">
        <w:t xml:space="preserve"> </w:t>
      </w:r>
      <w:r w:rsidRPr="00C6052E">
        <w:t>comparable</w:t>
      </w:r>
      <w:r w:rsidR="00177848" w:rsidRPr="00C6052E">
        <w:t xml:space="preserve"> </w:t>
      </w:r>
      <w:r w:rsidRPr="00C6052E">
        <w:t>sales</w:t>
      </w:r>
      <w:r w:rsidR="00177848" w:rsidRPr="00C6052E">
        <w:t xml:space="preserve"> </w:t>
      </w:r>
      <w:r w:rsidRPr="00C6052E">
        <w:t>and</w:t>
      </w:r>
      <w:r w:rsidR="00177848" w:rsidRPr="00C6052E">
        <w:t xml:space="preserve"> </w:t>
      </w:r>
      <w:r w:rsidRPr="00C6052E">
        <w:t>allowing</w:t>
      </w:r>
      <w:r w:rsidR="00177848" w:rsidRPr="00C6052E">
        <w:t xml:space="preserve"> </w:t>
      </w:r>
      <w:r w:rsidRPr="00C6052E">
        <w:t>for</w:t>
      </w:r>
      <w:r w:rsidR="00177848" w:rsidRPr="00C6052E">
        <w:t xml:space="preserve"> </w:t>
      </w:r>
      <w:r w:rsidRPr="00C6052E">
        <w:t>share,</w:t>
      </w:r>
      <w:r w:rsidR="00177848" w:rsidRPr="00C6052E">
        <w:t xml:space="preserve"> </w:t>
      </w:r>
      <w:r w:rsidRPr="00C6052E">
        <w:t>size,</w:t>
      </w:r>
      <w:r w:rsidR="00177848" w:rsidRPr="00C6052E">
        <w:t xml:space="preserve"> </w:t>
      </w:r>
      <w:r w:rsidRPr="00C6052E">
        <w:t>topography,</w:t>
      </w:r>
      <w:r w:rsidR="00177848" w:rsidRPr="00C6052E">
        <w:t xml:space="preserve"> </w:t>
      </w:r>
      <w:r w:rsidRPr="00C6052E">
        <w:t>location,</w:t>
      </w:r>
      <w:r w:rsidR="00177848" w:rsidRPr="00C6052E">
        <w:t xml:space="preserve"> </w:t>
      </w:r>
      <w:r w:rsidRPr="00C6052E">
        <w:t>and</w:t>
      </w:r>
      <w:r w:rsidR="00177848" w:rsidRPr="00C6052E">
        <w:t xml:space="preserve"> </w:t>
      </w:r>
      <w:r w:rsidRPr="00C6052E">
        <w:t>other</w:t>
      </w:r>
      <w:r w:rsidR="00177848" w:rsidRPr="00C6052E">
        <w:t xml:space="preserve"> </w:t>
      </w:r>
      <w:r w:rsidRPr="00C6052E">
        <w:t>relevant</w:t>
      </w:r>
      <w:r w:rsidR="00177848" w:rsidRPr="00C6052E">
        <w:t xml:space="preserve"> </w:t>
      </w:r>
      <w:r w:rsidRPr="00C6052E">
        <w:t>factors</w:t>
      </w:r>
      <w:r w:rsidR="00177848" w:rsidRPr="00C6052E">
        <w:t xml:space="preserve"> </w:t>
      </w:r>
      <w:r w:rsidRPr="00C6052E">
        <w:t>specific</w:t>
      </w:r>
      <w:r w:rsidR="00177848" w:rsidRPr="00C6052E">
        <w:t xml:space="preserve"> </w:t>
      </w:r>
      <w:r w:rsidRPr="00C6052E">
        <w:t>to</w:t>
      </w:r>
      <w:r w:rsidR="00177848" w:rsidRPr="00C6052E">
        <w:t xml:space="preserve"> </w:t>
      </w:r>
      <w:r w:rsidRPr="00C6052E">
        <w:t>the</w:t>
      </w:r>
      <w:r w:rsidR="00177848" w:rsidRPr="00C6052E">
        <w:t xml:space="preserve"> </w:t>
      </w:r>
      <w:r w:rsidRPr="00C6052E">
        <w:t>asset</w:t>
      </w:r>
      <w:r w:rsidR="00177848" w:rsidRPr="00C6052E">
        <w:t xml:space="preserve"> </w:t>
      </w:r>
      <w:r w:rsidRPr="00C6052E">
        <w:t>being</w:t>
      </w:r>
      <w:r w:rsidR="00177848" w:rsidRPr="00C6052E">
        <w:t xml:space="preserve"> </w:t>
      </w:r>
      <w:r w:rsidRPr="00C6052E">
        <w:t>valued.</w:t>
      </w:r>
      <w:r w:rsidR="00177848" w:rsidRPr="00C6052E">
        <w:t xml:space="preserve"> </w:t>
      </w:r>
      <w:r w:rsidRPr="00C6052E">
        <w:t>From</w:t>
      </w:r>
      <w:r w:rsidR="00177848" w:rsidRPr="00C6052E">
        <w:t xml:space="preserve"> </w:t>
      </w:r>
      <w:r w:rsidRPr="00C6052E">
        <w:t>the</w:t>
      </w:r>
      <w:r w:rsidR="00177848" w:rsidRPr="00C6052E">
        <w:t xml:space="preserve"> </w:t>
      </w:r>
      <w:r w:rsidRPr="00C6052E">
        <w:t>sales</w:t>
      </w:r>
      <w:r w:rsidR="00177848" w:rsidRPr="00C6052E">
        <w:t xml:space="preserve"> </w:t>
      </w:r>
      <w:r w:rsidRPr="00C6052E">
        <w:t>analysed,</w:t>
      </w:r>
      <w:r w:rsidR="00177848" w:rsidRPr="00C6052E">
        <w:t xml:space="preserve"> </w:t>
      </w:r>
      <w:r w:rsidRPr="00C6052E">
        <w:t>an</w:t>
      </w:r>
      <w:r w:rsidR="00177848" w:rsidRPr="00C6052E">
        <w:t xml:space="preserve"> </w:t>
      </w:r>
      <w:r w:rsidRPr="00C6052E">
        <w:t>appropriate</w:t>
      </w:r>
      <w:r w:rsidR="00177848" w:rsidRPr="00C6052E">
        <w:t xml:space="preserve"> </w:t>
      </w:r>
      <w:r w:rsidRPr="00C6052E">
        <w:t>rate</w:t>
      </w:r>
      <w:r w:rsidR="00177848" w:rsidRPr="00C6052E">
        <w:t xml:space="preserve"> </w:t>
      </w:r>
      <w:r w:rsidRPr="00C6052E">
        <w:t>per</w:t>
      </w:r>
      <w:r w:rsidR="00177848" w:rsidRPr="00C6052E">
        <w:t xml:space="preserve"> </w:t>
      </w:r>
      <w:r w:rsidRPr="00C6052E">
        <w:t>square</w:t>
      </w:r>
      <w:r w:rsidR="00177848" w:rsidRPr="00C6052E">
        <w:t xml:space="preserve"> </w:t>
      </w:r>
      <w:r w:rsidRPr="00C6052E">
        <w:t>metre</w:t>
      </w:r>
      <w:r w:rsidR="00177848" w:rsidRPr="00C6052E">
        <w:t xml:space="preserve"> </w:t>
      </w:r>
      <w:r w:rsidRPr="00C6052E">
        <w:t>has</w:t>
      </w:r>
      <w:r w:rsidR="00177848" w:rsidRPr="00C6052E">
        <w:t xml:space="preserve"> </w:t>
      </w:r>
      <w:r w:rsidRPr="00C6052E">
        <w:t>been</w:t>
      </w:r>
      <w:r w:rsidR="00177848" w:rsidRPr="00C6052E">
        <w:t xml:space="preserve"> </w:t>
      </w:r>
      <w:r w:rsidRPr="00C6052E">
        <w:t>applied</w:t>
      </w:r>
      <w:r w:rsidR="00177848" w:rsidRPr="00C6052E">
        <w:t xml:space="preserve"> </w:t>
      </w:r>
      <w:r w:rsidRPr="00C6052E">
        <w:t>to</w:t>
      </w:r>
      <w:r w:rsidR="00177848" w:rsidRPr="00C6052E">
        <w:t xml:space="preserve"> </w:t>
      </w:r>
      <w:r w:rsidRPr="00C6052E">
        <w:t>the</w:t>
      </w:r>
      <w:r w:rsidR="00177848" w:rsidRPr="00C6052E">
        <w:t xml:space="preserve"> </w:t>
      </w:r>
      <w:r w:rsidRPr="00C6052E">
        <w:t>subject</w:t>
      </w:r>
      <w:r w:rsidR="00177848" w:rsidRPr="00C6052E">
        <w:t xml:space="preserve"> </w:t>
      </w:r>
      <w:r w:rsidRPr="00C6052E">
        <w:t>asset.</w:t>
      </w:r>
      <w:r w:rsidR="00177848" w:rsidRPr="00C6052E">
        <w:t xml:space="preserve"> </w:t>
      </w:r>
    </w:p>
    <w:p w14:paraId="09E48D34" w14:textId="5A4FA43D" w:rsidR="00EE5BB8" w:rsidRPr="00C6052E" w:rsidRDefault="00EE5BB8" w:rsidP="00EE5BB8">
      <w:r w:rsidRPr="00C6052E">
        <w:t>To</w:t>
      </w:r>
      <w:r w:rsidR="00177848" w:rsidRPr="00C6052E">
        <w:t xml:space="preserve"> </w:t>
      </w:r>
      <w:r w:rsidRPr="00C6052E">
        <w:t>the</w:t>
      </w:r>
      <w:r w:rsidR="00177848" w:rsidRPr="00C6052E">
        <w:t xml:space="preserve"> </w:t>
      </w:r>
      <w:r w:rsidRPr="00C6052E">
        <w:t>extent</w:t>
      </w:r>
      <w:r w:rsidR="00177848" w:rsidRPr="00C6052E">
        <w:t xml:space="preserve"> </w:t>
      </w:r>
      <w:r w:rsidRPr="00C6052E">
        <w:t>that</w:t>
      </w:r>
      <w:r w:rsidR="00177848" w:rsidRPr="00C6052E">
        <w:t xml:space="preserve"> </w:t>
      </w:r>
      <w:r w:rsidRPr="00C6052E">
        <w:t>non–specialised</w:t>
      </w:r>
      <w:r w:rsidR="00177848" w:rsidRPr="00C6052E">
        <w:t xml:space="preserve"> </w:t>
      </w:r>
      <w:r w:rsidRPr="00C6052E">
        <w:t>land</w:t>
      </w:r>
      <w:r w:rsidR="00177848" w:rsidRPr="00C6052E">
        <w:t xml:space="preserve"> </w:t>
      </w:r>
      <w:r w:rsidRPr="00C6052E">
        <w:t>do</w:t>
      </w:r>
      <w:r w:rsidR="00177848" w:rsidRPr="00C6052E">
        <w:t xml:space="preserve"> </w:t>
      </w:r>
      <w:r w:rsidRPr="00C6052E">
        <w:t>not</w:t>
      </w:r>
      <w:r w:rsidR="00177848" w:rsidRPr="00C6052E">
        <w:t xml:space="preserve"> </w:t>
      </w:r>
      <w:r w:rsidRPr="00C6052E">
        <w:t>contain</w:t>
      </w:r>
      <w:r w:rsidR="00177848" w:rsidRPr="00C6052E">
        <w:t xml:space="preserve"> </w:t>
      </w:r>
      <w:r w:rsidRPr="00C6052E">
        <w:t>significant,</w:t>
      </w:r>
      <w:r w:rsidR="00177848" w:rsidRPr="00C6052E">
        <w:t xml:space="preserve"> </w:t>
      </w:r>
      <w:r w:rsidRPr="00C6052E">
        <w:t>unobservable</w:t>
      </w:r>
      <w:r w:rsidR="00177848" w:rsidRPr="00C6052E">
        <w:t xml:space="preserve"> </w:t>
      </w:r>
      <w:r w:rsidRPr="00C6052E">
        <w:t>adjustments,</w:t>
      </w:r>
      <w:r w:rsidR="00177848" w:rsidRPr="00C6052E">
        <w:t xml:space="preserve"> </w:t>
      </w:r>
      <w:r w:rsidRPr="00C6052E">
        <w:t>these</w:t>
      </w:r>
      <w:r w:rsidR="00177848" w:rsidRPr="00C6052E">
        <w:t xml:space="preserve"> </w:t>
      </w:r>
      <w:r w:rsidRPr="00C6052E">
        <w:t>assets</w:t>
      </w:r>
      <w:r w:rsidR="00177848" w:rsidRPr="00C6052E">
        <w:t xml:space="preserve"> </w:t>
      </w:r>
      <w:r w:rsidRPr="00C6052E">
        <w:t>are</w:t>
      </w:r>
      <w:r w:rsidR="00177848" w:rsidRPr="00C6052E">
        <w:t xml:space="preserve"> </w:t>
      </w:r>
      <w:r w:rsidRPr="00C6052E">
        <w:t>classified</w:t>
      </w:r>
      <w:r w:rsidR="00177848" w:rsidRPr="00C6052E">
        <w:t xml:space="preserve"> </w:t>
      </w:r>
      <w:r w:rsidRPr="00C6052E">
        <w:t>as</w:t>
      </w:r>
      <w:r w:rsidR="00177848" w:rsidRPr="00C6052E">
        <w:t xml:space="preserve"> </w:t>
      </w:r>
      <w:r w:rsidRPr="00C6052E">
        <w:t>level</w:t>
      </w:r>
      <w:r w:rsidR="00177848" w:rsidRPr="00C6052E">
        <w:t xml:space="preserve"> </w:t>
      </w:r>
      <w:r w:rsidRPr="00C6052E">
        <w:t>2</w:t>
      </w:r>
      <w:r w:rsidR="00177848" w:rsidRPr="00C6052E">
        <w:t xml:space="preserve"> </w:t>
      </w:r>
      <w:r w:rsidRPr="00C6052E">
        <w:t>under</w:t>
      </w:r>
      <w:r w:rsidR="00177848" w:rsidRPr="00C6052E">
        <w:t xml:space="preserve"> </w:t>
      </w:r>
      <w:r w:rsidRPr="00C6052E">
        <w:t>the</w:t>
      </w:r>
      <w:r w:rsidR="00177848" w:rsidRPr="00C6052E">
        <w:t xml:space="preserve"> </w:t>
      </w:r>
      <w:r w:rsidRPr="00C6052E">
        <w:t>market</w:t>
      </w:r>
      <w:r w:rsidR="00177848" w:rsidRPr="00C6052E">
        <w:t xml:space="preserve"> </w:t>
      </w:r>
      <w:r w:rsidRPr="00C6052E">
        <w:t>approach.</w:t>
      </w:r>
    </w:p>
    <w:p w14:paraId="2009BF9C" w14:textId="241D3F87" w:rsidR="00EE5BB8" w:rsidRPr="00C6052E" w:rsidRDefault="00C6052E" w:rsidP="00914AF9">
      <w:pPr>
        <w:pStyle w:val="Heading4"/>
      </w:pPr>
      <w:r w:rsidRPr="00C6052E">
        <w:t>Specialised</w:t>
      </w:r>
      <w:r w:rsidR="00177848" w:rsidRPr="00C6052E">
        <w:t xml:space="preserve"> </w:t>
      </w:r>
      <w:r w:rsidRPr="00C6052E">
        <w:t>land</w:t>
      </w:r>
      <w:r w:rsidR="00177848" w:rsidRPr="00C6052E">
        <w:t xml:space="preserve"> </w:t>
      </w:r>
      <w:r w:rsidRPr="00C6052E">
        <w:t>and</w:t>
      </w:r>
      <w:r w:rsidR="00177848" w:rsidRPr="00C6052E">
        <w:t xml:space="preserve"> </w:t>
      </w:r>
      <w:r w:rsidRPr="00C6052E">
        <w:t>specialised</w:t>
      </w:r>
      <w:r w:rsidR="00177848" w:rsidRPr="00C6052E">
        <w:t xml:space="preserve"> </w:t>
      </w:r>
      <w:r w:rsidRPr="00C6052E">
        <w:t>buildings</w:t>
      </w:r>
    </w:p>
    <w:p w14:paraId="31089498" w14:textId="7671DA6A" w:rsidR="00EE5BB8" w:rsidRPr="00C6052E" w:rsidRDefault="00EE5BB8" w:rsidP="00EE5BB8">
      <w:r w:rsidRPr="00C6052E">
        <w:t>The</w:t>
      </w:r>
      <w:r w:rsidR="00177848" w:rsidRPr="00C6052E">
        <w:t xml:space="preserve"> </w:t>
      </w:r>
      <w:r w:rsidRPr="00C6052E">
        <w:t>market</w:t>
      </w:r>
      <w:r w:rsidR="00177848" w:rsidRPr="00C6052E">
        <w:t xml:space="preserve"> </w:t>
      </w:r>
      <w:r w:rsidRPr="00C6052E">
        <w:t>approach</w:t>
      </w:r>
      <w:r w:rsidR="00177848" w:rsidRPr="00C6052E">
        <w:t xml:space="preserve"> </w:t>
      </w:r>
      <w:r w:rsidRPr="00C6052E">
        <w:t>is</w:t>
      </w:r>
      <w:r w:rsidR="00177848" w:rsidRPr="00C6052E">
        <w:t xml:space="preserve"> </w:t>
      </w:r>
      <w:r w:rsidRPr="00C6052E">
        <w:t>also</w:t>
      </w:r>
      <w:r w:rsidR="00177848" w:rsidRPr="00C6052E">
        <w:t xml:space="preserve"> </w:t>
      </w:r>
      <w:r w:rsidRPr="00C6052E">
        <w:t>used</w:t>
      </w:r>
      <w:r w:rsidR="00177848" w:rsidRPr="00C6052E">
        <w:t xml:space="preserve"> </w:t>
      </w:r>
      <w:r w:rsidRPr="00C6052E">
        <w:t>for</w:t>
      </w:r>
      <w:r w:rsidR="00177848" w:rsidRPr="00C6052E">
        <w:t xml:space="preserve"> </w:t>
      </w:r>
      <w:r w:rsidRPr="00C6052E">
        <w:t>specialised</w:t>
      </w:r>
      <w:r w:rsidR="00177848" w:rsidRPr="00C6052E">
        <w:t xml:space="preserve"> </w:t>
      </w:r>
      <w:r w:rsidRPr="00C6052E">
        <w:t>land,</w:t>
      </w:r>
      <w:r w:rsidR="00177848" w:rsidRPr="00C6052E">
        <w:t xml:space="preserve"> </w:t>
      </w:r>
      <w:r w:rsidRPr="00C6052E">
        <w:t>although</w:t>
      </w:r>
      <w:r w:rsidR="00177848" w:rsidRPr="00C6052E">
        <w:t xml:space="preserve"> </w:t>
      </w:r>
      <w:r w:rsidRPr="00C6052E">
        <w:t>it</w:t>
      </w:r>
      <w:r w:rsidR="00177848" w:rsidRPr="00C6052E">
        <w:t xml:space="preserve"> </w:t>
      </w:r>
      <w:r w:rsidRPr="00C6052E">
        <w:t>is</w:t>
      </w:r>
      <w:r w:rsidR="00177848" w:rsidRPr="00C6052E">
        <w:t xml:space="preserve"> </w:t>
      </w:r>
      <w:r w:rsidRPr="00C6052E">
        <w:t>adjusted</w:t>
      </w:r>
      <w:r w:rsidR="00177848" w:rsidRPr="00C6052E">
        <w:t xml:space="preserve"> </w:t>
      </w:r>
      <w:r w:rsidRPr="00C6052E">
        <w:t>for</w:t>
      </w:r>
      <w:r w:rsidR="00177848" w:rsidRPr="00C6052E">
        <w:t xml:space="preserve"> </w:t>
      </w:r>
      <w:r w:rsidRPr="00C6052E">
        <w:t>the</w:t>
      </w:r>
      <w:r w:rsidR="00177848" w:rsidRPr="00C6052E">
        <w:t xml:space="preserve"> </w:t>
      </w:r>
      <w:r w:rsidRPr="00C6052E">
        <w:t>community</w:t>
      </w:r>
      <w:r w:rsidR="00177848" w:rsidRPr="00C6052E">
        <w:t xml:space="preserve"> </w:t>
      </w:r>
      <w:r w:rsidRPr="00C6052E">
        <w:t>service</w:t>
      </w:r>
      <w:r w:rsidR="00177848" w:rsidRPr="00C6052E">
        <w:t xml:space="preserve"> </w:t>
      </w:r>
      <w:r w:rsidRPr="00C6052E">
        <w:t>obligation</w:t>
      </w:r>
      <w:r w:rsidR="00177848" w:rsidRPr="00C6052E">
        <w:t xml:space="preserve"> </w:t>
      </w:r>
      <w:r w:rsidRPr="00C6052E">
        <w:t>(CSO)</w:t>
      </w:r>
      <w:r w:rsidR="00177848" w:rsidRPr="00C6052E">
        <w:t xml:space="preserve"> </w:t>
      </w:r>
      <w:r w:rsidRPr="00C6052E">
        <w:t>to</w:t>
      </w:r>
      <w:r w:rsidR="00177848" w:rsidRPr="00C6052E">
        <w:t xml:space="preserve"> </w:t>
      </w:r>
      <w:r w:rsidRPr="00C6052E">
        <w:t>reflect</w:t>
      </w:r>
      <w:r w:rsidR="00177848" w:rsidRPr="00C6052E">
        <w:t xml:space="preserve"> </w:t>
      </w:r>
      <w:r w:rsidRPr="00C6052E">
        <w:t>the</w:t>
      </w:r>
      <w:r w:rsidR="00177848" w:rsidRPr="00C6052E">
        <w:t xml:space="preserve"> </w:t>
      </w:r>
      <w:r w:rsidRPr="00C6052E">
        <w:t>specialised</w:t>
      </w:r>
      <w:r w:rsidR="00177848" w:rsidRPr="00C6052E">
        <w:t xml:space="preserve"> </w:t>
      </w:r>
      <w:r w:rsidRPr="00C6052E">
        <w:t>nature</w:t>
      </w:r>
      <w:r w:rsidR="00177848" w:rsidRPr="00C6052E">
        <w:t xml:space="preserve"> </w:t>
      </w:r>
      <w:r w:rsidRPr="00C6052E">
        <w:t>of</w:t>
      </w:r>
      <w:r w:rsidR="00177848" w:rsidRPr="00C6052E">
        <w:t xml:space="preserve"> </w:t>
      </w:r>
      <w:r w:rsidRPr="00C6052E">
        <w:t>the</w:t>
      </w:r>
      <w:r w:rsidR="00177848" w:rsidRPr="00C6052E">
        <w:t xml:space="preserve"> </w:t>
      </w:r>
      <w:r w:rsidRPr="00C6052E">
        <w:t>land</w:t>
      </w:r>
      <w:r w:rsidR="00177848" w:rsidRPr="00C6052E">
        <w:t xml:space="preserve"> </w:t>
      </w:r>
      <w:r w:rsidRPr="00C6052E">
        <w:t>being</w:t>
      </w:r>
      <w:r w:rsidR="00177848" w:rsidRPr="00C6052E">
        <w:t xml:space="preserve"> </w:t>
      </w:r>
      <w:r w:rsidRPr="00C6052E">
        <w:t>valued.</w:t>
      </w:r>
      <w:r w:rsidR="00177848" w:rsidRPr="00C6052E">
        <w:t xml:space="preserve"> </w:t>
      </w:r>
    </w:p>
    <w:p w14:paraId="31396BA7" w14:textId="6D67790F" w:rsidR="00EE5BB8" w:rsidRPr="00C6052E" w:rsidRDefault="00EE5BB8" w:rsidP="00EE5BB8">
      <w:r w:rsidRPr="00C6052E">
        <w:t>The</w:t>
      </w:r>
      <w:r w:rsidR="00177848" w:rsidRPr="00C6052E">
        <w:t xml:space="preserve"> </w:t>
      </w:r>
      <w:r w:rsidRPr="00C6052E">
        <w:t>CSO</w:t>
      </w:r>
      <w:r w:rsidR="00177848" w:rsidRPr="00C6052E">
        <w:t xml:space="preserve"> </w:t>
      </w:r>
      <w:r w:rsidRPr="00C6052E">
        <w:t>adjustment</w:t>
      </w:r>
      <w:r w:rsidR="00177848" w:rsidRPr="00C6052E">
        <w:t xml:space="preserve"> </w:t>
      </w:r>
      <w:r w:rsidRPr="00C6052E">
        <w:t>is</w:t>
      </w:r>
      <w:r w:rsidR="00177848" w:rsidRPr="00C6052E">
        <w:t xml:space="preserve"> </w:t>
      </w:r>
      <w:r w:rsidRPr="00C6052E">
        <w:t>a</w:t>
      </w:r>
      <w:r w:rsidR="00177848" w:rsidRPr="00C6052E">
        <w:t xml:space="preserve"> </w:t>
      </w:r>
      <w:r w:rsidRPr="00C6052E">
        <w:t>reflection</w:t>
      </w:r>
      <w:r w:rsidR="00177848" w:rsidRPr="00C6052E">
        <w:t xml:space="preserve"> </w:t>
      </w:r>
      <w:r w:rsidRPr="00C6052E">
        <w:t>of</w:t>
      </w:r>
      <w:r w:rsidR="00177848" w:rsidRPr="00C6052E">
        <w:t xml:space="preserve"> </w:t>
      </w:r>
      <w:r w:rsidRPr="00C6052E">
        <w:t>the</w:t>
      </w:r>
      <w:r w:rsidR="00177848" w:rsidRPr="00C6052E">
        <w:t xml:space="preserve"> </w:t>
      </w:r>
      <w:r w:rsidRPr="00C6052E">
        <w:t>valuer’s</w:t>
      </w:r>
      <w:r w:rsidR="00177848" w:rsidRPr="00C6052E">
        <w:t xml:space="preserve"> </w:t>
      </w:r>
      <w:r w:rsidRPr="00C6052E">
        <w:t>assessment</w:t>
      </w:r>
      <w:r w:rsidR="00177848" w:rsidRPr="00C6052E">
        <w:t xml:space="preserve"> </w:t>
      </w:r>
      <w:r w:rsidRPr="00C6052E">
        <w:t>of</w:t>
      </w:r>
      <w:r w:rsidR="00177848" w:rsidRPr="00C6052E">
        <w:t xml:space="preserve"> </w:t>
      </w:r>
      <w:r w:rsidRPr="00C6052E">
        <w:t>the</w:t>
      </w:r>
      <w:r w:rsidR="00177848" w:rsidRPr="00C6052E">
        <w:t xml:space="preserve"> </w:t>
      </w:r>
      <w:r w:rsidRPr="00C6052E">
        <w:t>impact</w:t>
      </w:r>
      <w:r w:rsidR="00177848" w:rsidRPr="00C6052E">
        <w:t xml:space="preserve"> </w:t>
      </w:r>
      <w:r w:rsidRPr="00C6052E">
        <w:t>of</w:t>
      </w:r>
      <w:r w:rsidR="00177848" w:rsidRPr="00C6052E">
        <w:t xml:space="preserve"> </w:t>
      </w:r>
      <w:r w:rsidRPr="00C6052E">
        <w:t>restrictions</w:t>
      </w:r>
      <w:r w:rsidR="00177848" w:rsidRPr="00C6052E">
        <w:t xml:space="preserve"> </w:t>
      </w:r>
      <w:r w:rsidRPr="00C6052E">
        <w:t>associated</w:t>
      </w:r>
      <w:r w:rsidR="00177848" w:rsidRPr="00C6052E">
        <w:t xml:space="preserve"> </w:t>
      </w:r>
      <w:r w:rsidRPr="00C6052E">
        <w:t>with</w:t>
      </w:r>
      <w:r w:rsidR="00177848" w:rsidRPr="00C6052E">
        <w:t xml:space="preserve"> </w:t>
      </w:r>
      <w:r w:rsidRPr="00C6052E">
        <w:t>an</w:t>
      </w:r>
      <w:r w:rsidR="00177848" w:rsidRPr="00C6052E">
        <w:t xml:space="preserve"> </w:t>
      </w:r>
      <w:r w:rsidRPr="00C6052E">
        <w:t>asset</w:t>
      </w:r>
      <w:r w:rsidR="00177848" w:rsidRPr="00C6052E">
        <w:t xml:space="preserve"> </w:t>
      </w:r>
      <w:r w:rsidRPr="00C6052E">
        <w:t>to</w:t>
      </w:r>
      <w:r w:rsidR="00177848" w:rsidRPr="00C6052E">
        <w:t xml:space="preserve"> </w:t>
      </w:r>
      <w:r w:rsidRPr="00C6052E">
        <w:t>the</w:t>
      </w:r>
      <w:r w:rsidR="00177848" w:rsidRPr="00C6052E">
        <w:t xml:space="preserve"> </w:t>
      </w:r>
      <w:r w:rsidRPr="00C6052E">
        <w:t>extent</w:t>
      </w:r>
      <w:r w:rsidR="00177848" w:rsidRPr="00C6052E">
        <w:t xml:space="preserve"> </w:t>
      </w:r>
      <w:r w:rsidRPr="00C6052E">
        <w:t>that</w:t>
      </w:r>
      <w:r w:rsidR="00177848" w:rsidRPr="00C6052E">
        <w:t xml:space="preserve"> </w:t>
      </w:r>
      <w:r w:rsidRPr="00C6052E">
        <w:t>is</w:t>
      </w:r>
      <w:r w:rsidR="00177848" w:rsidRPr="00C6052E">
        <w:t xml:space="preserve"> </w:t>
      </w:r>
      <w:r w:rsidRPr="00C6052E">
        <w:t>also</w:t>
      </w:r>
      <w:r w:rsidR="00177848" w:rsidRPr="00C6052E">
        <w:t xml:space="preserve"> </w:t>
      </w:r>
      <w:r w:rsidRPr="00C6052E">
        <w:t>equally</w:t>
      </w:r>
      <w:r w:rsidR="00177848" w:rsidRPr="00C6052E">
        <w:t xml:space="preserve"> </w:t>
      </w:r>
      <w:r w:rsidRPr="00C6052E">
        <w:t>applicable</w:t>
      </w:r>
      <w:r w:rsidR="00177848" w:rsidRPr="00C6052E">
        <w:t xml:space="preserve"> </w:t>
      </w:r>
      <w:r w:rsidRPr="00C6052E">
        <w:t>to</w:t>
      </w:r>
      <w:r w:rsidR="00177848" w:rsidRPr="00C6052E">
        <w:t xml:space="preserve"> </w:t>
      </w:r>
      <w:r w:rsidRPr="00C6052E">
        <w:t>market</w:t>
      </w:r>
      <w:r w:rsidR="00177848" w:rsidRPr="00C6052E">
        <w:t xml:space="preserve"> </w:t>
      </w:r>
      <w:r w:rsidRPr="00C6052E">
        <w:t>participants.</w:t>
      </w:r>
      <w:r w:rsidR="00177848" w:rsidRPr="00C6052E">
        <w:t xml:space="preserve"> </w:t>
      </w:r>
      <w:r w:rsidRPr="00C6052E">
        <w:t>This</w:t>
      </w:r>
      <w:r w:rsidR="00177848" w:rsidRPr="00C6052E">
        <w:t xml:space="preserve"> </w:t>
      </w:r>
      <w:r w:rsidRPr="00C6052E">
        <w:t>approach</w:t>
      </w:r>
      <w:r w:rsidR="00177848" w:rsidRPr="00C6052E">
        <w:t xml:space="preserve"> </w:t>
      </w:r>
      <w:r w:rsidRPr="00C6052E">
        <w:t>is</w:t>
      </w:r>
      <w:r w:rsidR="00177848" w:rsidRPr="00C6052E">
        <w:t xml:space="preserve"> </w:t>
      </w:r>
      <w:r w:rsidRPr="00C6052E">
        <w:t>in</w:t>
      </w:r>
      <w:r w:rsidR="00177848" w:rsidRPr="00C6052E">
        <w:t xml:space="preserve"> </w:t>
      </w:r>
      <w:r w:rsidRPr="00C6052E">
        <w:t>light</w:t>
      </w:r>
      <w:r w:rsidR="00177848" w:rsidRPr="00C6052E">
        <w:t xml:space="preserve"> </w:t>
      </w:r>
      <w:r w:rsidRPr="00C6052E">
        <w:t>of</w:t>
      </w:r>
      <w:r w:rsidR="00177848" w:rsidRPr="00C6052E">
        <w:t xml:space="preserve"> </w:t>
      </w:r>
      <w:r w:rsidRPr="00C6052E">
        <w:t>the</w:t>
      </w:r>
      <w:r w:rsidR="00177848" w:rsidRPr="00C6052E">
        <w:t xml:space="preserve"> </w:t>
      </w:r>
      <w:r w:rsidRPr="00C6052E">
        <w:t>highest</w:t>
      </w:r>
      <w:r w:rsidR="00177848" w:rsidRPr="00C6052E">
        <w:t xml:space="preserve"> </w:t>
      </w:r>
      <w:r w:rsidRPr="00C6052E">
        <w:t>and</w:t>
      </w:r>
      <w:r w:rsidR="00177848" w:rsidRPr="00C6052E">
        <w:t xml:space="preserve"> </w:t>
      </w:r>
      <w:r w:rsidRPr="00C6052E">
        <w:t>best</w:t>
      </w:r>
      <w:r w:rsidR="00177848" w:rsidRPr="00C6052E">
        <w:t xml:space="preserve"> </w:t>
      </w:r>
      <w:r w:rsidRPr="00C6052E">
        <w:t>use</w:t>
      </w:r>
      <w:r w:rsidR="00177848" w:rsidRPr="00C6052E">
        <w:t xml:space="preserve"> </w:t>
      </w:r>
      <w:r w:rsidRPr="00C6052E">
        <w:t>consideration</w:t>
      </w:r>
      <w:r w:rsidR="00177848" w:rsidRPr="00C6052E">
        <w:t xml:space="preserve"> </w:t>
      </w:r>
      <w:r w:rsidRPr="00C6052E">
        <w:t>required</w:t>
      </w:r>
      <w:r w:rsidR="00177848" w:rsidRPr="00C6052E">
        <w:t xml:space="preserve"> </w:t>
      </w:r>
      <w:r w:rsidRPr="00C6052E">
        <w:t>for</w:t>
      </w:r>
      <w:r w:rsidR="00177848" w:rsidRPr="00C6052E">
        <w:t xml:space="preserve"> </w:t>
      </w:r>
      <w:r w:rsidRPr="00C6052E">
        <w:t>fair</w:t>
      </w:r>
      <w:r w:rsidR="00177848" w:rsidRPr="00C6052E">
        <w:t xml:space="preserve"> </w:t>
      </w:r>
      <w:r w:rsidRPr="00C6052E">
        <w:t>value</w:t>
      </w:r>
      <w:r w:rsidR="00177848" w:rsidRPr="00C6052E">
        <w:t xml:space="preserve"> </w:t>
      </w:r>
      <w:r w:rsidRPr="00C6052E">
        <w:t>measurement</w:t>
      </w:r>
      <w:r w:rsidR="00177848" w:rsidRPr="00C6052E">
        <w:t xml:space="preserve"> </w:t>
      </w:r>
      <w:r w:rsidRPr="00C6052E">
        <w:t>and</w:t>
      </w:r>
      <w:r w:rsidR="00177848" w:rsidRPr="00C6052E">
        <w:t xml:space="preserve"> </w:t>
      </w:r>
      <w:r w:rsidRPr="00C6052E">
        <w:t>takes</w:t>
      </w:r>
      <w:r w:rsidR="00177848" w:rsidRPr="00C6052E">
        <w:t xml:space="preserve"> </w:t>
      </w:r>
      <w:r w:rsidRPr="00C6052E">
        <w:t>into</w:t>
      </w:r>
      <w:r w:rsidR="00177848" w:rsidRPr="00C6052E">
        <w:t xml:space="preserve"> </w:t>
      </w:r>
      <w:r w:rsidRPr="00C6052E">
        <w:t>account</w:t>
      </w:r>
      <w:r w:rsidR="00177848" w:rsidRPr="00C6052E">
        <w:t xml:space="preserve"> </w:t>
      </w:r>
      <w:r w:rsidRPr="00C6052E">
        <w:t>the</w:t>
      </w:r>
      <w:r w:rsidR="00177848" w:rsidRPr="00C6052E">
        <w:t xml:space="preserve"> </w:t>
      </w:r>
      <w:r w:rsidRPr="00C6052E">
        <w:t>use</w:t>
      </w:r>
      <w:r w:rsidR="00177848" w:rsidRPr="00C6052E">
        <w:t xml:space="preserve"> </w:t>
      </w:r>
      <w:r w:rsidRPr="00C6052E">
        <w:t>of</w:t>
      </w:r>
      <w:r w:rsidR="00177848" w:rsidRPr="00C6052E">
        <w:t xml:space="preserve"> </w:t>
      </w:r>
      <w:r w:rsidRPr="00C6052E">
        <w:t>the</w:t>
      </w:r>
      <w:r w:rsidR="00177848" w:rsidRPr="00C6052E">
        <w:t xml:space="preserve"> </w:t>
      </w:r>
      <w:r w:rsidRPr="00C6052E">
        <w:t>asset</w:t>
      </w:r>
      <w:r w:rsidR="00177848" w:rsidRPr="00C6052E">
        <w:t xml:space="preserve"> </w:t>
      </w:r>
      <w:r w:rsidRPr="00C6052E">
        <w:t>that</w:t>
      </w:r>
      <w:r w:rsidR="00177848" w:rsidRPr="00C6052E">
        <w:t xml:space="preserve"> </w:t>
      </w:r>
      <w:r w:rsidRPr="00C6052E">
        <w:t>is</w:t>
      </w:r>
      <w:r w:rsidR="00177848" w:rsidRPr="00C6052E">
        <w:t xml:space="preserve"> </w:t>
      </w:r>
      <w:r w:rsidRPr="00C6052E">
        <w:t>physically</w:t>
      </w:r>
      <w:r w:rsidR="00177848" w:rsidRPr="00C6052E">
        <w:t xml:space="preserve"> </w:t>
      </w:r>
      <w:r w:rsidRPr="00C6052E">
        <w:t>possible,</w:t>
      </w:r>
      <w:r w:rsidR="00177848" w:rsidRPr="00C6052E">
        <w:t xml:space="preserve"> </w:t>
      </w:r>
      <w:r w:rsidRPr="00C6052E">
        <w:t>legally</w:t>
      </w:r>
      <w:r w:rsidR="00177848" w:rsidRPr="00C6052E">
        <w:t xml:space="preserve"> </w:t>
      </w:r>
      <w:r w:rsidRPr="00C6052E">
        <w:t>permissible,</w:t>
      </w:r>
      <w:r w:rsidR="00177848" w:rsidRPr="00C6052E">
        <w:t xml:space="preserve"> </w:t>
      </w:r>
      <w:r w:rsidRPr="00C6052E">
        <w:t>and</w:t>
      </w:r>
      <w:r w:rsidR="00177848" w:rsidRPr="00C6052E">
        <w:t xml:space="preserve"> </w:t>
      </w:r>
      <w:r w:rsidRPr="00C6052E">
        <w:t>financially</w:t>
      </w:r>
      <w:r w:rsidR="00177848" w:rsidRPr="00C6052E">
        <w:t xml:space="preserve"> </w:t>
      </w:r>
      <w:r w:rsidRPr="00C6052E">
        <w:t>feasible.</w:t>
      </w:r>
      <w:r w:rsidR="00177848" w:rsidRPr="00C6052E">
        <w:t xml:space="preserve"> </w:t>
      </w:r>
      <w:r w:rsidRPr="00C6052E">
        <w:t>As</w:t>
      </w:r>
      <w:r w:rsidR="00177848" w:rsidRPr="00C6052E">
        <w:t xml:space="preserve"> </w:t>
      </w:r>
      <w:r w:rsidRPr="00C6052E">
        <w:t>adjustments</w:t>
      </w:r>
      <w:r w:rsidR="00177848" w:rsidRPr="00C6052E">
        <w:t xml:space="preserve"> </w:t>
      </w:r>
      <w:r w:rsidRPr="00C6052E">
        <w:t>of</w:t>
      </w:r>
      <w:r w:rsidR="00177848" w:rsidRPr="00C6052E">
        <w:t xml:space="preserve"> </w:t>
      </w:r>
      <w:r w:rsidRPr="00C6052E">
        <w:t>CSO</w:t>
      </w:r>
      <w:r w:rsidR="00177848" w:rsidRPr="00C6052E">
        <w:t xml:space="preserve"> </w:t>
      </w:r>
      <w:r w:rsidRPr="00C6052E">
        <w:t>are</w:t>
      </w:r>
      <w:r w:rsidR="00177848" w:rsidRPr="00C6052E">
        <w:t xml:space="preserve"> </w:t>
      </w:r>
      <w:r w:rsidRPr="00C6052E">
        <w:t>considered</w:t>
      </w:r>
      <w:r w:rsidR="00177848" w:rsidRPr="00C6052E">
        <w:t xml:space="preserve"> </w:t>
      </w:r>
      <w:r w:rsidRPr="00C6052E">
        <w:t>as</w:t>
      </w:r>
      <w:r w:rsidR="00177848" w:rsidRPr="00C6052E">
        <w:t xml:space="preserve"> </w:t>
      </w:r>
      <w:r w:rsidRPr="00C6052E">
        <w:t>significant</w:t>
      </w:r>
      <w:r w:rsidR="00177848" w:rsidRPr="00C6052E">
        <w:t xml:space="preserve"> </w:t>
      </w:r>
      <w:r w:rsidRPr="00C6052E">
        <w:t>unobservable</w:t>
      </w:r>
      <w:r w:rsidR="00177848" w:rsidRPr="00C6052E">
        <w:t xml:space="preserve"> </w:t>
      </w:r>
      <w:r w:rsidRPr="00C6052E">
        <w:t>inputs,</w:t>
      </w:r>
      <w:r w:rsidR="00177848" w:rsidRPr="00C6052E">
        <w:t xml:space="preserve"> </w:t>
      </w:r>
      <w:r w:rsidRPr="00C6052E">
        <w:t>specialised</w:t>
      </w:r>
      <w:r w:rsidR="00177848" w:rsidRPr="00C6052E">
        <w:t xml:space="preserve"> </w:t>
      </w:r>
      <w:r w:rsidRPr="00C6052E">
        <w:t>land</w:t>
      </w:r>
      <w:r w:rsidR="00177848" w:rsidRPr="00C6052E">
        <w:t xml:space="preserve"> </w:t>
      </w:r>
      <w:r w:rsidRPr="00C6052E">
        <w:t>would</w:t>
      </w:r>
      <w:r w:rsidR="00177848" w:rsidRPr="00C6052E">
        <w:t xml:space="preserve"> </w:t>
      </w:r>
      <w:r w:rsidRPr="00C6052E">
        <w:t>be</w:t>
      </w:r>
      <w:r w:rsidR="00177848" w:rsidRPr="00C6052E">
        <w:t xml:space="preserve"> </w:t>
      </w:r>
      <w:r w:rsidRPr="00C6052E">
        <w:t>classified</w:t>
      </w:r>
      <w:r w:rsidR="00177848" w:rsidRPr="00C6052E">
        <w:t xml:space="preserve"> </w:t>
      </w:r>
      <w:r w:rsidRPr="00C6052E">
        <w:t>as</w:t>
      </w:r>
      <w:r w:rsidR="00177848" w:rsidRPr="00C6052E">
        <w:t xml:space="preserve"> </w:t>
      </w:r>
      <w:r w:rsidRPr="00C6052E">
        <w:t>level</w:t>
      </w:r>
      <w:r w:rsidR="00177848" w:rsidRPr="00C6052E">
        <w:t xml:space="preserve"> </w:t>
      </w:r>
      <w:r w:rsidRPr="00C6052E">
        <w:t>3</w:t>
      </w:r>
      <w:r w:rsidR="00177848" w:rsidRPr="00C6052E">
        <w:t xml:space="preserve"> </w:t>
      </w:r>
      <w:r w:rsidRPr="00C6052E">
        <w:t>assets.</w:t>
      </w:r>
    </w:p>
    <w:p w14:paraId="02E3B6BF" w14:textId="7A71063A" w:rsidR="00EE5BB8" w:rsidRPr="00C6052E" w:rsidRDefault="00EE5BB8" w:rsidP="00EE5BB8">
      <w:r w:rsidRPr="00C6052E">
        <w:t>The</w:t>
      </w:r>
      <w:r w:rsidR="00177848" w:rsidRPr="00C6052E">
        <w:t xml:space="preserve"> </w:t>
      </w:r>
      <w:r w:rsidRPr="00C6052E">
        <w:t>specialised</w:t>
      </w:r>
      <w:r w:rsidR="00177848" w:rsidRPr="00C6052E">
        <w:t xml:space="preserve"> </w:t>
      </w:r>
      <w:r w:rsidRPr="00C6052E">
        <w:t>buildings</w:t>
      </w:r>
      <w:r w:rsidR="00177848" w:rsidRPr="00C6052E">
        <w:t xml:space="preserve"> </w:t>
      </w:r>
      <w:r w:rsidRPr="00C6052E">
        <w:t>are</w:t>
      </w:r>
      <w:r w:rsidR="00177848" w:rsidRPr="00C6052E">
        <w:t xml:space="preserve"> </w:t>
      </w:r>
      <w:r w:rsidRPr="00C6052E">
        <w:t>valued</w:t>
      </w:r>
      <w:r w:rsidR="00177848" w:rsidRPr="00C6052E">
        <w:t xml:space="preserve"> </w:t>
      </w:r>
      <w:r w:rsidRPr="00C6052E">
        <w:t>using</w:t>
      </w:r>
      <w:r w:rsidR="00177848" w:rsidRPr="00C6052E">
        <w:t xml:space="preserve"> </w:t>
      </w:r>
      <w:r w:rsidRPr="00C6052E">
        <w:t>the</w:t>
      </w:r>
      <w:r w:rsidR="00177848" w:rsidRPr="00C6052E">
        <w:t xml:space="preserve"> </w:t>
      </w:r>
      <w:r w:rsidRPr="00C6052E">
        <w:t>current</w:t>
      </w:r>
      <w:r w:rsidR="00177848" w:rsidRPr="00C6052E">
        <w:t xml:space="preserve"> </w:t>
      </w:r>
      <w:r w:rsidRPr="00C6052E">
        <w:t>replacement</w:t>
      </w:r>
      <w:r w:rsidR="00177848" w:rsidRPr="00C6052E">
        <w:t xml:space="preserve"> </w:t>
      </w:r>
      <w:r w:rsidRPr="00C6052E">
        <w:t>cost</w:t>
      </w:r>
      <w:r w:rsidR="00177848" w:rsidRPr="00C6052E">
        <w:t xml:space="preserve"> </w:t>
      </w:r>
      <w:r w:rsidRPr="00C6052E">
        <w:t>method.</w:t>
      </w:r>
      <w:r w:rsidR="00177848" w:rsidRPr="00C6052E">
        <w:t xml:space="preserve"> </w:t>
      </w:r>
      <w:r w:rsidRPr="00C6052E">
        <w:t>As</w:t>
      </w:r>
      <w:r w:rsidR="00177848" w:rsidRPr="00C6052E">
        <w:t xml:space="preserve"> </w:t>
      </w:r>
      <w:r w:rsidRPr="00C6052E">
        <w:t>the</w:t>
      </w:r>
      <w:r w:rsidR="00177848" w:rsidRPr="00C6052E">
        <w:t xml:space="preserve"> </w:t>
      </w:r>
      <w:r w:rsidRPr="00C6052E">
        <w:t>depreciation</w:t>
      </w:r>
      <w:r w:rsidR="00177848" w:rsidRPr="00C6052E">
        <w:t xml:space="preserve"> </w:t>
      </w:r>
      <w:r w:rsidRPr="00C6052E">
        <w:t>adjustments</w:t>
      </w:r>
      <w:r w:rsidR="00177848" w:rsidRPr="00C6052E">
        <w:t xml:space="preserve"> </w:t>
      </w:r>
      <w:r w:rsidRPr="00C6052E">
        <w:t>are</w:t>
      </w:r>
      <w:r w:rsidR="00177848" w:rsidRPr="00C6052E">
        <w:t xml:space="preserve"> </w:t>
      </w:r>
      <w:r w:rsidRPr="00C6052E">
        <w:t>considered</w:t>
      </w:r>
      <w:r w:rsidR="00177848" w:rsidRPr="00C6052E">
        <w:t xml:space="preserve"> </w:t>
      </w:r>
      <w:r w:rsidRPr="00C6052E">
        <w:t>as</w:t>
      </w:r>
      <w:r w:rsidR="00177848" w:rsidRPr="00C6052E">
        <w:t xml:space="preserve"> </w:t>
      </w:r>
      <w:r w:rsidRPr="00C6052E">
        <w:t>significant,</w:t>
      </w:r>
      <w:r w:rsidR="00177848" w:rsidRPr="00C6052E">
        <w:t xml:space="preserve"> </w:t>
      </w:r>
      <w:r w:rsidRPr="00C6052E">
        <w:t>unobservable</w:t>
      </w:r>
      <w:r w:rsidR="00177848" w:rsidRPr="00C6052E">
        <w:t xml:space="preserve"> </w:t>
      </w:r>
      <w:r w:rsidRPr="00C6052E">
        <w:t>inputs</w:t>
      </w:r>
      <w:r w:rsidR="00177848" w:rsidRPr="00C6052E">
        <w:t xml:space="preserve"> </w:t>
      </w:r>
      <w:r w:rsidRPr="00C6052E">
        <w:t>in</w:t>
      </w:r>
      <w:r w:rsidR="00177848" w:rsidRPr="00C6052E">
        <w:t xml:space="preserve"> </w:t>
      </w:r>
      <w:r w:rsidRPr="00C6052E">
        <w:t>nature,</w:t>
      </w:r>
      <w:r w:rsidR="00177848" w:rsidRPr="00C6052E">
        <w:t xml:space="preserve"> </w:t>
      </w:r>
      <w:r w:rsidRPr="00C6052E">
        <w:t>specialised</w:t>
      </w:r>
      <w:r w:rsidR="00177848" w:rsidRPr="00C6052E">
        <w:t xml:space="preserve"> </w:t>
      </w:r>
      <w:r w:rsidRPr="00C6052E">
        <w:t>buildings</w:t>
      </w:r>
      <w:r w:rsidR="00177848" w:rsidRPr="00C6052E">
        <w:t xml:space="preserve"> </w:t>
      </w:r>
      <w:r w:rsidRPr="00C6052E">
        <w:t>are</w:t>
      </w:r>
      <w:r w:rsidR="00177848" w:rsidRPr="00C6052E">
        <w:t xml:space="preserve"> </w:t>
      </w:r>
      <w:r w:rsidRPr="00C6052E">
        <w:t>classified</w:t>
      </w:r>
      <w:r w:rsidR="00177848" w:rsidRPr="00C6052E">
        <w:t xml:space="preserve"> </w:t>
      </w:r>
      <w:r w:rsidRPr="00C6052E">
        <w:t>as</w:t>
      </w:r>
      <w:r w:rsidR="00177848" w:rsidRPr="00C6052E">
        <w:t xml:space="preserve"> </w:t>
      </w:r>
      <w:r w:rsidRPr="00C6052E">
        <w:t>level</w:t>
      </w:r>
      <w:r w:rsidR="00177848" w:rsidRPr="00C6052E">
        <w:t xml:space="preserve"> </w:t>
      </w:r>
      <w:r w:rsidRPr="00C6052E">
        <w:t>3</w:t>
      </w:r>
      <w:r w:rsidR="00177848" w:rsidRPr="00C6052E">
        <w:t xml:space="preserve"> </w:t>
      </w:r>
      <w:r w:rsidRPr="00C6052E">
        <w:t>fair</w:t>
      </w:r>
      <w:r w:rsidR="00177848" w:rsidRPr="00C6052E">
        <w:t xml:space="preserve"> </w:t>
      </w:r>
      <w:r w:rsidRPr="00C6052E">
        <w:t>value</w:t>
      </w:r>
      <w:r w:rsidR="00177848" w:rsidRPr="00C6052E">
        <w:t xml:space="preserve"> </w:t>
      </w:r>
      <w:r w:rsidRPr="00C6052E">
        <w:t>measurements.</w:t>
      </w:r>
      <w:r w:rsidR="00177848" w:rsidRPr="00C6052E">
        <w:t xml:space="preserve"> </w:t>
      </w:r>
    </w:p>
    <w:p w14:paraId="74E65F07" w14:textId="4FFD6478" w:rsidR="00EE5BB8" w:rsidRPr="00C6052E" w:rsidRDefault="00C6052E" w:rsidP="00914AF9">
      <w:pPr>
        <w:pStyle w:val="Heading4"/>
      </w:pPr>
      <w:r w:rsidRPr="00C6052E">
        <w:t>Plant</w:t>
      </w:r>
      <w:r w:rsidR="00177848" w:rsidRPr="00C6052E">
        <w:t xml:space="preserve"> </w:t>
      </w:r>
      <w:r w:rsidRPr="00C6052E">
        <w:t>and</w:t>
      </w:r>
      <w:r w:rsidR="00177848" w:rsidRPr="00C6052E">
        <w:t xml:space="preserve"> </w:t>
      </w:r>
      <w:r w:rsidRPr="00C6052E">
        <w:t>equipment</w:t>
      </w:r>
    </w:p>
    <w:p w14:paraId="44D87EBD" w14:textId="3CCD6C11" w:rsidR="00EE5BB8" w:rsidRPr="00C6052E" w:rsidRDefault="00EE5BB8" w:rsidP="00EE5BB8">
      <w:pPr>
        <w:keepLines/>
      </w:pPr>
      <w:r w:rsidRPr="00C6052E">
        <w:t>Plant</w:t>
      </w:r>
      <w:r w:rsidR="00177848" w:rsidRPr="00C6052E">
        <w:t xml:space="preserve"> </w:t>
      </w:r>
      <w:r w:rsidRPr="00C6052E">
        <w:t>and</w:t>
      </w:r>
      <w:r w:rsidR="00177848" w:rsidRPr="00C6052E">
        <w:t xml:space="preserve"> </w:t>
      </w:r>
      <w:r w:rsidRPr="00C6052E">
        <w:t>equipment</w:t>
      </w:r>
      <w:r w:rsidR="00177848" w:rsidRPr="00C6052E">
        <w:t xml:space="preserve"> </w:t>
      </w:r>
      <w:r w:rsidRPr="00C6052E">
        <w:t>is</w:t>
      </w:r>
      <w:r w:rsidR="00177848" w:rsidRPr="00C6052E">
        <w:t xml:space="preserve"> </w:t>
      </w:r>
      <w:r w:rsidRPr="00C6052E">
        <w:t>held</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r w:rsidR="00177848" w:rsidRPr="00C6052E">
        <w:t xml:space="preserve"> </w:t>
      </w:r>
      <w:r w:rsidRPr="00C6052E">
        <w:t>When</w:t>
      </w:r>
      <w:r w:rsidR="00177848" w:rsidRPr="00C6052E">
        <w:t xml:space="preserve"> </w:t>
      </w:r>
      <w:r w:rsidRPr="00C6052E">
        <w:t>plant</w:t>
      </w:r>
      <w:r w:rsidR="00177848" w:rsidRPr="00C6052E">
        <w:t xml:space="preserve"> </w:t>
      </w:r>
      <w:r w:rsidRPr="00C6052E">
        <w:t>and</w:t>
      </w:r>
      <w:r w:rsidR="00177848" w:rsidRPr="00C6052E">
        <w:t xml:space="preserve"> </w:t>
      </w:r>
      <w:r w:rsidRPr="00C6052E">
        <w:t>equipment</w:t>
      </w:r>
      <w:r w:rsidR="00177848" w:rsidRPr="00C6052E">
        <w:t xml:space="preserve"> </w:t>
      </w:r>
      <w:r w:rsidRPr="00C6052E">
        <w:t>is</w:t>
      </w:r>
      <w:r w:rsidR="00177848" w:rsidRPr="00C6052E">
        <w:t xml:space="preserve"> </w:t>
      </w:r>
      <w:r w:rsidRPr="00C6052E">
        <w:t>specialised</w:t>
      </w:r>
      <w:r w:rsidR="00177848" w:rsidRPr="00C6052E">
        <w:t xml:space="preserve"> </w:t>
      </w:r>
      <w:r w:rsidRPr="00C6052E">
        <w:t>in</w:t>
      </w:r>
      <w:r w:rsidR="00177848" w:rsidRPr="00C6052E">
        <w:t xml:space="preserve"> </w:t>
      </w:r>
      <w:r w:rsidRPr="00C6052E">
        <w:t>use,</w:t>
      </w:r>
      <w:r w:rsidR="00177848" w:rsidRPr="00C6052E">
        <w:t xml:space="preserve"> </w:t>
      </w:r>
      <w:r w:rsidRPr="00C6052E">
        <w:t>such</w:t>
      </w:r>
      <w:r w:rsidR="00177848" w:rsidRPr="00C6052E">
        <w:t xml:space="preserve"> </w:t>
      </w:r>
      <w:r w:rsidRPr="00C6052E">
        <w:t>that</w:t>
      </w:r>
      <w:r w:rsidR="00177848" w:rsidRPr="00C6052E">
        <w:t xml:space="preserve"> </w:t>
      </w:r>
      <w:r w:rsidRPr="00C6052E">
        <w:t>it</w:t>
      </w:r>
      <w:r w:rsidR="00177848" w:rsidRPr="00C6052E">
        <w:t xml:space="preserve"> </w:t>
      </w:r>
      <w:r w:rsidRPr="00C6052E">
        <w:t>is</w:t>
      </w:r>
      <w:r w:rsidR="00177848" w:rsidRPr="00C6052E">
        <w:t xml:space="preserve"> </w:t>
      </w:r>
      <w:r w:rsidRPr="00C6052E">
        <w:t>rarely</w:t>
      </w:r>
      <w:r w:rsidR="00177848" w:rsidRPr="00C6052E">
        <w:t xml:space="preserve"> </w:t>
      </w:r>
      <w:r w:rsidRPr="00C6052E">
        <w:t>sold</w:t>
      </w:r>
      <w:r w:rsidR="00177848" w:rsidRPr="00C6052E">
        <w:t xml:space="preserve"> </w:t>
      </w:r>
      <w:r w:rsidRPr="00C6052E">
        <w:t>other</w:t>
      </w:r>
      <w:r w:rsidR="00177848" w:rsidRPr="00C6052E">
        <w:t xml:space="preserve"> </w:t>
      </w:r>
      <w:r w:rsidRPr="00C6052E">
        <w:t>than</w:t>
      </w:r>
      <w:r w:rsidR="00177848" w:rsidRPr="00C6052E">
        <w:t xml:space="preserve"> </w:t>
      </w:r>
      <w:r w:rsidRPr="00C6052E">
        <w:t>as</w:t>
      </w:r>
      <w:r w:rsidR="00177848" w:rsidRPr="00C6052E">
        <w:t xml:space="preserve"> </w:t>
      </w:r>
      <w:r w:rsidRPr="00C6052E">
        <w:t>part</w:t>
      </w:r>
      <w:r w:rsidR="00177848" w:rsidRPr="00C6052E">
        <w:t xml:space="preserve"> </w:t>
      </w:r>
      <w:r w:rsidRPr="00C6052E">
        <w:t>of</w:t>
      </w:r>
      <w:r w:rsidR="00177848" w:rsidRPr="00C6052E">
        <w:t xml:space="preserve"> </w:t>
      </w:r>
      <w:r w:rsidRPr="00C6052E">
        <w:t>a</w:t>
      </w:r>
      <w:r w:rsidR="00177848" w:rsidRPr="00C6052E">
        <w:t xml:space="preserve"> </w:t>
      </w:r>
      <w:r w:rsidRPr="00C6052E">
        <w:t>going</w:t>
      </w:r>
      <w:r w:rsidR="00177848" w:rsidRPr="00C6052E">
        <w:t xml:space="preserve"> </w:t>
      </w:r>
      <w:r w:rsidRPr="00C6052E">
        <w:t>concern,</w:t>
      </w:r>
      <w:r w:rsidR="00177848" w:rsidRPr="00C6052E">
        <w:t xml:space="preserve"> </w:t>
      </w:r>
      <w:r w:rsidRPr="00C6052E">
        <w:t>fair</w:t>
      </w:r>
      <w:r w:rsidR="00177848" w:rsidRPr="00C6052E">
        <w:t xml:space="preserve"> </w:t>
      </w:r>
      <w:r w:rsidRPr="00C6052E">
        <w:t>value</w:t>
      </w:r>
      <w:r w:rsidR="00177848" w:rsidRPr="00C6052E">
        <w:t xml:space="preserve"> </w:t>
      </w:r>
      <w:r w:rsidRPr="00C6052E">
        <w:t>is</w:t>
      </w:r>
      <w:r w:rsidR="00177848" w:rsidRPr="00C6052E">
        <w:t xml:space="preserve"> </w:t>
      </w:r>
      <w:r w:rsidRPr="00C6052E">
        <w:t>determined</w:t>
      </w:r>
      <w:r w:rsidR="00177848" w:rsidRPr="00C6052E">
        <w:t xml:space="preserve"> </w:t>
      </w:r>
      <w:r w:rsidRPr="00C6052E">
        <w:t>using</w:t>
      </w:r>
      <w:r w:rsidR="00177848" w:rsidRPr="00C6052E">
        <w:t xml:space="preserve"> </w:t>
      </w:r>
      <w:r w:rsidRPr="00C6052E">
        <w:t>the</w:t>
      </w:r>
      <w:r w:rsidR="00177848" w:rsidRPr="00C6052E">
        <w:t xml:space="preserve"> </w:t>
      </w:r>
      <w:r w:rsidRPr="00C6052E">
        <w:t>current</w:t>
      </w:r>
      <w:r w:rsidR="00177848" w:rsidRPr="00C6052E">
        <w:t xml:space="preserve"> </w:t>
      </w:r>
      <w:r w:rsidRPr="00C6052E">
        <w:t>replacement</w:t>
      </w:r>
      <w:r w:rsidR="00177848" w:rsidRPr="00C6052E">
        <w:t xml:space="preserve"> </w:t>
      </w:r>
      <w:r w:rsidRPr="00C6052E">
        <w:t>cost</w:t>
      </w:r>
      <w:r w:rsidR="00177848" w:rsidRPr="00C6052E">
        <w:t xml:space="preserve"> </w:t>
      </w:r>
      <w:r w:rsidRPr="00C6052E">
        <w:t>method.</w:t>
      </w:r>
      <w:r w:rsidR="00177848" w:rsidRPr="00C6052E">
        <w:t xml:space="preserve"> </w:t>
      </w:r>
      <w:r w:rsidRPr="00C6052E">
        <w:t>For</w:t>
      </w:r>
      <w:r w:rsidR="00177848" w:rsidRPr="00C6052E">
        <w:t xml:space="preserve"> </w:t>
      </w:r>
      <w:r w:rsidRPr="00C6052E">
        <w:t>all</w:t>
      </w:r>
      <w:r w:rsidR="00177848" w:rsidRPr="00C6052E">
        <w:t xml:space="preserve"> </w:t>
      </w:r>
      <w:r w:rsidRPr="00C6052E">
        <w:t>assets</w:t>
      </w:r>
      <w:r w:rsidR="00177848" w:rsidRPr="00C6052E">
        <w:t xml:space="preserve"> </w:t>
      </w:r>
      <w:r w:rsidRPr="00C6052E">
        <w:t>measured</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r w:rsidR="00177848" w:rsidRPr="00C6052E">
        <w:t xml:space="preserve"> </w:t>
      </w:r>
      <w:r w:rsidRPr="00C6052E">
        <w:t>the</w:t>
      </w:r>
      <w:r w:rsidR="00177848" w:rsidRPr="00C6052E">
        <w:t xml:space="preserve"> </w:t>
      </w:r>
      <w:r w:rsidRPr="00C6052E">
        <w:t>current</w:t>
      </w:r>
      <w:r w:rsidR="00177848" w:rsidRPr="00C6052E">
        <w:t xml:space="preserve"> </w:t>
      </w:r>
      <w:r w:rsidRPr="00C6052E">
        <w:t>use</w:t>
      </w:r>
      <w:r w:rsidR="00177848" w:rsidRPr="00C6052E">
        <w:t xml:space="preserve"> </w:t>
      </w:r>
      <w:r w:rsidRPr="00C6052E">
        <w:t>is</w:t>
      </w:r>
      <w:r w:rsidR="00177848" w:rsidRPr="00C6052E">
        <w:t xml:space="preserve"> </w:t>
      </w:r>
      <w:r w:rsidRPr="00C6052E">
        <w:t>considered</w:t>
      </w:r>
      <w:r w:rsidR="00177848" w:rsidRPr="00C6052E">
        <w:t xml:space="preserve"> </w:t>
      </w:r>
      <w:r w:rsidRPr="00C6052E">
        <w:t>the</w:t>
      </w:r>
      <w:r w:rsidR="00177848" w:rsidRPr="00C6052E">
        <w:t xml:space="preserve"> </w:t>
      </w:r>
      <w:r w:rsidRPr="00C6052E">
        <w:t>highest</w:t>
      </w:r>
      <w:r w:rsidR="00177848" w:rsidRPr="00C6052E">
        <w:t xml:space="preserve"> </w:t>
      </w:r>
      <w:r w:rsidRPr="00C6052E">
        <w:t>and</w:t>
      </w:r>
      <w:r w:rsidR="00177848" w:rsidRPr="00C6052E">
        <w:t xml:space="preserve"> </w:t>
      </w:r>
      <w:r w:rsidRPr="00C6052E">
        <w:t>best</w:t>
      </w:r>
      <w:r w:rsidR="00177848" w:rsidRPr="00C6052E">
        <w:t xml:space="preserve"> </w:t>
      </w:r>
      <w:r w:rsidRPr="00C6052E">
        <w:t>use.</w:t>
      </w:r>
    </w:p>
    <w:p w14:paraId="4082F87E" w14:textId="77DF3B18" w:rsidR="00EE5BB8" w:rsidRPr="00C6052E" w:rsidRDefault="00C6052E" w:rsidP="00914AF9">
      <w:pPr>
        <w:pStyle w:val="Heading4"/>
      </w:pPr>
      <w:r w:rsidRPr="00C6052E">
        <w:t>Motor</w:t>
      </w:r>
      <w:r w:rsidR="00177848" w:rsidRPr="00C6052E">
        <w:t xml:space="preserve"> </w:t>
      </w:r>
      <w:r w:rsidRPr="00C6052E">
        <w:t>vehicles</w:t>
      </w:r>
      <w:r w:rsidR="00177848" w:rsidRPr="00C6052E">
        <w:t xml:space="preserve"> </w:t>
      </w:r>
      <w:r w:rsidRPr="00C6052E">
        <w:t>(including</w:t>
      </w:r>
      <w:r w:rsidR="00177848" w:rsidRPr="00C6052E">
        <w:t xml:space="preserve"> </w:t>
      </w:r>
      <w:r w:rsidRPr="00C6052E">
        <w:t>leased</w:t>
      </w:r>
      <w:r w:rsidR="00177848" w:rsidRPr="00C6052E">
        <w:t xml:space="preserve"> </w:t>
      </w:r>
      <w:r w:rsidRPr="00C6052E">
        <w:t>assets)</w:t>
      </w:r>
    </w:p>
    <w:p w14:paraId="7B83DFD3" w14:textId="3F011E64" w:rsidR="00EE5BB8" w:rsidRPr="00C6052E" w:rsidRDefault="00EE5BB8" w:rsidP="00EE5BB8">
      <w:r w:rsidRPr="00C6052E">
        <w:t>Motor</w:t>
      </w:r>
      <w:r w:rsidR="00177848" w:rsidRPr="00C6052E">
        <w:t xml:space="preserve"> </w:t>
      </w:r>
      <w:r w:rsidRPr="00C6052E">
        <w:t>vehicles</w:t>
      </w:r>
      <w:r w:rsidR="00177848" w:rsidRPr="00C6052E">
        <w:t xml:space="preserve"> </w:t>
      </w:r>
      <w:r w:rsidRPr="00C6052E">
        <w:t>are</w:t>
      </w:r>
      <w:r w:rsidR="00177848" w:rsidRPr="00C6052E">
        <w:t xml:space="preserve"> </w:t>
      </w:r>
      <w:r w:rsidRPr="00C6052E">
        <w:t>valued</w:t>
      </w:r>
      <w:r w:rsidR="00177848" w:rsidRPr="00C6052E">
        <w:t xml:space="preserve"> </w:t>
      </w:r>
      <w:r w:rsidRPr="00C6052E">
        <w:t>using</w:t>
      </w:r>
      <w:r w:rsidR="00177848" w:rsidRPr="00C6052E">
        <w:t xml:space="preserve"> </w:t>
      </w:r>
      <w:r w:rsidRPr="00C6052E">
        <w:t>the</w:t>
      </w:r>
      <w:r w:rsidR="00177848" w:rsidRPr="00C6052E">
        <w:t xml:space="preserve"> </w:t>
      </w:r>
      <w:r w:rsidRPr="00C6052E">
        <w:t>current</w:t>
      </w:r>
      <w:r w:rsidR="00177848" w:rsidRPr="00C6052E">
        <w:t xml:space="preserve"> </w:t>
      </w:r>
      <w:r w:rsidRPr="00C6052E">
        <w:t>replacement</w:t>
      </w:r>
      <w:r w:rsidR="00177848" w:rsidRPr="00C6052E">
        <w:t xml:space="preserve"> </w:t>
      </w:r>
      <w:r w:rsidRPr="00C6052E">
        <w:t>cost</w:t>
      </w:r>
      <w:r w:rsidR="00177848" w:rsidRPr="00C6052E">
        <w:t xml:space="preserve"> </w:t>
      </w:r>
      <w:r w:rsidRPr="00C6052E">
        <w:t>method.</w:t>
      </w:r>
      <w:r w:rsidR="00177848" w:rsidRPr="00C6052E">
        <w:t xml:space="preserve"> </w:t>
      </w:r>
      <w:r w:rsidRPr="00C6052E">
        <w:t>DJSIR</w:t>
      </w:r>
      <w:r w:rsidR="00177848" w:rsidRPr="00C6052E">
        <w:t xml:space="preserve"> </w:t>
      </w:r>
      <w:r w:rsidRPr="00C6052E">
        <w:t>acquires</w:t>
      </w:r>
      <w:r w:rsidR="00177848" w:rsidRPr="00C6052E">
        <w:t xml:space="preserve"> </w:t>
      </w:r>
      <w:r w:rsidRPr="00C6052E">
        <w:t>new</w:t>
      </w:r>
      <w:r w:rsidR="00177848" w:rsidRPr="00C6052E">
        <w:t xml:space="preserve"> </w:t>
      </w:r>
      <w:r w:rsidRPr="00C6052E">
        <w:t>motor</w:t>
      </w:r>
      <w:r w:rsidR="00177848" w:rsidRPr="00C6052E">
        <w:t xml:space="preserve"> </w:t>
      </w:r>
      <w:r w:rsidRPr="00C6052E">
        <w:t>vehicles</w:t>
      </w:r>
      <w:r w:rsidR="00177848" w:rsidRPr="00C6052E">
        <w:t xml:space="preserve"> </w:t>
      </w:r>
      <w:r w:rsidRPr="00C6052E">
        <w:t>and</w:t>
      </w:r>
      <w:r w:rsidR="00177848" w:rsidRPr="00C6052E">
        <w:t xml:space="preserve"> </w:t>
      </w:r>
      <w:r w:rsidRPr="00C6052E">
        <w:t>at</w:t>
      </w:r>
      <w:r w:rsidR="00177848" w:rsidRPr="00C6052E">
        <w:t xml:space="preserve"> </w:t>
      </w:r>
      <w:r w:rsidRPr="00C6052E">
        <w:t>times</w:t>
      </w:r>
      <w:r w:rsidR="00177848" w:rsidRPr="00C6052E">
        <w:t xml:space="preserve"> </w:t>
      </w:r>
      <w:r w:rsidRPr="00C6052E">
        <w:t>disposes</w:t>
      </w:r>
      <w:r w:rsidR="00177848" w:rsidRPr="00C6052E">
        <w:t xml:space="preserve"> </w:t>
      </w:r>
      <w:r w:rsidRPr="00C6052E">
        <w:t>of</w:t>
      </w:r>
      <w:r w:rsidR="00177848" w:rsidRPr="00C6052E">
        <w:t xml:space="preserve"> </w:t>
      </w:r>
      <w:r w:rsidRPr="00C6052E">
        <w:t>them</w:t>
      </w:r>
      <w:r w:rsidR="00177848" w:rsidRPr="00C6052E">
        <w:t xml:space="preserve"> </w:t>
      </w:r>
      <w:r w:rsidRPr="00C6052E">
        <w:t>before</w:t>
      </w:r>
      <w:r w:rsidR="00177848" w:rsidRPr="00C6052E">
        <w:t xml:space="preserve"> </w:t>
      </w:r>
      <w:r w:rsidRPr="00C6052E">
        <w:t>the</w:t>
      </w:r>
      <w:r w:rsidR="00177848" w:rsidRPr="00C6052E">
        <w:t xml:space="preserve"> </w:t>
      </w:r>
      <w:r w:rsidRPr="00C6052E">
        <w:t>end</w:t>
      </w:r>
      <w:r w:rsidR="00177848" w:rsidRPr="00C6052E">
        <w:t xml:space="preserve"> </w:t>
      </w:r>
      <w:r w:rsidRPr="00C6052E">
        <w:t>of</w:t>
      </w:r>
      <w:r w:rsidR="00177848" w:rsidRPr="00C6052E">
        <w:t xml:space="preserve"> </w:t>
      </w:r>
      <w:r w:rsidRPr="00C6052E">
        <w:t>their</w:t>
      </w:r>
      <w:r w:rsidR="00177848" w:rsidRPr="00C6052E">
        <w:t xml:space="preserve"> </w:t>
      </w:r>
      <w:r w:rsidRPr="00C6052E">
        <w:t>economic</w:t>
      </w:r>
      <w:r w:rsidR="00177848" w:rsidRPr="00C6052E">
        <w:t xml:space="preserve"> </w:t>
      </w:r>
      <w:r w:rsidRPr="00C6052E">
        <w:t>life.</w:t>
      </w:r>
      <w:r w:rsidR="00177848" w:rsidRPr="00C6052E">
        <w:t xml:space="preserve"> </w:t>
      </w:r>
      <w:r w:rsidRPr="00C6052E">
        <w:lastRenderedPageBreak/>
        <w:t>The</w:t>
      </w:r>
      <w:r w:rsidR="00177848" w:rsidRPr="00C6052E">
        <w:t xml:space="preserve"> </w:t>
      </w:r>
      <w:r w:rsidRPr="00C6052E">
        <w:t>process</w:t>
      </w:r>
      <w:r w:rsidR="00177848" w:rsidRPr="00C6052E">
        <w:t xml:space="preserve"> </w:t>
      </w:r>
      <w:r w:rsidRPr="00C6052E">
        <w:t>of</w:t>
      </w:r>
      <w:r w:rsidR="00177848" w:rsidRPr="00C6052E">
        <w:t xml:space="preserve"> </w:t>
      </w:r>
      <w:r w:rsidRPr="00C6052E">
        <w:t>acquisition,</w:t>
      </w:r>
      <w:r w:rsidR="00177848" w:rsidRPr="00C6052E">
        <w:t xml:space="preserve"> </w:t>
      </w:r>
      <w:r w:rsidRPr="00C6052E">
        <w:t>use</w:t>
      </w:r>
      <w:r w:rsidR="00177848" w:rsidRPr="00C6052E">
        <w:t xml:space="preserve"> </w:t>
      </w:r>
      <w:r w:rsidRPr="00C6052E">
        <w:t>and</w:t>
      </w:r>
      <w:r w:rsidR="00177848" w:rsidRPr="00C6052E">
        <w:t xml:space="preserve"> </w:t>
      </w:r>
      <w:r w:rsidRPr="00C6052E">
        <w:t>disposal</w:t>
      </w:r>
      <w:r w:rsidR="00177848" w:rsidRPr="00C6052E">
        <w:t xml:space="preserve"> </w:t>
      </w:r>
      <w:r w:rsidRPr="00C6052E">
        <w:t>in</w:t>
      </w:r>
      <w:r w:rsidR="00177848" w:rsidRPr="00C6052E">
        <w:t xml:space="preserve"> </w:t>
      </w:r>
      <w:r w:rsidRPr="00C6052E">
        <w:t>the</w:t>
      </w:r>
      <w:r w:rsidR="00177848" w:rsidRPr="00C6052E">
        <w:t xml:space="preserve"> </w:t>
      </w:r>
      <w:r w:rsidRPr="00C6052E">
        <w:t>market</w:t>
      </w:r>
      <w:r w:rsidR="00177848" w:rsidRPr="00C6052E">
        <w:t xml:space="preserve"> </w:t>
      </w:r>
      <w:r w:rsidRPr="00C6052E">
        <w:t>is</w:t>
      </w:r>
      <w:r w:rsidR="00177848" w:rsidRPr="00C6052E">
        <w:t xml:space="preserve"> </w:t>
      </w:r>
      <w:r w:rsidRPr="00C6052E">
        <w:t>managed</w:t>
      </w:r>
      <w:r w:rsidR="00177848" w:rsidRPr="00C6052E">
        <w:t xml:space="preserve"> </w:t>
      </w:r>
      <w:r w:rsidRPr="00C6052E">
        <w:t>by</w:t>
      </w:r>
      <w:r w:rsidR="00177848" w:rsidRPr="00C6052E">
        <w:t xml:space="preserve"> </w:t>
      </w:r>
      <w:r w:rsidRPr="00C6052E">
        <w:t>experienced</w:t>
      </w:r>
      <w:r w:rsidR="00177848" w:rsidRPr="00C6052E">
        <w:t xml:space="preserve"> </w:t>
      </w:r>
      <w:r w:rsidRPr="00C6052E">
        <w:t>fleet</w:t>
      </w:r>
      <w:r w:rsidR="00177848" w:rsidRPr="00C6052E">
        <w:t xml:space="preserve"> </w:t>
      </w:r>
      <w:r w:rsidRPr="00C6052E">
        <w:t>managers</w:t>
      </w:r>
      <w:r w:rsidR="00177848" w:rsidRPr="00C6052E">
        <w:t xml:space="preserve"> </w:t>
      </w:r>
      <w:r w:rsidRPr="00C6052E">
        <w:t>who</w:t>
      </w:r>
      <w:r w:rsidR="00177848" w:rsidRPr="00C6052E">
        <w:t xml:space="preserve"> </w:t>
      </w:r>
      <w:r w:rsidRPr="00C6052E">
        <w:t>set</w:t>
      </w:r>
      <w:r w:rsidR="00177848" w:rsidRPr="00C6052E">
        <w:t xml:space="preserve"> </w:t>
      </w:r>
      <w:r w:rsidRPr="00C6052E">
        <w:t>relevant</w:t>
      </w:r>
      <w:r w:rsidR="00177848" w:rsidRPr="00C6052E">
        <w:t xml:space="preserve"> </w:t>
      </w:r>
      <w:r w:rsidRPr="00C6052E">
        <w:t>depreciation</w:t>
      </w:r>
      <w:r w:rsidR="00177848" w:rsidRPr="00C6052E">
        <w:t xml:space="preserve"> </w:t>
      </w:r>
      <w:r w:rsidRPr="00C6052E">
        <w:t>rates</w:t>
      </w:r>
      <w:r w:rsidR="00177848" w:rsidRPr="00C6052E">
        <w:t xml:space="preserve"> </w:t>
      </w:r>
      <w:r w:rsidRPr="00C6052E">
        <w:t>during</w:t>
      </w:r>
      <w:r w:rsidR="00177848" w:rsidRPr="00C6052E">
        <w:t xml:space="preserve"> </w:t>
      </w:r>
      <w:r w:rsidRPr="00C6052E">
        <w:t>use</w:t>
      </w:r>
      <w:r w:rsidR="00177848" w:rsidRPr="00C6052E">
        <w:t xml:space="preserve"> </w:t>
      </w:r>
      <w:r w:rsidRPr="00C6052E">
        <w:t>to</w:t>
      </w:r>
      <w:r w:rsidR="00177848" w:rsidRPr="00C6052E">
        <w:t xml:space="preserve"> </w:t>
      </w:r>
      <w:r w:rsidRPr="00C6052E">
        <w:t>reflect</w:t>
      </w:r>
      <w:r w:rsidR="00177848" w:rsidRPr="00C6052E">
        <w:t xml:space="preserve"> </w:t>
      </w:r>
      <w:r w:rsidRPr="00C6052E">
        <w:t>the</w:t>
      </w:r>
      <w:r w:rsidR="00177848" w:rsidRPr="00C6052E">
        <w:t xml:space="preserve"> </w:t>
      </w:r>
      <w:r w:rsidRPr="00C6052E">
        <w:t>utilisation</w:t>
      </w:r>
      <w:r w:rsidR="00177848" w:rsidRPr="00C6052E">
        <w:t xml:space="preserve"> </w:t>
      </w:r>
      <w:r w:rsidRPr="00C6052E">
        <w:t>of</w:t>
      </w:r>
      <w:r w:rsidR="00177848" w:rsidRPr="00C6052E">
        <w:t xml:space="preserve"> </w:t>
      </w:r>
      <w:r w:rsidRPr="00C6052E">
        <w:t>the</w:t>
      </w:r>
      <w:r w:rsidR="00177848" w:rsidRPr="00C6052E">
        <w:t xml:space="preserve"> </w:t>
      </w:r>
      <w:r w:rsidRPr="00C6052E">
        <w:t>motor</w:t>
      </w:r>
      <w:r w:rsidR="00177848" w:rsidRPr="00C6052E">
        <w:t xml:space="preserve"> </w:t>
      </w:r>
      <w:r w:rsidRPr="00C6052E">
        <w:t>vehicles.</w:t>
      </w:r>
      <w:r w:rsidR="00177848" w:rsidRPr="00C6052E">
        <w:t xml:space="preserve"> </w:t>
      </w:r>
    </w:p>
    <w:p w14:paraId="0D2E8AA1" w14:textId="6D2F404C" w:rsidR="00EE5BB8" w:rsidRPr="00C6052E" w:rsidRDefault="00C6052E" w:rsidP="00914AF9">
      <w:pPr>
        <w:pStyle w:val="Heading4"/>
      </w:pPr>
      <w:r w:rsidRPr="00C6052E">
        <w:t>Cultural</w:t>
      </w:r>
      <w:r w:rsidR="00177848" w:rsidRPr="00C6052E">
        <w:t xml:space="preserve"> </w:t>
      </w:r>
      <w:r w:rsidRPr="00C6052E">
        <w:t>assets</w:t>
      </w:r>
    </w:p>
    <w:p w14:paraId="4D890865" w14:textId="085D87E5" w:rsidR="00EE5BB8" w:rsidRPr="00C6052E" w:rsidRDefault="00EE5BB8" w:rsidP="00EE5BB8">
      <w:r w:rsidRPr="00C6052E">
        <w:t>Cultural</w:t>
      </w:r>
      <w:r w:rsidR="00177848" w:rsidRPr="00C6052E">
        <w:t xml:space="preserve"> </w:t>
      </w:r>
      <w:r w:rsidRPr="00C6052E">
        <w:t>assets</w:t>
      </w:r>
      <w:r w:rsidR="00177848" w:rsidRPr="00C6052E">
        <w:t xml:space="preserve"> </w:t>
      </w:r>
      <w:r w:rsidRPr="00C6052E">
        <w:t>are</w:t>
      </w:r>
      <w:r w:rsidR="00177848" w:rsidRPr="00C6052E">
        <w:t xml:space="preserve"> </w:t>
      </w:r>
      <w:r w:rsidRPr="00C6052E">
        <w:t>valued</w:t>
      </w:r>
      <w:r w:rsidR="00177848" w:rsidRPr="00C6052E">
        <w:t xml:space="preserve"> </w:t>
      </w:r>
      <w:r w:rsidRPr="00C6052E">
        <w:t>using</w:t>
      </w:r>
      <w:r w:rsidR="00177848" w:rsidRPr="00C6052E">
        <w:t xml:space="preserve"> </w:t>
      </w:r>
      <w:r w:rsidRPr="00C6052E">
        <w:t>the</w:t>
      </w:r>
      <w:r w:rsidR="00177848" w:rsidRPr="00C6052E">
        <w:t xml:space="preserve"> </w:t>
      </w:r>
      <w:r w:rsidRPr="00C6052E">
        <w:t>current</w:t>
      </w:r>
      <w:r w:rsidR="00177848" w:rsidRPr="00C6052E">
        <w:t xml:space="preserve"> </w:t>
      </w:r>
      <w:r w:rsidRPr="00C6052E">
        <w:t>replacement</w:t>
      </w:r>
      <w:r w:rsidR="00177848" w:rsidRPr="00C6052E">
        <w:t xml:space="preserve"> </w:t>
      </w:r>
      <w:r w:rsidRPr="00C6052E">
        <w:t>cost</w:t>
      </w:r>
      <w:r w:rsidR="00177848" w:rsidRPr="00C6052E">
        <w:t xml:space="preserve"> </w:t>
      </w:r>
      <w:r w:rsidRPr="00C6052E">
        <w:t>method</w:t>
      </w:r>
      <w:r w:rsidR="00177848" w:rsidRPr="00C6052E">
        <w:t xml:space="preserve"> </w:t>
      </w:r>
      <w:r w:rsidRPr="00C6052E">
        <w:t>where</w:t>
      </w:r>
      <w:r w:rsidR="00177848" w:rsidRPr="00C6052E">
        <w:t xml:space="preserve"> </w:t>
      </w:r>
      <w:r w:rsidRPr="00C6052E">
        <w:t>research</w:t>
      </w:r>
      <w:r w:rsidR="00177848" w:rsidRPr="00C6052E">
        <w:t xml:space="preserve"> </w:t>
      </w:r>
      <w:r w:rsidRPr="00C6052E">
        <w:t>of</w:t>
      </w:r>
      <w:r w:rsidR="00177848" w:rsidRPr="00C6052E">
        <w:t xml:space="preserve"> </w:t>
      </w:r>
      <w:r w:rsidRPr="00C6052E">
        <w:t>similar</w:t>
      </w:r>
      <w:r w:rsidR="00177848" w:rsidRPr="00C6052E">
        <w:t xml:space="preserve"> </w:t>
      </w:r>
      <w:r w:rsidRPr="00C6052E">
        <w:t>examples</w:t>
      </w:r>
      <w:r w:rsidR="00177848" w:rsidRPr="00C6052E">
        <w:t xml:space="preserve"> </w:t>
      </w:r>
      <w:r w:rsidRPr="00C6052E">
        <w:t>in</w:t>
      </w:r>
      <w:r w:rsidR="00177848" w:rsidRPr="00C6052E">
        <w:t xml:space="preserve"> </w:t>
      </w:r>
      <w:r w:rsidRPr="00C6052E">
        <w:t>existence</w:t>
      </w:r>
      <w:r w:rsidR="00177848" w:rsidRPr="00C6052E">
        <w:t xml:space="preserve"> </w:t>
      </w:r>
      <w:r w:rsidRPr="00C6052E">
        <w:t>in</w:t>
      </w:r>
      <w:r w:rsidR="00177848" w:rsidRPr="00C6052E">
        <w:t xml:space="preserve"> </w:t>
      </w:r>
      <w:r w:rsidRPr="00C6052E">
        <w:t>Australia</w:t>
      </w:r>
      <w:r w:rsidR="00177848" w:rsidRPr="00C6052E">
        <w:t xml:space="preserve"> </w:t>
      </w:r>
      <w:r w:rsidRPr="00C6052E">
        <w:t>was</w:t>
      </w:r>
      <w:r w:rsidR="00177848" w:rsidRPr="00C6052E">
        <w:t xml:space="preserve"> </w:t>
      </w:r>
      <w:r w:rsidRPr="00C6052E">
        <w:t>conducted</w:t>
      </w:r>
      <w:r w:rsidR="00177848" w:rsidRPr="00C6052E">
        <w:t xml:space="preserve"> </w:t>
      </w:r>
      <w:r w:rsidRPr="00C6052E">
        <w:t>and</w:t>
      </w:r>
      <w:r w:rsidR="00177848" w:rsidRPr="00C6052E">
        <w:t xml:space="preserve"> </w:t>
      </w:r>
      <w:r w:rsidRPr="00C6052E">
        <w:t>an</w:t>
      </w:r>
      <w:r w:rsidR="00177848" w:rsidRPr="00C6052E">
        <w:t xml:space="preserve"> </w:t>
      </w:r>
      <w:r w:rsidRPr="00C6052E">
        <w:t>estimated</w:t>
      </w:r>
      <w:r w:rsidR="00177848" w:rsidRPr="00C6052E">
        <w:t xml:space="preserve"> </w:t>
      </w:r>
      <w:r w:rsidRPr="00C6052E">
        <w:t>cost</w:t>
      </w:r>
      <w:r w:rsidR="00177848" w:rsidRPr="00C6052E">
        <w:t xml:space="preserve"> </w:t>
      </w:r>
      <w:r w:rsidRPr="00C6052E">
        <w:t>for</w:t>
      </w:r>
      <w:r w:rsidR="00177848" w:rsidRPr="00C6052E">
        <w:t xml:space="preserve"> </w:t>
      </w:r>
      <w:r w:rsidRPr="00C6052E">
        <w:t>replacement</w:t>
      </w:r>
      <w:r w:rsidR="00177848" w:rsidRPr="00C6052E">
        <w:t xml:space="preserve"> </w:t>
      </w:r>
      <w:r w:rsidRPr="00C6052E">
        <w:t>was</w:t>
      </w:r>
      <w:r w:rsidR="00177848" w:rsidRPr="00C6052E">
        <w:t xml:space="preserve"> </w:t>
      </w:r>
      <w:r w:rsidRPr="00C6052E">
        <w:t>established.</w:t>
      </w:r>
      <w:r w:rsidR="00177848" w:rsidRPr="00C6052E">
        <w:t xml:space="preserve"> </w:t>
      </w:r>
    </w:p>
    <w:p w14:paraId="1D13F697" w14:textId="77777777" w:rsidR="00EE5BB8" w:rsidRPr="00C6052E" w:rsidRDefault="00EE5BB8" w:rsidP="00EE5BB8">
      <w:pPr>
        <w:sectPr w:rsidR="00EE5BB8" w:rsidRPr="00C6052E" w:rsidSect="00EE5BB8">
          <w:headerReference w:type="even" r:id="rId29"/>
          <w:headerReference w:type="default" r:id="rId30"/>
          <w:endnotePr>
            <w:numFmt w:val="decimal"/>
          </w:endnotePr>
          <w:pgSz w:w="11907" w:h="16840" w:code="9"/>
          <w:pgMar w:top="1134" w:right="1134" w:bottom="1134" w:left="1134" w:header="567" w:footer="567" w:gutter="0"/>
          <w:cols w:space="340"/>
          <w:docGrid w:linePitch="360"/>
        </w:sectPr>
      </w:pPr>
    </w:p>
    <w:p w14:paraId="21E7C7EA" w14:textId="18E0B24D" w:rsidR="00EE5BB8" w:rsidRPr="00C6052E" w:rsidRDefault="00C6052E" w:rsidP="00914AF9">
      <w:pPr>
        <w:pStyle w:val="TableHeading"/>
      </w:pPr>
      <w:r w:rsidRPr="00C6052E">
        <w:lastRenderedPageBreak/>
        <w:t>Reconciliation</w:t>
      </w:r>
      <w:r w:rsidR="00177848" w:rsidRPr="00C6052E">
        <w:t xml:space="preserve"> </w:t>
      </w:r>
      <w:r w:rsidRPr="00C6052E">
        <w:t>of</w:t>
      </w:r>
      <w:r w:rsidR="00177848" w:rsidRPr="00C6052E">
        <w:t xml:space="preserve"> </w:t>
      </w:r>
      <w:r w:rsidRPr="00C6052E">
        <w:t>level</w:t>
      </w:r>
      <w:r w:rsidR="00177848" w:rsidRPr="00C6052E">
        <w:t xml:space="preserve"> </w:t>
      </w:r>
      <w:r w:rsidR="00EE5BB8" w:rsidRPr="00C6052E">
        <w:t>3</w:t>
      </w:r>
      <w:r w:rsidR="00177848" w:rsidRPr="00C6052E">
        <w:t xml:space="preserve"> </w:t>
      </w:r>
      <w:r w:rsidRPr="00C6052E">
        <w:t>fair</w:t>
      </w:r>
      <w:r w:rsidR="00177848" w:rsidRPr="00C6052E">
        <w:t xml:space="preserve"> </w:t>
      </w:r>
      <w:r w:rsidRPr="00C6052E">
        <w:t>value</w:t>
      </w:r>
      <w:r w:rsidR="00177848" w:rsidRPr="00C6052E">
        <w:t xml:space="preserve"> </w:t>
      </w:r>
      <w:r w:rsidRPr="00C6052E">
        <w:t>movements</w:t>
      </w:r>
      <w:r w:rsidR="005E4417">
        <w:t xml:space="preserve"> </w:t>
      </w:r>
      <w:r w:rsidR="005E4417" w:rsidRPr="00C6052E">
        <w:t>($ thousand)</w:t>
      </w:r>
    </w:p>
    <w:tbl>
      <w:tblPr>
        <w:tblStyle w:val="TableGrid"/>
        <w:tblW w:w="14568" w:type="dxa"/>
        <w:tblLayout w:type="fixed"/>
        <w:tblLook w:val="04E0" w:firstRow="1" w:lastRow="1" w:firstColumn="1" w:lastColumn="0" w:noHBand="0" w:noVBand="1"/>
      </w:tblPr>
      <w:tblGrid>
        <w:gridCol w:w="4649"/>
        <w:gridCol w:w="1417"/>
        <w:gridCol w:w="1726"/>
        <w:gridCol w:w="1275"/>
        <w:gridCol w:w="1250"/>
        <w:gridCol w:w="1417"/>
        <w:gridCol w:w="1586"/>
        <w:gridCol w:w="1248"/>
      </w:tblGrid>
      <w:tr w:rsidR="00EE5BB8" w:rsidRPr="00C6052E" w14:paraId="70D82B2D" w14:textId="77777777" w:rsidTr="005E4417">
        <w:trPr>
          <w:trHeight w:val="283"/>
        </w:trPr>
        <w:tc>
          <w:tcPr>
            <w:tcW w:w="4649" w:type="dxa"/>
            <w:hideMark/>
          </w:tcPr>
          <w:p w14:paraId="694F635C" w14:textId="77777777" w:rsidR="00EE5BB8" w:rsidRPr="00C6052E" w:rsidRDefault="00EE5BB8" w:rsidP="000F5B20">
            <w:pPr>
              <w:pStyle w:val="TableColumnHeading"/>
            </w:pPr>
            <w:bookmarkStart w:id="341" w:name="TableColumnHeadings_101"/>
            <w:bookmarkEnd w:id="341"/>
            <w:r w:rsidRPr="00C6052E">
              <w:t>2025</w:t>
            </w:r>
          </w:p>
        </w:tc>
        <w:tc>
          <w:tcPr>
            <w:tcW w:w="1417" w:type="dxa"/>
            <w:hideMark/>
          </w:tcPr>
          <w:p w14:paraId="25A3BEC1" w14:textId="4E23FB41" w:rsidR="00EE5BB8" w:rsidRPr="00C6052E" w:rsidRDefault="00EE5BB8" w:rsidP="005E4417">
            <w:pPr>
              <w:pStyle w:val="TableColumnHeading"/>
              <w:jc w:val="right"/>
              <w:rPr>
                <w:lang w:val="en-AU"/>
              </w:rPr>
            </w:pPr>
            <w:r w:rsidRPr="00C6052E">
              <w:rPr>
                <w:lang w:val="en-AU"/>
              </w:rPr>
              <w:t>Specialised</w:t>
            </w:r>
            <w:r w:rsidR="00B1545C" w:rsidRPr="00C6052E">
              <w:rPr>
                <w:lang w:val="en-AU"/>
              </w:rPr>
              <w:t xml:space="preserve"> </w:t>
            </w:r>
            <w:r w:rsidRPr="00C6052E">
              <w:rPr>
                <w:lang w:val="en-AU"/>
              </w:rPr>
              <w:br/>
              <w:t>land</w:t>
            </w:r>
            <w:r w:rsidR="00177848" w:rsidRPr="00C6052E">
              <w:rPr>
                <w:lang w:val="en-AU"/>
              </w:rPr>
              <w:t xml:space="preserve"> </w:t>
            </w:r>
          </w:p>
        </w:tc>
        <w:tc>
          <w:tcPr>
            <w:tcW w:w="1726" w:type="dxa"/>
            <w:hideMark/>
          </w:tcPr>
          <w:p w14:paraId="15D9AF08" w14:textId="7B88AA9A" w:rsidR="00EE5BB8" w:rsidRPr="00C6052E" w:rsidRDefault="00EE5BB8" w:rsidP="005E4417">
            <w:pPr>
              <w:pStyle w:val="TableColumnHeading"/>
              <w:jc w:val="right"/>
              <w:rPr>
                <w:lang w:val="en-AU"/>
              </w:rPr>
            </w:pPr>
            <w:r w:rsidRPr="00C6052E">
              <w:rPr>
                <w:lang w:val="en-AU"/>
              </w:rPr>
              <w:t>Specialised</w:t>
            </w:r>
            <w:r w:rsidR="00B1545C" w:rsidRPr="00C6052E">
              <w:rPr>
                <w:lang w:val="en-AU"/>
              </w:rPr>
              <w:t xml:space="preserve"> </w:t>
            </w:r>
            <w:r w:rsidRPr="00C6052E">
              <w:rPr>
                <w:lang w:val="en-AU"/>
              </w:rPr>
              <w:t>buildings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non</w:t>
            </w:r>
            <w:r w:rsidRPr="00C6052E">
              <w:rPr>
                <w:lang w:val="en-AU"/>
              </w:rPr>
              <w:noBreakHyphen/>
              <w:t>specialised</w:t>
            </w:r>
            <w:r w:rsidR="00177848" w:rsidRPr="00C6052E">
              <w:rPr>
                <w:lang w:val="en-AU"/>
              </w:rPr>
              <w:t xml:space="preserve"> </w:t>
            </w:r>
            <w:r w:rsidRPr="00C6052E">
              <w:rPr>
                <w:lang w:val="en-AU"/>
              </w:rPr>
              <w:t>buildings</w:t>
            </w:r>
          </w:p>
        </w:tc>
        <w:tc>
          <w:tcPr>
            <w:tcW w:w="1275" w:type="dxa"/>
            <w:hideMark/>
          </w:tcPr>
          <w:p w14:paraId="5B1C933B" w14:textId="0DA46E28" w:rsidR="00EE5BB8" w:rsidRPr="00C6052E" w:rsidRDefault="00EE5BB8" w:rsidP="005E4417">
            <w:pPr>
              <w:pStyle w:val="TableColumnHeading"/>
              <w:jc w:val="right"/>
              <w:rPr>
                <w:lang w:val="en-AU"/>
              </w:rPr>
            </w:pPr>
            <w:r w:rsidRPr="00C6052E">
              <w:rPr>
                <w:lang w:val="en-AU"/>
              </w:rPr>
              <w:t>Plant</w:t>
            </w:r>
            <w:r w:rsidR="00B1545C" w:rsidRPr="00C6052E">
              <w:rPr>
                <w:lang w:val="en-AU"/>
              </w:rPr>
              <w:t xml:space="preserve"> </w:t>
            </w:r>
            <w:r w:rsidRPr="00C6052E">
              <w:rPr>
                <w:lang w:val="en-AU"/>
              </w:rPr>
              <w:t>and</w:t>
            </w:r>
            <w:r w:rsidR="00177848" w:rsidRPr="00C6052E">
              <w:rPr>
                <w:lang w:val="en-AU"/>
              </w:rPr>
              <w:t xml:space="preserve"> </w:t>
            </w:r>
            <w:r w:rsidRPr="00C6052E">
              <w:rPr>
                <w:lang w:val="en-AU"/>
              </w:rPr>
              <w:t>equipment</w:t>
            </w:r>
          </w:p>
        </w:tc>
        <w:tc>
          <w:tcPr>
            <w:tcW w:w="1250" w:type="dxa"/>
            <w:hideMark/>
          </w:tcPr>
          <w:p w14:paraId="724929A7" w14:textId="64E782A5" w:rsidR="00EE5BB8" w:rsidRPr="00C6052E" w:rsidRDefault="00EE5BB8" w:rsidP="005E4417">
            <w:pPr>
              <w:pStyle w:val="TableColumnHeading"/>
              <w:jc w:val="right"/>
              <w:rPr>
                <w:lang w:val="en-AU"/>
              </w:rPr>
            </w:pPr>
            <w:r w:rsidRPr="00C6052E">
              <w:rPr>
                <w:lang w:val="en-AU"/>
              </w:rPr>
              <w:t>Motor</w:t>
            </w:r>
            <w:r w:rsidR="00B1545C" w:rsidRPr="00C6052E">
              <w:rPr>
                <w:lang w:val="en-AU"/>
              </w:rPr>
              <w:t xml:space="preserve"> </w:t>
            </w:r>
            <w:r w:rsidRPr="00C6052E">
              <w:rPr>
                <w:lang w:val="en-AU"/>
              </w:rPr>
              <w:br/>
              <w:t>vehicles</w:t>
            </w:r>
          </w:p>
        </w:tc>
        <w:tc>
          <w:tcPr>
            <w:tcW w:w="1417" w:type="dxa"/>
            <w:hideMark/>
          </w:tcPr>
          <w:p w14:paraId="7BCFE918" w14:textId="336A0964" w:rsidR="00EE5BB8" w:rsidRPr="00C6052E" w:rsidRDefault="00EE5BB8" w:rsidP="005E4417">
            <w:pPr>
              <w:pStyle w:val="TableColumnHeading"/>
              <w:jc w:val="right"/>
              <w:rPr>
                <w:lang w:val="en-AU"/>
              </w:rPr>
            </w:pPr>
            <w:r w:rsidRPr="00C6052E">
              <w:rPr>
                <w:lang w:val="en-AU"/>
              </w:rPr>
              <w:t>Cultural</w:t>
            </w:r>
            <w:r w:rsidR="00B1545C" w:rsidRPr="00C6052E">
              <w:rPr>
                <w:lang w:val="en-AU"/>
              </w:rPr>
              <w:t xml:space="preserve"> </w:t>
            </w:r>
            <w:r w:rsidRPr="00C6052E">
              <w:rPr>
                <w:lang w:val="en-AU"/>
              </w:rPr>
              <w:br/>
              <w:t>assets</w:t>
            </w:r>
          </w:p>
        </w:tc>
        <w:tc>
          <w:tcPr>
            <w:tcW w:w="1586" w:type="dxa"/>
            <w:hideMark/>
          </w:tcPr>
          <w:p w14:paraId="722E409E" w14:textId="7310DB58" w:rsidR="00EE5BB8" w:rsidRPr="00C6052E" w:rsidRDefault="00EE5BB8" w:rsidP="005E4417">
            <w:pPr>
              <w:pStyle w:val="TableColumnHeading"/>
              <w:jc w:val="right"/>
              <w:rPr>
                <w:lang w:val="en-AU"/>
              </w:rPr>
            </w:pPr>
            <w:r w:rsidRPr="00C6052E">
              <w:rPr>
                <w:lang w:val="en-AU"/>
              </w:rPr>
              <w:t>Leasehold</w:t>
            </w:r>
            <w:r w:rsidR="00B1545C" w:rsidRPr="00C6052E">
              <w:rPr>
                <w:lang w:val="en-AU"/>
              </w:rPr>
              <w:t xml:space="preserve"> </w:t>
            </w:r>
            <w:r w:rsidRPr="00C6052E">
              <w:rPr>
                <w:lang w:val="en-AU"/>
              </w:rPr>
              <w:t>improvements</w:t>
            </w:r>
          </w:p>
        </w:tc>
        <w:tc>
          <w:tcPr>
            <w:tcW w:w="1248" w:type="dxa"/>
            <w:hideMark/>
          </w:tcPr>
          <w:p w14:paraId="7371D3D3" w14:textId="02CD6D53" w:rsidR="00EE5BB8" w:rsidRPr="00C6052E" w:rsidRDefault="00EE5BB8" w:rsidP="005E4417">
            <w:pPr>
              <w:pStyle w:val="TableColumnHeading"/>
              <w:jc w:val="right"/>
              <w:rPr>
                <w:lang w:val="en-AU"/>
              </w:rPr>
            </w:pPr>
            <w:r w:rsidRPr="00C6052E">
              <w:rPr>
                <w:lang w:val="en-AU"/>
              </w:rPr>
              <w:t>Total</w:t>
            </w:r>
            <w:r w:rsidR="00B1545C" w:rsidRPr="00C6052E">
              <w:rPr>
                <w:lang w:val="en-AU"/>
              </w:rPr>
              <w:t xml:space="preserve"> </w:t>
            </w:r>
          </w:p>
        </w:tc>
      </w:tr>
      <w:tr w:rsidR="00EE5BB8" w:rsidRPr="00C6052E" w14:paraId="5E9FB215" w14:textId="77777777" w:rsidTr="005E4417">
        <w:trPr>
          <w:trHeight w:val="283"/>
        </w:trPr>
        <w:tc>
          <w:tcPr>
            <w:tcW w:w="4649" w:type="dxa"/>
            <w:noWrap/>
            <w:hideMark/>
          </w:tcPr>
          <w:p w14:paraId="2FFD6259" w14:textId="091C8A64" w:rsidR="00EE5BB8" w:rsidRPr="00C6052E" w:rsidRDefault="00EE5BB8" w:rsidP="0063097D">
            <w:pPr>
              <w:pStyle w:val="Tabletotal"/>
            </w:pPr>
            <w:r w:rsidRPr="00C6052E">
              <w:t>Opening</w:t>
            </w:r>
            <w:r w:rsidR="00177848" w:rsidRPr="00C6052E">
              <w:t xml:space="preserve"> </w:t>
            </w:r>
            <w:r w:rsidRPr="00C6052E">
              <w:t>balance</w:t>
            </w:r>
          </w:p>
        </w:tc>
        <w:tc>
          <w:tcPr>
            <w:tcW w:w="1417" w:type="dxa"/>
            <w:noWrap/>
            <w:hideMark/>
          </w:tcPr>
          <w:p w14:paraId="26B2B3B2" w14:textId="77777777" w:rsidR="00EE5BB8" w:rsidRPr="00C6052E" w:rsidRDefault="00EE5BB8" w:rsidP="005E4417">
            <w:pPr>
              <w:pStyle w:val="Tabletotal"/>
              <w:jc w:val="right"/>
            </w:pPr>
            <w:r w:rsidRPr="00C6052E">
              <w:t>382,486</w:t>
            </w:r>
          </w:p>
        </w:tc>
        <w:tc>
          <w:tcPr>
            <w:tcW w:w="1726" w:type="dxa"/>
            <w:noWrap/>
            <w:hideMark/>
          </w:tcPr>
          <w:p w14:paraId="30A47275" w14:textId="77777777" w:rsidR="00EE5BB8" w:rsidRPr="00C6052E" w:rsidRDefault="00EE5BB8" w:rsidP="005E4417">
            <w:pPr>
              <w:pStyle w:val="Tabletotal"/>
              <w:jc w:val="right"/>
            </w:pPr>
            <w:r w:rsidRPr="00C6052E">
              <w:t>145,161</w:t>
            </w:r>
          </w:p>
        </w:tc>
        <w:tc>
          <w:tcPr>
            <w:tcW w:w="1275" w:type="dxa"/>
            <w:noWrap/>
            <w:hideMark/>
          </w:tcPr>
          <w:p w14:paraId="2FC7AE39" w14:textId="77777777" w:rsidR="00EE5BB8" w:rsidRPr="00C6052E" w:rsidRDefault="00EE5BB8" w:rsidP="005E4417">
            <w:pPr>
              <w:pStyle w:val="Tabletotal"/>
              <w:jc w:val="right"/>
            </w:pPr>
            <w:r w:rsidRPr="00C6052E">
              <w:t>619</w:t>
            </w:r>
          </w:p>
        </w:tc>
        <w:tc>
          <w:tcPr>
            <w:tcW w:w="1250" w:type="dxa"/>
            <w:noWrap/>
            <w:hideMark/>
          </w:tcPr>
          <w:p w14:paraId="1A7391A2" w14:textId="77777777" w:rsidR="00EE5BB8" w:rsidRPr="00C6052E" w:rsidRDefault="00EE5BB8" w:rsidP="005E4417">
            <w:pPr>
              <w:pStyle w:val="Tabletotal"/>
              <w:jc w:val="right"/>
            </w:pPr>
            <w:r w:rsidRPr="00C6052E">
              <w:t>4,052</w:t>
            </w:r>
          </w:p>
        </w:tc>
        <w:tc>
          <w:tcPr>
            <w:tcW w:w="1417" w:type="dxa"/>
            <w:noWrap/>
            <w:hideMark/>
          </w:tcPr>
          <w:p w14:paraId="5EA6ADEB" w14:textId="77777777" w:rsidR="00EE5BB8" w:rsidRPr="00C6052E" w:rsidRDefault="00EE5BB8" w:rsidP="005E4417">
            <w:pPr>
              <w:pStyle w:val="Tabletotal"/>
              <w:jc w:val="right"/>
            </w:pPr>
            <w:r w:rsidRPr="00C6052E">
              <w:t>2,680</w:t>
            </w:r>
          </w:p>
        </w:tc>
        <w:tc>
          <w:tcPr>
            <w:tcW w:w="1586" w:type="dxa"/>
            <w:noWrap/>
            <w:hideMark/>
          </w:tcPr>
          <w:p w14:paraId="3B6B07CF" w14:textId="77777777" w:rsidR="00EE5BB8" w:rsidRPr="00C6052E" w:rsidRDefault="00EE5BB8" w:rsidP="005E4417">
            <w:pPr>
              <w:pStyle w:val="Tabletotal"/>
              <w:jc w:val="right"/>
            </w:pPr>
            <w:r w:rsidRPr="00C6052E">
              <w:t>5,876</w:t>
            </w:r>
          </w:p>
        </w:tc>
        <w:tc>
          <w:tcPr>
            <w:tcW w:w="1248" w:type="dxa"/>
            <w:noWrap/>
            <w:hideMark/>
          </w:tcPr>
          <w:p w14:paraId="14175835" w14:textId="77777777" w:rsidR="00EE5BB8" w:rsidRPr="00C6052E" w:rsidRDefault="00EE5BB8" w:rsidP="005E4417">
            <w:pPr>
              <w:pStyle w:val="Tabletotal"/>
              <w:jc w:val="right"/>
            </w:pPr>
            <w:r w:rsidRPr="00C6052E">
              <w:t>540,874</w:t>
            </w:r>
          </w:p>
        </w:tc>
      </w:tr>
      <w:tr w:rsidR="00EE5BB8" w:rsidRPr="00C6052E" w14:paraId="0164D7AF" w14:textId="77777777" w:rsidTr="005E4417">
        <w:trPr>
          <w:trHeight w:val="283"/>
        </w:trPr>
        <w:tc>
          <w:tcPr>
            <w:tcW w:w="4649" w:type="dxa"/>
            <w:hideMark/>
          </w:tcPr>
          <w:p w14:paraId="2F7FBEC0" w14:textId="29FDE550" w:rsidR="00EE5BB8" w:rsidRPr="00C6052E" w:rsidRDefault="00EE5BB8" w:rsidP="0063097D">
            <w:pPr>
              <w:pStyle w:val="TableCopy"/>
            </w:pPr>
            <w:r w:rsidRPr="00C6052E">
              <w:t>Assets</w:t>
            </w:r>
            <w:r w:rsidR="00177848" w:rsidRPr="00C6052E">
              <w:t xml:space="preserve"> </w:t>
            </w:r>
            <w:r w:rsidRPr="00C6052E">
              <w:t>received</w:t>
            </w:r>
            <w:r w:rsidR="00177848" w:rsidRPr="00C6052E">
              <w:t xml:space="preserve"> </w:t>
            </w:r>
            <w:r w:rsidRPr="00C6052E">
              <w:t>free</w:t>
            </w:r>
            <w:r w:rsidR="00177848" w:rsidRPr="00C6052E">
              <w:t xml:space="preserve"> </w:t>
            </w:r>
            <w:r w:rsidRPr="00C6052E">
              <w:t>of</w:t>
            </w:r>
            <w:r w:rsidR="00177848" w:rsidRPr="00C6052E">
              <w:t xml:space="preserve"> </w:t>
            </w:r>
            <w:r w:rsidRPr="00C6052E">
              <w:t>charge</w:t>
            </w:r>
          </w:p>
        </w:tc>
        <w:tc>
          <w:tcPr>
            <w:tcW w:w="1417" w:type="dxa"/>
            <w:noWrap/>
            <w:hideMark/>
          </w:tcPr>
          <w:p w14:paraId="52C58D89" w14:textId="77777777" w:rsidR="00EE5BB8" w:rsidRPr="00C6052E" w:rsidRDefault="00EE5BB8" w:rsidP="005E4417">
            <w:pPr>
              <w:pStyle w:val="TableCopy"/>
              <w:jc w:val="right"/>
            </w:pPr>
            <w:r w:rsidRPr="00C6052E">
              <w:t>36,440</w:t>
            </w:r>
          </w:p>
        </w:tc>
        <w:tc>
          <w:tcPr>
            <w:tcW w:w="1726" w:type="dxa"/>
            <w:noWrap/>
            <w:hideMark/>
          </w:tcPr>
          <w:p w14:paraId="7FD3AD0A" w14:textId="77777777" w:rsidR="00EE5BB8" w:rsidRPr="00C6052E" w:rsidRDefault="00EE5BB8" w:rsidP="005E4417">
            <w:pPr>
              <w:pStyle w:val="TableCopy"/>
              <w:jc w:val="right"/>
            </w:pPr>
            <w:r w:rsidRPr="00C6052E">
              <w:t>–</w:t>
            </w:r>
          </w:p>
        </w:tc>
        <w:tc>
          <w:tcPr>
            <w:tcW w:w="1275" w:type="dxa"/>
            <w:noWrap/>
            <w:hideMark/>
          </w:tcPr>
          <w:p w14:paraId="76A24487" w14:textId="77777777" w:rsidR="00EE5BB8" w:rsidRPr="00C6052E" w:rsidRDefault="00EE5BB8" w:rsidP="005E4417">
            <w:pPr>
              <w:pStyle w:val="TableCopy"/>
              <w:jc w:val="right"/>
            </w:pPr>
            <w:r w:rsidRPr="00C6052E">
              <w:t>–</w:t>
            </w:r>
          </w:p>
        </w:tc>
        <w:tc>
          <w:tcPr>
            <w:tcW w:w="1250" w:type="dxa"/>
            <w:noWrap/>
            <w:hideMark/>
          </w:tcPr>
          <w:p w14:paraId="4A2BDE76" w14:textId="77777777" w:rsidR="00EE5BB8" w:rsidRPr="00C6052E" w:rsidRDefault="00EE5BB8" w:rsidP="005E4417">
            <w:pPr>
              <w:pStyle w:val="TableCopy"/>
              <w:jc w:val="right"/>
            </w:pPr>
            <w:r w:rsidRPr="00C6052E">
              <w:t>–</w:t>
            </w:r>
          </w:p>
        </w:tc>
        <w:tc>
          <w:tcPr>
            <w:tcW w:w="1417" w:type="dxa"/>
            <w:noWrap/>
            <w:hideMark/>
          </w:tcPr>
          <w:p w14:paraId="1002329B" w14:textId="77777777" w:rsidR="00EE5BB8" w:rsidRPr="00C6052E" w:rsidRDefault="00EE5BB8" w:rsidP="005E4417">
            <w:pPr>
              <w:pStyle w:val="TableCopy"/>
              <w:jc w:val="right"/>
            </w:pPr>
            <w:r w:rsidRPr="00C6052E">
              <w:t>–</w:t>
            </w:r>
          </w:p>
        </w:tc>
        <w:tc>
          <w:tcPr>
            <w:tcW w:w="1586" w:type="dxa"/>
            <w:noWrap/>
            <w:hideMark/>
          </w:tcPr>
          <w:p w14:paraId="3F5C20B3" w14:textId="77777777" w:rsidR="00EE5BB8" w:rsidRPr="00C6052E" w:rsidRDefault="00EE5BB8" w:rsidP="005E4417">
            <w:pPr>
              <w:pStyle w:val="TableCopy"/>
              <w:jc w:val="right"/>
            </w:pPr>
            <w:r w:rsidRPr="00C6052E">
              <w:t>–</w:t>
            </w:r>
          </w:p>
        </w:tc>
        <w:tc>
          <w:tcPr>
            <w:tcW w:w="1248" w:type="dxa"/>
            <w:noWrap/>
            <w:hideMark/>
          </w:tcPr>
          <w:p w14:paraId="4C5F5C4D" w14:textId="77777777" w:rsidR="00EE5BB8" w:rsidRPr="00C6052E" w:rsidRDefault="00EE5BB8" w:rsidP="005E4417">
            <w:pPr>
              <w:pStyle w:val="TableCopy"/>
              <w:jc w:val="right"/>
            </w:pPr>
            <w:r w:rsidRPr="00C6052E">
              <w:t>36,440</w:t>
            </w:r>
          </w:p>
        </w:tc>
      </w:tr>
      <w:tr w:rsidR="00EE5BB8" w:rsidRPr="00C6052E" w14:paraId="09EDB938" w14:textId="77777777" w:rsidTr="005E4417">
        <w:trPr>
          <w:trHeight w:val="283"/>
        </w:trPr>
        <w:tc>
          <w:tcPr>
            <w:tcW w:w="4649" w:type="dxa"/>
            <w:hideMark/>
          </w:tcPr>
          <w:p w14:paraId="14B302A8" w14:textId="6B688ED9" w:rsidR="00EE5BB8" w:rsidRPr="00C6052E" w:rsidRDefault="00EE5BB8" w:rsidP="0063097D">
            <w:pPr>
              <w:pStyle w:val="TableCopy"/>
            </w:pPr>
            <w:r w:rsidRPr="00C6052E">
              <w:t>Assets</w:t>
            </w:r>
            <w:r w:rsidR="00177848" w:rsidRPr="00C6052E">
              <w:t xml:space="preserve"> </w:t>
            </w:r>
            <w:r w:rsidRPr="00C6052E">
              <w:t>provided</w:t>
            </w:r>
            <w:r w:rsidR="00177848" w:rsidRPr="00C6052E">
              <w:t xml:space="preserve"> </w:t>
            </w:r>
            <w:r w:rsidRPr="00C6052E">
              <w:t>free</w:t>
            </w:r>
            <w:r w:rsidR="00177848" w:rsidRPr="00C6052E">
              <w:t xml:space="preserve"> </w:t>
            </w:r>
            <w:r w:rsidRPr="00C6052E">
              <w:t>of</w:t>
            </w:r>
            <w:r w:rsidR="00177848" w:rsidRPr="00C6052E">
              <w:t xml:space="preserve"> </w:t>
            </w:r>
            <w:r w:rsidRPr="00C6052E">
              <w:t>charge</w:t>
            </w:r>
          </w:p>
        </w:tc>
        <w:tc>
          <w:tcPr>
            <w:tcW w:w="1417" w:type="dxa"/>
            <w:noWrap/>
            <w:hideMark/>
          </w:tcPr>
          <w:p w14:paraId="3279B5B5" w14:textId="77777777" w:rsidR="00EE5BB8" w:rsidRPr="00C6052E" w:rsidRDefault="00EE5BB8" w:rsidP="005E4417">
            <w:pPr>
              <w:pStyle w:val="TableCopy"/>
              <w:jc w:val="right"/>
            </w:pPr>
            <w:r w:rsidRPr="00C6052E">
              <w:t>–</w:t>
            </w:r>
          </w:p>
        </w:tc>
        <w:tc>
          <w:tcPr>
            <w:tcW w:w="1726" w:type="dxa"/>
            <w:noWrap/>
            <w:hideMark/>
          </w:tcPr>
          <w:p w14:paraId="023CBB75" w14:textId="77777777" w:rsidR="00EE5BB8" w:rsidRPr="00C6052E" w:rsidRDefault="00EE5BB8" w:rsidP="005E4417">
            <w:pPr>
              <w:pStyle w:val="TableCopy"/>
              <w:jc w:val="right"/>
            </w:pPr>
            <w:r w:rsidRPr="00C6052E">
              <w:t>–</w:t>
            </w:r>
          </w:p>
        </w:tc>
        <w:tc>
          <w:tcPr>
            <w:tcW w:w="1275" w:type="dxa"/>
            <w:noWrap/>
            <w:hideMark/>
          </w:tcPr>
          <w:p w14:paraId="6EF03967" w14:textId="77777777" w:rsidR="00EE5BB8" w:rsidRPr="00C6052E" w:rsidRDefault="00EE5BB8" w:rsidP="005E4417">
            <w:pPr>
              <w:pStyle w:val="TableCopy"/>
              <w:jc w:val="right"/>
            </w:pPr>
            <w:r w:rsidRPr="00C6052E">
              <w:t>–</w:t>
            </w:r>
          </w:p>
        </w:tc>
        <w:tc>
          <w:tcPr>
            <w:tcW w:w="1250" w:type="dxa"/>
            <w:noWrap/>
            <w:hideMark/>
          </w:tcPr>
          <w:p w14:paraId="10D707F7" w14:textId="77777777" w:rsidR="00EE5BB8" w:rsidRPr="00C6052E" w:rsidRDefault="00EE5BB8" w:rsidP="005E4417">
            <w:pPr>
              <w:pStyle w:val="TableCopy"/>
              <w:jc w:val="right"/>
            </w:pPr>
            <w:r w:rsidRPr="00C6052E">
              <w:t>–</w:t>
            </w:r>
          </w:p>
        </w:tc>
        <w:tc>
          <w:tcPr>
            <w:tcW w:w="1417" w:type="dxa"/>
            <w:noWrap/>
            <w:hideMark/>
          </w:tcPr>
          <w:p w14:paraId="245951F1" w14:textId="77777777" w:rsidR="00EE5BB8" w:rsidRPr="00C6052E" w:rsidRDefault="00EE5BB8" w:rsidP="005E4417">
            <w:pPr>
              <w:pStyle w:val="TableCopy"/>
              <w:jc w:val="right"/>
            </w:pPr>
            <w:r w:rsidRPr="00C6052E">
              <w:t>–</w:t>
            </w:r>
          </w:p>
        </w:tc>
        <w:tc>
          <w:tcPr>
            <w:tcW w:w="1586" w:type="dxa"/>
            <w:noWrap/>
            <w:hideMark/>
          </w:tcPr>
          <w:p w14:paraId="11A961C5" w14:textId="77777777" w:rsidR="00EE5BB8" w:rsidRPr="00C6052E" w:rsidRDefault="00EE5BB8" w:rsidP="005E4417">
            <w:pPr>
              <w:pStyle w:val="TableCopy"/>
              <w:jc w:val="right"/>
            </w:pPr>
            <w:r w:rsidRPr="00C6052E">
              <w:t>(803)</w:t>
            </w:r>
          </w:p>
        </w:tc>
        <w:tc>
          <w:tcPr>
            <w:tcW w:w="1248" w:type="dxa"/>
            <w:noWrap/>
            <w:hideMark/>
          </w:tcPr>
          <w:p w14:paraId="2A188687" w14:textId="77777777" w:rsidR="00EE5BB8" w:rsidRPr="00C6052E" w:rsidRDefault="00EE5BB8" w:rsidP="005E4417">
            <w:pPr>
              <w:pStyle w:val="TableCopy"/>
              <w:jc w:val="right"/>
            </w:pPr>
            <w:r w:rsidRPr="00C6052E">
              <w:t>(803)</w:t>
            </w:r>
          </w:p>
        </w:tc>
      </w:tr>
      <w:tr w:rsidR="00EE5BB8" w:rsidRPr="00C6052E" w14:paraId="7C60A3B2" w14:textId="77777777" w:rsidTr="005E4417">
        <w:trPr>
          <w:trHeight w:val="283"/>
        </w:trPr>
        <w:tc>
          <w:tcPr>
            <w:tcW w:w="4649" w:type="dxa"/>
            <w:hideMark/>
          </w:tcPr>
          <w:p w14:paraId="7FE75A74" w14:textId="77777777" w:rsidR="00EE5BB8" w:rsidRPr="00C6052E" w:rsidRDefault="00EE5BB8" w:rsidP="0063097D">
            <w:pPr>
              <w:pStyle w:val="TableCopy"/>
            </w:pPr>
            <w:r w:rsidRPr="00C6052E">
              <w:t>Additions</w:t>
            </w:r>
          </w:p>
        </w:tc>
        <w:tc>
          <w:tcPr>
            <w:tcW w:w="1417" w:type="dxa"/>
            <w:noWrap/>
            <w:hideMark/>
          </w:tcPr>
          <w:p w14:paraId="69860E6C" w14:textId="77777777" w:rsidR="00EE5BB8" w:rsidRPr="00C6052E" w:rsidRDefault="00EE5BB8" w:rsidP="005E4417">
            <w:pPr>
              <w:pStyle w:val="TableCopy"/>
              <w:jc w:val="right"/>
            </w:pPr>
            <w:r w:rsidRPr="00C6052E">
              <w:t>4,333</w:t>
            </w:r>
          </w:p>
        </w:tc>
        <w:tc>
          <w:tcPr>
            <w:tcW w:w="1726" w:type="dxa"/>
            <w:noWrap/>
            <w:hideMark/>
          </w:tcPr>
          <w:p w14:paraId="56E42FDB" w14:textId="77777777" w:rsidR="00EE5BB8" w:rsidRPr="00C6052E" w:rsidRDefault="00EE5BB8" w:rsidP="005E4417">
            <w:pPr>
              <w:pStyle w:val="TableCopy"/>
              <w:jc w:val="right"/>
            </w:pPr>
            <w:r w:rsidRPr="00C6052E">
              <w:t>2,644</w:t>
            </w:r>
          </w:p>
        </w:tc>
        <w:tc>
          <w:tcPr>
            <w:tcW w:w="1275" w:type="dxa"/>
            <w:noWrap/>
            <w:hideMark/>
          </w:tcPr>
          <w:p w14:paraId="0B0CD09C" w14:textId="77777777" w:rsidR="00EE5BB8" w:rsidRPr="00C6052E" w:rsidRDefault="00EE5BB8" w:rsidP="005E4417">
            <w:pPr>
              <w:pStyle w:val="TableCopy"/>
              <w:jc w:val="right"/>
            </w:pPr>
            <w:r w:rsidRPr="00C6052E">
              <w:t>38</w:t>
            </w:r>
          </w:p>
        </w:tc>
        <w:tc>
          <w:tcPr>
            <w:tcW w:w="1250" w:type="dxa"/>
            <w:noWrap/>
            <w:hideMark/>
          </w:tcPr>
          <w:p w14:paraId="05ABA14E" w14:textId="77777777" w:rsidR="00EE5BB8" w:rsidRPr="00C6052E" w:rsidRDefault="00EE5BB8" w:rsidP="005E4417">
            <w:pPr>
              <w:pStyle w:val="TableCopy"/>
              <w:jc w:val="right"/>
            </w:pPr>
            <w:r w:rsidRPr="00C6052E">
              <w:t>2,017</w:t>
            </w:r>
          </w:p>
        </w:tc>
        <w:tc>
          <w:tcPr>
            <w:tcW w:w="1417" w:type="dxa"/>
            <w:noWrap/>
            <w:hideMark/>
          </w:tcPr>
          <w:p w14:paraId="2457DC65" w14:textId="77777777" w:rsidR="00EE5BB8" w:rsidRPr="00C6052E" w:rsidRDefault="00EE5BB8" w:rsidP="005E4417">
            <w:pPr>
              <w:pStyle w:val="TableCopy"/>
              <w:jc w:val="right"/>
            </w:pPr>
            <w:r w:rsidRPr="00C6052E">
              <w:t>–</w:t>
            </w:r>
          </w:p>
        </w:tc>
        <w:tc>
          <w:tcPr>
            <w:tcW w:w="1586" w:type="dxa"/>
            <w:noWrap/>
            <w:hideMark/>
          </w:tcPr>
          <w:p w14:paraId="59AEC4DD" w14:textId="77777777" w:rsidR="00EE5BB8" w:rsidRPr="00C6052E" w:rsidRDefault="00EE5BB8" w:rsidP="005E4417">
            <w:pPr>
              <w:pStyle w:val="TableCopy"/>
              <w:jc w:val="right"/>
            </w:pPr>
            <w:r w:rsidRPr="00C6052E">
              <w:t>–</w:t>
            </w:r>
          </w:p>
        </w:tc>
        <w:tc>
          <w:tcPr>
            <w:tcW w:w="1248" w:type="dxa"/>
            <w:noWrap/>
            <w:hideMark/>
          </w:tcPr>
          <w:p w14:paraId="20C338A4" w14:textId="77777777" w:rsidR="00EE5BB8" w:rsidRPr="00C6052E" w:rsidRDefault="00EE5BB8" w:rsidP="005E4417">
            <w:pPr>
              <w:pStyle w:val="TableCopy"/>
              <w:jc w:val="right"/>
            </w:pPr>
            <w:r w:rsidRPr="00C6052E">
              <w:t>9,032</w:t>
            </w:r>
          </w:p>
        </w:tc>
      </w:tr>
      <w:tr w:rsidR="00EE5BB8" w:rsidRPr="00C6052E" w14:paraId="45DE59CD" w14:textId="77777777" w:rsidTr="005E4417">
        <w:trPr>
          <w:trHeight w:val="283"/>
        </w:trPr>
        <w:tc>
          <w:tcPr>
            <w:tcW w:w="4649" w:type="dxa"/>
            <w:hideMark/>
          </w:tcPr>
          <w:p w14:paraId="2274E5BE" w14:textId="343D3A47" w:rsidR="00EE5BB8" w:rsidRPr="00C6052E" w:rsidRDefault="00EE5BB8" w:rsidP="0063097D">
            <w:pPr>
              <w:pStyle w:val="TableCopy"/>
            </w:pPr>
            <w:r w:rsidRPr="00C6052E">
              <w:t>Disposals</w:t>
            </w:r>
            <w:r w:rsidR="00177848" w:rsidRPr="00C6052E">
              <w:t xml:space="preserve"> </w:t>
            </w:r>
          </w:p>
        </w:tc>
        <w:tc>
          <w:tcPr>
            <w:tcW w:w="1417" w:type="dxa"/>
            <w:noWrap/>
            <w:hideMark/>
          </w:tcPr>
          <w:p w14:paraId="799E6A15" w14:textId="77777777" w:rsidR="00EE5BB8" w:rsidRPr="00C6052E" w:rsidRDefault="00EE5BB8" w:rsidP="005E4417">
            <w:pPr>
              <w:pStyle w:val="TableCopy"/>
              <w:jc w:val="right"/>
            </w:pPr>
            <w:r w:rsidRPr="00C6052E">
              <w:t>–</w:t>
            </w:r>
          </w:p>
        </w:tc>
        <w:tc>
          <w:tcPr>
            <w:tcW w:w="1726" w:type="dxa"/>
            <w:noWrap/>
            <w:hideMark/>
          </w:tcPr>
          <w:p w14:paraId="4D58B372" w14:textId="77777777" w:rsidR="00EE5BB8" w:rsidRPr="00C6052E" w:rsidRDefault="00EE5BB8" w:rsidP="005E4417">
            <w:pPr>
              <w:pStyle w:val="TableCopy"/>
              <w:jc w:val="right"/>
            </w:pPr>
            <w:r w:rsidRPr="00C6052E">
              <w:t>–</w:t>
            </w:r>
          </w:p>
        </w:tc>
        <w:tc>
          <w:tcPr>
            <w:tcW w:w="1275" w:type="dxa"/>
            <w:noWrap/>
            <w:hideMark/>
          </w:tcPr>
          <w:p w14:paraId="5EE8F427" w14:textId="77777777" w:rsidR="00EE5BB8" w:rsidRPr="00C6052E" w:rsidRDefault="00EE5BB8" w:rsidP="005E4417">
            <w:pPr>
              <w:pStyle w:val="TableCopy"/>
              <w:jc w:val="right"/>
            </w:pPr>
            <w:r w:rsidRPr="00C6052E">
              <w:t>(3)</w:t>
            </w:r>
          </w:p>
        </w:tc>
        <w:tc>
          <w:tcPr>
            <w:tcW w:w="1250" w:type="dxa"/>
            <w:noWrap/>
            <w:hideMark/>
          </w:tcPr>
          <w:p w14:paraId="29EB70E8" w14:textId="77777777" w:rsidR="00EE5BB8" w:rsidRPr="00C6052E" w:rsidRDefault="00EE5BB8" w:rsidP="005E4417">
            <w:pPr>
              <w:pStyle w:val="TableCopy"/>
              <w:jc w:val="right"/>
            </w:pPr>
            <w:r w:rsidRPr="00C6052E">
              <w:t>(724)</w:t>
            </w:r>
          </w:p>
        </w:tc>
        <w:tc>
          <w:tcPr>
            <w:tcW w:w="1417" w:type="dxa"/>
            <w:noWrap/>
            <w:hideMark/>
          </w:tcPr>
          <w:p w14:paraId="48574DF8" w14:textId="77777777" w:rsidR="00EE5BB8" w:rsidRPr="00C6052E" w:rsidRDefault="00EE5BB8" w:rsidP="005E4417">
            <w:pPr>
              <w:pStyle w:val="TableCopy"/>
              <w:jc w:val="right"/>
            </w:pPr>
            <w:r w:rsidRPr="00C6052E">
              <w:t>–</w:t>
            </w:r>
          </w:p>
        </w:tc>
        <w:tc>
          <w:tcPr>
            <w:tcW w:w="1586" w:type="dxa"/>
            <w:noWrap/>
            <w:hideMark/>
          </w:tcPr>
          <w:p w14:paraId="58570D31" w14:textId="77777777" w:rsidR="00EE5BB8" w:rsidRPr="00C6052E" w:rsidRDefault="00EE5BB8" w:rsidP="005E4417">
            <w:pPr>
              <w:pStyle w:val="TableCopy"/>
              <w:jc w:val="right"/>
            </w:pPr>
            <w:r w:rsidRPr="00C6052E">
              <w:t>(1,031)</w:t>
            </w:r>
          </w:p>
        </w:tc>
        <w:tc>
          <w:tcPr>
            <w:tcW w:w="1248" w:type="dxa"/>
            <w:noWrap/>
            <w:hideMark/>
          </w:tcPr>
          <w:p w14:paraId="1EA1F26F" w14:textId="77777777" w:rsidR="00EE5BB8" w:rsidRPr="00C6052E" w:rsidRDefault="00EE5BB8" w:rsidP="005E4417">
            <w:pPr>
              <w:pStyle w:val="TableCopy"/>
              <w:jc w:val="right"/>
            </w:pPr>
            <w:r w:rsidRPr="00C6052E">
              <w:t>(1,758)</w:t>
            </w:r>
          </w:p>
        </w:tc>
      </w:tr>
      <w:tr w:rsidR="00EE5BB8" w:rsidRPr="00C6052E" w14:paraId="26440B7B" w14:textId="77777777" w:rsidTr="005E4417">
        <w:trPr>
          <w:trHeight w:val="283"/>
        </w:trPr>
        <w:tc>
          <w:tcPr>
            <w:tcW w:w="4649" w:type="dxa"/>
            <w:hideMark/>
          </w:tcPr>
          <w:p w14:paraId="7E27E044" w14:textId="1DC09274" w:rsidR="00EE5BB8" w:rsidRPr="00C6052E" w:rsidRDefault="00EE5BB8" w:rsidP="0063097D">
            <w:pPr>
              <w:pStyle w:val="TableCopy"/>
            </w:pPr>
            <w:r w:rsidRPr="00C6052E">
              <w:t>Return</w:t>
            </w:r>
            <w:r w:rsidR="00177848" w:rsidRPr="00C6052E">
              <w:t xml:space="preserve"> </w:t>
            </w:r>
            <w:r w:rsidRPr="00C6052E">
              <w:t>of</w:t>
            </w:r>
            <w:r w:rsidR="00177848" w:rsidRPr="00C6052E">
              <w:t xml:space="preserve"> </w:t>
            </w:r>
            <w:r w:rsidRPr="00C6052E">
              <w:t>capital</w:t>
            </w:r>
            <w:r w:rsidR="00177848" w:rsidRPr="00C6052E">
              <w:t xml:space="preserve"> </w:t>
            </w:r>
          </w:p>
        </w:tc>
        <w:tc>
          <w:tcPr>
            <w:tcW w:w="1417" w:type="dxa"/>
            <w:noWrap/>
            <w:hideMark/>
          </w:tcPr>
          <w:p w14:paraId="5AD385E4" w14:textId="77777777" w:rsidR="00EE5BB8" w:rsidRPr="00C6052E" w:rsidRDefault="00EE5BB8" w:rsidP="005E4417">
            <w:pPr>
              <w:pStyle w:val="TableCopy"/>
              <w:jc w:val="right"/>
            </w:pPr>
            <w:r w:rsidRPr="00C6052E">
              <w:t>(20,629)</w:t>
            </w:r>
          </w:p>
        </w:tc>
        <w:tc>
          <w:tcPr>
            <w:tcW w:w="1726" w:type="dxa"/>
            <w:noWrap/>
            <w:hideMark/>
          </w:tcPr>
          <w:p w14:paraId="7FC458F6" w14:textId="77777777" w:rsidR="00EE5BB8" w:rsidRPr="00C6052E" w:rsidRDefault="00EE5BB8" w:rsidP="005E4417">
            <w:pPr>
              <w:pStyle w:val="TableCopy"/>
              <w:jc w:val="right"/>
            </w:pPr>
            <w:r w:rsidRPr="00C6052E">
              <w:t>(27,672)</w:t>
            </w:r>
          </w:p>
        </w:tc>
        <w:tc>
          <w:tcPr>
            <w:tcW w:w="1275" w:type="dxa"/>
            <w:noWrap/>
            <w:hideMark/>
          </w:tcPr>
          <w:p w14:paraId="2A95CD1B" w14:textId="77777777" w:rsidR="00EE5BB8" w:rsidRPr="00C6052E" w:rsidRDefault="00EE5BB8" w:rsidP="005E4417">
            <w:pPr>
              <w:pStyle w:val="TableCopy"/>
              <w:jc w:val="right"/>
            </w:pPr>
            <w:r w:rsidRPr="00C6052E">
              <w:t>(7)</w:t>
            </w:r>
          </w:p>
        </w:tc>
        <w:tc>
          <w:tcPr>
            <w:tcW w:w="1250" w:type="dxa"/>
            <w:noWrap/>
            <w:hideMark/>
          </w:tcPr>
          <w:p w14:paraId="4FEA4279" w14:textId="77777777" w:rsidR="00EE5BB8" w:rsidRPr="00C6052E" w:rsidRDefault="00EE5BB8" w:rsidP="005E4417">
            <w:pPr>
              <w:pStyle w:val="TableCopy"/>
              <w:jc w:val="right"/>
            </w:pPr>
            <w:r w:rsidRPr="00C6052E">
              <w:t>–</w:t>
            </w:r>
          </w:p>
        </w:tc>
        <w:tc>
          <w:tcPr>
            <w:tcW w:w="1417" w:type="dxa"/>
            <w:noWrap/>
            <w:hideMark/>
          </w:tcPr>
          <w:p w14:paraId="6905089A" w14:textId="77777777" w:rsidR="00EE5BB8" w:rsidRPr="00C6052E" w:rsidRDefault="00EE5BB8" w:rsidP="005E4417">
            <w:pPr>
              <w:pStyle w:val="TableCopy"/>
              <w:jc w:val="right"/>
            </w:pPr>
            <w:r w:rsidRPr="00C6052E">
              <w:t>–</w:t>
            </w:r>
          </w:p>
        </w:tc>
        <w:tc>
          <w:tcPr>
            <w:tcW w:w="1586" w:type="dxa"/>
            <w:noWrap/>
            <w:hideMark/>
          </w:tcPr>
          <w:p w14:paraId="0127E453" w14:textId="77777777" w:rsidR="00EE5BB8" w:rsidRPr="00C6052E" w:rsidRDefault="00EE5BB8" w:rsidP="005E4417">
            <w:pPr>
              <w:pStyle w:val="TableCopy"/>
              <w:jc w:val="right"/>
            </w:pPr>
            <w:r w:rsidRPr="00C6052E">
              <w:t>–</w:t>
            </w:r>
          </w:p>
        </w:tc>
        <w:tc>
          <w:tcPr>
            <w:tcW w:w="1248" w:type="dxa"/>
            <w:noWrap/>
            <w:hideMark/>
          </w:tcPr>
          <w:p w14:paraId="726EF899" w14:textId="77777777" w:rsidR="00EE5BB8" w:rsidRPr="00C6052E" w:rsidRDefault="00EE5BB8" w:rsidP="005E4417">
            <w:pPr>
              <w:pStyle w:val="TableCopy"/>
              <w:jc w:val="right"/>
            </w:pPr>
            <w:r w:rsidRPr="00C6052E">
              <w:t>(48,308)</w:t>
            </w:r>
          </w:p>
        </w:tc>
      </w:tr>
      <w:tr w:rsidR="00EE5BB8" w:rsidRPr="00C6052E" w14:paraId="7DA7569D" w14:textId="77777777" w:rsidTr="005E4417">
        <w:trPr>
          <w:trHeight w:val="283"/>
        </w:trPr>
        <w:tc>
          <w:tcPr>
            <w:tcW w:w="4649" w:type="dxa"/>
            <w:hideMark/>
          </w:tcPr>
          <w:p w14:paraId="1B79437B" w14:textId="2187AD2A" w:rsidR="00EE5BB8" w:rsidRPr="00C6052E" w:rsidRDefault="00EE5BB8" w:rsidP="0063097D">
            <w:pPr>
              <w:pStyle w:val="TableCopy"/>
            </w:pPr>
            <w:r w:rsidRPr="00C6052E">
              <w:t>Transfers</w:t>
            </w:r>
            <w:r w:rsidR="00177848" w:rsidRPr="00C6052E">
              <w:t xml:space="preserve"> </w:t>
            </w:r>
            <w:r w:rsidRPr="00C6052E">
              <w:t>to</w:t>
            </w:r>
            <w:r w:rsidR="00177848" w:rsidRPr="00C6052E">
              <w:t xml:space="preserve"> </w:t>
            </w:r>
            <w:r w:rsidRPr="00C6052E">
              <w:t>classified</w:t>
            </w:r>
            <w:r w:rsidR="00177848" w:rsidRPr="00C6052E">
              <w:t xml:space="preserve"> </w:t>
            </w:r>
            <w:r w:rsidRPr="00C6052E">
              <w:t>as</w:t>
            </w:r>
            <w:r w:rsidR="00177848" w:rsidRPr="00C6052E">
              <w:t xml:space="preserve"> </w:t>
            </w:r>
            <w:r w:rsidRPr="00C6052E">
              <w:t>held</w:t>
            </w:r>
            <w:r w:rsidR="00177848" w:rsidRPr="00C6052E">
              <w:t xml:space="preserve"> </w:t>
            </w:r>
            <w:r w:rsidRPr="00C6052E">
              <w:t>for</w:t>
            </w:r>
            <w:r w:rsidR="00177848" w:rsidRPr="00C6052E">
              <w:t xml:space="preserve"> </w:t>
            </w:r>
            <w:r w:rsidRPr="00C6052E">
              <w:t>sale</w:t>
            </w:r>
            <w:r w:rsidR="00177848" w:rsidRPr="00C6052E">
              <w:t xml:space="preserve"> </w:t>
            </w:r>
          </w:p>
        </w:tc>
        <w:tc>
          <w:tcPr>
            <w:tcW w:w="1417" w:type="dxa"/>
            <w:noWrap/>
            <w:hideMark/>
          </w:tcPr>
          <w:p w14:paraId="161E7857" w14:textId="77777777" w:rsidR="00EE5BB8" w:rsidRPr="00C6052E" w:rsidRDefault="00EE5BB8" w:rsidP="005E4417">
            <w:pPr>
              <w:pStyle w:val="TableCopy"/>
              <w:jc w:val="right"/>
            </w:pPr>
            <w:r w:rsidRPr="00C6052E">
              <w:t>(10,640)</w:t>
            </w:r>
          </w:p>
        </w:tc>
        <w:tc>
          <w:tcPr>
            <w:tcW w:w="1726" w:type="dxa"/>
            <w:noWrap/>
            <w:hideMark/>
          </w:tcPr>
          <w:p w14:paraId="29FB4CFE" w14:textId="77777777" w:rsidR="00EE5BB8" w:rsidRPr="00C6052E" w:rsidRDefault="00EE5BB8" w:rsidP="005E4417">
            <w:pPr>
              <w:pStyle w:val="TableCopy"/>
              <w:jc w:val="right"/>
            </w:pPr>
            <w:r w:rsidRPr="00C6052E">
              <w:t>–</w:t>
            </w:r>
          </w:p>
        </w:tc>
        <w:tc>
          <w:tcPr>
            <w:tcW w:w="1275" w:type="dxa"/>
            <w:noWrap/>
            <w:hideMark/>
          </w:tcPr>
          <w:p w14:paraId="28C56645" w14:textId="77777777" w:rsidR="00EE5BB8" w:rsidRPr="00C6052E" w:rsidRDefault="00EE5BB8" w:rsidP="005E4417">
            <w:pPr>
              <w:pStyle w:val="TableCopy"/>
              <w:jc w:val="right"/>
            </w:pPr>
            <w:r w:rsidRPr="00C6052E">
              <w:t>–</w:t>
            </w:r>
          </w:p>
        </w:tc>
        <w:tc>
          <w:tcPr>
            <w:tcW w:w="1250" w:type="dxa"/>
            <w:noWrap/>
            <w:hideMark/>
          </w:tcPr>
          <w:p w14:paraId="37F12F2C" w14:textId="77777777" w:rsidR="00EE5BB8" w:rsidRPr="00C6052E" w:rsidRDefault="00EE5BB8" w:rsidP="005E4417">
            <w:pPr>
              <w:pStyle w:val="TableCopy"/>
              <w:jc w:val="right"/>
            </w:pPr>
            <w:r w:rsidRPr="00C6052E">
              <w:t>(97)</w:t>
            </w:r>
          </w:p>
        </w:tc>
        <w:tc>
          <w:tcPr>
            <w:tcW w:w="1417" w:type="dxa"/>
            <w:noWrap/>
            <w:hideMark/>
          </w:tcPr>
          <w:p w14:paraId="3AAB771D" w14:textId="77777777" w:rsidR="00EE5BB8" w:rsidRPr="00C6052E" w:rsidRDefault="00EE5BB8" w:rsidP="005E4417">
            <w:pPr>
              <w:pStyle w:val="TableCopy"/>
              <w:jc w:val="right"/>
            </w:pPr>
            <w:r w:rsidRPr="00C6052E">
              <w:t>–</w:t>
            </w:r>
          </w:p>
        </w:tc>
        <w:tc>
          <w:tcPr>
            <w:tcW w:w="1586" w:type="dxa"/>
            <w:noWrap/>
            <w:hideMark/>
          </w:tcPr>
          <w:p w14:paraId="5F055BFD" w14:textId="77777777" w:rsidR="00EE5BB8" w:rsidRPr="00C6052E" w:rsidRDefault="00EE5BB8" w:rsidP="005E4417">
            <w:pPr>
              <w:pStyle w:val="TableCopy"/>
              <w:jc w:val="right"/>
            </w:pPr>
            <w:r w:rsidRPr="00C6052E">
              <w:t>–</w:t>
            </w:r>
          </w:p>
        </w:tc>
        <w:tc>
          <w:tcPr>
            <w:tcW w:w="1248" w:type="dxa"/>
            <w:noWrap/>
            <w:hideMark/>
          </w:tcPr>
          <w:p w14:paraId="6BA6EB8C" w14:textId="77777777" w:rsidR="00EE5BB8" w:rsidRPr="00C6052E" w:rsidRDefault="00EE5BB8" w:rsidP="005E4417">
            <w:pPr>
              <w:pStyle w:val="TableCopy"/>
              <w:jc w:val="right"/>
            </w:pPr>
            <w:r w:rsidRPr="00C6052E">
              <w:t>(10,737)</w:t>
            </w:r>
          </w:p>
        </w:tc>
      </w:tr>
      <w:tr w:rsidR="00EE5BB8" w:rsidRPr="00C6052E" w14:paraId="52ECA357" w14:textId="77777777" w:rsidTr="005E4417">
        <w:trPr>
          <w:trHeight w:val="283"/>
        </w:trPr>
        <w:tc>
          <w:tcPr>
            <w:tcW w:w="4649" w:type="dxa"/>
            <w:hideMark/>
          </w:tcPr>
          <w:p w14:paraId="17B2AF83" w14:textId="262D131F" w:rsidR="00EE5BB8" w:rsidRPr="00C6052E" w:rsidRDefault="00EE5BB8" w:rsidP="0063097D">
            <w:pPr>
              <w:pStyle w:val="TableCopy"/>
            </w:pPr>
            <w:r w:rsidRPr="00C6052E">
              <w:t>Transfer</w:t>
            </w:r>
            <w:r w:rsidR="00177848" w:rsidRPr="00C6052E">
              <w:t xml:space="preserve"> </w:t>
            </w:r>
            <w:r w:rsidRPr="00C6052E">
              <w:t>between</w:t>
            </w:r>
            <w:r w:rsidR="00177848" w:rsidRPr="00C6052E">
              <w:t xml:space="preserve"> </w:t>
            </w:r>
            <w:r w:rsidRPr="00C6052E">
              <w:t>classes</w:t>
            </w:r>
          </w:p>
        </w:tc>
        <w:tc>
          <w:tcPr>
            <w:tcW w:w="1417" w:type="dxa"/>
            <w:noWrap/>
            <w:hideMark/>
          </w:tcPr>
          <w:p w14:paraId="3D03EC69" w14:textId="77777777" w:rsidR="00EE5BB8" w:rsidRPr="00C6052E" w:rsidRDefault="00EE5BB8" w:rsidP="005E4417">
            <w:pPr>
              <w:pStyle w:val="TableCopy"/>
              <w:jc w:val="right"/>
            </w:pPr>
            <w:r w:rsidRPr="00C6052E">
              <w:t>–</w:t>
            </w:r>
          </w:p>
        </w:tc>
        <w:tc>
          <w:tcPr>
            <w:tcW w:w="1726" w:type="dxa"/>
            <w:noWrap/>
            <w:hideMark/>
          </w:tcPr>
          <w:p w14:paraId="5A915E58" w14:textId="77777777" w:rsidR="00EE5BB8" w:rsidRPr="00C6052E" w:rsidRDefault="00EE5BB8" w:rsidP="005E4417">
            <w:pPr>
              <w:pStyle w:val="TableCopy"/>
              <w:jc w:val="right"/>
            </w:pPr>
            <w:r w:rsidRPr="00C6052E">
              <w:t>5,663</w:t>
            </w:r>
          </w:p>
        </w:tc>
        <w:tc>
          <w:tcPr>
            <w:tcW w:w="1275" w:type="dxa"/>
            <w:noWrap/>
            <w:hideMark/>
          </w:tcPr>
          <w:p w14:paraId="15DD4CE2" w14:textId="77777777" w:rsidR="00EE5BB8" w:rsidRPr="00C6052E" w:rsidRDefault="00EE5BB8" w:rsidP="005E4417">
            <w:pPr>
              <w:pStyle w:val="TableCopy"/>
              <w:jc w:val="right"/>
            </w:pPr>
            <w:r w:rsidRPr="00C6052E">
              <w:t>121</w:t>
            </w:r>
          </w:p>
        </w:tc>
        <w:tc>
          <w:tcPr>
            <w:tcW w:w="1250" w:type="dxa"/>
            <w:noWrap/>
            <w:hideMark/>
          </w:tcPr>
          <w:p w14:paraId="65DB37B1" w14:textId="77777777" w:rsidR="00EE5BB8" w:rsidRPr="00C6052E" w:rsidRDefault="00EE5BB8" w:rsidP="005E4417">
            <w:pPr>
              <w:pStyle w:val="TableCopy"/>
              <w:jc w:val="right"/>
            </w:pPr>
            <w:r w:rsidRPr="00C6052E">
              <w:t>–</w:t>
            </w:r>
          </w:p>
        </w:tc>
        <w:tc>
          <w:tcPr>
            <w:tcW w:w="1417" w:type="dxa"/>
            <w:noWrap/>
            <w:hideMark/>
          </w:tcPr>
          <w:p w14:paraId="25F466FB" w14:textId="77777777" w:rsidR="00EE5BB8" w:rsidRPr="00C6052E" w:rsidRDefault="00EE5BB8" w:rsidP="005E4417">
            <w:pPr>
              <w:pStyle w:val="TableCopy"/>
              <w:jc w:val="right"/>
            </w:pPr>
            <w:r w:rsidRPr="00C6052E">
              <w:t>–</w:t>
            </w:r>
          </w:p>
        </w:tc>
        <w:tc>
          <w:tcPr>
            <w:tcW w:w="1586" w:type="dxa"/>
            <w:noWrap/>
            <w:hideMark/>
          </w:tcPr>
          <w:p w14:paraId="2C1F7151" w14:textId="77777777" w:rsidR="00EE5BB8" w:rsidRPr="00C6052E" w:rsidRDefault="00EE5BB8" w:rsidP="005E4417">
            <w:pPr>
              <w:pStyle w:val="TableCopy"/>
              <w:jc w:val="right"/>
            </w:pPr>
            <w:r w:rsidRPr="00C6052E">
              <w:t>4,463</w:t>
            </w:r>
          </w:p>
        </w:tc>
        <w:tc>
          <w:tcPr>
            <w:tcW w:w="1248" w:type="dxa"/>
            <w:noWrap/>
            <w:hideMark/>
          </w:tcPr>
          <w:p w14:paraId="4D4B0ADD" w14:textId="77777777" w:rsidR="00EE5BB8" w:rsidRPr="00C6052E" w:rsidRDefault="00EE5BB8" w:rsidP="005E4417">
            <w:pPr>
              <w:pStyle w:val="TableCopy"/>
              <w:jc w:val="right"/>
            </w:pPr>
            <w:r w:rsidRPr="00C6052E">
              <w:t>10,247</w:t>
            </w:r>
          </w:p>
        </w:tc>
      </w:tr>
      <w:tr w:rsidR="00EE5BB8" w:rsidRPr="00C6052E" w14:paraId="46658384" w14:textId="77777777" w:rsidTr="005E4417">
        <w:trPr>
          <w:trHeight w:val="283"/>
        </w:trPr>
        <w:tc>
          <w:tcPr>
            <w:tcW w:w="4649" w:type="dxa"/>
            <w:hideMark/>
          </w:tcPr>
          <w:p w14:paraId="5B431F63" w14:textId="755214E4" w:rsidR="00EE5BB8" w:rsidRPr="00C6052E" w:rsidRDefault="00EE5BB8" w:rsidP="0063097D">
            <w:pPr>
              <w:pStyle w:val="TableCopy"/>
            </w:pPr>
            <w:r w:rsidRPr="00C6052E">
              <w:t>Depreciation</w:t>
            </w:r>
            <w:r w:rsidR="00177848" w:rsidRPr="00C6052E">
              <w:t xml:space="preserve"> </w:t>
            </w:r>
          </w:p>
        </w:tc>
        <w:tc>
          <w:tcPr>
            <w:tcW w:w="1417" w:type="dxa"/>
            <w:noWrap/>
            <w:hideMark/>
          </w:tcPr>
          <w:p w14:paraId="3918108D" w14:textId="77777777" w:rsidR="00EE5BB8" w:rsidRPr="00C6052E" w:rsidRDefault="00EE5BB8" w:rsidP="005E4417">
            <w:pPr>
              <w:pStyle w:val="TableCopy"/>
              <w:jc w:val="right"/>
            </w:pPr>
            <w:r w:rsidRPr="00C6052E">
              <w:t>–</w:t>
            </w:r>
          </w:p>
        </w:tc>
        <w:tc>
          <w:tcPr>
            <w:tcW w:w="1726" w:type="dxa"/>
            <w:noWrap/>
            <w:hideMark/>
          </w:tcPr>
          <w:p w14:paraId="6B3FC72A" w14:textId="77777777" w:rsidR="00EE5BB8" w:rsidRPr="00C6052E" w:rsidRDefault="00EE5BB8" w:rsidP="005E4417">
            <w:pPr>
              <w:pStyle w:val="TableCopy"/>
              <w:jc w:val="right"/>
            </w:pPr>
            <w:r w:rsidRPr="00C6052E">
              <w:t>(11,019)</w:t>
            </w:r>
          </w:p>
        </w:tc>
        <w:tc>
          <w:tcPr>
            <w:tcW w:w="1275" w:type="dxa"/>
            <w:noWrap/>
            <w:hideMark/>
          </w:tcPr>
          <w:p w14:paraId="08C87D37" w14:textId="77777777" w:rsidR="00EE5BB8" w:rsidRPr="00C6052E" w:rsidRDefault="00EE5BB8" w:rsidP="005E4417">
            <w:pPr>
              <w:pStyle w:val="TableCopy"/>
              <w:jc w:val="right"/>
            </w:pPr>
            <w:r w:rsidRPr="00C6052E">
              <w:t>(291)</w:t>
            </w:r>
          </w:p>
        </w:tc>
        <w:tc>
          <w:tcPr>
            <w:tcW w:w="1250" w:type="dxa"/>
            <w:noWrap/>
            <w:hideMark/>
          </w:tcPr>
          <w:p w14:paraId="0E784A46" w14:textId="77777777" w:rsidR="00EE5BB8" w:rsidRPr="00C6052E" w:rsidRDefault="00EE5BB8" w:rsidP="005E4417">
            <w:pPr>
              <w:pStyle w:val="TableCopy"/>
              <w:jc w:val="right"/>
            </w:pPr>
            <w:r w:rsidRPr="00C6052E">
              <w:t>(783)</w:t>
            </w:r>
          </w:p>
        </w:tc>
        <w:tc>
          <w:tcPr>
            <w:tcW w:w="1417" w:type="dxa"/>
            <w:noWrap/>
            <w:hideMark/>
          </w:tcPr>
          <w:p w14:paraId="37C6281C" w14:textId="77777777" w:rsidR="00EE5BB8" w:rsidRPr="00C6052E" w:rsidRDefault="00EE5BB8" w:rsidP="005E4417">
            <w:pPr>
              <w:pStyle w:val="TableCopy"/>
              <w:jc w:val="right"/>
            </w:pPr>
            <w:r w:rsidRPr="00C6052E">
              <w:t>(46)</w:t>
            </w:r>
          </w:p>
        </w:tc>
        <w:tc>
          <w:tcPr>
            <w:tcW w:w="1586" w:type="dxa"/>
            <w:noWrap/>
            <w:hideMark/>
          </w:tcPr>
          <w:p w14:paraId="47FD9B5B" w14:textId="77777777" w:rsidR="00EE5BB8" w:rsidRPr="00C6052E" w:rsidRDefault="00EE5BB8" w:rsidP="005E4417">
            <w:pPr>
              <w:pStyle w:val="TableCopy"/>
              <w:jc w:val="right"/>
            </w:pPr>
            <w:r w:rsidRPr="00C6052E">
              <w:t>(2,013)</w:t>
            </w:r>
          </w:p>
        </w:tc>
        <w:tc>
          <w:tcPr>
            <w:tcW w:w="1248" w:type="dxa"/>
            <w:noWrap/>
            <w:hideMark/>
          </w:tcPr>
          <w:p w14:paraId="673DBC16" w14:textId="77777777" w:rsidR="00EE5BB8" w:rsidRPr="00C6052E" w:rsidRDefault="00EE5BB8" w:rsidP="005E4417">
            <w:pPr>
              <w:pStyle w:val="TableCopy"/>
              <w:jc w:val="right"/>
            </w:pPr>
            <w:r w:rsidRPr="00C6052E">
              <w:t>(14,152)</w:t>
            </w:r>
          </w:p>
        </w:tc>
      </w:tr>
      <w:tr w:rsidR="00EE5BB8" w:rsidRPr="00C6052E" w14:paraId="08C4E1E1" w14:textId="77777777" w:rsidTr="005E4417">
        <w:trPr>
          <w:trHeight w:val="283"/>
        </w:trPr>
        <w:tc>
          <w:tcPr>
            <w:tcW w:w="4649" w:type="dxa"/>
            <w:noWrap/>
            <w:hideMark/>
          </w:tcPr>
          <w:p w14:paraId="3F732B88" w14:textId="1E525173" w:rsidR="00EE5BB8" w:rsidRPr="00C6052E" w:rsidRDefault="00EE5BB8" w:rsidP="0063097D">
            <w:pPr>
              <w:pStyle w:val="Tabletotal"/>
            </w:pPr>
            <w:r w:rsidRPr="00C6052E">
              <w:t>Subtotal</w:t>
            </w:r>
            <w:r w:rsidR="00177848" w:rsidRPr="00C6052E">
              <w:t xml:space="preserve"> </w:t>
            </w:r>
          </w:p>
        </w:tc>
        <w:tc>
          <w:tcPr>
            <w:tcW w:w="1417" w:type="dxa"/>
            <w:noWrap/>
            <w:hideMark/>
          </w:tcPr>
          <w:p w14:paraId="4059CC4F" w14:textId="77777777" w:rsidR="00EE5BB8" w:rsidRPr="00C6052E" w:rsidRDefault="00EE5BB8" w:rsidP="005E4417">
            <w:pPr>
              <w:pStyle w:val="Tabletotal"/>
              <w:jc w:val="right"/>
            </w:pPr>
            <w:r w:rsidRPr="00C6052E">
              <w:t>9,504</w:t>
            </w:r>
          </w:p>
        </w:tc>
        <w:tc>
          <w:tcPr>
            <w:tcW w:w="1726" w:type="dxa"/>
            <w:noWrap/>
            <w:hideMark/>
          </w:tcPr>
          <w:p w14:paraId="4FFFCC9D" w14:textId="77777777" w:rsidR="00EE5BB8" w:rsidRPr="00C6052E" w:rsidRDefault="00EE5BB8" w:rsidP="005E4417">
            <w:pPr>
              <w:pStyle w:val="Tabletotal"/>
              <w:jc w:val="right"/>
            </w:pPr>
            <w:r w:rsidRPr="00C6052E">
              <w:t>(30,384)</w:t>
            </w:r>
          </w:p>
        </w:tc>
        <w:tc>
          <w:tcPr>
            <w:tcW w:w="1275" w:type="dxa"/>
            <w:noWrap/>
            <w:hideMark/>
          </w:tcPr>
          <w:p w14:paraId="23597BAD" w14:textId="77777777" w:rsidR="00EE5BB8" w:rsidRPr="00C6052E" w:rsidRDefault="00EE5BB8" w:rsidP="005E4417">
            <w:pPr>
              <w:pStyle w:val="Tabletotal"/>
              <w:jc w:val="right"/>
            </w:pPr>
            <w:r w:rsidRPr="00C6052E">
              <w:t>(142)</w:t>
            </w:r>
          </w:p>
        </w:tc>
        <w:tc>
          <w:tcPr>
            <w:tcW w:w="1250" w:type="dxa"/>
            <w:noWrap/>
            <w:hideMark/>
          </w:tcPr>
          <w:p w14:paraId="3AEA711E" w14:textId="77777777" w:rsidR="00EE5BB8" w:rsidRPr="00C6052E" w:rsidRDefault="00EE5BB8" w:rsidP="005E4417">
            <w:pPr>
              <w:pStyle w:val="Tabletotal"/>
              <w:jc w:val="right"/>
            </w:pPr>
            <w:r w:rsidRPr="00C6052E">
              <w:t>413</w:t>
            </w:r>
          </w:p>
        </w:tc>
        <w:tc>
          <w:tcPr>
            <w:tcW w:w="1417" w:type="dxa"/>
            <w:noWrap/>
            <w:hideMark/>
          </w:tcPr>
          <w:p w14:paraId="4F025A7F" w14:textId="77777777" w:rsidR="00EE5BB8" w:rsidRPr="00C6052E" w:rsidRDefault="00EE5BB8" w:rsidP="005E4417">
            <w:pPr>
              <w:pStyle w:val="Tabletotal"/>
              <w:jc w:val="right"/>
            </w:pPr>
            <w:r w:rsidRPr="00C6052E">
              <w:t>(46)</w:t>
            </w:r>
          </w:p>
        </w:tc>
        <w:tc>
          <w:tcPr>
            <w:tcW w:w="1586" w:type="dxa"/>
            <w:noWrap/>
            <w:hideMark/>
          </w:tcPr>
          <w:p w14:paraId="2856A8BC" w14:textId="77777777" w:rsidR="00EE5BB8" w:rsidRPr="00C6052E" w:rsidRDefault="00EE5BB8" w:rsidP="005E4417">
            <w:pPr>
              <w:pStyle w:val="Tabletotal"/>
              <w:jc w:val="right"/>
            </w:pPr>
            <w:r w:rsidRPr="00C6052E">
              <w:t>616</w:t>
            </w:r>
          </w:p>
        </w:tc>
        <w:tc>
          <w:tcPr>
            <w:tcW w:w="1248" w:type="dxa"/>
            <w:noWrap/>
            <w:hideMark/>
          </w:tcPr>
          <w:p w14:paraId="1F93EBAC" w14:textId="77777777" w:rsidR="00EE5BB8" w:rsidRPr="00C6052E" w:rsidRDefault="00EE5BB8" w:rsidP="005E4417">
            <w:pPr>
              <w:pStyle w:val="Tabletotal"/>
              <w:jc w:val="right"/>
            </w:pPr>
            <w:r w:rsidRPr="00C6052E">
              <w:t>(20,039)</w:t>
            </w:r>
          </w:p>
        </w:tc>
      </w:tr>
      <w:tr w:rsidR="00EE5BB8" w:rsidRPr="00C6052E" w14:paraId="1BB2A447" w14:textId="77777777" w:rsidTr="005E4417">
        <w:trPr>
          <w:trHeight w:val="283"/>
        </w:trPr>
        <w:tc>
          <w:tcPr>
            <w:tcW w:w="4649" w:type="dxa"/>
            <w:hideMark/>
          </w:tcPr>
          <w:p w14:paraId="041A37A7" w14:textId="69F31A61" w:rsidR="00EE5BB8" w:rsidRPr="00C6052E" w:rsidRDefault="00EE5BB8" w:rsidP="0063097D">
            <w:pPr>
              <w:pStyle w:val="TableCopy"/>
            </w:pPr>
            <w:r w:rsidRPr="00C6052E">
              <w:t>Revaluation</w:t>
            </w:r>
            <w:r w:rsidR="00177848" w:rsidRPr="00C6052E">
              <w:t xml:space="preserve"> </w:t>
            </w:r>
          </w:p>
        </w:tc>
        <w:tc>
          <w:tcPr>
            <w:tcW w:w="1417" w:type="dxa"/>
            <w:noWrap/>
            <w:hideMark/>
          </w:tcPr>
          <w:p w14:paraId="7CD5BD02" w14:textId="77777777" w:rsidR="00EE5BB8" w:rsidRPr="00C6052E" w:rsidRDefault="00EE5BB8" w:rsidP="005E4417">
            <w:pPr>
              <w:pStyle w:val="TableCopy"/>
              <w:jc w:val="right"/>
            </w:pPr>
            <w:r w:rsidRPr="00C6052E">
              <w:t>(41,322)</w:t>
            </w:r>
          </w:p>
        </w:tc>
        <w:tc>
          <w:tcPr>
            <w:tcW w:w="1726" w:type="dxa"/>
            <w:noWrap/>
            <w:hideMark/>
          </w:tcPr>
          <w:p w14:paraId="2EC0F089" w14:textId="77777777" w:rsidR="00EE5BB8" w:rsidRPr="00C6052E" w:rsidRDefault="00EE5BB8" w:rsidP="005E4417">
            <w:pPr>
              <w:pStyle w:val="TableCopy"/>
              <w:jc w:val="right"/>
            </w:pPr>
            <w:r w:rsidRPr="00C6052E">
              <w:t>–</w:t>
            </w:r>
          </w:p>
        </w:tc>
        <w:tc>
          <w:tcPr>
            <w:tcW w:w="1275" w:type="dxa"/>
            <w:noWrap/>
            <w:hideMark/>
          </w:tcPr>
          <w:p w14:paraId="3AD88685" w14:textId="77777777" w:rsidR="00EE5BB8" w:rsidRPr="00C6052E" w:rsidRDefault="00EE5BB8" w:rsidP="005E4417">
            <w:pPr>
              <w:pStyle w:val="TableCopy"/>
              <w:jc w:val="right"/>
            </w:pPr>
            <w:r w:rsidRPr="00C6052E">
              <w:t>–</w:t>
            </w:r>
          </w:p>
        </w:tc>
        <w:tc>
          <w:tcPr>
            <w:tcW w:w="1250" w:type="dxa"/>
            <w:noWrap/>
            <w:hideMark/>
          </w:tcPr>
          <w:p w14:paraId="1FAD727C" w14:textId="77777777" w:rsidR="00EE5BB8" w:rsidRPr="00C6052E" w:rsidRDefault="00EE5BB8" w:rsidP="005E4417">
            <w:pPr>
              <w:pStyle w:val="TableCopy"/>
              <w:jc w:val="right"/>
            </w:pPr>
            <w:r w:rsidRPr="00C6052E">
              <w:t>–</w:t>
            </w:r>
          </w:p>
        </w:tc>
        <w:tc>
          <w:tcPr>
            <w:tcW w:w="1417" w:type="dxa"/>
            <w:noWrap/>
            <w:hideMark/>
          </w:tcPr>
          <w:p w14:paraId="5C0DD48A" w14:textId="77777777" w:rsidR="00EE5BB8" w:rsidRPr="00C6052E" w:rsidRDefault="00EE5BB8" w:rsidP="005E4417">
            <w:pPr>
              <w:pStyle w:val="TableCopy"/>
              <w:jc w:val="right"/>
            </w:pPr>
            <w:r w:rsidRPr="00C6052E">
              <w:t>–</w:t>
            </w:r>
          </w:p>
        </w:tc>
        <w:tc>
          <w:tcPr>
            <w:tcW w:w="1586" w:type="dxa"/>
            <w:noWrap/>
            <w:hideMark/>
          </w:tcPr>
          <w:p w14:paraId="199F95A4" w14:textId="77777777" w:rsidR="00EE5BB8" w:rsidRPr="00C6052E" w:rsidRDefault="00EE5BB8" w:rsidP="005E4417">
            <w:pPr>
              <w:pStyle w:val="TableCopy"/>
              <w:jc w:val="right"/>
            </w:pPr>
            <w:r w:rsidRPr="00C6052E">
              <w:t>–</w:t>
            </w:r>
          </w:p>
        </w:tc>
        <w:tc>
          <w:tcPr>
            <w:tcW w:w="1248" w:type="dxa"/>
            <w:noWrap/>
            <w:hideMark/>
          </w:tcPr>
          <w:p w14:paraId="1A3C7073" w14:textId="77777777" w:rsidR="00EE5BB8" w:rsidRPr="00C6052E" w:rsidRDefault="00EE5BB8" w:rsidP="005E4417">
            <w:pPr>
              <w:pStyle w:val="TableCopy"/>
              <w:jc w:val="right"/>
            </w:pPr>
            <w:r w:rsidRPr="00C6052E">
              <w:t>(41,322)</w:t>
            </w:r>
          </w:p>
        </w:tc>
      </w:tr>
      <w:tr w:rsidR="00EE5BB8" w:rsidRPr="00C6052E" w14:paraId="6A42838B" w14:textId="77777777" w:rsidTr="005E4417">
        <w:trPr>
          <w:trHeight w:val="283"/>
        </w:trPr>
        <w:tc>
          <w:tcPr>
            <w:tcW w:w="4649" w:type="dxa"/>
            <w:noWrap/>
            <w:hideMark/>
          </w:tcPr>
          <w:p w14:paraId="2F54E99F" w14:textId="1622024B" w:rsidR="00EE5BB8" w:rsidRPr="00C6052E" w:rsidRDefault="00EE5BB8" w:rsidP="0063097D">
            <w:pPr>
              <w:pStyle w:val="Tabletotal"/>
            </w:pPr>
            <w:r w:rsidRPr="00C6052E">
              <w:t>Total</w:t>
            </w:r>
            <w:r w:rsidR="00177848" w:rsidRPr="00C6052E">
              <w:t xml:space="preserve"> </w:t>
            </w:r>
          </w:p>
        </w:tc>
        <w:tc>
          <w:tcPr>
            <w:tcW w:w="1417" w:type="dxa"/>
            <w:noWrap/>
            <w:hideMark/>
          </w:tcPr>
          <w:p w14:paraId="67934A95" w14:textId="77777777" w:rsidR="00EE5BB8" w:rsidRPr="00C6052E" w:rsidRDefault="00EE5BB8" w:rsidP="005E4417">
            <w:pPr>
              <w:pStyle w:val="Tabletotal"/>
              <w:jc w:val="right"/>
            </w:pPr>
            <w:r w:rsidRPr="00C6052E">
              <w:t>350,668</w:t>
            </w:r>
          </w:p>
        </w:tc>
        <w:tc>
          <w:tcPr>
            <w:tcW w:w="1726" w:type="dxa"/>
            <w:noWrap/>
            <w:hideMark/>
          </w:tcPr>
          <w:p w14:paraId="18A11D75" w14:textId="77777777" w:rsidR="00EE5BB8" w:rsidRPr="00C6052E" w:rsidRDefault="00EE5BB8" w:rsidP="005E4417">
            <w:pPr>
              <w:pStyle w:val="Tabletotal"/>
              <w:jc w:val="right"/>
            </w:pPr>
            <w:r w:rsidRPr="00C6052E">
              <w:t>114,777</w:t>
            </w:r>
          </w:p>
        </w:tc>
        <w:tc>
          <w:tcPr>
            <w:tcW w:w="1275" w:type="dxa"/>
            <w:noWrap/>
            <w:hideMark/>
          </w:tcPr>
          <w:p w14:paraId="77F3D77C" w14:textId="77777777" w:rsidR="00EE5BB8" w:rsidRPr="00C6052E" w:rsidRDefault="00EE5BB8" w:rsidP="005E4417">
            <w:pPr>
              <w:pStyle w:val="Tabletotal"/>
              <w:jc w:val="right"/>
            </w:pPr>
            <w:r w:rsidRPr="00C6052E">
              <w:t>477</w:t>
            </w:r>
          </w:p>
        </w:tc>
        <w:tc>
          <w:tcPr>
            <w:tcW w:w="1250" w:type="dxa"/>
            <w:noWrap/>
            <w:hideMark/>
          </w:tcPr>
          <w:p w14:paraId="609EA2E9" w14:textId="77777777" w:rsidR="00EE5BB8" w:rsidRPr="00C6052E" w:rsidRDefault="00EE5BB8" w:rsidP="005E4417">
            <w:pPr>
              <w:pStyle w:val="Tabletotal"/>
              <w:jc w:val="right"/>
            </w:pPr>
            <w:r w:rsidRPr="00C6052E">
              <w:t>4,465</w:t>
            </w:r>
          </w:p>
        </w:tc>
        <w:tc>
          <w:tcPr>
            <w:tcW w:w="1417" w:type="dxa"/>
            <w:noWrap/>
            <w:hideMark/>
          </w:tcPr>
          <w:p w14:paraId="40DCB004" w14:textId="77777777" w:rsidR="00EE5BB8" w:rsidRPr="00C6052E" w:rsidRDefault="00EE5BB8" w:rsidP="005E4417">
            <w:pPr>
              <w:pStyle w:val="Tabletotal"/>
              <w:jc w:val="right"/>
            </w:pPr>
            <w:r w:rsidRPr="00C6052E">
              <w:t>2,634</w:t>
            </w:r>
          </w:p>
        </w:tc>
        <w:tc>
          <w:tcPr>
            <w:tcW w:w="1586" w:type="dxa"/>
            <w:noWrap/>
            <w:hideMark/>
          </w:tcPr>
          <w:p w14:paraId="6D596E74" w14:textId="77777777" w:rsidR="00EE5BB8" w:rsidRPr="00C6052E" w:rsidRDefault="00EE5BB8" w:rsidP="005E4417">
            <w:pPr>
              <w:pStyle w:val="Tabletotal"/>
              <w:jc w:val="right"/>
            </w:pPr>
            <w:r w:rsidRPr="00C6052E">
              <w:t>6,492</w:t>
            </w:r>
          </w:p>
        </w:tc>
        <w:tc>
          <w:tcPr>
            <w:tcW w:w="1248" w:type="dxa"/>
            <w:noWrap/>
            <w:hideMark/>
          </w:tcPr>
          <w:p w14:paraId="1AEF52A7" w14:textId="77777777" w:rsidR="00EE5BB8" w:rsidRPr="00C6052E" w:rsidRDefault="00EE5BB8" w:rsidP="005E4417">
            <w:pPr>
              <w:pStyle w:val="Tabletotal"/>
              <w:jc w:val="right"/>
            </w:pPr>
            <w:r w:rsidRPr="00C6052E">
              <w:t>479,513</w:t>
            </w:r>
          </w:p>
        </w:tc>
      </w:tr>
    </w:tbl>
    <w:p w14:paraId="14BD5227" w14:textId="77777777" w:rsidR="00EE5BB8" w:rsidRPr="00C6052E" w:rsidRDefault="00EE5BB8" w:rsidP="00EE5BB8"/>
    <w:tbl>
      <w:tblPr>
        <w:tblStyle w:val="TableGrid"/>
        <w:tblW w:w="14568" w:type="dxa"/>
        <w:tblLayout w:type="fixed"/>
        <w:tblLook w:val="04E0" w:firstRow="1" w:lastRow="1" w:firstColumn="1" w:lastColumn="0" w:noHBand="0" w:noVBand="1"/>
      </w:tblPr>
      <w:tblGrid>
        <w:gridCol w:w="4656"/>
        <w:gridCol w:w="1419"/>
        <w:gridCol w:w="1703"/>
        <w:gridCol w:w="1278"/>
        <w:gridCol w:w="1255"/>
        <w:gridCol w:w="1419"/>
        <w:gridCol w:w="1589"/>
        <w:gridCol w:w="1249"/>
      </w:tblGrid>
      <w:tr w:rsidR="00EE5BB8" w:rsidRPr="00C6052E" w14:paraId="6A9EAB52" w14:textId="77777777" w:rsidTr="00FE1992">
        <w:tc>
          <w:tcPr>
            <w:tcW w:w="4649" w:type="dxa"/>
            <w:hideMark/>
          </w:tcPr>
          <w:p w14:paraId="08EF6016" w14:textId="77777777" w:rsidR="00EE5BB8" w:rsidRPr="00C6052E" w:rsidRDefault="00EE5BB8" w:rsidP="000F5B20">
            <w:pPr>
              <w:pStyle w:val="TableColumnHeading"/>
            </w:pPr>
            <w:bookmarkStart w:id="342" w:name="TableColumnHeadings_102"/>
            <w:bookmarkEnd w:id="342"/>
            <w:r w:rsidRPr="00C6052E">
              <w:lastRenderedPageBreak/>
              <w:t>2024</w:t>
            </w:r>
          </w:p>
        </w:tc>
        <w:tc>
          <w:tcPr>
            <w:tcW w:w="1417" w:type="dxa"/>
            <w:hideMark/>
          </w:tcPr>
          <w:p w14:paraId="6245DE91" w14:textId="14E1B3FC" w:rsidR="00EE5BB8" w:rsidRPr="00C6052E" w:rsidRDefault="00EE5BB8" w:rsidP="00FE1992">
            <w:pPr>
              <w:pStyle w:val="TableColumnHeading"/>
              <w:jc w:val="right"/>
              <w:rPr>
                <w:lang w:val="en-AU"/>
              </w:rPr>
            </w:pPr>
            <w:r w:rsidRPr="00C6052E">
              <w:rPr>
                <w:lang w:val="en-AU"/>
              </w:rPr>
              <w:t>Specialised</w:t>
            </w:r>
            <w:r w:rsidR="00B1545C" w:rsidRPr="00C6052E">
              <w:rPr>
                <w:lang w:val="en-AU"/>
              </w:rPr>
              <w:t xml:space="preserve"> </w:t>
            </w:r>
            <w:r w:rsidRPr="00C6052E">
              <w:rPr>
                <w:lang w:val="en-AU"/>
              </w:rPr>
              <w:br/>
              <w:t>land</w:t>
            </w:r>
            <w:r w:rsidR="00177848" w:rsidRPr="00C6052E">
              <w:rPr>
                <w:lang w:val="en-AU"/>
              </w:rPr>
              <w:t xml:space="preserve"> </w:t>
            </w:r>
          </w:p>
        </w:tc>
        <w:tc>
          <w:tcPr>
            <w:tcW w:w="1701" w:type="dxa"/>
            <w:hideMark/>
          </w:tcPr>
          <w:p w14:paraId="2D7851D2" w14:textId="0F8025CD" w:rsidR="00EE5BB8" w:rsidRPr="00C6052E" w:rsidRDefault="00EE5BB8" w:rsidP="00FE1992">
            <w:pPr>
              <w:pStyle w:val="TableColumnHeading"/>
              <w:jc w:val="right"/>
              <w:rPr>
                <w:lang w:val="en-AU"/>
              </w:rPr>
            </w:pPr>
            <w:r w:rsidRPr="00C6052E">
              <w:rPr>
                <w:lang w:val="en-AU"/>
              </w:rPr>
              <w:t>Specialised</w:t>
            </w:r>
            <w:r w:rsidR="00B1545C" w:rsidRPr="00C6052E">
              <w:rPr>
                <w:lang w:val="en-AU"/>
              </w:rPr>
              <w:t xml:space="preserve"> </w:t>
            </w:r>
            <w:r w:rsidRPr="00C6052E">
              <w:rPr>
                <w:lang w:val="en-AU"/>
              </w:rPr>
              <w:t>buildings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non</w:t>
            </w:r>
            <w:r w:rsidRPr="00C6052E">
              <w:rPr>
                <w:lang w:val="en-AU"/>
              </w:rPr>
              <w:noBreakHyphen/>
              <w:t>specialised</w:t>
            </w:r>
            <w:r w:rsidR="00177848" w:rsidRPr="00C6052E">
              <w:rPr>
                <w:lang w:val="en-AU"/>
              </w:rPr>
              <w:t xml:space="preserve"> </w:t>
            </w:r>
            <w:r w:rsidRPr="00C6052E">
              <w:rPr>
                <w:lang w:val="en-AU"/>
              </w:rPr>
              <w:t>buildings</w:t>
            </w:r>
          </w:p>
        </w:tc>
        <w:tc>
          <w:tcPr>
            <w:tcW w:w="1276" w:type="dxa"/>
            <w:hideMark/>
          </w:tcPr>
          <w:p w14:paraId="7BE7A367" w14:textId="4DD2A76E" w:rsidR="00EE5BB8" w:rsidRPr="00C6052E" w:rsidRDefault="00EE5BB8" w:rsidP="00FE1992">
            <w:pPr>
              <w:pStyle w:val="TableColumnHeading"/>
              <w:jc w:val="right"/>
              <w:rPr>
                <w:lang w:val="en-AU"/>
              </w:rPr>
            </w:pPr>
            <w:r w:rsidRPr="00C6052E">
              <w:rPr>
                <w:lang w:val="en-AU"/>
              </w:rPr>
              <w:t>Plant</w:t>
            </w:r>
            <w:r w:rsidR="00B1545C" w:rsidRPr="00C6052E">
              <w:rPr>
                <w:lang w:val="en-AU"/>
              </w:rPr>
              <w:t xml:space="preserve"> </w:t>
            </w:r>
            <w:r w:rsidRPr="00C6052E">
              <w:rPr>
                <w:lang w:val="en-AU"/>
              </w:rPr>
              <w:t>and</w:t>
            </w:r>
            <w:r w:rsidR="00177848" w:rsidRPr="00C6052E">
              <w:rPr>
                <w:lang w:val="en-AU"/>
              </w:rPr>
              <w:t xml:space="preserve"> </w:t>
            </w:r>
            <w:r w:rsidRPr="00C6052E">
              <w:rPr>
                <w:lang w:val="en-AU"/>
              </w:rPr>
              <w:t>equipment</w:t>
            </w:r>
          </w:p>
        </w:tc>
        <w:tc>
          <w:tcPr>
            <w:tcW w:w="1253" w:type="dxa"/>
            <w:hideMark/>
          </w:tcPr>
          <w:p w14:paraId="00749684" w14:textId="0B57A529" w:rsidR="00EE5BB8" w:rsidRPr="00C6052E" w:rsidRDefault="00EE5BB8" w:rsidP="00FE1992">
            <w:pPr>
              <w:pStyle w:val="TableColumnHeading"/>
              <w:jc w:val="right"/>
              <w:rPr>
                <w:lang w:val="en-AU"/>
              </w:rPr>
            </w:pPr>
            <w:r w:rsidRPr="00C6052E">
              <w:rPr>
                <w:lang w:val="en-AU"/>
              </w:rPr>
              <w:t>Motor</w:t>
            </w:r>
            <w:r w:rsidR="00B1545C" w:rsidRPr="00C6052E">
              <w:rPr>
                <w:lang w:val="en-AU"/>
              </w:rPr>
              <w:t xml:space="preserve"> </w:t>
            </w:r>
            <w:r w:rsidRPr="00C6052E">
              <w:rPr>
                <w:lang w:val="en-AU"/>
              </w:rPr>
              <w:br/>
              <w:t>vehicles</w:t>
            </w:r>
          </w:p>
        </w:tc>
        <w:tc>
          <w:tcPr>
            <w:tcW w:w="1417" w:type="dxa"/>
            <w:hideMark/>
          </w:tcPr>
          <w:p w14:paraId="13BEEF3E" w14:textId="762C0198" w:rsidR="00EE5BB8" w:rsidRPr="00C6052E" w:rsidRDefault="00EE5BB8" w:rsidP="00FE1992">
            <w:pPr>
              <w:pStyle w:val="TableColumnHeading"/>
              <w:jc w:val="right"/>
              <w:rPr>
                <w:lang w:val="en-AU"/>
              </w:rPr>
            </w:pPr>
            <w:r w:rsidRPr="00C6052E">
              <w:rPr>
                <w:lang w:val="en-AU"/>
              </w:rPr>
              <w:t>Cultural</w:t>
            </w:r>
            <w:r w:rsidR="00B1545C" w:rsidRPr="00C6052E">
              <w:rPr>
                <w:lang w:val="en-AU"/>
              </w:rPr>
              <w:t xml:space="preserve"> </w:t>
            </w:r>
            <w:r w:rsidRPr="00C6052E">
              <w:rPr>
                <w:lang w:val="en-AU"/>
              </w:rPr>
              <w:br/>
              <w:t>assets</w:t>
            </w:r>
          </w:p>
        </w:tc>
        <w:tc>
          <w:tcPr>
            <w:tcW w:w="1587" w:type="dxa"/>
            <w:hideMark/>
          </w:tcPr>
          <w:p w14:paraId="1EECD43A" w14:textId="475DFE1B" w:rsidR="00EE5BB8" w:rsidRPr="00C6052E" w:rsidRDefault="00EE5BB8" w:rsidP="00FE1992">
            <w:pPr>
              <w:pStyle w:val="TableColumnHeading"/>
              <w:jc w:val="right"/>
              <w:rPr>
                <w:lang w:val="en-AU"/>
              </w:rPr>
            </w:pPr>
            <w:r w:rsidRPr="00C6052E">
              <w:rPr>
                <w:lang w:val="en-AU"/>
              </w:rPr>
              <w:t>Leasehold</w:t>
            </w:r>
            <w:r w:rsidR="00B1545C" w:rsidRPr="00C6052E">
              <w:rPr>
                <w:lang w:val="en-AU"/>
              </w:rPr>
              <w:t xml:space="preserve"> </w:t>
            </w:r>
            <w:r w:rsidRPr="00C6052E">
              <w:rPr>
                <w:lang w:val="en-AU"/>
              </w:rPr>
              <w:t>improvements</w:t>
            </w:r>
          </w:p>
        </w:tc>
        <w:tc>
          <w:tcPr>
            <w:tcW w:w="1247" w:type="dxa"/>
            <w:hideMark/>
          </w:tcPr>
          <w:p w14:paraId="7E96649C" w14:textId="637F1B1E" w:rsidR="00EE5BB8" w:rsidRPr="00C6052E" w:rsidRDefault="00EE5BB8" w:rsidP="00FE1992">
            <w:pPr>
              <w:pStyle w:val="TableColumnHeading"/>
              <w:jc w:val="right"/>
              <w:rPr>
                <w:lang w:val="en-AU"/>
              </w:rPr>
            </w:pPr>
            <w:r w:rsidRPr="00C6052E">
              <w:rPr>
                <w:lang w:val="en-AU"/>
              </w:rPr>
              <w:t>Total</w:t>
            </w:r>
            <w:r w:rsidR="00B1545C" w:rsidRPr="00C6052E">
              <w:rPr>
                <w:lang w:val="en-AU"/>
              </w:rPr>
              <w:t xml:space="preserve"> </w:t>
            </w:r>
          </w:p>
        </w:tc>
      </w:tr>
      <w:tr w:rsidR="00EE5BB8" w:rsidRPr="00C6052E" w14:paraId="36D7C27C" w14:textId="77777777" w:rsidTr="00FE1992">
        <w:tc>
          <w:tcPr>
            <w:tcW w:w="4649" w:type="dxa"/>
            <w:noWrap/>
            <w:hideMark/>
          </w:tcPr>
          <w:p w14:paraId="641F4792" w14:textId="3AB79AEE" w:rsidR="00EE5BB8" w:rsidRPr="00C6052E" w:rsidRDefault="00EE5BB8" w:rsidP="0063097D">
            <w:pPr>
              <w:pStyle w:val="Tabletotal"/>
              <w:keepNext/>
            </w:pPr>
            <w:r w:rsidRPr="00C6052E">
              <w:t>Opening</w:t>
            </w:r>
            <w:r w:rsidR="00177848" w:rsidRPr="00C6052E">
              <w:t xml:space="preserve"> </w:t>
            </w:r>
            <w:r w:rsidRPr="00C6052E">
              <w:t>balance</w:t>
            </w:r>
          </w:p>
        </w:tc>
        <w:tc>
          <w:tcPr>
            <w:tcW w:w="1417" w:type="dxa"/>
            <w:noWrap/>
            <w:hideMark/>
          </w:tcPr>
          <w:p w14:paraId="1F09A3A0" w14:textId="77777777" w:rsidR="00EE5BB8" w:rsidRPr="00C6052E" w:rsidRDefault="00EE5BB8" w:rsidP="00FE1992">
            <w:pPr>
              <w:pStyle w:val="Tabletotal"/>
              <w:keepNext/>
              <w:jc w:val="right"/>
            </w:pPr>
            <w:r w:rsidRPr="00C6052E">
              <w:t>450,125</w:t>
            </w:r>
          </w:p>
        </w:tc>
        <w:tc>
          <w:tcPr>
            <w:tcW w:w="1701" w:type="dxa"/>
            <w:noWrap/>
            <w:hideMark/>
          </w:tcPr>
          <w:p w14:paraId="4FD70711" w14:textId="77777777" w:rsidR="00EE5BB8" w:rsidRPr="00C6052E" w:rsidRDefault="00EE5BB8" w:rsidP="00FE1992">
            <w:pPr>
              <w:pStyle w:val="Tabletotal"/>
              <w:keepNext/>
              <w:jc w:val="right"/>
            </w:pPr>
            <w:r w:rsidRPr="00C6052E">
              <w:t>197,522</w:t>
            </w:r>
          </w:p>
        </w:tc>
        <w:tc>
          <w:tcPr>
            <w:tcW w:w="1276" w:type="dxa"/>
            <w:noWrap/>
            <w:hideMark/>
          </w:tcPr>
          <w:p w14:paraId="0736FE22" w14:textId="77777777" w:rsidR="00EE5BB8" w:rsidRPr="00C6052E" w:rsidRDefault="00EE5BB8" w:rsidP="00FE1992">
            <w:pPr>
              <w:pStyle w:val="Tabletotal"/>
              <w:keepNext/>
              <w:jc w:val="right"/>
            </w:pPr>
            <w:r w:rsidRPr="00C6052E">
              <w:t>891</w:t>
            </w:r>
          </w:p>
        </w:tc>
        <w:tc>
          <w:tcPr>
            <w:tcW w:w="1253" w:type="dxa"/>
            <w:noWrap/>
            <w:hideMark/>
          </w:tcPr>
          <w:p w14:paraId="63C0017E" w14:textId="77777777" w:rsidR="00EE5BB8" w:rsidRPr="00C6052E" w:rsidRDefault="00EE5BB8" w:rsidP="00FE1992">
            <w:pPr>
              <w:pStyle w:val="Tabletotal"/>
              <w:keepNext/>
              <w:jc w:val="right"/>
            </w:pPr>
            <w:r w:rsidRPr="00C6052E">
              <w:t>3,690</w:t>
            </w:r>
          </w:p>
        </w:tc>
        <w:tc>
          <w:tcPr>
            <w:tcW w:w="1417" w:type="dxa"/>
            <w:noWrap/>
            <w:hideMark/>
          </w:tcPr>
          <w:p w14:paraId="58061FE1" w14:textId="77777777" w:rsidR="00EE5BB8" w:rsidRPr="00C6052E" w:rsidRDefault="00EE5BB8" w:rsidP="00FE1992">
            <w:pPr>
              <w:pStyle w:val="Tabletotal"/>
              <w:keepNext/>
              <w:jc w:val="right"/>
            </w:pPr>
            <w:r w:rsidRPr="00C6052E">
              <w:t>2,726</w:t>
            </w:r>
          </w:p>
        </w:tc>
        <w:tc>
          <w:tcPr>
            <w:tcW w:w="1587" w:type="dxa"/>
            <w:noWrap/>
            <w:hideMark/>
          </w:tcPr>
          <w:p w14:paraId="7E01E429" w14:textId="77777777" w:rsidR="00EE5BB8" w:rsidRPr="00C6052E" w:rsidRDefault="00EE5BB8" w:rsidP="00FE1992">
            <w:pPr>
              <w:pStyle w:val="Tabletotal"/>
              <w:keepNext/>
              <w:jc w:val="right"/>
            </w:pPr>
            <w:r w:rsidRPr="00C6052E">
              <w:t>7,546</w:t>
            </w:r>
          </w:p>
        </w:tc>
        <w:tc>
          <w:tcPr>
            <w:tcW w:w="1247" w:type="dxa"/>
            <w:noWrap/>
            <w:hideMark/>
          </w:tcPr>
          <w:p w14:paraId="299AE88A" w14:textId="77777777" w:rsidR="00EE5BB8" w:rsidRPr="00C6052E" w:rsidRDefault="00EE5BB8" w:rsidP="00FE1992">
            <w:pPr>
              <w:pStyle w:val="Tabletotal"/>
              <w:keepNext/>
              <w:jc w:val="right"/>
            </w:pPr>
            <w:r w:rsidRPr="00C6052E">
              <w:t>662,500</w:t>
            </w:r>
          </w:p>
        </w:tc>
      </w:tr>
      <w:tr w:rsidR="00EE5BB8" w:rsidRPr="00C6052E" w14:paraId="3DE1F3AF" w14:textId="77777777" w:rsidTr="00FE1992">
        <w:tc>
          <w:tcPr>
            <w:tcW w:w="4649" w:type="dxa"/>
            <w:hideMark/>
          </w:tcPr>
          <w:p w14:paraId="0E4CEC69" w14:textId="77777777" w:rsidR="00EE5BB8" w:rsidRPr="00C6052E" w:rsidRDefault="00EE5BB8" w:rsidP="0063097D">
            <w:pPr>
              <w:pStyle w:val="TableCopy"/>
            </w:pPr>
            <w:r w:rsidRPr="00C6052E">
              <w:t>Additions</w:t>
            </w:r>
          </w:p>
        </w:tc>
        <w:tc>
          <w:tcPr>
            <w:tcW w:w="1417" w:type="dxa"/>
            <w:noWrap/>
            <w:hideMark/>
          </w:tcPr>
          <w:p w14:paraId="3816380F" w14:textId="77777777" w:rsidR="00EE5BB8" w:rsidRPr="00C6052E" w:rsidRDefault="00EE5BB8" w:rsidP="00FE1992">
            <w:pPr>
              <w:pStyle w:val="TableCopy"/>
              <w:jc w:val="right"/>
            </w:pPr>
            <w:r w:rsidRPr="00C6052E">
              <w:t>–</w:t>
            </w:r>
          </w:p>
        </w:tc>
        <w:tc>
          <w:tcPr>
            <w:tcW w:w="1701" w:type="dxa"/>
            <w:noWrap/>
            <w:hideMark/>
          </w:tcPr>
          <w:p w14:paraId="47716EF7" w14:textId="77777777" w:rsidR="00EE5BB8" w:rsidRPr="00C6052E" w:rsidRDefault="00EE5BB8" w:rsidP="00FE1992">
            <w:pPr>
              <w:pStyle w:val="TableCopy"/>
              <w:jc w:val="right"/>
            </w:pPr>
            <w:r w:rsidRPr="00C6052E">
              <w:t>2,232</w:t>
            </w:r>
          </w:p>
        </w:tc>
        <w:tc>
          <w:tcPr>
            <w:tcW w:w="1276" w:type="dxa"/>
            <w:noWrap/>
            <w:hideMark/>
          </w:tcPr>
          <w:p w14:paraId="65BAD990" w14:textId="77777777" w:rsidR="00EE5BB8" w:rsidRPr="00C6052E" w:rsidRDefault="00EE5BB8" w:rsidP="00FE1992">
            <w:pPr>
              <w:pStyle w:val="TableCopy"/>
              <w:jc w:val="right"/>
            </w:pPr>
            <w:r w:rsidRPr="00C6052E">
              <w:t>55</w:t>
            </w:r>
          </w:p>
        </w:tc>
        <w:tc>
          <w:tcPr>
            <w:tcW w:w="1253" w:type="dxa"/>
            <w:noWrap/>
            <w:hideMark/>
          </w:tcPr>
          <w:p w14:paraId="4C394F5D" w14:textId="77777777" w:rsidR="00EE5BB8" w:rsidRPr="00C6052E" w:rsidRDefault="00EE5BB8" w:rsidP="00FE1992">
            <w:pPr>
              <w:pStyle w:val="TableCopy"/>
              <w:jc w:val="right"/>
            </w:pPr>
            <w:r w:rsidRPr="00C6052E">
              <w:t>1,697</w:t>
            </w:r>
          </w:p>
        </w:tc>
        <w:tc>
          <w:tcPr>
            <w:tcW w:w="1417" w:type="dxa"/>
            <w:noWrap/>
            <w:hideMark/>
          </w:tcPr>
          <w:p w14:paraId="4DA68BC2" w14:textId="77777777" w:rsidR="00EE5BB8" w:rsidRPr="00C6052E" w:rsidRDefault="00EE5BB8" w:rsidP="00FE1992">
            <w:pPr>
              <w:pStyle w:val="TableCopy"/>
              <w:jc w:val="right"/>
            </w:pPr>
            <w:r w:rsidRPr="00C6052E">
              <w:t>–</w:t>
            </w:r>
          </w:p>
        </w:tc>
        <w:tc>
          <w:tcPr>
            <w:tcW w:w="1587" w:type="dxa"/>
            <w:noWrap/>
            <w:hideMark/>
          </w:tcPr>
          <w:p w14:paraId="094C7DAD" w14:textId="3CF65076" w:rsidR="00EE5BB8" w:rsidRPr="00C6052E" w:rsidRDefault="00177848" w:rsidP="00FE1992">
            <w:pPr>
              <w:pStyle w:val="TableCopy"/>
              <w:jc w:val="right"/>
            </w:pPr>
            <w:r w:rsidRPr="00C6052E">
              <w:rPr>
                <w:rFonts w:cs="Cambria"/>
              </w:rPr>
              <w:t xml:space="preserve"> </w:t>
            </w:r>
          </w:p>
        </w:tc>
        <w:tc>
          <w:tcPr>
            <w:tcW w:w="1247" w:type="dxa"/>
            <w:noWrap/>
            <w:hideMark/>
          </w:tcPr>
          <w:p w14:paraId="567E1469" w14:textId="77777777" w:rsidR="00EE5BB8" w:rsidRPr="00C6052E" w:rsidRDefault="00EE5BB8" w:rsidP="00FE1992">
            <w:pPr>
              <w:pStyle w:val="TableCopy"/>
              <w:jc w:val="right"/>
            </w:pPr>
            <w:r w:rsidRPr="00C6052E">
              <w:t>3,984</w:t>
            </w:r>
          </w:p>
        </w:tc>
      </w:tr>
      <w:tr w:rsidR="00EE5BB8" w:rsidRPr="00C6052E" w14:paraId="498C9EB2" w14:textId="77777777" w:rsidTr="00FE1992">
        <w:tc>
          <w:tcPr>
            <w:tcW w:w="4649" w:type="dxa"/>
            <w:hideMark/>
          </w:tcPr>
          <w:p w14:paraId="204E5DDD" w14:textId="65F7F180" w:rsidR="00EE5BB8" w:rsidRPr="00C6052E" w:rsidRDefault="00EE5BB8" w:rsidP="0063097D">
            <w:pPr>
              <w:pStyle w:val="TableCopy"/>
            </w:pPr>
            <w:r w:rsidRPr="00C6052E">
              <w:t>Disposals</w:t>
            </w:r>
            <w:r w:rsidR="00177848" w:rsidRPr="00C6052E">
              <w:t xml:space="preserve"> </w:t>
            </w:r>
          </w:p>
        </w:tc>
        <w:tc>
          <w:tcPr>
            <w:tcW w:w="1417" w:type="dxa"/>
            <w:noWrap/>
            <w:hideMark/>
          </w:tcPr>
          <w:p w14:paraId="7973A03A" w14:textId="77777777" w:rsidR="00EE5BB8" w:rsidRPr="00C6052E" w:rsidRDefault="00EE5BB8" w:rsidP="00FE1992">
            <w:pPr>
              <w:pStyle w:val="TableCopy"/>
              <w:jc w:val="right"/>
            </w:pPr>
            <w:r w:rsidRPr="00C6052E">
              <w:t>–</w:t>
            </w:r>
          </w:p>
        </w:tc>
        <w:tc>
          <w:tcPr>
            <w:tcW w:w="1701" w:type="dxa"/>
            <w:noWrap/>
            <w:hideMark/>
          </w:tcPr>
          <w:p w14:paraId="63D6D312" w14:textId="77777777" w:rsidR="00EE5BB8" w:rsidRPr="00C6052E" w:rsidRDefault="00EE5BB8" w:rsidP="00FE1992">
            <w:pPr>
              <w:pStyle w:val="TableCopy"/>
              <w:jc w:val="right"/>
            </w:pPr>
            <w:r w:rsidRPr="00C6052E">
              <w:t>(545)</w:t>
            </w:r>
          </w:p>
        </w:tc>
        <w:tc>
          <w:tcPr>
            <w:tcW w:w="1276" w:type="dxa"/>
            <w:noWrap/>
            <w:hideMark/>
          </w:tcPr>
          <w:p w14:paraId="436C3913" w14:textId="77777777" w:rsidR="00EE5BB8" w:rsidRPr="00C6052E" w:rsidRDefault="00EE5BB8" w:rsidP="00FE1992">
            <w:pPr>
              <w:pStyle w:val="TableCopy"/>
              <w:jc w:val="right"/>
            </w:pPr>
            <w:r w:rsidRPr="00C6052E">
              <w:t>(175)</w:t>
            </w:r>
          </w:p>
        </w:tc>
        <w:tc>
          <w:tcPr>
            <w:tcW w:w="1253" w:type="dxa"/>
            <w:noWrap/>
            <w:hideMark/>
          </w:tcPr>
          <w:p w14:paraId="29D65815" w14:textId="77777777" w:rsidR="00EE5BB8" w:rsidRPr="00C6052E" w:rsidRDefault="00EE5BB8" w:rsidP="00FE1992">
            <w:pPr>
              <w:pStyle w:val="TableCopy"/>
              <w:jc w:val="right"/>
            </w:pPr>
            <w:r w:rsidRPr="00C6052E">
              <w:t>(537)</w:t>
            </w:r>
          </w:p>
        </w:tc>
        <w:tc>
          <w:tcPr>
            <w:tcW w:w="1417" w:type="dxa"/>
            <w:noWrap/>
            <w:hideMark/>
          </w:tcPr>
          <w:p w14:paraId="1EFDF0BA" w14:textId="77777777" w:rsidR="00EE5BB8" w:rsidRPr="00C6052E" w:rsidRDefault="00EE5BB8" w:rsidP="00FE1992">
            <w:pPr>
              <w:pStyle w:val="TableCopy"/>
              <w:jc w:val="right"/>
            </w:pPr>
            <w:r w:rsidRPr="00C6052E">
              <w:t>–</w:t>
            </w:r>
          </w:p>
        </w:tc>
        <w:tc>
          <w:tcPr>
            <w:tcW w:w="1587" w:type="dxa"/>
            <w:noWrap/>
            <w:hideMark/>
          </w:tcPr>
          <w:p w14:paraId="0F08D3E9" w14:textId="77777777" w:rsidR="00EE5BB8" w:rsidRPr="00C6052E" w:rsidRDefault="00EE5BB8" w:rsidP="00FE1992">
            <w:pPr>
              <w:pStyle w:val="TableCopy"/>
              <w:jc w:val="right"/>
            </w:pPr>
            <w:r w:rsidRPr="00C6052E">
              <w:t>(272)</w:t>
            </w:r>
          </w:p>
        </w:tc>
        <w:tc>
          <w:tcPr>
            <w:tcW w:w="1247" w:type="dxa"/>
            <w:noWrap/>
            <w:hideMark/>
          </w:tcPr>
          <w:p w14:paraId="60B637EE" w14:textId="77777777" w:rsidR="00EE5BB8" w:rsidRPr="00C6052E" w:rsidRDefault="00EE5BB8" w:rsidP="00FE1992">
            <w:pPr>
              <w:pStyle w:val="TableCopy"/>
              <w:jc w:val="right"/>
            </w:pPr>
            <w:r w:rsidRPr="00C6052E">
              <w:t>(1,529)</w:t>
            </w:r>
          </w:p>
        </w:tc>
      </w:tr>
      <w:tr w:rsidR="00EE5BB8" w:rsidRPr="00C6052E" w14:paraId="58616F27" w14:textId="77777777" w:rsidTr="00FE1992">
        <w:tc>
          <w:tcPr>
            <w:tcW w:w="4649" w:type="dxa"/>
            <w:hideMark/>
          </w:tcPr>
          <w:p w14:paraId="32B0E875" w14:textId="4270733A" w:rsidR="00EE5BB8" w:rsidRPr="00C6052E" w:rsidRDefault="00EE5BB8" w:rsidP="0063097D">
            <w:pPr>
              <w:pStyle w:val="TableCopy"/>
            </w:pPr>
            <w:r w:rsidRPr="00C6052E">
              <w:t>Transfers</w:t>
            </w:r>
            <w:r w:rsidR="00177848" w:rsidRPr="00C6052E">
              <w:t xml:space="preserve"> </w:t>
            </w:r>
            <w:r w:rsidRPr="00C6052E">
              <w:t>to</w:t>
            </w:r>
            <w:r w:rsidR="00177848" w:rsidRPr="00C6052E">
              <w:t xml:space="preserve"> </w:t>
            </w:r>
            <w:r w:rsidRPr="00C6052E">
              <w:t>classified</w:t>
            </w:r>
            <w:r w:rsidR="00177848" w:rsidRPr="00C6052E">
              <w:t xml:space="preserve"> </w:t>
            </w:r>
            <w:r w:rsidRPr="00C6052E">
              <w:t>as</w:t>
            </w:r>
            <w:r w:rsidR="00177848" w:rsidRPr="00C6052E">
              <w:t xml:space="preserve"> </w:t>
            </w:r>
            <w:r w:rsidRPr="00C6052E">
              <w:t>held</w:t>
            </w:r>
            <w:r w:rsidR="00177848" w:rsidRPr="00C6052E">
              <w:t xml:space="preserve"> </w:t>
            </w:r>
            <w:r w:rsidRPr="00C6052E">
              <w:t>for</w:t>
            </w:r>
            <w:r w:rsidR="00177848" w:rsidRPr="00C6052E">
              <w:t xml:space="preserve"> </w:t>
            </w:r>
            <w:r w:rsidRPr="00C6052E">
              <w:t>sale</w:t>
            </w:r>
            <w:r w:rsidR="00177848" w:rsidRPr="00C6052E">
              <w:t xml:space="preserve"> </w:t>
            </w:r>
          </w:p>
        </w:tc>
        <w:tc>
          <w:tcPr>
            <w:tcW w:w="1417" w:type="dxa"/>
            <w:noWrap/>
            <w:hideMark/>
          </w:tcPr>
          <w:p w14:paraId="47D2A985" w14:textId="77777777" w:rsidR="00EE5BB8" w:rsidRPr="00C6052E" w:rsidRDefault="00EE5BB8" w:rsidP="00FE1992">
            <w:pPr>
              <w:pStyle w:val="TableCopy"/>
              <w:jc w:val="right"/>
            </w:pPr>
            <w:r w:rsidRPr="00C6052E">
              <w:t>(67,639)</w:t>
            </w:r>
          </w:p>
        </w:tc>
        <w:tc>
          <w:tcPr>
            <w:tcW w:w="1701" w:type="dxa"/>
            <w:noWrap/>
            <w:hideMark/>
          </w:tcPr>
          <w:p w14:paraId="77BE250F" w14:textId="77777777" w:rsidR="00EE5BB8" w:rsidRPr="00C6052E" w:rsidRDefault="00EE5BB8" w:rsidP="00FE1992">
            <w:pPr>
              <w:pStyle w:val="TableCopy"/>
              <w:jc w:val="right"/>
            </w:pPr>
            <w:r w:rsidRPr="00C6052E">
              <w:t>(46,632)</w:t>
            </w:r>
          </w:p>
        </w:tc>
        <w:tc>
          <w:tcPr>
            <w:tcW w:w="1276" w:type="dxa"/>
            <w:noWrap/>
            <w:hideMark/>
          </w:tcPr>
          <w:p w14:paraId="54A0B72B" w14:textId="77777777" w:rsidR="00EE5BB8" w:rsidRPr="00C6052E" w:rsidRDefault="00EE5BB8" w:rsidP="00FE1992">
            <w:pPr>
              <w:pStyle w:val="TableCopy"/>
              <w:jc w:val="right"/>
            </w:pPr>
            <w:r w:rsidRPr="00C6052E">
              <w:t>–</w:t>
            </w:r>
          </w:p>
        </w:tc>
        <w:tc>
          <w:tcPr>
            <w:tcW w:w="1253" w:type="dxa"/>
            <w:noWrap/>
            <w:hideMark/>
          </w:tcPr>
          <w:p w14:paraId="349FDD3D" w14:textId="77777777" w:rsidR="00EE5BB8" w:rsidRPr="00C6052E" w:rsidRDefault="00EE5BB8" w:rsidP="00FE1992">
            <w:pPr>
              <w:pStyle w:val="TableCopy"/>
              <w:jc w:val="right"/>
            </w:pPr>
            <w:r w:rsidRPr="00C6052E">
              <w:t>–</w:t>
            </w:r>
          </w:p>
        </w:tc>
        <w:tc>
          <w:tcPr>
            <w:tcW w:w="1417" w:type="dxa"/>
            <w:noWrap/>
            <w:hideMark/>
          </w:tcPr>
          <w:p w14:paraId="73F74739" w14:textId="77777777" w:rsidR="00EE5BB8" w:rsidRPr="00C6052E" w:rsidRDefault="00EE5BB8" w:rsidP="00FE1992">
            <w:pPr>
              <w:pStyle w:val="TableCopy"/>
              <w:jc w:val="right"/>
            </w:pPr>
            <w:r w:rsidRPr="00C6052E">
              <w:t>–</w:t>
            </w:r>
          </w:p>
        </w:tc>
        <w:tc>
          <w:tcPr>
            <w:tcW w:w="1587" w:type="dxa"/>
            <w:noWrap/>
            <w:hideMark/>
          </w:tcPr>
          <w:p w14:paraId="70743C48" w14:textId="77777777" w:rsidR="00EE5BB8" w:rsidRPr="00C6052E" w:rsidRDefault="00EE5BB8" w:rsidP="00FE1992">
            <w:pPr>
              <w:pStyle w:val="TableCopy"/>
              <w:jc w:val="right"/>
            </w:pPr>
            <w:r w:rsidRPr="00C6052E">
              <w:t>–</w:t>
            </w:r>
          </w:p>
        </w:tc>
        <w:tc>
          <w:tcPr>
            <w:tcW w:w="1247" w:type="dxa"/>
            <w:noWrap/>
            <w:hideMark/>
          </w:tcPr>
          <w:p w14:paraId="3639899F" w14:textId="77777777" w:rsidR="00EE5BB8" w:rsidRPr="00C6052E" w:rsidRDefault="00EE5BB8" w:rsidP="00FE1992">
            <w:pPr>
              <w:pStyle w:val="TableCopy"/>
              <w:jc w:val="right"/>
            </w:pPr>
            <w:r w:rsidRPr="00C6052E">
              <w:t>(114,271)</w:t>
            </w:r>
          </w:p>
        </w:tc>
      </w:tr>
      <w:tr w:rsidR="00EE5BB8" w:rsidRPr="00C6052E" w14:paraId="6A5DFC00" w14:textId="77777777" w:rsidTr="00FE1992">
        <w:tc>
          <w:tcPr>
            <w:tcW w:w="4649" w:type="dxa"/>
            <w:hideMark/>
          </w:tcPr>
          <w:p w14:paraId="2CF21591" w14:textId="1822C807" w:rsidR="00EE5BB8" w:rsidRPr="00C6052E" w:rsidRDefault="00EE5BB8" w:rsidP="0063097D">
            <w:pPr>
              <w:pStyle w:val="TableCopy"/>
            </w:pPr>
            <w:r w:rsidRPr="00C6052E">
              <w:t>Transfer</w:t>
            </w:r>
            <w:r w:rsidR="00177848" w:rsidRPr="00C6052E">
              <w:t xml:space="preserve"> </w:t>
            </w:r>
            <w:r w:rsidRPr="00C6052E">
              <w:t>between</w:t>
            </w:r>
            <w:r w:rsidR="00177848" w:rsidRPr="00C6052E">
              <w:t xml:space="preserve"> </w:t>
            </w:r>
            <w:r w:rsidRPr="00C6052E">
              <w:t>classes</w:t>
            </w:r>
          </w:p>
        </w:tc>
        <w:tc>
          <w:tcPr>
            <w:tcW w:w="1417" w:type="dxa"/>
            <w:noWrap/>
            <w:hideMark/>
          </w:tcPr>
          <w:p w14:paraId="5E3232D1" w14:textId="56716C39" w:rsidR="00EE5BB8" w:rsidRPr="00C6052E" w:rsidRDefault="00177848" w:rsidP="00FE1992">
            <w:pPr>
              <w:pStyle w:val="TableCopy"/>
              <w:jc w:val="right"/>
            </w:pPr>
            <w:r w:rsidRPr="00C6052E">
              <w:rPr>
                <w:rFonts w:cs="Cambria"/>
              </w:rPr>
              <w:t xml:space="preserve"> </w:t>
            </w:r>
          </w:p>
        </w:tc>
        <w:tc>
          <w:tcPr>
            <w:tcW w:w="1701" w:type="dxa"/>
            <w:noWrap/>
            <w:hideMark/>
          </w:tcPr>
          <w:p w14:paraId="46D45F48" w14:textId="77777777" w:rsidR="00EE5BB8" w:rsidRPr="00C6052E" w:rsidRDefault="00EE5BB8" w:rsidP="00FE1992">
            <w:pPr>
              <w:pStyle w:val="TableCopy"/>
              <w:jc w:val="right"/>
            </w:pPr>
            <w:r w:rsidRPr="00C6052E">
              <w:t>–</w:t>
            </w:r>
          </w:p>
        </w:tc>
        <w:tc>
          <w:tcPr>
            <w:tcW w:w="1276" w:type="dxa"/>
            <w:noWrap/>
            <w:hideMark/>
          </w:tcPr>
          <w:p w14:paraId="5C582173" w14:textId="77777777" w:rsidR="00EE5BB8" w:rsidRPr="00C6052E" w:rsidRDefault="00EE5BB8" w:rsidP="00FE1992">
            <w:pPr>
              <w:pStyle w:val="TableCopy"/>
              <w:jc w:val="right"/>
            </w:pPr>
            <w:r w:rsidRPr="00C6052E">
              <w:t>–</w:t>
            </w:r>
          </w:p>
        </w:tc>
        <w:tc>
          <w:tcPr>
            <w:tcW w:w="1253" w:type="dxa"/>
            <w:noWrap/>
            <w:hideMark/>
          </w:tcPr>
          <w:p w14:paraId="3C081FE1" w14:textId="77777777" w:rsidR="00EE5BB8" w:rsidRPr="00C6052E" w:rsidRDefault="00EE5BB8" w:rsidP="00FE1992">
            <w:pPr>
              <w:pStyle w:val="TableCopy"/>
              <w:jc w:val="right"/>
            </w:pPr>
            <w:r w:rsidRPr="00C6052E">
              <w:t>(30)</w:t>
            </w:r>
          </w:p>
        </w:tc>
        <w:tc>
          <w:tcPr>
            <w:tcW w:w="1417" w:type="dxa"/>
            <w:noWrap/>
            <w:hideMark/>
          </w:tcPr>
          <w:p w14:paraId="1EBBD22F" w14:textId="77777777" w:rsidR="00EE5BB8" w:rsidRPr="00C6052E" w:rsidRDefault="00EE5BB8" w:rsidP="00FE1992">
            <w:pPr>
              <w:pStyle w:val="TableCopy"/>
              <w:jc w:val="right"/>
            </w:pPr>
            <w:r w:rsidRPr="00C6052E">
              <w:t>–</w:t>
            </w:r>
          </w:p>
        </w:tc>
        <w:tc>
          <w:tcPr>
            <w:tcW w:w="1587" w:type="dxa"/>
            <w:noWrap/>
            <w:hideMark/>
          </w:tcPr>
          <w:p w14:paraId="267B0794" w14:textId="77777777" w:rsidR="00EE5BB8" w:rsidRPr="00C6052E" w:rsidRDefault="00EE5BB8" w:rsidP="00FE1992">
            <w:pPr>
              <w:pStyle w:val="TableCopy"/>
              <w:jc w:val="right"/>
            </w:pPr>
            <w:r w:rsidRPr="00C6052E">
              <w:t>–</w:t>
            </w:r>
          </w:p>
        </w:tc>
        <w:tc>
          <w:tcPr>
            <w:tcW w:w="1247" w:type="dxa"/>
            <w:noWrap/>
            <w:hideMark/>
          </w:tcPr>
          <w:p w14:paraId="58DE7C93" w14:textId="77777777" w:rsidR="00EE5BB8" w:rsidRPr="00C6052E" w:rsidRDefault="00EE5BB8" w:rsidP="00FE1992">
            <w:pPr>
              <w:pStyle w:val="TableCopy"/>
              <w:jc w:val="right"/>
            </w:pPr>
            <w:r w:rsidRPr="00C6052E">
              <w:t>(30)</w:t>
            </w:r>
          </w:p>
        </w:tc>
      </w:tr>
      <w:tr w:rsidR="00EE5BB8" w:rsidRPr="00C6052E" w14:paraId="6C72A5CE" w14:textId="77777777" w:rsidTr="00FE1992">
        <w:tc>
          <w:tcPr>
            <w:tcW w:w="4649" w:type="dxa"/>
            <w:hideMark/>
          </w:tcPr>
          <w:p w14:paraId="32997BB8" w14:textId="50C7D2AA" w:rsidR="00EE5BB8" w:rsidRPr="00C6052E" w:rsidRDefault="00EE5BB8" w:rsidP="0063097D">
            <w:pPr>
              <w:pStyle w:val="TableCopy"/>
            </w:pPr>
            <w:r w:rsidRPr="00C6052E">
              <w:t>Reclassification</w:t>
            </w:r>
            <w:r w:rsidR="00177848" w:rsidRPr="00C6052E">
              <w:t xml:space="preserve"> </w:t>
            </w:r>
          </w:p>
        </w:tc>
        <w:tc>
          <w:tcPr>
            <w:tcW w:w="1417" w:type="dxa"/>
            <w:noWrap/>
            <w:hideMark/>
          </w:tcPr>
          <w:p w14:paraId="452C1504" w14:textId="77777777" w:rsidR="00EE5BB8" w:rsidRPr="00C6052E" w:rsidRDefault="00EE5BB8" w:rsidP="00FE1992">
            <w:pPr>
              <w:pStyle w:val="TableCopy"/>
              <w:jc w:val="right"/>
            </w:pPr>
            <w:r w:rsidRPr="00C6052E">
              <w:t>–</w:t>
            </w:r>
          </w:p>
        </w:tc>
        <w:tc>
          <w:tcPr>
            <w:tcW w:w="1701" w:type="dxa"/>
            <w:noWrap/>
            <w:hideMark/>
          </w:tcPr>
          <w:p w14:paraId="472F05C2" w14:textId="77777777" w:rsidR="00EE5BB8" w:rsidRPr="00C6052E" w:rsidRDefault="00EE5BB8" w:rsidP="00FE1992">
            <w:pPr>
              <w:pStyle w:val="TableCopy"/>
              <w:jc w:val="right"/>
            </w:pPr>
            <w:r w:rsidRPr="00C6052E">
              <w:t>2,859</w:t>
            </w:r>
          </w:p>
        </w:tc>
        <w:tc>
          <w:tcPr>
            <w:tcW w:w="1276" w:type="dxa"/>
            <w:noWrap/>
            <w:hideMark/>
          </w:tcPr>
          <w:p w14:paraId="71FCAC01" w14:textId="77777777" w:rsidR="00EE5BB8" w:rsidRPr="00C6052E" w:rsidRDefault="00EE5BB8" w:rsidP="00FE1992">
            <w:pPr>
              <w:pStyle w:val="TableCopy"/>
              <w:jc w:val="right"/>
            </w:pPr>
            <w:r w:rsidRPr="00C6052E">
              <w:t>132</w:t>
            </w:r>
          </w:p>
        </w:tc>
        <w:tc>
          <w:tcPr>
            <w:tcW w:w="1253" w:type="dxa"/>
            <w:noWrap/>
            <w:hideMark/>
          </w:tcPr>
          <w:p w14:paraId="055F9BFA" w14:textId="77777777" w:rsidR="00EE5BB8" w:rsidRPr="00C6052E" w:rsidRDefault="00EE5BB8" w:rsidP="00FE1992">
            <w:pPr>
              <w:pStyle w:val="TableCopy"/>
              <w:jc w:val="right"/>
            </w:pPr>
            <w:r w:rsidRPr="00C6052E">
              <w:t>–</w:t>
            </w:r>
          </w:p>
        </w:tc>
        <w:tc>
          <w:tcPr>
            <w:tcW w:w="1417" w:type="dxa"/>
            <w:noWrap/>
            <w:hideMark/>
          </w:tcPr>
          <w:p w14:paraId="3FEF71CE" w14:textId="77777777" w:rsidR="00EE5BB8" w:rsidRPr="00C6052E" w:rsidRDefault="00EE5BB8" w:rsidP="00FE1992">
            <w:pPr>
              <w:pStyle w:val="TableCopy"/>
              <w:jc w:val="right"/>
            </w:pPr>
            <w:r w:rsidRPr="00C6052E">
              <w:t>–</w:t>
            </w:r>
          </w:p>
        </w:tc>
        <w:tc>
          <w:tcPr>
            <w:tcW w:w="1587" w:type="dxa"/>
            <w:noWrap/>
            <w:hideMark/>
          </w:tcPr>
          <w:p w14:paraId="5FEDB736" w14:textId="77777777" w:rsidR="00EE5BB8" w:rsidRPr="00C6052E" w:rsidRDefault="00EE5BB8" w:rsidP="00FE1992">
            <w:pPr>
              <w:pStyle w:val="TableCopy"/>
              <w:jc w:val="right"/>
            </w:pPr>
            <w:r w:rsidRPr="00C6052E">
              <w:t>601</w:t>
            </w:r>
          </w:p>
        </w:tc>
        <w:tc>
          <w:tcPr>
            <w:tcW w:w="1247" w:type="dxa"/>
            <w:noWrap/>
            <w:hideMark/>
          </w:tcPr>
          <w:p w14:paraId="3D9A887B" w14:textId="77777777" w:rsidR="00EE5BB8" w:rsidRPr="00C6052E" w:rsidRDefault="00EE5BB8" w:rsidP="00FE1992">
            <w:pPr>
              <w:pStyle w:val="TableCopy"/>
              <w:jc w:val="right"/>
            </w:pPr>
            <w:r w:rsidRPr="00C6052E">
              <w:t>3,592</w:t>
            </w:r>
          </w:p>
        </w:tc>
      </w:tr>
      <w:tr w:rsidR="00EE5BB8" w:rsidRPr="00C6052E" w14:paraId="5865B29E" w14:textId="77777777" w:rsidTr="00FE1992">
        <w:tc>
          <w:tcPr>
            <w:tcW w:w="4649" w:type="dxa"/>
            <w:hideMark/>
          </w:tcPr>
          <w:p w14:paraId="054FC8D9" w14:textId="4C3566E3" w:rsidR="00EE5BB8" w:rsidRPr="00C6052E" w:rsidRDefault="00EE5BB8" w:rsidP="0063097D">
            <w:pPr>
              <w:pStyle w:val="TableCopy"/>
            </w:pPr>
            <w:r w:rsidRPr="00C6052E">
              <w:t>Depreciation</w:t>
            </w:r>
            <w:r w:rsidR="00177848" w:rsidRPr="00C6052E">
              <w:t xml:space="preserve"> </w:t>
            </w:r>
          </w:p>
        </w:tc>
        <w:tc>
          <w:tcPr>
            <w:tcW w:w="1417" w:type="dxa"/>
            <w:noWrap/>
            <w:hideMark/>
          </w:tcPr>
          <w:p w14:paraId="60D8EDCB" w14:textId="77777777" w:rsidR="00EE5BB8" w:rsidRPr="00C6052E" w:rsidRDefault="00EE5BB8" w:rsidP="00FE1992">
            <w:pPr>
              <w:pStyle w:val="TableCopy"/>
              <w:jc w:val="right"/>
            </w:pPr>
            <w:r w:rsidRPr="00C6052E">
              <w:t>–</w:t>
            </w:r>
          </w:p>
        </w:tc>
        <w:tc>
          <w:tcPr>
            <w:tcW w:w="1701" w:type="dxa"/>
            <w:noWrap/>
            <w:hideMark/>
          </w:tcPr>
          <w:p w14:paraId="7D277117" w14:textId="77777777" w:rsidR="00EE5BB8" w:rsidRPr="00C6052E" w:rsidRDefault="00EE5BB8" w:rsidP="00FE1992">
            <w:pPr>
              <w:pStyle w:val="TableCopy"/>
              <w:jc w:val="right"/>
            </w:pPr>
            <w:r w:rsidRPr="00C6052E">
              <w:t>(10,275)</w:t>
            </w:r>
          </w:p>
        </w:tc>
        <w:tc>
          <w:tcPr>
            <w:tcW w:w="1276" w:type="dxa"/>
            <w:noWrap/>
            <w:hideMark/>
          </w:tcPr>
          <w:p w14:paraId="6D2A7238" w14:textId="77777777" w:rsidR="00EE5BB8" w:rsidRPr="00C6052E" w:rsidRDefault="00EE5BB8" w:rsidP="00FE1992">
            <w:pPr>
              <w:pStyle w:val="TableCopy"/>
              <w:jc w:val="right"/>
            </w:pPr>
            <w:r w:rsidRPr="00C6052E">
              <w:t>(284)</w:t>
            </w:r>
          </w:p>
        </w:tc>
        <w:tc>
          <w:tcPr>
            <w:tcW w:w="1253" w:type="dxa"/>
            <w:noWrap/>
            <w:hideMark/>
          </w:tcPr>
          <w:p w14:paraId="106CB9B8" w14:textId="77777777" w:rsidR="00EE5BB8" w:rsidRPr="00C6052E" w:rsidRDefault="00EE5BB8" w:rsidP="00FE1992">
            <w:pPr>
              <w:pStyle w:val="TableCopy"/>
              <w:jc w:val="right"/>
            </w:pPr>
            <w:r w:rsidRPr="00C6052E">
              <w:t>(768)</w:t>
            </w:r>
          </w:p>
        </w:tc>
        <w:tc>
          <w:tcPr>
            <w:tcW w:w="1417" w:type="dxa"/>
            <w:noWrap/>
            <w:hideMark/>
          </w:tcPr>
          <w:p w14:paraId="361D868F" w14:textId="77777777" w:rsidR="00EE5BB8" w:rsidRPr="00C6052E" w:rsidRDefault="00EE5BB8" w:rsidP="00FE1992">
            <w:pPr>
              <w:pStyle w:val="TableCopy"/>
              <w:jc w:val="right"/>
            </w:pPr>
            <w:r w:rsidRPr="00C6052E">
              <w:t>(46)</w:t>
            </w:r>
          </w:p>
        </w:tc>
        <w:tc>
          <w:tcPr>
            <w:tcW w:w="1587" w:type="dxa"/>
            <w:noWrap/>
            <w:hideMark/>
          </w:tcPr>
          <w:p w14:paraId="25BFF710" w14:textId="77777777" w:rsidR="00EE5BB8" w:rsidRPr="00C6052E" w:rsidRDefault="00EE5BB8" w:rsidP="00FE1992">
            <w:pPr>
              <w:pStyle w:val="TableCopy"/>
              <w:jc w:val="right"/>
            </w:pPr>
            <w:r w:rsidRPr="00C6052E">
              <w:t>(1,999)</w:t>
            </w:r>
          </w:p>
        </w:tc>
        <w:tc>
          <w:tcPr>
            <w:tcW w:w="1247" w:type="dxa"/>
            <w:noWrap/>
            <w:hideMark/>
          </w:tcPr>
          <w:p w14:paraId="5075F5DB" w14:textId="77777777" w:rsidR="00EE5BB8" w:rsidRPr="00C6052E" w:rsidRDefault="00EE5BB8" w:rsidP="00FE1992">
            <w:pPr>
              <w:pStyle w:val="TableCopy"/>
              <w:jc w:val="right"/>
            </w:pPr>
            <w:r w:rsidRPr="00C6052E">
              <w:t>(13,372)</w:t>
            </w:r>
          </w:p>
        </w:tc>
      </w:tr>
      <w:tr w:rsidR="00EE5BB8" w:rsidRPr="00C6052E" w14:paraId="4E870CAD" w14:textId="77777777" w:rsidTr="00FE1992">
        <w:tc>
          <w:tcPr>
            <w:tcW w:w="4649" w:type="dxa"/>
            <w:noWrap/>
            <w:hideMark/>
          </w:tcPr>
          <w:p w14:paraId="50822BFE" w14:textId="4DE0ABE7" w:rsidR="00EE5BB8" w:rsidRPr="00C6052E" w:rsidRDefault="00EE5BB8" w:rsidP="0063097D">
            <w:pPr>
              <w:pStyle w:val="Tabletotal"/>
            </w:pPr>
            <w:r w:rsidRPr="00C6052E">
              <w:t>Subtotal</w:t>
            </w:r>
            <w:r w:rsidR="00177848" w:rsidRPr="00C6052E">
              <w:t xml:space="preserve"> </w:t>
            </w:r>
          </w:p>
        </w:tc>
        <w:tc>
          <w:tcPr>
            <w:tcW w:w="1417" w:type="dxa"/>
            <w:noWrap/>
            <w:hideMark/>
          </w:tcPr>
          <w:p w14:paraId="2CDE8BE3" w14:textId="77777777" w:rsidR="00EE5BB8" w:rsidRPr="00C6052E" w:rsidRDefault="00EE5BB8" w:rsidP="00FE1992">
            <w:pPr>
              <w:pStyle w:val="Tabletotal"/>
              <w:jc w:val="right"/>
            </w:pPr>
            <w:r w:rsidRPr="00C6052E">
              <w:t>(67,639)</w:t>
            </w:r>
          </w:p>
        </w:tc>
        <w:tc>
          <w:tcPr>
            <w:tcW w:w="1701" w:type="dxa"/>
            <w:noWrap/>
            <w:hideMark/>
          </w:tcPr>
          <w:p w14:paraId="70A94A6B" w14:textId="77777777" w:rsidR="00EE5BB8" w:rsidRPr="00C6052E" w:rsidRDefault="00EE5BB8" w:rsidP="00FE1992">
            <w:pPr>
              <w:pStyle w:val="Tabletotal"/>
              <w:jc w:val="right"/>
            </w:pPr>
            <w:r w:rsidRPr="00C6052E">
              <w:t>(52,361)</w:t>
            </w:r>
          </w:p>
        </w:tc>
        <w:tc>
          <w:tcPr>
            <w:tcW w:w="1276" w:type="dxa"/>
            <w:noWrap/>
            <w:hideMark/>
          </w:tcPr>
          <w:p w14:paraId="2998EB99" w14:textId="77777777" w:rsidR="00EE5BB8" w:rsidRPr="00C6052E" w:rsidRDefault="00EE5BB8" w:rsidP="00FE1992">
            <w:pPr>
              <w:pStyle w:val="Tabletotal"/>
              <w:jc w:val="right"/>
            </w:pPr>
            <w:r w:rsidRPr="00C6052E">
              <w:t>(272)</w:t>
            </w:r>
          </w:p>
        </w:tc>
        <w:tc>
          <w:tcPr>
            <w:tcW w:w="1253" w:type="dxa"/>
            <w:noWrap/>
            <w:hideMark/>
          </w:tcPr>
          <w:p w14:paraId="6A9328D1" w14:textId="77777777" w:rsidR="00EE5BB8" w:rsidRPr="00C6052E" w:rsidRDefault="00EE5BB8" w:rsidP="00FE1992">
            <w:pPr>
              <w:pStyle w:val="Tabletotal"/>
              <w:jc w:val="right"/>
            </w:pPr>
            <w:r w:rsidRPr="00C6052E">
              <w:t>362</w:t>
            </w:r>
          </w:p>
        </w:tc>
        <w:tc>
          <w:tcPr>
            <w:tcW w:w="1417" w:type="dxa"/>
            <w:noWrap/>
            <w:hideMark/>
          </w:tcPr>
          <w:p w14:paraId="2A91CAC5" w14:textId="77777777" w:rsidR="00EE5BB8" w:rsidRPr="00C6052E" w:rsidRDefault="00EE5BB8" w:rsidP="00FE1992">
            <w:pPr>
              <w:pStyle w:val="Tabletotal"/>
              <w:jc w:val="right"/>
            </w:pPr>
            <w:r w:rsidRPr="00C6052E">
              <w:t>(46)</w:t>
            </w:r>
          </w:p>
        </w:tc>
        <w:tc>
          <w:tcPr>
            <w:tcW w:w="1587" w:type="dxa"/>
            <w:noWrap/>
            <w:hideMark/>
          </w:tcPr>
          <w:p w14:paraId="361CB02C" w14:textId="77777777" w:rsidR="00EE5BB8" w:rsidRPr="00C6052E" w:rsidRDefault="00EE5BB8" w:rsidP="00FE1992">
            <w:pPr>
              <w:pStyle w:val="Tabletotal"/>
              <w:jc w:val="right"/>
            </w:pPr>
            <w:r w:rsidRPr="00C6052E">
              <w:t>(1,670)</w:t>
            </w:r>
          </w:p>
        </w:tc>
        <w:tc>
          <w:tcPr>
            <w:tcW w:w="1247" w:type="dxa"/>
            <w:noWrap/>
            <w:hideMark/>
          </w:tcPr>
          <w:p w14:paraId="059F6234" w14:textId="77777777" w:rsidR="00EE5BB8" w:rsidRPr="00C6052E" w:rsidRDefault="00EE5BB8" w:rsidP="00FE1992">
            <w:pPr>
              <w:pStyle w:val="Tabletotal"/>
              <w:jc w:val="right"/>
            </w:pPr>
            <w:r w:rsidRPr="00C6052E">
              <w:t>(121,626)</w:t>
            </w:r>
          </w:p>
        </w:tc>
      </w:tr>
      <w:tr w:rsidR="00EE5BB8" w:rsidRPr="00C6052E" w14:paraId="2326707D" w14:textId="77777777" w:rsidTr="00FE1992">
        <w:tc>
          <w:tcPr>
            <w:tcW w:w="4649" w:type="dxa"/>
            <w:hideMark/>
          </w:tcPr>
          <w:p w14:paraId="2DFE33FF" w14:textId="1F6CA583" w:rsidR="00EE5BB8" w:rsidRPr="00C6052E" w:rsidRDefault="00EE5BB8" w:rsidP="0063097D">
            <w:pPr>
              <w:pStyle w:val="TableCopy"/>
            </w:pPr>
            <w:r w:rsidRPr="00C6052E">
              <w:t>Revaluation</w:t>
            </w:r>
            <w:r w:rsidR="00177848" w:rsidRPr="00C6052E">
              <w:t xml:space="preserve"> </w:t>
            </w:r>
          </w:p>
        </w:tc>
        <w:tc>
          <w:tcPr>
            <w:tcW w:w="1417" w:type="dxa"/>
            <w:noWrap/>
            <w:hideMark/>
          </w:tcPr>
          <w:p w14:paraId="0C1D8DBD" w14:textId="77777777" w:rsidR="00EE5BB8" w:rsidRPr="00C6052E" w:rsidRDefault="00EE5BB8" w:rsidP="00FE1992">
            <w:pPr>
              <w:pStyle w:val="TableCopy"/>
              <w:jc w:val="right"/>
            </w:pPr>
            <w:r w:rsidRPr="00C6052E">
              <w:t>–</w:t>
            </w:r>
          </w:p>
        </w:tc>
        <w:tc>
          <w:tcPr>
            <w:tcW w:w="1701" w:type="dxa"/>
            <w:noWrap/>
            <w:hideMark/>
          </w:tcPr>
          <w:p w14:paraId="64D345CD" w14:textId="77777777" w:rsidR="00EE5BB8" w:rsidRPr="00C6052E" w:rsidRDefault="00EE5BB8" w:rsidP="00FE1992">
            <w:pPr>
              <w:pStyle w:val="TableCopy"/>
              <w:jc w:val="right"/>
            </w:pPr>
            <w:r w:rsidRPr="00C6052E">
              <w:t>–</w:t>
            </w:r>
          </w:p>
        </w:tc>
        <w:tc>
          <w:tcPr>
            <w:tcW w:w="1276" w:type="dxa"/>
            <w:noWrap/>
            <w:hideMark/>
          </w:tcPr>
          <w:p w14:paraId="1829C7E1" w14:textId="77777777" w:rsidR="00EE5BB8" w:rsidRPr="00C6052E" w:rsidRDefault="00EE5BB8" w:rsidP="00FE1992">
            <w:pPr>
              <w:pStyle w:val="TableCopy"/>
              <w:jc w:val="right"/>
            </w:pPr>
            <w:r w:rsidRPr="00C6052E">
              <w:t>–</w:t>
            </w:r>
          </w:p>
        </w:tc>
        <w:tc>
          <w:tcPr>
            <w:tcW w:w="1253" w:type="dxa"/>
            <w:noWrap/>
            <w:hideMark/>
          </w:tcPr>
          <w:p w14:paraId="15E5C6A0" w14:textId="77777777" w:rsidR="00EE5BB8" w:rsidRPr="00C6052E" w:rsidRDefault="00EE5BB8" w:rsidP="00FE1992">
            <w:pPr>
              <w:pStyle w:val="TableCopy"/>
              <w:jc w:val="right"/>
            </w:pPr>
            <w:r w:rsidRPr="00C6052E">
              <w:t>–</w:t>
            </w:r>
          </w:p>
        </w:tc>
        <w:tc>
          <w:tcPr>
            <w:tcW w:w="1417" w:type="dxa"/>
            <w:noWrap/>
            <w:hideMark/>
          </w:tcPr>
          <w:p w14:paraId="2B01B155" w14:textId="77777777" w:rsidR="00EE5BB8" w:rsidRPr="00C6052E" w:rsidRDefault="00EE5BB8" w:rsidP="00FE1992">
            <w:pPr>
              <w:pStyle w:val="TableCopy"/>
              <w:jc w:val="right"/>
            </w:pPr>
            <w:r w:rsidRPr="00C6052E">
              <w:t>–</w:t>
            </w:r>
          </w:p>
        </w:tc>
        <w:tc>
          <w:tcPr>
            <w:tcW w:w="1587" w:type="dxa"/>
            <w:noWrap/>
            <w:hideMark/>
          </w:tcPr>
          <w:p w14:paraId="7AFCCF1C" w14:textId="77777777" w:rsidR="00EE5BB8" w:rsidRPr="00C6052E" w:rsidRDefault="00EE5BB8" w:rsidP="00FE1992">
            <w:pPr>
              <w:pStyle w:val="TableCopy"/>
              <w:jc w:val="right"/>
            </w:pPr>
            <w:r w:rsidRPr="00C6052E">
              <w:t>–</w:t>
            </w:r>
          </w:p>
        </w:tc>
        <w:tc>
          <w:tcPr>
            <w:tcW w:w="1247" w:type="dxa"/>
            <w:noWrap/>
            <w:hideMark/>
          </w:tcPr>
          <w:p w14:paraId="4FA25F14" w14:textId="77777777" w:rsidR="00EE5BB8" w:rsidRPr="00C6052E" w:rsidRDefault="00EE5BB8" w:rsidP="00FE1992">
            <w:pPr>
              <w:pStyle w:val="TableCopy"/>
              <w:jc w:val="right"/>
            </w:pPr>
            <w:r w:rsidRPr="00C6052E">
              <w:t>–</w:t>
            </w:r>
          </w:p>
        </w:tc>
      </w:tr>
      <w:tr w:rsidR="00EE5BB8" w:rsidRPr="00C6052E" w14:paraId="32C20110" w14:textId="77777777" w:rsidTr="00FE1992">
        <w:tc>
          <w:tcPr>
            <w:tcW w:w="4649" w:type="dxa"/>
            <w:noWrap/>
            <w:hideMark/>
          </w:tcPr>
          <w:p w14:paraId="14B6264F" w14:textId="4408981E" w:rsidR="00EE5BB8" w:rsidRPr="00C6052E" w:rsidRDefault="00EE5BB8" w:rsidP="0063097D">
            <w:pPr>
              <w:pStyle w:val="Tabletotal"/>
            </w:pPr>
            <w:r w:rsidRPr="00C6052E">
              <w:t>Total</w:t>
            </w:r>
            <w:r w:rsidR="00177848" w:rsidRPr="00C6052E">
              <w:t xml:space="preserve"> </w:t>
            </w:r>
          </w:p>
        </w:tc>
        <w:tc>
          <w:tcPr>
            <w:tcW w:w="1417" w:type="dxa"/>
            <w:noWrap/>
            <w:hideMark/>
          </w:tcPr>
          <w:p w14:paraId="2AE84F56" w14:textId="77777777" w:rsidR="00EE5BB8" w:rsidRPr="00C6052E" w:rsidRDefault="00EE5BB8" w:rsidP="00FE1992">
            <w:pPr>
              <w:pStyle w:val="Tabletotal"/>
              <w:jc w:val="right"/>
            </w:pPr>
            <w:r w:rsidRPr="00C6052E">
              <w:t>382,486</w:t>
            </w:r>
          </w:p>
        </w:tc>
        <w:tc>
          <w:tcPr>
            <w:tcW w:w="1701" w:type="dxa"/>
            <w:noWrap/>
            <w:hideMark/>
          </w:tcPr>
          <w:p w14:paraId="2D385748" w14:textId="77777777" w:rsidR="00EE5BB8" w:rsidRPr="00C6052E" w:rsidRDefault="00EE5BB8" w:rsidP="00FE1992">
            <w:pPr>
              <w:pStyle w:val="Tabletotal"/>
              <w:jc w:val="right"/>
            </w:pPr>
            <w:r w:rsidRPr="00C6052E">
              <w:t>145,161</w:t>
            </w:r>
          </w:p>
        </w:tc>
        <w:tc>
          <w:tcPr>
            <w:tcW w:w="1276" w:type="dxa"/>
            <w:noWrap/>
            <w:hideMark/>
          </w:tcPr>
          <w:p w14:paraId="6579321B" w14:textId="77777777" w:rsidR="00EE5BB8" w:rsidRPr="00C6052E" w:rsidRDefault="00EE5BB8" w:rsidP="00FE1992">
            <w:pPr>
              <w:pStyle w:val="Tabletotal"/>
              <w:jc w:val="right"/>
            </w:pPr>
            <w:r w:rsidRPr="00C6052E">
              <w:t>619</w:t>
            </w:r>
          </w:p>
        </w:tc>
        <w:tc>
          <w:tcPr>
            <w:tcW w:w="1253" w:type="dxa"/>
            <w:noWrap/>
            <w:hideMark/>
          </w:tcPr>
          <w:p w14:paraId="7584248D" w14:textId="77777777" w:rsidR="00EE5BB8" w:rsidRPr="00C6052E" w:rsidRDefault="00EE5BB8" w:rsidP="00FE1992">
            <w:pPr>
              <w:pStyle w:val="Tabletotal"/>
              <w:jc w:val="right"/>
            </w:pPr>
            <w:r w:rsidRPr="00C6052E">
              <w:t>4,052</w:t>
            </w:r>
          </w:p>
        </w:tc>
        <w:tc>
          <w:tcPr>
            <w:tcW w:w="1417" w:type="dxa"/>
            <w:noWrap/>
            <w:hideMark/>
          </w:tcPr>
          <w:p w14:paraId="697B20E4" w14:textId="77777777" w:rsidR="00EE5BB8" w:rsidRPr="00C6052E" w:rsidRDefault="00EE5BB8" w:rsidP="00FE1992">
            <w:pPr>
              <w:pStyle w:val="Tabletotal"/>
              <w:jc w:val="right"/>
            </w:pPr>
            <w:r w:rsidRPr="00C6052E">
              <w:t>2,680</w:t>
            </w:r>
          </w:p>
        </w:tc>
        <w:tc>
          <w:tcPr>
            <w:tcW w:w="1587" w:type="dxa"/>
            <w:noWrap/>
            <w:hideMark/>
          </w:tcPr>
          <w:p w14:paraId="33A9CBC8" w14:textId="77777777" w:rsidR="00EE5BB8" w:rsidRPr="00C6052E" w:rsidRDefault="00EE5BB8" w:rsidP="00FE1992">
            <w:pPr>
              <w:pStyle w:val="Tabletotal"/>
              <w:jc w:val="right"/>
            </w:pPr>
            <w:r w:rsidRPr="00C6052E">
              <w:t>5,876</w:t>
            </w:r>
          </w:p>
        </w:tc>
        <w:tc>
          <w:tcPr>
            <w:tcW w:w="1247" w:type="dxa"/>
            <w:noWrap/>
            <w:hideMark/>
          </w:tcPr>
          <w:p w14:paraId="13FB824A" w14:textId="77777777" w:rsidR="00EE5BB8" w:rsidRPr="00C6052E" w:rsidRDefault="00EE5BB8" w:rsidP="00FE1992">
            <w:pPr>
              <w:pStyle w:val="Tabletotal"/>
              <w:jc w:val="right"/>
            </w:pPr>
            <w:r w:rsidRPr="00C6052E">
              <w:t>540,874</w:t>
            </w:r>
          </w:p>
        </w:tc>
      </w:tr>
    </w:tbl>
    <w:p w14:paraId="05EBB1EC" w14:textId="77777777" w:rsidR="00EE5BB8" w:rsidRPr="00C6052E" w:rsidRDefault="00EE5BB8" w:rsidP="00EE5BB8"/>
    <w:p w14:paraId="3E15687A" w14:textId="77777777" w:rsidR="00EE5BB8" w:rsidRPr="00C6052E" w:rsidRDefault="00EE5BB8" w:rsidP="00EE5BB8">
      <w:pPr>
        <w:sectPr w:rsidR="00EE5BB8" w:rsidRPr="00C6052E" w:rsidSect="00C6052E">
          <w:headerReference w:type="even" r:id="rId31"/>
          <w:headerReference w:type="default" r:id="rId32"/>
          <w:endnotePr>
            <w:numFmt w:val="decimal"/>
          </w:endnotePr>
          <w:pgSz w:w="16840" w:h="11907" w:code="9"/>
          <w:pgMar w:top="1134" w:right="1134" w:bottom="1134" w:left="1134" w:header="567" w:footer="567" w:gutter="0"/>
          <w:cols w:space="708"/>
          <w:docGrid w:linePitch="360"/>
        </w:sectPr>
      </w:pPr>
    </w:p>
    <w:p w14:paraId="5655DD92" w14:textId="7D32FCC2" w:rsidR="00EE5BB8" w:rsidRPr="00C6052E" w:rsidRDefault="00EE5BB8" w:rsidP="000C0740">
      <w:pPr>
        <w:pStyle w:val="Heading3numbered0"/>
        <w:numPr>
          <w:ilvl w:val="0"/>
          <w:numId w:val="0"/>
        </w:numPr>
      </w:pPr>
      <w:r w:rsidRPr="00C6052E">
        <w:lastRenderedPageBreak/>
        <w:fldChar w:fldCharType="begin"/>
      </w:r>
      <w:r w:rsidRPr="00C6052E">
        <w:instrText xml:space="preserve"> REF _Ref161754185 \r \h  \* MERGEFORMAT </w:instrText>
      </w:r>
      <w:r w:rsidRPr="00C6052E">
        <w:fldChar w:fldCharType="separate"/>
      </w:r>
      <w:r w:rsidRPr="00C6052E">
        <w:t>8.3.2</w:t>
      </w:r>
      <w:r w:rsidRPr="00C6052E">
        <w:fldChar w:fldCharType="end"/>
      </w:r>
      <w:r w:rsidRPr="00C6052E">
        <w:tab/>
      </w:r>
      <w:r w:rsidRPr="00C6052E">
        <w:fldChar w:fldCharType="begin"/>
      </w:r>
      <w:r w:rsidRPr="00C6052E">
        <w:instrText xml:space="preserve"> REF _Ref161754185 \h  \* MERGEFORMAT </w:instrText>
      </w:r>
      <w:r w:rsidRPr="00C6052E">
        <w:fldChar w:fldCharType="separate"/>
      </w:r>
      <w:r w:rsidRPr="00C6052E">
        <w:t>Fair</w:t>
      </w:r>
      <w:r w:rsidR="00177848" w:rsidRPr="00C6052E">
        <w:t xml:space="preserve"> </w:t>
      </w:r>
      <w:r w:rsidRPr="00C6052E">
        <w:t>value</w:t>
      </w:r>
      <w:r w:rsidR="00177848" w:rsidRPr="00C6052E">
        <w:t xml:space="preserve"> </w:t>
      </w:r>
      <w:r w:rsidRPr="00C6052E">
        <w:t>determination:</w:t>
      </w:r>
      <w:r w:rsidR="00177848" w:rsidRPr="00C6052E">
        <w:t xml:space="preserve"> </w:t>
      </w:r>
      <w:r w:rsidRPr="00C6052E">
        <w:t>Non–financial</w:t>
      </w:r>
      <w:r w:rsidR="00177848" w:rsidRPr="00C6052E">
        <w:t xml:space="preserve"> </w:t>
      </w:r>
      <w:r w:rsidRPr="00C6052E">
        <w:t>physical</w:t>
      </w:r>
      <w:r w:rsidR="00177848" w:rsidRPr="00C6052E">
        <w:t xml:space="preserve"> </w:t>
      </w:r>
      <w:r w:rsidRPr="00C6052E">
        <w:t>assets</w:t>
      </w:r>
      <w:r w:rsidRPr="00C6052E">
        <w:fldChar w:fldCharType="end"/>
      </w:r>
      <w:r w:rsidR="00177848" w:rsidRPr="00C6052E">
        <w:t xml:space="preserve"> </w:t>
      </w:r>
      <w:r w:rsidRPr="00C6052E">
        <w:t>(continued)</w:t>
      </w:r>
    </w:p>
    <w:p w14:paraId="37220E4B" w14:textId="02D025D1" w:rsidR="00EE5BB8" w:rsidRPr="00C6052E" w:rsidRDefault="00C6052E" w:rsidP="00FE1992">
      <w:pPr>
        <w:pStyle w:val="TableHeading"/>
      </w:pPr>
      <w:r w:rsidRPr="00C6052E">
        <w:t>Description</w:t>
      </w:r>
      <w:r w:rsidR="00177848" w:rsidRPr="00C6052E">
        <w:t xml:space="preserve"> </w:t>
      </w:r>
      <w:r w:rsidRPr="00C6052E">
        <w:t>of</w:t>
      </w:r>
      <w:r w:rsidR="00177848" w:rsidRPr="00C6052E">
        <w:t xml:space="preserve"> </w:t>
      </w:r>
      <w:r w:rsidRPr="00C6052E">
        <w:t>significant</w:t>
      </w:r>
      <w:r w:rsidR="00177848" w:rsidRPr="00C6052E">
        <w:t xml:space="preserve"> </w:t>
      </w:r>
      <w:r w:rsidRPr="00C6052E">
        <w:t>unobservable</w:t>
      </w:r>
      <w:r w:rsidR="00177848" w:rsidRPr="00C6052E">
        <w:t xml:space="preserve"> </w:t>
      </w:r>
      <w:r w:rsidRPr="00C6052E">
        <w:t>inputs</w:t>
      </w:r>
      <w:r w:rsidR="00177848" w:rsidRPr="00C6052E">
        <w:t xml:space="preserve"> </w:t>
      </w:r>
      <w:r w:rsidRPr="00C6052E">
        <w:t>to</w:t>
      </w:r>
      <w:r w:rsidR="00177848" w:rsidRPr="00C6052E">
        <w:t xml:space="preserve"> </w:t>
      </w:r>
      <w:r w:rsidRPr="00C6052E">
        <w:t>level</w:t>
      </w:r>
      <w:r w:rsidR="00177848" w:rsidRPr="00C6052E">
        <w:t xml:space="preserve"> </w:t>
      </w:r>
      <w:r w:rsidR="00EE5BB8" w:rsidRPr="00C6052E">
        <w:t>3</w:t>
      </w:r>
      <w:r w:rsidR="00177848" w:rsidRPr="00C6052E">
        <w:t xml:space="preserve"> </w:t>
      </w:r>
      <w:r w:rsidRPr="00C6052E">
        <w:t>valuations</w:t>
      </w:r>
      <w:r w:rsidR="00177848" w:rsidRPr="00C6052E">
        <w:t xml:space="preserve"> </w:t>
      </w:r>
      <w:r w:rsidRPr="00C6052E">
        <w:t>for</w:t>
      </w:r>
      <w:r w:rsidR="00177848" w:rsidRPr="00C6052E">
        <w:t xml:space="preserve"> </w:t>
      </w:r>
      <w:fldSimple w:instr=" DOCPROPERTY  crYear  \* MERGEFORMAT ">
        <w:r w:rsidR="00EE5BB8" w:rsidRPr="00C6052E">
          <w:t>2025</w:t>
        </w:r>
      </w:fldSimple>
    </w:p>
    <w:tbl>
      <w:tblPr>
        <w:tblStyle w:val="TableGrid"/>
        <w:tblW w:w="9634" w:type="dxa"/>
        <w:tblLayout w:type="fixed"/>
        <w:tblLook w:val="04A0" w:firstRow="1" w:lastRow="0" w:firstColumn="1" w:lastColumn="0" w:noHBand="0" w:noVBand="1"/>
      </w:tblPr>
      <w:tblGrid>
        <w:gridCol w:w="2547"/>
        <w:gridCol w:w="3260"/>
        <w:gridCol w:w="3827"/>
      </w:tblGrid>
      <w:tr w:rsidR="00EE5BB8" w:rsidRPr="00C6052E" w14:paraId="709DF0AD" w14:textId="77777777" w:rsidTr="00E97D0C">
        <w:tc>
          <w:tcPr>
            <w:tcW w:w="2547" w:type="dxa"/>
            <w:hideMark/>
          </w:tcPr>
          <w:bookmarkStart w:id="343" w:name="TableColumnHeadings_103"/>
          <w:bookmarkEnd w:id="343"/>
          <w:p w14:paraId="308B2E6F" w14:textId="230F97FC" w:rsidR="00EE5BB8" w:rsidRPr="00C6052E" w:rsidRDefault="00EE5BB8" w:rsidP="00B1545C">
            <w:pPr>
              <w:pStyle w:val="TableColumnHeading"/>
              <w:rPr>
                <w:lang w:val="en-AU"/>
              </w:rPr>
            </w:pPr>
            <w:r w:rsidRPr="00C6052E">
              <w:rPr>
                <w:lang w:val="en-AU"/>
              </w:rPr>
              <w:fldChar w:fldCharType="begin"/>
            </w:r>
            <w:r w:rsidRPr="00C6052E">
              <w:rPr>
                <w:lang w:val="en-AU"/>
              </w:rPr>
              <w:instrText xml:space="preserve"> DOCPROPERTY  crYear  \* MERGEFORMAT </w:instrText>
            </w:r>
            <w:r w:rsidRPr="00C6052E">
              <w:rPr>
                <w:lang w:val="en-AU"/>
              </w:rPr>
              <w:fldChar w:fldCharType="separate"/>
            </w:r>
            <w:r w:rsidRPr="00C6052E">
              <w:rPr>
                <w:lang w:val="en-AU"/>
              </w:rPr>
              <w:t>2025</w:t>
            </w:r>
            <w:r w:rsidRPr="00C6052E">
              <w:rPr>
                <w:lang w:val="en-AU"/>
              </w:rPr>
              <w:fldChar w:fldCharType="end"/>
            </w:r>
            <w:r w:rsidR="00B1545C" w:rsidRPr="00C6052E">
              <w:rPr>
                <w:lang w:val="en-AU"/>
              </w:rPr>
              <w:t xml:space="preserve"> </w:t>
            </w:r>
            <w:r w:rsidRPr="00C6052E">
              <w:rPr>
                <w:lang w:val="en-AU"/>
              </w:rPr>
              <w:t>Asset</w:t>
            </w:r>
            <w:r w:rsidR="00177848" w:rsidRPr="00C6052E">
              <w:rPr>
                <w:lang w:val="en-AU"/>
              </w:rPr>
              <w:t xml:space="preserve"> </w:t>
            </w:r>
            <w:r w:rsidRPr="00C6052E">
              <w:rPr>
                <w:lang w:val="en-AU"/>
              </w:rPr>
              <w:t>class</w:t>
            </w:r>
          </w:p>
        </w:tc>
        <w:tc>
          <w:tcPr>
            <w:tcW w:w="3260" w:type="dxa"/>
            <w:hideMark/>
          </w:tcPr>
          <w:p w14:paraId="66813456" w14:textId="2CD6C114" w:rsidR="00EE5BB8" w:rsidRPr="00C6052E" w:rsidRDefault="00EE5BB8" w:rsidP="00B1545C">
            <w:pPr>
              <w:pStyle w:val="TableColumnHeading"/>
              <w:rPr>
                <w:lang w:val="en-AU"/>
              </w:rPr>
            </w:pPr>
            <w:r w:rsidRPr="00C6052E">
              <w:rPr>
                <w:lang w:val="en-AU"/>
              </w:rPr>
              <w:t>Valuation</w:t>
            </w:r>
            <w:r w:rsidR="00B1545C" w:rsidRPr="00C6052E">
              <w:rPr>
                <w:lang w:val="en-AU"/>
              </w:rPr>
              <w:t xml:space="preserve"> </w:t>
            </w:r>
            <w:r w:rsidRPr="00C6052E">
              <w:rPr>
                <w:lang w:val="en-AU"/>
              </w:rPr>
              <w:t>technique</w:t>
            </w:r>
          </w:p>
        </w:tc>
        <w:tc>
          <w:tcPr>
            <w:tcW w:w="3827" w:type="dxa"/>
            <w:hideMark/>
          </w:tcPr>
          <w:p w14:paraId="05C1A32F" w14:textId="065D66F0" w:rsidR="00EE5BB8" w:rsidRPr="00C6052E" w:rsidRDefault="00EE5BB8" w:rsidP="00B1545C">
            <w:pPr>
              <w:pStyle w:val="TableColumnHeading"/>
              <w:rPr>
                <w:lang w:val="en-AU"/>
              </w:rPr>
            </w:pPr>
            <w:r w:rsidRPr="00C6052E">
              <w:rPr>
                <w:lang w:val="en-AU"/>
              </w:rPr>
              <w:t>Significant</w:t>
            </w:r>
            <w:r w:rsidR="00B1545C" w:rsidRPr="00C6052E">
              <w:rPr>
                <w:lang w:val="en-AU"/>
              </w:rPr>
              <w:t xml:space="preserve"> </w:t>
            </w:r>
            <w:r w:rsidRPr="00C6052E">
              <w:rPr>
                <w:lang w:val="en-AU"/>
              </w:rPr>
              <w:t>unobservable</w:t>
            </w:r>
            <w:r w:rsidR="00177848" w:rsidRPr="00C6052E">
              <w:rPr>
                <w:lang w:val="en-AU"/>
              </w:rPr>
              <w:t xml:space="preserve"> </w:t>
            </w:r>
            <w:r w:rsidRPr="00C6052E">
              <w:rPr>
                <w:lang w:val="en-AU"/>
              </w:rPr>
              <w:t>inputs</w:t>
            </w:r>
          </w:p>
        </w:tc>
      </w:tr>
      <w:tr w:rsidR="00EE5BB8" w:rsidRPr="00C6052E" w14:paraId="0EA81C97" w14:textId="77777777" w:rsidTr="00E97D0C">
        <w:tc>
          <w:tcPr>
            <w:tcW w:w="2547" w:type="dxa"/>
            <w:hideMark/>
          </w:tcPr>
          <w:p w14:paraId="76271C4C" w14:textId="2CA50313" w:rsidR="00EE5BB8" w:rsidRPr="00C6052E" w:rsidRDefault="00EE5BB8" w:rsidP="0063097D">
            <w:pPr>
              <w:pStyle w:val="TableCopy"/>
            </w:pPr>
            <w:r w:rsidRPr="00C6052E">
              <w:t>Specialised</w:t>
            </w:r>
            <w:r w:rsidR="00177848" w:rsidRPr="00C6052E">
              <w:t xml:space="preserve"> </w:t>
            </w:r>
            <w:r w:rsidRPr="00C6052E">
              <w:t>land</w:t>
            </w:r>
            <w:r w:rsidR="00177848" w:rsidRPr="00C6052E">
              <w:t xml:space="preserve"> </w:t>
            </w:r>
          </w:p>
        </w:tc>
        <w:tc>
          <w:tcPr>
            <w:tcW w:w="3260" w:type="dxa"/>
            <w:noWrap/>
            <w:hideMark/>
          </w:tcPr>
          <w:p w14:paraId="55758EC3" w14:textId="60602318" w:rsidR="00EE5BB8" w:rsidRPr="00C6052E" w:rsidRDefault="00EE5BB8" w:rsidP="0063097D">
            <w:pPr>
              <w:pStyle w:val="TableCopy"/>
            </w:pPr>
            <w:r w:rsidRPr="00C6052E">
              <w:t>Market</w:t>
            </w:r>
            <w:r w:rsidR="00177848" w:rsidRPr="00C6052E">
              <w:t xml:space="preserve"> </w:t>
            </w:r>
            <w:r w:rsidRPr="00C6052E">
              <w:t>approach</w:t>
            </w:r>
          </w:p>
        </w:tc>
        <w:tc>
          <w:tcPr>
            <w:tcW w:w="3827" w:type="dxa"/>
            <w:hideMark/>
          </w:tcPr>
          <w:p w14:paraId="19F2B21F" w14:textId="7850D722" w:rsidR="00EE5BB8" w:rsidRPr="00C6052E" w:rsidRDefault="00EE5BB8" w:rsidP="00193B39">
            <w:pPr>
              <w:pStyle w:val="TableBullet"/>
            </w:pPr>
            <w:r w:rsidRPr="00C6052E">
              <w:t>Community</w:t>
            </w:r>
            <w:r w:rsidR="00177848" w:rsidRPr="00C6052E">
              <w:t xml:space="preserve"> </w:t>
            </w:r>
            <w:r w:rsidRPr="00C6052E">
              <w:t>Service</w:t>
            </w:r>
            <w:r w:rsidR="00177848" w:rsidRPr="00C6052E">
              <w:t xml:space="preserve"> </w:t>
            </w:r>
            <w:r w:rsidRPr="00C6052E">
              <w:t>Obligation</w:t>
            </w:r>
            <w:r w:rsidR="00177848" w:rsidRPr="00C6052E">
              <w:t xml:space="preserve"> </w:t>
            </w:r>
            <w:r w:rsidRPr="00C6052E">
              <w:t>(CSO)</w:t>
            </w:r>
            <w:r w:rsidR="00177848" w:rsidRPr="00C6052E">
              <w:t xml:space="preserve"> </w:t>
            </w:r>
            <w:r w:rsidRPr="00C6052E">
              <w:t>adjustment</w:t>
            </w:r>
          </w:p>
        </w:tc>
      </w:tr>
      <w:tr w:rsidR="00EE5BB8" w:rsidRPr="00C6052E" w14:paraId="0D7AD44E" w14:textId="77777777" w:rsidTr="00E97D0C">
        <w:tc>
          <w:tcPr>
            <w:tcW w:w="2547" w:type="dxa"/>
            <w:hideMark/>
          </w:tcPr>
          <w:p w14:paraId="625D91B6" w14:textId="22EBBCAD" w:rsidR="00EE5BB8" w:rsidRPr="00C6052E" w:rsidRDefault="00EE5BB8" w:rsidP="0063097D">
            <w:pPr>
              <w:pStyle w:val="TableCopy"/>
            </w:pPr>
            <w:r w:rsidRPr="00C6052E">
              <w:t>Specialised</w:t>
            </w:r>
            <w:r w:rsidR="00177848" w:rsidRPr="00C6052E">
              <w:t xml:space="preserve"> </w:t>
            </w:r>
            <w:r w:rsidRPr="00C6052E">
              <w:t>and</w:t>
            </w:r>
            <w:r w:rsidR="00177848" w:rsidRPr="00C6052E">
              <w:t xml:space="preserve"> </w:t>
            </w:r>
            <w:r w:rsidRPr="00C6052E">
              <w:t>non–specialised</w:t>
            </w:r>
            <w:r w:rsidR="00177848" w:rsidRPr="00C6052E">
              <w:t xml:space="preserve"> </w:t>
            </w:r>
            <w:r w:rsidRPr="00C6052E">
              <w:t>buildings</w:t>
            </w:r>
            <w:r w:rsidR="00177848" w:rsidRPr="00C6052E">
              <w:t xml:space="preserve"> </w:t>
            </w:r>
          </w:p>
        </w:tc>
        <w:tc>
          <w:tcPr>
            <w:tcW w:w="3260" w:type="dxa"/>
            <w:hideMark/>
          </w:tcPr>
          <w:p w14:paraId="3AABF08C" w14:textId="5A817044" w:rsidR="00EE5BB8" w:rsidRPr="00C6052E" w:rsidRDefault="00EE5BB8" w:rsidP="0063097D">
            <w:pPr>
              <w:pStyle w:val="TableCopy"/>
            </w:pPr>
            <w:r w:rsidRPr="00C6052E">
              <w:t>Current</w:t>
            </w:r>
            <w:r w:rsidR="00177848" w:rsidRPr="00C6052E">
              <w:t xml:space="preserve"> </w:t>
            </w:r>
            <w:r w:rsidRPr="00C6052E">
              <w:t>replacement</w:t>
            </w:r>
            <w:r w:rsidR="00177848" w:rsidRPr="00C6052E">
              <w:t xml:space="preserve"> </w:t>
            </w:r>
            <w:r w:rsidRPr="00C6052E">
              <w:t>cost</w:t>
            </w:r>
            <w:r w:rsidR="00177848" w:rsidRPr="00C6052E">
              <w:t xml:space="preserve"> </w:t>
            </w:r>
            <w:r w:rsidRPr="00C6052E">
              <w:t>method</w:t>
            </w:r>
            <w:r w:rsidR="00177848" w:rsidRPr="00C6052E">
              <w:t xml:space="preserve"> </w:t>
            </w:r>
          </w:p>
        </w:tc>
        <w:tc>
          <w:tcPr>
            <w:tcW w:w="3827" w:type="dxa"/>
            <w:hideMark/>
          </w:tcPr>
          <w:p w14:paraId="6A2A7985" w14:textId="77777777" w:rsidR="00EE5BB8" w:rsidRDefault="00EE5BB8" w:rsidP="00193B39">
            <w:pPr>
              <w:pStyle w:val="TableBullet"/>
            </w:pPr>
            <w:r w:rsidRPr="00C6052E">
              <w:t>Direct</w:t>
            </w:r>
            <w:r w:rsidR="00177848" w:rsidRPr="00C6052E">
              <w:t xml:space="preserve"> </w:t>
            </w:r>
            <w:r w:rsidRPr="00C6052E">
              <w:t>cost</w:t>
            </w:r>
            <w:r w:rsidR="00177848" w:rsidRPr="00C6052E">
              <w:t xml:space="preserve"> </w:t>
            </w:r>
            <w:r w:rsidRPr="00C6052E">
              <w:t>per</w:t>
            </w:r>
            <w:r w:rsidR="00177848" w:rsidRPr="00C6052E">
              <w:t xml:space="preserve"> </w:t>
            </w:r>
            <w:r w:rsidRPr="00C6052E">
              <w:t>square</w:t>
            </w:r>
            <w:r w:rsidR="00177848" w:rsidRPr="00C6052E">
              <w:t xml:space="preserve"> </w:t>
            </w:r>
            <w:r w:rsidRPr="00C6052E">
              <w:t>metre</w:t>
            </w:r>
          </w:p>
          <w:p w14:paraId="7138073E" w14:textId="22DDCDFD" w:rsidR="00193B39" w:rsidRPr="00C6052E" w:rsidRDefault="00193B39" w:rsidP="00193B39">
            <w:pPr>
              <w:pStyle w:val="TableBullet"/>
            </w:pPr>
            <w:r w:rsidRPr="00C6052E">
              <w:t>Useful life of specialised buildings</w:t>
            </w:r>
          </w:p>
        </w:tc>
      </w:tr>
      <w:tr w:rsidR="00EE5BB8" w:rsidRPr="00C6052E" w14:paraId="1165103F" w14:textId="77777777" w:rsidTr="00E97D0C">
        <w:tc>
          <w:tcPr>
            <w:tcW w:w="2547" w:type="dxa"/>
            <w:hideMark/>
          </w:tcPr>
          <w:p w14:paraId="2BDD72FB" w14:textId="6B5093CC" w:rsidR="00EE5BB8" w:rsidRPr="00C6052E" w:rsidRDefault="00EE5BB8" w:rsidP="0063097D">
            <w:pPr>
              <w:pStyle w:val="TableCopy"/>
            </w:pPr>
            <w:r w:rsidRPr="00C6052E">
              <w:t>Motor</w:t>
            </w:r>
            <w:r w:rsidR="00177848" w:rsidRPr="00C6052E">
              <w:t xml:space="preserve"> </w:t>
            </w:r>
            <w:r w:rsidRPr="00C6052E">
              <w:t>vehicles</w:t>
            </w:r>
          </w:p>
        </w:tc>
        <w:tc>
          <w:tcPr>
            <w:tcW w:w="3260" w:type="dxa"/>
            <w:hideMark/>
          </w:tcPr>
          <w:p w14:paraId="6990C479" w14:textId="7458331D" w:rsidR="00EE5BB8" w:rsidRPr="00C6052E" w:rsidRDefault="00EE5BB8" w:rsidP="0063097D">
            <w:pPr>
              <w:pStyle w:val="TableCopy"/>
            </w:pPr>
            <w:r w:rsidRPr="00C6052E">
              <w:t>Current</w:t>
            </w:r>
            <w:r w:rsidR="00177848" w:rsidRPr="00C6052E">
              <w:t xml:space="preserve"> </w:t>
            </w:r>
            <w:r w:rsidRPr="00C6052E">
              <w:t>replacement</w:t>
            </w:r>
            <w:r w:rsidR="00177848" w:rsidRPr="00C6052E">
              <w:t xml:space="preserve"> </w:t>
            </w:r>
            <w:r w:rsidRPr="00C6052E">
              <w:t>cost</w:t>
            </w:r>
            <w:r w:rsidR="00177848" w:rsidRPr="00C6052E">
              <w:t xml:space="preserve"> </w:t>
            </w:r>
            <w:r w:rsidRPr="00C6052E">
              <w:t>method</w:t>
            </w:r>
            <w:r w:rsidR="00177848" w:rsidRPr="00C6052E">
              <w:t xml:space="preserve"> </w:t>
            </w:r>
          </w:p>
        </w:tc>
        <w:tc>
          <w:tcPr>
            <w:tcW w:w="3827" w:type="dxa"/>
            <w:hideMark/>
          </w:tcPr>
          <w:p w14:paraId="62AD8D2C" w14:textId="77777777" w:rsidR="00EE5BB8" w:rsidRDefault="00EE5BB8" w:rsidP="00193B39">
            <w:pPr>
              <w:pStyle w:val="TableBullet"/>
            </w:pPr>
            <w:r w:rsidRPr="00C6052E">
              <w:t>Cost</w:t>
            </w:r>
            <w:r w:rsidR="00177848" w:rsidRPr="00C6052E">
              <w:t xml:space="preserve"> </w:t>
            </w:r>
            <w:r w:rsidRPr="00C6052E">
              <w:t>per</w:t>
            </w:r>
            <w:r w:rsidR="00177848" w:rsidRPr="00C6052E">
              <w:t xml:space="preserve"> </w:t>
            </w:r>
            <w:r w:rsidRPr="00C6052E">
              <w:t>unit</w:t>
            </w:r>
          </w:p>
          <w:p w14:paraId="71CE461F" w14:textId="3380E111" w:rsidR="00193B39" w:rsidRPr="00C6052E" w:rsidRDefault="00193B39" w:rsidP="00193B39">
            <w:pPr>
              <w:pStyle w:val="TableBullet"/>
            </w:pPr>
            <w:r w:rsidRPr="00C6052E">
              <w:t>Useful life of motor vehicle</w:t>
            </w:r>
          </w:p>
        </w:tc>
      </w:tr>
      <w:tr w:rsidR="00EE5BB8" w:rsidRPr="00C6052E" w14:paraId="543A2E23" w14:textId="77777777" w:rsidTr="00E97D0C">
        <w:tc>
          <w:tcPr>
            <w:tcW w:w="2547" w:type="dxa"/>
            <w:hideMark/>
          </w:tcPr>
          <w:p w14:paraId="577ED4D9" w14:textId="5C051CB5" w:rsidR="00EE5BB8" w:rsidRPr="00C6052E" w:rsidRDefault="00EE5BB8" w:rsidP="0063097D">
            <w:pPr>
              <w:pStyle w:val="TableCopy"/>
            </w:pPr>
            <w:r w:rsidRPr="00C6052E">
              <w:t>Plant</w:t>
            </w:r>
            <w:r w:rsidR="00177848" w:rsidRPr="00C6052E">
              <w:t xml:space="preserve"> </w:t>
            </w:r>
            <w:r w:rsidRPr="00C6052E">
              <w:t>and</w:t>
            </w:r>
            <w:r w:rsidR="00177848" w:rsidRPr="00C6052E">
              <w:t xml:space="preserve"> </w:t>
            </w:r>
            <w:r w:rsidRPr="00C6052E">
              <w:t>equipment</w:t>
            </w:r>
          </w:p>
        </w:tc>
        <w:tc>
          <w:tcPr>
            <w:tcW w:w="3260" w:type="dxa"/>
            <w:hideMark/>
          </w:tcPr>
          <w:p w14:paraId="37B86286" w14:textId="466309BA" w:rsidR="00EE5BB8" w:rsidRPr="00C6052E" w:rsidRDefault="00EE5BB8" w:rsidP="0063097D">
            <w:pPr>
              <w:pStyle w:val="TableCopy"/>
            </w:pPr>
            <w:r w:rsidRPr="00C6052E">
              <w:t>Current</w:t>
            </w:r>
            <w:r w:rsidR="00177848" w:rsidRPr="00C6052E">
              <w:t xml:space="preserve"> </w:t>
            </w:r>
            <w:r w:rsidRPr="00C6052E">
              <w:t>replacement</w:t>
            </w:r>
            <w:r w:rsidR="00177848" w:rsidRPr="00C6052E">
              <w:t xml:space="preserve"> </w:t>
            </w:r>
            <w:r w:rsidRPr="00C6052E">
              <w:t>cost</w:t>
            </w:r>
            <w:r w:rsidR="00177848" w:rsidRPr="00C6052E">
              <w:t xml:space="preserve"> </w:t>
            </w:r>
            <w:r w:rsidRPr="00C6052E">
              <w:t>method</w:t>
            </w:r>
            <w:r w:rsidR="00177848" w:rsidRPr="00C6052E">
              <w:t xml:space="preserve"> </w:t>
            </w:r>
          </w:p>
        </w:tc>
        <w:tc>
          <w:tcPr>
            <w:tcW w:w="3827" w:type="dxa"/>
            <w:hideMark/>
          </w:tcPr>
          <w:p w14:paraId="6CACBB0F" w14:textId="77777777" w:rsidR="00EE5BB8" w:rsidRDefault="00EE5BB8" w:rsidP="00193B39">
            <w:pPr>
              <w:pStyle w:val="TableBullet"/>
            </w:pPr>
            <w:r w:rsidRPr="00C6052E">
              <w:t>Cost</w:t>
            </w:r>
            <w:r w:rsidR="00177848" w:rsidRPr="00C6052E">
              <w:t xml:space="preserve"> </w:t>
            </w:r>
            <w:r w:rsidRPr="00C6052E">
              <w:t>per</w:t>
            </w:r>
            <w:r w:rsidR="00177848" w:rsidRPr="00C6052E">
              <w:t xml:space="preserve"> </w:t>
            </w:r>
            <w:r w:rsidRPr="00C6052E">
              <w:t>unit</w:t>
            </w:r>
          </w:p>
          <w:p w14:paraId="37A8726A" w14:textId="269A820B" w:rsidR="00193B39" w:rsidRPr="00C6052E" w:rsidRDefault="00193B39" w:rsidP="00193B39">
            <w:pPr>
              <w:pStyle w:val="TableBullet"/>
            </w:pPr>
            <w:r w:rsidRPr="00C6052E">
              <w:t>Useful life of plant and equipment</w:t>
            </w:r>
          </w:p>
        </w:tc>
      </w:tr>
      <w:tr w:rsidR="00EE5BB8" w:rsidRPr="00C6052E" w14:paraId="78A6555E" w14:textId="77777777" w:rsidTr="00E97D0C">
        <w:tc>
          <w:tcPr>
            <w:tcW w:w="2547" w:type="dxa"/>
            <w:hideMark/>
          </w:tcPr>
          <w:p w14:paraId="1E63FFAC" w14:textId="5F7AB602" w:rsidR="00EE5BB8" w:rsidRPr="00C6052E" w:rsidRDefault="00EE5BB8" w:rsidP="0063097D">
            <w:pPr>
              <w:pStyle w:val="TableCopy"/>
            </w:pPr>
            <w:r w:rsidRPr="00C6052E">
              <w:t>Cultural</w:t>
            </w:r>
            <w:r w:rsidR="00177848" w:rsidRPr="00C6052E">
              <w:t xml:space="preserve"> </w:t>
            </w:r>
            <w:r w:rsidRPr="00C6052E">
              <w:t>assets</w:t>
            </w:r>
          </w:p>
        </w:tc>
        <w:tc>
          <w:tcPr>
            <w:tcW w:w="3260" w:type="dxa"/>
            <w:hideMark/>
          </w:tcPr>
          <w:p w14:paraId="7D5426FF" w14:textId="2024DDDD" w:rsidR="00EE5BB8" w:rsidRPr="00C6052E" w:rsidRDefault="00EE5BB8" w:rsidP="0063097D">
            <w:pPr>
              <w:pStyle w:val="TableCopy"/>
            </w:pPr>
            <w:r w:rsidRPr="00C6052E">
              <w:t>Current</w:t>
            </w:r>
            <w:r w:rsidR="00177848" w:rsidRPr="00C6052E">
              <w:t xml:space="preserve"> </w:t>
            </w:r>
            <w:r w:rsidRPr="00C6052E">
              <w:t>replacement</w:t>
            </w:r>
            <w:r w:rsidR="00177848" w:rsidRPr="00C6052E">
              <w:t xml:space="preserve"> </w:t>
            </w:r>
            <w:r w:rsidRPr="00C6052E">
              <w:t>cost</w:t>
            </w:r>
            <w:r w:rsidR="00177848" w:rsidRPr="00C6052E">
              <w:t xml:space="preserve"> </w:t>
            </w:r>
            <w:r w:rsidRPr="00C6052E">
              <w:t>method</w:t>
            </w:r>
            <w:r w:rsidR="00177848" w:rsidRPr="00C6052E">
              <w:t xml:space="preserve"> </w:t>
            </w:r>
          </w:p>
        </w:tc>
        <w:tc>
          <w:tcPr>
            <w:tcW w:w="3827" w:type="dxa"/>
            <w:hideMark/>
          </w:tcPr>
          <w:p w14:paraId="1E1759C3" w14:textId="77777777" w:rsidR="00EE5BB8" w:rsidRDefault="00EE5BB8" w:rsidP="00193B39">
            <w:pPr>
              <w:pStyle w:val="TableBullet"/>
            </w:pPr>
            <w:r w:rsidRPr="00C6052E">
              <w:t>Cost</w:t>
            </w:r>
            <w:r w:rsidR="00177848" w:rsidRPr="00C6052E">
              <w:t xml:space="preserve"> </w:t>
            </w:r>
            <w:r w:rsidRPr="00C6052E">
              <w:t>per</w:t>
            </w:r>
            <w:r w:rsidR="00177848" w:rsidRPr="00C6052E">
              <w:t xml:space="preserve"> </w:t>
            </w:r>
            <w:r w:rsidRPr="00C6052E">
              <w:t>unit</w:t>
            </w:r>
          </w:p>
          <w:p w14:paraId="206909B6" w14:textId="52C23F55" w:rsidR="00193B39" w:rsidRPr="00C6052E" w:rsidRDefault="00193B39" w:rsidP="00193B39">
            <w:pPr>
              <w:pStyle w:val="TableBullet"/>
            </w:pPr>
            <w:r w:rsidRPr="00C6052E">
              <w:t>Useful life of cultural assets</w:t>
            </w:r>
          </w:p>
        </w:tc>
      </w:tr>
      <w:tr w:rsidR="00EE5BB8" w:rsidRPr="00C6052E" w14:paraId="2FFC739B" w14:textId="77777777" w:rsidTr="00E97D0C">
        <w:tc>
          <w:tcPr>
            <w:tcW w:w="2547" w:type="dxa"/>
            <w:hideMark/>
          </w:tcPr>
          <w:p w14:paraId="48995B6E" w14:textId="16BC0C70" w:rsidR="00EE5BB8" w:rsidRPr="00C6052E" w:rsidRDefault="00EE5BB8" w:rsidP="0063097D">
            <w:pPr>
              <w:pStyle w:val="TableCopy"/>
            </w:pPr>
            <w:r w:rsidRPr="00C6052E">
              <w:t>Leasehold</w:t>
            </w:r>
            <w:r w:rsidR="00177848" w:rsidRPr="00C6052E">
              <w:t xml:space="preserve"> </w:t>
            </w:r>
            <w:r w:rsidRPr="00C6052E">
              <w:t>Improvements</w:t>
            </w:r>
          </w:p>
        </w:tc>
        <w:tc>
          <w:tcPr>
            <w:tcW w:w="3260" w:type="dxa"/>
            <w:hideMark/>
          </w:tcPr>
          <w:p w14:paraId="3E555690" w14:textId="1D20232B" w:rsidR="00EE5BB8" w:rsidRPr="00C6052E" w:rsidRDefault="00EE5BB8" w:rsidP="0063097D">
            <w:pPr>
              <w:pStyle w:val="TableCopy"/>
            </w:pPr>
            <w:r w:rsidRPr="00C6052E">
              <w:t>Current</w:t>
            </w:r>
            <w:r w:rsidR="00177848" w:rsidRPr="00C6052E">
              <w:t xml:space="preserve"> </w:t>
            </w:r>
            <w:r w:rsidRPr="00C6052E">
              <w:t>replacement</w:t>
            </w:r>
            <w:r w:rsidR="00177848" w:rsidRPr="00C6052E">
              <w:t xml:space="preserve"> </w:t>
            </w:r>
            <w:r w:rsidRPr="00C6052E">
              <w:t>cost</w:t>
            </w:r>
            <w:r w:rsidR="00177848" w:rsidRPr="00C6052E">
              <w:t xml:space="preserve"> </w:t>
            </w:r>
            <w:r w:rsidRPr="00C6052E">
              <w:t>method</w:t>
            </w:r>
            <w:r w:rsidR="00177848" w:rsidRPr="00C6052E">
              <w:t xml:space="preserve"> </w:t>
            </w:r>
          </w:p>
        </w:tc>
        <w:tc>
          <w:tcPr>
            <w:tcW w:w="3827" w:type="dxa"/>
            <w:hideMark/>
          </w:tcPr>
          <w:p w14:paraId="5BA4786C" w14:textId="77777777" w:rsidR="00EE5BB8" w:rsidRDefault="00EE5BB8" w:rsidP="00193B39">
            <w:pPr>
              <w:pStyle w:val="TableBullet"/>
            </w:pPr>
            <w:r w:rsidRPr="00C6052E">
              <w:t>Cost</w:t>
            </w:r>
            <w:r w:rsidR="00177848" w:rsidRPr="00C6052E">
              <w:t xml:space="preserve"> </w:t>
            </w:r>
            <w:r w:rsidRPr="00C6052E">
              <w:t>per</w:t>
            </w:r>
            <w:r w:rsidR="00177848" w:rsidRPr="00C6052E">
              <w:t xml:space="preserve"> </w:t>
            </w:r>
            <w:r w:rsidRPr="00C6052E">
              <w:t>unit</w:t>
            </w:r>
          </w:p>
          <w:p w14:paraId="6AE6B6B7" w14:textId="4BBD38B0" w:rsidR="00193B39" w:rsidRPr="00C6052E" w:rsidRDefault="00193B39" w:rsidP="00193B39">
            <w:pPr>
              <w:pStyle w:val="TableBullet"/>
            </w:pPr>
            <w:r w:rsidRPr="00C6052E">
              <w:t>Useful life of leasehold improvements</w:t>
            </w:r>
          </w:p>
        </w:tc>
      </w:tr>
    </w:tbl>
    <w:p w14:paraId="60FDAD7F" w14:textId="77777777" w:rsidR="00EE5BB8" w:rsidRPr="00C6052E" w:rsidRDefault="00EE5BB8" w:rsidP="00193B39"/>
    <w:p w14:paraId="7EF5D319" w14:textId="6A5F08E9" w:rsidR="00EE5BB8" w:rsidRPr="00C6052E" w:rsidRDefault="00EE5BB8" w:rsidP="00EE5BB8">
      <w:r w:rsidRPr="00C6052E">
        <w:t>Significant</w:t>
      </w:r>
      <w:r w:rsidR="00177848" w:rsidRPr="00C6052E">
        <w:t xml:space="preserve"> </w:t>
      </w:r>
      <w:r w:rsidRPr="00C6052E">
        <w:t>unobservable</w:t>
      </w:r>
      <w:r w:rsidR="00177848" w:rsidRPr="00C6052E">
        <w:t xml:space="preserve"> </w:t>
      </w:r>
      <w:r w:rsidRPr="00C6052E">
        <w:t>inputs</w:t>
      </w:r>
      <w:r w:rsidR="00177848" w:rsidRPr="00C6052E">
        <w:t xml:space="preserve"> </w:t>
      </w:r>
      <w:r w:rsidRPr="00C6052E">
        <w:t>have</w:t>
      </w:r>
      <w:r w:rsidR="00177848" w:rsidRPr="00C6052E">
        <w:t xml:space="preserve"> </w:t>
      </w:r>
      <w:r w:rsidRPr="00C6052E">
        <w:t>remained</w:t>
      </w:r>
      <w:r w:rsidR="00177848" w:rsidRPr="00C6052E">
        <w:t xml:space="preserve"> </w:t>
      </w:r>
      <w:r w:rsidRPr="00C6052E">
        <w:t>unchanged</w:t>
      </w:r>
      <w:r w:rsidR="00177848" w:rsidRPr="00C6052E">
        <w:t xml:space="preserve"> </w:t>
      </w:r>
      <w:r w:rsidRPr="00C6052E">
        <w:t>since</w:t>
      </w:r>
      <w:r w:rsidR="00177848" w:rsidRPr="00C6052E">
        <w:t xml:space="preserve"> </w:t>
      </w:r>
      <w:r w:rsidRPr="00C6052E">
        <w:t>June</w:t>
      </w:r>
      <w:r w:rsidR="00177848" w:rsidRPr="00C6052E">
        <w:t xml:space="preserve"> </w:t>
      </w:r>
      <w:fldSimple w:instr=" DOCPROPERTY  prYear  \* MERGEFORMAT ">
        <w:r w:rsidRPr="00C6052E">
          <w:t>2024</w:t>
        </w:r>
      </w:fldSimple>
      <w:r w:rsidRPr="00C6052E">
        <w:t>.</w:t>
      </w:r>
    </w:p>
    <w:p w14:paraId="06E61DF6" w14:textId="3B21DFAC" w:rsidR="00EE5BB8" w:rsidRPr="00C6052E" w:rsidRDefault="00EE5BB8" w:rsidP="00EE5BB8">
      <w:pPr>
        <w:pStyle w:val="Heading1numbered0"/>
        <w:ind w:left="284" w:hanging="284"/>
      </w:pPr>
      <w:bookmarkStart w:id="344" w:name="_Toc163565990"/>
      <w:bookmarkStart w:id="345" w:name="_Toc214618243"/>
      <w:r w:rsidRPr="00C6052E">
        <w:t>Other</w:t>
      </w:r>
      <w:r w:rsidR="00177848" w:rsidRPr="00C6052E">
        <w:t xml:space="preserve"> </w:t>
      </w:r>
      <w:r w:rsidRPr="00C6052E">
        <w:t>Disclosures</w:t>
      </w:r>
      <w:bookmarkEnd w:id="344"/>
      <w:bookmarkEnd w:id="345"/>
    </w:p>
    <w:p w14:paraId="451813C6" w14:textId="77777777" w:rsidR="00EE5BB8" w:rsidRPr="00C6052E" w:rsidRDefault="00EE5BB8" w:rsidP="00E97D0C">
      <w:pPr>
        <w:pStyle w:val="Heading3"/>
      </w:pPr>
      <w:bookmarkStart w:id="346" w:name="_Toc163565991"/>
      <w:bookmarkStart w:id="347" w:name="_Toc163566598"/>
      <w:bookmarkStart w:id="348" w:name="_Toc174009518"/>
      <w:r w:rsidRPr="00C6052E">
        <w:t>Introduction</w:t>
      </w:r>
      <w:bookmarkEnd w:id="346"/>
      <w:bookmarkEnd w:id="347"/>
      <w:bookmarkEnd w:id="348"/>
    </w:p>
    <w:p w14:paraId="47BB6F9E" w14:textId="52CE39E3" w:rsidR="00EE5BB8" w:rsidRPr="00C6052E" w:rsidRDefault="00EE5BB8" w:rsidP="00EE5BB8">
      <w:r w:rsidRPr="00C6052E">
        <w:t>This</w:t>
      </w:r>
      <w:r w:rsidR="00177848" w:rsidRPr="00C6052E">
        <w:t xml:space="preserve"> </w:t>
      </w:r>
      <w:r w:rsidRPr="00C6052E">
        <w:t>section</w:t>
      </w:r>
      <w:r w:rsidR="00177848" w:rsidRPr="00C6052E">
        <w:t xml:space="preserve"> </w:t>
      </w:r>
      <w:r w:rsidRPr="00C6052E">
        <w:t>includes</w:t>
      </w:r>
      <w:r w:rsidR="00177848" w:rsidRPr="00C6052E">
        <w:t xml:space="preserve"> </w:t>
      </w:r>
      <w:r w:rsidRPr="00C6052E">
        <w:t>additional</w:t>
      </w:r>
      <w:r w:rsidR="00177848" w:rsidRPr="00C6052E">
        <w:t xml:space="preserve"> </w:t>
      </w:r>
      <w:r w:rsidRPr="00C6052E">
        <w:t>material</w:t>
      </w:r>
      <w:r w:rsidR="00177848" w:rsidRPr="00C6052E">
        <w:t xml:space="preserve"> </w:t>
      </w:r>
      <w:r w:rsidRPr="00C6052E">
        <w:t>disclosures</w:t>
      </w:r>
      <w:r w:rsidR="00177848" w:rsidRPr="00C6052E">
        <w:t xml:space="preserve"> </w:t>
      </w:r>
      <w:r w:rsidRPr="00C6052E">
        <w:t>required</w:t>
      </w:r>
      <w:r w:rsidR="00177848" w:rsidRPr="00C6052E">
        <w:t xml:space="preserve"> </w:t>
      </w:r>
      <w:r w:rsidRPr="00C6052E">
        <w:t>by</w:t>
      </w:r>
      <w:r w:rsidR="00177848" w:rsidRPr="00C6052E">
        <w:t xml:space="preserve"> </w:t>
      </w:r>
      <w:r w:rsidRPr="00C6052E">
        <w:t>accounting</w:t>
      </w:r>
      <w:r w:rsidR="00177848" w:rsidRPr="00C6052E">
        <w:t xml:space="preserve"> </w:t>
      </w:r>
      <w:r w:rsidRPr="00C6052E">
        <w:t>standards</w:t>
      </w:r>
      <w:r w:rsidR="00177848" w:rsidRPr="00C6052E">
        <w:t xml:space="preserve"> </w:t>
      </w:r>
      <w:r w:rsidRPr="00C6052E">
        <w:t>or</w:t>
      </w:r>
      <w:r w:rsidR="00177848" w:rsidRPr="00C6052E">
        <w:t xml:space="preserve"> </w:t>
      </w:r>
      <w:r w:rsidRPr="00C6052E">
        <w:t>otherwise,</w:t>
      </w:r>
      <w:r w:rsidR="00177848" w:rsidRPr="00C6052E">
        <w:t xml:space="preserve"> </w:t>
      </w:r>
      <w:r w:rsidRPr="00C6052E">
        <w:t>for</w:t>
      </w:r>
      <w:r w:rsidR="00177848" w:rsidRPr="00C6052E">
        <w:t xml:space="preserve"> </w:t>
      </w:r>
      <w:r w:rsidRPr="00C6052E">
        <w:t>the</w:t>
      </w:r>
      <w:r w:rsidR="00177848" w:rsidRPr="00C6052E">
        <w:t xml:space="preserve"> </w:t>
      </w:r>
      <w:r w:rsidRPr="00C6052E">
        <w:t>understanding</w:t>
      </w:r>
      <w:r w:rsidR="00177848" w:rsidRPr="00C6052E">
        <w:t xml:space="preserve"> </w:t>
      </w:r>
      <w:r w:rsidRPr="00C6052E">
        <w:t>of</w:t>
      </w:r>
      <w:r w:rsidR="00177848" w:rsidRPr="00C6052E">
        <w:t xml:space="preserve"> </w:t>
      </w:r>
      <w:r w:rsidRPr="00C6052E">
        <w:t>this</w:t>
      </w:r>
      <w:r w:rsidR="00177848" w:rsidRPr="00C6052E">
        <w:t xml:space="preserve"> </w:t>
      </w:r>
      <w:r w:rsidRPr="00C6052E">
        <w:t>financial</w:t>
      </w:r>
      <w:r w:rsidR="00177848" w:rsidRPr="00C6052E">
        <w:t xml:space="preserve"> </w:t>
      </w:r>
      <w:r w:rsidRPr="00C6052E">
        <w:t>report.</w:t>
      </w:r>
    </w:p>
    <w:p w14:paraId="7CB5CE52" w14:textId="77777777" w:rsidR="00EE5BB8" w:rsidRPr="00C6052E" w:rsidRDefault="00EE5BB8" w:rsidP="00E97D0C">
      <w:pPr>
        <w:pStyle w:val="Heading3"/>
      </w:pPr>
      <w:bookmarkStart w:id="349" w:name="_Toc163565992"/>
      <w:bookmarkStart w:id="350" w:name="_Toc163566599"/>
      <w:bookmarkStart w:id="351" w:name="_Toc174009519"/>
      <w:r w:rsidRPr="00C6052E">
        <w:t>Structure</w:t>
      </w:r>
      <w:bookmarkEnd w:id="349"/>
      <w:bookmarkEnd w:id="350"/>
      <w:bookmarkEnd w:id="351"/>
    </w:p>
    <w:bookmarkStart w:id="352" w:name="_Ref163567237"/>
    <w:p w14:paraId="65B91C65" w14:textId="3BBC8161" w:rsidR="00EE5BB8" w:rsidRPr="00C6052E" w:rsidRDefault="00EE5BB8" w:rsidP="00EE5BB8">
      <w:pPr>
        <w:pStyle w:val="Structurepoints"/>
      </w:pPr>
      <w:r w:rsidRPr="00C6052E">
        <w:fldChar w:fldCharType="begin"/>
      </w:r>
      <w:r w:rsidRPr="00C6052E">
        <w:instrText xml:space="preserve"> REF _Ref209609338 \r \h </w:instrText>
      </w:r>
      <w:r w:rsidRPr="00C6052E">
        <w:fldChar w:fldCharType="separate"/>
      </w:r>
      <w:r w:rsidRPr="00C6052E">
        <w:t>9.1</w:t>
      </w:r>
      <w:r w:rsidRPr="00C6052E">
        <w:fldChar w:fldCharType="end"/>
      </w:r>
      <w:r w:rsidRPr="00C6052E">
        <w:tab/>
      </w:r>
      <w:r w:rsidRPr="00C6052E">
        <w:fldChar w:fldCharType="begin"/>
      </w:r>
      <w:r w:rsidRPr="00C6052E">
        <w:instrText xml:space="preserve"> REF _Ref209609338 \h </w:instrText>
      </w:r>
      <w:r w:rsidRPr="00C6052E">
        <w:fldChar w:fldCharType="separate"/>
      </w:r>
      <w:r w:rsidRPr="00C6052E">
        <w:t>Ex–gratia</w:t>
      </w:r>
      <w:r w:rsidR="00177848" w:rsidRPr="00C6052E">
        <w:t xml:space="preserve"> </w:t>
      </w:r>
      <w:r w:rsidRPr="00C6052E">
        <w:t>expenses</w:t>
      </w:r>
      <w:r w:rsidRPr="00C6052E">
        <w:fldChar w:fldCharType="end"/>
      </w:r>
    </w:p>
    <w:p w14:paraId="09832B3B" w14:textId="76B806A6" w:rsidR="00EE5BB8" w:rsidRPr="00C6052E" w:rsidRDefault="00EE5BB8" w:rsidP="00EE5BB8">
      <w:pPr>
        <w:pStyle w:val="Structurepoints"/>
      </w:pPr>
      <w:r w:rsidRPr="00C6052E">
        <w:fldChar w:fldCharType="begin"/>
      </w:r>
      <w:r w:rsidRPr="00C6052E">
        <w:instrText xml:space="preserve"> REF _Ref209609359 \r \h </w:instrText>
      </w:r>
      <w:r w:rsidRPr="00C6052E">
        <w:fldChar w:fldCharType="separate"/>
      </w:r>
      <w:r w:rsidRPr="00C6052E">
        <w:t>9.2</w:t>
      </w:r>
      <w:r w:rsidRPr="00C6052E">
        <w:fldChar w:fldCharType="end"/>
      </w:r>
      <w:r w:rsidRPr="00C6052E">
        <w:tab/>
      </w:r>
      <w:r w:rsidRPr="00C6052E">
        <w:fldChar w:fldCharType="begin"/>
      </w:r>
      <w:r w:rsidRPr="00C6052E">
        <w:instrText xml:space="preserve"> REF _Ref209609366 \h </w:instrText>
      </w:r>
      <w:r w:rsidRPr="00C6052E">
        <w:fldChar w:fldCharType="separate"/>
      </w:r>
      <w:r w:rsidRPr="00C6052E">
        <w:t>Other</w:t>
      </w:r>
      <w:r w:rsidR="00177848" w:rsidRPr="00C6052E">
        <w:t xml:space="preserve"> </w:t>
      </w:r>
      <w:r w:rsidRPr="00C6052E">
        <w:t>economic</w:t>
      </w:r>
      <w:r w:rsidR="00177848" w:rsidRPr="00C6052E">
        <w:t xml:space="preserve"> </w:t>
      </w:r>
      <w:r w:rsidRPr="00C6052E">
        <w:t>flows</w:t>
      </w:r>
      <w:r w:rsidR="00177848" w:rsidRPr="00C6052E">
        <w:t xml:space="preserve"> </w:t>
      </w:r>
      <w:r w:rsidRPr="00C6052E">
        <w:t>included</w:t>
      </w:r>
      <w:r w:rsidR="00177848" w:rsidRPr="00C6052E">
        <w:t xml:space="preserve"> </w:t>
      </w:r>
      <w:r w:rsidRPr="00C6052E">
        <w:t>in</w:t>
      </w:r>
      <w:r w:rsidR="00177848" w:rsidRPr="00C6052E">
        <w:t xml:space="preserve"> </w:t>
      </w:r>
      <w:r w:rsidRPr="00C6052E">
        <w:t>net</w:t>
      </w:r>
      <w:r w:rsidR="00177848" w:rsidRPr="00C6052E">
        <w:t xml:space="preserve"> </w:t>
      </w:r>
      <w:r w:rsidRPr="00C6052E">
        <w:t>result</w:t>
      </w:r>
      <w:r w:rsidRPr="00C6052E">
        <w:fldChar w:fldCharType="end"/>
      </w:r>
    </w:p>
    <w:p w14:paraId="081E366D" w14:textId="3E036302" w:rsidR="00EE5BB8" w:rsidRPr="00C6052E" w:rsidRDefault="00EE5BB8" w:rsidP="00EE5BB8">
      <w:pPr>
        <w:pStyle w:val="Structurepoints"/>
      </w:pPr>
      <w:r w:rsidRPr="00C6052E">
        <w:fldChar w:fldCharType="begin"/>
      </w:r>
      <w:r w:rsidRPr="00C6052E">
        <w:instrText xml:space="preserve"> REF _Ref209609576 \r \h </w:instrText>
      </w:r>
      <w:r w:rsidRPr="00C6052E">
        <w:fldChar w:fldCharType="separate"/>
      </w:r>
      <w:r w:rsidRPr="00C6052E">
        <w:t>9.3</w:t>
      </w:r>
      <w:r w:rsidRPr="00C6052E">
        <w:fldChar w:fldCharType="end"/>
      </w:r>
      <w:r w:rsidRPr="00C6052E">
        <w:tab/>
      </w:r>
      <w:r w:rsidRPr="00C6052E">
        <w:fldChar w:fldCharType="begin"/>
      </w:r>
      <w:r w:rsidRPr="00C6052E">
        <w:instrText xml:space="preserve"> REF _Ref209609583 \h </w:instrText>
      </w:r>
      <w:r w:rsidRPr="00C6052E">
        <w:fldChar w:fldCharType="separate"/>
      </w:r>
      <w:r w:rsidRPr="00C6052E">
        <w:t>Non–financial</w:t>
      </w:r>
      <w:r w:rsidR="00177848" w:rsidRPr="00C6052E">
        <w:t xml:space="preserve"> </w:t>
      </w:r>
      <w:r w:rsidRPr="00C6052E">
        <w:t>assets</w:t>
      </w:r>
      <w:r w:rsidR="00177848" w:rsidRPr="00C6052E">
        <w:t xml:space="preserve"> </w:t>
      </w:r>
      <w:r w:rsidRPr="00C6052E">
        <w:t>held</w:t>
      </w:r>
      <w:r w:rsidR="00177848" w:rsidRPr="00C6052E">
        <w:t xml:space="preserve"> </w:t>
      </w:r>
      <w:r w:rsidRPr="00C6052E">
        <w:t>for</w:t>
      </w:r>
      <w:r w:rsidR="00177848" w:rsidRPr="00C6052E">
        <w:t xml:space="preserve"> </w:t>
      </w:r>
      <w:r w:rsidRPr="00C6052E">
        <w:t>sale</w:t>
      </w:r>
      <w:r w:rsidRPr="00C6052E">
        <w:fldChar w:fldCharType="end"/>
      </w:r>
    </w:p>
    <w:p w14:paraId="0A1AABB9" w14:textId="706CB3EC" w:rsidR="00EE5BB8" w:rsidRPr="00C6052E" w:rsidRDefault="00EE5BB8" w:rsidP="00EE5BB8">
      <w:pPr>
        <w:pStyle w:val="Structurepoints"/>
      </w:pPr>
      <w:r w:rsidRPr="00C6052E">
        <w:fldChar w:fldCharType="begin"/>
      </w:r>
      <w:r w:rsidRPr="00C6052E">
        <w:instrText xml:space="preserve"> REF _Ref209609375 \r \h </w:instrText>
      </w:r>
      <w:r w:rsidRPr="00C6052E">
        <w:fldChar w:fldCharType="separate"/>
      </w:r>
      <w:r w:rsidRPr="00C6052E">
        <w:t>9.4</w:t>
      </w:r>
      <w:r w:rsidRPr="00C6052E">
        <w:fldChar w:fldCharType="end"/>
      </w:r>
      <w:r w:rsidRPr="00C6052E">
        <w:tab/>
      </w:r>
      <w:r w:rsidRPr="00C6052E">
        <w:fldChar w:fldCharType="begin"/>
      </w:r>
      <w:r w:rsidRPr="00C6052E">
        <w:instrText xml:space="preserve"> REF _Ref209609385 \h </w:instrText>
      </w:r>
      <w:r w:rsidRPr="00C6052E">
        <w:fldChar w:fldCharType="separate"/>
      </w:r>
      <w:r w:rsidRPr="00C6052E">
        <w:t>Equity</w:t>
      </w:r>
      <w:r w:rsidR="00177848" w:rsidRPr="00C6052E">
        <w:t xml:space="preserve"> </w:t>
      </w:r>
      <w:r w:rsidRPr="00C6052E">
        <w:t>disclosure</w:t>
      </w:r>
      <w:r w:rsidRPr="00C6052E">
        <w:fldChar w:fldCharType="end"/>
      </w:r>
    </w:p>
    <w:p w14:paraId="3C3A8D8E" w14:textId="36386148" w:rsidR="00EE5BB8" w:rsidRPr="00C6052E" w:rsidRDefault="00EE5BB8" w:rsidP="00EE5BB8">
      <w:pPr>
        <w:pStyle w:val="Structurepoints"/>
      </w:pPr>
      <w:r w:rsidRPr="00C6052E">
        <w:fldChar w:fldCharType="begin"/>
      </w:r>
      <w:r w:rsidRPr="00C6052E">
        <w:instrText xml:space="preserve"> REF _Ref209609425 \r \h </w:instrText>
      </w:r>
      <w:r w:rsidRPr="00C6052E">
        <w:fldChar w:fldCharType="separate"/>
      </w:r>
      <w:r w:rsidRPr="00C6052E">
        <w:t>9.5</w:t>
      </w:r>
      <w:r w:rsidRPr="00C6052E">
        <w:fldChar w:fldCharType="end"/>
      </w:r>
      <w:r w:rsidRPr="00C6052E">
        <w:tab/>
      </w:r>
      <w:r w:rsidRPr="00C6052E">
        <w:fldChar w:fldCharType="begin"/>
      </w:r>
      <w:r w:rsidRPr="00C6052E">
        <w:instrText xml:space="preserve"> REF _Ref209609433 \h </w:instrText>
      </w:r>
      <w:r w:rsidRPr="00C6052E">
        <w:fldChar w:fldCharType="separate"/>
      </w:r>
      <w:r w:rsidRPr="00C6052E">
        <w:t>Entities</w:t>
      </w:r>
      <w:r w:rsidR="00177848" w:rsidRPr="00C6052E">
        <w:t xml:space="preserve"> </w:t>
      </w:r>
      <w:r w:rsidRPr="00C6052E">
        <w:t>consolidated</w:t>
      </w:r>
      <w:r w:rsidR="00177848" w:rsidRPr="00C6052E">
        <w:t xml:space="preserve"> </w:t>
      </w:r>
      <w:r w:rsidRPr="00C6052E">
        <w:t>pursuant</w:t>
      </w:r>
      <w:r w:rsidR="00177848" w:rsidRPr="00C6052E">
        <w:t xml:space="preserve"> </w:t>
      </w:r>
      <w:r w:rsidRPr="00C6052E">
        <w:t>to</w:t>
      </w:r>
      <w:r w:rsidR="00177848" w:rsidRPr="00C6052E">
        <w:t xml:space="preserve"> </w:t>
      </w:r>
      <w:r w:rsidRPr="00C6052E">
        <w:t>section</w:t>
      </w:r>
      <w:r w:rsidR="00177848" w:rsidRPr="00C6052E">
        <w:t xml:space="preserve"> </w:t>
      </w:r>
      <w:r w:rsidRPr="00C6052E">
        <w:t>53(1)(b)</w:t>
      </w:r>
      <w:r w:rsidR="00177848" w:rsidRPr="00C6052E">
        <w:t xml:space="preserve"> </w:t>
      </w:r>
      <w:r w:rsidRPr="00C6052E">
        <w:t>of</w:t>
      </w:r>
      <w:r w:rsidR="00177848" w:rsidRPr="00C6052E">
        <w:t xml:space="preserve"> </w:t>
      </w:r>
      <w:r w:rsidRPr="00C6052E">
        <w:t>the</w:t>
      </w:r>
      <w:r w:rsidR="00177848" w:rsidRPr="00C6052E">
        <w:t xml:space="preserve"> </w:t>
      </w:r>
      <w:r w:rsidRPr="00C6052E">
        <w:t>FMA</w:t>
      </w:r>
      <w:r w:rsidRPr="00C6052E">
        <w:fldChar w:fldCharType="end"/>
      </w:r>
    </w:p>
    <w:p w14:paraId="2D556704" w14:textId="04A8D626" w:rsidR="00EE5BB8" w:rsidRPr="00C6052E" w:rsidRDefault="00EE5BB8" w:rsidP="00EE5BB8">
      <w:pPr>
        <w:pStyle w:val="Structurepoints"/>
      </w:pPr>
      <w:r w:rsidRPr="00C6052E">
        <w:fldChar w:fldCharType="begin"/>
      </w:r>
      <w:r w:rsidRPr="00C6052E">
        <w:instrText xml:space="preserve"> REF _Ref212210447 \r \h </w:instrText>
      </w:r>
      <w:r w:rsidRPr="00C6052E">
        <w:fldChar w:fldCharType="separate"/>
      </w:r>
      <w:r w:rsidRPr="00C6052E">
        <w:t>9.6</w:t>
      </w:r>
      <w:r w:rsidRPr="00C6052E">
        <w:fldChar w:fldCharType="end"/>
      </w:r>
      <w:r w:rsidRPr="00C6052E">
        <w:tab/>
      </w:r>
      <w:r w:rsidRPr="00C6052E">
        <w:fldChar w:fldCharType="begin"/>
      </w:r>
      <w:r w:rsidRPr="00C6052E">
        <w:instrText xml:space="preserve"> REF _Ref212210447 \h </w:instrText>
      </w:r>
      <w:r w:rsidRPr="00C6052E">
        <w:fldChar w:fldCharType="separate"/>
      </w:r>
      <w:r w:rsidRPr="00C6052E">
        <w:t>Responsible</w:t>
      </w:r>
      <w:r w:rsidR="00177848" w:rsidRPr="00C6052E">
        <w:t xml:space="preserve"> </w:t>
      </w:r>
      <w:r w:rsidRPr="00C6052E">
        <w:t>persons</w:t>
      </w:r>
      <w:r w:rsidRPr="00C6052E">
        <w:fldChar w:fldCharType="end"/>
      </w:r>
    </w:p>
    <w:p w14:paraId="405DC38B" w14:textId="41938E17" w:rsidR="00EE5BB8" w:rsidRPr="00C6052E" w:rsidRDefault="00EE5BB8" w:rsidP="00EE5BB8">
      <w:pPr>
        <w:pStyle w:val="Structurepoints"/>
      </w:pPr>
      <w:r w:rsidRPr="00C6052E">
        <w:fldChar w:fldCharType="begin"/>
      </w:r>
      <w:r w:rsidRPr="00C6052E">
        <w:instrText xml:space="preserve"> REF _Ref209622353 \r \h </w:instrText>
      </w:r>
      <w:r w:rsidRPr="00C6052E">
        <w:fldChar w:fldCharType="separate"/>
      </w:r>
      <w:r w:rsidRPr="00C6052E">
        <w:t>9.7</w:t>
      </w:r>
      <w:r w:rsidRPr="00C6052E">
        <w:fldChar w:fldCharType="end"/>
      </w:r>
      <w:r w:rsidRPr="00C6052E">
        <w:tab/>
      </w:r>
      <w:r w:rsidRPr="00C6052E">
        <w:fldChar w:fldCharType="begin"/>
      </w:r>
      <w:r w:rsidRPr="00C6052E">
        <w:instrText xml:space="preserve"> REF _Ref209622353 \h </w:instrText>
      </w:r>
      <w:r w:rsidRPr="00C6052E">
        <w:fldChar w:fldCharType="separate"/>
      </w:r>
      <w:r w:rsidRPr="00C6052E">
        <w:t>Remuneration</w:t>
      </w:r>
      <w:r w:rsidR="00177848" w:rsidRPr="00C6052E">
        <w:t xml:space="preserve"> </w:t>
      </w:r>
      <w:r w:rsidRPr="00C6052E">
        <w:t>of</w:t>
      </w:r>
      <w:r w:rsidR="00177848" w:rsidRPr="00C6052E">
        <w:t xml:space="preserve"> </w:t>
      </w:r>
      <w:r w:rsidRPr="00C6052E">
        <w:t>executives</w:t>
      </w:r>
      <w:r w:rsidRPr="00C6052E">
        <w:fldChar w:fldCharType="end"/>
      </w:r>
    </w:p>
    <w:p w14:paraId="68238316" w14:textId="39BEEC6C" w:rsidR="00EE5BB8" w:rsidRPr="00C6052E" w:rsidRDefault="00EE5BB8" w:rsidP="00EE5BB8">
      <w:pPr>
        <w:pStyle w:val="Structurepoints"/>
      </w:pPr>
      <w:r w:rsidRPr="00C6052E">
        <w:fldChar w:fldCharType="begin"/>
      </w:r>
      <w:r w:rsidRPr="00C6052E">
        <w:instrText xml:space="preserve"> REF _Ref209710811 \r \h </w:instrText>
      </w:r>
      <w:r w:rsidRPr="00C6052E">
        <w:fldChar w:fldCharType="separate"/>
      </w:r>
      <w:r w:rsidRPr="00C6052E">
        <w:t>9.8</w:t>
      </w:r>
      <w:r w:rsidRPr="00C6052E">
        <w:fldChar w:fldCharType="end"/>
      </w:r>
      <w:r w:rsidRPr="00C6052E">
        <w:tab/>
      </w:r>
      <w:r w:rsidRPr="00C6052E">
        <w:fldChar w:fldCharType="begin"/>
      </w:r>
      <w:r w:rsidRPr="00C6052E">
        <w:instrText xml:space="preserve"> REF _Ref209710818 \h </w:instrText>
      </w:r>
      <w:r w:rsidRPr="00C6052E">
        <w:fldChar w:fldCharType="separate"/>
      </w:r>
      <w:r w:rsidRPr="00C6052E">
        <w:t>Related</w:t>
      </w:r>
      <w:r w:rsidR="00177848" w:rsidRPr="00C6052E">
        <w:t xml:space="preserve"> </w:t>
      </w:r>
      <w:r w:rsidRPr="00C6052E">
        <w:t>parties</w:t>
      </w:r>
      <w:r w:rsidRPr="00C6052E">
        <w:fldChar w:fldCharType="end"/>
      </w:r>
    </w:p>
    <w:p w14:paraId="3568C9CB" w14:textId="482EDB2A" w:rsidR="00EE5BB8" w:rsidRPr="00C6052E" w:rsidRDefault="00EE5BB8" w:rsidP="00EE5BB8">
      <w:pPr>
        <w:pStyle w:val="Structurepoints"/>
      </w:pPr>
      <w:r w:rsidRPr="00C6052E">
        <w:fldChar w:fldCharType="begin"/>
      </w:r>
      <w:r w:rsidRPr="00C6052E">
        <w:instrText xml:space="preserve"> REF _Ref209710829 \r \h </w:instrText>
      </w:r>
      <w:r w:rsidRPr="00C6052E">
        <w:fldChar w:fldCharType="separate"/>
      </w:r>
      <w:r w:rsidRPr="00C6052E">
        <w:t>9.9</w:t>
      </w:r>
      <w:r w:rsidRPr="00C6052E">
        <w:fldChar w:fldCharType="end"/>
      </w:r>
      <w:r w:rsidRPr="00C6052E">
        <w:tab/>
      </w:r>
      <w:r w:rsidRPr="00C6052E">
        <w:fldChar w:fldCharType="begin"/>
      </w:r>
      <w:r w:rsidRPr="00C6052E">
        <w:instrText xml:space="preserve"> REF _Ref209710829 \h </w:instrText>
      </w:r>
      <w:r w:rsidRPr="00C6052E">
        <w:fldChar w:fldCharType="separate"/>
      </w:r>
      <w:r w:rsidRPr="00C6052E">
        <w:t>Remuneration</w:t>
      </w:r>
      <w:r w:rsidR="00177848" w:rsidRPr="00C6052E">
        <w:t xml:space="preserve"> </w:t>
      </w:r>
      <w:r w:rsidRPr="00C6052E">
        <w:t>of</w:t>
      </w:r>
      <w:r w:rsidR="00177848" w:rsidRPr="00C6052E">
        <w:t xml:space="preserve"> </w:t>
      </w:r>
      <w:r w:rsidRPr="00C6052E">
        <w:t>auditors</w:t>
      </w:r>
      <w:r w:rsidRPr="00C6052E">
        <w:fldChar w:fldCharType="end"/>
      </w:r>
    </w:p>
    <w:p w14:paraId="101252AE" w14:textId="732CA70B" w:rsidR="00EE5BB8" w:rsidRPr="00C6052E" w:rsidRDefault="00EE5BB8" w:rsidP="00EE5BB8">
      <w:pPr>
        <w:pStyle w:val="Structurepoints"/>
      </w:pPr>
      <w:r w:rsidRPr="00C6052E">
        <w:fldChar w:fldCharType="begin"/>
      </w:r>
      <w:r w:rsidRPr="00C6052E">
        <w:instrText xml:space="preserve"> REF _Ref209710854 \r \h </w:instrText>
      </w:r>
      <w:r w:rsidRPr="00C6052E">
        <w:fldChar w:fldCharType="separate"/>
      </w:r>
      <w:r w:rsidRPr="00C6052E">
        <w:t>9.10</w:t>
      </w:r>
      <w:r w:rsidRPr="00C6052E">
        <w:fldChar w:fldCharType="end"/>
      </w:r>
      <w:r w:rsidRPr="00C6052E">
        <w:tab/>
      </w:r>
      <w:r w:rsidRPr="00C6052E">
        <w:fldChar w:fldCharType="begin"/>
      </w:r>
      <w:r w:rsidRPr="00C6052E">
        <w:instrText xml:space="preserve"> REF _Ref209710861 \h </w:instrText>
      </w:r>
      <w:r w:rsidRPr="00C6052E">
        <w:fldChar w:fldCharType="separate"/>
      </w:r>
      <w:r w:rsidRPr="00C6052E">
        <w:t>Subsequent</w:t>
      </w:r>
      <w:r w:rsidR="00177848" w:rsidRPr="00C6052E">
        <w:t xml:space="preserve"> </w:t>
      </w:r>
      <w:r w:rsidRPr="00C6052E">
        <w:t>events</w:t>
      </w:r>
      <w:r w:rsidRPr="00C6052E">
        <w:fldChar w:fldCharType="end"/>
      </w:r>
    </w:p>
    <w:p w14:paraId="29FAA033" w14:textId="5B732A1F" w:rsidR="00EE5BB8" w:rsidRPr="00C6052E" w:rsidRDefault="00EE5BB8" w:rsidP="00EE5BB8">
      <w:pPr>
        <w:pStyle w:val="Structurepoints"/>
      </w:pPr>
      <w:r w:rsidRPr="00C6052E">
        <w:lastRenderedPageBreak/>
        <w:fldChar w:fldCharType="begin"/>
      </w:r>
      <w:r w:rsidRPr="00C6052E">
        <w:instrText xml:space="preserve"> REF _Ref209710887 \r \h </w:instrText>
      </w:r>
      <w:r w:rsidRPr="00C6052E">
        <w:fldChar w:fldCharType="separate"/>
      </w:r>
      <w:r w:rsidRPr="00C6052E">
        <w:t>9.11</w:t>
      </w:r>
      <w:r w:rsidRPr="00C6052E">
        <w:fldChar w:fldCharType="end"/>
      </w:r>
      <w:r w:rsidRPr="00C6052E">
        <w:tab/>
      </w:r>
      <w:r w:rsidRPr="00C6052E">
        <w:fldChar w:fldCharType="begin"/>
      </w:r>
      <w:r w:rsidRPr="00C6052E">
        <w:instrText xml:space="preserve"> REF _Ref209710893 \h </w:instrText>
      </w:r>
      <w:r w:rsidRPr="00C6052E">
        <w:fldChar w:fldCharType="separate"/>
      </w:r>
      <w:r w:rsidRPr="00C6052E">
        <w:t>Other</w:t>
      </w:r>
      <w:r w:rsidR="00177848" w:rsidRPr="00C6052E">
        <w:t xml:space="preserve"> </w:t>
      </w:r>
      <w:r w:rsidRPr="00C6052E">
        <w:t>accounting</w:t>
      </w:r>
      <w:r w:rsidR="00177848" w:rsidRPr="00C6052E">
        <w:t xml:space="preserve"> </w:t>
      </w:r>
      <w:r w:rsidRPr="00C6052E">
        <w:t>policies</w:t>
      </w:r>
      <w:r w:rsidRPr="00C6052E">
        <w:fldChar w:fldCharType="end"/>
      </w:r>
    </w:p>
    <w:p w14:paraId="0EE086D8" w14:textId="3CEE1CD8" w:rsidR="00EE5BB8" w:rsidRPr="00C6052E" w:rsidRDefault="00EE5BB8" w:rsidP="00EE5BB8">
      <w:pPr>
        <w:pStyle w:val="Structurepoints"/>
      </w:pPr>
      <w:r w:rsidRPr="00C6052E">
        <w:fldChar w:fldCharType="begin"/>
      </w:r>
      <w:r w:rsidRPr="00C6052E">
        <w:instrText xml:space="preserve"> REF _Ref209710903 \r \h </w:instrText>
      </w:r>
      <w:r w:rsidRPr="00C6052E">
        <w:fldChar w:fldCharType="separate"/>
      </w:r>
      <w:r w:rsidRPr="00C6052E">
        <w:t>9.12</w:t>
      </w:r>
      <w:r w:rsidRPr="00C6052E">
        <w:fldChar w:fldCharType="end"/>
      </w:r>
      <w:r w:rsidRPr="00C6052E">
        <w:tab/>
      </w:r>
      <w:r w:rsidRPr="00C6052E">
        <w:fldChar w:fldCharType="begin"/>
      </w:r>
      <w:r w:rsidRPr="00C6052E">
        <w:instrText xml:space="preserve"> REF _Ref209710910 \h </w:instrText>
      </w:r>
      <w:r w:rsidRPr="00C6052E">
        <w:fldChar w:fldCharType="separate"/>
      </w:r>
      <w:r w:rsidRPr="00C6052E">
        <w:t>Australian</w:t>
      </w:r>
      <w:r w:rsidR="00177848" w:rsidRPr="00C6052E">
        <w:t xml:space="preserve"> </w:t>
      </w:r>
      <w:r w:rsidRPr="00C6052E">
        <w:t>Accounting</w:t>
      </w:r>
      <w:r w:rsidR="00177848" w:rsidRPr="00C6052E">
        <w:t xml:space="preserve"> </w:t>
      </w:r>
      <w:r w:rsidRPr="00C6052E">
        <w:t>Standards</w:t>
      </w:r>
      <w:r w:rsidR="00177848" w:rsidRPr="00C6052E">
        <w:t xml:space="preserve"> </w:t>
      </w:r>
      <w:r w:rsidRPr="00C6052E">
        <w:t>(AAS)</w:t>
      </w:r>
      <w:r w:rsidR="00177848" w:rsidRPr="00C6052E">
        <w:t xml:space="preserve"> </w:t>
      </w:r>
      <w:r w:rsidRPr="00C6052E">
        <w:t>issued</w:t>
      </w:r>
      <w:r w:rsidR="00177848" w:rsidRPr="00C6052E">
        <w:t xml:space="preserve"> </w:t>
      </w:r>
      <w:r w:rsidRPr="00C6052E">
        <w:t>that</w:t>
      </w:r>
      <w:r w:rsidR="00177848" w:rsidRPr="00C6052E">
        <w:t xml:space="preserve"> </w:t>
      </w:r>
      <w:r w:rsidRPr="00C6052E">
        <w:t>are</w:t>
      </w:r>
      <w:r w:rsidR="00177848" w:rsidRPr="00C6052E">
        <w:t xml:space="preserve"> </w:t>
      </w:r>
      <w:r w:rsidRPr="00C6052E">
        <w:t>not</w:t>
      </w:r>
      <w:r w:rsidR="00177848" w:rsidRPr="00C6052E">
        <w:t xml:space="preserve"> </w:t>
      </w:r>
      <w:r w:rsidRPr="00C6052E">
        <w:t>yet</w:t>
      </w:r>
      <w:r w:rsidR="00177848" w:rsidRPr="00C6052E">
        <w:t xml:space="preserve"> </w:t>
      </w:r>
      <w:r w:rsidRPr="00C6052E">
        <w:t>effective</w:t>
      </w:r>
      <w:r w:rsidRPr="00C6052E">
        <w:fldChar w:fldCharType="end"/>
      </w:r>
    </w:p>
    <w:p w14:paraId="56A1B66D" w14:textId="79EB1358" w:rsidR="00EE5BB8" w:rsidRPr="00C6052E" w:rsidRDefault="00EE5BB8" w:rsidP="00EE5BB8">
      <w:pPr>
        <w:pStyle w:val="Structurepoints"/>
      </w:pPr>
      <w:r w:rsidRPr="00C6052E">
        <w:fldChar w:fldCharType="begin"/>
      </w:r>
      <w:r w:rsidRPr="00C6052E">
        <w:instrText xml:space="preserve"> REF _Ref209710923 \r \h </w:instrText>
      </w:r>
      <w:r w:rsidRPr="00C6052E">
        <w:fldChar w:fldCharType="separate"/>
      </w:r>
      <w:r w:rsidRPr="00C6052E">
        <w:t>9.13</w:t>
      </w:r>
      <w:r w:rsidRPr="00C6052E">
        <w:fldChar w:fldCharType="end"/>
      </w:r>
      <w:r w:rsidRPr="00C6052E">
        <w:tab/>
      </w:r>
      <w:r w:rsidRPr="00C6052E">
        <w:fldChar w:fldCharType="begin"/>
      </w:r>
      <w:r w:rsidRPr="00C6052E">
        <w:instrText xml:space="preserve"> REF _Ref209710929 \h </w:instrText>
      </w:r>
      <w:r w:rsidRPr="00C6052E">
        <w:fldChar w:fldCharType="separate"/>
      </w:r>
      <w:r w:rsidRPr="00C6052E">
        <w:t>Departmental</w:t>
      </w:r>
      <w:r w:rsidR="00177848" w:rsidRPr="00C6052E">
        <w:t xml:space="preserve"> </w:t>
      </w:r>
      <w:r w:rsidRPr="00C6052E">
        <w:t>output</w:t>
      </w:r>
      <w:r w:rsidR="00177848" w:rsidRPr="00C6052E">
        <w:t xml:space="preserve"> </w:t>
      </w:r>
      <w:r w:rsidRPr="00C6052E">
        <w:t>objectives</w:t>
      </w:r>
      <w:r w:rsidR="00177848" w:rsidRPr="00C6052E">
        <w:t xml:space="preserve"> </w:t>
      </w:r>
      <w:r w:rsidRPr="00C6052E">
        <w:t>and</w:t>
      </w:r>
      <w:r w:rsidR="00177848" w:rsidRPr="00C6052E">
        <w:t xml:space="preserve"> </w:t>
      </w:r>
      <w:r w:rsidRPr="00C6052E">
        <w:t>descriptions</w:t>
      </w:r>
      <w:r w:rsidRPr="00C6052E">
        <w:fldChar w:fldCharType="end"/>
      </w:r>
    </w:p>
    <w:p w14:paraId="14E06903" w14:textId="1F0466CB" w:rsidR="00EE5BB8" w:rsidRPr="00C6052E" w:rsidRDefault="00EE5BB8" w:rsidP="00C6052E">
      <w:pPr>
        <w:pStyle w:val="Structurepoints"/>
        <w:spacing w:after="240"/>
      </w:pPr>
      <w:r w:rsidRPr="00C6052E">
        <w:fldChar w:fldCharType="begin"/>
      </w:r>
      <w:r w:rsidRPr="00C6052E">
        <w:instrText xml:space="preserve"> REF _Ref209710940 \r \h </w:instrText>
      </w:r>
      <w:r w:rsidRPr="00C6052E">
        <w:fldChar w:fldCharType="separate"/>
      </w:r>
      <w:r w:rsidRPr="00C6052E">
        <w:t>9.14</w:t>
      </w:r>
      <w:r w:rsidRPr="00C6052E">
        <w:fldChar w:fldCharType="end"/>
      </w:r>
      <w:r w:rsidRPr="00C6052E">
        <w:tab/>
      </w:r>
      <w:r w:rsidRPr="00C6052E">
        <w:fldChar w:fldCharType="begin"/>
      </w:r>
      <w:r w:rsidRPr="00C6052E">
        <w:instrText xml:space="preserve"> REF _Ref209710947 \h </w:instrText>
      </w:r>
      <w:r w:rsidRPr="00C6052E">
        <w:fldChar w:fldCharType="separate"/>
      </w:r>
      <w:r w:rsidRPr="00C6052E">
        <w:t>Glossary</w:t>
      </w:r>
      <w:r w:rsidR="00177848" w:rsidRPr="00C6052E">
        <w:t xml:space="preserve"> </w:t>
      </w:r>
      <w:r w:rsidRPr="00C6052E">
        <w:t>of</w:t>
      </w:r>
      <w:r w:rsidR="00177848" w:rsidRPr="00C6052E">
        <w:t xml:space="preserve"> </w:t>
      </w:r>
      <w:r w:rsidRPr="00C6052E">
        <w:t>technical</w:t>
      </w:r>
      <w:r w:rsidR="00177848" w:rsidRPr="00C6052E">
        <w:t xml:space="preserve"> </w:t>
      </w:r>
      <w:r w:rsidRPr="00C6052E">
        <w:t>terms</w:t>
      </w:r>
      <w:r w:rsidRPr="00C6052E">
        <w:fldChar w:fldCharType="end"/>
      </w:r>
    </w:p>
    <w:p w14:paraId="002963C6" w14:textId="11E4E988" w:rsidR="00EE5BB8" w:rsidRPr="00C6052E" w:rsidRDefault="00EE5BB8" w:rsidP="00C6052E">
      <w:pPr>
        <w:pStyle w:val="Heading2numbered0"/>
      </w:pPr>
      <w:bookmarkStart w:id="353" w:name="_Toc163565993"/>
      <w:bookmarkStart w:id="354" w:name="_Ref209609338"/>
      <w:bookmarkEnd w:id="352"/>
      <w:r w:rsidRPr="00C6052E">
        <w:t>Ex–gratia</w:t>
      </w:r>
      <w:r w:rsidR="00177848" w:rsidRPr="00C6052E">
        <w:t xml:space="preserve"> </w:t>
      </w:r>
      <w:r w:rsidRPr="00C6052E">
        <w:t>expenses</w:t>
      </w:r>
      <w:bookmarkEnd w:id="353"/>
      <w:bookmarkEnd w:id="354"/>
    </w:p>
    <w:p w14:paraId="4EE54193" w14:textId="22E2CF60" w:rsidR="00EE5BB8" w:rsidRPr="00C6052E" w:rsidRDefault="00EE5BB8" w:rsidP="00EE5BB8">
      <w:r w:rsidRPr="00C6052E">
        <w:t>Ex–gratia</w:t>
      </w:r>
      <w:r w:rsidR="00177848" w:rsidRPr="00C6052E">
        <w:t xml:space="preserve"> </w:t>
      </w:r>
      <w:r w:rsidRPr="00C6052E">
        <w:t>expenses</w:t>
      </w:r>
      <w:r w:rsidR="00177848" w:rsidRPr="00C6052E">
        <w:t xml:space="preserve"> </w:t>
      </w:r>
      <w:r w:rsidRPr="00C6052E">
        <w:t>mean</w:t>
      </w:r>
      <w:r w:rsidR="00177848" w:rsidRPr="00C6052E">
        <w:t xml:space="preserve"> </w:t>
      </w:r>
      <w:r w:rsidRPr="00C6052E">
        <w:t>the</w:t>
      </w:r>
      <w:r w:rsidR="00177848" w:rsidRPr="00C6052E">
        <w:t xml:space="preserve"> </w:t>
      </w:r>
      <w:r w:rsidRPr="00C6052E">
        <w:t>voluntary</w:t>
      </w:r>
      <w:r w:rsidR="00177848" w:rsidRPr="00C6052E">
        <w:t xml:space="preserve"> </w:t>
      </w:r>
      <w:r w:rsidRPr="00C6052E">
        <w:t>payment</w:t>
      </w:r>
      <w:r w:rsidR="00177848" w:rsidRPr="00C6052E">
        <w:t xml:space="preserve"> </w:t>
      </w:r>
      <w:r w:rsidRPr="00C6052E">
        <w:t>of</w:t>
      </w:r>
      <w:r w:rsidR="00177848" w:rsidRPr="00C6052E">
        <w:t xml:space="preserve"> </w:t>
      </w:r>
      <w:r w:rsidRPr="00C6052E">
        <w:t>money</w:t>
      </w:r>
      <w:r w:rsidR="00177848" w:rsidRPr="00C6052E">
        <w:t xml:space="preserve"> </w:t>
      </w:r>
      <w:r w:rsidRPr="00C6052E">
        <w:t>or</w:t>
      </w:r>
      <w:r w:rsidR="00177848" w:rsidRPr="00C6052E">
        <w:t xml:space="preserve"> </w:t>
      </w:r>
      <w:r w:rsidRPr="00C6052E">
        <w:t>other</w:t>
      </w:r>
      <w:r w:rsidR="00177848" w:rsidRPr="00C6052E">
        <w:t xml:space="preserve"> </w:t>
      </w:r>
      <w:r w:rsidRPr="00C6052E">
        <w:t>non–monetary</w:t>
      </w:r>
      <w:r w:rsidR="00177848" w:rsidRPr="00C6052E">
        <w:t xml:space="preserve"> </w:t>
      </w:r>
      <w:r w:rsidRPr="00C6052E">
        <w:t>benefit</w:t>
      </w:r>
      <w:r w:rsidR="00177848" w:rsidRPr="00C6052E">
        <w:t xml:space="preserve"> </w:t>
      </w:r>
      <w:r w:rsidRPr="00C6052E">
        <w:t>(e.g.</w:t>
      </w:r>
      <w:r w:rsidR="00177848" w:rsidRPr="00C6052E">
        <w:t xml:space="preserve"> </w:t>
      </w:r>
      <w:r w:rsidRPr="00C6052E">
        <w:t>a</w:t>
      </w:r>
      <w:r w:rsidR="00177848" w:rsidRPr="00C6052E">
        <w:t xml:space="preserve"> </w:t>
      </w:r>
      <w:r w:rsidRPr="00C6052E">
        <w:t>write</w:t>
      </w:r>
      <w:r w:rsidR="00177848" w:rsidRPr="00C6052E">
        <w:t xml:space="preserve"> </w:t>
      </w:r>
      <w:r w:rsidRPr="00C6052E">
        <w:t>off)</w:t>
      </w:r>
      <w:r w:rsidR="00177848" w:rsidRPr="00C6052E">
        <w:t xml:space="preserve"> </w:t>
      </w:r>
      <w:r w:rsidRPr="00C6052E">
        <w:t>that</w:t>
      </w:r>
      <w:r w:rsidR="00177848" w:rsidRPr="00C6052E">
        <w:t xml:space="preserve"> </w:t>
      </w:r>
      <w:r w:rsidRPr="00C6052E">
        <w:t>is</w:t>
      </w:r>
      <w:r w:rsidR="00177848" w:rsidRPr="00C6052E">
        <w:t xml:space="preserve"> </w:t>
      </w:r>
      <w:r w:rsidRPr="00C6052E">
        <w:t>not</w:t>
      </w:r>
      <w:r w:rsidR="00177848" w:rsidRPr="00C6052E">
        <w:t xml:space="preserve"> </w:t>
      </w:r>
      <w:r w:rsidRPr="00C6052E">
        <w:t>made</w:t>
      </w:r>
      <w:r w:rsidR="00177848" w:rsidRPr="00C6052E">
        <w:t xml:space="preserve"> </w:t>
      </w:r>
      <w:r w:rsidRPr="00C6052E">
        <w:t>either</w:t>
      </w:r>
      <w:r w:rsidR="00177848" w:rsidRPr="00C6052E">
        <w:t xml:space="preserve"> </w:t>
      </w:r>
      <w:r w:rsidRPr="00C6052E">
        <w:t>to</w:t>
      </w:r>
      <w:r w:rsidR="00177848" w:rsidRPr="00C6052E">
        <w:t xml:space="preserve"> </w:t>
      </w:r>
      <w:r w:rsidRPr="00C6052E">
        <w:t>acquire</w:t>
      </w:r>
      <w:r w:rsidR="00177848" w:rsidRPr="00C6052E">
        <w:t xml:space="preserve"> </w:t>
      </w:r>
      <w:r w:rsidRPr="00C6052E">
        <w:t>goods,</w:t>
      </w:r>
      <w:r w:rsidR="00177848" w:rsidRPr="00C6052E">
        <w:t xml:space="preserve"> </w:t>
      </w:r>
      <w:r w:rsidRPr="00C6052E">
        <w:t>services</w:t>
      </w:r>
      <w:r w:rsidR="00177848" w:rsidRPr="00C6052E">
        <w:t xml:space="preserve"> </w:t>
      </w:r>
      <w:r w:rsidRPr="00C6052E">
        <w:t>or</w:t>
      </w:r>
      <w:r w:rsidR="00177848" w:rsidRPr="00C6052E">
        <w:t xml:space="preserve"> </w:t>
      </w:r>
      <w:r w:rsidRPr="00C6052E">
        <w:t>other</w:t>
      </w:r>
      <w:r w:rsidR="00177848" w:rsidRPr="00C6052E">
        <w:t xml:space="preserve"> </w:t>
      </w:r>
      <w:r w:rsidRPr="00C6052E">
        <w:t>benefits</w:t>
      </w:r>
      <w:r w:rsidR="00177848" w:rsidRPr="00C6052E">
        <w:t xml:space="preserve"> </w:t>
      </w:r>
      <w:r w:rsidRPr="00C6052E">
        <w:t>for</w:t>
      </w:r>
      <w:r w:rsidR="00177848" w:rsidRPr="00C6052E">
        <w:t xml:space="preserve"> </w:t>
      </w:r>
      <w:r w:rsidRPr="00C6052E">
        <w:t>the</w:t>
      </w:r>
      <w:r w:rsidR="00177848" w:rsidRPr="00C6052E">
        <w:t xml:space="preserve"> </w:t>
      </w:r>
      <w:r w:rsidRPr="00C6052E">
        <w:t>entity</w:t>
      </w:r>
      <w:r w:rsidR="00177848" w:rsidRPr="00C6052E">
        <w:t xml:space="preserve"> </w:t>
      </w:r>
      <w:r w:rsidRPr="00C6052E">
        <w:t>or</w:t>
      </w:r>
      <w:r w:rsidR="00177848" w:rsidRPr="00C6052E">
        <w:t xml:space="preserve"> </w:t>
      </w:r>
      <w:r w:rsidRPr="00C6052E">
        <w:t>to</w:t>
      </w:r>
      <w:r w:rsidR="00177848" w:rsidRPr="00C6052E">
        <w:t xml:space="preserve"> </w:t>
      </w:r>
      <w:r w:rsidRPr="00C6052E">
        <w:t>meet</w:t>
      </w:r>
      <w:r w:rsidR="00177848" w:rsidRPr="00C6052E">
        <w:t xml:space="preserve"> </w:t>
      </w:r>
      <w:r w:rsidRPr="00C6052E">
        <w:t>a</w:t>
      </w:r>
      <w:r w:rsidR="00177848" w:rsidRPr="00C6052E">
        <w:t xml:space="preserve"> </w:t>
      </w:r>
      <w:r w:rsidRPr="00C6052E">
        <w:t>legal</w:t>
      </w:r>
      <w:r w:rsidR="00177848" w:rsidRPr="00C6052E">
        <w:t xml:space="preserve"> </w:t>
      </w:r>
      <w:r w:rsidRPr="00C6052E">
        <w:t>liability,</w:t>
      </w:r>
      <w:r w:rsidR="00177848" w:rsidRPr="00C6052E">
        <w:t xml:space="preserve"> </w:t>
      </w:r>
      <w:r w:rsidRPr="00C6052E">
        <w:t>or</w:t>
      </w:r>
      <w:r w:rsidR="00177848" w:rsidRPr="00C6052E">
        <w:t xml:space="preserve"> </w:t>
      </w:r>
      <w:r w:rsidRPr="00C6052E">
        <w:t>to</w:t>
      </w:r>
      <w:r w:rsidR="00177848" w:rsidRPr="00C6052E">
        <w:t xml:space="preserve"> </w:t>
      </w:r>
      <w:r w:rsidRPr="00C6052E">
        <w:t>settle</w:t>
      </w:r>
      <w:r w:rsidR="00177848" w:rsidRPr="00C6052E">
        <w:t xml:space="preserve"> </w:t>
      </w:r>
      <w:r w:rsidRPr="00C6052E">
        <w:t>or</w:t>
      </w:r>
      <w:r w:rsidR="00177848" w:rsidRPr="00C6052E">
        <w:t xml:space="preserve"> </w:t>
      </w:r>
      <w:r w:rsidRPr="00C6052E">
        <w:t>resolve</w:t>
      </w:r>
      <w:r w:rsidR="00177848" w:rsidRPr="00C6052E">
        <w:t xml:space="preserve"> </w:t>
      </w:r>
      <w:r w:rsidRPr="00C6052E">
        <w:t>a</w:t>
      </w:r>
      <w:r w:rsidR="00177848" w:rsidRPr="00C6052E">
        <w:t xml:space="preserve"> </w:t>
      </w:r>
      <w:r w:rsidRPr="00C6052E">
        <w:t>possible</w:t>
      </w:r>
      <w:r w:rsidR="00177848" w:rsidRPr="00C6052E">
        <w:t xml:space="preserve"> </w:t>
      </w:r>
      <w:r w:rsidRPr="00C6052E">
        <w:t>legal</w:t>
      </w:r>
      <w:r w:rsidR="00177848" w:rsidRPr="00C6052E">
        <w:t xml:space="preserve"> </w:t>
      </w:r>
      <w:r w:rsidRPr="00C6052E">
        <w:t>liability</w:t>
      </w:r>
      <w:r w:rsidR="00177848" w:rsidRPr="00C6052E">
        <w:t xml:space="preserve"> </w:t>
      </w:r>
      <w:r w:rsidRPr="00C6052E">
        <w:t>or</w:t>
      </w:r>
      <w:r w:rsidR="00177848" w:rsidRPr="00C6052E">
        <w:t xml:space="preserve"> </w:t>
      </w:r>
      <w:r w:rsidRPr="00C6052E">
        <w:t>claim</w:t>
      </w:r>
      <w:r w:rsidR="00177848" w:rsidRPr="00C6052E">
        <w:t xml:space="preserve"> </w:t>
      </w:r>
      <w:r w:rsidRPr="00C6052E">
        <w:t>against</w:t>
      </w:r>
      <w:r w:rsidR="00177848" w:rsidRPr="00C6052E">
        <w:t xml:space="preserve"> </w:t>
      </w:r>
      <w:r w:rsidRPr="00C6052E">
        <w:t>the</w:t>
      </w:r>
      <w:r w:rsidR="00177848" w:rsidRPr="00C6052E">
        <w:t xml:space="preserve"> </w:t>
      </w:r>
      <w:r w:rsidRPr="00C6052E">
        <w:t>entity.</w:t>
      </w:r>
      <w:r w:rsidR="00177848" w:rsidRPr="00C6052E">
        <w:t xml:space="preserve"> </w:t>
      </w:r>
      <w:r w:rsidRPr="00C6052E">
        <w:t>Ex–gratia</w:t>
      </w:r>
      <w:r w:rsidR="00177848" w:rsidRPr="00C6052E">
        <w:t xml:space="preserve"> </w:t>
      </w:r>
      <w:r w:rsidRPr="00C6052E">
        <w:t>expenses</w:t>
      </w:r>
      <w:r w:rsidR="00177848" w:rsidRPr="00C6052E">
        <w:t xml:space="preserve"> </w:t>
      </w:r>
      <w:r w:rsidRPr="00C6052E">
        <w:t>are</w:t>
      </w:r>
      <w:r w:rsidR="00177848" w:rsidRPr="00C6052E">
        <w:t xml:space="preserve"> </w:t>
      </w:r>
      <w:r w:rsidRPr="00C6052E">
        <w:t>included</w:t>
      </w:r>
      <w:r w:rsidR="00177848" w:rsidRPr="00C6052E">
        <w:t xml:space="preserve"> </w:t>
      </w:r>
      <w:r w:rsidRPr="00C6052E">
        <w:t>in</w:t>
      </w:r>
      <w:r w:rsidR="00177848" w:rsidRPr="00C6052E">
        <w:t xml:space="preserve"> </w:t>
      </w:r>
      <w:r w:rsidRPr="00C6052E">
        <w:t>Note</w:t>
      </w:r>
      <w:r w:rsidR="00177848" w:rsidRPr="00C6052E">
        <w:t xml:space="preserve"> </w:t>
      </w:r>
      <w:r w:rsidRPr="00C6052E">
        <w:fldChar w:fldCharType="begin"/>
      </w:r>
      <w:r w:rsidRPr="00C6052E">
        <w:instrText xml:space="preserve"> REF _Ref209609226 \r \h </w:instrText>
      </w:r>
      <w:r w:rsidRPr="00C6052E">
        <w:fldChar w:fldCharType="separate"/>
      </w:r>
      <w:r w:rsidRPr="00C6052E">
        <w:t>3.4</w:t>
      </w:r>
      <w:r w:rsidRPr="00C6052E">
        <w:fldChar w:fldCharType="end"/>
      </w:r>
      <w:r w:rsidRPr="00C6052E">
        <w:t>.</w:t>
      </w:r>
    </w:p>
    <w:tbl>
      <w:tblPr>
        <w:tblStyle w:val="TableGrid"/>
        <w:tblW w:w="6941" w:type="dxa"/>
        <w:tblLayout w:type="fixed"/>
        <w:tblLook w:val="04E0" w:firstRow="1" w:lastRow="1" w:firstColumn="1" w:lastColumn="0" w:noHBand="0" w:noVBand="1"/>
      </w:tblPr>
      <w:tblGrid>
        <w:gridCol w:w="3823"/>
        <w:gridCol w:w="1559"/>
        <w:gridCol w:w="1559"/>
      </w:tblGrid>
      <w:tr w:rsidR="00EE5BB8" w:rsidRPr="00C6052E" w14:paraId="3E16C15A" w14:textId="77777777" w:rsidTr="00193B39">
        <w:tc>
          <w:tcPr>
            <w:tcW w:w="3823" w:type="dxa"/>
            <w:noWrap/>
            <w:hideMark/>
          </w:tcPr>
          <w:p w14:paraId="12793C09" w14:textId="5EED1C5D" w:rsidR="00EE5BB8" w:rsidRPr="00C6052E" w:rsidRDefault="00EE5BB8" w:rsidP="00B1545C">
            <w:pPr>
              <w:pStyle w:val="TableColumnHeading"/>
              <w:rPr>
                <w:lang w:val="en-AU"/>
              </w:rPr>
            </w:pPr>
            <w:bookmarkStart w:id="355" w:name="TableColumnHeadings_104"/>
            <w:bookmarkEnd w:id="355"/>
          </w:p>
        </w:tc>
        <w:tc>
          <w:tcPr>
            <w:tcW w:w="1559" w:type="dxa"/>
            <w:hideMark/>
          </w:tcPr>
          <w:p w14:paraId="5000D23A" w14:textId="7E17D727" w:rsidR="00EE5BB8" w:rsidRPr="00C6052E" w:rsidRDefault="00EE5BB8" w:rsidP="00193B39">
            <w:pPr>
              <w:pStyle w:val="TableColumnHeading"/>
              <w:jc w:val="right"/>
            </w:pPr>
            <w:r w:rsidRPr="00C6052E">
              <w:t>2025</w:t>
            </w:r>
            <w:r w:rsidR="00193B39">
              <w:br/>
            </w:r>
            <w:r w:rsidR="00193B39" w:rsidRPr="00C6052E">
              <w:rPr>
                <w:lang w:val="en-AU"/>
              </w:rPr>
              <w:t>($ thousand)</w:t>
            </w:r>
          </w:p>
        </w:tc>
        <w:tc>
          <w:tcPr>
            <w:tcW w:w="1559" w:type="dxa"/>
            <w:hideMark/>
          </w:tcPr>
          <w:p w14:paraId="4A8DD44F" w14:textId="28698775" w:rsidR="00EE5BB8" w:rsidRPr="00C6052E" w:rsidRDefault="00EE5BB8" w:rsidP="00193B39">
            <w:pPr>
              <w:pStyle w:val="TableColumnHeading"/>
              <w:jc w:val="right"/>
            </w:pPr>
            <w:r w:rsidRPr="00C6052E">
              <w:t>2024</w:t>
            </w:r>
            <w:r w:rsidR="00193B39">
              <w:br/>
            </w:r>
            <w:r w:rsidR="00193B39" w:rsidRPr="00C6052E">
              <w:rPr>
                <w:lang w:val="en-AU"/>
              </w:rPr>
              <w:t>($ thousand)</w:t>
            </w:r>
          </w:p>
        </w:tc>
      </w:tr>
      <w:tr w:rsidR="00EE5BB8" w:rsidRPr="00C6052E" w14:paraId="27311576" w14:textId="77777777" w:rsidTr="00193B39">
        <w:tc>
          <w:tcPr>
            <w:tcW w:w="3823" w:type="dxa"/>
            <w:hideMark/>
          </w:tcPr>
          <w:p w14:paraId="0A046DB2" w14:textId="4429E675" w:rsidR="00EE5BB8" w:rsidRPr="00C6052E" w:rsidRDefault="00EE5BB8" w:rsidP="0063097D">
            <w:pPr>
              <w:pStyle w:val="TableCopy"/>
            </w:pPr>
            <w:r w:rsidRPr="00C6052E">
              <w:t>Forgiveness</w:t>
            </w:r>
            <w:r w:rsidR="00177848" w:rsidRPr="00C6052E">
              <w:t xml:space="preserve"> </w:t>
            </w:r>
            <w:r w:rsidRPr="00C6052E">
              <w:t>or</w:t>
            </w:r>
            <w:r w:rsidR="00177848" w:rsidRPr="00C6052E">
              <w:t xml:space="preserve"> </w:t>
            </w:r>
            <w:r w:rsidRPr="00C6052E">
              <w:t>waiver</w:t>
            </w:r>
            <w:r w:rsidR="00177848" w:rsidRPr="00C6052E">
              <w:t xml:space="preserve"> </w:t>
            </w:r>
            <w:r w:rsidRPr="00C6052E">
              <w:t>of</w:t>
            </w:r>
            <w:r w:rsidR="00177848" w:rsidRPr="00C6052E">
              <w:t xml:space="preserve"> </w:t>
            </w:r>
            <w:r w:rsidRPr="00C6052E">
              <w:t>liability</w:t>
            </w:r>
            <w:r w:rsidRPr="00C6052E">
              <w:rPr>
                <w:vertAlign w:val="superscript"/>
              </w:rPr>
              <w:t>(i)</w:t>
            </w:r>
          </w:p>
        </w:tc>
        <w:tc>
          <w:tcPr>
            <w:tcW w:w="1559" w:type="dxa"/>
            <w:noWrap/>
            <w:hideMark/>
          </w:tcPr>
          <w:p w14:paraId="66F0EA87" w14:textId="77777777" w:rsidR="00EE5BB8" w:rsidRPr="00C6052E" w:rsidRDefault="00EE5BB8" w:rsidP="00193B39">
            <w:pPr>
              <w:pStyle w:val="TableCopy"/>
              <w:jc w:val="right"/>
            </w:pPr>
            <w:r w:rsidRPr="00C6052E">
              <w:t>75,360</w:t>
            </w:r>
          </w:p>
        </w:tc>
        <w:tc>
          <w:tcPr>
            <w:tcW w:w="1559" w:type="dxa"/>
            <w:noWrap/>
            <w:hideMark/>
          </w:tcPr>
          <w:p w14:paraId="436224F8" w14:textId="77777777" w:rsidR="00EE5BB8" w:rsidRPr="00C6052E" w:rsidRDefault="00EE5BB8" w:rsidP="00193B39">
            <w:pPr>
              <w:pStyle w:val="TableCopy"/>
              <w:jc w:val="right"/>
            </w:pPr>
            <w:r w:rsidRPr="00C6052E">
              <w:t>3,644</w:t>
            </w:r>
          </w:p>
        </w:tc>
      </w:tr>
      <w:tr w:rsidR="00EE5BB8" w:rsidRPr="00C6052E" w14:paraId="62AE3EA4" w14:textId="77777777" w:rsidTr="00193B39">
        <w:tc>
          <w:tcPr>
            <w:tcW w:w="3823" w:type="dxa"/>
            <w:hideMark/>
          </w:tcPr>
          <w:p w14:paraId="211121C4" w14:textId="77777777" w:rsidR="00EE5BB8" w:rsidRPr="00C6052E" w:rsidRDefault="00EE5BB8" w:rsidP="0063097D">
            <w:pPr>
              <w:pStyle w:val="TableCopy"/>
            </w:pPr>
            <w:r w:rsidRPr="00C6052E">
              <w:t>Other</w:t>
            </w:r>
          </w:p>
        </w:tc>
        <w:tc>
          <w:tcPr>
            <w:tcW w:w="1559" w:type="dxa"/>
            <w:noWrap/>
            <w:hideMark/>
          </w:tcPr>
          <w:p w14:paraId="29492423" w14:textId="77777777" w:rsidR="00EE5BB8" w:rsidRPr="00C6052E" w:rsidRDefault="00EE5BB8" w:rsidP="00193B39">
            <w:pPr>
              <w:pStyle w:val="TableCopy"/>
              <w:jc w:val="right"/>
            </w:pPr>
            <w:r w:rsidRPr="00C6052E">
              <w:t>–</w:t>
            </w:r>
          </w:p>
        </w:tc>
        <w:tc>
          <w:tcPr>
            <w:tcW w:w="1559" w:type="dxa"/>
            <w:noWrap/>
            <w:hideMark/>
          </w:tcPr>
          <w:p w14:paraId="75FC1493" w14:textId="77777777" w:rsidR="00EE5BB8" w:rsidRPr="00C6052E" w:rsidRDefault="00EE5BB8" w:rsidP="00193B39">
            <w:pPr>
              <w:pStyle w:val="TableCopy"/>
              <w:jc w:val="right"/>
            </w:pPr>
            <w:r w:rsidRPr="00C6052E">
              <w:t>67</w:t>
            </w:r>
          </w:p>
        </w:tc>
      </w:tr>
      <w:tr w:rsidR="00EE5BB8" w:rsidRPr="00C6052E" w14:paraId="25D27AD0" w14:textId="77777777" w:rsidTr="00193B39">
        <w:tc>
          <w:tcPr>
            <w:tcW w:w="3823" w:type="dxa"/>
            <w:hideMark/>
          </w:tcPr>
          <w:p w14:paraId="51A60181" w14:textId="1B897700" w:rsidR="00EE5BB8" w:rsidRPr="00C6052E" w:rsidRDefault="00EE5BB8" w:rsidP="0063097D">
            <w:pPr>
              <w:pStyle w:val="Tabletotal"/>
            </w:pPr>
            <w:r w:rsidRPr="00C6052E">
              <w:t>Total</w:t>
            </w:r>
            <w:r w:rsidR="00177848" w:rsidRPr="00C6052E">
              <w:t xml:space="preserve"> </w:t>
            </w:r>
            <w:r w:rsidRPr="00C6052E">
              <w:t>ex–gratia</w:t>
            </w:r>
            <w:r w:rsidR="00177848" w:rsidRPr="00C6052E">
              <w:t xml:space="preserve"> </w:t>
            </w:r>
            <w:r w:rsidRPr="00C6052E">
              <w:t>expenses</w:t>
            </w:r>
            <w:r w:rsidRPr="00C6052E">
              <w:rPr>
                <w:vertAlign w:val="superscript"/>
              </w:rPr>
              <w:t>(ii)</w:t>
            </w:r>
          </w:p>
        </w:tc>
        <w:tc>
          <w:tcPr>
            <w:tcW w:w="1559" w:type="dxa"/>
            <w:noWrap/>
            <w:hideMark/>
          </w:tcPr>
          <w:p w14:paraId="6894893A" w14:textId="77777777" w:rsidR="00EE5BB8" w:rsidRPr="00C6052E" w:rsidRDefault="00EE5BB8" w:rsidP="00193B39">
            <w:pPr>
              <w:pStyle w:val="Tabletotal"/>
              <w:jc w:val="right"/>
            </w:pPr>
            <w:r w:rsidRPr="00C6052E">
              <w:t>75,360</w:t>
            </w:r>
          </w:p>
        </w:tc>
        <w:tc>
          <w:tcPr>
            <w:tcW w:w="1559" w:type="dxa"/>
            <w:noWrap/>
            <w:hideMark/>
          </w:tcPr>
          <w:p w14:paraId="25616E55" w14:textId="77777777" w:rsidR="00EE5BB8" w:rsidRPr="00C6052E" w:rsidRDefault="00EE5BB8" w:rsidP="00193B39">
            <w:pPr>
              <w:pStyle w:val="Tabletotal"/>
              <w:jc w:val="right"/>
            </w:pPr>
            <w:r w:rsidRPr="00C6052E">
              <w:t>3,711</w:t>
            </w:r>
          </w:p>
        </w:tc>
      </w:tr>
    </w:tbl>
    <w:p w14:paraId="16BE3F6D" w14:textId="4E3D60A6" w:rsidR="00EE5BB8" w:rsidRPr="00C6052E" w:rsidRDefault="00EE5BB8" w:rsidP="00EE5BB8">
      <w:pPr>
        <w:pStyle w:val="Tablenotes-numbered"/>
        <w:numPr>
          <w:ilvl w:val="0"/>
          <w:numId w:val="37"/>
        </w:numPr>
      </w:pPr>
      <w:r w:rsidRPr="00C6052E">
        <w:t>Ex–gratia</w:t>
      </w:r>
      <w:r w:rsidR="00177848" w:rsidRPr="00C6052E">
        <w:t xml:space="preserve"> </w:t>
      </w:r>
      <w:r w:rsidRPr="00C6052E">
        <w:t>payments</w:t>
      </w:r>
      <w:r w:rsidR="00177848" w:rsidRPr="00C6052E">
        <w:t xml:space="preserve"> </w:t>
      </w:r>
      <w:r w:rsidRPr="00C6052E">
        <w:t>primarily</w:t>
      </w:r>
      <w:r w:rsidR="00177848" w:rsidRPr="00C6052E">
        <w:t xml:space="preserve"> </w:t>
      </w:r>
      <w:r w:rsidRPr="00C6052E">
        <w:t>consist</w:t>
      </w:r>
      <w:r w:rsidR="00177848" w:rsidRPr="00C6052E">
        <w:t xml:space="preserve"> </w:t>
      </w:r>
      <w:r w:rsidRPr="00C6052E">
        <w:t>of</w:t>
      </w:r>
      <w:r w:rsidR="00177848" w:rsidRPr="00C6052E">
        <w:t xml:space="preserve"> </w:t>
      </w:r>
      <w:r w:rsidRPr="00C6052E">
        <w:t>COVID–19</w:t>
      </w:r>
      <w:r w:rsidR="00177848" w:rsidRPr="00C6052E">
        <w:t xml:space="preserve"> </w:t>
      </w:r>
      <w:r w:rsidRPr="00C6052E">
        <w:t>and</w:t>
      </w:r>
      <w:r w:rsidR="00177848" w:rsidRPr="00C6052E">
        <w:t xml:space="preserve"> </w:t>
      </w:r>
      <w:r w:rsidRPr="00C6052E">
        <w:t>flood</w:t>
      </w:r>
      <w:r w:rsidR="00177848" w:rsidRPr="00C6052E">
        <w:t xml:space="preserve"> </w:t>
      </w:r>
      <w:r w:rsidRPr="00C6052E">
        <w:t>grants</w:t>
      </w:r>
      <w:r w:rsidR="00177848" w:rsidRPr="00C6052E">
        <w:t xml:space="preserve"> </w:t>
      </w:r>
      <w:r w:rsidRPr="00C6052E">
        <w:t>that</w:t>
      </w:r>
      <w:r w:rsidR="00177848" w:rsidRPr="00C6052E">
        <w:t xml:space="preserve"> </w:t>
      </w:r>
      <w:r w:rsidRPr="00C6052E">
        <w:t>were</w:t>
      </w:r>
      <w:r w:rsidR="00177848" w:rsidRPr="00C6052E">
        <w:t xml:space="preserve"> </w:t>
      </w:r>
      <w:r w:rsidRPr="00C6052E">
        <w:t>paid</w:t>
      </w:r>
      <w:r w:rsidR="00177848" w:rsidRPr="00C6052E">
        <w:t xml:space="preserve"> </w:t>
      </w:r>
      <w:r w:rsidRPr="00C6052E">
        <w:t>in</w:t>
      </w:r>
      <w:r w:rsidR="00177848" w:rsidRPr="00C6052E">
        <w:t xml:space="preserve"> </w:t>
      </w:r>
      <w:r w:rsidRPr="00C6052E">
        <w:t>error</w:t>
      </w:r>
      <w:r w:rsidR="00177848" w:rsidRPr="00C6052E">
        <w:t xml:space="preserve"> </w:t>
      </w:r>
      <w:r w:rsidRPr="00C6052E">
        <w:t>in</w:t>
      </w:r>
      <w:r w:rsidR="00177848" w:rsidRPr="00C6052E">
        <w:t xml:space="preserve"> </w:t>
      </w:r>
      <w:r w:rsidRPr="00C6052E">
        <w:t>a</w:t>
      </w:r>
      <w:r w:rsidR="00177848" w:rsidRPr="00C6052E">
        <w:t xml:space="preserve"> </w:t>
      </w:r>
      <w:r w:rsidRPr="00C6052E">
        <w:t>prior</w:t>
      </w:r>
      <w:r w:rsidR="00177848" w:rsidRPr="00C6052E">
        <w:t xml:space="preserve"> </w:t>
      </w:r>
      <w:r w:rsidRPr="00C6052E">
        <w:t>period</w:t>
      </w:r>
      <w:r w:rsidR="00177848" w:rsidRPr="00C6052E">
        <w:t xml:space="preserve"> </w:t>
      </w:r>
      <w:r w:rsidRPr="00C6052E">
        <w:t>and</w:t>
      </w:r>
      <w:r w:rsidR="00177848" w:rsidRPr="00C6052E">
        <w:t xml:space="preserve"> </w:t>
      </w:r>
      <w:r w:rsidRPr="00C6052E">
        <w:t>have</w:t>
      </w:r>
      <w:r w:rsidR="00177848" w:rsidRPr="00C6052E">
        <w:t xml:space="preserve"> </w:t>
      </w:r>
      <w:r w:rsidRPr="00C6052E">
        <w:t>been</w:t>
      </w:r>
      <w:r w:rsidR="00177848" w:rsidRPr="00C6052E">
        <w:t xml:space="preserve"> </w:t>
      </w:r>
      <w:r w:rsidRPr="00C6052E">
        <w:t>written</w:t>
      </w:r>
      <w:r w:rsidR="00177848" w:rsidRPr="00C6052E">
        <w:t xml:space="preserve"> </w:t>
      </w:r>
      <w:r w:rsidRPr="00C6052E">
        <w:t>off</w:t>
      </w:r>
      <w:r w:rsidR="00177848" w:rsidRPr="00C6052E">
        <w:t xml:space="preserve"> </w:t>
      </w:r>
      <w:r w:rsidRPr="00C6052E">
        <w:t>as</w:t>
      </w:r>
      <w:r w:rsidR="00177848" w:rsidRPr="00C6052E">
        <w:t xml:space="preserve"> </w:t>
      </w:r>
      <w:r w:rsidRPr="00C6052E">
        <w:t>there</w:t>
      </w:r>
      <w:r w:rsidR="00177848" w:rsidRPr="00C6052E">
        <w:t xml:space="preserve"> </w:t>
      </w:r>
      <w:r w:rsidRPr="00C6052E">
        <w:t>is</w:t>
      </w:r>
      <w:r w:rsidR="00177848" w:rsidRPr="00C6052E">
        <w:t xml:space="preserve"> </w:t>
      </w:r>
      <w:r w:rsidRPr="00C6052E">
        <w:t>little</w:t>
      </w:r>
      <w:r w:rsidR="00177848" w:rsidRPr="00C6052E">
        <w:t xml:space="preserve"> </w:t>
      </w:r>
      <w:r w:rsidRPr="00C6052E">
        <w:t>likelihood</w:t>
      </w:r>
      <w:r w:rsidR="00177848" w:rsidRPr="00C6052E">
        <w:t xml:space="preserve"> </w:t>
      </w:r>
      <w:r w:rsidRPr="00C6052E">
        <w:t>of</w:t>
      </w:r>
      <w:r w:rsidR="00177848" w:rsidRPr="00C6052E">
        <w:t xml:space="preserve"> </w:t>
      </w:r>
      <w:r w:rsidRPr="00C6052E">
        <w:t>recovery.</w:t>
      </w:r>
    </w:p>
    <w:p w14:paraId="1B94057A" w14:textId="5D4069AE" w:rsidR="00EE5BB8" w:rsidRPr="00C6052E" w:rsidRDefault="00EE5BB8" w:rsidP="00EE5BB8">
      <w:pPr>
        <w:pStyle w:val="Tablenotes-numbered"/>
        <w:numPr>
          <w:ilvl w:val="0"/>
          <w:numId w:val="37"/>
        </w:numPr>
      </w:pPr>
      <w:r w:rsidRPr="00C6052E">
        <w:t>This</w:t>
      </w:r>
      <w:r w:rsidR="00177848" w:rsidRPr="00C6052E">
        <w:t xml:space="preserve"> </w:t>
      </w:r>
      <w:r w:rsidRPr="00C6052E">
        <w:t>includes</w:t>
      </w:r>
      <w:r w:rsidR="00177848" w:rsidRPr="00C6052E">
        <w:t xml:space="preserve"> </w:t>
      </w:r>
      <w:r w:rsidRPr="00C6052E">
        <w:t>ex–gratia</w:t>
      </w:r>
      <w:r w:rsidR="00177848" w:rsidRPr="00C6052E">
        <w:t xml:space="preserve"> </w:t>
      </w:r>
      <w:r w:rsidRPr="00C6052E">
        <w:t>expenses</w:t>
      </w:r>
      <w:r w:rsidR="00177848" w:rsidRPr="00C6052E">
        <w:t xml:space="preserve"> </w:t>
      </w:r>
      <w:r w:rsidRPr="00C6052E">
        <w:t>that</w:t>
      </w:r>
      <w:r w:rsidR="00177848" w:rsidRPr="00C6052E">
        <w:t xml:space="preserve"> </w:t>
      </w:r>
      <w:r w:rsidRPr="00C6052E">
        <w:t>are</w:t>
      </w:r>
      <w:r w:rsidR="00177848" w:rsidRPr="00C6052E">
        <w:t xml:space="preserve"> </w:t>
      </w:r>
      <w:r w:rsidRPr="00C6052E">
        <w:t>disclosed</w:t>
      </w:r>
      <w:r w:rsidR="00177848" w:rsidRPr="00C6052E">
        <w:t xml:space="preserve"> </w:t>
      </w:r>
      <w:r w:rsidRPr="00C6052E">
        <w:t>in</w:t>
      </w:r>
      <w:r w:rsidR="00177848" w:rsidRPr="00C6052E">
        <w:t xml:space="preserve"> </w:t>
      </w:r>
      <w:r w:rsidRPr="00C6052E">
        <w:t>Note</w:t>
      </w:r>
      <w:r w:rsidR="00177848" w:rsidRPr="00C6052E">
        <w:t xml:space="preserve"> </w:t>
      </w:r>
      <w:r w:rsidRPr="00C6052E">
        <w:fldChar w:fldCharType="begin"/>
      </w:r>
      <w:r w:rsidRPr="00C6052E">
        <w:instrText xml:space="preserve"> REF _Ref209609226 \r \h  \* MERGEFORMAT </w:instrText>
      </w:r>
      <w:r w:rsidRPr="00C6052E">
        <w:fldChar w:fldCharType="separate"/>
      </w:r>
      <w:r w:rsidRPr="00C6052E">
        <w:t>3.4</w:t>
      </w:r>
      <w:r w:rsidRPr="00C6052E">
        <w:fldChar w:fldCharType="end"/>
      </w:r>
      <w:r w:rsidR="00177848" w:rsidRPr="00C6052E">
        <w:t xml:space="preserve"> </w:t>
      </w:r>
      <w:r w:rsidRPr="00C6052E">
        <w:t>–</w:t>
      </w:r>
      <w:r w:rsidR="00177848" w:rsidRPr="00C6052E">
        <w:t xml:space="preserve"> </w:t>
      </w:r>
      <w:r w:rsidRPr="00C6052E">
        <w:t>Other</w:t>
      </w:r>
      <w:r w:rsidR="00177848" w:rsidRPr="00C6052E">
        <w:t xml:space="preserve"> </w:t>
      </w:r>
      <w:r w:rsidRPr="00C6052E">
        <w:t>operating</w:t>
      </w:r>
      <w:r w:rsidR="00177848" w:rsidRPr="00C6052E">
        <w:t xml:space="preserve"> </w:t>
      </w:r>
      <w:r w:rsidRPr="00C6052E">
        <w:t>expenses,</w:t>
      </w:r>
      <w:r w:rsidR="00177848" w:rsidRPr="00C6052E">
        <w:t xml:space="preserve"> </w:t>
      </w:r>
      <w:r w:rsidRPr="00C6052E">
        <w:t>the</w:t>
      </w:r>
      <w:r w:rsidR="00177848" w:rsidRPr="00C6052E">
        <w:t xml:space="preserve"> </w:t>
      </w:r>
      <w:r w:rsidRPr="00C6052E">
        <w:t>difference</w:t>
      </w:r>
      <w:r w:rsidR="00177848" w:rsidRPr="00C6052E">
        <w:t xml:space="preserve"> </w:t>
      </w:r>
      <w:r w:rsidRPr="00C6052E">
        <w:t>relates</w:t>
      </w:r>
      <w:r w:rsidR="00177848" w:rsidRPr="00C6052E">
        <w:t xml:space="preserve"> </w:t>
      </w:r>
      <w:r w:rsidRPr="00C6052E">
        <w:t>to</w:t>
      </w:r>
      <w:r w:rsidR="00177848" w:rsidRPr="00C6052E">
        <w:t xml:space="preserve"> </w:t>
      </w:r>
      <w:r w:rsidRPr="00C6052E">
        <w:t>amounts</w:t>
      </w:r>
      <w:r w:rsidR="00177848" w:rsidRPr="00C6052E">
        <w:t xml:space="preserve"> </w:t>
      </w:r>
      <w:r w:rsidRPr="00C6052E">
        <w:t>not</w:t>
      </w:r>
      <w:r w:rsidR="00177848" w:rsidRPr="00C6052E">
        <w:t xml:space="preserve"> </w:t>
      </w:r>
      <w:r w:rsidRPr="00C6052E">
        <w:t>previously</w:t>
      </w:r>
      <w:r w:rsidR="00177848" w:rsidRPr="00C6052E">
        <w:t xml:space="preserve"> </w:t>
      </w:r>
      <w:r w:rsidRPr="00C6052E">
        <w:t>provided</w:t>
      </w:r>
      <w:r w:rsidR="00177848" w:rsidRPr="00C6052E">
        <w:t xml:space="preserve"> </w:t>
      </w:r>
      <w:r w:rsidRPr="00C6052E">
        <w:t>for</w:t>
      </w:r>
      <w:r w:rsidR="00177848" w:rsidRPr="00C6052E">
        <w:t xml:space="preserve"> </w:t>
      </w:r>
      <w:r w:rsidRPr="00C6052E">
        <w:t>and</w:t>
      </w:r>
      <w:r w:rsidR="00177848" w:rsidRPr="00C6052E">
        <w:t xml:space="preserve"> </w:t>
      </w:r>
      <w:r w:rsidRPr="00C6052E">
        <w:t>is</w:t>
      </w:r>
      <w:r w:rsidR="00177848" w:rsidRPr="00C6052E">
        <w:t xml:space="preserve"> </w:t>
      </w:r>
      <w:r w:rsidRPr="00C6052E">
        <w:t>now</w:t>
      </w:r>
      <w:r w:rsidR="00177848" w:rsidRPr="00C6052E">
        <w:t xml:space="preserve"> </w:t>
      </w:r>
      <w:r w:rsidRPr="00C6052E">
        <w:t>determined</w:t>
      </w:r>
      <w:r w:rsidR="00177848" w:rsidRPr="00C6052E">
        <w:t xml:space="preserve"> </w:t>
      </w:r>
      <w:r w:rsidRPr="00C6052E">
        <w:t>as</w:t>
      </w:r>
      <w:r w:rsidR="00177848" w:rsidRPr="00C6052E">
        <w:t xml:space="preserve"> </w:t>
      </w:r>
      <w:r w:rsidRPr="00C6052E">
        <w:t>uncollectible</w:t>
      </w:r>
      <w:r w:rsidR="00177848" w:rsidRPr="00C6052E">
        <w:t xml:space="preserve"> </w:t>
      </w:r>
      <w:r w:rsidRPr="00C6052E">
        <w:t>and</w:t>
      </w:r>
      <w:r w:rsidR="00177848" w:rsidRPr="00C6052E">
        <w:t xml:space="preserve"> </w:t>
      </w:r>
      <w:r w:rsidRPr="00C6052E">
        <w:t>written</w:t>
      </w:r>
      <w:r w:rsidR="00177848" w:rsidRPr="00C6052E">
        <w:t xml:space="preserve"> </w:t>
      </w:r>
      <w:r w:rsidRPr="00C6052E">
        <w:t>off</w:t>
      </w:r>
      <w:r w:rsidR="00177848" w:rsidRPr="00C6052E">
        <w:t xml:space="preserve"> </w:t>
      </w:r>
      <w:r w:rsidRPr="00C6052E">
        <w:t>in</w:t>
      </w:r>
      <w:r w:rsidR="00177848" w:rsidRPr="00C6052E">
        <w:t xml:space="preserve"> </w:t>
      </w:r>
      <w:r w:rsidRPr="00C6052E">
        <w:t>FY2024–25.</w:t>
      </w:r>
    </w:p>
    <w:p w14:paraId="4636E4B6" w14:textId="1D27C0D9" w:rsidR="00EE5BB8" w:rsidRPr="00C6052E" w:rsidRDefault="00EE5BB8" w:rsidP="00C6052E">
      <w:pPr>
        <w:pStyle w:val="Heading2numbered0"/>
      </w:pPr>
      <w:bookmarkStart w:id="356" w:name="_Toc163565994"/>
      <w:bookmarkStart w:id="357" w:name="_Ref209609359"/>
      <w:bookmarkStart w:id="358" w:name="_Ref209609366"/>
      <w:r w:rsidRPr="00C6052E">
        <w:t>Other</w:t>
      </w:r>
      <w:r w:rsidR="00177848" w:rsidRPr="00C6052E">
        <w:t xml:space="preserve"> </w:t>
      </w:r>
      <w:r w:rsidRPr="00C6052E">
        <w:t>economic</w:t>
      </w:r>
      <w:r w:rsidR="00177848" w:rsidRPr="00C6052E">
        <w:t xml:space="preserve"> </w:t>
      </w:r>
      <w:r w:rsidRPr="00C6052E">
        <w:t>flows</w:t>
      </w:r>
      <w:r w:rsidR="00177848" w:rsidRPr="00C6052E">
        <w:t xml:space="preserve"> </w:t>
      </w:r>
      <w:r w:rsidRPr="00C6052E">
        <w:t>included</w:t>
      </w:r>
      <w:r w:rsidR="00177848" w:rsidRPr="00C6052E">
        <w:t xml:space="preserve"> </w:t>
      </w:r>
      <w:r w:rsidRPr="00C6052E">
        <w:t>in</w:t>
      </w:r>
      <w:r w:rsidR="00177848" w:rsidRPr="00C6052E">
        <w:t xml:space="preserve"> </w:t>
      </w:r>
      <w:r w:rsidRPr="00C6052E">
        <w:t>net</w:t>
      </w:r>
      <w:r w:rsidR="00177848" w:rsidRPr="00C6052E">
        <w:t xml:space="preserve"> </w:t>
      </w:r>
      <w:r w:rsidRPr="00C6052E">
        <w:t>result</w:t>
      </w:r>
      <w:bookmarkEnd w:id="356"/>
      <w:bookmarkEnd w:id="357"/>
      <w:bookmarkEnd w:id="358"/>
      <w:r w:rsidR="00177848" w:rsidRPr="00C6052E">
        <w:t xml:space="preserve"> </w:t>
      </w:r>
    </w:p>
    <w:p w14:paraId="42F0E14D" w14:textId="3779B4C8" w:rsidR="00EE5BB8" w:rsidRPr="00C6052E" w:rsidRDefault="00EE5BB8" w:rsidP="00EE5BB8">
      <w:r w:rsidRPr="00C6052E">
        <w:t>Other</w:t>
      </w:r>
      <w:r w:rsidR="00177848" w:rsidRPr="00C6052E">
        <w:t xml:space="preserve"> </w:t>
      </w:r>
      <w:r w:rsidRPr="00C6052E">
        <w:t>economic</w:t>
      </w:r>
      <w:r w:rsidR="00177848" w:rsidRPr="00C6052E">
        <w:t xml:space="preserve"> </w:t>
      </w:r>
      <w:r w:rsidRPr="00C6052E">
        <w:t>flows</w:t>
      </w:r>
      <w:r w:rsidR="00177848" w:rsidRPr="00C6052E">
        <w:t xml:space="preserve"> </w:t>
      </w:r>
      <w:r w:rsidRPr="00C6052E">
        <w:t>are</w:t>
      </w:r>
      <w:r w:rsidR="00177848" w:rsidRPr="00C6052E">
        <w:t xml:space="preserve"> </w:t>
      </w:r>
      <w:r w:rsidRPr="00C6052E">
        <w:t>changes</w:t>
      </w:r>
      <w:r w:rsidR="00177848" w:rsidRPr="00C6052E">
        <w:t xml:space="preserve"> </w:t>
      </w:r>
      <w:r w:rsidRPr="00C6052E">
        <w:t>in</w:t>
      </w:r>
      <w:r w:rsidR="00177848" w:rsidRPr="00C6052E">
        <w:t xml:space="preserve"> </w:t>
      </w:r>
      <w:r w:rsidRPr="00C6052E">
        <w:t>the</w:t>
      </w:r>
      <w:r w:rsidR="00177848" w:rsidRPr="00C6052E">
        <w:t xml:space="preserve"> </w:t>
      </w:r>
      <w:r w:rsidRPr="00C6052E">
        <w:t>volume</w:t>
      </w:r>
      <w:r w:rsidR="00177848" w:rsidRPr="00C6052E">
        <w:t xml:space="preserve"> </w:t>
      </w:r>
      <w:r w:rsidRPr="00C6052E">
        <w:t>or</w:t>
      </w:r>
      <w:r w:rsidR="00177848" w:rsidRPr="00C6052E">
        <w:t xml:space="preserve"> </w:t>
      </w:r>
      <w:r w:rsidRPr="00C6052E">
        <w:t>value</w:t>
      </w:r>
      <w:r w:rsidR="00177848" w:rsidRPr="00C6052E">
        <w:t xml:space="preserve"> </w:t>
      </w:r>
      <w:r w:rsidRPr="00C6052E">
        <w:t>of</w:t>
      </w:r>
      <w:r w:rsidR="00177848" w:rsidRPr="00C6052E">
        <w:t xml:space="preserve"> </w:t>
      </w:r>
      <w:r w:rsidRPr="00C6052E">
        <w:t>an</w:t>
      </w:r>
      <w:r w:rsidR="00177848" w:rsidRPr="00C6052E">
        <w:t xml:space="preserve"> </w:t>
      </w:r>
      <w:r w:rsidRPr="00C6052E">
        <w:t>asset</w:t>
      </w:r>
      <w:r w:rsidR="00177848" w:rsidRPr="00C6052E">
        <w:t xml:space="preserve"> </w:t>
      </w:r>
      <w:r w:rsidRPr="00C6052E">
        <w:t>or</w:t>
      </w:r>
      <w:r w:rsidR="00177848" w:rsidRPr="00C6052E">
        <w:t xml:space="preserve"> </w:t>
      </w:r>
      <w:r w:rsidRPr="00C6052E">
        <w:t>liability</w:t>
      </w:r>
      <w:r w:rsidR="00177848" w:rsidRPr="00C6052E">
        <w:t xml:space="preserve"> </w:t>
      </w:r>
      <w:r w:rsidRPr="00C6052E">
        <w:t>that</w:t>
      </w:r>
      <w:r w:rsidR="00177848" w:rsidRPr="00C6052E">
        <w:t xml:space="preserve"> </w:t>
      </w:r>
      <w:r w:rsidRPr="00C6052E">
        <w:t>do</w:t>
      </w:r>
      <w:r w:rsidR="00177848" w:rsidRPr="00C6052E">
        <w:t xml:space="preserve"> </w:t>
      </w:r>
      <w:r w:rsidRPr="00C6052E">
        <w:t>not</w:t>
      </w:r>
      <w:r w:rsidR="00177848" w:rsidRPr="00C6052E">
        <w:t xml:space="preserve"> </w:t>
      </w:r>
      <w:r w:rsidRPr="00C6052E">
        <w:t>result</w:t>
      </w:r>
      <w:r w:rsidR="00177848" w:rsidRPr="00C6052E">
        <w:t xml:space="preserve"> </w:t>
      </w:r>
      <w:r w:rsidRPr="00C6052E">
        <w:t>from</w:t>
      </w:r>
      <w:r w:rsidR="00177848" w:rsidRPr="00C6052E">
        <w:t xml:space="preserve"> </w:t>
      </w:r>
      <w:r w:rsidRPr="00C6052E">
        <w:t>transactions.</w:t>
      </w:r>
      <w:r w:rsidR="00177848" w:rsidRPr="00C6052E">
        <w:t xml:space="preserve"> </w:t>
      </w:r>
    </w:p>
    <w:tbl>
      <w:tblPr>
        <w:tblStyle w:val="TableGrid"/>
        <w:tblW w:w="9634" w:type="dxa"/>
        <w:tblLayout w:type="fixed"/>
        <w:tblLook w:val="04E0" w:firstRow="1" w:lastRow="1" w:firstColumn="1" w:lastColumn="0" w:noHBand="0" w:noVBand="1"/>
      </w:tblPr>
      <w:tblGrid>
        <w:gridCol w:w="6516"/>
        <w:gridCol w:w="1559"/>
        <w:gridCol w:w="1559"/>
      </w:tblGrid>
      <w:tr w:rsidR="00EE5BB8" w:rsidRPr="00C6052E" w14:paraId="683D99A6" w14:textId="77777777" w:rsidTr="007D0236">
        <w:trPr>
          <w:tblHeader/>
        </w:trPr>
        <w:tc>
          <w:tcPr>
            <w:tcW w:w="6516" w:type="dxa"/>
            <w:noWrap/>
            <w:hideMark/>
          </w:tcPr>
          <w:p w14:paraId="37E191D7" w14:textId="77777777" w:rsidR="00EE5BB8" w:rsidRPr="00C6052E" w:rsidRDefault="00EE5BB8" w:rsidP="00193B39">
            <w:pPr>
              <w:pStyle w:val="TableColumnHeading"/>
            </w:pPr>
            <w:bookmarkStart w:id="359" w:name="TableColumnHeadings_105"/>
            <w:bookmarkEnd w:id="359"/>
          </w:p>
        </w:tc>
        <w:tc>
          <w:tcPr>
            <w:tcW w:w="1559" w:type="dxa"/>
            <w:hideMark/>
          </w:tcPr>
          <w:p w14:paraId="63A4A71E" w14:textId="32049653" w:rsidR="00EE5BB8" w:rsidRPr="00C6052E" w:rsidRDefault="00EE5BB8" w:rsidP="00193B39">
            <w:pPr>
              <w:pStyle w:val="TableColumnHeading"/>
              <w:jc w:val="right"/>
            </w:pPr>
            <w:r w:rsidRPr="00C6052E">
              <w:t>2025</w:t>
            </w:r>
            <w:r w:rsidR="00193B39">
              <w:br/>
            </w:r>
            <w:r w:rsidR="00193B39" w:rsidRPr="00C6052E">
              <w:rPr>
                <w:lang w:val="en-AU"/>
              </w:rPr>
              <w:t>($ thousand)</w:t>
            </w:r>
          </w:p>
        </w:tc>
        <w:tc>
          <w:tcPr>
            <w:tcW w:w="1559" w:type="dxa"/>
            <w:hideMark/>
          </w:tcPr>
          <w:p w14:paraId="3EAC04B6" w14:textId="1724B796" w:rsidR="00EE5BB8" w:rsidRPr="00C6052E" w:rsidRDefault="00EE5BB8" w:rsidP="00193B39">
            <w:pPr>
              <w:pStyle w:val="TableColumnHeading"/>
              <w:jc w:val="right"/>
            </w:pPr>
            <w:r w:rsidRPr="00C6052E">
              <w:t>2024</w:t>
            </w:r>
            <w:r w:rsidR="00193B39">
              <w:br/>
            </w:r>
            <w:r w:rsidR="00193B39" w:rsidRPr="00C6052E">
              <w:rPr>
                <w:lang w:val="en-AU"/>
              </w:rPr>
              <w:t>($ thousand)</w:t>
            </w:r>
          </w:p>
        </w:tc>
      </w:tr>
      <w:tr w:rsidR="00EE5BB8" w:rsidRPr="00C6052E" w14:paraId="6A019CC2" w14:textId="77777777" w:rsidTr="00193B39">
        <w:tc>
          <w:tcPr>
            <w:tcW w:w="6516" w:type="dxa"/>
            <w:hideMark/>
          </w:tcPr>
          <w:p w14:paraId="1E3C65D9" w14:textId="3C3B198D" w:rsidR="00EE5BB8" w:rsidRPr="00C6052E" w:rsidRDefault="00EE5BB8" w:rsidP="0063097D">
            <w:pPr>
              <w:pStyle w:val="TableCopy"/>
            </w:pPr>
            <w:r w:rsidRPr="00C6052E">
              <w:t>Net</w:t>
            </w:r>
            <w:r w:rsidR="00177848" w:rsidRPr="00C6052E">
              <w:t xml:space="preserve"> </w:t>
            </w:r>
            <w:r w:rsidRPr="00C6052E">
              <w:t>loss</w:t>
            </w:r>
            <w:r w:rsidR="00177848" w:rsidRPr="00C6052E">
              <w:t xml:space="preserve"> </w:t>
            </w:r>
            <w:r w:rsidRPr="00C6052E">
              <w:t>on</w:t>
            </w:r>
            <w:r w:rsidR="00177848" w:rsidRPr="00C6052E">
              <w:t xml:space="preserve"> </w:t>
            </w:r>
            <w:r w:rsidRPr="00C6052E">
              <w:t>non–financial</w:t>
            </w:r>
            <w:r w:rsidR="00177848" w:rsidRPr="00C6052E">
              <w:t xml:space="preserve"> </w:t>
            </w:r>
            <w:r w:rsidRPr="00C6052E">
              <w:t>assets</w:t>
            </w:r>
          </w:p>
        </w:tc>
        <w:tc>
          <w:tcPr>
            <w:tcW w:w="1559" w:type="dxa"/>
            <w:noWrap/>
            <w:hideMark/>
          </w:tcPr>
          <w:p w14:paraId="0E1C08EE" w14:textId="77777777" w:rsidR="00EE5BB8" w:rsidRPr="00C6052E" w:rsidRDefault="00EE5BB8" w:rsidP="00193B39">
            <w:pPr>
              <w:pStyle w:val="TableCopy"/>
              <w:jc w:val="right"/>
            </w:pPr>
            <w:r w:rsidRPr="00C6052E">
              <w:t>(715)</w:t>
            </w:r>
          </w:p>
        </w:tc>
        <w:tc>
          <w:tcPr>
            <w:tcW w:w="1559" w:type="dxa"/>
            <w:noWrap/>
            <w:hideMark/>
          </w:tcPr>
          <w:p w14:paraId="648F56CB" w14:textId="77777777" w:rsidR="00EE5BB8" w:rsidRPr="00C6052E" w:rsidRDefault="00EE5BB8" w:rsidP="00193B39">
            <w:pPr>
              <w:pStyle w:val="TableCopy"/>
              <w:jc w:val="right"/>
            </w:pPr>
            <w:r w:rsidRPr="00C6052E">
              <w:t>(36)</w:t>
            </w:r>
          </w:p>
        </w:tc>
      </w:tr>
      <w:tr w:rsidR="00EE5BB8" w:rsidRPr="00C6052E" w14:paraId="485CC224" w14:textId="77777777" w:rsidTr="00193B39">
        <w:tc>
          <w:tcPr>
            <w:tcW w:w="6516" w:type="dxa"/>
            <w:hideMark/>
          </w:tcPr>
          <w:p w14:paraId="5AE7B7B6" w14:textId="4ECF788E" w:rsidR="00EE5BB8" w:rsidRPr="00C6052E" w:rsidRDefault="00EE5BB8" w:rsidP="0063097D">
            <w:pPr>
              <w:pStyle w:val="Tabletotal"/>
            </w:pPr>
            <w:r w:rsidRPr="00C6052E">
              <w:t>Total</w:t>
            </w:r>
            <w:r w:rsidR="00177848" w:rsidRPr="00C6052E">
              <w:t xml:space="preserve"> </w:t>
            </w:r>
            <w:r w:rsidRPr="00C6052E">
              <w:t>net</w:t>
            </w:r>
            <w:r w:rsidR="00177848" w:rsidRPr="00C6052E">
              <w:t xml:space="preserve"> </w:t>
            </w:r>
            <w:r w:rsidRPr="00C6052E">
              <w:t>gains/(loss)</w:t>
            </w:r>
            <w:r w:rsidR="00177848" w:rsidRPr="00C6052E">
              <w:t xml:space="preserve"> </w:t>
            </w:r>
            <w:r w:rsidRPr="00C6052E">
              <w:t>on</w:t>
            </w:r>
            <w:r w:rsidR="00177848" w:rsidRPr="00C6052E">
              <w:t xml:space="preserve"> </w:t>
            </w:r>
            <w:r w:rsidRPr="00C6052E">
              <w:t>non–financial</w:t>
            </w:r>
            <w:r w:rsidR="00177848" w:rsidRPr="00C6052E">
              <w:t xml:space="preserve"> </w:t>
            </w:r>
            <w:r w:rsidRPr="00C6052E">
              <w:t>assets</w:t>
            </w:r>
          </w:p>
        </w:tc>
        <w:tc>
          <w:tcPr>
            <w:tcW w:w="1559" w:type="dxa"/>
            <w:noWrap/>
            <w:hideMark/>
          </w:tcPr>
          <w:p w14:paraId="067F96EA" w14:textId="77777777" w:rsidR="00EE5BB8" w:rsidRPr="00C6052E" w:rsidRDefault="00EE5BB8" w:rsidP="00193B39">
            <w:pPr>
              <w:pStyle w:val="Tabletotal"/>
              <w:jc w:val="right"/>
            </w:pPr>
            <w:r w:rsidRPr="00C6052E">
              <w:t>(715)</w:t>
            </w:r>
          </w:p>
        </w:tc>
        <w:tc>
          <w:tcPr>
            <w:tcW w:w="1559" w:type="dxa"/>
            <w:noWrap/>
            <w:hideMark/>
          </w:tcPr>
          <w:p w14:paraId="67CD41A8" w14:textId="77777777" w:rsidR="00EE5BB8" w:rsidRPr="00C6052E" w:rsidRDefault="00EE5BB8" w:rsidP="00193B39">
            <w:pPr>
              <w:pStyle w:val="Tabletotal"/>
              <w:jc w:val="right"/>
            </w:pPr>
            <w:r w:rsidRPr="00C6052E">
              <w:t>(36)</w:t>
            </w:r>
          </w:p>
        </w:tc>
      </w:tr>
      <w:tr w:rsidR="00EE5BB8" w:rsidRPr="00C6052E" w14:paraId="4318B1D5" w14:textId="77777777" w:rsidTr="00193B39">
        <w:tc>
          <w:tcPr>
            <w:tcW w:w="6516" w:type="dxa"/>
            <w:noWrap/>
            <w:hideMark/>
          </w:tcPr>
          <w:p w14:paraId="2990BF70" w14:textId="6194836C" w:rsidR="00EE5BB8" w:rsidRPr="00C6052E" w:rsidRDefault="00EE5BB8" w:rsidP="0063097D">
            <w:pPr>
              <w:pStyle w:val="TableCopy"/>
            </w:pPr>
            <w:r w:rsidRPr="00C6052E">
              <w:t>Net</w:t>
            </w:r>
            <w:r w:rsidR="00177848" w:rsidRPr="00C6052E">
              <w:t xml:space="preserve"> </w:t>
            </w:r>
            <w:r w:rsidRPr="00C6052E">
              <w:t>losses</w:t>
            </w:r>
            <w:r w:rsidR="00177848" w:rsidRPr="00C6052E">
              <w:t xml:space="preserve"> </w:t>
            </w:r>
            <w:r w:rsidRPr="00C6052E">
              <w:t>on</w:t>
            </w:r>
            <w:r w:rsidR="00177848" w:rsidRPr="00C6052E">
              <w:t xml:space="preserve"> </w:t>
            </w:r>
            <w:r w:rsidRPr="00C6052E">
              <w:t>financial</w:t>
            </w:r>
            <w:r w:rsidR="00177848" w:rsidRPr="00C6052E">
              <w:t xml:space="preserve"> </w:t>
            </w:r>
            <w:r w:rsidRPr="00C6052E">
              <w:t>instruments</w:t>
            </w:r>
            <w:r w:rsidR="00177848" w:rsidRPr="00C6052E">
              <w:t xml:space="preserve"> </w:t>
            </w:r>
          </w:p>
        </w:tc>
        <w:tc>
          <w:tcPr>
            <w:tcW w:w="1559" w:type="dxa"/>
            <w:noWrap/>
          </w:tcPr>
          <w:p w14:paraId="310CF5CB" w14:textId="77777777" w:rsidR="00EE5BB8" w:rsidRPr="00C6052E" w:rsidRDefault="00EE5BB8" w:rsidP="00193B39">
            <w:pPr>
              <w:pStyle w:val="Tabletext"/>
              <w:jc w:val="right"/>
            </w:pPr>
          </w:p>
        </w:tc>
        <w:tc>
          <w:tcPr>
            <w:tcW w:w="1559" w:type="dxa"/>
            <w:noWrap/>
          </w:tcPr>
          <w:p w14:paraId="593E38DF" w14:textId="77777777" w:rsidR="00EE5BB8" w:rsidRPr="00C6052E" w:rsidRDefault="00EE5BB8" w:rsidP="00193B39">
            <w:pPr>
              <w:pStyle w:val="TableCopy"/>
              <w:jc w:val="right"/>
            </w:pPr>
          </w:p>
        </w:tc>
      </w:tr>
      <w:tr w:rsidR="00EE5BB8" w:rsidRPr="00C6052E" w14:paraId="06B3A1FF" w14:textId="77777777" w:rsidTr="00193B39">
        <w:tc>
          <w:tcPr>
            <w:tcW w:w="6516" w:type="dxa"/>
            <w:hideMark/>
          </w:tcPr>
          <w:p w14:paraId="256B04A8" w14:textId="6731DF4C" w:rsidR="00EE5BB8" w:rsidRPr="00C6052E" w:rsidRDefault="00EE5BB8" w:rsidP="0063097D">
            <w:pPr>
              <w:pStyle w:val="TableCopy"/>
            </w:pPr>
            <w:r w:rsidRPr="00C6052E">
              <w:t>Reversal/(Impairment</w:t>
            </w:r>
            <w:r w:rsidR="00177848" w:rsidRPr="00C6052E">
              <w:t xml:space="preserve"> </w:t>
            </w:r>
            <w:r w:rsidRPr="00C6052E">
              <w:t>loss)</w:t>
            </w:r>
            <w:r w:rsidR="00177848" w:rsidRPr="00C6052E">
              <w:t xml:space="preserve"> </w:t>
            </w:r>
            <w:r w:rsidRPr="00C6052E">
              <w:t>of</w:t>
            </w:r>
            <w:r w:rsidR="00177848" w:rsidRPr="00C6052E">
              <w:t xml:space="preserve"> </w:t>
            </w:r>
            <w:r w:rsidRPr="00C6052E">
              <w:t>loans</w:t>
            </w:r>
            <w:r w:rsidR="00177848" w:rsidRPr="00C6052E">
              <w:t xml:space="preserve"> </w:t>
            </w:r>
            <w:r w:rsidRPr="00C6052E">
              <w:t>and</w:t>
            </w:r>
            <w:r w:rsidR="00177848" w:rsidRPr="00C6052E">
              <w:t xml:space="preserve"> </w:t>
            </w:r>
            <w:r w:rsidRPr="00C6052E">
              <w:t>receivables</w:t>
            </w:r>
            <w:r w:rsidR="00177848" w:rsidRPr="00C6052E">
              <w:t xml:space="preserve"> </w:t>
            </w:r>
          </w:p>
        </w:tc>
        <w:tc>
          <w:tcPr>
            <w:tcW w:w="1559" w:type="dxa"/>
            <w:noWrap/>
            <w:hideMark/>
          </w:tcPr>
          <w:p w14:paraId="159E776D" w14:textId="77777777" w:rsidR="00EE5BB8" w:rsidRPr="00C6052E" w:rsidRDefault="00EE5BB8" w:rsidP="00193B39">
            <w:pPr>
              <w:pStyle w:val="TableCopy"/>
              <w:jc w:val="right"/>
            </w:pPr>
            <w:r w:rsidRPr="00C6052E">
              <w:t>29,576</w:t>
            </w:r>
          </w:p>
        </w:tc>
        <w:tc>
          <w:tcPr>
            <w:tcW w:w="1559" w:type="dxa"/>
            <w:noWrap/>
            <w:hideMark/>
          </w:tcPr>
          <w:p w14:paraId="7B5854A1" w14:textId="77777777" w:rsidR="00EE5BB8" w:rsidRPr="00C6052E" w:rsidRDefault="00EE5BB8" w:rsidP="00193B39">
            <w:pPr>
              <w:pStyle w:val="TableCopy"/>
              <w:jc w:val="right"/>
            </w:pPr>
            <w:r w:rsidRPr="00C6052E">
              <w:t>(20,627)</w:t>
            </w:r>
          </w:p>
        </w:tc>
      </w:tr>
      <w:tr w:rsidR="00EE5BB8" w:rsidRPr="00C6052E" w14:paraId="7B8F011E" w14:textId="77777777" w:rsidTr="00193B39">
        <w:tc>
          <w:tcPr>
            <w:tcW w:w="6516" w:type="dxa"/>
            <w:hideMark/>
          </w:tcPr>
          <w:p w14:paraId="345A70B4" w14:textId="717C5B1B" w:rsidR="00EE5BB8" w:rsidRPr="00C6052E" w:rsidRDefault="00EE5BB8" w:rsidP="0063097D">
            <w:pPr>
              <w:pStyle w:val="TableCopy"/>
            </w:pPr>
            <w:r w:rsidRPr="00C6052E">
              <w:t>Realised</w:t>
            </w:r>
            <w:r w:rsidR="00177848" w:rsidRPr="00C6052E">
              <w:t xml:space="preserve"> </w:t>
            </w:r>
            <w:r w:rsidRPr="00C6052E">
              <w:t>losses</w:t>
            </w:r>
            <w:r w:rsidR="00177848" w:rsidRPr="00C6052E">
              <w:t xml:space="preserve"> </w:t>
            </w:r>
            <w:r w:rsidRPr="00C6052E">
              <w:t>on</w:t>
            </w:r>
            <w:r w:rsidR="00177848" w:rsidRPr="00C6052E">
              <w:t xml:space="preserve"> </w:t>
            </w:r>
            <w:r w:rsidRPr="00C6052E">
              <w:t>foreign</w:t>
            </w:r>
            <w:r w:rsidR="00177848" w:rsidRPr="00C6052E">
              <w:t xml:space="preserve"> </w:t>
            </w:r>
            <w:r w:rsidRPr="00C6052E">
              <w:t>exchange</w:t>
            </w:r>
          </w:p>
        </w:tc>
        <w:tc>
          <w:tcPr>
            <w:tcW w:w="1559" w:type="dxa"/>
            <w:noWrap/>
            <w:hideMark/>
          </w:tcPr>
          <w:p w14:paraId="0CA284A8" w14:textId="77777777" w:rsidR="00EE5BB8" w:rsidRPr="00C6052E" w:rsidRDefault="00EE5BB8" w:rsidP="00193B39">
            <w:pPr>
              <w:pStyle w:val="TableCopy"/>
              <w:jc w:val="right"/>
            </w:pPr>
            <w:r w:rsidRPr="00C6052E">
              <w:t>(1,280)</w:t>
            </w:r>
          </w:p>
        </w:tc>
        <w:tc>
          <w:tcPr>
            <w:tcW w:w="1559" w:type="dxa"/>
            <w:noWrap/>
            <w:hideMark/>
          </w:tcPr>
          <w:p w14:paraId="51C7DDA6" w14:textId="77777777" w:rsidR="00EE5BB8" w:rsidRPr="00C6052E" w:rsidRDefault="00EE5BB8" w:rsidP="00193B39">
            <w:pPr>
              <w:pStyle w:val="TableCopy"/>
              <w:jc w:val="right"/>
            </w:pPr>
            <w:r w:rsidRPr="00C6052E">
              <w:t>(1,987)</w:t>
            </w:r>
          </w:p>
        </w:tc>
      </w:tr>
      <w:tr w:rsidR="00EE5BB8" w:rsidRPr="00C6052E" w14:paraId="34C975D5" w14:textId="77777777" w:rsidTr="00193B39">
        <w:tc>
          <w:tcPr>
            <w:tcW w:w="6516" w:type="dxa"/>
            <w:hideMark/>
          </w:tcPr>
          <w:p w14:paraId="382AD79B" w14:textId="2336DAA1" w:rsidR="00EE5BB8" w:rsidRPr="00C6052E" w:rsidRDefault="00EE5BB8" w:rsidP="0063097D">
            <w:pPr>
              <w:pStyle w:val="Tabletotal"/>
            </w:pPr>
            <w:r w:rsidRPr="00C6052E">
              <w:t>Total</w:t>
            </w:r>
            <w:r w:rsidR="00177848" w:rsidRPr="00C6052E">
              <w:t xml:space="preserve"> </w:t>
            </w:r>
            <w:r w:rsidRPr="00C6052E">
              <w:t>net</w:t>
            </w:r>
            <w:r w:rsidR="00177848" w:rsidRPr="00C6052E">
              <w:t xml:space="preserve"> </w:t>
            </w:r>
            <w:r w:rsidRPr="00C6052E">
              <w:t>losses</w:t>
            </w:r>
            <w:r w:rsidR="00177848" w:rsidRPr="00C6052E">
              <w:t xml:space="preserve"> </w:t>
            </w:r>
            <w:r w:rsidRPr="00C6052E">
              <w:t>on</w:t>
            </w:r>
            <w:r w:rsidR="00177848" w:rsidRPr="00C6052E">
              <w:t xml:space="preserve"> </w:t>
            </w:r>
            <w:r w:rsidRPr="00C6052E">
              <w:t>financial</w:t>
            </w:r>
            <w:r w:rsidR="00177848" w:rsidRPr="00C6052E">
              <w:t xml:space="preserve"> </w:t>
            </w:r>
            <w:r w:rsidRPr="00C6052E">
              <w:t>instruments</w:t>
            </w:r>
            <w:r w:rsidR="00177848" w:rsidRPr="00C6052E">
              <w:t xml:space="preserve"> </w:t>
            </w:r>
          </w:p>
        </w:tc>
        <w:tc>
          <w:tcPr>
            <w:tcW w:w="1559" w:type="dxa"/>
            <w:noWrap/>
            <w:hideMark/>
          </w:tcPr>
          <w:p w14:paraId="5E9E2AF3" w14:textId="77777777" w:rsidR="00EE5BB8" w:rsidRPr="00C6052E" w:rsidRDefault="00EE5BB8" w:rsidP="00193B39">
            <w:pPr>
              <w:pStyle w:val="Tabletotal"/>
              <w:jc w:val="right"/>
            </w:pPr>
            <w:r w:rsidRPr="00C6052E">
              <w:t>28,296</w:t>
            </w:r>
          </w:p>
        </w:tc>
        <w:tc>
          <w:tcPr>
            <w:tcW w:w="1559" w:type="dxa"/>
            <w:noWrap/>
            <w:hideMark/>
          </w:tcPr>
          <w:p w14:paraId="74E29DB7" w14:textId="77777777" w:rsidR="00EE5BB8" w:rsidRPr="00C6052E" w:rsidRDefault="00EE5BB8" w:rsidP="00193B39">
            <w:pPr>
              <w:pStyle w:val="Tabletotal"/>
              <w:jc w:val="right"/>
            </w:pPr>
            <w:r w:rsidRPr="00C6052E">
              <w:t>(22,614)</w:t>
            </w:r>
          </w:p>
        </w:tc>
      </w:tr>
      <w:tr w:rsidR="00193B39" w:rsidRPr="00C6052E" w14:paraId="6C68B447" w14:textId="77777777" w:rsidTr="00193B39">
        <w:tc>
          <w:tcPr>
            <w:tcW w:w="6516" w:type="dxa"/>
          </w:tcPr>
          <w:p w14:paraId="250EA322" w14:textId="312B7871" w:rsidR="00193B39" w:rsidRPr="00C6052E" w:rsidRDefault="00193B39" w:rsidP="00193B39">
            <w:pPr>
              <w:pStyle w:val="TableHeading"/>
            </w:pPr>
            <w:r w:rsidRPr="00C6052E">
              <w:t>Other gains from other economic flows</w:t>
            </w:r>
          </w:p>
        </w:tc>
        <w:tc>
          <w:tcPr>
            <w:tcW w:w="1559" w:type="dxa"/>
            <w:noWrap/>
          </w:tcPr>
          <w:p w14:paraId="3D9521B3" w14:textId="77777777" w:rsidR="00193B39" w:rsidRPr="00C6052E" w:rsidRDefault="00193B39" w:rsidP="00193B39">
            <w:pPr>
              <w:pStyle w:val="TableHeading"/>
              <w:jc w:val="right"/>
            </w:pPr>
          </w:p>
        </w:tc>
        <w:tc>
          <w:tcPr>
            <w:tcW w:w="1559" w:type="dxa"/>
            <w:noWrap/>
          </w:tcPr>
          <w:p w14:paraId="1D3A9B68" w14:textId="77777777" w:rsidR="00193B39" w:rsidRPr="00C6052E" w:rsidRDefault="00193B39" w:rsidP="00193B39">
            <w:pPr>
              <w:pStyle w:val="TableHeading"/>
              <w:jc w:val="right"/>
            </w:pPr>
          </w:p>
        </w:tc>
      </w:tr>
      <w:tr w:rsidR="00EE5BB8" w:rsidRPr="00C6052E" w14:paraId="5998798D" w14:textId="77777777" w:rsidTr="00193B39">
        <w:tc>
          <w:tcPr>
            <w:tcW w:w="6516" w:type="dxa"/>
            <w:hideMark/>
          </w:tcPr>
          <w:p w14:paraId="6A294A50" w14:textId="33FD6D74" w:rsidR="00EE5BB8" w:rsidRPr="00C6052E" w:rsidRDefault="00EE5BB8" w:rsidP="0063097D">
            <w:pPr>
              <w:pStyle w:val="TableCopy"/>
            </w:pPr>
            <w:r w:rsidRPr="00C6052E">
              <w:t>Revaluation</w:t>
            </w:r>
            <w:r w:rsidR="00177848" w:rsidRPr="00C6052E">
              <w:t xml:space="preserve"> </w:t>
            </w:r>
            <w:r w:rsidRPr="00C6052E">
              <w:t>(loss)/gains</w:t>
            </w:r>
            <w:r w:rsidR="00177848" w:rsidRPr="00C6052E">
              <w:t xml:space="preserve"> </w:t>
            </w:r>
            <w:r w:rsidRPr="00C6052E">
              <w:t>of</w:t>
            </w:r>
            <w:r w:rsidR="00177848" w:rsidRPr="00C6052E">
              <w:t xml:space="preserve"> </w:t>
            </w:r>
            <w:r w:rsidRPr="00C6052E">
              <w:t>long</w:t>
            </w:r>
            <w:r w:rsidR="00177848" w:rsidRPr="00C6052E">
              <w:t xml:space="preserve"> </w:t>
            </w:r>
            <w:r w:rsidRPr="00C6052E">
              <w:t>service</w:t>
            </w:r>
            <w:r w:rsidR="00177848" w:rsidRPr="00C6052E">
              <w:t xml:space="preserve"> </w:t>
            </w:r>
            <w:r w:rsidRPr="00C6052E">
              <w:t>leave</w:t>
            </w:r>
            <w:r w:rsidR="00177848" w:rsidRPr="00C6052E">
              <w:t xml:space="preserve"> </w:t>
            </w:r>
            <w:r w:rsidRPr="00C6052E">
              <w:t>liability</w:t>
            </w:r>
            <w:r w:rsidRPr="00C6052E">
              <w:rPr>
                <w:vertAlign w:val="superscript"/>
              </w:rPr>
              <w:t>(i)</w:t>
            </w:r>
          </w:p>
        </w:tc>
        <w:tc>
          <w:tcPr>
            <w:tcW w:w="1559" w:type="dxa"/>
            <w:noWrap/>
            <w:hideMark/>
          </w:tcPr>
          <w:p w14:paraId="4D14CA82" w14:textId="77777777" w:rsidR="00EE5BB8" w:rsidRPr="00C6052E" w:rsidRDefault="00EE5BB8" w:rsidP="00193B39">
            <w:pPr>
              <w:pStyle w:val="TableCopy"/>
              <w:jc w:val="right"/>
            </w:pPr>
            <w:r w:rsidRPr="00C6052E">
              <w:t>(255)</w:t>
            </w:r>
          </w:p>
        </w:tc>
        <w:tc>
          <w:tcPr>
            <w:tcW w:w="1559" w:type="dxa"/>
            <w:noWrap/>
            <w:hideMark/>
          </w:tcPr>
          <w:p w14:paraId="31A9C933" w14:textId="77777777" w:rsidR="00EE5BB8" w:rsidRPr="00C6052E" w:rsidRDefault="00EE5BB8" w:rsidP="00193B39">
            <w:pPr>
              <w:pStyle w:val="TableCopy"/>
              <w:jc w:val="right"/>
            </w:pPr>
            <w:r w:rsidRPr="00C6052E">
              <w:t>333</w:t>
            </w:r>
          </w:p>
        </w:tc>
      </w:tr>
      <w:tr w:rsidR="00EE5BB8" w:rsidRPr="00C6052E" w14:paraId="29242B1A" w14:textId="77777777" w:rsidTr="00193B39">
        <w:tc>
          <w:tcPr>
            <w:tcW w:w="6516" w:type="dxa"/>
            <w:hideMark/>
          </w:tcPr>
          <w:p w14:paraId="497BEFC3" w14:textId="0D8E27AB" w:rsidR="00EE5BB8" w:rsidRPr="00C6052E" w:rsidRDefault="00EE5BB8" w:rsidP="007D0236">
            <w:pPr>
              <w:pStyle w:val="Tabletotal"/>
              <w:keepNext/>
            </w:pPr>
            <w:r w:rsidRPr="00C6052E">
              <w:lastRenderedPageBreak/>
              <w:t>Total</w:t>
            </w:r>
            <w:r w:rsidR="00177848" w:rsidRPr="00C6052E">
              <w:t xml:space="preserve"> </w:t>
            </w:r>
            <w:r w:rsidRPr="00C6052E">
              <w:t>other</w:t>
            </w:r>
            <w:r w:rsidR="00177848" w:rsidRPr="00C6052E">
              <w:t xml:space="preserve"> </w:t>
            </w:r>
            <w:r w:rsidRPr="00C6052E">
              <w:t>gains</w:t>
            </w:r>
            <w:r w:rsidR="00177848" w:rsidRPr="00C6052E">
              <w:t xml:space="preserve"> </w:t>
            </w:r>
            <w:r w:rsidRPr="00C6052E">
              <w:t>from</w:t>
            </w:r>
            <w:r w:rsidR="00177848" w:rsidRPr="00C6052E">
              <w:t xml:space="preserve"> </w:t>
            </w:r>
            <w:r w:rsidRPr="00C6052E">
              <w:t>other</w:t>
            </w:r>
            <w:r w:rsidR="00177848" w:rsidRPr="00C6052E">
              <w:t xml:space="preserve"> </w:t>
            </w:r>
            <w:r w:rsidRPr="00C6052E">
              <w:t>economic</w:t>
            </w:r>
            <w:r w:rsidR="00177848" w:rsidRPr="00C6052E">
              <w:t xml:space="preserve"> </w:t>
            </w:r>
            <w:r w:rsidRPr="00C6052E">
              <w:t>flows</w:t>
            </w:r>
          </w:p>
        </w:tc>
        <w:tc>
          <w:tcPr>
            <w:tcW w:w="1559" w:type="dxa"/>
            <w:noWrap/>
            <w:hideMark/>
          </w:tcPr>
          <w:p w14:paraId="32A9E801" w14:textId="77777777" w:rsidR="00EE5BB8" w:rsidRPr="00C6052E" w:rsidRDefault="00EE5BB8" w:rsidP="007D0236">
            <w:pPr>
              <w:pStyle w:val="Tabletotal"/>
              <w:keepNext/>
              <w:jc w:val="right"/>
            </w:pPr>
            <w:r w:rsidRPr="00C6052E">
              <w:t>(255)</w:t>
            </w:r>
          </w:p>
        </w:tc>
        <w:tc>
          <w:tcPr>
            <w:tcW w:w="1559" w:type="dxa"/>
            <w:noWrap/>
            <w:hideMark/>
          </w:tcPr>
          <w:p w14:paraId="3B3631E0" w14:textId="77777777" w:rsidR="00EE5BB8" w:rsidRPr="00C6052E" w:rsidRDefault="00EE5BB8" w:rsidP="007D0236">
            <w:pPr>
              <w:pStyle w:val="Tabletotal"/>
              <w:keepNext/>
              <w:jc w:val="right"/>
            </w:pPr>
            <w:r w:rsidRPr="00C6052E">
              <w:t>333</w:t>
            </w:r>
          </w:p>
        </w:tc>
      </w:tr>
      <w:tr w:rsidR="00EE5BB8" w:rsidRPr="00C6052E" w14:paraId="0D77F34B" w14:textId="77777777" w:rsidTr="00193B39">
        <w:tc>
          <w:tcPr>
            <w:tcW w:w="6516" w:type="dxa"/>
            <w:hideMark/>
          </w:tcPr>
          <w:p w14:paraId="17F77958" w14:textId="17678F43" w:rsidR="00EE5BB8" w:rsidRPr="00C6052E" w:rsidRDefault="00EE5BB8" w:rsidP="0063097D">
            <w:pPr>
              <w:pStyle w:val="Tabletotal"/>
            </w:pPr>
            <w:r w:rsidRPr="00C6052E">
              <w:t>Total</w:t>
            </w:r>
            <w:r w:rsidR="00177848" w:rsidRPr="00C6052E">
              <w:t xml:space="preserve"> </w:t>
            </w:r>
            <w:r w:rsidRPr="00C6052E">
              <w:t>other</w:t>
            </w:r>
            <w:r w:rsidR="00177848" w:rsidRPr="00C6052E">
              <w:t xml:space="preserve"> </w:t>
            </w:r>
            <w:r w:rsidRPr="00C6052E">
              <w:t>economic</w:t>
            </w:r>
            <w:r w:rsidR="00177848" w:rsidRPr="00C6052E">
              <w:t xml:space="preserve"> </w:t>
            </w:r>
            <w:r w:rsidRPr="00C6052E">
              <w:t>flows</w:t>
            </w:r>
            <w:r w:rsidR="00177848" w:rsidRPr="00C6052E">
              <w:t xml:space="preserve"> </w:t>
            </w:r>
            <w:r w:rsidRPr="00C6052E">
              <w:t>included</w:t>
            </w:r>
            <w:r w:rsidR="00177848" w:rsidRPr="00C6052E">
              <w:t xml:space="preserve"> </w:t>
            </w:r>
            <w:r w:rsidRPr="00C6052E">
              <w:t>in</w:t>
            </w:r>
            <w:r w:rsidR="00177848" w:rsidRPr="00C6052E">
              <w:t xml:space="preserve"> </w:t>
            </w:r>
            <w:r w:rsidRPr="00C6052E">
              <w:t>net</w:t>
            </w:r>
            <w:r w:rsidR="00177848" w:rsidRPr="00C6052E">
              <w:t xml:space="preserve"> </w:t>
            </w:r>
            <w:r w:rsidRPr="00C6052E">
              <w:t>result</w:t>
            </w:r>
            <w:r w:rsidR="00177848" w:rsidRPr="00C6052E">
              <w:t xml:space="preserve"> </w:t>
            </w:r>
          </w:p>
        </w:tc>
        <w:tc>
          <w:tcPr>
            <w:tcW w:w="1559" w:type="dxa"/>
            <w:noWrap/>
            <w:hideMark/>
          </w:tcPr>
          <w:p w14:paraId="0BF6DAC6" w14:textId="77777777" w:rsidR="00EE5BB8" w:rsidRPr="00C6052E" w:rsidRDefault="00EE5BB8" w:rsidP="00193B39">
            <w:pPr>
              <w:pStyle w:val="Tabletotal"/>
              <w:jc w:val="right"/>
            </w:pPr>
            <w:r w:rsidRPr="00C6052E">
              <w:t>27,326</w:t>
            </w:r>
          </w:p>
        </w:tc>
        <w:tc>
          <w:tcPr>
            <w:tcW w:w="1559" w:type="dxa"/>
            <w:noWrap/>
            <w:hideMark/>
          </w:tcPr>
          <w:p w14:paraId="18339215" w14:textId="77777777" w:rsidR="00EE5BB8" w:rsidRPr="00C6052E" w:rsidRDefault="00EE5BB8" w:rsidP="00193B39">
            <w:pPr>
              <w:pStyle w:val="Tabletotal"/>
              <w:jc w:val="right"/>
            </w:pPr>
            <w:r w:rsidRPr="00C6052E">
              <w:t>(22,317)</w:t>
            </w:r>
          </w:p>
        </w:tc>
      </w:tr>
    </w:tbl>
    <w:p w14:paraId="4DBD388C" w14:textId="48A17D82" w:rsidR="00EE5BB8" w:rsidRPr="00C6052E" w:rsidRDefault="00EE5BB8" w:rsidP="00EE5BB8">
      <w:pPr>
        <w:pStyle w:val="Tablenotes-numbered"/>
        <w:numPr>
          <w:ilvl w:val="0"/>
          <w:numId w:val="38"/>
        </w:numPr>
      </w:pPr>
      <w:r w:rsidRPr="00C6052E">
        <w:t>Revaluation</w:t>
      </w:r>
      <w:r w:rsidR="00177848" w:rsidRPr="00C6052E">
        <w:t xml:space="preserve"> </w:t>
      </w:r>
      <w:r w:rsidRPr="00C6052E">
        <w:t>gains</w:t>
      </w:r>
      <w:r w:rsidR="00177848" w:rsidRPr="00C6052E">
        <w:t xml:space="preserve"> </w:t>
      </w:r>
      <w:r w:rsidRPr="00C6052E">
        <w:t>due</w:t>
      </w:r>
      <w:r w:rsidR="00177848" w:rsidRPr="00C6052E">
        <w:t xml:space="preserve"> </w:t>
      </w:r>
      <w:r w:rsidRPr="00C6052E">
        <w:t>to</w:t>
      </w:r>
      <w:r w:rsidR="00177848" w:rsidRPr="00C6052E">
        <w:t xml:space="preserve"> </w:t>
      </w:r>
      <w:r w:rsidRPr="00C6052E">
        <w:t>changes</w:t>
      </w:r>
      <w:r w:rsidR="00177848" w:rsidRPr="00C6052E">
        <w:t xml:space="preserve"> </w:t>
      </w:r>
      <w:r w:rsidRPr="00C6052E">
        <w:t>in</w:t>
      </w:r>
      <w:r w:rsidR="00177848" w:rsidRPr="00C6052E">
        <w:t xml:space="preserve"> </w:t>
      </w:r>
      <w:r w:rsidRPr="00C6052E">
        <w:t>bond</w:t>
      </w:r>
      <w:r w:rsidR="00177848" w:rsidRPr="00C6052E">
        <w:t xml:space="preserve"> </w:t>
      </w:r>
      <w:r w:rsidRPr="00C6052E">
        <w:t>rates.</w:t>
      </w:r>
    </w:p>
    <w:p w14:paraId="6F2F2474" w14:textId="2AA71680" w:rsidR="00EE5BB8" w:rsidRPr="00C6052E" w:rsidRDefault="00EE5BB8" w:rsidP="00C6052E">
      <w:pPr>
        <w:pStyle w:val="Heading2numbered0"/>
      </w:pPr>
      <w:bookmarkStart w:id="360" w:name="_Ref209609576"/>
      <w:bookmarkStart w:id="361" w:name="_Ref209609583"/>
      <w:r w:rsidRPr="00C6052E">
        <w:t>Non–financial</w:t>
      </w:r>
      <w:r w:rsidR="00177848" w:rsidRPr="00C6052E">
        <w:t xml:space="preserve"> </w:t>
      </w:r>
      <w:r w:rsidRPr="00C6052E">
        <w:t>assets</w:t>
      </w:r>
      <w:r w:rsidR="00177848" w:rsidRPr="00C6052E">
        <w:t xml:space="preserve"> </w:t>
      </w:r>
      <w:r w:rsidRPr="00C6052E">
        <w:t>held</w:t>
      </w:r>
      <w:r w:rsidR="00177848" w:rsidRPr="00C6052E">
        <w:t xml:space="preserve"> </w:t>
      </w:r>
      <w:r w:rsidRPr="00C6052E">
        <w:t>for</w:t>
      </w:r>
      <w:r w:rsidR="00177848" w:rsidRPr="00C6052E">
        <w:t xml:space="preserve"> </w:t>
      </w:r>
      <w:r w:rsidRPr="00C6052E">
        <w:t>sale</w:t>
      </w:r>
      <w:bookmarkEnd w:id="360"/>
      <w:bookmarkEnd w:id="361"/>
    </w:p>
    <w:tbl>
      <w:tblPr>
        <w:tblStyle w:val="TableGrid"/>
        <w:tblW w:w="9634" w:type="dxa"/>
        <w:tblLayout w:type="fixed"/>
        <w:tblLook w:val="04E0" w:firstRow="1" w:lastRow="1" w:firstColumn="1" w:lastColumn="0" w:noHBand="0" w:noVBand="1"/>
      </w:tblPr>
      <w:tblGrid>
        <w:gridCol w:w="6516"/>
        <w:gridCol w:w="1451"/>
        <w:gridCol w:w="1667"/>
      </w:tblGrid>
      <w:tr w:rsidR="00EE5BB8" w:rsidRPr="00C6052E" w14:paraId="554AEF1E" w14:textId="77777777" w:rsidTr="00193B39">
        <w:tc>
          <w:tcPr>
            <w:tcW w:w="6516" w:type="dxa"/>
            <w:noWrap/>
            <w:hideMark/>
          </w:tcPr>
          <w:p w14:paraId="3F9A2731" w14:textId="77777777" w:rsidR="00EE5BB8" w:rsidRPr="00C6052E" w:rsidRDefault="00EE5BB8" w:rsidP="00193B39">
            <w:pPr>
              <w:pStyle w:val="TableColumnHeading"/>
            </w:pPr>
            <w:bookmarkStart w:id="362" w:name="TableColumnHeadings_106"/>
            <w:bookmarkEnd w:id="362"/>
          </w:p>
        </w:tc>
        <w:tc>
          <w:tcPr>
            <w:tcW w:w="1451" w:type="dxa"/>
            <w:hideMark/>
          </w:tcPr>
          <w:p w14:paraId="17DE54C6" w14:textId="679DC778" w:rsidR="00EE5BB8" w:rsidRPr="00C6052E" w:rsidRDefault="00EE5BB8" w:rsidP="00193B39">
            <w:pPr>
              <w:pStyle w:val="TableColumnHeading"/>
              <w:jc w:val="right"/>
            </w:pPr>
            <w:r w:rsidRPr="00C6052E">
              <w:t>2025</w:t>
            </w:r>
            <w:r w:rsidR="00193B39">
              <w:br/>
            </w:r>
            <w:r w:rsidR="00193B39" w:rsidRPr="00C6052E">
              <w:rPr>
                <w:lang w:val="en-AU"/>
              </w:rPr>
              <w:t>($ thousand)</w:t>
            </w:r>
          </w:p>
        </w:tc>
        <w:tc>
          <w:tcPr>
            <w:tcW w:w="1667" w:type="dxa"/>
            <w:hideMark/>
          </w:tcPr>
          <w:p w14:paraId="4766FED4" w14:textId="40A8C54F" w:rsidR="00EE5BB8" w:rsidRPr="00C6052E" w:rsidRDefault="00EE5BB8" w:rsidP="00193B39">
            <w:pPr>
              <w:pStyle w:val="TableColumnHeading"/>
              <w:jc w:val="right"/>
            </w:pPr>
            <w:r w:rsidRPr="00C6052E">
              <w:t>2024</w:t>
            </w:r>
            <w:r w:rsidR="00193B39">
              <w:br/>
            </w:r>
            <w:r w:rsidR="00193B39" w:rsidRPr="00C6052E">
              <w:rPr>
                <w:lang w:val="en-AU"/>
              </w:rPr>
              <w:t>($ thousand)</w:t>
            </w:r>
          </w:p>
        </w:tc>
      </w:tr>
      <w:tr w:rsidR="00193B39" w:rsidRPr="00C6052E" w14:paraId="1E9E1AD5" w14:textId="77777777" w:rsidTr="002F6B24">
        <w:tc>
          <w:tcPr>
            <w:tcW w:w="6516" w:type="dxa"/>
          </w:tcPr>
          <w:p w14:paraId="653021F8" w14:textId="6E79CBF1" w:rsidR="00193B39" w:rsidRPr="00C6052E" w:rsidRDefault="00193B39" w:rsidP="00193B39">
            <w:pPr>
              <w:pStyle w:val="TableHeading"/>
            </w:pPr>
            <w:r w:rsidRPr="00C6052E">
              <w:t>Current assets</w:t>
            </w:r>
          </w:p>
        </w:tc>
        <w:tc>
          <w:tcPr>
            <w:tcW w:w="1451" w:type="dxa"/>
            <w:noWrap/>
          </w:tcPr>
          <w:p w14:paraId="0294250D" w14:textId="77777777" w:rsidR="00193B39" w:rsidRPr="00C6052E" w:rsidRDefault="00193B39" w:rsidP="00193B39">
            <w:pPr>
              <w:pStyle w:val="TableHeading"/>
              <w:jc w:val="right"/>
            </w:pPr>
          </w:p>
        </w:tc>
        <w:tc>
          <w:tcPr>
            <w:tcW w:w="1667" w:type="dxa"/>
            <w:noWrap/>
          </w:tcPr>
          <w:p w14:paraId="085E242A" w14:textId="77777777" w:rsidR="00193B39" w:rsidRPr="00C6052E" w:rsidRDefault="00193B39" w:rsidP="00193B39">
            <w:pPr>
              <w:pStyle w:val="TableHeading"/>
              <w:jc w:val="right"/>
            </w:pPr>
          </w:p>
        </w:tc>
      </w:tr>
      <w:tr w:rsidR="00EE5BB8" w:rsidRPr="00C6052E" w14:paraId="21F726CC" w14:textId="77777777" w:rsidTr="00193B39">
        <w:tc>
          <w:tcPr>
            <w:tcW w:w="6516" w:type="dxa"/>
            <w:hideMark/>
          </w:tcPr>
          <w:p w14:paraId="2BC6B7A8" w14:textId="2E23860C" w:rsidR="00EE5BB8" w:rsidRPr="00C6052E" w:rsidRDefault="00EE5BB8" w:rsidP="0063097D">
            <w:pPr>
              <w:pStyle w:val="TableCopy"/>
            </w:pPr>
            <w:r w:rsidRPr="00C6052E">
              <w:t>Motor</w:t>
            </w:r>
            <w:r w:rsidR="00177848" w:rsidRPr="00C6052E">
              <w:t xml:space="preserve"> </w:t>
            </w:r>
            <w:r w:rsidRPr="00C6052E">
              <w:t>vehicles</w:t>
            </w:r>
            <w:r w:rsidR="00177848" w:rsidRPr="00C6052E">
              <w:t xml:space="preserve"> </w:t>
            </w:r>
            <w:r w:rsidRPr="00C6052E">
              <w:t>held</w:t>
            </w:r>
            <w:r w:rsidR="00177848" w:rsidRPr="00C6052E">
              <w:t xml:space="preserve"> </w:t>
            </w:r>
            <w:r w:rsidRPr="00C6052E">
              <w:t>for</w:t>
            </w:r>
            <w:r w:rsidR="00177848" w:rsidRPr="00C6052E">
              <w:t xml:space="preserve"> </w:t>
            </w:r>
            <w:r w:rsidRPr="00C6052E">
              <w:t>sale</w:t>
            </w:r>
          </w:p>
        </w:tc>
        <w:tc>
          <w:tcPr>
            <w:tcW w:w="1451" w:type="dxa"/>
            <w:noWrap/>
            <w:hideMark/>
          </w:tcPr>
          <w:p w14:paraId="0180840C" w14:textId="77777777" w:rsidR="00EE5BB8" w:rsidRPr="00C6052E" w:rsidRDefault="00EE5BB8" w:rsidP="00193B39">
            <w:pPr>
              <w:pStyle w:val="TableCopy"/>
              <w:jc w:val="right"/>
            </w:pPr>
            <w:r w:rsidRPr="00C6052E">
              <w:t>97</w:t>
            </w:r>
          </w:p>
        </w:tc>
        <w:tc>
          <w:tcPr>
            <w:tcW w:w="1667" w:type="dxa"/>
            <w:noWrap/>
            <w:hideMark/>
          </w:tcPr>
          <w:p w14:paraId="3A5675EF" w14:textId="77777777" w:rsidR="00EE5BB8" w:rsidRPr="00C6052E" w:rsidRDefault="00EE5BB8" w:rsidP="00193B39">
            <w:pPr>
              <w:pStyle w:val="TableCopy"/>
              <w:jc w:val="right"/>
            </w:pPr>
            <w:r w:rsidRPr="00C6052E">
              <w:t>36</w:t>
            </w:r>
          </w:p>
        </w:tc>
      </w:tr>
      <w:tr w:rsidR="00EE5BB8" w:rsidRPr="00C6052E" w14:paraId="51B59A86" w14:textId="77777777" w:rsidTr="00193B39">
        <w:tc>
          <w:tcPr>
            <w:tcW w:w="6516" w:type="dxa"/>
            <w:hideMark/>
          </w:tcPr>
          <w:p w14:paraId="21981E4D" w14:textId="08F9E46B" w:rsidR="00EE5BB8" w:rsidRPr="00C6052E" w:rsidRDefault="00EE5BB8" w:rsidP="0063097D">
            <w:pPr>
              <w:pStyle w:val="TableCopy"/>
            </w:pPr>
            <w:r w:rsidRPr="00C6052E">
              <w:t>Specialised</w:t>
            </w:r>
            <w:r w:rsidR="00177848" w:rsidRPr="00C6052E">
              <w:t xml:space="preserve"> </w:t>
            </w:r>
            <w:r w:rsidRPr="00C6052E">
              <w:t>land</w:t>
            </w:r>
          </w:p>
        </w:tc>
        <w:tc>
          <w:tcPr>
            <w:tcW w:w="1451" w:type="dxa"/>
            <w:noWrap/>
            <w:hideMark/>
          </w:tcPr>
          <w:p w14:paraId="63CF40AB" w14:textId="77777777" w:rsidR="00EE5BB8" w:rsidRPr="00C6052E" w:rsidRDefault="00EE5BB8" w:rsidP="00193B39">
            <w:pPr>
              <w:pStyle w:val="TableCopy"/>
              <w:jc w:val="right"/>
            </w:pPr>
            <w:r w:rsidRPr="00C6052E">
              <w:t>10,640</w:t>
            </w:r>
          </w:p>
        </w:tc>
        <w:tc>
          <w:tcPr>
            <w:tcW w:w="1667" w:type="dxa"/>
            <w:noWrap/>
            <w:hideMark/>
          </w:tcPr>
          <w:p w14:paraId="20F0D204" w14:textId="77777777" w:rsidR="00EE5BB8" w:rsidRPr="00C6052E" w:rsidRDefault="00EE5BB8" w:rsidP="00193B39">
            <w:pPr>
              <w:pStyle w:val="TableCopy"/>
              <w:jc w:val="right"/>
            </w:pPr>
            <w:r w:rsidRPr="00C6052E">
              <w:t>–</w:t>
            </w:r>
          </w:p>
        </w:tc>
      </w:tr>
      <w:tr w:rsidR="00EE5BB8" w:rsidRPr="00C6052E" w14:paraId="4836AAB7" w14:textId="77777777" w:rsidTr="00193B39">
        <w:tc>
          <w:tcPr>
            <w:tcW w:w="6516" w:type="dxa"/>
            <w:hideMark/>
          </w:tcPr>
          <w:p w14:paraId="3EF5F3ED" w14:textId="3D2B6C95" w:rsidR="00EE5BB8" w:rsidRPr="00C6052E" w:rsidRDefault="00EE5BB8" w:rsidP="0063097D">
            <w:pPr>
              <w:pStyle w:val="Tabletotal"/>
            </w:pPr>
            <w:r w:rsidRPr="00C6052E">
              <w:t>Total</w:t>
            </w:r>
            <w:r w:rsidR="00177848" w:rsidRPr="00C6052E">
              <w:t xml:space="preserve"> </w:t>
            </w:r>
            <w:r w:rsidRPr="00C6052E">
              <w:t>non–financial</w:t>
            </w:r>
            <w:r w:rsidR="00177848" w:rsidRPr="00C6052E">
              <w:t xml:space="preserve"> </w:t>
            </w:r>
            <w:r w:rsidRPr="00C6052E">
              <w:t>assets</w:t>
            </w:r>
            <w:r w:rsidR="00177848" w:rsidRPr="00C6052E">
              <w:t xml:space="preserve"> </w:t>
            </w:r>
            <w:r w:rsidRPr="00C6052E">
              <w:t>held</w:t>
            </w:r>
            <w:r w:rsidR="00177848" w:rsidRPr="00C6052E">
              <w:t xml:space="preserve"> </w:t>
            </w:r>
            <w:r w:rsidRPr="00C6052E">
              <w:t>for</w:t>
            </w:r>
            <w:r w:rsidR="00177848" w:rsidRPr="00C6052E">
              <w:t xml:space="preserve"> </w:t>
            </w:r>
            <w:r w:rsidRPr="00C6052E">
              <w:t>sale</w:t>
            </w:r>
          </w:p>
        </w:tc>
        <w:tc>
          <w:tcPr>
            <w:tcW w:w="1451" w:type="dxa"/>
            <w:noWrap/>
            <w:hideMark/>
          </w:tcPr>
          <w:p w14:paraId="7C9B9E7D" w14:textId="77777777" w:rsidR="00EE5BB8" w:rsidRPr="00C6052E" w:rsidRDefault="00EE5BB8" w:rsidP="00193B39">
            <w:pPr>
              <w:pStyle w:val="Tabletotal"/>
              <w:jc w:val="right"/>
            </w:pPr>
            <w:r w:rsidRPr="00C6052E">
              <w:t>10,737</w:t>
            </w:r>
          </w:p>
        </w:tc>
        <w:tc>
          <w:tcPr>
            <w:tcW w:w="1667" w:type="dxa"/>
            <w:noWrap/>
            <w:hideMark/>
          </w:tcPr>
          <w:p w14:paraId="791C27FA" w14:textId="77777777" w:rsidR="00EE5BB8" w:rsidRPr="00C6052E" w:rsidRDefault="00EE5BB8" w:rsidP="00193B39">
            <w:pPr>
              <w:pStyle w:val="Tabletotal"/>
              <w:jc w:val="right"/>
            </w:pPr>
            <w:r w:rsidRPr="00C6052E">
              <w:t>36</w:t>
            </w:r>
          </w:p>
        </w:tc>
      </w:tr>
    </w:tbl>
    <w:p w14:paraId="744002EC" w14:textId="77777777" w:rsidR="00EE5BB8" w:rsidRPr="00C6052E" w:rsidRDefault="00EE5BB8" w:rsidP="00EE5BB8">
      <w:pPr>
        <w:spacing w:after="0"/>
      </w:pPr>
    </w:p>
    <w:p w14:paraId="56BD0CC5" w14:textId="0AE8DFEC" w:rsidR="00EE5BB8" w:rsidRPr="00C6052E" w:rsidRDefault="00EE5BB8" w:rsidP="00193B39">
      <w:pPr>
        <w:pStyle w:val="Heading3"/>
      </w:pPr>
      <w:r w:rsidRPr="00C6052E">
        <w:t>Measurement</w:t>
      </w:r>
      <w:r w:rsidR="00177848" w:rsidRPr="00C6052E">
        <w:t xml:space="preserve"> </w:t>
      </w:r>
      <w:r w:rsidRPr="00C6052E">
        <w:t>of</w:t>
      </w:r>
      <w:r w:rsidR="00177848" w:rsidRPr="00C6052E">
        <w:t xml:space="preserve"> </w:t>
      </w:r>
      <w:r w:rsidRPr="00C6052E">
        <w:t>non–financial</w:t>
      </w:r>
      <w:r w:rsidR="00177848" w:rsidRPr="00C6052E">
        <w:t xml:space="preserve"> </w:t>
      </w:r>
      <w:r w:rsidRPr="00C6052E">
        <w:t>physical</w:t>
      </w:r>
      <w:r w:rsidR="00177848" w:rsidRPr="00C6052E">
        <w:t xml:space="preserve"> </w:t>
      </w:r>
      <w:r w:rsidRPr="00C6052E">
        <w:t>assets</w:t>
      </w:r>
      <w:r w:rsidR="00177848" w:rsidRPr="00C6052E">
        <w:t xml:space="preserve"> </w:t>
      </w:r>
      <w:r w:rsidRPr="00C6052E">
        <w:t>(including</w:t>
      </w:r>
      <w:r w:rsidR="00177848" w:rsidRPr="00C6052E">
        <w:t xml:space="preserve"> </w:t>
      </w:r>
      <w:r w:rsidRPr="00C6052E">
        <w:t>disposal</w:t>
      </w:r>
      <w:r w:rsidR="00177848" w:rsidRPr="00C6052E">
        <w:t xml:space="preserve"> </w:t>
      </w:r>
      <w:r w:rsidRPr="00C6052E">
        <w:t>group</w:t>
      </w:r>
      <w:r w:rsidR="00177848" w:rsidRPr="00C6052E">
        <w:t xml:space="preserve"> </w:t>
      </w:r>
      <w:r w:rsidRPr="00C6052E">
        <w:t>assets)</w:t>
      </w:r>
    </w:p>
    <w:p w14:paraId="2D9FD748" w14:textId="3EF97693" w:rsidR="00EE5BB8" w:rsidRPr="00C6052E" w:rsidRDefault="00EE5BB8" w:rsidP="00EE5BB8">
      <w:r w:rsidRPr="00C6052E">
        <w:t>Non–financial</w:t>
      </w:r>
      <w:r w:rsidR="00177848" w:rsidRPr="00C6052E">
        <w:t xml:space="preserve"> </w:t>
      </w:r>
      <w:r w:rsidRPr="00C6052E">
        <w:t>physical</w:t>
      </w:r>
      <w:r w:rsidR="00177848" w:rsidRPr="00C6052E">
        <w:t xml:space="preserve"> </w:t>
      </w:r>
      <w:r w:rsidRPr="00C6052E">
        <w:t>assets</w:t>
      </w:r>
      <w:r w:rsidR="00177848" w:rsidRPr="00C6052E">
        <w:t xml:space="preserve"> </w:t>
      </w:r>
      <w:r w:rsidRPr="00C6052E">
        <w:t>(including</w:t>
      </w:r>
      <w:r w:rsidR="00177848" w:rsidRPr="00C6052E">
        <w:t xml:space="preserve"> </w:t>
      </w:r>
      <w:r w:rsidRPr="00C6052E">
        <w:t>disposal</w:t>
      </w:r>
      <w:r w:rsidR="00177848" w:rsidRPr="00C6052E">
        <w:t xml:space="preserve"> </w:t>
      </w:r>
      <w:r w:rsidRPr="00C6052E">
        <w:t>group</w:t>
      </w:r>
      <w:r w:rsidR="00177848" w:rsidRPr="00C6052E">
        <w:t xml:space="preserve"> </w:t>
      </w:r>
      <w:r w:rsidRPr="00C6052E">
        <w:t>assets)</w:t>
      </w:r>
      <w:r w:rsidR="00177848" w:rsidRPr="00C6052E">
        <w:t xml:space="preserve"> </w:t>
      </w:r>
      <w:r w:rsidRPr="00C6052E">
        <w:t>are</w:t>
      </w:r>
      <w:r w:rsidR="00177848" w:rsidRPr="00C6052E">
        <w:t xml:space="preserve"> </w:t>
      </w:r>
      <w:r w:rsidRPr="00C6052E">
        <w:t>treated</w:t>
      </w:r>
      <w:r w:rsidR="00177848" w:rsidRPr="00C6052E">
        <w:t xml:space="preserve"> </w:t>
      </w:r>
      <w:r w:rsidRPr="00C6052E">
        <w:t>as</w:t>
      </w:r>
      <w:r w:rsidR="00177848" w:rsidRPr="00C6052E">
        <w:t xml:space="preserve"> </w:t>
      </w:r>
      <w:r w:rsidRPr="00C6052E">
        <w:t>current</w:t>
      </w:r>
      <w:r w:rsidR="00177848" w:rsidRPr="00C6052E">
        <w:t xml:space="preserve"> </w:t>
      </w:r>
      <w:r w:rsidRPr="00C6052E">
        <w:t>and</w:t>
      </w:r>
      <w:r w:rsidR="00177848" w:rsidRPr="00C6052E">
        <w:t xml:space="preserve"> </w:t>
      </w:r>
      <w:r w:rsidRPr="00C6052E">
        <w:t>classified</w:t>
      </w:r>
      <w:r w:rsidR="00177848" w:rsidRPr="00C6052E">
        <w:t xml:space="preserve"> </w:t>
      </w:r>
      <w:r w:rsidRPr="00C6052E">
        <w:t>as</w:t>
      </w:r>
      <w:r w:rsidR="00177848" w:rsidRPr="00C6052E">
        <w:t xml:space="preserve"> </w:t>
      </w:r>
      <w:r w:rsidRPr="00C6052E">
        <w:t>held</w:t>
      </w:r>
      <w:r w:rsidR="00177848" w:rsidRPr="00C6052E">
        <w:t xml:space="preserve"> </w:t>
      </w:r>
      <w:r w:rsidRPr="00C6052E">
        <w:t>for</w:t>
      </w:r>
      <w:r w:rsidR="00177848" w:rsidRPr="00C6052E">
        <w:t xml:space="preserve"> </w:t>
      </w:r>
      <w:r w:rsidRPr="00C6052E">
        <w:t>sale</w:t>
      </w:r>
      <w:r w:rsidR="00177848" w:rsidRPr="00C6052E">
        <w:t xml:space="preserve"> </w:t>
      </w:r>
      <w:r w:rsidRPr="00C6052E">
        <w:t>if</w:t>
      </w:r>
      <w:r w:rsidR="00177848" w:rsidRPr="00C6052E">
        <w:t xml:space="preserve"> </w:t>
      </w:r>
      <w:r w:rsidRPr="00C6052E">
        <w:t>their</w:t>
      </w:r>
      <w:r w:rsidR="00177848" w:rsidRPr="00C6052E">
        <w:t xml:space="preserve"> </w:t>
      </w:r>
      <w:r w:rsidRPr="00C6052E">
        <w:t>carrying</w:t>
      </w:r>
      <w:r w:rsidR="00177848" w:rsidRPr="00C6052E">
        <w:t xml:space="preserve"> </w:t>
      </w:r>
      <w:r w:rsidRPr="00C6052E">
        <w:t>amount</w:t>
      </w:r>
      <w:r w:rsidR="00177848" w:rsidRPr="00C6052E">
        <w:t xml:space="preserve"> </w:t>
      </w:r>
      <w:r w:rsidRPr="00C6052E">
        <w:t>will</w:t>
      </w:r>
      <w:r w:rsidR="00177848" w:rsidRPr="00C6052E">
        <w:t xml:space="preserve"> </w:t>
      </w:r>
      <w:r w:rsidRPr="00C6052E">
        <w:t>be</w:t>
      </w:r>
      <w:r w:rsidR="00177848" w:rsidRPr="00C6052E">
        <w:t xml:space="preserve"> </w:t>
      </w:r>
      <w:r w:rsidRPr="00C6052E">
        <w:t>recovered</w:t>
      </w:r>
      <w:r w:rsidR="00177848" w:rsidRPr="00C6052E">
        <w:t xml:space="preserve"> </w:t>
      </w:r>
      <w:r w:rsidRPr="00C6052E">
        <w:t>through</w:t>
      </w:r>
      <w:r w:rsidR="00177848" w:rsidRPr="00C6052E">
        <w:t xml:space="preserve"> </w:t>
      </w:r>
      <w:r w:rsidRPr="00C6052E">
        <w:t>a</w:t>
      </w:r>
      <w:r w:rsidR="00177848" w:rsidRPr="00C6052E">
        <w:t xml:space="preserve"> </w:t>
      </w:r>
      <w:r w:rsidRPr="00C6052E">
        <w:t>sale</w:t>
      </w:r>
      <w:r w:rsidR="00177848" w:rsidRPr="00C6052E">
        <w:t xml:space="preserve"> </w:t>
      </w:r>
      <w:r w:rsidRPr="00C6052E">
        <w:t>transaction</w:t>
      </w:r>
      <w:r w:rsidR="00177848" w:rsidRPr="00C6052E">
        <w:t xml:space="preserve"> </w:t>
      </w:r>
      <w:r w:rsidRPr="00C6052E">
        <w:t>rather</w:t>
      </w:r>
      <w:r w:rsidR="00177848" w:rsidRPr="00C6052E">
        <w:t xml:space="preserve"> </w:t>
      </w:r>
      <w:r w:rsidRPr="00C6052E">
        <w:t>than</w:t>
      </w:r>
      <w:r w:rsidR="00177848" w:rsidRPr="00C6052E">
        <w:t xml:space="preserve"> </w:t>
      </w:r>
      <w:r w:rsidRPr="00C6052E">
        <w:t>through</w:t>
      </w:r>
      <w:r w:rsidR="00177848" w:rsidRPr="00C6052E">
        <w:t xml:space="preserve"> </w:t>
      </w:r>
      <w:r w:rsidRPr="00C6052E">
        <w:t>continuing</w:t>
      </w:r>
      <w:r w:rsidR="00177848" w:rsidRPr="00C6052E">
        <w:t xml:space="preserve"> </w:t>
      </w:r>
      <w:r w:rsidRPr="00C6052E">
        <w:t>use.</w:t>
      </w:r>
    </w:p>
    <w:p w14:paraId="6812A657" w14:textId="0F3C3EE6" w:rsidR="00EE5BB8" w:rsidRPr="00C6052E" w:rsidRDefault="00EE5BB8" w:rsidP="0028635E">
      <w:pPr>
        <w:pStyle w:val="Normalbeforebullets"/>
      </w:pPr>
      <w:r w:rsidRPr="00C6052E">
        <w:t>This</w:t>
      </w:r>
      <w:r w:rsidR="00177848" w:rsidRPr="00C6052E">
        <w:t xml:space="preserve"> </w:t>
      </w:r>
      <w:r w:rsidRPr="00C6052E">
        <w:t>condition</w:t>
      </w:r>
      <w:r w:rsidR="00177848" w:rsidRPr="00C6052E">
        <w:t xml:space="preserve"> </w:t>
      </w:r>
      <w:r w:rsidRPr="00C6052E">
        <w:t>is</w:t>
      </w:r>
      <w:r w:rsidR="00177848" w:rsidRPr="00C6052E">
        <w:t xml:space="preserve"> </w:t>
      </w:r>
      <w:r w:rsidRPr="00C6052E">
        <w:t>regarded</w:t>
      </w:r>
      <w:r w:rsidR="00177848" w:rsidRPr="00C6052E">
        <w:t xml:space="preserve"> </w:t>
      </w:r>
      <w:r w:rsidRPr="00C6052E">
        <w:t>as</w:t>
      </w:r>
      <w:r w:rsidR="00177848" w:rsidRPr="00C6052E">
        <w:t xml:space="preserve"> </w:t>
      </w:r>
      <w:r w:rsidRPr="00C6052E">
        <w:t>met</w:t>
      </w:r>
      <w:r w:rsidR="00177848" w:rsidRPr="00C6052E">
        <w:t xml:space="preserve"> </w:t>
      </w:r>
      <w:r w:rsidRPr="00C6052E">
        <w:t>only</w:t>
      </w:r>
      <w:r w:rsidR="00177848" w:rsidRPr="00C6052E">
        <w:t xml:space="preserve"> </w:t>
      </w:r>
      <w:r w:rsidRPr="00C6052E">
        <w:t>when:</w:t>
      </w:r>
    </w:p>
    <w:p w14:paraId="2E8458DC" w14:textId="541F9C7B" w:rsidR="00EE5BB8" w:rsidRPr="00C6052E" w:rsidRDefault="00EE5BB8" w:rsidP="00EE5BB8">
      <w:pPr>
        <w:pStyle w:val="Bullet1"/>
        <w:numPr>
          <w:ilvl w:val="0"/>
          <w:numId w:val="1"/>
        </w:numPr>
        <w:spacing w:line="278" w:lineRule="auto"/>
        <w:ind w:left="284" w:hanging="284"/>
        <w:rPr>
          <w:lang w:val="en-AU"/>
        </w:rPr>
      </w:pPr>
      <w:r w:rsidRPr="00C6052E">
        <w:rPr>
          <w:lang w:val="en-AU"/>
        </w:rPr>
        <w:t>the</w:t>
      </w:r>
      <w:r w:rsidR="00177848" w:rsidRPr="00C6052E">
        <w:rPr>
          <w:lang w:val="en-AU"/>
        </w:rPr>
        <w:t xml:space="preserve"> </w:t>
      </w:r>
      <w:r w:rsidRPr="00C6052E">
        <w:rPr>
          <w:lang w:val="en-AU"/>
        </w:rPr>
        <w:t>asset</w:t>
      </w:r>
      <w:r w:rsidR="00177848" w:rsidRPr="00C6052E">
        <w:rPr>
          <w:lang w:val="en-AU"/>
        </w:rPr>
        <w:t xml:space="preserve"> </w:t>
      </w:r>
      <w:r w:rsidRPr="00C6052E">
        <w:rPr>
          <w:lang w:val="en-AU"/>
        </w:rPr>
        <w:t>is</w:t>
      </w:r>
      <w:r w:rsidR="00177848" w:rsidRPr="00C6052E">
        <w:rPr>
          <w:lang w:val="en-AU"/>
        </w:rPr>
        <w:t xml:space="preserve"> </w:t>
      </w:r>
      <w:r w:rsidRPr="00C6052E">
        <w:rPr>
          <w:lang w:val="en-AU"/>
        </w:rPr>
        <w:t>available</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immediate</w:t>
      </w:r>
      <w:r w:rsidR="00177848" w:rsidRPr="00C6052E">
        <w:rPr>
          <w:lang w:val="en-AU"/>
        </w:rPr>
        <w:t xml:space="preserve"> </w:t>
      </w:r>
      <w:r w:rsidRPr="00C6052E">
        <w:rPr>
          <w:lang w:val="en-AU"/>
        </w:rPr>
        <w:t>use</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current</w:t>
      </w:r>
      <w:r w:rsidR="00177848" w:rsidRPr="00C6052E">
        <w:rPr>
          <w:lang w:val="en-AU"/>
        </w:rPr>
        <w:t xml:space="preserve"> </w:t>
      </w:r>
      <w:r w:rsidRPr="00C6052E">
        <w:rPr>
          <w:lang w:val="en-AU"/>
        </w:rPr>
        <w:t>condition</w:t>
      </w:r>
    </w:p>
    <w:p w14:paraId="2651B010" w14:textId="0BDF5D46" w:rsidR="00EE5BB8" w:rsidRPr="00C6052E" w:rsidRDefault="00EE5BB8" w:rsidP="00EE5BB8">
      <w:pPr>
        <w:pStyle w:val="Bullet1last"/>
        <w:numPr>
          <w:ilvl w:val="0"/>
          <w:numId w:val="1"/>
        </w:numPr>
        <w:spacing w:line="278" w:lineRule="auto"/>
        <w:ind w:left="284" w:hanging="284"/>
        <w:rPr>
          <w:lang w:val="en-AU"/>
        </w:rPr>
      </w:pPr>
      <w:r w:rsidRPr="00C6052E">
        <w:rPr>
          <w:lang w:val="en-AU"/>
        </w:rPr>
        <w:t>the</w:t>
      </w:r>
      <w:r w:rsidR="00177848" w:rsidRPr="00C6052E">
        <w:rPr>
          <w:lang w:val="en-AU"/>
        </w:rPr>
        <w:t xml:space="preserve"> </w:t>
      </w:r>
      <w:r w:rsidRPr="00C6052E">
        <w:rPr>
          <w:lang w:val="en-AU"/>
        </w:rPr>
        <w:t>sale</w:t>
      </w:r>
      <w:r w:rsidR="00177848" w:rsidRPr="00C6052E">
        <w:rPr>
          <w:lang w:val="en-AU"/>
        </w:rPr>
        <w:t xml:space="preserve"> </w:t>
      </w:r>
      <w:r w:rsidRPr="00C6052E">
        <w:rPr>
          <w:lang w:val="en-AU"/>
        </w:rPr>
        <w:t>is</w:t>
      </w:r>
      <w:r w:rsidR="00177848" w:rsidRPr="00C6052E">
        <w:rPr>
          <w:lang w:val="en-AU"/>
        </w:rPr>
        <w:t xml:space="preserve"> </w:t>
      </w:r>
      <w:r w:rsidRPr="00C6052E">
        <w:rPr>
          <w:lang w:val="en-AU"/>
        </w:rPr>
        <w:t>highly</w:t>
      </w:r>
      <w:r w:rsidR="00177848" w:rsidRPr="00C6052E">
        <w:rPr>
          <w:lang w:val="en-AU"/>
        </w:rPr>
        <w:t xml:space="preserve"> </w:t>
      </w:r>
      <w:r w:rsidRPr="00C6052E">
        <w:rPr>
          <w:lang w:val="en-AU"/>
        </w:rPr>
        <w:t>probable</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asset’s</w:t>
      </w:r>
      <w:r w:rsidR="00177848" w:rsidRPr="00C6052E">
        <w:rPr>
          <w:lang w:val="en-AU"/>
        </w:rPr>
        <w:t xml:space="preserve"> </w:t>
      </w:r>
      <w:r w:rsidRPr="00C6052E">
        <w:rPr>
          <w:lang w:val="en-AU"/>
        </w:rPr>
        <w:t>sale</w:t>
      </w:r>
      <w:r w:rsidR="00177848" w:rsidRPr="00C6052E">
        <w:rPr>
          <w:lang w:val="en-AU"/>
        </w:rPr>
        <w:t xml:space="preserve"> </w:t>
      </w:r>
      <w:r w:rsidRPr="00C6052E">
        <w:rPr>
          <w:lang w:val="en-AU"/>
        </w:rPr>
        <w:t>is</w:t>
      </w:r>
      <w:r w:rsidR="00177848" w:rsidRPr="00C6052E">
        <w:rPr>
          <w:lang w:val="en-AU"/>
        </w:rPr>
        <w:t xml:space="preserve"> </w:t>
      </w:r>
      <w:r w:rsidRPr="00C6052E">
        <w:rPr>
          <w:lang w:val="en-AU"/>
        </w:rPr>
        <w:t>expected</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be</w:t>
      </w:r>
      <w:r w:rsidR="00177848" w:rsidRPr="00C6052E">
        <w:rPr>
          <w:lang w:val="en-AU"/>
        </w:rPr>
        <w:t xml:space="preserve"> </w:t>
      </w:r>
      <w:r w:rsidRPr="00C6052E">
        <w:rPr>
          <w:lang w:val="en-AU"/>
        </w:rPr>
        <w:t>completed</w:t>
      </w:r>
      <w:r w:rsidR="00177848" w:rsidRPr="00C6052E">
        <w:rPr>
          <w:lang w:val="en-AU"/>
        </w:rPr>
        <w:t xml:space="preserve"> </w:t>
      </w:r>
      <w:r w:rsidRPr="00C6052E">
        <w:rPr>
          <w:lang w:val="en-AU"/>
        </w:rPr>
        <w:t>within</w:t>
      </w:r>
      <w:r w:rsidR="00177848" w:rsidRPr="00C6052E">
        <w:rPr>
          <w:lang w:val="en-AU"/>
        </w:rPr>
        <w:t xml:space="preserve"> </w:t>
      </w:r>
      <w:r w:rsidRPr="00C6052E">
        <w:rPr>
          <w:lang w:val="en-AU"/>
        </w:rPr>
        <w:t>12</w:t>
      </w:r>
      <w:r w:rsidR="00177848" w:rsidRPr="00C6052E">
        <w:rPr>
          <w:lang w:val="en-AU"/>
        </w:rPr>
        <w:t xml:space="preserve"> </w:t>
      </w:r>
      <w:r w:rsidRPr="00C6052E">
        <w:rPr>
          <w:lang w:val="en-AU"/>
        </w:rPr>
        <w:t>months</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date</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classification.</w:t>
      </w:r>
    </w:p>
    <w:p w14:paraId="26DC1BDF" w14:textId="58AF2C71" w:rsidR="00EE5BB8" w:rsidRPr="00C6052E" w:rsidRDefault="00EE5BB8" w:rsidP="00EE5BB8">
      <w:r w:rsidRPr="00C6052E">
        <w:t>These</w:t>
      </w:r>
      <w:r w:rsidR="00177848" w:rsidRPr="00C6052E">
        <w:t xml:space="preserve"> </w:t>
      </w:r>
      <w:r w:rsidRPr="00C6052E">
        <w:t>non–financial</w:t>
      </w:r>
      <w:r w:rsidR="00177848" w:rsidRPr="00C6052E">
        <w:t xml:space="preserve"> </w:t>
      </w:r>
      <w:r w:rsidRPr="00C6052E">
        <w:t>physical</w:t>
      </w:r>
      <w:r w:rsidR="00177848" w:rsidRPr="00C6052E">
        <w:t xml:space="preserve"> </w:t>
      </w:r>
      <w:r w:rsidRPr="00C6052E">
        <w:t>assets,</w:t>
      </w:r>
      <w:r w:rsidR="00177848" w:rsidRPr="00C6052E">
        <w:t xml:space="preserve"> </w:t>
      </w:r>
      <w:r w:rsidRPr="00C6052E">
        <w:t>related</w:t>
      </w:r>
      <w:r w:rsidR="00177848" w:rsidRPr="00C6052E">
        <w:t xml:space="preserve"> </w:t>
      </w:r>
      <w:r w:rsidRPr="00C6052E">
        <w:t>liabilities</w:t>
      </w:r>
      <w:r w:rsidR="00177848" w:rsidRPr="00C6052E">
        <w:t xml:space="preserve"> </w:t>
      </w:r>
      <w:r w:rsidRPr="00C6052E">
        <w:t>and</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are</w:t>
      </w:r>
      <w:r w:rsidR="00177848" w:rsidRPr="00C6052E">
        <w:t xml:space="preserve"> </w:t>
      </w:r>
      <w:r w:rsidRPr="00C6052E">
        <w:t>measured</w:t>
      </w:r>
      <w:r w:rsidR="00177848" w:rsidRPr="00C6052E">
        <w:t xml:space="preserve"> </w:t>
      </w:r>
      <w:r w:rsidRPr="00C6052E">
        <w:t>at</w:t>
      </w:r>
      <w:r w:rsidR="00177848" w:rsidRPr="00C6052E">
        <w:t xml:space="preserve"> </w:t>
      </w:r>
      <w:r w:rsidRPr="00C6052E">
        <w:t>the</w:t>
      </w:r>
      <w:r w:rsidR="00177848" w:rsidRPr="00C6052E">
        <w:t xml:space="preserve"> </w:t>
      </w:r>
      <w:r w:rsidRPr="00C6052E">
        <w:t>lower</w:t>
      </w:r>
      <w:r w:rsidR="00177848" w:rsidRPr="00C6052E">
        <w:t xml:space="preserve"> </w:t>
      </w:r>
      <w:r w:rsidRPr="00C6052E">
        <w:t>of</w:t>
      </w:r>
      <w:r w:rsidR="00177848" w:rsidRPr="00C6052E">
        <w:t xml:space="preserve"> </w:t>
      </w:r>
      <w:r w:rsidRPr="00C6052E">
        <w:t>carrying</w:t>
      </w:r>
      <w:r w:rsidR="00177848" w:rsidRPr="00C6052E">
        <w:t xml:space="preserve"> </w:t>
      </w:r>
      <w:r w:rsidRPr="00C6052E">
        <w:t>amount</w:t>
      </w:r>
      <w:r w:rsidR="00177848" w:rsidRPr="00C6052E">
        <w:t xml:space="preserve"> </w:t>
      </w:r>
      <w:r w:rsidRPr="00C6052E">
        <w:t>and</w:t>
      </w:r>
      <w:r w:rsidR="00177848" w:rsidRPr="00C6052E">
        <w:t xml:space="preserve"> </w:t>
      </w:r>
      <w:r w:rsidRPr="00C6052E">
        <w:t>fair</w:t>
      </w:r>
      <w:r w:rsidR="00177848" w:rsidRPr="00C6052E">
        <w:t xml:space="preserve"> </w:t>
      </w:r>
      <w:r w:rsidRPr="00C6052E">
        <w:t>value</w:t>
      </w:r>
      <w:r w:rsidR="00177848" w:rsidRPr="00C6052E">
        <w:t xml:space="preserve"> </w:t>
      </w:r>
      <w:r w:rsidRPr="00C6052E">
        <w:t>less</w:t>
      </w:r>
      <w:r w:rsidR="00177848" w:rsidRPr="00C6052E">
        <w:t xml:space="preserve"> </w:t>
      </w:r>
      <w:r w:rsidRPr="00C6052E">
        <w:t>costs</w:t>
      </w:r>
      <w:r w:rsidR="00177848" w:rsidRPr="00C6052E">
        <w:t xml:space="preserve"> </w:t>
      </w:r>
      <w:r w:rsidRPr="00C6052E">
        <w:t>to</w:t>
      </w:r>
      <w:r w:rsidR="00177848" w:rsidRPr="00C6052E">
        <w:t xml:space="preserve"> </w:t>
      </w:r>
      <w:r w:rsidRPr="00C6052E">
        <w:t>sell</w:t>
      </w:r>
      <w:r w:rsidR="00177848" w:rsidRPr="00C6052E">
        <w:t xml:space="preserve"> </w:t>
      </w:r>
      <w:r w:rsidRPr="00C6052E">
        <w:t>and</w:t>
      </w:r>
      <w:r w:rsidR="00177848" w:rsidRPr="00C6052E">
        <w:t xml:space="preserve"> </w:t>
      </w:r>
      <w:r w:rsidRPr="00C6052E">
        <w:t>are</w:t>
      </w:r>
      <w:r w:rsidR="00177848" w:rsidRPr="00C6052E">
        <w:t xml:space="preserve"> </w:t>
      </w:r>
      <w:r w:rsidRPr="00C6052E">
        <w:t>not</w:t>
      </w:r>
      <w:r w:rsidR="00177848" w:rsidRPr="00C6052E">
        <w:t xml:space="preserve"> </w:t>
      </w:r>
      <w:r w:rsidRPr="00C6052E">
        <w:t>subject</w:t>
      </w:r>
      <w:r w:rsidR="00177848" w:rsidRPr="00C6052E">
        <w:t xml:space="preserve"> </w:t>
      </w:r>
      <w:r w:rsidRPr="00C6052E">
        <w:t>to</w:t>
      </w:r>
      <w:r w:rsidR="00177848" w:rsidRPr="00C6052E">
        <w:t xml:space="preserve"> </w:t>
      </w:r>
      <w:r w:rsidRPr="00C6052E">
        <w:t>depreciation</w:t>
      </w:r>
      <w:r w:rsidR="00177848" w:rsidRPr="00C6052E">
        <w:t xml:space="preserve"> </w:t>
      </w:r>
      <w:r w:rsidRPr="00C6052E">
        <w:t>or</w:t>
      </w:r>
      <w:r w:rsidR="00177848" w:rsidRPr="00C6052E">
        <w:t xml:space="preserve"> </w:t>
      </w:r>
      <w:r w:rsidRPr="00C6052E">
        <w:t>amortisation.</w:t>
      </w:r>
    </w:p>
    <w:p w14:paraId="65260D7B" w14:textId="73121B6F" w:rsidR="00EE5BB8" w:rsidRPr="00C6052E" w:rsidRDefault="00EE5BB8" w:rsidP="00EE5BB8">
      <w:r w:rsidRPr="00C6052E">
        <w:t>Freehold</w:t>
      </w:r>
      <w:r w:rsidR="00177848" w:rsidRPr="00C6052E">
        <w:t xml:space="preserve"> </w:t>
      </w:r>
      <w:r w:rsidRPr="00C6052E">
        <w:t>land</w:t>
      </w:r>
      <w:r w:rsidR="00177848" w:rsidRPr="00C6052E">
        <w:t xml:space="preserve"> </w:t>
      </w:r>
      <w:r w:rsidRPr="00C6052E">
        <w:t>held</w:t>
      </w:r>
      <w:r w:rsidR="00177848" w:rsidRPr="00C6052E">
        <w:t xml:space="preserve"> </w:t>
      </w:r>
      <w:r w:rsidRPr="00C6052E">
        <w:t>for</w:t>
      </w:r>
      <w:r w:rsidR="00177848" w:rsidRPr="00C6052E">
        <w:t xml:space="preserve"> </w:t>
      </w:r>
      <w:r w:rsidRPr="00C6052E">
        <w:t>sale</w:t>
      </w:r>
      <w:r w:rsidR="00177848" w:rsidRPr="00C6052E">
        <w:t xml:space="preserve"> </w:t>
      </w:r>
      <w:r w:rsidRPr="00C6052E">
        <w:t>is</w:t>
      </w:r>
      <w:r w:rsidR="00177848" w:rsidRPr="00C6052E">
        <w:t xml:space="preserve"> </w:t>
      </w:r>
      <w:r w:rsidRPr="00C6052E">
        <w:t>carried</w:t>
      </w:r>
      <w:r w:rsidR="00177848" w:rsidRPr="00C6052E">
        <w:t xml:space="preserve"> </w:t>
      </w:r>
      <w:r w:rsidRPr="00C6052E">
        <w:t>at</w:t>
      </w:r>
      <w:r w:rsidR="00177848" w:rsidRPr="00C6052E">
        <w:t xml:space="preserve"> </w:t>
      </w:r>
      <w:r w:rsidRPr="00C6052E">
        <w:t>fair</w:t>
      </w:r>
      <w:r w:rsidR="00177848" w:rsidRPr="00C6052E">
        <w:t xml:space="preserve"> </w:t>
      </w:r>
      <w:r w:rsidRPr="00C6052E">
        <w:t>value</w:t>
      </w:r>
      <w:r w:rsidR="00177848" w:rsidRPr="00C6052E">
        <w:t xml:space="preserve"> </w:t>
      </w:r>
      <w:r w:rsidRPr="00C6052E">
        <w:t>less</w:t>
      </w:r>
      <w:r w:rsidR="00177848" w:rsidRPr="00C6052E">
        <w:t xml:space="preserve"> </w:t>
      </w:r>
      <w:r w:rsidRPr="00C6052E">
        <w:t>costs</w:t>
      </w:r>
      <w:r w:rsidR="00177848" w:rsidRPr="00C6052E">
        <w:t xml:space="preserve"> </w:t>
      </w:r>
      <w:r w:rsidRPr="00C6052E">
        <w:t>to</w:t>
      </w:r>
      <w:r w:rsidR="00177848" w:rsidRPr="00C6052E">
        <w:t xml:space="preserve"> </w:t>
      </w:r>
      <w:r w:rsidRPr="00C6052E">
        <w:t>disposal.</w:t>
      </w:r>
      <w:r w:rsidR="00177848" w:rsidRPr="00C6052E">
        <w:t xml:space="preserve"> </w:t>
      </w:r>
      <w:r w:rsidRPr="00C6052E">
        <w:t>Refer</w:t>
      </w:r>
      <w:r w:rsidR="00177848" w:rsidRPr="00C6052E">
        <w:t xml:space="preserve"> </w:t>
      </w:r>
      <w:r w:rsidRPr="00C6052E">
        <w:t>to</w:t>
      </w:r>
      <w:r w:rsidR="00177848" w:rsidRPr="00C6052E">
        <w:t xml:space="preserve"> </w:t>
      </w:r>
      <w:r w:rsidRPr="00C6052E">
        <w:t>Note</w:t>
      </w:r>
      <w:r w:rsidR="00177848" w:rsidRPr="00C6052E">
        <w:t xml:space="preserve"> </w:t>
      </w:r>
      <w:r w:rsidRPr="00C6052E">
        <w:fldChar w:fldCharType="begin"/>
      </w:r>
      <w:r w:rsidRPr="00C6052E">
        <w:instrText xml:space="preserve"> REF _Ref161754185 \r \h </w:instrText>
      </w:r>
      <w:r w:rsidRPr="00C6052E">
        <w:fldChar w:fldCharType="separate"/>
      </w:r>
      <w:r w:rsidRPr="00C6052E">
        <w:t>8.3.2</w:t>
      </w:r>
      <w:r w:rsidRPr="00C6052E">
        <w:fldChar w:fldCharType="end"/>
      </w:r>
      <w:r w:rsidR="00177848" w:rsidRPr="00C6052E">
        <w:t xml:space="preserve"> </w:t>
      </w:r>
      <w:r w:rsidRPr="00C6052E">
        <w:t>for</w:t>
      </w:r>
      <w:r w:rsidR="00177848" w:rsidRPr="00C6052E">
        <w:t xml:space="preserve"> </w:t>
      </w:r>
      <w:r w:rsidRPr="00C6052E">
        <w:t>the</w:t>
      </w:r>
      <w:r w:rsidR="00177848" w:rsidRPr="00C6052E">
        <w:t xml:space="preserve"> </w:t>
      </w:r>
      <w:r w:rsidRPr="00C6052E">
        <w:t>valuation</w:t>
      </w:r>
      <w:r w:rsidR="00177848" w:rsidRPr="00C6052E">
        <w:t xml:space="preserve"> </w:t>
      </w:r>
      <w:r w:rsidRPr="00C6052E">
        <w:t>technique</w:t>
      </w:r>
      <w:r w:rsidR="00177848" w:rsidRPr="00C6052E">
        <w:t xml:space="preserve"> </w:t>
      </w:r>
      <w:r w:rsidRPr="00C6052E">
        <w:t>applied</w:t>
      </w:r>
      <w:r w:rsidR="00177848" w:rsidRPr="00C6052E">
        <w:t xml:space="preserve"> </w:t>
      </w:r>
      <w:r w:rsidRPr="00C6052E">
        <w:t>to</w:t>
      </w:r>
      <w:r w:rsidR="00177848" w:rsidRPr="00C6052E">
        <w:t xml:space="preserve"> </w:t>
      </w:r>
      <w:r w:rsidRPr="00C6052E">
        <w:t>non–specialised</w:t>
      </w:r>
      <w:r w:rsidR="00177848" w:rsidRPr="00C6052E">
        <w:t xml:space="preserve"> </w:t>
      </w:r>
      <w:r w:rsidRPr="00C6052E">
        <w:t>land.</w:t>
      </w:r>
    </w:p>
    <w:p w14:paraId="7FE00EDB" w14:textId="33AD411B" w:rsidR="00EE5BB8" w:rsidRPr="00C6052E" w:rsidRDefault="00EE5BB8" w:rsidP="00C6052E">
      <w:pPr>
        <w:pStyle w:val="Heading2numbered0"/>
      </w:pPr>
      <w:bookmarkStart w:id="363" w:name="_Toc163565996"/>
      <w:bookmarkStart w:id="364" w:name="_Ref209609375"/>
      <w:bookmarkStart w:id="365" w:name="_Ref209609385"/>
      <w:bookmarkStart w:id="366" w:name="_Ref209706943"/>
      <w:bookmarkStart w:id="367" w:name="_Ref209706958"/>
      <w:r w:rsidRPr="00C6052E">
        <w:lastRenderedPageBreak/>
        <w:t>Equity</w:t>
      </w:r>
      <w:r w:rsidR="00177848" w:rsidRPr="00C6052E">
        <w:t xml:space="preserve"> </w:t>
      </w:r>
      <w:r w:rsidRPr="00C6052E">
        <w:t>disclosure</w:t>
      </w:r>
      <w:bookmarkEnd w:id="363"/>
      <w:bookmarkEnd w:id="364"/>
      <w:bookmarkEnd w:id="365"/>
      <w:bookmarkEnd w:id="366"/>
      <w:bookmarkEnd w:id="367"/>
    </w:p>
    <w:p w14:paraId="51A6EC55" w14:textId="524E12A8" w:rsidR="00EE5BB8" w:rsidRPr="00C6052E" w:rsidRDefault="00C6052E" w:rsidP="00193B39">
      <w:pPr>
        <w:pStyle w:val="TableHeading"/>
      </w:pPr>
      <w:r w:rsidRPr="00C6052E">
        <w:t>Contributed</w:t>
      </w:r>
      <w:r w:rsidR="00177848" w:rsidRPr="00C6052E">
        <w:t xml:space="preserve"> </w:t>
      </w:r>
      <w:r w:rsidRPr="00C6052E">
        <w:t>capital</w:t>
      </w:r>
    </w:p>
    <w:tbl>
      <w:tblPr>
        <w:tblStyle w:val="TableGrid"/>
        <w:tblW w:w="9634" w:type="dxa"/>
        <w:tblLayout w:type="fixed"/>
        <w:tblLook w:val="04E0" w:firstRow="1" w:lastRow="1" w:firstColumn="1" w:lastColumn="0" w:noHBand="0" w:noVBand="1"/>
      </w:tblPr>
      <w:tblGrid>
        <w:gridCol w:w="6658"/>
        <w:gridCol w:w="1488"/>
        <w:gridCol w:w="1488"/>
      </w:tblGrid>
      <w:tr w:rsidR="00EE5BB8" w:rsidRPr="00C6052E" w14:paraId="0D6291B7" w14:textId="77777777" w:rsidTr="00030B7E">
        <w:tc>
          <w:tcPr>
            <w:tcW w:w="6658" w:type="dxa"/>
            <w:noWrap/>
          </w:tcPr>
          <w:p w14:paraId="270A4B68" w14:textId="77777777" w:rsidR="00EE5BB8" w:rsidRPr="00C6052E" w:rsidRDefault="00EE5BB8" w:rsidP="00030B7E">
            <w:pPr>
              <w:pStyle w:val="TableColumnHeading"/>
            </w:pPr>
            <w:bookmarkStart w:id="368" w:name="TableColumnHeadings_107"/>
            <w:bookmarkEnd w:id="368"/>
          </w:p>
        </w:tc>
        <w:tc>
          <w:tcPr>
            <w:tcW w:w="1488" w:type="dxa"/>
            <w:hideMark/>
          </w:tcPr>
          <w:p w14:paraId="50FBA9D3" w14:textId="0F91BEBA" w:rsidR="00EE5BB8" w:rsidRPr="00C6052E" w:rsidRDefault="00EE5BB8" w:rsidP="00030B7E">
            <w:pPr>
              <w:pStyle w:val="TableColumnHeading"/>
              <w:jc w:val="right"/>
            </w:pPr>
            <w:r w:rsidRPr="00C6052E">
              <w:t>2025</w:t>
            </w:r>
            <w:r w:rsidR="00030B7E">
              <w:br/>
            </w:r>
            <w:r w:rsidR="00030B7E" w:rsidRPr="00C6052E">
              <w:rPr>
                <w:lang w:val="en-AU"/>
              </w:rPr>
              <w:t>($ thousand)</w:t>
            </w:r>
          </w:p>
        </w:tc>
        <w:tc>
          <w:tcPr>
            <w:tcW w:w="1488" w:type="dxa"/>
            <w:hideMark/>
          </w:tcPr>
          <w:p w14:paraId="61AEE3B5" w14:textId="0AF764B0" w:rsidR="00EE5BB8" w:rsidRPr="00C6052E" w:rsidRDefault="00EE5BB8" w:rsidP="00030B7E">
            <w:pPr>
              <w:pStyle w:val="TableColumnHeading"/>
              <w:jc w:val="right"/>
            </w:pPr>
            <w:r w:rsidRPr="00C6052E">
              <w:t>2024</w:t>
            </w:r>
            <w:r w:rsidR="00030B7E">
              <w:br/>
            </w:r>
            <w:r w:rsidR="00030B7E" w:rsidRPr="00C6052E">
              <w:rPr>
                <w:lang w:val="en-AU"/>
              </w:rPr>
              <w:t>($ thousand)</w:t>
            </w:r>
          </w:p>
        </w:tc>
      </w:tr>
      <w:tr w:rsidR="00EE5BB8" w:rsidRPr="00C6052E" w14:paraId="39B33BE3" w14:textId="77777777" w:rsidTr="00030B7E">
        <w:tc>
          <w:tcPr>
            <w:tcW w:w="6658" w:type="dxa"/>
            <w:noWrap/>
            <w:hideMark/>
          </w:tcPr>
          <w:p w14:paraId="197CCFBB" w14:textId="013BAC40" w:rsidR="00EE5BB8" w:rsidRPr="00C6052E" w:rsidRDefault="00EE5BB8" w:rsidP="007D0236">
            <w:pPr>
              <w:pStyle w:val="Tabletotal"/>
              <w:keepNext/>
            </w:pPr>
            <w:r w:rsidRPr="00C6052E">
              <w:t>Balance</w:t>
            </w:r>
            <w:r w:rsidR="00177848" w:rsidRPr="00C6052E">
              <w:t xml:space="preserve"> </w:t>
            </w:r>
            <w:r w:rsidRPr="00C6052E">
              <w:t>at</w:t>
            </w:r>
            <w:r w:rsidR="00177848" w:rsidRPr="00C6052E">
              <w:t xml:space="preserve"> </w:t>
            </w:r>
            <w:r w:rsidRPr="00C6052E">
              <w:t>beginning</w:t>
            </w:r>
            <w:r w:rsidR="00177848" w:rsidRPr="00C6052E">
              <w:t xml:space="preserve"> </w:t>
            </w:r>
            <w:r w:rsidRPr="00C6052E">
              <w:t>of</w:t>
            </w:r>
            <w:r w:rsidR="00177848" w:rsidRPr="00C6052E">
              <w:t xml:space="preserve"> </w:t>
            </w:r>
            <w:r w:rsidRPr="00C6052E">
              <w:t>year</w:t>
            </w:r>
          </w:p>
        </w:tc>
        <w:tc>
          <w:tcPr>
            <w:tcW w:w="1488" w:type="dxa"/>
            <w:noWrap/>
            <w:hideMark/>
          </w:tcPr>
          <w:p w14:paraId="6439FFE4" w14:textId="77777777" w:rsidR="00EE5BB8" w:rsidRPr="00C6052E" w:rsidRDefault="00EE5BB8" w:rsidP="007D0236">
            <w:pPr>
              <w:pStyle w:val="Tabletotal"/>
              <w:keepNext/>
              <w:jc w:val="right"/>
            </w:pPr>
            <w:r w:rsidRPr="00C6052E">
              <w:t>263,088</w:t>
            </w:r>
          </w:p>
        </w:tc>
        <w:tc>
          <w:tcPr>
            <w:tcW w:w="1488" w:type="dxa"/>
            <w:noWrap/>
            <w:hideMark/>
          </w:tcPr>
          <w:p w14:paraId="201AA832" w14:textId="77777777" w:rsidR="00EE5BB8" w:rsidRPr="00C6052E" w:rsidRDefault="00EE5BB8" w:rsidP="007D0236">
            <w:pPr>
              <w:pStyle w:val="Tabletotal"/>
              <w:keepNext/>
              <w:jc w:val="right"/>
            </w:pPr>
            <w:r w:rsidRPr="00C6052E">
              <w:t>895,410</w:t>
            </w:r>
          </w:p>
        </w:tc>
      </w:tr>
      <w:tr w:rsidR="00EE5BB8" w:rsidRPr="00C6052E" w14:paraId="053096AA" w14:textId="77777777" w:rsidTr="00030B7E">
        <w:tc>
          <w:tcPr>
            <w:tcW w:w="6658" w:type="dxa"/>
            <w:hideMark/>
          </w:tcPr>
          <w:p w14:paraId="2C0D565F" w14:textId="29AB7B04" w:rsidR="00EE5BB8" w:rsidRPr="00C6052E" w:rsidRDefault="00EE5BB8" w:rsidP="0063097D">
            <w:pPr>
              <w:pStyle w:val="TableCopy"/>
            </w:pPr>
            <w:r w:rsidRPr="00C6052E">
              <w:t>Capital</w:t>
            </w:r>
            <w:r w:rsidR="00177848" w:rsidRPr="00C6052E">
              <w:t xml:space="preserve"> </w:t>
            </w:r>
            <w:r w:rsidRPr="00C6052E">
              <w:t>appropriations</w:t>
            </w:r>
            <w:r w:rsidR="00177848" w:rsidRPr="00C6052E">
              <w:t xml:space="preserve"> </w:t>
            </w:r>
          </w:p>
        </w:tc>
        <w:tc>
          <w:tcPr>
            <w:tcW w:w="1488" w:type="dxa"/>
            <w:noWrap/>
            <w:hideMark/>
          </w:tcPr>
          <w:p w14:paraId="16B74B5D" w14:textId="77777777" w:rsidR="00EE5BB8" w:rsidRPr="00C6052E" w:rsidRDefault="00EE5BB8" w:rsidP="00030B7E">
            <w:pPr>
              <w:pStyle w:val="TableCopy"/>
              <w:jc w:val="right"/>
            </w:pPr>
            <w:r w:rsidRPr="00C6052E">
              <w:t>386,558</w:t>
            </w:r>
          </w:p>
        </w:tc>
        <w:tc>
          <w:tcPr>
            <w:tcW w:w="1488" w:type="dxa"/>
            <w:noWrap/>
            <w:hideMark/>
          </w:tcPr>
          <w:p w14:paraId="10D2E1E4" w14:textId="77777777" w:rsidR="00EE5BB8" w:rsidRPr="00C6052E" w:rsidRDefault="00EE5BB8" w:rsidP="00030B7E">
            <w:pPr>
              <w:pStyle w:val="TableCopy"/>
              <w:jc w:val="right"/>
            </w:pPr>
            <w:r w:rsidRPr="00C6052E">
              <w:t>171,405</w:t>
            </w:r>
          </w:p>
        </w:tc>
      </w:tr>
      <w:tr w:rsidR="00EE5BB8" w:rsidRPr="00C6052E" w14:paraId="314B52A7" w14:textId="77777777" w:rsidTr="00030B7E">
        <w:tc>
          <w:tcPr>
            <w:tcW w:w="6658" w:type="dxa"/>
            <w:hideMark/>
          </w:tcPr>
          <w:p w14:paraId="34109907" w14:textId="47FAD3F7" w:rsidR="00EE5BB8" w:rsidRPr="00C6052E" w:rsidRDefault="00EE5BB8" w:rsidP="0063097D">
            <w:pPr>
              <w:pStyle w:val="TableCopy"/>
            </w:pPr>
            <w:r w:rsidRPr="00C6052E">
              <w:t>Capital</w:t>
            </w:r>
            <w:r w:rsidR="00177848" w:rsidRPr="00C6052E">
              <w:t xml:space="preserve"> </w:t>
            </w:r>
            <w:r w:rsidRPr="00C6052E">
              <w:t>funding</w:t>
            </w:r>
            <w:r w:rsidR="00177848" w:rsidRPr="00C6052E">
              <w:t xml:space="preserve"> </w:t>
            </w:r>
            <w:r w:rsidRPr="00C6052E">
              <w:t>to</w:t>
            </w:r>
            <w:r w:rsidR="00177848" w:rsidRPr="00C6052E">
              <w:t xml:space="preserve"> </w:t>
            </w:r>
            <w:r w:rsidRPr="00C6052E">
              <w:t>agencies</w:t>
            </w:r>
            <w:r w:rsidR="00177848" w:rsidRPr="00C6052E">
              <w:t xml:space="preserve"> </w:t>
            </w:r>
            <w:r w:rsidRPr="00C6052E">
              <w:t>within</w:t>
            </w:r>
            <w:r w:rsidR="00177848" w:rsidRPr="00C6052E">
              <w:t xml:space="preserve"> </w:t>
            </w:r>
            <w:r w:rsidRPr="00C6052E">
              <w:t>portfolio</w:t>
            </w:r>
            <w:r w:rsidR="00177848" w:rsidRPr="00C6052E">
              <w:t xml:space="preserve"> </w:t>
            </w:r>
          </w:p>
        </w:tc>
        <w:tc>
          <w:tcPr>
            <w:tcW w:w="1488" w:type="dxa"/>
            <w:noWrap/>
            <w:hideMark/>
          </w:tcPr>
          <w:p w14:paraId="7BCB6DE4" w14:textId="77777777" w:rsidR="00EE5BB8" w:rsidRPr="00C6052E" w:rsidRDefault="00EE5BB8" w:rsidP="00030B7E">
            <w:pPr>
              <w:pStyle w:val="TableCopy"/>
              <w:jc w:val="right"/>
            </w:pPr>
            <w:r w:rsidRPr="00C6052E">
              <w:t>(450,881)</w:t>
            </w:r>
          </w:p>
        </w:tc>
        <w:tc>
          <w:tcPr>
            <w:tcW w:w="1488" w:type="dxa"/>
            <w:noWrap/>
            <w:hideMark/>
          </w:tcPr>
          <w:p w14:paraId="4643C78D" w14:textId="77777777" w:rsidR="00EE5BB8" w:rsidRPr="00C6052E" w:rsidRDefault="00EE5BB8" w:rsidP="00030B7E">
            <w:pPr>
              <w:pStyle w:val="TableCopy"/>
              <w:jc w:val="right"/>
            </w:pPr>
            <w:r w:rsidRPr="00C6052E">
              <w:t>(323,308)</w:t>
            </w:r>
          </w:p>
        </w:tc>
      </w:tr>
      <w:tr w:rsidR="00EE5BB8" w:rsidRPr="00C6052E" w14:paraId="4B8647C0" w14:textId="77777777" w:rsidTr="00030B7E">
        <w:tc>
          <w:tcPr>
            <w:tcW w:w="6658" w:type="dxa"/>
            <w:hideMark/>
          </w:tcPr>
          <w:p w14:paraId="31AE8FC2" w14:textId="7C8F14C3" w:rsidR="00EE5BB8" w:rsidRPr="00C6052E" w:rsidRDefault="00EE5BB8" w:rsidP="0063097D">
            <w:pPr>
              <w:pStyle w:val="TableCopy"/>
            </w:pPr>
            <w:r w:rsidRPr="00C6052E">
              <w:t>Sec</w:t>
            </w:r>
            <w:r w:rsidR="00177848" w:rsidRPr="00C6052E">
              <w:t xml:space="preserve"> </w:t>
            </w:r>
            <w:r w:rsidRPr="00C6052E">
              <w:t>53</w:t>
            </w:r>
            <w:r w:rsidR="00177848" w:rsidRPr="00C6052E">
              <w:t xml:space="preserve"> </w:t>
            </w:r>
            <w:r w:rsidRPr="00C6052E">
              <w:t>(1)(b)</w:t>
            </w:r>
            <w:r w:rsidR="00177848" w:rsidRPr="00C6052E">
              <w:t xml:space="preserve"> </w:t>
            </w:r>
            <w:r w:rsidRPr="00C6052E">
              <w:t>entity</w:t>
            </w:r>
            <w:r w:rsidR="00177848" w:rsidRPr="00C6052E">
              <w:t xml:space="preserve"> </w:t>
            </w:r>
            <w:r w:rsidRPr="00C6052E">
              <w:t>no</w:t>
            </w:r>
            <w:r w:rsidR="00177848" w:rsidRPr="00C6052E">
              <w:t xml:space="preserve"> </w:t>
            </w:r>
            <w:r w:rsidRPr="00C6052E">
              <w:t>longer</w:t>
            </w:r>
            <w:r w:rsidR="00177848" w:rsidRPr="00C6052E">
              <w:t xml:space="preserve"> </w:t>
            </w:r>
            <w:r w:rsidRPr="00C6052E">
              <w:t>consolidated</w:t>
            </w:r>
            <w:r w:rsidR="00177848" w:rsidRPr="00C6052E">
              <w:t xml:space="preserve"> </w:t>
            </w:r>
          </w:p>
        </w:tc>
        <w:tc>
          <w:tcPr>
            <w:tcW w:w="1488" w:type="dxa"/>
            <w:noWrap/>
            <w:hideMark/>
          </w:tcPr>
          <w:p w14:paraId="10CDDD12" w14:textId="77777777" w:rsidR="00EE5BB8" w:rsidRPr="00C6052E" w:rsidRDefault="00EE5BB8" w:rsidP="00030B7E">
            <w:pPr>
              <w:pStyle w:val="TableCopy"/>
              <w:jc w:val="right"/>
            </w:pPr>
            <w:r w:rsidRPr="00C6052E">
              <w:t>(112)</w:t>
            </w:r>
          </w:p>
        </w:tc>
        <w:tc>
          <w:tcPr>
            <w:tcW w:w="1488" w:type="dxa"/>
            <w:noWrap/>
            <w:hideMark/>
          </w:tcPr>
          <w:p w14:paraId="44A6BBFA" w14:textId="77777777" w:rsidR="00EE5BB8" w:rsidRPr="00C6052E" w:rsidRDefault="00EE5BB8" w:rsidP="00030B7E">
            <w:pPr>
              <w:pStyle w:val="TableCopy"/>
              <w:jc w:val="right"/>
            </w:pPr>
            <w:r w:rsidRPr="00C6052E">
              <w:t>113</w:t>
            </w:r>
          </w:p>
        </w:tc>
      </w:tr>
      <w:tr w:rsidR="00EE5BB8" w:rsidRPr="00C6052E" w14:paraId="3A090265" w14:textId="77777777" w:rsidTr="00030B7E">
        <w:tc>
          <w:tcPr>
            <w:tcW w:w="6658" w:type="dxa"/>
            <w:hideMark/>
          </w:tcPr>
          <w:p w14:paraId="797B7A19" w14:textId="23A3A150" w:rsidR="00EE5BB8" w:rsidRPr="00C6052E" w:rsidRDefault="00EE5BB8" w:rsidP="0063097D">
            <w:pPr>
              <w:pStyle w:val="TableCopy"/>
            </w:pPr>
            <w:r w:rsidRPr="00C6052E">
              <w:t>Return</w:t>
            </w:r>
            <w:r w:rsidR="00177848" w:rsidRPr="00C6052E">
              <w:t xml:space="preserve"> </w:t>
            </w:r>
            <w:r w:rsidRPr="00C6052E">
              <w:t>of</w:t>
            </w:r>
            <w:r w:rsidR="00177848" w:rsidRPr="00C6052E">
              <w:t xml:space="preserve"> </w:t>
            </w:r>
            <w:r w:rsidRPr="00C6052E">
              <w:t>capital</w:t>
            </w:r>
            <w:r w:rsidR="00177848" w:rsidRPr="00C6052E">
              <w:t xml:space="preserve"> </w:t>
            </w:r>
          </w:p>
        </w:tc>
        <w:tc>
          <w:tcPr>
            <w:tcW w:w="1488" w:type="dxa"/>
            <w:noWrap/>
            <w:hideMark/>
          </w:tcPr>
          <w:p w14:paraId="1107F9C3" w14:textId="77777777" w:rsidR="00EE5BB8" w:rsidRPr="00C6052E" w:rsidRDefault="00EE5BB8" w:rsidP="00030B7E">
            <w:pPr>
              <w:pStyle w:val="TableCopy"/>
              <w:jc w:val="right"/>
            </w:pPr>
            <w:r w:rsidRPr="00C6052E">
              <w:t>(48,360)</w:t>
            </w:r>
          </w:p>
        </w:tc>
        <w:tc>
          <w:tcPr>
            <w:tcW w:w="1488" w:type="dxa"/>
            <w:noWrap/>
            <w:hideMark/>
          </w:tcPr>
          <w:p w14:paraId="7A0557DF" w14:textId="77777777" w:rsidR="00EE5BB8" w:rsidRPr="00C6052E" w:rsidRDefault="00EE5BB8" w:rsidP="00030B7E">
            <w:pPr>
              <w:pStyle w:val="TableCopy"/>
              <w:jc w:val="right"/>
            </w:pPr>
            <w:r w:rsidRPr="00C6052E">
              <w:t>–</w:t>
            </w:r>
          </w:p>
        </w:tc>
      </w:tr>
      <w:tr w:rsidR="00EE5BB8" w:rsidRPr="00C6052E" w14:paraId="5B879AC8" w14:textId="77777777" w:rsidTr="00030B7E">
        <w:tc>
          <w:tcPr>
            <w:tcW w:w="6658" w:type="dxa"/>
            <w:hideMark/>
          </w:tcPr>
          <w:p w14:paraId="06ADA440" w14:textId="40D37243" w:rsidR="00EE5BB8" w:rsidRPr="00C6052E" w:rsidRDefault="00EE5BB8" w:rsidP="0063097D">
            <w:pPr>
              <w:pStyle w:val="TableCopy"/>
            </w:pPr>
            <w:r w:rsidRPr="00C6052E">
              <w:t>Capital</w:t>
            </w:r>
            <w:r w:rsidR="00177848" w:rsidRPr="00C6052E">
              <w:t xml:space="preserve"> </w:t>
            </w:r>
            <w:r w:rsidRPr="00C6052E">
              <w:t>funding</w:t>
            </w:r>
            <w:r w:rsidR="00177848" w:rsidRPr="00C6052E">
              <w:t xml:space="preserve"> </w:t>
            </w:r>
            <w:r w:rsidRPr="00C6052E">
              <w:t>from</w:t>
            </w:r>
            <w:r w:rsidR="00177848" w:rsidRPr="00C6052E">
              <w:t xml:space="preserve"> </w:t>
            </w:r>
            <w:r w:rsidRPr="00C6052E">
              <w:t>outside</w:t>
            </w:r>
            <w:r w:rsidR="00177848" w:rsidRPr="00C6052E">
              <w:t xml:space="preserve"> </w:t>
            </w:r>
            <w:r w:rsidRPr="00C6052E">
              <w:t>portfolio</w:t>
            </w:r>
            <w:r w:rsidRPr="00C6052E">
              <w:rPr>
                <w:vertAlign w:val="superscript"/>
              </w:rPr>
              <w:t>(i)</w:t>
            </w:r>
          </w:p>
        </w:tc>
        <w:tc>
          <w:tcPr>
            <w:tcW w:w="1488" w:type="dxa"/>
            <w:noWrap/>
            <w:hideMark/>
          </w:tcPr>
          <w:p w14:paraId="4E82F0A2" w14:textId="77777777" w:rsidR="00EE5BB8" w:rsidRPr="00C6052E" w:rsidRDefault="00EE5BB8" w:rsidP="00030B7E">
            <w:pPr>
              <w:pStyle w:val="TableCopy"/>
              <w:jc w:val="right"/>
            </w:pPr>
            <w:r w:rsidRPr="00C6052E">
              <w:t>(45,500)</w:t>
            </w:r>
          </w:p>
        </w:tc>
        <w:tc>
          <w:tcPr>
            <w:tcW w:w="1488" w:type="dxa"/>
            <w:noWrap/>
            <w:hideMark/>
          </w:tcPr>
          <w:p w14:paraId="10565856" w14:textId="77777777" w:rsidR="00EE5BB8" w:rsidRPr="00C6052E" w:rsidRDefault="00EE5BB8" w:rsidP="00030B7E">
            <w:pPr>
              <w:pStyle w:val="TableCopy"/>
              <w:jc w:val="right"/>
            </w:pPr>
            <w:r w:rsidRPr="00C6052E">
              <w:t>–</w:t>
            </w:r>
          </w:p>
        </w:tc>
      </w:tr>
      <w:tr w:rsidR="00EE5BB8" w:rsidRPr="00C6052E" w14:paraId="02990D12" w14:textId="77777777" w:rsidTr="00030B7E">
        <w:tc>
          <w:tcPr>
            <w:tcW w:w="6658" w:type="dxa"/>
            <w:hideMark/>
          </w:tcPr>
          <w:p w14:paraId="7C49C5B1" w14:textId="76490437" w:rsidR="00EE5BB8" w:rsidRPr="00C6052E" w:rsidRDefault="00EE5BB8" w:rsidP="0063097D">
            <w:pPr>
              <w:pStyle w:val="TableCopy"/>
            </w:pPr>
            <w:r w:rsidRPr="00C6052E">
              <w:t>Administrative</w:t>
            </w:r>
            <w:r w:rsidR="00177848" w:rsidRPr="00C6052E">
              <w:t xml:space="preserve"> </w:t>
            </w:r>
            <w:r w:rsidRPr="00C6052E">
              <w:t>restructure</w:t>
            </w:r>
            <w:r w:rsidR="00177848" w:rsidRPr="00C6052E">
              <w:t xml:space="preserve"> </w:t>
            </w:r>
            <w:r w:rsidRPr="00C6052E">
              <w:t>–</w:t>
            </w:r>
            <w:r w:rsidR="00177848" w:rsidRPr="00C6052E">
              <w:t xml:space="preserve"> </w:t>
            </w:r>
            <w:r w:rsidRPr="00C6052E">
              <w:t>net</w:t>
            </w:r>
            <w:r w:rsidR="00177848" w:rsidRPr="00C6052E">
              <w:t xml:space="preserve"> </w:t>
            </w:r>
            <w:r w:rsidRPr="00C6052E">
              <w:t>assets</w:t>
            </w:r>
            <w:r w:rsidR="00177848" w:rsidRPr="00C6052E">
              <w:t xml:space="preserve"> </w:t>
            </w:r>
            <w:r w:rsidRPr="00C6052E">
              <w:t>transferred</w:t>
            </w:r>
            <w:r w:rsidR="00177848" w:rsidRPr="00C6052E">
              <w:t xml:space="preserve"> </w:t>
            </w:r>
          </w:p>
        </w:tc>
        <w:tc>
          <w:tcPr>
            <w:tcW w:w="1488" w:type="dxa"/>
            <w:noWrap/>
            <w:hideMark/>
          </w:tcPr>
          <w:p w14:paraId="35320BBE" w14:textId="77777777" w:rsidR="00EE5BB8" w:rsidRPr="00C6052E" w:rsidRDefault="00EE5BB8" w:rsidP="00030B7E">
            <w:pPr>
              <w:pStyle w:val="TableCopy"/>
              <w:jc w:val="right"/>
            </w:pPr>
            <w:r w:rsidRPr="00C6052E">
              <w:t>–</w:t>
            </w:r>
          </w:p>
        </w:tc>
        <w:tc>
          <w:tcPr>
            <w:tcW w:w="1488" w:type="dxa"/>
            <w:noWrap/>
            <w:hideMark/>
          </w:tcPr>
          <w:p w14:paraId="5BF935FD" w14:textId="77777777" w:rsidR="00EE5BB8" w:rsidRPr="00C6052E" w:rsidRDefault="00EE5BB8" w:rsidP="00030B7E">
            <w:pPr>
              <w:pStyle w:val="TableCopy"/>
              <w:jc w:val="right"/>
            </w:pPr>
            <w:r w:rsidRPr="00C6052E">
              <w:t>(480,532)</w:t>
            </w:r>
          </w:p>
        </w:tc>
      </w:tr>
      <w:tr w:rsidR="00EE5BB8" w:rsidRPr="00C6052E" w14:paraId="2B5A49DB" w14:textId="77777777" w:rsidTr="00030B7E">
        <w:tc>
          <w:tcPr>
            <w:tcW w:w="6658" w:type="dxa"/>
            <w:hideMark/>
          </w:tcPr>
          <w:p w14:paraId="44971D11" w14:textId="7592E2C3" w:rsidR="00EE5BB8" w:rsidRPr="00C6052E" w:rsidRDefault="00EE5BB8" w:rsidP="0063097D">
            <w:pPr>
              <w:pStyle w:val="Tabletotal"/>
            </w:pPr>
            <w:r w:rsidRPr="00C6052E">
              <w:t>Balance</w:t>
            </w:r>
            <w:r w:rsidR="00177848" w:rsidRPr="00C6052E">
              <w:t xml:space="preserve"> </w:t>
            </w:r>
            <w:r w:rsidRPr="00C6052E">
              <w:t>at</w:t>
            </w:r>
            <w:r w:rsidR="00177848" w:rsidRPr="00C6052E">
              <w:t xml:space="preserve"> </w:t>
            </w:r>
            <w:r w:rsidRPr="00C6052E">
              <w:t>end</w:t>
            </w:r>
            <w:r w:rsidR="00177848" w:rsidRPr="00C6052E">
              <w:t xml:space="preserve"> </w:t>
            </w:r>
            <w:r w:rsidRPr="00C6052E">
              <w:t>of</w:t>
            </w:r>
            <w:r w:rsidR="00177848" w:rsidRPr="00C6052E">
              <w:t xml:space="preserve"> </w:t>
            </w:r>
            <w:r w:rsidRPr="00C6052E">
              <w:t>year</w:t>
            </w:r>
          </w:p>
        </w:tc>
        <w:tc>
          <w:tcPr>
            <w:tcW w:w="1488" w:type="dxa"/>
            <w:noWrap/>
            <w:hideMark/>
          </w:tcPr>
          <w:p w14:paraId="7442F17D" w14:textId="77777777" w:rsidR="00EE5BB8" w:rsidRPr="00C6052E" w:rsidRDefault="00EE5BB8" w:rsidP="00030B7E">
            <w:pPr>
              <w:pStyle w:val="Tabletotal"/>
              <w:jc w:val="right"/>
            </w:pPr>
            <w:r w:rsidRPr="00C6052E">
              <w:t>104,793</w:t>
            </w:r>
          </w:p>
        </w:tc>
        <w:tc>
          <w:tcPr>
            <w:tcW w:w="1488" w:type="dxa"/>
            <w:noWrap/>
            <w:hideMark/>
          </w:tcPr>
          <w:p w14:paraId="473730DC" w14:textId="77777777" w:rsidR="00EE5BB8" w:rsidRPr="00C6052E" w:rsidRDefault="00EE5BB8" w:rsidP="00030B7E">
            <w:pPr>
              <w:pStyle w:val="Tabletotal"/>
              <w:jc w:val="right"/>
            </w:pPr>
            <w:r w:rsidRPr="00C6052E">
              <w:t>263,088</w:t>
            </w:r>
          </w:p>
        </w:tc>
      </w:tr>
    </w:tbl>
    <w:p w14:paraId="41D0198B" w14:textId="77C7DBE7" w:rsidR="00EE5BB8" w:rsidRPr="00C6052E" w:rsidRDefault="00EE5BB8" w:rsidP="00030B7E">
      <w:pPr>
        <w:pStyle w:val="Tablenotes-numbered"/>
        <w:numPr>
          <w:ilvl w:val="0"/>
          <w:numId w:val="39"/>
        </w:numPr>
        <w:spacing w:after="240"/>
      </w:pPr>
      <w:r w:rsidRPr="00C6052E">
        <w:t>This</w:t>
      </w:r>
      <w:r w:rsidR="00177848" w:rsidRPr="00C6052E">
        <w:t xml:space="preserve"> </w:t>
      </w:r>
      <w:r w:rsidRPr="00C6052E">
        <w:t>amount</w:t>
      </w:r>
      <w:r w:rsidR="00177848" w:rsidRPr="00C6052E">
        <w:t xml:space="preserve"> </w:t>
      </w:r>
      <w:r w:rsidRPr="00C6052E">
        <w:t>represents</w:t>
      </w:r>
      <w:r w:rsidR="00177848" w:rsidRPr="00C6052E">
        <w:t xml:space="preserve"> </w:t>
      </w:r>
      <w:r w:rsidRPr="00C6052E">
        <w:t>a</w:t>
      </w:r>
      <w:r w:rsidR="00177848" w:rsidRPr="00C6052E">
        <w:t xml:space="preserve"> </w:t>
      </w:r>
      <w:r w:rsidRPr="00C6052E">
        <w:t>pass</w:t>
      </w:r>
      <w:r w:rsidR="00177848" w:rsidRPr="00C6052E">
        <w:t xml:space="preserve"> </w:t>
      </w:r>
      <w:r w:rsidRPr="00C6052E">
        <w:t>through</w:t>
      </w:r>
      <w:r w:rsidR="00177848" w:rsidRPr="00C6052E">
        <w:t xml:space="preserve"> </w:t>
      </w:r>
      <w:r w:rsidRPr="00C6052E">
        <w:t>of</w:t>
      </w:r>
      <w:r w:rsidR="00177848" w:rsidRPr="00C6052E">
        <w:t xml:space="preserve"> </w:t>
      </w:r>
      <w:r w:rsidRPr="00C6052E">
        <w:t>contributed</w:t>
      </w:r>
      <w:r w:rsidR="00177848" w:rsidRPr="00C6052E">
        <w:t xml:space="preserve"> </w:t>
      </w:r>
      <w:r w:rsidRPr="00C6052E">
        <w:t>capital</w:t>
      </w:r>
      <w:r w:rsidR="00177848" w:rsidRPr="00C6052E">
        <w:t xml:space="preserve"> </w:t>
      </w:r>
      <w:r w:rsidRPr="00C6052E">
        <w:t>from</w:t>
      </w:r>
      <w:r w:rsidR="00177848" w:rsidRPr="00C6052E">
        <w:t xml:space="preserve"> </w:t>
      </w:r>
      <w:r w:rsidRPr="00C6052E">
        <w:t>Department</w:t>
      </w:r>
      <w:r w:rsidR="00177848" w:rsidRPr="00C6052E">
        <w:t xml:space="preserve"> </w:t>
      </w:r>
      <w:r w:rsidRPr="00C6052E">
        <w:t>of</w:t>
      </w:r>
      <w:r w:rsidR="00177848" w:rsidRPr="00C6052E">
        <w:t xml:space="preserve"> </w:t>
      </w:r>
      <w:r w:rsidRPr="00C6052E">
        <w:t>Transport</w:t>
      </w:r>
      <w:r w:rsidR="00177848" w:rsidRPr="00C6052E">
        <w:t xml:space="preserve"> </w:t>
      </w:r>
      <w:r w:rsidRPr="00C6052E">
        <w:t>to</w:t>
      </w:r>
      <w:r w:rsidR="00177848" w:rsidRPr="00C6052E">
        <w:t xml:space="preserve"> </w:t>
      </w:r>
      <w:r w:rsidRPr="00C6052E">
        <w:t>the</w:t>
      </w:r>
      <w:r w:rsidR="00177848" w:rsidRPr="00C6052E">
        <w:t xml:space="preserve"> </w:t>
      </w:r>
      <w:r w:rsidRPr="00C6052E">
        <w:t>National</w:t>
      </w:r>
      <w:r w:rsidR="00177848" w:rsidRPr="00C6052E">
        <w:t xml:space="preserve"> </w:t>
      </w:r>
      <w:r w:rsidRPr="00C6052E">
        <w:t>Gallery</w:t>
      </w:r>
      <w:r w:rsidR="00177848" w:rsidRPr="00C6052E">
        <w:t xml:space="preserve"> </w:t>
      </w:r>
      <w:r w:rsidRPr="00C6052E">
        <w:t>of</w:t>
      </w:r>
      <w:r w:rsidR="00177848" w:rsidRPr="00C6052E">
        <w:t xml:space="preserve"> </w:t>
      </w:r>
      <w:r w:rsidRPr="00C6052E">
        <w:t>Victoria.</w:t>
      </w:r>
    </w:p>
    <w:p w14:paraId="6770D22B" w14:textId="1F7A6CEB" w:rsidR="00EE5BB8" w:rsidRPr="00C6052E" w:rsidRDefault="00C6052E" w:rsidP="00030B7E">
      <w:pPr>
        <w:pStyle w:val="TableHeading"/>
      </w:pPr>
      <w:r w:rsidRPr="00C6052E">
        <w:t>Capital</w:t>
      </w:r>
      <w:r w:rsidR="00177848" w:rsidRPr="00C6052E">
        <w:t xml:space="preserve"> </w:t>
      </w:r>
      <w:r w:rsidRPr="00C6052E">
        <w:t>fundings</w:t>
      </w:r>
      <w:r w:rsidR="00177848" w:rsidRPr="00C6052E">
        <w:t xml:space="preserve"> </w:t>
      </w:r>
      <w:r w:rsidRPr="00C6052E">
        <w:t>to</w:t>
      </w:r>
      <w:r w:rsidR="00177848" w:rsidRPr="00C6052E">
        <w:t xml:space="preserve"> </w:t>
      </w:r>
      <w:r w:rsidRPr="00C6052E">
        <w:t>agencies</w:t>
      </w:r>
      <w:r w:rsidR="00177848" w:rsidRPr="00C6052E">
        <w:t xml:space="preserve"> </w:t>
      </w:r>
      <w:r w:rsidRPr="00C6052E">
        <w:t>within</w:t>
      </w:r>
      <w:r w:rsidR="00177848" w:rsidRPr="00C6052E">
        <w:t xml:space="preserve"> </w:t>
      </w:r>
      <w:r w:rsidRPr="00C6052E">
        <w:t>portfolio</w:t>
      </w:r>
      <w:r w:rsidR="00177848" w:rsidRPr="00C6052E">
        <w:t xml:space="preserve"> </w:t>
      </w:r>
    </w:p>
    <w:tbl>
      <w:tblPr>
        <w:tblStyle w:val="TableGrid"/>
        <w:tblW w:w="9634" w:type="dxa"/>
        <w:tblLayout w:type="fixed"/>
        <w:tblLook w:val="04E0" w:firstRow="1" w:lastRow="1" w:firstColumn="1" w:lastColumn="0" w:noHBand="0" w:noVBand="1"/>
      </w:tblPr>
      <w:tblGrid>
        <w:gridCol w:w="6658"/>
        <w:gridCol w:w="1488"/>
        <w:gridCol w:w="1488"/>
      </w:tblGrid>
      <w:tr w:rsidR="00EE5BB8" w:rsidRPr="00C6052E" w14:paraId="58DF6EEC" w14:textId="77777777" w:rsidTr="00030B7E">
        <w:trPr>
          <w:tblHeader/>
        </w:trPr>
        <w:tc>
          <w:tcPr>
            <w:tcW w:w="6658" w:type="dxa"/>
            <w:noWrap/>
          </w:tcPr>
          <w:p w14:paraId="3824D4D8" w14:textId="77777777" w:rsidR="00EE5BB8" w:rsidRPr="00C6052E" w:rsidRDefault="00EE5BB8" w:rsidP="00030B7E">
            <w:pPr>
              <w:pStyle w:val="TableColumnHeading"/>
            </w:pPr>
            <w:bookmarkStart w:id="369" w:name="TableColumnHeadings_108"/>
            <w:bookmarkEnd w:id="369"/>
          </w:p>
        </w:tc>
        <w:tc>
          <w:tcPr>
            <w:tcW w:w="1488" w:type="dxa"/>
            <w:hideMark/>
          </w:tcPr>
          <w:p w14:paraId="780633FA" w14:textId="0883D014" w:rsidR="00EE5BB8" w:rsidRPr="00C6052E" w:rsidRDefault="00EE5BB8" w:rsidP="00030B7E">
            <w:pPr>
              <w:pStyle w:val="TableColumnHeading"/>
              <w:jc w:val="right"/>
            </w:pPr>
            <w:r w:rsidRPr="00C6052E">
              <w:t>2025</w:t>
            </w:r>
            <w:r w:rsidR="00030B7E">
              <w:br/>
            </w:r>
            <w:r w:rsidR="00030B7E" w:rsidRPr="00C6052E">
              <w:rPr>
                <w:lang w:val="en-AU"/>
              </w:rPr>
              <w:t>($ thousand)</w:t>
            </w:r>
          </w:p>
        </w:tc>
        <w:tc>
          <w:tcPr>
            <w:tcW w:w="1488" w:type="dxa"/>
            <w:hideMark/>
          </w:tcPr>
          <w:p w14:paraId="210506B7" w14:textId="46DCD16A" w:rsidR="00EE5BB8" w:rsidRPr="00C6052E" w:rsidRDefault="00EE5BB8" w:rsidP="00030B7E">
            <w:pPr>
              <w:pStyle w:val="TableColumnHeading"/>
              <w:jc w:val="right"/>
            </w:pPr>
            <w:r w:rsidRPr="00C6052E">
              <w:t>2024</w:t>
            </w:r>
            <w:r w:rsidR="00030B7E">
              <w:br/>
            </w:r>
            <w:r w:rsidR="00030B7E" w:rsidRPr="00C6052E">
              <w:rPr>
                <w:lang w:val="en-AU"/>
              </w:rPr>
              <w:t>($ thousand)</w:t>
            </w:r>
          </w:p>
        </w:tc>
      </w:tr>
      <w:tr w:rsidR="00EE5BB8" w:rsidRPr="00C6052E" w14:paraId="1C92B114" w14:textId="77777777" w:rsidTr="00030B7E">
        <w:tc>
          <w:tcPr>
            <w:tcW w:w="6658" w:type="dxa"/>
            <w:hideMark/>
          </w:tcPr>
          <w:p w14:paraId="0EAF48C7" w14:textId="773FCF34" w:rsidR="00EE5BB8" w:rsidRPr="00C6052E" w:rsidRDefault="00EE5BB8" w:rsidP="0063097D">
            <w:pPr>
              <w:pStyle w:val="TableCopy"/>
            </w:pPr>
            <w:r w:rsidRPr="00C6052E">
              <w:t>State</w:t>
            </w:r>
            <w:r w:rsidR="00177848" w:rsidRPr="00C6052E">
              <w:t xml:space="preserve"> </w:t>
            </w:r>
            <w:r w:rsidRPr="00C6052E">
              <w:t>Sports</w:t>
            </w:r>
            <w:r w:rsidR="00177848" w:rsidRPr="00C6052E">
              <w:t xml:space="preserve"> </w:t>
            </w:r>
            <w:r w:rsidRPr="00C6052E">
              <w:t>Centre</w:t>
            </w:r>
            <w:r w:rsidR="00177848" w:rsidRPr="00C6052E">
              <w:t xml:space="preserve"> </w:t>
            </w:r>
            <w:r w:rsidRPr="00C6052E">
              <w:t>Trust</w:t>
            </w:r>
          </w:p>
        </w:tc>
        <w:tc>
          <w:tcPr>
            <w:tcW w:w="1488" w:type="dxa"/>
            <w:noWrap/>
            <w:hideMark/>
          </w:tcPr>
          <w:p w14:paraId="7587A320" w14:textId="77777777" w:rsidR="00EE5BB8" w:rsidRPr="00C6052E" w:rsidRDefault="00EE5BB8" w:rsidP="00030B7E">
            <w:pPr>
              <w:pStyle w:val="TableCopy"/>
              <w:jc w:val="right"/>
            </w:pPr>
            <w:r w:rsidRPr="00C6052E">
              <w:t>(27,590)</w:t>
            </w:r>
          </w:p>
        </w:tc>
        <w:tc>
          <w:tcPr>
            <w:tcW w:w="1488" w:type="dxa"/>
            <w:noWrap/>
            <w:hideMark/>
          </w:tcPr>
          <w:p w14:paraId="6F8A029A" w14:textId="77777777" w:rsidR="00EE5BB8" w:rsidRPr="00C6052E" w:rsidRDefault="00EE5BB8" w:rsidP="00030B7E">
            <w:pPr>
              <w:pStyle w:val="TableCopy"/>
              <w:jc w:val="right"/>
            </w:pPr>
            <w:r w:rsidRPr="00C6052E">
              <w:t>(11,480)</w:t>
            </w:r>
          </w:p>
        </w:tc>
      </w:tr>
      <w:tr w:rsidR="00EE5BB8" w:rsidRPr="00C6052E" w14:paraId="6465CAC0" w14:textId="77777777" w:rsidTr="00030B7E">
        <w:tc>
          <w:tcPr>
            <w:tcW w:w="6658" w:type="dxa"/>
            <w:hideMark/>
          </w:tcPr>
          <w:p w14:paraId="42A00BBB" w14:textId="66E5B272" w:rsidR="00EE5BB8" w:rsidRPr="00C6052E" w:rsidRDefault="00EE5BB8" w:rsidP="0063097D">
            <w:pPr>
              <w:pStyle w:val="TableCopy"/>
            </w:pPr>
            <w:r w:rsidRPr="00C6052E">
              <w:t>Museums</w:t>
            </w:r>
            <w:r w:rsidR="00177848" w:rsidRPr="00C6052E">
              <w:t xml:space="preserve"> </w:t>
            </w:r>
            <w:r w:rsidRPr="00C6052E">
              <w:t>Board</w:t>
            </w:r>
            <w:r w:rsidR="00177848" w:rsidRPr="00C6052E">
              <w:t xml:space="preserve"> </w:t>
            </w:r>
            <w:r w:rsidRPr="00C6052E">
              <w:t>of</w:t>
            </w:r>
            <w:r w:rsidR="00177848" w:rsidRPr="00C6052E">
              <w:t xml:space="preserve"> </w:t>
            </w:r>
            <w:r w:rsidRPr="00C6052E">
              <w:t>Victoria</w:t>
            </w:r>
            <w:r w:rsidR="00177848" w:rsidRPr="00C6052E">
              <w:t xml:space="preserve"> </w:t>
            </w:r>
          </w:p>
        </w:tc>
        <w:tc>
          <w:tcPr>
            <w:tcW w:w="1488" w:type="dxa"/>
            <w:noWrap/>
            <w:hideMark/>
          </w:tcPr>
          <w:p w14:paraId="10EED902" w14:textId="77777777" w:rsidR="00EE5BB8" w:rsidRPr="00C6052E" w:rsidRDefault="00EE5BB8" w:rsidP="00030B7E">
            <w:pPr>
              <w:pStyle w:val="TableCopy"/>
              <w:jc w:val="right"/>
            </w:pPr>
            <w:r w:rsidRPr="00C6052E">
              <w:t>(1,519)</w:t>
            </w:r>
          </w:p>
        </w:tc>
        <w:tc>
          <w:tcPr>
            <w:tcW w:w="1488" w:type="dxa"/>
            <w:noWrap/>
            <w:hideMark/>
          </w:tcPr>
          <w:p w14:paraId="3607CD90" w14:textId="77777777" w:rsidR="00EE5BB8" w:rsidRPr="00C6052E" w:rsidRDefault="00EE5BB8" w:rsidP="00030B7E">
            <w:pPr>
              <w:pStyle w:val="TableCopy"/>
              <w:jc w:val="right"/>
            </w:pPr>
            <w:r w:rsidRPr="00C6052E">
              <w:t>(937)</w:t>
            </w:r>
          </w:p>
        </w:tc>
      </w:tr>
      <w:tr w:rsidR="00EE5BB8" w:rsidRPr="00C6052E" w14:paraId="67C7DDB0" w14:textId="77777777" w:rsidTr="00030B7E">
        <w:tc>
          <w:tcPr>
            <w:tcW w:w="6658" w:type="dxa"/>
            <w:hideMark/>
          </w:tcPr>
          <w:p w14:paraId="302025DB" w14:textId="5A4A87FA" w:rsidR="00EE5BB8" w:rsidRPr="00C6052E" w:rsidRDefault="00EE5BB8" w:rsidP="0063097D">
            <w:pPr>
              <w:pStyle w:val="TableCopy"/>
            </w:pPr>
            <w:r w:rsidRPr="00C6052E">
              <w:t>Victorian</w:t>
            </w:r>
            <w:r w:rsidR="00177848" w:rsidRPr="00C6052E">
              <w:t xml:space="preserve"> </w:t>
            </w:r>
            <w:r w:rsidRPr="00C6052E">
              <w:t>Arts</w:t>
            </w:r>
            <w:r w:rsidR="00177848" w:rsidRPr="00C6052E">
              <w:t xml:space="preserve"> </w:t>
            </w:r>
            <w:r w:rsidRPr="00C6052E">
              <w:t>Centre</w:t>
            </w:r>
            <w:r w:rsidR="00177848" w:rsidRPr="00C6052E">
              <w:t xml:space="preserve"> </w:t>
            </w:r>
            <w:r w:rsidRPr="00C6052E">
              <w:t>Trust</w:t>
            </w:r>
            <w:r w:rsidR="00177848" w:rsidRPr="00C6052E">
              <w:t xml:space="preserve"> </w:t>
            </w:r>
          </w:p>
        </w:tc>
        <w:tc>
          <w:tcPr>
            <w:tcW w:w="1488" w:type="dxa"/>
            <w:noWrap/>
            <w:hideMark/>
          </w:tcPr>
          <w:p w14:paraId="5C5910EF" w14:textId="77777777" w:rsidR="00EE5BB8" w:rsidRPr="00C6052E" w:rsidRDefault="00EE5BB8" w:rsidP="00030B7E">
            <w:pPr>
              <w:pStyle w:val="TableCopy"/>
              <w:jc w:val="right"/>
            </w:pPr>
            <w:r w:rsidRPr="00C6052E">
              <w:t>(166,269)</w:t>
            </w:r>
          </w:p>
        </w:tc>
        <w:tc>
          <w:tcPr>
            <w:tcW w:w="1488" w:type="dxa"/>
            <w:noWrap/>
            <w:hideMark/>
          </w:tcPr>
          <w:p w14:paraId="5FEB7A83" w14:textId="77777777" w:rsidR="00EE5BB8" w:rsidRPr="00C6052E" w:rsidRDefault="00EE5BB8" w:rsidP="00030B7E">
            <w:pPr>
              <w:pStyle w:val="TableCopy"/>
              <w:jc w:val="right"/>
            </w:pPr>
            <w:r w:rsidRPr="00C6052E">
              <w:t>(80,682)</w:t>
            </w:r>
          </w:p>
        </w:tc>
      </w:tr>
      <w:tr w:rsidR="00EE5BB8" w:rsidRPr="00C6052E" w14:paraId="11369652" w14:textId="77777777" w:rsidTr="00030B7E">
        <w:tc>
          <w:tcPr>
            <w:tcW w:w="6658" w:type="dxa"/>
            <w:hideMark/>
          </w:tcPr>
          <w:p w14:paraId="79908A91" w14:textId="074903A8" w:rsidR="00EE5BB8" w:rsidRPr="00C6052E" w:rsidRDefault="00EE5BB8" w:rsidP="0063097D">
            <w:pPr>
              <w:pStyle w:val="TableCopy"/>
            </w:pPr>
            <w:r w:rsidRPr="00C6052E">
              <w:t>Melbourne</w:t>
            </w:r>
            <w:r w:rsidR="00177848" w:rsidRPr="00C6052E">
              <w:t xml:space="preserve"> </w:t>
            </w:r>
            <w:r w:rsidRPr="00C6052E">
              <w:t>Recital</w:t>
            </w:r>
            <w:r w:rsidR="00177848" w:rsidRPr="00C6052E">
              <w:t xml:space="preserve"> </w:t>
            </w:r>
            <w:r w:rsidRPr="00C6052E">
              <w:t>Centre</w:t>
            </w:r>
          </w:p>
        </w:tc>
        <w:tc>
          <w:tcPr>
            <w:tcW w:w="1488" w:type="dxa"/>
            <w:noWrap/>
            <w:hideMark/>
          </w:tcPr>
          <w:p w14:paraId="3920D084" w14:textId="77777777" w:rsidR="00EE5BB8" w:rsidRPr="00C6052E" w:rsidRDefault="00EE5BB8" w:rsidP="00030B7E">
            <w:pPr>
              <w:pStyle w:val="TableCopy"/>
              <w:jc w:val="right"/>
            </w:pPr>
            <w:r w:rsidRPr="00C6052E">
              <w:t>(945)</w:t>
            </w:r>
          </w:p>
        </w:tc>
        <w:tc>
          <w:tcPr>
            <w:tcW w:w="1488" w:type="dxa"/>
            <w:noWrap/>
            <w:hideMark/>
          </w:tcPr>
          <w:p w14:paraId="3AEC2AE6" w14:textId="77777777" w:rsidR="00EE5BB8" w:rsidRPr="00C6052E" w:rsidRDefault="00EE5BB8" w:rsidP="00030B7E">
            <w:pPr>
              <w:pStyle w:val="TableCopy"/>
              <w:jc w:val="right"/>
            </w:pPr>
            <w:r w:rsidRPr="00C6052E">
              <w:t>(249)</w:t>
            </w:r>
          </w:p>
        </w:tc>
      </w:tr>
      <w:tr w:rsidR="00EE5BB8" w:rsidRPr="00C6052E" w14:paraId="3CD1168C" w14:textId="77777777" w:rsidTr="00030B7E">
        <w:tc>
          <w:tcPr>
            <w:tcW w:w="6658" w:type="dxa"/>
            <w:hideMark/>
          </w:tcPr>
          <w:p w14:paraId="76317651" w14:textId="121E27D3" w:rsidR="00EE5BB8" w:rsidRPr="00C6052E" w:rsidRDefault="00EE5BB8" w:rsidP="0063097D">
            <w:pPr>
              <w:pStyle w:val="TableCopy"/>
            </w:pPr>
            <w:r w:rsidRPr="00C6052E">
              <w:t>Library</w:t>
            </w:r>
            <w:r w:rsidR="00177848" w:rsidRPr="00C6052E">
              <w:t xml:space="preserve"> </w:t>
            </w:r>
            <w:r w:rsidRPr="00C6052E">
              <w:t>Board</w:t>
            </w:r>
            <w:r w:rsidR="00177848" w:rsidRPr="00C6052E">
              <w:t xml:space="preserve"> </w:t>
            </w:r>
            <w:r w:rsidRPr="00C6052E">
              <w:t>of</w:t>
            </w:r>
            <w:r w:rsidR="00177848" w:rsidRPr="00C6052E">
              <w:t xml:space="preserve"> </w:t>
            </w:r>
            <w:r w:rsidRPr="00C6052E">
              <w:t>Victoria</w:t>
            </w:r>
            <w:r w:rsidR="00177848" w:rsidRPr="00C6052E">
              <w:t xml:space="preserve"> </w:t>
            </w:r>
          </w:p>
        </w:tc>
        <w:tc>
          <w:tcPr>
            <w:tcW w:w="1488" w:type="dxa"/>
            <w:noWrap/>
            <w:hideMark/>
          </w:tcPr>
          <w:p w14:paraId="6294F9E9" w14:textId="77777777" w:rsidR="00EE5BB8" w:rsidRPr="00C6052E" w:rsidRDefault="00EE5BB8" w:rsidP="00030B7E">
            <w:pPr>
              <w:pStyle w:val="TableCopy"/>
              <w:jc w:val="right"/>
            </w:pPr>
            <w:r w:rsidRPr="00C6052E">
              <w:t>(585)</w:t>
            </w:r>
          </w:p>
        </w:tc>
        <w:tc>
          <w:tcPr>
            <w:tcW w:w="1488" w:type="dxa"/>
            <w:noWrap/>
            <w:hideMark/>
          </w:tcPr>
          <w:p w14:paraId="08443C7C" w14:textId="77777777" w:rsidR="00EE5BB8" w:rsidRPr="00C6052E" w:rsidRDefault="00EE5BB8" w:rsidP="00030B7E">
            <w:pPr>
              <w:pStyle w:val="TableCopy"/>
              <w:jc w:val="right"/>
            </w:pPr>
            <w:r w:rsidRPr="00C6052E">
              <w:t>(168)</w:t>
            </w:r>
          </w:p>
        </w:tc>
      </w:tr>
      <w:tr w:rsidR="00EE5BB8" w:rsidRPr="00C6052E" w14:paraId="7CFEB10F" w14:textId="77777777" w:rsidTr="00030B7E">
        <w:tc>
          <w:tcPr>
            <w:tcW w:w="6658" w:type="dxa"/>
            <w:hideMark/>
          </w:tcPr>
          <w:p w14:paraId="3C5AC6DC" w14:textId="4AABC52F" w:rsidR="00EE5BB8" w:rsidRPr="00C6052E" w:rsidRDefault="00EE5BB8" w:rsidP="0063097D">
            <w:pPr>
              <w:pStyle w:val="TableCopy"/>
            </w:pPr>
            <w:r w:rsidRPr="00C6052E">
              <w:t>Geelong</w:t>
            </w:r>
            <w:r w:rsidR="00177848" w:rsidRPr="00C6052E">
              <w:t xml:space="preserve"> </w:t>
            </w:r>
            <w:r w:rsidRPr="00C6052E">
              <w:t>Performing</w:t>
            </w:r>
            <w:r w:rsidR="00177848" w:rsidRPr="00C6052E">
              <w:t xml:space="preserve"> </w:t>
            </w:r>
            <w:r w:rsidRPr="00C6052E">
              <w:t>Arts</w:t>
            </w:r>
            <w:r w:rsidR="00177848" w:rsidRPr="00C6052E">
              <w:t xml:space="preserve"> </w:t>
            </w:r>
            <w:r w:rsidRPr="00C6052E">
              <w:t>Centre</w:t>
            </w:r>
          </w:p>
        </w:tc>
        <w:tc>
          <w:tcPr>
            <w:tcW w:w="1488" w:type="dxa"/>
            <w:noWrap/>
            <w:hideMark/>
          </w:tcPr>
          <w:p w14:paraId="018BC323" w14:textId="77777777" w:rsidR="00EE5BB8" w:rsidRPr="00C6052E" w:rsidRDefault="00EE5BB8" w:rsidP="00030B7E">
            <w:pPr>
              <w:pStyle w:val="TableCopy"/>
              <w:jc w:val="right"/>
            </w:pPr>
            <w:r w:rsidRPr="00C6052E">
              <w:t>(141)</w:t>
            </w:r>
          </w:p>
        </w:tc>
        <w:tc>
          <w:tcPr>
            <w:tcW w:w="1488" w:type="dxa"/>
            <w:noWrap/>
            <w:hideMark/>
          </w:tcPr>
          <w:p w14:paraId="69C9C7B1" w14:textId="77777777" w:rsidR="00EE5BB8" w:rsidRPr="00C6052E" w:rsidRDefault="00EE5BB8" w:rsidP="00030B7E">
            <w:pPr>
              <w:pStyle w:val="TableCopy"/>
              <w:jc w:val="right"/>
            </w:pPr>
            <w:r w:rsidRPr="00C6052E">
              <w:t>(1,137)</w:t>
            </w:r>
          </w:p>
        </w:tc>
      </w:tr>
      <w:tr w:rsidR="00EE5BB8" w:rsidRPr="00C6052E" w14:paraId="5A64BC31" w14:textId="77777777" w:rsidTr="00030B7E">
        <w:tc>
          <w:tcPr>
            <w:tcW w:w="6658" w:type="dxa"/>
            <w:hideMark/>
          </w:tcPr>
          <w:p w14:paraId="51DB76FF" w14:textId="703EA2A4" w:rsidR="00EE5BB8" w:rsidRPr="00C6052E" w:rsidRDefault="00EE5BB8" w:rsidP="0063097D">
            <w:pPr>
              <w:pStyle w:val="TableCopy"/>
            </w:pPr>
            <w:r w:rsidRPr="00C6052E">
              <w:t>Kardinia</w:t>
            </w:r>
            <w:r w:rsidR="00177848" w:rsidRPr="00C6052E">
              <w:t xml:space="preserve"> </w:t>
            </w:r>
            <w:r w:rsidRPr="00C6052E">
              <w:t>Park</w:t>
            </w:r>
            <w:r w:rsidR="00177848" w:rsidRPr="00C6052E">
              <w:t xml:space="preserve"> </w:t>
            </w:r>
            <w:r w:rsidRPr="00C6052E">
              <w:t>Stadium</w:t>
            </w:r>
            <w:r w:rsidR="00177848" w:rsidRPr="00C6052E">
              <w:t xml:space="preserve"> </w:t>
            </w:r>
            <w:r w:rsidRPr="00C6052E">
              <w:t>Trust</w:t>
            </w:r>
          </w:p>
        </w:tc>
        <w:tc>
          <w:tcPr>
            <w:tcW w:w="1488" w:type="dxa"/>
            <w:noWrap/>
            <w:hideMark/>
          </w:tcPr>
          <w:p w14:paraId="6B70F9DD" w14:textId="77777777" w:rsidR="00EE5BB8" w:rsidRPr="00C6052E" w:rsidRDefault="00EE5BB8" w:rsidP="00030B7E">
            <w:pPr>
              <w:pStyle w:val="TableCopy"/>
              <w:jc w:val="right"/>
            </w:pPr>
            <w:r w:rsidRPr="00C6052E">
              <w:t>(5,613)</w:t>
            </w:r>
          </w:p>
        </w:tc>
        <w:tc>
          <w:tcPr>
            <w:tcW w:w="1488" w:type="dxa"/>
            <w:noWrap/>
            <w:hideMark/>
          </w:tcPr>
          <w:p w14:paraId="682E7C55" w14:textId="77777777" w:rsidR="00EE5BB8" w:rsidRPr="00C6052E" w:rsidRDefault="00EE5BB8" w:rsidP="00030B7E">
            <w:pPr>
              <w:pStyle w:val="TableCopy"/>
              <w:jc w:val="right"/>
            </w:pPr>
            <w:r w:rsidRPr="00C6052E">
              <w:t>–</w:t>
            </w:r>
          </w:p>
        </w:tc>
      </w:tr>
      <w:tr w:rsidR="00EE5BB8" w:rsidRPr="00C6052E" w14:paraId="2A933860" w14:textId="77777777" w:rsidTr="00030B7E">
        <w:tc>
          <w:tcPr>
            <w:tcW w:w="6658" w:type="dxa"/>
            <w:hideMark/>
          </w:tcPr>
          <w:p w14:paraId="6594928B" w14:textId="36F1AE08" w:rsidR="00EE5BB8" w:rsidRPr="00C6052E" w:rsidRDefault="00EE5BB8" w:rsidP="0063097D">
            <w:pPr>
              <w:pStyle w:val="TableCopy"/>
            </w:pPr>
            <w:r w:rsidRPr="00C6052E">
              <w:t>National</w:t>
            </w:r>
            <w:r w:rsidR="00177848" w:rsidRPr="00C6052E">
              <w:t xml:space="preserve"> </w:t>
            </w:r>
            <w:r w:rsidRPr="00C6052E">
              <w:t>Gallery</w:t>
            </w:r>
            <w:r w:rsidR="00177848" w:rsidRPr="00C6052E">
              <w:t xml:space="preserve"> </w:t>
            </w:r>
            <w:r w:rsidRPr="00C6052E">
              <w:t>of</w:t>
            </w:r>
            <w:r w:rsidR="00177848" w:rsidRPr="00C6052E">
              <w:t xml:space="preserve"> </w:t>
            </w:r>
            <w:r w:rsidRPr="00C6052E">
              <w:t>Victoria</w:t>
            </w:r>
            <w:r w:rsidR="00177848" w:rsidRPr="00C6052E">
              <w:t xml:space="preserve"> </w:t>
            </w:r>
          </w:p>
        </w:tc>
        <w:tc>
          <w:tcPr>
            <w:tcW w:w="1488" w:type="dxa"/>
            <w:noWrap/>
            <w:hideMark/>
          </w:tcPr>
          <w:p w14:paraId="0FC6CA2C" w14:textId="77777777" w:rsidR="00EE5BB8" w:rsidRPr="00C6052E" w:rsidRDefault="00EE5BB8" w:rsidP="00030B7E">
            <w:pPr>
              <w:pStyle w:val="TableCopy"/>
              <w:jc w:val="right"/>
            </w:pPr>
            <w:r w:rsidRPr="00C6052E">
              <w:t>(122,672)</w:t>
            </w:r>
          </w:p>
        </w:tc>
        <w:tc>
          <w:tcPr>
            <w:tcW w:w="1488" w:type="dxa"/>
            <w:noWrap/>
            <w:hideMark/>
          </w:tcPr>
          <w:p w14:paraId="5846AE22" w14:textId="77777777" w:rsidR="00EE5BB8" w:rsidRPr="00C6052E" w:rsidRDefault="00EE5BB8" w:rsidP="00030B7E">
            <w:pPr>
              <w:pStyle w:val="TableCopy"/>
              <w:jc w:val="right"/>
            </w:pPr>
            <w:r w:rsidRPr="00C6052E">
              <w:t>(32,929)</w:t>
            </w:r>
          </w:p>
        </w:tc>
      </w:tr>
      <w:tr w:rsidR="00EE5BB8" w:rsidRPr="00C6052E" w14:paraId="65FC6D46" w14:textId="77777777" w:rsidTr="00030B7E">
        <w:tc>
          <w:tcPr>
            <w:tcW w:w="6658" w:type="dxa"/>
            <w:hideMark/>
          </w:tcPr>
          <w:p w14:paraId="6CE69589" w14:textId="200E9F4B" w:rsidR="00EE5BB8" w:rsidRPr="00C6052E" w:rsidRDefault="00EE5BB8" w:rsidP="0063097D">
            <w:pPr>
              <w:pStyle w:val="TableCopy"/>
            </w:pPr>
            <w:r w:rsidRPr="00C6052E">
              <w:t>Melbourne</w:t>
            </w:r>
            <w:r w:rsidR="00177848" w:rsidRPr="00C6052E">
              <w:t xml:space="preserve"> </w:t>
            </w:r>
            <w:r w:rsidRPr="00C6052E">
              <w:t>Arts</w:t>
            </w:r>
            <w:r w:rsidR="00177848" w:rsidRPr="00C6052E">
              <w:t xml:space="preserve"> </w:t>
            </w:r>
            <w:r w:rsidRPr="00C6052E">
              <w:t>Precinct</w:t>
            </w:r>
            <w:r w:rsidR="00177848" w:rsidRPr="00C6052E">
              <w:t xml:space="preserve"> </w:t>
            </w:r>
            <w:r w:rsidRPr="00C6052E">
              <w:t>Corporation</w:t>
            </w:r>
            <w:r w:rsidR="00177848" w:rsidRPr="00C6052E">
              <w:t xml:space="preserve"> </w:t>
            </w:r>
          </w:p>
        </w:tc>
        <w:tc>
          <w:tcPr>
            <w:tcW w:w="1488" w:type="dxa"/>
            <w:noWrap/>
            <w:hideMark/>
          </w:tcPr>
          <w:p w14:paraId="6503A0BA" w14:textId="77777777" w:rsidR="00EE5BB8" w:rsidRPr="00C6052E" w:rsidRDefault="00EE5BB8" w:rsidP="00030B7E">
            <w:pPr>
              <w:pStyle w:val="TableCopy"/>
              <w:jc w:val="right"/>
            </w:pPr>
            <w:r w:rsidRPr="00C6052E">
              <w:t>(11,591)</w:t>
            </w:r>
          </w:p>
        </w:tc>
        <w:tc>
          <w:tcPr>
            <w:tcW w:w="1488" w:type="dxa"/>
            <w:noWrap/>
            <w:hideMark/>
          </w:tcPr>
          <w:p w14:paraId="5739F86E" w14:textId="77777777" w:rsidR="00EE5BB8" w:rsidRPr="00C6052E" w:rsidRDefault="00EE5BB8" w:rsidP="00030B7E">
            <w:pPr>
              <w:pStyle w:val="TableCopy"/>
              <w:jc w:val="right"/>
            </w:pPr>
            <w:r w:rsidRPr="00C6052E">
              <w:t>(8,241)</w:t>
            </w:r>
          </w:p>
        </w:tc>
      </w:tr>
      <w:tr w:rsidR="00EE5BB8" w:rsidRPr="00C6052E" w14:paraId="1D518A7B" w14:textId="77777777" w:rsidTr="00030B7E">
        <w:tc>
          <w:tcPr>
            <w:tcW w:w="6658" w:type="dxa"/>
            <w:hideMark/>
          </w:tcPr>
          <w:p w14:paraId="1FF9040D" w14:textId="02FCB01F" w:rsidR="00EE5BB8" w:rsidRPr="00C6052E" w:rsidRDefault="00EE5BB8" w:rsidP="0063097D">
            <w:pPr>
              <w:pStyle w:val="TableCopy"/>
            </w:pPr>
            <w:r w:rsidRPr="00C6052E">
              <w:t>Australian</w:t>
            </w:r>
            <w:r w:rsidR="00177848" w:rsidRPr="00C6052E">
              <w:t xml:space="preserve"> </w:t>
            </w:r>
            <w:r w:rsidRPr="00C6052E">
              <w:t>Centre</w:t>
            </w:r>
            <w:r w:rsidR="00177848" w:rsidRPr="00C6052E">
              <w:t xml:space="preserve"> </w:t>
            </w:r>
            <w:r w:rsidRPr="00C6052E">
              <w:t>for</w:t>
            </w:r>
            <w:r w:rsidR="00177848" w:rsidRPr="00C6052E">
              <w:t xml:space="preserve"> </w:t>
            </w:r>
            <w:r w:rsidRPr="00C6052E">
              <w:t>the</w:t>
            </w:r>
            <w:r w:rsidR="00177848" w:rsidRPr="00C6052E">
              <w:t xml:space="preserve"> </w:t>
            </w:r>
            <w:r w:rsidRPr="00C6052E">
              <w:t>Moving</w:t>
            </w:r>
            <w:r w:rsidR="00177848" w:rsidRPr="00C6052E">
              <w:t xml:space="preserve"> </w:t>
            </w:r>
            <w:r w:rsidRPr="00C6052E">
              <w:t>Image</w:t>
            </w:r>
          </w:p>
        </w:tc>
        <w:tc>
          <w:tcPr>
            <w:tcW w:w="1488" w:type="dxa"/>
            <w:noWrap/>
            <w:hideMark/>
          </w:tcPr>
          <w:p w14:paraId="2F1D3699" w14:textId="77777777" w:rsidR="00EE5BB8" w:rsidRPr="00C6052E" w:rsidRDefault="00EE5BB8" w:rsidP="00030B7E">
            <w:pPr>
              <w:pStyle w:val="TableCopy"/>
              <w:jc w:val="right"/>
            </w:pPr>
            <w:r w:rsidRPr="00C6052E">
              <w:t>–</w:t>
            </w:r>
          </w:p>
        </w:tc>
        <w:tc>
          <w:tcPr>
            <w:tcW w:w="1488" w:type="dxa"/>
            <w:noWrap/>
            <w:hideMark/>
          </w:tcPr>
          <w:p w14:paraId="0EC45730" w14:textId="77777777" w:rsidR="00EE5BB8" w:rsidRPr="00C6052E" w:rsidRDefault="00EE5BB8" w:rsidP="00030B7E">
            <w:pPr>
              <w:pStyle w:val="TableCopy"/>
              <w:jc w:val="right"/>
            </w:pPr>
            <w:r w:rsidRPr="00C6052E">
              <w:t>(72)</w:t>
            </w:r>
          </w:p>
        </w:tc>
      </w:tr>
      <w:tr w:rsidR="00EE5BB8" w:rsidRPr="00C6052E" w14:paraId="632B81C3" w14:textId="77777777" w:rsidTr="00030B7E">
        <w:tc>
          <w:tcPr>
            <w:tcW w:w="6658" w:type="dxa"/>
            <w:hideMark/>
          </w:tcPr>
          <w:p w14:paraId="5C3A5371" w14:textId="3F5D7350" w:rsidR="00EE5BB8" w:rsidRPr="00C6052E" w:rsidRDefault="00EE5BB8" w:rsidP="0063097D">
            <w:pPr>
              <w:pStyle w:val="TableCopy"/>
            </w:pPr>
            <w:r w:rsidRPr="00C6052E">
              <w:t>Victorian</w:t>
            </w:r>
            <w:r w:rsidR="00177848" w:rsidRPr="00C6052E">
              <w:t xml:space="preserve"> </w:t>
            </w:r>
            <w:r w:rsidRPr="00C6052E">
              <w:t>Fisheries</w:t>
            </w:r>
            <w:r w:rsidR="00177848" w:rsidRPr="00C6052E">
              <w:t xml:space="preserve"> </w:t>
            </w:r>
            <w:r w:rsidRPr="00C6052E">
              <w:t>Authority</w:t>
            </w:r>
          </w:p>
        </w:tc>
        <w:tc>
          <w:tcPr>
            <w:tcW w:w="1488" w:type="dxa"/>
            <w:noWrap/>
            <w:hideMark/>
          </w:tcPr>
          <w:p w14:paraId="44A0102F" w14:textId="77777777" w:rsidR="00EE5BB8" w:rsidRPr="00C6052E" w:rsidRDefault="00EE5BB8" w:rsidP="00030B7E">
            <w:pPr>
              <w:pStyle w:val="TableCopy"/>
              <w:jc w:val="right"/>
            </w:pPr>
            <w:r w:rsidRPr="00C6052E">
              <w:t>(9,354)</w:t>
            </w:r>
          </w:p>
        </w:tc>
        <w:tc>
          <w:tcPr>
            <w:tcW w:w="1488" w:type="dxa"/>
            <w:noWrap/>
            <w:hideMark/>
          </w:tcPr>
          <w:p w14:paraId="4B99B7C3" w14:textId="77777777" w:rsidR="00EE5BB8" w:rsidRPr="00C6052E" w:rsidRDefault="00EE5BB8" w:rsidP="00030B7E">
            <w:pPr>
              <w:pStyle w:val="TableCopy"/>
              <w:jc w:val="right"/>
            </w:pPr>
            <w:r w:rsidRPr="00C6052E">
              <w:t>(2,628)</w:t>
            </w:r>
          </w:p>
        </w:tc>
      </w:tr>
      <w:tr w:rsidR="00EE5BB8" w:rsidRPr="00C6052E" w14:paraId="5BBE3828" w14:textId="77777777" w:rsidTr="00030B7E">
        <w:tc>
          <w:tcPr>
            <w:tcW w:w="6658" w:type="dxa"/>
            <w:hideMark/>
          </w:tcPr>
          <w:p w14:paraId="171E1273" w14:textId="562F07BF" w:rsidR="00EE5BB8" w:rsidRPr="00C6052E" w:rsidRDefault="00EE5BB8" w:rsidP="007D0236">
            <w:pPr>
              <w:pStyle w:val="TableCopy"/>
              <w:keepNext/>
            </w:pPr>
            <w:r w:rsidRPr="00C6052E">
              <w:lastRenderedPageBreak/>
              <w:t>All</w:t>
            </w:r>
            <w:r w:rsidR="00177848" w:rsidRPr="00C6052E">
              <w:t xml:space="preserve"> </w:t>
            </w:r>
            <w:r w:rsidRPr="00C6052E">
              <w:t>TAFE</w:t>
            </w:r>
            <w:r w:rsidR="00177848" w:rsidRPr="00C6052E">
              <w:t xml:space="preserve"> </w:t>
            </w:r>
            <w:r w:rsidRPr="00C6052E">
              <w:t>entities</w:t>
            </w:r>
          </w:p>
        </w:tc>
        <w:tc>
          <w:tcPr>
            <w:tcW w:w="1488" w:type="dxa"/>
            <w:noWrap/>
            <w:hideMark/>
          </w:tcPr>
          <w:p w14:paraId="77B67BDF" w14:textId="77777777" w:rsidR="00EE5BB8" w:rsidRPr="00C6052E" w:rsidRDefault="00EE5BB8" w:rsidP="007D0236">
            <w:pPr>
              <w:pStyle w:val="TableCopy"/>
              <w:keepNext/>
              <w:jc w:val="right"/>
            </w:pPr>
            <w:r w:rsidRPr="00C6052E">
              <w:t>(29,602)</w:t>
            </w:r>
          </w:p>
        </w:tc>
        <w:tc>
          <w:tcPr>
            <w:tcW w:w="1488" w:type="dxa"/>
            <w:noWrap/>
            <w:hideMark/>
          </w:tcPr>
          <w:p w14:paraId="2EBB1FC3" w14:textId="77777777" w:rsidR="00EE5BB8" w:rsidRPr="00C6052E" w:rsidRDefault="00EE5BB8" w:rsidP="007D0236">
            <w:pPr>
              <w:pStyle w:val="TableCopy"/>
              <w:keepNext/>
              <w:jc w:val="right"/>
            </w:pPr>
            <w:r w:rsidRPr="00C6052E">
              <w:t>(9,770)</w:t>
            </w:r>
          </w:p>
        </w:tc>
      </w:tr>
      <w:tr w:rsidR="00EE5BB8" w:rsidRPr="00C6052E" w14:paraId="4465CC85" w14:textId="77777777" w:rsidTr="00030B7E">
        <w:tc>
          <w:tcPr>
            <w:tcW w:w="6658" w:type="dxa"/>
            <w:hideMark/>
          </w:tcPr>
          <w:p w14:paraId="2B7D38D7" w14:textId="3F16E104" w:rsidR="00EE5BB8" w:rsidRPr="00C6052E" w:rsidRDefault="00EE5BB8" w:rsidP="007D0236">
            <w:pPr>
              <w:pStyle w:val="TableCopy"/>
              <w:keepNext/>
            </w:pPr>
            <w:r w:rsidRPr="00C6052E">
              <w:t>Breakthrough</w:t>
            </w:r>
            <w:r w:rsidR="00177848" w:rsidRPr="00C6052E">
              <w:t xml:space="preserve"> </w:t>
            </w:r>
            <w:r w:rsidRPr="00C6052E">
              <w:t>Victoria</w:t>
            </w:r>
          </w:p>
        </w:tc>
        <w:tc>
          <w:tcPr>
            <w:tcW w:w="1488" w:type="dxa"/>
            <w:noWrap/>
            <w:hideMark/>
          </w:tcPr>
          <w:p w14:paraId="7DFA4F91" w14:textId="77777777" w:rsidR="00EE5BB8" w:rsidRPr="00C6052E" w:rsidRDefault="00EE5BB8" w:rsidP="007D0236">
            <w:pPr>
              <w:pStyle w:val="TableCopy"/>
              <w:keepNext/>
              <w:jc w:val="right"/>
            </w:pPr>
            <w:r w:rsidRPr="00C6052E">
              <w:t>(75,000)</w:t>
            </w:r>
          </w:p>
        </w:tc>
        <w:tc>
          <w:tcPr>
            <w:tcW w:w="1488" w:type="dxa"/>
            <w:noWrap/>
            <w:hideMark/>
          </w:tcPr>
          <w:p w14:paraId="06CB681D" w14:textId="77777777" w:rsidR="00EE5BB8" w:rsidRPr="00C6052E" w:rsidRDefault="00EE5BB8" w:rsidP="007D0236">
            <w:pPr>
              <w:pStyle w:val="TableCopy"/>
              <w:keepNext/>
              <w:jc w:val="right"/>
            </w:pPr>
            <w:r w:rsidRPr="00C6052E">
              <w:t>(175,015)</w:t>
            </w:r>
          </w:p>
        </w:tc>
      </w:tr>
      <w:tr w:rsidR="00EE5BB8" w:rsidRPr="00C6052E" w14:paraId="22CF7940" w14:textId="77777777" w:rsidTr="00030B7E">
        <w:tc>
          <w:tcPr>
            <w:tcW w:w="6658" w:type="dxa"/>
            <w:hideMark/>
          </w:tcPr>
          <w:p w14:paraId="1063D5B3" w14:textId="2FC620C7" w:rsidR="00EE5BB8" w:rsidRPr="00C6052E" w:rsidRDefault="00EE5BB8" w:rsidP="0063097D">
            <w:pPr>
              <w:pStyle w:val="Tabletotal"/>
            </w:pPr>
            <w:r w:rsidRPr="00C6052E">
              <w:t>Total</w:t>
            </w:r>
            <w:r w:rsidR="00177848" w:rsidRPr="00C6052E">
              <w:t xml:space="preserve"> </w:t>
            </w:r>
            <w:r w:rsidRPr="00C6052E">
              <w:t>capital</w:t>
            </w:r>
            <w:r w:rsidR="00177848" w:rsidRPr="00C6052E">
              <w:t xml:space="preserve"> </w:t>
            </w:r>
            <w:r w:rsidRPr="00C6052E">
              <w:t>contributions</w:t>
            </w:r>
            <w:r w:rsidR="00177848" w:rsidRPr="00C6052E">
              <w:t xml:space="preserve"> </w:t>
            </w:r>
            <w:r w:rsidRPr="00C6052E">
              <w:t>to</w:t>
            </w:r>
            <w:r w:rsidR="00177848" w:rsidRPr="00C6052E">
              <w:t xml:space="preserve"> </w:t>
            </w:r>
            <w:r w:rsidRPr="00C6052E">
              <w:t>agencies</w:t>
            </w:r>
            <w:r w:rsidR="00177848" w:rsidRPr="00C6052E">
              <w:t xml:space="preserve"> </w:t>
            </w:r>
            <w:r w:rsidRPr="00C6052E">
              <w:t>within</w:t>
            </w:r>
            <w:r w:rsidR="00177848" w:rsidRPr="00C6052E">
              <w:t xml:space="preserve"> </w:t>
            </w:r>
            <w:r w:rsidRPr="00C6052E">
              <w:t>portfolio</w:t>
            </w:r>
            <w:r w:rsidR="00177848" w:rsidRPr="00C6052E">
              <w:t xml:space="preserve"> </w:t>
            </w:r>
          </w:p>
        </w:tc>
        <w:tc>
          <w:tcPr>
            <w:tcW w:w="1488" w:type="dxa"/>
            <w:noWrap/>
            <w:hideMark/>
          </w:tcPr>
          <w:p w14:paraId="6109DD29" w14:textId="77777777" w:rsidR="00EE5BB8" w:rsidRPr="00C6052E" w:rsidRDefault="00EE5BB8" w:rsidP="00030B7E">
            <w:pPr>
              <w:pStyle w:val="Tabletotal"/>
              <w:jc w:val="right"/>
            </w:pPr>
            <w:r w:rsidRPr="00C6052E">
              <w:t>(450,881)</w:t>
            </w:r>
          </w:p>
        </w:tc>
        <w:tc>
          <w:tcPr>
            <w:tcW w:w="1488" w:type="dxa"/>
            <w:noWrap/>
            <w:hideMark/>
          </w:tcPr>
          <w:p w14:paraId="52766362" w14:textId="77777777" w:rsidR="00EE5BB8" w:rsidRPr="00C6052E" w:rsidRDefault="00EE5BB8" w:rsidP="00030B7E">
            <w:pPr>
              <w:pStyle w:val="Tabletotal"/>
              <w:jc w:val="right"/>
            </w:pPr>
            <w:r w:rsidRPr="00C6052E">
              <w:t>(323,308)</w:t>
            </w:r>
          </w:p>
        </w:tc>
      </w:tr>
    </w:tbl>
    <w:p w14:paraId="670A5FF7" w14:textId="77777777" w:rsidR="00030B7E" w:rsidRDefault="00030B7E" w:rsidP="00030B7E"/>
    <w:p w14:paraId="0C6B4D24" w14:textId="0988FACE" w:rsidR="00EE5BB8" w:rsidRPr="00C6052E" w:rsidRDefault="00C6052E" w:rsidP="00030B7E">
      <w:pPr>
        <w:pStyle w:val="TableHeading"/>
      </w:pPr>
      <w:r w:rsidRPr="00C6052E">
        <w:t>Physical</w:t>
      </w:r>
      <w:r w:rsidR="00177848" w:rsidRPr="00C6052E">
        <w:t xml:space="preserve"> </w:t>
      </w:r>
      <w:r w:rsidRPr="00C6052E">
        <w:t>asset</w:t>
      </w:r>
      <w:r w:rsidR="00177848" w:rsidRPr="00C6052E">
        <w:t xml:space="preserve"> </w:t>
      </w:r>
      <w:r w:rsidRPr="00C6052E">
        <w:t>revaluation</w:t>
      </w:r>
      <w:r w:rsidR="00177848" w:rsidRPr="00C6052E">
        <w:t xml:space="preserve"> </w:t>
      </w:r>
      <w:r w:rsidRPr="00C6052E">
        <w:t>surplus</w:t>
      </w:r>
    </w:p>
    <w:tbl>
      <w:tblPr>
        <w:tblStyle w:val="TableGrid"/>
        <w:tblW w:w="9634" w:type="dxa"/>
        <w:tblLayout w:type="fixed"/>
        <w:tblLook w:val="04E0" w:firstRow="1" w:lastRow="1" w:firstColumn="1" w:lastColumn="0" w:noHBand="0" w:noVBand="1"/>
      </w:tblPr>
      <w:tblGrid>
        <w:gridCol w:w="6658"/>
        <w:gridCol w:w="1488"/>
        <w:gridCol w:w="1488"/>
      </w:tblGrid>
      <w:tr w:rsidR="00EE5BB8" w:rsidRPr="00C6052E" w14:paraId="1A5CB6E7" w14:textId="77777777" w:rsidTr="00030B7E">
        <w:tc>
          <w:tcPr>
            <w:tcW w:w="6658" w:type="dxa"/>
            <w:noWrap/>
          </w:tcPr>
          <w:p w14:paraId="513DC299" w14:textId="77777777" w:rsidR="00EE5BB8" w:rsidRPr="00C6052E" w:rsidRDefault="00EE5BB8" w:rsidP="00030B7E">
            <w:pPr>
              <w:pStyle w:val="TableColumnHeading"/>
            </w:pPr>
            <w:bookmarkStart w:id="370" w:name="TableColumnHeadings_109"/>
            <w:bookmarkEnd w:id="370"/>
          </w:p>
        </w:tc>
        <w:tc>
          <w:tcPr>
            <w:tcW w:w="1488" w:type="dxa"/>
            <w:hideMark/>
          </w:tcPr>
          <w:p w14:paraId="495F5474" w14:textId="64C6F15A" w:rsidR="00EE5BB8" w:rsidRPr="00C6052E" w:rsidRDefault="00EE5BB8" w:rsidP="00030B7E">
            <w:pPr>
              <w:pStyle w:val="TableColumnHeading"/>
              <w:jc w:val="right"/>
            </w:pPr>
            <w:r w:rsidRPr="00C6052E">
              <w:t>2025</w:t>
            </w:r>
            <w:r w:rsidR="00030B7E">
              <w:br/>
            </w:r>
            <w:r w:rsidR="00030B7E" w:rsidRPr="00C6052E">
              <w:rPr>
                <w:lang w:val="en-AU"/>
              </w:rPr>
              <w:t>($ thousand)</w:t>
            </w:r>
          </w:p>
        </w:tc>
        <w:tc>
          <w:tcPr>
            <w:tcW w:w="1488" w:type="dxa"/>
            <w:hideMark/>
          </w:tcPr>
          <w:p w14:paraId="6937BD0E" w14:textId="1173232D" w:rsidR="00EE5BB8" w:rsidRPr="00C6052E" w:rsidRDefault="00EE5BB8" w:rsidP="00030B7E">
            <w:pPr>
              <w:pStyle w:val="TableColumnHeading"/>
              <w:jc w:val="right"/>
            </w:pPr>
            <w:r w:rsidRPr="00C6052E">
              <w:t>2024</w:t>
            </w:r>
            <w:r w:rsidR="00030B7E">
              <w:br/>
            </w:r>
            <w:r w:rsidR="00030B7E" w:rsidRPr="00C6052E">
              <w:rPr>
                <w:lang w:val="en-AU"/>
              </w:rPr>
              <w:t>($ thousand)</w:t>
            </w:r>
          </w:p>
        </w:tc>
      </w:tr>
      <w:tr w:rsidR="00EE5BB8" w:rsidRPr="00C6052E" w14:paraId="66FDB2F8" w14:textId="77777777" w:rsidTr="00030B7E">
        <w:tc>
          <w:tcPr>
            <w:tcW w:w="6658" w:type="dxa"/>
            <w:noWrap/>
            <w:hideMark/>
          </w:tcPr>
          <w:p w14:paraId="71E17636" w14:textId="66AB4BD7" w:rsidR="00EE5BB8" w:rsidRPr="00C6052E" w:rsidRDefault="00EE5BB8" w:rsidP="0063097D">
            <w:pPr>
              <w:pStyle w:val="Tabletotal"/>
            </w:pPr>
            <w:r w:rsidRPr="00C6052E">
              <w:t>Balance</w:t>
            </w:r>
            <w:r w:rsidR="00177848" w:rsidRPr="00C6052E">
              <w:t xml:space="preserve"> </w:t>
            </w:r>
            <w:r w:rsidRPr="00C6052E">
              <w:t>at</w:t>
            </w:r>
            <w:r w:rsidR="00177848" w:rsidRPr="00C6052E">
              <w:t xml:space="preserve"> </w:t>
            </w:r>
            <w:r w:rsidRPr="00C6052E">
              <w:t>beginning</w:t>
            </w:r>
            <w:r w:rsidR="00177848" w:rsidRPr="00C6052E">
              <w:t xml:space="preserve"> </w:t>
            </w:r>
            <w:r w:rsidRPr="00C6052E">
              <w:t>of</w:t>
            </w:r>
            <w:r w:rsidR="00177848" w:rsidRPr="00C6052E">
              <w:t xml:space="preserve"> </w:t>
            </w:r>
            <w:r w:rsidRPr="00C6052E">
              <w:t>year</w:t>
            </w:r>
          </w:p>
        </w:tc>
        <w:tc>
          <w:tcPr>
            <w:tcW w:w="1488" w:type="dxa"/>
            <w:noWrap/>
            <w:hideMark/>
          </w:tcPr>
          <w:p w14:paraId="7180DB98" w14:textId="77777777" w:rsidR="00EE5BB8" w:rsidRPr="00C6052E" w:rsidRDefault="00EE5BB8" w:rsidP="00030B7E">
            <w:pPr>
              <w:pStyle w:val="TableCopy"/>
              <w:jc w:val="right"/>
            </w:pPr>
            <w:r w:rsidRPr="00C6052E">
              <w:t>97,016</w:t>
            </w:r>
          </w:p>
        </w:tc>
        <w:tc>
          <w:tcPr>
            <w:tcW w:w="1488" w:type="dxa"/>
            <w:noWrap/>
            <w:hideMark/>
          </w:tcPr>
          <w:p w14:paraId="7775384C" w14:textId="77777777" w:rsidR="00EE5BB8" w:rsidRPr="00C6052E" w:rsidRDefault="00EE5BB8" w:rsidP="00030B7E">
            <w:pPr>
              <w:pStyle w:val="TableCopy"/>
              <w:jc w:val="right"/>
            </w:pPr>
            <w:r w:rsidRPr="00C6052E">
              <w:t>97,016</w:t>
            </w:r>
          </w:p>
        </w:tc>
      </w:tr>
      <w:tr w:rsidR="00EE5BB8" w:rsidRPr="00C6052E" w14:paraId="23345E2C" w14:textId="77777777" w:rsidTr="00030B7E">
        <w:tc>
          <w:tcPr>
            <w:tcW w:w="6658" w:type="dxa"/>
            <w:hideMark/>
          </w:tcPr>
          <w:p w14:paraId="2DC7BB92" w14:textId="379C0FEB" w:rsidR="00EE5BB8" w:rsidRPr="00C6052E" w:rsidRDefault="00EE5BB8" w:rsidP="0063097D">
            <w:pPr>
              <w:pStyle w:val="TableCopy"/>
            </w:pPr>
            <w:r w:rsidRPr="00C6052E">
              <w:t>Revaluation</w:t>
            </w:r>
            <w:r w:rsidR="00177848" w:rsidRPr="00C6052E">
              <w:t xml:space="preserve"> </w:t>
            </w:r>
            <w:r w:rsidRPr="00C6052E">
              <w:t>(decrements)/increments</w:t>
            </w:r>
          </w:p>
        </w:tc>
        <w:tc>
          <w:tcPr>
            <w:tcW w:w="1488" w:type="dxa"/>
            <w:noWrap/>
            <w:hideMark/>
          </w:tcPr>
          <w:p w14:paraId="6273A3F5" w14:textId="77777777" w:rsidR="00EE5BB8" w:rsidRPr="00C6052E" w:rsidRDefault="00EE5BB8" w:rsidP="00030B7E">
            <w:pPr>
              <w:pStyle w:val="TableCopy"/>
              <w:jc w:val="right"/>
            </w:pPr>
            <w:r w:rsidRPr="00C6052E">
              <w:t>(42,673)</w:t>
            </w:r>
          </w:p>
        </w:tc>
        <w:tc>
          <w:tcPr>
            <w:tcW w:w="1488" w:type="dxa"/>
            <w:noWrap/>
            <w:hideMark/>
          </w:tcPr>
          <w:p w14:paraId="0965D8A1" w14:textId="77777777" w:rsidR="00EE5BB8" w:rsidRPr="00C6052E" w:rsidRDefault="00EE5BB8" w:rsidP="00030B7E">
            <w:pPr>
              <w:pStyle w:val="TableCopy"/>
              <w:jc w:val="right"/>
            </w:pPr>
            <w:r w:rsidRPr="00C6052E">
              <w:t>–</w:t>
            </w:r>
          </w:p>
        </w:tc>
      </w:tr>
      <w:tr w:rsidR="00EE5BB8" w:rsidRPr="00C6052E" w14:paraId="55A32304" w14:textId="77777777" w:rsidTr="00030B7E">
        <w:tc>
          <w:tcPr>
            <w:tcW w:w="6658" w:type="dxa"/>
            <w:hideMark/>
          </w:tcPr>
          <w:p w14:paraId="2B0D94FA" w14:textId="15E4228D" w:rsidR="00EE5BB8" w:rsidRPr="00C6052E" w:rsidRDefault="00EE5BB8" w:rsidP="0063097D">
            <w:pPr>
              <w:pStyle w:val="TableCopy"/>
            </w:pPr>
            <w:r w:rsidRPr="00C6052E">
              <w:t>Transfers</w:t>
            </w:r>
            <w:r w:rsidR="00177848" w:rsidRPr="00C6052E">
              <w:t xml:space="preserve"> </w:t>
            </w:r>
            <w:r w:rsidRPr="00C6052E">
              <w:t>to</w:t>
            </w:r>
            <w:r w:rsidR="00177848" w:rsidRPr="00C6052E">
              <w:t xml:space="preserve"> </w:t>
            </w:r>
            <w:r w:rsidRPr="00C6052E">
              <w:t>accumulated</w:t>
            </w:r>
            <w:r w:rsidR="00177848" w:rsidRPr="00C6052E">
              <w:t xml:space="preserve"> </w:t>
            </w:r>
            <w:r w:rsidRPr="00C6052E">
              <w:t>surplus</w:t>
            </w:r>
          </w:p>
        </w:tc>
        <w:tc>
          <w:tcPr>
            <w:tcW w:w="1488" w:type="dxa"/>
            <w:noWrap/>
            <w:hideMark/>
          </w:tcPr>
          <w:p w14:paraId="4319103D" w14:textId="77777777" w:rsidR="00EE5BB8" w:rsidRPr="00C6052E" w:rsidRDefault="00EE5BB8" w:rsidP="00030B7E">
            <w:pPr>
              <w:pStyle w:val="TableCopy"/>
              <w:jc w:val="right"/>
            </w:pPr>
            <w:r w:rsidRPr="00C6052E">
              <w:t>(13,704)</w:t>
            </w:r>
          </w:p>
        </w:tc>
        <w:tc>
          <w:tcPr>
            <w:tcW w:w="1488" w:type="dxa"/>
            <w:noWrap/>
            <w:hideMark/>
          </w:tcPr>
          <w:p w14:paraId="3390D0B3" w14:textId="77777777" w:rsidR="00EE5BB8" w:rsidRPr="00C6052E" w:rsidRDefault="00EE5BB8" w:rsidP="00030B7E">
            <w:pPr>
              <w:pStyle w:val="TableCopy"/>
              <w:jc w:val="right"/>
            </w:pPr>
            <w:r w:rsidRPr="00C6052E">
              <w:t>–</w:t>
            </w:r>
          </w:p>
        </w:tc>
      </w:tr>
      <w:tr w:rsidR="00EE5BB8" w:rsidRPr="00C6052E" w14:paraId="241413A3" w14:textId="77777777" w:rsidTr="00030B7E">
        <w:tc>
          <w:tcPr>
            <w:tcW w:w="6658" w:type="dxa"/>
            <w:hideMark/>
          </w:tcPr>
          <w:p w14:paraId="6E832EEF" w14:textId="480B98DC" w:rsidR="00EE5BB8" w:rsidRPr="00C6052E" w:rsidRDefault="00EE5BB8" w:rsidP="0063097D">
            <w:pPr>
              <w:pStyle w:val="Tabletotal"/>
            </w:pPr>
            <w:r w:rsidRPr="00C6052E">
              <w:t>Balance</w:t>
            </w:r>
            <w:r w:rsidR="00177848" w:rsidRPr="00C6052E">
              <w:t xml:space="preserve"> </w:t>
            </w:r>
            <w:r w:rsidRPr="00C6052E">
              <w:t>at</w:t>
            </w:r>
            <w:r w:rsidR="00177848" w:rsidRPr="00C6052E">
              <w:t xml:space="preserve"> </w:t>
            </w:r>
            <w:r w:rsidRPr="00C6052E">
              <w:t>end</w:t>
            </w:r>
            <w:r w:rsidR="00177848" w:rsidRPr="00C6052E">
              <w:t xml:space="preserve"> </w:t>
            </w:r>
            <w:r w:rsidRPr="00C6052E">
              <w:t>of</w:t>
            </w:r>
            <w:r w:rsidR="00177848" w:rsidRPr="00C6052E">
              <w:t xml:space="preserve"> </w:t>
            </w:r>
            <w:r w:rsidRPr="00C6052E">
              <w:t>year</w:t>
            </w:r>
          </w:p>
        </w:tc>
        <w:tc>
          <w:tcPr>
            <w:tcW w:w="1488" w:type="dxa"/>
            <w:noWrap/>
            <w:hideMark/>
          </w:tcPr>
          <w:p w14:paraId="39AC88E7" w14:textId="77777777" w:rsidR="00EE5BB8" w:rsidRPr="00C6052E" w:rsidRDefault="00EE5BB8" w:rsidP="00030B7E">
            <w:pPr>
              <w:pStyle w:val="Tabletotal"/>
              <w:jc w:val="right"/>
            </w:pPr>
            <w:r w:rsidRPr="00C6052E">
              <w:t>40,639</w:t>
            </w:r>
          </w:p>
        </w:tc>
        <w:tc>
          <w:tcPr>
            <w:tcW w:w="1488" w:type="dxa"/>
            <w:noWrap/>
            <w:hideMark/>
          </w:tcPr>
          <w:p w14:paraId="2B0CC5FC" w14:textId="77777777" w:rsidR="00EE5BB8" w:rsidRPr="00C6052E" w:rsidRDefault="00EE5BB8" w:rsidP="00030B7E">
            <w:pPr>
              <w:pStyle w:val="Tabletotal"/>
              <w:jc w:val="right"/>
            </w:pPr>
            <w:r w:rsidRPr="00C6052E">
              <w:t>97,016</w:t>
            </w:r>
          </w:p>
        </w:tc>
      </w:tr>
    </w:tbl>
    <w:p w14:paraId="31422BCF" w14:textId="77777777" w:rsidR="00EE5BB8" w:rsidRPr="00C6052E" w:rsidRDefault="00EE5BB8" w:rsidP="00EE5BB8"/>
    <w:p w14:paraId="529764A3" w14:textId="77777777" w:rsidR="00EE5BB8" w:rsidRPr="00C6052E" w:rsidRDefault="00EE5BB8" w:rsidP="00EE5BB8">
      <w:pPr>
        <w:sectPr w:rsidR="00EE5BB8" w:rsidRPr="00C6052E" w:rsidSect="00EE5BB8">
          <w:headerReference w:type="even" r:id="rId33"/>
          <w:endnotePr>
            <w:numFmt w:val="decimal"/>
          </w:endnotePr>
          <w:pgSz w:w="11907" w:h="16840" w:code="9"/>
          <w:pgMar w:top="1134" w:right="1134" w:bottom="1134" w:left="1134" w:header="567" w:footer="567" w:gutter="0"/>
          <w:cols w:space="708"/>
          <w:docGrid w:linePitch="360"/>
        </w:sectPr>
      </w:pPr>
    </w:p>
    <w:p w14:paraId="14FCA326" w14:textId="0B9768D1" w:rsidR="00EE5BB8" w:rsidRPr="00C6052E" w:rsidRDefault="00EE5BB8" w:rsidP="00C6052E">
      <w:pPr>
        <w:pStyle w:val="Heading2numbered0"/>
      </w:pPr>
      <w:bookmarkStart w:id="371" w:name="_Toc163565997"/>
      <w:bookmarkStart w:id="372" w:name="_Ref209609425"/>
      <w:bookmarkStart w:id="373" w:name="_Ref209609433"/>
      <w:r w:rsidRPr="00C6052E">
        <w:lastRenderedPageBreak/>
        <w:t>Entities</w:t>
      </w:r>
      <w:r w:rsidR="00177848" w:rsidRPr="00C6052E">
        <w:t xml:space="preserve"> </w:t>
      </w:r>
      <w:r w:rsidRPr="00C6052E">
        <w:t>consolidated</w:t>
      </w:r>
      <w:r w:rsidR="00177848" w:rsidRPr="00C6052E">
        <w:t xml:space="preserve"> </w:t>
      </w:r>
      <w:r w:rsidRPr="00C6052E">
        <w:t>pursuant</w:t>
      </w:r>
      <w:r w:rsidR="00177848" w:rsidRPr="00C6052E">
        <w:t xml:space="preserve"> </w:t>
      </w:r>
      <w:r w:rsidRPr="00C6052E">
        <w:t>to</w:t>
      </w:r>
      <w:r w:rsidR="00177848" w:rsidRPr="00C6052E">
        <w:t xml:space="preserve"> </w:t>
      </w:r>
      <w:r w:rsidRPr="00C6052E">
        <w:t>section</w:t>
      </w:r>
      <w:r w:rsidR="00177848" w:rsidRPr="00C6052E">
        <w:t xml:space="preserve"> </w:t>
      </w:r>
      <w:r w:rsidRPr="00C6052E">
        <w:t>53(1)(b)</w:t>
      </w:r>
      <w:r w:rsidR="00177848" w:rsidRPr="00C6052E">
        <w:t xml:space="preserve"> </w:t>
      </w:r>
      <w:r w:rsidRPr="00C6052E">
        <w:t>of</w:t>
      </w:r>
      <w:r w:rsidR="00177848" w:rsidRPr="00C6052E">
        <w:t xml:space="preserve"> </w:t>
      </w:r>
      <w:r w:rsidRPr="00C6052E">
        <w:t>the</w:t>
      </w:r>
      <w:r w:rsidR="00177848" w:rsidRPr="00C6052E">
        <w:t xml:space="preserve"> </w:t>
      </w:r>
      <w:r w:rsidRPr="00C6052E">
        <w:t>FMA</w:t>
      </w:r>
      <w:bookmarkEnd w:id="371"/>
      <w:bookmarkEnd w:id="372"/>
      <w:bookmarkEnd w:id="373"/>
      <w:r w:rsidR="00177848" w:rsidRPr="00C6052E">
        <w:t xml:space="preserve"> </w:t>
      </w:r>
    </w:p>
    <w:p w14:paraId="3B0BABCB" w14:textId="00DCA2D4" w:rsidR="00EE5BB8" w:rsidRPr="00C6052E" w:rsidRDefault="00EE5BB8" w:rsidP="00EE5BB8">
      <w:r w:rsidRPr="00C6052E">
        <w:t>The</w:t>
      </w:r>
      <w:r w:rsidR="00177848" w:rsidRPr="00C6052E">
        <w:t xml:space="preserve"> </w:t>
      </w:r>
      <w:r w:rsidRPr="00C6052E">
        <w:t>financial</w:t>
      </w:r>
      <w:r w:rsidR="00177848" w:rsidRPr="00C6052E">
        <w:t xml:space="preserve"> </w:t>
      </w:r>
      <w:r w:rsidRPr="00C6052E">
        <w:t>effects</w:t>
      </w:r>
      <w:r w:rsidR="00177848" w:rsidRPr="00C6052E">
        <w:t xml:space="preserve"> </w:t>
      </w:r>
      <w:r w:rsidRPr="00C6052E">
        <w:t>consolidated</w:t>
      </w:r>
      <w:r w:rsidR="00177848" w:rsidRPr="00C6052E">
        <w:t xml:space="preserve"> </w:t>
      </w:r>
      <w:r w:rsidRPr="00C6052E">
        <w:t>entities</w:t>
      </w:r>
      <w:r w:rsidR="00177848" w:rsidRPr="00C6052E">
        <w:t xml:space="preserve"> </w:t>
      </w:r>
      <w:r w:rsidRPr="00C6052E">
        <w:t>were</w:t>
      </w:r>
      <w:r w:rsidR="00177848" w:rsidRPr="00C6052E">
        <w:t xml:space="preserve"> </w:t>
      </w:r>
      <w:r w:rsidRPr="00C6052E">
        <w:t>not</w:t>
      </w:r>
      <w:r w:rsidR="00177848" w:rsidRPr="00C6052E">
        <w:t xml:space="preserve"> </w:t>
      </w:r>
      <w:r w:rsidRPr="00C6052E">
        <w:t>material</w:t>
      </w:r>
      <w:r w:rsidR="00177848" w:rsidRPr="00C6052E">
        <w:t xml:space="preserve"> </w:t>
      </w:r>
      <w:r w:rsidRPr="00C6052E">
        <w:t>to</w:t>
      </w:r>
      <w:r w:rsidR="00177848" w:rsidRPr="00C6052E">
        <w:t xml:space="preserve"> </w:t>
      </w:r>
      <w:r w:rsidRPr="00C6052E">
        <w:t>DJSIR</w:t>
      </w:r>
      <w:r w:rsidR="00177848" w:rsidRPr="00C6052E">
        <w:t xml:space="preserve"> </w:t>
      </w:r>
      <w:r w:rsidRPr="00C6052E">
        <w:t>consolidated</w:t>
      </w:r>
      <w:r w:rsidR="00177848" w:rsidRPr="00C6052E">
        <w:t xml:space="preserve"> </w:t>
      </w:r>
      <w:r w:rsidRPr="00C6052E">
        <w:t>group.</w:t>
      </w:r>
      <w:r w:rsidR="00177848" w:rsidRPr="00C6052E">
        <w:t xml:space="preserve"> </w:t>
      </w:r>
      <w:r w:rsidRPr="00C6052E">
        <w:t>These</w:t>
      </w:r>
      <w:r w:rsidR="00177848" w:rsidRPr="00C6052E">
        <w:t xml:space="preserve"> </w:t>
      </w:r>
      <w:r w:rsidRPr="00C6052E">
        <w:t>entities</w:t>
      </w:r>
      <w:r w:rsidR="00177848" w:rsidRPr="00C6052E">
        <w:t xml:space="preserve"> </w:t>
      </w:r>
      <w:r w:rsidRPr="00C6052E">
        <w:t>are</w:t>
      </w:r>
      <w:r w:rsidR="00177848" w:rsidRPr="00C6052E">
        <w:t xml:space="preserve"> </w:t>
      </w:r>
      <w:r w:rsidRPr="00C6052E">
        <w:t>reported</w:t>
      </w:r>
      <w:r w:rsidR="00177848" w:rsidRPr="00C6052E">
        <w:t xml:space="preserve"> </w:t>
      </w:r>
      <w:r w:rsidRPr="00C6052E">
        <w:t>in</w:t>
      </w:r>
      <w:r w:rsidR="00177848" w:rsidRPr="00C6052E">
        <w:t xml:space="preserve"> </w:t>
      </w:r>
      <w:r w:rsidRPr="00C6052E">
        <w:t>aggregate</w:t>
      </w:r>
      <w:r w:rsidR="00177848" w:rsidRPr="00C6052E">
        <w:t xml:space="preserve"> </w:t>
      </w:r>
      <w:r w:rsidRPr="00C6052E">
        <w:t>in</w:t>
      </w:r>
      <w:r w:rsidR="00177848" w:rsidRPr="00C6052E">
        <w:t xml:space="preserve"> </w:t>
      </w:r>
      <w:r w:rsidRPr="00C6052E">
        <w:t>the</w:t>
      </w:r>
      <w:r w:rsidR="00177848" w:rsidRPr="00C6052E">
        <w:t xml:space="preserve"> </w:t>
      </w:r>
      <w:r w:rsidRPr="00C6052E">
        <w:t>table</w:t>
      </w:r>
      <w:r w:rsidR="00177848" w:rsidRPr="00C6052E">
        <w:t xml:space="preserve"> </w:t>
      </w:r>
      <w:r w:rsidRPr="00C6052E">
        <w:t>below.</w:t>
      </w:r>
      <w:r w:rsidR="00177848" w:rsidRPr="00C6052E">
        <w:t xml:space="preserve"> </w:t>
      </w:r>
    </w:p>
    <w:p w14:paraId="49CA4D0F" w14:textId="5D6E72D5" w:rsidR="00EE5BB8" w:rsidRPr="00C6052E" w:rsidRDefault="00C6052E" w:rsidP="00030B7E">
      <w:pPr>
        <w:pStyle w:val="TableHeading"/>
      </w:pPr>
      <w:r w:rsidRPr="00C6052E">
        <w:t>Departmental</w:t>
      </w:r>
      <w:r w:rsidR="00177848" w:rsidRPr="00C6052E">
        <w:t xml:space="preserve"> </w:t>
      </w:r>
      <w:r w:rsidRPr="00C6052E">
        <w:t>consolidated</w:t>
      </w:r>
      <w:r w:rsidR="00177848" w:rsidRPr="00C6052E">
        <w:t xml:space="preserve"> </w:t>
      </w:r>
      <w:r w:rsidRPr="00C6052E">
        <w:t>group</w:t>
      </w:r>
      <w:r w:rsidR="00030B7E">
        <w:t xml:space="preserve"> </w:t>
      </w:r>
      <w:r w:rsidR="00030B7E" w:rsidRPr="00C6052E">
        <w:t>($ thousand)</w:t>
      </w:r>
    </w:p>
    <w:tbl>
      <w:tblPr>
        <w:tblStyle w:val="TableGrid"/>
        <w:tblW w:w="14559" w:type="dxa"/>
        <w:tblLayout w:type="fixed"/>
        <w:tblLook w:val="04A0" w:firstRow="1" w:lastRow="0" w:firstColumn="1" w:lastColumn="0" w:noHBand="0" w:noVBand="1"/>
      </w:tblPr>
      <w:tblGrid>
        <w:gridCol w:w="3539"/>
        <w:gridCol w:w="1247"/>
        <w:gridCol w:w="1247"/>
        <w:gridCol w:w="1020"/>
        <w:gridCol w:w="1020"/>
        <w:gridCol w:w="1020"/>
        <w:gridCol w:w="1020"/>
        <w:gridCol w:w="1112"/>
        <w:gridCol w:w="1111"/>
        <w:gridCol w:w="1111"/>
        <w:gridCol w:w="1112"/>
      </w:tblGrid>
      <w:tr w:rsidR="00EE5BB8" w:rsidRPr="00C6052E" w14:paraId="2CE751BE" w14:textId="77777777" w:rsidTr="00030B7E">
        <w:tc>
          <w:tcPr>
            <w:tcW w:w="3539" w:type="dxa"/>
            <w:noWrap/>
          </w:tcPr>
          <w:p w14:paraId="6DCDC734" w14:textId="77777777" w:rsidR="00EE5BB8" w:rsidRPr="00C6052E" w:rsidRDefault="00EE5BB8" w:rsidP="00030B7E">
            <w:pPr>
              <w:pStyle w:val="TableColumnHeading"/>
            </w:pPr>
            <w:bookmarkStart w:id="374" w:name="TableColumnHeadings_110"/>
            <w:bookmarkEnd w:id="374"/>
          </w:p>
        </w:tc>
        <w:tc>
          <w:tcPr>
            <w:tcW w:w="1247" w:type="dxa"/>
            <w:hideMark/>
          </w:tcPr>
          <w:p w14:paraId="0A600B3B" w14:textId="4E4C9475" w:rsidR="00EE5BB8" w:rsidRPr="00C6052E" w:rsidRDefault="00030B7E" w:rsidP="00030B7E">
            <w:pPr>
              <w:pStyle w:val="TableColumnHeading"/>
              <w:jc w:val="right"/>
            </w:pPr>
            <w:r w:rsidRPr="00C6052E">
              <w:rPr>
                <w:lang w:val="en-AU"/>
              </w:rPr>
              <w:t>Department of Jobs, Skills, Industry and Regions</w:t>
            </w:r>
            <w:r>
              <w:br/>
            </w:r>
            <w:r w:rsidR="00EE5BB8" w:rsidRPr="00C6052E">
              <w:t>2025</w:t>
            </w:r>
          </w:p>
        </w:tc>
        <w:tc>
          <w:tcPr>
            <w:tcW w:w="1247" w:type="dxa"/>
            <w:hideMark/>
          </w:tcPr>
          <w:p w14:paraId="219B9B4B" w14:textId="5188AEF8" w:rsidR="00EE5BB8" w:rsidRPr="00C6052E" w:rsidRDefault="00030B7E" w:rsidP="00030B7E">
            <w:pPr>
              <w:pStyle w:val="TableColumnHeading"/>
              <w:jc w:val="right"/>
            </w:pPr>
            <w:r w:rsidRPr="00C6052E">
              <w:rPr>
                <w:lang w:val="en-AU"/>
              </w:rPr>
              <w:t>Department of Jobs, Skills, Industry and Regions</w:t>
            </w:r>
            <w:r>
              <w:br/>
            </w:r>
            <w:r w:rsidR="00EE5BB8" w:rsidRPr="00C6052E">
              <w:t>2024</w:t>
            </w:r>
          </w:p>
        </w:tc>
        <w:tc>
          <w:tcPr>
            <w:tcW w:w="1020" w:type="dxa"/>
            <w:hideMark/>
          </w:tcPr>
          <w:p w14:paraId="69A16350" w14:textId="21B2138C" w:rsidR="00EE5BB8" w:rsidRPr="00C6052E" w:rsidRDefault="00030B7E" w:rsidP="00030B7E">
            <w:pPr>
              <w:pStyle w:val="TableColumnHeading"/>
              <w:jc w:val="right"/>
            </w:pPr>
            <w:r w:rsidRPr="00C6052E">
              <w:rPr>
                <w:lang w:val="en-AU"/>
              </w:rPr>
              <w:t>Victoria 2026</w:t>
            </w:r>
            <w:r w:rsidRPr="00C6052E">
              <w:rPr>
                <w:vertAlign w:val="superscript"/>
                <w:lang w:val="en-AU"/>
              </w:rPr>
              <w:t>(i)</w:t>
            </w:r>
            <w:r>
              <w:rPr>
                <w:vertAlign w:val="superscript"/>
                <w:lang w:val="en-AU"/>
              </w:rPr>
              <w:br/>
            </w:r>
            <w:r w:rsidR="00EE5BB8" w:rsidRPr="00C6052E">
              <w:t>2025</w:t>
            </w:r>
          </w:p>
        </w:tc>
        <w:tc>
          <w:tcPr>
            <w:tcW w:w="1020" w:type="dxa"/>
            <w:hideMark/>
          </w:tcPr>
          <w:p w14:paraId="6F6BD072" w14:textId="42B19049" w:rsidR="00EE5BB8" w:rsidRPr="00C6052E" w:rsidRDefault="00030B7E" w:rsidP="00030B7E">
            <w:pPr>
              <w:pStyle w:val="TableColumnHeading"/>
              <w:jc w:val="right"/>
            </w:pPr>
            <w:r w:rsidRPr="00C6052E">
              <w:rPr>
                <w:lang w:val="en-AU"/>
              </w:rPr>
              <w:t>Victoria 2026</w:t>
            </w:r>
            <w:r w:rsidRPr="00C6052E">
              <w:rPr>
                <w:vertAlign w:val="superscript"/>
                <w:lang w:val="en-AU"/>
              </w:rPr>
              <w:t>(i)</w:t>
            </w:r>
            <w:r>
              <w:rPr>
                <w:vertAlign w:val="superscript"/>
                <w:lang w:val="en-AU"/>
              </w:rPr>
              <w:br/>
            </w:r>
            <w:r w:rsidR="00EE5BB8" w:rsidRPr="00C6052E">
              <w:t>2024</w:t>
            </w:r>
          </w:p>
        </w:tc>
        <w:tc>
          <w:tcPr>
            <w:tcW w:w="1020" w:type="dxa"/>
            <w:hideMark/>
          </w:tcPr>
          <w:p w14:paraId="1628A432" w14:textId="319E61FC" w:rsidR="00EE5BB8" w:rsidRPr="00C6052E" w:rsidRDefault="00030B7E" w:rsidP="00030B7E">
            <w:pPr>
              <w:pStyle w:val="TableColumnHeading"/>
              <w:jc w:val="right"/>
            </w:pPr>
            <w:r w:rsidRPr="00C6052E">
              <w:rPr>
                <w:lang w:val="en-AU"/>
              </w:rPr>
              <w:t xml:space="preserve">Other section 53(1)(b) </w:t>
            </w:r>
            <w:r w:rsidRPr="00C6052E">
              <w:rPr>
                <w:lang w:val="en-AU"/>
              </w:rPr>
              <w:br/>
              <w:t>entities</w:t>
            </w:r>
            <w:r>
              <w:rPr>
                <w:lang w:val="en-AU"/>
              </w:rPr>
              <w:br/>
            </w:r>
            <w:r w:rsidR="00EE5BB8" w:rsidRPr="00C6052E">
              <w:t>2025</w:t>
            </w:r>
          </w:p>
        </w:tc>
        <w:tc>
          <w:tcPr>
            <w:tcW w:w="1020" w:type="dxa"/>
            <w:hideMark/>
          </w:tcPr>
          <w:p w14:paraId="302FD287" w14:textId="7D9F15E3" w:rsidR="00EE5BB8" w:rsidRPr="00C6052E" w:rsidRDefault="00030B7E" w:rsidP="00030B7E">
            <w:pPr>
              <w:pStyle w:val="TableColumnHeading"/>
              <w:jc w:val="right"/>
            </w:pPr>
            <w:r w:rsidRPr="00C6052E">
              <w:rPr>
                <w:lang w:val="en-AU"/>
              </w:rPr>
              <w:t xml:space="preserve">Other section 53(1)(b) </w:t>
            </w:r>
            <w:r w:rsidRPr="00C6052E">
              <w:rPr>
                <w:lang w:val="en-AU"/>
              </w:rPr>
              <w:br/>
              <w:t>entities</w:t>
            </w:r>
            <w:r>
              <w:rPr>
                <w:lang w:val="en-AU"/>
              </w:rPr>
              <w:br/>
            </w:r>
            <w:r w:rsidR="00EE5BB8" w:rsidRPr="00C6052E">
              <w:t>2024</w:t>
            </w:r>
          </w:p>
        </w:tc>
        <w:tc>
          <w:tcPr>
            <w:tcW w:w="1112" w:type="dxa"/>
            <w:hideMark/>
          </w:tcPr>
          <w:p w14:paraId="35AC6002" w14:textId="29F12133" w:rsidR="00EE5BB8" w:rsidRPr="00C6052E" w:rsidRDefault="00030B7E" w:rsidP="00030B7E">
            <w:pPr>
              <w:pStyle w:val="TableColumnHeading"/>
              <w:jc w:val="right"/>
            </w:pPr>
            <w:r w:rsidRPr="00C6052E">
              <w:rPr>
                <w:lang w:val="en-AU"/>
              </w:rPr>
              <w:t>Elimina</w:t>
            </w:r>
            <w:r>
              <w:rPr>
                <w:lang w:val="en-AU"/>
              </w:rPr>
              <w:softHyphen/>
            </w:r>
            <w:r w:rsidRPr="00C6052E">
              <w:rPr>
                <w:lang w:val="en-AU"/>
              </w:rPr>
              <w:t>tions and adjust</w:t>
            </w:r>
            <w:r>
              <w:rPr>
                <w:lang w:val="en-AU"/>
              </w:rPr>
              <w:softHyphen/>
            </w:r>
            <w:r w:rsidRPr="00C6052E">
              <w:rPr>
                <w:lang w:val="en-AU"/>
              </w:rPr>
              <w:t>ments</w:t>
            </w:r>
            <w:r>
              <w:rPr>
                <w:lang w:val="en-AU"/>
              </w:rPr>
              <w:br/>
            </w:r>
            <w:r w:rsidR="00EE5BB8" w:rsidRPr="00C6052E">
              <w:t>2025</w:t>
            </w:r>
          </w:p>
        </w:tc>
        <w:tc>
          <w:tcPr>
            <w:tcW w:w="1111" w:type="dxa"/>
            <w:hideMark/>
          </w:tcPr>
          <w:p w14:paraId="30EBF3D6" w14:textId="55062891" w:rsidR="00EE5BB8" w:rsidRPr="00C6052E" w:rsidRDefault="00030B7E" w:rsidP="00030B7E">
            <w:pPr>
              <w:pStyle w:val="TableColumnHeading"/>
              <w:jc w:val="right"/>
            </w:pPr>
            <w:r w:rsidRPr="00C6052E">
              <w:rPr>
                <w:lang w:val="en-AU"/>
              </w:rPr>
              <w:t>Elimina</w:t>
            </w:r>
            <w:r>
              <w:rPr>
                <w:lang w:val="en-AU"/>
              </w:rPr>
              <w:softHyphen/>
            </w:r>
            <w:r w:rsidRPr="00C6052E">
              <w:rPr>
                <w:lang w:val="en-AU"/>
              </w:rPr>
              <w:t>tions and adjust</w:t>
            </w:r>
            <w:r>
              <w:rPr>
                <w:lang w:val="en-AU"/>
              </w:rPr>
              <w:softHyphen/>
            </w:r>
            <w:r w:rsidRPr="00C6052E">
              <w:rPr>
                <w:lang w:val="en-AU"/>
              </w:rPr>
              <w:t>ments</w:t>
            </w:r>
            <w:r>
              <w:rPr>
                <w:lang w:val="en-AU"/>
              </w:rPr>
              <w:br/>
            </w:r>
            <w:r w:rsidR="00EE5BB8" w:rsidRPr="00C6052E">
              <w:t>2024</w:t>
            </w:r>
          </w:p>
        </w:tc>
        <w:tc>
          <w:tcPr>
            <w:tcW w:w="1111" w:type="dxa"/>
            <w:hideMark/>
          </w:tcPr>
          <w:p w14:paraId="66F61AAD" w14:textId="21721C4F" w:rsidR="00EE5BB8" w:rsidRPr="00C6052E" w:rsidRDefault="00030B7E" w:rsidP="00030B7E">
            <w:pPr>
              <w:pStyle w:val="TableColumnHeading"/>
              <w:jc w:val="right"/>
            </w:pPr>
            <w:r w:rsidRPr="00C6052E">
              <w:rPr>
                <w:lang w:val="en-AU"/>
              </w:rPr>
              <w:t>DJSIR consoli</w:t>
            </w:r>
            <w:r>
              <w:rPr>
                <w:lang w:val="en-AU"/>
              </w:rPr>
              <w:softHyphen/>
            </w:r>
            <w:r w:rsidRPr="00C6052E">
              <w:rPr>
                <w:lang w:val="en-AU"/>
              </w:rPr>
              <w:t>dated group</w:t>
            </w:r>
            <w:r>
              <w:rPr>
                <w:lang w:val="en-AU"/>
              </w:rPr>
              <w:br/>
            </w:r>
            <w:r w:rsidR="00EE5BB8" w:rsidRPr="00C6052E">
              <w:t>2025</w:t>
            </w:r>
          </w:p>
        </w:tc>
        <w:tc>
          <w:tcPr>
            <w:tcW w:w="1112" w:type="dxa"/>
            <w:hideMark/>
          </w:tcPr>
          <w:p w14:paraId="0A6A590F" w14:textId="6451B911" w:rsidR="00EE5BB8" w:rsidRPr="00C6052E" w:rsidRDefault="00030B7E" w:rsidP="00030B7E">
            <w:pPr>
              <w:pStyle w:val="TableColumnHeading"/>
              <w:jc w:val="right"/>
            </w:pPr>
            <w:r w:rsidRPr="00C6052E">
              <w:rPr>
                <w:lang w:val="en-AU"/>
              </w:rPr>
              <w:t>DJSIR consoli</w:t>
            </w:r>
            <w:r>
              <w:rPr>
                <w:lang w:val="en-AU"/>
              </w:rPr>
              <w:softHyphen/>
            </w:r>
            <w:r w:rsidRPr="00C6052E">
              <w:rPr>
                <w:lang w:val="en-AU"/>
              </w:rPr>
              <w:t>dated group</w:t>
            </w:r>
            <w:r>
              <w:rPr>
                <w:lang w:val="en-AU"/>
              </w:rPr>
              <w:br/>
            </w:r>
            <w:r w:rsidR="00EE5BB8" w:rsidRPr="00C6052E">
              <w:t>2024</w:t>
            </w:r>
          </w:p>
        </w:tc>
      </w:tr>
      <w:tr w:rsidR="00EE5BB8" w:rsidRPr="00C6052E" w14:paraId="01CD7D8B" w14:textId="77777777" w:rsidTr="00030B7E">
        <w:tc>
          <w:tcPr>
            <w:tcW w:w="3539" w:type="dxa"/>
            <w:hideMark/>
          </w:tcPr>
          <w:p w14:paraId="4137AFD4" w14:textId="22E3DF98" w:rsidR="00EE5BB8" w:rsidRPr="00C6052E" w:rsidRDefault="00EE5BB8" w:rsidP="0063097D">
            <w:pPr>
              <w:pStyle w:val="TableCopy"/>
            </w:pPr>
            <w:r w:rsidRPr="00C6052E">
              <w:t>Total</w:t>
            </w:r>
            <w:r w:rsidR="00177848" w:rsidRPr="00C6052E">
              <w:t xml:space="preserve"> </w:t>
            </w:r>
            <w:r w:rsidRPr="00C6052E">
              <w:t>income</w:t>
            </w:r>
            <w:r w:rsidR="00177848" w:rsidRPr="00C6052E">
              <w:t xml:space="preserve"> </w:t>
            </w:r>
            <w:r w:rsidRPr="00C6052E">
              <w:t>from</w:t>
            </w:r>
            <w:r w:rsidR="00177848" w:rsidRPr="00C6052E">
              <w:t xml:space="preserve"> </w:t>
            </w:r>
            <w:r w:rsidRPr="00C6052E">
              <w:t>transactions</w:t>
            </w:r>
          </w:p>
        </w:tc>
        <w:tc>
          <w:tcPr>
            <w:tcW w:w="1247" w:type="dxa"/>
            <w:noWrap/>
            <w:hideMark/>
          </w:tcPr>
          <w:p w14:paraId="10612EA3" w14:textId="77777777" w:rsidR="00EE5BB8" w:rsidRPr="00C6052E" w:rsidRDefault="00EE5BB8" w:rsidP="00030B7E">
            <w:pPr>
              <w:pStyle w:val="TableCopy"/>
              <w:jc w:val="right"/>
            </w:pPr>
            <w:r w:rsidRPr="00C6052E">
              <w:t>3,764,306</w:t>
            </w:r>
          </w:p>
        </w:tc>
        <w:tc>
          <w:tcPr>
            <w:tcW w:w="1247" w:type="dxa"/>
            <w:noWrap/>
            <w:hideMark/>
          </w:tcPr>
          <w:p w14:paraId="7B46D5CA" w14:textId="77777777" w:rsidR="00EE5BB8" w:rsidRPr="00C6052E" w:rsidRDefault="00EE5BB8" w:rsidP="00030B7E">
            <w:pPr>
              <w:pStyle w:val="TableCopy"/>
              <w:jc w:val="right"/>
            </w:pPr>
            <w:r w:rsidRPr="00C6052E">
              <w:t>3,633,760</w:t>
            </w:r>
          </w:p>
        </w:tc>
        <w:tc>
          <w:tcPr>
            <w:tcW w:w="1020" w:type="dxa"/>
            <w:noWrap/>
            <w:hideMark/>
          </w:tcPr>
          <w:p w14:paraId="67849786" w14:textId="77777777" w:rsidR="00EE5BB8" w:rsidRPr="00C6052E" w:rsidRDefault="00EE5BB8" w:rsidP="00030B7E">
            <w:pPr>
              <w:pStyle w:val="TableCopy"/>
              <w:jc w:val="right"/>
            </w:pPr>
            <w:r w:rsidRPr="00C6052E">
              <w:t>–</w:t>
            </w:r>
          </w:p>
        </w:tc>
        <w:tc>
          <w:tcPr>
            <w:tcW w:w="1020" w:type="dxa"/>
            <w:noWrap/>
            <w:hideMark/>
          </w:tcPr>
          <w:p w14:paraId="64B5D44E" w14:textId="77777777" w:rsidR="00EE5BB8" w:rsidRPr="00C6052E" w:rsidRDefault="00EE5BB8" w:rsidP="00030B7E">
            <w:pPr>
              <w:pStyle w:val="TableCopy"/>
              <w:jc w:val="right"/>
            </w:pPr>
            <w:r w:rsidRPr="00C6052E">
              <w:t>399</w:t>
            </w:r>
          </w:p>
        </w:tc>
        <w:tc>
          <w:tcPr>
            <w:tcW w:w="1020" w:type="dxa"/>
            <w:noWrap/>
            <w:hideMark/>
          </w:tcPr>
          <w:p w14:paraId="2E9EB25E" w14:textId="77777777" w:rsidR="00EE5BB8" w:rsidRPr="00C6052E" w:rsidRDefault="00EE5BB8" w:rsidP="00030B7E">
            <w:pPr>
              <w:pStyle w:val="TableCopy"/>
              <w:jc w:val="right"/>
            </w:pPr>
            <w:r w:rsidRPr="00C6052E">
              <w:t>–</w:t>
            </w:r>
          </w:p>
        </w:tc>
        <w:tc>
          <w:tcPr>
            <w:tcW w:w="1020" w:type="dxa"/>
            <w:noWrap/>
            <w:hideMark/>
          </w:tcPr>
          <w:p w14:paraId="192D878F" w14:textId="77777777" w:rsidR="00EE5BB8" w:rsidRPr="00C6052E" w:rsidRDefault="00EE5BB8" w:rsidP="00030B7E">
            <w:pPr>
              <w:pStyle w:val="TableCopy"/>
              <w:jc w:val="right"/>
            </w:pPr>
            <w:r w:rsidRPr="00C6052E">
              <w:t>121</w:t>
            </w:r>
          </w:p>
        </w:tc>
        <w:tc>
          <w:tcPr>
            <w:tcW w:w="1112" w:type="dxa"/>
            <w:noWrap/>
            <w:hideMark/>
          </w:tcPr>
          <w:p w14:paraId="02B63066" w14:textId="77777777" w:rsidR="00EE5BB8" w:rsidRPr="00C6052E" w:rsidRDefault="00EE5BB8" w:rsidP="00030B7E">
            <w:pPr>
              <w:pStyle w:val="TableCopy"/>
              <w:jc w:val="right"/>
            </w:pPr>
            <w:r w:rsidRPr="00C6052E">
              <w:t>–</w:t>
            </w:r>
          </w:p>
        </w:tc>
        <w:tc>
          <w:tcPr>
            <w:tcW w:w="1111" w:type="dxa"/>
            <w:noWrap/>
            <w:hideMark/>
          </w:tcPr>
          <w:p w14:paraId="226B7C6B" w14:textId="77777777" w:rsidR="00EE5BB8" w:rsidRPr="00C6052E" w:rsidRDefault="00EE5BB8" w:rsidP="00030B7E">
            <w:pPr>
              <w:pStyle w:val="TableCopy"/>
              <w:jc w:val="right"/>
            </w:pPr>
            <w:r w:rsidRPr="00C6052E">
              <w:t>(17,169)</w:t>
            </w:r>
          </w:p>
        </w:tc>
        <w:tc>
          <w:tcPr>
            <w:tcW w:w="1111" w:type="dxa"/>
            <w:noWrap/>
            <w:hideMark/>
          </w:tcPr>
          <w:p w14:paraId="1090D3AB" w14:textId="77777777" w:rsidR="00EE5BB8" w:rsidRPr="00C6052E" w:rsidRDefault="00EE5BB8" w:rsidP="00030B7E">
            <w:pPr>
              <w:pStyle w:val="TableCopy"/>
              <w:jc w:val="right"/>
            </w:pPr>
            <w:r w:rsidRPr="00C6052E">
              <w:t>3,764,306</w:t>
            </w:r>
          </w:p>
        </w:tc>
        <w:tc>
          <w:tcPr>
            <w:tcW w:w="1112" w:type="dxa"/>
            <w:noWrap/>
            <w:hideMark/>
          </w:tcPr>
          <w:p w14:paraId="1F14F37B" w14:textId="77777777" w:rsidR="00EE5BB8" w:rsidRPr="00C6052E" w:rsidRDefault="00EE5BB8" w:rsidP="00030B7E">
            <w:pPr>
              <w:pStyle w:val="TableCopy"/>
              <w:jc w:val="right"/>
            </w:pPr>
            <w:r w:rsidRPr="00C6052E">
              <w:t>3,617,111</w:t>
            </w:r>
          </w:p>
        </w:tc>
      </w:tr>
      <w:tr w:rsidR="00EE5BB8" w:rsidRPr="00C6052E" w14:paraId="110CDA5D" w14:textId="77777777" w:rsidTr="00030B7E">
        <w:tc>
          <w:tcPr>
            <w:tcW w:w="3539" w:type="dxa"/>
            <w:hideMark/>
          </w:tcPr>
          <w:p w14:paraId="4355F864" w14:textId="56B2563F" w:rsidR="00EE5BB8" w:rsidRPr="00C6052E" w:rsidRDefault="00EE5BB8" w:rsidP="0063097D">
            <w:pPr>
              <w:pStyle w:val="TableCopy"/>
            </w:pPr>
            <w:r w:rsidRPr="00C6052E">
              <w:t>Net</w:t>
            </w:r>
            <w:r w:rsidR="00177848" w:rsidRPr="00C6052E">
              <w:t xml:space="preserve"> </w:t>
            </w:r>
            <w:r w:rsidRPr="00C6052E">
              <w:t>results</w:t>
            </w:r>
            <w:r w:rsidR="00177848" w:rsidRPr="00C6052E">
              <w:t xml:space="preserve"> </w:t>
            </w:r>
            <w:r w:rsidRPr="00C6052E">
              <w:t>from</w:t>
            </w:r>
            <w:r w:rsidR="00177848" w:rsidRPr="00C6052E">
              <w:t xml:space="preserve"> </w:t>
            </w:r>
            <w:r w:rsidRPr="00C6052E">
              <w:t>transactions</w:t>
            </w:r>
          </w:p>
        </w:tc>
        <w:tc>
          <w:tcPr>
            <w:tcW w:w="1247" w:type="dxa"/>
            <w:noWrap/>
            <w:hideMark/>
          </w:tcPr>
          <w:p w14:paraId="5426E554" w14:textId="77777777" w:rsidR="00EE5BB8" w:rsidRPr="00C6052E" w:rsidRDefault="00EE5BB8" w:rsidP="00030B7E">
            <w:pPr>
              <w:pStyle w:val="TableCopy"/>
              <w:jc w:val="right"/>
            </w:pPr>
            <w:r w:rsidRPr="00C6052E">
              <w:t>169,307</w:t>
            </w:r>
          </w:p>
        </w:tc>
        <w:tc>
          <w:tcPr>
            <w:tcW w:w="1247" w:type="dxa"/>
            <w:noWrap/>
            <w:hideMark/>
          </w:tcPr>
          <w:p w14:paraId="73389F8E" w14:textId="77777777" w:rsidR="00EE5BB8" w:rsidRPr="00C6052E" w:rsidRDefault="00EE5BB8" w:rsidP="00030B7E">
            <w:pPr>
              <w:pStyle w:val="TableCopy"/>
              <w:jc w:val="right"/>
            </w:pPr>
            <w:r w:rsidRPr="00C6052E">
              <w:t>129,558</w:t>
            </w:r>
          </w:p>
        </w:tc>
        <w:tc>
          <w:tcPr>
            <w:tcW w:w="1020" w:type="dxa"/>
            <w:noWrap/>
            <w:hideMark/>
          </w:tcPr>
          <w:p w14:paraId="5E4DF4D5" w14:textId="77777777" w:rsidR="00EE5BB8" w:rsidRPr="00C6052E" w:rsidRDefault="00EE5BB8" w:rsidP="00030B7E">
            <w:pPr>
              <w:pStyle w:val="TableCopy"/>
              <w:jc w:val="right"/>
            </w:pPr>
            <w:r w:rsidRPr="00C6052E">
              <w:t>–</w:t>
            </w:r>
          </w:p>
        </w:tc>
        <w:tc>
          <w:tcPr>
            <w:tcW w:w="1020" w:type="dxa"/>
            <w:noWrap/>
            <w:hideMark/>
          </w:tcPr>
          <w:p w14:paraId="6FB67F18" w14:textId="77777777" w:rsidR="00EE5BB8" w:rsidRPr="00C6052E" w:rsidRDefault="00EE5BB8" w:rsidP="00030B7E">
            <w:pPr>
              <w:pStyle w:val="TableCopy"/>
              <w:jc w:val="right"/>
            </w:pPr>
            <w:r w:rsidRPr="00C6052E">
              <w:t>(17,340)</w:t>
            </w:r>
          </w:p>
        </w:tc>
        <w:tc>
          <w:tcPr>
            <w:tcW w:w="1020" w:type="dxa"/>
            <w:noWrap/>
            <w:hideMark/>
          </w:tcPr>
          <w:p w14:paraId="4736B541" w14:textId="77777777" w:rsidR="00EE5BB8" w:rsidRPr="00C6052E" w:rsidRDefault="00EE5BB8" w:rsidP="00030B7E">
            <w:pPr>
              <w:pStyle w:val="TableCopy"/>
              <w:jc w:val="right"/>
            </w:pPr>
            <w:r w:rsidRPr="00C6052E">
              <w:t>–</w:t>
            </w:r>
          </w:p>
        </w:tc>
        <w:tc>
          <w:tcPr>
            <w:tcW w:w="1020" w:type="dxa"/>
            <w:noWrap/>
            <w:hideMark/>
          </w:tcPr>
          <w:p w14:paraId="18D44A12" w14:textId="77777777" w:rsidR="00EE5BB8" w:rsidRPr="00C6052E" w:rsidRDefault="00EE5BB8" w:rsidP="00030B7E">
            <w:pPr>
              <w:pStyle w:val="TableCopy"/>
              <w:jc w:val="right"/>
            </w:pPr>
            <w:r w:rsidRPr="00C6052E">
              <w:t>–</w:t>
            </w:r>
          </w:p>
        </w:tc>
        <w:tc>
          <w:tcPr>
            <w:tcW w:w="1112" w:type="dxa"/>
            <w:noWrap/>
            <w:hideMark/>
          </w:tcPr>
          <w:p w14:paraId="232A44A5" w14:textId="77777777" w:rsidR="00EE5BB8" w:rsidRPr="00C6052E" w:rsidRDefault="00EE5BB8" w:rsidP="00030B7E">
            <w:pPr>
              <w:pStyle w:val="TableCopy"/>
              <w:jc w:val="right"/>
            </w:pPr>
            <w:r w:rsidRPr="00C6052E">
              <w:t>–</w:t>
            </w:r>
          </w:p>
        </w:tc>
        <w:tc>
          <w:tcPr>
            <w:tcW w:w="1111" w:type="dxa"/>
            <w:noWrap/>
            <w:hideMark/>
          </w:tcPr>
          <w:p w14:paraId="279838F2" w14:textId="77777777" w:rsidR="00EE5BB8" w:rsidRPr="00C6052E" w:rsidRDefault="00EE5BB8" w:rsidP="00030B7E">
            <w:pPr>
              <w:pStyle w:val="TableCopy"/>
              <w:jc w:val="right"/>
            </w:pPr>
            <w:r w:rsidRPr="00C6052E">
              <w:t>–</w:t>
            </w:r>
          </w:p>
        </w:tc>
        <w:tc>
          <w:tcPr>
            <w:tcW w:w="1111" w:type="dxa"/>
            <w:noWrap/>
            <w:hideMark/>
          </w:tcPr>
          <w:p w14:paraId="15CD6EF0" w14:textId="77777777" w:rsidR="00EE5BB8" w:rsidRPr="00C6052E" w:rsidRDefault="00EE5BB8" w:rsidP="00030B7E">
            <w:pPr>
              <w:pStyle w:val="TableCopy"/>
              <w:jc w:val="right"/>
            </w:pPr>
            <w:r w:rsidRPr="00C6052E">
              <w:t>169,307</w:t>
            </w:r>
          </w:p>
        </w:tc>
        <w:tc>
          <w:tcPr>
            <w:tcW w:w="1112" w:type="dxa"/>
            <w:noWrap/>
            <w:hideMark/>
          </w:tcPr>
          <w:p w14:paraId="0525AA8F" w14:textId="77777777" w:rsidR="00EE5BB8" w:rsidRPr="00C6052E" w:rsidRDefault="00EE5BB8" w:rsidP="00030B7E">
            <w:pPr>
              <w:pStyle w:val="TableCopy"/>
              <w:jc w:val="right"/>
            </w:pPr>
            <w:r w:rsidRPr="00C6052E">
              <w:t>112,218</w:t>
            </w:r>
          </w:p>
        </w:tc>
      </w:tr>
      <w:tr w:rsidR="00EE5BB8" w:rsidRPr="00C6052E" w14:paraId="12758441" w14:textId="77777777" w:rsidTr="00030B7E">
        <w:tc>
          <w:tcPr>
            <w:tcW w:w="3539" w:type="dxa"/>
            <w:hideMark/>
          </w:tcPr>
          <w:p w14:paraId="3521CDEB" w14:textId="26879BD5" w:rsidR="00EE5BB8" w:rsidRPr="00C6052E" w:rsidRDefault="00EE5BB8" w:rsidP="0063097D">
            <w:pPr>
              <w:pStyle w:val="TableCopy"/>
            </w:pPr>
            <w:r w:rsidRPr="00C6052E">
              <w:t>Total</w:t>
            </w:r>
            <w:r w:rsidR="00177848" w:rsidRPr="00C6052E">
              <w:t xml:space="preserve"> </w:t>
            </w:r>
            <w:r w:rsidRPr="00C6052E">
              <w:t>assets</w:t>
            </w:r>
          </w:p>
        </w:tc>
        <w:tc>
          <w:tcPr>
            <w:tcW w:w="1247" w:type="dxa"/>
            <w:noWrap/>
            <w:hideMark/>
          </w:tcPr>
          <w:p w14:paraId="6CE589AF" w14:textId="77777777" w:rsidR="00EE5BB8" w:rsidRPr="00C6052E" w:rsidRDefault="00EE5BB8" w:rsidP="00030B7E">
            <w:pPr>
              <w:pStyle w:val="TableCopy"/>
              <w:jc w:val="right"/>
            </w:pPr>
            <w:r w:rsidRPr="00C6052E">
              <w:t>1,378,080</w:t>
            </w:r>
          </w:p>
        </w:tc>
        <w:tc>
          <w:tcPr>
            <w:tcW w:w="1247" w:type="dxa"/>
            <w:noWrap/>
            <w:hideMark/>
          </w:tcPr>
          <w:p w14:paraId="3CDFEC32" w14:textId="77777777" w:rsidR="00EE5BB8" w:rsidRPr="00C6052E" w:rsidRDefault="00EE5BB8" w:rsidP="00030B7E">
            <w:pPr>
              <w:pStyle w:val="TableCopy"/>
              <w:jc w:val="right"/>
            </w:pPr>
            <w:r w:rsidRPr="00C6052E">
              <w:t>1,622,677</w:t>
            </w:r>
          </w:p>
        </w:tc>
        <w:tc>
          <w:tcPr>
            <w:tcW w:w="1020" w:type="dxa"/>
            <w:noWrap/>
            <w:hideMark/>
          </w:tcPr>
          <w:p w14:paraId="75750A1C" w14:textId="77777777" w:rsidR="00EE5BB8" w:rsidRPr="00C6052E" w:rsidRDefault="00EE5BB8" w:rsidP="00030B7E">
            <w:pPr>
              <w:pStyle w:val="TableCopy"/>
              <w:jc w:val="right"/>
            </w:pPr>
            <w:r w:rsidRPr="00C6052E">
              <w:t>–</w:t>
            </w:r>
          </w:p>
        </w:tc>
        <w:tc>
          <w:tcPr>
            <w:tcW w:w="1020" w:type="dxa"/>
            <w:noWrap/>
            <w:hideMark/>
          </w:tcPr>
          <w:p w14:paraId="2611CD1C" w14:textId="77777777" w:rsidR="00EE5BB8" w:rsidRPr="00C6052E" w:rsidRDefault="00EE5BB8" w:rsidP="00030B7E">
            <w:pPr>
              <w:pStyle w:val="TableCopy"/>
              <w:jc w:val="right"/>
            </w:pPr>
            <w:r w:rsidRPr="00C6052E">
              <w:t>–</w:t>
            </w:r>
          </w:p>
        </w:tc>
        <w:tc>
          <w:tcPr>
            <w:tcW w:w="1020" w:type="dxa"/>
            <w:noWrap/>
            <w:hideMark/>
          </w:tcPr>
          <w:p w14:paraId="13F6653F" w14:textId="77777777" w:rsidR="00EE5BB8" w:rsidRPr="00C6052E" w:rsidRDefault="00EE5BB8" w:rsidP="00030B7E">
            <w:pPr>
              <w:pStyle w:val="TableCopy"/>
              <w:jc w:val="right"/>
            </w:pPr>
            <w:r w:rsidRPr="00C6052E">
              <w:t>–</w:t>
            </w:r>
          </w:p>
        </w:tc>
        <w:tc>
          <w:tcPr>
            <w:tcW w:w="1020" w:type="dxa"/>
            <w:noWrap/>
            <w:hideMark/>
          </w:tcPr>
          <w:p w14:paraId="6E96CC98" w14:textId="77777777" w:rsidR="00EE5BB8" w:rsidRPr="00C6052E" w:rsidRDefault="00EE5BB8" w:rsidP="00030B7E">
            <w:pPr>
              <w:pStyle w:val="TableCopy"/>
              <w:jc w:val="right"/>
            </w:pPr>
            <w:r w:rsidRPr="00C6052E">
              <w:t>2,744</w:t>
            </w:r>
          </w:p>
        </w:tc>
        <w:tc>
          <w:tcPr>
            <w:tcW w:w="1112" w:type="dxa"/>
            <w:noWrap/>
            <w:hideMark/>
          </w:tcPr>
          <w:p w14:paraId="2A33D197" w14:textId="77777777" w:rsidR="00EE5BB8" w:rsidRPr="00C6052E" w:rsidRDefault="00EE5BB8" w:rsidP="00030B7E">
            <w:pPr>
              <w:pStyle w:val="TableCopy"/>
              <w:jc w:val="right"/>
            </w:pPr>
            <w:r w:rsidRPr="00C6052E">
              <w:t>–</w:t>
            </w:r>
          </w:p>
        </w:tc>
        <w:tc>
          <w:tcPr>
            <w:tcW w:w="1111" w:type="dxa"/>
            <w:noWrap/>
            <w:hideMark/>
          </w:tcPr>
          <w:p w14:paraId="20FC56C3" w14:textId="77777777" w:rsidR="00EE5BB8" w:rsidRPr="00C6052E" w:rsidRDefault="00EE5BB8" w:rsidP="00030B7E">
            <w:pPr>
              <w:pStyle w:val="TableCopy"/>
              <w:jc w:val="right"/>
            </w:pPr>
            <w:r w:rsidRPr="00C6052E">
              <w:t>(2)</w:t>
            </w:r>
          </w:p>
        </w:tc>
        <w:tc>
          <w:tcPr>
            <w:tcW w:w="1111" w:type="dxa"/>
            <w:noWrap/>
            <w:hideMark/>
          </w:tcPr>
          <w:p w14:paraId="0B994691" w14:textId="77777777" w:rsidR="00EE5BB8" w:rsidRPr="00C6052E" w:rsidRDefault="00EE5BB8" w:rsidP="00030B7E">
            <w:pPr>
              <w:pStyle w:val="TableCopy"/>
              <w:jc w:val="right"/>
            </w:pPr>
            <w:r w:rsidRPr="00C6052E">
              <w:t>1,378,080</w:t>
            </w:r>
          </w:p>
        </w:tc>
        <w:tc>
          <w:tcPr>
            <w:tcW w:w="1112" w:type="dxa"/>
            <w:noWrap/>
            <w:hideMark/>
          </w:tcPr>
          <w:p w14:paraId="1234E658" w14:textId="77777777" w:rsidR="00EE5BB8" w:rsidRPr="00C6052E" w:rsidRDefault="00EE5BB8" w:rsidP="00030B7E">
            <w:pPr>
              <w:pStyle w:val="TableCopy"/>
              <w:jc w:val="right"/>
            </w:pPr>
            <w:r w:rsidRPr="00C6052E">
              <w:t>1,625,419</w:t>
            </w:r>
          </w:p>
        </w:tc>
      </w:tr>
      <w:tr w:rsidR="00EE5BB8" w:rsidRPr="00C6052E" w14:paraId="6459D439" w14:textId="77777777" w:rsidTr="00030B7E">
        <w:tc>
          <w:tcPr>
            <w:tcW w:w="3539" w:type="dxa"/>
            <w:hideMark/>
          </w:tcPr>
          <w:p w14:paraId="415F73A0" w14:textId="1D87F32E" w:rsidR="00EE5BB8" w:rsidRPr="00C6052E" w:rsidRDefault="00EE5BB8" w:rsidP="0063097D">
            <w:pPr>
              <w:pStyle w:val="TableCopy"/>
            </w:pPr>
            <w:r w:rsidRPr="00C6052E">
              <w:t>Total</w:t>
            </w:r>
            <w:r w:rsidR="00177848" w:rsidRPr="00C6052E">
              <w:t xml:space="preserve"> </w:t>
            </w:r>
            <w:r w:rsidRPr="00C6052E">
              <w:t>liabilities</w:t>
            </w:r>
          </w:p>
        </w:tc>
        <w:tc>
          <w:tcPr>
            <w:tcW w:w="1247" w:type="dxa"/>
            <w:noWrap/>
            <w:hideMark/>
          </w:tcPr>
          <w:p w14:paraId="05E39BF1" w14:textId="77777777" w:rsidR="00EE5BB8" w:rsidRPr="00C6052E" w:rsidRDefault="00EE5BB8" w:rsidP="00030B7E">
            <w:pPr>
              <w:pStyle w:val="TableCopy"/>
              <w:jc w:val="right"/>
            </w:pPr>
            <w:r w:rsidRPr="00C6052E">
              <w:t>528,526</w:t>
            </w:r>
          </w:p>
        </w:tc>
        <w:tc>
          <w:tcPr>
            <w:tcW w:w="1247" w:type="dxa"/>
            <w:noWrap/>
            <w:hideMark/>
          </w:tcPr>
          <w:p w14:paraId="07E225BA" w14:textId="77777777" w:rsidR="00EE5BB8" w:rsidRPr="00C6052E" w:rsidRDefault="00EE5BB8" w:rsidP="00030B7E">
            <w:pPr>
              <w:pStyle w:val="TableCopy"/>
              <w:jc w:val="right"/>
            </w:pPr>
            <w:r w:rsidRPr="00C6052E">
              <w:t>771,651</w:t>
            </w:r>
          </w:p>
        </w:tc>
        <w:tc>
          <w:tcPr>
            <w:tcW w:w="1020" w:type="dxa"/>
            <w:noWrap/>
            <w:hideMark/>
          </w:tcPr>
          <w:p w14:paraId="09CDF464" w14:textId="77777777" w:rsidR="00EE5BB8" w:rsidRPr="00C6052E" w:rsidRDefault="00EE5BB8" w:rsidP="00030B7E">
            <w:pPr>
              <w:pStyle w:val="TableCopy"/>
              <w:jc w:val="right"/>
            </w:pPr>
            <w:r w:rsidRPr="00C6052E">
              <w:t>–</w:t>
            </w:r>
          </w:p>
        </w:tc>
        <w:tc>
          <w:tcPr>
            <w:tcW w:w="1020" w:type="dxa"/>
            <w:noWrap/>
            <w:hideMark/>
          </w:tcPr>
          <w:p w14:paraId="3D254D10" w14:textId="77777777" w:rsidR="00EE5BB8" w:rsidRPr="00C6052E" w:rsidRDefault="00EE5BB8" w:rsidP="00030B7E">
            <w:pPr>
              <w:pStyle w:val="TableCopy"/>
              <w:jc w:val="right"/>
            </w:pPr>
            <w:r w:rsidRPr="00C6052E">
              <w:t>–</w:t>
            </w:r>
          </w:p>
        </w:tc>
        <w:tc>
          <w:tcPr>
            <w:tcW w:w="1020" w:type="dxa"/>
            <w:noWrap/>
            <w:hideMark/>
          </w:tcPr>
          <w:p w14:paraId="5B0A2325" w14:textId="77777777" w:rsidR="00EE5BB8" w:rsidRPr="00C6052E" w:rsidRDefault="00EE5BB8" w:rsidP="00030B7E">
            <w:pPr>
              <w:pStyle w:val="TableCopy"/>
              <w:jc w:val="right"/>
            </w:pPr>
            <w:r w:rsidRPr="00C6052E">
              <w:t>–</w:t>
            </w:r>
          </w:p>
        </w:tc>
        <w:tc>
          <w:tcPr>
            <w:tcW w:w="1020" w:type="dxa"/>
            <w:noWrap/>
            <w:hideMark/>
          </w:tcPr>
          <w:p w14:paraId="2EF33575" w14:textId="77777777" w:rsidR="00EE5BB8" w:rsidRPr="00C6052E" w:rsidRDefault="00EE5BB8" w:rsidP="00030B7E">
            <w:pPr>
              <w:pStyle w:val="TableCopy"/>
              <w:jc w:val="right"/>
            </w:pPr>
            <w:r w:rsidRPr="00C6052E">
              <w:t>–</w:t>
            </w:r>
          </w:p>
        </w:tc>
        <w:tc>
          <w:tcPr>
            <w:tcW w:w="1112" w:type="dxa"/>
            <w:noWrap/>
            <w:hideMark/>
          </w:tcPr>
          <w:p w14:paraId="43569C60" w14:textId="77777777" w:rsidR="00EE5BB8" w:rsidRPr="00C6052E" w:rsidRDefault="00EE5BB8" w:rsidP="00030B7E">
            <w:pPr>
              <w:pStyle w:val="TableCopy"/>
              <w:jc w:val="right"/>
            </w:pPr>
            <w:r w:rsidRPr="00C6052E">
              <w:t>–</w:t>
            </w:r>
          </w:p>
        </w:tc>
        <w:tc>
          <w:tcPr>
            <w:tcW w:w="1111" w:type="dxa"/>
            <w:noWrap/>
            <w:hideMark/>
          </w:tcPr>
          <w:p w14:paraId="6CB9E4AA" w14:textId="77777777" w:rsidR="00EE5BB8" w:rsidRPr="00C6052E" w:rsidRDefault="00EE5BB8" w:rsidP="00030B7E">
            <w:pPr>
              <w:pStyle w:val="TableCopy"/>
              <w:jc w:val="right"/>
            </w:pPr>
            <w:r w:rsidRPr="00C6052E">
              <w:t>(2)</w:t>
            </w:r>
          </w:p>
        </w:tc>
        <w:tc>
          <w:tcPr>
            <w:tcW w:w="1111" w:type="dxa"/>
            <w:noWrap/>
            <w:hideMark/>
          </w:tcPr>
          <w:p w14:paraId="32864D23" w14:textId="77777777" w:rsidR="00EE5BB8" w:rsidRPr="00C6052E" w:rsidRDefault="00EE5BB8" w:rsidP="00030B7E">
            <w:pPr>
              <w:pStyle w:val="TableCopy"/>
              <w:jc w:val="right"/>
            </w:pPr>
            <w:r w:rsidRPr="00C6052E">
              <w:t>528,526</w:t>
            </w:r>
          </w:p>
        </w:tc>
        <w:tc>
          <w:tcPr>
            <w:tcW w:w="1112" w:type="dxa"/>
            <w:noWrap/>
            <w:hideMark/>
          </w:tcPr>
          <w:p w14:paraId="654A0976" w14:textId="77777777" w:rsidR="00EE5BB8" w:rsidRPr="00C6052E" w:rsidRDefault="00EE5BB8" w:rsidP="00030B7E">
            <w:pPr>
              <w:pStyle w:val="TableCopy"/>
              <w:jc w:val="right"/>
            </w:pPr>
            <w:r w:rsidRPr="00C6052E">
              <w:t>771,649</w:t>
            </w:r>
          </w:p>
        </w:tc>
      </w:tr>
    </w:tbl>
    <w:p w14:paraId="652F7F2C" w14:textId="7AC0182F" w:rsidR="00EE5BB8" w:rsidRPr="00C6052E" w:rsidRDefault="00EE5BB8" w:rsidP="00EE5BB8">
      <w:pPr>
        <w:pStyle w:val="Tablenotes-numbered"/>
        <w:numPr>
          <w:ilvl w:val="0"/>
          <w:numId w:val="69"/>
        </w:numPr>
        <w:spacing w:after="0"/>
      </w:pPr>
      <w:r w:rsidRPr="00C6052E">
        <w:t>On</w:t>
      </w:r>
      <w:r w:rsidR="00177848" w:rsidRPr="00C6052E">
        <w:t xml:space="preserve"> </w:t>
      </w:r>
      <w:r w:rsidRPr="00C6052E">
        <w:t>21</w:t>
      </w:r>
      <w:r w:rsidR="00177848" w:rsidRPr="00C6052E">
        <w:t xml:space="preserve"> </w:t>
      </w:r>
      <w:r w:rsidRPr="00C6052E">
        <w:t>August</w:t>
      </w:r>
      <w:r w:rsidR="00177848" w:rsidRPr="00C6052E">
        <w:t xml:space="preserve"> </w:t>
      </w:r>
      <w:r w:rsidRPr="00C6052E">
        <w:t>2024,</w:t>
      </w:r>
      <w:r w:rsidR="00177848" w:rsidRPr="00C6052E">
        <w:t xml:space="preserve"> </w:t>
      </w:r>
      <w:r w:rsidRPr="00C6052E">
        <w:t>Victoria</w:t>
      </w:r>
      <w:r w:rsidR="00177848" w:rsidRPr="00C6052E">
        <w:t xml:space="preserve"> </w:t>
      </w:r>
      <w:r w:rsidRPr="00C6052E">
        <w:t>2026</w:t>
      </w:r>
      <w:r w:rsidR="00177848" w:rsidRPr="00C6052E">
        <w:t xml:space="preserve"> </w:t>
      </w:r>
      <w:r w:rsidRPr="00C6052E">
        <w:t>Pty</w:t>
      </w:r>
      <w:r w:rsidR="00177848" w:rsidRPr="00C6052E">
        <w:t xml:space="preserve"> </w:t>
      </w:r>
      <w:r w:rsidRPr="00C6052E">
        <w:t>Ltd,</w:t>
      </w:r>
      <w:r w:rsidR="00177848" w:rsidRPr="00C6052E">
        <w:t xml:space="preserve"> </w:t>
      </w:r>
      <w:r w:rsidRPr="00C6052E">
        <w:t>a</w:t>
      </w:r>
      <w:r w:rsidR="00177848" w:rsidRPr="00C6052E">
        <w:t xml:space="preserve"> </w:t>
      </w:r>
      <w:r w:rsidRPr="00C6052E">
        <w:t>section</w:t>
      </w:r>
      <w:r w:rsidR="00177848" w:rsidRPr="00C6052E">
        <w:t xml:space="preserve"> </w:t>
      </w:r>
      <w:r w:rsidRPr="00C6052E">
        <w:t>53(1)(b)</w:t>
      </w:r>
      <w:r w:rsidR="00177848" w:rsidRPr="00C6052E">
        <w:t xml:space="preserve"> </w:t>
      </w:r>
      <w:r w:rsidRPr="00C6052E">
        <w:t>entity,</w:t>
      </w:r>
      <w:r w:rsidR="00177848" w:rsidRPr="00C6052E">
        <w:t xml:space="preserve"> </w:t>
      </w:r>
      <w:r w:rsidRPr="00C6052E">
        <w:t>was</w:t>
      </w:r>
      <w:r w:rsidR="00177848" w:rsidRPr="00C6052E">
        <w:t xml:space="preserve"> </w:t>
      </w:r>
      <w:r w:rsidRPr="00C6052E">
        <w:t>officially</w:t>
      </w:r>
      <w:r w:rsidR="00177848" w:rsidRPr="00C6052E">
        <w:t xml:space="preserve"> </w:t>
      </w:r>
      <w:r w:rsidRPr="00C6052E">
        <w:t>deregistered</w:t>
      </w:r>
      <w:r w:rsidR="00177848" w:rsidRPr="00C6052E">
        <w:t xml:space="preserve"> </w:t>
      </w:r>
      <w:r w:rsidRPr="00C6052E">
        <w:t>as</w:t>
      </w:r>
      <w:r w:rsidR="00177848" w:rsidRPr="00C6052E">
        <w:t xml:space="preserve"> </w:t>
      </w:r>
      <w:r w:rsidRPr="00C6052E">
        <w:t>a</w:t>
      </w:r>
      <w:r w:rsidR="00177848" w:rsidRPr="00C6052E">
        <w:t xml:space="preserve"> </w:t>
      </w:r>
      <w:r w:rsidRPr="00C6052E">
        <w:t>company</w:t>
      </w:r>
      <w:r w:rsidR="00177848" w:rsidRPr="00C6052E">
        <w:t xml:space="preserve"> </w:t>
      </w:r>
      <w:r w:rsidRPr="00C6052E">
        <w:t>from</w:t>
      </w:r>
      <w:r w:rsidR="00177848" w:rsidRPr="00C6052E">
        <w:t xml:space="preserve"> </w:t>
      </w:r>
      <w:r w:rsidRPr="00C6052E">
        <w:t>Australian</w:t>
      </w:r>
      <w:r w:rsidR="00177848" w:rsidRPr="00C6052E">
        <w:t xml:space="preserve"> </w:t>
      </w:r>
      <w:r w:rsidRPr="00C6052E">
        <w:t>Securities</w:t>
      </w:r>
      <w:r w:rsidR="00177848" w:rsidRPr="00C6052E">
        <w:t xml:space="preserve"> </w:t>
      </w:r>
      <w:r w:rsidRPr="00C6052E">
        <w:t>and</w:t>
      </w:r>
      <w:r w:rsidR="00177848" w:rsidRPr="00C6052E">
        <w:t xml:space="preserve"> </w:t>
      </w:r>
      <w:r w:rsidRPr="00C6052E">
        <w:t>Investments</w:t>
      </w:r>
      <w:r w:rsidR="00177848" w:rsidRPr="00C6052E">
        <w:t xml:space="preserve"> </w:t>
      </w:r>
      <w:r w:rsidRPr="00C6052E">
        <w:t>Commission</w:t>
      </w:r>
      <w:r w:rsidR="00177848" w:rsidRPr="00C6052E">
        <w:t xml:space="preserve"> </w:t>
      </w:r>
      <w:r w:rsidRPr="00C6052E">
        <w:t>(ASIC).</w:t>
      </w:r>
      <w:r w:rsidR="00177848" w:rsidRPr="00C6052E">
        <w:t xml:space="preserve"> </w:t>
      </w:r>
      <w:r w:rsidRPr="00C6052E">
        <w:t>The</w:t>
      </w:r>
      <w:r w:rsidR="00177848" w:rsidRPr="00C6052E">
        <w:t xml:space="preserve"> </w:t>
      </w:r>
      <w:r w:rsidRPr="00C6052E">
        <w:t>decision</w:t>
      </w:r>
      <w:r w:rsidR="00177848" w:rsidRPr="00C6052E">
        <w:t xml:space="preserve"> </w:t>
      </w:r>
      <w:r w:rsidRPr="00C6052E">
        <w:t>to</w:t>
      </w:r>
      <w:r w:rsidR="00177848" w:rsidRPr="00C6052E">
        <w:t xml:space="preserve"> </w:t>
      </w:r>
      <w:r w:rsidRPr="00C6052E">
        <w:t>deregister</w:t>
      </w:r>
      <w:r w:rsidR="00177848" w:rsidRPr="00C6052E">
        <w:t xml:space="preserve"> </w:t>
      </w:r>
      <w:r w:rsidRPr="00C6052E">
        <w:t>was</w:t>
      </w:r>
      <w:r w:rsidR="00177848" w:rsidRPr="00C6052E">
        <w:t xml:space="preserve"> </w:t>
      </w:r>
      <w:r w:rsidRPr="00C6052E">
        <w:t>made</w:t>
      </w:r>
      <w:r w:rsidR="00177848" w:rsidRPr="00C6052E">
        <w:t xml:space="preserve"> </w:t>
      </w:r>
      <w:r w:rsidRPr="00C6052E">
        <w:t>following</w:t>
      </w:r>
      <w:r w:rsidR="00177848" w:rsidRPr="00C6052E">
        <w:t xml:space="preserve"> </w:t>
      </w:r>
      <w:r w:rsidRPr="00C6052E">
        <w:t>the</w:t>
      </w:r>
      <w:r w:rsidR="00177848" w:rsidRPr="00C6052E">
        <w:t xml:space="preserve"> </w:t>
      </w:r>
      <w:r w:rsidRPr="00C6052E">
        <w:t>July</w:t>
      </w:r>
      <w:r w:rsidR="00177848" w:rsidRPr="00C6052E">
        <w:t xml:space="preserve"> </w:t>
      </w:r>
      <w:r w:rsidRPr="00C6052E">
        <w:t>2023</w:t>
      </w:r>
      <w:r w:rsidR="00177848" w:rsidRPr="00C6052E">
        <w:t xml:space="preserve"> </w:t>
      </w:r>
      <w:r w:rsidRPr="00C6052E">
        <w:t>announcement</w:t>
      </w:r>
      <w:r w:rsidR="00177848" w:rsidRPr="00C6052E">
        <w:t xml:space="preserve"> </w:t>
      </w:r>
      <w:r w:rsidRPr="00C6052E">
        <w:t>that</w:t>
      </w:r>
      <w:r w:rsidR="00177848" w:rsidRPr="00C6052E">
        <w:t xml:space="preserve"> </w:t>
      </w:r>
      <w:r w:rsidRPr="00C6052E">
        <w:t>Victoria</w:t>
      </w:r>
      <w:r w:rsidR="00177848" w:rsidRPr="00C6052E">
        <w:t xml:space="preserve"> </w:t>
      </w:r>
      <w:r w:rsidRPr="00C6052E">
        <w:t>would</w:t>
      </w:r>
      <w:r w:rsidR="00177848" w:rsidRPr="00C6052E">
        <w:t xml:space="preserve"> </w:t>
      </w:r>
      <w:r w:rsidRPr="00C6052E">
        <w:t>no</w:t>
      </w:r>
      <w:r w:rsidR="00177848" w:rsidRPr="00C6052E">
        <w:t xml:space="preserve"> </w:t>
      </w:r>
      <w:r w:rsidRPr="00C6052E">
        <w:t>longer</w:t>
      </w:r>
      <w:r w:rsidR="00177848" w:rsidRPr="00C6052E">
        <w:t xml:space="preserve"> </w:t>
      </w:r>
      <w:r w:rsidRPr="00C6052E">
        <w:t>host</w:t>
      </w:r>
      <w:r w:rsidR="00177848" w:rsidRPr="00C6052E">
        <w:t xml:space="preserve"> </w:t>
      </w:r>
      <w:r w:rsidRPr="00C6052E">
        <w:t>the</w:t>
      </w:r>
      <w:r w:rsidR="00177848" w:rsidRPr="00C6052E">
        <w:t xml:space="preserve"> </w:t>
      </w:r>
      <w:r w:rsidRPr="00C6052E">
        <w:t>2026</w:t>
      </w:r>
      <w:r w:rsidR="00177848" w:rsidRPr="00C6052E">
        <w:t xml:space="preserve"> </w:t>
      </w:r>
      <w:r w:rsidRPr="00C6052E">
        <w:t>Commonwealth</w:t>
      </w:r>
      <w:r w:rsidR="00177848" w:rsidRPr="00C6052E">
        <w:t xml:space="preserve"> </w:t>
      </w:r>
      <w:r w:rsidRPr="00C6052E">
        <w:t>Games.</w:t>
      </w:r>
      <w:r w:rsidR="00177848" w:rsidRPr="00C6052E">
        <w:t xml:space="preserve"> </w:t>
      </w:r>
      <w:r w:rsidRPr="00C6052E">
        <w:t>The</w:t>
      </w:r>
      <w:r w:rsidR="00177848" w:rsidRPr="00C6052E">
        <w:t xml:space="preserve"> </w:t>
      </w:r>
      <w:r w:rsidRPr="00C6052E">
        <w:t>results</w:t>
      </w:r>
      <w:r w:rsidR="00177848" w:rsidRPr="00C6052E">
        <w:t xml:space="preserve"> </w:t>
      </w:r>
      <w:r w:rsidRPr="00C6052E">
        <w:t>of</w:t>
      </w:r>
      <w:r w:rsidR="00177848" w:rsidRPr="00C6052E">
        <w:t xml:space="preserve"> </w:t>
      </w:r>
      <w:r w:rsidRPr="00C6052E">
        <w:t>Victoria</w:t>
      </w:r>
      <w:r w:rsidR="00177848" w:rsidRPr="00C6052E">
        <w:t xml:space="preserve"> </w:t>
      </w:r>
      <w:r w:rsidRPr="00C6052E">
        <w:t>2026</w:t>
      </w:r>
      <w:r w:rsidR="00177848" w:rsidRPr="00C6052E">
        <w:t xml:space="preserve"> </w:t>
      </w:r>
      <w:r w:rsidRPr="00C6052E">
        <w:t>have</w:t>
      </w:r>
      <w:r w:rsidR="00177848" w:rsidRPr="00C6052E">
        <w:t xml:space="preserve"> </w:t>
      </w:r>
      <w:r w:rsidRPr="00C6052E">
        <w:t>been</w:t>
      </w:r>
      <w:r w:rsidR="00177848" w:rsidRPr="00C6052E">
        <w:t xml:space="preserve"> </w:t>
      </w:r>
      <w:r w:rsidRPr="00C6052E">
        <w:t>consolidated</w:t>
      </w:r>
      <w:r w:rsidR="00177848" w:rsidRPr="00C6052E">
        <w:t xml:space="preserve"> </w:t>
      </w:r>
      <w:r w:rsidRPr="00C6052E">
        <w:t>into</w:t>
      </w:r>
      <w:r w:rsidR="00177848" w:rsidRPr="00C6052E">
        <w:t xml:space="preserve"> </w:t>
      </w:r>
      <w:r w:rsidRPr="00C6052E">
        <w:t>DJSIR’s</w:t>
      </w:r>
      <w:r w:rsidR="00177848" w:rsidRPr="00C6052E">
        <w:t xml:space="preserve"> </w:t>
      </w:r>
      <w:r w:rsidRPr="00C6052E">
        <w:t>financial</w:t>
      </w:r>
      <w:r w:rsidR="00177848" w:rsidRPr="00C6052E">
        <w:t xml:space="preserve"> </w:t>
      </w:r>
      <w:r w:rsidRPr="00C6052E">
        <w:t>statements</w:t>
      </w:r>
      <w:r w:rsidR="00177848" w:rsidRPr="00C6052E">
        <w:t xml:space="preserve"> </w:t>
      </w:r>
      <w:r w:rsidRPr="00C6052E">
        <w:t>until</w:t>
      </w:r>
      <w:r w:rsidR="00177848" w:rsidRPr="00C6052E">
        <w:t xml:space="preserve"> </w:t>
      </w:r>
      <w:r w:rsidRPr="00C6052E">
        <w:t>its</w:t>
      </w:r>
      <w:r w:rsidR="00177848" w:rsidRPr="00C6052E">
        <w:t xml:space="preserve"> </w:t>
      </w:r>
      <w:r w:rsidRPr="00C6052E">
        <w:t>deregistration</w:t>
      </w:r>
      <w:r w:rsidR="00177848" w:rsidRPr="00C6052E">
        <w:t xml:space="preserve"> </w:t>
      </w:r>
      <w:r w:rsidRPr="00C6052E">
        <w:t>date</w:t>
      </w:r>
      <w:r w:rsidR="00177848" w:rsidRPr="00C6052E">
        <w:t xml:space="preserve"> </w:t>
      </w:r>
      <w:r w:rsidRPr="00C6052E">
        <w:t>of</w:t>
      </w:r>
      <w:r w:rsidR="00177848" w:rsidRPr="00C6052E">
        <w:t xml:space="preserve"> </w:t>
      </w:r>
      <w:r w:rsidRPr="00C6052E">
        <w:t>21</w:t>
      </w:r>
      <w:r w:rsidR="00177848" w:rsidRPr="00C6052E">
        <w:t xml:space="preserve"> </w:t>
      </w:r>
      <w:r w:rsidRPr="00C6052E">
        <w:t>August</w:t>
      </w:r>
      <w:r w:rsidR="00177848" w:rsidRPr="00C6052E">
        <w:t xml:space="preserve"> </w:t>
      </w:r>
      <w:r w:rsidRPr="00C6052E">
        <w:t>2024.</w:t>
      </w:r>
      <w:r w:rsidR="00177848" w:rsidRPr="00C6052E">
        <w:t xml:space="preserve"> </w:t>
      </w:r>
    </w:p>
    <w:p w14:paraId="6A2EAD79" w14:textId="77777777" w:rsidR="00EE5BB8" w:rsidRPr="00C6052E" w:rsidRDefault="00EE5BB8" w:rsidP="00EE5BB8"/>
    <w:p w14:paraId="1BC1E9C7" w14:textId="77777777" w:rsidR="00EE5BB8" w:rsidRPr="00C6052E" w:rsidRDefault="00EE5BB8" w:rsidP="00EE5BB8">
      <w:pPr>
        <w:sectPr w:rsidR="00EE5BB8" w:rsidRPr="00C6052E" w:rsidSect="00C6052E">
          <w:headerReference w:type="default" r:id="rId34"/>
          <w:endnotePr>
            <w:numFmt w:val="decimal"/>
          </w:endnotePr>
          <w:pgSz w:w="16840" w:h="11907" w:code="9"/>
          <w:pgMar w:top="1134" w:right="1134" w:bottom="1134" w:left="1134" w:header="567" w:footer="567" w:gutter="0"/>
          <w:cols w:space="708"/>
          <w:docGrid w:linePitch="360"/>
        </w:sectPr>
      </w:pPr>
    </w:p>
    <w:p w14:paraId="79324391" w14:textId="06302519" w:rsidR="00EE5BB8" w:rsidRPr="00C6052E" w:rsidRDefault="00EE5BB8" w:rsidP="00C6052E">
      <w:pPr>
        <w:pStyle w:val="Heading2numbered0"/>
      </w:pPr>
      <w:r w:rsidRPr="00C6052E">
        <w:lastRenderedPageBreak/>
        <w:t>Responsible</w:t>
      </w:r>
      <w:r w:rsidR="00177848" w:rsidRPr="00C6052E">
        <w:t xml:space="preserve"> </w:t>
      </w:r>
      <w:r w:rsidRPr="00C6052E">
        <w:t>persons</w:t>
      </w:r>
    </w:p>
    <w:p w14:paraId="18570E6F" w14:textId="624B7A68" w:rsidR="00EE5BB8" w:rsidRPr="00C6052E" w:rsidRDefault="00EE5BB8" w:rsidP="00EE5BB8">
      <w:r w:rsidRPr="00C6052E">
        <w:t>In</w:t>
      </w:r>
      <w:r w:rsidR="00177848" w:rsidRPr="00C6052E">
        <w:t xml:space="preserve"> </w:t>
      </w:r>
      <w:r w:rsidRPr="00C6052E">
        <w:t>accordance</w:t>
      </w:r>
      <w:r w:rsidR="00177848" w:rsidRPr="00C6052E">
        <w:t xml:space="preserve"> </w:t>
      </w:r>
      <w:r w:rsidRPr="00C6052E">
        <w:t>with</w:t>
      </w:r>
      <w:r w:rsidR="00177848" w:rsidRPr="00C6052E">
        <w:t xml:space="preserve"> </w:t>
      </w:r>
      <w:r w:rsidRPr="00C6052E">
        <w:t>the</w:t>
      </w:r>
      <w:r w:rsidR="00177848" w:rsidRPr="00C6052E">
        <w:t xml:space="preserve"> </w:t>
      </w:r>
      <w:r w:rsidRPr="00C6052E">
        <w:t>Ministerial</w:t>
      </w:r>
      <w:r w:rsidR="00177848" w:rsidRPr="00C6052E">
        <w:t xml:space="preserve"> </w:t>
      </w:r>
      <w:r w:rsidRPr="00C6052E">
        <w:t>Directions</w:t>
      </w:r>
      <w:r w:rsidR="00177848" w:rsidRPr="00C6052E">
        <w:t xml:space="preserve"> </w:t>
      </w:r>
      <w:r w:rsidRPr="00C6052E">
        <w:t>issued</w:t>
      </w:r>
      <w:r w:rsidR="00177848" w:rsidRPr="00C6052E">
        <w:t xml:space="preserve"> </w:t>
      </w:r>
      <w:r w:rsidRPr="00C6052E">
        <w:t>by</w:t>
      </w:r>
      <w:r w:rsidR="00177848" w:rsidRPr="00C6052E">
        <w:t xml:space="preserve"> </w:t>
      </w:r>
      <w:r w:rsidRPr="00C6052E">
        <w:t>the</w:t>
      </w:r>
      <w:r w:rsidR="00177848" w:rsidRPr="00C6052E">
        <w:t xml:space="preserve"> </w:t>
      </w:r>
      <w:r w:rsidRPr="00C6052E">
        <w:t>Minister</w:t>
      </w:r>
      <w:r w:rsidR="00177848" w:rsidRPr="00C6052E">
        <w:t xml:space="preserve"> </w:t>
      </w:r>
      <w:r w:rsidRPr="00C6052E">
        <w:t>for</w:t>
      </w:r>
      <w:r w:rsidR="00177848" w:rsidRPr="00C6052E">
        <w:t xml:space="preserve"> </w:t>
      </w:r>
      <w:r w:rsidRPr="00C6052E">
        <w:t>Finance</w:t>
      </w:r>
      <w:r w:rsidR="00177848" w:rsidRPr="00C6052E">
        <w:t xml:space="preserve"> </w:t>
      </w:r>
      <w:r w:rsidRPr="00C6052E">
        <w:t>under</w:t>
      </w:r>
      <w:r w:rsidR="00177848" w:rsidRPr="00C6052E">
        <w:t xml:space="preserve"> </w:t>
      </w:r>
      <w:r w:rsidRPr="00C6052E">
        <w:t>the</w:t>
      </w:r>
      <w:r w:rsidR="00177848" w:rsidRPr="00C6052E">
        <w:t xml:space="preserve"> </w:t>
      </w:r>
      <w:r w:rsidRPr="00C6052E">
        <w:rPr>
          <w:rStyle w:val="Italics"/>
        </w:rPr>
        <w:t>Financial</w:t>
      </w:r>
      <w:r w:rsidR="00177848" w:rsidRPr="00C6052E">
        <w:rPr>
          <w:rStyle w:val="Italics"/>
        </w:rPr>
        <w:t xml:space="preserve"> </w:t>
      </w:r>
      <w:r w:rsidRPr="00C6052E">
        <w:rPr>
          <w:rStyle w:val="Italics"/>
        </w:rPr>
        <w:t>Management</w:t>
      </w:r>
      <w:r w:rsidR="00177848" w:rsidRPr="00C6052E">
        <w:rPr>
          <w:rStyle w:val="Italics"/>
          <w:rFonts w:ascii="Arial" w:hAnsi="Arial" w:cs="Cambria"/>
        </w:rPr>
        <w:t xml:space="preserve"> </w:t>
      </w:r>
      <w:r w:rsidRPr="00C6052E">
        <w:rPr>
          <w:rStyle w:val="Italics"/>
        </w:rPr>
        <w:t>Act</w:t>
      </w:r>
      <w:r w:rsidR="00177848" w:rsidRPr="00C6052E">
        <w:rPr>
          <w:rStyle w:val="Italics"/>
        </w:rPr>
        <w:t xml:space="preserve"> </w:t>
      </w:r>
      <w:r w:rsidRPr="00C6052E">
        <w:rPr>
          <w:rStyle w:val="Italics"/>
        </w:rPr>
        <w:t>1994</w:t>
      </w:r>
      <w:r w:rsidR="00177848" w:rsidRPr="00C6052E">
        <w:t xml:space="preserve"> </w:t>
      </w:r>
      <w:r w:rsidRPr="00C6052E">
        <w:t>(FMA),</w:t>
      </w:r>
      <w:r w:rsidR="00177848" w:rsidRPr="00C6052E">
        <w:t xml:space="preserve"> </w:t>
      </w:r>
      <w:r w:rsidRPr="00C6052E">
        <w:t>the</w:t>
      </w:r>
      <w:r w:rsidR="00177848" w:rsidRPr="00C6052E">
        <w:t xml:space="preserve"> </w:t>
      </w:r>
      <w:r w:rsidRPr="00C6052E">
        <w:t>following</w:t>
      </w:r>
      <w:r w:rsidR="00177848" w:rsidRPr="00C6052E">
        <w:t xml:space="preserve"> </w:t>
      </w:r>
      <w:r w:rsidRPr="00C6052E">
        <w:t>disclosures</w:t>
      </w:r>
      <w:r w:rsidR="00177848" w:rsidRPr="00C6052E">
        <w:t xml:space="preserve"> </w:t>
      </w:r>
      <w:r w:rsidRPr="00C6052E">
        <w:t>are</w:t>
      </w:r>
      <w:r w:rsidR="00177848" w:rsidRPr="00C6052E">
        <w:t xml:space="preserve"> </w:t>
      </w:r>
      <w:r w:rsidRPr="00C6052E">
        <w:t>made</w:t>
      </w:r>
      <w:r w:rsidR="00177848" w:rsidRPr="00C6052E">
        <w:t xml:space="preserve"> </w:t>
      </w:r>
      <w:r w:rsidRPr="00C6052E">
        <w:t>regarding</w:t>
      </w:r>
      <w:r w:rsidR="00177848" w:rsidRPr="00C6052E">
        <w:t xml:space="preserve"> </w:t>
      </w:r>
      <w:r w:rsidRPr="00C6052E">
        <w:t>responsible</w:t>
      </w:r>
      <w:r w:rsidR="00177848" w:rsidRPr="00C6052E">
        <w:t xml:space="preserve"> </w:t>
      </w:r>
      <w:r w:rsidRPr="00C6052E">
        <w:t>persons</w:t>
      </w:r>
      <w:r w:rsidR="00177848" w:rsidRPr="00C6052E">
        <w:t xml:space="preserve"> </w:t>
      </w:r>
      <w:r w:rsidRPr="00C6052E">
        <w:t>for</w:t>
      </w:r>
      <w:r w:rsidR="00177848" w:rsidRPr="00C6052E">
        <w:t xml:space="preserve"> </w:t>
      </w:r>
      <w:r w:rsidRPr="00C6052E">
        <w:t>the</w:t>
      </w:r>
      <w:r w:rsidR="00177848" w:rsidRPr="00C6052E">
        <w:t xml:space="preserve"> </w:t>
      </w:r>
      <w:r w:rsidRPr="00C6052E">
        <w:t>reporting</w:t>
      </w:r>
      <w:r w:rsidR="00177848" w:rsidRPr="00C6052E">
        <w:t xml:space="preserve"> </w:t>
      </w:r>
      <w:r w:rsidRPr="00C6052E">
        <w:t>period.</w:t>
      </w:r>
      <w:r w:rsidR="00177848" w:rsidRPr="00C6052E">
        <w:t xml:space="preserve"> </w:t>
      </w:r>
      <w:r w:rsidRPr="00C6052E">
        <w:t>On</w:t>
      </w:r>
      <w:r w:rsidR="00177848" w:rsidRPr="00C6052E">
        <w:t xml:space="preserve"> </w:t>
      </w:r>
      <w:r w:rsidRPr="00C6052E">
        <w:t>19</w:t>
      </w:r>
      <w:r w:rsidR="00177848" w:rsidRPr="00C6052E">
        <w:t xml:space="preserve"> </w:t>
      </w:r>
      <w:r w:rsidRPr="00C6052E">
        <w:t>December</w:t>
      </w:r>
      <w:r w:rsidR="00177848" w:rsidRPr="00C6052E">
        <w:t xml:space="preserve"> </w:t>
      </w:r>
      <w:r w:rsidRPr="00C6052E">
        <w:t>2024,</w:t>
      </w:r>
      <w:r w:rsidR="00177848" w:rsidRPr="00C6052E">
        <w:t xml:space="preserve"> </w:t>
      </w:r>
      <w:r w:rsidRPr="00C6052E">
        <w:t>the</w:t>
      </w:r>
      <w:r w:rsidR="00177848" w:rsidRPr="00C6052E">
        <w:t xml:space="preserve"> </w:t>
      </w:r>
      <w:r w:rsidRPr="00C6052E">
        <w:t>Premier</w:t>
      </w:r>
      <w:r w:rsidR="00177848" w:rsidRPr="00C6052E">
        <w:t xml:space="preserve"> </w:t>
      </w:r>
      <w:r w:rsidRPr="00C6052E">
        <w:t>announced</w:t>
      </w:r>
      <w:r w:rsidR="00177848" w:rsidRPr="00C6052E">
        <w:t xml:space="preserve"> </w:t>
      </w:r>
      <w:r w:rsidRPr="00C6052E">
        <w:t>changes</w:t>
      </w:r>
      <w:r w:rsidR="00177848" w:rsidRPr="00C6052E">
        <w:t xml:space="preserve"> </w:t>
      </w:r>
      <w:r w:rsidRPr="00C6052E">
        <w:t>to</w:t>
      </w:r>
      <w:r w:rsidR="00177848" w:rsidRPr="00C6052E">
        <w:t xml:space="preserve"> </w:t>
      </w:r>
      <w:r w:rsidRPr="00C6052E">
        <w:t>the</w:t>
      </w:r>
      <w:r w:rsidR="00177848" w:rsidRPr="00C6052E">
        <w:t xml:space="preserve"> </w:t>
      </w:r>
      <w:r w:rsidRPr="00C6052E">
        <w:t>Cabinet</w:t>
      </w:r>
      <w:r w:rsidR="00177848" w:rsidRPr="00C6052E">
        <w:t xml:space="preserve"> </w:t>
      </w:r>
      <w:r w:rsidRPr="00C6052E">
        <w:t>resulting</w:t>
      </w:r>
      <w:r w:rsidR="00177848" w:rsidRPr="00C6052E">
        <w:t xml:space="preserve"> </w:t>
      </w:r>
      <w:r w:rsidRPr="00C6052E">
        <w:t>in</w:t>
      </w:r>
      <w:r w:rsidR="00177848" w:rsidRPr="00C6052E">
        <w:t xml:space="preserve"> </w:t>
      </w:r>
      <w:r w:rsidRPr="00C6052E">
        <w:t>adjustments</w:t>
      </w:r>
      <w:r w:rsidR="00177848" w:rsidRPr="00C6052E">
        <w:t xml:space="preserve"> </w:t>
      </w:r>
      <w:r w:rsidRPr="00C6052E">
        <w:t>to</w:t>
      </w:r>
      <w:r w:rsidR="00177848" w:rsidRPr="00C6052E">
        <w:t xml:space="preserve"> </w:t>
      </w:r>
      <w:r w:rsidRPr="00C6052E">
        <w:t>ministerial</w:t>
      </w:r>
      <w:r w:rsidR="00177848" w:rsidRPr="00C6052E">
        <w:t xml:space="preserve"> </w:t>
      </w:r>
      <w:r w:rsidRPr="00C6052E">
        <w:t>portfolios.</w:t>
      </w:r>
      <w:r w:rsidR="00177848" w:rsidRPr="00C6052E">
        <w:t xml:space="preserve"> </w:t>
      </w:r>
      <w:r w:rsidRPr="00C6052E">
        <w:t>These</w:t>
      </w:r>
      <w:r w:rsidR="00177848" w:rsidRPr="00C6052E">
        <w:t xml:space="preserve"> </w:t>
      </w:r>
      <w:r w:rsidRPr="00C6052E">
        <w:t>changes</w:t>
      </w:r>
      <w:r w:rsidR="00177848" w:rsidRPr="00C6052E">
        <w:t xml:space="preserve"> </w:t>
      </w:r>
      <w:r w:rsidRPr="00C6052E">
        <w:t>are</w:t>
      </w:r>
      <w:r w:rsidR="00177848" w:rsidRPr="00C6052E">
        <w:t xml:space="preserve"> </w:t>
      </w:r>
      <w:r w:rsidRPr="00C6052E">
        <w:t>reflected</w:t>
      </w:r>
      <w:r w:rsidR="00177848" w:rsidRPr="00C6052E">
        <w:t xml:space="preserve"> </w:t>
      </w:r>
      <w:r w:rsidRPr="00C6052E">
        <w:t>below.</w:t>
      </w:r>
      <w:r w:rsidR="00177848" w:rsidRPr="00C6052E">
        <w:t xml:space="preserve"> </w:t>
      </w:r>
    </w:p>
    <w:p w14:paraId="5ED17C6F" w14:textId="7F099EC1" w:rsidR="00EE5BB8" w:rsidRPr="00C6052E" w:rsidRDefault="00EE5BB8" w:rsidP="0028635E">
      <w:pPr>
        <w:pStyle w:val="Normalbeforebullets"/>
      </w:pPr>
      <w:r w:rsidRPr="00C6052E">
        <w:t>The</w:t>
      </w:r>
      <w:r w:rsidR="00177848" w:rsidRPr="00C6052E">
        <w:t xml:space="preserve"> </w:t>
      </w:r>
      <w:r w:rsidRPr="00C6052E">
        <w:t>persons</w:t>
      </w:r>
      <w:r w:rsidR="00177848" w:rsidRPr="00C6052E">
        <w:t xml:space="preserve"> </w:t>
      </w:r>
      <w:r w:rsidRPr="00C6052E">
        <w:t>who</w:t>
      </w:r>
      <w:r w:rsidR="00177848" w:rsidRPr="00C6052E">
        <w:t xml:space="preserve"> </w:t>
      </w:r>
      <w:r w:rsidRPr="00C6052E">
        <w:t>held</w:t>
      </w:r>
      <w:r w:rsidR="00177848" w:rsidRPr="00C6052E">
        <w:t xml:space="preserve"> </w:t>
      </w:r>
      <w:r w:rsidRPr="00C6052E">
        <w:t>the</w:t>
      </w:r>
      <w:r w:rsidR="00177848" w:rsidRPr="00C6052E">
        <w:t xml:space="preserve"> </w:t>
      </w:r>
      <w:r w:rsidRPr="00C6052E">
        <w:t>positions</w:t>
      </w:r>
      <w:r w:rsidR="00177848" w:rsidRPr="00C6052E">
        <w:t xml:space="preserve"> </w:t>
      </w:r>
      <w:r w:rsidRPr="00C6052E">
        <w:t>of</w:t>
      </w:r>
      <w:r w:rsidR="00177848" w:rsidRPr="00C6052E">
        <w:t xml:space="preserve"> </w:t>
      </w:r>
      <w:r w:rsidRPr="00C6052E">
        <w:t>Ministers</w:t>
      </w:r>
      <w:r w:rsidR="00177848" w:rsidRPr="00C6052E">
        <w:t xml:space="preserve"> </w:t>
      </w:r>
      <w:r w:rsidRPr="00C6052E">
        <w:t>and</w:t>
      </w:r>
      <w:r w:rsidR="00177848" w:rsidRPr="00C6052E">
        <w:t xml:space="preserve"> </w:t>
      </w:r>
      <w:r w:rsidRPr="00C6052E">
        <w:t>Accountable</w:t>
      </w:r>
      <w:r w:rsidR="00177848" w:rsidRPr="00C6052E">
        <w:t xml:space="preserve"> </w:t>
      </w:r>
      <w:r w:rsidRPr="00C6052E">
        <w:t>Officer</w:t>
      </w:r>
      <w:r w:rsidR="00177848" w:rsidRPr="00C6052E">
        <w:t xml:space="preserve"> </w:t>
      </w:r>
      <w:r w:rsidRPr="00C6052E">
        <w:t>in</w:t>
      </w:r>
      <w:r w:rsidR="00177848" w:rsidRPr="00C6052E">
        <w:t xml:space="preserve"> </w:t>
      </w:r>
      <w:r w:rsidRPr="00C6052E">
        <w:t>DJSIR</w:t>
      </w:r>
      <w:r w:rsidR="00177848" w:rsidRPr="00C6052E">
        <w:t xml:space="preserve"> </w:t>
      </w:r>
      <w:r w:rsidRPr="00C6052E">
        <w:t>were:</w:t>
      </w:r>
    </w:p>
    <w:tbl>
      <w:tblPr>
        <w:tblW w:w="9781" w:type="dxa"/>
        <w:tblCellMar>
          <w:left w:w="0" w:type="dxa"/>
          <w:right w:w="0" w:type="dxa"/>
        </w:tblCellMar>
        <w:tblLook w:val="04A0" w:firstRow="1" w:lastRow="0" w:firstColumn="1" w:lastColumn="0" w:noHBand="0" w:noVBand="1"/>
      </w:tblPr>
      <w:tblGrid>
        <w:gridCol w:w="5103"/>
        <w:gridCol w:w="4678"/>
      </w:tblGrid>
      <w:tr w:rsidR="00EE5BB8" w:rsidRPr="00C6052E" w14:paraId="74DB5D8E" w14:textId="77777777" w:rsidTr="00030B7E">
        <w:trPr>
          <w:cantSplit/>
        </w:trPr>
        <w:tc>
          <w:tcPr>
            <w:tcW w:w="9781" w:type="dxa"/>
            <w:gridSpan w:val="2"/>
          </w:tcPr>
          <w:p w14:paraId="259F8C70" w14:textId="62850B49" w:rsidR="00EE5BB8" w:rsidRPr="00C6052E" w:rsidRDefault="00EE5BB8" w:rsidP="0063097D">
            <w:r w:rsidRPr="00C6052E">
              <w:rPr>
                <w:rStyle w:val="Medium"/>
              </w:rPr>
              <w:t>Accountable</w:t>
            </w:r>
            <w:r w:rsidR="00177848" w:rsidRPr="00C6052E">
              <w:rPr>
                <w:rStyle w:val="Medium"/>
              </w:rPr>
              <w:t xml:space="preserve"> </w:t>
            </w:r>
            <w:r w:rsidRPr="00C6052E">
              <w:rPr>
                <w:rStyle w:val="Medium"/>
              </w:rPr>
              <w:t>Officer</w:t>
            </w:r>
            <w:r w:rsidR="00177848" w:rsidRPr="00C6052E">
              <w:rPr>
                <w:rStyle w:val="Medium"/>
              </w:rPr>
              <w:t xml:space="preserve"> </w:t>
            </w:r>
            <w:r w:rsidRPr="00C6052E">
              <w:rPr>
                <w:rStyle w:val="Medium"/>
              </w:rPr>
              <w:br/>
              <w:t>Secretary,</w:t>
            </w:r>
            <w:r w:rsidR="00177848" w:rsidRPr="00C6052E">
              <w:rPr>
                <w:rStyle w:val="Medium"/>
              </w:rPr>
              <w:t xml:space="preserve"> </w:t>
            </w:r>
            <w:r w:rsidRPr="00C6052E">
              <w:rPr>
                <w:rStyle w:val="Medium"/>
              </w:rPr>
              <w:t>Department</w:t>
            </w:r>
            <w:r w:rsidR="00177848" w:rsidRPr="00C6052E">
              <w:rPr>
                <w:rStyle w:val="Medium"/>
              </w:rPr>
              <w:t xml:space="preserve"> </w:t>
            </w:r>
            <w:r w:rsidRPr="00C6052E">
              <w:rPr>
                <w:rStyle w:val="Medium"/>
              </w:rPr>
              <w:t>of</w:t>
            </w:r>
            <w:r w:rsidR="00177848" w:rsidRPr="00C6052E">
              <w:rPr>
                <w:rStyle w:val="Medium"/>
              </w:rPr>
              <w:t xml:space="preserve"> </w:t>
            </w:r>
            <w:r w:rsidRPr="00C6052E">
              <w:rPr>
                <w:rStyle w:val="Medium"/>
              </w:rPr>
              <w:t>Jobs,</w:t>
            </w:r>
            <w:r w:rsidR="00177848" w:rsidRPr="00C6052E">
              <w:rPr>
                <w:rStyle w:val="Medium"/>
              </w:rPr>
              <w:t xml:space="preserve"> </w:t>
            </w:r>
            <w:r w:rsidRPr="00C6052E">
              <w:rPr>
                <w:rStyle w:val="Medium"/>
              </w:rPr>
              <w:br/>
              <w:t>Skills,</w:t>
            </w:r>
            <w:r w:rsidR="00177848" w:rsidRPr="00C6052E">
              <w:rPr>
                <w:rStyle w:val="Medium"/>
              </w:rPr>
              <w:t xml:space="preserve"> </w:t>
            </w:r>
            <w:r w:rsidRPr="00C6052E">
              <w:rPr>
                <w:rStyle w:val="Medium"/>
              </w:rPr>
              <w:t>Industry</w:t>
            </w:r>
            <w:r w:rsidR="00177848" w:rsidRPr="00C6052E">
              <w:rPr>
                <w:rStyle w:val="Medium"/>
              </w:rPr>
              <w:t xml:space="preserve"> </w:t>
            </w:r>
            <w:r w:rsidRPr="00C6052E">
              <w:rPr>
                <w:rStyle w:val="Medium"/>
              </w:rPr>
              <w:t>and</w:t>
            </w:r>
            <w:r w:rsidR="00177848" w:rsidRPr="00C6052E">
              <w:rPr>
                <w:rStyle w:val="Medium"/>
              </w:rPr>
              <w:t xml:space="preserve"> </w:t>
            </w:r>
            <w:r w:rsidRPr="00C6052E">
              <w:rPr>
                <w:rStyle w:val="Medium"/>
              </w:rPr>
              <w:t>Regions</w:t>
            </w:r>
            <w:r w:rsidRPr="00C6052E">
              <w:br/>
              <w:t>1</w:t>
            </w:r>
            <w:r w:rsidR="00177848" w:rsidRPr="00C6052E">
              <w:t xml:space="preserve"> </w:t>
            </w:r>
            <w:r w:rsidRPr="00C6052E">
              <w:t>July</w:t>
            </w:r>
            <w:r w:rsidR="00177848" w:rsidRPr="00C6052E">
              <w:t xml:space="preserve"> </w:t>
            </w:r>
            <w:r w:rsidRPr="00C6052E">
              <w:t>2024</w:t>
            </w:r>
            <w:r w:rsidR="00177848" w:rsidRPr="00C6052E">
              <w:t xml:space="preserve"> </w:t>
            </w:r>
            <w:r w:rsidRPr="00C6052E">
              <w:t>to</w:t>
            </w:r>
            <w:r w:rsidR="00177848" w:rsidRPr="00C6052E">
              <w:t xml:space="preserve"> </w:t>
            </w:r>
            <w:r w:rsidRPr="00C6052E">
              <w:t>28</w:t>
            </w:r>
            <w:r w:rsidR="00177848" w:rsidRPr="00C6052E">
              <w:t xml:space="preserve"> </w:t>
            </w:r>
            <w:r w:rsidRPr="00C6052E">
              <w:t>February</w:t>
            </w:r>
            <w:r w:rsidR="00177848" w:rsidRPr="00C6052E">
              <w:t xml:space="preserve"> </w:t>
            </w:r>
            <w:r w:rsidRPr="00C6052E">
              <w:t>2025</w:t>
            </w:r>
            <w:r w:rsidRPr="00C6052E">
              <w:br/>
            </w:r>
            <w:r w:rsidRPr="00C6052E">
              <w:rPr>
                <w:rStyle w:val="Italics"/>
              </w:rPr>
              <w:t>Mr</w:t>
            </w:r>
            <w:r w:rsidR="00177848" w:rsidRPr="00C6052E">
              <w:rPr>
                <w:rStyle w:val="Italics"/>
              </w:rPr>
              <w:t xml:space="preserve"> </w:t>
            </w:r>
            <w:r w:rsidRPr="00C6052E">
              <w:rPr>
                <w:rStyle w:val="Italics"/>
              </w:rPr>
              <w:t>Tim</w:t>
            </w:r>
            <w:r w:rsidR="00177848" w:rsidRPr="00C6052E">
              <w:rPr>
                <w:rStyle w:val="Italics"/>
              </w:rPr>
              <w:t xml:space="preserve"> </w:t>
            </w:r>
            <w:r w:rsidRPr="00C6052E">
              <w:rPr>
                <w:rStyle w:val="Italics"/>
              </w:rPr>
              <w:t>Ada</w:t>
            </w:r>
            <w:r w:rsidRPr="00C6052E">
              <w:rPr>
                <w:rStyle w:val="Italics"/>
              </w:rPr>
              <w:br/>
            </w:r>
            <w:r w:rsidRPr="00C6052E">
              <w:br/>
              <w:t>1</w:t>
            </w:r>
            <w:r w:rsidR="00177848" w:rsidRPr="00C6052E">
              <w:t xml:space="preserve"> </w:t>
            </w:r>
            <w:r w:rsidRPr="00C6052E">
              <w:t>March</w:t>
            </w:r>
            <w:r w:rsidR="00177848" w:rsidRPr="00C6052E">
              <w:t xml:space="preserve"> </w:t>
            </w:r>
            <w:r w:rsidRPr="00C6052E">
              <w:t>to</w:t>
            </w:r>
            <w:r w:rsidR="00177848" w:rsidRPr="00C6052E">
              <w:t xml:space="preserve"> </w:t>
            </w:r>
            <w:r w:rsidRPr="00C6052E">
              <w:t>30</w:t>
            </w:r>
            <w:r w:rsidR="00177848" w:rsidRPr="00C6052E">
              <w:t xml:space="preserve"> </w:t>
            </w:r>
            <w:r w:rsidRPr="00C6052E">
              <w:t>June</w:t>
            </w:r>
            <w:r w:rsidR="00177848" w:rsidRPr="00C6052E">
              <w:t xml:space="preserve"> </w:t>
            </w:r>
            <w:r w:rsidRPr="00C6052E">
              <w:t>2025</w:t>
            </w:r>
            <w:r w:rsidRPr="00C6052E">
              <w:br/>
            </w:r>
            <w:r w:rsidRPr="00C6052E">
              <w:rPr>
                <w:rStyle w:val="Italics"/>
              </w:rPr>
              <w:t>Mr</w:t>
            </w:r>
            <w:r w:rsidR="00177848" w:rsidRPr="00C6052E">
              <w:rPr>
                <w:rStyle w:val="Italics"/>
              </w:rPr>
              <w:t xml:space="preserve"> </w:t>
            </w:r>
            <w:r w:rsidRPr="00C6052E">
              <w:rPr>
                <w:rStyle w:val="Italics"/>
              </w:rPr>
              <w:t>Matt</w:t>
            </w:r>
            <w:r w:rsidR="00177848" w:rsidRPr="00C6052E">
              <w:rPr>
                <w:rStyle w:val="Italics"/>
              </w:rPr>
              <w:t xml:space="preserve"> </w:t>
            </w:r>
            <w:r w:rsidRPr="00C6052E">
              <w:rPr>
                <w:rStyle w:val="Italics"/>
              </w:rPr>
              <w:t>Carrick</w:t>
            </w:r>
          </w:p>
        </w:tc>
      </w:tr>
      <w:tr w:rsidR="00EE5BB8" w:rsidRPr="00C6052E" w14:paraId="0B7112C4" w14:textId="77777777" w:rsidTr="00030B7E">
        <w:trPr>
          <w:cantSplit/>
        </w:trPr>
        <w:tc>
          <w:tcPr>
            <w:tcW w:w="5103" w:type="dxa"/>
          </w:tcPr>
          <w:p w14:paraId="1EA10B9F" w14:textId="30D1CEBB" w:rsidR="00EE5BB8" w:rsidRPr="00C6052E" w:rsidRDefault="00EE5BB8" w:rsidP="0063097D">
            <w:r w:rsidRPr="00C6052E">
              <w:rPr>
                <w:rStyle w:val="Medium"/>
              </w:rPr>
              <w:t>Premier</w:t>
            </w:r>
            <w:r w:rsidRPr="00C6052E">
              <w:br/>
              <w:t>1</w:t>
            </w:r>
            <w:r w:rsidR="00177848" w:rsidRPr="00C6052E">
              <w:t xml:space="preserve"> </w:t>
            </w:r>
            <w:r w:rsidRPr="00C6052E">
              <w:t>July</w:t>
            </w:r>
            <w:r w:rsidR="00177848" w:rsidRPr="00C6052E">
              <w:t xml:space="preserve"> </w:t>
            </w:r>
            <w:r w:rsidRPr="00C6052E">
              <w:t>2024</w:t>
            </w:r>
            <w:r w:rsidR="00177848" w:rsidRPr="00C6052E">
              <w:t xml:space="preserve"> </w:t>
            </w:r>
            <w:r w:rsidRPr="00C6052E">
              <w:t>to</w:t>
            </w:r>
            <w:r w:rsidR="00177848" w:rsidRPr="00C6052E">
              <w:t xml:space="preserve"> </w:t>
            </w:r>
            <w:r w:rsidRPr="00C6052E">
              <w:t>30</w:t>
            </w:r>
            <w:r w:rsidR="00177848" w:rsidRPr="00C6052E">
              <w:t xml:space="preserve"> </w:t>
            </w:r>
            <w:r w:rsidRPr="00C6052E">
              <w:t>June</w:t>
            </w:r>
            <w:r w:rsidR="00177848" w:rsidRPr="00C6052E">
              <w:t xml:space="preserve"> </w:t>
            </w:r>
            <w:r w:rsidRPr="00C6052E">
              <w:t>2025</w:t>
            </w:r>
            <w:r w:rsidRPr="00C6052E">
              <w:br/>
            </w:r>
            <w:r w:rsidRPr="00C6052E">
              <w:rPr>
                <w:rStyle w:val="Italics"/>
              </w:rPr>
              <w:t>The</w:t>
            </w:r>
            <w:r w:rsidR="00177848" w:rsidRPr="00C6052E">
              <w:rPr>
                <w:rStyle w:val="Italics"/>
              </w:rPr>
              <w:t xml:space="preserve"> </w:t>
            </w:r>
            <w:r w:rsidRPr="00C6052E">
              <w:rPr>
                <w:rStyle w:val="Italics"/>
              </w:rPr>
              <w:t>Hon.</w:t>
            </w:r>
            <w:r w:rsidR="00177848" w:rsidRPr="00C6052E">
              <w:rPr>
                <w:rStyle w:val="Italics"/>
              </w:rPr>
              <w:t xml:space="preserve"> </w:t>
            </w:r>
            <w:r w:rsidRPr="00C6052E">
              <w:rPr>
                <w:rStyle w:val="Italics"/>
              </w:rPr>
              <w:t>Jacinta</w:t>
            </w:r>
            <w:r w:rsidR="00177848" w:rsidRPr="00C6052E">
              <w:rPr>
                <w:rStyle w:val="Italics"/>
              </w:rPr>
              <w:t xml:space="preserve"> </w:t>
            </w:r>
            <w:r w:rsidRPr="00C6052E">
              <w:rPr>
                <w:rStyle w:val="Italics"/>
              </w:rPr>
              <w:t>Allan</w:t>
            </w:r>
          </w:p>
        </w:tc>
        <w:tc>
          <w:tcPr>
            <w:tcW w:w="4678" w:type="dxa"/>
          </w:tcPr>
          <w:p w14:paraId="23479021" w14:textId="4828CCC7" w:rsidR="00EE5BB8" w:rsidRPr="00C6052E" w:rsidRDefault="00EE5BB8" w:rsidP="0063097D">
            <w:r w:rsidRPr="00C6052E">
              <w:rPr>
                <w:rStyle w:val="Medium"/>
              </w:rPr>
              <w:t>Minister</w:t>
            </w:r>
            <w:r w:rsidR="00177848" w:rsidRPr="00C6052E">
              <w:rPr>
                <w:rStyle w:val="Medium"/>
              </w:rPr>
              <w:t xml:space="preserve"> </w:t>
            </w:r>
            <w:r w:rsidRPr="00C6052E">
              <w:rPr>
                <w:rStyle w:val="Medium"/>
              </w:rPr>
              <w:t>for</w:t>
            </w:r>
            <w:r w:rsidR="00177848" w:rsidRPr="00C6052E">
              <w:rPr>
                <w:rStyle w:val="Medium"/>
              </w:rPr>
              <w:t xml:space="preserve"> </w:t>
            </w:r>
            <w:r w:rsidRPr="00C6052E">
              <w:rPr>
                <w:rStyle w:val="Medium"/>
              </w:rPr>
              <w:t>Economic</w:t>
            </w:r>
            <w:r w:rsidR="00177848" w:rsidRPr="00C6052E">
              <w:rPr>
                <w:rStyle w:val="Medium"/>
              </w:rPr>
              <w:t xml:space="preserve"> </w:t>
            </w:r>
            <w:r w:rsidRPr="00C6052E">
              <w:rPr>
                <w:rStyle w:val="Medium"/>
              </w:rPr>
              <w:t>Growth</w:t>
            </w:r>
            <w:r w:rsidR="00177848" w:rsidRPr="00C6052E">
              <w:rPr>
                <w:rStyle w:val="Medium"/>
              </w:rPr>
              <w:t xml:space="preserve"> </w:t>
            </w:r>
            <w:r w:rsidRPr="00C6052E">
              <w:rPr>
                <w:rStyle w:val="Medium"/>
              </w:rPr>
              <w:t>and</w:t>
            </w:r>
            <w:r w:rsidR="00177848" w:rsidRPr="00C6052E">
              <w:rPr>
                <w:rStyle w:val="Medium"/>
              </w:rPr>
              <w:t xml:space="preserve"> </w:t>
            </w:r>
            <w:r w:rsidRPr="00C6052E">
              <w:rPr>
                <w:rStyle w:val="Medium"/>
              </w:rPr>
              <w:t>Jobs</w:t>
            </w:r>
            <w:r w:rsidRPr="00C6052E">
              <w:br/>
            </w:r>
            <w:r w:rsidRPr="00C6052E">
              <w:rPr>
                <w:rStyle w:val="Medium"/>
              </w:rPr>
              <w:t>DJSIR</w:t>
            </w:r>
            <w:r w:rsidR="00177848" w:rsidRPr="00C6052E">
              <w:rPr>
                <w:rStyle w:val="Medium"/>
              </w:rPr>
              <w:t xml:space="preserve"> </w:t>
            </w:r>
            <w:r w:rsidRPr="00C6052E">
              <w:rPr>
                <w:rStyle w:val="Medium"/>
              </w:rPr>
              <w:t>Coordinating</w:t>
            </w:r>
            <w:r w:rsidR="00177848" w:rsidRPr="00C6052E">
              <w:rPr>
                <w:rStyle w:val="Medium"/>
              </w:rPr>
              <w:t xml:space="preserve"> </w:t>
            </w:r>
            <w:r w:rsidRPr="00C6052E">
              <w:rPr>
                <w:rStyle w:val="Medium"/>
              </w:rPr>
              <w:t>Minister</w:t>
            </w:r>
            <w:r w:rsidRPr="00C6052E">
              <w:br/>
              <w:t>19</w:t>
            </w:r>
            <w:r w:rsidR="00177848" w:rsidRPr="00C6052E">
              <w:t xml:space="preserve"> </w:t>
            </w:r>
            <w:r w:rsidRPr="00C6052E">
              <w:t>December</w:t>
            </w:r>
            <w:r w:rsidR="00177848" w:rsidRPr="00C6052E">
              <w:t xml:space="preserve"> </w:t>
            </w:r>
            <w:r w:rsidRPr="00C6052E">
              <w:t>2024</w:t>
            </w:r>
            <w:r w:rsidR="00177848" w:rsidRPr="00C6052E">
              <w:t xml:space="preserve"> </w:t>
            </w:r>
            <w:r w:rsidRPr="00C6052E">
              <w:t>to</w:t>
            </w:r>
            <w:r w:rsidR="00177848" w:rsidRPr="00C6052E">
              <w:t xml:space="preserve"> </w:t>
            </w:r>
            <w:r w:rsidRPr="00C6052E">
              <w:t>30</w:t>
            </w:r>
            <w:r w:rsidR="00177848" w:rsidRPr="00C6052E">
              <w:t xml:space="preserve"> </w:t>
            </w:r>
            <w:r w:rsidRPr="00C6052E">
              <w:t>June</w:t>
            </w:r>
            <w:r w:rsidR="00177848" w:rsidRPr="00C6052E">
              <w:t xml:space="preserve"> </w:t>
            </w:r>
            <w:r w:rsidRPr="00C6052E">
              <w:t>2025</w:t>
            </w:r>
            <w:r w:rsidRPr="00C6052E">
              <w:br/>
            </w:r>
            <w:r w:rsidRPr="00C6052E">
              <w:rPr>
                <w:rStyle w:val="Italics"/>
              </w:rPr>
              <w:t>The</w:t>
            </w:r>
            <w:r w:rsidR="00177848" w:rsidRPr="00C6052E">
              <w:rPr>
                <w:rStyle w:val="Italics"/>
              </w:rPr>
              <w:t xml:space="preserve"> </w:t>
            </w:r>
            <w:r w:rsidRPr="00C6052E">
              <w:rPr>
                <w:rStyle w:val="Italics"/>
              </w:rPr>
              <w:t>Hon.</w:t>
            </w:r>
            <w:r w:rsidR="00177848" w:rsidRPr="00C6052E">
              <w:rPr>
                <w:rStyle w:val="Italics"/>
              </w:rPr>
              <w:t xml:space="preserve"> </w:t>
            </w:r>
            <w:r w:rsidRPr="00C6052E">
              <w:rPr>
                <w:rStyle w:val="Italics"/>
              </w:rPr>
              <w:t>Danny</w:t>
            </w:r>
            <w:r w:rsidR="00177848" w:rsidRPr="00C6052E">
              <w:rPr>
                <w:rStyle w:val="Italics"/>
              </w:rPr>
              <w:t xml:space="preserve"> </w:t>
            </w:r>
            <w:r w:rsidRPr="00C6052E">
              <w:rPr>
                <w:rStyle w:val="Italics"/>
              </w:rPr>
              <w:t>Pearson</w:t>
            </w:r>
          </w:p>
        </w:tc>
      </w:tr>
      <w:tr w:rsidR="00EE5BB8" w:rsidRPr="00C6052E" w14:paraId="3DCA7E35" w14:textId="77777777" w:rsidTr="00030B7E">
        <w:trPr>
          <w:cantSplit/>
        </w:trPr>
        <w:tc>
          <w:tcPr>
            <w:tcW w:w="5103" w:type="dxa"/>
          </w:tcPr>
          <w:p w14:paraId="0BE99557" w14:textId="75F455BE" w:rsidR="00EE5BB8" w:rsidRPr="00C6052E" w:rsidRDefault="00EE5BB8" w:rsidP="0063097D">
            <w:r w:rsidRPr="00C6052E">
              <w:rPr>
                <w:rStyle w:val="Medium"/>
              </w:rPr>
              <w:t>Minister</w:t>
            </w:r>
            <w:r w:rsidR="00177848" w:rsidRPr="00C6052E">
              <w:rPr>
                <w:rStyle w:val="Medium"/>
              </w:rPr>
              <w:t xml:space="preserve"> </w:t>
            </w:r>
            <w:r w:rsidRPr="00C6052E">
              <w:rPr>
                <w:rStyle w:val="Medium"/>
              </w:rPr>
              <w:t>for</w:t>
            </w:r>
            <w:r w:rsidR="00177848" w:rsidRPr="00C6052E">
              <w:rPr>
                <w:rStyle w:val="Medium"/>
              </w:rPr>
              <w:t xml:space="preserve"> </w:t>
            </w:r>
            <w:r w:rsidRPr="00C6052E">
              <w:rPr>
                <w:rStyle w:val="Medium"/>
              </w:rPr>
              <w:t>Medical</w:t>
            </w:r>
            <w:r w:rsidR="00177848" w:rsidRPr="00C6052E">
              <w:rPr>
                <w:rStyle w:val="Medium"/>
              </w:rPr>
              <w:t xml:space="preserve"> </w:t>
            </w:r>
            <w:r w:rsidRPr="00C6052E">
              <w:rPr>
                <w:rStyle w:val="Medium"/>
              </w:rPr>
              <w:t>Research</w:t>
            </w:r>
            <w:r w:rsidRPr="00C6052E">
              <w:br/>
              <w:t>1</w:t>
            </w:r>
            <w:r w:rsidR="00177848" w:rsidRPr="00C6052E">
              <w:t xml:space="preserve"> </w:t>
            </w:r>
            <w:r w:rsidRPr="00C6052E">
              <w:t>July</w:t>
            </w:r>
            <w:r w:rsidR="00177848" w:rsidRPr="00C6052E">
              <w:t xml:space="preserve"> </w:t>
            </w:r>
            <w:r w:rsidRPr="00C6052E">
              <w:t>2024</w:t>
            </w:r>
            <w:r w:rsidR="00177848" w:rsidRPr="00C6052E">
              <w:t xml:space="preserve"> </w:t>
            </w:r>
            <w:r w:rsidRPr="00C6052E">
              <w:t>to</w:t>
            </w:r>
            <w:r w:rsidR="00177848" w:rsidRPr="00C6052E">
              <w:t xml:space="preserve"> </w:t>
            </w:r>
            <w:r w:rsidRPr="00C6052E">
              <w:t>18</w:t>
            </w:r>
            <w:r w:rsidR="00177848" w:rsidRPr="00C6052E">
              <w:t xml:space="preserve"> </w:t>
            </w:r>
            <w:r w:rsidRPr="00C6052E">
              <w:t>December</w:t>
            </w:r>
            <w:r w:rsidR="00177848" w:rsidRPr="00C6052E">
              <w:t xml:space="preserve"> </w:t>
            </w:r>
            <w:r w:rsidRPr="00C6052E">
              <w:t>2024</w:t>
            </w:r>
            <w:r w:rsidRPr="00C6052E">
              <w:br/>
            </w:r>
            <w:r w:rsidRPr="00C6052E">
              <w:rPr>
                <w:rStyle w:val="Italics"/>
              </w:rPr>
              <w:t>The</w:t>
            </w:r>
            <w:r w:rsidR="00177848" w:rsidRPr="00C6052E">
              <w:rPr>
                <w:rStyle w:val="Italics"/>
              </w:rPr>
              <w:t xml:space="preserve"> </w:t>
            </w:r>
            <w:r w:rsidRPr="00C6052E">
              <w:rPr>
                <w:rStyle w:val="Italics"/>
              </w:rPr>
              <w:t>Hon.</w:t>
            </w:r>
            <w:r w:rsidR="00177848" w:rsidRPr="00C6052E">
              <w:rPr>
                <w:rStyle w:val="Italics"/>
              </w:rPr>
              <w:t xml:space="preserve"> </w:t>
            </w:r>
            <w:r w:rsidRPr="00C6052E">
              <w:rPr>
                <w:rStyle w:val="Italics"/>
              </w:rPr>
              <w:t>Ben</w:t>
            </w:r>
            <w:r w:rsidR="00177848" w:rsidRPr="00C6052E">
              <w:rPr>
                <w:rStyle w:val="Italics"/>
              </w:rPr>
              <w:t xml:space="preserve"> </w:t>
            </w:r>
            <w:r w:rsidRPr="00C6052E">
              <w:rPr>
                <w:rStyle w:val="Italics"/>
              </w:rPr>
              <w:t>Carroll</w:t>
            </w:r>
          </w:p>
        </w:tc>
        <w:tc>
          <w:tcPr>
            <w:tcW w:w="4678" w:type="dxa"/>
          </w:tcPr>
          <w:p w14:paraId="1B12DD8F" w14:textId="579D1F26" w:rsidR="00EE5BB8" w:rsidRPr="00C6052E" w:rsidRDefault="00EE5BB8" w:rsidP="0063097D">
            <w:r w:rsidRPr="00C6052E">
              <w:rPr>
                <w:rStyle w:val="Medium"/>
              </w:rPr>
              <w:t>Minister</w:t>
            </w:r>
            <w:r w:rsidR="00177848" w:rsidRPr="00C6052E">
              <w:rPr>
                <w:rStyle w:val="Medium"/>
              </w:rPr>
              <w:t xml:space="preserve"> </w:t>
            </w:r>
            <w:r w:rsidRPr="00C6052E">
              <w:rPr>
                <w:rStyle w:val="Medium"/>
              </w:rPr>
              <w:t>for</w:t>
            </w:r>
            <w:r w:rsidR="00177848" w:rsidRPr="00C6052E">
              <w:rPr>
                <w:rStyle w:val="Medium"/>
              </w:rPr>
              <w:t xml:space="preserve"> </w:t>
            </w:r>
            <w:r w:rsidRPr="00C6052E">
              <w:rPr>
                <w:rStyle w:val="Medium"/>
              </w:rPr>
              <w:t>Community</w:t>
            </w:r>
            <w:r w:rsidR="00177848" w:rsidRPr="00C6052E">
              <w:rPr>
                <w:rStyle w:val="Medium"/>
              </w:rPr>
              <w:t xml:space="preserve"> </w:t>
            </w:r>
            <w:r w:rsidRPr="00C6052E">
              <w:rPr>
                <w:rStyle w:val="Medium"/>
              </w:rPr>
              <w:t>Sport</w:t>
            </w:r>
            <w:r w:rsidRPr="00C6052E">
              <w:br/>
              <w:t>1</w:t>
            </w:r>
            <w:r w:rsidR="00177848" w:rsidRPr="00C6052E">
              <w:t xml:space="preserve"> </w:t>
            </w:r>
            <w:r w:rsidRPr="00C6052E">
              <w:t>July</w:t>
            </w:r>
            <w:r w:rsidR="00177848" w:rsidRPr="00C6052E">
              <w:t xml:space="preserve"> </w:t>
            </w:r>
            <w:r w:rsidRPr="00C6052E">
              <w:t>2024</w:t>
            </w:r>
            <w:r w:rsidR="00177848" w:rsidRPr="00C6052E">
              <w:t xml:space="preserve"> </w:t>
            </w:r>
            <w:r w:rsidRPr="00C6052E">
              <w:t>to</w:t>
            </w:r>
            <w:r w:rsidR="00177848" w:rsidRPr="00C6052E">
              <w:t xml:space="preserve"> </w:t>
            </w:r>
            <w:r w:rsidRPr="00C6052E">
              <w:t>30</w:t>
            </w:r>
            <w:r w:rsidR="00177848" w:rsidRPr="00C6052E">
              <w:t xml:space="preserve"> </w:t>
            </w:r>
            <w:r w:rsidRPr="00C6052E">
              <w:t>June</w:t>
            </w:r>
            <w:r w:rsidR="00177848" w:rsidRPr="00C6052E">
              <w:t xml:space="preserve"> </w:t>
            </w:r>
            <w:r w:rsidRPr="00C6052E">
              <w:t>2025</w:t>
            </w:r>
            <w:r w:rsidRPr="00C6052E">
              <w:br/>
            </w:r>
            <w:r w:rsidRPr="00C6052E">
              <w:rPr>
                <w:rStyle w:val="Italics"/>
              </w:rPr>
              <w:t>The</w:t>
            </w:r>
            <w:r w:rsidR="00177848" w:rsidRPr="00C6052E">
              <w:rPr>
                <w:rStyle w:val="Italics"/>
              </w:rPr>
              <w:t xml:space="preserve"> </w:t>
            </w:r>
            <w:r w:rsidRPr="00C6052E">
              <w:rPr>
                <w:rStyle w:val="Italics"/>
              </w:rPr>
              <w:t>Hon.</w:t>
            </w:r>
            <w:r w:rsidR="00177848" w:rsidRPr="00C6052E">
              <w:rPr>
                <w:rStyle w:val="Italics"/>
              </w:rPr>
              <w:t xml:space="preserve"> </w:t>
            </w:r>
            <w:r w:rsidRPr="00C6052E">
              <w:rPr>
                <w:rStyle w:val="Italics"/>
              </w:rPr>
              <w:t>Ros</w:t>
            </w:r>
            <w:r w:rsidR="00177848" w:rsidRPr="00C6052E">
              <w:rPr>
                <w:rStyle w:val="Italics"/>
              </w:rPr>
              <w:t xml:space="preserve"> </w:t>
            </w:r>
            <w:r w:rsidRPr="00C6052E">
              <w:rPr>
                <w:rStyle w:val="Italics"/>
              </w:rPr>
              <w:t>Spence</w:t>
            </w:r>
          </w:p>
        </w:tc>
      </w:tr>
      <w:tr w:rsidR="00EE5BB8" w:rsidRPr="00C6052E" w14:paraId="68D02D42" w14:textId="77777777" w:rsidTr="00030B7E">
        <w:trPr>
          <w:cantSplit/>
        </w:trPr>
        <w:tc>
          <w:tcPr>
            <w:tcW w:w="5103" w:type="dxa"/>
          </w:tcPr>
          <w:p w14:paraId="1C588721" w14:textId="73A57F0A" w:rsidR="00EE5BB8" w:rsidRPr="00C6052E" w:rsidRDefault="00EE5BB8" w:rsidP="0063097D">
            <w:r w:rsidRPr="00C6052E">
              <w:rPr>
                <w:rStyle w:val="Medium"/>
              </w:rPr>
              <w:t>Minister</w:t>
            </w:r>
            <w:r w:rsidR="00177848" w:rsidRPr="00C6052E">
              <w:rPr>
                <w:rStyle w:val="Medium"/>
              </w:rPr>
              <w:t xml:space="preserve"> </w:t>
            </w:r>
            <w:r w:rsidRPr="00C6052E">
              <w:rPr>
                <w:rStyle w:val="Medium"/>
              </w:rPr>
              <w:t>for</w:t>
            </w:r>
            <w:r w:rsidR="00177848" w:rsidRPr="00C6052E">
              <w:rPr>
                <w:rStyle w:val="Medium"/>
              </w:rPr>
              <w:t xml:space="preserve"> </w:t>
            </w:r>
            <w:r w:rsidRPr="00C6052E">
              <w:rPr>
                <w:rStyle w:val="Medium"/>
              </w:rPr>
              <w:t>Employment</w:t>
            </w:r>
            <w:r w:rsidRPr="00C6052E">
              <w:br/>
              <w:t>1</w:t>
            </w:r>
            <w:r w:rsidR="00177848" w:rsidRPr="00C6052E">
              <w:t xml:space="preserve"> </w:t>
            </w:r>
            <w:r w:rsidRPr="00C6052E">
              <w:t>July</w:t>
            </w:r>
            <w:r w:rsidR="00177848" w:rsidRPr="00C6052E">
              <w:t xml:space="preserve"> </w:t>
            </w:r>
            <w:r w:rsidRPr="00C6052E">
              <w:t>2024</w:t>
            </w:r>
            <w:r w:rsidR="00177848" w:rsidRPr="00C6052E">
              <w:t xml:space="preserve"> </w:t>
            </w:r>
            <w:r w:rsidRPr="00C6052E">
              <w:t>to</w:t>
            </w:r>
            <w:r w:rsidR="00177848" w:rsidRPr="00C6052E">
              <w:t xml:space="preserve"> </w:t>
            </w:r>
            <w:r w:rsidRPr="00C6052E">
              <w:t>18</w:t>
            </w:r>
            <w:r w:rsidR="00177848" w:rsidRPr="00C6052E">
              <w:t xml:space="preserve"> </w:t>
            </w:r>
            <w:r w:rsidRPr="00C6052E">
              <w:t>December</w:t>
            </w:r>
            <w:r w:rsidR="00177848" w:rsidRPr="00C6052E">
              <w:t xml:space="preserve"> </w:t>
            </w:r>
            <w:r w:rsidRPr="00C6052E">
              <w:t>2024</w:t>
            </w:r>
            <w:r w:rsidRPr="00C6052E">
              <w:br/>
            </w:r>
            <w:r w:rsidRPr="00C6052E">
              <w:rPr>
                <w:rStyle w:val="Italics"/>
              </w:rPr>
              <w:t>The</w:t>
            </w:r>
            <w:r w:rsidR="00177848" w:rsidRPr="00C6052E">
              <w:rPr>
                <w:rStyle w:val="Italics"/>
              </w:rPr>
              <w:t xml:space="preserve"> </w:t>
            </w:r>
            <w:r w:rsidRPr="00C6052E">
              <w:rPr>
                <w:rStyle w:val="Italics"/>
              </w:rPr>
              <w:t>Hon.</w:t>
            </w:r>
            <w:r w:rsidR="00177848" w:rsidRPr="00C6052E">
              <w:rPr>
                <w:rStyle w:val="Italics"/>
              </w:rPr>
              <w:t xml:space="preserve"> </w:t>
            </w:r>
            <w:r w:rsidRPr="00C6052E">
              <w:rPr>
                <w:rStyle w:val="Italics"/>
              </w:rPr>
              <w:t>Vicki</w:t>
            </w:r>
            <w:r w:rsidR="00177848" w:rsidRPr="00C6052E">
              <w:rPr>
                <w:rStyle w:val="Italics"/>
              </w:rPr>
              <w:t xml:space="preserve"> </w:t>
            </w:r>
            <w:r w:rsidRPr="00C6052E">
              <w:rPr>
                <w:rStyle w:val="Italics"/>
              </w:rPr>
              <w:t>Ward</w:t>
            </w:r>
          </w:p>
        </w:tc>
        <w:tc>
          <w:tcPr>
            <w:tcW w:w="4678" w:type="dxa"/>
          </w:tcPr>
          <w:p w14:paraId="0B44C898" w14:textId="5474BBB0" w:rsidR="00EE5BB8" w:rsidRPr="00C6052E" w:rsidRDefault="00EE5BB8" w:rsidP="0063097D">
            <w:r w:rsidRPr="00C6052E">
              <w:rPr>
                <w:rStyle w:val="Medium"/>
              </w:rPr>
              <w:t>Minister</w:t>
            </w:r>
            <w:r w:rsidR="00177848" w:rsidRPr="00C6052E">
              <w:rPr>
                <w:rStyle w:val="Medium"/>
              </w:rPr>
              <w:t xml:space="preserve"> </w:t>
            </w:r>
            <w:r w:rsidRPr="00C6052E">
              <w:rPr>
                <w:rStyle w:val="Medium"/>
              </w:rPr>
              <w:t>for</w:t>
            </w:r>
            <w:r w:rsidR="00177848" w:rsidRPr="00C6052E">
              <w:rPr>
                <w:rStyle w:val="Medium"/>
              </w:rPr>
              <w:t xml:space="preserve"> </w:t>
            </w:r>
            <w:r w:rsidRPr="00C6052E">
              <w:rPr>
                <w:rStyle w:val="Medium"/>
              </w:rPr>
              <w:t>Tourism,</w:t>
            </w:r>
            <w:r w:rsidR="00177848" w:rsidRPr="00C6052E">
              <w:rPr>
                <w:rStyle w:val="Medium"/>
              </w:rPr>
              <w:t xml:space="preserve"> </w:t>
            </w:r>
            <w:r w:rsidRPr="00C6052E">
              <w:rPr>
                <w:rStyle w:val="Medium"/>
              </w:rPr>
              <w:t>Sport</w:t>
            </w:r>
            <w:r w:rsidR="00177848" w:rsidRPr="00C6052E">
              <w:rPr>
                <w:rStyle w:val="Medium"/>
              </w:rPr>
              <w:t xml:space="preserve"> </w:t>
            </w:r>
            <w:r w:rsidRPr="00C6052E">
              <w:rPr>
                <w:rStyle w:val="Medium"/>
              </w:rPr>
              <w:t>and</w:t>
            </w:r>
            <w:r w:rsidR="00177848" w:rsidRPr="00C6052E">
              <w:rPr>
                <w:rStyle w:val="Medium"/>
              </w:rPr>
              <w:t xml:space="preserve"> </w:t>
            </w:r>
            <w:r w:rsidRPr="00C6052E">
              <w:rPr>
                <w:rStyle w:val="Medium"/>
              </w:rPr>
              <w:t>Major</w:t>
            </w:r>
            <w:r w:rsidR="00177848" w:rsidRPr="00C6052E">
              <w:rPr>
                <w:rStyle w:val="Medium"/>
              </w:rPr>
              <w:t xml:space="preserve"> </w:t>
            </w:r>
            <w:r w:rsidRPr="00C6052E">
              <w:rPr>
                <w:rStyle w:val="Medium"/>
              </w:rPr>
              <w:t>Events</w:t>
            </w:r>
            <w:r w:rsidRPr="00C6052E">
              <w:rPr>
                <w:rStyle w:val="Medium"/>
              </w:rPr>
              <w:br/>
              <w:t>Minister</w:t>
            </w:r>
            <w:r w:rsidR="00177848" w:rsidRPr="00C6052E">
              <w:rPr>
                <w:rStyle w:val="Medium"/>
              </w:rPr>
              <w:t xml:space="preserve"> </w:t>
            </w:r>
            <w:r w:rsidRPr="00C6052E">
              <w:rPr>
                <w:rStyle w:val="Medium"/>
              </w:rPr>
              <w:t>for</w:t>
            </w:r>
            <w:r w:rsidR="00177848" w:rsidRPr="00C6052E">
              <w:rPr>
                <w:rStyle w:val="Medium"/>
              </w:rPr>
              <w:t xml:space="preserve"> </w:t>
            </w:r>
            <w:r w:rsidRPr="00C6052E">
              <w:rPr>
                <w:rStyle w:val="Medium"/>
              </w:rPr>
              <w:t>Outdoor</w:t>
            </w:r>
            <w:r w:rsidR="00177848" w:rsidRPr="00C6052E">
              <w:rPr>
                <w:rStyle w:val="Medium"/>
              </w:rPr>
              <w:t xml:space="preserve"> </w:t>
            </w:r>
            <w:r w:rsidRPr="00C6052E">
              <w:rPr>
                <w:rStyle w:val="Medium"/>
              </w:rPr>
              <w:t>Recreation</w:t>
            </w:r>
            <w:r w:rsidRPr="00C6052E">
              <w:br/>
              <w:t>1</w:t>
            </w:r>
            <w:r w:rsidR="00177848" w:rsidRPr="00C6052E">
              <w:t xml:space="preserve"> </w:t>
            </w:r>
            <w:r w:rsidRPr="00C6052E">
              <w:t>July</w:t>
            </w:r>
            <w:r w:rsidR="00177848" w:rsidRPr="00C6052E">
              <w:t xml:space="preserve"> </w:t>
            </w:r>
            <w:r w:rsidRPr="00C6052E">
              <w:t>2024</w:t>
            </w:r>
            <w:r w:rsidR="00177848" w:rsidRPr="00C6052E">
              <w:t xml:space="preserve"> </w:t>
            </w:r>
            <w:r w:rsidRPr="00C6052E">
              <w:t>to</w:t>
            </w:r>
            <w:r w:rsidR="00177848" w:rsidRPr="00C6052E">
              <w:t xml:space="preserve"> </w:t>
            </w:r>
            <w:r w:rsidRPr="00C6052E">
              <w:t>30</w:t>
            </w:r>
            <w:r w:rsidR="00177848" w:rsidRPr="00C6052E">
              <w:t xml:space="preserve"> </w:t>
            </w:r>
            <w:r w:rsidRPr="00C6052E">
              <w:t>June</w:t>
            </w:r>
            <w:r w:rsidR="00177848" w:rsidRPr="00C6052E">
              <w:t xml:space="preserve"> </w:t>
            </w:r>
            <w:r w:rsidRPr="00C6052E">
              <w:t>2025</w:t>
            </w:r>
            <w:r w:rsidRPr="00C6052E">
              <w:br/>
            </w:r>
            <w:r w:rsidRPr="00C6052E">
              <w:rPr>
                <w:rStyle w:val="Italics"/>
              </w:rPr>
              <w:t>Mr</w:t>
            </w:r>
            <w:r w:rsidR="00177848" w:rsidRPr="00C6052E">
              <w:rPr>
                <w:rStyle w:val="Italics"/>
              </w:rPr>
              <w:t xml:space="preserve"> </w:t>
            </w:r>
            <w:r w:rsidRPr="00C6052E">
              <w:rPr>
                <w:rStyle w:val="Italics"/>
              </w:rPr>
              <w:t>Steve</w:t>
            </w:r>
            <w:r w:rsidR="00177848" w:rsidRPr="00C6052E">
              <w:rPr>
                <w:rStyle w:val="Italics"/>
              </w:rPr>
              <w:t xml:space="preserve"> </w:t>
            </w:r>
            <w:r w:rsidRPr="00C6052E">
              <w:rPr>
                <w:rStyle w:val="Italics"/>
              </w:rPr>
              <w:t>Dimopoulos</w:t>
            </w:r>
          </w:p>
        </w:tc>
      </w:tr>
      <w:tr w:rsidR="00EE5BB8" w:rsidRPr="00C6052E" w14:paraId="3F1725AB" w14:textId="77777777" w:rsidTr="00030B7E">
        <w:trPr>
          <w:cantSplit/>
        </w:trPr>
        <w:tc>
          <w:tcPr>
            <w:tcW w:w="5103" w:type="dxa"/>
          </w:tcPr>
          <w:p w14:paraId="1565261B" w14:textId="77805DD1" w:rsidR="00EE5BB8" w:rsidRPr="00C6052E" w:rsidRDefault="00EE5BB8" w:rsidP="0063097D">
            <w:r w:rsidRPr="00C6052E">
              <w:rPr>
                <w:rStyle w:val="Medium"/>
              </w:rPr>
              <w:t>Minister</w:t>
            </w:r>
            <w:r w:rsidR="00177848" w:rsidRPr="00C6052E">
              <w:rPr>
                <w:rStyle w:val="Medium"/>
              </w:rPr>
              <w:t xml:space="preserve"> </w:t>
            </w:r>
            <w:r w:rsidRPr="00C6052E">
              <w:rPr>
                <w:rStyle w:val="Medium"/>
              </w:rPr>
              <w:t>for</w:t>
            </w:r>
            <w:r w:rsidR="00177848" w:rsidRPr="00C6052E">
              <w:rPr>
                <w:rStyle w:val="Medium"/>
              </w:rPr>
              <w:t xml:space="preserve"> </w:t>
            </w:r>
            <w:r w:rsidRPr="00C6052E">
              <w:rPr>
                <w:rStyle w:val="Medium"/>
              </w:rPr>
              <w:t>Economic</w:t>
            </w:r>
            <w:r w:rsidR="00177848" w:rsidRPr="00C6052E">
              <w:rPr>
                <w:rStyle w:val="Medium"/>
              </w:rPr>
              <w:t xml:space="preserve"> </w:t>
            </w:r>
            <w:r w:rsidRPr="00C6052E">
              <w:rPr>
                <w:rStyle w:val="Medium"/>
              </w:rPr>
              <w:t>Growth</w:t>
            </w:r>
            <w:r w:rsidRPr="00C6052E">
              <w:br/>
              <w:t>1</w:t>
            </w:r>
            <w:r w:rsidR="00177848" w:rsidRPr="00C6052E">
              <w:t xml:space="preserve"> </w:t>
            </w:r>
            <w:r w:rsidRPr="00C6052E">
              <w:t>July</w:t>
            </w:r>
            <w:r w:rsidR="00177848" w:rsidRPr="00C6052E">
              <w:t xml:space="preserve"> </w:t>
            </w:r>
            <w:r w:rsidRPr="00C6052E">
              <w:t>2024</w:t>
            </w:r>
            <w:r w:rsidR="00177848" w:rsidRPr="00C6052E">
              <w:t xml:space="preserve"> </w:t>
            </w:r>
            <w:r w:rsidRPr="00C6052E">
              <w:t>to</w:t>
            </w:r>
            <w:r w:rsidR="00177848" w:rsidRPr="00C6052E">
              <w:t xml:space="preserve"> </w:t>
            </w:r>
            <w:r w:rsidRPr="00C6052E">
              <w:t>18</w:t>
            </w:r>
            <w:r w:rsidR="00177848" w:rsidRPr="00C6052E">
              <w:t xml:space="preserve"> </w:t>
            </w:r>
            <w:r w:rsidRPr="00C6052E">
              <w:t>December</w:t>
            </w:r>
            <w:r w:rsidR="00177848" w:rsidRPr="00C6052E">
              <w:t xml:space="preserve"> </w:t>
            </w:r>
            <w:r w:rsidRPr="00C6052E">
              <w:t>2024</w:t>
            </w:r>
            <w:r w:rsidRPr="00C6052E">
              <w:br/>
            </w:r>
            <w:r w:rsidRPr="00C6052E">
              <w:rPr>
                <w:rStyle w:val="Italics"/>
              </w:rPr>
              <w:t>Mr</w:t>
            </w:r>
            <w:r w:rsidR="00177848" w:rsidRPr="00C6052E">
              <w:rPr>
                <w:rStyle w:val="Italics"/>
              </w:rPr>
              <w:t xml:space="preserve"> </w:t>
            </w:r>
            <w:r w:rsidRPr="00C6052E">
              <w:rPr>
                <w:rStyle w:val="Italics"/>
              </w:rPr>
              <w:t>Tim</w:t>
            </w:r>
            <w:r w:rsidR="00177848" w:rsidRPr="00C6052E">
              <w:rPr>
                <w:rStyle w:val="Italics"/>
              </w:rPr>
              <w:t xml:space="preserve"> </w:t>
            </w:r>
            <w:r w:rsidRPr="00C6052E">
              <w:rPr>
                <w:rStyle w:val="Italics"/>
              </w:rPr>
              <w:t>Pallas</w:t>
            </w:r>
          </w:p>
        </w:tc>
        <w:tc>
          <w:tcPr>
            <w:tcW w:w="4678" w:type="dxa"/>
          </w:tcPr>
          <w:p w14:paraId="64738737" w14:textId="59272FFD" w:rsidR="00EE5BB8" w:rsidRPr="00C6052E" w:rsidRDefault="00EE5BB8" w:rsidP="0063097D">
            <w:r w:rsidRPr="00C6052E">
              <w:rPr>
                <w:rStyle w:val="Medium"/>
              </w:rPr>
              <w:t>Minister</w:t>
            </w:r>
            <w:r w:rsidR="00177848" w:rsidRPr="00C6052E">
              <w:rPr>
                <w:rStyle w:val="Medium"/>
              </w:rPr>
              <w:t xml:space="preserve"> </w:t>
            </w:r>
            <w:r w:rsidRPr="00C6052E">
              <w:rPr>
                <w:rStyle w:val="Medium"/>
              </w:rPr>
              <w:t>for</w:t>
            </w:r>
            <w:r w:rsidR="00177848" w:rsidRPr="00C6052E">
              <w:rPr>
                <w:rStyle w:val="Medium"/>
              </w:rPr>
              <w:t xml:space="preserve"> </w:t>
            </w:r>
            <w:r w:rsidRPr="00C6052E">
              <w:rPr>
                <w:rStyle w:val="Medium"/>
              </w:rPr>
              <w:t>Regional</w:t>
            </w:r>
            <w:r w:rsidR="00177848" w:rsidRPr="00C6052E">
              <w:rPr>
                <w:rStyle w:val="Medium"/>
              </w:rPr>
              <w:t xml:space="preserve"> </w:t>
            </w:r>
            <w:r w:rsidRPr="00C6052E">
              <w:rPr>
                <w:rStyle w:val="Medium"/>
              </w:rPr>
              <w:t>Development</w:t>
            </w:r>
            <w:r w:rsidRPr="00C6052E">
              <w:br/>
              <w:t>19</w:t>
            </w:r>
            <w:r w:rsidR="00177848" w:rsidRPr="00C6052E">
              <w:t xml:space="preserve"> </w:t>
            </w:r>
            <w:r w:rsidRPr="00C6052E">
              <w:t>December</w:t>
            </w:r>
            <w:r w:rsidR="00177848" w:rsidRPr="00C6052E">
              <w:t xml:space="preserve"> </w:t>
            </w:r>
            <w:r w:rsidRPr="00C6052E">
              <w:t>2024</w:t>
            </w:r>
            <w:r w:rsidR="00177848" w:rsidRPr="00C6052E">
              <w:t xml:space="preserve"> </w:t>
            </w:r>
            <w:r w:rsidRPr="00C6052E">
              <w:t>to</w:t>
            </w:r>
            <w:r w:rsidR="00177848" w:rsidRPr="00C6052E">
              <w:t xml:space="preserve"> </w:t>
            </w:r>
            <w:r w:rsidRPr="00C6052E">
              <w:t>30</w:t>
            </w:r>
            <w:r w:rsidR="00177848" w:rsidRPr="00C6052E">
              <w:t xml:space="preserve"> </w:t>
            </w:r>
            <w:r w:rsidRPr="00C6052E">
              <w:t>June</w:t>
            </w:r>
            <w:r w:rsidR="00177848" w:rsidRPr="00C6052E">
              <w:t xml:space="preserve"> </w:t>
            </w:r>
            <w:r w:rsidRPr="00C6052E">
              <w:t>2025</w:t>
            </w:r>
            <w:r w:rsidRPr="00C6052E">
              <w:br/>
            </w:r>
            <w:r w:rsidRPr="00C6052E">
              <w:rPr>
                <w:rStyle w:val="Italics"/>
              </w:rPr>
              <w:t>The</w:t>
            </w:r>
            <w:r w:rsidR="00177848" w:rsidRPr="00C6052E">
              <w:rPr>
                <w:rStyle w:val="Italics"/>
              </w:rPr>
              <w:t xml:space="preserve"> </w:t>
            </w:r>
            <w:r w:rsidRPr="00C6052E">
              <w:rPr>
                <w:rStyle w:val="Italics"/>
              </w:rPr>
              <w:t>Hon.</w:t>
            </w:r>
            <w:r w:rsidR="00177848" w:rsidRPr="00C6052E">
              <w:rPr>
                <w:rStyle w:val="Italics"/>
              </w:rPr>
              <w:t xml:space="preserve"> </w:t>
            </w:r>
            <w:r w:rsidRPr="00C6052E">
              <w:rPr>
                <w:rStyle w:val="Italics"/>
              </w:rPr>
              <w:t>Jaclyn</w:t>
            </w:r>
            <w:r w:rsidR="00177848" w:rsidRPr="00C6052E">
              <w:rPr>
                <w:rStyle w:val="Italics"/>
              </w:rPr>
              <w:t xml:space="preserve"> </w:t>
            </w:r>
            <w:r w:rsidRPr="00C6052E">
              <w:rPr>
                <w:rStyle w:val="Italics"/>
              </w:rPr>
              <w:t>Symes</w:t>
            </w:r>
          </w:p>
        </w:tc>
      </w:tr>
      <w:tr w:rsidR="00EE5BB8" w:rsidRPr="00C6052E" w14:paraId="2D3EE17C" w14:textId="77777777" w:rsidTr="00030B7E">
        <w:trPr>
          <w:cantSplit/>
        </w:trPr>
        <w:tc>
          <w:tcPr>
            <w:tcW w:w="5103" w:type="dxa"/>
          </w:tcPr>
          <w:p w14:paraId="760CDF0B" w14:textId="058CA097" w:rsidR="00EE5BB8" w:rsidRPr="00C6052E" w:rsidRDefault="00EE5BB8" w:rsidP="0063097D">
            <w:r w:rsidRPr="00C6052E">
              <w:rPr>
                <w:rStyle w:val="Medium"/>
              </w:rPr>
              <w:t>Minister</w:t>
            </w:r>
            <w:r w:rsidR="00177848" w:rsidRPr="00C6052E">
              <w:rPr>
                <w:rStyle w:val="Medium"/>
              </w:rPr>
              <w:t xml:space="preserve"> </w:t>
            </w:r>
            <w:r w:rsidRPr="00C6052E">
              <w:rPr>
                <w:rStyle w:val="Medium"/>
              </w:rPr>
              <w:t>for</w:t>
            </w:r>
            <w:r w:rsidR="00177848" w:rsidRPr="00C6052E">
              <w:rPr>
                <w:rStyle w:val="Medium"/>
              </w:rPr>
              <w:t xml:space="preserve"> </w:t>
            </w:r>
            <w:r w:rsidRPr="00C6052E">
              <w:rPr>
                <w:rStyle w:val="Medium"/>
              </w:rPr>
              <w:t>Jobs</w:t>
            </w:r>
            <w:r w:rsidR="00177848" w:rsidRPr="00C6052E">
              <w:rPr>
                <w:rStyle w:val="Medium"/>
              </w:rPr>
              <w:t xml:space="preserve"> </w:t>
            </w:r>
            <w:r w:rsidRPr="00C6052E">
              <w:rPr>
                <w:rStyle w:val="Medium"/>
              </w:rPr>
              <w:t>and</w:t>
            </w:r>
            <w:r w:rsidR="00177848" w:rsidRPr="00C6052E">
              <w:rPr>
                <w:rStyle w:val="Medium"/>
              </w:rPr>
              <w:t xml:space="preserve"> </w:t>
            </w:r>
            <w:r w:rsidRPr="00C6052E">
              <w:rPr>
                <w:rStyle w:val="Medium"/>
              </w:rPr>
              <w:t>Industry</w:t>
            </w:r>
            <w:r w:rsidRPr="00C6052E">
              <w:rPr>
                <w:rStyle w:val="Medium"/>
              </w:rPr>
              <w:br/>
              <w:t>DJSIR</w:t>
            </w:r>
            <w:r w:rsidR="00177848" w:rsidRPr="00C6052E">
              <w:rPr>
                <w:rStyle w:val="Medium"/>
              </w:rPr>
              <w:t xml:space="preserve"> </w:t>
            </w:r>
            <w:r w:rsidRPr="00C6052E">
              <w:rPr>
                <w:rStyle w:val="Medium"/>
              </w:rPr>
              <w:t>Coordinating</w:t>
            </w:r>
            <w:r w:rsidR="00177848" w:rsidRPr="00C6052E">
              <w:rPr>
                <w:rStyle w:val="Medium"/>
              </w:rPr>
              <w:t xml:space="preserve"> </w:t>
            </w:r>
            <w:r w:rsidRPr="00C6052E">
              <w:rPr>
                <w:rStyle w:val="Medium"/>
              </w:rPr>
              <w:t>Minister</w:t>
            </w:r>
            <w:r w:rsidRPr="00C6052E">
              <w:br/>
              <w:t>1</w:t>
            </w:r>
            <w:r w:rsidR="00177848" w:rsidRPr="00C6052E">
              <w:t xml:space="preserve"> </w:t>
            </w:r>
            <w:r w:rsidRPr="00C6052E">
              <w:t>July</w:t>
            </w:r>
            <w:r w:rsidR="00177848" w:rsidRPr="00C6052E">
              <w:t xml:space="preserve"> </w:t>
            </w:r>
            <w:r w:rsidRPr="00C6052E">
              <w:t>2024</w:t>
            </w:r>
            <w:r w:rsidR="00177848" w:rsidRPr="00C6052E">
              <w:t xml:space="preserve"> </w:t>
            </w:r>
            <w:r w:rsidRPr="00C6052E">
              <w:t>to</w:t>
            </w:r>
            <w:r w:rsidR="00177848" w:rsidRPr="00C6052E">
              <w:t xml:space="preserve"> </w:t>
            </w:r>
            <w:r w:rsidRPr="00C6052E">
              <w:t>18</w:t>
            </w:r>
            <w:r w:rsidR="00177848" w:rsidRPr="00C6052E">
              <w:t xml:space="preserve"> </w:t>
            </w:r>
            <w:r w:rsidRPr="00C6052E">
              <w:t>December</w:t>
            </w:r>
            <w:r w:rsidR="00177848" w:rsidRPr="00C6052E">
              <w:t xml:space="preserve"> </w:t>
            </w:r>
            <w:r w:rsidRPr="00C6052E">
              <w:t>2024</w:t>
            </w:r>
            <w:r w:rsidRPr="00C6052E">
              <w:br/>
            </w:r>
            <w:r w:rsidRPr="00C6052E">
              <w:rPr>
                <w:rStyle w:val="Italics"/>
              </w:rPr>
              <w:t>The</w:t>
            </w:r>
            <w:r w:rsidR="00177848" w:rsidRPr="00C6052E">
              <w:rPr>
                <w:rStyle w:val="Italics"/>
              </w:rPr>
              <w:t xml:space="preserve"> </w:t>
            </w:r>
            <w:r w:rsidRPr="00C6052E">
              <w:rPr>
                <w:rStyle w:val="Italics"/>
              </w:rPr>
              <w:t>Hon.</w:t>
            </w:r>
            <w:r w:rsidR="00177848" w:rsidRPr="00C6052E">
              <w:rPr>
                <w:rStyle w:val="Italics"/>
              </w:rPr>
              <w:t xml:space="preserve"> </w:t>
            </w:r>
            <w:r w:rsidRPr="00C6052E">
              <w:rPr>
                <w:rStyle w:val="Italics"/>
              </w:rPr>
              <w:t>Natalie</w:t>
            </w:r>
            <w:r w:rsidR="00177848" w:rsidRPr="00C6052E">
              <w:rPr>
                <w:rStyle w:val="Italics"/>
              </w:rPr>
              <w:t xml:space="preserve"> </w:t>
            </w:r>
            <w:r w:rsidRPr="00C6052E">
              <w:rPr>
                <w:rStyle w:val="Italics"/>
              </w:rPr>
              <w:t>Hutchins</w:t>
            </w:r>
          </w:p>
        </w:tc>
        <w:tc>
          <w:tcPr>
            <w:tcW w:w="4678" w:type="dxa"/>
          </w:tcPr>
          <w:p w14:paraId="66D5A59A" w14:textId="501EC6CA" w:rsidR="00EE5BB8" w:rsidRPr="00C6052E" w:rsidRDefault="00EE5BB8" w:rsidP="0063097D">
            <w:r w:rsidRPr="00C6052E">
              <w:rPr>
                <w:rStyle w:val="Medium"/>
              </w:rPr>
              <w:t>Minister</w:t>
            </w:r>
            <w:r w:rsidR="00177848" w:rsidRPr="00C6052E">
              <w:rPr>
                <w:rStyle w:val="Medium"/>
              </w:rPr>
              <w:t xml:space="preserve"> </w:t>
            </w:r>
            <w:r w:rsidRPr="00C6052E">
              <w:rPr>
                <w:rStyle w:val="Medium"/>
              </w:rPr>
              <w:t>for</w:t>
            </w:r>
            <w:r w:rsidR="00177848" w:rsidRPr="00C6052E">
              <w:rPr>
                <w:rStyle w:val="Medium"/>
              </w:rPr>
              <w:t xml:space="preserve"> </w:t>
            </w:r>
            <w:r w:rsidRPr="00C6052E">
              <w:rPr>
                <w:rStyle w:val="Medium"/>
              </w:rPr>
              <w:t>Creative</w:t>
            </w:r>
            <w:r w:rsidR="00177848" w:rsidRPr="00C6052E">
              <w:rPr>
                <w:rStyle w:val="Medium"/>
              </w:rPr>
              <w:t xml:space="preserve"> </w:t>
            </w:r>
            <w:r w:rsidRPr="00C6052E">
              <w:rPr>
                <w:rStyle w:val="Medium"/>
              </w:rPr>
              <w:t>Industries</w:t>
            </w:r>
            <w:r w:rsidRPr="00C6052E">
              <w:br/>
              <w:t>1</w:t>
            </w:r>
            <w:r w:rsidR="00177848" w:rsidRPr="00C6052E">
              <w:t xml:space="preserve"> </w:t>
            </w:r>
            <w:r w:rsidRPr="00C6052E">
              <w:t>July</w:t>
            </w:r>
            <w:r w:rsidR="00177848" w:rsidRPr="00C6052E">
              <w:t xml:space="preserve"> </w:t>
            </w:r>
            <w:r w:rsidRPr="00C6052E">
              <w:t>2024</w:t>
            </w:r>
            <w:r w:rsidR="00177848" w:rsidRPr="00C6052E">
              <w:t xml:space="preserve"> </w:t>
            </w:r>
            <w:r w:rsidRPr="00C6052E">
              <w:t>to</w:t>
            </w:r>
            <w:r w:rsidR="00177848" w:rsidRPr="00C6052E">
              <w:t xml:space="preserve"> </w:t>
            </w:r>
            <w:r w:rsidRPr="00C6052E">
              <w:t>30</w:t>
            </w:r>
            <w:r w:rsidR="00177848" w:rsidRPr="00C6052E">
              <w:t xml:space="preserve"> </w:t>
            </w:r>
            <w:r w:rsidRPr="00C6052E">
              <w:t>June</w:t>
            </w:r>
            <w:r w:rsidR="00177848" w:rsidRPr="00C6052E">
              <w:t xml:space="preserve"> </w:t>
            </w:r>
            <w:r w:rsidRPr="00C6052E">
              <w:t>2025</w:t>
            </w:r>
            <w:r w:rsidRPr="00C6052E">
              <w:br/>
            </w:r>
            <w:r w:rsidRPr="00C6052E">
              <w:rPr>
                <w:rStyle w:val="Medium"/>
              </w:rPr>
              <w:t>Minister</w:t>
            </w:r>
            <w:r w:rsidR="00177848" w:rsidRPr="00C6052E">
              <w:rPr>
                <w:rStyle w:val="Medium"/>
              </w:rPr>
              <w:t xml:space="preserve"> </w:t>
            </w:r>
            <w:r w:rsidRPr="00C6052E">
              <w:rPr>
                <w:rStyle w:val="Medium"/>
              </w:rPr>
              <w:t>for</w:t>
            </w:r>
            <w:r w:rsidR="00177848" w:rsidRPr="00C6052E">
              <w:rPr>
                <w:rStyle w:val="Medium"/>
              </w:rPr>
              <w:t xml:space="preserve"> </w:t>
            </w:r>
            <w:r w:rsidRPr="00C6052E">
              <w:rPr>
                <w:rStyle w:val="Medium"/>
              </w:rPr>
              <w:t>Industry</w:t>
            </w:r>
            <w:r w:rsidR="00177848" w:rsidRPr="00C6052E">
              <w:rPr>
                <w:rStyle w:val="Medium"/>
              </w:rPr>
              <w:t xml:space="preserve"> </w:t>
            </w:r>
            <w:r w:rsidRPr="00C6052E">
              <w:rPr>
                <w:rStyle w:val="Medium"/>
              </w:rPr>
              <w:t>and</w:t>
            </w:r>
            <w:r w:rsidR="00177848" w:rsidRPr="00C6052E">
              <w:rPr>
                <w:rStyle w:val="Medium"/>
              </w:rPr>
              <w:t xml:space="preserve"> </w:t>
            </w:r>
            <w:r w:rsidRPr="00C6052E">
              <w:rPr>
                <w:rStyle w:val="Medium"/>
              </w:rPr>
              <w:t>Advanced</w:t>
            </w:r>
            <w:r w:rsidR="00177848" w:rsidRPr="00C6052E">
              <w:rPr>
                <w:rStyle w:val="Medium"/>
              </w:rPr>
              <w:t xml:space="preserve"> </w:t>
            </w:r>
            <w:r w:rsidRPr="00C6052E">
              <w:rPr>
                <w:rStyle w:val="Medium"/>
              </w:rPr>
              <w:t>Manufacturing</w:t>
            </w:r>
            <w:r w:rsidRPr="00C6052E">
              <w:br/>
              <w:t>19</w:t>
            </w:r>
            <w:r w:rsidR="00177848" w:rsidRPr="00C6052E">
              <w:t xml:space="preserve"> </w:t>
            </w:r>
            <w:r w:rsidRPr="00C6052E">
              <w:t>December</w:t>
            </w:r>
            <w:r w:rsidR="00177848" w:rsidRPr="00C6052E">
              <w:t xml:space="preserve"> </w:t>
            </w:r>
            <w:r w:rsidRPr="00C6052E">
              <w:t>2024</w:t>
            </w:r>
            <w:r w:rsidR="00177848" w:rsidRPr="00C6052E">
              <w:t xml:space="preserve"> </w:t>
            </w:r>
            <w:r w:rsidRPr="00C6052E">
              <w:t>to</w:t>
            </w:r>
            <w:r w:rsidR="00177848" w:rsidRPr="00C6052E">
              <w:t xml:space="preserve"> </w:t>
            </w:r>
            <w:r w:rsidRPr="00C6052E">
              <w:t>30</w:t>
            </w:r>
            <w:r w:rsidR="00177848" w:rsidRPr="00C6052E">
              <w:t xml:space="preserve"> </w:t>
            </w:r>
            <w:r w:rsidRPr="00C6052E">
              <w:t>June</w:t>
            </w:r>
            <w:r w:rsidR="00177848" w:rsidRPr="00C6052E">
              <w:t xml:space="preserve"> </w:t>
            </w:r>
            <w:r w:rsidRPr="00C6052E">
              <w:t>2025</w:t>
            </w:r>
            <w:r w:rsidRPr="00C6052E">
              <w:br/>
            </w:r>
            <w:r w:rsidRPr="00C6052E">
              <w:rPr>
                <w:rStyle w:val="Italics"/>
              </w:rPr>
              <w:t>The</w:t>
            </w:r>
            <w:r w:rsidR="00177848" w:rsidRPr="00C6052E">
              <w:rPr>
                <w:rStyle w:val="Italics"/>
              </w:rPr>
              <w:t xml:space="preserve"> </w:t>
            </w:r>
            <w:r w:rsidRPr="00C6052E">
              <w:rPr>
                <w:rStyle w:val="Italics"/>
              </w:rPr>
              <w:t>Hon.</w:t>
            </w:r>
            <w:r w:rsidR="00177848" w:rsidRPr="00C6052E">
              <w:rPr>
                <w:rStyle w:val="Italics"/>
              </w:rPr>
              <w:t xml:space="preserve"> </w:t>
            </w:r>
            <w:r w:rsidRPr="00C6052E">
              <w:rPr>
                <w:rStyle w:val="Italics"/>
              </w:rPr>
              <w:t>Colin</w:t>
            </w:r>
            <w:r w:rsidR="00177848" w:rsidRPr="00C6052E">
              <w:rPr>
                <w:rStyle w:val="Italics"/>
              </w:rPr>
              <w:t xml:space="preserve"> </w:t>
            </w:r>
            <w:r w:rsidRPr="00C6052E">
              <w:rPr>
                <w:rStyle w:val="Italics"/>
              </w:rPr>
              <w:t>Brooks</w:t>
            </w:r>
          </w:p>
        </w:tc>
      </w:tr>
      <w:tr w:rsidR="00EE5BB8" w:rsidRPr="00C6052E" w14:paraId="58DAE4D3" w14:textId="77777777" w:rsidTr="00030B7E">
        <w:trPr>
          <w:cantSplit/>
        </w:trPr>
        <w:tc>
          <w:tcPr>
            <w:tcW w:w="5103" w:type="dxa"/>
          </w:tcPr>
          <w:p w14:paraId="605D1209" w14:textId="33029061" w:rsidR="00EE5BB8" w:rsidRPr="00C6052E" w:rsidRDefault="00EE5BB8" w:rsidP="0063097D">
            <w:r w:rsidRPr="00C6052E">
              <w:rPr>
                <w:rStyle w:val="Medium"/>
              </w:rPr>
              <w:lastRenderedPageBreak/>
              <w:t>Minister</w:t>
            </w:r>
            <w:r w:rsidR="00177848" w:rsidRPr="00C6052E">
              <w:rPr>
                <w:rStyle w:val="Medium"/>
              </w:rPr>
              <w:t xml:space="preserve"> </w:t>
            </w:r>
            <w:r w:rsidRPr="00C6052E">
              <w:rPr>
                <w:rStyle w:val="Medium"/>
              </w:rPr>
              <w:t>for</w:t>
            </w:r>
            <w:r w:rsidR="00177848" w:rsidRPr="00C6052E">
              <w:rPr>
                <w:rStyle w:val="Medium"/>
              </w:rPr>
              <w:t xml:space="preserve"> </w:t>
            </w:r>
            <w:r w:rsidRPr="00C6052E">
              <w:rPr>
                <w:rStyle w:val="Medium"/>
              </w:rPr>
              <w:t>Regional</w:t>
            </w:r>
            <w:r w:rsidR="00177848" w:rsidRPr="00C6052E">
              <w:rPr>
                <w:rStyle w:val="Medium"/>
              </w:rPr>
              <w:t xml:space="preserve"> </w:t>
            </w:r>
            <w:r w:rsidRPr="00C6052E">
              <w:rPr>
                <w:rStyle w:val="Medium"/>
              </w:rPr>
              <w:t>Development</w:t>
            </w:r>
            <w:r w:rsidRPr="00C6052E">
              <w:br/>
              <w:t>1</w:t>
            </w:r>
            <w:r w:rsidR="00177848" w:rsidRPr="00C6052E">
              <w:t xml:space="preserve"> </w:t>
            </w:r>
            <w:r w:rsidRPr="00C6052E">
              <w:t>July</w:t>
            </w:r>
            <w:r w:rsidR="00177848" w:rsidRPr="00C6052E">
              <w:t xml:space="preserve"> </w:t>
            </w:r>
            <w:r w:rsidRPr="00C6052E">
              <w:t>2024</w:t>
            </w:r>
            <w:r w:rsidR="00177848" w:rsidRPr="00C6052E">
              <w:t xml:space="preserve"> </w:t>
            </w:r>
            <w:r w:rsidRPr="00C6052E">
              <w:t>to</w:t>
            </w:r>
            <w:r w:rsidR="00177848" w:rsidRPr="00C6052E">
              <w:t xml:space="preserve"> </w:t>
            </w:r>
            <w:r w:rsidRPr="00C6052E">
              <w:t>18</w:t>
            </w:r>
            <w:r w:rsidR="00177848" w:rsidRPr="00C6052E">
              <w:t xml:space="preserve"> </w:t>
            </w:r>
            <w:r w:rsidRPr="00C6052E">
              <w:t>December</w:t>
            </w:r>
            <w:r w:rsidR="00177848" w:rsidRPr="00C6052E">
              <w:t xml:space="preserve"> </w:t>
            </w:r>
            <w:r w:rsidRPr="00C6052E">
              <w:t>2024</w:t>
            </w:r>
            <w:r w:rsidRPr="00C6052E">
              <w:br/>
            </w:r>
            <w:r w:rsidRPr="00C6052E">
              <w:rPr>
                <w:rStyle w:val="Medium"/>
              </w:rPr>
              <w:t>Minister</w:t>
            </w:r>
            <w:r w:rsidR="00177848" w:rsidRPr="00C6052E">
              <w:rPr>
                <w:rStyle w:val="Medium"/>
              </w:rPr>
              <w:t xml:space="preserve"> </w:t>
            </w:r>
            <w:r w:rsidRPr="00C6052E">
              <w:rPr>
                <w:rStyle w:val="Medium"/>
              </w:rPr>
              <w:t>for</w:t>
            </w:r>
            <w:r w:rsidR="00177848" w:rsidRPr="00C6052E">
              <w:rPr>
                <w:rStyle w:val="Medium"/>
              </w:rPr>
              <w:t xml:space="preserve"> </w:t>
            </w:r>
            <w:r w:rsidRPr="00C6052E">
              <w:rPr>
                <w:rStyle w:val="Medium"/>
              </w:rPr>
              <w:t>Skills</w:t>
            </w:r>
            <w:r w:rsidR="00177848" w:rsidRPr="00C6052E">
              <w:rPr>
                <w:rStyle w:val="Medium"/>
              </w:rPr>
              <w:t xml:space="preserve"> </w:t>
            </w:r>
            <w:r w:rsidRPr="00C6052E">
              <w:rPr>
                <w:rStyle w:val="Medium"/>
              </w:rPr>
              <w:t>and</w:t>
            </w:r>
            <w:r w:rsidR="00177848" w:rsidRPr="00C6052E">
              <w:rPr>
                <w:rStyle w:val="Medium"/>
              </w:rPr>
              <w:t xml:space="preserve"> </w:t>
            </w:r>
            <w:r w:rsidRPr="00C6052E">
              <w:rPr>
                <w:rStyle w:val="Medium"/>
              </w:rPr>
              <w:t>TAFE</w:t>
            </w:r>
            <w:r w:rsidRPr="00C6052E">
              <w:br/>
              <w:t>1</w:t>
            </w:r>
            <w:r w:rsidR="00177848" w:rsidRPr="00C6052E">
              <w:t xml:space="preserve"> </w:t>
            </w:r>
            <w:r w:rsidRPr="00C6052E">
              <w:t>July</w:t>
            </w:r>
            <w:r w:rsidR="00177848" w:rsidRPr="00C6052E">
              <w:t xml:space="preserve"> </w:t>
            </w:r>
            <w:r w:rsidRPr="00C6052E">
              <w:t>2024</w:t>
            </w:r>
            <w:r w:rsidR="00177848" w:rsidRPr="00C6052E">
              <w:t xml:space="preserve"> </w:t>
            </w:r>
            <w:r w:rsidRPr="00C6052E">
              <w:t>to</w:t>
            </w:r>
            <w:r w:rsidR="00177848" w:rsidRPr="00C6052E">
              <w:t xml:space="preserve"> </w:t>
            </w:r>
            <w:r w:rsidRPr="00C6052E">
              <w:t>30</w:t>
            </w:r>
            <w:r w:rsidR="00177848" w:rsidRPr="00C6052E">
              <w:t xml:space="preserve"> </w:t>
            </w:r>
            <w:r w:rsidRPr="00C6052E">
              <w:t>June</w:t>
            </w:r>
            <w:r w:rsidR="00177848" w:rsidRPr="00C6052E">
              <w:t xml:space="preserve"> </w:t>
            </w:r>
            <w:r w:rsidRPr="00C6052E">
              <w:t>2025</w:t>
            </w:r>
            <w:r w:rsidRPr="00C6052E">
              <w:br/>
            </w:r>
            <w:r w:rsidRPr="00C6052E">
              <w:rPr>
                <w:rStyle w:val="Italics"/>
              </w:rPr>
              <w:t>The</w:t>
            </w:r>
            <w:r w:rsidR="00177848" w:rsidRPr="00C6052E">
              <w:rPr>
                <w:rStyle w:val="Italics"/>
              </w:rPr>
              <w:t xml:space="preserve"> </w:t>
            </w:r>
            <w:r w:rsidRPr="00C6052E">
              <w:rPr>
                <w:rStyle w:val="Italics"/>
              </w:rPr>
              <w:t>Hon.</w:t>
            </w:r>
            <w:r w:rsidR="00177848" w:rsidRPr="00C6052E">
              <w:rPr>
                <w:rStyle w:val="Italics"/>
              </w:rPr>
              <w:t xml:space="preserve"> </w:t>
            </w:r>
            <w:r w:rsidRPr="00C6052E">
              <w:rPr>
                <w:rStyle w:val="Italics"/>
              </w:rPr>
              <w:t>Gayle</w:t>
            </w:r>
            <w:r w:rsidR="00177848" w:rsidRPr="00C6052E">
              <w:rPr>
                <w:rStyle w:val="Italics"/>
              </w:rPr>
              <w:t xml:space="preserve"> </w:t>
            </w:r>
            <w:r w:rsidRPr="00C6052E">
              <w:rPr>
                <w:rStyle w:val="Italics"/>
              </w:rPr>
              <w:t>Tierney</w:t>
            </w:r>
          </w:p>
        </w:tc>
        <w:tc>
          <w:tcPr>
            <w:tcW w:w="4678" w:type="dxa"/>
          </w:tcPr>
          <w:p w14:paraId="6D89C1C0" w14:textId="4FF45915" w:rsidR="00EE5BB8" w:rsidRPr="00C6052E" w:rsidRDefault="00EE5BB8" w:rsidP="0063097D">
            <w:r w:rsidRPr="00C6052E">
              <w:rPr>
                <w:rStyle w:val="Medium"/>
              </w:rPr>
              <w:t>Minister</w:t>
            </w:r>
            <w:r w:rsidR="00177848" w:rsidRPr="00C6052E">
              <w:rPr>
                <w:rStyle w:val="Medium"/>
              </w:rPr>
              <w:t xml:space="preserve"> </w:t>
            </w:r>
            <w:r w:rsidRPr="00C6052E">
              <w:rPr>
                <w:rStyle w:val="Medium"/>
              </w:rPr>
              <w:t>for</w:t>
            </w:r>
            <w:r w:rsidR="00177848" w:rsidRPr="00C6052E">
              <w:rPr>
                <w:rStyle w:val="Medium"/>
              </w:rPr>
              <w:t xml:space="preserve"> </w:t>
            </w:r>
            <w:r w:rsidRPr="00C6052E">
              <w:rPr>
                <w:rStyle w:val="Medium"/>
              </w:rPr>
              <w:t>Small</w:t>
            </w:r>
            <w:r w:rsidR="00177848" w:rsidRPr="00C6052E">
              <w:rPr>
                <w:rStyle w:val="Medium"/>
              </w:rPr>
              <w:t xml:space="preserve"> </w:t>
            </w:r>
            <w:r w:rsidRPr="00C6052E">
              <w:rPr>
                <w:rStyle w:val="Medium"/>
              </w:rPr>
              <w:t>Business</w:t>
            </w:r>
            <w:r w:rsidR="00177848" w:rsidRPr="00C6052E">
              <w:rPr>
                <w:rStyle w:val="Medium"/>
              </w:rPr>
              <w:t xml:space="preserve"> </w:t>
            </w:r>
            <w:r w:rsidRPr="00C6052E">
              <w:rPr>
                <w:rStyle w:val="Medium"/>
              </w:rPr>
              <w:br/>
              <w:t>Minister</w:t>
            </w:r>
            <w:r w:rsidR="00177848" w:rsidRPr="00C6052E">
              <w:rPr>
                <w:rStyle w:val="Medium"/>
              </w:rPr>
              <w:t xml:space="preserve"> </w:t>
            </w:r>
            <w:r w:rsidRPr="00C6052E">
              <w:rPr>
                <w:rStyle w:val="Medium"/>
              </w:rPr>
              <w:t>for</w:t>
            </w:r>
            <w:r w:rsidR="00177848" w:rsidRPr="00C6052E">
              <w:rPr>
                <w:rStyle w:val="Medium"/>
              </w:rPr>
              <w:t xml:space="preserve"> </w:t>
            </w:r>
            <w:r w:rsidRPr="00C6052E">
              <w:rPr>
                <w:rStyle w:val="Medium"/>
              </w:rPr>
              <w:t>Small</w:t>
            </w:r>
            <w:r w:rsidR="00177848" w:rsidRPr="00C6052E">
              <w:rPr>
                <w:rStyle w:val="Medium"/>
              </w:rPr>
              <w:t xml:space="preserve"> </w:t>
            </w:r>
            <w:r w:rsidRPr="00C6052E">
              <w:rPr>
                <w:rStyle w:val="Medium"/>
              </w:rPr>
              <w:t>Business</w:t>
            </w:r>
            <w:r w:rsidR="00177848" w:rsidRPr="00C6052E">
              <w:rPr>
                <w:rStyle w:val="Medium"/>
              </w:rPr>
              <w:t xml:space="preserve"> </w:t>
            </w:r>
            <w:r w:rsidRPr="00C6052E">
              <w:rPr>
                <w:rStyle w:val="Medium"/>
              </w:rPr>
              <w:t>and</w:t>
            </w:r>
            <w:r w:rsidR="00177848" w:rsidRPr="00C6052E">
              <w:rPr>
                <w:rStyle w:val="Medium"/>
              </w:rPr>
              <w:t xml:space="preserve"> </w:t>
            </w:r>
            <w:r w:rsidRPr="00C6052E">
              <w:rPr>
                <w:rStyle w:val="Medium"/>
              </w:rPr>
              <w:t>Employment</w:t>
            </w:r>
            <w:r w:rsidRPr="00C6052E">
              <w:br/>
              <w:t>19</w:t>
            </w:r>
            <w:r w:rsidR="00177848" w:rsidRPr="00C6052E">
              <w:t xml:space="preserve"> </w:t>
            </w:r>
            <w:r w:rsidRPr="00C6052E">
              <w:t>December</w:t>
            </w:r>
            <w:r w:rsidR="00177848" w:rsidRPr="00C6052E">
              <w:t xml:space="preserve"> </w:t>
            </w:r>
            <w:r w:rsidRPr="00C6052E">
              <w:t>2024</w:t>
            </w:r>
            <w:r w:rsidR="00177848" w:rsidRPr="00C6052E">
              <w:t xml:space="preserve"> </w:t>
            </w:r>
            <w:r w:rsidRPr="00C6052E">
              <w:t>to</w:t>
            </w:r>
            <w:r w:rsidR="00177848" w:rsidRPr="00C6052E">
              <w:t xml:space="preserve"> </w:t>
            </w:r>
            <w:r w:rsidRPr="00C6052E">
              <w:t>30</w:t>
            </w:r>
            <w:r w:rsidR="00177848" w:rsidRPr="00C6052E">
              <w:t xml:space="preserve"> </w:t>
            </w:r>
            <w:r w:rsidRPr="00C6052E">
              <w:t>June</w:t>
            </w:r>
            <w:r w:rsidR="00177848" w:rsidRPr="00C6052E">
              <w:t xml:space="preserve"> </w:t>
            </w:r>
            <w:r w:rsidRPr="00C6052E">
              <w:t>2025</w:t>
            </w:r>
            <w:r w:rsidRPr="00C6052E">
              <w:br/>
            </w:r>
            <w:r w:rsidRPr="00C6052E">
              <w:rPr>
                <w:rStyle w:val="Italics"/>
              </w:rPr>
              <w:t>The</w:t>
            </w:r>
            <w:r w:rsidR="00177848" w:rsidRPr="00C6052E">
              <w:rPr>
                <w:rStyle w:val="Italics"/>
              </w:rPr>
              <w:t xml:space="preserve"> </w:t>
            </w:r>
            <w:r w:rsidRPr="00C6052E">
              <w:rPr>
                <w:rStyle w:val="Italics"/>
              </w:rPr>
              <w:t>Hon.</w:t>
            </w:r>
            <w:r w:rsidR="00177848" w:rsidRPr="00C6052E">
              <w:rPr>
                <w:rStyle w:val="Italics"/>
              </w:rPr>
              <w:t xml:space="preserve"> </w:t>
            </w:r>
            <w:r w:rsidRPr="00C6052E">
              <w:rPr>
                <w:rStyle w:val="Italics"/>
              </w:rPr>
              <w:t>Natalie</w:t>
            </w:r>
            <w:r w:rsidR="00177848" w:rsidRPr="00C6052E">
              <w:rPr>
                <w:rStyle w:val="Italics"/>
              </w:rPr>
              <w:t xml:space="preserve"> </w:t>
            </w:r>
            <w:r w:rsidRPr="00C6052E">
              <w:rPr>
                <w:rStyle w:val="Italics"/>
              </w:rPr>
              <w:t>Suleyman</w:t>
            </w:r>
          </w:p>
        </w:tc>
      </w:tr>
    </w:tbl>
    <w:p w14:paraId="60895914" w14:textId="75D76C01" w:rsidR="00EE5BB8" w:rsidRPr="00C6052E" w:rsidRDefault="00EE5BB8" w:rsidP="00030B7E">
      <w:pPr>
        <w:pStyle w:val="TableHeading"/>
      </w:pPr>
      <w:r w:rsidRPr="00C6052E">
        <w:t>Accountable</w:t>
      </w:r>
      <w:r w:rsidR="00177848" w:rsidRPr="00C6052E">
        <w:t xml:space="preserve"> </w:t>
      </w:r>
      <w:r w:rsidRPr="00C6052E">
        <w:t>Officer’s</w:t>
      </w:r>
      <w:r w:rsidR="00177848" w:rsidRPr="00C6052E">
        <w:t xml:space="preserve"> </w:t>
      </w:r>
      <w:r w:rsidRPr="00C6052E">
        <w:t>remuneration</w:t>
      </w:r>
    </w:p>
    <w:tbl>
      <w:tblPr>
        <w:tblStyle w:val="TableGrid"/>
        <w:tblW w:w="9622" w:type="dxa"/>
        <w:tblLayout w:type="fixed"/>
        <w:tblLook w:val="04E0" w:firstRow="1" w:lastRow="1" w:firstColumn="1" w:lastColumn="0" w:noHBand="0" w:noVBand="1"/>
      </w:tblPr>
      <w:tblGrid>
        <w:gridCol w:w="4105"/>
        <w:gridCol w:w="2388"/>
        <w:gridCol w:w="1564"/>
        <w:gridCol w:w="1565"/>
      </w:tblGrid>
      <w:tr w:rsidR="00EE5BB8" w:rsidRPr="00C6052E" w14:paraId="0F6435F0" w14:textId="77777777" w:rsidTr="00030B7E">
        <w:tc>
          <w:tcPr>
            <w:tcW w:w="4105" w:type="dxa"/>
            <w:noWrap/>
            <w:hideMark/>
          </w:tcPr>
          <w:p w14:paraId="102B39B9" w14:textId="77777777" w:rsidR="00EE5BB8" w:rsidRPr="00C6052E" w:rsidRDefault="00EE5BB8" w:rsidP="000F5B20">
            <w:pPr>
              <w:pStyle w:val="TableColumnHeading"/>
            </w:pPr>
            <w:bookmarkStart w:id="375" w:name="TableColumnHeadings_111"/>
            <w:bookmarkEnd w:id="375"/>
            <w:r w:rsidRPr="00C6052E">
              <w:t>Range</w:t>
            </w:r>
          </w:p>
        </w:tc>
        <w:tc>
          <w:tcPr>
            <w:tcW w:w="2388" w:type="dxa"/>
            <w:noWrap/>
            <w:hideMark/>
          </w:tcPr>
          <w:p w14:paraId="65521F6F" w14:textId="0EF15243" w:rsidR="00EE5BB8" w:rsidRPr="00C6052E" w:rsidRDefault="00EE5BB8" w:rsidP="00B1545C">
            <w:pPr>
              <w:pStyle w:val="TableColumnHeading"/>
              <w:rPr>
                <w:lang w:val="en-AU"/>
              </w:rPr>
            </w:pPr>
            <w:r w:rsidRPr="00C6052E">
              <w:rPr>
                <w:lang w:val="en-AU"/>
              </w:rPr>
              <w:t>Accountable</w:t>
            </w:r>
            <w:r w:rsidR="00B1545C" w:rsidRPr="00C6052E">
              <w:rPr>
                <w:lang w:val="en-AU"/>
              </w:rPr>
              <w:t xml:space="preserve"> </w:t>
            </w:r>
            <w:r w:rsidRPr="00C6052E">
              <w:rPr>
                <w:lang w:val="en-AU"/>
              </w:rPr>
              <w:t>Officer</w:t>
            </w:r>
          </w:p>
        </w:tc>
        <w:tc>
          <w:tcPr>
            <w:tcW w:w="1564" w:type="dxa"/>
            <w:noWrap/>
          </w:tcPr>
          <w:p w14:paraId="1A8CCC21" w14:textId="77777777" w:rsidR="00EE5BB8" w:rsidRPr="00C6052E" w:rsidRDefault="00EE5BB8" w:rsidP="00030B7E">
            <w:pPr>
              <w:pStyle w:val="TableColumnHeading"/>
              <w:jc w:val="right"/>
            </w:pPr>
            <w:r w:rsidRPr="00C6052E">
              <w:t>2025</w:t>
            </w:r>
          </w:p>
        </w:tc>
        <w:tc>
          <w:tcPr>
            <w:tcW w:w="1565" w:type="dxa"/>
            <w:noWrap/>
          </w:tcPr>
          <w:p w14:paraId="267FC98F" w14:textId="77777777" w:rsidR="00EE5BB8" w:rsidRPr="00C6052E" w:rsidRDefault="00EE5BB8" w:rsidP="00030B7E">
            <w:pPr>
              <w:pStyle w:val="TableColumnHeading"/>
              <w:jc w:val="right"/>
            </w:pPr>
            <w:r w:rsidRPr="00C6052E">
              <w:t>2024</w:t>
            </w:r>
          </w:p>
        </w:tc>
      </w:tr>
      <w:tr w:rsidR="00EE5BB8" w:rsidRPr="00C6052E" w14:paraId="7F11AD8B" w14:textId="77777777" w:rsidTr="00030B7E">
        <w:tc>
          <w:tcPr>
            <w:tcW w:w="4105" w:type="dxa"/>
            <w:hideMark/>
          </w:tcPr>
          <w:p w14:paraId="1275FA81" w14:textId="49939401" w:rsidR="00EE5BB8" w:rsidRPr="00C6052E" w:rsidRDefault="00EE5BB8" w:rsidP="0063097D">
            <w:pPr>
              <w:pStyle w:val="TableCopy"/>
            </w:pPr>
            <w:r w:rsidRPr="00C6052E">
              <w:t>$220,000</w:t>
            </w:r>
            <w:r w:rsidR="00177848" w:rsidRPr="00C6052E">
              <w:t xml:space="preserve"> </w:t>
            </w:r>
            <w:r w:rsidRPr="00C6052E">
              <w:t>–</w:t>
            </w:r>
            <w:r w:rsidR="00177848" w:rsidRPr="00C6052E">
              <w:t xml:space="preserve"> </w:t>
            </w:r>
            <w:r w:rsidRPr="00C6052E">
              <w:t>$229,999</w:t>
            </w:r>
          </w:p>
        </w:tc>
        <w:tc>
          <w:tcPr>
            <w:tcW w:w="2388" w:type="dxa"/>
            <w:hideMark/>
          </w:tcPr>
          <w:p w14:paraId="5317D0D3" w14:textId="7CA4EF03" w:rsidR="00EE5BB8" w:rsidRPr="00C6052E" w:rsidRDefault="00EE5BB8" w:rsidP="0063097D">
            <w:pPr>
              <w:pStyle w:val="TableCopy"/>
            </w:pPr>
            <w:r w:rsidRPr="00C6052E">
              <w:t>Mr</w:t>
            </w:r>
            <w:r w:rsidR="00177848" w:rsidRPr="00C6052E">
              <w:t xml:space="preserve"> </w:t>
            </w:r>
            <w:r w:rsidRPr="00C6052E">
              <w:t>Matt</w:t>
            </w:r>
            <w:r w:rsidR="00177848" w:rsidRPr="00C6052E">
              <w:t xml:space="preserve"> </w:t>
            </w:r>
            <w:r w:rsidRPr="00C6052E">
              <w:t>Carrick</w:t>
            </w:r>
          </w:p>
        </w:tc>
        <w:tc>
          <w:tcPr>
            <w:tcW w:w="1564" w:type="dxa"/>
            <w:noWrap/>
            <w:hideMark/>
          </w:tcPr>
          <w:p w14:paraId="53B2FDB3" w14:textId="77777777" w:rsidR="00EE5BB8" w:rsidRPr="00C6052E" w:rsidRDefault="00EE5BB8" w:rsidP="00030B7E">
            <w:pPr>
              <w:pStyle w:val="TableCopy"/>
              <w:jc w:val="right"/>
            </w:pPr>
            <w:r w:rsidRPr="00C6052E">
              <w:t>0.3</w:t>
            </w:r>
          </w:p>
        </w:tc>
        <w:tc>
          <w:tcPr>
            <w:tcW w:w="1565" w:type="dxa"/>
            <w:noWrap/>
            <w:hideMark/>
          </w:tcPr>
          <w:p w14:paraId="14BBAE12" w14:textId="77777777" w:rsidR="00EE5BB8" w:rsidRPr="00C6052E" w:rsidRDefault="00EE5BB8" w:rsidP="00030B7E">
            <w:pPr>
              <w:pStyle w:val="TableCopy"/>
              <w:jc w:val="right"/>
            </w:pPr>
            <w:r w:rsidRPr="00C6052E">
              <w:t>–</w:t>
            </w:r>
          </w:p>
        </w:tc>
      </w:tr>
      <w:tr w:rsidR="00EE5BB8" w:rsidRPr="00C6052E" w14:paraId="2B6D7CD1" w14:textId="77777777" w:rsidTr="00030B7E">
        <w:tc>
          <w:tcPr>
            <w:tcW w:w="4105" w:type="dxa"/>
            <w:hideMark/>
          </w:tcPr>
          <w:p w14:paraId="643BB8DC" w14:textId="75E4DF59" w:rsidR="00EE5BB8" w:rsidRPr="00C6052E" w:rsidRDefault="00EE5BB8" w:rsidP="0063097D">
            <w:pPr>
              <w:pStyle w:val="TableCopy"/>
            </w:pPr>
            <w:r w:rsidRPr="00C6052E">
              <w:t>$420,000</w:t>
            </w:r>
            <w:r w:rsidR="00177848" w:rsidRPr="00C6052E">
              <w:t xml:space="preserve"> </w:t>
            </w:r>
            <w:r w:rsidRPr="00C6052E">
              <w:t>–</w:t>
            </w:r>
            <w:r w:rsidR="00177848" w:rsidRPr="00C6052E">
              <w:t xml:space="preserve"> </w:t>
            </w:r>
            <w:r w:rsidRPr="00C6052E">
              <w:t>$429,999</w:t>
            </w:r>
          </w:p>
        </w:tc>
        <w:tc>
          <w:tcPr>
            <w:tcW w:w="2388" w:type="dxa"/>
            <w:hideMark/>
          </w:tcPr>
          <w:p w14:paraId="622FCA6E" w14:textId="0E320BB9" w:rsidR="00EE5BB8" w:rsidRPr="00C6052E" w:rsidRDefault="00EE5BB8" w:rsidP="0063097D">
            <w:pPr>
              <w:pStyle w:val="TableCopy"/>
            </w:pPr>
            <w:r w:rsidRPr="00C6052E">
              <w:t>Mr</w:t>
            </w:r>
            <w:r w:rsidR="00177848" w:rsidRPr="00C6052E">
              <w:t xml:space="preserve"> </w:t>
            </w:r>
            <w:r w:rsidRPr="00C6052E">
              <w:t>Tim</w:t>
            </w:r>
            <w:r w:rsidR="00177848" w:rsidRPr="00C6052E">
              <w:t xml:space="preserve"> </w:t>
            </w:r>
            <w:r w:rsidRPr="00C6052E">
              <w:t>Ada</w:t>
            </w:r>
          </w:p>
        </w:tc>
        <w:tc>
          <w:tcPr>
            <w:tcW w:w="1564" w:type="dxa"/>
            <w:noWrap/>
            <w:hideMark/>
          </w:tcPr>
          <w:p w14:paraId="5E75B720" w14:textId="77777777" w:rsidR="00EE5BB8" w:rsidRPr="00C6052E" w:rsidRDefault="00EE5BB8" w:rsidP="00030B7E">
            <w:pPr>
              <w:pStyle w:val="TableCopy"/>
              <w:jc w:val="right"/>
            </w:pPr>
            <w:r w:rsidRPr="00C6052E">
              <w:t>0.7</w:t>
            </w:r>
          </w:p>
        </w:tc>
        <w:tc>
          <w:tcPr>
            <w:tcW w:w="1565" w:type="dxa"/>
            <w:noWrap/>
            <w:hideMark/>
          </w:tcPr>
          <w:p w14:paraId="64FF264E" w14:textId="77777777" w:rsidR="00EE5BB8" w:rsidRPr="00C6052E" w:rsidRDefault="00EE5BB8" w:rsidP="00030B7E">
            <w:pPr>
              <w:pStyle w:val="TableCopy"/>
              <w:jc w:val="right"/>
            </w:pPr>
            <w:r w:rsidRPr="00C6052E">
              <w:t>–</w:t>
            </w:r>
          </w:p>
        </w:tc>
      </w:tr>
      <w:tr w:rsidR="00EE5BB8" w:rsidRPr="00C6052E" w14:paraId="05464FCA" w14:textId="77777777" w:rsidTr="00030B7E">
        <w:tc>
          <w:tcPr>
            <w:tcW w:w="4105" w:type="dxa"/>
            <w:hideMark/>
          </w:tcPr>
          <w:p w14:paraId="225A28C8" w14:textId="65F7D62F" w:rsidR="00EE5BB8" w:rsidRPr="00C6052E" w:rsidRDefault="00EE5BB8" w:rsidP="0063097D">
            <w:pPr>
              <w:pStyle w:val="TableCopy"/>
            </w:pPr>
            <w:r w:rsidRPr="00C6052E">
              <w:t>$630,000</w:t>
            </w:r>
            <w:r w:rsidR="00177848" w:rsidRPr="00C6052E">
              <w:t xml:space="preserve"> </w:t>
            </w:r>
            <w:r w:rsidRPr="00C6052E">
              <w:t>–</w:t>
            </w:r>
            <w:r w:rsidR="00177848" w:rsidRPr="00C6052E">
              <w:t xml:space="preserve"> </w:t>
            </w:r>
            <w:r w:rsidRPr="00C6052E">
              <w:t>$639,999</w:t>
            </w:r>
          </w:p>
        </w:tc>
        <w:tc>
          <w:tcPr>
            <w:tcW w:w="2388" w:type="dxa"/>
            <w:hideMark/>
          </w:tcPr>
          <w:p w14:paraId="77DB45BD" w14:textId="1E04FF56" w:rsidR="00EE5BB8" w:rsidRPr="00C6052E" w:rsidRDefault="00EE5BB8" w:rsidP="0063097D">
            <w:pPr>
              <w:pStyle w:val="TableCopy"/>
            </w:pPr>
            <w:r w:rsidRPr="00C6052E">
              <w:t>Mr</w:t>
            </w:r>
            <w:r w:rsidR="00177848" w:rsidRPr="00C6052E">
              <w:t xml:space="preserve"> </w:t>
            </w:r>
            <w:r w:rsidRPr="00C6052E">
              <w:t>Tim</w:t>
            </w:r>
            <w:r w:rsidR="00177848" w:rsidRPr="00C6052E">
              <w:t xml:space="preserve"> </w:t>
            </w:r>
            <w:r w:rsidRPr="00C6052E">
              <w:t>Ada</w:t>
            </w:r>
          </w:p>
        </w:tc>
        <w:tc>
          <w:tcPr>
            <w:tcW w:w="1564" w:type="dxa"/>
            <w:noWrap/>
            <w:hideMark/>
          </w:tcPr>
          <w:p w14:paraId="320F4FA2" w14:textId="77777777" w:rsidR="00EE5BB8" w:rsidRPr="00C6052E" w:rsidRDefault="00EE5BB8" w:rsidP="00030B7E">
            <w:pPr>
              <w:pStyle w:val="TableCopy"/>
              <w:jc w:val="right"/>
            </w:pPr>
            <w:r w:rsidRPr="00C6052E">
              <w:t>–</w:t>
            </w:r>
          </w:p>
        </w:tc>
        <w:tc>
          <w:tcPr>
            <w:tcW w:w="1565" w:type="dxa"/>
            <w:noWrap/>
            <w:hideMark/>
          </w:tcPr>
          <w:p w14:paraId="106EC9F4" w14:textId="77777777" w:rsidR="00EE5BB8" w:rsidRPr="00C6052E" w:rsidRDefault="00EE5BB8" w:rsidP="00030B7E">
            <w:pPr>
              <w:pStyle w:val="TableCopy"/>
              <w:jc w:val="right"/>
            </w:pPr>
            <w:r w:rsidRPr="00C6052E">
              <w:t>1</w:t>
            </w:r>
          </w:p>
        </w:tc>
      </w:tr>
      <w:tr w:rsidR="00EE5BB8" w:rsidRPr="00C6052E" w14:paraId="359DC43C" w14:textId="77777777" w:rsidTr="00030B7E">
        <w:tc>
          <w:tcPr>
            <w:tcW w:w="4105" w:type="dxa"/>
            <w:hideMark/>
          </w:tcPr>
          <w:p w14:paraId="756FAA0F" w14:textId="42406104" w:rsidR="00EE5BB8" w:rsidRPr="00C6052E" w:rsidRDefault="00EE5BB8" w:rsidP="0063097D">
            <w:pPr>
              <w:pStyle w:val="Tabletotal"/>
            </w:pPr>
            <w:r w:rsidRPr="00C6052E">
              <w:t>Total</w:t>
            </w:r>
            <w:r w:rsidR="00177848" w:rsidRPr="00C6052E">
              <w:t xml:space="preserve"> </w:t>
            </w:r>
            <w:r w:rsidRPr="00C6052E">
              <w:t>remuneration</w:t>
            </w:r>
          </w:p>
        </w:tc>
        <w:tc>
          <w:tcPr>
            <w:tcW w:w="2388" w:type="dxa"/>
            <w:noWrap/>
          </w:tcPr>
          <w:p w14:paraId="57DBEBB2" w14:textId="77777777" w:rsidR="00EE5BB8" w:rsidRPr="00C6052E" w:rsidRDefault="00EE5BB8" w:rsidP="0063097D">
            <w:pPr>
              <w:pStyle w:val="Tabletotal"/>
            </w:pPr>
          </w:p>
        </w:tc>
        <w:tc>
          <w:tcPr>
            <w:tcW w:w="1564" w:type="dxa"/>
            <w:noWrap/>
            <w:hideMark/>
          </w:tcPr>
          <w:p w14:paraId="2AEDFB62" w14:textId="77777777" w:rsidR="00EE5BB8" w:rsidRPr="00C6052E" w:rsidRDefault="00EE5BB8" w:rsidP="00030B7E">
            <w:pPr>
              <w:pStyle w:val="Tabletotal"/>
              <w:jc w:val="right"/>
            </w:pPr>
            <w:r w:rsidRPr="00C6052E">
              <w:t>657,210</w:t>
            </w:r>
          </w:p>
        </w:tc>
        <w:tc>
          <w:tcPr>
            <w:tcW w:w="1565" w:type="dxa"/>
            <w:noWrap/>
            <w:hideMark/>
          </w:tcPr>
          <w:p w14:paraId="06D1B1C7" w14:textId="77777777" w:rsidR="00EE5BB8" w:rsidRPr="00C6052E" w:rsidRDefault="00EE5BB8" w:rsidP="00030B7E">
            <w:pPr>
              <w:pStyle w:val="Tabletotal"/>
              <w:jc w:val="right"/>
            </w:pPr>
            <w:r w:rsidRPr="00C6052E">
              <w:t>631,309</w:t>
            </w:r>
          </w:p>
        </w:tc>
      </w:tr>
      <w:tr w:rsidR="00EE5BB8" w:rsidRPr="00C6052E" w14:paraId="5262B99E" w14:textId="77777777" w:rsidTr="00030B7E">
        <w:tc>
          <w:tcPr>
            <w:tcW w:w="4105" w:type="dxa"/>
            <w:hideMark/>
          </w:tcPr>
          <w:p w14:paraId="007DFA55" w14:textId="0A4B840A" w:rsidR="00EE5BB8" w:rsidRPr="00C6052E" w:rsidRDefault="00EE5BB8" w:rsidP="0063097D">
            <w:pPr>
              <w:pStyle w:val="Tabletotal"/>
            </w:pPr>
            <w:r w:rsidRPr="00C6052E">
              <w:t>Total</w:t>
            </w:r>
            <w:r w:rsidR="00177848" w:rsidRPr="00C6052E">
              <w:t xml:space="preserve"> </w:t>
            </w:r>
            <w:r w:rsidRPr="00C6052E">
              <w:t>annualised</w:t>
            </w:r>
            <w:r w:rsidR="00177848" w:rsidRPr="00C6052E">
              <w:t xml:space="preserve"> </w:t>
            </w:r>
            <w:r w:rsidRPr="00C6052E">
              <w:t>employee</w:t>
            </w:r>
            <w:r w:rsidR="00177848" w:rsidRPr="00C6052E">
              <w:t xml:space="preserve"> </w:t>
            </w:r>
            <w:r w:rsidRPr="00C6052E">
              <w:t>equivalents</w:t>
            </w:r>
          </w:p>
        </w:tc>
        <w:tc>
          <w:tcPr>
            <w:tcW w:w="2388" w:type="dxa"/>
            <w:noWrap/>
          </w:tcPr>
          <w:p w14:paraId="7BF93BC2" w14:textId="77777777" w:rsidR="00EE5BB8" w:rsidRPr="00C6052E" w:rsidRDefault="00EE5BB8" w:rsidP="0063097D">
            <w:pPr>
              <w:pStyle w:val="Tabletotal"/>
            </w:pPr>
          </w:p>
        </w:tc>
        <w:tc>
          <w:tcPr>
            <w:tcW w:w="1564" w:type="dxa"/>
            <w:noWrap/>
            <w:hideMark/>
          </w:tcPr>
          <w:p w14:paraId="23767A1D" w14:textId="77777777" w:rsidR="00EE5BB8" w:rsidRPr="00C6052E" w:rsidRDefault="00EE5BB8" w:rsidP="00030B7E">
            <w:pPr>
              <w:pStyle w:val="Tabletotal"/>
              <w:jc w:val="right"/>
            </w:pPr>
            <w:r w:rsidRPr="00C6052E">
              <w:t>1</w:t>
            </w:r>
          </w:p>
        </w:tc>
        <w:tc>
          <w:tcPr>
            <w:tcW w:w="1565" w:type="dxa"/>
            <w:noWrap/>
            <w:hideMark/>
          </w:tcPr>
          <w:p w14:paraId="13377A7D" w14:textId="77777777" w:rsidR="00EE5BB8" w:rsidRPr="00C6052E" w:rsidRDefault="00EE5BB8" w:rsidP="00030B7E">
            <w:pPr>
              <w:pStyle w:val="Tabletotal"/>
              <w:jc w:val="right"/>
            </w:pPr>
            <w:r w:rsidRPr="00C6052E">
              <w:t>1</w:t>
            </w:r>
          </w:p>
        </w:tc>
      </w:tr>
    </w:tbl>
    <w:p w14:paraId="3077C2AF" w14:textId="77777777" w:rsidR="00EE5BB8" w:rsidRPr="00C6052E" w:rsidRDefault="00EE5BB8" w:rsidP="00030B7E"/>
    <w:p w14:paraId="7D7476B5" w14:textId="0C2CD2F2" w:rsidR="00EE5BB8" w:rsidRPr="00C6052E" w:rsidRDefault="00EE5BB8" w:rsidP="00EE5BB8">
      <w:r w:rsidRPr="00C6052E">
        <w:t>The</w:t>
      </w:r>
      <w:r w:rsidR="00177848" w:rsidRPr="00C6052E">
        <w:t xml:space="preserve"> </w:t>
      </w:r>
      <w:r w:rsidRPr="00C6052E">
        <w:t>Ministers’</w:t>
      </w:r>
      <w:r w:rsidR="00177848" w:rsidRPr="00C6052E">
        <w:t xml:space="preserve"> </w:t>
      </w:r>
      <w:r w:rsidRPr="00C6052E">
        <w:t>remuneration</w:t>
      </w:r>
      <w:r w:rsidR="00177848" w:rsidRPr="00C6052E">
        <w:t xml:space="preserve"> </w:t>
      </w:r>
      <w:r w:rsidRPr="00C6052E">
        <w:t>and</w:t>
      </w:r>
      <w:r w:rsidR="00177848" w:rsidRPr="00C6052E">
        <w:t xml:space="preserve"> </w:t>
      </w:r>
      <w:r w:rsidRPr="00C6052E">
        <w:t>allowances</w:t>
      </w:r>
      <w:r w:rsidR="00177848" w:rsidRPr="00C6052E">
        <w:t xml:space="preserve"> </w:t>
      </w:r>
      <w:r w:rsidRPr="00C6052E">
        <w:t>are</w:t>
      </w:r>
      <w:r w:rsidR="00177848" w:rsidRPr="00C6052E">
        <w:t xml:space="preserve"> </w:t>
      </w:r>
      <w:r w:rsidRPr="00C6052E">
        <w:t>set</w:t>
      </w:r>
      <w:r w:rsidR="00177848" w:rsidRPr="00C6052E">
        <w:t xml:space="preserve"> </w:t>
      </w:r>
      <w:r w:rsidRPr="00C6052E">
        <w:t>by</w:t>
      </w:r>
      <w:r w:rsidR="00177848" w:rsidRPr="00C6052E">
        <w:t xml:space="preserve"> </w:t>
      </w:r>
      <w:r w:rsidRPr="00C6052E">
        <w:t>the</w:t>
      </w:r>
      <w:r w:rsidR="00177848" w:rsidRPr="00C6052E">
        <w:t xml:space="preserve"> </w:t>
      </w:r>
      <w:r w:rsidRPr="00C6052E">
        <w:rPr>
          <w:rStyle w:val="Italics"/>
        </w:rPr>
        <w:t>Parliamentary</w:t>
      </w:r>
      <w:r w:rsidR="00177848" w:rsidRPr="00C6052E">
        <w:rPr>
          <w:rStyle w:val="Italics"/>
        </w:rPr>
        <w:t xml:space="preserve"> </w:t>
      </w:r>
      <w:r w:rsidRPr="00C6052E">
        <w:rPr>
          <w:rStyle w:val="Italics"/>
        </w:rPr>
        <w:t>Salaries</w:t>
      </w:r>
      <w:r w:rsidR="00177848" w:rsidRPr="00C6052E">
        <w:rPr>
          <w:rStyle w:val="Italics"/>
        </w:rPr>
        <w:t xml:space="preserve"> </w:t>
      </w:r>
      <w:r w:rsidRPr="00C6052E">
        <w:rPr>
          <w:rStyle w:val="Italics"/>
        </w:rPr>
        <w:t>and</w:t>
      </w:r>
      <w:r w:rsidR="00177848" w:rsidRPr="00C6052E">
        <w:rPr>
          <w:rStyle w:val="Italics"/>
        </w:rPr>
        <w:t xml:space="preserve"> </w:t>
      </w:r>
      <w:r w:rsidRPr="00C6052E">
        <w:rPr>
          <w:rStyle w:val="Italics"/>
        </w:rPr>
        <w:t>Superannuation</w:t>
      </w:r>
      <w:r w:rsidR="00177848" w:rsidRPr="00C6052E">
        <w:rPr>
          <w:rStyle w:val="Italics"/>
        </w:rPr>
        <w:t xml:space="preserve"> </w:t>
      </w:r>
      <w:r w:rsidRPr="00C6052E">
        <w:rPr>
          <w:rStyle w:val="Italics"/>
        </w:rPr>
        <w:t>Act</w:t>
      </w:r>
      <w:r w:rsidR="00177848" w:rsidRPr="00C6052E">
        <w:rPr>
          <w:rStyle w:val="Italics"/>
        </w:rPr>
        <w:t xml:space="preserve"> </w:t>
      </w:r>
      <w:r w:rsidRPr="00C6052E">
        <w:rPr>
          <w:rStyle w:val="Italics"/>
        </w:rPr>
        <w:t>1968</w:t>
      </w:r>
      <w:r w:rsidR="00177848" w:rsidRPr="00C6052E">
        <w:t xml:space="preserve"> </w:t>
      </w:r>
      <w:r w:rsidRPr="00C6052E">
        <w:t>and</w:t>
      </w:r>
      <w:r w:rsidR="00177848" w:rsidRPr="00C6052E">
        <w:t xml:space="preserve"> </w:t>
      </w:r>
      <w:r w:rsidRPr="00C6052E">
        <w:t>are</w:t>
      </w:r>
      <w:r w:rsidR="00177848" w:rsidRPr="00C6052E">
        <w:t xml:space="preserve"> </w:t>
      </w:r>
      <w:r w:rsidRPr="00C6052E">
        <w:t>reported</w:t>
      </w:r>
      <w:r w:rsidR="00177848" w:rsidRPr="00C6052E">
        <w:t xml:space="preserve"> </w:t>
      </w:r>
      <w:r w:rsidRPr="00C6052E">
        <w:t>within</w:t>
      </w:r>
      <w:r w:rsidR="00177848" w:rsidRPr="00C6052E">
        <w:t xml:space="preserve"> </w:t>
      </w:r>
      <w:r w:rsidRPr="00C6052E">
        <w:t>the</w:t>
      </w:r>
      <w:r w:rsidR="00177848" w:rsidRPr="00C6052E">
        <w:t xml:space="preserve"> </w:t>
      </w:r>
      <w:r w:rsidRPr="00C6052E">
        <w:t>State’s</w:t>
      </w:r>
      <w:r w:rsidR="00177848" w:rsidRPr="00C6052E">
        <w:t xml:space="preserve"> </w:t>
      </w:r>
      <w:r w:rsidRPr="00C6052E">
        <w:t>Annual</w:t>
      </w:r>
      <w:r w:rsidR="00177848" w:rsidRPr="00C6052E">
        <w:t xml:space="preserve"> </w:t>
      </w:r>
      <w:r w:rsidRPr="00C6052E">
        <w:t>Financial</w:t>
      </w:r>
      <w:r w:rsidR="00177848" w:rsidRPr="00C6052E">
        <w:t xml:space="preserve"> </w:t>
      </w:r>
      <w:r w:rsidRPr="00C6052E">
        <w:t>Report.</w:t>
      </w:r>
    </w:p>
    <w:p w14:paraId="717D824D" w14:textId="4CB0E319" w:rsidR="00EE5BB8" w:rsidRPr="00C6052E" w:rsidRDefault="00EE5BB8" w:rsidP="00C6052E">
      <w:pPr>
        <w:pStyle w:val="Heading2numbered0"/>
      </w:pPr>
      <w:bookmarkStart w:id="376" w:name="_Toc163565999"/>
      <w:bookmarkStart w:id="377" w:name="_Ref190163649"/>
      <w:bookmarkStart w:id="378" w:name="_Ref190163655"/>
      <w:bookmarkStart w:id="379" w:name="_Ref209622353"/>
      <w:r w:rsidRPr="00C6052E">
        <w:t>Remuneration</w:t>
      </w:r>
      <w:r w:rsidR="00177848" w:rsidRPr="00C6052E">
        <w:t xml:space="preserve"> </w:t>
      </w:r>
      <w:r w:rsidRPr="00C6052E">
        <w:t>of</w:t>
      </w:r>
      <w:r w:rsidR="00177848" w:rsidRPr="00C6052E">
        <w:t xml:space="preserve"> </w:t>
      </w:r>
      <w:r w:rsidRPr="00C6052E">
        <w:t>executives</w:t>
      </w:r>
      <w:bookmarkEnd w:id="376"/>
      <w:bookmarkEnd w:id="377"/>
      <w:bookmarkEnd w:id="378"/>
      <w:bookmarkEnd w:id="379"/>
      <w:r w:rsidR="00177848" w:rsidRPr="00C6052E">
        <w:t xml:space="preserve"> </w:t>
      </w:r>
    </w:p>
    <w:p w14:paraId="76FCC12D" w14:textId="67313C54" w:rsidR="00EE5BB8" w:rsidRPr="00C6052E" w:rsidRDefault="00EE5BB8" w:rsidP="00EE5BB8">
      <w:r w:rsidRPr="00C6052E">
        <w:t>The</w:t>
      </w:r>
      <w:r w:rsidR="00177848" w:rsidRPr="00C6052E">
        <w:t xml:space="preserve"> </w:t>
      </w:r>
      <w:r w:rsidRPr="00C6052E">
        <w:t>number</w:t>
      </w:r>
      <w:r w:rsidR="00177848" w:rsidRPr="00C6052E">
        <w:t xml:space="preserve"> </w:t>
      </w:r>
      <w:r w:rsidRPr="00C6052E">
        <w:t>of</w:t>
      </w:r>
      <w:r w:rsidR="00177848" w:rsidRPr="00C6052E">
        <w:t xml:space="preserve"> </w:t>
      </w:r>
      <w:r w:rsidRPr="00C6052E">
        <w:t>executive</w:t>
      </w:r>
      <w:r w:rsidR="00177848" w:rsidRPr="00C6052E">
        <w:t xml:space="preserve"> </w:t>
      </w:r>
      <w:r w:rsidRPr="00C6052E">
        <w:t>officers,</w:t>
      </w:r>
      <w:r w:rsidR="00177848" w:rsidRPr="00C6052E">
        <w:t xml:space="preserve"> </w:t>
      </w:r>
      <w:r w:rsidRPr="00C6052E">
        <w:t>other</w:t>
      </w:r>
      <w:r w:rsidR="00177848" w:rsidRPr="00C6052E">
        <w:t xml:space="preserve"> </w:t>
      </w:r>
      <w:r w:rsidRPr="00C6052E">
        <w:t>than</w:t>
      </w:r>
      <w:r w:rsidR="00177848" w:rsidRPr="00C6052E">
        <w:t xml:space="preserve"> </w:t>
      </w:r>
      <w:r w:rsidRPr="00C6052E">
        <w:t>Ministers</w:t>
      </w:r>
      <w:r w:rsidR="00177848" w:rsidRPr="00C6052E">
        <w:t xml:space="preserve"> </w:t>
      </w:r>
      <w:r w:rsidRPr="00C6052E">
        <w:t>and</w:t>
      </w:r>
      <w:r w:rsidR="00177848" w:rsidRPr="00C6052E">
        <w:t xml:space="preserve"> </w:t>
      </w:r>
      <w:r w:rsidRPr="00C6052E">
        <w:t>accountable</w:t>
      </w:r>
      <w:r w:rsidR="00177848" w:rsidRPr="00C6052E">
        <w:t xml:space="preserve"> </w:t>
      </w:r>
      <w:r w:rsidRPr="00C6052E">
        <w:t>officers,</w:t>
      </w:r>
      <w:r w:rsidR="00177848" w:rsidRPr="00C6052E">
        <w:t xml:space="preserve"> </w:t>
      </w:r>
      <w:r w:rsidRPr="00C6052E">
        <w:t>and</w:t>
      </w:r>
      <w:r w:rsidR="00177848" w:rsidRPr="00C6052E">
        <w:t xml:space="preserve"> </w:t>
      </w:r>
      <w:r w:rsidRPr="00C6052E">
        <w:t>their</w:t>
      </w:r>
      <w:r w:rsidR="00177848" w:rsidRPr="00C6052E">
        <w:t xml:space="preserve"> </w:t>
      </w:r>
      <w:r w:rsidRPr="00C6052E">
        <w:t>total</w:t>
      </w:r>
      <w:r w:rsidR="00177848" w:rsidRPr="00C6052E">
        <w:t xml:space="preserve"> </w:t>
      </w:r>
      <w:r w:rsidRPr="00C6052E">
        <w:t>remuneration</w:t>
      </w:r>
      <w:r w:rsidR="00177848" w:rsidRPr="00C6052E">
        <w:t xml:space="preserve"> </w:t>
      </w:r>
      <w:r w:rsidRPr="00C6052E">
        <w:rPr>
          <w:spacing w:val="-2"/>
        </w:rPr>
        <w:t>during</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reporting</w:t>
      </w:r>
      <w:r w:rsidR="00177848" w:rsidRPr="00C6052E">
        <w:rPr>
          <w:spacing w:val="-2"/>
        </w:rPr>
        <w:t xml:space="preserve"> </w:t>
      </w:r>
      <w:r w:rsidRPr="00C6052E">
        <w:rPr>
          <w:spacing w:val="-2"/>
        </w:rPr>
        <w:t>period</w:t>
      </w:r>
      <w:r w:rsidR="00177848" w:rsidRPr="00C6052E">
        <w:rPr>
          <w:spacing w:val="-2"/>
        </w:rPr>
        <w:t xml:space="preserve"> </w:t>
      </w:r>
      <w:r w:rsidRPr="00C6052E">
        <w:rPr>
          <w:spacing w:val="-2"/>
        </w:rPr>
        <w:t>are</w:t>
      </w:r>
      <w:r w:rsidR="00177848" w:rsidRPr="00C6052E">
        <w:rPr>
          <w:spacing w:val="-2"/>
        </w:rPr>
        <w:t xml:space="preserve"> </w:t>
      </w:r>
      <w:r w:rsidRPr="00C6052E">
        <w:rPr>
          <w:spacing w:val="-2"/>
        </w:rPr>
        <w:t>shown</w:t>
      </w:r>
      <w:r w:rsidR="00177848" w:rsidRPr="00C6052E">
        <w:rPr>
          <w:spacing w:val="-2"/>
        </w:rPr>
        <w:t xml:space="preserve"> </w:t>
      </w:r>
      <w:r w:rsidRPr="00C6052E">
        <w:rPr>
          <w:spacing w:val="-2"/>
        </w:rPr>
        <w:t>in</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table</w:t>
      </w:r>
      <w:r w:rsidR="00177848" w:rsidRPr="00C6052E">
        <w:rPr>
          <w:spacing w:val="-2"/>
        </w:rPr>
        <w:t xml:space="preserve"> </w:t>
      </w:r>
      <w:r w:rsidRPr="00C6052E">
        <w:rPr>
          <w:spacing w:val="-2"/>
        </w:rPr>
        <w:t>below.</w:t>
      </w:r>
      <w:r w:rsidR="00177848" w:rsidRPr="00C6052E">
        <w:t xml:space="preserve"> </w:t>
      </w:r>
      <w:r w:rsidRPr="00C6052E">
        <w:t>Total</w:t>
      </w:r>
      <w:r w:rsidR="00177848" w:rsidRPr="00C6052E">
        <w:t xml:space="preserve"> </w:t>
      </w:r>
      <w:r w:rsidRPr="00C6052E">
        <w:t>annualised</w:t>
      </w:r>
      <w:r w:rsidR="00177848" w:rsidRPr="00C6052E">
        <w:t xml:space="preserve"> </w:t>
      </w:r>
      <w:r w:rsidRPr="00C6052E">
        <w:t>employee</w:t>
      </w:r>
      <w:r w:rsidR="00177848" w:rsidRPr="00C6052E">
        <w:t xml:space="preserve"> </w:t>
      </w:r>
      <w:r w:rsidRPr="00C6052E">
        <w:t>equivalents</w:t>
      </w:r>
      <w:r w:rsidR="00177848" w:rsidRPr="00C6052E">
        <w:t xml:space="preserve"> </w:t>
      </w:r>
      <w:r w:rsidRPr="00C6052E">
        <w:t>provide</w:t>
      </w:r>
      <w:r w:rsidR="00177848" w:rsidRPr="00C6052E">
        <w:t xml:space="preserve"> </w:t>
      </w:r>
      <w:r w:rsidRPr="00C6052E">
        <w:t>a</w:t>
      </w:r>
      <w:r w:rsidR="00177848" w:rsidRPr="00C6052E">
        <w:t xml:space="preserve"> </w:t>
      </w:r>
      <w:r w:rsidRPr="00C6052E">
        <w:t>measure</w:t>
      </w:r>
      <w:r w:rsidR="00177848" w:rsidRPr="00C6052E">
        <w:t xml:space="preserve"> </w:t>
      </w:r>
      <w:r w:rsidRPr="00C6052E">
        <w:t>of</w:t>
      </w:r>
      <w:r w:rsidR="00177848" w:rsidRPr="00C6052E">
        <w:t xml:space="preserve"> </w:t>
      </w:r>
      <w:r w:rsidRPr="00C6052E">
        <w:t>full</w:t>
      </w:r>
      <w:r w:rsidR="00177848" w:rsidRPr="00C6052E">
        <w:t xml:space="preserve"> </w:t>
      </w:r>
      <w:r w:rsidRPr="00C6052E">
        <w:t>time</w:t>
      </w:r>
      <w:r w:rsidR="00177848" w:rsidRPr="00C6052E">
        <w:t xml:space="preserve"> </w:t>
      </w:r>
      <w:r w:rsidRPr="00C6052E">
        <w:t>equivalent</w:t>
      </w:r>
      <w:r w:rsidR="00177848" w:rsidRPr="00C6052E">
        <w:t xml:space="preserve"> </w:t>
      </w:r>
      <w:r w:rsidRPr="00C6052E">
        <w:t>executive</w:t>
      </w:r>
      <w:r w:rsidR="00177848" w:rsidRPr="00C6052E">
        <w:t xml:space="preserve"> </w:t>
      </w:r>
      <w:r w:rsidRPr="00C6052E">
        <w:t>officers</w:t>
      </w:r>
      <w:r w:rsidR="00177848" w:rsidRPr="00C6052E">
        <w:t xml:space="preserve"> </w:t>
      </w:r>
      <w:r w:rsidRPr="00C6052E">
        <w:t>over</w:t>
      </w:r>
      <w:r w:rsidR="00177848" w:rsidRPr="00C6052E">
        <w:t xml:space="preserve"> </w:t>
      </w:r>
      <w:r w:rsidRPr="00C6052E">
        <w:t>the</w:t>
      </w:r>
      <w:r w:rsidR="00177848" w:rsidRPr="00C6052E">
        <w:t xml:space="preserve"> </w:t>
      </w:r>
      <w:r w:rsidRPr="00C6052E">
        <w:t>reporting</w:t>
      </w:r>
      <w:r w:rsidR="00177848" w:rsidRPr="00C6052E">
        <w:t xml:space="preserve"> </w:t>
      </w:r>
      <w:r w:rsidRPr="00C6052E">
        <w:t>period.</w:t>
      </w:r>
    </w:p>
    <w:p w14:paraId="598BC944" w14:textId="3A3AE408" w:rsidR="00EE5BB8" w:rsidRPr="00C6052E" w:rsidRDefault="00EE5BB8" w:rsidP="00EE5BB8">
      <w:r w:rsidRPr="00C6052E">
        <w:t>Remuneration</w:t>
      </w:r>
      <w:r w:rsidR="00177848" w:rsidRPr="00C6052E">
        <w:t xml:space="preserve"> </w:t>
      </w:r>
      <w:r w:rsidRPr="00C6052E">
        <w:t>comprises</w:t>
      </w:r>
      <w:r w:rsidR="00177848" w:rsidRPr="00C6052E">
        <w:t xml:space="preserve"> </w:t>
      </w:r>
      <w:r w:rsidRPr="00C6052E">
        <w:t>employee</w:t>
      </w:r>
      <w:r w:rsidR="00177848" w:rsidRPr="00C6052E">
        <w:t xml:space="preserve"> </w:t>
      </w:r>
      <w:r w:rsidRPr="00C6052E">
        <w:t>benefits</w:t>
      </w:r>
      <w:r w:rsidR="00177848" w:rsidRPr="00C6052E">
        <w:t xml:space="preserve"> </w:t>
      </w:r>
      <w:r w:rsidRPr="00C6052E">
        <w:t>(as</w:t>
      </w:r>
      <w:r w:rsidR="00177848" w:rsidRPr="00C6052E">
        <w:t xml:space="preserve"> </w:t>
      </w:r>
      <w:r w:rsidRPr="00C6052E">
        <w:t>defined</w:t>
      </w:r>
      <w:r w:rsidR="00177848" w:rsidRPr="00C6052E">
        <w:t xml:space="preserve"> </w:t>
      </w:r>
      <w:r w:rsidRPr="00C6052E">
        <w:t>in</w:t>
      </w:r>
      <w:r w:rsidR="00177848" w:rsidRPr="00C6052E">
        <w:t xml:space="preserve"> </w:t>
      </w:r>
      <w:r w:rsidRPr="00C6052E">
        <w:t>AASB</w:t>
      </w:r>
      <w:r w:rsidR="00177848" w:rsidRPr="00C6052E">
        <w:t xml:space="preserve"> </w:t>
      </w:r>
      <w:r w:rsidRPr="00C6052E">
        <w:t>119</w:t>
      </w:r>
      <w:r w:rsidR="00177848" w:rsidRPr="00C6052E">
        <w:t xml:space="preserve"> </w:t>
      </w:r>
      <w:r w:rsidRPr="00C6052E">
        <w:rPr>
          <w:rStyle w:val="Italics"/>
        </w:rPr>
        <w:t>Employee</w:t>
      </w:r>
      <w:r w:rsidR="00177848" w:rsidRPr="00C6052E">
        <w:rPr>
          <w:rStyle w:val="Italics"/>
        </w:rPr>
        <w:t xml:space="preserve"> </w:t>
      </w:r>
      <w:r w:rsidRPr="00C6052E">
        <w:rPr>
          <w:rStyle w:val="Italics"/>
        </w:rPr>
        <w:t>Benefits</w:t>
      </w:r>
      <w:r w:rsidRPr="00C6052E">
        <w:t>)</w:t>
      </w:r>
      <w:r w:rsidR="00177848" w:rsidRPr="00C6052E">
        <w:t xml:space="preserve"> </w:t>
      </w:r>
      <w:r w:rsidRPr="00C6052E">
        <w:t>in</w:t>
      </w:r>
      <w:r w:rsidR="00177848" w:rsidRPr="00C6052E">
        <w:t xml:space="preserve"> </w:t>
      </w:r>
      <w:r w:rsidRPr="00C6052E">
        <w:t>all</w:t>
      </w:r>
      <w:r w:rsidR="00177848" w:rsidRPr="00C6052E">
        <w:t xml:space="preserve"> </w:t>
      </w:r>
      <w:r w:rsidRPr="00C6052E">
        <w:t>forms</w:t>
      </w:r>
      <w:r w:rsidR="00177848" w:rsidRPr="00C6052E">
        <w:t xml:space="preserve"> </w:t>
      </w:r>
      <w:r w:rsidRPr="00C6052E">
        <w:t>of</w:t>
      </w:r>
      <w:r w:rsidR="00177848" w:rsidRPr="00C6052E">
        <w:t xml:space="preserve"> </w:t>
      </w:r>
      <w:r w:rsidRPr="00C6052E">
        <w:t>consideration</w:t>
      </w:r>
      <w:r w:rsidR="00177848" w:rsidRPr="00C6052E">
        <w:t xml:space="preserve"> </w:t>
      </w:r>
      <w:r w:rsidRPr="00C6052E">
        <w:t>paid,</w:t>
      </w:r>
      <w:r w:rsidR="00177848" w:rsidRPr="00C6052E">
        <w:t xml:space="preserve"> </w:t>
      </w:r>
      <w:r w:rsidRPr="00C6052E">
        <w:t>payable</w:t>
      </w:r>
      <w:r w:rsidR="00177848" w:rsidRPr="00C6052E">
        <w:t xml:space="preserve"> </w:t>
      </w:r>
      <w:r w:rsidRPr="00C6052E">
        <w:t>or</w:t>
      </w:r>
      <w:r w:rsidR="00177848" w:rsidRPr="00C6052E">
        <w:t xml:space="preserve"> </w:t>
      </w:r>
      <w:r w:rsidRPr="00C6052E">
        <w:t>provided</w:t>
      </w:r>
      <w:r w:rsidR="00177848" w:rsidRPr="00C6052E">
        <w:t xml:space="preserve"> </w:t>
      </w:r>
      <w:r w:rsidRPr="00C6052E">
        <w:t>by</w:t>
      </w:r>
      <w:r w:rsidR="00177848" w:rsidRPr="00C6052E">
        <w:rPr>
          <w:rFonts w:cs="Cambria"/>
        </w:rPr>
        <w:t xml:space="preserve"> </w:t>
      </w:r>
      <w:r w:rsidRPr="00C6052E">
        <w:t>the</w:t>
      </w:r>
      <w:r w:rsidR="00177848" w:rsidRPr="00C6052E">
        <w:rPr>
          <w:rFonts w:cs="Cambria"/>
        </w:rPr>
        <w:t xml:space="preserve"> </w:t>
      </w:r>
      <w:r w:rsidRPr="00C6052E">
        <w:t>entity,</w:t>
      </w:r>
      <w:r w:rsidR="00177848" w:rsidRPr="00C6052E">
        <w:t xml:space="preserve"> </w:t>
      </w:r>
      <w:r w:rsidRPr="00C6052E">
        <w:t>or</w:t>
      </w:r>
      <w:r w:rsidR="00177848" w:rsidRPr="00C6052E">
        <w:t xml:space="preserve"> </w:t>
      </w:r>
      <w:r w:rsidRPr="00C6052E">
        <w:t>on</w:t>
      </w:r>
      <w:r w:rsidR="00177848" w:rsidRPr="00C6052E">
        <w:t xml:space="preserve"> </w:t>
      </w:r>
      <w:r w:rsidRPr="00C6052E">
        <w:t>behalf</w:t>
      </w:r>
      <w:r w:rsidR="00177848" w:rsidRPr="00C6052E">
        <w:t xml:space="preserve"> </w:t>
      </w:r>
      <w:r w:rsidRPr="00C6052E">
        <w:t>of</w:t>
      </w:r>
      <w:r w:rsidR="00177848" w:rsidRPr="00C6052E">
        <w:t xml:space="preserve"> </w:t>
      </w:r>
      <w:r w:rsidRPr="00C6052E">
        <w:t>the</w:t>
      </w:r>
      <w:r w:rsidR="00177848" w:rsidRPr="00C6052E">
        <w:t xml:space="preserve"> </w:t>
      </w:r>
      <w:r w:rsidRPr="00C6052E">
        <w:t>entity,</w:t>
      </w:r>
      <w:r w:rsidR="00177848" w:rsidRPr="00C6052E">
        <w:t xml:space="preserve"> </w:t>
      </w:r>
      <w:r w:rsidRPr="00C6052E">
        <w:t>in</w:t>
      </w:r>
      <w:r w:rsidR="00177848" w:rsidRPr="00C6052E">
        <w:t xml:space="preserve"> </w:t>
      </w:r>
      <w:r w:rsidRPr="00C6052E">
        <w:t>exchange</w:t>
      </w:r>
      <w:r w:rsidR="00177848" w:rsidRPr="00C6052E">
        <w:t xml:space="preserve"> </w:t>
      </w:r>
      <w:r w:rsidRPr="00C6052E">
        <w:t>for</w:t>
      </w:r>
      <w:r w:rsidR="00177848" w:rsidRPr="00C6052E">
        <w:t xml:space="preserve"> </w:t>
      </w:r>
      <w:r w:rsidRPr="00C6052E">
        <w:t>services</w:t>
      </w:r>
      <w:r w:rsidR="00177848" w:rsidRPr="00C6052E">
        <w:t xml:space="preserve"> </w:t>
      </w:r>
      <w:r w:rsidRPr="00C6052E">
        <w:t>rendered.</w:t>
      </w:r>
      <w:r w:rsidR="00177848" w:rsidRPr="00C6052E">
        <w:t xml:space="preserve"> </w:t>
      </w:r>
      <w:r w:rsidRPr="00C6052E">
        <w:t>Accordingly,</w:t>
      </w:r>
      <w:r w:rsidR="00177848" w:rsidRPr="00C6052E">
        <w:t xml:space="preserve"> </w:t>
      </w:r>
      <w:r w:rsidRPr="00C6052E">
        <w:t>remuneration</w:t>
      </w:r>
      <w:r w:rsidR="00177848" w:rsidRPr="00C6052E">
        <w:t xml:space="preserve"> </w:t>
      </w:r>
      <w:r w:rsidRPr="00C6052E">
        <w:t>is</w:t>
      </w:r>
      <w:r w:rsidR="00177848" w:rsidRPr="00C6052E">
        <w:t xml:space="preserve"> </w:t>
      </w:r>
      <w:r w:rsidRPr="00C6052E">
        <w:t>determined</w:t>
      </w:r>
      <w:r w:rsidR="00177848" w:rsidRPr="00C6052E">
        <w:t xml:space="preserve"> </w:t>
      </w:r>
      <w:r w:rsidRPr="00C6052E">
        <w:t>on</w:t>
      </w:r>
      <w:r w:rsidR="00177848" w:rsidRPr="00C6052E">
        <w:t xml:space="preserve"> </w:t>
      </w:r>
      <w:r w:rsidRPr="00C6052E">
        <w:t>an</w:t>
      </w:r>
      <w:r w:rsidR="00177848" w:rsidRPr="00C6052E">
        <w:t xml:space="preserve"> </w:t>
      </w:r>
      <w:r w:rsidRPr="00C6052E">
        <w:t>accrual</w:t>
      </w:r>
      <w:r w:rsidR="00177848" w:rsidRPr="00C6052E">
        <w:t xml:space="preserve"> </w:t>
      </w:r>
      <w:r w:rsidRPr="00C6052E">
        <w:t>basis,</w:t>
      </w:r>
      <w:r w:rsidR="00177848" w:rsidRPr="00C6052E">
        <w:t xml:space="preserve"> </w:t>
      </w:r>
      <w:r w:rsidRPr="00C6052E">
        <w:t>and</w:t>
      </w:r>
      <w:r w:rsidR="00177848" w:rsidRPr="00C6052E">
        <w:t xml:space="preserve"> </w:t>
      </w:r>
      <w:r w:rsidRPr="00C6052E">
        <w:t>is</w:t>
      </w:r>
      <w:r w:rsidR="00177848" w:rsidRPr="00C6052E">
        <w:t xml:space="preserve"> </w:t>
      </w:r>
      <w:r w:rsidRPr="00C6052E">
        <w:t>disclosed</w:t>
      </w:r>
      <w:r w:rsidR="00177848" w:rsidRPr="00C6052E">
        <w:t xml:space="preserve"> </w:t>
      </w:r>
      <w:r w:rsidRPr="00C6052E">
        <w:t>in</w:t>
      </w:r>
      <w:r w:rsidR="00177848" w:rsidRPr="00C6052E">
        <w:rPr>
          <w:rFonts w:cs="Cambria"/>
        </w:rPr>
        <w:t xml:space="preserve"> </w:t>
      </w:r>
      <w:r w:rsidRPr="00C6052E">
        <w:t>the</w:t>
      </w:r>
      <w:r w:rsidR="00177848" w:rsidRPr="00C6052E">
        <w:rPr>
          <w:rFonts w:cs="Cambria"/>
        </w:rPr>
        <w:t xml:space="preserve"> </w:t>
      </w:r>
      <w:r w:rsidRPr="00C6052E">
        <w:t>following</w:t>
      </w:r>
      <w:r w:rsidR="00177848" w:rsidRPr="00C6052E">
        <w:t xml:space="preserve"> </w:t>
      </w:r>
      <w:r w:rsidRPr="00C6052E">
        <w:t>categories.</w:t>
      </w:r>
      <w:r w:rsidR="00177848" w:rsidRPr="00C6052E">
        <w:t xml:space="preserve"> </w:t>
      </w:r>
    </w:p>
    <w:p w14:paraId="62B52186" w14:textId="10D7DE2B" w:rsidR="00EE5BB8" w:rsidRPr="00C6052E" w:rsidRDefault="00EE5BB8" w:rsidP="00EE5BB8">
      <w:r w:rsidRPr="00C6052E">
        <w:rPr>
          <w:rStyle w:val="Medium"/>
        </w:rPr>
        <w:t>Short–term</w:t>
      </w:r>
      <w:r w:rsidR="00177848" w:rsidRPr="00C6052E">
        <w:rPr>
          <w:rStyle w:val="Medium"/>
        </w:rPr>
        <w:t xml:space="preserve"> </w:t>
      </w:r>
      <w:r w:rsidRPr="00C6052E">
        <w:rPr>
          <w:rStyle w:val="Medium"/>
        </w:rPr>
        <w:t>employee</w:t>
      </w:r>
      <w:r w:rsidR="00177848" w:rsidRPr="00C6052E">
        <w:rPr>
          <w:rStyle w:val="Medium"/>
        </w:rPr>
        <w:t xml:space="preserve"> </w:t>
      </w:r>
      <w:r w:rsidRPr="00C6052E">
        <w:rPr>
          <w:rStyle w:val="Medium"/>
        </w:rPr>
        <w:t>benefits</w:t>
      </w:r>
      <w:r w:rsidR="00177848" w:rsidRPr="00C6052E">
        <w:t xml:space="preserve"> </w:t>
      </w:r>
      <w:r w:rsidRPr="00C6052E">
        <w:t>include</w:t>
      </w:r>
      <w:r w:rsidR="00177848" w:rsidRPr="00C6052E">
        <w:t xml:space="preserve"> </w:t>
      </w:r>
      <w:r w:rsidRPr="00C6052E">
        <w:t>amounts</w:t>
      </w:r>
      <w:r w:rsidR="00177848" w:rsidRPr="00C6052E">
        <w:t xml:space="preserve"> </w:t>
      </w:r>
      <w:r w:rsidRPr="00C6052E">
        <w:t>such</w:t>
      </w:r>
      <w:r w:rsidR="00177848" w:rsidRPr="00C6052E">
        <w:t xml:space="preserve"> </w:t>
      </w:r>
      <w:r w:rsidRPr="00C6052E">
        <w:t>as</w:t>
      </w:r>
      <w:r w:rsidR="00177848" w:rsidRPr="00C6052E">
        <w:t xml:space="preserve"> </w:t>
      </w:r>
      <w:r w:rsidRPr="00C6052E">
        <w:t>wages,</w:t>
      </w:r>
      <w:r w:rsidR="00177848" w:rsidRPr="00C6052E">
        <w:t xml:space="preserve"> </w:t>
      </w:r>
      <w:r w:rsidRPr="00C6052E">
        <w:t>salaries,</w:t>
      </w:r>
      <w:r w:rsidR="00177848" w:rsidRPr="00C6052E">
        <w:t xml:space="preserve"> </w:t>
      </w:r>
      <w:r w:rsidRPr="00C6052E">
        <w:t>annual</w:t>
      </w:r>
      <w:r w:rsidR="00177848" w:rsidRPr="00C6052E">
        <w:t xml:space="preserve"> </w:t>
      </w:r>
      <w:r w:rsidRPr="00C6052E">
        <w:t>leave</w:t>
      </w:r>
      <w:r w:rsidR="00177848" w:rsidRPr="00C6052E">
        <w:t xml:space="preserve"> </w:t>
      </w:r>
      <w:r w:rsidRPr="00C6052E">
        <w:t>or</w:t>
      </w:r>
      <w:r w:rsidR="00177848" w:rsidRPr="00C6052E">
        <w:t xml:space="preserve"> </w:t>
      </w:r>
      <w:r w:rsidRPr="00C6052E">
        <w:t>sick</w:t>
      </w:r>
      <w:r w:rsidR="00177848" w:rsidRPr="00C6052E">
        <w:t xml:space="preserve"> </w:t>
      </w:r>
      <w:r w:rsidRPr="00C6052E">
        <w:t>leave</w:t>
      </w:r>
      <w:r w:rsidR="00177848" w:rsidRPr="00C6052E">
        <w:t xml:space="preserve"> </w:t>
      </w:r>
      <w:r w:rsidRPr="00C6052E">
        <w:t>that</w:t>
      </w:r>
      <w:r w:rsidR="00177848" w:rsidRPr="00C6052E">
        <w:t xml:space="preserve"> </w:t>
      </w:r>
      <w:r w:rsidRPr="00C6052E">
        <w:t>are</w:t>
      </w:r>
      <w:r w:rsidR="00177848" w:rsidRPr="00C6052E">
        <w:t xml:space="preserve"> </w:t>
      </w:r>
      <w:r w:rsidRPr="00C6052E">
        <w:t>usually</w:t>
      </w:r>
      <w:r w:rsidR="00177848" w:rsidRPr="00C6052E">
        <w:t xml:space="preserve"> </w:t>
      </w:r>
      <w:r w:rsidRPr="00C6052E">
        <w:t>paid</w:t>
      </w:r>
      <w:r w:rsidR="00177848" w:rsidRPr="00C6052E">
        <w:t xml:space="preserve"> </w:t>
      </w:r>
      <w:r w:rsidRPr="00C6052E">
        <w:t>or</w:t>
      </w:r>
      <w:r w:rsidR="00177848" w:rsidRPr="00C6052E">
        <w:t xml:space="preserve"> </w:t>
      </w:r>
      <w:r w:rsidRPr="00C6052E">
        <w:t>payable</w:t>
      </w:r>
      <w:r w:rsidR="00177848" w:rsidRPr="00C6052E">
        <w:t xml:space="preserve"> </w:t>
      </w:r>
      <w:r w:rsidRPr="00C6052E">
        <w:t>on</w:t>
      </w:r>
      <w:r w:rsidR="00177848" w:rsidRPr="00C6052E">
        <w:t xml:space="preserve"> </w:t>
      </w:r>
      <w:r w:rsidRPr="00C6052E">
        <w:t>a</w:t>
      </w:r>
      <w:r w:rsidR="00177848" w:rsidRPr="00C6052E">
        <w:t xml:space="preserve"> </w:t>
      </w:r>
      <w:r w:rsidRPr="00C6052E">
        <w:t>regular</w:t>
      </w:r>
      <w:r w:rsidR="00177848" w:rsidRPr="00C6052E">
        <w:t xml:space="preserve"> </w:t>
      </w:r>
      <w:r w:rsidRPr="00C6052E">
        <w:t>basis,</w:t>
      </w:r>
      <w:r w:rsidR="00177848" w:rsidRPr="00C6052E">
        <w:t xml:space="preserve"> </w:t>
      </w:r>
      <w:r w:rsidRPr="00C6052E">
        <w:t>as</w:t>
      </w:r>
      <w:r w:rsidR="00177848" w:rsidRPr="00C6052E">
        <w:t xml:space="preserve"> </w:t>
      </w:r>
      <w:r w:rsidRPr="00C6052E">
        <w:t>well</w:t>
      </w:r>
      <w:r w:rsidR="00177848" w:rsidRPr="00C6052E">
        <w:t xml:space="preserve"> </w:t>
      </w:r>
      <w:r w:rsidRPr="00C6052E">
        <w:t>as</w:t>
      </w:r>
      <w:r w:rsidR="00177848" w:rsidRPr="00C6052E">
        <w:t xml:space="preserve"> </w:t>
      </w:r>
      <w:r w:rsidRPr="00C6052E">
        <w:t>non–monetary</w:t>
      </w:r>
      <w:r w:rsidR="00177848" w:rsidRPr="00C6052E">
        <w:t xml:space="preserve"> </w:t>
      </w:r>
      <w:r w:rsidRPr="00C6052E">
        <w:t>benefits</w:t>
      </w:r>
      <w:r w:rsidR="00177848" w:rsidRPr="00C6052E">
        <w:t xml:space="preserve"> </w:t>
      </w:r>
      <w:r w:rsidRPr="00C6052E">
        <w:t>such</w:t>
      </w:r>
      <w:r w:rsidR="00177848" w:rsidRPr="00C6052E">
        <w:t xml:space="preserve"> </w:t>
      </w:r>
      <w:r w:rsidRPr="00C6052E">
        <w:t>as</w:t>
      </w:r>
      <w:r w:rsidR="00177848" w:rsidRPr="00C6052E">
        <w:t xml:space="preserve"> </w:t>
      </w:r>
      <w:r w:rsidRPr="00C6052E">
        <w:t>allowances</w:t>
      </w:r>
      <w:r w:rsidR="00177848" w:rsidRPr="00C6052E">
        <w:t xml:space="preserve"> </w:t>
      </w:r>
      <w:r w:rsidRPr="00C6052E">
        <w:t>and</w:t>
      </w:r>
      <w:r w:rsidR="00177848" w:rsidRPr="00C6052E">
        <w:t xml:space="preserve"> </w:t>
      </w:r>
      <w:r w:rsidRPr="00C6052E">
        <w:t>free</w:t>
      </w:r>
      <w:r w:rsidR="00177848" w:rsidRPr="00C6052E">
        <w:t xml:space="preserve"> </w:t>
      </w:r>
      <w:r w:rsidRPr="00C6052E">
        <w:t>or</w:t>
      </w:r>
      <w:r w:rsidR="00177848" w:rsidRPr="00C6052E">
        <w:t xml:space="preserve"> </w:t>
      </w:r>
      <w:r w:rsidRPr="00C6052E">
        <w:t>subsidised</w:t>
      </w:r>
      <w:r w:rsidR="00177848" w:rsidRPr="00C6052E">
        <w:t xml:space="preserve"> </w:t>
      </w:r>
      <w:r w:rsidRPr="00C6052E">
        <w:t>goods</w:t>
      </w:r>
      <w:r w:rsidR="00177848" w:rsidRPr="00C6052E">
        <w:t xml:space="preserve"> </w:t>
      </w:r>
      <w:r w:rsidRPr="00C6052E">
        <w:t>or</w:t>
      </w:r>
      <w:r w:rsidR="00177848" w:rsidRPr="00C6052E">
        <w:t xml:space="preserve"> </w:t>
      </w:r>
      <w:r w:rsidRPr="00C6052E">
        <w:t>services.</w:t>
      </w:r>
    </w:p>
    <w:p w14:paraId="59D3FA21" w14:textId="6C3E91F4" w:rsidR="00EE5BB8" w:rsidRPr="00C6052E" w:rsidRDefault="00EE5BB8" w:rsidP="00EE5BB8">
      <w:r w:rsidRPr="00C6052E">
        <w:rPr>
          <w:rStyle w:val="Medium"/>
        </w:rPr>
        <w:t>Other</w:t>
      </w:r>
      <w:r w:rsidR="00177848" w:rsidRPr="00C6052E">
        <w:rPr>
          <w:rStyle w:val="Medium"/>
        </w:rPr>
        <w:t xml:space="preserve"> </w:t>
      </w:r>
      <w:r w:rsidRPr="00C6052E">
        <w:rPr>
          <w:rStyle w:val="Medium"/>
        </w:rPr>
        <w:t>long–term</w:t>
      </w:r>
      <w:r w:rsidR="00177848" w:rsidRPr="00C6052E">
        <w:rPr>
          <w:rStyle w:val="Medium"/>
        </w:rPr>
        <w:t xml:space="preserve"> </w:t>
      </w:r>
      <w:r w:rsidRPr="00C6052E">
        <w:rPr>
          <w:rStyle w:val="Medium"/>
        </w:rPr>
        <w:t>employee</w:t>
      </w:r>
      <w:r w:rsidR="00177848" w:rsidRPr="00C6052E">
        <w:rPr>
          <w:rStyle w:val="Medium"/>
        </w:rPr>
        <w:t xml:space="preserve"> </w:t>
      </w:r>
      <w:r w:rsidRPr="00C6052E">
        <w:rPr>
          <w:rStyle w:val="Medium"/>
        </w:rPr>
        <w:t>benefits:</w:t>
      </w:r>
      <w:r w:rsidR="00177848" w:rsidRPr="00C6052E">
        <w:t xml:space="preserve"> </w:t>
      </w:r>
      <w:r w:rsidRPr="00C6052E">
        <w:t>include</w:t>
      </w:r>
      <w:r w:rsidR="00177848" w:rsidRPr="00C6052E">
        <w:t xml:space="preserve"> </w:t>
      </w:r>
      <w:r w:rsidRPr="00C6052E">
        <w:t>long</w:t>
      </w:r>
      <w:r w:rsidR="00177848" w:rsidRPr="00C6052E">
        <w:t xml:space="preserve"> </w:t>
      </w:r>
      <w:r w:rsidRPr="00C6052E">
        <w:t>service</w:t>
      </w:r>
      <w:r w:rsidR="00177848" w:rsidRPr="00C6052E">
        <w:t xml:space="preserve"> </w:t>
      </w:r>
      <w:r w:rsidRPr="00C6052E">
        <w:t>leave,</w:t>
      </w:r>
      <w:r w:rsidR="00177848" w:rsidRPr="00C6052E">
        <w:t xml:space="preserve"> </w:t>
      </w:r>
      <w:r w:rsidRPr="00C6052E">
        <w:t>other</w:t>
      </w:r>
      <w:r w:rsidR="00177848" w:rsidRPr="00C6052E">
        <w:t xml:space="preserve"> </w:t>
      </w:r>
      <w:r w:rsidRPr="00C6052E">
        <w:t>long</w:t>
      </w:r>
      <w:r w:rsidR="00177848" w:rsidRPr="00C6052E">
        <w:t xml:space="preserve"> </w:t>
      </w:r>
      <w:r w:rsidRPr="00C6052E">
        <w:t>service</w:t>
      </w:r>
      <w:r w:rsidR="00177848" w:rsidRPr="00C6052E">
        <w:t xml:space="preserve"> </w:t>
      </w:r>
      <w:r w:rsidRPr="00C6052E">
        <w:t>benefits</w:t>
      </w:r>
      <w:r w:rsidR="00177848" w:rsidRPr="00C6052E">
        <w:t xml:space="preserve"> </w:t>
      </w:r>
      <w:r w:rsidRPr="00C6052E">
        <w:t>or</w:t>
      </w:r>
      <w:r w:rsidR="00177848" w:rsidRPr="00C6052E">
        <w:t xml:space="preserve"> </w:t>
      </w:r>
      <w:r w:rsidRPr="00C6052E">
        <w:t>deferred</w:t>
      </w:r>
      <w:r w:rsidR="00177848" w:rsidRPr="00C6052E">
        <w:t xml:space="preserve"> </w:t>
      </w:r>
      <w:r w:rsidRPr="00C6052E">
        <w:t>compensation.</w:t>
      </w:r>
    </w:p>
    <w:p w14:paraId="342FA5C5" w14:textId="7773D693" w:rsidR="00EE5BB8" w:rsidRPr="00C6052E" w:rsidRDefault="00EE5BB8" w:rsidP="00EE5BB8">
      <w:r w:rsidRPr="00C6052E">
        <w:rPr>
          <w:rStyle w:val="Medium"/>
        </w:rPr>
        <w:t>Post–employment</w:t>
      </w:r>
      <w:r w:rsidR="00177848" w:rsidRPr="00C6052E">
        <w:rPr>
          <w:rStyle w:val="Medium"/>
        </w:rPr>
        <w:t xml:space="preserve"> </w:t>
      </w:r>
      <w:r w:rsidRPr="00C6052E">
        <w:rPr>
          <w:rStyle w:val="Medium"/>
        </w:rPr>
        <w:t>benefits</w:t>
      </w:r>
      <w:r w:rsidR="00177848" w:rsidRPr="00C6052E">
        <w:t xml:space="preserve"> </w:t>
      </w:r>
      <w:r w:rsidRPr="00C6052E">
        <w:t>include</w:t>
      </w:r>
      <w:r w:rsidR="00177848" w:rsidRPr="00C6052E">
        <w:t xml:space="preserve"> </w:t>
      </w:r>
      <w:r w:rsidRPr="00C6052E">
        <w:t>pensions</w:t>
      </w:r>
      <w:r w:rsidR="00177848" w:rsidRPr="00C6052E">
        <w:t xml:space="preserve"> </w:t>
      </w:r>
      <w:r w:rsidRPr="00C6052E">
        <w:t>and</w:t>
      </w:r>
      <w:r w:rsidR="00177848" w:rsidRPr="00C6052E">
        <w:t xml:space="preserve"> </w:t>
      </w:r>
      <w:r w:rsidRPr="00C6052E">
        <w:t>other</w:t>
      </w:r>
      <w:r w:rsidR="00177848" w:rsidRPr="00C6052E">
        <w:t xml:space="preserve"> </w:t>
      </w:r>
      <w:r w:rsidRPr="00C6052E">
        <w:t>retirement</w:t>
      </w:r>
      <w:r w:rsidR="00177848" w:rsidRPr="00C6052E">
        <w:t xml:space="preserve"> </w:t>
      </w:r>
      <w:r w:rsidRPr="00C6052E">
        <w:t>benefits</w:t>
      </w:r>
      <w:r w:rsidR="00177848" w:rsidRPr="00C6052E">
        <w:t xml:space="preserve"> </w:t>
      </w:r>
      <w:r w:rsidRPr="00C6052E">
        <w:t>paid</w:t>
      </w:r>
      <w:r w:rsidR="00177848" w:rsidRPr="00C6052E">
        <w:t xml:space="preserve"> </w:t>
      </w:r>
      <w:r w:rsidRPr="00C6052E">
        <w:t>or</w:t>
      </w:r>
      <w:r w:rsidR="00177848" w:rsidRPr="00C6052E">
        <w:t xml:space="preserve"> </w:t>
      </w:r>
      <w:r w:rsidRPr="00C6052E">
        <w:t>payable</w:t>
      </w:r>
      <w:r w:rsidR="00177848" w:rsidRPr="00C6052E">
        <w:t xml:space="preserve"> </w:t>
      </w:r>
      <w:r w:rsidRPr="00C6052E">
        <w:t>on</w:t>
      </w:r>
      <w:r w:rsidR="00177848" w:rsidRPr="00C6052E">
        <w:t xml:space="preserve"> </w:t>
      </w:r>
      <w:r w:rsidRPr="00C6052E">
        <w:t>a</w:t>
      </w:r>
      <w:r w:rsidR="00177848" w:rsidRPr="00C6052E">
        <w:t xml:space="preserve"> </w:t>
      </w:r>
      <w:r w:rsidRPr="00C6052E">
        <w:t>discrete</w:t>
      </w:r>
      <w:r w:rsidR="00177848" w:rsidRPr="00C6052E">
        <w:t xml:space="preserve"> </w:t>
      </w:r>
      <w:r w:rsidRPr="00C6052E">
        <w:t>basis</w:t>
      </w:r>
      <w:r w:rsidR="00177848" w:rsidRPr="00C6052E">
        <w:t xml:space="preserve"> </w:t>
      </w:r>
      <w:r w:rsidRPr="00C6052E">
        <w:t>when</w:t>
      </w:r>
      <w:r w:rsidR="00177848" w:rsidRPr="00C6052E">
        <w:t xml:space="preserve"> </w:t>
      </w:r>
      <w:r w:rsidRPr="00C6052E">
        <w:t>employment</w:t>
      </w:r>
      <w:r w:rsidR="00177848" w:rsidRPr="00C6052E">
        <w:t xml:space="preserve"> </w:t>
      </w:r>
      <w:r w:rsidRPr="00C6052E">
        <w:t>has</w:t>
      </w:r>
      <w:r w:rsidR="00177848" w:rsidRPr="00C6052E">
        <w:t xml:space="preserve"> </w:t>
      </w:r>
      <w:r w:rsidRPr="00C6052E">
        <w:t>ceased.</w:t>
      </w:r>
      <w:r w:rsidR="00177848" w:rsidRPr="00C6052E">
        <w:t xml:space="preserve"> </w:t>
      </w:r>
    </w:p>
    <w:p w14:paraId="22F751FB" w14:textId="0468EB71" w:rsidR="00EE5BB8" w:rsidRPr="00C6052E" w:rsidRDefault="00EE5BB8" w:rsidP="00EE5BB8">
      <w:r w:rsidRPr="00C6052E">
        <w:rPr>
          <w:rStyle w:val="Medium"/>
        </w:rPr>
        <w:t>Termination</w:t>
      </w:r>
      <w:r w:rsidR="00177848" w:rsidRPr="00C6052E">
        <w:rPr>
          <w:rStyle w:val="Medium"/>
        </w:rPr>
        <w:t xml:space="preserve"> </w:t>
      </w:r>
      <w:r w:rsidRPr="00C6052E">
        <w:rPr>
          <w:rStyle w:val="Medium"/>
        </w:rPr>
        <w:t>benefits</w:t>
      </w:r>
      <w:r w:rsidR="00177848" w:rsidRPr="00C6052E">
        <w:rPr>
          <w:spacing w:val="-2"/>
        </w:rPr>
        <w:t xml:space="preserve"> </w:t>
      </w:r>
      <w:r w:rsidRPr="00C6052E">
        <w:rPr>
          <w:spacing w:val="-2"/>
        </w:rPr>
        <w:t>include</w:t>
      </w:r>
      <w:r w:rsidR="00177848" w:rsidRPr="00C6052E">
        <w:rPr>
          <w:spacing w:val="-2"/>
        </w:rPr>
        <w:t xml:space="preserve"> </w:t>
      </w:r>
      <w:r w:rsidRPr="00C6052E">
        <w:rPr>
          <w:spacing w:val="-2"/>
        </w:rPr>
        <w:t>termination</w:t>
      </w:r>
      <w:r w:rsidR="00177848" w:rsidRPr="00C6052E">
        <w:rPr>
          <w:spacing w:val="-2"/>
        </w:rPr>
        <w:t xml:space="preserve"> </w:t>
      </w:r>
      <w:r w:rsidRPr="00C6052E">
        <w:rPr>
          <w:spacing w:val="-2"/>
        </w:rPr>
        <w:t>of</w:t>
      </w:r>
      <w:r w:rsidR="00177848" w:rsidRPr="00C6052E">
        <w:rPr>
          <w:spacing w:val="-2"/>
        </w:rPr>
        <w:t xml:space="preserve"> </w:t>
      </w:r>
      <w:r w:rsidRPr="00C6052E">
        <w:rPr>
          <w:spacing w:val="-2"/>
        </w:rPr>
        <w:t>employment</w:t>
      </w:r>
      <w:r w:rsidR="00177848" w:rsidRPr="00C6052E">
        <w:t xml:space="preserve"> </w:t>
      </w:r>
      <w:r w:rsidRPr="00C6052E">
        <w:t>payments,</w:t>
      </w:r>
      <w:r w:rsidR="00177848" w:rsidRPr="00C6052E">
        <w:t xml:space="preserve"> </w:t>
      </w:r>
      <w:r w:rsidRPr="00C6052E">
        <w:t>such</w:t>
      </w:r>
      <w:r w:rsidR="00177848" w:rsidRPr="00C6052E">
        <w:t xml:space="preserve"> </w:t>
      </w:r>
      <w:r w:rsidRPr="00C6052E">
        <w:t>as</w:t>
      </w:r>
      <w:r w:rsidR="00177848" w:rsidRPr="00C6052E">
        <w:t xml:space="preserve"> </w:t>
      </w:r>
      <w:r w:rsidRPr="00C6052E">
        <w:t>severance</w:t>
      </w:r>
      <w:r w:rsidR="00177848" w:rsidRPr="00C6052E">
        <w:t xml:space="preserve"> </w:t>
      </w:r>
      <w:r w:rsidRPr="00C6052E">
        <w:t>packages.</w:t>
      </w:r>
    </w:p>
    <w:p w14:paraId="0510D4BE" w14:textId="66F0129E" w:rsidR="00EE5BB8" w:rsidRPr="00C6052E" w:rsidRDefault="00EE5BB8" w:rsidP="00EE5BB8">
      <w:r w:rsidRPr="00C6052E">
        <w:lastRenderedPageBreak/>
        <w:t>Several</w:t>
      </w:r>
      <w:r w:rsidR="00177848" w:rsidRPr="00C6052E">
        <w:t xml:space="preserve"> </w:t>
      </w:r>
      <w:r w:rsidRPr="00C6052E">
        <w:t>factors</w:t>
      </w:r>
      <w:r w:rsidR="00177848" w:rsidRPr="00C6052E">
        <w:t xml:space="preserve"> </w:t>
      </w:r>
      <w:r w:rsidRPr="00C6052E">
        <w:t>affected</w:t>
      </w:r>
      <w:r w:rsidR="00177848" w:rsidRPr="00C6052E">
        <w:t xml:space="preserve"> </w:t>
      </w:r>
      <w:r w:rsidRPr="00C6052E">
        <w:t>total</w:t>
      </w:r>
      <w:r w:rsidR="00177848" w:rsidRPr="00C6052E">
        <w:t xml:space="preserve"> </w:t>
      </w:r>
      <w:r w:rsidRPr="00C6052E">
        <w:t>remuneration</w:t>
      </w:r>
      <w:r w:rsidR="00177848" w:rsidRPr="00C6052E">
        <w:t xml:space="preserve"> </w:t>
      </w:r>
      <w:r w:rsidRPr="00C6052E">
        <w:t>payable</w:t>
      </w:r>
      <w:r w:rsidR="00177848" w:rsidRPr="00C6052E">
        <w:t xml:space="preserve"> </w:t>
      </w:r>
      <w:r w:rsidRPr="00C6052E">
        <w:t>to</w:t>
      </w:r>
      <w:r w:rsidR="00177848" w:rsidRPr="00C6052E">
        <w:t xml:space="preserve"> </w:t>
      </w:r>
      <w:r w:rsidRPr="00C6052E">
        <w:t>executives</w:t>
      </w:r>
      <w:r w:rsidR="00177848" w:rsidRPr="00C6052E">
        <w:t xml:space="preserve"> </w:t>
      </w:r>
      <w:r w:rsidRPr="00C6052E">
        <w:t>over</w:t>
      </w:r>
      <w:r w:rsidR="00177848" w:rsidRPr="00C6052E">
        <w:t xml:space="preserve"> </w:t>
      </w:r>
      <w:r w:rsidRPr="00C6052E">
        <w:t>the</w:t>
      </w:r>
      <w:r w:rsidR="00177848" w:rsidRPr="00C6052E">
        <w:t xml:space="preserve"> </w:t>
      </w:r>
      <w:r w:rsidRPr="00C6052E">
        <w:t>year.</w:t>
      </w:r>
      <w:r w:rsidR="00177848" w:rsidRPr="00C6052E">
        <w:t xml:space="preserve"> </w:t>
      </w:r>
      <w:r w:rsidRPr="00C6052E">
        <w:t>A</w:t>
      </w:r>
      <w:r w:rsidR="00177848" w:rsidRPr="00C6052E">
        <w:t xml:space="preserve"> </w:t>
      </w:r>
      <w:r w:rsidRPr="00C6052E">
        <w:t>number</w:t>
      </w:r>
      <w:r w:rsidR="00177848" w:rsidRPr="00C6052E">
        <w:t xml:space="preserve"> </w:t>
      </w:r>
      <w:r w:rsidRPr="00C6052E">
        <w:t>of</w:t>
      </w:r>
      <w:r w:rsidR="00177848" w:rsidRPr="00C6052E">
        <w:t xml:space="preserve"> </w:t>
      </w:r>
      <w:r w:rsidRPr="00C6052E">
        <w:t>employment</w:t>
      </w:r>
      <w:r w:rsidR="00177848" w:rsidRPr="00C6052E">
        <w:t xml:space="preserve"> </w:t>
      </w:r>
      <w:r w:rsidRPr="00C6052E">
        <w:t>contracts</w:t>
      </w:r>
      <w:r w:rsidR="00177848" w:rsidRPr="00C6052E">
        <w:t xml:space="preserve"> </w:t>
      </w:r>
      <w:r w:rsidRPr="00C6052E">
        <w:t>were</w:t>
      </w:r>
      <w:r w:rsidR="00177848" w:rsidRPr="00C6052E">
        <w:t xml:space="preserve"> </w:t>
      </w:r>
      <w:r w:rsidRPr="00C6052E">
        <w:t>completed</w:t>
      </w:r>
      <w:r w:rsidR="00177848" w:rsidRPr="00C6052E">
        <w:t xml:space="preserve"> </w:t>
      </w:r>
      <w:r w:rsidRPr="00C6052E">
        <w:t>and</w:t>
      </w:r>
      <w:r w:rsidR="00177848" w:rsidRPr="00C6052E">
        <w:t xml:space="preserve"> </w:t>
      </w:r>
      <w:r w:rsidRPr="00C6052E">
        <w:t>a</w:t>
      </w:r>
      <w:r w:rsidR="00177848" w:rsidRPr="00C6052E">
        <w:t xml:space="preserve"> </w:t>
      </w:r>
      <w:r w:rsidRPr="00C6052E">
        <w:t>number</w:t>
      </w:r>
      <w:r w:rsidR="00177848" w:rsidRPr="00C6052E">
        <w:t xml:space="preserve"> </w:t>
      </w:r>
      <w:r w:rsidRPr="00C6052E">
        <w:t>of</w:t>
      </w:r>
      <w:r w:rsidR="00177848" w:rsidRPr="00C6052E">
        <w:t xml:space="preserve"> </w:t>
      </w:r>
      <w:r w:rsidRPr="00C6052E">
        <w:t>executive</w:t>
      </w:r>
      <w:r w:rsidR="00177848" w:rsidRPr="00C6052E">
        <w:t xml:space="preserve"> </w:t>
      </w:r>
      <w:r w:rsidRPr="00C6052E">
        <w:t>officers</w:t>
      </w:r>
      <w:r w:rsidR="00177848" w:rsidRPr="00C6052E">
        <w:t xml:space="preserve"> </w:t>
      </w:r>
      <w:r w:rsidRPr="00C6052E">
        <w:t>retired,</w:t>
      </w:r>
      <w:r w:rsidR="00177848" w:rsidRPr="00C6052E">
        <w:t xml:space="preserve"> </w:t>
      </w:r>
      <w:r w:rsidRPr="00C6052E">
        <w:t>resigned</w:t>
      </w:r>
      <w:r w:rsidR="00177848" w:rsidRPr="00C6052E">
        <w:t xml:space="preserve"> </w:t>
      </w:r>
      <w:r w:rsidRPr="00C6052E">
        <w:t>or</w:t>
      </w:r>
      <w:r w:rsidR="00177848" w:rsidRPr="00C6052E">
        <w:t xml:space="preserve"> </w:t>
      </w:r>
      <w:r w:rsidRPr="00C6052E">
        <w:t>were</w:t>
      </w:r>
      <w:r w:rsidR="00177848" w:rsidRPr="00C6052E">
        <w:t xml:space="preserve"> </w:t>
      </w:r>
      <w:r w:rsidRPr="00C6052E">
        <w:t>retrenched</w:t>
      </w:r>
      <w:r w:rsidR="00177848" w:rsidRPr="00C6052E">
        <w:t xml:space="preserve"> </w:t>
      </w:r>
      <w:r w:rsidRPr="00C6052E">
        <w:t>in</w:t>
      </w:r>
      <w:r w:rsidR="00177848" w:rsidRPr="00C6052E">
        <w:t xml:space="preserve"> </w:t>
      </w:r>
      <w:r w:rsidRPr="00C6052E">
        <w:t>the</w:t>
      </w:r>
      <w:r w:rsidR="00177848" w:rsidRPr="00C6052E">
        <w:t xml:space="preserve"> </w:t>
      </w:r>
      <w:r w:rsidRPr="00C6052E">
        <w:t>past</w:t>
      </w:r>
      <w:r w:rsidR="00177848" w:rsidRPr="00C6052E">
        <w:t xml:space="preserve"> </w:t>
      </w:r>
      <w:r w:rsidRPr="00C6052E">
        <w:t>year.</w:t>
      </w:r>
      <w:r w:rsidR="00177848" w:rsidRPr="00C6052E">
        <w:t xml:space="preserve"> </w:t>
      </w:r>
      <w:r w:rsidRPr="00C6052E">
        <w:t>This</w:t>
      </w:r>
      <w:r w:rsidR="00177848" w:rsidRPr="00C6052E">
        <w:t xml:space="preserve"> </w:t>
      </w:r>
      <w:r w:rsidRPr="00C6052E">
        <w:t>has</w:t>
      </w:r>
      <w:r w:rsidR="00177848" w:rsidRPr="00C6052E">
        <w:t xml:space="preserve"> </w:t>
      </w:r>
      <w:r w:rsidRPr="00C6052E">
        <w:t>had</w:t>
      </w:r>
      <w:r w:rsidR="00177848" w:rsidRPr="00C6052E">
        <w:t xml:space="preserve"> </w:t>
      </w:r>
      <w:r w:rsidRPr="00C6052E">
        <w:t>a</w:t>
      </w:r>
      <w:r w:rsidR="00177848" w:rsidRPr="00C6052E">
        <w:t xml:space="preserve"> </w:t>
      </w:r>
      <w:r w:rsidRPr="00C6052E">
        <w:t>significant</w:t>
      </w:r>
      <w:r w:rsidR="00177848" w:rsidRPr="00C6052E">
        <w:t xml:space="preserve"> </w:t>
      </w:r>
      <w:r w:rsidRPr="00C6052E">
        <w:t>impact</w:t>
      </w:r>
      <w:r w:rsidR="00177848" w:rsidRPr="00C6052E">
        <w:t xml:space="preserve"> </w:t>
      </w:r>
      <w:r w:rsidRPr="00C6052E">
        <w:t>on</w:t>
      </w:r>
      <w:r w:rsidR="00177848" w:rsidRPr="00C6052E">
        <w:t xml:space="preserve"> </w:t>
      </w:r>
      <w:r w:rsidRPr="00C6052E">
        <w:t>remuneration</w:t>
      </w:r>
      <w:r w:rsidR="00177848" w:rsidRPr="00C6052E">
        <w:t xml:space="preserve"> </w:t>
      </w:r>
      <w:r w:rsidRPr="00C6052E">
        <w:t>figures</w:t>
      </w:r>
      <w:r w:rsidR="00177848" w:rsidRPr="00C6052E">
        <w:t xml:space="preserve"> </w:t>
      </w:r>
      <w:r w:rsidRPr="00C6052E">
        <w:t>for</w:t>
      </w:r>
      <w:r w:rsidR="00177848" w:rsidRPr="00C6052E">
        <w:t xml:space="preserve"> </w:t>
      </w:r>
      <w:r w:rsidRPr="00C6052E">
        <w:t>the</w:t>
      </w:r>
      <w:r w:rsidR="00177848" w:rsidRPr="00C6052E">
        <w:t xml:space="preserve"> </w:t>
      </w:r>
      <w:r w:rsidRPr="00C6052E">
        <w:t>termination</w:t>
      </w:r>
      <w:r w:rsidR="00177848" w:rsidRPr="00C6052E">
        <w:t xml:space="preserve"> </w:t>
      </w:r>
      <w:r w:rsidRPr="00C6052E">
        <w:t>benefits</w:t>
      </w:r>
      <w:r w:rsidR="00177848" w:rsidRPr="00C6052E">
        <w:t xml:space="preserve"> </w:t>
      </w:r>
      <w:r w:rsidRPr="00C6052E">
        <w:t>category.</w:t>
      </w:r>
    </w:p>
    <w:p w14:paraId="71BE263B" w14:textId="0FE2B89E" w:rsidR="00EE5BB8" w:rsidRPr="00C6052E" w:rsidRDefault="00C6052E" w:rsidP="00030B7E">
      <w:pPr>
        <w:pStyle w:val="TableColumnHeading"/>
      </w:pPr>
      <w:r w:rsidRPr="00C6052E">
        <w:t>Remuneration</w:t>
      </w:r>
      <w:r w:rsidR="00177848" w:rsidRPr="00C6052E">
        <w:t xml:space="preserve"> </w:t>
      </w:r>
      <w:r w:rsidRPr="00C6052E">
        <w:t>of</w:t>
      </w:r>
      <w:r w:rsidR="00177848" w:rsidRPr="00C6052E">
        <w:t xml:space="preserve"> </w:t>
      </w:r>
      <w:r w:rsidRPr="00C6052E">
        <w:t>executive</w:t>
      </w:r>
      <w:r w:rsidR="00177848" w:rsidRPr="00C6052E">
        <w:t xml:space="preserve"> </w:t>
      </w:r>
      <w:r w:rsidRPr="00C6052E">
        <w:t>officers</w:t>
      </w:r>
      <w:r w:rsidR="00177848" w:rsidRPr="00C6052E">
        <w:t xml:space="preserve"> </w:t>
      </w:r>
      <w:r w:rsidR="00030B7E" w:rsidRPr="00C6052E">
        <w:rPr>
          <w:lang w:val="en-AU"/>
        </w:rPr>
        <w:t>($ thousand)</w:t>
      </w:r>
    </w:p>
    <w:p w14:paraId="26CDA1E4" w14:textId="330F78A1" w:rsidR="00EE5BB8" w:rsidRPr="00C6052E" w:rsidRDefault="00EE5BB8" w:rsidP="00EE5BB8">
      <w:r w:rsidRPr="00C6052E">
        <w:t>(including</w:t>
      </w:r>
      <w:r w:rsidR="00177848" w:rsidRPr="00C6052E">
        <w:t xml:space="preserve"> </w:t>
      </w:r>
      <w:r w:rsidRPr="00C6052E">
        <w:t>Key</w:t>
      </w:r>
      <w:r w:rsidR="00177848" w:rsidRPr="00C6052E">
        <w:t xml:space="preserve"> </w:t>
      </w:r>
      <w:r w:rsidRPr="00C6052E">
        <w:t>Management</w:t>
      </w:r>
      <w:r w:rsidR="00177848" w:rsidRPr="00C6052E">
        <w:t xml:space="preserve"> </w:t>
      </w:r>
      <w:r w:rsidRPr="00C6052E">
        <w:t>Personnel</w:t>
      </w:r>
      <w:r w:rsidR="00177848" w:rsidRPr="00C6052E">
        <w:t xml:space="preserve"> </w:t>
      </w:r>
      <w:r w:rsidRPr="00C6052E">
        <w:t>disclosed</w:t>
      </w:r>
      <w:r w:rsidR="00177848" w:rsidRPr="00C6052E">
        <w:t xml:space="preserve"> </w:t>
      </w:r>
      <w:r w:rsidRPr="00C6052E">
        <w:t>in</w:t>
      </w:r>
      <w:r w:rsidR="00177848" w:rsidRPr="00C6052E">
        <w:t xml:space="preserve"> </w:t>
      </w:r>
      <w:r w:rsidRPr="00C6052E">
        <w:t>Note</w:t>
      </w:r>
      <w:r w:rsidR="00177848" w:rsidRPr="00C6052E">
        <w:t xml:space="preserve"> </w:t>
      </w:r>
      <w:r w:rsidRPr="00C6052E">
        <w:fldChar w:fldCharType="begin"/>
      </w:r>
      <w:r w:rsidRPr="00C6052E">
        <w:instrText xml:space="preserve"> REF _Ref209618299 \r \h </w:instrText>
      </w:r>
      <w:r w:rsidRPr="00C6052E">
        <w:fldChar w:fldCharType="separate"/>
      </w:r>
      <w:r w:rsidRPr="00C6052E">
        <w:t>9.8</w:t>
      </w:r>
      <w:r w:rsidRPr="00C6052E">
        <w:fldChar w:fldCharType="end"/>
      </w:r>
      <w:r w:rsidRPr="00C6052E">
        <w:t>)</w:t>
      </w:r>
      <w:r w:rsidRPr="00C6052E">
        <w:rPr>
          <w:vertAlign w:val="superscript"/>
        </w:rPr>
        <w:t>(</w:t>
      </w:r>
      <w:proofErr w:type="spellStart"/>
      <w:r w:rsidRPr="00C6052E">
        <w:rPr>
          <w:vertAlign w:val="superscript"/>
        </w:rPr>
        <w:t>i</w:t>
      </w:r>
      <w:proofErr w:type="spellEnd"/>
      <w:r w:rsidRPr="00C6052E">
        <w:rPr>
          <w:vertAlign w:val="superscript"/>
        </w:rPr>
        <w:t>)</w:t>
      </w:r>
    </w:p>
    <w:tbl>
      <w:tblPr>
        <w:tblStyle w:val="TableGrid"/>
        <w:tblW w:w="6091" w:type="dxa"/>
        <w:tblLayout w:type="fixed"/>
        <w:tblLook w:val="04E0" w:firstRow="1" w:lastRow="1" w:firstColumn="1" w:lastColumn="0" w:noHBand="0" w:noVBand="1"/>
      </w:tblPr>
      <w:tblGrid>
        <w:gridCol w:w="2977"/>
        <w:gridCol w:w="1557"/>
        <w:gridCol w:w="1557"/>
      </w:tblGrid>
      <w:tr w:rsidR="00EE5BB8" w:rsidRPr="00C6052E" w14:paraId="54D25DDC" w14:textId="77777777" w:rsidTr="00030B7E">
        <w:tc>
          <w:tcPr>
            <w:tcW w:w="2977" w:type="dxa"/>
          </w:tcPr>
          <w:p w14:paraId="3D710AC7" w14:textId="77777777" w:rsidR="00EE5BB8" w:rsidRPr="00C6052E" w:rsidRDefault="00EE5BB8" w:rsidP="0035690A">
            <w:pPr>
              <w:pStyle w:val="TableColumnHeading"/>
            </w:pPr>
            <w:bookmarkStart w:id="380" w:name="TableColumnHeadings_112"/>
            <w:bookmarkEnd w:id="380"/>
          </w:p>
        </w:tc>
        <w:tc>
          <w:tcPr>
            <w:tcW w:w="1557" w:type="dxa"/>
            <w:hideMark/>
          </w:tcPr>
          <w:p w14:paraId="34B742F8" w14:textId="5F7BD84A" w:rsidR="00EE5BB8" w:rsidRPr="00C6052E" w:rsidRDefault="00030B7E" w:rsidP="00030B7E">
            <w:pPr>
              <w:pStyle w:val="TableColumnHeading"/>
              <w:jc w:val="right"/>
            </w:pPr>
            <w:r w:rsidRPr="00C6052E">
              <w:rPr>
                <w:lang w:val="en-AU"/>
              </w:rPr>
              <w:t>Total remuneration</w:t>
            </w:r>
            <w:r>
              <w:rPr>
                <w:lang w:val="en-AU"/>
              </w:rPr>
              <w:br/>
            </w:r>
            <w:r w:rsidR="00EE5BB8" w:rsidRPr="00C6052E">
              <w:t>2025</w:t>
            </w:r>
          </w:p>
        </w:tc>
        <w:tc>
          <w:tcPr>
            <w:tcW w:w="1557" w:type="dxa"/>
            <w:hideMark/>
          </w:tcPr>
          <w:p w14:paraId="7590F34A" w14:textId="6B267C45" w:rsidR="00EE5BB8" w:rsidRPr="00C6052E" w:rsidRDefault="00030B7E" w:rsidP="00030B7E">
            <w:pPr>
              <w:pStyle w:val="TableColumnHeading"/>
              <w:jc w:val="right"/>
            </w:pPr>
            <w:r w:rsidRPr="00C6052E">
              <w:rPr>
                <w:lang w:val="en-AU"/>
              </w:rPr>
              <w:t>Total remuneration</w:t>
            </w:r>
            <w:r>
              <w:rPr>
                <w:lang w:val="en-AU"/>
              </w:rPr>
              <w:br/>
            </w:r>
            <w:r w:rsidR="00EE5BB8" w:rsidRPr="00C6052E">
              <w:t>2024</w:t>
            </w:r>
          </w:p>
        </w:tc>
      </w:tr>
      <w:tr w:rsidR="00EE5BB8" w:rsidRPr="00C6052E" w14:paraId="4DCB728D" w14:textId="77777777" w:rsidTr="00030B7E">
        <w:tc>
          <w:tcPr>
            <w:tcW w:w="2977" w:type="dxa"/>
            <w:hideMark/>
          </w:tcPr>
          <w:p w14:paraId="2567A40E" w14:textId="25366694" w:rsidR="00EE5BB8" w:rsidRPr="00C6052E" w:rsidRDefault="00EE5BB8" w:rsidP="0063097D">
            <w:pPr>
              <w:pStyle w:val="TableCopy"/>
            </w:pPr>
            <w:r w:rsidRPr="00C6052E">
              <w:t>Short–term</w:t>
            </w:r>
            <w:r w:rsidR="00177848" w:rsidRPr="00C6052E">
              <w:t xml:space="preserve"> </w:t>
            </w:r>
            <w:r w:rsidRPr="00C6052E">
              <w:t>employee</w:t>
            </w:r>
            <w:r w:rsidR="00177848" w:rsidRPr="00C6052E">
              <w:t xml:space="preserve"> </w:t>
            </w:r>
            <w:r w:rsidRPr="00C6052E">
              <w:t>benefits</w:t>
            </w:r>
          </w:p>
        </w:tc>
        <w:tc>
          <w:tcPr>
            <w:tcW w:w="1557" w:type="dxa"/>
            <w:noWrap/>
            <w:hideMark/>
          </w:tcPr>
          <w:p w14:paraId="140D6C7A" w14:textId="77777777" w:rsidR="00EE5BB8" w:rsidRPr="00C6052E" w:rsidRDefault="00EE5BB8" w:rsidP="00030B7E">
            <w:pPr>
              <w:pStyle w:val="TableCopy"/>
              <w:jc w:val="right"/>
            </w:pPr>
            <w:r w:rsidRPr="00C6052E">
              <w:t>31,363</w:t>
            </w:r>
          </w:p>
        </w:tc>
        <w:tc>
          <w:tcPr>
            <w:tcW w:w="1557" w:type="dxa"/>
            <w:noWrap/>
            <w:hideMark/>
          </w:tcPr>
          <w:p w14:paraId="6207516B" w14:textId="77777777" w:rsidR="00EE5BB8" w:rsidRPr="00C6052E" w:rsidRDefault="00EE5BB8" w:rsidP="00030B7E">
            <w:pPr>
              <w:pStyle w:val="TableCopy"/>
              <w:jc w:val="right"/>
            </w:pPr>
            <w:r w:rsidRPr="00C6052E">
              <w:t>32,461</w:t>
            </w:r>
          </w:p>
        </w:tc>
      </w:tr>
      <w:tr w:rsidR="00EE5BB8" w:rsidRPr="00C6052E" w14:paraId="5C49CEDE" w14:textId="77777777" w:rsidTr="00030B7E">
        <w:tc>
          <w:tcPr>
            <w:tcW w:w="2977" w:type="dxa"/>
            <w:hideMark/>
          </w:tcPr>
          <w:p w14:paraId="10F66EA8" w14:textId="695CA9BF" w:rsidR="00EE5BB8" w:rsidRPr="00C6052E" w:rsidRDefault="00EE5BB8" w:rsidP="0063097D">
            <w:pPr>
              <w:pStyle w:val="TableCopy"/>
            </w:pPr>
            <w:r w:rsidRPr="00C6052E">
              <w:t>Post–employment</w:t>
            </w:r>
            <w:r w:rsidR="00177848" w:rsidRPr="00C6052E">
              <w:t xml:space="preserve"> </w:t>
            </w:r>
            <w:r w:rsidRPr="00C6052E">
              <w:t>benefits</w:t>
            </w:r>
            <w:r w:rsidR="00177848" w:rsidRPr="00C6052E">
              <w:t xml:space="preserve"> </w:t>
            </w:r>
          </w:p>
        </w:tc>
        <w:tc>
          <w:tcPr>
            <w:tcW w:w="1557" w:type="dxa"/>
            <w:noWrap/>
            <w:hideMark/>
          </w:tcPr>
          <w:p w14:paraId="58FFD7EE" w14:textId="77777777" w:rsidR="00EE5BB8" w:rsidRPr="00C6052E" w:rsidRDefault="00EE5BB8" w:rsidP="00030B7E">
            <w:pPr>
              <w:pStyle w:val="TableCopy"/>
              <w:jc w:val="right"/>
            </w:pPr>
            <w:r w:rsidRPr="00C6052E">
              <w:t>3,283</w:t>
            </w:r>
          </w:p>
        </w:tc>
        <w:tc>
          <w:tcPr>
            <w:tcW w:w="1557" w:type="dxa"/>
            <w:noWrap/>
            <w:hideMark/>
          </w:tcPr>
          <w:p w14:paraId="6A0BA870" w14:textId="77777777" w:rsidR="00EE5BB8" w:rsidRPr="00C6052E" w:rsidRDefault="00EE5BB8" w:rsidP="00030B7E">
            <w:pPr>
              <w:pStyle w:val="TableCopy"/>
              <w:jc w:val="right"/>
            </w:pPr>
            <w:r w:rsidRPr="00C6052E">
              <w:t>3,259</w:t>
            </w:r>
          </w:p>
        </w:tc>
      </w:tr>
      <w:tr w:rsidR="00EE5BB8" w:rsidRPr="00C6052E" w14:paraId="672CDDF3" w14:textId="77777777" w:rsidTr="00030B7E">
        <w:tc>
          <w:tcPr>
            <w:tcW w:w="2977" w:type="dxa"/>
            <w:hideMark/>
          </w:tcPr>
          <w:p w14:paraId="1691EFFF" w14:textId="1EC405DB" w:rsidR="00EE5BB8" w:rsidRPr="00C6052E" w:rsidRDefault="00EE5BB8" w:rsidP="0063097D">
            <w:pPr>
              <w:pStyle w:val="TableCopy"/>
            </w:pPr>
            <w:r w:rsidRPr="00C6052E">
              <w:t>Other</w:t>
            </w:r>
            <w:r w:rsidR="00177848" w:rsidRPr="00C6052E">
              <w:t xml:space="preserve"> </w:t>
            </w:r>
            <w:r w:rsidRPr="00C6052E">
              <w:t>long</w:t>
            </w:r>
            <w:r w:rsidR="00177848" w:rsidRPr="00C6052E">
              <w:t xml:space="preserve"> </w:t>
            </w:r>
            <w:r w:rsidRPr="00C6052E">
              <w:t>term</w:t>
            </w:r>
            <w:r w:rsidR="00177848" w:rsidRPr="00C6052E">
              <w:t xml:space="preserve"> </w:t>
            </w:r>
            <w:r w:rsidRPr="00C6052E">
              <w:t>benefits</w:t>
            </w:r>
          </w:p>
        </w:tc>
        <w:tc>
          <w:tcPr>
            <w:tcW w:w="1557" w:type="dxa"/>
            <w:noWrap/>
            <w:hideMark/>
          </w:tcPr>
          <w:p w14:paraId="77B0B8D7" w14:textId="77777777" w:rsidR="00EE5BB8" w:rsidRPr="00C6052E" w:rsidRDefault="00EE5BB8" w:rsidP="00030B7E">
            <w:pPr>
              <w:pStyle w:val="TableCopy"/>
              <w:jc w:val="right"/>
            </w:pPr>
            <w:r w:rsidRPr="00C6052E">
              <w:t>765</w:t>
            </w:r>
          </w:p>
        </w:tc>
        <w:tc>
          <w:tcPr>
            <w:tcW w:w="1557" w:type="dxa"/>
            <w:noWrap/>
            <w:hideMark/>
          </w:tcPr>
          <w:p w14:paraId="51AFFA94" w14:textId="77777777" w:rsidR="00EE5BB8" w:rsidRPr="00C6052E" w:rsidRDefault="00EE5BB8" w:rsidP="00030B7E">
            <w:pPr>
              <w:pStyle w:val="TableCopy"/>
              <w:jc w:val="right"/>
            </w:pPr>
            <w:r w:rsidRPr="00C6052E">
              <w:t>813</w:t>
            </w:r>
          </w:p>
        </w:tc>
      </w:tr>
      <w:tr w:rsidR="00EE5BB8" w:rsidRPr="00C6052E" w14:paraId="70D01EA4" w14:textId="77777777" w:rsidTr="00030B7E">
        <w:tc>
          <w:tcPr>
            <w:tcW w:w="2977" w:type="dxa"/>
            <w:hideMark/>
          </w:tcPr>
          <w:p w14:paraId="3F4B997B" w14:textId="5ABFBCF8" w:rsidR="00EE5BB8" w:rsidRPr="00C6052E" w:rsidRDefault="00EE5BB8" w:rsidP="0063097D">
            <w:pPr>
              <w:pStyle w:val="TableCopy"/>
            </w:pPr>
            <w:r w:rsidRPr="00C6052E">
              <w:t>Termination</w:t>
            </w:r>
            <w:r w:rsidR="00177848" w:rsidRPr="00C6052E">
              <w:t xml:space="preserve"> </w:t>
            </w:r>
            <w:r w:rsidRPr="00C6052E">
              <w:t>benefits</w:t>
            </w:r>
          </w:p>
        </w:tc>
        <w:tc>
          <w:tcPr>
            <w:tcW w:w="1557" w:type="dxa"/>
            <w:noWrap/>
            <w:hideMark/>
          </w:tcPr>
          <w:p w14:paraId="524BD43B" w14:textId="77777777" w:rsidR="00EE5BB8" w:rsidRPr="00C6052E" w:rsidRDefault="00EE5BB8" w:rsidP="00030B7E">
            <w:pPr>
              <w:pStyle w:val="TableCopy"/>
              <w:jc w:val="right"/>
            </w:pPr>
            <w:r w:rsidRPr="00C6052E">
              <w:t>338</w:t>
            </w:r>
          </w:p>
        </w:tc>
        <w:tc>
          <w:tcPr>
            <w:tcW w:w="1557" w:type="dxa"/>
            <w:noWrap/>
            <w:hideMark/>
          </w:tcPr>
          <w:p w14:paraId="4219BF63" w14:textId="77777777" w:rsidR="00EE5BB8" w:rsidRPr="00C6052E" w:rsidRDefault="00EE5BB8" w:rsidP="00030B7E">
            <w:pPr>
              <w:pStyle w:val="TableCopy"/>
              <w:jc w:val="right"/>
            </w:pPr>
            <w:r w:rsidRPr="00C6052E">
              <w:t>1,341</w:t>
            </w:r>
          </w:p>
        </w:tc>
      </w:tr>
      <w:tr w:rsidR="00EE5BB8" w:rsidRPr="00C6052E" w14:paraId="19CC570D" w14:textId="77777777" w:rsidTr="00030B7E">
        <w:tc>
          <w:tcPr>
            <w:tcW w:w="2977" w:type="dxa"/>
            <w:hideMark/>
          </w:tcPr>
          <w:p w14:paraId="7B346612" w14:textId="7DD076B7" w:rsidR="00EE5BB8" w:rsidRPr="00C6052E" w:rsidRDefault="00EE5BB8" w:rsidP="0063097D">
            <w:pPr>
              <w:pStyle w:val="Tabletotal"/>
            </w:pPr>
            <w:r w:rsidRPr="00C6052E">
              <w:t>Total</w:t>
            </w:r>
            <w:r w:rsidR="00177848" w:rsidRPr="00C6052E">
              <w:t xml:space="preserve"> </w:t>
            </w:r>
            <w:r w:rsidRPr="00C6052E">
              <w:t>remuneration</w:t>
            </w:r>
            <w:r w:rsidRPr="00C6052E">
              <w:rPr>
                <w:vertAlign w:val="superscript"/>
              </w:rPr>
              <w:t>(i)</w:t>
            </w:r>
          </w:p>
        </w:tc>
        <w:tc>
          <w:tcPr>
            <w:tcW w:w="1557" w:type="dxa"/>
            <w:noWrap/>
            <w:hideMark/>
          </w:tcPr>
          <w:p w14:paraId="243CC158" w14:textId="77777777" w:rsidR="00EE5BB8" w:rsidRPr="00C6052E" w:rsidRDefault="00EE5BB8" w:rsidP="00030B7E">
            <w:pPr>
              <w:pStyle w:val="Tabletotal"/>
              <w:jc w:val="right"/>
            </w:pPr>
            <w:r w:rsidRPr="00C6052E">
              <w:t>35,749</w:t>
            </w:r>
          </w:p>
        </w:tc>
        <w:tc>
          <w:tcPr>
            <w:tcW w:w="1557" w:type="dxa"/>
            <w:noWrap/>
            <w:hideMark/>
          </w:tcPr>
          <w:p w14:paraId="49D209BC" w14:textId="77777777" w:rsidR="00EE5BB8" w:rsidRPr="00C6052E" w:rsidRDefault="00EE5BB8" w:rsidP="00030B7E">
            <w:pPr>
              <w:pStyle w:val="Tabletotal"/>
              <w:jc w:val="right"/>
            </w:pPr>
            <w:r w:rsidRPr="00C6052E">
              <w:t>37,875</w:t>
            </w:r>
          </w:p>
        </w:tc>
      </w:tr>
      <w:tr w:rsidR="00EE5BB8" w:rsidRPr="00C6052E" w14:paraId="0CE5273A" w14:textId="77777777" w:rsidTr="00030B7E">
        <w:tc>
          <w:tcPr>
            <w:tcW w:w="2977" w:type="dxa"/>
            <w:hideMark/>
          </w:tcPr>
          <w:p w14:paraId="101CDB87" w14:textId="472A1814" w:rsidR="00EE5BB8" w:rsidRPr="00C6052E" w:rsidRDefault="00EE5BB8" w:rsidP="0063097D">
            <w:pPr>
              <w:pStyle w:val="Tabletotal"/>
            </w:pPr>
            <w:r w:rsidRPr="00C6052E">
              <w:t>Total</w:t>
            </w:r>
            <w:r w:rsidR="00177848" w:rsidRPr="00C6052E">
              <w:t xml:space="preserve"> </w:t>
            </w:r>
            <w:r w:rsidRPr="00C6052E">
              <w:t>number</w:t>
            </w:r>
            <w:r w:rsidR="00177848" w:rsidRPr="00C6052E">
              <w:t xml:space="preserve"> </w:t>
            </w:r>
            <w:r w:rsidRPr="00C6052E">
              <w:t>of</w:t>
            </w:r>
            <w:r w:rsidR="00177848" w:rsidRPr="00C6052E">
              <w:t xml:space="preserve"> </w:t>
            </w:r>
            <w:r w:rsidRPr="00C6052E">
              <w:t>executives</w:t>
            </w:r>
            <w:r w:rsidRPr="00C6052E">
              <w:rPr>
                <w:vertAlign w:val="superscript"/>
              </w:rPr>
              <w:t>(ii)</w:t>
            </w:r>
          </w:p>
        </w:tc>
        <w:tc>
          <w:tcPr>
            <w:tcW w:w="1557" w:type="dxa"/>
            <w:noWrap/>
            <w:hideMark/>
          </w:tcPr>
          <w:p w14:paraId="3E1E7EF1" w14:textId="77777777" w:rsidR="00EE5BB8" w:rsidRPr="00C6052E" w:rsidRDefault="00EE5BB8" w:rsidP="00030B7E">
            <w:pPr>
              <w:pStyle w:val="Tabletotal"/>
              <w:jc w:val="right"/>
            </w:pPr>
            <w:r w:rsidRPr="00C6052E">
              <w:t>156</w:t>
            </w:r>
          </w:p>
        </w:tc>
        <w:tc>
          <w:tcPr>
            <w:tcW w:w="1557" w:type="dxa"/>
            <w:noWrap/>
            <w:hideMark/>
          </w:tcPr>
          <w:p w14:paraId="32F8C688" w14:textId="77777777" w:rsidR="00EE5BB8" w:rsidRPr="00C6052E" w:rsidRDefault="00EE5BB8" w:rsidP="00030B7E">
            <w:pPr>
              <w:pStyle w:val="Tabletotal"/>
              <w:jc w:val="right"/>
            </w:pPr>
            <w:r w:rsidRPr="00C6052E">
              <w:t>168</w:t>
            </w:r>
          </w:p>
        </w:tc>
      </w:tr>
      <w:tr w:rsidR="00EE5BB8" w:rsidRPr="00C6052E" w14:paraId="576C9D2B" w14:textId="77777777" w:rsidTr="00030B7E">
        <w:tc>
          <w:tcPr>
            <w:tcW w:w="2977" w:type="dxa"/>
            <w:hideMark/>
          </w:tcPr>
          <w:p w14:paraId="4E1E8B0D" w14:textId="7ED758F3" w:rsidR="00EE5BB8" w:rsidRPr="00C6052E" w:rsidRDefault="00EE5BB8" w:rsidP="0063097D">
            <w:pPr>
              <w:pStyle w:val="Tabletotal"/>
            </w:pPr>
            <w:r w:rsidRPr="00C6052E">
              <w:t>Total</w:t>
            </w:r>
            <w:r w:rsidR="00177848" w:rsidRPr="00C6052E">
              <w:t xml:space="preserve"> </w:t>
            </w:r>
            <w:r w:rsidRPr="00C6052E">
              <w:t>annualised</w:t>
            </w:r>
            <w:r w:rsidR="00177848" w:rsidRPr="00C6052E">
              <w:t xml:space="preserve"> </w:t>
            </w:r>
            <w:r w:rsidRPr="00C6052E">
              <w:t>employee</w:t>
            </w:r>
            <w:r w:rsidR="00177848" w:rsidRPr="00C6052E">
              <w:t xml:space="preserve"> </w:t>
            </w:r>
            <w:r w:rsidRPr="00C6052E">
              <w:t>equivalent</w:t>
            </w:r>
            <w:r w:rsidR="00177848" w:rsidRPr="00C6052E">
              <w:t xml:space="preserve"> </w:t>
            </w:r>
            <w:r w:rsidRPr="00C6052E">
              <w:t>(AEE)</w:t>
            </w:r>
            <w:r w:rsidRPr="00C6052E">
              <w:rPr>
                <w:vertAlign w:val="superscript"/>
              </w:rPr>
              <w:t>(iii)</w:t>
            </w:r>
          </w:p>
        </w:tc>
        <w:tc>
          <w:tcPr>
            <w:tcW w:w="1557" w:type="dxa"/>
            <w:noWrap/>
            <w:hideMark/>
          </w:tcPr>
          <w:p w14:paraId="04C9474B" w14:textId="77777777" w:rsidR="00EE5BB8" w:rsidRPr="00C6052E" w:rsidRDefault="00EE5BB8" w:rsidP="00030B7E">
            <w:pPr>
              <w:pStyle w:val="Tabletotal"/>
              <w:jc w:val="right"/>
            </w:pPr>
            <w:r w:rsidRPr="00C6052E">
              <w:t>125.9</w:t>
            </w:r>
          </w:p>
        </w:tc>
        <w:tc>
          <w:tcPr>
            <w:tcW w:w="1557" w:type="dxa"/>
            <w:noWrap/>
            <w:hideMark/>
          </w:tcPr>
          <w:p w14:paraId="38C0CC5B" w14:textId="77777777" w:rsidR="00EE5BB8" w:rsidRPr="00C6052E" w:rsidRDefault="00EE5BB8" w:rsidP="00030B7E">
            <w:pPr>
              <w:pStyle w:val="Tabletotal"/>
              <w:jc w:val="right"/>
            </w:pPr>
            <w:r w:rsidRPr="00C6052E">
              <w:t>135.2</w:t>
            </w:r>
          </w:p>
        </w:tc>
      </w:tr>
    </w:tbl>
    <w:p w14:paraId="7CD659DA" w14:textId="77CA9D7F" w:rsidR="00EE5BB8" w:rsidRPr="00C6052E" w:rsidRDefault="00EE5BB8" w:rsidP="00EE5BB8">
      <w:pPr>
        <w:pStyle w:val="Tablenotes-numbered"/>
        <w:numPr>
          <w:ilvl w:val="0"/>
          <w:numId w:val="40"/>
        </w:numPr>
      </w:pPr>
      <w:r w:rsidRPr="00C6052E">
        <w:t>The</w:t>
      </w:r>
      <w:r w:rsidR="00177848" w:rsidRPr="00C6052E">
        <w:t xml:space="preserve"> </w:t>
      </w:r>
      <w:r w:rsidRPr="00C6052E">
        <w:t>total</w:t>
      </w:r>
      <w:r w:rsidR="00177848" w:rsidRPr="00C6052E">
        <w:t xml:space="preserve"> </w:t>
      </w:r>
      <w:r w:rsidRPr="00C6052E">
        <w:t>number</w:t>
      </w:r>
      <w:r w:rsidR="00177848" w:rsidRPr="00C6052E">
        <w:t xml:space="preserve"> </w:t>
      </w:r>
      <w:r w:rsidRPr="00C6052E">
        <w:t>of</w:t>
      </w:r>
      <w:r w:rsidR="00177848" w:rsidRPr="00C6052E">
        <w:t xml:space="preserve"> </w:t>
      </w:r>
      <w:r w:rsidRPr="00C6052E">
        <w:t>executive</w:t>
      </w:r>
      <w:r w:rsidR="00177848" w:rsidRPr="00C6052E">
        <w:t xml:space="preserve"> </w:t>
      </w:r>
      <w:r w:rsidRPr="00C6052E">
        <w:t>officers</w:t>
      </w:r>
      <w:r w:rsidR="00177848" w:rsidRPr="00C6052E">
        <w:t xml:space="preserve"> </w:t>
      </w:r>
      <w:r w:rsidRPr="00C6052E">
        <w:t>includes</w:t>
      </w:r>
      <w:r w:rsidR="00177848" w:rsidRPr="00C6052E">
        <w:t xml:space="preserve"> </w:t>
      </w:r>
      <w:r w:rsidRPr="00C6052E">
        <w:t>persons</w:t>
      </w:r>
      <w:r w:rsidR="00177848" w:rsidRPr="00C6052E">
        <w:t xml:space="preserve"> </w:t>
      </w:r>
      <w:r w:rsidRPr="00C6052E">
        <w:t>who</w:t>
      </w:r>
      <w:r w:rsidR="00177848" w:rsidRPr="00C6052E">
        <w:t xml:space="preserve"> </w:t>
      </w:r>
      <w:r w:rsidRPr="00C6052E">
        <w:t>meet</w:t>
      </w:r>
      <w:r w:rsidR="00177848" w:rsidRPr="00C6052E">
        <w:t xml:space="preserve"> </w:t>
      </w:r>
      <w:r w:rsidRPr="00C6052E">
        <w:t>the</w:t>
      </w:r>
      <w:r w:rsidR="00177848" w:rsidRPr="00C6052E">
        <w:t xml:space="preserve"> </w:t>
      </w:r>
      <w:r w:rsidRPr="00C6052E">
        <w:t>definition</w:t>
      </w:r>
      <w:r w:rsidR="00177848" w:rsidRPr="00C6052E">
        <w:t xml:space="preserve"> </w:t>
      </w:r>
      <w:r w:rsidRPr="00C6052E">
        <w:t>of</w:t>
      </w:r>
      <w:r w:rsidR="00177848" w:rsidRPr="00C6052E">
        <w:t xml:space="preserve"> </w:t>
      </w:r>
      <w:r w:rsidRPr="00C6052E">
        <w:t>Key</w:t>
      </w:r>
      <w:r w:rsidR="00177848" w:rsidRPr="00C6052E">
        <w:t xml:space="preserve"> </w:t>
      </w:r>
      <w:r w:rsidRPr="00C6052E">
        <w:t>Management</w:t>
      </w:r>
      <w:r w:rsidR="00177848" w:rsidRPr="00C6052E">
        <w:t xml:space="preserve"> </w:t>
      </w:r>
      <w:r w:rsidRPr="00C6052E">
        <w:t>Personnel</w:t>
      </w:r>
      <w:r w:rsidR="00177848" w:rsidRPr="00C6052E">
        <w:t xml:space="preserve"> </w:t>
      </w:r>
      <w:r w:rsidRPr="00C6052E">
        <w:t>(KMP)</w:t>
      </w:r>
      <w:r w:rsidR="00177848" w:rsidRPr="00C6052E">
        <w:t xml:space="preserve"> </w:t>
      </w:r>
      <w:r w:rsidRPr="00C6052E">
        <w:t>of</w:t>
      </w:r>
      <w:r w:rsidR="00177848" w:rsidRPr="00C6052E">
        <w:t xml:space="preserve"> </w:t>
      </w:r>
      <w:r w:rsidRPr="00C6052E">
        <w:t>the</w:t>
      </w:r>
      <w:r w:rsidR="00177848" w:rsidRPr="00C6052E">
        <w:t xml:space="preserve"> </w:t>
      </w:r>
      <w:r w:rsidRPr="00C6052E">
        <w:t>entity</w:t>
      </w:r>
      <w:r w:rsidR="00177848" w:rsidRPr="00C6052E">
        <w:t xml:space="preserve"> </w:t>
      </w:r>
      <w:r w:rsidRPr="00C6052E">
        <w:t>under</w:t>
      </w:r>
      <w:r w:rsidR="00177848" w:rsidRPr="00C6052E">
        <w:t xml:space="preserve"> </w:t>
      </w:r>
      <w:r w:rsidRPr="00C6052E">
        <w:t>AASB</w:t>
      </w:r>
      <w:r w:rsidR="00177848" w:rsidRPr="00C6052E">
        <w:t xml:space="preserve"> </w:t>
      </w:r>
      <w:r w:rsidRPr="00C6052E">
        <w:t>124</w:t>
      </w:r>
      <w:r w:rsidR="00177848" w:rsidRPr="00C6052E">
        <w:t xml:space="preserve"> </w:t>
      </w:r>
      <w:r w:rsidRPr="00C6052E">
        <w:t>Related</w:t>
      </w:r>
      <w:r w:rsidR="00177848" w:rsidRPr="00C6052E">
        <w:t xml:space="preserve"> </w:t>
      </w:r>
      <w:r w:rsidRPr="00C6052E">
        <w:t>Party</w:t>
      </w:r>
      <w:r w:rsidR="00177848" w:rsidRPr="00C6052E">
        <w:t xml:space="preserve"> </w:t>
      </w:r>
      <w:r w:rsidRPr="00C6052E">
        <w:t>Disclosures</w:t>
      </w:r>
      <w:r w:rsidR="00177848" w:rsidRPr="00C6052E">
        <w:t xml:space="preserve"> </w:t>
      </w:r>
      <w:r w:rsidRPr="00C6052E">
        <w:t>and</w:t>
      </w:r>
      <w:r w:rsidR="00177848" w:rsidRPr="00C6052E">
        <w:t xml:space="preserve"> </w:t>
      </w:r>
      <w:r w:rsidRPr="00C6052E">
        <w:t>are</w:t>
      </w:r>
      <w:r w:rsidR="00177848" w:rsidRPr="00C6052E">
        <w:t xml:space="preserve"> </w:t>
      </w:r>
      <w:r w:rsidRPr="00C6052E">
        <w:t>also</w:t>
      </w:r>
      <w:r w:rsidR="00177848" w:rsidRPr="00C6052E">
        <w:t xml:space="preserve"> </w:t>
      </w:r>
      <w:r w:rsidRPr="00C6052E">
        <w:t>reported</w:t>
      </w:r>
      <w:r w:rsidR="00177848" w:rsidRPr="00C6052E">
        <w:t xml:space="preserve"> </w:t>
      </w:r>
      <w:r w:rsidRPr="00C6052E">
        <w:t>within</w:t>
      </w:r>
      <w:r w:rsidR="00177848" w:rsidRPr="00C6052E">
        <w:t xml:space="preserve"> </w:t>
      </w:r>
      <w:r w:rsidRPr="00C6052E">
        <w:t>the</w:t>
      </w:r>
      <w:r w:rsidR="00177848" w:rsidRPr="00C6052E">
        <w:t xml:space="preserve"> </w:t>
      </w:r>
      <w:r w:rsidRPr="00C6052E">
        <w:t>related</w:t>
      </w:r>
      <w:r w:rsidR="00177848" w:rsidRPr="00C6052E">
        <w:t xml:space="preserve"> </w:t>
      </w:r>
      <w:r w:rsidRPr="00C6052E">
        <w:t>parties</w:t>
      </w:r>
      <w:r w:rsidR="00177848" w:rsidRPr="00C6052E">
        <w:t xml:space="preserve"> </w:t>
      </w:r>
      <w:r w:rsidRPr="00C6052E">
        <w:t>note</w:t>
      </w:r>
      <w:r w:rsidR="00177848" w:rsidRPr="00C6052E">
        <w:t xml:space="preserve"> </w:t>
      </w:r>
      <w:r w:rsidRPr="00C6052E">
        <w:t>disclosure</w:t>
      </w:r>
      <w:r w:rsidR="00177848" w:rsidRPr="00C6052E">
        <w:t xml:space="preserve"> </w:t>
      </w:r>
      <w:r w:rsidRPr="00C6052E">
        <w:t>(Note</w:t>
      </w:r>
      <w:r w:rsidR="00177848" w:rsidRPr="00C6052E">
        <w:t xml:space="preserve"> </w:t>
      </w:r>
      <w:r w:rsidRPr="00C6052E">
        <w:fldChar w:fldCharType="begin"/>
      </w:r>
      <w:r w:rsidRPr="00C6052E">
        <w:instrText xml:space="preserve"> REF _Ref209618640 \r \h </w:instrText>
      </w:r>
      <w:r w:rsidRPr="00C6052E">
        <w:fldChar w:fldCharType="separate"/>
      </w:r>
      <w:r w:rsidRPr="00C6052E">
        <w:t>9.8</w:t>
      </w:r>
      <w:r w:rsidRPr="00C6052E">
        <w:fldChar w:fldCharType="end"/>
      </w:r>
      <w:r w:rsidRPr="00C6052E">
        <w:t>).</w:t>
      </w:r>
    </w:p>
    <w:p w14:paraId="4641FB3A" w14:textId="6E6A4D7C" w:rsidR="00EE5BB8" w:rsidRPr="00C6052E" w:rsidRDefault="00EE5BB8" w:rsidP="00EE5BB8">
      <w:pPr>
        <w:pStyle w:val="Tablenotes-numbered"/>
        <w:numPr>
          <w:ilvl w:val="0"/>
          <w:numId w:val="40"/>
        </w:numPr>
      </w:pPr>
      <w:r w:rsidRPr="00C6052E">
        <w:t>The</w:t>
      </w:r>
      <w:r w:rsidR="00177848" w:rsidRPr="00C6052E">
        <w:t xml:space="preserve"> </w:t>
      </w:r>
      <w:r w:rsidRPr="00C6052E">
        <w:t>total</w:t>
      </w:r>
      <w:r w:rsidR="00177848" w:rsidRPr="00C6052E">
        <w:t xml:space="preserve"> </w:t>
      </w:r>
      <w:r w:rsidRPr="00C6052E">
        <w:t>number</w:t>
      </w:r>
      <w:r w:rsidR="00177848" w:rsidRPr="00C6052E">
        <w:t xml:space="preserve"> </w:t>
      </w:r>
      <w:r w:rsidRPr="00C6052E">
        <w:t>of</w:t>
      </w:r>
      <w:r w:rsidR="00177848" w:rsidRPr="00C6052E">
        <w:t xml:space="preserve"> </w:t>
      </w:r>
      <w:r w:rsidRPr="00C6052E">
        <w:t>executives</w:t>
      </w:r>
      <w:r w:rsidR="00177848" w:rsidRPr="00C6052E">
        <w:t xml:space="preserve"> </w:t>
      </w:r>
      <w:r w:rsidRPr="00C6052E">
        <w:t>reflects</w:t>
      </w:r>
      <w:r w:rsidR="00177848" w:rsidRPr="00C6052E">
        <w:t xml:space="preserve"> </w:t>
      </w:r>
      <w:r w:rsidRPr="00C6052E">
        <w:t>the</w:t>
      </w:r>
      <w:r w:rsidR="00177848" w:rsidRPr="00C6052E">
        <w:t xml:space="preserve"> </w:t>
      </w:r>
      <w:r w:rsidRPr="00C6052E">
        <w:t>number</w:t>
      </w:r>
      <w:r w:rsidR="00177848" w:rsidRPr="00C6052E">
        <w:t xml:space="preserve"> </w:t>
      </w:r>
      <w:r w:rsidRPr="00C6052E">
        <w:t>of</w:t>
      </w:r>
      <w:r w:rsidR="00177848" w:rsidRPr="00C6052E">
        <w:t xml:space="preserve"> </w:t>
      </w:r>
      <w:r w:rsidRPr="00C6052E">
        <w:t>people</w:t>
      </w:r>
      <w:r w:rsidR="00177848" w:rsidRPr="00C6052E">
        <w:t xml:space="preserve"> </w:t>
      </w:r>
      <w:r w:rsidRPr="00C6052E">
        <w:t>that</w:t>
      </w:r>
      <w:r w:rsidR="00177848" w:rsidRPr="00C6052E">
        <w:t xml:space="preserve"> </w:t>
      </w:r>
      <w:r w:rsidRPr="00C6052E">
        <w:t>held</w:t>
      </w:r>
      <w:r w:rsidR="00177848" w:rsidRPr="00C6052E">
        <w:t xml:space="preserve"> </w:t>
      </w:r>
      <w:r w:rsidRPr="00C6052E">
        <w:t>an</w:t>
      </w:r>
      <w:r w:rsidR="00177848" w:rsidRPr="00C6052E">
        <w:t xml:space="preserve"> </w:t>
      </w:r>
      <w:r w:rsidRPr="00C6052E">
        <w:t>executive</w:t>
      </w:r>
      <w:r w:rsidR="00177848" w:rsidRPr="00C6052E">
        <w:t xml:space="preserve"> </w:t>
      </w:r>
      <w:r w:rsidRPr="00C6052E">
        <w:t>officer</w:t>
      </w:r>
      <w:r w:rsidR="00177848" w:rsidRPr="00C6052E">
        <w:t xml:space="preserve"> </w:t>
      </w:r>
      <w:r w:rsidRPr="00C6052E">
        <w:t>position</w:t>
      </w:r>
      <w:r w:rsidR="00177848" w:rsidRPr="00C6052E">
        <w:t xml:space="preserve"> </w:t>
      </w:r>
      <w:r w:rsidRPr="00C6052E">
        <w:t>which</w:t>
      </w:r>
      <w:r w:rsidR="00177848" w:rsidRPr="00C6052E">
        <w:t xml:space="preserve"> </w:t>
      </w:r>
      <w:r w:rsidRPr="00C6052E">
        <w:t>includes</w:t>
      </w:r>
      <w:r w:rsidR="00177848" w:rsidRPr="00C6052E">
        <w:t xml:space="preserve"> </w:t>
      </w:r>
      <w:r w:rsidRPr="00C6052E">
        <w:t>VPS</w:t>
      </w:r>
      <w:r w:rsidR="00177848" w:rsidRPr="00C6052E">
        <w:t xml:space="preserve"> </w:t>
      </w:r>
      <w:r w:rsidRPr="00C6052E">
        <w:t>employees</w:t>
      </w:r>
      <w:r w:rsidR="00177848" w:rsidRPr="00C6052E">
        <w:t xml:space="preserve"> </w:t>
      </w:r>
      <w:r w:rsidRPr="00C6052E">
        <w:t>acting</w:t>
      </w:r>
      <w:r w:rsidR="00177848" w:rsidRPr="00C6052E">
        <w:t xml:space="preserve"> </w:t>
      </w:r>
      <w:r w:rsidRPr="00C6052E">
        <w:t>in</w:t>
      </w:r>
      <w:r w:rsidR="00177848" w:rsidRPr="00C6052E">
        <w:t xml:space="preserve"> </w:t>
      </w:r>
      <w:r w:rsidRPr="00C6052E">
        <w:t>vacant</w:t>
      </w:r>
      <w:r w:rsidR="00177848" w:rsidRPr="00C6052E">
        <w:t xml:space="preserve"> </w:t>
      </w:r>
      <w:r w:rsidRPr="00C6052E">
        <w:t>executive</w:t>
      </w:r>
      <w:r w:rsidR="00177848" w:rsidRPr="00C6052E">
        <w:t xml:space="preserve"> </w:t>
      </w:r>
      <w:r w:rsidRPr="00C6052E">
        <w:t>officer</w:t>
      </w:r>
      <w:r w:rsidR="00177848" w:rsidRPr="00C6052E">
        <w:t xml:space="preserve"> </w:t>
      </w:r>
      <w:r w:rsidRPr="00C6052E">
        <w:t>positions</w:t>
      </w:r>
      <w:r w:rsidR="00177848" w:rsidRPr="00C6052E">
        <w:t xml:space="preserve"> </w:t>
      </w:r>
      <w:r w:rsidRPr="00C6052E">
        <w:t>during</w:t>
      </w:r>
      <w:r w:rsidR="00177848" w:rsidRPr="00C6052E">
        <w:t xml:space="preserve"> </w:t>
      </w:r>
      <w:r w:rsidRPr="00C6052E">
        <w:t>the</w:t>
      </w:r>
      <w:r w:rsidR="00177848" w:rsidRPr="00C6052E">
        <w:t xml:space="preserve"> </w:t>
      </w:r>
      <w:r w:rsidRPr="00C6052E">
        <w:t>reporting</w:t>
      </w:r>
      <w:r w:rsidR="00177848" w:rsidRPr="00C6052E">
        <w:t xml:space="preserve"> </w:t>
      </w:r>
      <w:r w:rsidRPr="00C6052E">
        <w:t>period.</w:t>
      </w:r>
      <w:r w:rsidR="00177848" w:rsidRPr="00C6052E">
        <w:t xml:space="preserve"> </w:t>
      </w:r>
    </w:p>
    <w:p w14:paraId="6C4FC3CC" w14:textId="01FD9EDE" w:rsidR="00EE5BB8" w:rsidRPr="00C6052E" w:rsidRDefault="00EE5BB8" w:rsidP="00EE5BB8">
      <w:pPr>
        <w:pStyle w:val="Tablenotes-numbered"/>
        <w:numPr>
          <w:ilvl w:val="0"/>
          <w:numId w:val="40"/>
        </w:numPr>
      </w:pPr>
      <w:r w:rsidRPr="00C6052E">
        <w:t>Annualised</w:t>
      </w:r>
      <w:r w:rsidR="00177848" w:rsidRPr="00C6052E">
        <w:t xml:space="preserve"> </w:t>
      </w:r>
      <w:r w:rsidRPr="00C6052E">
        <w:t>employee</w:t>
      </w:r>
      <w:r w:rsidR="00177848" w:rsidRPr="00C6052E">
        <w:t xml:space="preserve"> </w:t>
      </w:r>
      <w:r w:rsidRPr="00C6052E">
        <w:t>equivalent</w:t>
      </w:r>
      <w:r w:rsidR="00177848" w:rsidRPr="00C6052E">
        <w:t xml:space="preserve"> </w:t>
      </w:r>
      <w:r w:rsidRPr="00C6052E">
        <w:t>is</w:t>
      </w:r>
      <w:r w:rsidR="00177848" w:rsidRPr="00C6052E">
        <w:t xml:space="preserve"> </w:t>
      </w:r>
      <w:r w:rsidRPr="00C6052E">
        <w:t>based</w:t>
      </w:r>
      <w:r w:rsidR="00177848" w:rsidRPr="00C6052E">
        <w:t xml:space="preserve"> </w:t>
      </w:r>
      <w:r w:rsidRPr="00C6052E">
        <w:t>on</w:t>
      </w:r>
      <w:r w:rsidR="00177848" w:rsidRPr="00C6052E">
        <w:t xml:space="preserve"> </w:t>
      </w:r>
      <w:r w:rsidRPr="00C6052E">
        <w:t>the</w:t>
      </w:r>
      <w:r w:rsidR="00177848" w:rsidRPr="00C6052E">
        <w:t xml:space="preserve"> </w:t>
      </w:r>
      <w:r w:rsidRPr="00C6052E">
        <w:t>time</w:t>
      </w:r>
      <w:r w:rsidR="00177848" w:rsidRPr="00C6052E">
        <w:t xml:space="preserve"> </w:t>
      </w:r>
      <w:r w:rsidRPr="00C6052E">
        <w:t>fraction</w:t>
      </w:r>
      <w:r w:rsidR="00177848" w:rsidRPr="00C6052E">
        <w:t xml:space="preserve"> </w:t>
      </w:r>
      <w:r w:rsidRPr="00C6052E">
        <w:t>worked</w:t>
      </w:r>
      <w:r w:rsidR="00177848" w:rsidRPr="00C6052E">
        <w:t xml:space="preserve"> </w:t>
      </w:r>
      <w:r w:rsidRPr="00C6052E">
        <w:t>over</w:t>
      </w:r>
      <w:r w:rsidR="00177848" w:rsidRPr="00C6052E">
        <w:t xml:space="preserve"> </w:t>
      </w:r>
      <w:r w:rsidRPr="00C6052E">
        <w:t>the</w:t>
      </w:r>
      <w:r w:rsidR="00177848" w:rsidRPr="00C6052E">
        <w:t xml:space="preserve"> </w:t>
      </w:r>
      <w:r w:rsidRPr="00C6052E">
        <w:t>reporting</w:t>
      </w:r>
      <w:r w:rsidR="00177848" w:rsidRPr="00C6052E">
        <w:t xml:space="preserve"> </w:t>
      </w:r>
      <w:r w:rsidRPr="00C6052E">
        <w:t>period</w:t>
      </w:r>
      <w:r w:rsidR="00177848" w:rsidRPr="00C6052E">
        <w:t xml:space="preserve"> </w:t>
      </w:r>
      <w:r w:rsidRPr="00C6052E">
        <w:t>for</w:t>
      </w:r>
      <w:r w:rsidR="00177848" w:rsidRPr="00C6052E">
        <w:t xml:space="preserve"> </w:t>
      </w:r>
      <w:r w:rsidRPr="00C6052E">
        <w:t>FY</w:t>
      </w:r>
      <w:fldSimple w:instr=" DOCPROPERTY  CYHeading_A  \* MERGEFORMAT ">
        <w:r w:rsidRPr="00C6052E">
          <w:t>2024–25</w:t>
        </w:r>
      </w:fldSimple>
      <w:r w:rsidR="00177848" w:rsidRPr="00C6052E">
        <w:t xml:space="preserve"> </w:t>
      </w:r>
      <w:r w:rsidRPr="00C6052E">
        <w:t>hence</w:t>
      </w:r>
      <w:r w:rsidR="00177848" w:rsidRPr="00C6052E">
        <w:t xml:space="preserve"> </w:t>
      </w:r>
      <w:r w:rsidRPr="00C6052E">
        <w:t>the</w:t>
      </w:r>
      <w:r w:rsidR="00177848" w:rsidRPr="00C6052E">
        <w:t xml:space="preserve"> </w:t>
      </w:r>
      <w:r w:rsidRPr="00C6052E">
        <w:t>number</w:t>
      </w:r>
      <w:r w:rsidR="00177848" w:rsidRPr="00C6052E">
        <w:t xml:space="preserve"> </w:t>
      </w:r>
      <w:r w:rsidRPr="00C6052E">
        <w:t>is</w:t>
      </w:r>
      <w:r w:rsidR="00177848" w:rsidRPr="00C6052E">
        <w:t xml:space="preserve"> </w:t>
      </w:r>
      <w:r w:rsidRPr="00C6052E">
        <w:t>comparatively</w:t>
      </w:r>
      <w:r w:rsidR="00177848" w:rsidRPr="00C6052E">
        <w:t xml:space="preserve"> </w:t>
      </w:r>
      <w:r w:rsidRPr="00C6052E">
        <w:t>less</w:t>
      </w:r>
      <w:r w:rsidR="00177848" w:rsidRPr="00C6052E">
        <w:t xml:space="preserve"> </w:t>
      </w:r>
      <w:r w:rsidRPr="00C6052E">
        <w:t>than</w:t>
      </w:r>
      <w:r w:rsidR="00177848" w:rsidRPr="00C6052E">
        <w:t xml:space="preserve"> </w:t>
      </w:r>
      <w:r w:rsidRPr="00C6052E">
        <w:t>the</w:t>
      </w:r>
      <w:r w:rsidR="00177848" w:rsidRPr="00C6052E">
        <w:t xml:space="preserve"> </w:t>
      </w:r>
      <w:r w:rsidRPr="00C6052E">
        <w:t>total</w:t>
      </w:r>
      <w:r w:rsidR="00177848" w:rsidRPr="00C6052E">
        <w:t xml:space="preserve"> </w:t>
      </w:r>
      <w:r w:rsidRPr="00C6052E">
        <w:t>number</w:t>
      </w:r>
      <w:r w:rsidR="00177848" w:rsidRPr="00C6052E">
        <w:t xml:space="preserve"> </w:t>
      </w:r>
      <w:r w:rsidRPr="00C6052E">
        <w:t>of</w:t>
      </w:r>
      <w:r w:rsidR="00177848" w:rsidRPr="00C6052E">
        <w:t xml:space="preserve"> </w:t>
      </w:r>
      <w:r w:rsidRPr="00C6052E">
        <w:t>executives.</w:t>
      </w:r>
    </w:p>
    <w:p w14:paraId="5AD42388" w14:textId="7EBD5363" w:rsidR="00EE5BB8" w:rsidRPr="00C6052E" w:rsidRDefault="00EE5BB8" w:rsidP="00C6052E">
      <w:pPr>
        <w:pStyle w:val="Heading2numbered0"/>
      </w:pPr>
      <w:bookmarkStart w:id="381" w:name="_Toc163566000"/>
      <w:bookmarkStart w:id="382" w:name="_Ref190163588"/>
      <w:bookmarkStart w:id="383" w:name="_Ref209618299"/>
      <w:bookmarkStart w:id="384" w:name="_Ref209618640"/>
      <w:bookmarkStart w:id="385" w:name="_Ref209710811"/>
      <w:bookmarkStart w:id="386" w:name="_Ref209710818"/>
      <w:bookmarkStart w:id="387" w:name="_Ref210203829"/>
      <w:r w:rsidRPr="00C6052E">
        <w:t>Related</w:t>
      </w:r>
      <w:r w:rsidR="00177848" w:rsidRPr="00C6052E">
        <w:t xml:space="preserve"> </w:t>
      </w:r>
      <w:r w:rsidRPr="00C6052E">
        <w:t>parties</w:t>
      </w:r>
      <w:bookmarkEnd w:id="381"/>
      <w:bookmarkEnd w:id="382"/>
      <w:bookmarkEnd w:id="383"/>
      <w:bookmarkEnd w:id="384"/>
      <w:bookmarkEnd w:id="385"/>
      <w:bookmarkEnd w:id="386"/>
      <w:bookmarkEnd w:id="387"/>
    </w:p>
    <w:p w14:paraId="1763FFA9" w14:textId="7871A59E" w:rsidR="00EE5BB8" w:rsidRPr="00C6052E" w:rsidRDefault="00EE5BB8" w:rsidP="00EE5BB8">
      <w:r w:rsidRPr="00C6052E">
        <w:t>DJSIR</w:t>
      </w:r>
      <w:r w:rsidR="00177848" w:rsidRPr="00C6052E">
        <w:t xml:space="preserve"> </w:t>
      </w:r>
      <w:r w:rsidRPr="00C6052E">
        <w:t>is</w:t>
      </w:r>
      <w:r w:rsidR="00177848" w:rsidRPr="00C6052E">
        <w:t xml:space="preserve"> </w:t>
      </w:r>
      <w:r w:rsidRPr="00C6052E">
        <w:t>a</w:t>
      </w:r>
      <w:r w:rsidR="00177848" w:rsidRPr="00C6052E">
        <w:t xml:space="preserve"> </w:t>
      </w:r>
      <w:r w:rsidRPr="00C6052E">
        <w:t>wholly</w:t>
      </w:r>
      <w:r w:rsidR="00177848" w:rsidRPr="00C6052E">
        <w:t xml:space="preserve"> </w:t>
      </w:r>
      <w:r w:rsidRPr="00C6052E">
        <w:t>owned</w:t>
      </w:r>
      <w:r w:rsidR="00177848" w:rsidRPr="00C6052E">
        <w:t xml:space="preserve"> </w:t>
      </w:r>
      <w:r w:rsidRPr="00C6052E">
        <w:t>and</w:t>
      </w:r>
      <w:r w:rsidR="00177848" w:rsidRPr="00C6052E">
        <w:t xml:space="preserve"> </w:t>
      </w:r>
      <w:r w:rsidRPr="00C6052E">
        <w:t>controlled</w:t>
      </w:r>
      <w:r w:rsidR="00177848" w:rsidRPr="00C6052E">
        <w:t xml:space="preserve"> </w:t>
      </w:r>
      <w:r w:rsidRPr="00C6052E">
        <w:t>entity</w:t>
      </w:r>
      <w:r w:rsidR="00177848" w:rsidRPr="00C6052E">
        <w:t xml:space="preserve"> </w:t>
      </w:r>
      <w:r w:rsidRPr="00C6052E">
        <w:t>of</w:t>
      </w:r>
      <w:r w:rsidR="00177848" w:rsidRPr="00C6052E">
        <w:t xml:space="preserve"> </w:t>
      </w:r>
      <w:r w:rsidRPr="00C6052E">
        <w:t>the</w:t>
      </w:r>
      <w:r w:rsidR="00177848" w:rsidRPr="00C6052E">
        <w:t xml:space="preserve"> </w:t>
      </w:r>
      <w:r w:rsidRPr="00C6052E">
        <w:t>State</w:t>
      </w:r>
      <w:r w:rsidR="00177848" w:rsidRPr="00C6052E">
        <w:t xml:space="preserve"> </w:t>
      </w:r>
      <w:r w:rsidRPr="00C6052E">
        <w:t>of</w:t>
      </w:r>
      <w:r w:rsidR="00177848" w:rsidRPr="00C6052E">
        <w:t xml:space="preserve"> </w:t>
      </w:r>
      <w:r w:rsidRPr="00C6052E">
        <w:t>Victoria.</w:t>
      </w:r>
      <w:r w:rsidR="00177848" w:rsidRPr="00C6052E">
        <w:t xml:space="preserve"> </w:t>
      </w:r>
    </w:p>
    <w:p w14:paraId="7253B568" w14:textId="77DDC669" w:rsidR="00EE5BB8" w:rsidRPr="00C6052E" w:rsidRDefault="00EE5BB8" w:rsidP="0028635E">
      <w:pPr>
        <w:pStyle w:val="Normalbeforebullets"/>
      </w:pPr>
      <w:r w:rsidRPr="00C6052E">
        <w:t>The</w:t>
      </w:r>
      <w:r w:rsidR="00177848" w:rsidRPr="00C6052E">
        <w:t xml:space="preserve"> </w:t>
      </w:r>
      <w:r w:rsidRPr="00C6052E">
        <w:t>following</w:t>
      </w:r>
      <w:r w:rsidR="00177848" w:rsidRPr="00C6052E">
        <w:t xml:space="preserve"> </w:t>
      </w:r>
      <w:r w:rsidRPr="00C6052E">
        <w:t>agencies</w:t>
      </w:r>
      <w:r w:rsidR="00177848" w:rsidRPr="00C6052E">
        <w:t xml:space="preserve"> </w:t>
      </w:r>
      <w:r w:rsidRPr="00C6052E">
        <w:t>have</w:t>
      </w:r>
      <w:r w:rsidR="00177848" w:rsidRPr="00C6052E">
        <w:t xml:space="preserve"> </w:t>
      </w:r>
      <w:r w:rsidRPr="00C6052E">
        <w:t>been</w:t>
      </w:r>
      <w:r w:rsidR="00177848" w:rsidRPr="00C6052E">
        <w:t xml:space="preserve"> </w:t>
      </w:r>
      <w:r w:rsidRPr="00C6052E">
        <w:t>consolidated</w:t>
      </w:r>
      <w:r w:rsidR="00177848" w:rsidRPr="00C6052E">
        <w:t xml:space="preserve"> </w:t>
      </w:r>
      <w:r w:rsidRPr="00C6052E">
        <w:t>into</w:t>
      </w:r>
      <w:r w:rsidR="00177848" w:rsidRPr="00C6052E">
        <w:t xml:space="preserve"> </w:t>
      </w:r>
      <w:r w:rsidRPr="00C6052E">
        <w:t>DJSIR’s</w:t>
      </w:r>
      <w:r w:rsidR="00177848" w:rsidRPr="00C6052E">
        <w:t xml:space="preserve"> </w:t>
      </w:r>
      <w:r w:rsidRPr="00C6052E">
        <w:t>financial</w:t>
      </w:r>
      <w:r w:rsidR="00177848" w:rsidRPr="00C6052E">
        <w:t xml:space="preserve"> </w:t>
      </w:r>
      <w:r w:rsidRPr="00C6052E">
        <w:t>statements</w:t>
      </w:r>
      <w:r w:rsidR="00177848" w:rsidRPr="00C6052E">
        <w:t xml:space="preserve"> </w:t>
      </w:r>
      <w:r w:rsidRPr="00C6052E">
        <w:t>pursuant</w:t>
      </w:r>
      <w:r w:rsidR="00177848" w:rsidRPr="00C6052E">
        <w:t xml:space="preserve"> </w:t>
      </w:r>
      <w:r w:rsidRPr="00C6052E">
        <w:t>to</w:t>
      </w:r>
      <w:r w:rsidR="00177848" w:rsidRPr="00C6052E">
        <w:t xml:space="preserve"> </w:t>
      </w:r>
      <w:r w:rsidRPr="00C6052E">
        <w:t>the</w:t>
      </w:r>
      <w:r w:rsidR="00177848" w:rsidRPr="00C6052E">
        <w:t xml:space="preserve"> </w:t>
      </w:r>
      <w:r w:rsidRPr="00C6052E">
        <w:t>determination</w:t>
      </w:r>
      <w:r w:rsidR="00177848" w:rsidRPr="00C6052E">
        <w:t xml:space="preserve"> </w:t>
      </w:r>
      <w:r w:rsidRPr="00C6052E">
        <w:t>made</w:t>
      </w:r>
      <w:r w:rsidR="00177848" w:rsidRPr="00C6052E">
        <w:t xml:space="preserve"> </w:t>
      </w:r>
      <w:r w:rsidRPr="00C6052E">
        <w:t>by</w:t>
      </w:r>
      <w:r w:rsidR="00177848" w:rsidRPr="00C6052E">
        <w:t xml:space="preserve"> </w:t>
      </w:r>
      <w:r w:rsidRPr="00C6052E">
        <w:t>the</w:t>
      </w:r>
      <w:r w:rsidR="00177848" w:rsidRPr="00C6052E">
        <w:t xml:space="preserve"> </w:t>
      </w:r>
      <w:r w:rsidRPr="00C6052E">
        <w:t>Minister</w:t>
      </w:r>
      <w:r w:rsidR="00177848" w:rsidRPr="00C6052E">
        <w:t xml:space="preserve"> </w:t>
      </w:r>
      <w:r w:rsidRPr="00C6052E">
        <w:t>for</w:t>
      </w:r>
      <w:r w:rsidR="00177848" w:rsidRPr="00C6052E">
        <w:t xml:space="preserve"> </w:t>
      </w:r>
      <w:r w:rsidRPr="00C6052E">
        <w:t>Finance</w:t>
      </w:r>
      <w:r w:rsidR="00177848" w:rsidRPr="00C6052E">
        <w:t xml:space="preserve"> </w:t>
      </w:r>
      <w:r w:rsidRPr="00C6052E">
        <w:t>under</w:t>
      </w:r>
      <w:r w:rsidR="00177848" w:rsidRPr="00C6052E">
        <w:t xml:space="preserve"> </w:t>
      </w:r>
      <w:r w:rsidRPr="00C6052E">
        <w:t>section</w:t>
      </w:r>
      <w:r w:rsidR="00177848" w:rsidRPr="00C6052E">
        <w:t xml:space="preserve"> </w:t>
      </w:r>
      <w:r w:rsidRPr="00C6052E">
        <w:t>53(1)(b)</w:t>
      </w:r>
      <w:r w:rsidR="00177848" w:rsidRPr="00C6052E">
        <w:t xml:space="preserve"> </w:t>
      </w:r>
      <w:r w:rsidRPr="00C6052E">
        <w:t>of</w:t>
      </w:r>
      <w:r w:rsidR="00177848" w:rsidRPr="00C6052E">
        <w:t xml:space="preserve"> </w:t>
      </w:r>
      <w:r w:rsidRPr="00C6052E">
        <w:t>the</w:t>
      </w:r>
      <w:r w:rsidR="00177848" w:rsidRPr="00C6052E">
        <w:t xml:space="preserve"> </w:t>
      </w:r>
      <w:r w:rsidRPr="00C6052E">
        <w:rPr>
          <w:rStyle w:val="Italics"/>
        </w:rPr>
        <w:t>Financial</w:t>
      </w:r>
      <w:r w:rsidR="00177848" w:rsidRPr="00C6052E">
        <w:rPr>
          <w:rStyle w:val="Italics"/>
        </w:rPr>
        <w:t xml:space="preserve"> </w:t>
      </w:r>
      <w:r w:rsidRPr="00C6052E">
        <w:rPr>
          <w:rStyle w:val="Italics"/>
        </w:rPr>
        <w:t>Management</w:t>
      </w:r>
      <w:r w:rsidR="00177848" w:rsidRPr="00C6052E">
        <w:rPr>
          <w:rStyle w:val="Italics"/>
        </w:rPr>
        <w:t xml:space="preserve"> </w:t>
      </w:r>
      <w:r w:rsidRPr="00C6052E">
        <w:rPr>
          <w:rStyle w:val="Italics"/>
        </w:rPr>
        <w:t>Act</w:t>
      </w:r>
      <w:r w:rsidR="00177848" w:rsidRPr="00C6052E">
        <w:rPr>
          <w:rStyle w:val="Italics"/>
          <w:rFonts w:ascii="Arial" w:hAnsi="Arial"/>
        </w:rPr>
        <w:t xml:space="preserve"> </w:t>
      </w:r>
      <w:r w:rsidRPr="00C6052E">
        <w:rPr>
          <w:rStyle w:val="Italics"/>
        </w:rPr>
        <w:t>1994</w:t>
      </w:r>
      <w:r w:rsidR="00177848" w:rsidRPr="00C6052E">
        <w:t xml:space="preserve"> </w:t>
      </w:r>
      <w:r w:rsidRPr="00C6052E">
        <w:t>(FMA):</w:t>
      </w:r>
      <w:r w:rsidR="00177848" w:rsidRPr="00C6052E">
        <w:t xml:space="preserve"> </w:t>
      </w:r>
    </w:p>
    <w:p w14:paraId="10634DC5" w14:textId="3105A6DB" w:rsidR="00EE5BB8" w:rsidRPr="00C6052E" w:rsidRDefault="00EE5BB8" w:rsidP="00EE5BB8">
      <w:pPr>
        <w:pStyle w:val="Bullet1last"/>
        <w:numPr>
          <w:ilvl w:val="0"/>
          <w:numId w:val="1"/>
        </w:numPr>
        <w:spacing w:line="278" w:lineRule="auto"/>
        <w:ind w:left="284" w:hanging="284"/>
        <w:rPr>
          <w:lang w:val="en-AU"/>
        </w:rPr>
      </w:pPr>
      <w:r w:rsidRPr="00C6052E">
        <w:rPr>
          <w:lang w:val="en-AU"/>
        </w:rPr>
        <w:t>Victoria</w:t>
      </w:r>
      <w:r w:rsidR="00177848" w:rsidRPr="00C6052E">
        <w:rPr>
          <w:lang w:val="en-AU"/>
        </w:rPr>
        <w:t xml:space="preserve"> </w:t>
      </w:r>
      <w:r w:rsidRPr="00C6052E">
        <w:rPr>
          <w:lang w:val="en-AU"/>
        </w:rPr>
        <w:t>2026</w:t>
      </w:r>
      <w:r w:rsidR="00177848" w:rsidRPr="00C6052E">
        <w:rPr>
          <w:lang w:val="en-AU"/>
        </w:rPr>
        <w:t xml:space="preserve"> </w:t>
      </w:r>
      <w:r w:rsidRPr="00C6052E">
        <w:rPr>
          <w:lang w:val="en-AU"/>
        </w:rPr>
        <w:t>(until</w:t>
      </w:r>
      <w:r w:rsidR="00177848" w:rsidRPr="00C6052E">
        <w:rPr>
          <w:lang w:val="en-AU"/>
        </w:rPr>
        <w:t xml:space="preserve"> </w:t>
      </w:r>
      <w:r w:rsidRPr="00C6052E">
        <w:rPr>
          <w:lang w:val="en-AU"/>
        </w:rPr>
        <w:t>21</w:t>
      </w:r>
      <w:r w:rsidR="00177848" w:rsidRPr="00C6052E">
        <w:rPr>
          <w:lang w:val="en-AU"/>
        </w:rPr>
        <w:t xml:space="preserve"> </w:t>
      </w:r>
      <w:r w:rsidRPr="00C6052E">
        <w:rPr>
          <w:lang w:val="en-AU"/>
        </w:rPr>
        <w:t>August</w:t>
      </w:r>
      <w:r w:rsidR="00177848" w:rsidRPr="00C6052E">
        <w:rPr>
          <w:lang w:val="en-AU"/>
        </w:rPr>
        <w:t xml:space="preserve"> </w:t>
      </w:r>
      <w:r w:rsidRPr="00C6052E">
        <w:rPr>
          <w:lang w:val="en-AU"/>
        </w:rPr>
        <w:t>2024)</w:t>
      </w:r>
    </w:p>
    <w:p w14:paraId="4CAB4320" w14:textId="324DD4F7" w:rsidR="00EE5BB8" w:rsidRPr="00C6052E" w:rsidRDefault="00EE5BB8" w:rsidP="0028635E">
      <w:pPr>
        <w:pStyle w:val="Normalbeforebullets"/>
      </w:pPr>
      <w:r w:rsidRPr="00C6052E">
        <w:t>Related</w:t>
      </w:r>
      <w:r w:rsidR="00177848" w:rsidRPr="00C6052E">
        <w:t xml:space="preserve"> </w:t>
      </w:r>
      <w:r w:rsidRPr="00C6052E">
        <w:t>parties</w:t>
      </w:r>
      <w:r w:rsidR="00177848" w:rsidRPr="00C6052E">
        <w:t xml:space="preserve"> </w:t>
      </w:r>
      <w:r w:rsidRPr="00C6052E">
        <w:t>of</w:t>
      </w:r>
      <w:r w:rsidR="00177848" w:rsidRPr="00C6052E">
        <w:t xml:space="preserve"> </w:t>
      </w:r>
      <w:r w:rsidRPr="00C6052E">
        <w:t>DJSIR,</w:t>
      </w:r>
      <w:r w:rsidR="00177848" w:rsidRPr="00C6052E">
        <w:t xml:space="preserve"> </w:t>
      </w:r>
      <w:r w:rsidRPr="00C6052E">
        <w:t>Victoria</w:t>
      </w:r>
      <w:r w:rsidR="00177848" w:rsidRPr="00C6052E">
        <w:t xml:space="preserve"> </w:t>
      </w:r>
      <w:r w:rsidRPr="00C6052E">
        <w:t>2026</w:t>
      </w:r>
      <w:r w:rsidR="00177848" w:rsidRPr="00C6052E">
        <w:t xml:space="preserve"> </w:t>
      </w:r>
      <w:r w:rsidRPr="00C6052E">
        <w:t>(until</w:t>
      </w:r>
      <w:r w:rsidR="00177848" w:rsidRPr="00C6052E">
        <w:t xml:space="preserve"> </w:t>
      </w:r>
      <w:r w:rsidRPr="00C6052E">
        <w:t>21</w:t>
      </w:r>
      <w:r w:rsidR="00177848" w:rsidRPr="00C6052E">
        <w:t xml:space="preserve"> </w:t>
      </w:r>
      <w:r w:rsidRPr="00C6052E">
        <w:t>August</w:t>
      </w:r>
      <w:r w:rsidR="00177848" w:rsidRPr="00C6052E">
        <w:t xml:space="preserve"> </w:t>
      </w:r>
      <w:r w:rsidRPr="00C6052E">
        <w:t>2024)</w:t>
      </w:r>
      <w:r w:rsidR="00177848" w:rsidRPr="00C6052E">
        <w:t xml:space="preserve"> </w:t>
      </w:r>
      <w:r w:rsidRPr="00C6052E">
        <w:t>include:</w:t>
      </w:r>
    </w:p>
    <w:p w14:paraId="613B042E" w14:textId="267F5BD5" w:rsidR="00EE5BB8" w:rsidRPr="00C6052E" w:rsidRDefault="00EE5BB8" w:rsidP="00EE5BB8">
      <w:pPr>
        <w:pStyle w:val="Bullet1"/>
        <w:numPr>
          <w:ilvl w:val="0"/>
          <w:numId w:val="1"/>
        </w:numPr>
        <w:spacing w:line="278" w:lineRule="auto"/>
        <w:ind w:left="284" w:hanging="284"/>
        <w:rPr>
          <w:lang w:val="en-AU"/>
        </w:rPr>
      </w:pPr>
      <w:r w:rsidRPr="00C6052E">
        <w:rPr>
          <w:lang w:val="en-AU"/>
        </w:rPr>
        <w:t>all</w:t>
      </w:r>
      <w:r w:rsidR="00177848" w:rsidRPr="00C6052E">
        <w:rPr>
          <w:lang w:val="en-AU"/>
        </w:rPr>
        <w:t xml:space="preserve"> </w:t>
      </w:r>
      <w:r w:rsidRPr="00C6052E">
        <w:rPr>
          <w:lang w:val="en-AU"/>
        </w:rPr>
        <w:t>key</w:t>
      </w:r>
      <w:r w:rsidR="00177848" w:rsidRPr="00C6052E">
        <w:rPr>
          <w:lang w:val="en-AU"/>
        </w:rPr>
        <w:t xml:space="preserve"> </w:t>
      </w:r>
      <w:r w:rsidRPr="00C6052E">
        <w:rPr>
          <w:lang w:val="en-AU"/>
        </w:rPr>
        <w:t>management</w:t>
      </w:r>
      <w:r w:rsidR="00177848" w:rsidRPr="00C6052E">
        <w:rPr>
          <w:lang w:val="en-AU"/>
        </w:rPr>
        <w:t xml:space="preserve"> </w:t>
      </w:r>
      <w:r w:rsidRPr="00C6052E">
        <w:rPr>
          <w:lang w:val="en-AU"/>
        </w:rPr>
        <w:t>personnel</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their</w:t>
      </w:r>
      <w:r w:rsidR="00177848" w:rsidRPr="00C6052E">
        <w:rPr>
          <w:lang w:val="en-AU"/>
        </w:rPr>
        <w:t xml:space="preserve"> </w:t>
      </w:r>
      <w:r w:rsidRPr="00C6052E">
        <w:rPr>
          <w:lang w:val="en-AU"/>
        </w:rPr>
        <w:t>close</w:t>
      </w:r>
      <w:r w:rsidR="00177848" w:rsidRPr="00C6052E">
        <w:rPr>
          <w:lang w:val="en-AU"/>
        </w:rPr>
        <w:t xml:space="preserve"> </w:t>
      </w:r>
      <w:r w:rsidRPr="00C6052E">
        <w:rPr>
          <w:lang w:val="en-AU"/>
        </w:rPr>
        <w:t>family</w:t>
      </w:r>
      <w:r w:rsidR="00177848" w:rsidRPr="00C6052E">
        <w:rPr>
          <w:lang w:val="en-AU"/>
        </w:rPr>
        <w:t xml:space="preserve"> </w:t>
      </w:r>
      <w:r w:rsidRPr="00C6052E">
        <w:rPr>
          <w:lang w:val="en-AU"/>
        </w:rPr>
        <w:t>members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personal</w:t>
      </w:r>
      <w:r w:rsidR="00177848" w:rsidRPr="00C6052E">
        <w:rPr>
          <w:lang w:val="en-AU"/>
        </w:rPr>
        <w:t xml:space="preserve"> </w:t>
      </w:r>
      <w:r w:rsidRPr="00C6052E">
        <w:rPr>
          <w:lang w:val="en-AU"/>
        </w:rPr>
        <w:t>business</w:t>
      </w:r>
      <w:r w:rsidR="00177848" w:rsidRPr="00C6052E">
        <w:rPr>
          <w:lang w:val="en-AU"/>
        </w:rPr>
        <w:t xml:space="preserve"> </w:t>
      </w:r>
      <w:r w:rsidRPr="00C6052E">
        <w:rPr>
          <w:lang w:val="en-AU"/>
        </w:rPr>
        <w:t>interests</w:t>
      </w:r>
      <w:r w:rsidR="00177848" w:rsidRPr="00C6052E">
        <w:rPr>
          <w:lang w:val="en-AU"/>
        </w:rPr>
        <w:t xml:space="preserve"> </w:t>
      </w:r>
      <w:r w:rsidRPr="00C6052E">
        <w:rPr>
          <w:lang w:val="en-AU"/>
        </w:rPr>
        <w:t>(controlled</w:t>
      </w:r>
      <w:r w:rsidR="00177848" w:rsidRPr="00C6052E">
        <w:rPr>
          <w:lang w:val="en-AU"/>
        </w:rPr>
        <w:t xml:space="preserve"> </w:t>
      </w:r>
      <w:r w:rsidRPr="00C6052E">
        <w:rPr>
          <w:lang w:val="en-AU"/>
        </w:rPr>
        <w:t>entities,</w:t>
      </w:r>
      <w:r w:rsidR="00177848" w:rsidRPr="00C6052E">
        <w:rPr>
          <w:lang w:val="en-AU"/>
        </w:rPr>
        <w:t xml:space="preserve"> </w:t>
      </w:r>
      <w:r w:rsidRPr="00C6052E">
        <w:rPr>
          <w:lang w:val="en-AU"/>
        </w:rPr>
        <w:t>joint</w:t>
      </w:r>
      <w:r w:rsidR="00177848" w:rsidRPr="00C6052E">
        <w:rPr>
          <w:lang w:val="en-AU"/>
        </w:rPr>
        <w:t xml:space="preserve"> </w:t>
      </w:r>
      <w:r w:rsidRPr="00C6052E">
        <w:rPr>
          <w:lang w:val="en-AU"/>
        </w:rPr>
        <w:t>ventures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entities</w:t>
      </w:r>
      <w:r w:rsidR="00177848" w:rsidRPr="00C6052E">
        <w:rPr>
          <w:lang w:val="en-AU"/>
        </w:rPr>
        <w:t xml:space="preserve"> </w:t>
      </w:r>
      <w:r w:rsidRPr="00C6052E">
        <w:rPr>
          <w:lang w:val="en-AU"/>
        </w:rPr>
        <w:t>they</w:t>
      </w:r>
      <w:r w:rsidR="00177848" w:rsidRPr="00C6052E">
        <w:rPr>
          <w:lang w:val="en-AU"/>
        </w:rPr>
        <w:t xml:space="preserve"> </w:t>
      </w:r>
      <w:r w:rsidRPr="00C6052E">
        <w:rPr>
          <w:lang w:val="en-AU"/>
        </w:rPr>
        <w:t>have</w:t>
      </w:r>
      <w:r w:rsidR="00177848" w:rsidRPr="00C6052E">
        <w:rPr>
          <w:lang w:val="en-AU"/>
        </w:rPr>
        <w:t xml:space="preserve"> </w:t>
      </w:r>
      <w:r w:rsidRPr="00C6052E">
        <w:rPr>
          <w:lang w:val="en-AU"/>
        </w:rPr>
        <w:t>significant</w:t>
      </w:r>
      <w:r w:rsidR="00177848" w:rsidRPr="00C6052E">
        <w:rPr>
          <w:lang w:val="en-AU"/>
        </w:rPr>
        <w:t xml:space="preserve"> </w:t>
      </w:r>
      <w:r w:rsidRPr="00C6052E">
        <w:rPr>
          <w:lang w:val="en-AU"/>
        </w:rPr>
        <w:t>influence</w:t>
      </w:r>
      <w:r w:rsidR="00177848" w:rsidRPr="00C6052E">
        <w:rPr>
          <w:lang w:val="en-AU"/>
        </w:rPr>
        <w:t xml:space="preserve"> </w:t>
      </w:r>
      <w:r w:rsidRPr="00C6052E">
        <w:rPr>
          <w:lang w:val="en-AU"/>
        </w:rPr>
        <w:t>over);</w:t>
      </w:r>
    </w:p>
    <w:p w14:paraId="301C4595" w14:textId="2CC60B8B" w:rsidR="00EE5BB8" w:rsidRPr="00C6052E" w:rsidRDefault="00EE5BB8" w:rsidP="00EE5BB8">
      <w:pPr>
        <w:pStyle w:val="Bullet1"/>
        <w:numPr>
          <w:ilvl w:val="0"/>
          <w:numId w:val="1"/>
        </w:numPr>
        <w:spacing w:line="278" w:lineRule="auto"/>
        <w:ind w:left="284" w:hanging="284"/>
        <w:rPr>
          <w:lang w:val="en-AU"/>
        </w:rPr>
      </w:pPr>
      <w:r w:rsidRPr="00C6052E">
        <w:rPr>
          <w:lang w:val="en-AU"/>
        </w:rPr>
        <w:t>all</w:t>
      </w:r>
      <w:r w:rsidR="00177848" w:rsidRPr="00C6052E">
        <w:rPr>
          <w:lang w:val="en-AU"/>
        </w:rPr>
        <w:t xml:space="preserve"> </w:t>
      </w:r>
      <w:r w:rsidRPr="00C6052E">
        <w:rPr>
          <w:lang w:val="en-AU"/>
        </w:rPr>
        <w:t>cabinet</w:t>
      </w:r>
      <w:r w:rsidR="00177848" w:rsidRPr="00C6052E">
        <w:rPr>
          <w:lang w:val="en-AU"/>
        </w:rPr>
        <w:t xml:space="preserve"> </w:t>
      </w:r>
      <w:r w:rsidRPr="00C6052E">
        <w:rPr>
          <w:lang w:val="en-AU"/>
        </w:rPr>
        <w:t>ministers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their</w:t>
      </w:r>
      <w:r w:rsidR="00177848" w:rsidRPr="00C6052E">
        <w:rPr>
          <w:lang w:val="en-AU"/>
        </w:rPr>
        <w:t xml:space="preserve"> </w:t>
      </w:r>
      <w:r w:rsidRPr="00C6052E">
        <w:rPr>
          <w:lang w:val="en-AU"/>
        </w:rPr>
        <w:t>close</w:t>
      </w:r>
      <w:r w:rsidR="00177848" w:rsidRPr="00C6052E">
        <w:rPr>
          <w:lang w:val="en-AU"/>
        </w:rPr>
        <w:t xml:space="preserve"> </w:t>
      </w:r>
      <w:r w:rsidRPr="00C6052E">
        <w:rPr>
          <w:lang w:val="en-AU"/>
        </w:rPr>
        <w:t>family</w:t>
      </w:r>
      <w:r w:rsidR="00177848" w:rsidRPr="00C6052E">
        <w:rPr>
          <w:lang w:val="en-AU"/>
        </w:rPr>
        <w:t xml:space="preserve"> </w:t>
      </w:r>
      <w:r w:rsidRPr="00C6052E">
        <w:rPr>
          <w:lang w:val="en-AU"/>
        </w:rPr>
        <w:t>members;</w:t>
      </w:r>
      <w:r w:rsidR="00177848" w:rsidRPr="00C6052E">
        <w:rPr>
          <w:lang w:val="en-AU"/>
        </w:rPr>
        <w:t xml:space="preserve"> </w:t>
      </w:r>
      <w:r w:rsidRPr="00C6052E">
        <w:rPr>
          <w:lang w:val="en-AU"/>
        </w:rPr>
        <w:t>and</w:t>
      </w:r>
    </w:p>
    <w:p w14:paraId="47A63C0C" w14:textId="1A8FCB12" w:rsidR="00EE5BB8" w:rsidRPr="00C6052E" w:rsidRDefault="00EE5BB8" w:rsidP="00EE5BB8">
      <w:pPr>
        <w:pStyle w:val="Bullet1last"/>
        <w:numPr>
          <w:ilvl w:val="0"/>
          <w:numId w:val="1"/>
        </w:numPr>
        <w:spacing w:line="278" w:lineRule="auto"/>
        <w:ind w:left="284" w:hanging="284"/>
        <w:rPr>
          <w:lang w:val="en-AU"/>
        </w:rPr>
      </w:pPr>
      <w:r w:rsidRPr="00C6052E">
        <w:rPr>
          <w:lang w:val="en-AU"/>
        </w:rPr>
        <w:lastRenderedPageBreak/>
        <w:t>all</w:t>
      </w:r>
      <w:r w:rsidR="00177848" w:rsidRPr="00C6052E">
        <w:rPr>
          <w:lang w:val="en-AU"/>
        </w:rPr>
        <w:t xml:space="preserve"> </w:t>
      </w:r>
      <w:r w:rsidRPr="00C6052E">
        <w:rPr>
          <w:lang w:val="en-AU"/>
        </w:rPr>
        <w:t>departments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public</w:t>
      </w:r>
      <w:r w:rsidR="00177848" w:rsidRPr="00C6052E">
        <w:rPr>
          <w:lang w:val="en-AU"/>
        </w:rPr>
        <w:t xml:space="preserve"> </w:t>
      </w:r>
      <w:r w:rsidRPr="00C6052E">
        <w:rPr>
          <w:lang w:val="en-AU"/>
        </w:rPr>
        <w:t>sector</w:t>
      </w:r>
      <w:r w:rsidR="00177848" w:rsidRPr="00C6052E">
        <w:rPr>
          <w:lang w:val="en-AU"/>
        </w:rPr>
        <w:t xml:space="preserve"> </w:t>
      </w:r>
      <w:r w:rsidRPr="00C6052E">
        <w:rPr>
          <w:lang w:val="en-AU"/>
        </w:rPr>
        <w:t>entities</w:t>
      </w:r>
      <w:r w:rsidR="00177848" w:rsidRPr="00C6052E">
        <w:rPr>
          <w:lang w:val="en-AU"/>
        </w:rPr>
        <w:t xml:space="preserve"> </w:t>
      </w:r>
      <w:r w:rsidRPr="00C6052E">
        <w:rPr>
          <w:lang w:val="en-AU"/>
        </w:rPr>
        <w:t>that</w:t>
      </w:r>
      <w:r w:rsidR="00177848" w:rsidRPr="00C6052E">
        <w:rPr>
          <w:lang w:val="en-AU"/>
        </w:rPr>
        <w:t xml:space="preserve"> </w:t>
      </w:r>
      <w:r w:rsidRPr="00C6052E">
        <w:rPr>
          <w:lang w:val="en-AU"/>
        </w:rPr>
        <w:t>are</w:t>
      </w:r>
      <w:r w:rsidR="00177848" w:rsidRPr="00C6052E">
        <w:rPr>
          <w:lang w:val="en-AU"/>
        </w:rPr>
        <w:t xml:space="preserve"> </w:t>
      </w:r>
      <w:r w:rsidRPr="00C6052E">
        <w:rPr>
          <w:lang w:val="en-AU"/>
        </w:rPr>
        <w:t>controlled</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consolidated</w:t>
      </w:r>
      <w:r w:rsidR="00177848" w:rsidRPr="00C6052E">
        <w:rPr>
          <w:lang w:val="en-AU"/>
        </w:rPr>
        <w:t xml:space="preserve"> </w:t>
      </w:r>
      <w:r w:rsidRPr="00C6052E">
        <w:rPr>
          <w:lang w:val="en-AU"/>
        </w:rPr>
        <w:t>into</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whole</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state</w:t>
      </w:r>
      <w:r w:rsidR="00177848" w:rsidRPr="00C6052E">
        <w:rPr>
          <w:lang w:val="en-AU"/>
        </w:rPr>
        <w:t xml:space="preserve"> </w:t>
      </w:r>
      <w:r w:rsidRPr="00C6052E">
        <w:rPr>
          <w:lang w:val="en-AU"/>
        </w:rPr>
        <w:t>consolidated</w:t>
      </w:r>
      <w:r w:rsidR="00177848" w:rsidRPr="00C6052E">
        <w:rPr>
          <w:lang w:val="en-AU"/>
        </w:rPr>
        <w:t xml:space="preserve"> </w:t>
      </w:r>
      <w:r w:rsidRPr="00C6052E">
        <w:rPr>
          <w:lang w:val="en-AU"/>
        </w:rPr>
        <w:t>financial</w:t>
      </w:r>
      <w:r w:rsidR="00177848" w:rsidRPr="00C6052E">
        <w:rPr>
          <w:lang w:val="en-AU"/>
        </w:rPr>
        <w:t xml:space="preserve"> </w:t>
      </w:r>
      <w:r w:rsidRPr="00C6052E">
        <w:rPr>
          <w:lang w:val="en-AU"/>
        </w:rPr>
        <w:t>statements.</w:t>
      </w:r>
    </w:p>
    <w:p w14:paraId="4F5A66CF" w14:textId="1C31FAD5" w:rsidR="00EE5BB8" w:rsidRPr="00C6052E" w:rsidRDefault="00EE5BB8" w:rsidP="00EE5BB8">
      <w:r w:rsidRPr="00C6052E">
        <w:t>All</w:t>
      </w:r>
      <w:r w:rsidR="00177848" w:rsidRPr="00C6052E">
        <w:t xml:space="preserve"> </w:t>
      </w:r>
      <w:r w:rsidRPr="00C6052E">
        <w:t>related</w:t>
      </w:r>
      <w:r w:rsidR="00177848" w:rsidRPr="00C6052E">
        <w:t xml:space="preserve"> </w:t>
      </w:r>
      <w:r w:rsidRPr="00C6052E">
        <w:t>party</w:t>
      </w:r>
      <w:r w:rsidR="00177848" w:rsidRPr="00C6052E">
        <w:t xml:space="preserve"> </w:t>
      </w:r>
      <w:r w:rsidRPr="00C6052E">
        <w:t>transactions</w:t>
      </w:r>
      <w:r w:rsidR="00177848" w:rsidRPr="00C6052E">
        <w:t xml:space="preserve"> </w:t>
      </w:r>
      <w:r w:rsidRPr="00C6052E">
        <w:t>have</w:t>
      </w:r>
      <w:r w:rsidR="00177848" w:rsidRPr="00C6052E">
        <w:t xml:space="preserve"> </w:t>
      </w:r>
      <w:r w:rsidRPr="00C6052E">
        <w:t>been</w:t>
      </w:r>
      <w:r w:rsidR="00177848" w:rsidRPr="00C6052E">
        <w:t xml:space="preserve"> </w:t>
      </w:r>
      <w:r w:rsidRPr="00C6052E">
        <w:t>entered</w:t>
      </w:r>
      <w:r w:rsidR="00177848" w:rsidRPr="00C6052E">
        <w:t xml:space="preserve"> </w:t>
      </w:r>
      <w:r w:rsidRPr="00C6052E">
        <w:t>into</w:t>
      </w:r>
      <w:r w:rsidR="00177848" w:rsidRPr="00C6052E">
        <w:t xml:space="preserve"> </w:t>
      </w:r>
      <w:r w:rsidRPr="00C6052E">
        <w:t>on</w:t>
      </w:r>
      <w:r w:rsidR="00177848" w:rsidRPr="00C6052E">
        <w:t xml:space="preserve"> </w:t>
      </w:r>
      <w:r w:rsidRPr="00C6052E">
        <w:t>an</w:t>
      </w:r>
      <w:r w:rsidR="00177848" w:rsidRPr="00C6052E">
        <w:t xml:space="preserve"> </w:t>
      </w:r>
      <w:r w:rsidRPr="00C6052E">
        <w:t>arm’s</w:t>
      </w:r>
      <w:r w:rsidR="00177848" w:rsidRPr="00C6052E">
        <w:t xml:space="preserve"> </w:t>
      </w:r>
      <w:r w:rsidRPr="00C6052E">
        <w:t>length</w:t>
      </w:r>
      <w:r w:rsidR="00177848" w:rsidRPr="00C6052E">
        <w:t xml:space="preserve"> </w:t>
      </w:r>
      <w:r w:rsidRPr="00C6052E">
        <w:t>basis.</w:t>
      </w:r>
      <w:r w:rsidR="00177848" w:rsidRPr="00C6052E">
        <w:t xml:space="preserve"> </w:t>
      </w:r>
    </w:p>
    <w:p w14:paraId="5A26F3DB" w14:textId="680A645F" w:rsidR="00EE5BB8" w:rsidRPr="00C6052E" w:rsidRDefault="00EE5BB8" w:rsidP="00030B7E">
      <w:pPr>
        <w:pStyle w:val="Heading3"/>
      </w:pPr>
      <w:r w:rsidRPr="00C6052E">
        <w:t>Significant</w:t>
      </w:r>
      <w:r w:rsidR="00177848" w:rsidRPr="00C6052E">
        <w:t xml:space="preserve"> </w:t>
      </w:r>
      <w:r w:rsidRPr="00C6052E">
        <w:t>transactions</w:t>
      </w:r>
      <w:r w:rsidR="00177848" w:rsidRPr="00C6052E">
        <w:t xml:space="preserve"> </w:t>
      </w:r>
      <w:r w:rsidRPr="00C6052E">
        <w:t>with</w:t>
      </w:r>
      <w:r w:rsidR="00177848" w:rsidRPr="00C6052E">
        <w:t xml:space="preserve"> </w:t>
      </w:r>
      <w:r w:rsidRPr="00C6052E">
        <w:t>government</w:t>
      </w:r>
      <w:r w:rsidRPr="00C6052E">
        <w:noBreakHyphen/>
        <w:t>related</w:t>
      </w:r>
      <w:r w:rsidR="00177848" w:rsidRPr="00C6052E">
        <w:t xml:space="preserve"> </w:t>
      </w:r>
      <w:r w:rsidRPr="00C6052E">
        <w:t>entities</w:t>
      </w:r>
    </w:p>
    <w:p w14:paraId="2365FE8A" w14:textId="24FD919E" w:rsidR="00EE5BB8" w:rsidRPr="00C6052E" w:rsidRDefault="00EE5BB8" w:rsidP="00EE5BB8">
      <w:r w:rsidRPr="00C6052E">
        <w:t>DJSIR</w:t>
      </w:r>
      <w:r w:rsidR="00177848" w:rsidRPr="00C6052E">
        <w:t xml:space="preserve"> </w:t>
      </w:r>
      <w:r w:rsidRPr="00C6052E">
        <w:t>receives</w:t>
      </w:r>
      <w:r w:rsidR="00177848" w:rsidRPr="00C6052E">
        <w:t xml:space="preserve"> </w:t>
      </w:r>
      <w:r w:rsidRPr="00C6052E">
        <w:t>parliamentary</w:t>
      </w:r>
      <w:r w:rsidR="00177848" w:rsidRPr="00C6052E">
        <w:t xml:space="preserve"> </w:t>
      </w:r>
      <w:r w:rsidRPr="00C6052E">
        <w:t>appropriation</w:t>
      </w:r>
      <w:r w:rsidR="00177848" w:rsidRPr="00C6052E">
        <w:t xml:space="preserve"> </w:t>
      </w:r>
      <w:r w:rsidRPr="00C6052E">
        <w:t>to</w:t>
      </w:r>
      <w:r w:rsidR="00177848" w:rsidRPr="00C6052E">
        <w:t xml:space="preserve"> </w:t>
      </w:r>
      <w:r w:rsidRPr="00C6052E">
        <w:t>draw</w:t>
      </w:r>
      <w:r w:rsidR="00177848" w:rsidRPr="00C6052E">
        <w:t xml:space="preserve"> </w:t>
      </w:r>
      <w:r w:rsidRPr="00C6052E">
        <w:t>funds</w:t>
      </w:r>
      <w:r w:rsidR="00177848" w:rsidRPr="00C6052E">
        <w:t xml:space="preserve"> </w:t>
      </w:r>
      <w:r w:rsidRPr="00C6052E">
        <w:t>out</w:t>
      </w:r>
      <w:r w:rsidR="00177848" w:rsidRPr="00C6052E">
        <w:t xml:space="preserve"> </w:t>
      </w:r>
      <w:r w:rsidRPr="00C6052E">
        <w:t>of</w:t>
      </w:r>
      <w:r w:rsidR="00177848" w:rsidRPr="00C6052E">
        <w:t xml:space="preserve"> </w:t>
      </w:r>
      <w:r w:rsidRPr="00C6052E">
        <w:t>the</w:t>
      </w:r>
      <w:r w:rsidR="00177848" w:rsidRPr="00C6052E">
        <w:t xml:space="preserve"> </w:t>
      </w:r>
      <w:r w:rsidRPr="00C6052E">
        <w:t>Consolidated</w:t>
      </w:r>
      <w:r w:rsidR="00177848" w:rsidRPr="00C6052E">
        <w:t xml:space="preserve"> </w:t>
      </w:r>
      <w:r w:rsidRPr="00C6052E">
        <w:t>Fund</w:t>
      </w:r>
      <w:r w:rsidR="00177848" w:rsidRPr="00C6052E">
        <w:t xml:space="preserve"> </w:t>
      </w:r>
      <w:r w:rsidRPr="00C6052E">
        <w:t>to</w:t>
      </w:r>
      <w:r w:rsidR="00177848" w:rsidRPr="00C6052E">
        <w:t xml:space="preserve"> </w:t>
      </w:r>
      <w:r w:rsidRPr="00C6052E">
        <w:t>be</w:t>
      </w:r>
      <w:r w:rsidR="00177848" w:rsidRPr="00C6052E">
        <w:t xml:space="preserve"> </w:t>
      </w:r>
      <w:r w:rsidRPr="00C6052E">
        <w:t>applied</w:t>
      </w:r>
      <w:r w:rsidR="00177848" w:rsidRPr="00C6052E">
        <w:t xml:space="preserve"> </w:t>
      </w:r>
      <w:r w:rsidRPr="00C6052E">
        <w:t>towards</w:t>
      </w:r>
      <w:r w:rsidR="00177848" w:rsidRPr="00C6052E">
        <w:t xml:space="preserve"> </w:t>
      </w:r>
      <w:r w:rsidRPr="00C6052E">
        <w:t>Departmental</w:t>
      </w:r>
      <w:r w:rsidR="00177848" w:rsidRPr="00C6052E">
        <w:t xml:space="preserve"> </w:t>
      </w:r>
      <w:r w:rsidRPr="00C6052E">
        <w:t>outputs</w:t>
      </w:r>
      <w:r w:rsidR="00177848" w:rsidRPr="00C6052E">
        <w:t xml:space="preserve"> </w:t>
      </w:r>
      <w:r w:rsidRPr="00C6052E">
        <w:t>(see</w:t>
      </w:r>
      <w:r w:rsidR="00177848" w:rsidRPr="00C6052E">
        <w:t xml:space="preserve"> </w:t>
      </w:r>
      <w:r w:rsidRPr="00C6052E">
        <w:t>Note</w:t>
      </w:r>
      <w:r w:rsidR="00177848" w:rsidRPr="00C6052E">
        <w:t xml:space="preserve"> </w:t>
      </w:r>
      <w:r w:rsidRPr="00C6052E">
        <w:fldChar w:fldCharType="begin"/>
      </w:r>
      <w:r w:rsidRPr="00C6052E">
        <w:instrText xml:space="preserve"> REF _Ref209187519 \r \h </w:instrText>
      </w:r>
      <w:r w:rsidRPr="00C6052E">
        <w:fldChar w:fldCharType="separate"/>
      </w:r>
      <w:r w:rsidRPr="00C6052E">
        <w:t>2.2</w:t>
      </w:r>
      <w:r w:rsidRPr="00C6052E">
        <w:fldChar w:fldCharType="end"/>
      </w:r>
      <w:r w:rsidR="00177848" w:rsidRPr="00C6052E">
        <w:t xml:space="preserve"> </w:t>
      </w:r>
      <w:r w:rsidRPr="00C6052E">
        <w:t>–</w:t>
      </w:r>
      <w:r w:rsidR="00177848" w:rsidRPr="00C6052E">
        <w:t xml:space="preserve"> </w:t>
      </w:r>
      <w:r w:rsidRPr="00C6052E">
        <w:fldChar w:fldCharType="begin"/>
      </w:r>
      <w:r w:rsidRPr="00C6052E">
        <w:instrText xml:space="preserve"> REF _Ref209187519 \h </w:instrText>
      </w:r>
      <w:r w:rsidRPr="00C6052E">
        <w:fldChar w:fldCharType="separate"/>
      </w:r>
      <w:r w:rsidRPr="00C6052E">
        <w:t>Appropriations</w:t>
      </w:r>
      <w:r w:rsidRPr="00C6052E">
        <w:fldChar w:fldCharType="end"/>
      </w:r>
      <w:r w:rsidRPr="00C6052E">
        <w:t>).</w:t>
      </w:r>
      <w:r w:rsidR="00177848" w:rsidRPr="00C6052E">
        <w:t xml:space="preserve"> </w:t>
      </w:r>
      <w:r w:rsidRPr="00C6052E">
        <w:t>In</w:t>
      </w:r>
      <w:r w:rsidR="00177848" w:rsidRPr="00C6052E">
        <w:t xml:space="preserve"> </w:t>
      </w:r>
      <w:r w:rsidRPr="00C6052E">
        <w:t>addition,</w:t>
      </w:r>
      <w:r w:rsidR="00177848" w:rsidRPr="00C6052E">
        <w:t xml:space="preserve"> </w:t>
      </w:r>
      <w:r w:rsidRPr="00C6052E">
        <w:t>DJSIR</w:t>
      </w:r>
      <w:r w:rsidR="00177848" w:rsidRPr="00C6052E">
        <w:t xml:space="preserve"> </w:t>
      </w:r>
      <w:r w:rsidRPr="00C6052E">
        <w:t>oversees</w:t>
      </w:r>
      <w:r w:rsidR="00177848" w:rsidRPr="00C6052E">
        <w:t xml:space="preserve"> </w:t>
      </w:r>
      <w:r w:rsidRPr="00C6052E">
        <w:t>administered</w:t>
      </w:r>
      <w:r w:rsidR="00177848" w:rsidRPr="00C6052E">
        <w:t xml:space="preserve"> </w:t>
      </w:r>
      <w:r w:rsidRPr="00C6052E">
        <w:t>items</w:t>
      </w:r>
      <w:r w:rsidR="00177848" w:rsidRPr="00C6052E">
        <w:t xml:space="preserve"> </w:t>
      </w:r>
      <w:r w:rsidRPr="00C6052E">
        <w:t>on</w:t>
      </w:r>
      <w:r w:rsidR="00177848" w:rsidRPr="00C6052E">
        <w:t xml:space="preserve"> </w:t>
      </w:r>
      <w:r w:rsidRPr="00C6052E">
        <w:t>behalf</w:t>
      </w:r>
      <w:r w:rsidR="00177848" w:rsidRPr="00C6052E">
        <w:t xml:space="preserve"> </w:t>
      </w:r>
      <w:r w:rsidRPr="00C6052E">
        <w:t>of</w:t>
      </w:r>
      <w:r w:rsidR="00177848" w:rsidRPr="00C6052E">
        <w:t xml:space="preserve"> </w:t>
      </w:r>
      <w:r w:rsidRPr="00C6052E">
        <w:t>the</w:t>
      </w:r>
      <w:r w:rsidR="00177848" w:rsidRPr="00C6052E">
        <w:t xml:space="preserve"> </w:t>
      </w:r>
      <w:r w:rsidRPr="00C6052E">
        <w:t>State</w:t>
      </w:r>
      <w:r w:rsidR="00177848" w:rsidRPr="00C6052E">
        <w:t xml:space="preserve"> </w:t>
      </w:r>
      <w:r w:rsidRPr="00C6052E">
        <w:t>with</w:t>
      </w:r>
      <w:r w:rsidR="00177848" w:rsidRPr="00C6052E">
        <w:t xml:space="preserve"> </w:t>
      </w:r>
      <w:r w:rsidRPr="00C6052E">
        <w:t>reference</w:t>
      </w:r>
      <w:r w:rsidR="00177848" w:rsidRPr="00C6052E">
        <w:t xml:space="preserve"> </w:t>
      </w:r>
      <w:r w:rsidRPr="00C6052E">
        <w:t>to</w:t>
      </w:r>
      <w:r w:rsidR="00177848" w:rsidRPr="00C6052E">
        <w:t xml:space="preserve"> </w:t>
      </w:r>
      <w:r w:rsidRPr="00C6052E">
        <w:t>Payments</w:t>
      </w:r>
      <w:r w:rsidR="00177848" w:rsidRPr="00C6052E">
        <w:t xml:space="preserve"> </w:t>
      </w:r>
      <w:r w:rsidRPr="00C6052E">
        <w:t>made</w:t>
      </w:r>
      <w:r w:rsidR="00177848" w:rsidRPr="00C6052E">
        <w:t xml:space="preserve"> </w:t>
      </w:r>
      <w:r w:rsidRPr="00C6052E">
        <w:t>on</w:t>
      </w:r>
      <w:r w:rsidR="00177848" w:rsidRPr="00C6052E">
        <w:t xml:space="preserve"> </w:t>
      </w:r>
      <w:r w:rsidRPr="00C6052E">
        <w:t>behalf</w:t>
      </w:r>
      <w:r w:rsidR="00177848" w:rsidRPr="00C6052E">
        <w:t xml:space="preserve"> </w:t>
      </w:r>
      <w:r w:rsidRPr="00C6052E">
        <w:t>of</w:t>
      </w:r>
      <w:r w:rsidR="00177848" w:rsidRPr="00C6052E">
        <w:t xml:space="preserve"> </w:t>
      </w:r>
      <w:r w:rsidRPr="00C6052E">
        <w:t>the</w:t>
      </w:r>
      <w:r w:rsidR="00177848" w:rsidRPr="00C6052E">
        <w:t xml:space="preserve"> </w:t>
      </w:r>
      <w:r w:rsidRPr="00C6052E">
        <w:t>State</w:t>
      </w:r>
      <w:r w:rsidR="00177848" w:rsidRPr="00C6052E">
        <w:t xml:space="preserve"> </w:t>
      </w:r>
      <w:r w:rsidRPr="00C6052E">
        <w:t>(Note</w:t>
      </w:r>
      <w:r w:rsidR="00177848" w:rsidRPr="00C6052E">
        <w:t xml:space="preserve"> </w:t>
      </w:r>
      <w:r w:rsidRPr="00C6052E">
        <w:fldChar w:fldCharType="begin"/>
      </w:r>
      <w:r w:rsidRPr="00C6052E">
        <w:instrText xml:space="preserve"> REF _Ref209187519 \r \h </w:instrText>
      </w:r>
      <w:r w:rsidRPr="00C6052E">
        <w:fldChar w:fldCharType="separate"/>
      </w:r>
      <w:r w:rsidRPr="00C6052E">
        <w:t>2.2</w:t>
      </w:r>
      <w:r w:rsidRPr="00C6052E">
        <w:fldChar w:fldCharType="end"/>
      </w:r>
      <w:r w:rsidR="00177848" w:rsidRPr="00C6052E">
        <w:t xml:space="preserve"> </w:t>
      </w:r>
      <w:r w:rsidRPr="00C6052E">
        <w:t>–</w:t>
      </w:r>
      <w:r w:rsidR="00177848" w:rsidRPr="00C6052E">
        <w:t xml:space="preserve"> </w:t>
      </w:r>
      <w:r w:rsidRPr="00C6052E">
        <w:fldChar w:fldCharType="begin"/>
      </w:r>
      <w:r w:rsidRPr="00C6052E">
        <w:instrText xml:space="preserve"> REF _Ref209187519 \h </w:instrText>
      </w:r>
      <w:r w:rsidRPr="00C6052E">
        <w:fldChar w:fldCharType="separate"/>
      </w:r>
      <w:r w:rsidRPr="00C6052E">
        <w:t>Appropriations</w:t>
      </w:r>
      <w:r w:rsidRPr="00C6052E">
        <w:fldChar w:fldCharType="end"/>
      </w:r>
      <w:r w:rsidRPr="00C6052E">
        <w:t>)</w:t>
      </w:r>
      <w:r w:rsidR="00177848" w:rsidRPr="00C6052E">
        <w:t xml:space="preserve"> </w:t>
      </w:r>
      <w:r w:rsidRPr="00C6052E">
        <w:t>and</w:t>
      </w:r>
      <w:r w:rsidR="00177848" w:rsidRPr="00C6052E">
        <w:t xml:space="preserve"> </w:t>
      </w:r>
      <w:r w:rsidRPr="00C6052E">
        <w:t>detailed</w:t>
      </w:r>
      <w:r w:rsidR="00177848" w:rsidRPr="00C6052E">
        <w:t xml:space="preserve"> </w:t>
      </w:r>
      <w:r w:rsidRPr="00C6052E">
        <w:t>in</w:t>
      </w:r>
      <w:r w:rsidR="00177848" w:rsidRPr="00C6052E">
        <w:t xml:space="preserve"> </w:t>
      </w:r>
      <w:r w:rsidRPr="00C6052E">
        <w:t>Note</w:t>
      </w:r>
      <w:r w:rsidR="00177848" w:rsidRPr="00C6052E">
        <w:t xml:space="preserve"> </w:t>
      </w:r>
      <w:r w:rsidRPr="00C6052E">
        <w:fldChar w:fldCharType="begin"/>
      </w:r>
      <w:r w:rsidRPr="00C6052E">
        <w:instrText xml:space="preserve"> REF _Ref163567658 \r \h </w:instrText>
      </w:r>
      <w:r w:rsidRPr="00C6052E">
        <w:fldChar w:fldCharType="separate"/>
      </w:r>
      <w:r w:rsidRPr="00C6052E">
        <w:t>4.2.1</w:t>
      </w:r>
      <w:r w:rsidRPr="00C6052E">
        <w:fldChar w:fldCharType="end"/>
      </w:r>
      <w:r w:rsidR="00177848" w:rsidRPr="00C6052E">
        <w:t xml:space="preserve"> </w:t>
      </w:r>
      <w:r w:rsidRPr="00C6052E">
        <w:t>–</w:t>
      </w:r>
      <w:r w:rsidR="00177848" w:rsidRPr="00C6052E">
        <w:t xml:space="preserve"> </w:t>
      </w:r>
      <w:r w:rsidRPr="00C6052E">
        <w:fldChar w:fldCharType="begin"/>
      </w:r>
      <w:r w:rsidRPr="00C6052E">
        <w:instrText xml:space="preserve"> REF _Ref163567658 \h </w:instrText>
      </w:r>
      <w:r w:rsidRPr="00C6052E">
        <w:fldChar w:fldCharType="separate"/>
      </w:r>
      <w:r w:rsidRPr="00C6052E">
        <w:t>Administered</w:t>
      </w:r>
      <w:r w:rsidR="00177848" w:rsidRPr="00C6052E">
        <w:t xml:space="preserve"> </w:t>
      </w:r>
      <w:r w:rsidRPr="00C6052E">
        <w:t>(non-controlled)</w:t>
      </w:r>
      <w:r w:rsidR="00177848" w:rsidRPr="00C6052E">
        <w:t xml:space="preserve"> </w:t>
      </w:r>
      <w:r w:rsidRPr="00C6052E">
        <w:t>items</w:t>
      </w:r>
      <w:r w:rsidRPr="00C6052E">
        <w:fldChar w:fldCharType="end"/>
      </w:r>
      <w:r w:rsidRPr="00C6052E">
        <w:t>.</w:t>
      </w:r>
    </w:p>
    <w:p w14:paraId="1AE2AFC7" w14:textId="4B9B72F4" w:rsidR="00EE5BB8" w:rsidRPr="00C6052E" w:rsidRDefault="00EE5BB8" w:rsidP="00EE5BB8">
      <w:r w:rsidRPr="00C6052E">
        <w:t>DJSIR</w:t>
      </w:r>
      <w:r w:rsidR="00177848" w:rsidRPr="00C6052E">
        <w:t xml:space="preserve"> </w:t>
      </w:r>
      <w:r w:rsidRPr="00C6052E">
        <w:t>transacts</w:t>
      </w:r>
      <w:r w:rsidR="00177848" w:rsidRPr="00C6052E">
        <w:t xml:space="preserve"> </w:t>
      </w:r>
      <w:r w:rsidRPr="00C6052E">
        <w:t>with</w:t>
      </w:r>
      <w:r w:rsidR="00177848" w:rsidRPr="00C6052E">
        <w:t xml:space="preserve"> </w:t>
      </w:r>
      <w:r w:rsidRPr="00C6052E">
        <w:t>other</w:t>
      </w:r>
      <w:r w:rsidR="00177848" w:rsidRPr="00C6052E">
        <w:t xml:space="preserve"> </w:t>
      </w:r>
      <w:r w:rsidRPr="00C6052E">
        <w:t>portfolio</w:t>
      </w:r>
      <w:r w:rsidR="00177848" w:rsidRPr="00C6052E">
        <w:t xml:space="preserve"> </w:t>
      </w:r>
      <w:r w:rsidRPr="00C6052E">
        <w:t>agencies</w:t>
      </w:r>
      <w:r w:rsidR="00177848" w:rsidRPr="00C6052E">
        <w:t xml:space="preserve"> </w:t>
      </w:r>
      <w:r w:rsidRPr="00C6052E">
        <w:t>through</w:t>
      </w:r>
      <w:r w:rsidR="00177848" w:rsidRPr="00C6052E">
        <w:t xml:space="preserve"> </w:t>
      </w:r>
      <w:r w:rsidRPr="00C6052E">
        <w:t>transactions</w:t>
      </w:r>
      <w:r w:rsidR="00177848" w:rsidRPr="00C6052E">
        <w:t xml:space="preserve"> </w:t>
      </w:r>
      <w:r w:rsidRPr="00C6052E">
        <w:t>such</w:t>
      </w:r>
      <w:r w:rsidR="00177848" w:rsidRPr="00C6052E">
        <w:t xml:space="preserve"> </w:t>
      </w:r>
      <w:r w:rsidRPr="00C6052E">
        <w:t>as</w:t>
      </w:r>
      <w:r w:rsidR="00177848" w:rsidRPr="00C6052E">
        <w:t xml:space="preserve"> </w:t>
      </w:r>
      <w:r w:rsidRPr="00C6052E">
        <w:t>grants</w:t>
      </w:r>
      <w:r w:rsidR="00177848" w:rsidRPr="00C6052E">
        <w:t xml:space="preserve"> </w:t>
      </w:r>
      <w:r w:rsidRPr="00C6052E">
        <w:t>(Note</w:t>
      </w:r>
      <w:r w:rsidR="00177848" w:rsidRPr="00C6052E">
        <w:t xml:space="preserve"> </w:t>
      </w:r>
      <w:r w:rsidRPr="00C6052E">
        <w:fldChar w:fldCharType="begin"/>
      </w:r>
      <w:r w:rsidRPr="00C6052E">
        <w:instrText xml:space="preserve"> REF _Ref209619456 \r \h </w:instrText>
      </w:r>
      <w:r w:rsidRPr="00C6052E">
        <w:fldChar w:fldCharType="separate"/>
      </w:r>
      <w:r w:rsidRPr="00C6052E">
        <w:t>3.2</w:t>
      </w:r>
      <w:r w:rsidRPr="00C6052E">
        <w:fldChar w:fldCharType="end"/>
      </w:r>
      <w:r w:rsidR="00177848" w:rsidRPr="00C6052E">
        <w:t xml:space="preserve"> </w:t>
      </w:r>
      <w:r w:rsidRPr="00C6052E">
        <w:t>–</w:t>
      </w:r>
      <w:r w:rsidR="00177848" w:rsidRPr="00C6052E">
        <w:t xml:space="preserve"> </w:t>
      </w:r>
      <w:r w:rsidRPr="00C6052E">
        <w:fldChar w:fldCharType="begin"/>
      </w:r>
      <w:r w:rsidRPr="00C6052E">
        <w:instrText xml:space="preserve"> REF _Ref209619468 \h </w:instrText>
      </w:r>
      <w:r w:rsidRPr="00C6052E">
        <w:fldChar w:fldCharType="separate"/>
      </w:r>
      <w:r w:rsidRPr="00C6052E">
        <w:t>Grant</w:t>
      </w:r>
      <w:r w:rsidR="00177848" w:rsidRPr="00C6052E">
        <w:t xml:space="preserve"> </w:t>
      </w:r>
      <w:r w:rsidRPr="00C6052E">
        <w:t>expenses</w:t>
      </w:r>
      <w:r w:rsidRPr="00C6052E">
        <w:fldChar w:fldCharType="end"/>
      </w:r>
      <w:r w:rsidRPr="00C6052E">
        <w:t>)</w:t>
      </w:r>
      <w:r w:rsidR="00177848" w:rsidRPr="00C6052E">
        <w:t xml:space="preserve"> </w:t>
      </w:r>
      <w:r w:rsidRPr="00C6052E">
        <w:t>and</w:t>
      </w:r>
      <w:r w:rsidR="00177848" w:rsidRPr="00C6052E">
        <w:t xml:space="preserve"> </w:t>
      </w:r>
      <w:r w:rsidRPr="00C6052E">
        <w:t>capital</w:t>
      </w:r>
      <w:r w:rsidR="00177848" w:rsidRPr="00C6052E">
        <w:t xml:space="preserve"> </w:t>
      </w:r>
      <w:r w:rsidRPr="00C6052E">
        <w:t>appropriations</w:t>
      </w:r>
      <w:r w:rsidR="00177848" w:rsidRPr="00C6052E">
        <w:t xml:space="preserve"> </w:t>
      </w:r>
      <w:r w:rsidRPr="00C6052E">
        <w:t>(Note</w:t>
      </w:r>
      <w:r w:rsidR="00177848" w:rsidRPr="00C6052E">
        <w:t xml:space="preserve"> </w:t>
      </w:r>
      <w:r w:rsidRPr="00C6052E">
        <w:fldChar w:fldCharType="begin"/>
      </w:r>
      <w:r w:rsidRPr="00C6052E">
        <w:instrText xml:space="preserve"> REF _Ref209706943 \r \h </w:instrText>
      </w:r>
      <w:r w:rsidRPr="00C6052E">
        <w:fldChar w:fldCharType="separate"/>
      </w:r>
      <w:r w:rsidRPr="00C6052E">
        <w:t>9.4</w:t>
      </w:r>
      <w:r w:rsidRPr="00C6052E">
        <w:fldChar w:fldCharType="end"/>
      </w:r>
      <w:r w:rsidR="00177848" w:rsidRPr="00C6052E">
        <w:t xml:space="preserve"> </w:t>
      </w:r>
      <w:r w:rsidRPr="00C6052E">
        <w:t>–</w:t>
      </w:r>
      <w:r w:rsidR="00177848" w:rsidRPr="00C6052E">
        <w:t xml:space="preserve"> </w:t>
      </w:r>
      <w:r w:rsidRPr="00C6052E">
        <w:fldChar w:fldCharType="begin"/>
      </w:r>
      <w:r w:rsidRPr="00C6052E">
        <w:instrText xml:space="preserve"> REF _Ref209706958 \h </w:instrText>
      </w:r>
      <w:r w:rsidRPr="00C6052E">
        <w:fldChar w:fldCharType="separate"/>
      </w:r>
      <w:r w:rsidRPr="00C6052E">
        <w:t>Equity</w:t>
      </w:r>
      <w:r w:rsidR="00177848" w:rsidRPr="00C6052E">
        <w:t xml:space="preserve"> </w:t>
      </w:r>
      <w:r w:rsidRPr="00C6052E">
        <w:t>disclosure</w:t>
      </w:r>
      <w:r w:rsidRPr="00C6052E">
        <w:fldChar w:fldCharType="end"/>
      </w:r>
      <w:r w:rsidRPr="00C6052E">
        <w:t>)</w:t>
      </w:r>
      <w:r w:rsidR="00177848" w:rsidRPr="00C6052E">
        <w:t xml:space="preserve"> </w:t>
      </w:r>
      <w:r w:rsidRPr="00C6052E">
        <w:t>in</w:t>
      </w:r>
      <w:r w:rsidR="00177848" w:rsidRPr="00C6052E">
        <w:t xml:space="preserve"> </w:t>
      </w:r>
      <w:r w:rsidRPr="00C6052E">
        <w:t>line</w:t>
      </w:r>
      <w:r w:rsidR="00177848" w:rsidRPr="00C6052E">
        <w:t xml:space="preserve"> </w:t>
      </w:r>
      <w:r w:rsidRPr="00C6052E">
        <w:t>with</w:t>
      </w:r>
      <w:r w:rsidR="00177848" w:rsidRPr="00C6052E">
        <w:t xml:space="preserve"> </w:t>
      </w:r>
      <w:r w:rsidRPr="00C6052E">
        <w:t>budgeted</w:t>
      </w:r>
      <w:r w:rsidR="00177848" w:rsidRPr="00C6052E">
        <w:t xml:space="preserve"> </w:t>
      </w:r>
      <w:r w:rsidRPr="00C6052E">
        <w:t>allocations.</w:t>
      </w:r>
      <w:r w:rsidR="00177848" w:rsidRPr="00C6052E">
        <w:t xml:space="preserve"> </w:t>
      </w:r>
      <w:r w:rsidRPr="00C6052E">
        <w:t>DJSIR</w:t>
      </w:r>
      <w:r w:rsidR="00177848" w:rsidRPr="00C6052E">
        <w:t xml:space="preserve"> </w:t>
      </w:r>
      <w:r w:rsidRPr="00C6052E">
        <w:t>has</w:t>
      </w:r>
      <w:r w:rsidR="00177848" w:rsidRPr="00C6052E">
        <w:t xml:space="preserve"> </w:t>
      </w:r>
      <w:r w:rsidRPr="00C6052E">
        <w:t>advances</w:t>
      </w:r>
      <w:r w:rsidR="00177848" w:rsidRPr="00C6052E">
        <w:t xml:space="preserve"> </w:t>
      </w:r>
      <w:r w:rsidRPr="00C6052E">
        <w:t>from</w:t>
      </w:r>
      <w:r w:rsidR="00177848" w:rsidRPr="00C6052E">
        <w:t xml:space="preserve"> </w:t>
      </w:r>
      <w:r w:rsidRPr="00C6052E">
        <w:t>Government,</w:t>
      </w:r>
      <w:r w:rsidR="00177848" w:rsidRPr="00C6052E">
        <w:t xml:space="preserve"> </w:t>
      </w:r>
      <w:r w:rsidRPr="00C6052E">
        <w:t>such</w:t>
      </w:r>
      <w:r w:rsidR="00177848" w:rsidRPr="00C6052E">
        <w:t xml:space="preserve"> </w:t>
      </w:r>
      <w:r w:rsidRPr="00C6052E">
        <w:t>as</w:t>
      </w:r>
      <w:r w:rsidR="00177848" w:rsidRPr="00C6052E">
        <w:t xml:space="preserve"> </w:t>
      </w:r>
      <w:r w:rsidRPr="00C6052E">
        <w:t>those</w:t>
      </w:r>
      <w:r w:rsidR="00177848" w:rsidRPr="00C6052E">
        <w:t xml:space="preserve"> </w:t>
      </w:r>
      <w:r w:rsidRPr="00C6052E">
        <w:t>relating</w:t>
      </w:r>
      <w:r w:rsidR="00177848" w:rsidRPr="00C6052E">
        <w:t xml:space="preserve"> </w:t>
      </w:r>
      <w:r w:rsidRPr="00C6052E">
        <w:t>to</w:t>
      </w:r>
      <w:r w:rsidR="00177848" w:rsidRPr="00C6052E">
        <w:t xml:space="preserve"> </w:t>
      </w:r>
      <w:r w:rsidRPr="00C6052E">
        <w:t>GST</w:t>
      </w:r>
      <w:r w:rsidR="00177848" w:rsidRPr="00C6052E">
        <w:t xml:space="preserve"> </w:t>
      </w:r>
      <w:r w:rsidRPr="00C6052E">
        <w:t>payments</w:t>
      </w:r>
      <w:r w:rsidR="00177848" w:rsidRPr="00C6052E">
        <w:t xml:space="preserve"> </w:t>
      </w:r>
      <w:r w:rsidRPr="00C6052E">
        <w:t>(required</w:t>
      </w:r>
      <w:r w:rsidR="00177848" w:rsidRPr="00C6052E">
        <w:t xml:space="preserve"> </w:t>
      </w:r>
      <w:r w:rsidRPr="00C6052E">
        <w:t>to</w:t>
      </w:r>
      <w:r w:rsidR="00177848" w:rsidRPr="00C6052E">
        <w:t xml:space="preserve"> </w:t>
      </w:r>
      <w:r w:rsidRPr="00C6052E">
        <w:t>account</w:t>
      </w:r>
      <w:r w:rsidR="00177848" w:rsidRPr="00C6052E">
        <w:t xml:space="preserve"> </w:t>
      </w:r>
      <w:r w:rsidRPr="00C6052E">
        <w:t>for</w:t>
      </w:r>
      <w:r w:rsidR="00177848" w:rsidRPr="00C6052E">
        <w:t xml:space="preserve"> </w:t>
      </w:r>
      <w:r w:rsidRPr="00C6052E">
        <w:t>timing</w:t>
      </w:r>
      <w:r w:rsidR="00177848" w:rsidRPr="00C6052E">
        <w:t xml:space="preserve"> </w:t>
      </w:r>
      <w:r w:rsidRPr="00C6052E">
        <w:t>differences).</w:t>
      </w:r>
      <w:r w:rsidR="00177848" w:rsidRPr="00C6052E">
        <w:t xml:space="preserve"> </w:t>
      </w:r>
      <w:r w:rsidRPr="00C6052E">
        <w:t>These</w:t>
      </w:r>
      <w:r w:rsidR="00177848" w:rsidRPr="00C6052E">
        <w:t xml:space="preserve"> </w:t>
      </w:r>
      <w:r w:rsidRPr="00C6052E">
        <w:t>advances</w:t>
      </w:r>
      <w:r w:rsidR="00177848" w:rsidRPr="00C6052E">
        <w:t xml:space="preserve"> </w:t>
      </w:r>
      <w:r w:rsidRPr="00C6052E">
        <w:t>are</w:t>
      </w:r>
      <w:r w:rsidR="00177848" w:rsidRPr="00C6052E">
        <w:t xml:space="preserve"> </w:t>
      </w:r>
      <w:r w:rsidRPr="00C6052E">
        <w:t>unsecured</w:t>
      </w:r>
      <w:r w:rsidR="00177848" w:rsidRPr="00C6052E">
        <w:t xml:space="preserve"> </w:t>
      </w:r>
      <w:r w:rsidRPr="00C6052E">
        <w:t>loans</w:t>
      </w:r>
      <w:r w:rsidR="00177848" w:rsidRPr="00C6052E">
        <w:t xml:space="preserve"> </w:t>
      </w:r>
      <w:r w:rsidRPr="00C6052E">
        <w:t>which</w:t>
      </w:r>
      <w:r w:rsidR="00177848" w:rsidRPr="00C6052E">
        <w:t xml:space="preserve"> </w:t>
      </w:r>
      <w:r w:rsidRPr="00C6052E">
        <w:t>bear</w:t>
      </w:r>
      <w:r w:rsidR="00177848" w:rsidRPr="00C6052E">
        <w:t xml:space="preserve"> </w:t>
      </w:r>
      <w:r w:rsidRPr="00C6052E">
        <w:t>no</w:t>
      </w:r>
      <w:r w:rsidR="00177848" w:rsidRPr="00C6052E">
        <w:t xml:space="preserve"> </w:t>
      </w:r>
      <w:r w:rsidRPr="00C6052E">
        <w:t>interest.</w:t>
      </w:r>
      <w:r w:rsidR="00177848" w:rsidRPr="00C6052E">
        <w:t xml:space="preserve"> </w:t>
      </w:r>
      <w:r w:rsidRPr="00C6052E">
        <w:t>See</w:t>
      </w:r>
      <w:r w:rsidR="00177848" w:rsidRPr="00C6052E">
        <w:t xml:space="preserve"> </w:t>
      </w:r>
      <w:r w:rsidRPr="00C6052E">
        <w:t>Note</w:t>
      </w:r>
      <w:r w:rsidR="00177848" w:rsidRPr="00C6052E">
        <w:t xml:space="preserve"> </w:t>
      </w:r>
      <w:r w:rsidRPr="00C6052E">
        <w:fldChar w:fldCharType="begin"/>
      </w:r>
      <w:r w:rsidRPr="00C6052E">
        <w:instrText xml:space="preserve"> REF _Ref209454570 \r \h </w:instrText>
      </w:r>
      <w:r w:rsidRPr="00C6052E">
        <w:fldChar w:fldCharType="separate"/>
      </w:r>
      <w:r w:rsidRPr="00C6052E">
        <w:t>7.1</w:t>
      </w:r>
      <w:r w:rsidRPr="00C6052E">
        <w:fldChar w:fldCharType="end"/>
      </w:r>
      <w:r w:rsidR="00177848" w:rsidRPr="00C6052E">
        <w:t xml:space="preserve"> </w:t>
      </w:r>
      <w:r w:rsidRPr="00C6052E">
        <w:t>–</w:t>
      </w:r>
      <w:r w:rsidR="00177848" w:rsidRPr="00C6052E">
        <w:t xml:space="preserve"> </w:t>
      </w:r>
      <w:r w:rsidRPr="00C6052E">
        <w:fldChar w:fldCharType="begin"/>
      </w:r>
      <w:r w:rsidRPr="00C6052E">
        <w:instrText xml:space="preserve"> REF _Ref209454570 \h </w:instrText>
      </w:r>
      <w:r w:rsidRPr="00C6052E">
        <w:fldChar w:fldCharType="separate"/>
      </w:r>
      <w:r w:rsidRPr="00C6052E">
        <w:t>Borrowings</w:t>
      </w:r>
      <w:r w:rsidRPr="00C6052E">
        <w:fldChar w:fldCharType="end"/>
      </w:r>
    </w:p>
    <w:p w14:paraId="057E2F40" w14:textId="1BDC14BA" w:rsidR="00EE5BB8" w:rsidRPr="00C6052E" w:rsidRDefault="00EE5BB8" w:rsidP="00EE5BB8">
      <w:r w:rsidRPr="00C6052E">
        <w:t>Key</w:t>
      </w:r>
      <w:r w:rsidR="00177848" w:rsidRPr="00C6052E">
        <w:t xml:space="preserve"> </w:t>
      </w:r>
      <w:r w:rsidRPr="00C6052E">
        <w:t>management</w:t>
      </w:r>
      <w:r w:rsidR="00177848" w:rsidRPr="00C6052E">
        <w:t xml:space="preserve"> </w:t>
      </w:r>
      <w:r w:rsidRPr="00C6052E">
        <w:t>personnel</w:t>
      </w:r>
      <w:r w:rsidR="00177848" w:rsidRPr="00C6052E">
        <w:t xml:space="preserve"> </w:t>
      </w:r>
      <w:r w:rsidRPr="00C6052E">
        <w:t>(KMP)</w:t>
      </w:r>
      <w:r w:rsidR="00177848" w:rsidRPr="00C6052E">
        <w:t xml:space="preserve"> </w:t>
      </w:r>
      <w:r w:rsidRPr="00C6052E">
        <w:t>of</w:t>
      </w:r>
      <w:r w:rsidR="00177848" w:rsidRPr="00C6052E">
        <w:t xml:space="preserve"> </w:t>
      </w:r>
      <w:r w:rsidRPr="00C6052E">
        <w:t>DJSIR</w:t>
      </w:r>
      <w:r w:rsidR="00177848" w:rsidRPr="00C6052E">
        <w:t xml:space="preserve"> </w:t>
      </w:r>
      <w:r w:rsidRPr="00C6052E">
        <w:t>includes</w:t>
      </w:r>
      <w:r w:rsidR="00177848" w:rsidRPr="00C6052E">
        <w:t xml:space="preserve"> </w:t>
      </w:r>
      <w:r w:rsidRPr="00C6052E">
        <w:t>the</w:t>
      </w:r>
      <w:r w:rsidR="00177848" w:rsidRPr="00C6052E">
        <w:t xml:space="preserve"> </w:t>
      </w:r>
      <w:r w:rsidRPr="00C6052E">
        <w:t>Portfolio</w:t>
      </w:r>
      <w:r w:rsidR="00177848" w:rsidRPr="00C6052E">
        <w:t xml:space="preserve"> </w:t>
      </w:r>
      <w:r w:rsidRPr="00C6052E">
        <w:t>Ministers</w:t>
      </w:r>
      <w:r w:rsidR="00177848" w:rsidRPr="00C6052E">
        <w:t xml:space="preserve"> </w:t>
      </w:r>
      <w:r w:rsidRPr="00C6052E">
        <w:t>(see</w:t>
      </w:r>
      <w:r w:rsidR="00177848" w:rsidRPr="00C6052E">
        <w:t xml:space="preserve"> </w:t>
      </w:r>
      <w:r w:rsidRPr="00C6052E">
        <w:t>Note</w:t>
      </w:r>
      <w:r w:rsidR="00177848" w:rsidRPr="00C6052E">
        <w:t xml:space="preserve"> </w:t>
      </w:r>
      <w:r w:rsidRPr="00C6052E">
        <w:fldChar w:fldCharType="begin"/>
      </w:r>
      <w:r w:rsidRPr="00C6052E">
        <w:instrText xml:space="preserve"> REF _Ref212210447 \r \h </w:instrText>
      </w:r>
      <w:r w:rsidRPr="00C6052E">
        <w:fldChar w:fldCharType="separate"/>
      </w:r>
      <w:r w:rsidRPr="00C6052E">
        <w:t>9.6</w:t>
      </w:r>
      <w:r w:rsidRPr="00C6052E">
        <w:fldChar w:fldCharType="end"/>
      </w:r>
      <w:r w:rsidR="00177848" w:rsidRPr="00C6052E">
        <w:t xml:space="preserve"> </w:t>
      </w:r>
      <w:r w:rsidRPr="00C6052E">
        <w:t>–</w:t>
      </w:r>
      <w:r w:rsidR="00177848" w:rsidRPr="00C6052E">
        <w:t xml:space="preserve"> </w:t>
      </w:r>
      <w:r w:rsidRPr="00C6052E">
        <w:fldChar w:fldCharType="begin"/>
      </w:r>
      <w:r w:rsidRPr="00C6052E">
        <w:instrText xml:space="preserve"> REF _Ref212210447 \h </w:instrText>
      </w:r>
      <w:r w:rsidRPr="00C6052E">
        <w:fldChar w:fldCharType="separate"/>
      </w:r>
      <w:r w:rsidRPr="00C6052E">
        <w:t>Responsible</w:t>
      </w:r>
      <w:r w:rsidR="00177848" w:rsidRPr="00C6052E">
        <w:t xml:space="preserve"> </w:t>
      </w:r>
      <w:r w:rsidRPr="00C6052E">
        <w:t>persons</w:t>
      </w:r>
      <w:r w:rsidRPr="00C6052E">
        <w:fldChar w:fldCharType="end"/>
      </w:r>
      <w:r w:rsidRPr="00C6052E">
        <w:t>)</w:t>
      </w:r>
      <w:r w:rsidR="00177848" w:rsidRPr="00C6052E">
        <w:t xml:space="preserve"> </w:t>
      </w:r>
      <w:r w:rsidRPr="00C6052E">
        <w:t>and</w:t>
      </w:r>
      <w:r w:rsidR="00177848" w:rsidRPr="00C6052E">
        <w:t xml:space="preserve"> </w:t>
      </w:r>
      <w:r w:rsidRPr="00C6052E">
        <w:t>members</w:t>
      </w:r>
      <w:r w:rsidR="00177848" w:rsidRPr="00C6052E">
        <w:t xml:space="preserve"> </w:t>
      </w:r>
      <w:r w:rsidRPr="00C6052E">
        <w:t>of</w:t>
      </w:r>
      <w:r w:rsidR="00177848" w:rsidRPr="00C6052E">
        <w:t xml:space="preserve"> </w:t>
      </w:r>
      <w:r w:rsidRPr="00C6052E">
        <w:t>the</w:t>
      </w:r>
      <w:r w:rsidR="00177848" w:rsidRPr="00C6052E">
        <w:t xml:space="preserve"> </w:t>
      </w:r>
      <w:r w:rsidRPr="00C6052E">
        <w:t>Senior</w:t>
      </w:r>
      <w:r w:rsidR="00177848" w:rsidRPr="00C6052E">
        <w:t xml:space="preserve"> </w:t>
      </w:r>
      <w:r w:rsidRPr="00C6052E">
        <w:t>Executive</w:t>
      </w:r>
      <w:r w:rsidR="00177848" w:rsidRPr="00C6052E">
        <w:t xml:space="preserve"> </w:t>
      </w:r>
      <w:r w:rsidRPr="00C6052E">
        <w:t>Team,</w:t>
      </w:r>
      <w:r w:rsidR="00177848" w:rsidRPr="00C6052E">
        <w:t xml:space="preserve"> </w:t>
      </w:r>
      <w:r w:rsidRPr="00C6052E">
        <w:t>which</w:t>
      </w:r>
      <w:r w:rsidR="00177848" w:rsidRPr="00C6052E">
        <w:t xml:space="preserve"> </w:t>
      </w:r>
      <w:r w:rsidRPr="00C6052E">
        <w:t>includes:</w:t>
      </w:r>
    </w:p>
    <w:tbl>
      <w:tblPr>
        <w:tblStyle w:val="TableGrid"/>
        <w:tblW w:w="9634" w:type="dxa"/>
        <w:tblLayout w:type="fixed"/>
        <w:tblLook w:val="04A0" w:firstRow="1" w:lastRow="0" w:firstColumn="1" w:lastColumn="0" w:noHBand="0" w:noVBand="1"/>
      </w:tblPr>
      <w:tblGrid>
        <w:gridCol w:w="1701"/>
        <w:gridCol w:w="4673"/>
        <w:gridCol w:w="3260"/>
      </w:tblGrid>
      <w:tr w:rsidR="00EE5BB8" w:rsidRPr="00C6052E" w14:paraId="0FDA2D3B" w14:textId="77777777" w:rsidTr="00030B7E">
        <w:trPr>
          <w:tblHeader/>
        </w:trPr>
        <w:tc>
          <w:tcPr>
            <w:tcW w:w="1701" w:type="dxa"/>
          </w:tcPr>
          <w:p w14:paraId="54E76871" w14:textId="77777777" w:rsidR="00EE5BB8" w:rsidRPr="00C6052E" w:rsidRDefault="00EE5BB8" w:rsidP="000F5B20">
            <w:pPr>
              <w:pStyle w:val="TableColumnHeading"/>
            </w:pPr>
            <w:bookmarkStart w:id="388" w:name="TableColumnHeadings_113"/>
            <w:bookmarkEnd w:id="388"/>
            <w:r w:rsidRPr="00C6052E">
              <w:t>Personnel</w:t>
            </w:r>
          </w:p>
        </w:tc>
        <w:tc>
          <w:tcPr>
            <w:tcW w:w="4673" w:type="dxa"/>
          </w:tcPr>
          <w:p w14:paraId="4C9E87C0" w14:textId="5F2A15C6" w:rsidR="00EE5BB8" w:rsidRPr="00C6052E" w:rsidRDefault="00EE5BB8" w:rsidP="00B1545C">
            <w:pPr>
              <w:pStyle w:val="TableColumnHeading"/>
              <w:rPr>
                <w:lang w:val="en-AU"/>
              </w:rPr>
            </w:pPr>
            <w:r w:rsidRPr="00C6052E">
              <w:rPr>
                <w:lang w:val="en-AU"/>
              </w:rPr>
              <w:t>Position</w:t>
            </w:r>
            <w:r w:rsidR="00B1545C" w:rsidRPr="00C6052E">
              <w:rPr>
                <w:lang w:val="en-AU"/>
              </w:rPr>
              <w:t xml:space="preserve"> </w:t>
            </w:r>
            <w:r w:rsidRPr="00C6052E">
              <w:rPr>
                <w:lang w:val="en-AU"/>
              </w:rPr>
              <w:t>title</w:t>
            </w:r>
          </w:p>
        </w:tc>
        <w:tc>
          <w:tcPr>
            <w:tcW w:w="3260" w:type="dxa"/>
          </w:tcPr>
          <w:p w14:paraId="78CA9C46" w14:textId="77777777" w:rsidR="00EE5BB8" w:rsidRPr="00C6052E" w:rsidRDefault="00EE5BB8" w:rsidP="000F5B20">
            <w:pPr>
              <w:pStyle w:val="TableColumnHeading"/>
            </w:pPr>
            <w:r w:rsidRPr="00C6052E">
              <w:t>Timeframe</w:t>
            </w:r>
          </w:p>
        </w:tc>
      </w:tr>
      <w:tr w:rsidR="00EE5BB8" w:rsidRPr="00C6052E" w14:paraId="4EE52BDF" w14:textId="77777777" w:rsidTr="00030B7E">
        <w:tc>
          <w:tcPr>
            <w:tcW w:w="1701" w:type="dxa"/>
          </w:tcPr>
          <w:p w14:paraId="4005F764" w14:textId="1AD30D4F" w:rsidR="00EE5BB8" w:rsidRPr="00C6052E" w:rsidRDefault="00EE5BB8" w:rsidP="0063097D">
            <w:pPr>
              <w:pStyle w:val="TableCopy"/>
            </w:pPr>
            <w:r w:rsidRPr="00C6052E">
              <w:t>Tim</w:t>
            </w:r>
            <w:r w:rsidR="00177848" w:rsidRPr="00C6052E">
              <w:t xml:space="preserve"> </w:t>
            </w:r>
            <w:r w:rsidRPr="00C6052E">
              <w:t>Ada</w:t>
            </w:r>
          </w:p>
        </w:tc>
        <w:tc>
          <w:tcPr>
            <w:tcW w:w="4673" w:type="dxa"/>
          </w:tcPr>
          <w:p w14:paraId="3FF091B1" w14:textId="77777777" w:rsidR="00EE5BB8" w:rsidRPr="00C6052E" w:rsidRDefault="00EE5BB8" w:rsidP="0063097D">
            <w:pPr>
              <w:pStyle w:val="TableCopy"/>
            </w:pPr>
            <w:r w:rsidRPr="00C6052E">
              <w:t>Secretary</w:t>
            </w:r>
          </w:p>
        </w:tc>
        <w:tc>
          <w:tcPr>
            <w:tcW w:w="3260" w:type="dxa"/>
          </w:tcPr>
          <w:p w14:paraId="0B120F64" w14:textId="61CEB7B9" w:rsidR="00EE5BB8" w:rsidRPr="00C6052E" w:rsidRDefault="00EE5BB8" w:rsidP="0063097D">
            <w:pPr>
              <w:pStyle w:val="TableCopy"/>
            </w:pPr>
            <w:r w:rsidRPr="00C6052E">
              <w:t>1</w:t>
            </w:r>
            <w:r w:rsidR="00177848" w:rsidRPr="00C6052E">
              <w:t xml:space="preserve"> </w:t>
            </w:r>
            <w:r w:rsidRPr="00C6052E">
              <w:t>July</w:t>
            </w:r>
            <w:r w:rsidR="00177848" w:rsidRPr="00C6052E">
              <w:t xml:space="preserve"> </w:t>
            </w:r>
            <w:r w:rsidRPr="00C6052E">
              <w:t>2024</w:t>
            </w:r>
            <w:r w:rsidR="00177848" w:rsidRPr="00C6052E">
              <w:t xml:space="preserve"> </w:t>
            </w:r>
            <w:r w:rsidRPr="00C6052E">
              <w:t>to</w:t>
            </w:r>
            <w:r w:rsidR="00177848" w:rsidRPr="00C6052E">
              <w:t xml:space="preserve"> </w:t>
            </w:r>
            <w:r w:rsidRPr="00C6052E">
              <w:t>28</w:t>
            </w:r>
            <w:r w:rsidR="00177848" w:rsidRPr="00C6052E">
              <w:t xml:space="preserve"> </w:t>
            </w:r>
            <w:r w:rsidRPr="00C6052E">
              <w:t>February</w:t>
            </w:r>
            <w:r w:rsidR="00177848" w:rsidRPr="00C6052E">
              <w:t xml:space="preserve"> </w:t>
            </w:r>
            <w:r w:rsidRPr="00C6052E">
              <w:t>2025</w:t>
            </w:r>
          </w:p>
        </w:tc>
      </w:tr>
      <w:tr w:rsidR="00EE5BB8" w:rsidRPr="00C6052E" w14:paraId="6D2C6686" w14:textId="77777777" w:rsidTr="00030B7E">
        <w:tc>
          <w:tcPr>
            <w:tcW w:w="1701" w:type="dxa"/>
          </w:tcPr>
          <w:p w14:paraId="48D0DADC" w14:textId="700C73C5" w:rsidR="00EE5BB8" w:rsidRPr="00C6052E" w:rsidRDefault="00EE5BB8" w:rsidP="0063097D">
            <w:pPr>
              <w:pStyle w:val="TableCopy"/>
            </w:pPr>
            <w:r w:rsidRPr="00C6052E">
              <w:t>Matt</w:t>
            </w:r>
            <w:r w:rsidR="00177848" w:rsidRPr="00C6052E">
              <w:t xml:space="preserve"> </w:t>
            </w:r>
            <w:r w:rsidRPr="00C6052E">
              <w:t>Carrick</w:t>
            </w:r>
          </w:p>
        </w:tc>
        <w:tc>
          <w:tcPr>
            <w:tcW w:w="4673" w:type="dxa"/>
          </w:tcPr>
          <w:p w14:paraId="0F690364" w14:textId="77777777" w:rsidR="00EE5BB8" w:rsidRPr="00C6052E" w:rsidRDefault="00EE5BB8" w:rsidP="0063097D">
            <w:pPr>
              <w:pStyle w:val="TableCopy"/>
            </w:pPr>
            <w:r w:rsidRPr="00C6052E">
              <w:t>Secretary</w:t>
            </w:r>
          </w:p>
        </w:tc>
        <w:tc>
          <w:tcPr>
            <w:tcW w:w="3260" w:type="dxa"/>
          </w:tcPr>
          <w:p w14:paraId="4AB3C228" w14:textId="674D67F3" w:rsidR="00EE5BB8" w:rsidRPr="00C6052E" w:rsidRDefault="00EE5BB8" w:rsidP="0063097D">
            <w:pPr>
              <w:pStyle w:val="TableCopy"/>
            </w:pPr>
            <w:r w:rsidRPr="00C6052E">
              <w:t>1</w:t>
            </w:r>
            <w:r w:rsidR="00177848" w:rsidRPr="00C6052E">
              <w:t xml:space="preserve"> </w:t>
            </w:r>
            <w:r w:rsidRPr="00C6052E">
              <w:t>March</w:t>
            </w:r>
            <w:r w:rsidR="00177848" w:rsidRPr="00C6052E">
              <w:t xml:space="preserve"> </w:t>
            </w:r>
            <w:r w:rsidRPr="00C6052E">
              <w:t>2025</w:t>
            </w:r>
            <w:r w:rsidR="00177848" w:rsidRPr="00C6052E">
              <w:t xml:space="preserve"> </w:t>
            </w:r>
            <w:r w:rsidRPr="00C6052E">
              <w:t>to</w:t>
            </w:r>
            <w:r w:rsidR="00177848" w:rsidRPr="00C6052E">
              <w:t xml:space="preserve"> </w:t>
            </w:r>
            <w:r w:rsidRPr="00C6052E">
              <w:t>30</w:t>
            </w:r>
            <w:r w:rsidR="00177848" w:rsidRPr="00C6052E">
              <w:t xml:space="preserve"> </w:t>
            </w:r>
            <w:r w:rsidRPr="00C6052E">
              <w:t>June</w:t>
            </w:r>
            <w:r w:rsidR="00177848" w:rsidRPr="00C6052E">
              <w:t xml:space="preserve"> </w:t>
            </w:r>
            <w:r w:rsidRPr="00C6052E">
              <w:t>2025</w:t>
            </w:r>
          </w:p>
        </w:tc>
      </w:tr>
      <w:tr w:rsidR="00EE5BB8" w:rsidRPr="00C6052E" w14:paraId="5F507F8E" w14:textId="77777777" w:rsidTr="00030B7E">
        <w:tc>
          <w:tcPr>
            <w:tcW w:w="1701" w:type="dxa"/>
          </w:tcPr>
          <w:p w14:paraId="5B661565" w14:textId="66361FB0" w:rsidR="00EE5BB8" w:rsidRPr="00C6052E" w:rsidRDefault="00EE5BB8" w:rsidP="0063097D">
            <w:pPr>
              <w:pStyle w:val="TableCopy"/>
            </w:pPr>
            <w:r w:rsidRPr="00C6052E">
              <w:t>Lill</w:t>
            </w:r>
            <w:r w:rsidR="00177848" w:rsidRPr="00C6052E">
              <w:t xml:space="preserve"> </w:t>
            </w:r>
            <w:r w:rsidRPr="00C6052E">
              <w:t>Healy</w:t>
            </w:r>
          </w:p>
        </w:tc>
        <w:tc>
          <w:tcPr>
            <w:tcW w:w="4673" w:type="dxa"/>
          </w:tcPr>
          <w:p w14:paraId="764FA120" w14:textId="1AB45C55" w:rsidR="00EE5BB8" w:rsidRPr="00C6052E" w:rsidRDefault="00EE5BB8" w:rsidP="0063097D">
            <w:pPr>
              <w:pStyle w:val="TableCopy"/>
            </w:pPr>
            <w:r w:rsidRPr="00C6052E">
              <w:t>Deputy</w:t>
            </w:r>
            <w:r w:rsidR="00177848" w:rsidRPr="00C6052E">
              <w:t xml:space="preserve"> </w:t>
            </w:r>
            <w:r w:rsidRPr="00C6052E">
              <w:t>Secretary,</w:t>
            </w:r>
            <w:r w:rsidR="00177848" w:rsidRPr="00C6052E">
              <w:t xml:space="preserve"> </w:t>
            </w:r>
            <w:r w:rsidRPr="00C6052E">
              <w:t>Skills</w:t>
            </w:r>
            <w:r w:rsidR="00177848" w:rsidRPr="00C6052E">
              <w:t xml:space="preserve"> </w:t>
            </w:r>
            <w:r w:rsidRPr="00C6052E">
              <w:t>and</w:t>
            </w:r>
            <w:r w:rsidR="00177848" w:rsidRPr="00C6052E">
              <w:t xml:space="preserve"> </w:t>
            </w:r>
            <w:r w:rsidRPr="00C6052E">
              <w:t>Employment</w:t>
            </w:r>
          </w:p>
        </w:tc>
        <w:tc>
          <w:tcPr>
            <w:tcW w:w="3260" w:type="dxa"/>
          </w:tcPr>
          <w:p w14:paraId="67E535DE" w14:textId="71F99BC8" w:rsidR="00EE5BB8" w:rsidRPr="00C6052E" w:rsidRDefault="00EE5BB8" w:rsidP="0063097D">
            <w:pPr>
              <w:pStyle w:val="TableCopy"/>
            </w:pPr>
            <w:r w:rsidRPr="00C6052E">
              <w:t>1</w:t>
            </w:r>
            <w:r w:rsidR="00177848" w:rsidRPr="00C6052E">
              <w:t xml:space="preserve"> </w:t>
            </w:r>
            <w:r w:rsidRPr="00C6052E">
              <w:t>July</w:t>
            </w:r>
            <w:r w:rsidR="00177848" w:rsidRPr="00C6052E">
              <w:t xml:space="preserve"> </w:t>
            </w:r>
            <w:r w:rsidRPr="00C6052E">
              <w:t>2024</w:t>
            </w:r>
            <w:r w:rsidR="00177848" w:rsidRPr="00C6052E">
              <w:t xml:space="preserve"> </w:t>
            </w:r>
            <w:r w:rsidRPr="00C6052E">
              <w:t>to</w:t>
            </w:r>
            <w:r w:rsidR="00177848" w:rsidRPr="00C6052E">
              <w:t xml:space="preserve"> </w:t>
            </w:r>
            <w:r w:rsidRPr="00C6052E">
              <w:t>30</w:t>
            </w:r>
            <w:r w:rsidR="00177848" w:rsidRPr="00C6052E">
              <w:t xml:space="preserve"> </w:t>
            </w:r>
            <w:r w:rsidRPr="00C6052E">
              <w:t>June</w:t>
            </w:r>
            <w:r w:rsidR="00177848" w:rsidRPr="00C6052E">
              <w:t xml:space="preserve"> </w:t>
            </w:r>
            <w:r w:rsidRPr="00C6052E">
              <w:t>2025</w:t>
            </w:r>
          </w:p>
        </w:tc>
      </w:tr>
      <w:tr w:rsidR="00EE5BB8" w:rsidRPr="00C6052E" w14:paraId="4265A0AE" w14:textId="77777777" w:rsidTr="00030B7E">
        <w:tc>
          <w:tcPr>
            <w:tcW w:w="1701" w:type="dxa"/>
          </w:tcPr>
          <w:p w14:paraId="2E3A58BB" w14:textId="408B5CB5" w:rsidR="00EE5BB8" w:rsidRPr="00C6052E" w:rsidRDefault="00EE5BB8" w:rsidP="0063097D">
            <w:pPr>
              <w:pStyle w:val="TableCopy"/>
            </w:pPr>
            <w:r w:rsidRPr="00C6052E">
              <w:t>Danni</w:t>
            </w:r>
            <w:r w:rsidR="00177848" w:rsidRPr="00C6052E">
              <w:t xml:space="preserve"> </w:t>
            </w:r>
            <w:r w:rsidRPr="00C6052E">
              <w:t>Jarrett</w:t>
            </w:r>
          </w:p>
        </w:tc>
        <w:tc>
          <w:tcPr>
            <w:tcW w:w="4673" w:type="dxa"/>
          </w:tcPr>
          <w:p w14:paraId="0F6AD83A" w14:textId="77335807" w:rsidR="00EE5BB8" w:rsidRPr="00C6052E" w:rsidRDefault="00EE5BB8" w:rsidP="0063097D">
            <w:pPr>
              <w:pStyle w:val="TableCopy"/>
            </w:pPr>
            <w:r w:rsidRPr="00C6052E">
              <w:t>Deputy</w:t>
            </w:r>
            <w:r w:rsidR="00177848" w:rsidRPr="00C6052E">
              <w:t xml:space="preserve"> </w:t>
            </w:r>
            <w:r w:rsidRPr="00C6052E">
              <w:t>Secretary,</w:t>
            </w:r>
            <w:r w:rsidR="00177848" w:rsidRPr="00C6052E">
              <w:t xml:space="preserve"> </w:t>
            </w:r>
            <w:r w:rsidRPr="00C6052E">
              <w:t>Industry,</w:t>
            </w:r>
            <w:r w:rsidR="00177848" w:rsidRPr="00C6052E">
              <w:t xml:space="preserve"> </w:t>
            </w:r>
            <w:r w:rsidRPr="00C6052E">
              <w:t>Trade</w:t>
            </w:r>
            <w:r w:rsidR="00177848" w:rsidRPr="00C6052E">
              <w:t xml:space="preserve"> </w:t>
            </w:r>
            <w:r w:rsidRPr="00C6052E">
              <w:t>and</w:t>
            </w:r>
            <w:r w:rsidR="00177848" w:rsidRPr="00C6052E">
              <w:t xml:space="preserve"> </w:t>
            </w:r>
            <w:r w:rsidRPr="00C6052E">
              <w:t>Investment</w:t>
            </w:r>
          </w:p>
        </w:tc>
        <w:tc>
          <w:tcPr>
            <w:tcW w:w="3260" w:type="dxa"/>
          </w:tcPr>
          <w:p w14:paraId="10F5D7D4" w14:textId="679E4028" w:rsidR="00EE5BB8" w:rsidRPr="00C6052E" w:rsidRDefault="00EE5BB8" w:rsidP="0063097D">
            <w:pPr>
              <w:pStyle w:val="TableCopy"/>
            </w:pPr>
            <w:r w:rsidRPr="00C6052E">
              <w:t>1</w:t>
            </w:r>
            <w:r w:rsidR="00177848" w:rsidRPr="00C6052E">
              <w:t xml:space="preserve"> </w:t>
            </w:r>
            <w:r w:rsidRPr="00C6052E">
              <w:t>July</w:t>
            </w:r>
            <w:r w:rsidR="00177848" w:rsidRPr="00C6052E">
              <w:t xml:space="preserve"> </w:t>
            </w:r>
            <w:r w:rsidRPr="00C6052E">
              <w:t>2024</w:t>
            </w:r>
            <w:r w:rsidR="00177848" w:rsidRPr="00C6052E">
              <w:t xml:space="preserve"> </w:t>
            </w:r>
            <w:r w:rsidRPr="00C6052E">
              <w:t>to</w:t>
            </w:r>
            <w:r w:rsidR="00177848" w:rsidRPr="00C6052E">
              <w:t xml:space="preserve"> </w:t>
            </w:r>
            <w:r w:rsidRPr="00C6052E">
              <w:t>30</w:t>
            </w:r>
            <w:r w:rsidR="00177848" w:rsidRPr="00C6052E">
              <w:t xml:space="preserve"> </w:t>
            </w:r>
            <w:r w:rsidRPr="00C6052E">
              <w:t>June</w:t>
            </w:r>
            <w:r w:rsidR="00177848" w:rsidRPr="00C6052E">
              <w:t xml:space="preserve"> </w:t>
            </w:r>
            <w:r w:rsidRPr="00C6052E">
              <w:t>2025</w:t>
            </w:r>
          </w:p>
        </w:tc>
      </w:tr>
      <w:tr w:rsidR="00EE5BB8" w:rsidRPr="00C6052E" w14:paraId="40ED7B82" w14:textId="77777777" w:rsidTr="00030B7E">
        <w:tc>
          <w:tcPr>
            <w:tcW w:w="1701" w:type="dxa"/>
          </w:tcPr>
          <w:p w14:paraId="4FD203AF" w14:textId="31CAF4E9" w:rsidR="00EE5BB8" w:rsidRPr="00C6052E" w:rsidRDefault="00EE5BB8" w:rsidP="0063097D">
            <w:pPr>
              <w:pStyle w:val="TableCopy"/>
            </w:pPr>
            <w:r w:rsidRPr="00C6052E">
              <w:t>Julian</w:t>
            </w:r>
            <w:r w:rsidR="00177848" w:rsidRPr="00C6052E">
              <w:t xml:space="preserve"> </w:t>
            </w:r>
            <w:r w:rsidRPr="00C6052E">
              <w:t>Lyngcoln</w:t>
            </w:r>
          </w:p>
        </w:tc>
        <w:tc>
          <w:tcPr>
            <w:tcW w:w="4673" w:type="dxa"/>
          </w:tcPr>
          <w:p w14:paraId="46E42D8F" w14:textId="646D5E45" w:rsidR="00EE5BB8" w:rsidRPr="00C6052E" w:rsidRDefault="00EE5BB8" w:rsidP="0063097D">
            <w:pPr>
              <w:pStyle w:val="TableCopy"/>
            </w:pPr>
            <w:r w:rsidRPr="00C6052E">
              <w:t>Deputy</w:t>
            </w:r>
            <w:r w:rsidR="00177848" w:rsidRPr="00C6052E">
              <w:t xml:space="preserve"> </w:t>
            </w:r>
            <w:r w:rsidRPr="00C6052E">
              <w:t>Secretary,</w:t>
            </w:r>
            <w:r w:rsidR="00177848" w:rsidRPr="00C6052E">
              <w:t xml:space="preserve"> </w:t>
            </w:r>
            <w:r w:rsidRPr="00C6052E">
              <w:t>Economic</w:t>
            </w:r>
            <w:r w:rsidR="00177848" w:rsidRPr="00C6052E">
              <w:t xml:space="preserve"> </w:t>
            </w:r>
            <w:r w:rsidRPr="00C6052E">
              <w:t>Policy,</w:t>
            </w:r>
            <w:r w:rsidR="00177848" w:rsidRPr="00C6052E">
              <w:t xml:space="preserve"> </w:t>
            </w:r>
            <w:r w:rsidRPr="00C6052E">
              <w:t>Projects</w:t>
            </w:r>
            <w:r w:rsidR="00177848" w:rsidRPr="00C6052E">
              <w:t xml:space="preserve"> </w:t>
            </w:r>
            <w:r w:rsidRPr="00C6052E">
              <w:t>and</w:t>
            </w:r>
            <w:r w:rsidR="00177848" w:rsidRPr="00C6052E">
              <w:t xml:space="preserve"> </w:t>
            </w:r>
            <w:r w:rsidRPr="00C6052E">
              <w:t>Coordination</w:t>
            </w:r>
          </w:p>
        </w:tc>
        <w:tc>
          <w:tcPr>
            <w:tcW w:w="3260" w:type="dxa"/>
          </w:tcPr>
          <w:p w14:paraId="3AB4B0C0" w14:textId="2377D293" w:rsidR="00EE5BB8" w:rsidRPr="00C6052E" w:rsidRDefault="00EE5BB8" w:rsidP="0063097D">
            <w:pPr>
              <w:pStyle w:val="TableCopy"/>
            </w:pPr>
            <w:r w:rsidRPr="00C6052E">
              <w:t>1</w:t>
            </w:r>
            <w:r w:rsidR="00177848" w:rsidRPr="00C6052E">
              <w:t xml:space="preserve"> </w:t>
            </w:r>
            <w:r w:rsidRPr="00C6052E">
              <w:t>July</w:t>
            </w:r>
            <w:r w:rsidR="00177848" w:rsidRPr="00C6052E">
              <w:t xml:space="preserve"> </w:t>
            </w:r>
            <w:r w:rsidRPr="00C6052E">
              <w:t>2024</w:t>
            </w:r>
            <w:r w:rsidR="00177848" w:rsidRPr="00C6052E">
              <w:t xml:space="preserve"> </w:t>
            </w:r>
            <w:r w:rsidRPr="00C6052E">
              <w:t>to</w:t>
            </w:r>
            <w:r w:rsidR="00177848" w:rsidRPr="00C6052E">
              <w:t xml:space="preserve"> </w:t>
            </w:r>
            <w:r w:rsidRPr="00C6052E">
              <w:t>30</w:t>
            </w:r>
            <w:r w:rsidR="00177848" w:rsidRPr="00C6052E">
              <w:t xml:space="preserve"> </w:t>
            </w:r>
            <w:r w:rsidRPr="00C6052E">
              <w:t>June</w:t>
            </w:r>
            <w:r w:rsidR="00177848" w:rsidRPr="00C6052E">
              <w:t xml:space="preserve"> </w:t>
            </w:r>
            <w:r w:rsidRPr="00C6052E">
              <w:t>2025</w:t>
            </w:r>
          </w:p>
        </w:tc>
      </w:tr>
      <w:tr w:rsidR="00EE5BB8" w:rsidRPr="00C6052E" w14:paraId="2D0DB2F5" w14:textId="77777777" w:rsidTr="00030B7E">
        <w:tc>
          <w:tcPr>
            <w:tcW w:w="1701" w:type="dxa"/>
          </w:tcPr>
          <w:p w14:paraId="71A8082F" w14:textId="1E297F05" w:rsidR="00EE5BB8" w:rsidRPr="00C6052E" w:rsidRDefault="00EE5BB8" w:rsidP="0063097D">
            <w:pPr>
              <w:pStyle w:val="TableCopy"/>
            </w:pPr>
            <w:r w:rsidRPr="00C6052E">
              <w:t>Heather</w:t>
            </w:r>
            <w:r w:rsidR="00177848" w:rsidRPr="00C6052E">
              <w:t xml:space="preserve"> </w:t>
            </w:r>
            <w:r w:rsidRPr="00C6052E">
              <w:t>Ridley</w:t>
            </w:r>
          </w:p>
        </w:tc>
        <w:tc>
          <w:tcPr>
            <w:tcW w:w="4673" w:type="dxa"/>
          </w:tcPr>
          <w:p w14:paraId="564EEABC" w14:textId="15E3BFCC" w:rsidR="00EE5BB8" w:rsidRPr="00C6052E" w:rsidRDefault="00EE5BB8" w:rsidP="0063097D">
            <w:pPr>
              <w:pStyle w:val="TableCopy"/>
            </w:pPr>
            <w:r w:rsidRPr="00C6052E">
              <w:t>Deputy</w:t>
            </w:r>
            <w:r w:rsidR="00177848" w:rsidRPr="00C6052E">
              <w:t xml:space="preserve"> </w:t>
            </w:r>
            <w:r w:rsidRPr="00C6052E">
              <w:t>Secretary,</w:t>
            </w:r>
            <w:r w:rsidR="00177848" w:rsidRPr="00C6052E">
              <w:t xml:space="preserve"> </w:t>
            </w:r>
            <w:r w:rsidRPr="00C6052E">
              <w:t>Corporate</w:t>
            </w:r>
            <w:r w:rsidR="00177848" w:rsidRPr="00C6052E">
              <w:t xml:space="preserve"> </w:t>
            </w:r>
            <w:r w:rsidRPr="00C6052E">
              <w:t>Services</w:t>
            </w:r>
          </w:p>
        </w:tc>
        <w:tc>
          <w:tcPr>
            <w:tcW w:w="3260" w:type="dxa"/>
          </w:tcPr>
          <w:p w14:paraId="2C900B49" w14:textId="30E71373" w:rsidR="00EE5BB8" w:rsidRPr="00C6052E" w:rsidRDefault="00EE5BB8" w:rsidP="0063097D">
            <w:pPr>
              <w:pStyle w:val="TableCopy"/>
            </w:pPr>
            <w:r w:rsidRPr="00C6052E">
              <w:t>1</w:t>
            </w:r>
            <w:r w:rsidR="00177848" w:rsidRPr="00C6052E">
              <w:t xml:space="preserve"> </w:t>
            </w:r>
            <w:r w:rsidRPr="00C6052E">
              <w:t>July</w:t>
            </w:r>
            <w:r w:rsidR="00177848" w:rsidRPr="00C6052E">
              <w:t xml:space="preserve"> </w:t>
            </w:r>
            <w:r w:rsidRPr="00C6052E">
              <w:t>2024</w:t>
            </w:r>
            <w:r w:rsidR="00177848" w:rsidRPr="00C6052E">
              <w:t xml:space="preserve"> </w:t>
            </w:r>
            <w:r w:rsidRPr="00C6052E">
              <w:t>to</w:t>
            </w:r>
            <w:r w:rsidR="00177848" w:rsidRPr="00C6052E">
              <w:t xml:space="preserve"> </w:t>
            </w:r>
            <w:r w:rsidRPr="00C6052E">
              <w:t>30</w:t>
            </w:r>
            <w:r w:rsidR="00177848" w:rsidRPr="00C6052E">
              <w:t xml:space="preserve"> </w:t>
            </w:r>
            <w:r w:rsidRPr="00C6052E">
              <w:t>June</w:t>
            </w:r>
            <w:r w:rsidR="00177848" w:rsidRPr="00C6052E">
              <w:t xml:space="preserve"> </w:t>
            </w:r>
            <w:r w:rsidRPr="00C6052E">
              <w:t>2025</w:t>
            </w:r>
          </w:p>
        </w:tc>
      </w:tr>
      <w:tr w:rsidR="00EE5BB8" w:rsidRPr="00C6052E" w14:paraId="303E36FB" w14:textId="77777777" w:rsidTr="00030B7E">
        <w:tc>
          <w:tcPr>
            <w:tcW w:w="1701" w:type="dxa"/>
          </w:tcPr>
          <w:p w14:paraId="019726C4" w14:textId="16043DD3" w:rsidR="00EE5BB8" w:rsidRPr="00C6052E" w:rsidRDefault="00EE5BB8" w:rsidP="0063097D">
            <w:pPr>
              <w:pStyle w:val="TableCopy"/>
            </w:pPr>
            <w:r w:rsidRPr="00C6052E">
              <w:t>Peter</w:t>
            </w:r>
            <w:r w:rsidR="00177848" w:rsidRPr="00C6052E">
              <w:t xml:space="preserve"> </w:t>
            </w:r>
            <w:r w:rsidRPr="00C6052E">
              <w:t>Betson</w:t>
            </w:r>
          </w:p>
        </w:tc>
        <w:tc>
          <w:tcPr>
            <w:tcW w:w="4673" w:type="dxa"/>
          </w:tcPr>
          <w:p w14:paraId="1EB6E4CD" w14:textId="12DA4FA6" w:rsidR="00EE5BB8" w:rsidRPr="00C6052E" w:rsidRDefault="00EE5BB8" w:rsidP="0063097D">
            <w:pPr>
              <w:pStyle w:val="TableCopy"/>
            </w:pPr>
            <w:r w:rsidRPr="00C6052E">
              <w:t>Deputy</w:t>
            </w:r>
            <w:r w:rsidR="00177848" w:rsidRPr="00C6052E">
              <w:t xml:space="preserve"> </w:t>
            </w:r>
            <w:r w:rsidRPr="00C6052E">
              <w:t>Secretary,</w:t>
            </w:r>
            <w:r w:rsidR="00177848" w:rsidRPr="00C6052E">
              <w:t xml:space="preserve"> </w:t>
            </w:r>
            <w:r w:rsidRPr="00C6052E">
              <w:t>Sport</w:t>
            </w:r>
            <w:r w:rsidR="00177848" w:rsidRPr="00C6052E">
              <w:t xml:space="preserve"> </w:t>
            </w:r>
            <w:r w:rsidRPr="00C6052E">
              <w:t>and</w:t>
            </w:r>
            <w:r w:rsidR="00177848" w:rsidRPr="00C6052E">
              <w:t xml:space="preserve"> </w:t>
            </w:r>
            <w:r w:rsidRPr="00C6052E">
              <w:t>Experience</w:t>
            </w:r>
            <w:r w:rsidR="00177848" w:rsidRPr="00C6052E">
              <w:t xml:space="preserve"> </w:t>
            </w:r>
            <w:r w:rsidRPr="00C6052E">
              <w:t>Economy</w:t>
            </w:r>
          </w:p>
        </w:tc>
        <w:tc>
          <w:tcPr>
            <w:tcW w:w="3260" w:type="dxa"/>
          </w:tcPr>
          <w:p w14:paraId="69745DC5" w14:textId="09367445" w:rsidR="00EE5BB8" w:rsidRPr="00C6052E" w:rsidRDefault="00EE5BB8" w:rsidP="0063097D">
            <w:pPr>
              <w:pStyle w:val="TableCopy"/>
            </w:pPr>
            <w:r w:rsidRPr="00C6052E">
              <w:t>1</w:t>
            </w:r>
            <w:r w:rsidR="00177848" w:rsidRPr="00C6052E">
              <w:t xml:space="preserve"> </w:t>
            </w:r>
            <w:r w:rsidRPr="00C6052E">
              <w:t>July</w:t>
            </w:r>
            <w:r w:rsidR="00177848" w:rsidRPr="00C6052E">
              <w:t xml:space="preserve"> </w:t>
            </w:r>
            <w:r w:rsidRPr="00C6052E">
              <w:t>2024</w:t>
            </w:r>
            <w:r w:rsidR="00177848" w:rsidRPr="00C6052E">
              <w:t xml:space="preserve"> </w:t>
            </w:r>
            <w:r w:rsidRPr="00C6052E">
              <w:t>to</w:t>
            </w:r>
            <w:r w:rsidR="00177848" w:rsidRPr="00C6052E">
              <w:t xml:space="preserve"> </w:t>
            </w:r>
            <w:r w:rsidRPr="00C6052E">
              <w:t>22</w:t>
            </w:r>
            <w:r w:rsidR="00177848" w:rsidRPr="00C6052E">
              <w:t xml:space="preserve"> </w:t>
            </w:r>
            <w:r w:rsidRPr="00C6052E">
              <w:t>November</w:t>
            </w:r>
            <w:r w:rsidR="00177848" w:rsidRPr="00C6052E">
              <w:t xml:space="preserve"> </w:t>
            </w:r>
            <w:r w:rsidRPr="00C6052E">
              <w:t>2024</w:t>
            </w:r>
          </w:p>
        </w:tc>
      </w:tr>
      <w:tr w:rsidR="00EE5BB8" w:rsidRPr="00C6052E" w14:paraId="4DE29CC6" w14:textId="77777777" w:rsidTr="00030B7E">
        <w:tc>
          <w:tcPr>
            <w:tcW w:w="1701" w:type="dxa"/>
          </w:tcPr>
          <w:p w14:paraId="5DD00643" w14:textId="5BF39E8D" w:rsidR="00EE5BB8" w:rsidRPr="00C6052E" w:rsidRDefault="00EE5BB8" w:rsidP="0063097D">
            <w:pPr>
              <w:pStyle w:val="TableCopy"/>
            </w:pPr>
            <w:r w:rsidRPr="00C6052E">
              <w:t>Georgina</w:t>
            </w:r>
            <w:r w:rsidR="00177848" w:rsidRPr="00C6052E">
              <w:t xml:space="preserve"> </w:t>
            </w:r>
            <w:r w:rsidRPr="00C6052E">
              <w:t>McCann</w:t>
            </w:r>
          </w:p>
        </w:tc>
        <w:tc>
          <w:tcPr>
            <w:tcW w:w="4673" w:type="dxa"/>
          </w:tcPr>
          <w:p w14:paraId="108D1255" w14:textId="26D5E056" w:rsidR="00EE5BB8" w:rsidRPr="00C6052E" w:rsidRDefault="00EE5BB8" w:rsidP="0063097D">
            <w:pPr>
              <w:pStyle w:val="TableCopy"/>
            </w:pPr>
            <w:r w:rsidRPr="00C6052E">
              <w:t>Deputy</w:t>
            </w:r>
            <w:r w:rsidR="00177848" w:rsidRPr="00C6052E">
              <w:t xml:space="preserve"> </w:t>
            </w:r>
            <w:r w:rsidRPr="00C6052E">
              <w:t>Secretary,</w:t>
            </w:r>
            <w:r w:rsidR="00177848" w:rsidRPr="00C6052E">
              <w:t xml:space="preserve"> </w:t>
            </w:r>
            <w:r w:rsidRPr="00C6052E">
              <w:t>Sport</w:t>
            </w:r>
            <w:r w:rsidR="00177848" w:rsidRPr="00C6052E">
              <w:t xml:space="preserve"> </w:t>
            </w:r>
            <w:r w:rsidRPr="00C6052E">
              <w:t>and</w:t>
            </w:r>
            <w:r w:rsidR="00177848" w:rsidRPr="00C6052E">
              <w:t xml:space="preserve"> </w:t>
            </w:r>
            <w:r w:rsidRPr="00C6052E">
              <w:t>Experience</w:t>
            </w:r>
            <w:r w:rsidR="00177848" w:rsidRPr="00C6052E">
              <w:t xml:space="preserve"> </w:t>
            </w:r>
            <w:r w:rsidRPr="00C6052E">
              <w:t>Economy</w:t>
            </w:r>
          </w:p>
        </w:tc>
        <w:tc>
          <w:tcPr>
            <w:tcW w:w="3260" w:type="dxa"/>
          </w:tcPr>
          <w:p w14:paraId="0F050021" w14:textId="67500B38" w:rsidR="00EE5BB8" w:rsidRPr="00C6052E" w:rsidRDefault="00EE5BB8" w:rsidP="0063097D">
            <w:pPr>
              <w:pStyle w:val="TableCopy"/>
            </w:pPr>
            <w:r w:rsidRPr="00C6052E">
              <w:t>1</w:t>
            </w:r>
            <w:r w:rsidR="00177848" w:rsidRPr="00C6052E">
              <w:t xml:space="preserve"> </w:t>
            </w:r>
            <w:r w:rsidRPr="00C6052E">
              <w:t>January</w:t>
            </w:r>
            <w:r w:rsidR="00177848" w:rsidRPr="00C6052E">
              <w:t xml:space="preserve"> </w:t>
            </w:r>
            <w:r w:rsidRPr="00C6052E">
              <w:t>2025</w:t>
            </w:r>
            <w:r w:rsidR="00177848" w:rsidRPr="00C6052E">
              <w:t xml:space="preserve"> </w:t>
            </w:r>
            <w:r w:rsidRPr="00C6052E">
              <w:t>to</w:t>
            </w:r>
            <w:r w:rsidR="00177848" w:rsidRPr="00C6052E">
              <w:t xml:space="preserve"> </w:t>
            </w:r>
            <w:r w:rsidRPr="00C6052E">
              <w:t>30</w:t>
            </w:r>
            <w:r w:rsidR="00177848" w:rsidRPr="00C6052E">
              <w:t xml:space="preserve"> </w:t>
            </w:r>
            <w:r w:rsidRPr="00C6052E">
              <w:t>June</w:t>
            </w:r>
            <w:r w:rsidR="00177848" w:rsidRPr="00C6052E">
              <w:t xml:space="preserve"> </w:t>
            </w:r>
            <w:r w:rsidRPr="00C6052E">
              <w:t>2025</w:t>
            </w:r>
          </w:p>
        </w:tc>
      </w:tr>
      <w:tr w:rsidR="00EE5BB8" w:rsidRPr="00C6052E" w14:paraId="786EAF0B" w14:textId="77777777" w:rsidTr="00030B7E">
        <w:tc>
          <w:tcPr>
            <w:tcW w:w="1701" w:type="dxa"/>
          </w:tcPr>
          <w:p w14:paraId="09A526E8" w14:textId="05FC6E79" w:rsidR="00EE5BB8" w:rsidRPr="00C6052E" w:rsidRDefault="00EE5BB8" w:rsidP="0063097D">
            <w:pPr>
              <w:pStyle w:val="TableCopy"/>
            </w:pPr>
            <w:r w:rsidRPr="00C6052E">
              <w:t>Beth</w:t>
            </w:r>
            <w:r w:rsidR="00177848" w:rsidRPr="00C6052E">
              <w:t xml:space="preserve"> </w:t>
            </w:r>
            <w:r w:rsidRPr="00C6052E">
              <w:t>Jones</w:t>
            </w:r>
          </w:p>
        </w:tc>
        <w:tc>
          <w:tcPr>
            <w:tcW w:w="4673" w:type="dxa"/>
          </w:tcPr>
          <w:p w14:paraId="1FD256FE" w14:textId="4FAC3D13" w:rsidR="00EE5BB8" w:rsidRPr="00C6052E" w:rsidRDefault="00EE5BB8" w:rsidP="0063097D">
            <w:pPr>
              <w:pStyle w:val="TableCopy"/>
            </w:pPr>
            <w:r w:rsidRPr="00C6052E">
              <w:rPr>
                <w:spacing w:val="-2"/>
              </w:rPr>
              <w:t>Deputy</w:t>
            </w:r>
            <w:r w:rsidR="00177848" w:rsidRPr="00C6052E">
              <w:rPr>
                <w:spacing w:val="-2"/>
              </w:rPr>
              <w:t xml:space="preserve"> </w:t>
            </w:r>
            <w:r w:rsidRPr="00C6052E">
              <w:rPr>
                <w:spacing w:val="-2"/>
              </w:rPr>
              <w:t>Secretary,</w:t>
            </w:r>
            <w:r w:rsidR="00177848" w:rsidRPr="00C6052E">
              <w:rPr>
                <w:spacing w:val="-2"/>
              </w:rPr>
              <w:t xml:space="preserve"> </w:t>
            </w:r>
            <w:r w:rsidRPr="00C6052E">
              <w:rPr>
                <w:spacing w:val="-2"/>
              </w:rPr>
              <w:t>Regional</w:t>
            </w:r>
            <w:r w:rsidR="00177848" w:rsidRPr="00C6052E">
              <w:rPr>
                <w:spacing w:val="-2"/>
              </w:rPr>
              <w:t xml:space="preserve"> </w:t>
            </w:r>
            <w:r w:rsidRPr="00C6052E">
              <w:rPr>
                <w:spacing w:val="-2"/>
              </w:rPr>
              <w:t>Development</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Outdoor</w:t>
            </w:r>
            <w:r w:rsidR="00177848" w:rsidRPr="00C6052E">
              <w:rPr>
                <w:spacing w:val="-2"/>
              </w:rPr>
              <w:t xml:space="preserve"> </w:t>
            </w:r>
            <w:r w:rsidRPr="00C6052E">
              <w:rPr>
                <w:spacing w:val="-2"/>
              </w:rPr>
              <w:t>Recreation</w:t>
            </w:r>
          </w:p>
        </w:tc>
        <w:tc>
          <w:tcPr>
            <w:tcW w:w="3260" w:type="dxa"/>
          </w:tcPr>
          <w:p w14:paraId="63601767" w14:textId="48905392" w:rsidR="00EE5BB8" w:rsidRPr="00C6052E" w:rsidRDefault="00EE5BB8" w:rsidP="0063097D">
            <w:pPr>
              <w:pStyle w:val="TableCopy"/>
            </w:pPr>
            <w:r w:rsidRPr="00C6052E">
              <w:t>1</w:t>
            </w:r>
            <w:r w:rsidR="00177848" w:rsidRPr="00C6052E">
              <w:t xml:space="preserve"> </w:t>
            </w:r>
            <w:r w:rsidRPr="00C6052E">
              <w:t>July</w:t>
            </w:r>
            <w:r w:rsidR="00177848" w:rsidRPr="00C6052E">
              <w:t xml:space="preserve"> </w:t>
            </w:r>
            <w:r w:rsidRPr="00C6052E">
              <w:t>2024</w:t>
            </w:r>
            <w:r w:rsidR="00177848" w:rsidRPr="00C6052E">
              <w:t xml:space="preserve"> </w:t>
            </w:r>
            <w:r w:rsidRPr="00C6052E">
              <w:t>to</w:t>
            </w:r>
            <w:r w:rsidR="00177848" w:rsidRPr="00C6052E">
              <w:t xml:space="preserve"> </w:t>
            </w:r>
            <w:r w:rsidRPr="00C6052E">
              <w:t>5</w:t>
            </w:r>
            <w:r w:rsidR="00177848" w:rsidRPr="00C6052E">
              <w:t xml:space="preserve"> </w:t>
            </w:r>
            <w:r w:rsidRPr="00C6052E">
              <w:t>July</w:t>
            </w:r>
            <w:r w:rsidR="00177848" w:rsidRPr="00C6052E">
              <w:t xml:space="preserve"> </w:t>
            </w:r>
            <w:r w:rsidRPr="00C6052E">
              <w:t>2024</w:t>
            </w:r>
          </w:p>
        </w:tc>
      </w:tr>
      <w:tr w:rsidR="00EE5BB8" w:rsidRPr="00C6052E" w14:paraId="6704EFA5" w14:textId="77777777" w:rsidTr="00030B7E">
        <w:tc>
          <w:tcPr>
            <w:tcW w:w="1701" w:type="dxa"/>
          </w:tcPr>
          <w:p w14:paraId="493E3706" w14:textId="127BE0DA" w:rsidR="00EE5BB8" w:rsidRPr="00C6052E" w:rsidRDefault="00EE5BB8" w:rsidP="0063097D">
            <w:pPr>
              <w:pStyle w:val="TableCopy"/>
            </w:pPr>
            <w:r w:rsidRPr="00C6052E">
              <w:t>Xavier</w:t>
            </w:r>
            <w:r w:rsidR="00177848" w:rsidRPr="00C6052E">
              <w:t xml:space="preserve"> </w:t>
            </w:r>
            <w:r w:rsidRPr="00C6052E">
              <w:t>Csar</w:t>
            </w:r>
          </w:p>
        </w:tc>
        <w:tc>
          <w:tcPr>
            <w:tcW w:w="4673" w:type="dxa"/>
          </w:tcPr>
          <w:p w14:paraId="72D1CF19" w14:textId="24632F8F" w:rsidR="00EE5BB8" w:rsidRPr="00C6052E" w:rsidRDefault="00EE5BB8" w:rsidP="0063097D">
            <w:pPr>
              <w:pStyle w:val="TableCopy"/>
            </w:pPr>
            <w:r w:rsidRPr="00C6052E">
              <w:t>Deputy</w:t>
            </w:r>
            <w:r w:rsidR="00177848" w:rsidRPr="00C6052E">
              <w:t xml:space="preserve"> </w:t>
            </w:r>
            <w:r w:rsidRPr="00C6052E">
              <w:t>Secretary,</w:t>
            </w:r>
            <w:r w:rsidR="00177848" w:rsidRPr="00C6052E">
              <w:t xml:space="preserve"> </w:t>
            </w:r>
            <w:r w:rsidRPr="00C6052E">
              <w:t>Regional</w:t>
            </w:r>
            <w:r w:rsidR="00177848" w:rsidRPr="00C6052E">
              <w:t xml:space="preserve"> </w:t>
            </w:r>
            <w:r w:rsidRPr="00C6052E">
              <w:t>Development</w:t>
            </w:r>
          </w:p>
        </w:tc>
        <w:tc>
          <w:tcPr>
            <w:tcW w:w="3260" w:type="dxa"/>
          </w:tcPr>
          <w:p w14:paraId="7602DDD3" w14:textId="19BC740D" w:rsidR="00EE5BB8" w:rsidRPr="00C6052E" w:rsidRDefault="00EE5BB8" w:rsidP="0063097D">
            <w:pPr>
              <w:pStyle w:val="TableCopy"/>
            </w:pPr>
            <w:r w:rsidRPr="00C6052E">
              <w:t>7</w:t>
            </w:r>
            <w:r w:rsidR="00177848" w:rsidRPr="00C6052E">
              <w:t xml:space="preserve"> </w:t>
            </w:r>
            <w:r w:rsidRPr="00C6052E">
              <w:t>October</w:t>
            </w:r>
            <w:r w:rsidR="00177848" w:rsidRPr="00C6052E">
              <w:t xml:space="preserve"> </w:t>
            </w:r>
            <w:r w:rsidRPr="00C6052E">
              <w:t>2024</w:t>
            </w:r>
            <w:r w:rsidR="00177848" w:rsidRPr="00C6052E">
              <w:t xml:space="preserve"> </w:t>
            </w:r>
            <w:r w:rsidRPr="00C6052E">
              <w:t>to</w:t>
            </w:r>
            <w:r w:rsidR="00177848" w:rsidRPr="00C6052E">
              <w:t xml:space="preserve"> </w:t>
            </w:r>
            <w:r w:rsidRPr="00C6052E">
              <w:t>30</w:t>
            </w:r>
            <w:r w:rsidR="00177848" w:rsidRPr="00C6052E">
              <w:t xml:space="preserve"> </w:t>
            </w:r>
            <w:r w:rsidRPr="00C6052E">
              <w:t>June</w:t>
            </w:r>
            <w:r w:rsidR="00177848" w:rsidRPr="00C6052E">
              <w:t xml:space="preserve"> </w:t>
            </w:r>
            <w:r w:rsidRPr="00C6052E">
              <w:t>2025</w:t>
            </w:r>
          </w:p>
        </w:tc>
      </w:tr>
      <w:tr w:rsidR="00EE5BB8" w:rsidRPr="00C6052E" w14:paraId="5A228411" w14:textId="77777777" w:rsidTr="00030B7E">
        <w:tc>
          <w:tcPr>
            <w:tcW w:w="1701" w:type="dxa"/>
          </w:tcPr>
          <w:p w14:paraId="436A80DB" w14:textId="004F4104" w:rsidR="00EE5BB8" w:rsidRPr="00C6052E" w:rsidRDefault="00EE5BB8" w:rsidP="0063097D">
            <w:pPr>
              <w:pStyle w:val="TableCopy"/>
            </w:pPr>
            <w:r w:rsidRPr="00C6052E">
              <w:t>Daniel</w:t>
            </w:r>
            <w:r w:rsidR="00177848" w:rsidRPr="00C6052E">
              <w:t xml:space="preserve"> </w:t>
            </w:r>
            <w:r w:rsidRPr="00C6052E">
              <w:t>Rodger</w:t>
            </w:r>
            <w:r w:rsidR="00177848" w:rsidRPr="00C6052E">
              <w:t xml:space="preserve"> </w:t>
            </w:r>
          </w:p>
        </w:tc>
        <w:tc>
          <w:tcPr>
            <w:tcW w:w="4673" w:type="dxa"/>
          </w:tcPr>
          <w:p w14:paraId="67DE2B52" w14:textId="5375AFCA" w:rsidR="00EE5BB8" w:rsidRPr="00C6052E" w:rsidRDefault="00EE5BB8" w:rsidP="0063097D">
            <w:pPr>
              <w:pStyle w:val="TableCopy"/>
            </w:pPr>
            <w:r w:rsidRPr="00C6052E">
              <w:t>Executive</w:t>
            </w:r>
            <w:r w:rsidR="00177848" w:rsidRPr="00C6052E">
              <w:t xml:space="preserve"> </w:t>
            </w:r>
            <w:r w:rsidRPr="00C6052E">
              <w:t>Director,</w:t>
            </w:r>
            <w:r w:rsidR="00177848" w:rsidRPr="00C6052E">
              <w:t xml:space="preserve"> </w:t>
            </w:r>
            <w:r w:rsidRPr="00C6052E">
              <w:t>Finance,</w:t>
            </w:r>
            <w:r w:rsidR="00177848" w:rsidRPr="00C6052E">
              <w:t xml:space="preserve"> </w:t>
            </w:r>
            <w:r w:rsidRPr="00C6052E">
              <w:t>Investment</w:t>
            </w:r>
            <w:r w:rsidR="00177848" w:rsidRPr="00C6052E">
              <w:t xml:space="preserve"> </w:t>
            </w:r>
            <w:r w:rsidRPr="00C6052E">
              <w:t>and</w:t>
            </w:r>
            <w:r w:rsidR="00177848" w:rsidRPr="00C6052E">
              <w:t xml:space="preserve"> </w:t>
            </w:r>
            <w:r w:rsidRPr="00C6052E">
              <w:t>Procurement</w:t>
            </w:r>
            <w:r w:rsidR="00177848" w:rsidRPr="00C6052E">
              <w:t xml:space="preserve"> </w:t>
            </w:r>
            <w:r w:rsidRPr="00C6052E">
              <w:t>&amp;</w:t>
            </w:r>
            <w:r w:rsidR="00177848" w:rsidRPr="00C6052E">
              <w:t xml:space="preserve"> </w:t>
            </w:r>
            <w:r w:rsidRPr="00C6052E">
              <w:t>Chief</w:t>
            </w:r>
            <w:r w:rsidR="00177848" w:rsidRPr="00C6052E">
              <w:t xml:space="preserve"> </w:t>
            </w:r>
            <w:r w:rsidRPr="00C6052E">
              <w:t>Financial</w:t>
            </w:r>
            <w:r w:rsidR="00177848" w:rsidRPr="00C6052E">
              <w:t xml:space="preserve"> </w:t>
            </w:r>
            <w:r w:rsidRPr="00C6052E">
              <w:t>Officer</w:t>
            </w:r>
          </w:p>
        </w:tc>
        <w:tc>
          <w:tcPr>
            <w:tcW w:w="3260" w:type="dxa"/>
          </w:tcPr>
          <w:p w14:paraId="5130D9DB" w14:textId="06547A29" w:rsidR="00EE5BB8" w:rsidRPr="00C6052E" w:rsidRDefault="00EE5BB8" w:rsidP="0063097D">
            <w:pPr>
              <w:pStyle w:val="TableCopy"/>
            </w:pPr>
            <w:r w:rsidRPr="00C6052E">
              <w:t>1</w:t>
            </w:r>
            <w:r w:rsidR="00177848" w:rsidRPr="00C6052E">
              <w:t xml:space="preserve"> </w:t>
            </w:r>
            <w:r w:rsidRPr="00C6052E">
              <w:t>July</w:t>
            </w:r>
            <w:r w:rsidR="00177848" w:rsidRPr="00C6052E">
              <w:t xml:space="preserve"> </w:t>
            </w:r>
            <w:r w:rsidRPr="00C6052E">
              <w:t>2024</w:t>
            </w:r>
            <w:r w:rsidR="00177848" w:rsidRPr="00C6052E">
              <w:t xml:space="preserve"> </w:t>
            </w:r>
            <w:r w:rsidRPr="00C6052E">
              <w:t>to</w:t>
            </w:r>
            <w:r w:rsidR="00177848" w:rsidRPr="00C6052E">
              <w:t xml:space="preserve"> </w:t>
            </w:r>
            <w:r w:rsidRPr="00C6052E">
              <w:t>30</w:t>
            </w:r>
            <w:r w:rsidR="00177848" w:rsidRPr="00C6052E">
              <w:t xml:space="preserve"> </w:t>
            </w:r>
            <w:r w:rsidRPr="00C6052E">
              <w:t>June</w:t>
            </w:r>
            <w:r w:rsidR="00177848" w:rsidRPr="00C6052E">
              <w:t xml:space="preserve"> </w:t>
            </w:r>
            <w:r w:rsidRPr="00C6052E">
              <w:t>2025</w:t>
            </w:r>
          </w:p>
        </w:tc>
      </w:tr>
      <w:tr w:rsidR="00EE5BB8" w:rsidRPr="00C6052E" w14:paraId="2CB724DF" w14:textId="77777777" w:rsidTr="00030B7E">
        <w:tc>
          <w:tcPr>
            <w:tcW w:w="1701" w:type="dxa"/>
          </w:tcPr>
          <w:p w14:paraId="79317463" w14:textId="1C1E1105" w:rsidR="00EE5BB8" w:rsidRPr="00C6052E" w:rsidRDefault="00EE5BB8" w:rsidP="0063097D">
            <w:pPr>
              <w:pStyle w:val="TableCopy"/>
            </w:pPr>
            <w:r w:rsidRPr="00C6052E">
              <w:t>Claire</w:t>
            </w:r>
            <w:r w:rsidR="00177848" w:rsidRPr="00C6052E">
              <w:t xml:space="preserve"> </w:t>
            </w:r>
            <w:r w:rsidRPr="00C6052E">
              <w:t>Febey</w:t>
            </w:r>
          </w:p>
        </w:tc>
        <w:tc>
          <w:tcPr>
            <w:tcW w:w="4673" w:type="dxa"/>
          </w:tcPr>
          <w:p w14:paraId="794AEF99" w14:textId="67FA0592" w:rsidR="00EE5BB8" w:rsidRPr="00C6052E" w:rsidRDefault="00EE5BB8" w:rsidP="0063097D">
            <w:pPr>
              <w:pStyle w:val="TableCopy"/>
            </w:pPr>
            <w:r w:rsidRPr="00C6052E">
              <w:t>Chief</w:t>
            </w:r>
            <w:r w:rsidR="00177848" w:rsidRPr="00C6052E">
              <w:t xml:space="preserve"> </w:t>
            </w:r>
            <w:r w:rsidRPr="00C6052E">
              <w:t>Executive,</w:t>
            </w:r>
            <w:r w:rsidR="00177848" w:rsidRPr="00C6052E">
              <w:t xml:space="preserve"> </w:t>
            </w:r>
            <w:r w:rsidRPr="00C6052E">
              <w:t>Creative</w:t>
            </w:r>
            <w:r w:rsidR="00177848" w:rsidRPr="00C6052E">
              <w:t xml:space="preserve"> </w:t>
            </w:r>
            <w:r w:rsidRPr="00C6052E">
              <w:t>Victoria</w:t>
            </w:r>
          </w:p>
        </w:tc>
        <w:tc>
          <w:tcPr>
            <w:tcW w:w="3260" w:type="dxa"/>
          </w:tcPr>
          <w:p w14:paraId="4AD6C7AD" w14:textId="427F122B" w:rsidR="00EE5BB8" w:rsidRPr="00C6052E" w:rsidRDefault="00EE5BB8" w:rsidP="0063097D">
            <w:pPr>
              <w:pStyle w:val="TableCopy"/>
            </w:pPr>
            <w:r w:rsidRPr="00C6052E">
              <w:t>1</w:t>
            </w:r>
            <w:r w:rsidR="00177848" w:rsidRPr="00C6052E">
              <w:t xml:space="preserve"> </w:t>
            </w:r>
            <w:r w:rsidRPr="00C6052E">
              <w:t>July</w:t>
            </w:r>
            <w:r w:rsidR="00177848" w:rsidRPr="00C6052E">
              <w:t xml:space="preserve"> </w:t>
            </w:r>
            <w:r w:rsidRPr="00C6052E">
              <w:t>2024</w:t>
            </w:r>
            <w:r w:rsidR="00177848" w:rsidRPr="00C6052E">
              <w:t xml:space="preserve"> </w:t>
            </w:r>
            <w:r w:rsidRPr="00C6052E">
              <w:t>to</w:t>
            </w:r>
            <w:r w:rsidR="00177848" w:rsidRPr="00C6052E">
              <w:t xml:space="preserve"> </w:t>
            </w:r>
            <w:r w:rsidRPr="00C6052E">
              <w:t>30</w:t>
            </w:r>
            <w:r w:rsidR="00177848" w:rsidRPr="00C6052E">
              <w:t xml:space="preserve"> </w:t>
            </w:r>
            <w:r w:rsidRPr="00C6052E">
              <w:t>June</w:t>
            </w:r>
            <w:r w:rsidR="00177848" w:rsidRPr="00C6052E">
              <w:t xml:space="preserve"> </w:t>
            </w:r>
            <w:r w:rsidRPr="00C6052E">
              <w:t>2025</w:t>
            </w:r>
          </w:p>
        </w:tc>
      </w:tr>
      <w:tr w:rsidR="00EE5BB8" w:rsidRPr="00C6052E" w14:paraId="78BEEDD9" w14:textId="77777777" w:rsidTr="00030B7E">
        <w:tc>
          <w:tcPr>
            <w:tcW w:w="1701" w:type="dxa"/>
          </w:tcPr>
          <w:p w14:paraId="090E3D81" w14:textId="4052388F" w:rsidR="00EE5BB8" w:rsidRPr="00C6052E" w:rsidRDefault="00EE5BB8" w:rsidP="0063097D">
            <w:pPr>
              <w:pStyle w:val="TableCopy"/>
            </w:pPr>
            <w:r w:rsidRPr="00C6052E">
              <w:lastRenderedPageBreak/>
              <w:t>Jacqui</w:t>
            </w:r>
            <w:r w:rsidR="00177848" w:rsidRPr="00C6052E">
              <w:t xml:space="preserve"> </w:t>
            </w:r>
            <w:r w:rsidRPr="00C6052E">
              <w:t>Berry</w:t>
            </w:r>
          </w:p>
        </w:tc>
        <w:tc>
          <w:tcPr>
            <w:tcW w:w="4673" w:type="dxa"/>
          </w:tcPr>
          <w:p w14:paraId="025A4413" w14:textId="19C5B5E7" w:rsidR="00EE5BB8" w:rsidRPr="00C6052E" w:rsidRDefault="00EE5BB8" w:rsidP="0063097D">
            <w:pPr>
              <w:pStyle w:val="TableCopy"/>
            </w:pPr>
            <w:r w:rsidRPr="00C6052E">
              <w:t>Chief</w:t>
            </w:r>
            <w:r w:rsidR="00177848" w:rsidRPr="00C6052E">
              <w:t xml:space="preserve"> </w:t>
            </w:r>
            <w:r w:rsidRPr="00C6052E">
              <w:t>Communications</w:t>
            </w:r>
            <w:r w:rsidR="00177848" w:rsidRPr="00C6052E">
              <w:t xml:space="preserve"> </w:t>
            </w:r>
            <w:r w:rsidRPr="00C6052E">
              <w:t>Officer</w:t>
            </w:r>
          </w:p>
        </w:tc>
        <w:tc>
          <w:tcPr>
            <w:tcW w:w="3260" w:type="dxa"/>
          </w:tcPr>
          <w:p w14:paraId="5BF247F2" w14:textId="5C4C2651" w:rsidR="00EE5BB8" w:rsidRPr="00C6052E" w:rsidRDefault="00EE5BB8" w:rsidP="0063097D">
            <w:pPr>
              <w:pStyle w:val="TableCopy"/>
            </w:pPr>
            <w:r w:rsidRPr="00C6052E">
              <w:t>1</w:t>
            </w:r>
            <w:r w:rsidR="00177848" w:rsidRPr="00C6052E">
              <w:t xml:space="preserve"> </w:t>
            </w:r>
            <w:r w:rsidRPr="00C6052E">
              <w:t>July</w:t>
            </w:r>
            <w:r w:rsidR="00177848" w:rsidRPr="00C6052E">
              <w:t xml:space="preserve"> </w:t>
            </w:r>
            <w:r w:rsidRPr="00C6052E">
              <w:t>2024</w:t>
            </w:r>
            <w:r w:rsidR="00177848" w:rsidRPr="00C6052E">
              <w:t xml:space="preserve"> </w:t>
            </w:r>
            <w:r w:rsidRPr="00C6052E">
              <w:t>to</w:t>
            </w:r>
            <w:r w:rsidR="00177848" w:rsidRPr="00C6052E">
              <w:t xml:space="preserve"> </w:t>
            </w:r>
            <w:r w:rsidRPr="00C6052E">
              <w:t>28</w:t>
            </w:r>
            <w:r w:rsidR="00177848" w:rsidRPr="00C6052E">
              <w:t xml:space="preserve"> </w:t>
            </w:r>
            <w:r w:rsidRPr="00C6052E">
              <w:t>January</w:t>
            </w:r>
            <w:r w:rsidR="00177848" w:rsidRPr="00C6052E">
              <w:t xml:space="preserve"> </w:t>
            </w:r>
            <w:r w:rsidRPr="00C6052E">
              <w:t>2025</w:t>
            </w:r>
          </w:p>
        </w:tc>
      </w:tr>
      <w:tr w:rsidR="00EE5BB8" w:rsidRPr="00C6052E" w14:paraId="39F9C87F" w14:textId="77777777" w:rsidTr="00030B7E">
        <w:tc>
          <w:tcPr>
            <w:tcW w:w="1701" w:type="dxa"/>
          </w:tcPr>
          <w:p w14:paraId="4FB793FE" w14:textId="3556C16F" w:rsidR="00EE5BB8" w:rsidRPr="00C6052E" w:rsidRDefault="00EE5BB8" w:rsidP="0063097D">
            <w:pPr>
              <w:pStyle w:val="TableCopy"/>
            </w:pPr>
            <w:r w:rsidRPr="00C6052E">
              <w:t>Tina</w:t>
            </w:r>
            <w:r w:rsidR="00177848" w:rsidRPr="00C6052E">
              <w:t xml:space="preserve"> </w:t>
            </w:r>
            <w:r w:rsidRPr="00C6052E">
              <w:t>Daisley</w:t>
            </w:r>
          </w:p>
        </w:tc>
        <w:tc>
          <w:tcPr>
            <w:tcW w:w="4673" w:type="dxa"/>
          </w:tcPr>
          <w:p w14:paraId="50B56258" w14:textId="56A68BA2" w:rsidR="00EE5BB8" w:rsidRPr="00C6052E" w:rsidRDefault="00EE5BB8" w:rsidP="0063097D">
            <w:pPr>
              <w:pStyle w:val="TableCopy"/>
            </w:pPr>
            <w:r w:rsidRPr="00C6052E">
              <w:t>Executive</w:t>
            </w:r>
            <w:r w:rsidR="00177848" w:rsidRPr="00C6052E">
              <w:t xml:space="preserve"> </w:t>
            </w:r>
            <w:r w:rsidRPr="00C6052E">
              <w:t>Director,</w:t>
            </w:r>
            <w:r w:rsidR="00177848" w:rsidRPr="00C6052E">
              <w:t xml:space="preserve"> </w:t>
            </w:r>
            <w:r w:rsidRPr="00C6052E">
              <w:t>People</w:t>
            </w:r>
            <w:r w:rsidR="00177848" w:rsidRPr="00C6052E">
              <w:t xml:space="preserve"> </w:t>
            </w:r>
            <w:r w:rsidRPr="00C6052E">
              <w:t>and</w:t>
            </w:r>
            <w:r w:rsidR="00177848" w:rsidRPr="00C6052E">
              <w:t xml:space="preserve"> </w:t>
            </w:r>
            <w:r w:rsidRPr="00C6052E">
              <w:t>Culture</w:t>
            </w:r>
          </w:p>
        </w:tc>
        <w:tc>
          <w:tcPr>
            <w:tcW w:w="3260" w:type="dxa"/>
          </w:tcPr>
          <w:p w14:paraId="598AB976" w14:textId="542467C7" w:rsidR="00EE5BB8" w:rsidRPr="00C6052E" w:rsidRDefault="00EE5BB8" w:rsidP="0063097D">
            <w:pPr>
              <w:pStyle w:val="TableCopy"/>
            </w:pPr>
            <w:r w:rsidRPr="00C6052E">
              <w:t>16</w:t>
            </w:r>
            <w:r w:rsidR="00177848" w:rsidRPr="00C6052E">
              <w:t xml:space="preserve"> </w:t>
            </w:r>
            <w:r w:rsidRPr="00C6052E">
              <w:t>September</w:t>
            </w:r>
            <w:r w:rsidR="00177848" w:rsidRPr="00C6052E">
              <w:t xml:space="preserve"> </w:t>
            </w:r>
            <w:r w:rsidRPr="00C6052E">
              <w:t>2024</w:t>
            </w:r>
            <w:r w:rsidR="00177848" w:rsidRPr="00C6052E">
              <w:t xml:space="preserve"> </w:t>
            </w:r>
            <w:r w:rsidRPr="00C6052E">
              <w:t>to</w:t>
            </w:r>
            <w:r w:rsidR="00177848" w:rsidRPr="00C6052E">
              <w:t xml:space="preserve"> </w:t>
            </w:r>
            <w:r w:rsidRPr="00C6052E">
              <w:t>22</w:t>
            </w:r>
            <w:r w:rsidR="00177848" w:rsidRPr="00C6052E">
              <w:t xml:space="preserve"> </w:t>
            </w:r>
            <w:r w:rsidRPr="00C6052E">
              <w:t>January</w:t>
            </w:r>
            <w:r w:rsidR="00177848" w:rsidRPr="00C6052E">
              <w:t xml:space="preserve"> </w:t>
            </w:r>
            <w:r w:rsidRPr="00C6052E">
              <w:t>2025</w:t>
            </w:r>
          </w:p>
        </w:tc>
      </w:tr>
    </w:tbl>
    <w:p w14:paraId="3E8D87CE" w14:textId="77777777" w:rsidR="00EE5BB8" w:rsidRPr="00C6052E" w:rsidRDefault="00EE5BB8" w:rsidP="00EE5BB8"/>
    <w:p w14:paraId="475F7555" w14:textId="2370ED83" w:rsidR="00EE5BB8" w:rsidRPr="006F1C8C" w:rsidRDefault="00EE5BB8" w:rsidP="006F1C8C">
      <w:pPr>
        <w:pStyle w:val="Normalbeforebullets"/>
        <w:rPr>
          <w:b/>
          <w:bCs/>
        </w:rPr>
      </w:pPr>
      <w:r w:rsidRPr="006F1C8C">
        <w:rPr>
          <w:b/>
          <w:bCs/>
        </w:rPr>
        <w:t>KMP</w:t>
      </w:r>
      <w:r w:rsidR="00177848" w:rsidRPr="006F1C8C">
        <w:rPr>
          <w:b/>
          <w:bCs/>
        </w:rPr>
        <w:t xml:space="preserve"> </w:t>
      </w:r>
      <w:r w:rsidRPr="006F1C8C">
        <w:rPr>
          <w:b/>
          <w:bCs/>
        </w:rPr>
        <w:t>of</w:t>
      </w:r>
      <w:r w:rsidR="00177848" w:rsidRPr="006F1C8C">
        <w:rPr>
          <w:b/>
          <w:bCs/>
        </w:rPr>
        <w:t xml:space="preserve"> </w:t>
      </w:r>
      <w:r w:rsidRPr="006F1C8C">
        <w:rPr>
          <w:b/>
          <w:bCs/>
        </w:rPr>
        <w:t>the</w:t>
      </w:r>
      <w:r w:rsidR="00177848" w:rsidRPr="006F1C8C">
        <w:rPr>
          <w:b/>
          <w:bCs/>
        </w:rPr>
        <w:t xml:space="preserve"> </w:t>
      </w:r>
      <w:r w:rsidRPr="006F1C8C">
        <w:rPr>
          <w:b/>
          <w:bCs/>
        </w:rPr>
        <w:t>Administrative</w:t>
      </w:r>
      <w:r w:rsidR="00177848" w:rsidRPr="006F1C8C">
        <w:rPr>
          <w:b/>
          <w:bCs/>
        </w:rPr>
        <w:t xml:space="preserve"> </w:t>
      </w:r>
      <w:r w:rsidRPr="006F1C8C">
        <w:rPr>
          <w:b/>
          <w:bCs/>
        </w:rPr>
        <w:t>Offices:</w:t>
      </w:r>
    </w:p>
    <w:tbl>
      <w:tblPr>
        <w:tblStyle w:val="TableGrid"/>
        <w:tblW w:w="9634" w:type="dxa"/>
        <w:tblLayout w:type="fixed"/>
        <w:tblLook w:val="04A0" w:firstRow="1" w:lastRow="0" w:firstColumn="1" w:lastColumn="0" w:noHBand="0" w:noVBand="1"/>
      </w:tblPr>
      <w:tblGrid>
        <w:gridCol w:w="2405"/>
        <w:gridCol w:w="1842"/>
        <w:gridCol w:w="2269"/>
        <w:gridCol w:w="3118"/>
      </w:tblGrid>
      <w:tr w:rsidR="00EE5BB8" w:rsidRPr="00C6052E" w14:paraId="2F5A0E25" w14:textId="77777777" w:rsidTr="006F1C8C">
        <w:tc>
          <w:tcPr>
            <w:tcW w:w="2405" w:type="dxa"/>
          </w:tcPr>
          <w:p w14:paraId="3425279B" w14:textId="77777777" w:rsidR="00EE5BB8" w:rsidRPr="00C6052E" w:rsidRDefault="00EE5BB8" w:rsidP="000F5B20">
            <w:pPr>
              <w:pStyle w:val="TableColumnHeading"/>
            </w:pPr>
            <w:bookmarkStart w:id="389" w:name="TableColumnHeadings_114"/>
            <w:bookmarkEnd w:id="389"/>
            <w:r w:rsidRPr="00C6052E">
              <w:t>Entity</w:t>
            </w:r>
          </w:p>
        </w:tc>
        <w:tc>
          <w:tcPr>
            <w:tcW w:w="1842" w:type="dxa"/>
          </w:tcPr>
          <w:p w14:paraId="106D241A" w14:textId="77777777" w:rsidR="00EE5BB8" w:rsidRPr="00C6052E" w:rsidRDefault="00EE5BB8" w:rsidP="000F5B20">
            <w:pPr>
              <w:pStyle w:val="TableColumnHeading"/>
            </w:pPr>
            <w:r w:rsidRPr="00C6052E">
              <w:t>Personnel</w:t>
            </w:r>
          </w:p>
        </w:tc>
        <w:tc>
          <w:tcPr>
            <w:tcW w:w="2269" w:type="dxa"/>
          </w:tcPr>
          <w:p w14:paraId="460EB52A" w14:textId="401F4BA2" w:rsidR="00EE5BB8" w:rsidRPr="00C6052E" w:rsidRDefault="00EE5BB8" w:rsidP="00B1545C">
            <w:pPr>
              <w:pStyle w:val="TableColumnHeading"/>
              <w:rPr>
                <w:lang w:val="en-AU"/>
              </w:rPr>
            </w:pPr>
            <w:r w:rsidRPr="00C6052E">
              <w:rPr>
                <w:lang w:val="en-AU"/>
              </w:rPr>
              <w:t>Position</w:t>
            </w:r>
            <w:r w:rsidR="00B1545C" w:rsidRPr="00C6052E">
              <w:rPr>
                <w:lang w:val="en-AU"/>
              </w:rPr>
              <w:t xml:space="preserve"> </w:t>
            </w:r>
            <w:r w:rsidRPr="00C6052E">
              <w:rPr>
                <w:lang w:val="en-AU"/>
              </w:rPr>
              <w:t>title</w:t>
            </w:r>
          </w:p>
        </w:tc>
        <w:tc>
          <w:tcPr>
            <w:tcW w:w="3118" w:type="dxa"/>
          </w:tcPr>
          <w:p w14:paraId="3D48DD2E" w14:textId="77777777" w:rsidR="00EE5BB8" w:rsidRPr="00C6052E" w:rsidRDefault="00EE5BB8" w:rsidP="000F5B20">
            <w:pPr>
              <w:pStyle w:val="TableColumnHeading"/>
            </w:pPr>
            <w:r w:rsidRPr="00C6052E">
              <w:t>Timeframe</w:t>
            </w:r>
          </w:p>
        </w:tc>
      </w:tr>
      <w:tr w:rsidR="00EE5BB8" w:rsidRPr="00C6052E" w14:paraId="233D7E4F" w14:textId="77777777" w:rsidTr="006F1C8C">
        <w:tc>
          <w:tcPr>
            <w:tcW w:w="2405" w:type="dxa"/>
          </w:tcPr>
          <w:p w14:paraId="2CDD7284" w14:textId="4EDED644" w:rsidR="00EE5BB8" w:rsidRPr="00C6052E" w:rsidRDefault="00EE5BB8" w:rsidP="0063097D">
            <w:pPr>
              <w:pStyle w:val="TableCopy"/>
            </w:pPr>
            <w:r w:rsidRPr="00C6052E">
              <w:t>Latrobe</w:t>
            </w:r>
            <w:r w:rsidR="00177848" w:rsidRPr="00C6052E">
              <w:t xml:space="preserve"> </w:t>
            </w:r>
            <w:r w:rsidRPr="00C6052E">
              <w:t>Valley</w:t>
            </w:r>
            <w:r w:rsidR="00177848" w:rsidRPr="00C6052E">
              <w:t xml:space="preserve"> </w:t>
            </w:r>
            <w:r w:rsidRPr="00C6052E">
              <w:t>Authority</w:t>
            </w:r>
          </w:p>
        </w:tc>
        <w:tc>
          <w:tcPr>
            <w:tcW w:w="1842" w:type="dxa"/>
          </w:tcPr>
          <w:p w14:paraId="467EF9F6" w14:textId="7BEFCBA2" w:rsidR="00EE5BB8" w:rsidRPr="00C6052E" w:rsidRDefault="00EE5BB8" w:rsidP="0063097D">
            <w:pPr>
              <w:pStyle w:val="TableCopy"/>
            </w:pPr>
            <w:r w:rsidRPr="00C6052E">
              <w:t>Chris</w:t>
            </w:r>
            <w:r w:rsidR="00177848" w:rsidRPr="00C6052E">
              <w:t xml:space="preserve"> </w:t>
            </w:r>
            <w:r w:rsidRPr="00C6052E">
              <w:t>Buckingham</w:t>
            </w:r>
          </w:p>
        </w:tc>
        <w:tc>
          <w:tcPr>
            <w:tcW w:w="2269" w:type="dxa"/>
          </w:tcPr>
          <w:p w14:paraId="10481B33" w14:textId="453379B5" w:rsidR="00EE5BB8" w:rsidRPr="00C6052E" w:rsidRDefault="00EE5BB8" w:rsidP="0063097D">
            <w:pPr>
              <w:pStyle w:val="TableCopy"/>
            </w:pPr>
            <w:r w:rsidRPr="00C6052E">
              <w:t>Chief</w:t>
            </w:r>
            <w:r w:rsidR="00177848" w:rsidRPr="00C6052E">
              <w:t xml:space="preserve"> </w:t>
            </w:r>
            <w:r w:rsidRPr="00C6052E">
              <w:t>Executive</w:t>
            </w:r>
            <w:r w:rsidR="00177848" w:rsidRPr="00C6052E">
              <w:t xml:space="preserve"> </w:t>
            </w:r>
            <w:r w:rsidRPr="00C6052E">
              <w:t>Officer</w:t>
            </w:r>
          </w:p>
        </w:tc>
        <w:tc>
          <w:tcPr>
            <w:tcW w:w="3118" w:type="dxa"/>
          </w:tcPr>
          <w:p w14:paraId="39483C49" w14:textId="2D308B58" w:rsidR="00EE5BB8" w:rsidRPr="00C6052E" w:rsidRDefault="00EE5BB8" w:rsidP="0063097D">
            <w:pPr>
              <w:pStyle w:val="TableCopy"/>
            </w:pPr>
            <w:r w:rsidRPr="00C6052E">
              <w:t>1</w:t>
            </w:r>
            <w:r w:rsidR="00177848" w:rsidRPr="00C6052E">
              <w:t xml:space="preserve"> </w:t>
            </w:r>
            <w:r w:rsidRPr="00C6052E">
              <w:t>July</w:t>
            </w:r>
            <w:r w:rsidR="00177848" w:rsidRPr="00C6052E">
              <w:t xml:space="preserve"> </w:t>
            </w:r>
            <w:r w:rsidRPr="00C6052E">
              <w:t>2024</w:t>
            </w:r>
            <w:r w:rsidR="00177848" w:rsidRPr="00C6052E">
              <w:t xml:space="preserve"> </w:t>
            </w:r>
            <w:r w:rsidRPr="00C6052E">
              <w:t>to</w:t>
            </w:r>
            <w:r w:rsidR="00177848" w:rsidRPr="00C6052E">
              <w:t xml:space="preserve"> </w:t>
            </w:r>
            <w:r w:rsidRPr="00C6052E">
              <w:t>31</w:t>
            </w:r>
            <w:r w:rsidR="00177848" w:rsidRPr="00C6052E">
              <w:t xml:space="preserve"> </w:t>
            </w:r>
            <w:r w:rsidRPr="00C6052E">
              <w:t>December</w:t>
            </w:r>
            <w:r w:rsidR="00177848" w:rsidRPr="00C6052E">
              <w:t xml:space="preserve"> </w:t>
            </w:r>
            <w:r w:rsidRPr="00C6052E">
              <w:t>2024</w:t>
            </w:r>
          </w:p>
        </w:tc>
      </w:tr>
      <w:tr w:rsidR="00EE5BB8" w:rsidRPr="00C6052E" w14:paraId="7E19D335" w14:textId="77777777" w:rsidTr="006F1C8C">
        <w:tc>
          <w:tcPr>
            <w:tcW w:w="2405" w:type="dxa"/>
          </w:tcPr>
          <w:p w14:paraId="0923629C" w14:textId="7A0773CE" w:rsidR="00EE5BB8" w:rsidRPr="00C6052E" w:rsidRDefault="00EE5BB8" w:rsidP="0063097D">
            <w:pPr>
              <w:pStyle w:val="TableCopy"/>
            </w:pPr>
            <w:r w:rsidRPr="00C6052E">
              <w:t>Victorian</w:t>
            </w:r>
            <w:r w:rsidR="00177848" w:rsidRPr="00C6052E">
              <w:t xml:space="preserve"> </w:t>
            </w:r>
            <w:r w:rsidRPr="00C6052E">
              <w:t>Skills</w:t>
            </w:r>
            <w:r w:rsidR="00177848" w:rsidRPr="00C6052E">
              <w:t xml:space="preserve"> </w:t>
            </w:r>
            <w:r w:rsidRPr="00C6052E">
              <w:t>Authority</w:t>
            </w:r>
          </w:p>
        </w:tc>
        <w:tc>
          <w:tcPr>
            <w:tcW w:w="1842" w:type="dxa"/>
          </w:tcPr>
          <w:p w14:paraId="2D8AC035" w14:textId="2A61B072" w:rsidR="00EE5BB8" w:rsidRPr="00C6052E" w:rsidRDefault="00EE5BB8" w:rsidP="0063097D">
            <w:pPr>
              <w:pStyle w:val="TableCopy"/>
            </w:pPr>
            <w:r w:rsidRPr="00C6052E">
              <w:t>Craig</w:t>
            </w:r>
            <w:r w:rsidR="00177848" w:rsidRPr="00C6052E">
              <w:t xml:space="preserve"> </w:t>
            </w:r>
            <w:r w:rsidRPr="00C6052E">
              <w:t>Robertson</w:t>
            </w:r>
            <w:r w:rsidR="00177848" w:rsidRPr="00C6052E">
              <w:t xml:space="preserve"> </w:t>
            </w:r>
          </w:p>
        </w:tc>
        <w:tc>
          <w:tcPr>
            <w:tcW w:w="2269" w:type="dxa"/>
          </w:tcPr>
          <w:p w14:paraId="3EFC7A4F" w14:textId="0A2EDF1E" w:rsidR="00EE5BB8" w:rsidRPr="00C6052E" w:rsidRDefault="00EE5BB8" w:rsidP="0063097D">
            <w:pPr>
              <w:pStyle w:val="TableCopy"/>
            </w:pPr>
            <w:r w:rsidRPr="00C6052E">
              <w:t>Chief</w:t>
            </w:r>
            <w:r w:rsidR="00177848" w:rsidRPr="00C6052E">
              <w:t xml:space="preserve"> </w:t>
            </w:r>
            <w:r w:rsidRPr="00C6052E">
              <w:t>Executive</w:t>
            </w:r>
            <w:r w:rsidR="00177848" w:rsidRPr="00C6052E">
              <w:t xml:space="preserve"> </w:t>
            </w:r>
            <w:r w:rsidRPr="00C6052E">
              <w:t>Officer</w:t>
            </w:r>
          </w:p>
        </w:tc>
        <w:tc>
          <w:tcPr>
            <w:tcW w:w="3118" w:type="dxa"/>
          </w:tcPr>
          <w:p w14:paraId="76ED065B" w14:textId="0BEDF411" w:rsidR="00EE5BB8" w:rsidRPr="00C6052E" w:rsidRDefault="00EE5BB8" w:rsidP="0063097D">
            <w:pPr>
              <w:pStyle w:val="TableCopy"/>
            </w:pPr>
            <w:r w:rsidRPr="00C6052E">
              <w:t>1</w:t>
            </w:r>
            <w:r w:rsidR="00177848" w:rsidRPr="00C6052E">
              <w:t xml:space="preserve"> </w:t>
            </w:r>
            <w:r w:rsidRPr="00C6052E">
              <w:t>July</w:t>
            </w:r>
            <w:r w:rsidR="00177848" w:rsidRPr="00C6052E">
              <w:t xml:space="preserve"> </w:t>
            </w:r>
            <w:r w:rsidRPr="00C6052E">
              <w:t>2024</w:t>
            </w:r>
            <w:r w:rsidR="00177848" w:rsidRPr="00C6052E">
              <w:t xml:space="preserve"> </w:t>
            </w:r>
            <w:r w:rsidRPr="00C6052E">
              <w:t>to</w:t>
            </w:r>
            <w:r w:rsidR="00177848" w:rsidRPr="00C6052E">
              <w:t xml:space="preserve"> </w:t>
            </w:r>
            <w:r w:rsidRPr="00C6052E">
              <w:t>30</w:t>
            </w:r>
            <w:r w:rsidR="00177848" w:rsidRPr="00C6052E">
              <w:t xml:space="preserve"> </w:t>
            </w:r>
            <w:r w:rsidRPr="00C6052E">
              <w:t>June</w:t>
            </w:r>
            <w:r w:rsidR="00177848" w:rsidRPr="00C6052E">
              <w:t xml:space="preserve"> </w:t>
            </w:r>
            <w:r w:rsidRPr="00C6052E">
              <w:t>2025</w:t>
            </w:r>
          </w:p>
        </w:tc>
      </w:tr>
    </w:tbl>
    <w:p w14:paraId="3FC885B9" w14:textId="77777777" w:rsidR="00EE5BB8" w:rsidRPr="00C6052E" w:rsidRDefault="00EE5BB8" w:rsidP="00EE5BB8"/>
    <w:p w14:paraId="0ABEF296" w14:textId="084A8F0B" w:rsidR="00EE5BB8" w:rsidRPr="00C6052E" w:rsidRDefault="00EE5BB8" w:rsidP="006F1C8C">
      <w:pPr>
        <w:pStyle w:val="Normalbeforebullets"/>
      </w:pPr>
      <w:r w:rsidRPr="00C6052E">
        <w:rPr>
          <w:rStyle w:val="Medium"/>
        </w:rPr>
        <w:t>KMP</w:t>
      </w:r>
      <w:r w:rsidR="00177848" w:rsidRPr="00C6052E">
        <w:rPr>
          <w:rStyle w:val="Medium"/>
        </w:rPr>
        <w:t xml:space="preserve"> </w:t>
      </w:r>
      <w:r w:rsidRPr="00C6052E">
        <w:rPr>
          <w:rStyle w:val="Medium"/>
        </w:rPr>
        <w:t>of</w:t>
      </w:r>
      <w:r w:rsidR="00177848" w:rsidRPr="00C6052E">
        <w:rPr>
          <w:rStyle w:val="Medium"/>
        </w:rPr>
        <w:t xml:space="preserve"> </w:t>
      </w:r>
      <w:r w:rsidRPr="00C6052E">
        <w:rPr>
          <w:rStyle w:val="Medium"/>
        </w:rPr>
        <w:t>agencies</w:t>
      </w:r>
      <w:r w:rsidR="00177848" w:rsidRPr="00C6052E">
        <w:t xml:space="preserve"> </w:t>
      </w:r>
      <w:r w:rsidRPr="00C6052E">
        <w:t>consolidated</w:t>
      </w:r>
      <w:r w:rsidR="00177848" w:rsidRPr="00C6052E">
        <w:t xml:space="preserve"> </w:t>
      </w:r>
      <w:r w:rsidRPr="00C6052E">
        <w:t>pursuant</w:t>
      </w:r>
      <w:r w:rsidR="00177848" w:rsidRPr="00C6052E">
        <w:t xml:space="preserve"> </w:t>
      </w:r>
      <w:r w:rsidRPr="00C6052E">
        <w:t>to</w:t>
      </w:r>
      <w:r w:rsidR="00177848" w:rsidRPr="00C6052E">
        <w:t xml:space="preserve"> </w:t>
      </w:r>
      <w:r w:rsidRPr="00C6052E">
        <w:t>section</w:t>
      </w:r>
      <w:r w:rsidR="00177848" w:rsidRPr="00C6052E">
        <w:t xml:space="preserve"> </w:t>
      </w:r>
      <w:r w:rsidRPr="00C6052E">
        <w:t>53(1)(b)</w:t>
      </w:r>
      <w:r w:rsidR="00177848" w:rsidRPr="00C6052E">
        <w:t xml:space="preserve"> </w:t>
      </w:r>
      <w:r w:rsidRPr="00C6052E">
        <w:t>of</w:t>
      </w:r>
      <w:r w:rsidR="00177848" w:rsidRPr="00C6052E">
        <w:t xml:space="preserve"> </w:t>
      </w:r>
      <w:r w:rsidRPr="00C6052E">
        <w:t>the</w:t>
      </w:r>
      <w:r w:rsidR="00177848" w:rsidRPr="00C6052E">
        <w:t xml:space="preserve"> </w:t>
      </w:r>
      <w:r w:rsidRPr="00C6052E">
        <w:t>FMA</w:t>
      </w:r>
      <w:r w:rsidR="00177848" w:rsidRPr="00C6052E">
        <w:t xml:space="preserve"> </w:t>
      </w:r>
      <w:r w:rsidRPr="00C6052E">
        <w:t>into</w:t>
      </w:r>
      <w:r w:rsidR="00177848" w:rsidRPr="00C6052E">
        <w:t xml:space="preserve"> </w:t>
      </w:r>
      <w:r w:rsidRPr="00C6052E">
        <w:t>DJSIR’s</w:t>
      </w:r>
      <w:r w:rsidR="00177848" w:rsidRPr="00C6052E">
        <w:t xml:space="preserve"> </w:t>
      </w:r>
      <w:r w:rsidRPr="00C6052E">
        <w:t>financial</w:t>
      </w:r>
      <w:r w:rsidR="00177848" w:rsidRPr="00C6052E">
        <w:t xml:space="preserve"> </w:t>
      </w:r>
      <w:r w:rsidRPr="00C6052E">
        <w:t>statements</w:t>
      </w:r>
      <w:r w:rsidR="00177848" w:rsidRPr="00C6052E">
        <w:t xml:space="preserve"> </w:t>
      </w:r>
      <w:r w:rsidRPr="00C6052E">
        <w:t>include:</w:t>
      </w:r>
      <w:r w:rsidR="00177848" w:rsidRPr="00C6052E">
        <w:t xml:space="preserve"> </w:t>
      </w:r>
    </w:p>
    <w:tbl>
      <w:tblPr>
        <w:tblStyle w:val="TableGrid"/>
        <w:tblW w:w="9634" w:type="dxa"/>
        <w:tblLayout w:type="fixed"/>
        <w:tblLook w:val="04A0" w:firstRow="1" w:lastRow="0" w:firstColumn="1" w:lastColumn="0" w:noHBand="0" w:noVBand="1"/>
      </w:tblPr>
      <w:tblGrid>
        <w:gridCol w:w="2122"/>
        <w:gridCol w:w="2268"/>
        <w:gridCol w:w="2268"/>
        <w:gridCol w:w="2976"/>
      </w:tblGrid>
      <w:tr w:rsidR="00EE5BB8" w:rsidRPr="00C6052E" w14:paraId="693497F6" w14:textId="77777777" w:rsidTr="006F1C8C">
        <w:tc>
          <w:tcPr>
            <w:tcW w:w="2122" w:type="dxa"/>
          </w:tcPr>
          <w:p w14:paraId="5A6D18F1" w14:textId="77777777" w:rsidR="00EE5BB8" w:rsidRPr="00C6052E" w:rsidRDefault="00EE5BB8" w:rsidP="000F5B20">
            <w:pPr>
              <w:pStyle w:val="TableColumnHeading"/>
            </w:pPr>
            <w:bookmarkStart w:id="390" w:name="TableColumnHeadings_115"/>
            <w:bookmarkEnd w:id="390"/>
            <w:r w:rsidRPr="00C6052E">
              <w:t>Entity</w:t>
            </w:r>
          </w:p>
        </w:tc>
        <w:tc>
          <w:tcPr>
            <w:tcW w:w="2268" w:type="dxa"/>
          </w:tcPr>
          <w:p w14:paraId="2662B516" w14:textId="77777777" w:rsidR="00EE5BB8" w:rsidRPr="00C6052E" w:rsidRDefault="00EE5BB8" w:rsidP="000F5B20">
            <w:pPr>
              <w:pStyle w:val="TableColumnHeading"/>
            </w:pPr>
            <w:r w:rsidRPr="00C6052E">
              <w:t>Personnel</w:t>
            </w:r>
          </w:p>
        </w:tc>
        <w:tc>
          <w:tcPr>
            <w:tcW w:w="2268" w:type="dxa"/>
          </w:tcPr>
          <w:p w14:paraId="33C9D72C" w14:textId="60B6ED98" w:rsidR="00EE5BB8" w:rsidRPr="00C6052E" w:rsidRDefault="00EE5BB8" w:rsidP="00B1545C">
            <w:pPr>
              <w:pStyle w:val="TableColumnHeading"/>
              <w:rPr>
                <w:lang w:val="en-AU"/>
              </w:rPr>
            </w:pPr>
            <w:r w:rsidRPr="00C6052E">
              <w:rPr>
                <w:lang w:val="en-AU"/>
              </w:rPr>
              <w:t>Position</w:t>
            </w:r>
            <w:r w:rsidR="00B1545C" w:rsidRPr="00C6052E">
              <w:rPr>
                <w:lang w:val="en-AU"/>
              </w:rPr>
              <w:t xml:space="preserve"> </w:t>
            </w:r>
            <w:r w:rsidRPr="00C6052E">
              <w:rPr>
                <w:lang w:val="en-AU"/>
              </w:rPr>
              <w:t>title</w:t>
            </w:r>
          </w:p>
        </w:tc>
        <w:tc>
          <w:tcPr>
            <w:tcW w:w="2976" w:type="dxa"/>
          </w:tcPr>
          <w:p w14:paraId="61508614" w14:textId="77777777" w:rsidR="00EE5BB8" w:rsidRPr="00C6052E" w:rsidRDefault="00EE5BB8" w:rsidP="000F5B20">
            <w:pPr>
              <w:pStyle w:val="TableColumnHeading"/>
            </w:pPr>
            <w:r w:rsidRPr="00C6052E">
              <w:t>Timeframe</w:t>
            </w:r>
          </w:p>
        </w:tc>
      </w:tr>
      <w:tr w:rsidR="00EE5BB8" w:rsidRPr="00C6052E" w14:paraId="27728AE6" w14:textId="77777777" w:rsidTr="006F1C8C">
        <w:tc>
          <w:tcPr>
            <w:tcW w:w="2122" w:type="dxa"/>
          </w:tcPr>
          <w:p w14:paraId="21B6AB62" w14:textId="51462562" w:rsidR="00EE5BB8" w:rsidRPr="00C6052E" w:rsidRDefault="00EE5BB8" w:rsidP="0063097D">
            <w:pPr>
              <w:pStyle w:val="TableCopy"/>
            </w:pPr>
            <w:r w:rsidRPr="00C6052E">
              <w:t>Victoria</w:t>
            </w:r>
            <w:r w:rsidR="00177848" w:rsidRPr="00C6052E">
              <w:t xml:space="preserve"> </w:t>
            </w:r>
            <w:r w:rsidRPr="00C6052E">
              <w:t>2026</w:t>
            </w:r>
          </w:p>
        </w:tc>
        <w:tc>
          <w:tcPr>
            <w:tcW w:w="2268" w:type="dxa"/>
          </w:tcPr>
          <w:p w14:paraId="77D9A178" w14:textId="3FA78969" w:rsidR="00EE5BB8" w:rsidRPr="00C6052E" w:rsidRDefault="00EE5BB8" w:rsidP="0063097D">
            <w:pPr>
              <w:pStyle w:val="TableCopy"/>
            </w:pPr>
            <w:r w:rsidRPr="00C6052E">
              <w:t>Heather</w:t>
            </w:r>
            <w:r w:rsidR="00177848" w:rsidRPr="00C6052E">
              <w:t xml:space="preserve"> </w:t>
            </w:r>
            <w:r w:rsidRPr="00C6052E">
              <w:t>Ridley</w:t>
            </w:r>
          </w:p>
        </w:tc>
        <w:tc>
          <w:tcPr>
            <w:tcW w:w="2268" w:type="dxa"/>
          </w:tcPr>
          <w:p w14:paraId="731474BF" w14:textId="77777777" w:rsidR="00EE5BB8" w:rsidRPr="00C6052E" w:rsidRDefault="00EE5BB8" w:rsidP="0063097D">
            <w:pPr>
              <w:pStyle w:val="TableCopy"/>
            </w:pPr>
            <w:r w:rsidRPr="00C6052E">
              <w:t>Director</w:t>
            </w:r>
          </w:p>
        </w:tc>
        <w:tc>
          <w:tcPr>
            <w:tcW w:w="2976" w:type="dxa"/>
          </w:tcPr>
          <w:p w14:paraId="72CFC2D6" w14:textId="69BFB904" w:rsidR="00EE5BB8" w:rsidRPr="00C6052E" w:rsidRDefault="00EE5BB8" w:rsidP="0063097D">
            <w:pPr>
              <w:pStyle w:val="TableCopy"/>
            </w:pPr>
            <w:r w:rsidRPr="00C6052E">
              <w:t>1</w:t>
            </w:r>
            <w:r w:rsidR="00177848" w:rsidRPr="00C6052E">
              <w:t xml:space="preserve"> </w:t>
            </w:r>
            <w:r w:rsidRPr="00C6052E">
              <w:t>July</w:t>
            </w:r>
            <w:r w:rsidR="00177848" w:rsidRPr="00C6052E">
              <w:t xml:space="preserve"> </w:t>
            </w:r>
            <w:r w:rsidRPr="00C6052E">
              <w:t>2024</w:t>
            </w:r>
            <w:r w:rsidR="00177848" w:rsidRPr="00C6052E">
              <w:t xml:space="preserve"> </w:t>
            </w:r>
            <w:r w:rsidRPr="00C6052E">
              <w:t>to</w:t>
            </w:r>
            <w:r w:rsidR="00177848" w:rsidRPr="00C6052E">
              <w:t xml:space="preserve"> </w:t>
            </w:r>
            <w:r w:rsidRPr="00C6052E">
              <w:t>21</w:t>
            </w:r>
            <w:r w:rsidR="00177848" w:rsidRPr="00C6052E">
              <w:t xml:space="preserve"> </w:t>
            </w:r>
            <w:r w:rsidRPr="00C6052E">
              <w:t>August</w:t>
            </w:r>
            <w:r w:rsidR="00177848" w:rsidRPr="00C6052E">
              <w:t xml:space="preserve"> </w:t>
            </w:r>
            <w:r w:rsidRPr="00C6052E">
              <w:t>2024</w:t>
            </w:r>
          </w:p>
        </w:tc>
      </w:tr>
    </w:tbl>
    <w:p w14:paraId="70475678" w14:textId="77777777" w:rsidR="00EE5BB8" w:rsidRPr="00C6052E" w:rsidRDefault="00EE5BB8" w:rsidP="00EE5BB8"/>
    <w:p w14:paraId="7BCD2D48" w14:textId="78E94981" w:rsidR="00EE5BB8" w:rsidRPr="00C6052E" w:rsidRDefault="00EE5BB8" w:rsidP="00EE5BB8">
      <w:r w:rsidRPr="00C6052E">
        <w:t>The</w:t>
      </w:r>
      <w:r w:rsidR="00177848" w:rsidRPr="00C6052E">
        <w:t xml:space="preserve"> </w:t>
      </w:r>
      <w:r w:rsidRPr="00C6052E">
        <w:t>compensation</w:t>
      </w:r>
      <w:r w:rsidR="00177848" w:rsidRPr="00C6052E">
        <w:t xml:space="preserve"> </w:t>
      </w:r>
      <w:r w:rsidRPr="00C6052E">
        <w:t>detailed</w:t>
      </w:r>
      <w:r w:rsidR="00177848" w:rsidRPr="00C6052E">
        <w:t xml:space="preserve"> </w:t>
      </w:r>
      <w:r w:rsidRPr="00C6052E">
        <w:t>below</w:t>
      </w:r>
      <w:r w:rsidR="00177848" w:rsidRPr="00C6052E">
        <w:t xml:space="preserve"> </w:t>
      </w:r>
      <w:r w:rsidRPr="00C6052E">
        <w:t>excludes</w:t>
      </w:r>
      <w:r w:rsidR="00177848" w:rsidRPr="00C6052E">
        <w:t xml:space="preserve"> </w:t>
      </w:r>
      <w:r w:rsidRPr="00C6052E">
        <w:t>the</w:t>
      </w:r>
      <w:r w:rsidR="00177848" w:rsidRPr="00C6052E">
        <w:t xml:space="preserve"> </w:t>
      </w:r>
      <w:r w:rsidRPr="00C6052E">
        <w:t>salaries</w:t>
      </w:r>
      <w:r w:rsidR="00177848" w:rsidRPr="00C6052E">
        <w:t xml:space="preserve"> </w:t>
      </w:r>
      <w:r w:rsidRPr="00C6052E">
        <w:t>and</w:t>
      </w:r>
      <w:r w:rsidR="00177848" w:rsidRPr="00C6052E">
        <w:t xml:space="preserve"> </w:t>
      </w:r>
      <w:r w:rsidRPr="00C6052E">
        <w:t>benefits</w:t>
      </w:r>
      <w:r w:rsidR="00177848" w:rsidRPr="00C6052E">
        <w:t xml:space="preserve"> </w:t>
      </w:r>
      <w:r w:rsidRPr="00C6052E">
        <w:t>the</w:t>
      </w:r>
      <w:r w:rsidR="00177848" w:rsidRPr="00C6052E">
        <w:t xml:space="preserve"> </w:t>
      </w:r>
      <w:r w:rsidRPr="00C6052E">
        <w:t>portfolio</w:t>
      </w:r>
      <w:r w:rsidR="00177848" w:rsidRPr="00C6052E">
        <w:t xml:space="preserve"> </w:t>
      </w:r>
      <w:r w:rsidRPr="00C6052E">
        <w:t>ministers</w:t>
      </w:r>
      <w:r w:rsidR="00177848" w:rsidRPr="00C6052E">
        <w:t xml:space="preserve"> </w:t>
      </w:r>
      <w:r w:rsidRPr="00C6052E">
        <w:t>receive.</w:t>
      </w:r>
      <w:r w:rsidR="00177848" w:rsidRPr="00C6052E">
        <w:t xml:space="preserve"> </w:t>
      </w:r>
      <w:r w:rsidRPr="00C6052E">
        <w:t>The</w:t>
      </w:r>
      <w:r w:rsidR="00177848" w:rsidRPr="00C6052E">
        <w:t xml:space="preserve"> </w:t>
      </w:r>
      <w:r w:rsidRPr="00C6052E">
        <w:t>Ministers</w:t>
      </w:r>
      <w:r w:rsidR="00177848" w:rsidRPr="00C6052E">
        <w:t xml:space="preserve"> </w:t>
      </w:r>
      <w:r w:rsidRPr="00C6052E">
        <w:t>remuneration</w:t>
      </w:r>
      <w:r w:rsidR="00177848" w:rsidRPr="00C6052E">
        <w:t xml:space="preserve"> </w:t>
      </w:r>
      <w:r w:rsidRPr="00C6052E">
        <w:t>and</w:t>
      </w:r>
      <w:r w:rsidR="00177848" w:rsidRPr="00C6052E">
        <w:t xml:space="preserve"> </w:t>
      </w:r>
      <w:r w:rsidRPr="00C6052E">
        <w:t>allowances</w:t>
      </w:r>
      <w:r w:rsidR="00177848" w:rsidRPr="00C6052E">
        <w:t xml:space="preserve"> </w:t>
      </w:r>
      <w:r w:rsidRPr="00C6052E">
        <w:t>is</w:t>
      </w:r>
      <w:r w:rsidR="00177848" w:rsidRPr="00C6052E">
        <w:t xml:space="preserve"> </w:t>
      </w:r>
      <w:r w:rsidRPr="00C6052E">
        <w:t>set</w:t>
      </w:r>
      <w:r w:rsidR="00177848" w:rsidRPr="00C6052E">
        <w:t xml:space="preserve"> </w:t>
      </w:r>
      <w:r w:rsidRPr="00C6052E">
        <w:t>by</w:t>
      </w:r>
      <w:r w:rsidR="00177848" w:rsidRPr="00C6052E">
        <w:t xml:space="preserve"> </w:t>
      </w:r>
      <w:r w:rsidRPr="00C6052E">
        <w:t>the</w:t>
      </w:r>
      <w:r w:rsidR="00177848" w:rsidRPr="00C6052E">
        <w:t xml:space="preserve"> </w:t>
      </w:r>
      <w:r w:rsidRPr="00C6052E">
        <w:rPr>
          <w:rStyle w:val="Italics"/>
        </w:rPr>
        <w:t>Parliamentary</w:t>
      </w:r>
      <w:r w:rsidR="00177848" w:rsidRPr="00C6052E">
        <w:rPr>
          <w:rStyle w:val="Italics"/>
        </w:rPr>
        <w:t xml:space="preserve"> </w:t>
      </w:r>
      <w:r w:rsidRPr="00C6052E">
        <w:rPr>
          <w:rStyle w:val="Italics"/>
        </w:rPr>
        <w:t>Salaries</w:t>
      </w:r>
      <w:r w:rsidR="00177848" w:rsidRPr="00C6052E">
        <w:rPr>
          <w:rStyle w:val="Italics"/>
        </w:rPr>
        <w:t xml:space="preserve"> </w:t>
      </w:r>
      <w:r w:rsidRPr="00C6052E">
        <w:rPr>
          <w:rStyle w:val="Italics"/>
        </w:rPr>
        <w:t>and</w:t>
      </w:r>
      <w:r w:rsidR="00177848" w:rsidRPr="00C6052E">
        <w:rPr>
          <w:rStyle w:val="Italics"/>
        </w:rPr>
        <w:t xml:space="preserve"> </w:t>
      </w:r>
      <w:r w:rsidRPr="00C6052E">
        <w:rPr>
          <w:rStyle w:val="Italics"/>
        </w:rPr>
        <w:t>Superannuation</w:t>
      </w:r>
      <w:r w:rsidR="00177848" w:rsidRPr="00C6052E">
        <w:rPr>
          <w:rStyle w:val="Italics"/>
        </w:rPr>
        <w:t xml:space="preserve"> </w:t>
      </w:r>
      <w:r w:rsidRPr="00C6052E">
        <w:rPr>
          <w:rStyle w:val="Italics"/>
        </w:rPr>
        <w:t>Act</w:t>
      </w:r>
      <w:r w:rsidR="00177848" w:rsidRPr="00C6052E">
        <w:rPr>
          <w:rStyle w:val="Italics"/>
        </w:rPr>
        <w:t xml:space="preserve"> </w:t>
      </w:r>
      <w:r w:rsidRPr="00C6052E">
        <w:rPr>
          <w:rStyle w:val="Italics"/>
        </w:rPr>
        <w:t>1968</w:t>
      </w:r>
      <w:r w:rsidR="00177848" w:rsidRPr="00C6052E">
        <w:t xml:space="preserve"> </w:t>
      </w:r>
      <w:r w:rsidRPr="00C6052E">
        <w:t>and</w:t>
      </w:r>
      <w:r w:rsidR="00177848" w:rsidRPr="00C6052E">
        <w:t xml:space="preserve"> </w:t>
      </w:r>
      <w:r w:rsidRPr="00C6052E">
        <w:t>are</w:t>
      </w:r>
      <w:r w:rsidR="00177848" w:rsidRPr="00C6052E">
        <w:t xml:space="preserve"> </w:t>
      </w:r>
      <w:r w:rsidRPr="00C6052E">
        <w:t>reported</w:t>
      </w:r>
      <w:r w:rsidR="00177848" w:rsidRPr="00C6052E">
        <w:t xml:space="preserve"> </w:t>
      </w:r>
      <w:r w:rsidRPr="00C6052E">
        <w:t>within</w:t>
      </w:r>
      <w:r w:rsidR="00177848" w:rsidRPr="00C6052E">
        <w:t xml:space="preserve"> </w:t>
      </w:r>
      <w:r w:rsidRPr="00C6052E">
        <w:t>the</w:t>
      </w:r>
      <w:r w:rsidR="00177848" w:rsidRPr="00C6052E">
        <w:t xml:space="preserve"> </w:t>
      </w:r>
      <w:r w:rsidRPr="00C6052E">
        <w:t>State’s</w:t>
      </w:r>
      <w:r w:rsidR="00177848" w:rsidRPr="00C6052E">
        <w:t xml:space="preserve"> </w:t>
      </w:r>
      <w:r w:rsidRPr="00C6052E">
        <w:t>Annual</w:t>
      </w:r>
      <w:r w:rsidR="00177848" w:rsidRPr="00C6052E">
        <w:t xml:space="preserve"> </w:t>
      </w:r>
      <w:r w:rsidRPr="00C6052E">
        <w:t>Financial</w:t>
      </w:r>
      <w:r w:rsidR="00177848" w:rsidRPr="00C6052E">
        <w:t xml:space="preserve"> </w:t>
      </w:r>
      <w:r w:rsidRPr="00C6052E">
        <w:t>Report.</w:t>
      </w:r>
    </w:p>
    <w:p w14:paraId="094F0E62" w14:textId="3D9DF2FB" w:rsidR="00EE5BB8" w:rsidRPr="00C6052E" w:rsidRDefault="00C6052E" w:rsidP="006F1C8C">
      <w:pPr>
        <w:pStyle w:val="TableHeading"/>
      </w:pPr>
      <w:r w:rsidRPr="00C6052E">
        <w:t>Compensation</w:t>
      </w:r>
      <w:r w:rsidR="00177848" w:rsidRPr="00C6052E">
        <w:t xml:space="preserve"> </w:t>
      </w:r>
      <w:r w:rsidRPr="00C6052E">
        <w:t>of</w:t>
      </w:r>
      <w:r w:rsidR="00177848" w:rsidRPr="00C6052E">
        <w:t xml:space="preserve"> </w:t>
      </w:r>
      <w:r w:rsidRPr="00C6052E">
        <w:t>key</w:t>
      </w:r>
      <w:r w:rsidR="00177848" w:rsidRPr="00C6052E">
        <w:t xml:space="preserve"> </w:t>
      </w:r>
      <w:r w:rsidRPr="00C6052E">
        <w:t>management</w:t>
      </w:r>
      <w:r w:rsidR="00177848" w:rsidRPr="00C6052E">
        <w:t xml:space="preserve"> </w:t>
      </w:r>
      <w:r w:rsidRPr="00C6052E">
        <w:t>personnel</w:t>
      </w:r>
      <w:r w:rsidR="00177848" w:rsidRPr="00C6052E">
        <w:t xml:space="preserve"> </w:t>
      </w:r>
      <w:r w:rsidR="006F1C8C" w:rsidRPr="00C6052E">
        <w:t>($ thousand)</w:t>
      </w:r>
    </w:p>
    <w:tbl>
      <w:tblPr>
        <w:tblStyle w:val="TableGrid"/>
        <w:tblW w:w="9621" w:type="dxa"/>
        <w:tblLayout w:type="fixed"/>
        <w:tblLook w:val="04E0" w:firstRow="1" w:lastRow="1" w:firstColumn="1" w:lastColumn="0" w:noHBand="0" w:noVBand="1"/>
      </w:tblPr>
      <w:tblGrid>
        <w:gridCol w:w="3397"/>
        <w:gridCol w:w="1556"/>
        <w:gridCol w:w="1556"/>
        <w:gridCol w:w="1556"/>
        <w:gridCol w:w="1556"/>
      </w:tblGrid>
      <w:tr w:rsidR="00EE5BB8" w:rsidRPr="00C6052E" w14:paraId="1CAA7948" w14:textId="77777777" w:rsidTr="006F1C8C">
        <w:tc>
          <w:tcPr>
            <w:tcW w:w="3397" w:type="dxa"/>
          </w:tcPr>
          <w:p w14:paraId="0E0AF1B2" w14:textId="77777777" w:rsidR="00EE5BB8" w:rsidRPr="00C6052E" w:rsidRDefault="00EE5BB8" w:rsidP="006F1C8C">
            <w:pPr>
              <w:pStyle w:val="TableColumnHeading"/>
            </w:pPr>
            <w:bookmarkStart w:id="391" w:name="TableColumnHeadings_116"/>
            <w:bookmarkEnd w:id="391"/>
          </w:p>
        </w:tc>
        <w:tc>
          <w:tcPr>
            <w:tcW w:w="1556" w:type="dxa"/>
            <w:hideMark/>
          </w:tcPr>
          <w:p w14:paraId="54E6EABE" w14:textId="1ABC284B" w:rsidR="00EE5BB8" w:rsidRPr="00C6052E" w:rsidRDefault="00EE5BB8" w:rsidP="006F1C8C">
            <w:pPr>
              <w:pStyle w:val="TableColumnHeading"/>
              <w:jc w:val="right"/>
            </w:pPr>
            <w:r w:rsidRPr="00C6052E">
              <w:t>2025</w:t>
            </w:r>
            <w:r w:rsidR="006F1C8C">
              <w:br/>
            </w:r>
            <w:r w:rsidR="006F1C8C" w:rsidRPr="00C6052E">
              <w:t>DJSIR</w:t>
            </w:r>
            <w:r w:rsidR="006F1C8C" w:rsidRPr="00C6052E">
              <w:rPr>
                <w:vertAlign w:val="superscript"/>
              </w:rPr>
              <w:t>(iii)</w:t>
            </w:r>
          </w:p>
        </w:tc>
        <w:tc>
          <w:tcPr>
            <w:tcW w:w="1556" w:type="dxa"/>
            <w:hideMark/>
          </w:tcPr>
          <w:p w14:paraId="39C853E4" w14:textId="08A0B516" w:rsidR="00EE5BB8" w:rsidRPr="00C6052E" w:rsidRDefault="00EE5BB8" w:rsidP="006F1C8C">
            <w:pPr>
              <w:pStyle w:val="TableColumnHeading"/>
              <w:jc w:val="right"/>
            </w:pPr>
            <w:r w:rsidRPr="00C6052E">
              <w:t>2024</w:t>
            </w:r>
            <w:r w:rsidR="006F1C8C">
              <w:br/>
            </w:r>
            <w:r w:rsidR="006F1C8C" w:rsidRPr="00C6052E">
              <w:t>DJSIR</w:t>
            </w:r>
            <w:r w:rsidR="006F1C8C" w:rsidRPr="00C6052E">
              <w:rPr>
                <w:vertAlign w:val="superscript"/>
              </w:rPr>
              <w:t>(iii)</w:t>
            </w:r>
          </w:p>
        </w:tc>
        <w:tc>
          <w:tcPr>
            <w:tcW w:w="1556" w:type="dxa"/>
            <w:hideMark/>
          </w:tcPr>
          <w:p w14:paraId="554715A3" w14:textId="53A60472" w:rsidR="00EE5BB8" w:rsidRPr="00C6052E" w:rsidRDefault="00EE5BB8" w:rsidP="006F1C8C">
            <w:pPr>
              <w:pStyle w:val="TableColumnHeading"/>
              <w:jc w:val="right"/>
            </w:pPr>
            <w:r w:rsidRPr="00C6052E">
              <w:t>2025</w:t>
            </w:r>
            <w:r w:rsidR="006F1C8C">
              <w:br/>
            </w:r>
            <w:r w:rsidR="006F1C8C" w:rsidRPr="00C6052E">
              <w:rPr>
                <w:lang w:val="en-AU"/>
              </w:rPr>
              <w:t>Administrative offices and section 53</w:t>
            </w:r>
          </w:p>
        </w:tc>
        <w:tc>
          <w:tcPr>
            <w:tcW w:w="1556" w:type="dxa"/>
            <w:hideMark/>
          </w:tcPr>
          <w:p w14:paraId="2315F6D1" w14:textId="6DCA9119" w:rsidR="00EE5BB8" w:rsidRPr="00C6052E" w:rsidRDefault="00EE5BB8" w:rsidP="006F1C8C">
            <w:pPr>
              <w:pStyle w:val="TableColumnHeading"/>
              <w:jc w:val="right"/>
            </w:pPr>
            <w:r w:rsidRPr="00C6052E">
              <w:t>2024</w:t>
            </w:r>
            <w:r w:rsidR="006F1C8C">
              <w:br/>
            </w:r>
            <w:r w:rsidR="006F1C8C" w:rsidRPr="00C6052E">
              <w:rPr>
                <w:lang w:val="en-AU"/>
              </w:rPr>
              <w:t>Administrative offices and section 53</w:t>
            </w:r>
          </w:p>
        </w:tc>
      </w:tr>
      <w:tr w:rsidR="00EE5BB8" w:rsidRPr="00C6052E" w14:paraId="1912E848" w14:textId="77777777" w:rsidTr="006F1C8C">
        <w:tc>
          <w:tcPr>
            <w:tcW w:w="3397" w:type="dxa"/>
            <w:hideMark/>
          </w:tcPr>
          <w:p w14:paraId="18FE1B25" w14:textId="4A42BAD7" w:rsidR="00EE5BB8" w:rsidRPr="00C6052E" w:rsidRDefault="00EE5BB8" w:rsidP="0063097D">
            <w:pPr>
              <w:pStyle w:val="TableCopy"/>
            </w:pPr>
            <w:r w:rsidRPr="00C6052E">
              <w:t>Short–term</w:t>
            </w:r>
            <w:r w:rsidR="00177848" w:rsidRPr="00C6052E">
              <w:t xml:space="preserve"> </w:t>
            </w:r>
            <w:r w:rsidRPr="00C6052E">
              <w:t>employee</w:t>
            </w:r>
            <w:r w:rsidR="00177848" w:rsidRPr="00C6052E">
              <w:t xml:space="preserve"> </w:t>
            </w:r>
            <w:r w:rsidRPr="00C6052E">
              <w:t>benefits</w:t>
            </w:r>
            <w:r w:rsidRPr="00C6052E">
              <w:rPr>
                <w:vertAlign w:val="superscript"/>
              </w:rPr>
              <w:t>(i)</w:t>
            </w:r>
          </w:p>
        </w:tc>
        <w:tc>
          <w:tcPr>
            <w:tcW w:w="1556" w:type="dxa"/>
            <w:noWrap/>
            <w:hideMark/>
          </w:tcPr>
          <w:p w14:paraId="676420F2" w14:textId="77777777" w:rsidR="00EE5BB8" w:rsidRPr="00C6052E" w:rsidRDefault="00EE5BB8" w:rsidP="006F1C8C">
            <w:pPr>
              <w:pStyle w:val="TableCopy"/>
              <w:jc w:val="right"/>
            </w:pPr>
            <w:r w:rsidRPr="00C6052E">
              <w:t>3,556</w:t>
            </w:r>
          </w:p>
        </w:tc>
        <w:tc>
          <w:tcPr>
            <w:tcW w:w="1556" w:type="dxa"/>
            <w:noWrap/>
            <w:hideMark/>
          </w:tcPr>
          <w:p w14:paraId="0750E133" w14:textId="77777777" w:rsidR="00EE5BB8" w:rsidRPr="00C6052E" w:rsidRDefault="00EE5BB8" w:rsidP="006F1C8C">
            <w:pPr>
              <w:pStyle w:val="TableCopy"/>
              <w:jc w:val="right"/>
            </w:pPr>
            <w:r w:rsidRPr="00C6052E">
              <w:t>3,970</w:t>
            </w:r>
          </w:p>
        </w:tc>
        <w:tc>
          <w:tcPr>
            <w:tcW w:w="1556" w:type="dxa"/>
            <w:noWrap/>
            <w:hideMark/>
          </w:tcPr>
          <w:p w14:paraId="44DC099D" w14:textId="77777777" w:rsidR="00EE5BB8" w:rsidRPr="00C6052E" w:rsidRDefault="00EE5BB8" w:rsidP="006F1C8C">
            <w:pPr>
              <w:pStyle w:val="TableCopy"/>
              <w:jc w:val="right"/>
            </w:pPr>
            <w:r w:rsidRPr="00C6052E">
              <w:t>506</w:t>
            </w:r>
          </w:p>
        </w:tc>
        <w:tc>
          <w:tcPr>
            <w:tcW w:w="1556" w:type="dxa"/>
            <w:noWrap/>
            <w:hideMark/>
          </w:tcPr>
          <w:p w14:paraId="4869ACB1" w14:textId="77777777" w:rsidR="00EE5BB8" w:rsidRPr="00C6052E" w:rsidRDefault="00EE5BB8" w:rsidP="006F1C8C">
            <w:pPr>
              <w:pStyle w:val="TableCopy"/>
              <w:jc w:val="right"/>
            </w:pPr>
            <w:r w:rsidRPr="00C6052E">
              <w:t>608</w:t>
            </w:r>
          </w:p>
        </w:tc>
      </w:tr>
      <w:tr w:rsidR="00EE5BB8" w:rsidRPr="00C6052E" w14:paraId="635D60C8" w14:textId="77777777" w:rsidTr="006F1C8C">
        <w:tc>
          <w:tcPr>
            <w:tcW w:w="3397" w:type="dxa"/>
            <w:hideMark/>
          </w:tcPr>
          <w:p w14:paraId="0565CDCE" w14:textId="053C1087" w:rsidR="00EE5BB8" w:rsidRPr="00C6052E" w:rsidRDefault="00EE5BB8" w:rsidP="0063097D">
            <w:pPr>
              <w:pStyle w:val="TableCopy"/>
            </w:pPr>
            <w:r w:rsidRPr="00C6052E">
              <w:t>Post–employment</w:t>
            </w:r>
            <w:r w:rsidR="00177848" w:rsidRPr="00C6052E">
              <w:t xml:space="preserve"> </w:t>
            </w:r>
            <w:r w:rsidRPr="00C6052E">
              <w:t>benefits</w:t>
            </w:r>
          </w:p>
        </w:tc>
        <w:tc>
          <w:tcPr>
            <w:tcW w:w="1556" w:type="dxa"/>
            <w:noWrap/>
            <w:hideMark/>
          </w:tcPr>
          <w:p w14:paraId="2D94FB6E" w14:textId="77777777" w:rsidR="00EE5BB8" w:rsidRPr="00C6052E" w:rsidRDefault="00EE5BB8" w:rsidP="006F1C8C">
            <w:pPr>
              <w:pStyle w:val="TableCopy"/>
              <w:jc w:val="right"/>
            </w:pPr>
            <w:r w:rsidRPr="00C6052E">
              <w:t>267</w:t>
            </w:r>
          </w:p>
        </w:tc>
        <w:tc>
          <w:tcPr>
            <w:tcW w:w="1556" w:type="dxa"/>
            <w:noWrap/>
            <w:hideMark/>
          </w:tcPr>
          <w:p w14:paraId="477E6927" w14:textId="77777777" w:rsidR="00EE5BB8" w:rsidRPr="00C6052E" w:rsidRDefault="00EE5BB8" w:rsidP="006F1C8C">
            <w:pPr>
              <w:pStyle w:val="TableCopy"/>
              <w:jc w:val="right"/>
            </w:pPr>
            <w:r w:rsidRPr="00C6052E">
              <w:t>268</w:t>
            </w:r>
          </w:p>
        </w:tc>
        <w:tc>
          <w:tcPr>
            <w:tcW w:w="1556" w:type="dxa"/>
            <w:noWrap/>
            <w:hideMark/>
          </w:tcPr>
          <w:p w14:paraId="5794CDDD" w14:textId="77777777" w:rsidR="00EE5BB8" w:rsidRPr="00C6052E" w:rsidRDefault="00EE5BB8" w:rsidP="006F1C8C">
            <w:pPr>
              <w:pStyle w:val="TableCopy"/>
              <w:jc w:val="right"/>
            </w:pPr>
            <w:r w:rsidRPr="00C6052E">
              <w:t>47</w:t>
            </w:r>
          </w:p>
        </w:tc>
        <w:tc>
          <w:tcPr>
            <w:tcW w:w="1556" w:type="dxa"/>
            <w:noWrap/>
            <w:hideMark/>
          </w:tcPr>
          <w:p w14:paraId="02AA892E" w14:textId="77777777" w:rsidR="00EE5BB8" w:rsidRPr="00C6052E" w:rsidRDefault="00EE5BB8" w:rsidP="006F1C8C">
            <w:pPr>
              <w:pStyle w:val="TableCopy"/>
              <w:jc w:val="right"/>
            </w:pPr>
            <w:r w:rsidRPr="00C6052E">
              <w:t>50</w:t>
            </w:r>
          </w:p>
        </w:tc>
      </w:tr>
      <w:tr w:rsidR="00EE5BB8" w:rsidRPr="00C6052E" w14:paraId="5AA4D985" w14:textId="77777777" w:rsidTr="006F1C8C">
        <w:tc>
          <w:tcPr>
            <w:tcW w:w="3397" w:type="dxa"/>
            <w:hideMark/>
          </w:tcPr>
          <w:p w14:paraId="1056C5E8" w14:textId="3F643AB0" w:rsidR="00EE5BB8" w:rsidRPr="00C6052E" w:rsidRDefault="00EE5BB8" w:rsidP="0063097D">
            <w:pPr>
              <w:pStyle w:val="TableCopy"/>
            </w:pPr>
            <w:r w:rsidRPr="00C6052E">
              <w:t>Other</w:t>
            </w:r>
            <w:r w:rsidR="00177848" w:rsidRPr="00C6052E">
              <w:t xml:space="preserve"> </w:t>
            </w:r>
            <w:r w:rsidRPr="00C6052E">
              <w:t>long–term</w:t>
            </w:r>
            <w:r w:rsidR="00177848" w:rsidRPr="00C6052E">
              <w:t xml:space="preserve"> </w:t>
            </w:r>
            <w:r w:rsidRPr="00C6052E">
              <w:t>benefits</w:t>
            </w:r>
          </w:p>
        </w:tc>
        <w:tc>
          <w:tcPr>
            <w:tcW w:w="1556" w:type="dxa"/>
            <w:noWrap/>
            <w:hideMark/>
          </w:tcPr>
          <w:p w14:paraId="6BF31950" w14:textId="77777777" w:rsidR="00EE5BB8" w:rsidRPr="00C6052E" w:rsidRDefault="00EE5BB8" w:rsidP="006F1C8C">
            <w:pPr>
              <w:pStyle w:val="TableCopy"/>
              <w:jc w:val="right"/>
            </w:pPr>
            <w:r w:rsidRPr="00C6052E">
              <w:t>92</w:t>
            </w:r>
          </w:p>
        </w:tc>
        <w:tc>
          <w:tcPr>
            <w:tcW w:w="1556" w:type="dxa"/>
            <w:noWrap/>
            <w:hideMark/>
          </w:tcPr>
          <w:p w14:paraId="681F0F91" w14:textId="77777777" w:rsidR="00EE5BB8" w:rsidRPr="00C6052E" w:rsidRDefault="00EE5BB8" w:rsidP="006F1C8C">
            <w:pPr>
              <w:pStyle w:val="TableCopy"/>
              <w:jc w:val="right"/>
            </w:pPr>
            <w:r w:rsidRPr="00C6052E">
              <w:t>90</w:t>
            </w:r>
          </w:p>
        </w:tc>
        <w:tc>
          <w:tcPr>
            <w:tcW w:w="1556" w:type="dxa"/>
            <w:noWrap/>
            <w:hideMark/>
          </w:tcPr>
          <w:p w14:paraId="0AA5111C" w14:textId="77777777" w:rsidR="00EE5BB8" w:rsidRPr="00C6052E" w:rsidRDefault="00EE5BB8" w:rsidP="006F1C8C">
            <w:pPr>
              <w:pStyle w:val="TableCopy"/>
              <w:jc w:val="right"/>
            </w:pPr>
            <w:r w:rsidRPr="00C6052E">
              <w:t>14</w:t>
            </w:r>
          </w:p>
        </w:tc>
        <w:tc>
          <w:tcPr>
            <w:tcW w:w="1556" w:type="dxa"/>
            <w:noWrap/>
            <w:hideMark/>
          </w:tcPr>
          <w:p w14:paraId="798E1411" w14:textId="77777777" w:rsidR="00EE5BB8" w:rsidRPr="00C6052E" w:rsidRDefault="00EE5BB8" w:rsidP="006F1C8C">
            <w:pPr>
              <w:pStyle w:val="TableCopy"/>
              <w:jc w:val="right"/>
            </w:pPr>
            <w:r w:rsidRPr="00C6052E">
              <w:t>15</w:t>
            </w:r>
          </w:p>
        </w:tc>
      </w:tr>
      <w:tr w:rsidR="00EE5BB8" w:rsidRPr="00C6052E" w14:paraId="0D2185CD" w14:textId="77777777" w:rsidTr="006F1C8C">
        <w:tc>
          <w:tcPr>
            <w:tcW w:w="3397" w:type="dxa"/>
            <w:hideMark/>
          </w:tcPr>
          <w:p w14:paraId="01399B36" w14:textId="525BC5E2" w:rsidR="00EE5BB8" w:rsidRPr="00C6052E" w:rsidRDefault="00EE5BB8" w:rsidP="0063097D">
            <w:pPr>
              <w:pStyle w:val="TableCopy"/>
            </w:pPr>
            <w:r w:rsidRPr="00C6052E">
              <w:t>Termination</w:t>
            </w:r>
            <w:r w:rsidR="00177848" w:rsidRPr="00C6052E">
              <w:t xml:space="preserve"> </w:t>
            </w:r>
            <w:r w:rsidRPr="00C6052E">
              <w:t>benefits</w:t>
            </w:r>
          </w:p>
        </w:tc>
        <w:tc>
          <w:tcPr>
            <w:tcW w:w="1556" w:type="dxa"/>
            <w:noWrap/>
            <w:hideMark/>
          </w:tcPr>
          <w:p w14:paraId="1A041C91" w14:textId="77777777" w:rsidR="00EE5BB8" w:rsidRPr="00C6052E" w:rsidRDefault="00EE5BB8" w:rsidP="006F1C8C">
            <w:pPr>
              <w:pStyle w:val="TableCopy"/>
              <w:jc w:val="right"/>
            </w:pPr>
            <w:r w:rsidRPr="00C6052E">
              <w:t>463</w:t>
            </w:r>
          </w:p>
        </w:tc>
        <w:tc>
          <w:tcPr>
            <w:tcW w:w="1556" w:type="dxa"/>
            <w:noWrap/>
            <w:hideMark/>
          </w:tcPr>
          <w:p w14:paraId="2AC8B820" w14:textId="77777777" w:rsidR="00EE5BB8" w:rsidRPr="00C6052E" w:rsidRDefault="00EE5BB8" w:rsidP="006F1C8C">
            <w:pPr>
              <w:pStyle w:val="TableCopy"/>
              <w:jc w:val="right"/>
            </w:pPr>
            <w:r w:rsidRPr="00C6052E">
              <w:t>38</w:t>
            </w:r>
          </w:p>
        </w:tc>
        <w:tc>
          <w:tcPr>
            <w:tcW w:w="1556" w:type="dxa"/>
            <w:noWrap/>
            <w:hideMark/>
          </w:tcPr>
          <w:p w14:paraId="714C739C" w14:textId="77777777" w:rsidR="00EE5BB8" w:rsidRPr="00C6052E" w:rsidRDefault="00EE5BB8" w:rsidP="006F1C8C">
            <w:pPr>
              <w:pStyle w:val="TableCopy"/>
              <w:jc w:val="right"/>
            </w:pPr>
            <w:r w:rsidRPr="00C6052E">
              <w:t>–</w:t>
            </w:r>
          </w:p>
        </w:tc>
        <w:tc>
          <w:tcPr>
            <w:tcW w:w="1556" w:type="dxa"/>
            <w:noWrap/>
            <w:hideMark/>
          </w:tcPr>
          <w:p w14:paraId="1CFC10E9" w14:textId="77777777" w:rsidR="00EE5BB8" w:rsidRPr="00C6052E" w:rsidRDefault="00EE5BB8" w:rsidP="006F1C8C">
            <w:pPr>
              <w:pStyle w:val="TableCopy"/>
              <w:jc w:val="right"/>
            </w:pPr>
            <w:r w:rsidRPr="00C6052E">
              <w:t>–</w:t>
            </w:r>
          </w:p>
        </w:tc>
      </w:tr>
      <w:tr w:rsidR="00EE5BB8" w:rsidRPr="00C6052E" w14:paraId="754B09F3" w14:textId="77777777" w:rsidTr="006F1C8C">
        <w:tc>
          <w:tcPr>
            <w:tcW w:w="3397" w:type="dxa"/>
            <w:noWrap/>
            <w:hideMark/>
          </w:tcPr>
          <w:p w14:paraId="5A16C411" w14:textId="4FC6AEBE" w:rsidR="00EE5BB8" w:rsidRPr="00C6052E" w:rsidRDefault="00EE5BB8" w:rsidP="0063097D">
            <w:pPr>
              <w:pStyle w:val="Tabletotal"/>
            </w:pPr>
            <w:r w:rsidRPr="00C6052E">
              <w:t>Total</w:t>
            </w:r>
            <w:r w:rsidR="00177848" w:rsidRPr="00C6052E">
              <w:t xml:space="preserve"> </w:t>
            </w:r>
            <w:r w:rsidRPr="00C6052E">
              <w:t>compensation</w:t>
            </w:r>
            <w:r w:rsidRPr="00C6052E">
              <w:rPr>
                <w:vertAlign w:val="superscript"/>
              </w:rPr>
              <w:t>(ii)</w:t>
            </w:r>
          </w:p>
        </w:tc>
        <w:tc>
          <w:tcPr>
            <w:tcW w:w="1556" w:type="dxa"/>
            <w:noWrap/>
            <w:hideMark/>
          </w:tcPr>
          <w:p w14:paraId="366C9BAA" w14:textId="77777777" w:rsidR="00EE5BB8" w:rsidRPr="00C6052E" w:rsidRDefault="00EE5BB8" w:rsidP="006F1C8C">
            <w:pPr>
              <w:pStyle w:val="Tabletotal"/>
              <w:jc w:val="right"/>
            </w:pPr>
            <w:r w:rsidRPr="00C6052E">
              <w:t>4,378</w:t>
            </w:r>
          </w:p>
        </w:tc>
        <w:tc>
          <w:tcPr>
            <w:tcW w:w="1556" w:type="dxa"/>
            <w:noWrap/>
            <w:hideMark/>
          </w:tcPr>
          <w:p w14:paraId="7F9C9A47" w14:textId="77777777" w:rsidR="00EE5BB8" w:rsidRPr="00C6052E" w:rsidRDefault="00EE5BB8" w:rsidP="006F1C8C">
            <w:pPr>
              <w:pStyle w:val="Tabletotal"/>
              <w:jc w:val="right"/>
            </w:pPr>
            <w:r w:rsidRPr="00C6052E">
              <w:t>4,366</w:t>
            </w:r>
          </w:p>
        </w:tc>
        <w:tc>
          <w:tcPr>
            <w:tcW w:w="1556" w:type="dxa"/>
            <w:noWrap/>
            <w:hideMark/>
          </w:tcPr>
          <w:p w14:paraId="35D7879C" w14:textId="77777777" w:rsidR="00EE5BB8" w:rsidRPr="00C6052E" w:rsidRDefault="00EE5BB8" w:rsidP="006F1C8C">
            <w:pPr>
              <w:pStyle w:val="Tabletotal"/>
              <w:jc w:val="right"/>
            </w:pPr>
            <w:r w:rsidRPr="00C6052E">
              <w:t>567</w:t>
            </w:r>
          </w:p>
        </w:tc>
        <w:tc>
          <w:tcPr>
            <w:tcW w:w="1556" w:type="dxa"/>
            <w:noWrap/>
            <w:hideMark/>
          </w:tcPr>
          <w:p w14:paraId="287A4237" w14:textId="77777777" w:rsidR="00EE5BB8" w:rsidRPr="00C6052E" w:rsidRDefault="00EE5BB8" w:rsidP="006F1C8C">
            <w:pPr>
              <w:pStyle w:val="Tabletotal"/>
              <w:jc w:val="right"/>
            </w:pPr>
            <w:r w:rsidRPr="00C6052E">
              <w:t>673</w:t>
            </w:r>
          </w:p>
        </w:tc>
      </w:tr>
    </w:tbl>
    <w:p w14:paraId="5AC9A48A" w14:textId="5810B541" w:rsidR="00EE5BB8" w:rsidRPr="00C6052E" w:rsidRDefault="00EE5BB8" w:rsidP="00EE5BB8">
      <w:pPr>
        <w:pStyle w:val="Tablenotes-numbered"/>
        <w:numPr>
          <w:ilvl w:val="0"/>
          <w:numId w:val="41"/>
        </w:numPr>
      </w:pPr>
      <w:bookmarkStart w:id="392" w:name="_Hlk204548623"/>
      <w:r w:rsidRPr="00C6052E">
        <w:t>Total</w:t>
      </w:r>
      <w:r w:rsidR="00177848" w:rsidRPr="00C6052E">
        <w:t xml:space="preserve"> </w:t>
      </w:r>
      <w:r w:rsidRPr="00C6052E">
        <w:t>remuneration</w:t>
      </w:r>
      <w:r w:rsidR="00177848" w:rsidRPr="00C6052E">
        <w:t xml:space="preserve"> </w:t>
      </w:r>
      <w:r w:rsidRPr="00C6052E">
        <w:t>paid</w:t>
      </w:r>
      <w:r w:rsidR="00177848" w:rsidRPr="00C6052E">
        <w:t xml:space="preserve"> </w:t>
      </w:r>
      <w:r w:rsidRPr="00C6052E">
        <w:t>to</w:t>
      </w:r>
      <w:r w:rsidR="00177848" w:rsidRPr="00C6052E">
        <w:t xml:space="preserve"> </w:t>
      </w:r>
      <w:r w:rsidRPr="00C6052E">
        <w:t>KMPs</w:t>
      </w:r>
      <w:r w:rsidR="00177848" w:rsidRPr="00C6052E">
        <w:t xml:space="preserve"> </w:t>
      </w:r>
      <w:r w:rsidRPr="00C6052E">
        <w:t>employed</w:t>
      </w:r>
      <w:r w:rsidR="00177848" w:rsidRPr="00C6052E">
        <w:t xml:space="preserve"> </w:t>
      </w:r>
      <w:r w:rsidRPr="00C6052E">
        <w:t>as</w:t>
      </w:r>
      <w:r w:rsidR="00177848" w:rsidRPr="00C6052E">
        <w:t xml:space="preserve"> </w:t>
      </w:r>
      <w:r w:rsidRPr="00C6052E">
        <w:t>a</w:t>
      </w:r>
      <w:r w:rsidR="00177848" w:rsidRPr="00C6052E">
        <w:t xml:space="preserve"> </w:t>
      </w:r>
      <w:r w:rsidRPr="00C6052E">
        <w:t>contractor</w:t>
      </w:r>
      <w:r w:rsidR="00177848" w:rsidRPr="00C6052E">
        <w:t xml:space="preserve"> </w:t>
      </w:r>
      <w:r w:rsidRPr="00C6052E">
        <w:t>during</w:t>
      </w:r>
      <w:r w:rsidR="00177848" w:rsidRPr="00C6052E">
        <w:t xml:space="preserve"> </w:t>
      </w:r>
      <w:r w:rsidRPr="00C6052E">
        <w:t>the</w:t>
      </w:r>
      <w:r w:rsidR="00177848" w:rsidRPr="00C6052E">
        <w:t xml:space="preserve"> </w:t>
      </w:r>
      <w:r w:rsidRPr="00C6052E">
        <w:t>reporting</w:t>
      </w:r>
      <w:r w:rsidR="00177848" w:rsidRPr="00C6052E">
        <w:t xml:space="preserve"> </w:t>
      </w:r>
      <w:r w:rsidRPr="00C6052E">
        <w:t>period</w:t>
      </w:r>
      <w:r w:rsidR="00177848" w:rsidRPr="00C6052E">
        <w:t xml:space="preserve"> </w:t>
      </w:r>
      <w:r w:rsidRPr="00C6052E">
        <w:t>through</w:t>
      </w:r>
      <w:r w:rsidR="00177848" w:rsidRPr="00C6052E">
        <w:t xml:space="preserve"> </w:t>
      </w:r>
      <w:r w:rsidRPr="00C6052E">
        <w:t>an</w:t>
      </w:r>
      <w:r w:rsidR="00177848" w:rsidRPr="00C6052E">
        <w:t xml:space="preserve"> </w:t>
      </w:r>
      <w:r w:rsidRPr="00C6052E">
        <w:t>external</w:t>
      </w:r>
      <w:r w:rsidR="00177848" w:rsidRPr="00C6052E">
        <w:t xml:space="preserve"> </w:t>
      </w:r>
      <w:r w:rsidRPr="00C6052E">
        <w:t>service</w:t>
      </w:r>
      <w:r w:rsidR="00177848" w:rsidRPr="00C6052E">
        <w:t xml:space="preserve"> </w:t>
      </w:r>
      <w:r w:rsidRPr="00C6052E">
        <w:t>provider</w:t>
      </w:r>
      <w:r w:rsidR="00177848" w:rsidRPr="00C6052E">
        <w:t xml:space="preserve"> </w:t>
      </w:r>
      <w:r w:rsidRPr="00C6052E">
        <w:t>has</w:t>
      </w:r>
      <w:r w:rsidR="00177848" w:rsidRPr="00C6052E">
        <w:t xml:space="preserve"> </w:t>
      </w:r>
      <w:r w:rsidRPr="00C6052E">
        <w:t>been</w:t>
      </w:r>
      <w:r w:rsidR="00177848" w:rsidRPr="00C6052E">
        <w:t xml:space="preserve"> </w:t>
      </w:r>
      <w:r w:rsidRPr="00C6052E">
        <w:t>reported</w:t>
      </w:r>
      <w:r w:rsidR="00177848" w:rsidRPr="00C6052E">
        <w:t xml:space="preserve"> </w:t>
      </w:r>
      <w:r w:rsidRPr="00C6052E">
        <w:t>under</w:t>
      </w:r>
      <w:r w:rsidR="00177848" w:rsidRPr="00C6052E">
        <w:t xml:space="preserve"> </w:t>
      </w:r>
      <w:r w:rsidRPr="00C6052E">
        <w:t>short–term</w:t>
      </w:r>
      <w:r w:rsidR="00177848" w:rsidRPr="00C6052E">
        <w:t xml:space="preserve"> </w:t>
      </w:r>
      <w:r w:rsidRPr="00C6052E">
        <w:t>employee</w:t>
      </w:r>
      <w:r w:rsidR="00177848" w:rsidRPr="00C6052E">
        <w:t xml:space="preserve"> </w:t>
      </w:r>
      <w:r w:rsidRPr="00C6052E">
        <w:t>benefits.</w:t>
      </w:r>
      <w:bookmarkEnd w:id="392"/>
    </w:p>
    <w:p w14:paraId="04BA2651" w14:textId="4724BD27" w:rsidR="00EE5BB8" w:rsidRPr="00C6052E" w:rsidRDefault="00EE5BB8" w:rsidP="00EE5BB8">
      <w:pPr>
        <w:pStyle w:val="Tablenotes-numbered"/>
        <w:numPr>
          <w:ilvl w:val="0"/>
          <w:numId w:val="41"/>
        </w:numPr>
      </w:pPr>
      <w:r w:rsidRPr="00C6052E">
        <w:t>Note</w:t>
      </w:r>
      <w:r w:rsidR="00177848" w:rsidRPr="00C6052E">
        <w:t xml:space="preserve"> </w:t>
      </w:r>
      <w:r w:rsidRPr="00C6052E">
        <w:t>that</w:t>
      </w:r>
      <w:r w:rsidR="00177848" w:rsidRPr="00C6052E">
        <w:t xml:space="preserve"> </w:t>
      </w:r>
      <w:r w:rsidRPr="00C6052E">
        <w:t>KMPs</w:t>
      </w:r>
      <w:r w:rsidR="00177848" w:rsidRPr="00C6052E">
        <w:t xml:space="preserve"> </w:t>
      </w:r>
      <w:r w:rsidRPr="00C6052E">
        <w:t>are</w:t>
      </w:r>
      <w:r w:rsidR="00177848" w:rsidRPr="00C6052E">
        <w:t xml:space="preserve"> </w:t>
      </w:r>
      <w:r w:rsidRPr="00C6052E">
        <w:t>also</w:t>
      </w:r>
      <w:r w:rsidR="00177848" w:rsidRPr="00C6052E">
        <w:t xml:space="preserve"> </w:t>
      </w:r>
      <w:r w:rsidRPr="00C6052E">
        <w:t>reported</w:t>
      </w:r>
      <w:r w:rsidR="00177848" w:rsidRPr="00C6052E">
        <w:t xml:space="preserve"> </w:t>
      </w:r>
      <w:r w:rsidRPr="00C6052E">
        <w:t>in</w:t>
      </w:r>
      <w:r w:rsidR="00177848" w:rsidRPr="00C6052E">
        <w:t xml:space="preserve"> </w:t>
      </w:r>
      <w:r w:rsidRPr="00C6052E">
        <w:t>the</w:t>
      </w:r>
      <w:r w:rsidR="00177848" w:rsidRPr="00C6052E">
        <w:t xml:space="preserve"> </w:t>
      </w:r>
      <w:r w:rsidRPr="00C6052E">
        <w:t>disclosure</w:t>
      </w:r>
      <w:r w:rsidR="00177848" w:rsidRPr="00C6052E">
        <w:t xml:space="preserve"> </w:t>
      </w:r>
      <w:r w:rsidRPr="00C6052E">
        <w:t>of</w:t>
      </w:r>
      <w:r w:rsidR="00177848" w:rsidRPr="00C6052E">
        <w:t xml:space="preserve"> </w:t>
      </w:r>
      <w:r w:rsidRPr="00C6052E">
        <w:t>remuneration</w:t>
      </w:r>
      <w:r w:rsidR="00177848" w:rsidRPr="00C6052E">
        <w:t xml:space="preserve"> </w:t>
      </w:r>
      <w:r w:rsidRPr="00C6052E">
        <w:t>of</w:t>
      </w:r>
      <w:r w:rsidR="00177848" w:rsidRPr="00C6052E">
        <w:t xml:space="preserve"> </w:t>
      </w:r>
      <w:r w:rsidRPr="00C6052E">
        <w:t>executive</w:t>
      </w:r>
      <w:r w:rsidR="00177848" w:rsidRPr="00C6052E">
        <w:t xml:space="preserve"> </w:t>
      </w:r>
      <w:r w:rsidRPr="00C6052E">
        <w:t>officers</w:t>
      </w:r>
      <w:r w:rsidR="00177848" w:rsidRPr="00C6052E">
        <w:t xml:space="preserve"> </w:t>
      </w:r>
      <w:r w:rsidRPr="00C6052E">
        <w:t>(Note</w:t>
      </w:r>
      <w:r w:rsidR="00177848" w:rsidRPr="00C6052E">
        <w:t xml:space="preserve"> </w:t>
      </w:r>
      <w:r w:rsidRPr="00C6052E">
        <w:fldChar w:fldCharType="begin"/>
      </w:r>
      <w:r w:rsidRPr="00C6052E">
        <w:instrText xml:space="preserve"> REF _Ref209622353 \r \h  \* MERGEFORMAT </w:instrText>
      </w:r>
      <w:r w:rsidRPr="00C6052E">
        <w:fldChar w:fldCharType="separate"/>
      </w:r>
      <w:r w:rsidRPr="00C6052E">
        <w:t>9.7</w:t>
      </w:r>
      <w:r w:rsidRPr="00C6052E">
        <w:fldChar w:fldCharType="end"/>
      </w:r>
      <w:r w:rsidR="00177848" w:rsidRPr="00C6052E">
        <w:t xml:space="preserve"> </w:t>
      </w:r>
      <w:r w:rsidRPr="00C6052E">
        <w:t>–</w:t>
      </w:r>
      <w:r w:rsidR="00177848" w:rsidRPr="00C6052E">
        <w:t xml:space="preserve"> </w:t>
      </w:r>
      <w:r w:rsidRPr="00C6052E">
        <w:fldChar w:fldCharType="begin"/>
      </w:r>
      <w:r w:rsidRPr="00C6052E">
        <w:instrText xml:space="preserve"> REF _Ref209622353 \h  \* MERGEFORMAT </w:instrText>
      </w:r>
      <w:r w:rsidRPr="00C6052E">
        <w:fldChar w:fldCharType="separate"/>
      </w:r>
      <w:r w:rsidRPr="00C6052E">
        <w:t>Remuneration</w:t>
      </w:r>
      <w:r w:rsidR="00177848" w:rsidRPr="00C6052E">
        <w:t xml:space="preserve"> </w:t>
      </w:r>
      <w:r w:rsidRPr="00C6052E">
        <w:t>of</w:t>
      </w:r>
      <w:r w:rsidR="00177848" w:rsidRPr="00C6052E">
        <w:t xml:space="preserve"> </w:t>
      </w:r>
      <w:r w:rsidRPr="00C6052E">
        <w:t>executives</w:t>
      </w:r>
      <w:r w:rsidRPr="00C6052E">
        <w:fldChar w:fldCharType="end"/>
      </w:r>
      <w:r w:rsidRPr="00C6052E">
        <w:t>).</w:t>
      </w:r>
    </w:p>
    <w:p w14:paraId="745C9F47" w14:textId="50FAD812" w:rsidR="00EE5BB8" w:rsidRPr="00C6052E" w:rsidRDefault="00EE5BB8" w:rsidP="00EE5BB8">
      <w:pPr>
        <w:pStyle w:val="Tablenotes-numbered"/>
        <w:numPr>
          <w:ilvl w:val="0"/>
          <w:numId w:val="41"/>
        </w:numPr>
      </w:pPr>
      <w:r w:rsidRPr="00C6052E">
        <w:lastRenderedPageBreak/>
        <w:t>Where</w:t>
      </w:r>
      <w:r w:rsidR="00177848" w:rsidRPr="00C6052E">
        <w:t xml:space="preserve"> </w:t>
      </w:r>
      <w:r w:rsidRPr="00C6052E">
        <w:t>employees</w:t>
      </w:r>
      <w:r w:rsidR="00177848" w:rsidRPr="00C6052E">
        <w:t xml:space="preserve"> </w:t>
      </w:r>
      <w:r w:rsidRPr="00C6052E">
        <w:t>are</w:t>
      </w:r>
      <w:r w:rsidR="00177848" w:rsidRPr="00C6052E">
        <w:t xml:space="preserve"> </w:t>
      </w:r>
      <w:r w:rsidRPr="00C6052E">
        <w:t>KMPs</w:t>
      </w:r>
      <w:r w:rsidR="00177848" w:rsidRPr="00C6052E">
        <w:t xml:space="preserve"> </w:t>
      </w:r>
      <w:r w:rsidRPr="00C6052E">
        <w:t>of</w:t>
      </w:r>
      <w:r w:rsidR="00177848" w:rsidRPr="00C6052E">
        <w:t xml:space="preserve"> </w:t>
      </w:r>
      <w:r w:rsidRPr="00C6052E">
        <w:t>both</w:t>
      </w:r>
      <w:r w:rsidR="00177848" w:rsidRPr="00C6052E">
        <w:t xml:space="preserve"> </w:t>
      </w:r>
      <w:r w:rsidRPr="00C6052E">
        <w:t>DJSIR</w:t>
      </w:r>
      <w:r w:rsidR="00177848" w:rsidRPr="00C6052E">
        <w:t xml:space="preserve"> </w:t>
      </w:r>
      <w:r w:rsidRPr="00C6052E">
        <w:t>and</w:t>
      </w:r>
      <w:r w:rsidR="00177848" w:rsidRPr="00C6052E">
        <w:t xml:space="preserve"> </w:t>
      </w:r>
      <w:r w:rsidRPr="00C6052E">
        <w:t>Administrative</w:t>
      </w:r>
      <w:r w:rsidR="00177848" w:rsidRPr="00C6052E">
        <w:t xml:space="preserve"> </w:t>
      </w:r>
      <w:r w:rsidRPr="00C6052E">
        <w:t>Offices</w:t>
      </w:r>
      <w:r w:rsidR="00177848" w:rsidRPr="00C6052E">
        <w:t xml:space="preserve"> </w:t>
      </w:r>
      <w:r w:rsidRPr="00C6052E">
        <w:t>and</w:t>
      </w:r>
      <w:r w:rsidR="00177848" w:rsidRPr="00C6052E">
        <w:t xml:space="preserve"> </w:t>
      </w:r>
      <w:r w:rsidRPr="00C6052E">
        <w:t>entities</w:t>
      </w:r>
      <w:r w:rsidR="00177848" w:rsidRPr="00C6052E">
        <w:t xml:space="preserve"> </w:t>
      </w:r>
      <w:r w:rsidRPr="00C6052E">
        <w:t>consolidated</w:t>
      </w:r>
      <w:r w:rsidR="00177848" w:rsidRPr="00C6052E">
        <w:t xml:space="preserve"> </w:t>
      </w:r>
      <w:r w:rsidRPr="00C6052E">
        <w:t>under</w:t>
      </w:r>
      <w:r w:rsidR="00177848" w:rsidRPr="00C6052E">
        <w:t xml:space="preserve"> </w:t>
      </w:r>
      <w:r w:rsidRPr="00C6052E">
        <w:t>the</w:t>
      </w:r>
      <w:r w:rsidR="00177848" w:rsidRPr="00C6052E">
        <w:t xml:space="preserve"> </w:t>
      </w:r>
      <w:r w:rsidRPr="00C6052E">
        <w:t>FMA</w:t>
      </w:r>
      <w:r w:rsidR="00177848" w:rsidRPr="00C6052E">
        <w:t xml:space="preserve"> </w:t>
      </w:r>
      <w:r w:rsidRPr="00C6052E">
        <w:t>s53(1)(b),</w:t>
      </w:r>
      <w:r w:rsidR="00177848" w:rsidRPr="00C6052E">
        <w:t xml:space="preserve"> </w:t>
      </w:r>
      <w:r w:rsidRPr="00C6052E">
        <w:t>their</w:t>
      </w:r>
      <w:r w:rsidR="00177848" w:rsidRPr="00C6052E">
        <w:t xml:space="preserve"> </w:t>
      </w:r>
      <w:r w:rsidRPr="00C6052E">
        <w:t>remuneration</w:t>
      </w:r>
      <w:r w:rsidR="00177848" w:rsidRPr="00C6052E">
        <w:t xml:space="preserve"> </w:t>
      </w:r>
      <w:r w:rsidRPr="00C6052E">
        <w:t>is</w:t>
      </w:r>
      <w:r w:rsidR="00177848" w:rsidRPr="00C6052E">
        <w:t xml:space="preserve"> </w:t>
      </w:r>
      <w:r w:rsidRPr="00C6052E">
        <w:t>reflected</w:t>
      </w:r>
      <w:r w:rsidR="00177848" w:rsidRPr="00C6052E">
        <w:t xml:space="preserve"> </w:t>
      </w:r>
      <w:r w:rsidRPr="00C6052E">
        <w:t>under</w:t>
      </w:r>
      <w:r w:rsidR="00177848" w:rsidRPr="00C6052E">
        <w:t xml:space="preserve"> </w:t>
      </w:r>
      <w:r w:rsidRPr="00C6052E">
        <w:t>DJSIR’s</w:t>
      </w:r>
      <w:r w:rsidR="00177848" w:rsidRPr="00C6052E">
        <w:t xml:space="preserve"> </w:t>
      </w:r>
      <w:r w:rsidRPr="00C6052E">
        <w:t>compensation</w:t>
      </w:r>
      <w:r w:rsidR="00177848" w:rsidRPr="00C6052E">
        <w:t xml:space="preserve"> </w:t>
      </w:r>
      <w:r w:rsidRPr="00C6052E">
        <w:t>of</w:t>
      </w:r>
      <w:r w:rsidR="00177848" w:rsidRPr="00C6052E">
        <w:t xml:space="preserve"> </w:t>
      </w:r>
      <w:r w:rsidRPr="00C6052E">
        <w:t>KMPs.</w:t>
      </w:r>
    </w:p>
    <w:p w14:paraId="20576D4B" w14:textId="0027BE77" w:rsidR="00EE5BB8" w:rsidRPr="00C6052E" w:rsidRDefault="00C6052E" w:rsidP="006F1C8C">
      <w:pPr>
        <w:pStyle w:val="Heading4"/>
      </w:pPr>
      <w:r w:rsidRPr="00C6052E">
        <w:t>Transactions</w:t>
      </w:r>
      <w:r w:rsidR="00177848" w:rsidRPr="00C6052E">
        <w:t xml:space="preserve"> </w:t>
      </w:r>
      <w:r w:rsidRPr="00C6052E">
        <w:t>and</w:t>
      </w:r>
      <w:r w:rsidR="00177848" w:rsidRPr="00C6052E">
        <w:t xml:space="preserve"> </w:t>
      </w:r>
      <w:r w:rsidRPr="00C6052E">
        <w:t>balances</w:t>
      </w:r>
      <w:r w:rsidR="00177848" w:rsidRPr="00C6052E">
        <w:t xml:space="preserve"> </w:t>
      </w:r>
      <w:r w:rsidRPr="00C6052E">
        <w:t>with</w:t>
      </w:r>
      <w:r w:rsidR="00177848" w:rsidRPr="00C6052E">
        <w:t xml:space="preserve"> </w:t>
      </w:r>
      <w:r w:rsidRPr="00C6052E">
        <w:t>key</w:t>
      </w:r>
      <w:r w:rsidR="00177848" w:rsidRPr="00C6052E">
        <w:t xml:space="preserve"> </w:t>
      </w:r>
      <w:r w:rsidRPr="00C6052E">
        <w:t>management</w:t>
      </w:r>
      <w:r w:rsidR="00177848" w:rsidRPr="00C6052E">
        <w:t xml:space="preserve"> </w:t>
      </w:r>
      <w:r w:rsidRPr="00C6052E">
        <w:t>personnel</w:t>
      </w:r>
      <w:r w:rsidR="00177848" w:rsidRPr="00C6052E">
        <w:t xml:space="preserve"> </w:t>
      </w:r>
      <w:r w:rsidRPr="00C6052E">
        <w:t>and</w:t>
      </w:r>
      <w:r w:rsidR="00177848" w:rsidRPr="00C6052E">
        <w:t xml:space="preserve"> </w:t>
      </w:r>
      <w:r w:rsidRPr="00C6052E">
        <w:t>other</w:t>
      </w:r>
      <w:r w:rsidR="00177848" w:rsidRPr="00C6052E">
        <w:t xml:space="preserve"> </w:t>
      </w:r>
      <w:r w:rsidRPr="00C6052E">
        <w:t>related</w:t>
      </w:r>
      <w:r w:rsidR="00177848" w:rsidRPr="00C6052E">
        <w:t xml:space="preserve"> </w:t>
      </w:r>
      <w:r w:rsidRPr="00C6052E">
        <w:t>parties</w:t>
      </w:r>
    </w:p>
    <w:p w14:paraId="55088B85" w14:textId="02F48935" w:rsidR="00EE5BB8" w:rsidRPr="00C6052E" w:rsidRDefault="00EE5BB8" w:rsidP="00EE5BB8">
      <w:r w:rsidRPr="00C6052E">
        <w:t>Given</w:t>
      </w:r>
      <w:r w:rsidR="00177848" w:rsidRPr="00C6052E">
        <w:t xml:space="preserve"> </w:t>
      </w:r>
      <w:r w:rsidRPr="00C6052E">
        <w:t>the</w:t>
      </w:r>
      <w:r w:rsidR="00177848" w:rsidRPr="00C6052E">
        <w:t xml:space="preserve"> </w:t>
      </w:r>
      <w:r w:rsidRPr="00C6052E">
        <w:t>breadth</w:t>
      </w:r>
      <w:r w:rsidR="00177848" w:rsidRPr="00C6052E">
        <w:t xml:space="preserve"> </w:t>
      </w:r>
      <w:r w:rsidRPr="00C6052E">
        <w:t>and</w:t>
      </w:r>
      <w:r w:rsidR="00177848" w:rsidRPr="00C6052E">
        <w:t xml:space="preserve"> </w:t>
      </w:r>
      <w:r w:rsidRPr="00C6052E">
        <w:t>depth</w:t>
      </w:r>
      <w:r w:rsidR="00177848" w:rsidRPr="00C6052E">
        <w:t xml:space="preserve"> </w:t>
      </w:r>
      <w:r w:rsidRPr="00C6052E">
        <w:t>of</w:t>
      </w:r>
      <w:r w:rsidR="00177848" w:rsidRPr="00C6052E">
        <w:t xml:space="preserve"> </w:t>
      </w:r>
      <w:r w:rsidRPr="00C6052E">
        <w:t>State</w:t>
      </w:r>
      <w:r w:rsidR="00177848" w:rsidRPr="00C6052E">
        <w:t xml:space="preserve"> </w:t>
      </w:r>
      <w:r w:rsidRPr="00C6052E">
        <w:t>government</w:t>
      </w:r>
      <w:r w:rsidR="00177848" w:rsidRPr="00C6052E">
        <w:t xml:space="preserve"> </w:t>
      </w:r>
      <w:r w:rsidRPr="00C6052E">
        <w:t>activities,</w:t>
      </w:r>
      <w:r w:rsidR="00177848" w:rsidRPr="00C6052E">
        <w:t xml:space="preserve"> </w:t>
      </w:r>
      <w:r w:rsidRPr="00C6052E">
        <w:t>related</w:t>
      </w:r>
      <w:r w:rsidR="00177848" w:rsidRPr="00C6052E">
        <w:t xml:space="preserve"> </w:t>
      </w:r>
      <w:r w:rsidRPr="00C6052E">
        <w:t>parties</w:t>
      </w:r>
      <w:r w:rsidR="00177848" w:rsidRPr="00C6052E">
        <w:t xml:space="preserve"> </w:t>
      </w:r>
      <w:r w:rsidRPr="00C6052E">
        <w:t>transact</w:t>
      </w:r>
      <w:r w:rsidR="00177848" w:rsidRPr="00C6052E">
        <w:t xml:space="preserve"> </w:t>
      </w:r>
      <w:r w:rsidRPr="00C6052E">
        <w:t>with</w:t>
      </w:r>
      <w:r w:rsidR="00177848" w:rsidRPr="00C6052E">
        <w:t xml:space="preserve"> </w:t>
      </w:r>
      <w:r w:rsidRPr="00C6052E">
        <w:t>the</w:t>
      </w:r>
      <w:r w:rsidR="00177848" w:rsidRPr="00C6052E">
        <w:t xml:space="preserve"> </w:t>
      </w:r>
      <w:r w:rsidRPr="00C6052E">
        <w:t>Victorian</w:t>
      </w:r>
      <w:r w:rsidR="00177848" w:rsidRPr="00C6052E">
        <w:t xml:space="preserve"> </w:t>
      </w:r>
      <w:r w:rsidRPr="00C6052E">
        <w:t>public</w:t>
      </w:r>
      <w:r w:rsidR="00177848" w:rsidRPr="00C6052E">
        <w:t xml:space="preserve"> </w:t>
      </w:r>
      <w:r w:rsidRPr="00C6052E">
        <w:t>sector</w:t>
      </w:r>
      <w:r w:rsidR="00177848" w:rsidRPr="00C6052E">
        <w:t xml:space="preserve"> </w:t>
      </w:r>
      <w:r w:rsidRPr="00C6052E">
        <w:t>in</w:t>
      </w:r>
      <w:r w:rsidR="00177848" w:rsidRPr="00C6052E">
        <w:t xml:space="preserve"> </w:t>
      </w:r>
      <w:r w:rsidRPr="00C6052E">
        <w:t>a</w:t>
      </w:r>
      <w:r w:rsidR="00177848" w:rsidRPr="00C6052E">
        <w:t xml:space="preserve"> </w:t>
      </w:r>
      <w:r w:rsidRPr="00C6052E">
        <w:t>manner</w:t>
      </w:r>
      <w:r w:rsidR="00177848" w:rsidRPr="00C6052E">
        <w:t xml:space="preserve"> </w:t>
      </w:r>
      <w:r w:rsidRPr="00C6052E">
        <w:t>consistent</w:t>
      </w:r>
      <w:r w:rsidR="00177848" w:rsidRPr="00C6052E">
        <w:t xml:space="preserve"> </w:t>
      </w:r>
      <w:r w:rsidRPr="00C6052E">
        <w:t>with</w:t>
      </w:r>
      <w:r w:rsidR="00177848" w:rsidRPr="00C6052E">
        <w:t xml:space="preserve"> </w:t>
      </w:r>
      <w:r w:rsidRPr="00C6052E">
        <w:t>other</w:t>
      </w:r>
      <w:r w:rsidR="00177848" w:rsidRPr="00C6052E">
        <w:t xml:space="preserve"> </w:t>
      </w:r>
      <w:r w:rsidRPr="00C6052E">
        <w:t>members</w:t>
      </w:r>
      <w:r w:rsidR="00177848" w:rsidRPr="00C6052E">
        <w:t xml:space="preserve"> </w:t>
      </w:r>
      <w:r w:rsidRPr="00C6052E">
        <w:t>of</w:t>
      </w:r>
      <w:r w:rsidR="00177848" w:rsidRPr="00C6052E">
        <w:t xml:space="preserve"> </w:t>
      </w:r>
      <w:r w:rsidRPr="00C6052E">
        <w:t>the</w:t>
      </w:r>
      <w:r w:rsidR="00177848" w:rsidRPr="00C6052E">
        <w:t xml:space="preserve"> </w:t>
      </w:r>
      <w:r w:rsidRPr="00C6052E">
        <w:t>public</w:t>
      </w:r>
      <w:r w:rsidR="00177848" w:rsidRPr="00C6052E">
        <w:t xml:space="preserve"> </w:t>
      </w:r>
      <w:r w:rsidRPr="00C6052E">
        <w:t>e.g.</w:t>
      </w:r>
      <w:r w:rsidR="00177848" w:rsidRPr="00C6052E">
        <w:t xml:space="preserve"> </w:t>
      </w:r>
      <w:r w:rsidRPr="00C6052E">
        <w:t>stamp</w:t>
      </w:r>
      <w:r w:rsidR="00177848" w:rsidRPr="00C6052E">
        <w:t xml:space="preserve"> </w:t>
      </w:r>
      <w:r w:rsidRPr="00C6052E">
        <w:t>duty</w:t>
      </w:r>
      <w:r w:rsidR="00177848" w:rsidRPr="00C6052E">
        <w:t xml:space="preserve"> </w:t>
      </w:r>
      <w:r w:rsidRPr="00C6052E">
        <w:t>and</w:t>
      </w:r>
      <w:r w:rsidR="00177848" w:rsidRPr="00C6052E">
        <w:t xml:space="preserve"> </w:t>
      </w:r>
      <w:r w:rsidRPr="00C6052E">
        <w:t>other</w:t>
      </w:r>
      <w:r w:rsidR="00177848" w:rsidRPr="00C6052E">
        <w:t xml:space="preserve"> </w:t>
      </w:r>
      <w:r w:rsidRPr="00C6052E">
        <w:t>government</w:t>
      </w:r>
      <w:r w:rsidR="00177848" w:rsidRPr="00C6052E">
        <w:t xml:space="preserve"> </w:t>
      </w:r>
      <w:r w:rsidRPr="00C6052E">
        <w:t>fees</w:t>
      </w:r>
      <w:r w:rsidR="00177848" w:rsidRPr="00C6052E">
        <w:t xml:space="preserve"> </w:t>
      </w:r>
      <w:r w:rsidRPr="00C6052E">
        <w:t>and</w:t>
      </w:r>
      <w:r w:rsidR="00177848" w:rsidRPr="00C6052E">
        <w:t xml:space="preserve"> </w:t>
      </w:r>
      <w:r w:rsidRPr="00C6052E">
        <w:t>charges.</w:t>
      </w:r>
      <w:r w:rsidR="00177848" w:rsidRPr="00C6052E">
        <w:t xml:space="preserve"> </w:t>
      </w:r>
      <w:r w:rsidRPr="00C6052E">
        <w:t>Further</w:t>
      </w:r>
      <w:r w:rsidR="00177848" w:rsidRPr="00C6052E">
        <w:t xml:space="preserve"> </w:t>
      </w:r>
      <w:r w:rsidRPr="00C6052E">
        <w:t>employment</w:t>
      </w:r>
      <w:r w:rsidR="00177848" w:rsidRPr="00C6052E">
        <w:t xml:space="preserve"> </w:t>
      </w:r>
      <w:r w:rsidRPr="00C6052E">
        <w:t>of</w:t>
      </w:r>
      <w:r w:rsidR="00177848" w:rsidRPr="00C6052E">
        <w:t xml:space="preserve"> </w:t>
      </w:r>
      <w:r w:rsidRPr="00C6052E">
        <w:t>processes</w:t>
      </w:r>
      <w:r w:rsidR="00177848" w:rsidRPr="00C6052E">
        <w:t xml:space="preserve"> </w:t>
      </w:r>
      <w:r w:rsidRPr="00C6052E">
        <w:t>within</w:t>
      </w:r>
      <w:r w:rsidR="00177848" w:rsidRPr="00C6052E">
        <w:t xml:space="preserve"> </w:t>
      </w:r>
      <w:r w:rsidRPr="00C6052E">
        <w:t>the</w:t>
      </w:r>
      <w:r w:rsidR="00177848" w:rsidRPr="00C6052E">
        <w:t xml:space="preserve"> </w:t>
      </w:r>
      <w:r w:rsidRPr="00C6052E">
        <w:t>Victorian</w:t>
      </w:r>
      <w:r w:rsidR="00177848" w:rsidRPr="00C6052E">
        <w:t xml:space="preserve"> </w:t>
      </w:r>
      <w:r w:rsidRPr="00C6052E">
        <w:t>public</w:t>
      </w:r>
      <w:r w:rsidR="00177848" w:rsidRPr="00C6052E">
        <w:t xml:space="preserve"> </w:t>
      </w:r>
      <w:r w:rsidRPr="00C6052E">
        <w:t>sector</w:t>
      </w:r>
      <w:r w:rsidR="00177848" w:rsidRPr="00C6052E">
        <w:t xml:space="preserve"> </w:t>
      </w:r>
      <w:r w:rsidRPr="00C6052E">
        <w:t>occur</w:t>
      </w:r>
      <w:r w:rsidR="00177848" w:rsidRPr="00C6052E">
        <w:t xml:space="preserve"> </w:t>
      </w:r>
      <w:r w:rsidRPr="00C6052E">
        <w:t>on</w:t>
      </w:r>
      <w:r w:rsidR="00177848" w:rsidRPr="00C6052E">
        <w:t xml:space="preserve"> </w:t>
      </w:r>
      <w:r w:rsidRPr="00C6052E">
        <w:t>terms</w:t>
      </w:r>
      <w:r w:rsidR="00177848" w:rsidRPr="00C6052E">
        <w:t xml:space="preserve"> </w:t>
      </w:r>
      <w:r w:rsidRPr="00C6052E">
        <w:t>and</w:t>
      </w:r>
      <w:r w:rsidR="00177848" w:rsidRPr="00C6052E">
        <w:t xml:space="preserve"> </w:t>
      </w:r>
      <w:r w:rsidRPr="00C6052E">
        <w:t>conditions</w:t>
      </w:r>
      <w:r w:rsidR="00177848" w:rsidRPr="00C6052E">
        <w:t xml:space="preserve"> </w:t>
      </w:r>
      <w:r w:rsidRPr="00C6052E">
        <w:t>consistent</w:t>
      </w:r>
      <w:r w:rsidR="00177848" w:rsidRPr="00C6052E">
        <w:t xml:space="preserve"> </w:t>
      </w:r>
      <w:r w:rsidRPr="00C6052E">
        <w:t>with</w:t>
      </w:r>
      <w:r w:rsidR="00177848" w:rsidRPr="00C6052E">
        <w:t xml:space="preserve"> </w:t>
      </w:r>
      <w:r w:rsidRPr="00C6052E">
        <w:t>the</w:t>
      </w:r>
      <w:r w:rsidR="00177848" w:rsidRPr="00C6052E">
        <w:t xml:space="preserve"> </w:t>
      </w:r>
      <w:r w:rsidRPr="00C6052E">
        <w:rPr>
          <w:rStyle w:val="Italics"/>
        </w:rPr>
        <w:t>Public</w:t>
      </w:r>
      <w:r w:rsidR="00177848" w:rsidRPr="00C6052E">
        <w:rPr>
          <w:rStyle w:val="Italics"/>
        </w:rPr>
        <w:t xml:space="preserve"> </w:t>
      </w:r>
      <w:r w:rsidRPr="00C6052E">
        <w:rPr>
          <w:rStyle w:val="Italics"/>
        </w:rPr>
        <w:t>Administration</w:t>
      </w:r>
      <w:r w:rsidR="00177848" w:rsidRPr="00C6052E">
        <w:rPr>
          <w:rStyle w:val="Italics"/>
        </w:rPr>
        <w:t xml:space="preserve"> </w:t>
      </w:r>
      <w:r w:rsidRPr="00C6052E">
        <w:rPr>
          <w:rStyle w:val="Italics"/>
        </w:rPr>
        <w:t>Act</w:t>
      </w:r>
      <w:r w:rsidR="00177848" w:rsidRPr="00C6052E">
        <w:rPr>
          <w:rStyle w:val="Italics"/>
        </w:rPr>
        <w:t xml:space="preserve"> </w:t>
      </w:r>
      <w:r w:rsidRPr="00C6052E">
        <w:rPr>
          <w:rStyle w:val="Italics"/>
        </w:rPr>
        <w:t>2004</w:t>
      </w:r>
      <w:r w:rsidR="00177848" w:rsidRPr="00C6052E">
        <w:t xml:space="preserve"> </w:t>
      </w:r>
      <w:r w:rsidRPr="00C6052E">
        <w:t>and</w:t>
      </w:r>
      <w:r w:rsidR="00177848" w:rsidRPr="00C6052E">
        <w:t xml:space="preserve"> </w:t>
      </w:r>
      <w:r w:rsidRPr="00C6052E">
        <w:t>Codes</w:t>
      </w:r>
      <w:r w:rsidR="00177848" w:rsidRPr="00C6052E">
        <w:t xml:space="preserve"> </w:t>
      </w:r>
      <w:r w:rsidRPr="00C6052E">
        <w:t>of</w:t>
      </w:r>
      <w:r w:rsidR="00177848" w:rsidRPr="00C6052E">
        <w:t xml:space="preserve"> </w:t>
      </w:r>
      <w:r w:rsidRPr="00C6052E">
        <w:t>Conduct</w:t>
      </w:r>
      <w:r w:rsidR="00177848" w:rsidRPr="00C6052E">
        <w:t xml:space="preserve"> </w:t>
      </w:r>
      <w:r w:rsidRPr="00C6052E">
        <w:t>and</w:t>
      </w:r>
      <w:r w:rsidR="00177848" w:rsidRPr="00C6052E">
        <w:t xml:space="preserve"> </w:t>
      </w:r>
      <w:r w:rsidRPr="00C6052E">
        <w:t>Standards</w:t>
      </w:r>
      <w:r w:rsidR="00177848" w:rsidRPr="00C6052E">
        <w:t xml:space="preserve"> </w:t>
      </w:r>
      <w:r w:rsidRPr="00C6052E">
        <w:t>issued</w:t>
      </w:r>
      <w:r w:rsidR="00177848" w:rsidRPr="00C6052E">
        <w:t xml:space="preserve"> </w:t>
      </w:r>
      <w:r w:rsidRPr="00C6052E">
        <w:t>by</w:t>
      </w:r>
      <w:r w:rsidR="00177848" w:rsidRPr="00C6052E">
        <w:t xml:space="preserve"> </w:t>
      </w:r>
      <w:r w:rsidRPr="00C6052E">
        <w:t>the</w:t>
      </w:r>
      <w:r w:rsidR="00177848" w:rsidRPr="00C6052E">
        <w:t xml:space="preserve"> </w:t>
      </w:r>
      <w:r w:rsidRPr="00C6052E">
        <w:t>Victorian</w:t>
      </w:r>
      <w:r w:rsidR="00177848" w:rsidRPr="00C6052E">
        <w:t xml:space="preserve"> </w:t>
      </w:r>
      <w:r w:rsidRPr="00C6052E">
        <w:t>Public</w:t>
      </w:r>
      <w:r w:rsidR="00177848" w:rsidRPr="00C6052E">
        <w:t xml:space="preserve"> </w:t>
      </w:r>
      <w:r w:rsidRPr="00C6052E">
        <w:t>Sector</w:t>
      </w:r>
      <w:r w:rsidR="00177848" w:rsidRPr="00C6052E">
        <w:t xml:space="preserve"> </w:t>
      </w:r>
      <w:r w:rsidRPr="00C6052E">
        <w:t>Commission.</w:t>
      </w:r>
      <w:r w:rsidR="00177848" w:rsidRPr="00C6052E">
        <w:t xml:space="preserve"> </w:t>
      </w:r>
      <w:r w:rsidRPr="00C6052E">
        <w:t>Procurement</w:t>
      </w:r>
      <w:r w:rsidR="00177848" w:rsidRPr="00C6052E">
        <w:t xml:space="preserve"> </w:t>
      </w:r>
      <w:r w:rsidRPr="00C6052E">
        <w:t>processes</w:t>
      </w:r>
      <w:r w:rsidR="00177848" w:rsidRPr="00C6052E">
        <w:t xml:space="preserve"> </w:t>
      </w:r>
      <w:r w:rsidRPr="00C6052E">
        <w:t>occur</w:t>
      </w:r>
      <w:r w:rsidR="00177848" w:rsidRPr="00C6052E">
        <w:t xml:space="preserve"> </w:t>
      </w:r>
      <w:r w:rsidRPr="00C6052E">
        <w:t>on</w:t>
      </w:r>
      <w:r w:rsidR="00177848" w:rsidRPr="00C6052E">
        <w:t xml:space="preserve"> </w:t>
      </w:r>
      <w:r w:rsidRPr="00C6052E">
        <w:t>terms</w:t>
      </w:r>
      <w:r w:rsidR="00177848" w:rsidRPr="00C6052E">
        <w:t xml:space="preserve"> </w:t>
      </w:r>
      <w:r w:rsidRPr="00C6052E">
        <w:t>and</w:t>
      </w:r>
      <w:r w:rsidR="00177848" w:rsidRPr="00C6052E">
        <w:t xml:space="preserve"> </w:t>
      </w:r>
      <w:r w:rsidRPr="00C6052E">
        <w:t>conditions</w:t>
      </w:r>
      <w:r w:rsidR="00177848" w:rsidRPr="00C6052E">
        <w:t xml:space="preserve"> </w:t>
      </w:r>
      <w:r w:rsidRPr="00C6052E">
        <w:t>consistent</w:t>
      </w:r>
      <w:r w:rsidR="00177848" w:rsidRPr="00C6052E">
        <w:t xml:space="preserve"> </w:t>
      </w:r>
      <w:r w:rsidRPr="00C6052E">
        <w:t>with</w:t>
      </w:r>
      <w:r w:rsidR="00177848" w:rsidRPr="00C6052E">
        <w:t xml:space="preserve"> </w:t>
      </w:r>
      <w:r w:rsidRPr="00C6052E">
        <w:t>the</w:t>
      </w:r>
      <w:r w:rsidR="00177848" w:rsidRPr="00C6052E">
        <w:t xml:space="preserve"> </w:t>
      </w:r>
      <w:r w:rsidRPr="00C6052E">
        <w:t>Victorian</w:t>
      </w:r>
      <w:r w:rsidR="00177848" w:rsidRPr="00C6052E">
        <w:t xml:space="preserve"> </w:t>
      </w:r>
      <w:r w:rsidRPr="00C6052E">
        <w:t>Government</w:t>
      </w:r>
      <w:r w:rsidR="00177848" w:rsidRPr="00C6052E">
        <w:t xml:space="preserve"> </w:t>
      </w:r>
      <w:r w:rsidRPr="00C6052E">
        <w:t>Procurement</w:t>
      </w:r>
      <w:r w:rsidR="00177848" w:rsidRPr="00C6052E">
        <w:t xml:space="preserve"> </w:t>
      </w:r>
      <w:r w:rsidRPr="00C6052E">
        <w:t>Board</w:t>
      </w:r>
      <w:r w:rsidR="00177848" w:rsidRPr="00C6052E">
        <w:t xml:space="preserve"> </w:t>
      </w:r>
      <w:r w:rsidRPr="00C6052E">
        <w:t>requirements.</w:t>
      </w:r>
      <w:r w:rsidR="00177848" w:rsidRPr="00C6052E">
        <w:t xml:space="preserve"> </w:t>
      </w:r>
    </w:p>
    <w:p w14:paraId="43DD4CC6" w14:textId="7157B9BA" w:rsidR="00EE5BB8" w:rsidRPr="00C6052E" w:rsidRDefault="00EE5BB8" w:rsidP="00EE5BB8">
      <w:r w:rsidRPr="00C6052E">
        <w:t>Outside</w:t>
      </w:r>
      <w:r w:rsidR="00177848" w:rsidRPr="00C6052E">
        <w:t xml:space="preserve"> </w:t>
      </w:r>
      <w:r w:rsidRPr="00C6052E">
        <w:t>of</w:t>
      </w:r>
      <w:r w:rsidR="00177848" w:rsidRPr="00C6052E">
        <w:t xml:space="preserve"> </w:t>
      </w:r>
      <w:r w:rsidRPr="00C6052E">
        <w:t>normal</w:t>
      </w:r>
      <w:r w:rsidR="00177848" w:rsidRPr="00C6052E">
        <w:t xml:space="preserve"> </w:t>
      </w:r>
      <w:r w:rsidRPr="00C6052E">
        <w:t>citizen</w:t>
      </w:r>
      <w:r w:rsidR="00177848" w:rsidRPr="00C6052E">
        <w:t xml:space="preserve"> </w:t>
      </w:r>
      <w:r w:rsidRPr="00C6052E">
        <w:t>type</w:t>
      </w:r>
      <w:r w:rsidR="00177848" w:rsidRPr="00C6052E">
        <w:t xml:space="preserve"> </w:t>
      </w:r>
      <w:r w:rsidRPr="00C6052E">
        <w:t>transactions</w:t>
      </w:r>
      <w:r w:rsidR="00177848" w:rsidRPr="00C6052E">
        <w:t xml:space="preserve"> </w:t>
      </w:r>
      <w:r w:rsidRPr="00C6052E">
        <w:t>with</w:t>
      </w:r>
      <w:r w:rsidR="00177848" w:rsidRPr="00C6052E">
        <w:t xml:space="preserve"> </w:t>
      </w:r>
      <w:r w:rsidRPr="00C6052E">
        <w:t>DJSIR</w:t>
      </w:r>
      <w:r w:rsidR="00177848" w:rsidRPr="00C6052E">
        <w:t xml:space="preserve"> </w:t>
      </w:r>
      <w:r w:rsidRPr="00C6052E">
        <w:t>and</w:t>
      </w:r>
      <w:r w:rsidR="00177848" w:rsidRPr="00C6052E">
        <w:t xml:space="preserve"> </w:t>
      </w:r>
      <w:r w:rsidRPr="00C6052E">
        <w:t>the</w:t>
      </w:r>
      <w:r w:rsidR="00177848" w:rsidRPr="00C6052E">
        <w:t xml:space="preserve"> </w:t>
      </w:r>
      <w:r w:rsidRPr="00C6052E">
        <w:t>consolidated</w:t>
      </w:r>
      <w:r w:rsidR="00177848" w:rsidRPr="00C6052E">
        <w:t xml:space="preserve"> </w:t>
      </w:r>
      <w:r w:rsidRPr="00C6052E">
        <w:t>agencies</w:t>
      </w:r>
      <w:r w:rsidR="00177848" w:rsidRPr="00C6052E">
        <w:t xml:space="preserve"> </w:t>
      </w:r>
      <w:r w:rsidRPr="00C6052E">
        <w:t>(Victoria</w:t>
      </w:r>
      <w:r w:rsidR="00177848" w:rsidRPr="00C6052E">
        <w:t xml:space="preserve"> </w:t>
      </w:r>
      <w:r w:rsidRPr="00C6052E">
        <w:t>2026</w:t>
      </w:r>
      <w:r w:rsidR="00177848" w:rsidRPr="00C6052E">
        <w:t xml:space="preserve"> </w:t>
      </w:r>
      <w:r w:rsidRPr="00C6052E">
        <w:t>(until</w:t>
      </w:r>
      <w:r w:rsidR="00177848" w:rsidRPr="00C6052E">
        <w:t xml:space="preserve"> </w:t>
      </w:r>
      <w:r w:rsidRPr="00C6052E">
        <w:t>21</w:t>
      </w:r>
      <w:r w:rsidR="00177848" w:rsidRPr="00C6052E">
        <w:t xml:space="preserve"> </w:t>
      </w:r>
      <w:r w:rsidRPr="00C6052E">
        <w:t>August</w:t>
      </w:r>
      <w:r w:rsidR="00177848" w:rsidRPr="00C6052E">
        <w:t xml:space="preserve"> </w:t>
      </w:r>
      <w:r w:rsidRPr="00C6052E">
        <w:t>2024)),</w:t>
      </w:r>
      <w:r w:rsidR="00177848" w:rsidRPr="00C6052E">
        <w:t xml:space="preserve"> </w:t>
      </w:r>
      <w:r w:rsidRPr="00C6052E">
        <w:t>there</w:t>
      </w:r>
      <w:r w:rsidR="00177848" w:rsidRPr="00C6052E">
        <w:t xml:space="preserve"> </w:t>
      </w:r>
      <w:r w:rsidRPr="00C6052E">
        <w:t>were</w:t>
      </w:r>
      <w:r w:rsidR="00177848" w:rsidRPr="00C6052E">
        <w:t xml:space="preserve"> </w:t>
      </w:r>
      <w:r w:rsidRPr="00C6052E">
        <w:t>no</w:t>
      </w:r>
      <w:r w:rsidR="00177848" w:rsidRPr="00C6052E">
        <w:t xml:space="preserve"> </w:t>
      </w:r>
      <w:r w:rsidRPr="00C6052E">
        <w:t>related</w:t>
      </w:r>
      <w:r w:rsidR="00177848" w:rsidRPr="00C6052E">
        <w:t xml:space="preserve"> </w:t>
      </w:r>
      <w:r w:rsidRPr="00C6052E">
        <w:t>party</w:t>
      </w:r>
      <w:r w:rsidR="00177848" w:rsidRPr="00C6052E">
        <w:t xml:space="preserve"> </w:t>
      </w:r>
      <w:r w:rsidRPr="00C6052E">
        <w:t>transactions</w:t>
      </w:r>
      <w:r w:rsidR="00177848" w:rsidRPr="00C6052E">
        <w:t xml:space="preserve"> </w:t>
      </w:r>
      <w:r w:rsidRPr="00C6052E">
        <w:t>that</w:t>
      </w:r>
      <w:r w:rsidR="00177848" w:rsidRPr="00C6052E">
        <w:t xml:space="preserve"> </w:t>
      </w:r>
      <w:r w:rsidRPr="00C6052E">
        <w:t>involved</w:t>
      </w:r>
      <w:r w:rsidR="00177848" w:rsidRPr="00C6052E">
        <w:t xml:space="preserve"> </w:t>
      </w:r>
      <w:r w:rsidRPr="00C6052E">
        <w:t>key</w:t>
      </w:r>
      <w:r w:rsidR="00177848" w:rsidRPr="00C6052E">
        <w:t xml:space="preserve"> </w:t>
      </w:r>
      <w:r w:rsidRPr="00C6052E">
        <w:t>management</w:t>
      </w:r>
      <w:r w:rsidR="00177848" w:rsidRPr="00C6052E">
        <w:t xml:space="preserve"> </w:t>
      </w:r>
      <w:r w:rsidRPr="00C6052E">
        <w:t>personnel,</w:t>
      </w:r>
      <w:r w:rsidR="00177848" w:rsidRPr="00C6052E">
        <w:t xml:space="preserve"> </w:t>
      </w:r>
      <w:r w:rsidRPr="00C6052E">
        <w:t>their</w:t>
      </w:r>
      <w:r w:rsidR="00177848" w:rsidRPr="00C6052E">
        <w:t xml:space="preserve"> </w:t>
      </w:r>
      <w:r w:rsidRPr="00C6052E">
        <w:t>close</w:t>
      </w:r>
      <w:r w:rsidR="00177848" w:rsidRPr="00C6052E">
        <w:t xml:space="preserve"> </w:t>
      </w:r>
      <w:r w:rsidRPr="00C6052E">
        <w:t>family</w:t>
      </w:r>
      <w:r w:rsidR="00177848" w:rsidRPr="00C6052E">
        <w:t xml:space="preserve"> </w:t>
      </w:r>
      <w:r w:rsidRPr="00C6052E">
        <w:t>members</w:t>
      </w:r>
      <w:r w:rsidR="00177848" w:rsidRPr="00C6052E">
        <w:t xml:space="preserve"> </w:t>
      </w:r>
      <w:r w:rsidRPr="00C6052E">
        <w:t>and</w:t>
      </w:r>
      <w:r w:rsidR="00177848" w:rsidRPr="00C6052E">
        <w:t xml:space="preserve"> </w:t>
      </w:r>
      <w:r w:rsidRPr="00C6052E">
        <w:t>their</w:t>
      </w:r>
      <w:r w:rsidR="00177848" w:rsidRPr="00C6052E">
        <w:t xml:space="preserve"> </w:t>
      </w:r>
      <w:r w:rsidRPr="00C6052E">
        <w:t>personal</w:t>
      </w:r>
      <w:r w:rsidR="00177848" w:rsidRPr="00C6052E">
        <w:t xml:space="preserve"> </w:t>
      </w:r>
      <w:r w:rsidRPr="00C6052E">
        <w:t>business</w:t>
      </w:r>
      <w:r w:rsidR="00177848" w:rsidRPr="00C6052E">
        <w:t xml:space="preserve"> </w:t>
      </w:r>
      <w:r w:rsidRPr="00C6052E">
        <w:t>interests.</w:t>
      </w:r>
      <w:r w:rsidR="00177848" w:rsidRPr="00C6052E">
        <w:t xml:space="preserve"> </w:t>
      </w:r>
    </w:p>
    <w:p w14:paraId="1BD73182" w14:textId="3FA96564" w:rsidR="00EE5BB8" w:rsidRPr="00C6052E" w:rsidRDefault="00EE5BB8" w:rsidP="00EE5BB8">
      <w:r w:rsidRPr="00C6052E">
        <w:t>No</w:t>
      </w:r>
      <w:r w:rsidR="00177848" w:rsidRPr="00C6052E">
        <w:t xml:space="preserve"> </w:t>
      </w:r>
      <w:r w:rsidRPr="00C6052E">
        <w:t>provision</w:t>
      </w:r>
      <w:r w:rsidR="00177848" w:rsidRPr="00C6052E">
        <w:t xml:space="preserve"> </w:t>
      </w:r>
      <w:r w:rsidRPr="00C6052E">
        <w:t>has</w:t>
      </w:r>
      <w:r w:rsidR="00177848" w:rsidRPr="00C6052E">
        <w:t xml:space="preserve"> </w:t>
      </w:r>
      <w:r w:rsidRPr="00C6052E">
        <w:t>been</w:t>
      </w:r>
      <w:r w:rsidR="00177848" w:rsidRPr="00C6052E">
        <w:t xml:space="preserve"> </w:t>
      </w:r>
      <w:r w:rsidRPr="00C6052E">
        <w:t>required,</w:t>
      </w:r>
      <w:r w:rsidR="00177848" w:rsidRPr="00C6052E">
        <w:t xml:space="preserve"> </w:t>
      </w:r>
      <w:r w:rsidRPr="00C6052E">
        <w:t>nor</w:t>
      </w:r>
      <w:r w:rsidR="00177848" w:rsidRPr="00C6052E">
        <w:t xml:space="preserve"> </w:t>
      </w:r>
      <w:r w:rsidRPr="00C6052E">
        <w:t>any</w:t>
      </w:r>
      <w:r w:rsidR="00177848" w:rsidRPr="00C6052E">
        <w:t xml:space="preserve"> </w:t>
      </w:r>
      <w:r w:rsidRPr="00C6052E">
        <w:t>expense</w:t>
      </w:r>
      <w:r w:rsidR="00177848" w:rsidRPr="00C6052E">
        <w:t xml:space="preserve"> </w:t>
      </w:r>
      <w:r w:rsidRPr="00C6052E">
        <w:t>recognised,</w:t>
      </w:r>
      <w:r w:rsidR="00177848" w:rsidRPr="00C6052E">
        <w:t xml:space="preserve"> </w:t>
      </w:r>
      <w:r w:rsidRPr="00C6052E">
        <w:t>for</w:t>
      </w:r>
      <w:r w:rsidR="00177848" w:rsidRPr="00C6052E">
        <w:t xml:space="preserve"> </w:t>
      </w:r>
      <w:r w:rsidRPr="00C6052E">
        <w:t>impairment</w:t>
      </w:r>
      <w:r w:rsidR="00177848" w:rsidRPr="00C6052E">
        <w:t xml:space="preserve"> </w:t>
      </w:r>
      <w:r w:rsidRPr="00C6052E">
        <w:t>of</w:t>
      </w:r>
      <w:r w:rsidR="00177848" w:rsidRPr="00C6052E">
        <w:t xml:space="preserve"> </w:t>
      </w:r>
      <w:r w:rsidRPr="00C6052E">
        <w:t>receivables</w:t>
      </w:r>
      <w:r w:rsidR="00177848" w:rsidRPr="00C6052E">
        <w:t xml:space="preserve"> </w:t>
      </w:r>
      <w:r w:rsidRPr="00C6052E">
        <w:t>from</w:t>
      </w:r>
      <w:r w:rsidR="00177848" w:rsidRPr="00C6052E">
        <w:t xml:space="preserve"> </w:t>
      </w:r>
      <w:r w:rsidRPr="00C6052E">
        <w:t>related</w:t>
      </w:r>
      <w:r w:rsidR="00177848" w:rsidRPr="00C6052E">
        <w:t xml:space="preserve"> </w:t>
      </w:r>
      <w:r w:rsidRPr="00C6052E">
        <w:t>parties.</w:t>
      </w:r>
    </w:p>
    <w:p w14:paraId="066A5E98" w14:textId="172CBB80" w:rsidR="00EE5BB8" w:rsidRPr="00C6052E" w:rsidRDefault="00EE5BB8" w:rsidP="00C6052E">
      <w:pPr>
        <w:pStyle w:val="Heading2numbered0"/>
      </w:pPr>
      <w:bookmarkStart w:id="393" w:name="_Toc163566001"/>
      <w:bookmarkStart w:id="394" w:name="_Ref209710829"/>
      <w:r w:rsidRPr="00C6052E">
        <w:t>Remuneration</w:t>
      </w:r>
      <w:r w:rsidR="00177848" w:rsidRPr="00C6052E">
        <w:t xml:space="preserve"> </w:t>
      </w:r>
      <w:r w:rsidRPr="00C6052E">
        <w:t>of</w:t>
      </w:r>
      <w:r w:rsidR="00177848" w:rsidRPr="00C6052E">
        <w:t xml:space="preserve"> </w:t>
      </w:r>
      <w:r w:rsidRPr="00C6052E">
        <w:t>auditors</w:t>
      </w:r>
      <w:bookmarkEnd w:id="393"/>
      <w:bookmarkEnd w:id="394"/>
    </w:p>
    <w:tbl>
      <w:tblPr>
        <w:tblStyle w:val="TableGrid"/>
        <w:tblW w:w="9634" w:type="dxa"/>
        <w:tblLayout w:type="fixed"/>
        <w:tblLook w:val="04E0" w:firstRow="1" w:lastRow="1" w:firstColumn="1" w:lastColumn="0" w:noHBand="0" w:noVBand="1"/>
      </w:tblPr>
      <w:tblGrid>
        <w:gridCol w:w="6232"/>
        <w:gridCol w:w="1701"/>
        <w:gridCol w:w="1701"/>
      </w:tblGrid>
      <w:tr w:rsidR="00EE5BB8" w:rsidRPr="00C6052E" w14:paraId="7F01EF97" w14:textId="77777777" w:rsidTr="006F1C8C">
        <w:tc>
          <w:tcPr>
            <w:tcW w:w="6232" w:type="dxa"/>
            <w:noWrap/>
          </w:tcPr>
          <w:p w14:paraId="2DA404EC" w14:textId="77777777" w:rsidR="00EE5BB8" w:rsidRPr="00C6052E" w:rsidRDefault="00EE5BB8" w:rsidP="006F1C8C">
            <w:pPr>
              <w:pStyle w:val="TableColumnHeading"/>
            </w:pPr>
            <w:bookmarkStart w:id="395" w:name="TableColumnHeadings_117"/>
            <w:bookmarkEnd w:id="395"/>
          </w:p>
        </w:tc>
        <w:tc>
          <w:tcPr>
            <w:tcW w:w="1701" w:type="dxa"/>
            <w:hideMark/>
          </w:tcPr>
          <w:p w14:paraId="085D977F" w14:textId="641095DE" w:rsidR="00EE5BB8" w:rsidRPr="00C6052E" w:rsidRDefault="00EE5BB8" w:rsidP="006F1C8C">
            <w:pPr>
              <w:pStyle w:val="TableColumnHeading"/>
              <w:jc w:val="right"/>
            </w:pPr>
            <w:r w:rsidRPr="00C6052E">
              <w:t>2025</w:t>
            </w:r>
            <w:r w:rsidR="006F1C8C">
              <w:br/>
            </w:r>
            <w:r w:rsidR="006F1C8C" w:rsidRPr="00C6052E">
              <w:rPr>
                <w:lang w:val="en-AU"/>
              </w:rPr>
              <w:t>($ thousand)</w:t>
            </w:r>
          </w:p>
        </w:tc>
        <w:tc>
          <w:tcPr>
            <w:tcW w:w="1701" w:type="dxa"/>
            <w:hideMark/>
          </w:tcPr>
          <w:p w14:paraId="09899ABD" w14:textId="413188A5" w:rsidR="00EE5BB8" w:rsidRPr="00C6052E" w:rsidRDefault="00EE5BB8" w:rsidP="006F1C8C">
            <w:pPr>
              <w:pStyle w:val="TableColumnHeading"/>
              <w:jc w:val="right"/>
            </w:pPr>
            <w:r w:rsidRPr="00C6052E">
              <w:t>2024</w:t>
            </w:r>
            <w:r w:rsidR="006F1C8C">
              <w:br/>
            </w:r>
            <w:r w:rsidR="006F1C8C" w:rsidRPr="00C6052E">
              <w:rPr>
                <w:lang w:val="en-AU"/>
              </w:rPr>
              <w:t>($ thousand)</w:t>
            </w:r>
          </w:p>
        </w:tc>
      </w:tr>
      <w:tr w:rsidR="006F1C8C" w:rsidRPr="00C6052E" w14:paraId="17B0060C" w14:textId="77777777" w:rsidTr="006F1C8C">
        <w:tc>
          <w:tcPr>
            <w:tcW w:w="6232" w:type="dxa"/>
          </w:tcPr>
          <w:p w14:paraId="62A6A4F6" w14:textId="6C925D74" w:rsidR="006F1C8C" w:rsidRPr="00C6052E" w:rsidRDefault="006F1C8C" w:rsidP="006F1C8C">
            <w:pPr>
              <w:pStyle w:val="TableHeading"/>
            </w:pPr>
            <w:r w:rsidRPr="00C6052E">
              <w:t>Victorian Auditor–General’s Office</w:t>
            </w:r>
          </w:p>
        </w:tc>
        <w:tc>
          <w:tcPr>
            <w:tcW w:w="1701" w:type="dxa"/>
            <w:noWrap/>
          </w:tcPr>
          <w:p w14:paraId="2E1362CF" w14:textId="77777777" w:rsidR="006F1C8C" w:rsidRPr="00C6052E" w:rsidRDefault="006F1C8C" w:rsidP="006F1C8C">
            <w:pPr>
              <w:pStyle w:val="TableHeading"/>
              <w:jc w:val="right"/>
            </w:pPr>
          </w:p>
        </w:tc>
        <w:tc>
          <w:tcPr>
            <w:tcW w:w="1701" w:type="dxa"/>
            <w:noWrap/>
          </w:tcPr>
          <w:p w14:paraId="38C27930" w14:textId="77777777" w:rsidR="006F1C8C" w:rsidRPr="00C6052E" w:rsidRDefault="006F1C8C" w:rsidP="006F1C8C">
            <w:pPr>
              <w:pStyle w:val="TableHeading"/>
              <w:jc w:val="right"/>
            </w:pPr>
          </w:p>
        </w:tc>
      </w:tr>
      <w:tr w:rsidR="00EE5BB8" w:rsidRPr="00C6052E" w14:paraId="2B92220F" w14:textId="77777777" w:rsidTr="006F1C8C">
        <w:tc>
          <w:tcPr>
            <w:tcW w:w="6232" w:type="dxa"/>
            <w:hideMark/>
          </w:tcPr>
          <w:p w14:paraId="0BEFB52C" w14:textId="002E184A" w:rsidR="00EE5BB8" w:rsidRPr="00C6052E" w:rsidRDefault="00EE5BB8" w:rsidP="0063097D">
            <w:pPr>
              <w:pStyle w:val="TableCopy"/>
            </w:pPr>
            <w:r w:rsidRPr="00C6052E">
              <w:t>Audit</w:t>
            </w:r>
            <w:r w:rsidR="00177848" w:rsidRPr="00C6052E">
              <w:t xml:space="preserve"> </w:t>
            </w:r>
            <w:r w:rsidRPr="00C6052E">
              <w:t>of</w:t>
            </w:r>
            <w:r w:rsidR="00177848" w:rsidRPr="00C6052E">
              <w:t xml:space="preserve"> </w:t>
            </w:r>
            <w:r w:rsidRPr="00C6052E">
              <w:t>the</w:t>
            </w:r>
            <w:r w:rsidR="00177848" w:rsidRPr="00C6052E">
              <w:t xml:space="preserve"> </w:t>
            </w:r>
            <w:r w:rsidRPr="00C6052E">
              <w:t>financial</w:t>
            </w:r>
            <w:r w:rsidR="00177848" w:rsidRPr="00C6052E">
              <w:t xml:space="preserve"> </w:t>
            </w:r>
            <w:r w:rsidRPr="00C6052E">
              <w:t>statements</w:t>
            </w:r>
            <w:r w:rsidRPr="00C6052E">
              <w:rPr>
                <w:vertAlign w:val="superscript"/>
              </w:rPr>
              <w:t>(i)</w:t>
            </w:r>
          </w:p>
        </w:tc>
        <w:tc>
          <w:tcPr>
            <w:tcW w:w="1701" w:type="dxa"/>
            <w:noWrap/>
            <w:hideMark/>
          </w:tcPr>
          <w:p w14:paraId="06061036" w14:textId="77777777" w:rsidR="00EE5BB8" w:rsidRPr="00C6052E" w:rsidRDefault="00EE5BB8" w:rsidP="006F1C8C">
            <w:pPr>
              <w:pStyle w:val="TableCopy"/>
              <w:jc w:val="right"/>
            </w:pPr>
            <w:r w:rsidRPr="00C6052E">
              <w:t>485</w:t>
            </w:r>
          </w:p>
        </w:tc>
        <w:tc>
          <w:tcPr>
            <w:tcW w:w="1701" w:type="dxa"/>
            <w:noWrap/>
            <w:hideMark/>
          </w:tcPr>
          <w:p w14:paraId="31A89613" w14:textId="77777777" w:rsidR="00EE5BB8" w:rsidRPr="00C6052E" w:rsidRDefault="00EE5BB8" w:rsidP="006F1C8C">
            <w:pPr>
              <w:pStyle w:val="TableCopy"/>
              <w:jc w:val="right"/>
            </w:pPr>
            <w:r w:rsidRPr="00C6052E">
              <w:t>455</w:t>
            </w:r>
          </w:p>
        </w:tc>
      </w:tr>
      <w:tr w:rsidR="00EE5BB8" w:rsidRPr="00C6052E" w14:paraId="37E5A77E" w14:textId="77777777" w:rsidTr="006F1C8C">
        <w:tc>
          <w:tcPr>
            <w:tcW w:w="6232" w:type="dxa"/>
            <w:hideMark/>
          </w:tcPr>
          <w:p w14:paraId="2031540C" w14:textId="77777777" w:rsidR="00EE5BB8" w:rsidRPr="00C6052E" w:rsidRDefault="00EE5BB8" w:rsidP="0063097D">
            <w:pPr>
              <w:pStyle w:val="Tabletotal"/>
            </w:pPr>
            <w:r w:rsidRPr="00C6052E">
              <w:t>Total</w:t>
            </w:r>
          </w:p>
        </w:tc>
        <w:tc>
          <w:tcPr>
            <w:tcW w:w="1701" w:type="dxa"/>
            <w:noWrap/>
            <w:hideMark/>
          </w:tcPr>
          <w:p w14:paraId="1F72057C" w14:textId="77777777" w:rsidR="00EE5BB8" w:rsidRPr="00C6052E" w:rsidRDefault="00EE5BB8" w:rsidP="006F1C8C">
            <w:pPr>
              <w:pStyle w:val="Tabletotal"/>
              <w:jc w:val="right"/>
            </w:pPr>
            <w:r w:rsidRPr="00C6052E">
              <w:t>485</w:t>
            </w:r>
          </w:p>
        </w:tc>
        <w:tc>
          <w:tcPr>
            <w:tcW w:w="1701" w:type="dxa"/>
            <w:noWrap/>
            <w:hideMark/>
          </w:tcPr>
          <w:p w14:paraId="74493791" w14:textId="77777777" w:rsidR="00EE5BB8" w:rsidRPr="00C6052E" w:rsidRDefault="00EE5BB8" w:rsidP="006F1C8C">
            <w:pPr>
              <w:pStyle w:val="Tabletotal"/>
              <w:jc w:val="right"/>
            </w:pPr>
            <w:r w:rsidRPr="00C6052E">
              <w:t>455</w:t>
            </w:r>
          </w:p>
        </w:tc>
      </w:tr>
    </w:tbl>
    <w:p w14:paraId="00576352" w14:textId="3E20FEAC" w:rsidR="00EE5BB8" w:rsidRPr="00C6052E" w:rsidRDefault="00EE5BB8" w:rsidP="006F1C8C">
      <w:pPr>
        <w:pStyle w:val="Tablenotes-numbered"/>
        <w:numPr>
          <w:ilvl w:val="0"/>
          <w:numId w:val="42"/>
        </w:numPr>
        <w:spacing w:after="240"/>
      </w:pPr>
      <w:r w:rsidRPr="00C6052E">
        <w:t>The</w:t>
      </w:r>
      <w:r w:rsidR="00177848" w:rsidRPr="00C6052E">
        <w:t xml:space="preserve"> </w:t>
      </w:r>
      <w:r w:rsidRPr="00C6052E">
        <w:t>Victorian</w:t>
      </w:r>
      <w:r w:rsidR="00177848" w:rsidRPr="00C6052E">
        <w:t xml:space="preserve"> </w:t>
      </w:r>
      <w:r w:rsidRPr="00C6052E">
        <w:t>Auditor–General’s</w:t>
      </w:r>
      <w:r w:rsidR="00177848" w:rsidRPr="00C6052E">
        <w:t xml:space="preserve"> </w:t>
      </w:r>
      <w:r w:rsidRPr="00C6052E">
        <w:t>Office</w:t>
      </w:r>
      <w:r w:rsidR="00177848" w:rsidRPr="00C6052E">
        <w:t xml:space="preserve"> </w:t>
      </w:r>
      <w:r w:rsidRPr="00C6052E">
        <w:t>is</w:t>
      </w:r>
      <w:r w:rsidR="00177848" w:rsidRPr="00C6052E">
        <w:t xml:space="preserve"> </w:t>
      </w:r>
      <w:r w:rsidRPr="00C6052E">
        <w:t>prohibited</w:t>
      </w:r>
      <w:r w:rsidR="00177848" w:rsidRPr="00C6052E">
        <w:t xml:space="preserve"> </w:t>
      </w:r>
      <w:r w:rsidRPr="00C6052E">
        <w:t>from</w:t>
      </w:r>
      <w:r w:rsidR="00177848" w:rsidRPr="00C6052E">
        <w:t xml:space="preserve"> </w:t>
      </w:r>
      <w:r w:rsidRPr="00C6052E">
        <w:t>providing</w:t>
      </w:r>
      <w:r w:rsidR="00177848" w:rsidRPr="00C6052E">
        <w:t xml:space="preserve"> </w:t>
      </w:r>
      <w:r w:rsidRPr="00C6052E">
        <w:t>non–audit</w:t>
      </w:r>
      <w:r w:rsidR="00177848" w:rsidRPr="00C6052E">
        <w:t xml:space="preserve"> </w:t>
      </w:r>
      <w:r w:rsidRPr="00C6052E">
        <w:t>services.</w:t>
      </w:r>
    </w:p>
    <w:p w14:paraId="7E562A21" w14:textId="57BC61EE" w:rsidR="00EE5BB8" w:rsidRPr="00C6052E" w:rsidRDefault="00EE5BB8" w:rsidP="006F1C8C">
      <w:pPr>
        <w:pStyle w:val="Heading2numbered0"/>
      </w:pPr>
      <w:bookmarkStart w:id="396" w:name="_Ref209710854"/>
      <w:bookmarkStart w:id="397" w:name="_Ref209710861"/>
      <w:bookmarkStart w:id="398" w:name="_Toc163566003"/>
      <w:r w:rsidRPr="00C6052E">
        <w:t>Subsequent</w:t>
      </w:r>
      <w:r w:rsidR="00177848" w:rsidRPr="00C6052E">
        <w:t xml:space="preserve"> </w:t>
      </w:r>
      <w:r w:rsidRPr="006F1C8C">
        <w:t>events</w:t>
      </w:r>
      <w:bookmarkEnd w:id="396"/>
      <w:bookmarkEnd w:id="397"/>
    </w:p>
    <w:p w14:paraId="4A9B22CF" w14:textId="71B2B399" w:rsidR="00EE5BB8" w:rsidRPr="00C6052E" w:rsidRDefault="00EE5BB8" w:rsidP="00EE5BB8">
      <w:r w:rsidRPr="00C6052E">
        <w:t>On</w:t>
      </w:r>
      <w:r w:rsidR="00177848" w:rsidRPr="00C6052E">
        <w:t xml:space="preserve"> </w:t>
      </w:r>
      <w:r w:rsidRPr="00C6052E">
        <w:t>31</w:t>
      </w:r>
      <w:r w:rsidR="00177848" w:rsidRPr="00C6052E">
        <w:t xml:space="preserve"> </w:t>
      </w:r>
      <w:r w:rsidRPr="00C6052E">
        <w:t>July</w:t>
      </w:r>
      <w:r w:rsidR="00177848" w:rsidRPr="00C6052E">
        <w:t xml:space="preserve"> </w:t>
      </w:r>
      <w:r w:rsidRPr="00C6052E">
        <w:t>2025,</w:t>
      </w:r>
      <w:r w:rsidR="00177848" w:rsidRPr="00C6052E">
        <w:t xml:space="preserve"> </w:t>
      </w:r>
      <w:r w:rsidRPr="00C6052E">
        <w:t>the</w:t>
      </w:r>
      <w:r w:rsidR="00177848" w:rsidRPr="00C6052E">
        <w:t xml:space="preserve"> </w:t>
      </w:r>
      <w:r w:rsidRPr="00C6052E">
        <w:t>department</w:t>
      </w:r>
      <w:r w:rsidR="00177848" w:rsidRPr="00C6052E">
        <w:t xml:space="preserve"> </w:t>
      </w:r>
      <w:r w:rsidRPr="00C6052E">
        <w:t>commenced</w:t>
      </w:r>
      <w:r w:rsidR="00177848" w:rsidRPr="00C6052E">
        <w:t xml:space="preserve"> </w:t>
      </w:r>
      <w:r w:rsidRPr="00C6052E">
        <w:rPr>
          <w:spacing w:val="-2"/>
        </w:rPr>
        <w:t>a</w:t>
      </w:r>
      <w:r w:rsidR="00177848" w:rsidRPr="00C6052E">
        <w:rPr>
          <w:spacing w:val="-2"/>
        </w:rPr>
        <w:t xml:space="preserve"> </w:t>
      </w:r>
      <w:r w:rsidRPr="00C6052E">
        <w:rPr>
          <w:spacing w:val="-2"/>
        </w:rPr>
        <w:t>consultation</w:t>
      </w:r>
      <w:r w:rsidR="00177848" w:rsidRPr="00C6052E">
        <w:rPr>
          <w:spacing w:val="-2"/>
        </w:rPr>
        <w:t xml:space="preserve"> </w:t>
      </w:r>
      <w:r w:rsidRPr="00C6052E">
        <w:rPr>
          <w:spacing w:val="-2"/>
        </w:rPr>
        <w:t>process</w:t>
      </w:r>
      <w:r w:rsidR="00177848" w:rsidRPr="00C6052E">
        <w:rPr>
          <w:spacing w:val="-2"/>
        </w:rPr>
        <w:t xml:space="preserve"> </w:t>
      </w:r>
      <w:r w:rsidRPr="00C6052E">
        <w:rPr>
          <w:spacing w:val="-2"/>
        </w:rPr>
        <w:t>on</w:t>
      </w:r>
      <w:r w:rsidR="00177848" w:rsidRPr="00C6052E">
        <w:rPr>
          <w:spacing w:val="-2"/>
        </w:rPr>
        <w:t xml:space="preserve"> </w:t>
      </w:r>
      <w:r w:rsidRPr="00C6052E">
        <w:rPr>
          <w:spacing w:val="-2"/>
        </w:rPr>
        <w:t>proposed</w:t>
      </w:r>
      <w:r w:rsidR="00177848" w:rsidRPr="00C6052E">
        <w:rPr>
          <w:spacing w:val="-2"/>
        </w:rPr>
        <w:t xml:space="preserve"> </w:t>
      </w:r>
      <w:r w:rsidRPr="00C6052E">
        <w:rPr>
          <w:spacing w:val="-2"/>
        </w:rPr>
        <w:t>workforce</w:t>
      </w:r>
      <w:r w:rsidR="00177848" w:rsidRPr="00C6052E">
        <w:rPr>
          <w:spacing w:val="-2"/>
        </w:rPr>
        <w:t xml:space="preserve"> </w:t>
      </w:r>
      <w:r w:rsidRPr="00C6052E">
        <w:rPr>
          <w:spacing w:val="-2"/>
        </w:rPr>
        <w:t>changes</w:t>
      </w:r>
      <w:r w:rsidR="00177848" w:rsidRPr="00C6052E">
        <w:t xml:space="preserve"> </w:t>
      </w:r>
      <w:r w:rsidRPr="00C6052E">
        <w:t>in</w:t>
      </w:r>
      <w:r w:rsidR="00177848" w:rsidRPr="00C6052E">
        <w:t xml:space="preserve"> </w:t>
      </w:r>
      <w:r w:rsidRPr="00C6052E">
        <w:t>accordance</w:t>
      </w:r>
      <w:r w:rsidR="00177848" w:rsidRPr="00C6052E">
        <w:t xml:space="preserve"> </w:t>
      </w:r>
      <w:r w:rsidRPr="00C6052E">
        <w:t>with</w:t>
      </w:r>
      <w:r w:rsidR="00177848" w:rsidRPr="00C6052E">
        <w:t xml:space="preserve"> </w:t>
      </w:r>
      <w:r w:rsidRPr="00C6052E">
        <w:t>Clause</w:t>
      </w:r>
      <w:r w:rsidR="00177848" w:rsidRPr="00C6052E">
        <w:t xml:space="preserve"> </w:t>
      </w:r>
      <w:r w:rsidRPr="00C6052E">
        <w:t>11</w:t>
      </w:r>
      <w:r w:rsidR="00177848" w:rsidRPr="00C6052E">
        <w:t xml:space="preserve"> </w:t>
      </w:r>
      <w:r w:rsidRPr="00C6052E">
        <w:t>of</w:t>
      </w:r>
      <w:r w:rsidR="00177848" w:rsidRPr="00C6052E">
        <w:t xml:space="preserve"> </w:t>
      </w:r>
      <w:r w:rsidRPr="00C6052E">
        <w:t>the</w:t>
      </w:r>
      <w:r w:rsidR="00177848" w:rsidRPr="00C6052E">
        <w:t xml:space="preserve"> </w:t>
      </w:r>
      <w:r w:rsidRPr="00C6052E">
        <w:t>VPS</w:t>
      </w:r>
      <w:r w:rsidR="00177848" w:rsidRPr="00C6052E">
        <w:t xml:space="preserve"> </w:t>
      </w:r>
      <w:r w:rsidRPr="00C6052E">
        <w:t>Agreement.</w:t>
      </w:r>
      <w:r w:rsidR="00177848" w:rsidRPr="00C6052E">
        <w:t xml:space="preserve"> </w:t>
      </w:r>
      <w:r w:rsidRPr="00C6052E">
        <w:t>The</w:t>
      </w:r>
      <w:r w:rsidR="00177848" w:rsidRPr="00C6052E">
        <w:t xml:space="preserve"> </w:t>
      </w:r>
      <w:r w:rsidRPr="00C6052E">
        <w:t>changes</w:t>
      </w:r>
      <w:r w:rsidR="00177848" w:rsidRPr="00C6052E">
        <w:t xml:space="preserve"> </w:t>
      </w:r>
      <w:r w:rsidRPr="00C6052E">
        <w:t>have</w:t>
      </w:r>
      <w:r w:rsidR="00177848" w:rsidRPr="00C6052E">
        <w:t xml:space="preserve"> </w:t>
      </w:r>
      <w:r w:rsidRPr="00C6052E">
        <w:t>been</w:t>
      </w:r>
      <w:r w:rsidR="00177848" w:rsidRPr="00C6052E">
        <w:t xml:space="preserve"> </w:t>
      </w:r>
      <w:r w:rsidRPr="00C6052E">
        <w:t>proposed</w:t>
      </w:r>
      <w:r w:rsidR="00177848" w:rsidRPr="00C6052E">
        <w:t xml:space="preserve"> </w:t>
      </w:r>
      <w:r w:rsidRPr="00C6052E">
        <w:t>so</w:t>
      </w:r>
      <w:r w:rsidR="00177848" w:rsidRPr="00C6052E">
        <w:t xml:space="preserve"> </w:t>
      </w:r>
      <w:r w:rsidRPr="00C6052E">
        <w:t>the</w:t>
      </w:r>
      <w:r w:rsidR="00177848" w:rsidRPr="00C6052E">
        <w:t xml:space="preserve"> </w:t>
      </w:r>
      <w:r w:rsidRPr="00C6052E">
        <w:t>department</w:t>
      </w:r>
      <w:r w:rsidR="00177848" w:rsidRPr="00C6052E">
        <w:t xml:space="preserve"> </w:t>
      </w:r>
      <w:r w:rsidRPr="00C6052E">
        <w:rPr>
          <w:spacing w:val="-2"/>
        </w:rPr>
        <w:t>can</w:t>
      </w:r>
      <w:r w:rsidR="00177848" w:rsidRPr="00C6052E">
        <w:rPr>
          <w:spacing w:val="-2"/>
        </w:rPr>
        <w:t xml:space="preserve"> </w:t>
      </w:r>
      <w:r w:rsidRPr="00C6052E">
        <w:rPr>
          <w:spacing w:val="-2"/>
        </w:rPr>
        <w:t>continue</w:t>
      </w:r>
      <w:r w:rsidR="00177848" w:rsidRPr="00C6052E">
        <w:rPr>
          <w:spacing w:val="-2"/>
        </w:rPr>
        <w:t xml:space="preserve"> </w:t>
      </w:r>
      <w:r w:rsidRPr="00C6052E">
        <w:rPr>
          <w:spacing w:val="-2"/>
        </w:rPr>
        <w:t>to</w:t>
      </w:r>
      <w:r w:rsidR="00177848" w:rsidRPr="00C6052E">
        <w:rPr>
          <w:spacing w:val="-2"/>
        </w:rPr>
        <w:t xml:space="preserve"> </w:t>
      </w:r>
      <w:r w:rsidRPr="00C6052E">
        <w:rPr>
          <w:spacing w:val="-2"/>
        </w:rPr>
        <w:t>be</w:t>
      </w:r>
      <w:r w:rsidR="00177848" w:rsidRPr="00C6052E">
        <w:rPr>
          <w:spacing w:val="-2"/>
        </w:rPr>
        <w:t xml:space="preserve"> </w:t>
      </w:r>
      <w:r w:rsidRPr="00C6052E">
        <w:rPr>
          <w:spacing w:val="-2"/>
        </w:rPr>
        <w:t>as</w:t>
      </w:r>
      <w:r w:rsidR="00177848" w:rsidRPr="00C6052E">
        <w:rPr>
          <w:spacing w:val="-2"/>
        </w:rPr>
        <w:t xml:space="preserve"> </w:t>
      </w:r>
      <w:r w:rsidRPr="00C6052E">
        <w:rPr>
          <w:spacing w:val="-2"/>
        </w:rPr>
        <w:t>efficient</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effective</w:t>
      </w:r>
      <w:r w:rsidR="00177848" w:rsidRPr="00C6052E">
        <w:rPr>
          <w:spacing w:val="-2"/>
        </w:rPr>
        <w:t xml:space="preserve"> </w:t>
      </w:r>
      <w:r w:rsidRPr="00C6052E">
        <w:rPr>
          <w:spacing w:val="-2"/>
        </w:rPr>
        <w:t>as</w:t>
      </w:r>
      <w:r w:rsidR="00177848" w:rsidRPr="00C6052E">
        <w:rPr>
          <w:spacing w:val="-2"/>
        </w:rPr>
        <w:t xml:space="preserve"> </w:t>
      </w:r>
      <w:r w:rsidRPr="00C6052E">
        <w:rPr>
          <w:spacing w:val="-2"/>
        </w:rPr>
        <w:t>possible</w:t>
      </w:r>
      <w:r w:rsidR="00177848" w:rsidRPr="00C6052E">
        <w:t xml:space="preserve"> </w:t>
      </w:r>
      <w:r w:rsidRPr="00C6052E">
        <w:t>while</w:t>
      </w:r>
      <w:r w:rsidR="00177848" w:rsidRPr="00C6052E">
        <w:t xml:space="preserve"> </w:t>
      </w:r>
      <w:r w:rsidRPr="00C6052E">
        <w:t>achieving</w:t>
      </w:r>
      <w:r w:rsidR="00177848" w:rsidRPr="00C6052E">
        <w:t xml:space="preserve"> </w:t>
      </w:r>
      <w:r w:rsidRPr="00C6052E">
        <w:t>savings</w:t>
      </w:r>
      <w:r w:rsidR="00177848" w:rsidRPr="00C6052E">
        <w:t xml:space="preserve"> </w:t>
      </w:r>
      <w:r w:rsidRPr="00C6052E">
        <w:t>outlined</w:t>
      </w:r>
      <w:r w:rsidR="00177848" w:rsidRPr="00C6052E">
        <w:t xml:space="preserve"> </w:t>
      </w:r>
      <w:r w:rsidRPr="00C6052E">
        <w:t>in</w:t>
      </w:r>
      <w:r w:rsidR="00177848" w:rsidRPr="00C6052E">
        <w:t xml:space="preserve"> </w:t>
      </w:r>
      <w:r w:rsidRPr="00C6052E">
        <w:t>the</w:t>
      </w:r>
      <w:r w:rsidR="00177848" w:rsidRPr="00C6052E">
        <w:t xml:space="preserve"> </w:t>
      </w:r>
      <w:r w:rsidRPr="00C6052E">
        <w:t>2025–26</w:t>
      </w:r>
      <w:r w:rsidR="00177848" w:rsidRPr="00C6052E">
        <w:t xml:space="preserve"> </w:t>
      </w:r>
      <w:r w:rsidRPr="00C6052E">
        <w:t>State</w:t>
      </w:r>
      <w:r w:rsidR="00177848" w:rsidRPr="00C6052E">
        <w:t xml:space="preserve"> </w:t>
      </w:r>
      <w:r w:rsidRPr="00C6052E">
        <w:t>Budget.</w:t>
      </w:r>
      <w:r w:rsidR="00177848" w:rsidRPr="00C6052E">
        <w:t xml:space="preserve"> </w:t>
      </w:r>
      <w:r w:rsidRPr="00C6052E">
        <w:t>A</w:t>
      </w:r>
      <w:r w:rsidR="00177848" w:rsidRPr="00C6052E">
        <w:t xml:space="preserve"> </w:t>
      </w:r>
      <w:r w:rsidRPr="00C6052E">
        <w:t>final</w:t>
      </w:r>
      <w:r w:rsidR="00177848" w:rsidRPr="00C6052E">
        <w:t xml:space="preserve"> </w:t>
      </w:r>
      <w:r w:rsidRPr="00C6052E">
        <w:t>structure</w:t>
      </w:r>
      <w:r w:rsidR="00177848" w:rsidRPr="00C6052E">
        <w:t xml:space="preserve"> </w:t>
      </w:r>
      <w:r w:rsidRPr="00C6052E">
        <w:t>is</w:t>
      </w:r>
      <w:r w:rsidR="00177848" w:rsidRPr="00C6052E">
        <w:t xml:space="preserve"> </w:t>
      </w:r>
      <w:r w:rsidRPr="00C6052E">
        <w:t>expected</w:t>
      </w:r>
      <w:r w:rsidR="00177848" w:rsidRPr="00C6052E">
        <w:t xml:space="preserve"> </w:t>
      </w:r>
      <w:r w:rsidRPr="00C6052E">
        <w:t>to</w:t>
      </w:r>
      <w:r w:rsidR="00177848" w:rsidRPr="00C6052E">
        <w:t xml:space="preserve"> </w:t>
      </w:r>
      <w:r w:rsidRPr="00C6052E">
        <w:t>be</w:t>
      </w:r>
      <w:r w:rsidR="00177848" w:rsidRPr="00C6052E">
        <w:t xml:space="preserve"> </w:t>
      </w:r>
      <w:r w:rsidRPr="00C6052E">
        <w:t>announced</w:t>
      </w:r>
      <w:r w:rsidR="00177848" w:rsidRPr="00C6052E">
        <w:t xml:space="preserve"> </w:t>
      </w:r>
      <w:r w:rsidRPr="00C6052E">
        <w:t>the</w:t>
      </w:r>
      <w:r w:rsidR="00177848" w:rsidRPr="00C6052E">
        <w:t xml:space="preserve"> </w:t>
      </w:r>
      <w:r w:rsidRPr="00C6052E">
        <w:t>second</w:t>
      </w:r>
      <w:r w:rsidR="00177848" w:rsidRPr="00C6052E">
        <w:t xml:space="preserve"> </w:t>
      </w:r>
      <w:r w:rsidRPr="00C6052E">
        <w:t>quarter</w:t>
      </w:r>
      <w:r w:rsidR="00177848" w:rsidRPr="00C6052E">
        <w:t xml:space="preserve"> </w:t>
      </w:r>
      <w:r w:rsidRPr="00C6052E">
        <w:t>of</w:t>
      </w:r>
      <w:r w:rsidR="00177848" w:rsidRPr="00C6052E">
        <w:t xml:space="preserve"> </w:t>
      </w:r>
      <w:r w:rsidRPr="00C6052E">
        <w:t>the</w:t>
      </w:r>
      <w:r w:rsidR="00177848" w:rsidRPr="00C6052E">
        <w:t xml:space="preserve"> </w:t>
      </w:r>
      <w:r w:rsidRPr="00C6052E">
        <w:t>2025–26</w:t>
      </w:r>
      <w:r w:rsidR="00177848" w:rsidRPr="00C6052E">
        <w:t xml:space="preserve"> </w:t>
      </w:r>
      <w:r w:rsidRPr="00C6052E">
        <w:t>financial</w:t>
      </w:r>
      <w:r w:rsidR="00177848" w:rsidRPr="00C6052E">
        <w:t xml:space="preserve"> </w:t>
      </w:r>
      <w:r w:rsidRPr="00C6052E">
        <w:t>year.</w:t>
      </w:r>
    </w:p>
    <w:p w14:paraId="3C932B8D" w14:textId="4CF332C4" w:rsidR="00EE5BB8" w:rsidRPr="00C6052E" w:rsidRDefault="00EE5BB8" w:rsidP="00EE5BB8">
      <w:r w:rsidRPr="00C6052E">
        <w:t>This</w:t>
      </w:r>
      <w:r w:rsidR="00177848" w:rsidRPr="00C6052E">
        <w:t xml:space="preserve"> </w:t>
      </w:r>
      <w:r w:rsidRPr="00C6052E">
        <w:t>event</w:t>
      </w:r>
      <w:r w:rsidR="00177848" w:rsidRPr="00C6052E">
        <w:t xml:space="preserve"> </w:t>
      </w:r>
      <w:r w:rsidRPr="00C6052E">
        <w:t>does</w:t>
      </w:r>
      <w:r w:rsidR="00177848" w:rsidRPr="00C6052E">
        <w:t xml:space="preserve"> </w:t>
      </w:r>
      <w:r w:rsidRPr="00C6052E">
        <w:t>not</w:t>
      </w:r>
      <w:r w:rsidR="00177848" w:rsidRPr="00C6052E">
        <w:t xml:space="preserve"> </w:t>
      </w:r>
      <w:r w:rsidRPr="00C6052E">
        <w:t>affect</w:t>
      </w:r>
      <w:r w:rsidR="00177848" w:rsidRPr="00C6052E">
        <w:t xml:space="preserve"> </w:t>
      </w:r>
      <w:r w:rsidRPr="00C6052E">
        <w:t>the</w:t>
      </w:r>
      <w:r w:rsidR="00177848" w:rsidRPr="00C6052E">
        <w:t xml:space="preserve"> </w:t>
      </w:r>
      <w:r w:rsidRPr="00C6052E">
        <w:t>department’s</w:t>
      </w:r>
      <w:r w:rsidR="00177848" w:rsidRPr="00C6052E">
        <w:t xml:space="preserve"> </w:t>
      </w:r>
      <w:r w:rsidRPr="00C6052E">
        <w:t>financial</w:t>
      </w:r>
      <w:r w:rsidR="00177848" w:rsidRPr="00C6052E">
        <w:t xml:space="preserve"> </w:t>
      </w:r>
      <w:r w:rsidRPr="00C6052E">
        <w:t>position</w:t>
      </w:r>
      <w:r w:rsidR="00177848" w:rsidRPr="00C6052E">
        <w:t xml:space="preserve"> </w:t>
      </w:r>
      <w:r w:rsidRPr="00C6052E">
        <w:t>as</w:t>
      </w:r>
      <w:r w:rsidR="00177848" w:rsidRPr="00C6052E">
        <w:t xml:space="preserve"> </w:t>
      </w:r>
      <w:r w:rsidRPr="00C6052E">
        <w:t>at</w:t>
      </w:r>
      <w:r w:rsidR="00177848" w:rsidRPr="00C6052E">
        <w:t xml:space="preserve"> </w:t>
      </w:r>
      <w:r w:rsidRPr="00C6052E">
        <w:t>30</w:t>
      </w:r>
      <w:r w:rsidR="00177848" w:rsidRPr="00C6052E">
        <w:t xml:space="preserve"> </w:t>
      </w:r>
      <w:r w:rsidRPr="00C6052E">
        <w:t>June</w:t>
      </w:r>
      <w:r w:rsidR="00177848" w:rsidRPr="00C6052E">
        <w:t xml:space="preserve"> </w:t>
      </w:r>
      <w:r w:rsidRPr="00C6052E">
        <w:t>2025</w:t>
      </w:r>
      <w:r w:rsidR="00177848" w:rsidRPr="00C6052E">
        <w:t xml:space="preserve"> </w:t>
      </w:r>
      <w:r w:rsidRPr="00C6052E">
        <w:t>and</w:t>
      </w:r>
      <w:r w:rsidR="00177848" w:rsidRPr="00C6052E">
        <w:t xml:space="preserve"> </w:t>
      </w:r>
      <w:r w:rsidRPr="00C6052E">
        <w:t>does</w:t>
      </w:r>
      <w:r w:rsidR="00177848" w:rsidRPr="00C6052E">
        <w:t xml:space="preserve"> </w:t>
      </w:r>
      <w:r w:rsidRPr="00C6052E">
        <w:t>not</w:t>
      </w:r>
      <w:r w:rsidR="00177848" w:rsidRPr="00C6052E">
        <w:t xml:space="preserve"> </w:t>
      </w:r>
      <w:r w:rsidRPr="00C6052E">
        <w:t>have</w:t>
      </w:r>
      <w:r w:rsidR="00177848" w:rsidRPr="00C6052E">
        <w:t xml:space="preserve"> </w:t>
      </w:r>
      <w:r w:rsidRPr="00C6052E">
        <w:t>a</w:t>
      </w:r>
      <w:r w:rsidR="00177848" w:rsidRPr="00C6052E">
        <w:t xml:space="preserve"> </w:t>
      </w:r>
      <w:r w:rsidRPr="00C6052E">
        <w:t>material</w:t>
      </w:r>
      <w:r w:rsidR="00177848" w:rsidRPr="00C6052E">
        <w:t xml:space="preserve"> </w:t>
      </w:r>
      <w:r w:rsidRPr="00C6052E">
        <w:t>impact</w:t>
      </w:r>
      <w:r w:rsidR="00177848" w:rsidRPr="00C6052E">
        <w:t xml:space="preserve"> </w:t>
      </w:r>
      <w:r w:rsidRPr="00C6052E">
        <w:t>on</w:t>
      </w:r>
      <w:r w:rsidR="00177848" w:rsidRPr="00C6052E">
        <w:t xml:space="preserve"> </w:t>
      </w:r>
      <w:r w:rsidRPr="00C6052E">
        <w:t>future</w:t>
      </w:r>
      <w:r w:rsidR="00177848" w:rsidRPr="00C6052E">
        <w:t xml:space="preserve"> </w:t>
      </w:r>
      <w:r w:rsidRPr="00C6052E">
        <w:t>operations,</w:t>
      </w:r>
      <w:r w:rsidR="00177848" w:rsidRPr="00C6052E">
        <w:t xml:space="preserve"> </w:t>
      </w:r>
      <w:r w:rsidRPr="00C6052E">
        <w:t>budgeting,</w:t>
      </w:r>
      <w:r w:rsidR="00177848" w:rsidRPr="00C6052E">
        <w:t xml:space="preserve"> </w:t>
      </w:r>
      <w:r w:rsidRPr="00C6052E">
        <w:t>and</w:t>
      </w:r>
      <w:r w:rsidR="00177848" w:rsidRPr="00C6052E">
        <w:t xml:space="preserve"> </w:t>
      </w:r>
      <w:r w:rsidRPr="00C6052E">
        <w:t>reporting</w:t>
      </w:r>
      <w:r w:rsidR="00177848" w:rsidRPr="00C6052E">
        <w:t xml:space="preserve"> </w:t>
      </w:r>
      <w:r w:rsidRPr="00C6052E">
        <w:t>structures.</w:t>
      </w:r>
      <w:r w:rsidR="00177848" w:rsidRPr="00C6052E">
        <w:t xml:space="preserve"> </w:t>
      </w:r>
      <w:r w:rsidRPr="00C6052E">
        <w:t>Management</w:t>
      </w:r>
      <w:r w:rsidR="00177848" w:rsidRPr="00C6052E">
        <w:t xml:space="preserve"> </w:t>
      </w:r>
      <w:r w:rsidRPr="00C6052E">
        <w:t>has</w:t>
      </w:r>
      <w:r w:rsidR="00177848" w:rsidRPr="00C6052E">
        <w:t xml:space="preserve"> </w:t>
      </w:r>
      <w:r w:rsidRPr="00C6052E">
        <w:t>assessed</w:t>
      </w:r>
      <w:r w:rsidR="00177848" w:rsidRPr="00C6052E">
        <w:t xml:space="preserve"> </w:t>
      </w:r>
      <w:r w:rsidRPr="00C6052E">
        <w:t>the</w:t>
      </w:r>
      <w:r w:rsidR="00177848" w:rsidRPr="00C6052E">
        <w:t xml:space="preserve"> </w:t>
      </w:r>
      <w:r w:rsidRPr="00C6052E">
        <w:t>event</w:t>
      </w:r>
      <w:r w:rsidR="00177848" w:rsidRPr="00C6052E">
        <w:t xml:space="preserve"> </w:t>
      </w:r>
      <w:r w:rsidRPr="00C6052E">
        <w:t>and</w:t>
      </w:r>
      <w:r w:rsidR="00177848" w:rsidRPr="00C6052E">
        <w:t xml:space="preserve"> </w:t>
      </w:r>
      <w:r w:rsidRPr="00C6052E">
        <w:t>determined</w:t>
      </w:r>
      <w:r w:rsidR="00177848" w:rsidRPr="00C6052E">
        <w:t xml:space="preserve"> </w:t>
      </w:r>
      <w:r w:rsidRPr="00C6052E">
        <w:t>it</w:t>
      </w:r>
      <w:r w:rsidR="00177848" w:rsidRPr="00C6052E">
        <w:t xml:space="preserve"> </w:t>
      </w:r>
      <w:r w:rsidRPr="00C6052E">
        <w:t>to</w:t>
      </w:r>
      <w:r w:rsidR="00177848" w:rsidRPr="00C6052E">
        <w:t xml:space="preserve"> </w:t>
      </w:r>
      <w:r w:rsidRPr="00C6052E">
        <w:t>be</w:t>
      </w:r>
      <w:r w:rsidR="00177848" w:rsidRPr="00C6052E">
        <w:t xml:space="preserve"> </w:t>
      </w:r>
      <w:r w:rsidRPr="00C6052E">
        <w:t>a</w:t>
      </w:r>
      <w:r w:rsidR="00177848" w:rsidRPr="00C6052E">
        <w:t xml:space="preserve"> </w:t>
      </w:r>
      <w:r w:rsidRPr="00C6052E">
        <w:t>non–adjusting</w:t>
      </w:r>
      <w:r w:rsidR="00177848" w:rsidRPr="00C6052E">
        <w:t xml:space="preserve"> </w:t>
      </w:r>
      <w:r w:rsidRPr="00C6052E">
        <w:t>subsequent</w:t>
      </w:r>
      <w:r w:rsidR="00177848" w:rsidRPr="00C6052E">
        <w:t xml:space="preserve"> </w:t>
      </w:r>
      <w:r w:rsidRPr="00C6052E">
        <w:t>event</w:t>
      </w:r>
      <w:r w:rsidR="00177848" w:rsidRPr="00C6052E">
        <w:t xml:space="preserve"> </w:t>
      </w:r>
      <w:r w:rsidRPr="00C6052E">
        <w:t>under</w:t>
      </w:r>
      <w:r w:rsidR="00177848" w:rsidRPr="00C6052E">
        <w:t xml:space="preserve"> </w:t>
      </w:r>
      <w:r w:rsidRPr="00C6052E">
        <w:t>AASB</w:t>
      </w:r>
      <w:r w:rsidR="00177848" w:rsidRPr="00C6052E">
        <w:t xml:space="preserve"> </w:t>
      </w:r>
      <w:r w:rsidRPr="00C6052E">
        <w:t>110</w:t>
      </w:r>
      <w:r w:rsidR="00177848" w:rsidRPr="00C6052E">
        <w:t xml:space="preserve"> </w:t>
      </w:r>
      <w:r w:rsidRPr="00C6052E">
        <w:rPr>
          <w:rStyle w:val="Italics"/>
        </w:rPr>
        <w:t>Events</w:t>
      </w:r>
      <w:r w:rsidR="00177848" w:rsidRPr="00C6052E">
        <w:rPr>
          <w:rStyle w:val="Italics"/>
        </w:rPr>
        <w:t xml:space="preserve"> </w:t>
      </w:r>
      <w:r w:rsidRPr="00C6052E">
        <w:rPr>
          <w:rStyle w:val="Italics"/>
        </w:rPr>
        <w:t>after</w:t>
      </w:r>
      <w:r w:rsidR="00177848" w:rsidRPr="00C6052E">
        <w:rPr>
          <w:rStyle w:val="Italics"/>
        </w:rPr>
        <w:t xml:space="preserve"> </w:t>
      </w:r>
      <w:r w:rsidRPr="00C6052E">
        <w:rPr>
          <w:rStyle w:val="Italics"/>
        </w:rPr>
        <w:t>the</w:t>
      </w:r>
      <w:r w:rsidR="00177848" w:rsidRPr="00C6052E">
        <w:rPr>
          <w:rStyle w:val="Italics"/>
        </w:rPr>
        <w:t xml:space="preserve"> </w:t>
      </w:r>
      <w:r w:rsidRPr="00C6052E">
        <w:rPr>
          <w:rStyle w:val="Italics"/>
        </w:rPr>
        <w:t>Reporting</w:t>
      </w:r>
      <w:r w:rsidR="00177848" w:rsidRPr="00C6052E">
        <w:rPr>
          <w:rStyle w:val="Italics"/>
        </w:rPr>
        <w:t xml:space="preserve"> </w:t>
      </w:r>
      <w:r w:rsidRPr="00C6052E">
        <w:rPr>
          <w:rStyle w:val="Italics"/>
        </w:rPr>
        <w:t>Period</w:t>
      </w:r>
      <w:r w:rsidRPr="00C6052E">
        <w:t>.</w:t>
      </w:r>
    </w:p>
    <w:p w14:paraId="74FA9D95" w14:textId="156A4E5A" w:rsidR="00EE5BB8" w:rsidRPr="00C6052E" w:rsidRDefault="00EE5BB8" w:rsidP="00C6052E">
      <w:pPr>
        <w:pStyle w:val="Heading2numbered0"/>
      </w:pPr>
      <w:bookmarkStart w:id="399" w:name="_Ref209710887"/>
      <w:bookmarkStart w:id="400" w:name="_Ref209710893"/>
      <w:r w:rsidRPr="00C6052E">
        <w:lastRenderedPageBreak/>
        <w:t>Other</w:t>
      </w:r>
      <w:r w:rsidR="00177848" w:rsidRPr="00C6052E">
        <w:t xml:space="preserve"> </w:t>
      </w:r>
      <w:r w:rsidRPr="00C6052E">
        <w:t>accounting</w:t>
      </w:r>
      <w:r w:rsidR="00177848" w:rsidRPr="00C6052E">
        <w:t xml:space="preserve"> </w:t>
      </w:r>
      <w:r w:rsidRPr="00C6052E">
        <w:t>policies</w:t>
      </w:r>
      <w:bookmarkEnd w:id="398"/>
      <w:bookmarkEnd w:id="399"/>
      <w:bookmarkEnd w:id="400"/>
      <w:r w:rsidR="00177848" w:rsidRPr="00C6052E">
        <w:t xml:space="preserve"> </w:t>
      </w:r>
    </w:p>
    <w:p w14:paraId="4D7C4368" w14:textId="3EBF1BC0" w:rsidR="00EE5BB8" w:rsidRPr="00C6052E" w:rsidRDefault="00EE5BB8" w:rsidP="006F1C8C">
      <w:pPr>
        <w:pStyle w:val="Heading3"/>
      </w:pPr>
      <w:r w:rsidRPr="00C6052E">
        <w:t>Contributions</w:t>
      </w:r>
      <w:r w:rsidR="00177848" w:rsidRPr="00C6052E">
        <w:t xml:space="preserve"> </w:t>
      </w:r>
      <w:r w:rsidRPr="00C6052E">
        <w:t>by</w:t>
      </w:r>
      <w:r w:rsidR="00177848" w:rsidRPr="00C6052E">
        <w:t xml:space="preserve"> </w:t>
      </w:r>
      <w:r w:rsidRPr="00C6052E">
        <w:t>owners</w:t>
      </w:r>
    </w:p>
    <w:p w14:paraId="3332C460" w14:textId="66C78C54" w:rsidR="00EE5BB8" w:rsidRPr="00C6052E" w:rsidRDefault="00EE5BB8" w:rsidP="00EE5BB8">
      <w:r w:rsidRPr="00C6052E">
        <w:t>Consistent</w:t>
      </w:r>
      <w:r w:rsidR="00177848" w:rsidRPr="00C6052E">
        <w:t xml:space="preserve"> </w:t>
      </w:r>
      <w:r w:rsidRPr="00C6052E">
        <w:t>with</w:t>
      </w:r>
      <w:r w:rsidR="00177848" w:rsidRPr="00C6052E">
        <w:t xml:space="preserve"> </w:t>
      </w:r>
      <w:r w:rsidRPr="00C6052E">
        <w:t>the</w:t>
      </w:r>
      <w:r w:rsidR="00177848" w:rsidRPr="00C6052E">
        <w:t xml:space="preserve"> </w:t>
      </w:r>
      <w:r w:rsidRPr="00C6052E">
        <w:t>requirements</w:t>
      </w:r>
      <w:r w:rsidR="00177848" w:rsidRPr="00C6052E">
        <w:t xml:space="preserve"> </w:t>
      </w:r>
      <w:r w:rsidRPr="00C6052E">
        <w:t>of</w:t>
      </w:r>
      <w:r w:rsidR="00177848" w:rsidRPr="00C6052E">
        <w:t xml:space="preserve"> </w:t>
      </w:r>
      <w:r w:rsidRPr="00C6052E">
        <w:t>AASB</w:t>
      </w:r>
      <w:r w:rsidR="00177848" w:rsidRPr="00C6052E">
        <w:t xml:space="preserve"> </w:t>
      </w:r>
      <w:r w:rsidRPr="00C6052E">
        <w:t>1004</w:t>
      </w:r>
      <w:r w:rsidR="00177848" w:rsidRPr="00C6052E">
        <w:t xml:space="preserve"> </w:t>
      </w:r>
      <w:r w:rsidRPr="00C6052E">
        <w:rPr>
          <w:rStyle w:val="Italics"/>
        </w:rPr>
        <w:t>Contributions</w:t>
      </w:r>
      <w:r w:rsidRPr="00C6052E">
        <w:t>,</w:t>
      </w:r>
      <w:r w:rsidR="00177848" w:rsidRPr="00C6052E">
        <w:t xml:space="preserve"> </w:t>
      </w:r>
      <w:r w:rsidRPr="00C6052E">
        <w:t>contributions</w:t>
      </w:r>
      <w:r w:rsidR="00177848" w:rsidRPr="00C6052E">
        <w:t xml:space="preserve"> </w:t>
      </w:r>
      <w:r w:rsidRPr="00C6052E">
        <w:t>by</w:t>
      </w:r>
      <w:r w:rsidR="00177848" w:rsidRPr="00C6052E">
        <w:t xml:space="preserve"> </w:t>
      </w:r>
      <w:r w:rsidRPr="00C6052E">
        <w:t>owners</w:t>
      </w:r>
      <w:r w:rsidR="00177848" w:rsidRPr="00C6052E">
        <w:t xml:space="preserve"> </w:t>
      </w:r>
      <w:r w:rsidRPr="00C6052E">
        <w:t>(that</w:t>
      </w:r>
      <w:r w:rsidR="00177848" w:rsidRPr="00C6052E">
        <w:t xml:space="preserve"> </w:t>
      </w:r>
      <w:r w:rsidRPr="00C6052E">
        <w:t>is,</w:t>
      </w:r>
      <w:r w:rsidR="00177848" w:rsidRPr="00C6052E">
        <w:t xml:space="preserve"> </w:t>
      </w:r>
      <w:r w:rsidRPr="00C6052E">
        <w:t>contributed</w:t>
      </w:r>
      <w:r w:rsidR="00177848" w:rsidRPr="00C6052E">
        <w:t xml:space="preserve"> </w:t>
      </w:r>
      <w:r w:rsidRPr="00C6052E">
        <w:t>capital</w:t>
      </w:r>
      <w:r w:rsidR="00177848" w:rsidRPr="00C6052E">
        <w:t xml:space="preserve"> </w:t>
      </w:r>
      <w:r w:rsidRPr="00C6052E">
        <w:t>and</w:t>
      </w:r>
      <w:r w:rsidR="00177848" w:rsidRPr="00C6052E">
        <w:t xml:space="preserve"> </w:t>
      </w:r>
      <w:r w:rsidRPr="00C6052E">
        <w:t>its</w:t>
      </w:r>
      <w:r w:rsidR="00177848" w:rsidRPr="00C6052E">
        <w:t xml:space="preserve"> </w:t>
      </w:r>
      <w:r w:rsidRPr="00C6052E">
        <w:t>repayment)</w:t>
      </w:r>
      <w:r w:rsidR="00177848" w:rsidRPr="00C6052E">
        <w:t xml:space="preserve"> </w:t>
      </w:r>
      <w:r w:rsidRPr="00C6052E">
        <w:t>are</w:t>
      </w:r>
      <w:r w:rsidR="00177848" w:rsidRPr="00C6052E">
        <w:t xml:space="preserve"> </w:t>
      </w:r>
      <w:r w:rsidRPr="00C6052E">
        <w:t>treated</w:t>
      </w:r>
      <w:r w:rsidR="00177848" w:rsidRPr="00C6052E">
        <w:t xml:space="preserve"> </w:t>
      </w:r>
      <w:r w:rsidRPr="00C6052E">
        <w:t>as</w:t>
      </w:r>
      <w:r w:rsidR="00177848" w:rsidRPr="00C6052E">
        <w:t xml:space="preserve"> </w:t>
      </w:r>
      <w:r w:rsidRPr="00C6052E">
        <w:t>equity</w:t>
      </w:r>
      <w:r w:rsidR="00177848" w:rsidRPr="00C6052E">
        <w:t xml:space="preserve"> </w:t>
      </w:r>
      <w:r w:rsidRPr="00C6052E">
        <w:t>transactions</w:t>
      </w:r>
      <w:r w:rsidR="00177848" w:rsidRPr="00C6052E">
        <w:t xml:space="preserve"> </w:t>
      </w:r>
      <w:r w:rsidRPr="00C6052E">
        <w:t>and,</w:t>
      </w:r>
      <w:r w:rsidR="00177848" w:rsidRPr="00C6052E">
        <w:t xml:space="preserve"> </w:t>
      </w:r>
      <w:r w:rsidRPr="00C6052E">
        <w:t>therefore,</w:t>
      </w:r>
      <w:r w:rsidR="00177848" w:rsidRPr="00C6052E">
        <w:t xml:space="preserve"> </w:t>
      </w:r>
      <w:r w:rsidRPr="00C6052E">
        <w:t>do</w:t>
      </w:r>
      <w:r w:rsidR="00177848" w:rsidRPr="00C6052E">
        <w:t xml:space="preserve"> </w:t>
      </w:r>
      <w:r w:rsidRPr="00C6052E">
        <w:t>not</w:t>
      </w:r>
      <w:r w:rsidR="00177848" w:rsidRPr="00C6052E">
        <w:t xml:space="preserve"> </w:t>
      </w:r>
      <w:r w:rsidRPr="00C6052E">
        <w:t>form</w:t>
      </w:r>
      <w:r w:rsidR="00177848" w:rsidRPr="00C6052E">
        <w:t xml:space="preserve"> </w:t>
      </w:r>
      <w:r w:rsidRPr="00C6052E">
        <w:t>part</w:t>
      </w:r>
      <w:r w:rsidR="00177848" w:rsidRPr="00C6052E">
        <w:t xml:space="preserve"> </w:t>
      </w:r>
      <w:r w:rsidRPr="00C6052E">
        <w:t>of</w:t>
      </w:r>
      <w:r w:rsidR="00177848" w:rsidRPr="00C6052E">
        <w:t xml:space="preserve"> </w:t>
      </w:r>
      <w:r w:rsidRPr="00C6052E">
        <w:t>the</w:t>
      </w:r>
      <w:r w:rsidR="00177848" w:rsidRPr="00C6052E">
        <w:t xml:space="preserve"> </w:t>
      </w:r>
      <w:r w:rsidRPr="00C6052E">
        <w:t>income</w:t>
      </w:r>
      <w:r w:rsidR="00177848" w:rsidRPr="00C6052E">
        <w:t xml:space="preserve"> </w:t>
      </w:r>
      <w:r w:rsidRPr="00C6052E">
        <w:t>and</w:t>
      </w:r>
      <w:r w:rsidR="00177848" w:rsidRPr="00C6052E">
        <w:t xml:space="preserve"> </w:t>
      </w:r>
      <w:r w:rsidRPr="00C6052E">
        <w:t>expenses</w:t>
      </w:r>
      <w:r w:rsidR="00177848" w:rsidRPr="00C6052E">
        <w:t xml:space="preserve"> </w:t>
      </w:r>
      <w:r w:rsidRPr="00C6052E">
        <w:t>of</w:t>
      </w:r>
      <w:r w:rsidR="00177848" w:rsidRPr="00C6052E">
        <w:t xml:space="preserve"> </w:t>
      </w:r>
      <w:r w:rsidRPr="00C6052E">
        <w:t>DJSIR.</w:t>
      </w:r>
    </w:p>
    <w:p w14:paraId="3DA45750" w14:textId="6B2E0404" w:rsidR="00EE5BB8" w:rsidRPr="00C6052E" w:rsidRDefault="00EE5BB8" w:rsidP="00EE5BB8">
      <w:r w:rsidRPr="00C6052E">
        <w:t>Additions</w:t>
      </w:r>
      <w:r w:rsidR="00177848" w:rsidRPr="00C6052E">
        <w:t xml:space="preserve"> </w:t>
      </w:r>
      <w:r w:rsidRPr="00C6052E">
        <w:t>to</w:t>
      </w:r>
      <w:r w:rsidR="00177848" w:rsidRPr="00C6052E">
        <w:t xml:space="preserve"> </w:t>
      </w:r>
      <w:r w:rsidRPr="00C6052E">
        <w:t>net</w:t>
      </w:r>
      <w:r w:rsidR="00177848" w:rsidRPr="00C6052E">
        <w:t xml:space="preserve"> </w:t>
      </w:r>
      <w:r w:rsidRPr="00C6052E">
        <w:t>assets</w:t>
      </w:r>
      <w:r w:rsidR="00177848" w:rsidRPr="00C6052E">
        <w:t xml:space="preserve"> </w:t>
      </w:r>
      <w:r w:rsidRPr="00C6052E">
        <w:t>that</w:t>
      </w:r>
      <w:r w:rsidR="00177848" w:rsidRPr="00C6052E">
        <w:t xml:space="preserve"> </w:t>
      </w:r>
      <w:r w:rsidRPr="00C6052E">
        <w:t>have</w:t>
      </w:r>
      <w:r w:rsidR="00177848" w:rsidRPr="00C6052E">
        <w:t xml:space="preserve"> </w:t>
      </w:r>
      <w:r w:rsidRPr="00C6052E">
        <w:t>been</w:t>
      </w:r>
      <w:r w:rsidR="00177848" w:rsidRPr="00C6052E">
        <w:t xml:space="preserve"> </w:t>
      </w:r>
      <w:r w:rsidRPr="00C6052E">
        <w:t>designated</w:t>
      </w:r>
      <w:r w:rsidR="00177848" w:rsidRPr="00C6052E">
        <w:t xml:space="preserve"> </w:t>
      </w:r>
      <w:r w:rsidRPr="00C6052E">
        <w:t>as</w:t>
      </w:r>
      <w:r w:rsidR="00177848" w:rsidRPr="00C6052E">
        <w:t xml:space="preserve"> </w:t>
      </w:r>
      <w:r w:rsidRPr="00C6052E">
        <w:t>contributions</w:t>
      </w:r>
      <w:r w:rsidR="00177848" w:rsidRPr="00C6052E">
        <w:t xml:space="preserve"> </w:t>
      </w:r>
      <w:r w:rsidRPr="00C6052E">
        <w:t>by</w:t>
      </w:r>
      <w:r w:rsidR="00177848" w:rsidRPr="00C6052E">
        <w:t xml:space="preserve"> </w:t>
      </w:r>
      <w:r w:rsidRPr="00C6052E">
        <w:t>owners</w:t>
      </w:r>
      <w:r w:rsidR="00177848" w:rsidRPr="00C6052E">
        <w:t xml:space="preserve"> </w:t>
      </w:r>
      <w:r w:rsidRPr="00C6052E">
        <w:t>are</w:t>
      </w:r>
      <w:r w:rsidR="00177848" w:rsidRPr="00C6052E">
        <w:t xml:space="preserve"> </w:t>
      </w:r>
      <w:r w:rsidRPr="00C6052E">
        <w:t>recognised</w:t>
      </w:r>
      <w:r w:rsidR="00177848" w:rsidRPr="00C6052E">
        <w:t xml:space="preserve"> </w:t>
      </w:r>
      <w:r w:rsidRPr="00C6052E">
        <w:t>as</w:t>
      </w:r>
      <w:r w:rsidR="00177848" w:rsidRPr="00C6052E">
        <w:t xml:space="preserve"> </w:t>
      </w:r>
      <w:r w:rsidRPr="00C6052E">
        <w:t>contributed</w:t>
      </w:r>
      <w:r w:rsidR="00177848" w:rsidRPr="00C6052E">
        <w:t xml:space="preserve"> </w:t>
      </w:r>
      <w:r w:rsidRPr="00C6052E">
        <w:t>capital.</w:t>
      </w:r>
      <w:r w:rsidR="00177848" w:rsidRPr="00C6052E">
        <w:t xml:space="preserve"> </w:t>
      </w:r>
      <w:r w:rsidRPr="00C6052E">
        <w:t>Other</w:t>
      </w:r>
      <w:r w:rsidR="00177848" w:rsidRPr="00C6052E">
        <w:t xml:space="preserve"> </w:t>
      </w:r>
      <w:r w:rsidRPr="00C6052E">
        <w:t>transfers</w:t>
      </w:r>
      <w:r w:rsidR="00177848" w:rsidRPr="00C6052E">
        <w:t xml:space="preserve"> </w:t>
      </w:r>
      <w:r w:rsidRPr="00C6052E">
        <w:t>that</w:t>
      </w:r>
      <w:r w:rsidR="00177848" w:rsidRPr="00C6052E">
        <w:t xml:space="preserve"> </w:t>
      </w:r>
      <w:r w:rsidRPr="00C6052E">
        <w:t>are</w:t>
      </w:r>
      <w:r w:rsidR="00177848" w:rsidRPr="00C6052E">
        <w:t xml:space="preserve"> </w:t>
      </w:r>
      <w:r w:rsidRPr="00C6052E">
        <w:t>in</w:t>
      </w:r>
      <w:r w:rsidR="00177848" w:rsidRPr="00C6052E">
        <w:t xml:space="preserve"> </w:t>
      </w:r>
      <w:r w:rsidRPr="00C6052E">
        <w:t>the</w:t>
      </w:r>
      <w:r w:rsidR="00177848" w:rsidRPr="00C6052E">
        <w:t xml:space="preserve"> </w:t>
      </w:r>
      <w:r w:rsidRPr="00C6052E">
        <w:t>nature</w:t>
      </w:r>
      <w:r w:rsidR="00177848" w:rsidRPr="00C6052E">
        <w:t xml:space="preserve"> </w:t>
      </w:r>
      <w:r w:rsidRPr="00C6052E">
        <w:t>of</w:t>
      </w:r>
      <w:r w:rsidR="00177848" w:rsidRPr="00C6052E">
        <w:t xml:space="preserve"> </w:t>
      </w:r>
      <w:r w:rsidRPr="00C6052E">
        <w:t>contributions</w:t>
      </w:r>
      <w:r w:rsidR="00177848" w:rsidRPr="00C6052E">
        <w:t xml:space="preserve"> </w:t>
      </w:r>
      <w:r w:rsidRPr="00C6052E">
        <w:t>to</w:t>
      </w:r>
      <w:r w:rsidR="00177848" w:rsidRPr="00C6052E">
        <w:t xml:space="preserve"> </w:t>
      </w:r>
      <w:r w:rsidRPr="00C6052E">
        <w:t>or</w:t>
      </w:r>
      <w:r w:rsidR="00177848" w:rsidRPr="00C6052E">
        <w:t xml:space="preserve"> </w:t>
      </w:r>
      <w:r w:rsidRPr="00C6052E">
        <w:t>distributions</w:t>
      </w:r>
      <w:r w:rsidR="00177848" w:rsidRPr="00C6052E">
        <w:t xml:space="preserve"> </w:t>
      </w:r>
      <w:r w:rsidRPr="00C6052E">
        <w:t>by</w:t>
      </w:r>
      <w:r w:rsidR="00177848" w:rsidRPr="00C6052E">
        <w:t xml:space="preserve"> </w:t>
      </w:r>
      <w:r w:rsidRPr="00C6052E">
        <w:t>owners</w:t>
      </w:r>
      <w:r w:rsidR="00177848" w:rsidRPr="00C6052E">
        <w:t xml:space="preserve"> </w:t>
      </w:r>
      <w:r w:rsidRPr="00C6052E">
        <w:t>have</w:t>
      </w:r>
      <w:r w:rsidR="00177848" w:rsidRPr="00C6052E">
        <w:t xml:space="preserve"> </w:t>
      </w:r>
      <w:r w:rsidRPr="00C6052E">
        <w:t>also</w:t>
      </w:r>
      <w:r w:rsidR="00177848" w:rsidRPr="00C6052E">
        <w:t xml:space="preserve"> </w:t>
      </w:r>
      <w:r w:rsidRPr="00C6052E">
        <w:t>been</w:t>
      </w:r>
      <w:r w:rsidR="00177848" w:rsidRPr="00C6052E">
        <w:t xml:space="preserve"> </w:t>
      </w:r>
      <w:r w:rsidRPr="00C6052E">
        <w:t>designated</w:t>
      </w:r>
      <w:r w:rsidR="00177848" w:rsidRPr="00C6052E">
        <w:t xml:space="preserve"> </w:t>
      </w:r>
      <w:r w:rsidRPr="00C6052E">
        <w:t>as</w:t>
      </w:r>
      <w:r w:rsidR="00177848" w:rsidRPr="00C6052E">
        <w:t xml:space="preserve"> </w:t>
      </w:r>
      <w:r w:rsidRPr="00C6052E">
        <w:t>contributions</w:t>
      </w:r>
      <w:r w:rsidR="00177848" w:rsidRPr="00C6052E">
        <w:t xml:space="preserve"> </w:t>
      </w:r>
      <w:r w:rsidRPr="00C6052E">
        <w:t>by</w:t>
      </w:r>
      <w:r w:rsidR="00177848" w:rsidRPr="00C6052E">
        <w:t xml:space="preserve"> </w:t>
      </w:r>
      <w:r w:rsidRPr="00C6052E">
        <w:t>owners.</w:t>
      </w:r>
    </w:p>
    <w:p w14:paraId="64B679FE" w14:textId="0646B931" w:rsidR="00EE5BB8" w:rsidRPr="00C6052E" w:rsidRDefault="00EE5BB8" w:rsidP="00EE5BB8">
      <w:r w:rsidRPr="00C6052E">
        <w:t>Transfers</w:t>
      </w:r>
      <w:r w:rsidR="00177848" w:rsidRPr="00C6052E">
        <w:t xml:space="preserve"> </w:t>
      </w:r>
      <w:r w:rsidRPr="00C6052E">
        <w:t>of</w:t>
      </w:r>
      <w:r w:rsidR="00177848" w:rsidRPr="00C6052E">
        <w:t xml:space="preserve"> </w:t>
      </w:r>
      <w:r w:rsidRPr="00C6052E">
        <w:t>net</w:t>
      </w:r>
      <w:r w:rsidR="00177848" w:rsidRPr="00C6052E">
        <w:t xml:space="preserve"> </w:t>
      </w:r>
      <w:r w:rsidRPr="00C6052E">
        <w:t>assets</w:t>
      </w:r>
      <w:r w:rsidR="00177848" w:rsidRPr="00C6052E">
        <w:t xml:space="preserve"> </w:t>
      </w:r>
      <w:r w:rsidRPr="00C6052E">
        <w:t>arising</w:t>
      </w:r>
      <w:r w:rsidR="00177848" w:rsidRPr="00C6052E">
        <w:t xml:space="preserve"> </w:t>
      </w:r>
      <w:r w:rsidRPr="00C6052E">
        <w:t>from</w:t>
      </w:r>
      <w:r w:rsidR="00177848" w:rsidRPr="00C6052E">
        <w:t xml:space="preserve"> </w:t>
      </w:r>
      <w:r w:rsidRPr="00C6052E">
        <w:t>administrative</w:t>
      </w:r>
      <w:r w:rsidR="00177848" w:rsidRPr="00C6052E">
        <w:t xml:space="preserve"> </w:t>
      </w:r>
      <w:r w:rsidRPr="00C6052E">
        <w:t>restructurings</w:t>
      </w:r>
      <w:r w:rsidR="00177848" w:rsidRPr="00C6052E">
        <w:t xml:space="preserve"> </w:t>
      </w:r>
      <w:r w:rsidRPr="00C6052E">
        <w:t>are</w:t>
      </w:r>
      <w:r w:rsidR="00177848" w:rsidRPr="00C6052E">
        <w:t xml:space="preserve"> </w:t>
      </w:r>
      <w:r w:rsidRPr="00C6052E">
        <w:t>treated</w:t>
      </w:r>
      <w:r w:rsidR="00177848" w:rsidRPr="00C6052E">
        <w:t xml:space="preserve"> </w:t>
      </w:r>
      <w:r w:rsidRPr="00C6052E">
        <w:t>as</w:t>
      </w:r>
      <w:r w:rsidR="00177848" w:rsidRPr="00C6052E">
        <w:t xml:space="preserve"> </w:t>
      </w:r>
      <w:r w:rsidRPr="00C6052E">
        <w:t>distributions</w:t>
      </w:r>
      <w:r w:rsidR="00177848" w:rsidRPr="00C6052E">
        <w:t xml:space="preserve"> </w:t>
      </w:r>
      <w:r w:rsidRPr="00C6052E">
        <w:t>to</w:t>
      </w:r>
      <w:r w:rsidR="00177848" w:rsidRPr="00C6052E">
        <w:t xml:space="preserve"> </w:t>
      </w:r>
      <w:r w:rsidRPr="00C6052E">
        <w:t>or</w:t>
      </w:r>
      <w:r w:rsidR="00177848" w:rsidRPr="00C6052E">
        <w:t xml:space="preserve"> </w:t>
      </w:r>
      <w:r w:rsidRPr="00C6052E">
        <w:t>contributions</w:t>
      </w:r>
      <w:r w:rsidR="00177848" w:rsidRPr="00C6052E">
        <w:t xml:space="preserve"> </w:t>
      </w:r>
      <w:r w:rsidRPr="00C6052E">
        <w:t>by</w:t>
      </w:r>
      <w:r w:rsidR="00177848" w:rsidRPr="00C6052E">
        <w:t xml:space="preserve"> </w:t>
      </w:r>
      <w:r w:rsidRPr="00C6052E">
        <w:t>owners.</w:t>
      </w:r>
      <w:r w:rsidR="00177848" w:rsidRPr="00C6052E">
        <w:t xml:space="preserve"> </w:t>
      </w:r>
      <w:r w:rsidRPr="00C6052E">
        <w:t>Transfers</w:t>
      </w:r>
      <w:r w:rsidR="00177848" w:rsidRPr="00C6052E">
        <w:t xml:space="preserve"> </w:t>
      </w:r>
      <w:r w:rsidRPr="00C6052E">
        <w:t>of</w:t>
      </w:r>
      <w:r w:rsidR="00177848" w:rsidRPr="00C6052E">
        <w:t xml:space="preserve"> </w:t>
      </w:r>
      <w:r w:rsidRPr="00C6052E">
        <w:t>net</w:t>
      </w:r>
      <w:r w:rsidR="00177848" w:rsidRPr="00C6052E">
        <w:t xml:space="preserve"> </w:t>
      </w:r>
      <w:r w:rsidRPr="00C6052E">
        <w:t>liabilities</w:t>
      </w:r>
      <w:r w:rsidR="00177848" w:rsidRPr="00C6052E">
        <w:t xml:space="preserve"> </w:t>
      </w:r>
      <w:r w:rsidRPr="00C6052E">
        <w:t>arising</w:t>
      </w:r>
      <w:r w:rsidR="00177848" w:rsidRPr="00C6052E">
        <w:t xml:space="preserve"> </w:t>
      </w:r>
      <w:r w:rsidRPr="00C6052E">
        <w:t>from</w:t>
      </w:r>
      <w:r w:rsidR="00177848" w:rsidRPr="00C6052E">
        <w:t xml:space="preserve"> </w:t>
      </w:r>
      <w:r w:rsidRPr="00C6052E">
        <w:t>administrative</w:t>
      </w:r>
      <w:r w:rsidR="00177848" w:rsidRPr="00C6052E">
        <w:t xml:space="preserve"> </w:t>
      </w:r>
      <w:r w:rsidRPr="00C6052E">
        <w:t>restructurings</w:t>
      </w:r>
      <w:r w:rsidR="00177848" w:rsidRPr="00C6052E">
        <w:t xml:space="preserve"> </w:t>
      </w:r>
      <w:r w:rsidRPr="00C6052E">
        <w:t>are</w:t>
      </w:r>
      <w:r w:rsidR="00177848" w:rsidRPr="00C6052E">
        <w:t xml:space="preserve"> </w:t>
      </w:r>
      <w:r w:rsidRPr="00C6052E">
        <w:t>treated</w:t>
      </w:r>
      <w:r w:rsidR="00177848" w:rsidRPr="00C6052E">
        <w:t xml:space="preserve"> </w:t>
      </w:r>
      <w:r w:rsidRPr="00C6052E">
        <w:t>as</w:t>
      </w:r>
      <w:r w:rsidR="00177848" w:rsidRPr="00C6052E">
        <w:t xml:space="preserve"> </w:t>
      </w:r>
      <w:r w:rsidRPr="00C6052E">
        <w:t>distributions</w:t>
      </w:r>
      <w:r w:rsidR="00177848" w:rsidRPr="00C6052E">
        <w:t xml:space="preserve"> </w:t>
      </w:r>
      <w:r w:rsidRPr="00C6052E">
        <w:t>to</w:t>
      </w:r>
      <w:r w:rsidR="00177848" w:rsidRPr="00C6052E">
        <w:t xml:space="preserve"> </w:t>
      </w:r>
      <w:r w:rsidRPr="00C6052E">
        <w:t>owners.</w:t>
      </w:r>
    </w:p>
    <w:p w14:paraId="4772EE9F" w14:textId="671C49BB" w:rsidR="00EE5BB8" w:rsidRPr="00C6052E" w:rsidRDefault="00EE5BB8" w:rsidP="006F1C8C">
      <w:pPr>
        <w:pStyle w:val="Heading3"/>
      </w:pPr>
      <w:r w:rsidRPr="00C6052E">
        <w:t>Accounting</w:t>
      </w:r>
      <w:r w:rsidR="00177848" w:rsidRPr="00C6052E">
        <w:t xml:space="preserve"> </w:t>
      </w:r>
      <w:r w:rsidRPr="00C6052E">
        <w:t>for</w:t>
      </w:r>
      <w:r w:rsidR="00177848" w:rsidRPr="00C6052E">
        <w:t xml:space="preserve"> </w:t>
      </w:r>
      <w:r w:rsidRPr="00C6052E">
        <w:t>the</w:t>
      </w:r>
      <w:r w:rsidR="00177848" w:rsidRPr="00C6052E">
        <w:t xml:space="preserve"> </w:t>
      </w:r>
      <w:r w:rsidRPr="00C6052E">
        <w:t>Goods</w:t>
      </w:r>
      <w:r w:rsidR="00177848" w:rsidRPr="00C6052E">
        <w:t xml:space="preserve"> </w:t>
      </w:r>
      <w:r w:rsidRPr="00C6052E">
        <w:t>and</w:t>
      </w:r>
      <w:r w:rsidR="00177848" w:rsidRPr="00C6052E">
        <w:t xml:space="preserve"> </w:t>
      </w:r>
      <w:r w:rsidRPr="00C6052E">
        <w:t>Services</w:t>
      </w:r>
      <w:r w:rsidR="00177848" w:rsidRPr="00C6052E">
        <w:t xml:space="preserve"> </w:t>
      </w:r>
      <w:r w:rsidRPr="00C6052E">
        <w:t>Tax</w:t>
      </w:r>
      <w:r w:rsidR="00177848" w:rsidRPr="00C6052E">
        <w:t xml:space="preserve"> </w:t>
      </w:r>
      <w:r w:rsidRPr="00C6052E">
        <w:t>(GST)</w:t>
      </w:r>
    </w:p>
    <w:p w14:paraId="1F393270" w14:textId="60D1924C" w:rsidR="00EE5BB8" w:rsidRPr="00C6052E" w:rsidRDefault="00EE5BB8" w:rsidP="00EE5BB8">
      <w:pPr>
        <w:keepLines/>
      </w:pPr>
      <w:r w:rsidRPr="00C6052E">
        <w:t>Income,</w:t>
      </w:r>
      <w:r w:rsidR="00177848" w:rsidRPr="00C6052E">
        <w:t xml:space="preserve"> </w:t>
      </w:r>
      <w:r w:rsidRPr="00C6052E">
        <w:t>expenses</w:t>
      </w:r>
      <w:r w:rsidR="00177848" w:rsidRPr="00C6052E">
        <w:t xml:space="preserve"> </w:t>
      </w:r>
      <w:r w:rsidRPr="00C6052E">
        <w:t>and</w:t>
      </w:r>
      <w:r w:rsidR="00177848" w:rsidRPr="00C6052E">
        <w:t xml:space="preserve"> </w:t>
      </w:r>
      <w:r w:rsidRPr="00C6052E">
        <w:t>assets</w:t>
      </w:r>
      <w:r w:rsidR="00177848" w:rsidRPr="00C6052E">
        <w:t xml:space="preserve"> </w:t>
      </w:r>
      <w:r w:rsidRPr="00C6052E">
        <w:t>are</w:t>
      </w:r>
      <w:r w:rsidR="00177848" w:rsidRPr="00C6052E">
        <w:t xml:space="preserve"> </w:t>
      </w:r>
      <w:r w:rsidRPr="00C6052E">
        <w:t>recognised</w:t>
      </w:r>
      <w:r w:rsidR="00177848" w:rsidRPr="00C6052E">
        <w:t xml:space="preserve"> </w:t>
      </w:r>
      <w:r w:rsidRPr="00C6052E">
        <w:t>net</w:t>
      </w:r>
      <w:r w:rsidR="00177848" w:rsidRPr="00C6052E">
        <w:t xml:space="preserve"> </w:t>
      </w:r>
      <w:r w:rsidRPr="00C6052E">
        <w:t>of</w:t>
      </w:r>
      <w:r w:rsidR="00177848" w:rsidRPr="00C6052E">
        <w:t xml:space="preserve"> </w:t>
      </w:r>
      <w:r w:rsidRPr="00C6052E">
        <w:t>the</w:t>
      </w:r>
      <w:r w:rsidR="00177848" w:rsidRPr="00C6052E">
        <w:t xml:space="preserve"> </w:t>
      </w:r>
      <w:r w:rsidRPr="00C6052E">
        <w:t>amount</w:t>
      </w:r>
      <w:r w:rsidR="00177848" w:rsidRPr="00C6052E">
        <w:t xml:space="preserve"> </w:t>
      </w:r>
      <w:r w:rsidRPr="00C6052E">
        <w:t>of</w:t>
      </w:r>
      <w:r w:rsidR="00177848" w:rsidRPr="00C6052E">
        <w:t xml:space="preserve"> </w:t>
      </w:r>
      <w:r w:rsidRPr="00C6052E">
        <w:t>associated</w:t>
      </w:r>
      <w:r w:rsidR="00177848" w:rsidRPr="00C6052E">
        <w:t xml:space="preserve"> </w:t>
      </w:r>
      <w:r w:rsidRPr="00C6052E">
        <w:t>GST,</w:t>
      </w:r>
      <w:r w:rsidR="00177848" w:rsidRPr="00C6052E">
        <w:t xml:space="preserve"> </w:t>
      </w:r>
      <w:r w:rsidRPr="00C6052E">
        <w:t>except</w:t>
      </w:r>
      <w:r w:rsidR="00177848" w:rsidRPr="00C6052E">
        <w:t xml:space="preserve"> </w:t>
      </w:r>
      <w:r w:rsidRPr="00C6052E">
        <w:t>where</w:t>
      </w:r>
      <w:r w:rsidR="00177848" w:rsidRPr="00C6052E">
        <w:t xml:space="preserve"> </w:t>
      </w:r>
      <w:r w:rsidRPr="00C6052E">
        <w:t>GST</w:t>
      </w:r>
      <w:r w:rsidR="00177848" w:rsidRPr="00C6052E">
        <w:t xml:space="preserve"> </w:t>
      </w:r>
      <w:r w:rsidRPr="00C6052E">
        <w:t>incurred</w:t>
      </w:r>
      <w:r w:rsidR="00177848" w:rsidRPr="00C6052E">
        <w:t xml:space="preserve"> </w:t>
      </w:r>
      <w:r w:rsidRPr="00C6052E">
        <w:t>is</w:t>
      </w:r>
      <w:r w:rsidR="00177848" w:rsidRPr="00C6052E">
        <w:t xml:space="preserve"> </w:t>
      </w:r>
      <w:r w:rsidRPr="00C6052E">
        <w:t>not</w:t>
      </w:r>
      <w:r w:rsidR="00177848" w:rsidRPr="00C6052E">
        <w:t xml:space="preserve"> </w:t>
      </w:r>
      <w:r w:rsidRPr="00C6052E">
        <w:t>recoverable</w:t>
      </w:r>
      <w:r w:rsidR="00177848" w:rsidRPr="00C6052E">
        <w:t xml:space="preserve"> </w:t>
      </w:r>
      <w:r w:rsidRPr="00C6052E">
        <w:t>from</w:t>
      </w:r>
      <w:r w:rsidR="00177848" w:rsidRPr="00C6052E">
        <w:t xml:space="preserve"> </w:t>
      </w:r>
      <w:r w:rsidRPr="00C6052E">
        <w:t>the</w:t>
      </w:r>
      <w:r w:rsidR="00177848" w:rsidRPr="00C6052E">
        <w:t xml:space="preserve"> </w:t>
      </w:r>
      <w:r w:rsidRPr="00C6052E">
        <w:t>taxation</w:t>
      </w:r>
      <w:r w:rsidR="00177848" w:rsidRPr="00C6052E">
        <w:t xml:space="preserve"> </w:t>
      </w:r>
      <w:r w:rsidRPr="00C6052E">
        <w:t>authority.</w:t>
      </w:r>
      <w:r w:rsidR="00177848" w:rsidRPr="00C6052E">
        <w:t xml:space="preserve"> </w:t>
      </w:r>
      <w:r w:rsidRPr="00C6052E">
        <w:t>In</w:t>
      </w:r>
      <w:r w:rsidR="00177848" w:rsidRPr="00C6052E">
        <w:t xml:space="preserve"> </w:t>
      </w:r>
      <w:r w:rsidRPr="00C6052E">
        <w:t>this</w:t>
      </w:r>
      <w:r w:rsidR="00177848" w:rsidRPr="00C6052E">
        <w:t xml:space="preserve"> </w:t>
      </w:r>
      <w:r w:rsidRPr="00C6052E">
        <w:t>case,</w:t>
      </w:r>
      <w:r w:rsidR="00177848" w:rsidRPr="00C6052E">
        <w:t xml:space="preserve"> </w:t>
      </w:r>
      <w:r w:rsidRPr="00C6052E">
        <w:t>the</w:t>
      </w:r>
      <w:r w:rsidR="00177848" w:rsidRPr="00C6052E">
        <w:t xml:space="preserve"> </w:t>
      </w:r>
      <w:r w:rsidRPr="00C6052E">
        <w:t>GST</w:t>
      </w:r>
      <w:r w:rsidR="00177848" w:rsidRPr="00C6052E">
        <w:t xml:space="preserve"> </w:t>
      </w:r>
      <w:r w:rsidRPr="00C6052E">
        <w:t>payable</w:t>
      </w:r>
      <w:r w:rsidR="00177848" w:rsidRPr="00C6052E">
        <w:t xml:space="preserve"> </w:t>
      </w:r>
      <w:r w:rsidRPr="00C6052E">
        <w:t>is</w:t>
      </w:r>
      <w:r w:rsidR="00177848" w:rsidRPr="00C6052E">
        <w:t xml:space="preserve"> </w:t>
      </w:r>
      <w:r w:rsidRPr="00C6052E">
        <w:t>recognised</w:t>
      </w:r>
      <w:r w:rsidR="00177848" w:rsidRPr="00C6052E">
        <w:t xml:space="preserve"> </w:t>
      </w:r>
      <w:r w:rsidRPr="00C6052E">
        <w:t>as</w:t>
      </w:r>
      <w:r w:rsidR="00177848" w:rsidRPr="00C6052E">
        <w:t xml:space="preserve"> </w:t>
      </w:r>
      <w:r w:rsidRPr="00C6052E">
        <w:t>part</w:t>
      </w:r>
      <w:r w:rsidR="00177848" w:rsidRPr="00C6052E">
        <w:t xml:space="preserve"> </w:t>
      </w:r>
      <w:r w:rsidRPr="00C6052E">
        <w:t>of</w:t>
      </w:r>
      <w:r w:rsidR="00177848" w:rsidRPr="00C6052E">
        <w:t xml:space="preserve"> </w:t>
      </w:r>
      <w:r w:rsidRPr="00C6052E">
        <w:t>the</w:t>
      </w:r>
      <w:r w:rsidR="00177848" w:rsidRPr="00C6052E">
        <w:t xml:space="preserve"> </w:t>
      </w:r>
      <w:r w:rsidRPr="00C6052E">
        <w:t>cost</w:t>
      </w:r>
      <w:r w:rsidR="00177848" w:rsidRPr="00C6052E">
        <w:t xml:space="preserve"> </w:t>
      </w:r>
      <w:r w:rsidRPr="00C6052E">
        <w:t>of</w:t>
      </w:r>
      <w:r w:rsidR="00177848" w:rsidRPr="00C6052E">
        <w:t xml:space="preserve"> </w:t>
      </w:r>
      <w:r w:rsidRPr="00C6052E">
        <w:t>acquisition</w:t>
      </w:r>
      <w:r w:rsidR="00177848" w:rsidRPr="00C6052E">
        <w:t xml:space="preserve"> </w:t>
      </w:r>
      <w:r w:rsidRPr="00C6052E">
        <w:t>of</w:t>
      </w:r>
      <w:r w:rsidR="00177848" w:rsidRPr="00C6052E">
        <w:t xml:space="preserve"> </w:t>
      </w:r>
      <w:r w:rsidRPr="00C6052E">
        <w:t>the</w:t>
      </w:r>
      <w:r w:rsidR="00177848" w:rsidRPr="00C6052E">
        <w:t xml:space="preserve"> </w:t>
      </w:r>
      <w:r w:rsidRPr="00C6052E">
        <w:t>asset</w:t>
      </w:r>
      <w:r w:rsidR="00177848" w:rsidRPr="00C6052E">
        <w:t xml:space="preserve"> </w:t>
      </w:r>
      <w:r w:rsidRPr="00C6052E">
        <w:t>or</w:t>
      </w:r>
      <w:r w:rsidR="00177848" w:rsidRPr="00C6052E">
        <w:t xml:space="preserve"> </w:t>
      </w:r>
      <w:r w:rsidRPr="00C6052E">
        <w:t>as</w:t>
      </w:r>
      <w:r w:rsidR="00177848" w:rsidRPr="00C6052E">
        <w:t xml:space="preserve"> </w:t>
      </w:r>
      <w:r w:rsidRPr="00C6052E">
        <w:t>part</w:t>
      </w:r>
      <w:r w:rsidR="00177848" w:rsidRPr="00C6052E">
        <w:t xml:space="preserve"> </w:t>
      </w:r>
      <w:r w:rsidRPr="00C6052E">
        <w:t>of</w:t>
      </w:r>
      <w:r w:rsidR="00177848" w:rsidRPr="00C6052E">
        <w:t xml:space="preserve"> </w:t>
      </w:r>
      <w:r w:rsidRPr="00C6052E">
        <w:t>the</w:t>
      </w:r>
      <w:r w:rsidR="00177848" w:rsidRPr="00C6052E">
        <w:t xml:space="preserve"> </w:t>
      </w:r>
      <w:r w:rsidRPr="00C6052E">
        <w:t>expense.</w:t>
      </w:r>
    </w:p>
    <w:p w14:paraId="7050C302" w14:textId="30DE9454" w:rsidR="00EE5BB8" w:rsidRPr="00C6052E" w:rsidRDefault="00EE5BB8" w:rsidP="00EE5BB8">
      <w:r w:rsidRPr="00C6052E">
        <w:t>Receivables</w:t>
      </w:r>
      <w:r w:rsidR="00177848" w:rsidRPr="00C6052E">
        <w:t xml:space="preserve"> </w:t>
      </w:r>
      <w:r w:rsidRPr="00C6052E">
        <w:t>and</w:t>
      </w:r>
      <w:r w:rsidR="00177848" w:rsidRPr="00C6052E">
        <w:t xml:space="preserve"> </w:t>
      </w:r>
      <w:r w:rsidRPr="00C6052E">
        <w:t>payables</w:t>
      </w:r>
      <w:r w:rsidR="00177848" w:rsidRPr="00C6052E">
        <w:t xml:space="preserve"> </w:t>
      </w:r>
      <w:r w:rsidRPr="00C6052E">
        <w:t>are</w:t>
      </w:r>
      <w:r w:rsidR="00177848" w:rsidRPr="00C6052E">
        <w:t xml:space="preserve"> </w:t>
      </w:r>
      <w:r w:rsidRPr="00C6052E">
        <w:t>stated</w:t>
      </w:r>
      <w:r w:rsidR="00177848" w:rsidRPr="00C6052E">
        <w:t xml:space="preserve"> </w:t>
      </w:r>
      <w:r w:rsidRPr="00C6052E">
        <w:t>inclusive</w:t>
      </w:r>
      <w:r w:rsidR="00177848" w:rsidRPr="00C6052E">
        <w:t xml:space="preserve"> </w:t>
      </w:r>
      <w:r w:rsidRPr="00C6052E">
        <w:t>of</w:t>
      </w:r>
      <w:r w:rsidR="00177848" w:rsidRPr="00C6052E">
        <w:t xml:space="preserve"> </w:t>
      </w:r>
      <w:r w:rsidRPr="00C6052E">
        <w:t>the</w:t>
      </w:r>
      <w:r w:rsidR="00177848" w:rsidRPr="00C6052E">
        <w:t xml:space="preserve"> </w:t>
      </w:r>
      <w:r w:rsidRPr="00C6052E">
        <w:t>amount</w:t>
      </w:r>
      <w:r w:rsidR="00177848" w:rsidRPr="00C6052E">
        <w:t xml:space="preserve"> </w:t>
      </w:r>
      <w:r w:rsidRPr="00C6052E">
        <w:t>of</w:t>
      </w:r>
      <w:r w:rsidR="00177848" w:rsidRPr="00C6052E">
        <w:t xml:space="preserve"> </w:t>
      </w:r>
      <w:r w:rsidRPr="00C6052E">
        <w:t>GST</w:t>
      </w:r>
      <w:r w:rsidR="00177848" w:rsidRPr="00C6052E">
        <w:t xml:space="preserve"> </w:t>
      </w:r>
      <w:r w:rsidRPr="00C6052E">
        <w:t>receivable</w:t>
      </w:r>
      <w:r w:rsidR="00177848" w:rsidRPr="00C6052E">
        <w:t xml:space="preserve"> </w:t>
      </w:r>
      <w:r w:rsidRPr="00C6052E">
        <w:t>or</w:t>
      </w:r>
      <w:r w:rsidR="00177848" w:rsidRPr="00C6052E">
        <w:t xml:space="preserve"> </w:t>
      </w:r>
      <w:r w:rsidRPr="00C6052E">
        <w:t>payable.</w:t>
      </w:r>
      <w:r w:rsidR="00177848" w:rsidRPr="00C6052E">
        <w:t xml:space="preserve"> </w:t>
      </w:r>
      <w:r w:rsidRPr="00C6052E">
        <w:t>The</w:t>
      </w:r>
      <w:r w:rsidR="00177848" w:rsidRPr="00C6052E">
        <w:t xml:space="preserve"> </w:t>
      </w:r>
      <w:r w:rsidRPr="00C6052E">
        <w:t>net</w:t>
      </w:r>
      <w:r w:rsidR="00177848" w:rsidRPr="00C6052E">
        <w:t xml:space="preserve"> </w:t>
      </w:r>
      <w:r w:rsidRPr="00C6052E">
        <w:t>amount</w:t>
      </w:r>
      <w:r w:rsidR="00177848" w:rsidRPr="00C6052E">
        <w:t xml:space="preserve"> </w:t>
      </w:r>
      <w:r w:rsidRPr="00C6052E">
        <w:t>of</w:t>
      </w:r>
      <w:r w:rsidR="00177848" w:rsidRPr="00C6052E">
        <w:t xml:space="preserve"> </w:t>
      </w:r>
      <w:r w:rsidRPr="00C6052E">
        <w:t>GST</w:t>
      </w:r>
      <w:r w:rsidR="00177848" w:rsidRPr="00C6052E">
        <w:t xml:space="preserve"> </w:t>
      </w:r>
      <w:r w:rsidRPr="00C6052E">
        <w:t>recoverable</w:t>
      </w:r>
      <w:r w:rsidR="00177848" w:rsidRPr="00C6052E">
        <w:t xml:space="preserve"> </w:t>
      </w:r>
      <w:r w:rsidRPr="00C6052E">
        <w:t>from</w:t>
      </w:r>
      <w:r w:rsidR="00177848" w:rsidRPr="00C6052E">
        <w:t xml:space="preserve"> </w:t>
      </w:r>
      <w:r w:rsidRPr="00C6052E">
        <w:t>or</w:t>
      </w:r>
      <w:r w:rsidR="00177848" w:rsidRPr="00C6052E">
        <w:t xml:space="preserve"> </w:t>
      </w:r>
      <w:r w:rsidRPr="00C6052E">
        <w:t>payable</w:t>
      </w:r>
      <w:r w:rsidR="00177848" w:rsidRPr="00C6052E">
        <w:t xml:space="preserve"> </w:t>
      </w:r>
      <w:r w:rsidRPr="00C6052E">
        <w:t>to</w:t>
      </w:r>
      <w:r w:rsidR="00177848" w:rsidRPr="00C6052E">
        <w:t xml:space="preserve"> </w:t>
      </w:r>
      <w:r w:rsidRPr="00C6052E">
        <w:t>the</w:t>
      </w:r>
      <w:r w:rsidR="00177848" w:rsidRPr="00C6052E">
        <w:t xml:space="preserve"> </w:t>
      </w:r>
      <w:r w:rsidRPr="00C6052E">
        <w:t>Australian</w:t>
      </w:r>
      <w:r w:rsidR="00177848" w:rsidRPr="00C6052E">
        <w:t xml:space="preserve"> </w:t>
      </w:r>
      <w:r w:rsidRPr="00C6052E">
        <w:t>Taxation</w:t>
      </w:r>
      <w:r w:rsidR="00177848" w:rsidRPr="00C6052E">
        <w:t xml:space="preserve"> </w:t>
      </w:r>
      <w:r w:rsidRPr="00C6052E">
        <w:t>Office</w:t>
      </w:r>
      <w:r w:rsidR="00177848" w:rsidRPr="00C6052E">
        <w:t xml:space="preserve"> </w:t>
      </w:r>
      <w:r w:rsidRPr="00C6052E">
        <w:t>(ATO)</w:t>
      </w:r>
      <w:r w:rsidR="00177848" w:rsidRPr="00C6052E">
        <w:t xml:space="preserve"> </w:t>
      </w:r>
      <w:r w:rsidRPr="00C6052E">
        <w:t>is</w:t>
      </w:r>
      <w:r w:rsidR="00177848" w:rsidRPr="00C6052E">
        <w:t xml:space="preserve"> </w:t>
      </w:r>
      <w:r w:rsidRPr="00C6052E">
        <w:t>included</w:t>
      </w:r>
      <w:r w:rsidR="00177848" w:rsidRPr="00C6052E">
        <w:t xml:space="preserve"> </w:t>
      </w:r>
      <w:r w:rsidRPr="00C6052E">
        <w:t>with</w:t>
      </w:r>
      <w:r w:rsidR="00177848" w:rsidRPr="00C6052E">
        <w:t xml:space="preserve"> </w:t>
      </w:r>
      <w:r w:rsidRPr="00C6052E">
        <w:t>other</w:t>
      </w:r>
      <w:r w:rsidR="00177848" w:rsidRPr="00C6052E">
        <w:t xml:space="preserve"> </w:t>
      </w:r>
      <w:r w:rsidRPr="00C6052E">
        <w:t>receivables</w:t>
      </w:r>
      <w:r w:rsidR="00177848" w:rsidRPr="00C6052E">
        <w:t xml:space="preserve"> </w:t>
      </w:r>
      <w:r w:rsidRPr="00C6052E">
        <w:t>or</w:t>
      </w:r>
      <w:r w:rsidR="00177848" w:rsidRPr="00C6052E">
        <w:t xml:space="preserve"> </w:t>
      </w:r>
      <w:r w:rsidRPr="00C6052E">
        <w:t>payables</w:t>
      </w:r>
      <w:r w:rsidR="00177848" w:rsidRPr="00C6052E">
        <w:t xml:space="preserve"> </w:t>
      </w:r>
      <w:r w:rsidRPr="00C6052E">
        <w:t>in</w:t>
      </w:r>
      <w:r w:rsidR="00177848" w:rsidRPr="00C6052E">
        <w:t xml:space="preserve"> </w:t>
      </w:r>
      <w:r w:rsidRPr="00C6052E">
        <w:t>the</w:t>
      </w:r>
      <w:r w:rsidR="00177848" w:rsidRPr="00C6052E">
        <w:t xml:space="preserve"> </w:t>
      </w:r>
      <w:r w:rsidRPr="00C6052E">
        <w:t>balance</w:t>
      </w:r>
      <w:r w:rsidR="00177848" w:rsidRPr="00C6052E">
        <w:t xml:space="preserve"> </w:t>
      </w:r>
      <w:r w:rsidRPr="00C6052E">
        <w:t>sheet.</w:t>
      </w:r>
    </w:p>
    <w:p w14:paraId="65561923" w14:textId="197C6C28" w:rsidR="00EE5BB8" w:rsidRPr="00C6052E" w:rsidRDefault="00EE5BB8" w:rsidP="00EE5BB8">
      <w:r w:rsidRPr="00C6052E">
        <w:t>Cash</w:t>
      </w:r>
      <w:r w:rsidR="00177848" w:rsidRPr="00C6052E">
        <w:t xml:space="preserve"> </w:t>
      </w:r>
      <w:r w:rsidRPr="00C6052E">
        <w:t>flows</w:t>
      </w:r>
      <w:r w:rsidR="00177848" w:rsidRPr="00C6052E">
        <w:t xml:space="preserve"> </w:t>
      </w:r>
      <w:r w:rsidRPr="00C6052E">
        <w:t>are</w:t>
      </w:r>
      <w:r w:rsidR="00177848" w:rsidRPr="00C6052E">
        <w:t xml:space="preserve"> </w:t>
      </w:r>
      <w:r w:rsidRPr="00C6052E">
        <w:t>presented</w:t>
      </w:r>
      <w:r w:rsidR="00177848" w:rsidRPr="00C6052E">
        <w:t xml:space="preserve"> </w:t>
      </w:r>
      <w:r w:rsidRPr="00C6052E">
        <w:t>on</w:t>
      </w:r>
      <w:r w:rsidR="00177848" w:rsidRPr="00C6052E">
        <w:t xml:space="preserve"> </w:t>
      </w:r>
      <w:r w:rsidRPr="00C6052E">
        <w:t>a</w:t>
      </w:r>
      <w:r w:rsidR="00177848" w:rsidRPr="00C6052E">
        <w:t xml:space="preserve"> </w:t>
      </w:r>
      <w:r w:rsidRPr="00C6052E">
        <w:t>gross</w:t>
      </w:r>
      <w:r w:rsidR="00177848" w:rsidRPr="00C6052E">
        <w:t xml:space="preserve"> </w:t>
      </w:r>
      <w:r w:rsidRPr="00C6052E">
        <w:t>basis.</w:t>
      </w:r>
      <w:r w:rsidR="00177848" w:rsidRPr="00C6052E">
        <w:t xml:space="preserve"> </w:t>
      </w:r>
    </w:p>
    <w:p w14:paraId="330F45D5" w14:textId="5CCD90EA" w:rsidR="00EE5BB8" w:rsidRPr="00C6052E" w:rsidRDefault="00EE5BB8" w:rsidP="00EE5BB8">
      <w:r w:rsidRPr="00C6052E">
        <w:t>Commitments,</w:t>
      </w:r>
      <w:r w:rsidR="00177848" w:rsidRPr="00C6052E">
        <w:t xml:space="preserve"> </w:t>
      </w:r>
      <w:r w:rsidRPr="00C6052E">
        <w:t>contingent</w:t>
      </w:r>
      <w:r w:rsidR="00177848" w:rsidRPr="00C6052E">
        <w:t xml:space="preserve"> </w:t>
      </w:r>
      <w:r w:rsidRPr="00C6052E">
        <w:t>assets</w:t>
      </w:r>
      <w:r w:rsidR="00177848" w:rsidRPr="00C6052E">
        <w:t xml:space="preserve"> </w:t>
      </w:r>
      <w:r w:rsidRPr="00C6052E">
        <w:t>and</w:t>
      </w:r>
      <w:r w:rsidR="00177848" w:rsidRPr="00C6052E">
        <w:t xml:space="preserve"> </w:t>
      </w:r>
      <w:r w:rsidRPr="00C6052E">
        <w:t>liabilities</w:t>
      </w:r>
      <w:r w:rsidR="00177848" w:rsidRPr="00C6052E">
        <w:t xml:space="preserve"> </w:t>
      </w:r>
      <w:r w:rsidRPr="00C6052E">
        <w:t>are</w:t>
      </w:r>
      <w:r w:rsidR="00177848" w:rsidRPr="00C6052E">
        <w:t xml:space="preserve"> </w:t>
      </w:r>
      <w:r w:rsidRPr="00C6052E">
        <w:t>also</w:t>
      </w:r>
      <w:r w:rsidR="00177848" w:rsidRPr="00C6052E">
        <w:t xml:space="preserve"> </w:t>
      </w:r>
      <w:r w:rsidRPr="00C6052E">
        <w:t>stated</w:t>
      </w:r>
      <w:r w:rsidR="00177848" w:rsidRPr="00C6052E">
        <w:t xml:space="preserve"> </w:t>
      </w:r>
      <w:r w:rsidRPr="00C6052E">
        <w:t>inclusive</w:t>
      </w:r>
      <w:r w:rsidR="00177848" w:rsidRPr="00C6052E">
        <w:t xml:space="preserve"> </w:t>
      </w:r>
      <w:r w:rsidRPr="00C6052E">
        <w:t>of</w:t>
      </w:r>
      <w:r w:rsidR="00177848" w:rsidRPr="00C6052E">
        <w:t xml:space="preserve"> </w:t>
      </w:r>
      <w:r w:rsidRPr="00C6052E">
        <w:t>GST.</w:t>
      </w:r>
    </w:p>
    <w:p w14:paraId="6BF6C85B" w14:textId="534D6015" w:rsidR="00EE5BB8" w:rsidRPr="00C6052E" w:rsidRDefault="00EE5BB8" w:rsidP="00C6052E">
      <w:pPr>
        <w:pStyle w:val="Heading2numbered0"/>
      </w:pPr>
      <w:bookmarkStart w:id="401" w:name="_Toc163566004"/>
      <w:bookmarkStart w:id="402" w:name="_Ref209710903"/>
      <w:bookmarkStart w:id="403" w:name="_Ref209710910"/>
      <w:r w:rsidRPr="00C6052E">
        <w:t>Australian</w:t>
      </w:r>
      <w:r w:rsidR="00177848" w:rsidRPr="00C6052E">
        <w:t xml:space="preserve"> </w:t>
      </w:r>
      <w:r w:rsidRPr="00C6052E">
        <w:t>Accounting</w:t>
      </w:r>
      <w:r w:rsidR="00177848" w:rsidRPr="00C6052E">
        <w:t xml:space="preserve"> </w:t>
      </w:r>
      <w:r w:rsidRPr="00C6052E">
        <w:t>Standards</w:t>
      </w:r>
      <w:r w:rsidR="00177848" w:rsidRPr="00C6052E">
        <w:t xml:space="preserve"> </w:t>
      </w:r>
      <w:r w:rsidRPr="00C6052E">
        <w:t>(AAS)</w:t>
      </w:r>
      <w:r w:rsidR="00177848" w:rsidRPr="00C6052E">
        <w:t xml:space="preserve"> </w:t>
      </w:r>
      <w:r w:rsidRPr="00C6052E">
        <w:t>issued</w:t>
      </w:r>
      <w:r w:rsidR="00177848" w:rsidRPr="00C6052E">
        <w:t xml:space="preserve"> </w:t>
      </w:r>
      <w:r w:rsidRPr="00C6052E">
        <w:t>that</w:t>
      </w:r>
      <w:r w:rsidR="00177848" w:rsidRPr="00C6052E">
        <w:t xml:space="preserve"> </w:t>
      </w:r>
      <w:r w:rsidRPr="00C6052E">
        <w:t>are</w:t>
      </w:r>
      <w:r w:rsidR="00177848" w:rsidRPr="00C6052E">
        <w:t xml:space="preserve"> </w:t>
      </w:r>
      <w:r w:rsidRPr="00C6052E">
        <w:t>not</w:t>
      </w:r>
      <w:r w:rsidR="00177848" w:rsidRPr="00C6052E">
        <w:t xml:space="preserve"> </w:t>
      </w:r>
      <w:r w:rsidRPr="00C6052E">
        <w:t>yet</w:t>
      </w:r>
      <w:r w:rsidR="00177848" w:rsidRPr="00C6052E">
        <w:t xml:space="preserve"> </w:t>
      </w:r>
      <w:r w:rsidRPr="00C6052E">
        <w:t>effective</w:t>
      </w:r>
      <w:bookmarkEnd w:id="401"/>
      <w:bookmarkEnd w:id="402"/>
      <w:bookmarkEnd w:id="403"/>
    </w:p>
    <w:p w14:paraId="75712BF0" w14:textId="026CF825" w:rsidR="00EE5BB8" w:rsidRPr="00C6052E" w:rsidRDefault="00EE5BB8" w:rsidP="0028635E">
      <w:pPr>
        <w:pStyle w:val="Normalbeforebullets"/>
        <w:rPr>
          <w:highlight w:val="yellow"/>
        </w:rPr>
      </w:pPr>
      <w:r w:rsidRPr="00C6052E">
        <w:t>Certain</w:t>
      </w:r>
      <w:r w:rsidR="00177848" w:rsidRPr="00C6052E">
        <w:t xml:space="preserve"> </w:t>
      </w:r>
      <w:r w:rsidRPr="00C6052E">
        <w:t>new</w:t>
      </w:r>
      <w:r w:rsidR="00177848" w:rsidRPr="00C6052E">
        <w:t xml:space="preserve"> </w:t>
      </w:r>
      <w:r w:rsidRPr="00C6052E">
        <w:t>and</w:t>
      </w:r>
      <w:r w:rsidR="00177848" w:rsidRPr="00C6052E">
        <w:t xml:space="preserve"> </w:t>
      </w:r>
      <w:r w:rsidRPr="00C6052E">
        <w:t>revised</w:t>
      </w:r>
      <w:r w:rsidR="00177848" w:rsidRPr="00C6052E">
        <w:t xml:space="preserve"> </w:t>
      </w:r>
      <w:r w:rsidRPr="00C6052E">
        <w:t>accounting</w:t>
      </w:r>
      <w:r w:rsidR="00177848" w:rsidRPr="00C6052E">
        <w:t xml:space="preserve"> </w:t>
      </w:r>
      <w:r w:rsidRPr="00C6052E">
        <w:t>standards</w:t>
      </w:r>
      <w:r w:rsidR="00177848" w:rsidRPr="00C6052E">
        <w:t xml:space="preserve"> </w:t>
      </w:r>
      <w:r w:rsidRPr="00C6052E">
        <w:t>have</w:t>
      </w:r>
      <w:r w:rsidR="00177848" w:rsidRPr="00C6052E">
        <w:t xml:space="preserve"> </w:t>
      </w:r>
      <w:r w:rsidRPr="00C6052E">
        <w:t>been</w:t>
      </w:r>
      <w:r w:rsidR="00177848" w:rsidRPr="00C6052E">
        <w:t xml:space="preserve"> </w:t>
      </w:r>
      <w:r w:rsidRPr="00C6052E">
        <w:t>issued</w:t>
      </w:r>
      <w:r w:rsidR="00177848" w:rsidRPr="00C6052E">
        <w:t xml:space="preserve"> </w:t>
      </w:r>
      <w:r w:rsidRPr="00C6052E">
        <w:t>but</w:t>
      </w:r>
      <w:r w:rsidR="00177848" w:rsidRPr="00C6052E">
        <w:t xml:space="preserve"> </w:t>
      </w:r>
      <w:r w:rsidRPr="00C6052E">
        <w:t>are</w:t>
      </w:r>
      <w:r w:rsidR="00177848" w:rsidRPr="00C6052E">
        <w:t xml:space="preserve"> </w:t>
      </w:r>
      <w:r w:rsidRPr="00C6052E">
        <w:t>not</w:t>
      </w:r>
      <w:r w:rsidR="00177848" w:rsidRPr="00C6052E">
        <w:t xml:space="preserve"> </w:t>
      </w:r>
      <w:r w:rsidRPr="00C6052E">
        <w:t>effective</w:t>
      </w:r>
      <w:r w:rsidR="00177848" w:rsidRPr="00C6052E">
        <w:t xml:space="preserve"> </w:t>
      </w:r>
      <w:r w:rsidRPr="00C6052E">
        <w:t>for</w:t>
      </w:r>
      <w:r w:rsidR="00177848" w:rsidRPr="00C6052E">
        <w:t xml:space="preserve"> </w:t>
      </w:r>
      <w:r w:rsidRPr="00C6052E">
        <w:t>the</w:t>
      </w:r>
      <w:r w:rsidR="00177848" w:rsidRPr="00C6052E">
        <w:t xml:space="preserve"> </w:t>
      </w:r>
      <w:r w:rsidRPr="00C6052E">
        <w:t>FY</w:t>
      </w:r>
      <w:fldSimple w:instr=" DOCPROPERTY  CYHeading_A  \* MERGEFORMAT ">
        <w:r w:rsidRPr="00C6052E">
          <w:t>2024–25</w:t>
        </w:r>
      </w:fldSimple>
      <w:r w:rsidR="00177848" w:rsidRPr="00C6052E">
        <w:t xml:space="preserve"> </w:t>
      </w:r>
      <w:r w:rsidRPr="00C6052E">
        <w:t>reporting</w:t>
      </w:r>
      <w:r w:rsidR="00177848" w:rsidRPr="00C6052E">
        <w:t xml:space="preserve"> </w:t>
      </w:r>
      <w:r w:rsidRPr="00C6052E">
        <w:t>period.</w:t>
      </w:r>
      <w:r w:rsidR="00177848" w:rsidRPr="00C6052E">
        <w:t xml:space="preserve"> </w:t>
      </w:r>
      <w:r w:rsidRPr="00C6052E">
        <w:t>DJSIR</w:t>
      </w:r>
      <w:r w:rsidR="00177848" w:rsidRPr="00C6052E">
        <w:t xml:space="preserve"> </w:t>
      </w:r>
      <w:r w:rsidRPr="00C6052E">
        <w:t>is</w:t>
      </w:r>
      <w:r w:rsidR="00177848" w:rsidRPr="00C6052E">
        <w:t xml:space="preserve"> </w:t>
      </w:r>
      <w:r w:rsidRPr="00C6052E">
        <w:t>reviewing</w:t>
      </w:r>
      <w:r w:rsidR="00177848" w:rsidRPr="00C6052E">
        <w:t xml:space="preserve"> </w:t>
      </w:r>
      <w:r w:rsidRPr="00C6052E">
        <w:t>its</w:t>
      </w:r>
      <w:r w:rsidR="00177848" w:rsidRPr="00C6052E">
        <w:t xml:space="preserve"> </w:t>
      </w:r>
      <w:r w:rsidRPr="00C6052E">
        <w:t>existing</w:t>
      </w:r>
      <w:r w:rsidR="00177848" w:rsidRPr="00C6052E">
        <w:t xml:space="preserve"> </w:t>
      </w:r>
      <w:r w:rsidRPr="00C6052E">
        <w:t>policies</w:t>
      </w:r>
      <w:r w:rsidR="00177848" w:rsidRPr="00C6052E">
        <w:t xml:space="preserve"> </w:t>
      </w:r>
      <w:r w:rsidRPr="00C6052E">
        <w:t>and</w:t>
      </w:r>
      <w:r w:rsidR="00177848" w:rsidRPr="00C6052E">
        <w:t xml:space="preserve"> </w:t>
      </w:r>
      <w:r w:rsidRPr="00C6052E">
        <w:t>assessing</w:t>
      </w:r>
      <w:r w:rsidR="00177848" w:rsidRPr="00C6052E">
        <w:t xml:space="preserve"> </w:t>
      </w:r>
      <w:r w:rsidRPr="00C6052E">
        <w:t>the</w:t>
      </w:r>
      <w:r w:rsidR="00177848" w:rsidRPr="00C6052E">
        <w:t xml:space="preserve"> </w:t>
      </w:r>
      <w:r w:rsidRPr="00C6052E">
        <w:t>potential</w:t>
      </w:r>
      <w:r w:rsidR="00177848" w:rsidRPr="00C6052E">
        <w:t xml:space="preserve"> </w:t>
      </w:r>
      <w:r w:rsidRPr="00C6052E">
        <w:t>implications</w:t>
      </w:r>
      <w:r w:rsidR="00177848" w:rsidRPr="00C6052E">
        <w:t xml:space="preserve"> </w:t>
      </w:r>
      <w:r w:rsidRPr="00C6052E">
        <w:t>of</w:t>
      </w:r>
      <w:r w:rsidR="00177848" w:rsidRPr="00C6052E">
        <w:t xml:space="preserve"> </w:t>
      </w:r>
      <w:r w:rsidRPr="00C6052E">
        <w:t>these</w:t>
      </w:r>
      <w:r w:rsidR="00177848" w:rsidRPr="00C6052E">
        <w:t xml:space="preserve"> </w:t>
      </w:r>
      <w:r w:rsidRPr="00C6052E">
        <w:t>accounting</w:t>
      </w:r>
      <w:r w:rsidR="00177848" w:rsidRPr="00C6052E">
        <w:t xml:space="preserve"> </w:t>
      </w:r>
      <w:r w:rsidRPr="00C6052E">
        <w:t>standards</w:t>
      </w:r>
      <w:r w:rsidR="00177848" w:rsidRPr="00C6052E">
        <w:t xml:space="preserve"> </w:t>
      </w:r>
      <w:r w:rsidRPr="00C6052E">
        <w:t>which</w:t>
      </w:r>
      <w:r w:rsidR="00177848" w:rsidRPr="00C6052E">
        <w:t xml:space="preserve"> </w:t>
      </w:r>
      <w:r w:rsidRPr="00C6052E">
        <w:t>includes:</w:t>
      </w:r>
    </w:p>
    <w:p w14:paraId="11AF9126" w14:textId="49E6AD19" w:rsidR="00EE5BB8" w:rsidRPr="00C6052E" w:rsidRDefault="00EE5BB8" w:rsidP="00EE5BB8">
      <w:pPr>
        <w:rPr>
          <w:rStyle w:val="Medium"/>
          <w:highlight w:val="yellow"/>
        </w:rPr>
      </w:pPr>
      <w:r w:rsidRPr="00C6052E">
        <w:rPr>
          <w:rStyle w:val="Medium"/>
        </w:rPr>
        <w:t>AASB</w:t>
      </w:r>
      <w:r w:rsidR="00177848" w:rsidRPr="00C6052E">
        <w:rPr>
          <w:rStyle w:val="Medium"/>
        </w:rPr>
        <w:t xml:space="preserve"> </w:t>
      </w:r>
      <w:r w:rsidRPr="00C6052E">
        <w:rPr>
          <w:rStyle w:val="Medium"/>
        </w:rPr>
        <w:t>2022–10</w:t>
      </w:r>
      <w:r w:rsidR="00177848" w:rsidRPr="00C6052E">
        <w:rPr>
          <w:rStyle w:val="Medium"/>
        </w:rPr>
        <w:t xml:space="preserve"> </w:t>
      </w:r>
      <w:r w:rsidRPr="00C6052E">
        <w:rPr>
          <w:rStyle w:val="Medium"/>
          <w:i/>
          <w:iCs/>
        </w:rPr>
        <w:t>Amendments</w:t>
      </w:r>
      <w:r w:rsidR="00177848" w:rsidRPr="00C6052E">
        <w:rPr>
          <w:rStyle w:val="Medium"/>
          <w:i/>
          <w:iCs/>
        </w:rPr>
        <w:t xml:space="preserve"> </w:t>
      </w:r>
      <w:r w:rsidRPr="00C6052E">
        <w:rPr>
          <w:rStyle w:val="Medium"/>
          <w:i/>
          <w:iCs/>
        </w:rPr>
        <w:t>to</w:t>
      </w:r>
      <w:r w:rsidR="00177848" w:rsidRPr="00C6052E">
        <w:rPr>
          <w:rStyle w:val="Medium"/>
          <w:i/>
          <w:iCs/>
        </w:rPr>
        <w:t xml:space="preserve"> </w:t>
      </w:r>
      <w:r w:rsidRPr="00C6052E">
        <w:rPr>
          <w:rStyle w:val="Medium"/>
          <w:i/>
          <w:iCs/>
        </w:rPr>
        <w:t>Australian</w:t>
      </w:r>
      <w:r w:rsidR="00177848" w:rsidRPr="00C6052E">
        <w:rPr>
          <w:rStyle w:val="Medium"/>
          <w:i/>
          <w:iCs/>
        </w:rPr>
        <w:t xml:space="preserve"> </w:t>
      </w:r>
      <w:r w:rsidRPr="00C6052E">
        <w:rPr>
          <w:rStyle w:val="Medium"/>
          <w:i/>
          <w:iCs/>
        </w:rPr>
        <w:t>Accounting</w:t>
      </w:r>
      <w:r w:rsidR="00177848" w:rsidRPr="00C6052E">
        <w:rPr>
          <w:rStyle w:val="Medium"/>
          <w:i/>
          <w:iCs/>
        </w:rPr>
        <w:t xml:space="preserve"> </w:t>
      </w:r>
      <w:r w:rsidRPr="00C6052E">
        <w:rPr>
          <w:rStyle w:val="Medium"/>
          <w:i/>
          <w:iCs/>
        </w:rPr>
        <w:t>Standards</w:t>
      </w:r>
      <w:r w:rsidR="00177848" w:rsidRPr="00C6052E">
        <w:rPr>
          <w:rStyle w:val="Medium"/>
          <w:i/>
          <w:iCs/>
        </w:rPr>
        <w:t xml:space="preserve"> </w:t>
      </w:r>
      <w:r w:rsidRPr="00C6052E">
        <w:rPr>
          <w:rStyle w:val="Medium"/>
          <w:i/>
          <w:iCs/>
        </w:rPr>
        <w:t>–</w:t>
      </w:r>
      <w:r w:rsidR="00177848" w:rsidRPr="00C6052E">
        <w:rPr>
          <w:rStyle w:val="Medium"/>
          <w:i/>
          <w:iCs/>
        </w:rPr>
        <w:t xml:space="preserve"> </w:t>
      </w:r>
      <w:r w:rsidRPr="00C6052E">
        <w:rPr>
          <w:rStyle w:val="Medium"/>
          <w:i/>
        </w:rPr>
        <w:t>Fair</w:t>
      </w:r>
      <w:r w:rsidR="00177848" w:rsidRPr="00C6052E">
        <w:rPr>
          <w:rStyle w:val="Medium"/>
          <w:i/>
        </w:rPr>
        <w:t xml:space="preserve"> </w:t>
      </w:r>
      <w:r w:rsidRPr="00C6052E">
        <w:rPr>
          <w:rStyle w:val="Medium"/>
          <w:i/>
        </w:rPr>
        <w:t>Value</w:t>
      </w:r>
      <w:r w:rsidR="00177848" w:rsidRPr="00C6052E">
        <w:rPr>
          <w:rStyle w:val="Medium"/>
          <w:i/>
        </w:rPr>
        <w:t xml:space="preserve"> </w:t>
      </w:r>
      <w:r w:rsidRPr="00C6052E">
        <w:rPr>
          <w:rStyle w:val="Medium"/>
          <w:i/>
        </w:rPr>
        <w:t>Measurement</w:t>
      </w:r>
      <w:r w:rsidR="00177848" w:rsidRPr="00C6052E">
        <w:rPr>
          <w:rStyle w:val="Medium"/>
          <w:i/>
        </w:rPr>
        <w:t xml:space="preserve"> </w:t>
      </w:r>
      <w:r w:rsidRPr="00C6052E">
        <w:rPr>
          <w:rStyle w:val="Medium"/>
          <w:i/>
        </w:rPr>
        <w:t>of</w:t>
      </w:r>
      <w:r w:rsidR="00177848" w:rsidRPr="00C6052E">
        <w:rPr>
          <w:rStyle w:val="Medium"/>
          <w:i/>
        </w:rPr>
        <w:t xml:space="preserve"> </w:t>
      </w:r>
      <w:r w:rsidRPr="00C6052E">
        <w:rPr>
          <w:rStyle w:val="Medium"/>
          <w:i/>
        </w:rPr>
        <w:t>Non-Financial</w:t>
      </w:r>
      <w:r w:rsidR="00177848" w:rsidRPr="00C6052E">
        <w:rPr>
          <w:rStyle w:val="Medium"/>
          <w:i/>
        </w:rPr>
        <w:t xml:space="preserve"> </w:t>
      </w:r>
      <w:r w:rsidRPr="00C6052E">
        <w:rPr>
          <w:rStyle w:val="Medium"/>
          <w:i/>
        </w:rPr>
        <w:t>Assets</w:t>
      </w:r>
      <w:r w:rsidR="00177848" w:rsidRPr="00C6052E">
        <w:rPr>
          <w:rStyle w:val="Medium"/>
          <w:i/>
        </w:rPr>
        <w:t xml:space="preserve"> </w:t>
      </w:r>
      <w:r w:rsidRPr="00C6052E">
        <w:rPr>
          <w:rStyle w:val="Medium"/>
          <w:i/>
        </w:rPr>
        <w:t>of</w:t>
      </w:r>
      <w:r w:rsidR="00177848" w:rsidRPr="00C6052E">
        <w:rPr>
          <w:rStyle w:val="Medium"/>
          <w:i/>
        </w:rPr>
        <w:t xml:space="preserve"> </w:t>
      </w:r>
      <w:r w:rsidRPr="00C6052E">
        <w:rPr>
          <w:rStyle w:val="Medium"/>
          <w:i/>
        </w:rPr>
        <w:t>Not-for-Profit</w:t>
      </w:r>
      <w:r w:rsidR="00177848" w:rsidRPr="00C6052E">
        <w:rPr>
          <w:rStyle w:val="Medium"/>
          <w:i/>
        </w:rPr>
        <w:t xml:space="preserve"> </w:t>
      </w:r>
      <w:r w:rsidRPr="00C6052E">
        <w:rPr>
          <w:rStyle w:val="Medium"/>
          <w:i/>
        </w:rPr>
        <w:t>Public</w:t>
      </w:r>
      <w:r w:rsidR="00177848" w:rsidRPr="00C6052E">
        <w:rPr>
          <w:rStyle w:val="Medium"/>
          <w:i/>
        </w:rPr>
        <w:t xml:space="preserve"> </w:t>
      </w:r>
      <w:r w:rsidRPr="00C6052E">
        <w:rPr>
          <w:rStyle w:val="Medium"/>
          <w:i/>
        </w:rPr>
        <w:t>Sector</w:t>
      </w:r>
      <w:r w:rsidR="00177848" w:rsidRPr="00C6052E">
        <w:rPr>
          <w:rStyle w:val="Medium"/>
          <w:i/>
        </w:rPr>
        <w:t xml:space="preserve"> </w:t>
      </w:r>
      <w:r w:rsidRPr="00C6052E">
        <w:rPr>
          <w:rStyle w:val="Medium"/>
          <w:i/>
        </w:rPr>
        <w:t>Entities.</w:t>
      </w:r>
    </w:p>
    <w:p w14:paraId="17601521" w14:textId="12DCC970" w:rsidR="00EE5BB8" w:rsidRPr="00C6052E" w:rsidRDefault="00EE5BB8" w:rsidP="00EE5BB8">
      <w:r w:rsidRPr="00C6052E">
        <w:t>AASB</w:t>
      </w:r>
      <w:r w:rsidR="00177848" w:rsidRPr="00C6052E">
        <w:t xml:space="preserve"> </w:t>
      </w:r>
      <w:r w:rsidRPr="00C6052E">
        <w:t>2022–10</w:t>
      </w:r>
      <w:r w:rsidR="00177848" w:rsidRPr="00C6052E">
        <w:t xml:space="preserve"> </w:t>
      </w:r>
      <w:r w:rsidRPr="00C6052E">
        <w:rPr>
          <w:i/>
        </w:rPr>
        <w:t>Amendments</w:t>
      </w:r>
      <w:r w:rsidR="00177848" w:rsidRPr="00C6052E">
        <w:rPr>
          <w:i/>
        </w:rPr>
        <w:t xml:space="preserve"> </w:t>
      </w:r>
      <w:r w:rsidRPr="00C6052E">
        <w:rPr>
          <w:i/>
        </w:rPr>
        <w:t>to</w:t>
      </w:r>
      <w:r w:rsidR="00177848" w:rsidRPr="00C6052E">
        <w:rPr>
          <w:i/>
        </w:rPr>
        <w:t xml:space="preserve"> </w:t>
      </w:r>
      <w:r w:rsidRPr="00C6052E">
        <w:rPr>
          <w:i/>
        </w:rPr>
        <w:t>Australian</w:t>
      </w:r>
      <w:r w:rsidR="00177848" w:rsidRPr="00C6052E">
        <w:rPr>
          <w:i/>
        </w:rPr>
        <w:t xml:space="preserve"> </w:t>
      </w:r>
      <w:r w:rsidRPr="00C6052E">
        <w:rPr>
          <w:i/>
        </w:rPr>
        <w:t>Accounting</w:t>
      </w:r>
      <w:r w:rsidR="00177848" w:rsidRPr="00C6052E">
        <w:rPr>
          <w:i/>
        </w:rPr>
        <w:t xml:space="preserve"> </w:t>
      </w:r>
      <w:r w:rsidRPr="00C6052E">
        <w:rPr>
          <w:i/>
        </w:rPr>
        <w:t>Standards</w:t>
      </w:r>
      <w:r w:rsidR="00177848" w:rsidRPr="00C6052E">
        <w:rPr>
          <w:i/>
        </w:rPr>
        <w:t xml:space="preserve"> </w:t>
      </w:r>
      <w:r w:rsidRPr="00C6052E">
        <w:rPr>
          <w:i/>
        </w:rPr>
        <w:t>–</w:t>
      </w:r>
      <w:r w:rsidR="00177848" w:rsidRPr="00C6052E">
        <w:rPr>
          <w:i/>
        </w:rPr>
        <w:t xml:space="preserve"> </w:t>
      </w:r>
      <w:r w:rsidRPr="00C6052E">
        <w:rPr>
          <w:i/>
        </w:rPr>
        <w:t>Fair</w:t>
      </w:r>
      <w:r w:rsidR="00177848" w:rsidRPr="00C6052E">
        <w:rPr>
          <w:i/>
        </w:rPr>
        <w:t xml:space="preserve"> </w:t>
      </w:r>
      <w:r w:rsidRPr="00C6052E">
        <w:rPr>
          <w:i/>
        </w:rPr>
        <w:t>Value</w:t>
      </w:r>
      <w:r w:rsidR="00177848" w:rsidRPr="00C6052E">
        <w:rPr>
          <w:i/>
        </w:rPr>
        <w:t xml:space="preserve"> </w:t>
      </w:r>
      <w:r w:rsidRPr="00C6052E">
        <w:rPr>
          <w:i/>
        </w:rPr>
        <w:t>Measurement</w:t>
      </w:r>
      <w:r w:rsidR="00177848" w:rsidRPr="00C6052E">
        <w:rPr>
          <w:i/>
        </w:rPr>
        <w:t xml:space="preserve"> </w:t>
      </w:r>
      <w:r w:rsidRPr="00C6052E">
        <w:rPr>
          <w:i/>
        </w:rPr>
        <w:t>of</w:t>
      </w:r>
      <w:r w:rsidR="00177848" w:rsidRPr="00C6052E">
        <w:rPr>
          <w:i/>
        </w:rPr>
        <w:t xml:space="preserve"> </w:t>
      </w:r>
      <w:r w:rsidRPr="00C6052E">
        <w:rPr>
          <w:i/>
        </w:rPr>
        <w:t>Non-Financial</w:t>
      </w:r>
      <w:r w:rsidR="00177848" w:rsidRPr="00C6052E">
        <w:rPr>
          <w:i/>
        </w:rPr>
        <w:t xml:space="preserve"> </w:t>
      </w:r>
      <w:r w:rsidRPr="00C6052E">
        <w:rPr>
          <w:i/>
        </w:rPr>
        <w:t>Assets</w:t>
      </w:r>
      <w:r w:rsidR="00177848" w:rsidRPr="00C6052E">
        <w:rPr>
          <w:i/>
        </w:rPr>
        <w:t xml:space="preserve"> </w:t>
      </w:r>
      <w:r w:rsidRPr="00C6052E">
        <w:rPr>
          <w:i/>
        </w:rPr>
        <w:t>of</w:t>
      </w:r>
      <w:r w:rsidR="00177848" w:rsidRPr="00C6052E">
        <w:rPr>
          <w:i/>
        </w:rPr>
        <w:t xml:space="preserve"> </w:t>
      </w:r>
      <w:r w:rsidRPr="00C6052E">
        <w:rPr>
          <w:i/>
        </w:rPr>
        <w:t>Not-for-Profit</w:t>
      </w:r>
      <w:r w:rsidR="00177848" w:rsidRPr="00C6052E">
        <w:rPr>
          <w:i/>
        </w:rPr>
        <w:t xml:space="preserve"> </w:t>
      </w:r>
      <w:r w:rsidRPr="00C6052E">
        <w:rPr>
          <w:i/>
        </w:rPr>
        <w:t>Public</w:t>
      </w:r>
      <w:r w:rsidR="00177848" w:rsidRPr="00C6052E">
        <w:rPr>
          <w:i/>
        </w:rPr>
        <w:t xml:space="preserve"> </w:t>
      </w:r>
      <w:r w:rsidRPr="00C6052E">
        <w:rPr>
          <w:i/>
        </w:rPr>
        <w:t>Sector</w:t>
      </w:r>
      <w:r w:rsidR="00177848" w:rsidRPr="00C6052E">
        <w:rPr>
          <w:i/>
        </w:rPr>
        <w:t xml:space="preserve"> </w:t>
      </w:r>
      <w:r w:rsidRPr="00C6052E">
        <w:rPr>
          <w:i/>
        </w:rPr>
        <w:t>Entities</w:t>
      </w:r>
      <w:r w:rsidR="00177848" w:rsidRPr="00C6052E">
        <w:t xml:space="preserve"> </w:t>
      </w:r>
      <w:r w:rsidRPr="00C6052E">
        <w:t>amended</w:t>
      </w:r>
      <w:r w:rsidR="00177848" w:rsidRPr="00C6052E">
        <w:t xml:space="preserve"> </w:t>
      </w:r>
      <w:r w:rsidRPr="00C6052E">
        <w:t>AASB</w:t>
      </w:r>
      <w:r w:rsidR="00177848" w:rsidRPr="00C6052E">
        <w:t xml:space="preserve"> </w:t>
      </w:r>
      <w:r w:rsidRPr="00C6052E">
        <w:t>13</w:t>
      </w:r>
      <w:r w:rsidR="00177848" w:rsidRPr="00C6052E">
        <w:t xml:space="preserve"> </w:t>
      </w:r>
      <w:r w:rsidRPr="00C6052E">
        <w:t>by</w:t>
      </w:r>
      <w:r w:rsidR="00177848" w:rsidRPr="00C6052E">
        <w:t xml:space="preserve"> </w:t>
      </w:r>
      <w:r w:rsidRPr="00C6052E">
        <w:t>adding</w:t>
      </w:r>
      <w:r w:rsidR="00177848" w:rsidRPr="00C6052E">
        <w:t xml:space="preserve"> </w:t>
      </w:r>
      <w:r w:rsidRPr="00C6052E">
        <w:t>Appendix</w:t>
      </w:r>
      <w:r w:rsidR="00177848" w:rsidRPr="00C6052E">
        <w:t xml:space="preserve"> </w:t>
      </w:r>
      <w:r w:rsidRPr="00C6052E">
        <w:t>F</w:t>
      </w:r>
      <w:r w:rsidR="00177848" w:rsidRPr="00C6052E">
        <w:t xml:space="preserve"> </w:t>
      </w:r>
      <w:r w:rsidRPr="00C6052E">
        <w:t>Australian</w:t>
      </w:r>
      <w:r w:rsidR="00177848" w:rsidRPr="00C6052E">
        <w:t xml:space="preserve"> </w:t>
      </w:r>
      <w:r w:rsidRPr="00C6052E">
        <w:t>implementation</w:t>
      </w:r>
      <w:r w:rsidR="00177848" w:rsidRPr="00C6052E">
        <w:t xml:space="preserve"> </w:t>
      </w:r>
      <w:r w:rsidRPr="00C6052E">
        <w:t>guidance</w:t>
      </w:r>
      <w:r w:rsidR="00177848" w:rsidRPr="00C6052E">
        <w:t xml:space="preserve"> </w:t>
      </w:r>
      <w:r w:rsidRPr="00C6052E">
        <w:t>for</w:t>
      </w:r>
      <w:r w:rsidR="00177848" w:rsidRPr="00C6052E">
        <w:t xml:space="preserve"> </w:t>
      </w:r>
      <w:r w:rsidRPr="00C6052E">
        <w:t>not–for–profit</w:t>
      </w:r>
      <w:r w:rsidR="00177848" w:rsidRPr="00C6052E">
        <w:t xml:space="preserve"> </w:t>
      </w:r>
      <w:r w:rsidRPr="00C6052E">
        <w:t>public</w:t>
      </w:r>
      <w:r w:rsidR="00177848" w:rsidRPr="00C6052E">
        <w:t xml:space="preserve"> </w:t>
      </w:r>
      <w:r w:rsidRPr="00C6052E">
        <w:t>sector</w:t>
      </w:r>
      <w:r w:rsidR="00177848" w:rsidRPr="00C6052E">
        <w:t xml:space="preserve"> </w:t>
      </w:r>
      <w:r w:rsidRPr="00C6052E">
        <w:t>entities.</w:t>
      </w:r>
      <w:r w:rsidR="00177848" w:rsidRPr="00C6052E">
        <w:t xml:space="preserve"> </w:t>
      </w:r>
      <w:r w:rsidRPr="00C6052E">
        <w:t>Appendix</w:t>
      </w:r>
      <w:r w:rsidR="00177848" w:rsidRPr="00C6052E">
        <w:t xml:space="preserve"> </w:t>
      </w:r>
      <w:r w:rsidRPr="00C6052E">
        <w:t>F</w:t>
      </w:r>
      <w:r w:rsidR="00177848" w:rsidRPr="00C6052E">
        <w:t xml:space="preserve"> </w:t>
      </w:r>
      <w:r w:rsidRPr="00C6052E">
        <w:t>explains</w:t>
      </w:r>
      <w:r w:rsidR="00177848" w:rsidRPr="00C6052E">
        <w:t xml:space="preserve"> </w:t>
      </w:r>
      <w:r w:rsidRPr="00C6052E">
        <w:t>and</w:t>
      </w:r>
      <w:r w:rsidR="00177848" w:rsidRPr="00C6052E">
        <w:t xml:space="preserve"> </w:t>
      </w:r>
      <w:r w:rsidRPr="00C6052E">
        <w:t>illustrates</w:t>
      </w:r>
      <w:r w:rsidR="00177848" w:rsidRPr="00C6052E">
        <w:t xml:space="preserve"> </w:t>
      </w:r>
      <w:r w:rsidRPr="00C6052E">
        <w:t>the</w:t>
      </w:r>
      <w:r w:rsidR="00177848" w:rsidRPr="00C6052E">
        <w:t xml:space="preserve"> </w:t>
      </w:r>
      <w:r w:rsidRPr="00C6052E">
        <w:t>application</w:t>
      </w:r>
      <w:r w:rsidR="00177848" w:rsidRPr="00C6052E">
        <w:t xml:space="preserve"> </w:t>
      </w:r>
      <w:r w:rsidRPr="00C6052E">
        <w:t>of</w:t>
      </w:r>
      <w:r w:rsidR="00177848" w:rsidRPr="00C6052E">
        <w:t xml:space="preserve"> </w:t>
      </w:r>
      <w:r w:rsidRPr="00C6052E">
        <w:t>the</w:t>
      </w:r>
      <w:r w:rsidR="00177848" w:rsidRPr="00C6052E">
        <w:t xml:space="preserve"> </w:t>
      </w:r>
      <w:r w:rsidRPr="00C6052E">
        <w:t>principles</w:t>
      </w:r>
      <w:r w:rsidR="00177848" w:rsidRPr="00C6052E">
        <w:t xml:space="preserve"> </w:t>
      </w:r>
      <w:r w:rsidRPr="00C6052E">
        <w:t>in</w:t>
      </w:r>
      <w:r w:rsidR="00177848" w:rsidRPr="00C6052E">
        <w:t xml:space="preserve"> </w:t>
      </w:r>
      <w:r w:rsidRPr="00C6052E">
        <w:t>AASB</w:t>
      </w:r>
      <w:r w:rsidR="00177848" w:rsidRPr="00C6052E">
        <w:t xml:space="preserve"> </w:t>
      </w:r>
      <w:r w:rsidRPr="00C6052E">
        <w:t>13</w:t>
      </w:r>
      <w:r w:rsidR="00177848" w:rsidRPr="00C6052E">
        <w:t xml:space="preserve"> </w:t>
      </w:r>
      <w:r w:rsidRPr="00C6052E">
        <w:t>on</w:t>
      </w:r>
      <w:r w:rsidR="00177848" w:rsidRPr="00C6052E">
        <w:t xml:space="preserve"> </w:t>
      </w:r>
      <w:r w:rsidRPr="00C6052E">
        <w:t>developing</w:t>
      </w:r>
      <w:r w:rsidR="00177848" w:rsidRPr="00C6052E">
        <w:t xml:space="preserve"> </w:t>
      </w:r>
      <w:r w:rsidRPr="00C6052E">
        <w:t>unobservable</w:t>
      </w:r>
      <w:r w:rsidR="00177848" w:rsidRPr="00C6052E">
        <w:t xml:space="preserve"> </w:t>
      </w:r>
      <w:r w:rsidRPr="00C6052E">
        <w:t>inputs</w:t>
      </w:r>
      <w:r w:rsidR="00177848" w:rsidRPr="00C6052E">
        <w:t xml:space="preserve"> </w:t>
      </w:r>
      <w:r w:rsidRPr="00C6052E">
        <w:t>and</w:t>
      </w:r>
      <w:r w:rsidR="00177848" w:rsidRPr="00C6052E">
        <w:t xml:space="preserve"> </w:t>
      </w:r>
      <w:r w:rsidRPr="00C6052E">
        <w:t>the</w:t>
      </w:r>
      <w:r w:rsidR="00177848" w:rsidRPr="00C6052E">
        <w:t xml:space="preserve"> </w:t>
      </w:r>
      <w:r w:rsidRPr="00C6052E">
        <w:t>application</w:t>
      </w:r>
      <w:r w:rsidR="00177848" w:rsidRPr="00C6052E">
        <w:t xml:space="preserve"> </w:t>
      </w:r>
      <w:r w:rsidRPr="00C6052E">
        <w:t>of</w:t>
      </w:r>
      <w:r w:rsidR="00177848" w:rsidRPr="00C6052E">
        <w:t xml:space="preserve"> </w:t>
      </w:r>
      <w:r w:rsidRPr="00C6052E">
        <w:t>the</w:t>
      </w:r>
      <w:r w:rsidR="00177848" w:rsidRPr="00C6052E">
        <w:t xml:space="preserve"> </w:t>
      </w:r>
      <w:r w:rsidRPr="00C6052E">
        <w:t>cost</w:t>
      </w:r>
      <w:r w:rsidR="00177848" w:rsidRPr="00C6052E">
        <w:t xml:space="preserve"> </w:t>
      </w:r>
      <w:r w:rsidRPr="00C6052E">
        <w:t>approach.</w:t>
      </w:r>
      <w:r w:rsidR="00177848" w:rsidRPr="00C6052E">
        <w:t xml:space="preserve"> </w:t>
      </w:r>
      <w:r w:rsidRPr="00C6052E">
        <w:t>These</w:t>
      </w:r>
      <w:r w:rsidR="00177848" w:rsidRPr="00C6052E">
        <w:t xml:space="preserve"> </w:t>
      </w:r>
      <w:r w:rsidRPr="00C6052E">
        <w:t>clarifications</w:t>
      </w:r>
      <w:r w:rsidR="00177848" w:rsidRPr="00C6052E">
        <w:t xml:space="preserve"> </w:t>
      </w:r>
      <w:r w:rsidRPr="00C6052E">
        <w:t>are</w:t>
      </w:r>
      <w:r w:rsidR="00177848" w:rsidRPr="00C6052E">
        <w:t xml:space="preserve"> </w:t>
      </w:r>
      <w:r w:rsidRPr="00C6052E">
        <w:t>mandatorily</w:t>
      </w:r>
      <w:r w:rsidR="00177848" w:rsidRPr="00C6052E">
        <w:t xml:space="preserve"> </w:t>
      </w:r>
      <w:r w:rsidRPr="00C6052E">
        <w:t>applicable</w:t>
      </w:r>
      <w:r w:rsidR="00177848" w:rsidRPr="00C6052E">
        <w:t xml:space="preserve"> </w:t>
      </w:r>
      <w:r w:rsidRPr="00C6052E">
        <w:t>annual</w:t>
      </w:r>
      <w:r w:rsidR="00177848" w:rsidRPr="00C6052E">
        <w:t xml:space="preserve"> </w:t>
      </w:r>
      <w:r w:rsidRPr="00C6052E">
        <w:t>reporting</w:t>
      </w:r>
      <w:r w:rsidR="00177848" w:rsidRPr="00C6052E">
        <w:t xml:space="preserve"> </w:t>
      </w:r>
      <w:r w:rsidRPr="00C6052E">
        <w:t>periods</w:t>
      </w:r>
      <w:r w:rsidR="00177848" w:rsidRPr="00C6052E">
        <w:t xml:space="preserve"> </w:t>
      </w:r>
      <w:r w:rsidRPr="00C6052E">
        <w:t>beginning</w:t>
      </w:r>
      <w:r w:rsidR="00177848" w:rsidRPr="00C6052E">
        <w:t xml:space="preserve"> </w:t>
      </w:r>
      <w:r w:rsidRPr="00C6052E">
        <w:t>on</w:t>
      </w:r>
      <w:r w:rsidR="00177848" w:rsidRPr="00C6052E">
        <w:t xml:space="preserve"> </w:t>
      </w:r>
      <w:r w:rsidRPr="00C6052E">
        <w:t>or</w:t>
      </w:r>
      <w:r w:rsidR="00177848" w:rsidRPr="00C6052E">
        <w:t xml:space="preserve"> </w:t>
      </w:r>
      <w:r w:rsidRPr="00C6052E">
        <w:t>after</w:t>
      </w:r>
      <w:r w:rsidR="00177848" w:rsidRPr="00C6052E">
        <w:t xml:space="preserve"> </w:t>
      </w:r>
      <w:r w:rsidRPr="00C6052E">
        <w:t>1</w:t>
      </w:r>
      <w:r w:rsidR="00177848" w:rsidRPr="00C6052E">
        <w:t xml:space="preserve"> </w:t>
      </w:r>
      <w:r w:rsidRPr="00C6052E">
        <w:t>January</w:t>
      </w:r>
      <w:r w:rsidR="00177848" w:rsidRPr="00C6052E">
        <w:t xml:space="preserve"> </w:t>
      </w:r>
      <w:r w:rsidRPr="00C6052E">
        <w:t>2024.</w:t>
      </w:r>
      <w:r w:rsidR="00177848" w:rsidRPr="00C6052E">
        <w:t xml:space="preserve"> </w:t>
      </w:r>
      <w:r w:rsidRPr="00C6052E">
        <w:t>FRD</w:t>
      </w:r>
      <w:r w:rsidR="00177848" w:rsidRPr="00C6052E">
        <w:t xml:space="preserve"> </w:t>
      </w:r>
      <w:r w:rsidRPr="00C6052E">
        <w:t>103</w:t>
      </w:r>
      <w:r w:rsidR="00177848" w:rsidRPr="00C6052E">
        <w:t xml:space="preserve"> </w:t>
      </w:r>
      <w:r w:rsidRPr="00C6052E">
        <w:t>permits</w:t>
      </w:r>
      <w:r w:rsidR="00177848" w:rsidRPr="00C6052E">
        <w:t xml:space="preserve"> </w:t>
      </w:r>
      <w:r w:rsidRPr="00C6052E">
        <w:t>Victorian</w:t>
      </w:r>
      <w:r w:rsidR="00177848" w:rsidRPr="00C6052E">
        <w:t xml:space="preserve"> </w:t>
      </w:r>
      <w:r w:rsidRPr="00C6052E">
        <w:t>public</w:t>
      </w:r>
      <w:r w:rsidR="00177848" w:rsidRPr="00C6052E">
        <w:t xml:space="preserve"> </w:t>
      </w:r>
      <w:r w:rsidRPr="00C6052E">
        <w:t>sector</w:t>
      </w:r>
      <w:r w:rsidR="00177848" w:rsidRPr="00C6052E">
        <w:t xml:space="preserve"> </w:t>
      </w:r>
      <w:r w:rsidRPr="00C6052E">
        <w:t>entities</w:t>
      </w:r>
      <w:r w:rsidR="00177848" w:rsidRPr="00C6052E">
        <w:t xml:space="preserve"> </w:t>
      </w:r>
      <w:r w:rsidRPr="00C6052E">
        <w:t>to</w:t>
      </w:r>
      <w:r w:rsidR="00177848" w:rsidRPr="00C6052E">
        <w:t xml:space="preserve"> </w:t>
      </w:r>
      <w:r w:rsidRPr="00C6052E">
        <w:t>apply</w:t>
      </w:r>
      <w:r w:rsidR="00177848" w:rsidRPr="00C6052E">
        <w:t xml:space="preserve"> </w:t>
      </w:r>
      <w:r w:rsidRPr="00C6052E">
        <w:t>Appendix</w:t>
      </w:r>
      <w:r w:rsidR="00177848" w:rsidRPr="00C6052E">
        <w:t xml:space="preserve"> </w:t>
      </w:r>
      <w:r w:rsidRPr="00C6052E">
        <w:t>F</w:t>
      </w:r>
      <w:r w:rsidR="00177848" w:rsidRPr="00C6052E">
        <w:t xml:space="preserve"> </w:t>
      </w:r>
      <w:r w:rsidRPr="00C6052E">
        <w:lastRenderedPageBreak/>
        <w:t>of</w:t>
      </w:r>
      <w:r w:rsidR="00177848" w:rsidRPr="00C6052E">
        <w:t xml:space="preserve"> </w:t>
      </w:r>
      <w:r w:rsidRPr="00C6052E">
        <w:t>AASB</w:t>
      </w:r>
      <w:r w:rsidR="00177848" w:rsidRPr="00C6052E">
        <w:t xml:space="preserve"> </w:t>
      </w:r>
      <w:r w:rsidRPr="00C6052E">
        <w:t>13</w:t>
      </w:r>
      <w:r w:rsidR="00177848" w:rsidRPr="00C6052E">
        <w:t xml:space="preserve"> </w:t>
      </w:r>
      <w:r w:rsidRPr="00C6052E">
        <w:t>in</w:t>
      </w:r>
      <w:r w:rsidR="00177848" w:rsidRPr="00C6052E">
        <w:t xml:space="preserve"> </w:t>
      </w:r>
      <w:r w:rsidRPr="00C6052E">
        <w:t>their</w:t>
      </w:r>
      <w:r w:rsidR="00177848" w:rsidRPr="00C6052E">
        <w:t xml:space="preserve"> </w:t>
      </w:r>
      <w:r w:rsidRPr="00C6052E">
        <w:t>next</w:t>
      </w:r>
      <w:r w:rsidR="00177848" w:rsidRPr="00C6052E">
        <w:t xml:space="preserve"> </w:t>
      </w:r>
      <w:r w:rsidRPr="00C6052E">
        <w:t>scheduled</w:t>
      </w:r>
      <w:r w:rsidR="00177848" w:rsidRPr="00C6052E">
        <w:t xml:space="preserve"> </w:t>
      </w:r>
      <w:r w:rsidRPr="00C6052E">
        <w:t>formal</w:t>
      </w:r>
      <w:r w:rsidR="00177848" w:rsidRPr="00C6052E">
        <w:t xml:space="preserve"> </w:t>
      </w:r>
      <w:r w:rsidRPr="00C6052E">
        <w:t>asset</w:t>
      </w:r>
      <w:r w:rsidR="00177848" w:rsidRPr="00C6052E">
        <w:t xml:space="preserve"> </w:t>
      </w:r>
      <w:r w:rsidRPr="00C6052E">
        <w:t>revaluation</w:t>
      </w:r>
      <w:r w:rsidR="00177848" w:rsidRPr="00C6052E">
        <w:t xml:space="preserve"> </w:t>
      </w:r>
      <w:r w:rsidRPr="00C6052E">
        <w:t>or</w:t>
      </w:r>
      <w:r w:rsidR="00177848" w:rsidRPr="00C6052E">
        <w:t xml:space="preserve"> </w:t>
      </w:r>
      <w:r w:rsidRPr="00C6052E">
        <w:t>interim</w:t>
      </w:r>
      <w:r w:rsidR="00177848" w:rsidRPr="00C6052E">
        <w:t xml:space="preserve"> </w:t>
      </w:r>
      <w:r w:rsidRPr="00C6052E">
        <w:t>revaluation,</w:t>
      </w:r>
      <w:r w:rsidR="00177848" w:rsidRPr="00C6052E">
        <w:t xml:space="preserve"> </w:t>
      </w:r>
      <w:r w:rsidRPr="00C6052E">
        <w:t>whichever</w:t>
      </w:r>
      <w:r w:rsidR="00177848" w:rsidRPr="00C6052E">
        <w:t xml:space="preserve"> </w:t>
      </w:r>
      <w:r w:rsidRPr="00C6052E">
        <w:t>is</w:t>
      </w:r>
      <w:r w:rsidR="00177848" w:rsidRPr="00C6052E">
        <w:t xml:space="preserve"> </w:t>
      </w:r>
      <w:r w:rsidRPr="00C6052E">
        <w:t>earlier.</w:t>
      </w:r>
      <w:r w:rsidR="00177848" w:rsidRPr="00C6052E">
        <w:t xml:space="preserve"> </w:t>
      </w:r>
    </w:p>
    <w:p w14:paraId="5C1760EA" w14:textId="73BF07EF" w:rsidR="00EE5BB8" w:rsidRPr="00C6052E" w:rsidRDefault="00EE5BB8" w:rsidP="00EE5BB8">
      <w:pPr>
        <w:rPr>
          <w:highlight w:val="yellow"/>
        </w:rPr>
      </w:pPr>
      <w:r w:rsidRPr="00C6052E">
        <w:t>In</w:t>
      </w:r>
      <w:r w:rsidR="00177848" w:rsidRPr="00C6052E">
        <w:t xml:space="preserve"> </w:t>
      </w:r>
      <w:r w:rsidRPr="00C6052E">
        <w:t>accordance</w:t>
      </w:r>
      <w:r w:rsidR="00177848" w:rsidRPr="00C6052E">
        <w:t xml:space="preserve"> </w:t>
      </w:r>
      <w:r w:rsidRPr="00C6052E">
        <w:t>with</w:t>
      </w:r>
      <w:r w:rsidR="00177848" w:rsidRPr="00C6052E">
        <w:t xml:space="preserve"> </w:t>
      </w:r>
      <w:r w:rsidRPr="00C6052E">
        <w:t>FRD</w:t>
      </w:r>
      <w:r w:rsidR="00177848" w:rsidRPr="00C6052E">
        <w:t xml:space="preserve"> </w:t>
      </w:r>
      <w:r w:rsidRPr="00C6052E">
        <w:t>103,</w:t>
      </w:r>
      <w:r w:rsidR="00177848" w:rsidRPr="00C6052E">
        <w:t xml:space="preserve"> </w:t>
      </w:r>
      <w:r w:rsidRPr="00C6052E">
        <w:t>DJSIR</w:t>
      </w:r>
      <w:r w:rsidR="00177848" w:rsidRPr="00C6052E">
        <w:t xml:space="preserve"> </w:t>
      </w:r>
      <w:r w:rsidRPr="00C6052E">
        <w:t>will</w:t>
      </w:r>
      <w:r w:rsidR="00177848" w:rsidRPr="00C6052E">
        <w:t xml:space="preserve"> </w:t>
      </w:r>
      <w:r w:rsidRPr="00C6052E">
        <w:t>apply</w:t>
      </w:r>
      <w:r w:rsidR="00177848" w:rsidRPr="00C6052E">
        <w:t xml:space="preserve"> </w:t>
      </w:r>
      <w:r w:rsidRPr="00C6052E">
        <w:t>Appendix</w:t>
      </w:r>
      <w:r w:rsidR="00177848" w:rsidRPr="00C6052E">
        <w:t xml:space="preserve"> </w:t>
      </w:r>
      <w:r w:rsidRPr="00C6052E">
        <w:t>F</w:t>
      </w:r>
      <w:r w:rsidR="00177848" w:rsidRPr="00C6052E">
        <w:t xml:space="preserve"> </w:t>
      </w:r>
      <w:r w:rsidRPr="00C6052E">
        <w:t>in</w:t>
      </w:r>
      <w:r w:rsidR="00177848" w:rsidRPr="00C6052E">
        <w:t xml:space="preserve"> </w:t>
      </w:r>
      <w:r w:rsidRPr="00C6052E">
        <w:t>its</w:t>
      </w:r>
      <w:r w:rsidR="00177848" w:rsidRPr="00C6052E">
        <w:t xml:space="preserve"> </w:t>
      </w:r>
      <w:r w:rsidRPr="00C6052E">
        <w:t>next</w:t>
      </w:r>
      <w:r w:rsidR="00177848" w:rsidRPr="00C6052E">
        <w:t xml:space="preserve"> </w:t>
      </w:r>
      <w:r w:rsidRPr="00C6052E">
        <w:t>scheduled</w:t>
      </w:r>
      <w:r w:rsidR="00177848" w:rsidRPr="00C6052E">
        <w:t xml:space="preserve"> </w:t>
      </w:r>
      <w:r w:rsidRPr="00C6052E">
        <w:t>formal</w:t>
      </w:r>
      <w:r w:rsidR="00177848" w:rsidRPr="00C6052E">
        <w:t xml:space="preserve"> </w:t>
      </w:r>
      <w:r w:rsidRPr="00C6052E">
        <w:t>revaluation</w:t>
      </w:r>
      <w:r w:rsidR="00177848" w:rsidRPr="00C6052E">
        <w:t xml:space="preserve"> </w:t>
      </w:r>
      <w:r w:rsidRPr="00C6052E">
        <w:t>for</w:t>
      </w:r>
      <w:r w:rsidR="00177848" w:rsidRPr="00C6052E">
        <w:t xml:space="preserve"> </w:t>
      </w:r>
      <w:r w:rsidRPr="00C6052E">
        <w:t>assets</w:t>
      </w:r>
      <w:r w:rsidR="00177848" w:rsidRPr="00C6052E">
        <w:t xml:space="preserve"> </w:t>
      </w:r>
      <w:r w:rsidRPr="00C6052E">
        <w:t>under</w:t>
      </w:r>
      <w:r w:rsidR="00177848" w:rsidRPr="00C6052E">
        <w:t xml:space="preserve"> </w:t>
      </w:r>
      <w:r w:rsidRPr="00C6052E">
        <w:t>Recreation,</w:t>
      </w:r>
      <w:r w:rsidR="00177848" w:rsidRPr="00C6052E">
        <w:t xml:space="preserve"> </w:t>
      </w:r>
      <w:r w:rsidRPr="00C6052E">
        <w:t>Culture</w:t>
      </w:r>
      <w:r w:rsidR="00177848" w:rsidRPr="00C6052E">
        <w:t xml:space="preserve"> </w:t>
      </w:r>
      <w:r w:rsidRPr="00C6052E">
        <w:t>and</w:t>
      </w:r>
      <w:r w:rsidR="00177848" w:rsidRPr="00C6052E">
        <w:t xml:space="preserve"> </w:t>
      </w:r>
      <w:r w:rsidRPr="00C6052E">
        <w:t>Religion</w:t>
      </w:r>
      <w:r w:rsidR="00177848" w:rsidRPr="00C6052E">
        <w:t xml:space="preserve"> </w:t>
      </w:r>
      <w:r w:rsidRPr="00C6052E">
        <w:t>in</w:t>
      </w:r>
      <w:r w:rsidR="00177848" w:rsidRPr="00C6052E">
        <w:t xml:space="preserve"> </w:t>
      </w:r>
      <w:r w:rsidRPr="00C6052E">
        <w:t>FY2025–26.</w:t>
      </w:r>
      <w:r w:rsidR="00177848" w:rsidRPr="00C6052E">
        <w:t xml:space="preserve"> </w:t>
      </w:r>
      <w:r w:rsidRPr="00C6052E">
        <w:t>Assets</w:t>
      </w:r>
      <w:r w:rsidR="00177848" w:rsidRPr="00C6052E">
        <w:t xml:space="preserve"> </w:t>
      </w:r>
      <w:r w:rsidRPr="00C6052E">
        <w:t>under</w:t>
      </w:r>
      <w:r w:rsidR="00177848" w:rsidRPr="00C6052E">
        <w:t xml:space="preserve"> </w:t>
      </w:r>
      <w:r w:rsidRPr="00C6052E">
        <w:t>Skills</w:t>
      </w:r>
      <w:r w:rsidR="00177848" w:rsidRPr="00C6052E">
        <w:t xml:space="preserve"> </w:t>
      </w:r>
      <w:r w:rsidRPr="00C6052E">
        <w:t>and</w:t>
      </w:r>
      <w:r w:rsidR="00177848" w:rsidRPr="00C6052E">
        <w:t xml:space="preserve"> </w:t>
      </w:r>
      <w:r w:rsidRPr="00C6052E">
        <w:t>training</w:t>
      </w:r>
      <w:r w:rsidR="00177848" w:rsidRPr="00C6052E">
        <w:t xml:space="preserve"> </w:t>
      </w:r>
      <w:r w:rsidRPr="00C6052E">
        <w:t>category</w:t>
      </w:r>
      <w:r w:rsidR="00177848" w:rsidRPr="00C6052E">
        <w:t xml:space="preserve"> </w:t>
      </w:r>
      <w:r w:rsidRPr="00C6052E">
        <w:t>will</w:t>
      </w:r>
      <w:r w:rsidR="00177848" w:rsidRPr="00C6052E">
        <w:t xml:space="preserve"> </w:t>
      </w:r>
      <w:r w:rsidRPr="00C6052E">
        <w:t>apply</w:t>
      </w:r>
      <w:r w:rsidR="00177848" w:rsidRPr="00C6052E">
        <w:t xml:space="preserve"> </w:t>
      </w:r>
      <w:r w:rsidRPr="00C6052E">
        <w:t>Appendix</w:t>
      </w:r>
      <w:r w:rsidR="00177848" w:rsidRPr="00C6052E">
        <w:t xml:space="preserve"> </w:t>
      </w:r>
      <w:r w:rsidRPr="00C6052E">
        <w:t>F</w:t>
      </w:r>
      <w:r w:rsidR="00177848" w:rsidRPr="00C6052E">
        <w:t xml:space="preserve"> </w:t>
      </w:r>
      <w:r w:rsidRPr="00C6052E">
        <w:t>in</w:t>
      </w:r>
      <w:r w:rsidR="00177848" w:rsidRPr="00C6052E">
        <w:t xml:space="preserve"> </w:t>
      </w:r>
      <w:r w:rsidRPr="00C6052E">
        <w:t>their</w:t>
      </w:r>
      <w:r w:rsidR="00177848" w:rsidRPr="00C6052E">
        <w:t xml:space="preserve"> </w:t>
      </w:r>
      <w:r w:rsidRPr="00C6052E">
        <w:t>next</w:t>
      </w:r>
      <w:r w:rsidR="00177848" w:rsidRPr="00C6052E">
        <w:t xml:space="preserve"> </w:t>
      </w:r>
      <w:r w:rsidRPr="00C6052E">
        <w:t>cycle</w:t>
      </w:r>
      <w:r w:rsidR="00177848" w:rsidRPr="00C6052E">
        <w:t xml:space="preserve"> </w:t>
      </w:r>
      <w:r w:rsidRPr="00C6052E">
        <w:t>due</w:t>
      </w:r>
      <w:r w:rsidR="00177848" w:rsidRPr="00C6052E">
        <w:t xml:space="preserve"> </w:t>
      </w:r>
      <w:r w:rsidRPr="00C6052E">
        <w:t>in</w:t>
      </w:r>
      <w:r w:rsidR="00177848" w:rsidRPr="00C6052E">
        <w:t xml:space="preserve"> </w:t>
      </w:r>
      <w:r w:rsidRPr="00C6052E">
        <w:t>FY2027–28.</w:t>
      </w:r>
    </w:p>
    <w:p w14:paraId="07EDC741" w14:textId="714B0726" w:rsidR="00EE5BB8" w:rsidRPr="00C6052E" w:rsidRDefault="00EE5BB8" w:rsidP="00EE5BB8">
      <w:pPr>
        <w:rPr>
          <w:rStyle w:val="Medium"/>
        </w:rPr>
      </w:pPr>
      <w:r w:rsidRPr="00C6052E">
        <w:rPr>
          <w:rStyle w:val="Medium"/>
        </w:rPr>
        <w:t>AASB</w:t>
      </w:r>
      <w:r w:rsidR="00177848" w:rsidRPr="00C6052E">
        <w:rPr>
          <w:rStyle w:val="Medium"/>
        </w:rPr>
        <w:t xml:space="preserve"> </w:t>
      </w:r>
      <w:r w:rsidRPr="00C6052E">
        <w:rPr>
          <w:rStyle w:val="Medium"/>
        </w:rPr>
        <w:t>2024–2</w:t>
      </w:r>
      <w:r w:rsidR="00177848" w:rsidRPr="00C6052E">
        <w:rPr>
          <w:rStyle w:val="Medium"/>
        </w:rPr>
        <w:t xml:space="preserve"> </w:t>
      </w:r>
      <w:r w:rsidRPr="00C6052E">
        <w:rPr>
          <w:rStyle w:val="Medium"/>
          <w:rFonts w:ascii="VIC Medium Italic" w:hAnsi="VIC Medium Italic"/>
        </w:rPr>
        <w:t>Amendments</w:t>
      </w:r>
      <w:r w:rsidR="00177848" w:rsidRPr="00C6052E">
        <w:rPr>
          <w:rStyle w:val="Medium"/>
          <w:rFonts w:ascii="VIC Medium Italic" w:hAnsi="VIC Medium Italic"/>
        </w:rPr>
        <w:t xml:space="preserve"> </w:t>
      </w:r>
      <w:r w:rsidRPr="00C6052E">
        <w:rPr>
          <w:rStyle w:val="Medium"/>
          <w:rFonts w:ascii="VIC Medium Italic" w:hAnsi="VIC Medium Italic"/>
        </w:rPr>
        <w:t>to</w:t>
      </w:r>
      <w:r w:rsidR="00177848" w:rsidRPr="00C6052E">
        <w:rPr>
          <w:rStyle w:val="Medium"/>
          <w:rFonts w:ascii="VIC Medium Italic" w:hAnsi="VIC Medium Italic"/>
        </w:rPr>
        <w:t xml:space="preserve"> </w:t>
      </w:r>
      <w:r w:rsidRPr="00C6052E">
        <w:rPr>
          <w:rStyle w:val="Medium"/>
          <w:rFonts w:ascii="VIC Medium Italic" w:hAnsi="VIC Medium Italic"/>
        </w:rPr>
        <w:t>Australian</w:t>
      </w:r>
      <w:r w:rsidR="00177848" w:rsidRPr="00C6052E">
        <w:rPr>
          <w:rStyle w:val="Medium"/>
          <w:rFonts w:ascii="VIC Medium Italic" w:hAnsi="VIC Medium Italic"/>
        </w:rPr>
        <w:t xml:space="preserve"> </w:t>
      </w:r>
      <w:r w:rsidRPr="00C6052E">
        <w:rPr>
          <w:rStyle w:val="Medium"/>
          <w:rFonts w:ascii="VIC Medium Italic" w:hAnsi="VIC Medium Italic"/>
        </w:rPr>
        <w:t>Accounting</w:t>
      </w:r>
      <w:r w:rsidR="00177848" w:rsidRPr="00C6052E">
        <w:rPr>
          <w:rStyle w:val="Medium"/>
          <w:rFonts w:ascii="VIC Medium Italic" w:hAnsi="VIC Medium Italic"/>
        </w:rPr>
        <w:t xml:space="preserve"> </w:t>
      </w:r>
      <w:r w:rsidRPr="00C6052E">
        <w:rPr>
          <w:rStyle w:val="Medium"/>
          <w:rFonts w:ascii="VIC Medium Italic" w:hAnsi="VIC Medium Italic"/>
        </w:rPr>
        <w:t>Standards</w:t>
      </w:r>
      <w:r w:rsidR="00177848" w:rsidRPr="00C6052E">
        <w:rPr>
          <w:rStyle w:val="Medium"/>
          <w:rFonts w:ascii="VIC Medium Italic" w:hAnsi="VIC Medium Italic"/>
        </w:rPr>
        <w:t xml:space="preserve"> </w:t>
      </w:r>
      <w:r w:rsidRPr="00C6052E">
        <w:rPr>
          <w:rStyle w:val="Medium"/>
          <w:rFonts w:ascii="VIC Medium Italic" w:hAnsi="VIC Medium Italic"/>
        </w:rPr>
        <w:t>–</w:t>
      </w:r>
      <w:r w:rsidR="00177848" w:rsidRPr="00C6052E">
        <w:rPr>
          <w:rStyle w:val="Medium"/>
          <w:rFonts w:ascii="VIC Medium Italic" w:hAnsi="VIC Medium Italic"/>
        </w:rPr>
        <w:t xml:space="preserve"> </w:t>
      </w:r>
      <w:r w:rsidRPr="00C6052E">
        <w:rPr>
          <w:rStyle w:val="Medium"/>
          <w:rFonts w:ascii="VIC Medium Italic" w:hAnsi="VIC Medium Italic"/>
        </w:rPr>
        <w:t>Classification</w:t>
      </w:r>
      <w:r w:rsidR="00177848" w:rsidRPr="00C6052E">
        <w:rPr>
          <w:rStyle w:val="Medium"/>
          <w:rFonts w:ascii="VIC Medium Italic" w:hAnsi="VIC Medium Italic"/>
        </w:rPr>
        <w:t xml:space="preserve"> </w:t>
      </w:r>
      <w:r w:rsidRPr="00C6052E">
        <w:rPr>
          <w:rStyle w:val="Medium"/>
          <w:rFonts w:ascii="VIC Medium Italic" w:hAnsi="VIC Medium Italic"/>
        </w:rPr>
        <w:t>and</w:t>
      </w:r>
      <w:r w:rsidR="00177848" w:rsidRPr="00C6052E">
        <w:rPr>
          <w:rStyle w:val="Medium"/>
          <w:rFonts w:ascii="VIC Medium Italic" w:hAnsi="VIC Medium Italic"/>
        </w:rPr>
        <w:t xml:space="preserve"> </w:t>
      </w:r>
      <w:r w:rsidRPr="00C6052E">
        <w:rPr>
          <w:rStyle w:val="Medium"/>
          <w:rFonts w:ascii="VIC Medium Italic" w:hAnsi="VIC Medium Italic"/>
        </w:rPr>
        <w:t>Measurement</w:t>
      </w:r>
      <w:r w:rsidR="00177848" w:rsidRPr="00C6052E">
        <w:rPr>
          <w:rStyle w:val="Medium"/>
          <w:rFonts w:ascii="VIC Medium Italic" w:hAnsi="VIC Medium Italic"/>
        </w:rPr>
        <w:t xml:space="preserve"> </w:t>
      </w:r>
      <w:r w:rsidRPr="00C6052E">
        <w:rPr>
          <w:rStyle w:val="Medium"/>
          <w:rFonts w:ascii="VIC Medium Italic" w:hAnsi="VIC Medium Italic"/>
        </w:rPr>
        <w:t>of</w:t>
      </w:r>
      <w:r w:rsidR="00177848" w:rsidRPr="00C6052E">
        <w:rPr>
          <w:rStyle w:val="Medium"/>
          <w:rFonts w:ascii="VIC Medium Italic" w:hAnsi="VIC Medium Italic"/>
        </w:rPr>
        <w:t xml:space="preserve"> </w:t>
      </w:r>
      <w:r w:rsidRPr="00C6052E">
        <w:rPr>
          <w:rStyle w:val="Medium"/>
          <w:rFonts w:ascii="VIC Medium Italic" w:hAnsi="VIC Medium Italic"/>
        </w:rPr>
        <w:t>Financial</w:t>
      </w:r>
      <w:r w:rsidR="00177848" w:rsidRPr="00C6052E">
        <w:rPr>
          <w:rStyle w:val="Medium"/>
          <w:rFonts w:ascii="VIC Medium Italic" w:hAnsi="VIC Medium Italic"/>
        </w:rPr>
        <w:t xml:space="preserve"> </w:t>
      </w:r>
      <w:r w:rsidRPr="00C6052E">
        <w:rPr>
          <w:rStyle w:val="Medium"/>
          <w:rFonts w:ascii="VIC Medium Italic" w:hAnsi="VIC Medium Italic"/>
        </w:rPr>
        <w:t>Instruments</w:t>
      </w:r>
    </w:p>
    <w:p w14:paraId="4801BEB6" w14:textId="12588A25" w:rsidR="00EE5BB8" w:rsidRPr="00C6052E" w:rsidRDefault="00EE5BB8" w:rsidP="00EE5BB8">
      <w:r w:rsidRPr="00C6052E">
        <w:t>AASB</w:t>
      </w:r>
      <w:r w:rsidR="00177848" w:rsidRPr="00C6052E">
        <w:t xml:space="preserve"> </w:t>
      </w:r>
      <w:r w:rsidRPr="00C6052E">
        <w:t>2024–2</w:t>
      </w:r>
      <w:r w:rsidR="00177848" w:rsidRPr="00C6052E">
        <w:t xml:space="preserve"> </w:t>
      </w:r>
      <w:r w:rsidRPr="00C6052E">
        <w:t>amends</w:t>
      </w:r>
      <w:r w:rsidR="00177848" w:rsidRPr="00C6052E">
        <w:t xml:space="preserve"> </w:t>
      </w:r>
      <w:r w:rsidRPr="00C6052E">
        <w:t>AASB</w:t>
      </w:r>
      <w:r w:rsidR="00177848" w:rsidRPr="00C6052E">
        <w:t xml:space="preserve"> </w:t>
      </w:r>
      <w:r w:rsidRPr="00C6052E">
        <w:t>7</w:t>
      </w:r>
      <w:r w:rsidR="00177848" w:rsidRPr="00C6052E">
        <w:t xml:space="preserve"> </w:t>
      </w:r>
      <w:r w:rsidRPr="00C6052E">
        <w:rPr>
          <w:i/>
        </w:rPr>
        <w:t>Financial</w:t>
      </w:r>
      <w:r w:rsidR="00177848" w:rsidRPr="00C6052E">
        <w:rPr>
          <w:i/>
        </w:rPr>
        <w:t xml:space="preserve"> </w:t>
      </w:r>
      <w:r w:rsidRPr="00C6052E">
        <w:rPr>
          <w:i/>
        </w:rPr>
        <w:t>Instruments:</w:t>
      </w:r>
      <w:r w:rsidR="00177848" w:rsidRPr="00C6052E">
        <w:rPr>
          <w:i/>
        </w:rPr>
        <w:t xml:space="preserve"> </w:t>
      </w:r>
      <w:r w:rsidRPr="00C6052E">
        <w:rPr>
          <w:i/>
        </w:rPr>
        <w:t>Disclosures</w:t>
      </w:r>
      <w:r w:rsidR="00177848" w:rsidRPr="00C6052E">
        <w:t xml:space="preserve"> </w:t>
      </w:r>
      <w:r w:rsidRPr="00C6052E">
        <w:t>and</w:t>
      </w:r>
      <w:r w:rsidR="00177848" w:rsidRPr="00C6052E">
        <w:t xml:space="preserve"> </w:t>
      </w:r>
      <w:r w:rsidRPr="00C6052E">
        <w:t>AASB</w:t>
      </w:r>
      <w:r w:rsidR="00177848" w:rsidRPr="00C6052E">
        <w:t xml:space="preserve"> </w:t>
      </w:r>
      <w:r w:rsidRPr="00C6052E">
        <w:t>9</w:t>
      </w:r>
      <w:r w:rsidR="00177848" w:rsidRPr="00C6052E">
        <w:t xml:space="preserve"> </w:t>
      </w:r>
      <w:r w:rsidRPr="00C6052E">
        <w:rPr>
          <w:i/>
        </w:rPr>
        <w:t>Financial</w:t>
      </w:r>
      <w:r w:rsidR="00177848" w:rsidRPr="00C6052E">
        <w:rPr>
          <w:i/>
        </w:rPr>
        <w:t xml:space="preserve"> </w:t>
      </w:r>
      <w:r w:rsidRPr="00C6052E">
        <w:rPr>
          <w:i/>
        </w:rPr>
        <w:t>Instruments</w:t>
      </w:r>
      <w:r w:rsidRPr="00C6052E">
        <w:t>.</w:t>
      </w:r>
    </w:p>
    <w:p w14:paraId="05FE2B81" w14:textId="73B55578" w:rsidR="00EE5BB8" w:rsidRPr="00C6052E" w:rsidRDefault="00EE5BB8" w:rsidP="0028635E">
      <w:pPr>
        <w:pStyle w:val="Normalbeforebullets"/>
      </w:pPr>
      <w:r w:rsidRPr="00C6052E">
        <w:t>AASB</w:t>
      </w:r>
      <w:r w:rsidR="00177848" w:rsidRPr="00C6052E">
        <w:t xml:space="preserve"> </w:t>
      </w:r>
      <w:r w:rsidRPr="00C6052E">
        <w:t>2024–2</w:t>
      </w:r>
      <w:r w:rsidR="00177848" w:rsidRPr="00C6052E">
        <w:t xml:space="preserve"> </w:t>
      </w:r>
      <w:r w:rsidRPr="00C6052E">
        <w:t>amends</w:t>
      </w:r>
      <w:r w:rsidR="00177848" w:rsidRPr="00C6052E">
        <w:t xml:space="preserve"> </w:t>
      </w:r>
      <w:r w:rsidRPr="00C6052E">
        <w:t>requirements</w:t>
      </w:r>
      <w:r w:rsidR="00177848" w:rsidRPr="00C6052E">
        <w:t xml:space="preserve"> </w:t>
      </w:r>
      <w:r w:rsidRPr="00C6052E">
        <w:t>relating</w:t>
      </w:r>
      <w:r w:rsidR="00177848" w:rsidRPr="00C6052E">
        <w:t xml:space="preserve"> </w:t>
      </w:r>
      <w:r w:rsidRPr="00C6052E">
        <w:t>to:</w:t>
      </w:r>
    </w:p>
    <w:p w14:paraId="02D7B01C" w14:textId="684F9886" w:rsidR="00EE5BB8" w:rsidRPr="00C6052E" w:rsidRDefault="00EE5BB8" w:rsidP="00EE5BB8">
      <w:pPr>
        <w:pStyle w:val="Bullet1"/>
        <w:numPr>
          <w:ilvl w:val="0"/>
          <w:numId w:val="1"/>
        </w:numPr>
        <w:spacing w:line="278" w:lineRule="auto"/>
        <w:ind w:left="284" w:hanging="284"/>
        <w:rPr>
          <w:lang w:val="en-AU"/>
        </w:rPr>
      </w:pPr>
      <w:r w:rsidRPr="00C6052E">
        <w:rPr>
          <w:lang w:val="en-AU"/>
        </w:rPr>
        <w:t>settling</w:t>
      </w:r>
      <w:r w:rsidR="00177848" w:rsidRPr="00C6052E">
        <w:rPr>
          <w:lang w:val="en-AU"/>
        </w:rPr>
        <w:t xml:space="preserve"> </w:t>
      </w:r>
      <w:r w:rsidRPr="00C6052E">
        <w:rPr>
          <w:lang w:val="en-AU"/>
        </w:rPr>
        <w:t>financial</w:t>
      </w:r>
      <w:r w:rsidR="00177848" w:rsidRPr="00C6052E">
        <w:rPr>
          <w:lang w:val="en-AU"/>
        </w:rPr>
        <w:t xml:space="preserve"> </w:t>
      </w:r>
      <w:r w:rsidRPr="00C6052E">
        <w:rPr>
          <w:lang w:val="en-AU"/>
        </w:rPr>
        <w:t>liabilities</w:t>
      </w:r>
      <w:r w:rsidR="00177848" w:rsidRPr="00C6052E">
        <w:rPr>
          <w:lang w:val="en-AU"/>
        </w:rPr>
        <w:t xml:space="preserve"> </w:t>
      </w:r>
      <w:r w:rsidRPr="00C6052E">
        <w:rPr>
          <w:lang w:val="en-AU"/>
        </w:rPr>
        <w:t>using</w:t>
      </w:r>
      <w:r w:rsidR="00177848" w:rsidRPr="00C6052E">
        <w:rPr>
          <w:lang w:val="en-AU"/>
        </w:rPr>
        <w:t xml:space="preserve"> </w:t>
      </w:r>
      <w:r w:rsidRPr="00C6052E">
        <w:rPr>
          <w:lang w:val="en-AU"/>
        </w:rPr>
        <w:t>an</w:t>
      </w:r>
      <w:r w:rsidR="00177848" w:rsidRPr="00C6052E">
        <w:rPr>
          <w:lang w:val="en-AU"/>
        </w:rPr>
        <w:t xml:space="preserve"> </w:t>
      </w:r>
      <w:r w:rsidRPr="00C6052E">
        <w:rPr>
          <w:lang w:val="en-AU"/>
        </w:rPr>
        <w:t>electronic</w:t>
      </w:r>
      <w:r w:rsidR="00177848" w:rsidRPr="00C6052E">
        <w:rPr>
          <w:lang w:val="en-AU"/>
        </w:rPr>
        <w:t xml:space="preserve"> </w:t>
      </w:r>
      <w:r w:rsidRPr="00C6052E">
        <w:rPr>
          <w:lang w:val="en-AU"/>
        </w:rPr>
        <w:t>payment</w:t>
      </w:r>
      <w:r w:rsidR="00177848" w:rsidRPr="00C6052E">
        <w:rPr>
          <w:lang w:val="en-AU"/>
        </w:rPr>
        <w:t xml:space="preserve"> </w:t>
      </w:r>
      <w:r w:rsidRPr="00C6052E">
        <w:rPr>
          <w:lang w:val="en-AU"/>
        </w:rPr>
        <w:t>system</w:t>
      </w:r>
      <w:r w:rsidR="00177848" w:rsidRPr="00C6052E">
        <w:rPr>
          <w:lang w:val="en-AU"/>
        </w:rPr>
        <w:t xml:space="preserve"> </w:t>
      </w:r>
    </w:p>
    <w:p w14:paraId="278BD726" w14:textId="1DD3526D" w:rsidR="00EE5BB8" w:rsidRPr="00C6052E" w:rsidRDefault="00EE5BB8" w:rsidP="00EE5BB8">
      <w:pPr>
        <w:pStyle w:val="Bullet1"/>
        <w:numPr>
          <w:ilvl w:val="0"/>
          <w:numId w:val="1"/>
        </w:numPr>
        <w:spacing w:line="278" w:lineRule="auto"/>
        <w:ind w:left="284" w:hanging="284"/>
        <w:rPr>
          <w:lang w:val="en-AU"/>
        </w:rPr>
      </w:pPr>
      <w:r w:rsidRPr="00C6052E">
        <w:rPr>
          <w:lang w:val="en-AU"/>
        </w:rPr>
        <w:t>assessing</w:t>
      </w:r>
      <w:r w:rsidR="00177848" w:rsidRPr="00C6052E">
        <w:rPr>
          <w:lang w:val="en-AU"/>
        </w:rPr>
        <w:t xml:space="preserve"> </w:t>
      </w:r>
      <w:r w:rsidRPr="00C6052E">
        <w:rPr>
          <w:lang w:val="en-AU"/>
        </w:rPr>
        <w:t>contractual</w:t>
      </w:r>
      <w:r w:rsidR="00177848" w:rsidRPr="00C6052E">
        <w:rPr>
          <w:lang w:val="en-AU"/>
        </w:rPr>
        <w:t xml:space="preserve"> </w:t>
      </w:r>
      <w:r w:rsidRPr="00C6052E">
        <w:rPr>
          <w:lang w:val="en-AU"/>
        </w:rPr>
        <w:t>cash</w:t>
      </w:r>
      <w:r w:rsidR="00177848" w:rsidRPr="00C6052E">
        <w:rPr>
          <w:lang w:val="en-AU"/>
        </w:rPr>
        <w:t xml:space="preserve"> </w:t>
      </w:r>
      <w:r w:rsidRPr="00C6052E">
        <w:rPr>
          <w:lang w:val="en-AU"/>
        </w:rPr>
        <w:t>flow</w:t>
      </w:r>
      <w:r w:rsidR="00177848" w:rsidRPr="00C6052E">
        <w:rPr>
          <w:lang w:val="en-AU"/>
        </w:rPr>
        <w:t xml:space="preserve"> </w:t>
      </w:r>
      <w:r w:rsidRPr="00C6052E">
        <w:rPr>
          <w:lang w:val="en-AU"/>
        </w:rPr>
        <w:t>characteristics</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financial</w:t>
      </w:r>
      <w:r w:rsidR="00177848" w:rsidRPr="00C6052E">
        <w:rPr>
          <w:lang w:val="en-AU"/>
        </w:rPr>
        <w:t xml:space="preserve"> </w:t>
      </w:r>
      <w:r w:rsidRPr="00C6052E">
        <w:rPr>
          <w:lang w:val="en-AU"/>
        </w:rPr>
        <w:t>assets</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environmental,</w:t>
      </w:r>
      <w:r w:rsidR="00177848" w:rsidRPr="00C6052E">
        <w:rPr>
          <w:lang w:val="en-AU"/>
        </w:rPr>
        <w:t xml:space="preserve"> </w:t>
      </w:r>
      <w:r w:rsidRPr="00C6052E">
        <w:rPr>
          <w:lang w:val="en-AU"/>
        </w:rPr>
        <w:t>social</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corporate</w:t>
      </w:r>
      <w:r w:rsidR="00177848" w:rsidRPr="00C6052E">
        <w:rPr>
          <w:lang w:val="en-AU"/>
        </w:rPr>
        <w:t xml:space="preserve"> </w:t>
      </w:r>
      <w:r w:rsidRPr="00C6052E">
        <w:rPr>
          <w:lang w:val="en-AU"/>
        </w:rPr>
        <w:t>governance</w:t>
      </w:r>
      <w:r w:rsidR="00177848" w:rsidRPr="00C6052E">
        <w:rPr>
          <w:lang w:val="en-AU"/>
        </w:rPr>
        <w:t xml:space="preserve"> </w:t>
      </w:r>
      <w:r w:rsidRPr="00C6052E">
        <w:rPr>
          <w:lang w:val="en-AU"/>
        </w:rPr>
        <w:t>(ESG)</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similar</w:t>
      </w:r>
      <w:r w:rsidR="00177848" w:rsidRPr="00C6052E">
        <w:rPr>
          <w:lang w:val="en-AU"/>
        </w:rPr>
        <w:t xml:space="preserve"> </w:t>
      </w:r>
      <w:r w:rsidRPr="00C6052E">
        <w:rPr>
          <w:lang w:val="en-AU"/>
        </w:rPr>
        <w:t>features</w:t>
      </w:r>
    </w:p>
    <w:p w14:paraId="3AC99065" w14:textId="5EF92443" w:rsidR="00EE5BB8" w:rsidRPr="00C6052E" w:rsidRDefault="00EE5BB8" w:rsidP="00EE5BB8">
      <w:pPr>
        <w:pStyle w:val="Bullet1last"/>
        <w:numPr>
          <w:ilvl w:val="0"/>
          <w:numId w:val="1"/>
        </w:numPr>
        <w:spacing w:line="278" w:lineRule="auto"/>
        <w:ind w:left="284" w:hanging="284"/>
        <w:rPr>
          <w:lang w:val="en-AU"/>
        </w:rPr>
      </w:pPr>
      <w:r w:rsidRPr="00C6052E">
        <w:rPr>
          <w:lang w:val="en-AU"/>
        </w:rPr>
        <w:t>disclosure</w:t>
      </w:r>
      <w:r w:rsidR="00177848" w:rsidRPr="00C6052E">
        <w:rPr>
          <w:lang w:val="en-AU"/>
        </w:rPr>
        <w:t xml:space="preserve"> </w:t>
      </w:r>
      <w:r w:rsidRPr="00C6052E">
        <w:rPr>
          <w:lang w:val="en-AU"/>
        </w:rPr>
        <w:t>requirements</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investments</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equity</w:t>
      </w:r>
      <w:r w:rsidR="00177848" w:rsidRPr="00C6052E">
        <w:rPr>
          <w:lang w:val="en-AU"/>
        </w:rPr>
        <w:t xml:space="preserve"> </w:t>
      </w:r>
      <w:r w:rsidRPr="00C6052E">
        <w:rPr>
          <w:lang w:val="en-AU"/>
        </w:rPr>
        <w:t>instruments</w:t>
      </w:r>
      <w:r w:rsidR="00177848" w:rsidRPr="00C6052E">
        <w:rPr>
          <w:lang w:val="en-AU"/>
        </w:rPr>
        <w:t xml:space="preserve"> </w:t>
      </w:r>
      <w:r w:rsidRPr="00C6052E">
        <w:rPr>
          <w:lang w:val="en-AU"/>
        </w:rPr>
        <w:t>designated</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fair</w:t>
      </w:r>
      <w:r w:rsidR="00177848" w:rsidRPr="00C6052E">
        <w:rPr>
          <w:lang w:val="en-AU"/>
        </w:rPr>
        <w:t xml:space="preserve"> </w:t>
      </w:r>
      <w:r w:rsidRPr="00C6052E">
        <w:rPr>
          <w:lang w:val="en-AU"/>
        </w:rPr>
        <w:t>value</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other</w:t>
      </w:r>
      <w:r w:rsidR="00177848" w:rsidRPr="00C6052E">
        <w:rPr>
          <w:lang w:val="en-AU"/>
        </w:rPr>
        <w:t xml:space="preserve"> </w:t>
      </w:r>
      <w:r w:rsidRPr="00C6052E">
        <w:rPr>
          <w:lang w:val="en-AU"/>
        </w:rPr>
        <w:t>comprehensive</w:t>
      </w:r>
      <w:r w:rsidR="00177848" w:rsidRPr="00C6052E">
        <w:rPr>
          <w:lang w:val="en-AU"/>
        </w:rPr>
        <w:t xml:space="preserve"> </w:t>
      </w:r>
      <w:r w:rsidRPr="00C6052E">
        <w:rPr>
          <w:lang w:val="en-AU"/>
        </w:rPr>
        <w:t>income</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financial</w:t>
      </w:r>
      <w:r w:rsidR="00177848" w:rsidRPr="00C6052E">
        <w:rPr>
          <w:lang w:val="en-AU"/>
        </w:rPr>
        <w:t xml:space="preserve"> </w:t>
      </w:r>
      <w:r w:rsidRPr="00C6052E">
        <w:rPr>
          <w:lang w:val="en-AU"/>
        </w:rPr>
        <w:t>instruments</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contingent</w:t>
      </w:r>
      <w:r w:rsidR="00177848" w:rsidRPr="00C6052E">
        <w:rPr>
          <w:lang w:val="en-AU"/>
        </w:rPr>
        <w:t xml:space="preserve"> </w:t>
      </w:r>
      <w:r w:rsidRPr="00C6052E">
        <w:rPr>
          <w:lang w:val="en-AU"/>
        </w:rPr>
        <w:t>features</w:t>
      </w:r>
      <w:r w:rsidR="00177848" w:rsidRPr="00C6052E">
        <w:rPr>
          <w:lang w:val="en-AU"/>
        </w:rPr>
        <w:t xml:space="preserve"> </w:t>
      </w:r>
      <w:r w:rsidRPr="00C6052E">
        <w:rPr>
          <w:lang w:val="en-AU"/>
        </w:rPr>
        <w:t>that</w:t>
      </w:r>
      <w:r w:rsidR="00177848" w:rsidRPr="00C6052E">
        <w:rPr>
          <w:lang w:val="en-AU"/>
        </w:rPr>
        <w:t xml:space="preserve"> </w:t>
      </w:r>
      <w:r w:rsidRPr="00C6052E">
        <w:rPr>
          <w:lang w:val="en-AU"/>
        </w:rPr>
        <w:t>do</w:t>
      </w:r>
      <w:r w:rsidR="00177848" w:rsidRPr="00C6052E">
        <w:rPr>
          <w:lang w:val="en-AU"/>
        </w:rPr>
        <w:t xml:space="preserve"> </w:t>
      </w:r>
      <w:r w:rsidRPr="00C6052E">
        <w:rPr>
          <w:lang w:val="en-AU"/>
        </w:rPr>
        <w:t>not</w:t>
      </w:r>
      <w:r w:rsidR="00177848" w:rsidRPr="00C6052E">
        <w:rPr>
          <w:lang w:val="en-AU"/>
        </w:rPr>
        <w:t xml:space="preserve"> </w:t>
      </w:r>
      <w:r w:rsidRPr="00C6052E">
        <w:rPr>
          <w:lang w:val="en-AU"/>
        </w:rPr>
        <w:t>relate</w:t>
      </w:r>
      <w:r w:rsidR="00177848" w:rsidRPr="00C6052E">
        <w:rPr>
          <w:lang w:val="en-AU"/>
        </w:rPr>
        <w:t xml:space="preserve"> </w:t>
      </w:r>
      <w:r w:rsidRPr="00C6052E">
        <w:rPr>
          <w:lang w:val="en-AU"/>
        </w:rPr>
        <w:t>directly</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basic</w:t>
      </w:r>
      <w:r w:rsidR="00177848" w:rsidRPr="00C6052E">
        <w:rPr>
          <w:lang w:val="en-AU"/>
        </w:rPr>
        <w:t xml:space="preserve"> </w:t>
      </w:r>
      <w:r w:rsidRPr="00C6052E">
        <w:rPr>
          <w:lang w:val="en-AU"/>
        </w:rPr>
        <w:t>lending</w:t>
      </w:r>
      <w:r w:rsidR="00177848" w:rsidRPr="00C6052E">
        <w:rPr>
          <w:lang w:val="en-AU"/>
        </w:rPr>
        <w:t xml:space="preserve"> </w:t>
      </w:r>
      <w:r w:rsidRPr="00C6052E">
        <w:rPr>
          <w:lang w:val="en-AU"/>
        </w:rPr>
        <w:t>risks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costs.</w:t>
      </w:r>
    </w:p>
    <w:p w14:paraId="61B53706" w14:textId="027D6FB7" w:rsidR="00EE5BB8" w:rsidRPr="00C6052E" w:rsidRDefault="00EE5BB8" w:rsidP="00EE5BB8">
      <w:r w:rsidRPr="00C6052E">
        <w:t>This</w:t>
      </w:r>
      <w:r w:rsidR="00177848" w:rsidRPr="00C6052E">
        <w:t xml:space="preserve"> </w:t>
      </w:r>
      <w:r w:rsidRPr="00C6052E">
        <w:t>amendment</w:t>
      </w:r>
      <w:r w:rsidR="00177848" w:rsidRPr="00C6052E">
        <w:t xml:space="preserve"> </w:t>
      </w:r>
      <w:r w:rsidRPr="00C6052E">
        <w:t>applies</w:t>
      </w:r>
      <w:r w:rsidR="00177848" w:rsidRPr="00C6052E">
        <w:t xml:space="preserve"> </w:t>
      </w:r>
      <w:r w:rsidRPr="00C6052E">
        <w:t>to</w:t>
      </w:r>
      <w:r w:rsidR="00177848" w:rsidRPr="00C6052E">
        <w:t xml:space="preserve"> </w:t>
      </w:r>
      <w:r w:rsidRPr="00C6052E">
        <w:t>annual</w:t>
      </w:r>
      <w:r w:rsidR="00177848" w:rsidRPr="00C6052E">
        <w:t xml:space="preserve"> </w:t>
      </w:r>
      <w:r w:rsidRPr="00C6052E">
        <w:t>reporting</w:t>
      </w:r>
      <w:r w:rsidR="00177848" w:rsidRPr="00C6052E">
        <w:t xml:space="preserve"> </w:t>
      </w:r>
      <w:r w:rsidRPr="00C6052E">
        <w:t>periods</w:t>
      </w:r>
      <w:r w:rsidR="00177848" w:rsidRPr="00C6052E">
        <w:t xml:space="preserve"> </w:t>
      </w:r>
      <w:r w:rsidRPr="00C6052E">
        <w:t>beginning</w:t>
      </w:r>
      <w:r w:rsidR="00177848" w:rsidRPr="00C6052E">
        <w:t xml:space="preserve"> </w:t>
      </w:r>
      <w:r w:rsidRPr="00C6052E">
        <w:t>on</w:t>
      </w:r>
      <w:r w:rsidR="00177848" w:rsidRPr="00C6052E">
        <w:t xml:space="preserve"> </w:t>
      </w:r>
      <w:r w:rsidRPr="00C6052E">
        <w:t>or</w:t>
      </w:r>
      <w:r w:rsidR="00177848" w:rsidRPr="00C6052E">
        <w:t xml:space="preserve"> </w:t>
      </w:r>
      <w:r w:rsidRPr="00C6052E">
        <w:t>after</w:t>
      </w:r>
      <w:r w:rsidR="00177848" w:rsidRPr="00C6052E">
        <w:t xml:space="preserve"> </w:t>
      </w:r>
      <w:r w:rsidRPr="00C6052E">
        <w:t>1</w:t>
      </w:r>
      <w:r w:rsidR="00177848" w:rsidRPr="00C6052E">
        <w:t xml:space="preserve"> </w:t>
      </w:r>
      <w:r w:rsidRPr="00C6052E">
        <w:t>January</w:t>
      </w:r>
      <w:r w:rsidR="00177848" w:rsidRPr="00C6052E">
        <w:t xml:space="preserve"> </w:t>
      </w:r>
      <w:r w:rsidRPr="00C6052E">
        <w:t>2026.</w:t>
      </w:r>
    </w:p>
    <w:p w14:paraId="000CD433" w14:textId="1CD8D016" w:rsidR="00EE5BB8" w:rsidRPr="00C6052E" w:rsidRDefault="00EE5BB8" w:rsidP="00EE5BB8">
      <w:pPr>
        <w:rPr>
          <w:rStyle w:val="Medium"/>
        </w:rPr>
      </w:pPr>
      <w:r w:rsidRPr="00C6052E">
        <w:rPr>
          <w:rStyle w:val="Medium"/>
        </w:rPr>
        <w:t>AASB</w:t>
      </w:r>
      <w:r w:rsidR="00177848" w:rsidRPr="00C6052E">
        <w:rPr>
          <w:rStyle w:val="Medium"/>
        </w:rPr>
        <w:t xml:space="preserve"> </w:t>
      </w:r>
      <w:r w:rsidRPr="00C6052E">
        <w:rPr>
          <w:rStyle w:val="Medium"/>
        </w:rPr>
        <w:t>18</w:t>
      </w:r>
      <w:r w:rsidR="00177848" w:rsidRPr="00C6052E">
        <w:rPr>
          <w:rStyle w:val="Medium"/>
        </w:rPr>
        <w:t xml:space="preserve"> </w:t>
      </w:r>
      <w:r w:rsidRPr="00C6052E">
        <w:rPr>
          <w:rStyle w:val="Medium"/>
        </w:rPr>
        <w:t>Presentation</w:t>
      </w:r>
      <w:r w:rsidR="00177848" w:rsidRPr="00C6052E">
        <w:rPr>
          <w:rStyle w:val="Medium"/>
        </w:rPr>
        <w:t xml:space="preserve"> </w:t>
      </w:r>
      <w:r w:rsidRPr="00C6052E">
        <w:rPr>
          <w:rStyle w:val="Medium"/>
        </w:rPr>
        <w:t>and</w:t>
      </w:r>
      <w:r w:rsidR="00177848" w:rsidRPr="00C6052E">
        <w:rPr>
          <w:rStyle w:val="Medium"/>
        </w:rPr>
        <w:t xml:space="preserve"> </w:t>
      </w:r>
      <w:r w:rsidRPr="00C6052E">
        <w:rPr>
          <w:rStyle w:val="Medium"/>
        </w:rPr>
        <w:t>Disclosure</w:t>
      </w:r>
      <w:r w:rsidR="00177848" w:rsidRPr="00C6052E">
        <w:rPr>
          <w:rStyle w:val="Medium"/>
        </w:rPr>
        <w:t xml:space="preserve"> </w:t>
      </w:r>
      <w:r w:rsidRPr="00C6052E">
        <w:rPr>
          <w:rStyle w:val="Medium"/>
        </w:rPr>
        <w:t>of</w:t>
      </w:r>
      <w:r w:rsidR="00177848" w:rsidRPr="00C6052E">
        <w:rPr>
          <w:rStyle w:val="Medium"/>
        </w:rPr>
        <w:t xml:space="preserve"> </w:t>
      </w:r>
      <w:r w:rsidRPr="00C6052E">
        <w:rPr>
          <w:rStyle w:val="Medium"/>
        </w:rPr>
        <w:t>Financial</w:t>
      </w:r>
      <w:r w:rsidR="00177848" w:rsidRPr="00C6052E">
        <w:rPr>
          <w:rStyle w:val="Medium"/>
        </w:rPr>
        <w:t xml:space="preserve"> </w:t>
      </w:r>
      <w:r w:rsidRPr="00C6052E">
        <w:rPr>
          <w:rStyle w:val="Medium"/>
        </w:rPr>
        <w:t>Statements</w:t>
      </w:r>
    </w:p>
    <w:p w14:paraId="0735550A" w14:textId="715DB271" w:rsidR="00EE5BB8" w:rsidRPr="00C6052E" w:rsidRDefault="00EE5BB8" w:rsidP="00EE5BB8">
      <w:r w:rsidRPr="00C6052E">
        <w:t>AASB</w:t>
      </w:r>
      <w:r w:rsidR="00177848" w:rsidRPr="00C6052E">
        <w:t xml:space="preserve"> </w:t>
      </w:r>
      <w:r w:rsidRPr="00C6052E">
        <w:t>18</w:t>
      </w:r>
      <w:r w:rsidR="00177848" w:rsidRPr="00C6052E">
        <w:t xml:space="preserve"> </w:t>
      </w:r>
      <w:r w:rsidRPr="00C6052E">
        <w:t>replaces</w:t>
      </w:r>
      <w:r w:rsidR="00177848" w:rsidRPr="00C6052E">
        <w:t xml:space="preserve"> </w:t>
      </w:r>
      <w:r w:rsidRPr="00C6052E">
        <w:t>AASB</w:t>
      </w:r>
      <w:r w:rsidR="00177848" w:rsidRPr="00C6052E">
        <w:t xml:space="preserve"> </w:t>
      </w:r>
      <w:r w:rsidRPr="00C6052E">
        <w:t>101</w:t>
      </w:r>
      <w:r w:rsidR="00177848" w:rsidRPr="00C6052E">
        <w:t xml:space="preserve"> </w:t>
      </w:r>
      <w:r w:rsidRPr="00C6052E">
        <w:rPr>
          <w:i/>
        </w:rPr>
        <w:t>Presentation</w:t>
      </w:r>
      <w:r w:rsidR="00177848" w:rsidRPr="00C6052E">
        <w:rPr>
          <w:i/>
        </w:rPr>
        <w:t xml:space="preserve"> </w:t>
      </w:r>
      <w:r w:rsidRPr="00C6052E">
        <w:rPr>
          <w:i/>
        </w:rPr>
        <w:t>of</w:t>
      </w:r>
      <w:r w:rsidR="00177848" w:rsidRPr="00C6052E">
        <w:rPr>
          <w:i/>
        </w:rPr>
        <w:t xml:space="preserve"> </w:t>
      </w:r>
      <w:r w:rsidRPr="00C6052E">
        <w:rPr>
          <w:i/>
        </w:rPr>
        <w:t>Financial</w:t>
      </w:r>
      <w:r w:rsidR="00177848" w:rsidRPr="00C6052E">
        <w:rPr>
          <w:i/>
        </w:rPr>
        <w:t xml:space="preserve"> </w:t>
      </w:r>
      <w:r w:rsidRPr="00C6052E">
        <w:rPr>
          <w:i/>
        </w:rPr>
        <w:t>Statements</w:t>
      </w:r>
      <w:r w:rsidR="00177848" w:rsidRPr="00C6052E">
        <w:t xml:space="preserve"> </w:t>
      </w:r>
      <w:r w:rsidRPr="00C6052E">
        <w:t>to</w:t>
      </w:r>
      <w:r w:rsidR="00177848" w:rsidRPr="00C6052E">
        <w:t xml:space="preserve"> </w:t>
      </w:r>
      <w:r w:rsidRPr="00C6052E">
        <w:t>improve</w:t>
      </w:r>
      <w:r w:rsidR="00177848" w:rsidRPr="00C6052E">
        <w:t xml:space="preserve"> </w:t>
      </w:r>
      <w:r w:rsidRPr="00C6052E">
        <w:t>how</w:t>
      </w:r>
      <w:r w:rsidR="00177848" w:rsidRPr="00C6052E">
        <w:t xml:space="preserve"> </w:t>
      </w:r>
      <w:r w:rsidRPr="00C6052E">
        <w:t>entities</w:t>
      </w:r>
      <w:r w:rsidR="00177848" w:rsidRPr="00C6052E">
        <w:t xml:space="preserve"> </w:t>
      </w:r>
      <w:r w:rsidRPr="00C6052E">
        <w:t>communicate</w:t>
      </w:r>
      <w:r w:rsidR="00177848" w:rsidRPr="00C6052E">
        <w:t xml:space="preserve"> </w:t>
      </w:r>
      <w:r w:rsidRPr="00C6052E">
        <w:t>in</w:t>
      </w:r>
      <w:r w:rsidR="00177848" w:rsidRPr="00C6052E">
        <w:t xml:space="preserve"> </w:t>
      </w:r>
      <w:r w:rsidRPr="00C6052E">
        <w:t>their</w:t>
      </w:r>
      <w:r w:rsidR="00177848" w:rsidRPr="00C6052E">
        <w:t xml:space="preserve"> </w:t>
      </w:r>
      <w:r w:rsidRPr="00C6052E">
        <w:t>financial</w:t>
      </w:r>
      <w:r w:rsidR="00177848" w:rsidRPr="00C6052E">
        <w:t xml:space="preserve"> </w:t>
      </w:r>
      <w:r w:rsidRPr="00C6052E">
        <w:t>statements,</w:t>
      </w:r>
      <w:r w:rsidR="00177848" w:rsidRPr="00C6052E">
        <w:t xml:space="preserve"> </w:t>
      </w:r>
      <w:r w:rsidRPr="00C6052E">
        <w:t>with</w:t>
      </w:r>
      <w:r w:rsidR="00177848" w:rsidRPr="00C6052E">
        <w:t xml:space="preserve"> </w:t>
      </w:r>
      <w:r w:rsidRPr="00C6052E">
        <w:t>a</w:t>
      </w:r>
      <w:r w:rsidR="00177848" w:rsidRPr="00C6052E">
        <w:t xml:space="preserve"> </w:t>
      </w:r>
      <w:r w:rsidRPr="00C6052E">
        <w:t>particular</w:t>
      </w:r>
      <w:r w:rsidR="00177848" w:rsidRPr="00C6052E">
        <w:t xml:space="preserve"> </w:t>
      </w:r>
      <w:r w:rsidRPr="00C6052E">
        <w:t>focus</w:t>
      </w:r>
      <w:r w:rsidR="00177848" w:rsidRPr="00C6052E">
        <w:t xml:space="preserve"> </w:t>
      </w:r>
      <w:r w:rsidRPr="00C6052E">
        <w:t>on</w:t>
      </w:r>
      <w:r w:rsidR="00177848" w:rsidRPr="00C6052E">
        <w:t xml:space="preserve"> </w:t>
      </w:r>
      <w:r w:rsidRPr="00C6052E">
        <w:t>information</w:t>
      </w:r>
      <w:r w:rsidR="00177848" w:rsidRPr="00C6052E">
        <w:t xml:space="preserve"> </w:t>
      </w:r>
      <w:r w:rsidRPr="00C6052E">
        <w:t>about</w:t>
      </w:r>
      <w:r w:rsidR="00177848" w:rsidRPr="00C6052E">
        <w:t xml:space="preserve"> </w:t>
      </w:r>
      <w:r w:rsidRPr="00C6052E">
        <w:t>financial</w:t>
      </w:r>
      <w:r w:rsidR="00177848" w:rsidRPr="00C6052E">
        <w:t xml:space="preserve"> </w:t>
      </w:r>
      <w:r w:rsidRPr="00C6052E">
        <w:t>performance</w:t>
      </w:r>
      <w:r w:rsidR="00177848" w:rsidRPr="00C6052E">
        <w:t xml:space="preserve"> </w:t>
      </w:r>
      <w:r w:rsidRPr="00C6052E">
        <w:t>in</w:t>
      </w:r>
      <w:r w:rsidR="00177848" w:rsidRPr="00C6052E">
        <w:t xml:space="preserve"> </w:t>
      </w:r>
      <w:r w:rsidRPr="00C6052E">
        <w:t>the</w:t>
      </w:r>
      <w:r w:rsidR="00177848" w:rsidRPr="00C6052E">
        <w:t xml:space="preserve"> </w:t>
      </w:r>
      <w:r w:rsidRPr="00C6052E">
        <w:t>statement</w:t>
      </w:r>
      <w:r w:rsidR="00177848" w:rsidRPr="00C6052E">
        <w:t xml:space="preserve"> </w:t>
      </w:r>
      <w:r w:rsidRPr="00C6052E">
        <w:t>of</w:t>
      </w:r>
      <w:r w:rsidR="00177848" w:rsidRPr="00C6052E">
        <w:t xml:space="preserve"> </w:t>
      </w:r>
      <w:r w:rsidRPr="00C6052E">
        <w:t>profit</w:t>
      </w:r>
      <w:r w:rsidR="00177848" w:rsidRPr="00C6052E">
        <w:t xml:space="preserve"> </w:t>
      </w:r>
      <w:r w:rsidRPr="00C6052E">
        <w:t>or</w:t>
      </w:r>
      <w:r w:rsidR="00177848" w:rsidRPr="00C6052E">
        <w:t xml:space="preserve"> </w:t>
      </w:r>
      <w:r w:rsidRPr="00C6052E">
        <w:t>loss.</w:t>
      </w:r>
    </w:p>
    <w:p w14:paraId="240C1011" w14:textId="576E46CC" w:rsidR="00EE5BB8" w:rsidRPr="00C6052E" w:rsidRDefault="00EE5BB8" w:rsidP="00EE5BB8">
      <w:r w:rsidRPr="00C6052E">
        <w:t>The</w:t>
      </w:r>
      <w:r w:rsidR="00177848" w:rsidRPr="00C6052E">
        <w:t xml:space="preserve"> </w:t>
      </w:r>
      <w:r w:rsidRPr="00C6052E">
        <w:t>key</w:t>
      </w:r>
      <w:r w:rsidR="00177848" w:rsidRPr="00C6052E">
        <w:t xml:space="preserve"> </w:t>
      </w:r>
      <w:r w:rsidRPr="00C6052E">
        <w:t>presentation</w:t>
      </w:r>
      <w:r w:rsidR="00177848" w:rsidRPr="00C6052E">
        <w:t xml:space="preserve"> </w:t>
      </w:r>
      <w:r w:rsidRPr="00C6052E">
        <w:t>and</w:t>
      </w:r>
      <w:r w:rsidR="00177848" w:rsidRPr="00C6052E">
        <w:t xml:space="preserve"> </w:t>
      </w:r>
      <w:r w:rsidRPr="00C6052E">
        <w:t>disclosure</w:t>
      </w:r>
      <w:r w:rsidR="00177848" w:rsidRPr="00C6052E">
        <w:t xml:space="preserve"> </w:t>
      </w:r>
      <w:r w:rsidRPr="00C6052E">
        <w:t>requirements</w:t>
      </w:r>
      <w:r w:rsidR="00177848" w:rsidRPr="00C6052E">
        <w:t xml:space="preserve"> </w:t>
      </w:r>
      <w:r w:rsidRPr="00C6052E">
        <w:t>established</w:t>
      </w:r>
      <w:r w:rsidR="00177848" w:rsidRPr="00C6052E">
        <w:t xml:space="preserve"> </w:t>
      </w:r>
      <w:r w:rsidRPr="00C6052E">
        <w:t>by</w:t>
      </w:r>
      <w:r w:rsidR="00177848" w:rsidRPr="00C6052E">
        <w:t xml:space="preserve"> </w:t>
      </w:r>
      <w:r w:rsidRPr="00C6052E">
        <w:t>AASB</w:t>
      </w:r>
      <w:r w:rsidR="00177848" w:rsidRPr="00C6052E">
        <w:t xml:space="preserve"> </w:t>
      </w:r>
      <w:r w:rsidRPr="00C6052E">
        <w:t>18</w:t>
      </w:r>
      <w:r w:rsidR="00177848" w:rsidRPr="00C6052E">
        <w:t xml:space="preserve"> </w:t>
      </w:r>
      <w:r w:rsidRPr="00C6052E">
        <w:t>is</w:t>
      </w:r>
      <w:r w:rsidR="00177848" w:rsidRPr="00C6052E">
        <w:t xml:space="preserve"> </w:t>
      </w:r>
      <w:r w:rsidRPr="00C6052E">
        <w:t>the</w:t>
      </w:r>
      <w:r w:rsidR="00177848" w:rsidRPr="00C6052E">
        <w:t xml:space="preserve"> </w:t>
      </w:r>
      <w:r w:rsidRPr="00C6052E">
        <w:t>presentation</w:t>
      </w:r>
      <w:r w:rsidR="00177848" w:rsidRPr="00C6052E">
        <w:t xml:space="preserve"> </w:t>
      </w:r>
      <w:r w:rsidRPr="00C6052E">
        <w:t>of</w:t>
      </w:r>
      <w:r w:rsidR="00177848" w:rsidRPr="00C6052E">
        <w:t xml:space="preserve"> </w:t>
      </w:r>
      <w:r w:rsidRPr="00C6052E">
        <w:t>newly</w:t>
      </w:r>
      <w:r w:rsidR="00177848" w:rsidRPr="00C6052E">
        <w:t xml:space="preserve"> </w:t>
      </w:r>
      <w:r w:rsidRPr="00C6052E">
        <w:t>defined</w:t>
      </w:r>
      <w:r w:rsidR="00177848" w:rsidRPr="00C6052E">
        <w:t xml:space="preserve"> </w:t>
      </w:r>
      <w:r w:rsidRPr="00C6052E">
        <w:t>subtotals</w:t>
      </w:r>
      <w:r w:rsidR="00177848" w:rsidRPr="00C6052E">
        <w:t xml:space="preserve"> </w:t>
      </w:r>
      <w:r w:rsidRPr="00C6052E">
        <w:t>in</w:t>
      </w:r>
      <w:r w:rsidR="00177848" w:rsidRPr="00C6052E">
        <w:t xml:space="preserve"> </w:t>
      </w:r>
      <w:r w:rsidRPr="00C6052E">
        <w:t>the</w:t>
      </w:r>
      <w:r w:rsidR="00177848" w:rsidRPr="00C6052E">
        <w:t xml:space="preserve"> </w:t>
      </w:r>
      <w:r w:rsidRPr="00C6052E">
        <w:t>statement</w:t>
      </w:r>
      <w:r w:rsidR="00177848" w:rsidRPr="00C6052E">
        <w:t xml:space="preserve"> </w:t>
      </w:r>
      <w:r w:rsidRPr="00C6052E">
        <w:t>of</w:t>
      </w:r>
      <w:r w:rsidR="00177848" w:rsidRPr="00C6052E">
        <w:t xml:space="preserve"> </w:t>
      </w:r>
      <w:r w:rsidRPr="00C6052E">
        <w:t>profit</w:t>
      </w:r>
      <w:r w:rsidR="00177848" w:rsidRPr="00C6052E">
        <w:t xml:space="preserve"> </w:t>
      </w:r>
      <w:r w:rsidRPr="00C6052E">
        <w:t>or</w:t>
      </w:r>
      <w:r w:rsidR="00177848" w:rsidRPr="00C6052E">
        <w:t xml:space="preserve"> </w:t>
      </w:r>
      <w:r w:rsidRPr="00C6052E">
        <w:t>loss.</w:t>
      </w:r>
      <w:r w:rsidR="00177848" w:rsidRPr="00C6052E">
        <w:t xml:space="preserve"> </w:t>
      </w:r>
    </w:p>
    <w:p w14:paraId="7DD11C7B" w14:textId="338FC230" w:rsidR="00EE5BB8" w:rsidRPr="00C6052E" w:rsidRDefault="00EE5BB8" w:rsidP="00EE5BB8">
      <w:r w:rsidRPr="00C6052E">
        <w:t>AASB</w:t>
      </w:r>
      <w:r w:rsidR="00177848" w:rsidRPr="00C6052E">
        <w:t xml:space="preserve"> </w:t>
      </w:r>
      <w:r w:rsidRPr="00C6052E">
        <w:t>18</w:t>
      </w:r>
      <w:r w:rsidR="00177848" w:rsidRPr="00C6052E">
        <w:t xml:space="preserve"> </w:t>
      </w:r>
      <w:r w:rsidRPr="00C6052E">
        <w:t>applies</w:t>
      </w:r>
      <w:r w:rsidR="00177848" w:rsidRPr="00C6052E">
        <w:t xml:space="preserve"> </w:t>
      </w:r>
      <w:r w:rsidRPr="00C6052E">
        <w:t>to</w:t>
      </w:r>
      <w:r w:rsidR="00177848" w:rsidRPr="00C6052E">
        <w:t xml:space="preserve"> </w:t>
      </w:r>
      <w:r w:rsidRPr="00C6052E">
        <w:t>annual</w:t>
      </w:r>
      <w:r w:rsidR="00177848" w:rsidRPr="00C6052E">
        <w:t xml:space="preserve"> </w:t>
      </w:r>
      <w:r w:rsidRPr="00C6052E">
        <w:t>reporting</w:t>
      </w:r>
      <w:r w:rsidR="00177848" w:rsidRPr="00C6052E">
        <w:t xml:space="preserve"> </w:t>
      </w:r>
      <w:r w:rsidRPr="00C6052E">
        <w:t>periods</w:t>
      </w:r>
      <w:r w:rsidR="00177848" w:rsidRPr="00C6052E">
        <w:t xml:space="preserve"> </w:t>
      </w:r>
      <w:r w:rsidRPr="00C6052E">
        <w:t>beginning</w:t>
      </w:r>
      <w:r w:rsidR="00177848" w:rsidRPr="00C6052E">
        <w:t xml:space="preserve"> </w:t>
      </w:r>
      <w:r w:rsidRPr="00C6052E">
        <w:t>on</w:t>
      </w:r>
      <w:r w:rsidR="00177848" w:rsidRPr="00C6052E">
        <w:t xml:space="preserve"> </w:t>
      </w:r>
      <w:r w:rsidRPr="00C6052E">
        <w:t>or</w:t>
      </w:r>
      <w:r w:rsidR="00177848" w:rsidRPr="00C6052E">
        <w:t xml:space="preserve"> </w:t>
      </w:r>
      <w:r w:rsidRPr="00C6052E">
        <w:t>after</w:t>
      </w:r>
      <w:r w:rsidR="00177848" w:rsidRPr="00C6052E">
        <w:t xml:space="preserve"> </w:t>
      </w:r>
      <w:r w:rsidRPr="00C6052E">
        <w:t>1</w:t>
      </w:r>
      <w:r w:rsidR="00177848" w:rsidRPr="00C6052E">
        <w:t xml:space="preserve"> </w:t>
      </w:r>
      <w:r w:rsidRPr="00C6052E">
        <w:t>January</w:t>
      </w:r>
      <w:r w:rsidR="00177848" w:rsidRPr="00C6052E">
        <w:t xml:space="preserve"> </w:t>
      </w:r>
      <w:r w:rsidRPr="00C6052E">
        <w:t>2027</w:t>
      </w:r>
      <w:r w:rsidR="00177848" w:rsidRPr="00C6052E">
        <w:t xml:space="preserve"> </w:t>
      </w:r>
      <w:r w:rsidRPr="00C6052E">
        <w:t>for</w:t>
      </w:r>
      <w:r w:rsidR="00177848" w:rsidRPr="00C6052E">
        <w:t xml:space="preserve"> </w:t>
      </w:r>
      <w:r w:rsidRPr="00C6052E">
        <w:t>for-profit</w:t>
      </w:r>
      <w:r w:rsidR="00177848" w:rsidRPr="00C6052E">
        <w:t xml:space="preserve"> </w:t>
      </w:r>
      <w:r w:rsidRPr="00C6052E">
        <w:t>entities</w:t>
      </w:r>
      <w:r w:rsidR="00177848" w:rsidRPr="00C6052E">
        <w:t xml:space="preserve"> </w:t>
      </w:r>
      <w:r w:rsidRPr="00C6052E">
        <w:t>and</w:t>
      </w:r>
      <w:r w:rsidR="00177848" w:rsidRPr="00C6052E">
        <w:rPr>
          <w:spacing w:val="-2"/>
        </w:rPr>
        <w:t xml:space="preserve"> </w:t>
      </w:r>
      <w:r w:rsidRPr="00C6052E">
        <w:rPr>
          <w:spacing w:val="-2"/>
        </w:rPr>
        <w:t>applies</w:t>
      </w:r>
      <w:r w:rsidR="00177848" w:rsidRPr="00C6052E">
        <w:rPr>
          <w:spacing w:val="-2"/>
        </w:rPr>
        <w:t xml:space="preserve"> </w:t>
      </w:r>
      <w:r w:rsidRPr="00C6052E">
        <w:rPr>
          <w:spacing w:val="-2"/>
        </w:rPr>
        <w:t>to</w:t>
      </w:r>
      <w:r w:rsidR="00177848" w:rsidRPr="00C6052E">
        <w:rPr>
          <w:spacing w:val="-2"/>
        </w:rPr>
        <w:t xml:space="preserve"> </w:t>
      </w:r>
      <w:r w:rsidRPr="00C6052E">
        <w:rPr>
          <w:spacing w:val="-2"/>
        </w:rPr>
        <w:t>annual</w:t>
      </w:r>
      <w:r w:rsidR="00177848" w:rsidRPr="00C6052E">
        <w:rPr>
          <w:spacing w:val="-2"/>
        </w:rPr>
        <w:t xml:space="preserve"> </w:t>
      </w:r>
      <w:r w:rsidRPr="00C6052E">
        <w:rPr>
          <w:spacing w:val="-2"/>
        </w:rPr>
        <w:t>reporting</w:t>
      </w:r>
      <w:r w:rsidR="00177848" w:rsidRPr="00C6052E">
        <w:rPr>
          <w:spacing w:val="-2"/>
        </w:rPr>
        <w:t xml:space="preserve"> </w:t>
      </w:r>
      <w:r w:rsidRPr="00C6052E">
        <w:rPr>
          <w:spacing w:val="-2"/>
        </w:rPr>
        <w:t>periods</w:t>
      </w:r>
      <w:r w:rsidR="00177848" w:rsidRPr="00C6052E">
        <w:rPr>
          <w:spacing w:val="-2"/>
        </w:rPr>
        <w:t xml:space="preserve"> </w:t>
      </w:r>
      <w:r w:rsidRPr="00C6052E">
        <w:rPr>
          <w:spacing w:val="-2"/>
        </w:rPr>
        <w:t>beginning</w:t>
      </w:r>
      <w:r w:rsidR="00177848" w:rsidRPr="00C6052E">
        <w:rPr>
          <w:spacing w:val="-2"/>
        </w:rPr>
        <w:t xml:space="preserve"> </w:t>
      </w:r>
      <w:r w:rsidRPr="00C6052E">
        <w:rPr>
          <w:spacing w:val="-2"/>
        </w:rPr>
        <w:t>on</w:t>
      </w:r>
      <w:r w:rsidR="00177848" w:rsidRPr="00C6052E">
        <w:rPr>
          <w:spacing w:val="-2"/>
        </w:rPr>
        <w:t xml:space="preserve"> </w:t>
      </w:r>
      <w:r w:rsidRPr="00C6052E">
        <w:rPr>
          <w:spacing w:val="-2"/>
        </w:rPr>
        <w:t>or</w:t>
      </w:r>
      <w:r w:rsidR="00177848" w:rsidRPr="00C6052E">
        <w:rPr>
          <w:spacing w:val="-2"/>
        </w:rPr>
        <w:t xml:space="preserve"> </w:t>
      </w:r>
      <w:r w:rsidRPr="00C6052E">
        <w:rPr>
          <w:spacing w:val="-2"/>
        </w:rPr>
        <w:t>after</w:t>
      </w:r>
      <w:r w:rsidR="00177848" w:rsidRPr="00C6052E">
        <w:rPr>
          <w:spacing w:val="-2"/>
        </w:rPr>
        <w:t xml:space="preserve"> </w:t>
      </w:r>
      <w:r w:rsidRPr="00C6052E">
        <w:rPr>
          <w:spacing w:val="-2"/>
        </w:rPr>
        <w:t>1</w:t>
      </w:r>
      <w:r w:rsidR="00177848" w:rsidRPr="00C6052E">
        <w:rPr>
          <w:spacing w:val="-2"/>
        </w:rPr>
        <w:t xml:space="preserve"> </w:t>
      </w:r>
      <w:r w:rsidRPr="00C6052E">
        <w:rPr>
          <w:spacing w:val="-2"/>
        </w:rPr>
        <w:t>January</w:t>
      </w:r>
      <w:r w:rsidR="00177848" w:rsidRPr="00C6052E">
        <w:rPr>
          <w:spacing w:val="-2"/>
        </w:rPr>
        <w:t xml:space="preserve"> </w:t>
      </w:r>
      <w:r w:rsidRPr="00C6052E">
        <w:rPr>
          <w:spacing w:val="-2"/>
        </w:rPr>
        <w:t>2028</w:t>
      </w:r>
      <w:r w:rsidR="00177848" w:rsidRPr="00C6052E">
        <w:rPr>
          <w:spacing w:val="-2"/>
        </w:rPr>
        <w:t xml:space="preserve"> </w:t>
      </w:r>
      <w:r w:rsidRPr="00C6052E">
        <w:rPr>
          <w:spacing w:val="-2"/>
        </w:rPr>
        <w:t>for</w:t>
      </w:r>
      <w:r w:rsidR="00177848" w:rsidRPr="00C6052E">
        <w:rPr>
          <w:spacing w:val="-2"/>
        </w:rPr>
        <w:t xml:space="preserve"> </w:t>
      </w:r>
      <w:r w:rsidRPr="00C6052E">
        <w:rPr>
          <w:spacing w:val="-2"/>
        </w:rPr>
        <w:t>not-for-profit</w:t>
      </w:r>
      <w:r w:rsidR="00177848" w:rsidRPr="00C6052E">
        <w:rPr>
          <w:spacing w:val="-2"/>
        </w:rPr>
        <w:t xml:space="preserve"> </w:t>
      </w:r>
      <w:r w:rsidRPr="00C6052E">
        <w:rPr>
          <w:spacing w:val="-2"/>
        </w:rPr>
        <w:t>entities.</w:t>
      </w:r>
      <w:r w:rsidR="00177848" w:rsidRPr="00C6052E">
        <w:t xml:space="preserve"> </w:t>
      </w:r>
      <w:r w:rsidRPr="00C6052E">
        <w:t>The</w:t>
      </w:r>
      <w:r w:rsidR="00177848" w:rsidRPr="00C6052E">
        <w:t xml:space="preserve"> </w:t>
      </w:r>
      <w:r w:rsidRPr="00C6052E">
        <w:t>delayed</w:t>
      </w:r>
      <w:r w:rsidR="00177848" w:rsidRPr="00C6052E">
        <w:t xml:space="preserve"> </w:t>
      </w:r>
      <w:r w:rsidRPr="00C6052E">
        <w:t>date</w:t>
      </w:r>
      <w:r w:rsidR="00177848" w:rsidRPr="00C6052E">
        <w:t xml:space="preserve"> </w:t>
      </w:r>
      <w:r w:rsidRPr="00C6052E">
        <w:t>of</w:t>
      </w:r>
      <w:r w:rsidR="00177848" w:rsidRPr="00C6052E">
        <w:t xml:space="preserve"> </w:t>
      </w:r>
      <w:r w:rsidRPr="00C6052E">
        <w:t>one</w:t>
      </w:r>
      <w:r w:rsidR="00177848" w:rsidRPr="00C6052E">
        <w:t xml:space="preserve"> </w:t>
      </w:r>
      <w:r w:rsidRPr="00C6052E">
        <w:t>year</w:t>
      </w:r>
      <w:r w:rsidR="00177848" w:rsidRPr="00C6052E">
        <w:t xml:space="preserve"> </w:t>
      </w:r>
      <w:r w:rsidRPr="00C6052E">
        <w:t>will</w:t>
      </w:r>
      <w:r w:rsidR="00177848" w:rsidRPr="00C6052E">
        <w:t xml:space="preserve"> </w:t>
      </w:r>
      <w:r w:rsidRPr="00C6052E">
        <w:t>allow</w:t>
      </w:r>
      <w:r w:rsidR="00177848" w:rsidRPr="00C6052E">
        <w:t xml:space="preserve"> </w:t>
      </w:r>
      <w:r w:rsidRPr="00C6052E">
        <w:t>the</w:t>
      </w:r>
      <w:r w:rsidR="00177848" w:rsidRPr="00C6052E">
        <w:t xml:space="preserve"> </w:t>
      </w:r>
      <w:r w:rsidRPr="00C6052E">
        <w:t>AASB</w:t>
      </w:r>
      <w:r w:rsidR="00177848" w:rsidRPr="00C6052E">
        <w:t xml:space="preserve"> </w:t>
      </w:r>
      <w:r w:rsidRPr="00C6052E">
        <w:t>to</w:t>
      </w:r>
      <w:r w:rsidR="00177848" w:rsidRPr="00C6052E">
        <w:t xml:space="preserve"> </w:t>
      </w:r>
      <w:r w:rsidRPr="00C6052E">
        <w:t>consult</w:t>
      </w:r>
      <w:r w:rsidR="00177848" w:rsidRPr="00C6052E">
        <w:t xml:space="preserve"> </w:t>
      </w:r>
      <w:r w:rsidRPr="00C6052E">
        <w:t>with</w:t>
      </w:r>
      <w:r w:rsidR="00177848" w:rsidRPr="00C6052E">
        <w:t xml:space="preserve"> </w:t>
      </w:r>
      <w:r w:rsidRPr="00C6052E">
        <w:t>stakeholders</w:t>
      </w:r>
      <w:r w:rsidR="00177848" w:rsidRPr="00C6052E">
        <w:t xml:space="preserve"> </w:t>
      </w:r>
      <w:r w:rsidRPr="00C6052E">
        <w:t>and</w:t>
      </w:r>
      <w:r w:rsidR="00177848" w:rsidRPr="00C6052E">
        <w:t xml:space="preserve"> </w:t>
      </w:r>
      <w:r w:rsidRPr="00C6052E">
        <w:t>consider</w:t>
      </w:r>
      <w:r w:rsidR="00177848" w:rsidRPr="00C6052E">
        <w:t xml:space="preserve"> </w:t>
      </w:r>
      <w:r w:rsidRPr="00C6052E">
        <w:t>potential</w:t>
      </w:r>
      <w:r w:rsidR="00177848" w:rsidRPr="00C6052E">
        <w:t xml:space="preserve"> </w:t>
      </w:r>
      <w:r w:rsidRPr="00C6052E">
        <w:t>modifications</w:t>
      </w:r>
      <w:r w:rsidR="00177848" w:rsidRPr="00C6052E">
        <w:t xml:space="preserve"> </w:t>
      </w:r>
      <w:r w:rsidRPr="00C6052E">
        <w:t>for</w:t>
      </w:r>
      <w:r w:rsidR="00177848" w:rsidRPr="00C6052E">
        <w:t xml:space="preserve"> </w:t>
      </w:r>
      <w:r w:rsidRPr="00C6052E">
        <w:t>application</w:t>
      </w:r>
      <w:r w:rsidR="00177848" w:rsidRPr="00C6052E">
        <w:t xml:space="preserve"> </w:t>
      </w:r>
      <w:r w:rsidRPr="00C6052E">
        <w:t>by</w:t>
      </w:r>
      <w:r w:rsidR="00177848" w:rsidRPr="00C6052E">
        <w:t xml:space="preserve"> </w:t>
      </w:r>
      <w:r w:rsidRPr="00C6052E">
        <w:t>not-for-profit</w:t>
      </w:r>
      <w:r w:rsidR="00177848" w:rsidRPr="00C6052E">
        <w:t xml:space="preserve"> </w:t>
      </w:r>
      <w:r w:rsidRPr="00C6052E">
        <w:t>public</w:t>
      </w:r>
      <w:r w:rsidR="00177848" w:rsidRPr="00C6052E">
        <w:t xml:space="preserve"> </w:t>
      </w:r>
      <w:r w:rsidRPr="00C6052E">
        <w:t>sector</w:t>
      </w:r>
      <w:r w:rsidR="00177848" w:rsidRPr="00C6052E">
        <w:t xml:space="preserve"> </w:t>
      </w:r>
      <w:r w:rsidRPr="00C6052E">
        <w:t>entities.</w:t>
      </w:r>
      <w:r w:rsidR="00177848" w:rsidRPr="00C6052E">
        <w:t xml:space="preserve"> </w:t>
      </w:r>
    </w:p>
    <w:p w14:paraId="5A3E8D2C" w14:textId="7D5C85CA" w:rsidR="00EE5BB8" w:rsidRPr="00C6052E" w:rsidRDefault="00EE5BB8" w:rsidP="00EE5BB8">
      <w:r w:rsidRPr="00C6052E">
        <w:t>DJSIR</w:t>
      </w:r>
      <w:r w:rsidR="00177848" w:rsidRPr="00C6052E">
        <w:t xml:space="preserve"> </w:t>
      </w:r>
      <w:r w:rsidRPr="00C6052E">
        <w:t>is</w:t>
      </w:r>
      <w:r w:rsidR="00177848" w:rsidRPr="00C6052E">
        <w:t xml:space="preserve"> </w:t>
      </w:r>
      <w:r w:rsidRPr="00C6052E">
        <w:t>currently</w:t>
      </w:r>
      <w:r w:rsidR="00177848" w:rsidRPr="00C6052E">
        <w:t xml:space="preserve"> </w:t>
      </w:r>
      <w:r w:rsidRPr="00C6052E">
        <w:t>in</w:t>
      </w:r>
      <w:r w:rsidR="00177848" w:rsidRPr="00C6052E">
        <w:t xml:space="preserve"> </w:t>
      </w:r>
      <w:r w:rsidRPr="00C6052E">
        <w:t>the</w:t>
      </w:r>
      <w:r w:rsidR="00177848" w:rsidRPr="00C6052E">
        <w:t xml:space="preserve"> </w:t>
      </w:r>
      <w:r w:rsidRPr="00C6052E">
        <w:t>process</w:t>
      </w:r>
      <w:r w:rsidR="00177848" w:rsidRPr="00C6052E">
        <w:t xml:space="preserve"> </w:t>
      </w:r>
      <w:r w:rsidRPr="00C6052E">
        <w:t>of</w:t>
      </w:r>
      <w:r w:rsidR="00177848" w:rsidRPr="00C6052E">
        <w:t xml:space="preserve"> </w:t>
      </w:r>
      <w:r w:rsidRPr="00C6052E">
        <w:t>assessing</w:t>
      </w:r>
      <w:r w:rsidR="00177848" w:rsidRPr="00C6052E">
        <w:t xml:space="preserve"> </w:t>
      </w:r>
      <w:r w:rsidRPr="00C6052E">
        <w:t>the</w:t>
      </w:r>
      <w:r w:rsidR="00177848" w:rsidRPr="00C6052E">
        <w:t xml:space="preserve"> </w:t>
      </w:r>
      <w:r w:rsidRPr="00C6052E">
        <w:t>potential</w:t>
      </w:r>
      <w:r w:rsidR="00177848" w:rsidRPr="00C6052E">
        <w:t xml:space="preserve"> </w:t>
      </w:r>
      <w:r w:rsidRPr="00C6052E">
        <w:t>impact</w:t>
      </w:r>
      <w:r w:rsidR="00177848" w:rsidRPr="00C6052E">
        <w:t xml:space="preserve"> </w:t>
      </w:r>
      <w:r w:rsidRPr="00C6052E">
        <w:t>of</w:t>
      </w:r>
      <w:r w:rsidR="00177848" w:rsidRPr="00C6052E">
        <w:t xml:space="preserve"> </w:t>
      </w:r>
      <w:r w:rsidRPr="00C6052E">
        <w:t>these</w:t>
      </w:r>
      <w:r w:rsidR="00177848" w:rsidRPr="00C6052E">
        <w:t xml:space="preserve"> </w:t>
      </w:r>
      <w:r w:rsidRPr="00C6052E">
        <w:t>standards</w:t>
      </w:r>
      <w:r w:rsidR="00177848" w:rsidRPr="00C6052E">
        <w:t xml:space="preserve"> </w:t>
      </w:r>
      <w:r w:rsidRPr="00C6052E">
        <w:t>and</w:t>
      </w:r>
      <w:r w:rsidR="00177848" w:rsidRPr="00C6052E">
        <w:t xml:space="preserve"> </w:t>
      </w:r>
      <w:r w:rsidRPr="00C6052E">
        <w:t>amendments.</w:t>
      </w:r>
    </w:p>
    <w:p w14:paraId="2CBABFCE" w14:textId="512B888D" w:rsidR="00EE5BB8" w:rsidRPr="00C6052E" w:rsidRDefault="00EE5BB8" w:rsidP="00EE5BB8">
      <w:r w:rsidRPr="00C6052E">
        <w:t>A</w:t>
      </w:r>
      <w:r w:rsidR="00177848" w:rsidRPr="00C6052E">
        <w:t xml:space="preserve"> </w:t>
      </w:r>
      <w:r w:rsidRPr="00C6052E">
        <w:t>number</w:t>
      </w:r>
      <w:r w:rsidR="00177848" w:rsidRPr="00C6052E">
        <w:t xml:space="preserve"> </w:t>
      </w:r>
      <w:r w:rsidRPr="00C6052E">
        <w:t>of</w:t>
      </w:r>
      <w:r w:rsidR="00177848" w:rsidRPr="00C6052E">
        <w:t xml:space="preserve"> </w:t>
      </w:r>
      <w:r w:rsidRPr="00C6052E">
        <w:t>other</w:t>
      </w:r>
      <w:r w:rsidR="00177848" w:rsidRPr="00C6052E">
        <w:t xml:space="preserve"> </w:t>
      </w:r>
      <w:r w:rsidRPr="00C6052E">
        <w:t>standards</w:t>
      </w:r>
      <w:r w:rsidR="00177848" w:rsidRPr="00C6052E">
        <w:t xml:space="preserve"> </w:t>
      </w:r>
      <w:r w:rsidRPr="00C6052E">
        <w:t>and</w:t>
      </w:r>
      <w:r w:rsidR="00177848" w:rsidRPr="00C6052E">
        <w:t xml:space="preserve"> </w:t>
      </w:r>
      <w:r w:rsidRPr="00C6052E">
        <w:t>amendments</w:t>
      </w:r>
      <w:r w:rsidR="00177848" w:rsidRPr="00C6052E">
        <w:t xml:space="preserve"> </w:t>
      </w:r>
      <w:r w:rsidRPr="00C6052E">
        <w:t>have</w:t>
      </w:r>
      <w:r w:rsidR="00177848" w:rsidRPr="00C6052E">
        <w:t xml:space="preserve"> </w:t>
      </w:r>
      <w:r w:rsidRPr="00C6052E">
        <w:t>also</w:t>
      </w:r>
      <w:r w:rsidR="00177848" w:rsidRPr="00C6052E">
        <w:t xml:space="preserve"> </w:t>
      </w:r>
      <w:r w:rsidRPr="00C6052E">
        <w:t>been</w:t>
      </w:r>
      <w:r w:rsidR="00177848" w:rsidRPr="00C6052E">
        <w:t xml:space="preserve"> </w:t>
      </w:r>
      <w:r w:rsidRPr="00C6052E">
        <w:t>issued</w:t>
      </w:r>
      <w:r w:rsidR="00177848" w:rsidRPr="00C6052E">
        <w:t xml:space="preserve"> </w:t>
      </w:r>
      <w:r w:rsidRPr="00C6052E">
        <w:t>that</w:t>
      </w:r>
      <w:r w:rsidR="00177848" w:rsidRPr="00C6052E">
        <w:t xml:space="preserve"> </w:t>
      </w:r>
      <w:r w:rsidRPr="00C6052E">
        <w:t>apply</w:t>
      </w:r>
      <w:r w:rsidR="00177848" w:rsidRPr="00C6052E">
        <w:t xml:space="preserve"> </w:t>
      </w:r>
      <w:r w:rsidRPr="00C6052E">
        <w:t>to</w:t>
      </w:r>
      <w:r w:rsidR="00177848" w:rsidRPr="00C6052E">
        <w:t xml:space="preserve"> </w:t>
      </w:r>
      <w:r w:rsidRPr="00C6052E">
        <w:t>future</w:t>
      </w:r>
      <w:r w:rsidR="00177848" w:rsidRPr="00C6052E">
        <w:t xml:space="preserve"> </w:t>
      </w:r>
      <w:r w:rsidRPr="00C6052E">
        <w:t>reporting</w:t>
      </w:r>
      <w:r w:rsidR="00177848" w:rsidRPr="00C6052E">
        <w:t xml:space="preserve"> </w:t>
      </w:r>
      <w:r w:rsidRPr="00C6052E">
        <w:t>periods,</w:t>
      </w:r>
      <w:r w:rsidR="00177848" w:rsidRPr="00C6052E">
        <w:t xml:space="preserve"> </w:t>
      </w:r>
      <w:r w:rsidRPr="00C6052E">
        <w:t>however</w:t>
      </w:r>
      <w:r w:rsidR="00177848" w:rsidRPr="00C6052E">
        <w:t xml:space="preserve"> </w:t>
      </w:r>
      <w:r w:rsidRPr="00C6052E">
        <w:t>they</w:t>
      </w:r>
      <w:r w:rsidR="00177848" w:rsidRPr="00C6052E">
        <w:t xml:space="preserve"> </w:t>
      </w:r>
      <w:r w:rsidRPr="00C6052E">
        <w:t>are</w:t>
      </w:r>
      <w:r w:rsidR="00177848" w:rsidRPr="00C6052E">
        <w:t xml:space="preserve"> </w:t>
      </w:r>
      <w:r w:rsidRPr="00C6052E">
        <w:t>not</w:t>
      </w:r>
      <w:r w:rsidR="00177848" w:rsidRPr="00C6052E">
        <w:t xml:space="preserve"> </w:t>
      </w:r>
      <w:r w:rsidRPr="00C6052E">
        <w:t>expected</w:t>
      </w:r>
      <w:r w:rsidR="00177848" w:rsidRPr="00C6052E">
        <w:t xml:space="preserve"> </w:t>
      </w:r>
      <w:r w:rsidRPr="00C6052E">
        <w:t>to</w:t>
      </w:r>
      <w:r w:rsidR="00177848" w:rsidRPr="00C6052E">
        <w:t xml:space="preserve"> </w:t>
      </w:r>
      <w:r w:rsidRPr="00C6052E">
        <w:t>have</w:t>
      </w:r>
      <w:r w:rsidR="00177848" w:rsidRPr="00C6052E">
        <w:t xml:space="preserve"> </w:t>
      </w:r>
      <w:r w:rsidRPr="00C6052E">
        <w:t>any</w:t>
      </w:r>
      <w:r w:rsidR="00177848" w:rsidRPr="00C6052E">
        <w:t xml:space="preserve"> </w:t>
      </w:r>
      <w:r w:rsidRPr="00C6052E">
        <w:t>significant</w:t>
      </w:r>
      <w:r w:rsidR="00177848" w:rsidRPr="00C6052E">
        <w:t xml:space="preserve"> </w:t>
      </w:r>
      <w:r w:rsidRPr="00C6052E">
        <w:t>impact</w:t>
      </w:r>
      <w:r w:rsidR="00177848" w:rsidRPr="00C6052E">
        <w:t xml:space="preserve"> </w:t>
      </w:r>
      <w:r w:rsidRPr="00C6052E">
        <w:t>on</w:t>
      </w:r>
      <w:r w:rsidR="00177848" w:rsidRPr="00C6052E">
        <w:t xml:space="preserve"> </w:t>
      </w:r>
      <w:r w:rsidRPr="00C6052E">
        <w:t>the</w:t>
      </w:r>
      <w:r w:rsidR="00177848" w:rsidRPr="00C6052E">
        <w:t xml:space="preserve"> </w:t>
      </w:r>
      <w:r w:rsidRPr="00C6052E">
        <w:t>financial</w:t>
      </w:r>
      <w:r w:rsidR="00177848" w:rsidRPr="00C6052E">
        <w:t xml:space="preserve"> </w:t>
      </w:r>
      <w:r w:rsidRPr="00C6052E">
        <w:t>statements</w:t>
      </w:r>
      <w:r w:rsidR="00177848" w:rsidRPr="00C6052E">
        <w:t xml:space="preserve"> </w:t>
      </w:r>
      <w:r w:rsidRPr="00C6052E">
        <w:t>in</w:t>
      </w:r>
      <w:r w:rsidR="00177848" w:rsidRPr="00C6052E">
        <w:t xml:space="preserve"> </w:t>
      </w:r>
      <w:r w:rsidRPr="00C6052E">
        <w:t>the</w:t>
      </w:r>
      <w:r w:rsidR="00177848" w:rsidRPr="00C6052E">
        <w:t xml:space="preserve"> </w:t>
      </w:r>
      <w:r w:rsidRPr="00C6052E">
        <w:t>period</w:t>
      </w:r>
      <w:r w:rsidR="00177848" w:rsidRPr="00C6052E">
        <w:t xml:space="preserve"> </w:t>
      </w:r>
      <w:r w:rsidRPr="00C6052E">
        <w:t>of</w:t>
      </w:r>
      <w:r w:rsidR="00177848" w:rsidRPr="00C6052E">
        <w:t xml:space="preserve"> </w:t>
      </w:r>
      <w:r w:rsidRPr="00C6052E">
        <w:t>initial</w:t>
      </w:r>
      <w:r w:rsidR="00177848" w:rsidRPr="00C6052E">
        <w:t xml:space="preserve"> </w:t>
      </w:r>
      <w:r w:rsidRPr="00C6052E">
        <w:t>application.</w:t>
      </w:r>
    </w:p>
    <w:p w14:paraId="135D0E1E" w14:textId="07DA7D3D" w:rsidR="00EE5BB8" w:rsidRPr="00C6052E" w:rsidRDefault="00EE5BB8" w:rsidP="00C6052E">
      <w:pPr>
        <w:pStyle w:val="Heading2numbered0"/>
      </w:pPr>
      <w:bookmarkStart w:id="404" w:name="_Toc163566005"/>
      <w:bookmarkStart w:id="405" w:name="_Ref163567298"/>
      <w:bookmarkStart w:id="406" w:name="_Ref209706609"/>
      <w:bookmarkStart w:id="407" w:name="_Ref209706620"/>
      <w:bookmarkStart w:id="408" w:name="_Ref209710923"/>
      <w:bookmarkStart w:id="409" w:name="_Ref209710929"/>
      <w:r w:rsidRPr="00C6052E">
        <w:lastRenderedPageBreak/>
        <w:t>Departmental</w:t>
      </w:r>
      <w:r w:rsidR="00177848" w:rsidRPr="00C6052E">
        <w:t xml:space="preserve"> </w:t>
      </w:r>
      <w:r w:rsidRPr="00C6052E">
        <w:t>output</w:t>
      </w:r>
      <w:r w:rsidR="00177848" w:rsidRPr="00C6052E">
        <w:t xml:space="preserve"> </w:t>
      </w:r>
      <w:r w:rsidRPr="00C6052E">
        <w:t>objectives</w:t>
      </w:r>
      <w:r w:rsidR="00177848" w:rsidRPr="00C6052E">
        <w:t xml:space="preserve"> </w:t>
      </w:r>
      <w:r w:rsidRPr="00C6052E">
        <w:t>and</w:t>
      </w:r>
      <w:r w:rsidR="00177848" w:rsidRPr="00C6052E">
        <w:t xml:space="preserve"> </w:t>
      </w:r>
      <w:r w:rsidRPr="00C6052E">
        <w:t>descriptions</w:t>
      </w:r>
      <w:bookmarkEnd w:id="404"/>
      <w:bookmarkEnd w:id="405"/>
      <w:bookmarkEnd w:id="406"/>
      <w:bookmarkEnd w:id="407"/>
      <w:bookmarkEnd w:id="408"/>
      <w:bookmarkEnd w:id="409"/>
    </w:p>
    <w:p w14:paraId="73F344ED" w14:textId="152F5EEE" w:rsidR="00EE5BB8" w:rsidRPr="00C6052E" w:rsidRDefault="00EE5BB8" w:rsidP="00EE5BB8">
      <w:r w:rsidRPr="00C6052E">
        <w:t>DJSIR</w:t>
      </w:r>
      <w:r w:rsidR="00177848" w:rsidRPr="00C6052E">
        <w:t xml:space="preserve"> </w:t>
      </w:r>
      <w:r w:rsidRPr="00C6052E">
        <w:t>outputs</w:t>
      </w:r>
      <w:r w:rsidR="00177848" w:rsidRPr="00C6052E">
        <w:t xml:space="preserve"> </w:t>
      </w:r>
      <w:r w:rsidRPr="00C6052E">
        <w:t>during</w:t>
      </w:r>
      <w:r w:rsidR="00177848" w:rsidRPr="00C6052E">
        <w:t xml:space="preserve"> </w:t>
      </w:r>
      <w:r w:rsidRPr="00C6052E">
        <w:t>the</w:t>
      </w:r>
      <w:r w:rsidR="00177848" w:rsidRPr="00C6052E">
        <w:t xml:space="preserve"> </w:t>
      </w:r>
      <w:r w:rsidRPr="00C6052E">
        <w:t>financial</w:t>
      </w:r>
      <w:r w:rsidR="00177848" w:rsidRPr="00C6052E">
        <w:t xml:space="preserve"> </w:t>
      </w:r>
      <w:r w:rsidRPr="00C6052E">
        <w:t>year</w:t>
      </w:r>
      <w:r w:rsidR="00177848" w:rsidRPr="00C6052E">
        <w:t xml:space="preserve"> </w:t>
      </w:r>
      <w:r w:rsidRPr="00C6052E">
        <w:t>ended</w:t>
      </w:r>
      <w:r w:rsidR="00177848" w:rsidRPr="00C6052E">
        <w:t xml:space="preserve"> </w:t>
      </w:r>
      <w:fldSimple w:instr=" DOCPROPERTY  pEnd  \* MERGEFORMAT ">
        <w:r w:rsidRPr="00C6052E">
          <w:t>30</w:t>
        </w:r>
        <w:r w:rsidR="00177848" w:rsidRPr="00C6052E">
          <w:t xml:space="preserve"> </w:t>
        </w:r>
        <w:r w:rsidRPr="00C6052E">
          <w:t>June</w:t>
        </w:r>
      </w:fldSimple>
      <w:r w:rsidR="00177848" w:rsidRPr="00C6052E">
        <w:t xml:space="preserve"> </w:t>
      </w:r>
      <w:fldSimple w:instr=" DOCPROPERTY  crYear  \* MERGEFORMAT ">
        <w:r w:rsidRPr="00C6052E">
          <w:t>2025</w:t>
        </w:r>
      </w:fldSimple>
      <w:r w:rsidR="00177848" w:rsidRPr="00C6052E">
        <w:t xml:space="preserve"> </w:t>
      </w:r>
      <w:r w:rsidRPr="00C6052E">
        <w:t>are</w:t>
      </w:r>
      <w:r w:rsidR="00177848" w:rsidRPr="00C6052E">
        <w:t xml:space="preserve"> </w:t>
      </w:r>
      <w:r w:rsidRPr="00C6052E">
        <w:t>disclosed</w:t>
      </w:r>
      <w:r w:rsidR="00177848" w:rsidRPr="00C6052E">
        <w:t xml:space="preserve"> </w:t>
      </w:r>
      <w:r w:rsidRPr="00C6052E">
        <w:t>in</w:t>
      </w:r>
      <w:r w:rsidR="00177848" w:rsidRPr="00C6052E">
        <w:t xml:space="preserve"> </w:t>
      </w:r>
      <w:r w:rsidRPr="00C6052E">
        <w:t>Note</w:t>
      </w:r>
      <w:r w:rsidR="00177848" w:rsidRPr="00C6052E">
        <w:t xml:space="preserve"> </w:t>
      </w:r>
      <w:r w:rsidRPr="00C6052E">
        <w:fldChar w:fldCharType="begin"/>
      </w:r>
      <w:r w:rsidRPr="00C6052E">
        <w:instrText xml:space="preserve"> REF _Ref209439586 \r \h </w:instrText>
      </w:r>
      <w:r w:rsidRPr="00C6052E">
        <w:fldChar w:fldCharType="separate"/>
      </w:r>
      <w:r w:rsidRPr="00C6052E">
        <w:t>4.1</w:t>
      </w:r>
      <w:r w:rsidRPr="00C6052E">
        <w:fldChar w:fldCharType="end"/>
      </w:r>
      <w:r w:rsidR="00177848" w:rsidRPr="00C6052E">
        <w:t xml:space="preserve"> </w:t>
      </w:r>
      <w:r w:rsidRPr="00C6052E">
        <w:t>–</w:t>
      </w:r>
      <w:r w:rsidR="00177848" w:rsidRPr="00C6052E">
        <w:t xml:space="preserve"> </w:t>
      </w:r>
      <w:r w:rsidRPr="00C6052E">
        <w:fldChar w:fldCharType="begin"/>
      </w:r>
      <w:r w:rsidRPr="00C6052E">
        <w:instrText xml:space="preserve"> REF _Ref209439586 \h </w:instrText>
      </w:r>
      <w:r w:rsidRPr="00C6052E">
        <w:fldChar w:fldCharType="separate"/>
      </w:r>
      <w:r w:rsidRPr="00C6052E">
        <w:t>Departmental</w:t>
      </w:r>
      <w:r w:rsidR="00177848" w:rsidRPr="00C6052E">
        <w:t xml:space="preserve"> </w:t>
      </w:r>
      <w:r w:rsidRPr="00C6052E">
        <w:t>outputs</w:t>
      </w:r>
      <w:r w:rsidRPr="00C6052E">
        <w:fldChar w:fldCharType="end"/>
      </w:r>
      <w:r w:rsidRPr="00C6052E">
        <w:t>.</w:t>
      </w:r>
      <w:r w:rsidR="00177848" w:rsidRPr="00C6052E">
        <w:t xml:space="preserve"> </w:t>
      </w:r>
      <w:r w:rsidRPr="00C6052E">
        <w:t>The</w:t>
      </w:r>
      <w:r w:rsidR="00177848" w:rsidRPr="00C6052E">
        <w:t xml:space="preserve"> </w:t>
      </w:r>
      <w:r w:rsidRPr="00C6052E">
        <w:t>outputs</w:t>
      </w:r>
      <w:r w:rsidR="00177848" w:rsidRPr="00C6052E">
        <w:t xml:space="preserve"> </w:t>
      </w:r>
      <w:r w:rsidRPr="00C6052E">
        <w:t>objectives</w:t>
      </w:r>
      <w:r w:rsidR="00177848" w:rsidRPr="00C6052E">
        <w:t xml:space="preserve"> </w:t>
      </w:r>
      <w:r w:rsidRPr="00C6052E">
        <w:t>and</w:t>
      </w:r>
      <w:r w:rsidR="00177848" w:rsidRPr="00C6052E">
        <w:t xml:space="preserve"> </w:t>
      </w:r>
      <w:r w:rsidRPr="00C6052E">
        <w:t>descriptions</w:t>
      </w:r>
      <w:r w:rsidR="00177848" w:rsidRPr="00C6052E">
        <w:t xml:space="preserve"> </w:t>
      </w:r>
      <w:r w:rsidRPr="00C6052E">
        <w:t>are</w:t>
      </w:r>
      <w:r w:rsidR="00177848" w:rsidRPr="00C6052E">
        <w:t xml:space="preserve"> </w:t>
      </w:r>
      <w:r w:rsidRPr="00C6052E">
        <w:t>summarised</w:t>
      </w:r>
      <w:r w:rsidR="00177848" w:rsidRPr="00C6052E">
        <w:t xml:space="preserve"> </w:t>
      </w:r>
      <w:r w:rsidRPr="00C6052E">
        <w:t>below.</w:t>
      </w:r>
    </w:p>
    <w:p w14:paraId="56A8227F" w14:textId="30B064B0" w:rsidR="00EE5BB8" w:rsidRPr="00C6052E" w:rsidRDefault="00EE5BB8" w:rsidP="006F1C8C">
      <w:pPr>
        <w:pStyle w:val="Heading3"/>
      </w:pPr>
      <w:r w:rsidRPr="00C6052E">
        <w:t>Create</w:t>
      </w:r>
      <w:r w:rsidR="00177848" w:rsidRPr="00C6052E">
        <w:t xml:space="preserve"> </w:t>
      </w:r>
      <w:r w:rsidRPr="00C6052E">
        <w:t>and</w:t>
      </w:r>
      <w:r w:rsidR="00177848" w:rsidRPr="00C6052E">
        <w:t xml:space="preserve"> </w:t>
      </w:r>
      <w:r w:rsidRPr="00C6052E">
        <w:t>maintain</w:t>
      </w:r>
      <w:r w:rsidR="00177848" w:rsidRPr="00C6052E">
        <w:t xml:space="preserve"> </w:t>
      </w:r>
      <w:r w:rsidRPr="00C6052E">
        <w:t>jobs</w:t>
      </w:r>
    </w:p>
    <w:p w14:paraId="0B403948" w14:textId="1E479F35" w:rsidR="00EE5BB8" w:rsidRPr="00C6052E" w:rsidRDefault="00EE5BB8" w:rsidP="00EE5BB8">
      <w:r w:rsidRPr="00C6052E">
        <w:t>This</w:t>
      </w:r>
      <w:r w:rsidR="00177848" w:rsidRPr="00C6052E">
        <w:t xml:space="preserve"> </w:t>
      </w:r>
      <w:r w:rsidRPr="00C6052E">
        <w:t>objective</w:t>
      </w:r>
      <w:r w:rsidR="00177848" w:rsidRPr="00C6052E">
        <w:t xml:space="preserve"> </w:t>
      </w:r>
      <w:r w:rsidRPr="00C6052E">
        <w:t>seeks</w:t>
      </w:r>
      <w:r w:rsidR="00177848" w:rsidRPr="00C6052E">
        <w:t xml:space="preserve"> </w:t>
      </w:r>
      <w:r w:rsidRPr="00C6052E">
        <w:t>to</w:t>
      </w:r>
      <w:r w:rsidR="00177848" w:rsidRPr="00C6052E">
        <w:t xml:space="preserve"> </w:t>
      </w:r>
      <w:r w:rsidRPr="00C6052E">
        <w:t>secure</w:t>
      </w:r>
      <w:r w:rsidR="00177848" w:rsidRPr="00C6052E">
        <w:t xml:space="preserve"> </w:t>
      </w:r>
      <w:r w:rsidRPr="00C6052E">
        <w:t>a</w:t>
      </w:r>
      <w:r w:rsidR="00177848" w:rsidRPr="00C6052E">
        <w:t xml:space="preserve"> </w:t>
      </w:r>
      <w:r w:rsidRPr="00C6052E">
        <w:t>growing,</w:t>
      </w:r>
      <w:r w:rsidR="00177848" w:rsidRPr="00C6052E">
        <w:t xml:space="preserve"> </w:t>
      </w:r>
      <w:r w:rsidRPr="00C6052E">
        <w:t>sustainable</w:t>
      </w:r>
      <w:r w:rsidR="00177848" w:rsidRPr="00C6052E">
        <w:t xml:space="preserve"> </w:t>
      </w:r>
      <w:r w:rsidRPr="00C6052E">
        <w:t>and</w:t>
      </w:r>
      <w:r w:rsidR="00177848" w:rsidRPr="00C6052E">
        <w:t xml:space="preserve"> </w:t>
      </w:r>
      <w:r w:rsidRPr="00C6052E">
        <w:t>equitable</w:t>
      </w:r>
      <w:r w:rsidR="00177848" w:rsidRPr="00C6052E">
        <w:t xml:space="preserve"> </w:t>
      </w:r>
      <w:r w:rsidRPr="00C6052E">
        <w:t>jobs</w:t>
      </w:r>
      <w:r w:rsidR="00177848" w:rsidRPr="00C6052E">
        <w:t xml:space="preserve"> </w:t>
      </w:r>
      <w:r w:rsidRPr="00C6052E">
        <w:t>market</w:t>
      </w:r>
      <w:r w:rsidR="00177848" w:rsidRPr="00C6052E">
        <w:t xml:space="preserve"> </w:t>
      </w:r>
      <w:r w:rsidRPr="00C6052E">
        <w:t>for</w:t>
      </w:r>
      <w:r w:rsidR="00177848" w:rsidRPr="00C6052E">
        <w:t xml:space="preserve"> </w:t>
      </w:r>
      <w:r w:rsidRPr="00C6052E">
        <w:t>all</w:t>
      </w:r>
      <w:r w:rsidR="00177848" w:rsidRPr="00C6052E">
        <w:t xml:space="preserve"> </w:t>
      </w:r>
      <w:r w:rsidRPr="00C6052E">
        <w:t>Victorians</w:t>
      </w:r>
      <w:r w:rsidR="00177848" w:rsidRPr="00C6052E">
        <w:t xml:space="preserve"> </w:t>
      </w:r>
      <w:r w:rsidRPr="00C6052E">
        <w:t>by</w:t>
      </w:r>
      <w:r w:rsidR="00177848" w:rsidRPr="00C6052E">
        <w:t xml:space="preserve"> </w:t>
      </w:r>
      <w:r w:rsidRPr="00C6052E">
        <w:t>working</w:t>
      </w:r>
      <w:r w:rsidR="00177848" w:rsidRPr="00C6052E">
        <w:t xml:space="preserve"> </w:t>
      </w:r>
      <w:r w:rsidRPr="00C6052E">
        <w:t>with</w:t>
      </w:r>
      <w:r w:rsidR="00177848" w:rsidRPr="00C6052E">
        <w:t xml:space="preserve"> </w:t>
      </w:r>
      <w:r w:rsidRPr="00C6052E">
        <w:t>businesses</w:t>
      </w:r>
      <w:r w:rsidR="00177848" w:rsidRPr="00C6052E">
        <w:t xml:space="preserve"> </w:t>
      </w:r>
      <w:r w:rsidRPr="00C6052E">
        <w:t>to</w:t>
      </w:r>
      <w:r w:rsidR="00177848" w:rsidRPr="00C6052E">
        <w:t xml:space="preserve"> </w:t>
      </w:r>
      <w:r w:rsidRPr="00C6052E">
        <w:t>increase</w:t>
      </w:r>
      <w:r w:rsidR="00177848" w:rsidRPr="00C6052E">
        <w:t xml:space="preserve"> </w:t>
      </w:r>
      <w:r w:rsidRPr="00C6052E">
        <w:t>job</w:t>
      </w:r>
      <w:r w:rsidR="00177848" w:rsidRPr="00C6052E">
        <w:t xml:space="preserve"> </w:t>
      </w:r>
      <w:r w:rsidRPr="00C6052E">
        <w:t>opportunities,</w:t>
      </w:r>
      <w:r w:rsidR="00177848" w:rsidRPr="00C6052E">
        <w:t xml:space="preserve"> </w:t>
      </w:r>
      <w:r w:rsidRPr="00C6052E">
        <w:t>support</w:t>
      </w:r>
      <w:r w:rsidR="00177848" w:rsidRPr="00C6052E">
        <w:t xml:space="preserve"> </w:t>
      </w:r>
      <w:r w:rsidRPr="00C6052E">
        <w:t>people</w:t>
      </w:r>
      <w:r w:rsidR="00177848" w:rsidRPr="00C6052E">
        <w:t xml:space="preserve"> </w:t>
      </w:r>
      <w:r w:rsidRPr="00C6052E">
        <w:t>into</w:t>
      </w:r>
      <w:r w:rsidR="00177848" w:rsidRPr="00C6052E">
        <w:t xml:space="preserve"> </w:t>
      </w:r>
      <w:r w:rsidRPr="00C6052E">
        <w:t>meaningful</w:t>
      </w:r>
      <w:r w:rsidR="00177848" w:rsidRPr="00C6052E">
        <w:t xml:space="preserve"> </w:t>
      </w:r>
      <w:r w:rsidRPr="00C6052E">
        <w:t>and</w:t>
      </w:r>
      <w:r w:rsidR="00177848" w:rsidRPr="00C6052E">
        <w:t xml:space="preserve"> </w:t>
      </w:r>
      <w:r w:rsidRPr="00C6052E">
        <w:t>secure</w:t>
      </w:r>
      <w:r w:rsidR="00177848" w:rsidRPr="00C6052E">
        <w:t xml:space="preserve"> </w:t>
      </w:r>
      <w:r w:rsidRPr="00C6052E">
        <w:t>employment,</w:t>
      </w:r>
      <w:r w:rsidR="00177848" w:rsidRPr="00C6052E">
        <w:t xml:space="preserve"> </w:t>
      </w:r>
      <w:r w:rsidRPr="00C6052E">
        <w:t>and</w:t>
      </w:r>
      <w:r w:rsidR="00177848" w:rsidRPr="00C6052E">
        <w:t xml:space="preserve"> </w:t>
      </w:r>
      <w:r w:rsidRPr="00C6052E">
        <w:t>attract</w:t>
      </w:r>
      <w:r w:rsidR="00177848" w:rsidRPr="00C6052E">
        <w:t xml:space="preserve"> </w:t>
      </w:r>
      <w:r w:rsidRPr="00C6052E">
        <w:t>the</w:t>
      </w:r>
      <w:r w:rsidR="00177848" w:rsidRPr="00C6052E">
        <w:t xml:space="preserve"> </w:t>
      </w:r>
      <w:r w:rsidRPr="00C6052E">
        <w:t>investment</w:t>
      </w:r>
      <w:r w:rsidR="00177848" w:rsidRPr="00C6052E">
        <w:t xml:space="preserve"> </w:t>
      </w:r>
      <w:r w:rsidRPr="00C6052E">
        <w:t>and</w:t>
      </w:r>
      <w:r w:rsidR="00177848" w:rsidRPr="00C6052E">
        <w:t xml:space="preserve"> </w:t>
      </w:r>
      <w:r w:rsidRPr="00C6052E">
        <w:t>talent</w:t>
      </w:r>
      <w:r w:rsidR="00177848" w:rsidRPr="00C6052E">
        <w:t xml:space="preserve"> </w:t>
      </w:r>
      <w:r w:rsidRPr="00C6052E">
        <w:t>needed</w:t>
      </w:r>
      <w:r w:rsidR="00177848" w:rsidRPr="00C6052E">
        <w:t xml:space="preserve"> </w:t>
      </w:r>
      <w:r w:rsidRPr="00C6052E">
        <w:t>to</w:t>
      </w:r>
      <w:r w:rsidR="00177848" w:rsidRPr="00C6052E">
        <w:t xml:space="preserve"> </w:t>
      </w:r>
      <w:r w:rsidRPr="00C6052E">
        <w:t>foster</w:t>
      </w:r>
      <w:r w:rsidR="00177848" w:rsidRPr="00C6052E">
        <w:t xml:space="preserve"> </w:t>
      </w:r>
      <w:r w:rsidRPr="00C6052E">
        <w:t>job</w:t>
      </w:r>
      <w:r w:rsidR="00177848" w:rsidRPr="00C6052E">
        <w:t xml:space="preserve"> </w:t>
      </w:r>
      <w:r w:rsidRPr="00C6052E">
        <w:t>growth.</w:t>
      </w:r>
    </w:p>
    <w:p w14:paraId="39E23C26" w14:textId="7FEE2F96" w:rsidR="00EE5BB8" w:rsidRPr="00C6052E" w:rsidRDefault="00EE5BB8" w:rsidP="00EE5BB8">
      <w:pPr>
        <w:rPr>
          <w:spacing w:val="-2"/>
        </w:rPr>
      </w:pPr>
      <w:r w:rsidRPr="00C6052E">
        <w:t>The</w:t>
      </w:r>
      <w:r w:rsidR="00177848" w:rsidRPr="00C6052E">
        <w:t xml:space="preserve"> </w:t>
      </w:r>
      <w:r w:rsidRPr="00C6052E">
        <w:t>Jobs</w:t>
      </w:r>
      <w:r w:rsidR="00177848" w:rsidRPr="00C6052E">
        <w:t xml:space="preserve"> </w:t>
      </w:r>
      <w:r w:rsidRPr="00C6052E">
        <w:t>output</w:t>
      </w:r>
      <w:r w:rsidR="00177848" w:rsidRPr="00C6052E">
        <w:t xml:space="preserve"> </w:t>
      </w:r>
      <w:r w:rsidRPr="00C6052E">
        <w:t>includes</w:t>
      </w:r>
      <w:r w:rsidR="00177848" w:rsidRPr="00C6052E">
        <w:t xml:space="preserve"> </w:t>
      </w:r>
      <w:r w:rsidRPr="00C6052E">
        <w:t>actions</w:t>
      </w:r>
      <w:r w:rsidR="00177848" w:rsidRPr="00C6052E">
        <w:t xml:space="preserve"> </w:t>
      </w:r>
      <w:r w:rsidRPr="00C6052E">
        <w:t>to</w:t>
      </w:r>
      <w:r w:rsidR="00177848" w:rsidRPr="00C6052E">
        <w:t xml:space="preserve"> </w:t>
      </w:r>
      <w:r w:rsidRPr="00C6052E">
        <w:t>increase</w:t>
      </w:r>
      <w:r w:rsidR="00177848" w:rsidRPr="00C6052E">
        <w:t xml:space="preserve"> </w:t>
      </w:r>
      <w:r w:rsidRPr="00C6052E">
        <w:t>job</w:t>
      </w:r>
      <w:r w:rsidR="00177848" w:rsidRPr="00C6052E">
        <w:t xml:space="preserve"> </w:t>
      </w:r>
      <w:r w:rsidRPr="00C6052E">
        <w:t>opportunities</w:t>
      </w:r>
      <w:r w:rsidR="00177848" w:rsidRPr="00C6052E">
        <w:t xml:space="preserve"> </w:t>
      </w:r>
      <w:r w:rsidRPr="00C6052E">
        <w:t>including</w:t>
      </w:r>
      <w:r w:rsidR="00177848" w:rsidRPr="00C6052E">
        <w:t xml:space="preserve"> </w:t>
      </w:r>
      <w:r w:rsidRPr="00C6052E">
        <w:t>initiatives</w:t>
      </w:r>
      <w:r w:rsidR="00177848" w:rsidRPr="00C6052E">
        <w:t xml:space="preserve"> </w:t>
      </w:r>
      <w:r w:rsidRPr="00C6052E">
        <w:t>to</w:t>
      </w:r>
      <w:r w:rsidR="00177848" w:rsidRPr="00C6052E">
        <w:t xml:space="preserve"> </w:t>
      </w:r>
      <w:r w:rsidRPr="00C6052E">
        <w:t>support</w:t>
      </w:r>
      <w:r w:rsidR="00177848" w:rsidRPr="00C6052E">
        <w:t xml:space="preserve"> </w:t>
      </w:r>
      <w:r w:rsidRPr="00C6052E">
        <w:t>Victorians</w:t>
      </w:r>
      <w:r w:rsidR="00177848" w:rsidRPr="00C6052E">
        <w:t xml:space="preserve"> </w:t>
      </w:r>
      <w:r w:rsidRPr="00C6052E">
        <w:t>experiencing</w:t>
      </w:r>
      <w:r w:rsidR="00177848" w:rsidRPr="00C6052E">
        <w:t xml:space="preserve"> </w:t>
      </w:r>
      <w:r w:rsidRPr="00C6052E">
        <w:t>disadvantage</w:t>
      </w:r>
      <w:r w:rsidR="00177848" w:rsidRPr="00C6052E">
        <w:t xml:space="preserve"> </w:t>
      </w:r>
      <w:r w:rsidRPr="00C6052E">
        <w:t>into</w:t>
      </w:r>
      <w:r w:rsidR="00177848" w:rsidRPr="00C6052E">
        <w:t xml:space="preserve"> </w:t>
      </w:r>
      <w:r w:rsidRPr="00C6052E">
        <w:t>employment,</w:t>
      </w:r>
      <w:r w:rsidR="00177848" w:rsidRPr="00C6052E">
        <w:t xml:space="preserve"> </w:t>
      </w:r>
      <w:r w:rsidRPr="00C6052E">
        <w:t>support</w:t>
      </w:r>
      <w:r w:rsidR="00177848" w:rsidRPr="00C6052E">
        <w:t xml:space="preserve"> </w:t>
      </w:r>
      <w:r w:rsidRPr="00C6052E">
        <w:t>Aboriginal</w:t>
      </w:r>
      <w:r w:rsidR="00177848" w:rsidRPr="00C6052E">
        <w:t xml:space="preserve"> </w:t>
      </w:r>
      <w:r w:rsidRPr="00C6052E">
        <w:t>economic</w:t>
      </w:r>
      <w:r w:rsidR="00177848" w:rsidRPr="00C6052E">
        <w:t xml:space="preserve"> </w:t>
      </w:r>
      <w:r w:rsidRPr="00C6052E">
        <w:t>inclusion,</w:t>
      </w:r>
      <w:r w:rsidR="00177848" w:rsidRPr="00C6052E">
        <w:t xml:space="preserve"> </w:t>
      </w:r>
      <w:r w:rsidRPr="00C6052E">
        <w:t>as</w:t>
      </w:r>
      <w:r w:rsidR="00177848" w:rsidRPr="00C6052E">
        <w:t xml:space="preserve"> </w:t>
      </w:r>
      <w:r w:rsidRPr="00C6052E">
        <w:t>well</w:t>
      </w:r>
      <w:r w:rsidR="00177848" w:rsidRPr="00C6052E">
        <w:t xml:space="preserve"> </w:t>
      </w:r>
      <w:r w:rsidRPr="00C6052E">
        <w:t>as</w:t>
      </w:r>
      <w:r w:rsidR="00177848" w:rsidRPr="00C6052E">
        <w:t xml:space="preserve"> </w:t>
      </w:r>
      <w:r w:rsidRPr="00C6052E">
        <w:t>attract</w:t>
      </w:r>
      <w:r w:rsidR="00177848" w:rsidRPr="00C6052E">
        <w:t xml:space="preserve"> </w:t>
      </w:r>
      <w:r w:rsidRPr="00C6052E">
        <w:t>new</w:t>
      </w:r>
      <w:r w:rsidR="00177848" w:rsidRPr="00C6052E">
        <w:t xml:space="preserve"> </w:t>
      </w:r>
      <w:r w:rsidRPr="00C6052E">
        <w:rPr>
          <w:spacing w:val="-2"/>
        </w:rPr>
        <w:t>investment</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talent</w:t>
      </w:r>
      <w:r w:rsidR="00177848" w:rsidRPr="00C6052E">
        <w:rPr>
          <w:spacing w:val="-2"/>
        </w:rPr>
        <w:t xml:space="preserve"> </w:t>
      </w:r>
      <w:r w:rsidRPr="00C6052E">
        <w:rPr>
          <w:spacing w:val="-2"/>
        </w:rPr>
        <w:t>into</w:t>
      </w:r>
      <w:r w:rsidR="00177848" w:rsidRPr="00C6052E">
        <w:rPr>
          <w:spacing w:val="-2"/>
        </w:rPr>
        <w:t xml:space="preserve"> </w:t>
      </w:r>
      <w:r w:rsidRPr="00C6052E">
        <w:rPr>
          <w:spacing w:val="-2"/>
        </w:rPr>
        <w:t>Victoria</w:t>
      </w:r>
      <w:r w:rsidR="00177848" w:rsidRPr="00C6052E">
        <w:rPr>
          <w:spacing w:val="-2"/>
        </w:rPr>
        <w:t xml:space="preserve"> </w:t>
      </w:r>
      <w:r w:rsidRPr="00C6052E">
        <w:rPr>
          <w:spacing w:val="-2"/>
        </w:rPr>
        <w:t>to</w:t>
      </w:r>
      <w:r w:rsidR="00177848" w:rsidRPr="00C6052E">
        <w:rPr>
          <w:spacing w:val="-2"/>
        </w:rPr>
        <w:t xml:space="preserve"> </w:t>
      </w:r>
      <w:r w:rsidRPr="00C6052E">
        <w:rPr>
          <w:spacing w:val="-2"/>
        </w:rPr>
        <w:t>grow</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economy</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share</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benefits</w:t>
      </w:r>
      <w:r w:rsidR="00177848" w:rsidRPr="00C6052E">
        <w:rPr>
          <w:spacing w:val="-2"/>
        </w:rPr>
        <w:t xml:space="preserve"> </w:t>
      </w:r>
      <w:r w:rsidRPr="00C6052E">
        <w:rPr>
          <w:spacing w:val="-2"/>
        </w:rPr>
        <w:t>of</w:t>
      </w:r>
      <w:r w:rsidR="00177848" w:rsidRPr="00C6052E">
        <w:rPr>
          <w:spacing w:val="-2"/>
        </w:rPr>
        <w:t xml:space="preserve"> </w:t>
      </w:r>
      <w:r w:rsidRPr="00C6052E">
        <w:rPr>
          <w:spacing w:val="-2"/>
        </w:rPr>
        <w:t>economic</w:t>
      </w:r>
      <w:r w:rsidR="00177848" w:rsidRPr="00C6052E">
        <w:rPr>
          <w:spacing w:val="-2"/>
        </w:rPr>
        <w:t xml:space="preserve"> </w:t>
      </w:r>
      <w:r w:rsidRPr="00C6052E">
        <w:rPr>
          <w:spacing w:val="-2"/>
        </w:rPr>
        <w:t>prosperity.</w:t>
      </w:r>
    </w:p>
    <w:p w14:paraId="372A521A" w14:textId="5CDEC388" w:rsidR="00EE5BB8" w:rsidRPr="00C6052E" w:rsidRDefault="00EE5BB8" w:rsidP="006F1C8C">
      <w:pPr>
        <w:pStyle w:val="Heading3"/>
      </w:pPr>
      <w:r w:rsidRPr="00C6052E">
        <w:t>Foster</w:t>
      </w:r>
      <w:r w:rsidR="00177848" w:rsidRPr="00C6052E">
        <w:t xml:space="preserve"> </w:t>
      </w:r>
      <w:r w:rsidRPr="00C6052E">
        <w:t>a</w:t>
      </w:r>
      <w:r w:rsidR="00177848" w:rsidRPr="00C6052E">
        <w:t xml:space="preserve"> </w:t>
      </w:r>
      <w:r w:rsidRPr="00C6052E">
        <w:t>competitive</w:t>
      </w:r>
      <w:r w:rsidR="00177848" w:rsidRPr="00C6052E">
        <w:t xml:space="preserve"> </w:t>
      </w:r>
      <w:r w:rsidRPr="00C6052E">
        <w:t>business</w:t>
      </w:r>
      <w:r w:rsidR="00177848" w:rsidRPr="00C6052E">
        <w:t xml:space="preserve"> </w:t>
      </w:r>
      <w:r w:rsidRPr="00C6052E">
        <w:t>environment</w:t>
      </w:r>
    </w:p>
    <w:p w14:paraId="6D9C702E" w14:textId="268AABF6" w:rsidR="00EE5BB8" w:rsidRPr="00C6052E" w:rsidRDefault="00EE5BB8" w:rsidP="00EE5BB8">
      <w:r w:rsidRPr="00C6052E">
        <w:t>This</w:t>
      </w:r>
      <w:r w:rsidR="00177848" w:rsidRPr="00C6052E">
        <w:t xml:space="preserve"> </w:t>
      </w:r>
      <w:r w:rsidRPr="00C6052E">
        <w:t>objective</w:t>
      </w:r>
      <w:r w:rsidR="00177848" w:rsidRPr="00C6052E">
        <w:t xml:space="preserve"> </w:t>
      </w:r>
      <w:r w:rsidRPr="00C6052E">
        <w:t>seeks</w:t>
      </w:r>
      <w:r w:rsidR="00177848" w:rsidRPr="00C6052E">
        <w:t xml:space="preserve"> </w:t>
      </w:r>
      <w:r w:rsidRPr="00C6052E">
        <w:t>to</w:t>
      </w:r>
      <w:r w:rsidR="00177848" w:rsidRPr="00C6052E">
        <w:t xml:space="preserve"> </w:t>
      </w:r>
      <w:r w:rsidRPr="00C6052E">
        <w:t>grow</w:t>
      </w:r>
      <w:r w:rsidR="00177848" w:rsidRPr="00C6052E">
        <w:t xml:space="preserve"> </w:t>
      </w:r>
      <w:r w:rsidRPr="00C6052E">
        <w:t>Victorian</w:t>
      </w:r>
      <w:r w:rsidR="00177848" w:rsidRPr="00C6052E">
        <w:t xml:space="preserve"> </w:t>
      </w:r>
      <w:r w:rsidRPr="00C6052E">
        <w:t>industries</w:t>
      </w:r>
      <w:r w:rsidR="00177848" w:rsidRPr="00C6052E">
        <w:t xml:space="preserve"> </w:t>
      </w:r>
      <w:r w:rsidRPr="00C6052E">
        <w:t>and</w:t>
      </w:r>
      <w:r w:rsidR="00177848" w:rsidRPr="00C6052E">
        <w:t xml:space="preserve"> </w:t>
      </w:r>
      <w:r w:rsidRPr="00C6052E">
        <w:t>businesses</w:t>
      </w:r>
      <w:r w:rsidR="00177848" w:rsidRPr="00C6052E">
        <w:t xml:space="preserve"> </w:t>
      </w:r>
      <w:r w:rsidRPr="00C6052E">
        <w:t>by</w:t>
      </w:r>
      <w:r w:rsidR="00177848" w:rsidRPr="00C6052E">
        <w:t xml:space="preserve"> </w:t>
      </w:r>
      <w:r w:rsidRPr="00C6052E">
        <w:t>working</w:t>
      </w:r>
      <w:r w:rsidR="00177848" w:rsidRPr="00C6052E">
        <w:t xml:space="preserve"> </w:t>
      </w:r>
      <w:r w:rsidRPr="00C6052E">
        <w:t>with</w:t>
      </w:r>
      <w:r w:rsidR="00177848" w:rsidRPr="00C6052E">
        <w:t xml:space="preserve"> </w:t>
      </w:r>
      <w:r w:rsidRPr="00C6052E">
        <w:t>priority</w:t>
      </w:r>
      <w:r w:rsidR="00177848" w:rsidRPr="00C6052E">
        <w:t xml:space="preserve"> </w:t>
      </w:r>
      <w:r w:rsidRPr="00C6052E">
        <w:t>industry</w:t>
      </w:r>
      <w:r w:rsidR="00177848" w:rsidRPr="00C6052E">
        <w:t xml:space="preserve"> </w:t>
      </w:r>
      <w:r w:rsidRPr="00C6052E">
        <w:t>sectors,</w:t>
      </w:r>
      <w:r w:rsidR="00177848" w:rsidRPr="00C6052E">
        <w:t xml:space="preserve"> </w:t>
      </w:r>
      <w:r w:rsidRPr="00C6052E">
        <w:rPr>
          <w:spacing w:val="-4"/>
        </w:rPr>
        <w:t>supporting</w:t>
      </w:r>
      <w:r w:rsidR="00177848" w:rsidRPr="00C6052E">
        <w:rPr>
          <w:spacing w:val="-4"/>
        </w:rPr>
        <w:t xml:space="preserve"> </w:t>
      </w:r>
      <w:r w:rsidRPr="00C6052E">
        <w:rPr>
          <w:spacing w:val="-4"/>
        </w:rPr>
        <w:t>growth</w:t>
      </w:r>
      <w:r w:rsidR="00177848" w:rsidRPr="00C6052E">
        <w:rPr>
          <w:spacing w:val="-4"/>
        </w:rPr>
        <w:t xml:space="preserve"> </w:t>
      </w:r>
      <w:r w:rsidRPr="00C6052E">
        <w:rPr>
          <w:spacing w:val="-4"/>
        </w:rPr>
        <w:t>and</w:t>
      </w:r>
      <w:r w:rsidR="00177848" w:rsidRPr="00C6052E">
        <w:rPr>
          <w:spacing w:val="-4"/>
        </w:rPr>
        <w:t xml:space="preserve"> </w:t>
      </w:r>
      <w:r w:rsidRPr="00C6052E">
        <w:rPr>
          <w:spacing w:val="-4"/>
        </w:rPr>
        <w:t>innovation</w:t>
      </w:r>
      <w:r w:rsidR="00177848" w:rsidRPr="00C6052E">
        <w:rPr>
          <w:spacing w:val="-4"/>
        </w:rPr>
        <w:t xml:space="preserve"> </w:t>
      </w:r>
      <w:r w:rsidRPr="00C6052E">
        <w:rPr>
          <w:spacing w:val="-4"/>
        </w:rPr>
        <w:t>and</w:t>
      </w:r>
      <w:r w:rsidR="00177848" w:rsidRPr="00C6052E">
        <w:rPr>
          <w:spacing w:val="-4"/>
        </w:rPr>
        <w:t xml:space="preserve"> </w:t>
      </w:r>
      <w:r w:rsidRPr="00C6052E">
        <w:rPr>
          <w:spacing w:val="-4"/>
        </w:rPr>
        <w:t>commercialisation</w:t>
      </w:r>
      <w:r w:rsidR="00177848" w:rsidRPr="00C6052E">
        <w:t xml:space="preserve"> </w:t>
      </w:r>
      <w:r w:rsidRPr="00C6052E">
        <w:t>opportunities,</w:t>
      </w:r>
      <w:r w:rsidR="00177848" w:rsidRPr="00C6052E">
        <w:t xml:space="preserve"> </w:t>
      </w:r>
      <w:r w:rsidRPr="00C6052E">
        <w:t>supporting</w:t>
      </w:r>
      <w:r w:rsidR="00177848" w:rsidRPr="00C6052E">
        <w:t xml:space="preserve"> </w:t>
      </w:r>
      <w:r w:rsidRPr="00C6052E">
        <w:t>startups</w:t>
      </w:r>
      <w:r w:rsidR="00177848" w:rsidRPr="00C6052E">
        <w:t xml:space="preserve"> </w:t>
      </w:r>
      <w:r w:rsidRPr="00C6052E">
        <w:t>and</w:t>
      </w:r>
      <w:r w:rsidR="00177848" w:rsidRPr="00C6052E">
        <w:t xml:space="preserve"> </w:t>
      </w:r>
      <w:r w:rsidRPr="00C6052E">
        <w:t>small</w:t>
      </w:r>
      <w:r w:rsidR="00177848" w:rsidRPr="00C6052E">
        <w:t xml:space="preserve"> </w:t>
      </w:r>
      <w:r w:rsidRPr="00C6052E">
        <w:t>businesses,</w:t>
      </w:r>
      <w:r w:rsidR="00177848" w:rsidRPr="00C6052E">
        <w:t xml:space="preserve"> </w:t>
      </w:r>
      <w:r w:rsidRPr="00C6052E">
        <w:t>and</w:t>
      </w:r>
      <w:r w:rsidR="00177848" w:rsidRPr="00C6052E">
        <w:t xml:space="preserve"> </w:t>
      </w:r>
      <w:r w:rsidRPr="00C6052E">
        <w:t>assisting</w:t>
      </w:r>
      <w:r w:rsidR="00177848" w:rsidRPr="00C6052E">
        <w:t xml:space="preserve"> </w:t>
      </w:r>
      <w:r w:rsidRPr="00C6052E">
        <w:t>industries</w:t>
      </w:r>
      <w:r w:rsidR="00177848" w:rsidRPr="00C6052E">
        <w:t xml:space="preserve"> </w:t>
      </w:r>
      <w:r w:rsidRPr="00C6052E">
        <w:t>in</w:t>
      </w:r>
      <w:r w:rsidR="00177848" w:rsidRPr="00C6052E">
        <w:t xml:space="preserve"> </w:t>
      </w:r>
      <w:r w:rsidRPr="00C6052E">
        <w:t>transition.</w:t>
      </w:r>
    </w:p>
    <w:p w14:paraId="25889284" w14:textId="0EBAAABF" w:rsidR="00EE5BB8" w:rsidRPr="00C6052E" w:rsidRDefault="00EE5BB8" w:rsidP="00EE5BB8">
      <w:r w:rsidRPr="00C6052E">
        <w:t>The</w:t>
      </w:r>
      <w:r w:rsidR="00177848" w:rsidRPr="00C6052E">
        <w:t xml:space="preserve"> </w:t>
      </w:r>
      <w:r w:rsidRPr="00C6052E">
        <w:t>Industry,</w:t>
      </w:r>
      <w:r w:rsidR="00177848" w:rsidRPr="00C6052E">
        <w:t xml:space="preserve"> </w:t>
      </w:r>
      <w:r w:rsidRPr="00C6052E">
        <w:t>Small</w:t>
      </w:r>
      <w:r w:rsidR="00177848" w:rsidRPr="00C6052E">
        <w:t xml:space="preserve"> </w:t>
      </w:r>
      <w:r w:rsidRPr="00C6052E">
        <w:t>Business</w:t>
      </w:r>
      <w:r w:rsidR="00177848" w:rsidRPr="00C6052E">
        <w:t xml:space="preserve"> </w:t>
      </w:r>
      <w:r w:rsidRPr="00C6052E">
        <w:t>and</w:t>
      </w:r>
      <w:r w:rsidR="00177848" w:rsidRPr="00C6052E">
        <w:t xml:space="preserve"> </w:t>
      </w:r>
      <w:r w:rsidRPr="00C6052E">
        <w:t>Medical</w:t>
      </w:r>
      <w:r w:rsidR="00177848" w:rsidRPr="00C6052E">
        <w:t xml:space="preserve"> </w:t>
      </w:r>
      <w:r w:rsidRPr="00C6052E">
        <w:t>Research</w:t>
      </w:r>
      <w:r w:rsidR="00177848" w:rsidRPr="00C6052E">
        <w:t xml:space="preserve"> </w:t>
      </w:r>
      <w:r w:rsidRPr="00C6052E">
        <w:t>output</w:t>
      </w:r>
      <w:r w:rsidR="00177848" w:rsidRPr="00C6052E">
        <w:t xml:space="preserve"> </w:t>
      </w:r>
      <w:r w:rsidRPr="00C6052E">
        <w:t>provides</w:t>
      </w:r>
      <w:r w:rsidR="00177848" w:rsidRPr="00C6052E">
        <w:t xml:space="preserve"> </w:t>
      </w:r>
      <w:r w:rsidRPr="00C6052E">
        <w:t>access</w:t>
      </w:r>
      <w:r w:rsidR="00177848" w:rsidRPr="00C6052E">
        <w:t xml:space="preserve"> </w:t>
      </w:r>
      <w:r w:rsidRPr="00C6052E">
        <w:t>to</w:t>
      </w:r>
      <w:r w:rsidR="00177848" w:rsidRPr="00C6052E">
        <w:t xml:space="preserve"> </w:t>
      </w:r>
      <w:r w:rsidRPr="00C6052E">
        <w:t>information</w:t>
      </w:r>
      <w:r w:rsidR="00177848" w:rsidRPr="00C6052E">
        <w:t xml:space="preserve"> </w:t>
      </w:r>
      <w:r w:rsidRPr="00C6052E">
        <w:t>and</w:t>
      </w:r>
      <w:r w:rsidR="00177848" w:rsidRPr="00C6052E">
        <w:t xml:space="preserve"> </w:t>
      </w:r>
      <w:r w:rsidRPr="00C6052E">
        <w:t>connections</w:t>
      </w:r>
      <w:r w:rsidR="00177848" w:rsidRPr="00C6052E">
        <w:t xml:space="preserve"> </w:t>
      </w:r>
      <w:r w:rsidRPr="00C6052E">
        <w:t>and</w:t>
      </w:r>
      <w:r w:rsidR="00177848" w:rsidRPr="00C6052E">
        <w:t xml:space="preserve"> </w:t>
      </w:r>
      <w:r w:rsidRPr="00C6052E">
        <w:t>builds</w:t>
      </w:r>
      <w:r w:rsidR="00177848" w:rsidRPr="00C6052E">
        <w:t xml:space="preserve"> </w:t>
      </w:r>
      <w:r w:rsidRPr="00C6052E">
        <w:t>the</w:t>
      </w:r>
      <w:r w:rsidR="00177848" w:rsidRPr="00C6052E">
        <w:t xml:space="preserve"> </w:t>
      </w:r>
      <w:r w:rsidRPr="00C6052E">
        <w:t>capability</w:t>
      </w:r>
      <w:r w:rsidR="00177848" w:rsidRPr="00C6052E">
        <w:t xml:space="preserve"> </w:t>
      </w:r>
      <w:r w:rsidRPr="00C6052E">
        <w:t>of</w:t>
      </w:r>
      <w:r w:rsidR="00177848" w:rsidRPr="00C6052E">
        <w:t xml:space="preserve"> </w:t>
      </w:r>
      <w:r w:rsidRPr="00C6052E">
        <w:t>Victorian</w:t>
      </w:r>
      <w:r w:rsidR="00177848" w:rsidRPr="00C6052E">
        <w:t xml:space="preserve"> </w:t>
      </w:r>
      <w:r w:rsidRPr="00C6052E">
        <w:t>businesses</w:t>
      </w:r>
      <w:r w:rsidR="00177848" w:rsidRPr="00C6052E">
        <w:t xml:space="preserve"> </w:t>
      </w:r>
      <w:r w:rsidRPr="00C6052E">
        <w:t>and</w:t>
      </w:r>
      <w:r w:rsidR="00177848" w:rsidRPr="00C6052E">
        <w:t xml:space="preserve"> </w:t>
      </w:r>
      <w:r w:rsidRPr="00C6052E">
        <w:t>industry</w:t>
      </w:r>
      <w:r w:rsidR="00177848" w:rsidRPr="00C6052E">
        <w:t xml:space="preserve"> </w:t>
      </w:r>
      <w:r w:rsidRPr="00C6052E">
        <w:t>to</w:t>
      </w:r>
      <w:r w:rsidR="00177848" w:rsidRPr="00C6052E">
        <w:t xml:space="preserve"> </w:t>
      </w:r>
      <w:r w:rsidRPr="00C6052E">
        <w:t>develop,</w:t>
      </w:r>
      <w:r w:rsidR="00177848" w:rsidRPr="00C6052E">
        <w:t xml:space="preserve"> </w:t>
      </w:r>
      <w:r w:rsidRPr="00C6052E">
        <w:t>commercialise</w:t>
      </w:r>
      <w:r w:rsidR="00177848" w:rsidRPr="00C6052E">
        <w:t xml:space="preserve"> </w:t>
      </w:r>
      <w:r w:rsidRPr="00C6052E">
        <w:t>and</w:t>
      </w:r>
      <w:r w:rsidR="00177848" w:rsidRPr="00C6052E">
        <w:t xml:space="preserve"> </w:t>
      </w:r>
      <w:r w:rsidRPr="00C6052E">
        <w:t>effectively</w:t>
      </w:r>
      <w:r w:rsidR="00177848" w:rsidRPr="00C6052E">
        <w:t xml:space="preserve"> </w:t>
      </w:r>
      <w:r w:rsidRPr="00C6052E">
        <w:t>use</w:t>
      </w:r>
      <w:r w:rsidR="00177848" w:rsidRPr="00C6052E">
        <w:t xml:space="preserve"> </w:t>
      </w:r>
      <w:r w:rsidRPr="00C6052E">
        <w:t>new</w:t>
      </w:r>
      <w:r w:rsidR="00177848" w:rsidRPr="00C6052E">
        <w:t xml:space="preserve"> </w:t>
      </w:r>
      <w:r w:rsidRPr="00C6052E">
        <w:t>practices</w:t>
      </w:r>
      <w:r w:rsidR="00177848" w:rsidRPr="00C6052E">
        <w:t xml:space="preserve"> </w:t>
      </w:r>
      <w:r w:rsidRPr="00C6052E">
        <w:t>and</w:t>
      </w:r>
      <w:r w:rsidR="00177848" w:rsidRPr="00C6052E">
        <w:t xml:space="preserve"> </w:t>
      </w:r>
      <w:r w:rsidRPr="00C6052E">
        <w:t>technologies</w:t>
      </w:r>
      <w:r w:rsidR="00177848" w:rsidRPr="00C6052E">
        <w:t xml:space="preserve"> </w:t>
      </w:r>
      <w:r w:rsidRPr="00C6052E">
        <w:t>to</w:t>
      </w:r>
      <w:r w:rsidR="00177848" w:rsidRPr="00C6052E">
        <w:t xml:space="preserve"> </w:t>
      </w:r>
      <w:r w:rsidRPr="00C6052E">
        <w:t>increase</w:t>
      </w:r>
      <w:r w:rsidR="00177848" w:rsidRPr="00C6052E">
        <w:t xml:space="preserve"> </w:t>
      </w:r>
      <w:r w:rsidRPr="00C6052E">
        <w:t>productivity</w:t>
      </w:r>
      <w:r w:rsidR="00177848" w:rsidRPr="00C6052E">
        <w:t xml:space="preserve"> </w:t>
      </w:r>
      <w:r w:rsidRPr="00C6052E">
        <w:t>and</w:t>
      </w:r>
      <w:r w:rsidR="00177848" w:rsidRPr="00C6052E">
        <w:t xml:space="preserve"> </w:t>
      </w:r>
      <w:r w:rsidRPr="00C6052E">
        <w:t>competitiveness,</w:t>
      </w:r>
      <w:r w:rsidR="00177848" w:rsidRPr="00C6052E">
        <w:t xml:space="preserve"> </w:t>
      </w:r>
      <w:r w:rsidRPr="00C6052E">
        <w:t>advocating</w:t>
      </w:r>
      <w:r w:rsidR="00177848" w:rsidRPr="00C6052E">
        <w:t xml:space="preserve"> </w:t>
      </w:r>
      <w:r w:rsidRPr="00C6052E">
        <w:t>for</w:t>
      </w:r>
      <w:r w:rsidR="00177848" w:rsidRPr="00C6052E">
        <w:t xml:space="preserve"> </w:t>
      </w:r>
      <w:r w:rsidRPr="00C6052E">
        <w:t>a</w:t>
      </w:r>
      <w:r w:rsidR="00177848" w:rsidRPr="00C6052E">
        <w:t xml:space="preserve"> </w:t>
      </w:r>
      <w:r w:rsidRPr="00C6052E">
        <w:t>fair</w:t>
      </w:r>
      <w:r w:rsidR="00177848" w:rsidRPr="00C6052E">
        <w:t xml:space="preserve"> </w:t>
      </w:r>
      <w:r w:rsidRPr="00C6052E">
        <w:t>and</w:t>
      </w:r>
      <w:r w:rsidR="00177848" w:rsidRPr="00C6052E">
        <w:t xml:space="preserve"> </w:t>
      </w:r>
      <w:r w:rsidRPr="00C6052E">
        <w:t>competitive</w:t>
      </w:r>
      <w:r w:rsidR="00177848" w:rsidRPr="00C6052E">
        <w:t xml:space="preserve"> </w:t>
      </w:r>
      <w:r w:rsidRPr="00C6052E">
        <w:t>business</w:t>
      </w:r>
      <w:r w:rsidR="00177848" w:rsidRPr="00C6052E">
        <w:t xml:space="preserve"> </w:t>
      </w:r>
      <w:r w:rsidRPr="00C6052E">
        <w:t>environment,</w:t>
      </w:r>
      <w:r w:rsidR="00177848" w:rsidRPr="00C6052E">
        <w:t xml:space="preserve"> </w:t>
      </w:r>
      <w:r w:rsidRPr="00C6052E">
        <w:t>and</w:t>
      </w:r>
      <w:r w:rsidR="00177848" w:rsidRPr="00C6052E">
        <w:t xml:space="preserve"> </w:t>
      </w:r>
      <w:r w:rsidRPr="00C6052E">
        <w:t>supporting</w:t>
      </w:r>
      <w:r w:rsidR="00177848" w:rsidRPr="00C6052E">
        <w:t xml:space="preserve"> </w:t>
      </w:r>
      <w:r w:rsidRPr="00C6052E">
        <w:t>small</w:t>
      </w:r>
      <w:r w:rsidR="00177848" w:rsidRPr="00C6052E">
        <w:t xml:space="preserve"> </w:t>
      </w:r>
      <w:r w:rsidRPr="00C6052E">
        <w:t>businesses.</w:t>
      </w:r>
    </w:p>
    <w:p w14:paraId="0369AAE6" w14:textId="0BBC64B1" w:rsidR="00EE5BB8" w:rsidRPr="00C6052E" w:rsidRDefault="00EE5BB8" w:rsidP="006F1C8C">
      <w:pPr>
        <w:pStyle w:val="Heading3"/>
      </w:pPr>
      <w:r w:rsidRPr="00C6052E">
        <w:t>Economic</w:t>
      </w:r>
      <w:r w:rsidR="00177848" w:rsidRPr="00C6052E">
        <w:t xml:space="preserve"> </w:t>
      </w:r>
      <w:r w:rsidRPr="00C6052E">
        <w:t>growth</w:t>
      </w:r>
      <w:r w:rsidR="00177848" w:rsidRPr="00C6052E">
        <w:t xml:space="preserve"> </w:t>
      </w:r>
      <w:r w:rsidRPr="00C6052E">
        <w:t>through</w:t>
      </w:r>
      <w:r w:rsidR="00177848" w:rsidRPr="00C6052E">
        <w:t xml:space="preserve"> </w:t>
      </w:r>
      <w:r w:rsidRPr="00C6052E">
        <w:t>trade</w:t>
      </w:r>
      <w:r w:rsidR="00177848" w:rsidRPr="00C6052E">
        <w:t xml:space="preserve"> </w:t>
      </w:r>
      <w:r w:rsidRPr="00C6052E">
        <w:t>and</w:t>
      </w:r>
      <w:r w:rsidR="00177848" w:rsidRPr="00C6052E">
        <w:t xml:space="preserve"> </w:t>
      </w:r>
      <w:r w:rsidRPr="00C6052E">
        <w:t>investment</w:t>
      </w:r>
      <w:r w:rsidR="00177848" w:rsidRPr="00C6052E">
        <w:t xml:space="preserve"> </w:t>
      </w:r>
      <w:r w:rsidRPr="00C6052E">
        <w:t>attraction</w:t>
      </w:r>
    </w:p>
    <w:p w14:paraId="07CDDDF9" w14:textId="34D092AD" w:rsidR="00EE5BB8" w:rsidRPr="00C6052E" w:rsidRDefault="00EE5BB8" w:rsidP="00EE5BB8">
      <w:r w:rsidRPr="00C6052E">
        <w:t>This</w:t>
      </w:r>
      <w:r w:rsidR="00177848" w:rsidRPr="00C6052E">
        <w:t xml:space="preserve"> </w:t>
      </w:r>
      <w:r w:rsidRPr="00C6052E">
        <w:t>objective</w:t>
      </w:r>
      <w:r w:rsidR="00177848" w:rsidRPr="00C6052E">
        <w:t xml:space="preserve"> </w:t>
      </w:r>
      <w:r w:rsidRPr="00C6052E">
        <w:t>seeks</w:t>
      </w:r>
      <w:r w:rsidR="00177848" w:rsidRPr="00C6052E">
        <w:t xml:space="preserve"> </w:t>
      </w:r>
      <w:r w:rsidRPr="00C6052E">
        <w:t>to</w:t>
      </w:r>
      <w:r w:rsidR="00177848" w:rsidRPr="00C6052E">
        <w:t xml:space="preserve"> </w:t>
      </w:r>
      <w:r w:rsidRPr="00C6052E">
        <w:t>strengthen</w:t>
      </w:r>
      <w:r w:rsidR="00177848" w:rsidRPr="00C6052E">
        <w:t xml:space="preserve"> </w:t>
      </w:r>
      <w:r w:rsidRPr="00C6052E">
        <w:t>Victoria’s</w:t>
      </w:r>
      <w:r w:rsidR="00177848" w:rsidRPr="00C6052E">
        <w:t xml:space="preserve"> </w:t>
      </w:r>
      <w:r w:rsidRPr="00C6052E">
        <w:t>economic</w:t>
      </w:r>
      <w:r w:rsidR="00177848" w:rsidRPr="00C6052E">
        <w:t xml:space="preserve"> </w:t>
      </w:r>
      <w:r w:rsidRPr="00C6052E">
        <w:t>performance</w:t>
      </w:r>
      <w:r w:rsidR="00177848" w:rsidRPr="00C6052E">
        <w:t xml:space="preserve"> </w:t>
      </w:r>
      <w:r w:rsidRPr="00C6052E">
        <w:t>through</w:t>
      </w:r>
      <w:r w:rsidR="00177848" w:rsidRPr="00C6052E">
        <w:t xml:space="preserve"> </w:t>
      </w:r>
      <w:r w:rsidRPr="00C6052E">
        <w:t>facilitating</w:t>
      </w:r>
      <w:r w:rsidR="00177848" w:rsidRPr="00C6052E">
        <w:t xml:space="preserve"> </w:t>
      </w:r>
      <w:r w:rsidRPr="00C6052E">
        <w:t>international</w:t>
      </w:r>
      <w:r w:rsidR="00177848" w:rsidRPr="00C6052E">
        <w:t xml:space="preserve"> </w:t>
      </w:r>
      <w:r w:rsidRPr="00C6052E">
        <w:t>investment</w:t>
      </w:r>
      <w:r w:rsidR="00177848" w:rsidRPr="00C6052E">
        <w:t xml:space="preserve"> </w:t>
      </w:r>
      <w:r w:rsidRPr="00C6052E">
        <w:t>and</w:t>
      </w:r>
      <w:r w:rsidR="00177848" w:rsidRPr="00C6052E">
        <w:t xml:space="preserve"> </w:t>
      </w:r>
      <w:r w:rsidRPr="00C6052E">
        <w:t>business</w:t>
      </w:r>
      <w:r w:rsidR="00177848" w:rsidRPr="00C6052E">
        <w:t xml:space="preserve"> </w:t>
      </w:r>
      <w:r w:rsidRPr="00C6052E">
        <w:t>creation</w:t>
      </w:r>
      <w:r w:rsidR="00177848" w:rsidRPr="00C6052E">
        <w:t xml:space="preserve"> </w:t>
      </w:r>
      <w:r w:rsidRPr="00C6052E">
        <w:t>in</w:t>
      </w:r>
      <w:r w:rsidR="00177848" w:rsidRPr="00C6052E">
        <w:t xml:space="preserve"> </w:t>
      </w:r>
      <w:r w:rsidRPr="00C6052E">
        <w:t>Victoria,</w:t>
      </w:r>
      <w:r w:rsidR="00177848" w:rsidRPr="00C6052E">
        <w:t xml:space="preserve"> </w:t>
      </w:r>
      <w:r w:rsidRPr="00C6052E">
        <w:t>helping</w:t>
      </w:r>
      <w:r w:rsidR="00177848" w:rsidRPr="00C6052E">
        <w:t xml:space="preserve"> </w:t>
      </w:r>
      <w:r w:rsidRPr="00C6052E">
        <w:t>businesses</w:t>
      </w:r>
      <w:r w:rsidR="00177848" w:rsidRPr="00C6052E">
        <w:t xml:space="preserve"> </w:t>
      </w:r>
      <w:r w:rsidRPr="00C6052E">
        <w:t>successfully</w:t>
      </w:r>
      <w:r w:rsidR="00177848" w:rsidRPr="00C6052E">
        <w:t xml:space="preserve"> </w:t>
      </w:r>
      <w:r w:rsidRPr="00C6052E">
        <w:t>trade</w:t>
      </w:r>
      <w:r w:rsidR="00177848" w:rsidRPr="00C6052E">
        <w:t xml:space="preserve"> </w:t>
      </w:r>
      <w:r w:rsidRPr="00C6052E">
        <w:t>into</w:t>
      </w:r>
      <w:r w:rsidR="00177848" w:rsidRPr="00C6052E">
        <w:t xml:space="preserve"> </w:t>
      </w:r>
      <w:r w:rsidRPr="00C6052E">
        <w:t>global</w:t>
      </w:r>
      <w:r w:rsidR="00177848" w:rsidRPr="00C6052E">
        <w:t xml:space="preserve"> </w:t>
      </w:r>
      <w:r w:rsidRPr="00C6052E">
        <w:t>markets,</w:t>
      </w:r>
      <w:r w:rsidR="00177848" w:rsidRPr="00C6052E">
        <w:t xml:space="preserve"> </w:t>
      </w:r>
      <w:r w:rsidRPr="00C6052E">
        <w:t>and</w:t>
      </w:r>
      <w:r w:rsidR="00177848" w:rsidRPr="00C6052E">
        <w:t xml:space="preserve"> </w:t>
      </w:r>
      <w:r w:rsidRPr="00C6052E">
        <w:t>growing</w:t>
      </w:r>
      <w:r w:rsidR="00177848" w:rsidRPr="00C6052E">
        <w:t xml:space="preserve"> </w:t>
      </w:r>
      <w:r w:rsidRPr="00C6052E">
        <w:t>Victoria’s</w:t>
      </w:r>
      <w:r w:rsidR="00177848" w:rsidRPr="00C6052E">
        <w:t xml:space="preserve"> </w:t>
      </w:r>
      <w:r w:rsidRPr="00C6052E">
        <w:t>market</w:t>
      </w:r>
      <w:r w:rsidR="00177848" w:rsidRPr="00C6052E">
        <w:t xml:space="preserve"> </w:t>
      </w:r>
      <w:r w:rsidRPr="00C6052E">
        <w:t>share</w:t>
      </w:r>
      <w:r w:rsidR="00177848" w:rsidRPr="00C6052E">
        <w:t xml:space="preserve"> </w:t>
      </w:r>
      <w:r w:rsidRPr="00C6052E">
        <w:t>of</w:t>
      </w:r>
      <w:r w:rsidR="00177848" w:rsidRPr="00C6052E">
        <w:t xml:space="preserve"> </w:t>
      </w:r>
      <w:r w:rsidRPr="00C6052E">
        <w:t>international</w:t>
      </w:r>
      <w:r w:rsidR="00177848" w:rsidRPr="00C6052E">
        <w:t xml:space="preserve"> </w:t>
      </w:r>
      <w:r w:rsidRPr="00C6052E">
        <w:t>student</w:t>
      </w:r>
      <w:r w:rsidR="00177848" w:rsidRPr="00C6052E">
        <w:t xml:space="preserve"> </w:t>
      </w:r>
      <w:r w:rsidRPr="00C6052E">
        <w:t>enrolments</w:t>
      </w:r>
      <w:r w:rsidR="00177848" w:rsidRPr="00C6052E">
        <w:t xml:space="preserve"> </w:t>
      </w:r>
      <w:r w:rsidRPr="00C6052E">
        <w:t>in</w:t>
      </w:r>
      <w:r w:rsidR="00177848" w:rsidRPr="00C6052E">
        <w:t xml:space="preserve"> </w:t>
      </w:r>
      <w:r w:rsidRPr="00C6052E">
        <w:t>Australia.</w:t>
      </w:r>
      <w:r w:rsidR="00177848" w:rsidRPr="00C6052E">
        <w:t xml:space="preserve"> </w:t>
      </w:r>
    </w:p>
    <w:p w14:paraId="7FC95792" w14:textId="2ABB9193" w:rsidR="00EE5BB8" w:rsidRPr="00C6052E" w:rsidRDefault="00EE5BB8" w:rsidP="00EE5BB8">
      <w:r w:rsidRPr="00C6052E">
        <w:t>The</w:t>
      </w:r>
      <w:r w:rsidR="00177848" w:rsidRPr="00C6052E">
        <w:t xml:space="preserve"> </w:t>
      </w:r>
      <w:r w:rsidRPr="00C6052E">
        <w:t>Trade</w:t>
      </w:r>
      <w:r w:rsidR="00177848" w:rsidRPr="00C6052E">
        <w:t xml:space="preserve"> </w:t>
      </w:r>
      <w:r w:rsidRPr="00C6052E">
        <w:t>and</w:t>
      </w:r>
      <w:r w:rsidR="00177848" w:rsidRPr="00C6052E">
        <w:t xml:space="preserve"> </w:t>
      </w:r>
      <w:r w:rsidRPr="00C6052E">
        <w:t>Investment</w:t>
      </w:r>
      <w:r w:rsidR="00177848" w:rsidRPr="00C6052E">
        <w:t xml:space="preserve"> </w:t>
      </w:r>
      <w:r w:rsidRPr="00C6052E">
        <w:t>output</w:t>
      </w:r>
      <w:r w:rsidR="00177848" w:rsidRPr="00C6052E">
        <w:t xml:space="preserve"> </w:t>
      </w:r>
      <w:r w:rsidRPr="00C6052E">
        <w:t>promotes</w:t>
      </w:r>
      <w:r w:rsidR="00177848" w:rsidRPr="00C6052E">
        <w:t xml:space="preserve"> </w:t>
      </w:r>
      <w:r w:rsidRPr="00C6052E">
        <w:t>Victoria’s</w:t>
      </w:r>
      <w:r w:rsidR="00177848" w:rsidRPr="00C6052E">
        <w:t xml:space="preserve"> </w:t>
      </w:r>
      <w:r w:rsidRPr="00C6052E">
        <w:t>economic</w:t>
      </w:r>
      <w:r w:rsidR="00177848" w:rsidRPr="00C6052E">
        <w:t xml:space="preserve"> </w:t>
      </w:r>
      <w:r w:rsidRPr="00C6052E">
        <w:t>growth</w:t>
      </w:r>
      <w:r w:rsidR="00177848" w:rsidRPr="00C6052E">
        <w:t xml:space="preserve"> </w:t>
      </w:r>
      <w:r w:rsidRPr="00C6052E">
        <w:t>through</w:t>
      </w:r>
      <w:r w:rsidR="00177848" w:rsidRPr="00C6052E">
        <w:t xml:space="preserve"> </w:t>
      </w:r>
      <w:r w:rsidRPr="00C6052E">
        <w:t>global</w:t>
      </w:r>
      <w:r w:rsidR="00177848" w:rsidRPr="00C6052E">
        <w:t xml:space="preserve"> </w:t>
      </w:r>
      <w:r w:rsidRPr="00C6052E">
        <w:t>engagement</w:t>
      </w:r>
      <w:r w:rsidR="00177848" w:rsidRPr="00C6052E">
        <w:t xml:space="preserve"> </w:t>
      </w:r>
      <w:r w:rsidRPr="00C6052E">
        <w:t>and</w:t>
      </w:r>
      <w:r w:rsidR="00177848" w:rsidRPr="00C6052E">
        <w:t xml:space="preserve"> </w:t>
      </w:r>
      <w:r w:rsidRPr="00C6052E">
        <w:t>supporting</w:t>
      </w:r>
      <w:r w:rsidR="00177848" w:rsidRPr="00C6052E">
        <w:t xml:space="preserve"> </w:t>
      </w:r>
      <w:r w:rsidRPr="00C6052E">
        <w:t>the</w:t>
      </w:r>
      <w:r w:rsidR="00177848" w:rsidRPr="00C6052E">
        <w:t xml:space="preserve"> </w:t>
      </w:r>
      <w:r w:rsidRPr="00C6052E">
        <w:t>development</w:t>
      </w:r>
      <w:r w:rsidR="00177848" w:rsidRPr="00C6052E">
        <w:t xml:space="preserve"> </w:t>
      </w:r>
      <w:r w:rsidRPr="00C6052E">
        <w:t>of</w:t>
      </w:r>
      <w:r w:rsidR="00177848" w:rsidRPr="00C6052E">
        <w:t xml:space="preserve"> </w:t>
      </w:r>
      <w:r w:rsidRPr="00C6052E">
        <w:t>startups.</w:t>
      </w:r>
      <w:r w:rsidR="00177848" w:rsidRPr="00C6052E">
        <w:t xml:space="preserve"> </w:t>
      </w:r>
      <w:r w:rsidRPr="00C6052E">
        <w:t>This</w:t>
      </w:r>
      <w:r w:rsidR="00177848" w:rsidRPr="00C6052E">
        <w:t xml:space="preserve"> </w:t>
      </w:r>
      <w:r w:rsidRPr="00C6052E">
        <w:t>is</w:t>
      </w:r>
      <w:r w:rsidR="00177848" w:rsidRPr="00C6052E">
        <w:t xml:space="preserve"> </w:t>
      </w:r>
      <w:r w:rsidRPr="00C6052E">
        <w:t>accomplished</w:t>
      </w:r>
      <w:r w:rsidR="00177848" w:rsidRPr="00C6052E">
        <w:t xml:space="preserve"> </w:t>
      </w:r>
      <w:r w:rsidRPr="00C6052E">
        <w:t>by</w:t>
      </w:r>
      <w:r w:rsidR="00177848" w:rsidRPr="00C6052E">
        <w:t xml:space="preserve"> </w:t>
      </w:r>
      <w:r w:rsidRPr="00C6052E">
        <w:t>securing</w:t>
      </w:r>
      <w:r w:rsidR="00177848" w:rsidRPr="00C6052E">
        <w:t xml:space="preserve"> </w:t>
      </w:r>
      <w:r w:rsidRPr="00C6052E">
        <w:t>trade</w:t>
      </w:r>
      <w:r w:rsidR="00177848" w:rsidRPr="00C6052E">
        <w:t xml:space="preserve"> </w:t>
      </w:r>
      <w:r w:rsidRPr="00C6052E">
        <w:t>and</w:t>
      </w:r>
      <w:r w:rsidR="00177848" w:rsidRPr="00C6052E">
        <w:t xml:space="preserve"> </w:t>
      </w:r>
      <w:r w:rsidRPr="00C6052E">
        <w:t>international</w:t>
      </w:r>
      <w:r w:rsidR="00177848" w:rsidRPr="00C6052E">
        <w:t xml:space="preserve"> </w:t>
      </w:r>
      <w:r w:rsidRPr="00C6052E">
        <w:t>investment</w:t>
      </w:r>
      <w:r w:rsidR="00177848" w:rsidRPr="00C6052E">
        <w:t xml:space="preserve"> </w:t>
      </w:r>
      <w:r w:rsidRPr="00C6052E">
        <w:t>outcomes</w:t>
      </w:r>
      <w:r w:rsidR="00177848" w:rsidRPr="00C6052E">
        <w:t xml:space="preserve"> </w:t>
      </w:r>
      <w:r w:rsidRPr="00C6052E">
        <w:t>for</w:t>
      </w:r>
      <w:r w:rsidR="00177848" w:rsidRPr="00C6052E">
        <w:t xml:space="preserve"> </w:t>
      </w:r>
      <w:r w:rsidRPr="00C6052E">
        <w:t>the</w:t>
      </w:r>
      <w:r w:rsidR="00177848" w:rsidRPr="00C6052E">
        <w:t xml:space="preserve"> </w:t>
      </w:r>
      <w:r w:rsidRPr="00C6052E">
        <w:t>State</w:t>
      </w:r>
      <w:r w:rsidR="00177848" w:rsidRPr="00C6052E">
        <w:t xml:space="preserve"> </w:t>
      </w:r>
      <w:r w:rsidRPr="00C6052E">
        <w:t>through</w:t>
      </w:r>
      <w:r w:rsidR="00177848" w:rsidRPr="00C6052E">
        <w:t xml:space="preserve"> </w:t>
      </w:r>
      <w:r w:rsidRPr="00C6052E">
        <w:t>a</w:t>
      </w:r>
      <w:r w:rsidR="00177848" w:rsidRPr="00C6052E">
        <w:t xml:space="preserve"> </w:t>
      </w:r>
      <w:r w:rsidRPr="00C6052E">
        <w:t>range</w:t>
      </w:r>
      <w:r w:rsidR="00177848" w:rsidRPr="00C6052E">
        <w:t xml:space="preserve"> </w:t>
      </w:r>
      <w:r w:rsidRPr="00C6052E">
        <w:t>of</w:t>
      </w:r>
      <w:r w:rsidR="00177848" w:rsidRPr="00C6052E">
        <w:t xml:space="preserve"> </w:t>
      </w:r>
      <w:r w:rsidRPr="00C6052E">
        <w:t>promotion</w:t>
      </w:r>
      <w:r w:rsidR="00177848" w:rsidRPr="00C6052E">
        <w:t xml:space="preserve"> </w:t>
      </w:r>
      <w:r w:rsidRPr="00C6052E">
        <w:t>and</w:t>
      </w:r>
      <w:r w:rsidR="00177848" w:rsidRPr="00C6052E">
        <w:t xml:space="preserve"> </w:t>
      </w:r>
      <w:r w:rsidRPr="00C6052E">
        <w:t>facilitation</w:t>
      </w:r>
      <w:r w:rsidR="00177848" w:rsidRPr="00C6052E">
        <w:t xml:space="preserve"> </w:t>
      </w:r>
      <w:r w:rsidRPr="00C6052E">
        <w:t>activities,</w:t>
      </w:r>
      <w:r w:rsidR="00177848" w:rsidRPr="00C6052E">
        <w:t xml:space="preserve"> </w:t>
      </w:r>
      <w:r w:rsidRPr="00C6052E">
        <w:t>in</w:t>
      </w:r>
      <w:r w:rsidR="00177848" w:rsidRPr="00C6052E">
        <w:t xml:space="preserve"> </w:t>
      </w:r>
      <w:r w:rsidRPr="00C6052E">
        <w:t>addition</w:t>
      </w:r>
      <w:r w:rsidR="00177848" w:rsidRPr="00C6052E">
        <w:t xml:space="preserve"> </w:t>
      </w:r>
      <w:r w:rsidRPr="00C6052E">
        <w:t>to</w:t>
      </w:r>
      <w:r w:rsidR="00177848" w:rsidRPr="00C6052E">
        <w:t xml:space="preserve"> </w:t>
      </w:r>
      <w:r w:rsidRPr="00C6052E">
        <w:t>providing</w:t>
      </w:r>
      <w:r w:rsidR="00177848" w:rsidRPr="00C6052E">
        <w:t xml:space="preserve"> </w:t>
      </w:r>
      <w:r w:rsidRPr="00C6052E">
        <w:t>policy</w:t>
      </w:r>
      <w:r w:rsidR="00177848" w:rsidRPr="00C6052E">
        <w:t xml:space="preserve"> </w:t>
      </w:r>
      <w:r w:rsidRPr="00C6052E">
        <w:t>advice</w:t>
      </w:r>
      <w:r w:rsidR="00177848" w:rsidRPr="00C6052E">
        <w:t xml:space="preserve"> </w:t>
      </w:r>
      <w:r w:rsidRPr="00C6052E">
        <w:t>to</w:t>
      </w:r>
      <w:r w:rsidR="00177848" w:rsidRPr="00C6052E">
        <w:t xml:space="preserve"> </w:t>
      </w:r>
      <w:r w:rsidRPr="00C6052E">
        <w:t>improve</w:t>
      </w:r>
      <w:r w:rsidR="00177848" w:rsidRPr="00C6052E">
        <w:t xml:space="preserve"> </w:t>
      </w:r>
      <w:r w:rsidRPr="00C6052E">
        <w:t>the</w:t>
      </w:r>
      <w:r w:rsidR="00177848" w:rsidRPr="00C6052E">
        <w:t xml:space="preserve"> </w:t>
      </w:r>
      <w:r w:rsidRPr="00C6052E">
        <w:t>attractiveness</w:t>
      </w:r>
      <w:r w:rsidR="00177848" w:rsidRPr="00C6052E">
        <w:t xml:space="preserve"> </w:t>
      </w:r>
      <w:r w:rsidRPr="00C6052E">
        <w:t>of</w:t>
      </w:r>
      <w:r w:rsidR="00177848" w:rsidRPr="00C6052E">
        <w:t xml:space="preserve"> </w:t>
      </w:r>
      <w:r w:rsidRPr="00C6052E">
        <w:t>exports,</w:t>
      </w:r>
      <w:r w:rsidR="00177848" w:rsidRPr="00C6052E">
        <w:t xml:space="preserve"> </w:t>
      </w:r>
      <w:r w:rsidRPr="00C6052E">
        <w:t>attract</w:t>
      </w:r>
      <w:r w:rsidR="00177848" w:rsidRPr="00C6052E">
        <w:t xml:space="preserve"> </w:t>
      </w:r>
      <w:r w:rsidRPr="00C6052E">
        <w:t>international</w:t>
      </w:r>
      <w:r w:rsidR="00177848" w:rsidRPr="00C6052E">
        <w:t xml:space="preserve"> </w:t>
      </w:r>
      <w:r w:rsidRPr="00C6052E">
        <w:t>investment</w:t>
      </w:r>
      <w:r w:rsidR="00177848" w:rsidRPr="00C6052E">
        <w:t xml:space="preserve"> </w:t>
      </w:r>
      <w:r w:rsidRPr="00C6052E">
        <w:t>and</w:t>
      </w:r>
      <w:r w:rsidR="00177848" w:rsidRPr="00C6052E">
        <w:t xml:space="preserve"> </w:t>
      </w:r>
      <w:r w:rsidRPr="00C6052E">
        <w:t>enhance</w:t>
      </w:r>
      <w:r w:rsidR="00177848" w:rsidRPr="00C6052E">
        <w:t xml:space="preserve"> </w:t>
      </w:r>
      <w:r w:rsidRPr="00C6052E">
        <w:t>the</w:t>
      </w:r>
      <w:r w:rsidR="00177848" w:rsidRPr="00C6052E">
        <w:t xml:space="preserve"> </w:t>
      </w:r>
      <w:r w:rsidRPr="00C6052E">
        <w:t>Victorian</w:t>
      </w:r>
      <w:r w:rsidR="00177848" w:rsidRPr="00C6052E">
        <w:t xml:space="preserve"> </w:t>
      </w:r>
      <w:r w:rsidRPr="00C6052E">
        <w:t>startup</w:t>
      </w:r>
      <w:r w:rsidR="00177848" w:rsidRPr="00C6052E">
        <w:t xml:space="preserve"> </w:t>
      </w:r>
      <w:r w:rsidRPr="00C6052E">
        <w:t>ecosystem.</w:t>
      </w:r>
    </w:p>
    <w:p w14:paraId="6A316C21" w14:textId="20BAAF00" w:rsidR="00EE5BB8" w:rsidRPr="00C6052E" w:rsidRDefault="00EE5BB8" w:rsidP="0028635E">
      <w:pPr>
        <w:pStyle w:val="Normalbeforebullets"/>
      </w:pPr>
      <w:r w:rsidRPr="00C6052E">
        <w:t>This</w:t>
      </w:r>
      <w:r w:rsidR="00177848" w:rsidRPr="00C6052E">
        <w:t xml:space="preserve"> </w:t>
      </w:r>
      <w:r w:rsidRPr="00C6052E">
        <w:t>output</w:t>
      </w:r>
      <w:r w:rsidR="00177848" w:rsidRPr="00C6052E">
        <w:t xml:space="preserve"> </w:t>
      </w:r>
      <w:r w:rsidRPr="00C6052E">
        <w:t>also</w:t>
      </w:r>
      <w:r w:rsidR="00177848" w:rsidRPr="00C6052E">
        <w:t xml:space="preserve"> </w:t>
      </w:r>
      <w:r w:rsidRPr="00C6052E">
        <w:t>provides</w:t>
      </w:r>
      <w:r w:rsidR="00177848" w:rsidRPr="00C6052E">
        <w:t xml:space="preserve"> </w:t>
      </w:r>
      <w:r w:rsidRPr="00C6052E">
        <w:t>support</w:t>
      </w:r>
      <w:r w:rsidR="00177848" w:rsidRPr="00C6052E">
        <w:t xml:space="preserve"> </w:t>
      </w:r>
      <w:r w:rsidRPr="00C6052E">
        <w:t>and</w:t>
      </w:r>
      <w:r w:rsidR="00177848" w:rsidRPr="00C6052E">
        <w:t xml:space="preserve"> </w:t>
      </w:r>
      <w:r w:rsidRPr="00C6052E">
        <w:t>advice</w:t>
      </w:r>
      <w:r w:rsidR="00177848" w:rsidRPr="00C6052E">
        <w:t xml:space="preserve"> </w:t>
      </w:r>
      <w:r w:rsidRPr="00C6052E">
        <w:t>to</w:t>
      </w:r>
      <w:r w:rsidR="00177848" w:rsidRPr="00C6052E">
        <w:t xml:space="preserve"> </w:t>
      </w:r>
      <w:r w:rsidRPr="00C6052E">
        <w:t>Government</w:t>
      </w:r>
      <w:r w:rsidR="00177848" w:rsidRPr="00C6052E">
        <w:t xml:space="preserve"> </w:t>
      </w:r>
      <w:r w:rsidRPr="00C6052E">
        <w:t>on</w:t>
      </w:r>
      <w:r w:rsidR="00177848" w:rsidRPr="00C6052E">
        <w:t xml:space="preserve"> </w:t>
      </w:r>
      <w:r w:rsidRPr="00C6052E">
        <w:t>strengthening</w:t>
      </w:r>
      <w:r w:rsidR="00177848" w:rsidRPr="00C6052E">
        <w:t xml:space="preserve"> </w:t>
      </w:r>
      <w:r w:rsidRPr="00C6052E">
        <w:t>Victoria’s</w:t>
      </w:r>
      <w:r w:rsidR="00177848" w:rsidRPr="00C6052E">
        <w:t xml:space="preserve"> </w:t>
      </w:r>
      <w:r w:rsidRPr="00C6052E">
        <w:t>economic</w:t>
      </w:r>
      <w:r w:rsidR="00177848" w:rsidRPr="00C6052E">
        <w:t xml:space="preserve"> </w:t>
      </w:r>
      <w:r w:rsidRPr="00C6052E">
        <w:t>performance</w:t>
      </w:r>
      <w:r w:rsidR="00177848" w:rsidRPr="00C6052E">
        <w:t xml:space="preserve"> </w:t>
      </w:r>
      <w:r w:rsidRPr="00C6052E">
        <w:t>in</w:t>
      </w:r>
      <w:r w:rsidR="00177848" w:rsidRPr="00C6052E">
        <w:t xml:space="preserve"> </w:t>
      </w:r>
      <w:r w:rsidRPr="00C6052E">
        <w:t>relation</w:t>
      </w:r>
      <w:r w:rsidR="00177848" w:rsidRPr="00C6052E">
        <w:t xml:space="preserve"> </w:t>
      </w:r>
      <w:r w:rsidRPr="00C6052E">
        <w:t>to:</w:t>
      </w:r>
    </w:p>
    <w:p w14:paraId="050E2401" w14:textId="2F62F8AD" w:rsidR="00EE5BB8" w:rsidRPr="00C6052E" w:rsidRDefault="00EE5BB8" w:rsidP="00EE5BB8">
      <w:pPr>
        <w:pStyle w:val="Bullet1"/>
        <w:numPr>
          <w:ilvl w:val="0"/>
          <w:numId w:val="1"/>
        </w:numPr>
        <w:spacing w:line="278" w:lineRule="auto"/>
        <w:ind w:left="284" w:hanging="284"/>
        <w:rPr>
          <w:lang w:val="en-AU"/>
        </w:rPr>
      </w:pPr>
      <w:r w:rsidRPr="00C6052E">
        <w:rPr>
          <w:lang w:val="en-AU"/>
        </w:rPr>
        <w:t>ensuring</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is</w:t>
      </w:r>
      <w:r w:rsidR="00177848" w:rsidRPr="00C6052E">
        <w:rPr>
          <w:lang w:val="en-AU"/>
        </w:rPr>
        <w:t xml:space="preserve"> </w:t>
      </w:r>
      <w:r w:rsidRPr="00C6052E">
        <w:rPr>
          <w:lang w:val="en-AU"/>
        </w:rPr>
        <w:t>a</w:t>
      </w:r>
      <w:r w:rsidR="00177848" w:rsidRPr="00C6052E">
        <w:rPr>
          <w:lang w:val="en-AU"/>
        </w:rPr>
        <w:t xml:space="preserve"> </w:t>
      </w:r>
      <w:r w:rsidRPr="00C6052E">
        <w:rPr>
          <w:lang w:val="en-AU"/>
        </w:rPr>
        <w:t>leading</w:t>
      </w:r>
      <w:r w:rsidR="00177848" w:rsidRPr="00C6052E">
        <w:rPr>
          <w:lang w:val="en-AU"/>
        </w:rPr>
        <w:t xml:space="preserve"> </w:t>
      </w:r>
      <w:r w:rsidRPr="00C6052E">
        <w:rPr>
          <w:lang w:val="en-AU"/>
        </w:rPr>
        <w:t>destination</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business,</w:t>
      </w:r>
      <w:r w:rsidR="00177848" w:rsidRPr="00C6052E">
        <w:rPr>
          <w:lang w:val="en-AU"/>
        </w:rPr>
        <w:t xml:space="preserve"> </w:t>
      </w:r>
      <w:r w:rsidRPr="00C6052E">
        <w:rPr>
          <w:lang w:val="en-AU"/>
        </w:rPr>
        <w:t>innovation</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talent</w:t>
      </w:r>
    </w:p>
    <w:p w14:paraId="0A87F111" w14:textId="4D2042E2" w:rsidR="00EE5BB8" w:rsidRPr="00C6052E" w:rsidRDefault="00EE5BB8" w:rsidP="00EE5BB8">
      <w:pPr>
        <w:pStyle w:val="Bullet1"/>
        <w:numPr>
          <w:ilvl w:val="0"/>
          <w:numId w:val="1"/>
        </w:numPr>
        <w:spacing w:line="278" w:lineRule="auto"/>
        <w:ind w:left="284" w:hanging="284"/>
        <w:rPr>
          <w:lang w:val="en-AU"/>
        </w:rPr>
      </w:pPr>
      <w:r w:rsidRPr="00C6052E">
        <w:rPr>
          <w:lang w:val="en-AU"/>
        </w:rPr>
        <w:t>continuous</w:t>
      </w:r>
      <w:r w:rsidR="00177848" w:rsidRPr="00C6052E">
        <w:rPr>
          <w:lang w:val="en-AU"/>
        </w:rPr>
        <w:t xml:space="preserve"> </w:t>
      </w:r>
      <w:r w:rsidRPr="00C6052E">
        <w:rPr>
          <w:lang w:val="en-AU"/>
        </w:rPr>
        <w:t>improvement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Victoria’s</w:t>
      </w:r>
      <w:r w:rsidR="00177848" w:rsidRPr="00C6052E">
        <w:rPr>
          <w:lang w:val="en-AU"/>
        </w:rPr>
        <w:t xml:space="preserve"> </w:t>
      </w:r>
      <w:r w:rsidRPr="00C6052E">
        <w:rPr>
          <w:lang w:val="en-AU"/>
        </w:rPr>
        <w:t>approach</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investment</w:t>
      </w:r>
      <w:r w:rsidR="00177848" w:rsidRPr="00C6052E">
        <w:rPr>
          <w:lang w:val="en-AU"/>
        </w:rPr>
        <w:t xml:space="preserve"> </w:t>
      </w:r>
      <w:r w:rsidRPr="00C6052E">
        <w:rPr>
          <w:lang w:val="en-AU"/>
        </w:rPr>
        <w:t>attraction</w:t>
      </w:r>
    </w:p>
    <w:p w14:paraId="1C37BD38" w14:textId="63A60198" w:rsidR="00EE5BB8" w:rsidRPr="00C6052E" w:rsidRDefault="00EE5BB8" w:rsidP="00EE5BB8">
      <w:pPr>
        <w:pStyle w:val="Bullet1"/>
        <w:numPr>
          <w:ilvl w:val="0"/>
          <w:numId w:val="1"/>
        </w:numPr>
        <w:spacing w:line="278" w:lineRule="auto"/>
        <w:ind w:left="284" w:hanging="284"/>
        <w:rPr>
          <w:lang w:val="en-AU"/>
        </w:rPr>
      </w:pPr>
      <w:r w:rsidRPr="00C6052E">
        <w:rPr>
          <w:lang w:val="en-AU"/>
        </w:rPr>
        <w:lastRenderedPageBreak/>
        <w:t>enhancing</w:t>
      </w:r>
      <w:r w:rsidR="00177848" w:rsidRPr="00C6052E">
        <w:rPr>
          <w:lang w:val="en-AU"/>
        </w:rPr>
        <w:t xml:space="preserve"> </w:t>
      </w:r>
      <w:r w:rsidRPr="00C6052E">
        <w:rPr>
          <w:lang w:val="en-AU"/>
        </w:rPr>
        <w:t>Victoria’s</w:t>
      </w:r>
      <w:r w:rsidR="00177848" w:rsidRPr="00C6052E">
        <w:rPr>
          <w:lang w:val="en-AU"/>
        </w:rPr>
        <w:t xml:space="preserve"> </w:t>
      </w:r>
      <w:r w:rsidRPr="00C6052E">
        <w:rPr>
          <w:lang w:val="en-AU"/>
        </w:rPr>
        <w:t>business</w:t>
      </w:r>
      <w:r w:rsidR="00177848" w:rsidRPr="00C6052E">
        <w:rPr>
          <w:lang w:val="en-AU"/>
        </w:rPr>
        <w:t xml:space="preserve"> </w:t>
      </w:r>
      <w:r w:rsidRPr="00C6052E">
        <w:rPr>
          <w:lang w:val="en-AU"/>
        </w:rPr>
        <w:t>investment</w:t>
      </w:r>
      <w:r w:rsidR="00177848" w:rsidRPr="00C6052E">
        <w:rPr>
          <w:lang w:val="en-AU"/>
        </w:rPr>
        <w:t xml:space="preserve"> </w:t>
      </w:r>
      <w:r w:rsidRPr="00C6052E">
        <w:rPr>
          <w:lang w:val="en-AU"/>
        </w:rPr>
        <w:t>environment</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startup</w:t>
      </w:r>
      <w:r w:rsidR="00177848" w:rsidRPr="00C6052E">
        <w:rPr>
          <w:lang w:val="en-AU"/>
        </w:rPr>
        <w:t xml:space="preserve"> </w:t>
      </w:r>
      <w:r w:rsidRPr="00C6052E">
        <w:rPr>
          <w:lang w:val="en-AU"/>
        </w:rPr>
        <w:t>ecosystem</w:t>
      </w:r>
    </w:p>
    <w:p w14:paraId="2162CEFC" w14:textId="32668382" w:rsidR="00EE5BB8" w:rsidRPr="00C6052E" w:rsidRDefault="00EE5BB8" w:rsidP="00EE5BB8">
      <w:pPr>
        <w:pStyle w:val="Bullet1"/>
        <w:numPr>
          <w:ilvl w:val="0"/>
          <w:numId w:val="1"/>
        </w:numPr>
        <w:spacing w:line="278" w:lineRule="auto"/>
        <w:ind w:left="284" w:hanging="284"/>
        <w:rPr>
          <w:lang w:val="en-AU"/>
        </w:rPr>
      </w:pPr>
      <w:r w:rsidRPr="00C6052E">
        <w:rPr>
          <w:lang w:val="en-AU"/>
        </w:rPr>
        <w:t>helping</w:t>
      </w:r>
      <w:r w:rsidR="00177848" w:rsidRPr="00C6052E">
        <w:rPr>
          <w:lang w:val="en-AU"/>
        </w:rPr>
        <w:t xml:space="preserve"> </w:t>
      </w:r>
      <w:r w:rsidRPr="00C6052E">
        <w:rPr>
          <w:lang w:val="en-AU"/>
        </w:rPr>
        <w:t>Victorian</w:t>
      </w:r>
      <w:r w:rsidR="00177848" w:rsidRPr="00C6052E">
        <w:rPr>
          <w:lang w:val="en-AU"/>
        </w:rPr>
        <w:t xml:space="preserve"> </w:t>
      </w:r>
      <w:r w:rsidRPr="00C6052E">
        <w:rPr>
          <w:lang w:val="en-AU"/>
        </w:rPr>
        <w:t>businesses</w:t>
      </w:r>
      <w:r w:rsidR="00177848" w:rsidRPr="00C6052E">
        <w:rPr>
          <w:lang w:val="en-AU"/>
        </w:rPr>
        <w:t xml:space="preserve"> </w:t>
      </w:r>
      <w:r w:rsidRPr="00C6052E">
        <w:rPr>
          <w:lang w:val="en-AU"/>
        </w:rPr>
        <w:t>successfully</w:t>
      </w:r>
      <w:r w:rsidR="00177848" w:rsidRPr="00C6052E">
        <w:rPr>
          <w:lang w:val="en-AU"/>
        </w:rPr>
        <w:t xml:space="preserve"> </w:t>
      </w:r>
      <w:r w:rsidRPr="00C6052E">
        <w:rPr>
          <w:lang w:val="en-AU"/>
        </w:rPr>
        <w:t>trade</w:t>
      </w:r>
      <w:r w:rsidR="00177848" w:rsidRPr="00C6052E">
        <w:rPr>
          <w:lang w:val="en-AU"/>
        </w:rPr>
        <w:t xml:space="preserve"> </w:t>
      </w:r>
      <w:r w:rsidRPr="00C6052E">
        <w:rPr>
          <w:lang w:val="en-AU"/>
        </w:rPr>
        <w:t>into</w:t>
      </w:r>
      <w:r w:rsidR="00177848" w:rsidRPr="00C6052E">
        <w:rPr>
          <w:lang w:val="en-AU"/>
        </w:rPr>
        <w:t xml:space="preserve"> </w:t>
      </w:r>
      <w:r w:rsidRPr="00C6052E">
        <w:rPr>
          <w:lang w:val="en-AU"/>
        </w:rPr>
        <w:t>global</w:t>
      </w:r>
      <w:r w:rsidR="00177848" w:rsidRPr="00C6052E">
        <w:rPr>
          <w:lang w:val="en-AU"/>
        </w:rPr>
        <w:t xml:space="preserve"> </w:t>
      </w:r>
      <w:r w:rsidRPr="00C6052E">
        <w:rPr>
          <w:lang w:val="en-AU"/>
        </w:rPr>
        <w:t>markets</w:t>
      </w:r>
    </w:p>
    <w:p w14:paraId="66AB5184" w14:textId="5165F81A" w:rsidR="00EE5BB8" w:rsidRPr="00C6052E" w:rsidRDefault="00EE5BB8" w:rsidP="00EE5BB8">
      <w:pPr>
        <w:pStyle w:val="Bullet1last"/>
        <w:numPr>
          <w:ilvl w:val="0"/>
          <w:numId w:val="1"/>
        </w:numPr>
        <w:spacing w:line="278" w:lineRule="auto"/>
        <w:ind w:left="284" w:hanging="284"/>
        <w:rPr>
          <w:lang w:val="en-AU"/>
        </w:rPr>
      </w:pPr>
      <w:r w:rsidRPr="00C6052E">
        <w:rPr>
          <w:lang w:val="en-AU"/>
        </w:rPr>
        <w:t>growing</w:t>
      </w:r>
      <w:r w:rsidR="00177848" w:rsidRPr="00C6052E">
        <w:rPr>
          <w:lang w:val="en-AU"/>
        </w:rPr>
        <w:t xml:space="preserve"> </w:t>
      </w:r>
      <w:r w:rsidRPr="00C6052E">
        <w:rPr>
          <w:lang w:val="en-AU"/>
        </w:rPr>
        <w:t>Victoria’s</w:t>
      </w:r>
      <w:r w:rsidR="00177848" w:rsidRPr="00C6052E">
        <w:rPr>
          <w:lang w:val="en-AU"/>
        </w:rPr>
        <w:t xml:space="preserve"> </w:t>
      </w:r>
      <w:r w:rsidRPr="00C6052E">
        <w:rPr>
          <w:lang w:val="en-AU"/>
        </w:rPr>
        <w:t>market</w:t>
      </w:r>
      <w:r w:rsidR="00177848" w:rsidRPr="00C6052E">
        <w:rPr>
          <w:lang w:val="en-AU"/>
        </w:rPr>
        <w:t xml:space="preserve"> </w:t>
      </w:r>
      <w:r w:rsidRPr="00C6052E">
        <w:rPr>
          <w:lang w:val="en-AU"/>
        </w:rPr>
        <w:t>share</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international</w:t>
      </w:r>
      <w:r w:rsidR="00177848" w:rsidRPr="00C6052E">
        <w:rPr>
          <w:lang w:val="en-AU"/>
        </w:rPr>
        <w:t xml:space="preserve"> </w:t>
      </w:r>
      <w:r w:rsidRPr="00C6052E">
        <w:rPr>
          <w:lang w:val="en-AU"/>
        </w:rPr>
        <w:t>student</w:t>
      </w:r>
      <w:r w:rsidR="00177848" w:rsidRPr="00C6052E">
        <w:rPr>
          <w:lang w:val="en-AU"/>
        </w:rPr>
        <w:t xml:space="preserve"> </w:t>
      </w:r>
      <w:r w:rsidRPr="00C6052E">
        <w:rPr>
          <w:lang w:val="en-AU"/>
        </w:rPr>
        <w:t>enrolments</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Australia.</w:t>
      </w:r>
    </w:p>
    <w:p w14:paraId="55632917" w14:textId="5A7CF4F1" w:rsidR="00EE5BB8" w:rsidRPr="00C6052E" w:rsidRDefault="00EE5BB8" w:rsidP="006F1C8C">
      <w:pPr>
        <w:pStyle w:val="Heading3"/>
      </w:pPr>
      <w:r w:rsidRPr="00C6052E">
        <w:t>Build</w:t>
      </w:r>
      <w:r w:rsidR="00177848" w:rsidRPr="00C6052E">
        <w:t xml:space="preserve"> </w:t>
      </w:r>
      <w:r w:rsidRPr="00C6052E">
        <w:t>prosperous</w:t>
      </w:r>
      <w:r w:rsidR="00177848" w:rsidRPr="00C6052E">
        <w:t xml:space="preserve"> </w:t>
      </w:r>
      <w:r w:rsidRPr="00C6052E">
        <w:t>and</w:t>
      </w:r>
      <w:r w:rsidR="00177848" w:rsidRPr="00C6052E">
        <w:t xml:space="preserve"> </w:t>
      </w:r>
      <w:r w:rsidRPr="00C6052E">
        <w:t>liveable</w:t>
      </w:r>
      <w:r w:rsidR="00177848" w:rsidRPr="00C6052E">
        <w:t xml:space="preserve"> </w:t>
      </w:r>
      <w:r w:rsidRPr="00C6052E">
        <w:t>regions,</w:t>
      </w:r>
      <w:r w:rsidR="00177848" w:rsidRPr="00C6052E">
        <w:t xml:space="preserve"> </w:t>
      </w:r>
      <w:r w:rsidRPr="00C6052E">
        <w:t>and</w:t>
      </w:r>
      <w:r w:rsidR="00177848" w:rsidRPr="00C6052E">
        <w:t xml:space="preserve"> </w:t>
      </w:r>
      <w:r w:rsidRPr="00C6052E">
        <w:t>manage</w:t>
      </w:r>
      <w:r w:rsidR="00177848" w:rsidRPr="00C6052E">
        <w:t xml:space="preserve"> </w:t>
      </w:r>
      <w:r w:rsidRPr="00C6052E">
        <w:t>and</w:t>
      </w:r>
      <w:r w:rsidR="00177848" w:rsidRPr="00C6052E">
        <w:t xml:space="preserve"> </w:t>
      </w:r>
      <w:r w:rsidRPr="00C6052E">
        <w:t>promote</w:t>
      </w:r>
      <w:r w:rsidR="00177848" w:rsidRPr="00C6052E">
        <w:t xml:space="preserve"> </w:t>
      </w:r>
      <w:r w:rsidRPr="00C6052E">
        <w:t>outdoor</w:t>
      </w:r>
      <w:r w:rsidR="00177848" w:rsidRPr="00C6052E">
        <w:t xml:space="preserve"> </w:t>
      </w:r>
      <w:r w:rsidRPr="00C6052E">
        <w:t>recreation</w:t>
      </w:r>
    </w:p>
    <w:p w14:paraId="582C4606" w14:textId="0D3EC169" w:rsidR="00EE5BB8" w:rsidRPr="00C6052E" w:rsidRDefault="00EE5BB8" w:rsidP="00EE5BB8">
      <w:r w:rsidRPr="00C6052E">
        <w:t>This</w:t>
      </w:r>
      <w:r w:rsidR="00177848" w:rsidRPr="00C6052E">
        <w:t xml:space="preserve"> </w:t>
      </w:r>
      <w:r w:rsidRPr="00C6052E">
        <w:t>objective</w:t>
      </w:r>
      <w:r w:rsidR="00177848" w:rsidRPr="00C6052E">
        <w:t xml:space="preserve"> </w:t>
      </w:r>
      <w:r w:rsidRPr="00C6052E">
        <w:t>seeks</w:t>
      </w:r>
      <w:r w:rsidR="00177848" w:rsidRPr="00C6052E">
        <w:t xml:space="preserve"> </w:t>
      </w:r>
      <w:r w:rsidRPr="00C6052E">
        <w:t>to</w:t>
      </w:r>
      <w:r w:rsidR="00177848" w:rsidRPr="00C6052E">
        <w:t xml:space="preserve"> </w:t>
      </w:r>
      <w:r w:rsidRPr="00C6052E">
        <w:t>ensure</w:t>
      </w:r>
      <w:r w:rsidR="00177848" w:rsidRPr="00C6052E">
        <w:t xml:space="preserve"> </w:t>
      </w:r>
      <w:r w:rsidRPr="00C6052E">
        <w:t>that</w:t>
      </w:r>
      <w:r w:rsidR="00177848" w:rsidRPr="00C6052E">
        <w:t xml:space="preserve"> </w:t>
      </w:r>
      <w:r w:rsidRPr="00C6052E">
        <w:t>Victoria’s</w:t>
      </w:r>
      <w:r w:rsidR="00177848" w:rsidRPr="00C6052E">
        <w:t xml:space="preserve"> </w:t>
      </w:r>
      <w:r w:rsidRPr="00C6052E">
        <w:t>regions</w:t>
      </w:r>
      <w:r w:rsidR="00177848" w:rsidRPr="00C6052E">
        <w:t xml:space="preserve"> </w:t>
      </w:r>
      <w:r w:rsidRPr="00C6052E">
        <w:t>are</w:t>
      </w:r>
      <w:r w:rsidR="00177848" w:rsidRPr="00C6052E">
        <w:t xml:space="preserve"> </w:t>
      </w:r>
      <w:r w:rsidRPr="00C6052E">
        <w:t>places</w:t>
      </w:r>
      <w:r w:rsidR="00177848" w:rsidRPr="00C6052E">
        <w:t xml:space="preserve"> </w:t>
      </w:r>
      <w:r w:rsidRPr="00C6052E">
        <w:t>where</w:t>
      </w:r>
      <w:r w:rsidR="00177848" w:rsidRPr="00C6052E">
        <w:t xml:space="preserve"> </w:t>
      </w:r>
      <w:r w:rsidRPr="00C6052E">
        <w:t>all</w:t>
      </w:r>
      <w:r w:rsidR="00177848" w:rsidRPr="00C6052E">
        <w:t xml:space="preserve"> </w:t>
      </w:r>
      <w:r w:rsidRPr="00C6052E">
        <w:t>Victorians</w:t>
      </w:r>
      <w:r w:rsidR="00177848" w:rsidRPr="00C6052E">
        <w:t xml:space="preserve"> </w:t>
      </w:r>
      <w:r w:rsidRPr="00C6052E">
        <w:t>have</w:t>
      </w:r>
      <w:r w:rsidR="00177848" w:rsidRPr="00C6052E">
        <w:t xml:space="preserve"> </w:t>
      </w:r>
      <w:r w:rsidRPr="00C6052E">
        <w:t>an</w:t>
      </w:r>
      <w:r w:rsidR="00177848" w:rsidRPr="00C6052E">
        <w:t xml:space="preserve"> </w:t>
      </w:r>
      <w:r w:rsidRPr="00C6052E">
        <w:t>opportunity</w:t>
      </w:r>
      <w:r w:rsidR="00177848" w:rsidRPr="00C6052E">
        <w:t xml:space="preserve"> </w:t>
      </w:r>
      <w:r w:rsidRPr="00C6052E">
        <w:t>to</w:t>
      </w:r>
      <w:r w:rsidR="00177848" w:rsidRPr="00C6052E">
        <w:t xml:space="preserve"> </w:t>
      </w:r>
      <w:r w:rsidRPr="00C6052E">
        <w:t>participate</w:t>
      </w:r>
      <w:r w:rsidR="00177848" w:rsidRPr="00C6052E">
        <w:t xml:space="preserve"> </w:t>
      </w:r>
      <w:r w:rsidRPr="00C6052E">
        <w:t>in</w:t>
      </w:r>
      <w:r w:rsidR="00177848" w:rsidRPr="00C6052E">
        <w:t xml:space="preserve"> </w:t>
      </w:r>
      <w:r w:rsidRPr="00C6052E">
        <w:t>economies</w:t>
      </w:r>
      <w:r w:rsidR="00177848" w:rsidRPr="00C6052E">
        <w:t xml:space="preserve"> </w:t>
      </w:r>
      <w:r w:rsidRPr="00C6052E">
        <w:t>and</w:t>
      </w:r>
      <w:r w:rsidR="00177848" w:rsidRPr="00C6052E">
        <w:t xml:space="preserve"> </w:t>
      </w:r>
      <w:r w:rsidRPr="00C6052E">
        <w:t>communities</w:t>
      </w:r>
      <w:r w:rsidR="00177848" w:rsidRPr="00C6052E">
        <w:t xml:space="preserve"> </w:t>
      </w:r>
      <w:r w:rsidRPr="00C6052E">
        <w:t>that</w:t>
      </w:r>
      <w:r w:rsidR="00177848" w:rsidRPr="00C6052E">
        <w:t xml:space="preserve"> </w:t>
      </w:r>
      <w:r w:rsidRPr="00C6052E">
        <w:t>are</w:t>
      </w:r>
      <w:r w:rsidR="00177848" w:rsidRPr="00C6052E">
        <w:t xml:space="preserve"> </w:t>
      </w:r>
      <w:r w:rsidRPr="00C6052E">
        <w:t>prosperous,</w:t>
      </w:r>
      <w:r w:rsidR="00177848" w:rsidRPr="00C6052E">
        <w:t xml:space="preserve"> </w:t>
      </w:r>
      <w:r w:rsidRPr="00C6052E">
        <w:t>vibrant</w:t>
      </w:r>
      <w:r w:rsidR="00177848" w:rsidRPr="00C6052E">
        <w:t xml:space="preserve"> </w:t>
      </w:r>
      <w:r w:rsidRPr="00C6052E">
        <w:t>and</w:t>
      </w:r>
      <w:r w:rsidR="00177848" w:rsidRPr="00C6052E">
        <w:t xml:space="preserve"> </w:t>
      </w:r>
      <w:r w:rsidRPr="00C6052E">
        <w:t>diverse.</w:t>
      </w:r>
      <w:r w:rsidR="00177848" w:rsidRPr="00C6052E">
        <w:t xml:space="preserve"> </w:t>
      </w:r>
      <w:r w:rsidRPr="00C6052E">
        <w:t>This</w:t>
      </w:r>
      <w:r w:rsidR="00177848" w:rsidRPr="00C6052E">
        <w:t xml:space="preserve"> </w:t>
      </w:r>
      <w:r w:rsidRPr="00C6052E">
        <w:t>objective</w:t>
      </w:r>
      <w:r w:rsidR="00177848" w:rsidRPr="00C6052E">
        <w:t xml:space="preserve"> </w:t>
      </w:r>
      <w:r w:rsidRPr="00C6052E">
        <w:t>also</w:t>
      </w:r>
      <w:r w:rsidR="00177848" w:rsidRPr="00C6052E">
        <w:t xml:space="preserve"> </w:t>
      </w:r>
      <w:r w:rsidRPr="00C6052E">
        <w:t>supports</w:t>
      </w:r>
      <w:r w:rsidR="00177848" w:rsidRPr="00C6052E">
        <w:t xml:space="preserve"> </w:t>
      </w:r>
      <w:r w:rsidRPr="00C6052E">
        <w:t>the</w:t>
      </w:r>
      <w:r w:rsidR="00177848" w:rsidRPr="00C6052E">
        <w:t xml:space="preserve"> </w:t>
      </w:r>
      <w:r w:rsidRPr="00C6052E">
        <w:t>development</w:t>
      </w:r>
      <w:r w:rsidR="00177848" w:rsidRPr="00C6052E">
        <w:t xml:space="preserve"> </w:t>
      </w:r>
      <w:r w:rsidRPr="00C6052E">
        <w:t>of</w:t>
      </w:r>
      <w:r w:rsidR="00177848" w:rsidRPr="00C6052E">
        <w:t xml:space="preserve"> </w:t>
      </w:r>
      <w:r w:rsidRPr="00C6052E">
        <w:t>sustainable</w:t>
      </w:r>
      <w:r w:rsidR="00177848" w:rsidRPr="00C6052E">
        <w:t xml:space="preserve"> </w:t>
      </w:r>
      <w:r w:rsidRPr="00C6052E">
        <w:t>game</w:t>
      </w:r>
      <w:r w:rsidR="00177848" w:rsidRPr="00C6052E">
        <w:t xml:space="preserve"> </w:t>
      </w:r>
      <w:r w:rsidRPr="00C6052E">
        <w:t>hunting,</w:t>
      </w:r>
      <w:r w:rsidR="00177848" w:rsidRPr="00C6052E">
        <w:t xml:space="preserve"> </w:t>
      </w:r>
      <w:r w:rsidRPr="00C6052E">
        <w:t>fishing</w:t>
      </w:r>
      <w:r w:rsidR="00177848" w:rsidRPr="00C6052E">
        <w:t xml:space="preserve"> </w:t>
      </w:r>
      <w:r w:rsidRPr="00C6052E">
        <w:t>and</w:t>
      </w:r>
      <w:r w:rsidR="00177848" w:rsidRPr="00C6052E">
        <w:t xml:space="preserve"> </w:t>
      </w:r>
      <w:r w:rsidRPr="00C6052E">
        <w:t>aquaculture</w:t>
      </w:r>
      <w:r w:rsidR="00177848" w:rsidRPr="00C6052E">
        <w:t xml:space="preserve"> </w:t>
      </w:r>
      <w:r w:rsidRPr="00C6052E">
        <w:t>activities</w:t>
      </w:r>
      <w:r w:rsidR="00177848" w:rsidRPr="00C6052E">
        <w:t xml:space="preserve"> </w:t>
      </w:r>
      <w:r w:rsidRPr="00C6052E">
        <w:t>in</w:t>
      </w:r>
      <w:r w:rsidR="00177848" w:rsidRPr="00C6052E">
        <w:t xml:space="preserve"> </w:t>
      </w:r>
      <w:r w:rsidRPr="00C6052E">
        <w:t>Victoria</w:t>
      </w:r>
      <w:r w:rsidR="00177848" w:rsidRPr="00C6052E">
        <w:t xml:space="preserve"> </w:t>
      </w:r>
      <w:r w:rsidRPr="00C6052E">
        <w:t>and</w:t>
      </w:r>
      <w:r w:rsidR="00177848" w:rsidRPr="00C6052E">
        <w:t xml:space="preserve"> </w:t>
      </w:r>
      <w:r w:rsidRPr="00C6052E">
        <w:t>the</w:t>
      </w:r>
      <w:r w:rsidR="00177848" w:rsidRPr="00C6052E">
        <w:t xml:space="preserve"> </w:t>
      </w:r>
      <w:r w:rsidRPr="00C6052E">
        <w:t>delivery</w:t>
      </w:r>
      <w:r w:rsidR="00177848" w:rsidRPr="00C6052E">
        <w:t xml:space="preserve"> </w:t>
      </w:r>
      <w:r w:rsidRPr="00C6052E">
        <w:t>of</w:t>
      </w:r>
      <w:r w:rsidR="00177848" w:rsidRPr="00C6052E">
        <w:t xml:space="preserve"> </w:t>
      </w:r>
      <w:r w:rsidRPr="00C6052E">
        <w:t>improved</w:t>
      </w:r>
      <w:r w:rsidR="00177848" w:rsidRPr="00C6052E">
        <w:t xml:space="preserve"> </w:t>
      </w:r>
      <w:r w:rsidRPr="00C6052E">
        <w:t>recreational</w:t>
      </w:r>
      <w:r w:rsidR="00177848" w:rsidRPr="00C6052E">
        <w:t xml:space="preserve"> </w:t>
      </w:r>
      <w:r w:rsidRPr="00C6052E">
        <w:t>fishing</w:t>
      </w:r>
      <w:r w:rsidR="00177848" w:rsidRPr="00C6052E">
        <w:t xml:space="preserve"> </w:t>
      </w:r>
      <w:r w:rsidRPr="00C6052E">
        <w:t>and</w:t>
      </w:r>
      <w:r w:rsidR="00177848" w:rsidRPr="00C6052E">
        <w:t xml:space="preserve"> </w:t>
      </w:r>
      <w:r w:rsidRPr="00C6052E">
        <w:t>boating</w:t>
      </w:r>
      <w:r w:rsidR="00177848" w:rsidRPr="00C6052E">
        <w:t xml:space="preserve"> </w:t>
      </w:r>
      <w:r w:rsidRPr="00C6052E">
        <w:t>services</w:t>
      </w:r>
      <w:r w:rsidR="00177848" w:rsidRPr="00C6052E">
        <w:t xml:space="preserve"> </w:t>
      </w:r>
      <w:r w:rsidRPr="00C6052E">
        <w:t>and</w:t>
      </w:r>
      <w:r w:rsidR="00177848" w:rsidRPr="00C6052E">
        <w:t xml:space="preserve"> </w:t>
      </w:r>
      <w:r w:rsidRPr="00C6052E">
        <w:t>facilities.</w:t>
      </w:r>
    </w:p>
    <w:p w14:paraId="358738E2" w14:textId="2A04DF17" w:rsidR="00EE5BB8" w:rsidRPr="00C6052E" w:rsidRDefault="00EE5BB8" w:rsidP="00EE5BB8">
      <w:r w:rsidRPr="00C6052E">
        <w:t>The</w:t>
      </w:r>
      <w:r w:rsidR="00177848" w:rsidRPr="00C6052E">
        <w:t xml:space="preserve"> </w:t>
      </w:r>
      <w:r w:rsidRPr="00C6052E">
        <w:t>Fishing,</w:t>
      </w:r>
      <w:r w:rsidR="00177848" w:rsidRPr="00C6052E">
        <w:t xml:space="preserve"> </w:t>
      </w:r>
      <w:r w:rsidRPr="00C6052E">
        <w:t>Boating</w:t>
      </w:r>
      <w:r w:rsidR="00177848" w:rsidRPr="00C6052E">
        <w:t xml:space="preserve"> </w:t>
      </w:r>
      <w:r w:rsidRPr="00C6052E">
        <w:t>and</w:t>
      </w:r>
      <w:r w:rsidR="00177848" w:rsidRPr="00C6052E">
        <w:t xml:space="preserve"> </w:t>
      </w:r>
      <w:r w:rsidRPr="00C6052E">
        <w:t>Game</w:t>
      </w:r>
      <w:r w:rsidR="00177848" w:rsidRPr="00C6052E">
        <w:t xml:space="preserve"> </w:t>
      </w:r>
      <w:r w:rsidRPr="00C6052E">
        <w:t>Management</w:t>
      </w:r>
      <w:r w:rsidR="00177848" w:rsidRPr="00C6052E">
        <w:t xml:space="preserve"> </w:t>
      </w:r>
      <w:r w:rsidRPr="00C6052E">
        <w:t>output</w:t>
      </w:r>
      <w:r w:rsidR="00177848" w:rsidRPr="00C6052E">
        <w:t xml:space="preserve"> </w:t>
      </w:r>
      <w:r w:rsidRPr="00C6052E">
        <w:t>creates</w:t>
      </w:r>
      <w:r w:rsidR="00177848" w:rsidRPr="00C6052E">
        <w:t xml:space="preserve"> </w:t>
      </w:r>
      <w:r w:rsidRPr="00C6052E">
        <w:t>the</w:t>
      </w:r>
      <w:r w:rsidR="00177848" w:rsidRPr="00C6052E">
        <w:t xml:space="preserve"> </w:t>
      </w:r>
      <w:r w:rsidRPr="00C6052E">
        <w:t>conditions</w:t>
      </w:r>
      <w:r w:rsidR="00177848" w:rsidRPr="00C6052E">
        <w:t xml:space="preserve"> </w:t>
      </w:r>
      <w:r w:rsidRPr="00C6052E">
        <w:t>to</w:t>
      </w:r>
      <w:r w:rsidR="00177848" w:rsidRPr="00C6052E">
        <w:t xml:space="preserve"> </w:t>
      </w:r>
      <w:r w:rsidRPr="00C6052E">
        <w:t>ensure</w:t>
      </w:r>
      <w:r w:rsidR="00177848" w:rsidRPr="00C6052E">
        <w:t xml:space="preserve"> </w:t>
      </w:r>
      <w:r w:rsidRPr="00C6052E">
        <w:t>Victoria’s</w:t>
      </w:r>
      <w:r w:rsidR="00177848" w:rsidRPr="00C6052E">
        <w:t xml:space="preserve"> </w:t>
      </w:r>
      <w:r w:rsidRPr="00C6052E">
        <w:t>fisheries</w:t>
      </w:r>
      <w:r w:rsidR="00177848" w:rsidRPr="00C6052E">
        <w:t xml:space="preserve"> </w:t>
      </w:r>
      <w:r w:rsidRPr="00C6052E">
        <w:t>and</w:t>
      </w:r>
      <w:r w:rsidR="00177848" w:rsidRPr="00C6052E">
        <w:t xml:space="preserve"> </w:t>
      </w:r>
      <w:r w:rsidRPr="00C6052E">
        <w:t>game</w:t>
      </w:r>
      <w:r w:rsidR="00177848" w:rsidRPr="00C6052E">
        <w:t xml:space="preserve"> </w:t>
      </w:r>
      <w:r w:rsidRPr="00C6052E">
        <w:t>resources</w:t>
      </w:r>
      <w:r w:rsidR="00177848" w:rsidRPr="00C6052E">
        <w:t xml:space="preserve"> </w:t>
      </w:r>
      <w:r w:rsidRPr="00C6052E">
        <w:t>are</w:t>
      </w:r>
      <w:r w:rsidR="00177848" w:rsidRPr="00C6052E">
        <w:t xml:space="preserve"> </w:t>
      </w:r>
      <w:r w:rsidRPr="00C6052E">
        <w:t>sustainably</w:t>
      </w:r>
      <w:r w:rsidR="00177848" w:rsidRPr="00C6052E">
        <w:t xml:space="preserve"> </w:t>
      </w:r>
      <w:r w:rsidRPr="00C6052E">
        <w:t>used</w:t>
      </w:r>
      <w:r w:rsidR="00177848" w:rsidRPr="00C6052E">
        <w:t xml:space="preserve"> </w:t>
      </w:r>
      <w:r w:rsidRPr="00C6052E">
        <w:t>for</w:t>
      </w:r>
      <w:r w:rsidR="00177848" w:rsidRPr="00C6052E">
        <w:t xml:space="preserve"> </w:t>
      </w:r>
      <w:r w:rsidRPr="00C6052E">
        <w:t>both</w:t>
      </w:r>
      <w:r w:rsidR="00177848" w:rsidRPr="00C6052E">
        <w:t xml:space="preserve"> </w:t>
      </w:r>
      <w:r w:rsidRPr="00C6052E">
        <w:t>recreational</w:t>
      </w:r>
      <w:r w:rsidR="00177848" w:rsidRPr="00C6052E">
        <w:t xml:space="preserve"> </w:t>
      </w:r>
      <w:r w:rsidRPr="00C6052E">
        <w:t>and</w:t>
      </w:r>
      <w:r w:rsidR="00177848" w:rsidRPr="00C6052E">
        <w:t xml:space="preserve"> </w:t>
      </w:r>
      <w:r w:rsidRPr="00C6052E">
        <w:t>commercial</w:t>
      </w:r>
      <w:r w:rsidR="00177848" w:rsidRPr="00C6052E">
        <w:t xml:space="preserve"> </w:t>
      </w:r>
      <w:r w:rsidRPr="00C6052E">
        <w:t>purposes.</w:t>
      </w:r>
      <w:r w:rsidR="00177848" w:rsidRPr="00C6052E">
        <w:t xml:space="preserve"> </w:t>
      </w:r>
      <w:r w:rsidRPr="00C6052E">
        <w:t>This</w:t>
      </w:r>
      <w:r w:rsidR="00177848" w:rsidRPr="00C6052E">
        <w:t xml:space="preserve"> </w:t>
      </w:r>
      <w:r w:rsidRPr="00C6052E">
        <w:t>output</w:t>
      </w:r>
      <w:r w:rsidR="00177848" w:rsidRPr="00C6052E">
        <w:t xml:space="preserve"> </w:t>
      </w:r>
      <w:r w:rsidRPr="00C6052E">
        <w:t>delivers</w:t>
      </w:r>
      <w:r w:rsidR="00177848" w:rsidRPr="00C6052E">
        <w:t xml:space="preserve"> </w:t>
      </w:r>
      <w:r w:rsidRPr="00C6052E">
        <w:t>improved</w:t>
      </w:r>
      <w:r w:rsidR="00177848" w:rsidRPr="00C6052E">
        <w:t xml:space="preserve"> </w:t>
      </w:r>
      <w:r w:rsidRPr="00C6052E">
        <w:t>recreational</w:t>
      </w:r>
      <w:r w:rsidR="00177848" w:rsidRPr="00C6052E">
        <w:t xml:space="preserve"> </w:t>
      </w:r>
      <w:r w:rsidRPr="00C6052E">
        <w:t>boating</w:t>
      </w:r>
      <w:r w:rsidR="00177848" w:rsidRPr="00C6052E">
        <w:t xml:space="preserve"> </w:t>
      </w:r>
      <w:r w:rsidRPr="00C6052E">
        <w:t>and</w:t>
      </w:r>
      <w:r w:rsidR="00177848" w:rsidRPr="00C6052E">
        <w:t xml:space="preserve"> </w:t>
      </w:r>
      <w:r w:rsidRPr="00C6052E">
        <w:t>fishing</w:t>
      </w:r>
      <w:r w:rsidR="00177848" w:rsidRPr="00C6052E">
        <w:t xml:space="preserve"> </w:t>
      </w:r>
      <w:r w:rsidRPr="00C6052E">
        <w:t>services</w:t>
      </w:r>
      <w:r w:rsidR="00177848" w:rsidRPr="00C6052E">
        <w:t xml:space="preserve"> </w:t>
      </w:r>
      <w:r w:rsidRPr="00C6052E">
        <w:t>and</w:t>
      </w:r>
      <w:r w:rsidR="00177848" w:rsidRPr="00C6052E">
        <w:t xml:space="preserve"> </w:t>
      </w:r>
      <w:r w:rsidRPr="00C6052E">
        <w:t>facilities.</w:t>
      </w:r>
    </w:p>
    <w:p w14:paraId="1F9E14BD" w14:textId="730A10B7" w:rsidR="00EE5BB8" w:rsidRPr="00C6052E" w:rsidRDefault="00EE5BB8" w:rsidP="00EE5BB8">
      <w:r w:rsidRPr="00C6052E">
        <w:t>The</w:t>
      </w:r>
      <w:r w:rsidR="00177848" w:rsidRPr="00C6052E">
        <w:t xml:space="preserve"> </w:t>
      </w:r>
      <w:r w:rsidRPr="00C6052E">
        <w:t>Regional</w:t>
      </w:r>
      <w:r w:rsidR="00177848" w:rsidRPr="00C6052E">
        <w:t xml:space="preserve"> </w:t>
      </w:r>
      <w:r w:rsidRPr="00C6052E">
        <w:t>Development</w:t>
      </w:r>
      <w:r w:rsidR="00177848" w:rsidRPr="00C6052E">
        <w:t xml:space="preserve"> </w:t>
      </w:r>
      <w:r w:rsidRPr="00C6052E">
        <w:t>output</w:t>
      </w:r>
      <w:r w:rsidR="00177848" w:rsidRPr="00C6052E">
        <w:t xml:space="preserve"> </w:t>
      </w:r>
      <w:r w:rsidRPr="00C6052E">
        <w:t>supports</w:t>
      </w:r>
      <w:r w:rsidR="00177848" w:rsidRPr="00C6052E">
        <w:t xml:space="preserve"> </w:t>
      </w:r>
      <w:r w:rsidRPr="00C6052E">
        <w:t>targeted</w:t>
      </w:r>
      <w:r w:rsidR="00177848" w:rsidRPr="00C6052E">
        <w:t xml:space="preserve"> </w:t>
      </w:r>
      <w:r w:rsidRPr="00C6052E">
        <w:t>place</w:t>
      </w:r>
      <w:r w:rsidRPr="00C6052E">
        <w:noBreakHyphen/>
        <w:t>based</w:t>
      </w:r>
      <w:r w:rsidR="00177848" w:rsidRPr="00C6052E">
        <w:t xml:space="preserve"> </w:t>
      </w:r>
      <w:r w:rsidRPr="00C6052E">
        <w:t>services</w:t>
      </w:r>
      <w:r w:rsidR="00177848" w:rsidRPr="00C6052E">
        <w:t xml:space="preserve"> </w:t>
      </w:r>
      <w:r w:rsidRPr="00C6052E">
        <w:t>and</w:t>
      </w:r>
      <w:r w:rsidR="00177848" w:rsidRPr="00C6052E">
        <w:t xml:space="preserve"> </w:t>
      </w:r>
      <w:r w:rsidRPr="00C6052E">
        <w:t>collaboration</w:t>
      </w:r>
      <w:r w:rsidR="00177848" w:rsidRPr="00C6052E">
        <w:t xml:space="preserve"> </w:t>
      </w:r>
      <w:r w:rsidRPr="00C6052E">
        <w:t>with</w:t>
      </w:r>
      <w:r w:rsidR="00177848" w:rsidRPr="00C6052E">
        <w:t xml:space="preserve"> </w:t>
      </w:r>
      <w:r w:rsidRPr="00C6052E">
        <w:t>industry,</w:t>
      </w:r>
      <w:r w:rsidR="00177848" w:rsidRPr="00C6052E">
        <w:t xml:space="preserve"> </w:t>
      </w:r>
      <w:r w:rsidRPr="00C6052E">
        <w:t>businesses,</w:t>
      </w:r>
      <w:r w:rsidR="00177848" w:rsidRPr="00C6052E">
        <w:t xml:space="preserve"> </w:t>
      </w:r>
      <w:r w:rsidRPr="00C6052E">
        <w:t>communities,</w:t>
      </w:r>
      <w:r w:rsidR="00177848" w:rsidRPr="00C6052E">
        <w:t xml:space="preserve"> </w:t>
      </w:r>
      <w:r w:rsidRPr="00C6052E">
        <w:t>local</w:t>
      </w:r>
      <w:r w:rsidR="00177848" w:rsidRPr="00C6052E">
        <w:t xml:space="preserve"> </w:t>
      </w:r>
      <w:r w:rsidRPr="00C6052E">
        <w:t>councils</w:t>
      </w:r>
      <w:r w:rsidR="00177848" w:rsidRPr="00C6052E">
        <w:t xml:space="preserve"> </w:t>
      </w:r>
      <w:r w:rsidRPr="00C6052E">
        <w:t>and</w:t>
      </w:r>
      <w:r w:rsidR="00177848" w:rsidRPr="00C6052E">
        <w:t xml:space="preserve"> </w:t>
      </w:r>
      <w:r w:rsidRPr="00C6052E">
        <w:t>government</w:t>
      </w:r>
      <w:r w:rsidR="00177848" w:rsidRPr="00C6052E">
        <w:t xml:space="preserve"> </w:t>
      </w:r>
      <w:r w:rsidRPr="00C6052E">
        <w:t>departments,</w:t>
      </w:r>
      <w:r w:rsidR="00177848" w:rsidRPr="00C6052E">
        <w:t xml:space="preserve"> </w:t>
      </w:r>
      <w:r w:rsidRPr="00C6052E">
        <w:t>to</w:t>
      </w:r>
      <w:r w:rsidR="00177848" w:rsidRPr="00C6052E">
        <w:t xml:space="preserve"> </w:t>
      </w:r>
      <w:r w:rsidRPr="00C6052E">
        <w:t>enable</w:t>
      </w:r>
      <w:r w:rsidR="00177848" w:rsidRPr="00C6052E">
        <w:t xml:space="preserve"> </w:t>
      </w:r>
      <w:r w:rsidRPr="00C6052E">
        <w:t>and</w:t>
      </w:r>
      <w:r w:rsidR="00177848" w:rsidRPr="00C6052E">
        <w:t xml:space="preserve"> </w:t>
      </w:r>
      <w:r w:rsidRPr="00C6052E">
        <w:t>support</w:t>
      </w:r>
      <w:r w:rsidR="00177848" w:rsidRPr="00C6052E">
        <w:t xml:space="preserve"> </w:t>
      </w:r>
      <w:r w:rsidRPr="00C6052E">
        <w:t>economic</w:t>
      </w:r>
      <w:r w:rsidR="00177848" w:rsidRPr="00C6052E">
        <w:t xml:space="preserve"> </w:t>
      </w:r>
      <w:r w:rsidRPr="00C6052E">
        <w:t>growth.</w:t>
      </w:r>
      <w:r w:rsidR="00177848" w:rsidRPr="00C6052E">
        <w:t xml:space="preserve"> </w:t>
      </w:r>
      <w:r w:rsidRPr="00C6052E">
        <w:t>This</w:t>
      </w:r>
      <w:r w:rsidR="00177848" w:rsidRPr="00C6052E">
        <w:t xml:space="preserve"> </w:t>
      </w:r>
      <w:r w:rsidRPr="00C6052E">
        <w:t>includes</w:t>
      </w:r>
      <w:r w:rsidR="00177848" w:rsidRPr="00C6052E">
        <w:t xml:space="preserve"> </w:t>
      </w:r>
      <w:r w:rsidRPr="00C6052E">
        <w:t>facilitating</w:t>
      </w:r>
      <w:r w:rsidR="00177848" w:rsidRPr="00C6052E">
        <w:t xml:space="preserve"> </w:t>
      </w:r>
      <w:r w:rsidRPr="00C6052E">
        <w:t>job</w:t>
      </w:r>
      <w:r w:rsidR="00177848" w:rsidRPr="00C6052E">
        <w:t xml:space="preserve"> </w:t>
      </w:r>
      <w:r w:rsidRPr="00C6052E">
        <w:t>growth,</w:t>
      </w:r>
      <w:r w:rsidR="00177848" w:rsidRPr="00C6052E">
        <w:t xml:space="preserve"> </w:t>
      </w:r>
      <w:r w:rsidRPr="00C6052E">
        <w:t>infrastructure</w:t>
      </w:r>
      <w:r w:rsidR="00177848" w:rsidRPr="00C6052E">
        <w:t xml:space="preserve"> </w:t>
      </w:r>
      <w:r w:rsidRPr="00C6052E">
        <w:t>and</w:t>
      </w:r>
      <w:r w:rsidR="00177848" w:rsidRPr="00C6052E">
        <w:t xml:space="preserve"> </w:t>
      </w:r>
      <w:r w:rsidRPr="00C6052E">
        <w:t>new</w:t>
      </w:r>
      <w:r w:rsidR="00177848" w:rsidRPr="00C6052E">
        <w:t xml:space="preserve"> </w:t>
      </w:r>
      <w:r w:rsidRPr="00C6052E">
        <w:t>investment</w:t>
      </w:r>
      <w:r w:rsidR="00177848" w:rsidRPr="00C6052E">
        <w:t xml:space="preserve"> </w:t>
      </w:r>
      <w:r w:rsidRPr="00C6052E">
        <w:t>in</w:t>
      </w:r>
      <w:r w:rsidR="00177848" w:rsidRPr="00C6052E">
        <w:t xml:space="preserve"> </w:t>
      </w:r>
      <w:r w:rsidRPr="00C6052E">
        <w:t>regional</w:t>
      </w:r>
      <w:r w:rsidR="00177848" w:rsidRPr="00C6052E">
        <w:t xml:space="preserve"> </w:t>
      </w:r>
      <w:r w:rsidRPr="00C6052E">
        <w:t>Victoria</w:t>
      </w:r>
      <w:r w:rsidR="00177848" w:rsidRPr="00C6052E">
        <w:t xml:space="preserve"> </w:t>
      </w:r>
      <w:r w:rsidRPr="00C6052E">
        <w:t>and</w:t>
      </w:r>
      <w:r w:rsidR="00177848" w:rsidRPr="00C6052E">
        <w:t xml:space="preserve"> </w:t>
      </w:r>
      <w:r w:rsidRPr="00C6052E">
        <w:t>enhancing</w:t>
      </w:r>
      <w:r w:rsidR="00177848" w:rsidRPr="00C6052E">
        <w:t xml:space="preserve"> </w:t>
      </w:r>
      <w:r w:rsidRPr="00C6052E">
        <w:t>the</w:t>
      </w:r>
      <w:r w:rsidR="00177848" w:rsidRPr="00C6052E">
        <w:t xml:space="preserve"> </w:t>
      </w:r>
      <w:r w:rsidRPr="00C6052E">
        <w:t>liveability</w:t>
      </w:r>
      <w:r w:rsidR="00177848" w:rsidRPr="00C6052E">
        <w:t xml:space="preserve"> </w:t>
      </w:r>
      <w:r w:rsidRPr="00C6052E">
        <w:t>of</w:t>
      </w:r>
      <w:r w:rsidR="00177848" w:rsidRPr="00C6052E">
        <w:t xml:space="preserve"> </w:t>
      </w:r>
      <w:r w:rsidRPr="00C6052E">
        <w:t>Victoria’s</w:t>
      </w:r>
      <w:r w:rsidR="00177848" w:rsidRPr="00C6052E">
        <w:t xml:space="preserve"> </w:t>
      </w:r>
      <w:r w:rsidRPr="00C6052E">
        <w:t>regional</w:t>
      </w:r>
      <w:r w:rsidR="00177848" w:rsidRPr="00C6052E">
        <w:t xml:space="preserve"> </w:t>
      </w:r>
      <w:r w:rsidRPr="00C6052E">
        <w:t>cities</w:t>
      </w:r>
      <w:r w:rsidR="00177848" w:rsidRPr="00C6052E">
        <w:t xml:space="preserve"> </w:t>
      </w:r>
      <w:r w:rsidRPr="00C6052E">
        <w:t>and</w:t>
      </w:r>
      <w:r w:rsidR="00177848" w:rsidRPr="00C6052E">
        <w:t xml:space="preserve"> </w:t>
      </w:r>
      <w:r w:rsidRPr="00C6052E">
        <w:t>towns.</w:t>
      </w:r>
    </w:p>
    <w:p w14:paraId="0E8E59F3" w14:textId="045D70CC" w:rsidR="00EE5BB8" w:rsidRPr="00C6052E" w:rsidRDefault="00EE5BB8" w:rsidP="006F1C8C">
      <w:pPr>
        <w:pStyle w:val="Heading3"/>
      </w:pPr>
      <w:r w:rsidRPr="00C6052E">
        <w:t>Grow</w:t>
      </w:r>
      <w:r w:rsidR="00177848" w:rsidRPr="00C6052E">
        <w:t xml:space="preserve"> </w:t>
      </w:r>
      <w:r w:rsidRPr="00C6052E">
        <w:t>vibrant,</w:t>
      </w:r>
      <w:r w:rsidR="00177848" w:rsidRPr="00C6052E">
        <w:t xml:space="preserve"> </w:t>
      </w:r>
      <w:r w:rsidRPr="00C6052E">
        <w:t>active</w:t>
      </w:r>
      <w:r w:rsidR="00177848" w:rsidRPr="00C6052E">
        <w:t xml:space="preserve"> </w:t>
      </w:r>
      <w:r w:rsidRPr="00C6052E">
        <w:t>and</w:t>
      </w:r>
      <w:r w:rsidR="00177848" w:rsidRPr="00C6052E">
        <w:t xml:space="preserve"> </w:t>
      </w:r>
      <w:r w:rsidRPr="00C6052E">
        <w:t>creative</w:t>
      </w:r>
      <w:r w:rsidR="00177848" w:rsidRPr="00C6052E">
        <w:t xml:space="preserve"> </w:t>
      </w:r>
      <w:r w:rsidRPr="00C6052E">
        <w:t>communities</w:t>
      </w:r>
    </w:p>
    <w:p w14:paraId="061D771A" w14:textId="34130A3A" w:rsidR="00EE5BB8" w:rsidRPr="00C6052E" w:rsidRDefault="00EE5BB8" w:rsidP="00EE5BB8">
      <w:r w:rsidRPr="00C6052E">
        <w:t>This</w:t>
      </w:r>
      <w:r w:rsidR="00177848" w:rsidRPr="00C6052E">
        <w:t xml:space="preserve"> </w:t>
      </w:r>
      <w:r w:rsidRPr="00C6052E">
        <w:t>objective</w:t>
      </w:r>
      <w:r w:rsidR="00177848" w:rsidRPr="00C6052E">
        <w:t xml:space="preserve"> </w:t>
      </w:r>
      <w:r w:rsidRPr="00C6052E">
        <w:t>seeks</w:t>
      </w:r>
      <w:r w:rsidR="00177848" w:rsidRPr="00C6052E">
        <w:t xml:space="preserve"> </w:t>
      </w:r>
      <w:r w:rsidRPr="00C6052E">
        <w:t>to</w:t>
      </w:r>
      <w:r w:rsidR="00177848" w:rsidRPr="00C6052E">
        <w:t xml:space="preserve"> </w:t>
      </w:r>
      <w:r w:rsidRPr="00C6052E">
        <w:t>increase</w:t>
      </w:r>
      <w:r w:rsidR="00177848" w:rsidRPr="00C6052E">
        <w:t xml:space="preserve"> </w:t>
      </w:r>
      <w:r w:rsidRPr="00C6052E">
        <w:t>the</w:t>
      </w:r>
      <w:r w:rsidR="00177848" w:rsidRPr="00C6052E">
        <w:t xml:space="preserve"> </w:t>
      </w:r>
      <w:r w:rsidRPr="00C6052E">
        <w:t>economic,</w:t>
      </w:r>
      <w:r w:rsidR="00177848" w:rsidRPr="00C6052E">
        <w:t xml:space="preserve"> </w:t>
      </w:r>
      <w:r w:rsidRPr="00C6052E">
        <w:t>social</w:t>
      </w:r>
      <w:r w:rsidR="00177848" w:rsidRPr="00C6052E">
        <w:t xml:space="preserve"> </w:t>
      </w:r>
      <w:r w:rsidRPr="00C6052E">
        <w:t>and</w:t>
      </w:r>
      <w:r w:rsidR="00177848" w:rsidRPr="00C6052E">
        <w:t xml:space="preserve"> </w:t>
      </w:r>
      <w:r w:rsidRPr="00C6052E">
        <w:t>cultural</w:t>
      </w:r>
      <w:r w:rsidR="00177848" w:rsidRPr="00C6052E">
        <w:t xml:space="preserve"> </w:t>
      </w:r>
      <w:r w:rsidRPr="00C6052E">
        <w:t>value</w:t>
      </w:r>
      <w:r w:rsidR="00177848" w:rsidRPr="00C6052E">
        <w:t xml:space="preserve"> </w:t>
      </w:r>
      <w:r w:rsidRPr="00C6052E">
        <w:t>of</w:t>
      </w:r>
      <w:r w:rsidR="00177848" w:rsidRPr="00C6052E">
        <w:t xml:space="preserve"> </w:t>
      </w:r>
      <w:r w:rsidRPr="00C6052E">
        <w:t>the</w:t>
      </w:r>
      <w:r w:rsidR="00177848" w:rsidRPr="00C6052E">
        <w:t xml:space="preserve"> </w:t>
      </w:r>
      <w:r w:rsidRPr="00C6052E">
        <w:t>creative,</w:t>
      </w:r>
      <w:r w:rsidR="00177848" w:rsidRPr="00C6052E">
        <w:t xml:space="preserve"> </w:t>
      </w:r>
      <w:r w:rsidRPr="00C6052E">
        <w:t>sport</w:t>
      </w:r>
      <w:r w:rsidR="00177848" w:rsidRPr="00C6052E">
        <w:t xml:space="preserve"> </w:t>
      </w:r>
      <w:r w:rsidRPr="00C6052E">
        <w:t>and</w:t>
      </w:r>
      <w:r w:rsidR="00177848" w:rsidRPr="00C6052E">
        <w:t xml:space="preserve"> </w:t>
      </w:r>
      <w:r w:rsidRPr="00C6052E">
        <w:t>recreation</w:t>
      </w:r>
      <w:r w:rsidR="00177848" w:rsidRPr="00C6052E">
        <w:t xml:space="preserve"> </w:t>
      </w:r>
      <w:r w:rsidRPr="00C6052E">
        <w:t>industries</w:t>
      </w:r>
      <w:r w:rsidR="00177848" w:rsidRPr="00C6052E">
        <w:t xml:space="preserve"> </w:t>
      </w:r>
      <w:r w:rsidRPr="00C6052E">
        <w:t>to</w:t>
      </w:r>
      <w:r w:rsidR="00177848" w:rsidRPr="00C6052E">
        <w:t xml:space="preserve"> </w:t>
      </w:r>
      <w:r w:rsidRPr="00C6052E">
        <w:t>Victoria,</w:t>
      </w:r>
      <w:r w:rsidR="00177848" w:rsidRPr="00C6052E">
        <w:t xml:space="preserve"> </w:t>
      </w:r>
      <w:r w:rsidRPr="00C6052E">
        <w:t>grow</w:t>
      </w:r>
      <w:r w:rsidR="00177848" w:rsidRPr="00C6052E">
        <w:t xml:space="preserve"> </w:t>
      </w:r>
      <w:r w:rsidRPr="00C6052E">
        <w:t>the</w:t>
      </w:r>
      <w:r w:rsidR="00177848" w:rsidRPr="00C6052E">
        <w:t xml:space="preserve"> </w:t>
      </w:r>
      <w:r w:rsidRPr="00C6052E">
        <w:t>number</w:t>
      </w:r>
      <w:r w:rsidR="00177848" w:rsidRPr="00C6052E">
        <w:t xml:space="preserve"> </w:t>
      </w:r>
      <w:r w:rsidRPr="00C6052E">
        <w:t>and</w:t>
      </w:r>
      <w:r w:rsidR="00177848" w:rsidRPr="00C6052E">
        <w:t xml:space="preserve"> </w:t>
      </w:r>
      <w:r w:rsidRPr="00C6052E">
        <w:t>yield</w:t>
      </w:r>
      <w:r w:rsidR="00177848" w:rsidRPr="00C6052E">
        <w:t xml:space="preserve"> </w:t>
      </w:r>
      <w:r w:rsidRPr="00C6052E">
        <w:t>of</w:t>
      </w:r>
      <w:r w:rsidR="00177848" w:rsidRPr="00C6052E">
        <w:t xml:space="preserve"> </w:t>
      </w:r>
      <w:r w:rsidRPr="00C6052E">
        <w:t>visitors,</w:t>
      </w:r>
      <w:r w:rsidR="00177848" w:rsidRPr="00C6052E">
        <w:t xml:space="preserve"> </w:t>
      </w:r>
      <w:r w:rsidRPr="00C6052E">
        <w:t>position</w:t>
      </w:r>
      <w:r w:rsidR="00177848" w:rsidRPr="00C6052E">
        <w:t xml:space="preserve"> </w:t>
      </w:r>
      <w:r w:rsidRPr="00C6052E">
        <w:t>Victoria</w:t>
      </w:r>
      <w:r w:rsidR="00177848" w:rsidRPr="00C6052E">
        <w:t xml:space="preserve"> </w:t>
      </w:r>
      <w:r w:rsidRPr="00C6052E">
        <w:t>as</w:t>
      </w:r>
      <w:r w:rsidR="00177848" w:rsidRPr="00C6052E">
        <w:t xml:space="preserve"> </w:t>
      </w:r>
      <w:r w:rsidRPr="00C6052E">
        <w:t>a</w:t>
      </w:r>
      <w:r w:rsidR="00177848" w:rsidRPr="00C6052E">
        <w:t xml:space="preserve"> </w:t>
      </w:r>
      <w:r w:rsidRPr="00C6052E">
        <w:t>major</w:t>
      </w:r>
      <w:r w:rsidR="00177848" w:rsidRPr="00C6052E">
        <w:t xml:space="preserve"> </w:t>
      </w:r>
      <w:r w:rsidRPr="00C6052E">
        <w:t>events</w:t>
      </w:r>
      <w:r w:rsidR="00177848" w:rsidRPr="00C6052E">
        <w:t xml:space="preserve"> </w:t>
      </w:r>
      <w:r w:rsidRPr="00C6052E">
        <w:t>destination,</w:t>
      </w:r>
      <w:r w:rsidR="00177848" w:rsidRPr="00C6052E">
        <w:t xml:space="preserve"> </w:t>
      </w:r>
      <w:r w:rsidRPr="00C6052E">
        <w:t>and</w:t>
      </w:r>
      <w:r w:rsidR="00177848" w:rsidRPr="00C6052E">
        <w:t xml:space="preserve"> </w:t>
      </w:r>
      <w:r w:rsidRPr="00C6052E">
        <w:t>ensure</w:t>
      </w:r>
      <w:r w:rsidR="00177848" w:rsidRPr="00C6052E">
        <w:t xml:space="preserve"> </w:t>
      </w:r>
      <w:r w:rsidRPr="00C6052E">
        <w:t>the</w:t>
      </w:r>
      <w:r w:rsidR="00177848" w:rsidRPr="00C6052E">
        <w:t xml:space="preserve"> </w:t>
      </w:r>
      <w:r w:rsidRPr="00C6052E">
        <w:t>best</w:t>
      </w:r>
      <w:r w:rsidR="00177848" w:rsidRPr="00C6052E">
        <w:t xml:space="preserve"> </w:t>
      </w:r>
      <w:r w:rsidRPr="00C6052E">
        <w:t>cultural</w:t>
      </w:r>
      <w:r w:rsidR="00177848" w:rsidRPr="00C6052E">
        <w:t xml:space="preserve"> </w:t>
      </w:r>
      <w:r w:rsidRPr="00C6052E">
        <w:t>and</w:t>
      </w:r>
      <w:r w:rsidR="00177848" w:rsidRPr="00C6052E">
        <w:t xml:space="preserve"> </w:t>
      </w:r>
      <w:r w:rsidRPr="00C6052E">
        <w:t>sporting</w:t>
      </w:r>
      <w:r w:rsidR="00177848" w:rsidRPr="00C6052E">
        <w:t xml:space="preserve"> </w:t>
      </w:r>
      <w:r w:rsidRPr="00C6052E">
        <w:t>experiences</w:t>
      </w:r>
      <w:r w:rsidR="00177848" w:rsidRPr="00C6052E">
        <w:t xml:space="preserve"> </w:t>
      </w:r>
      <w:r w:rsidRPr="00C6052E">
        <w:t>are</w:t>
      </w:r>
      <w:r w:rsidR="00177848" w:rsidRPr="00C6052E">
        <w:t xml:space="preserve"> </w:t>
      </w:r>
      <w:r w:rsidRPr="00C6052E">
        <w:t>accessible</w:t>
      </w:r>
      <w:r w:rsidR="00177848" w:rsidRPr="00C6052E">
        <w:t xml:space="preserve"> </w:t>
      </w:r>
      <w:r w:rsidRPr="00C6052E">
        <w:t>to</w:t>
      </w:r>
      <w:r w:rsidR="00177848" w:rsidRPr="00C6052E">
        <w:t xml:space="preserve"> </w:t>
      </w:r>
      <w:r w:rsidRPr="00C6052E">
        <w:t>everyone.</w:t>
      </w:r>
    </w:p>
    <w:p w14:paraId="336EE049" w14:textId="2C9F0089" w:rsidR="00EE5BB8" w:rsidRPr="00C6052E" w:rsidRDefault="00EE5BB8" w:rsidP="00EE5BB8">
      <w:r w:rsidRPr="00C6052E">
        <w:t>The</w:t>
      </w:r>
      <w:r w:rsidR="00177848" w:rsidRPr="00C6052E">
        <w:t xml:space="preserve"> </w:t>
      </w:r>
      <w:r w:rsidRPr="00C6052E">
        <w:t>Creative</w:t>
      </w:r>
      <w:r w:rsidR="00177848" w:rsidRPr="00C6052E">
        <w:t xml:space="preserve"> </w:t>
      </w:r>
      <w:r w:rsidRPr="00C6052E">
        <w:t>Industries</w:t>
      </w:r>
      <w:r w:rsidR="00177848" w:rsidRPr="00C6052E">
        <w:t xml:space="preserve"> </w:t>
      </w:r>
      <w:r w:rsidRPr="00C6052E">
        <w:t>Access,</w:t>
      </w:r>
      <w:r w:rsidR="00177848" w:rsidRPr="00C6052E">
        <w:t xml:space="preserve"> </w:t>
      </w:r>
      <w:r w:rsidRPr="00C6052E">
        <w:t>Development</w:t>
      </w:r>
      <w:r w:rsidR="00177848" w:rsidRPr="00C6052E">
        <w:t xml:space="preserve"> </w:t>
      </w:r>
      <w:r w:rsidRPr="00C6052E">
        <w:t>and</w:t>
      </w:r>
      <w:r w:rsidR="00177848" w:rsidRPr="00C6052E">
        <w:t xml:space="preserve"> </w:t>
      </w:r>
      <w:r w:rsidRPr="00C6052E">
        <w:t>Innovation</w:t>
      </w:r>
      <w:r w:rsidR="00177848" w:rsidRPr="00C6052E">
        <w:t xml:space="preserve"> </w:t>
      </w:r>
      <w:r w:rsidRPr="00C6052E">
        <w:t>output</w:t>
      </w:r>
      <w:r w:rsidR="00177848" w:rsidRPr="00C6052E">
        <w:t xml:space="preserve"> </w:t>
      </w:r>
      <w:r w:rsidRPr="00C6052E">
        <w:t>supports</w:t>
      </w:r>
      <w:r w:rsidR="00177848" w:rsidRPr="00C6052E">
        <w:t xml:space="preserve"> </w:t>
      </w:r>
      <w:r w:rsidRPr="00C6052E">
        <w:t>the</w:t>
      </w:r>
      <w:r w:rsidR="00177848" w:rsidRPr="00C6052E">
        <w:t xml:space="preserve"> </w:t>
      </w:r>
      <w:r w:rsidRPr="00C6052E">
        <w:t>creative</w:t>
      </w:r>
      <w:r w:rsidR="00177848" w:rsidRPr="00C6052E">
        <w:t xml:space="preserve"> </w:t>
      </w:r>
      <w:r w:rsidRPr="00C6052E">
        <w:t>industries</w:t>
      </w:r>
      <w:r w:rsidR="00177848" w:rsidRPr="00C6052E">
        <w:t xml:space="preserve"> </w:t>
      </w:r>
      <w:r w:rsidRPr="00C6052E">
        <w:t>to</w:t>
      </w:r>
      <w:r w:rsidR="00177848" w:rsidRPr="00C6052E">
        <w:t xml:space="preserve"> </w:t>
      </w:r>
      <w:r w:rsidRPr="00C6052E">
        <w:t>deliver</w:t>
      </w:r>
      <w:r w:rsidR="00177848" w:rsidRPr="00C6052E">
        <w:t xml:space="preserve"> </w:t>
      </w:r>
      <w:r w:rsidRPr="00C6052E">
        <w:t>economic,</w:t>
      </w:r>
      <w:r w:rsidR="00177848" w:rsidRPr="00C6052E">
        <w:t xml:space="preserve"> </w:t>
      </w:r>
      <w:r w:rsidRPr="00C6052E">
        <w:t>social</w:t>
      </w:r>
      <w:r w:rsidR="00177848" w:rsidRPr="00C6052E">
        <w:t xml:space="preserve"> </w:t>
      </w:r>
      <w:r w:rsidRPr="00C6052E">
        <w:t>and</w:t>
      </w:r>
      <w:r w:rsidR="00177848" w:rsidRPr="00C6052E">
        <w:t xml:space="preserve"> </w:t>
      </w:r>
      <w:r w:rsidRPr="00C6052E">
        <w:t>cultural</w:t>
      </w:r>
      <w:r w:rsidR="00177848" w:rsidRPr="00C6052E">
        <w:t xml:space="preserve"> </w:t>
      </w:r>
      <w:r w:rsidRPr="00C6052E">
        <w:t>benefit</w:t>
      </w:r>
      <w:r w:rsidR="00177848" w:rsidRPr="00C6052E">
        <w:t xml:space="preserve"> </w:t>
      </w:r>
      <w:r w:rsidRPr="00C6052E">
        <w:t>through</w:t>
      </w:r>
      <w:r w:rsidR="00177848" w:rsidRPr="00C6052E">
        <w:t xml:space="preserve"> </w:t>
      </w:r>
      <w:r w:rsidRPr="00C6052E">
        <w:t>talent</w:t>
      </w:r>
      <w:r w:rsidR="00177848" w:rsidRPr="00C6052E">
        <w:t xml:space="preserve"> </w:t>
      </w:r>
      <w:r w:rsidRPr="00C6052E">
        <w:t>and</w:t>
      </w:r>
      <w:r w:rsidR="00177848" w:rsidRPr="00C6052E">
        <w:t xml:space="preserve"> </w:t>
      </w:r>
      <w:r w:rsidRPr="00C6052E">
        <w:t>leadership;</w:t>
      </w:r>
      <w:r w:rsidR="00177848" w:rsidRPr="00C6052E">
        <w:t xml:space="preserve"> </w:t>
      </w:r>
      <w:r w:rsidRPr="00C6052E">
        <w:t>the</w:t>
      </w:r>
      <w:r w:rsidR="00177848" w:rsidRPr="00C6052E">
        <w:t xml:space="preserve"> </w:t>
      </w:r>
      <w:r w:rsidRPr="00C6052E">
        <w:t>creative</w:t>
      </w:r>
      <w:r w:rsidR="00177848" w:rsidRPr="00C6052E">
        <w:t xml:space="preserve"> </w:t>
      </w:r>
      <w:r w:rsidRPr="00C6052E">
        <w:t>and</w:t>
      </w:r>
      <w:r w:rsidR="00177848" w:rsidRPr="00C6052E">
        <w:t xml:space="preserve"> </w:t>
      </w:r>
      <w:r w:rsidRPr="00C6052E">
        <w:t>business</w:t>
      </w:r>
      <w:r w:rsidR="00177848" w:rsidRPr="00C6052E">
        <w:t xml:space="preserve"> </w:t>
      </w:r>
      <w:r w:rsidRPr="00C6052E">
        <w:t>ecology;</w:t>
      </w:r>
      <w:r w:rsidR="00177848" w:rsidRPr="00C6052E">
        <w:t xml:space="preserve"> </w:t>
      </w:r>
      <w:r w:rsidRPr="00C6052E">
        <w:t>innovation</w:t>
      </w:r>
      <w:r w:rsidR="00177848" w:rsidRPr="00C6052E">
        <w:t xml:space="preserve"> </w:t>
      </w:r>
      <w:r w:rsidRPr="00C6052E">
        <w:t>and</w:t>
      </w:r>
      <w:r w:rsidR="00177848" w:rsidRPr="00C6052E">
        <w:t xml:space="preserve"> </w:t>
      </w:r>
      <w:r w:rsidRPr="00C6052E">
        <w:t>social</w:t>
      </w:r>
      <w:r w:rsidR="00177848" w:rsidRPr="00C6052E">
        <w:t xml:space="preserve"> </w:t>
      </w:r>
      <w:r w:rsidRPr="00C6052E">
        <w:t>impact;</w:t>
      </w:r>
      <w:r w:rsidR="00177848" w:rsidRPr="00C6052E">
        <w:t xml:space="preserve"> </w:t>
      </w:r>
      <w:r w:rsidRPr="00C6052E">
        <w:t>participation</w:t>
      </w:r>
      <w:r w:rsidR="00177848" w:rsidRPr="00C6052E">
        <w:t xml:space="preserve"> </w:t>
      </w:r>
      <w:r w:rsidRPr="00C6052E">
        <w:t>and</w:t>
      </w:r>
      <w:r w:rsidR="00177848" w:rsidRPr="00C6052E">
        <w:t xml:space="preserve"> </w:t>
      </w:r>
      <w:r w:rsidRPr="00C6052E">
        <w:t>place</w:t>
      </w:r>
      <w:r w:rsidR="00177848" w:rsidRPr="00C6052E">
        <w:t xml:space="preserve"> </w:t>
      </w:r>
      <w:r w:rsidRPr="00C6052E">
        <w:t>making;</w:t>
      </w:r>
      <w:r w:rsidR="00177848" w:rsidRPr="00C6052E">
        <w:t xml:space="preserve"> </w:t>
      </w:r>
      <w:r w:rsidRPr="00C6052E">
        <w:t>and</w:t>
      </w:r>
      <w:r w:rsidR="00177848" w:rsidRPr="00C6052E">
        <w:t xml:space="preserve"> </w:t>
      </w:r>
      <w:r w:rsidRPr="00C6052E">
        <w:t>international</w:t>
      </w:r>
      <w:r w:rsidR="00177848" w:rsidRPr="00C6052E">
        <w:t xml:space="preserve"> </w:t>
      </w:r>
      <w:r w:rsidRPr="00C6052E">
        <w:t>engagement.</w:t>
      </w:r>
    </w:p>
    <w:p w14:paraId="3F9F2111" w14:textId="10D58847" w:rsidR="00EE5BB8" w:rsidRPr="00C6052E" w:rsidRDefault="00EE5BB8" w:rsidP="00EE5BB8">
      <w:r w:rsidRPr="00C6052E">
        <w:t>The</w:t>
      </w:r>
      <w:r w:rsidR="00177848" w:rsidRPr="00C6052E">
        <w:t xml:space="preserve"> </w:t>
      </w:r>
      <w:r w:rsidRPr="00C6052E">
        <w:t>Creative</w:t>
      </w:r>
      <w:r w:rsidR="00177848" w:rsidRPr="00C6052E">
        <w:t xml:space="preserve"> </w:t>
      </w:r>
      <w:r w:rsidRPr="00C6052E">
        <w:t>Industries</w:t>
      </w:r>
      <w:r w:rsidR="00177848" w:rsidRPr="00C6052E">
        <w:t xml:space="preserve"> </w:t>
      </w:r>
      <w:r w:rsidRPr="00C6052E">
        <w:t>Portfolio</w:t>
      </w:r>
      <w:r w:rsidR="00177848" w:rsidRPr="00C6052E">
        <w:t xml:space="preserve"> </w:t>
      </w:r>
      <w:r w:rsidRPr="00C6052E">
        <w:t>Agencies</w:t>
      </w:r>
      <w:r w:rsidR="00177848" w:rsidRPr="00C6052E">
        <w:t xml:space="preserve"> </w:t>
      </w:r>
      <w:r w:rsidRPr="00C6052E">
        <w:t>output</w:t>
      </w:r>
      <w:r w:rsidR="00177848" w:rsidRPr="00C6052E">
        <w:t xml:space="preserve"> </w:t>
      </w:r>
      <w:r w:rsidRPr="00C6052E">
        <w:t>promotes,</w:t>
      </w:r>
      <w:r w:rsidR="00177848" w:rsidRPr="00C6052E">
        <w:t xml:space="preserve"> </w:t>
      </w:r>
      <w:r w:rsidRPr="00C6052E">
        <w:t>presents</w:t>
      </w:r>
      <w:r w:rsidR="00177848" w:rsidRPr="00C6052E">
        <w:t xml:space="preserve"> </w:t>
      </w:r>
      <w:r w:rsidRPr="00C6052E">
        <w:t>and</w:t>
      </w:r>
      <w:r w:rsidR="00177848" w:rsidRPr="00C6052E">
        <w:t xml:space="preserve"> </w:t>
      </w:r>
      <w:r w:rsidRPr="00C6052E">
        <w:t>preserves</w:t>
      </w:r>
      <w:r w:rsidR="00177848" w:rsidRPr="00C6052E">
        <w:t xml:space="preserve"> </w:t>
      </w:r>
      <w:r w:rsidRPr="00C6052E">
        <w:t>our</w:t>
      </w:r>
      <w:r w:rsidR="00177848" w:rsidRPr="00C6052E">
        <w:t xml:space="preserve"> </w:t>
      </w:r>
      <w:r w:rsidRPr="00C6052E">
        <w:t>heritage</w:t>
      </w:r>
      <w:r w:rsidR="00177848" w:rsidRPr="00C6052E">
        <w:t xml:space="preserve"> </w:t>
      </w:r>
      <w:r w:rsidRPr="00C6052E">
        <w:t>and</w:t>
      </w:r>
      <w:r w:rsidR="00177848" w:rsidRPr="00C6052E">
        <w:t xml:space="preserve"> </w:t>
      </w:r>
      <w:r w:rsidRPr="00C6052E">
        <w:t>the</w:t>
      </w:r>
      <w:r w:rsidR="00177848" w:rsidRPr="00C6052E">
        <w:t xml:space="preserve"> </w:t>
      </w:r>
      <w:r w:rsidRPr="00C6052E">
        <w:t>creative</w:t>
      </w:r>
      <w:r w:rsidR="00177848" w:rsidRPr="00C6052E">
        <w:t xml:space="preserve"> </w:t>
      </w:r>
      <w:r w:rsidRPr="00C6052E">
        <w:t>industries</w:t>
      </w:r>
      <w:r w:rsidR="00177848" w:rsidRPr="00C6052E">
        <w:t xml:space="preserve"> </w:t>
      </w:r>
      <w:r w:rsidRPr="00C6052E">
        <w:t>through</w:t>
      </w:r>
      <w:r w:rsidR="00177848" w:rsidRPr="00C6052E">
        <w:t xml:space="preserve"> </w:t>
      </w:r>
      <w:r w:rsidRPr="00C6052E">
        <w:t>Victoria’s</w:t>
      </w:r>
      <w:r w:rsidR="00177848" w:rsidRPr="00C6052E">
        <w:t xml:space="preserve"> </w:t>
      </w:r>
      <w:r w:rsidRPr="00C6052E">
        <w:t>creative</w:t>
      </w:r>
      <w:r w:rsidR="00177848" w:rsidRPr="00C6052E">
        <w:t xml:space="preserve"> </w:t>
      </w:r>
      <w:r w:rsidRPr="00C6052E">
        <w:t>industries</w:t>
      </w:r>
      <w:r w:rsidR="00177848" w:rsidRPr="00C6052E">
        <w:t xml:space="preserve"> </w:t>
      </w:r>
      <w:r w:rsidRPr="00C6052E">
        <w:t>portfolio</w:t>
      </w:r>
      <w:r w:rsidR="00177848" w:rsidRPr="00C6052E">
        <w:t xml:space="preserve"> </w:t>
      </w:r>
      <w:r w:rsidRPr="00C6052E">
        <w:t>agencies:</w:t>
      </w:r>
      <w:r w:rsidR="00177848" w:rsidRPr="00C6052E">
        <w:t xml:space="preserve"> </w:t>
      </w:r>
      <w:r w:rsidRPr="00C6052E">
        <w:t>Victorian</w:t>
      </w:r>
      <w:r w:rsidR="00177848" w:rsidRPr="00C6052E">
        <w:t xml:space="preserve"> </w:t>
      </w:r>
      <w:r w:rsidRPr="00C6052E">
        <w:t>Arts</w:t>
      </w:r>
      <w:r w:rsidR="00177848" w:rsidRPr="00C6052E">
        <w:t xml:space="preserve"> </w:t>
      </w:r>
      <w:r w:rsidRPr="00C6052E">
        <w:t>Centre</w:t>
      </w:r>
      <w:r w:rsidR="00177848" w:rsidRPr="00C6052E">
        <w:t xml:space="preserve"> </w:t>
      </w:r>
      <w:r w:rsidRPr="00C6052E">
        <w:t>Melbourne,</w:t>
      </w:r>
      <w:r w:rsidR="00177848" w:rsidRPr="00C6052E">
        <w:t xml:space="preserve"> </w:t>
      </w:r>
      <w:r w:rsidRPr="00C6052E">
        <w:t>Australian</w:t>
      </w:r>
      <w:r w:rsidR="00177848" w:rsidRPr="00C6052E">
        <w:t xml:space="preserve"> </w:t>
      </w:r>
      <w:r w:rsidRPr="00C6052E">
        <w:t>Centre</w:t>
      </w:r>
      <w:r w:rsidR="00177848" w:rsidRPr="00C6052E">
        <w:t xml:space="preserve"> </w:t>
      </w:r>
      <w:r w:rsidRPr="00C6052E">
        <w:t>for</w:t>
      </w:r>
      <w:r w:rsidR="00177848" w:rsidRPr="00C6052E">
        <w:t xml:space="preserve"> </w:t>
      </w:r>
      <w:r w:rsidRPr="00C6052E">
        <w:t>the</w:t>
      </w:r>
      <w:r w:rsidR="00177848" w:rsidRPr="00C6052E">
        <w:t xml:space="preserve"> </w:t>
      </w:r>
      <w:r w:rsidRPr="00C6052E">
        <w:t>Moving</w:t>
      </w:r>
      <w:r w:rsidR="00177848" w:rsidRPr="00C6052E">
        <w:t xml:space="preserve"> </w:t>
      </w:r>
      <w:r w:rsidRPr="00C6052E">
        <w:t>Image</w:t>
      </w:r>
      <w:r w:rsidR="00177848" w:rsidRPr="00C6052E">
        <w:t xml:space="preserve"> </w:t>
      </w:r>
      <w:r w:rsidRPr="00C6052E">
        <w:t>(ACMI),</w:t>
      </w:r>
      <w:r w:rsidR="00177848" w:rsidRPr="00C6052E">
        <w:t xml:space="preserve"> </w:t>
      </w:r>
      <w:r w:rsidRPr="00C6052E">
        <w:t>Docklands</w:t>
      </w:r>
      <w:r w:rsidR="00177848" w:rsidRPr="00C6052E">
        <w:t xml:space="preserve"> </w:t>
      </w:r>
      <w:r w:rsidRPr="00C6052E">
        <w:t>Studios</w:t>
      </w:r>
      <w:r w:rsidR="00177848" w:rsidRPr="00C6052E">
        <w:t xml:space="preserve"> </w:t>
      </w:r>
      <w:r w:rsidRPr="00C6052E">
        <w:t>Melbourne,</w:t>
      </w:r>
      <w:r w:rsidR="00177848" w:rsidRPr="00C6052E">
        <w:t xml:space="preserve"> </w:t>
      </w:r>
      <w:r w:rsidRPr="00C6052E">
        <w:t>VicScreen,</w:t>
      </w:r>
      <w:r w:rsidR="00177848" w:rsidRPr="00C6052E">
        <w:t xml:space="preserve"> </w:t>
      </w:r>
      <w:r w:rsidRPr="00C6052E">
        <w:t>Geelong</w:t>
      </w:r>
      <w:r w:rsidR="00177848" w:rsidRPr="00C6052E">
        <w:t xml:space="preserve"> </w:t>
      </w:r>
      <w:r w:rsidRPr="00C6052E">
        <w:t>Performing</w:t>
      </w:r>
      <w:r w:rsidR="00177848" w:rsidRPr="00C6052E">
        <w:t xml:space="preserve"> </w:t>
      </w:r>
      <w:r w:rsidRPr="00C6052E">
        <w:t>Arts</w:t>
      </w:r>
      <w:r w:rsidR="00177848" w:rsidRPr="00C6052E">
        <w:t xml:space="preserve"> </w:t>
      </w:r>
      <w:r w:rsidRPr="00C6052E">
        <w:t>Centre,</w:t>
      </w:r>
      <w:r w:rsidR="00177848" w:rsidRPr="00C6052E">
        <w:t xml:space="preserve"> </w:t>
      </w:r>
      <w:r w:rsidRPr="00C6052E">
        <w:t>Melbourne</w:t>
      </w:r>
      <w:r w:rsidR="00177848" w:rsidRPr="00C6052E">
        <w:t xml:space="preserve"> </w:t>
      </w:r>
      <w:r w:rsidRPr="00C6052E">
        <w:t>Recital</w:t>
      </w:r>
      <w:r w:rsidR="00177848" w:rsidRPr="00C6052E">
        <w:t xml:space="preserve"> </w:t>
      </w:r>
      <w:r w:rsidRPr="00C6052E">
        <w:t>Centre,</w:t>
      </w:r>
      <w:r w:rsidR="00177848" w:rsidRPr="00C6052E">
        <w:t xml:space="preserve"> </w:t>
      </w:r>
      <w:r w:rsidRPr="00C6052E">
        <w:t>Museums</w:t>
      </w:r>
      <w:r w:rsidR="00177848" w:rsidRPr="00C6052E">
        <w:t xml:space="preserve"> </w:t>
      </w:r>
      <w:r w:rsidRPr="00C6052E">
        <w:t>Board</w:t>
      </w:r>
      <w:r w:rsidR="00177848" w:rsidRPr="00C6052E">
        <w:t xml:space="preserve"> </w:t>
      </w:r>
      <w:r w:rsidRPr="00C6052E">
        <w:t>of</w:t>
      </w:r>
      <w:r w:rsidR="00177848" w:rsidRPr="00C6052E">
        <w:t xml:space="preserve"> </w:t>
      </w:r>
      <w:r w:rsidRPr="00C6052E">
        <w:t>Victoria,</w:t>
      </w:r>
      <w:r w:rsidR="00177848" w:rsidRPr="00C6052E">
        <w:t xml:space="preserve"> </w:t>
      </w:r>
      <w:r w:rsidRPr="00C6052E">
        <w:t>National</w:t>
      </w:r>
      <w:r w:rsidR="00177848" w:rsidRPr="00C6052E">
        <w:t xml:space="preserve"> </w:t>
      </w:r>
      <w:r w:rsidRPr="00C6052E">
        <w:t>Gallery</w:t>
      </w:r>
      <w:r w:rsidR="00177848" w:rsidRPr="00C6052E">
        <w:t xml:space="preserve"> </w:t>
      </w:r>
      <w:r w:rsidRPr="00C6052E">
        <w:t>of</w:t>
      </w:r>
      <w:r w:rsidR="00177848" w:rsidRPr="00C6052E">
        <w:t xml:space="preserve"> </w:t>
      </w:r>
      <w:r w:rsidRPr="00C6052E">
        <w:t>Victoria</w:t>
      </w:r>
      <w:r w:rsidR="00177848" w:rsidRPr="00C6052E">
        <w:t xml:space="preserve"> </w:t>
      </w:r>
      <w:r w:rsidRPr="00C6052E">
        <w:t>(NGV),</w:t>
      </w:r>
      <w:r w:rsidR="00177848" w:rsidRPr="00C6052E">
        <w:t xml:space="preserve"> </w:t>
      </w:r>
      <w:r w:rsidRPr="00C6052E">
        <w:t>and</w:t>
      </w:r>
      <w:r w:rsidR="00177848" w:rsidRPr="00C6052E">
        <w:t xml:space="preserve"> </w:t>
      </w:r>
      <w:r w:rsidRPr="00C6052E">
        <w:t>the</w:t>
      </w:r>
      <w:r w:rsidR="00177848" w:rsidRPr="00C6052E">
        <w:t xml:space="preserve"> </w:t>
      </w:r>
      <w:r w:rsidRPr="00C6052E">
        <w:t>Library</w:t>
      </w:r>
      <w:r w:rsidR="00177848" w:rsidRPr="00C6052E">
        <w:t xml:space="preserve"> </w:t>
      </w:r>
      <w:r w:rsidRPr="00C6052E">
        <w:t>Board</w:t>
      </w:r>
      <w:r w:rsidR="00177848" w:rsidRPr="00C6052E">
        <w:t xml:space="preserve"> </w:t>
      </w:r>
      <w:r w:rsidRPr="00C6052E">
        <w:t>of</w:t>
      </w:r>
      <w:r w:rsidR="00177848" w:rsidRPr="00C6052E">
        <w:t xml:space="preserve"> </w:t>
      </w:r>
      <w:r w:rsidRPr="00C6052E">
        <w:t>Victoria.</w:t>
      </w:r>
    </w:p>
    <w:p w14:paraId="56C46D21" w14:textId="783C41A8" w:rsidR="00EE5BB8" w:rsidRPr="00C6052E" w:rsidRDefault="00EE5BB8" w:rsidP="00EE5BB8">
      <w:r w:rsidRPr="00C6052E">
        <w:rPr>
          <w:spacing w:val="-2"/>
        </w:rPr>
        <w:t>The</w:t>
      </w:r>
      <w:r w:rsidR="00177848" w:rsidRPr="00C6052E">
        <w:rPr>
          <w:spacing w:val="-2"/>
        </w:rPr>
        <w:t xml:space="preserve"> </w:t>
      </w:r>
      <w:r w:rsidRPr="00C6052E">
        <w:rPr>
          <w:spacing w:val="-2"/>
        </w:rPr>
        <w:t>Cultural</w:t>
      </w:r>
      <w:r w:rsidR="00177848" w:rsidRPr="00C6052E">
        <w:rPr>
          <w:spacing w:val="-2"/>
        </w:rPr>
        <w:t xml:space="preserve"> </w:t>
      </w:r>
      <w:r w:rsidRPr="00C6052E">
        <w:rPr>
          <w:spacing w:val="-2"/>
        </w:rPr>
        <w:t>Infrastructure</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Facilities</w:t>
      </w:r>
      <w:r w:rsidR="00177848" w:rsidRPr="00C6052E">
        <w:rPr>
          <w:spacing w:val="-2"/>
        </w:rPr>
        <w:t xml:space="preserve"> </w:t>
      </w:r>
      <w:r w:rsidRPr="00C6052E">
        <w:rPr>
          <w:spacing w:val="-2"/>
        </w:rPr>
        <w:t>output</w:t>
      </w:r>
      <w:r w:rsidR="00177848" w:rsidRPr="00C6052E">
        <w:rPr>
          <w:spacing w:val="-2"/>
        </w:rPr>
        <w:t xml:space="preserve"> </w:t>
      </w:r>
      <w:r w:rsidRPr="00C6052E">
        <w:rPr>
          <w:spacing w:val="-2"/>
        </w:rPr>
        <w:t>supports</w:t>
      </w:r>
      <w:r w:rsidR="00177848" w:rsidRPr="00C6052E">
        <w:rPr>
          <w:spacing w:val="-2"/>
        </w:rPr>
        <w:t xml:space="preserve"> </w:t>
      </w:r>
      <w:r w:rsidRPr="00C6052E">
        <w:t>Victorian</w:t>
      </w:r>
      <w:r w:rsidR="00177848" w:rsidRPr="00C6052E">
        <w:t xml:space="preserve"> </w:t>
      </w:r>
      <w:r w:rsidRPr="00C6052E">
        <w:t>cultural</w:t>
      </w:r>
      <w:r w:rsidR="00177848" w:rsidRPr="00C6052E">
        <w:t xml:space="preserve"> </w:t>
      </w:r>
      <w:r w:rsidRPr="00C6052E">
        <w:t>venues</w:t>
      </w:r>
      <w:r w:rsidR="00177848" w:rsidRPr="00C6052E">
        <w:t xml:space="preserve"> </w:t>
      </w:r>
      <w:r w:rsidRPr="00C6052E">
        <w:t>and</w:t>
      </w:r>
      <w:r w:rsidR="00177848" w:rsidRPr="00C6052E">
        <w:t xml:space="preserve"> </w:t>
      </w:r>
      <w:r w:rsidRPr="00C6052E">
        <w:t>State–owned</w:t>
      </w:r>
      <w:r w:rsidR="00177848" w:rsidRPr="00C6052E">
        <w:t xml:space="preserve"> </w:t>
      </w:r>
      <w:r w:rsidRPr="00C6052E">
        <w:t>facilities</w:t>
      </w:r>
      <w:r w:rsidR="00177848" w:rsidRPr="00C6052E">
        <w:t xml:space="preserve"> </w:t>
      </w:r>
      <w:r w:rsidRPr="00C6052E">
        <w:t>through</w:t>
      </w:r>
      <w:r w:rsidR="00177848" w:rsidRPr="00C6052E">
        <w:t xml:space="preserve"> </w:t>
      </w:r>
      <w:r w:rsidRPr="00C6052E">
        <w:t>strategic</w:t>
      </w:r>
      <w:r w:rsidR="00177848" w:rsidRPr="00C6052E">
        <w:t xml:space="preserve"> </w:t>
      </w:r>
      <w:r w:rsidRPr="00C6052E">
        <w:t>assessment</w:t>
      </w:r>
      <w:r w:rsidR="00177848" w:rsidRPr="00C6052E">
        <w:t xml:space="preserve"> </w:t>
      </w:r>
      <w:r w:rsidRPr="00C6052E">
        <w:t>and</w:t>
      </w:r>
      <w:r w:rsidR="00177848" w:rsidRPr="00C6052E">
        <w:t xml:space="preserve"> </w:t>
      </w:r>
      <w:r w:rsidRPr="00C6052E">
        <w:t>provision</w:t>
      </w:r>
      <w:r w:rsidR="00177848" w:rsidRPr="00C6052E">
        <w:t xml:space="preserve"> </w:t>
      </w:r>
      <w:r w:rsidRPr="00C6052E">
        <w:t>of</w:t>
      </w:r>
      <w:r w:rsidR="00177848" w:rsidRPr="00C6052E">
        <w:rPr>
          <w:rFonts w:cs="Cambria"/>
        </w:rPr>
        <w:t xml:space="preserve"> </w:t>
      </w:r>
      <w:r w:rsidRPr="00C6052E">
        <w:t>advice</w:t>
      </w:r>
      <w:r w:rsidR="00177848" w:rsidRPr="00C6052E">
        <w:t xml:space="preserve"> </w:t>
      </w:r>
      <w:r w:rsidRPr="00C6052E">
        <w:t>on</w:t>
      </w:r>
      <w:r w:rsidR="00177848" w:rsidRPr="00C6052E">
        <w:rPr>
          <w:rFonts w:cs="Cambria"/>
        </w:rPr>
        <w:t xml:space="preserve"> </w:t>
      </w:r>
      <w:r w:rsidRPr="00C6052E">
        <w:t>portfolio</w:t>
      </w:r>
      <w:r w:rsidR="00177848" w:rsidRPr="00C6052E">
        <w:t xml:space="preserve"> </w:t>
      </w:r>
      <w:r w:rsidRPr="00C6052E">
        <w:t>infrastructure</w:t>
      </w:r>
      <w:r w:rsidR="00177848" w:rsidRPr="00C6052E">
        <w:t xml:space="preserve"> </w:t>
      </w:r>
      <w:r w:rsidRPr="00C6052E">
        <w:t>proposals</w:t>
      </w:r>
      <w:r w:rsidR="00177848" w:rsidRPr="00C6052E">
        <w:t xml:space="preserve"> </w:t>
      </w:r>
      <w:r w:rsidRPr="00C6052E">
        <w:t>and</w:t>
      </w:r>
      <w:r w:rsidR="00177848" w:rsidRPr="00C6052E">
        <w:t xml:space="preserve"> </w:t>
      </w:r>
      <w:r w:rsidRPr="00C6052E">
        <w:t>projects.</w:t>
      </w:r>
      <w:r w:rsidR="00177848" w:rsidRPr="00C6052E">
        <w:t xml:space="preserve"> </w:t>
      </w:r>
      <w:r w:rsidRPr="00C6052E">
        <w:t>The</w:t>
      </w:r>
      <w:r w:rsidR="00177848" w:rsidRPr="00C6052E">
        <w:t xml:space="preserve"> </w:t>
      </w:r>
      <w:r w:rsidRPr="00C6052E">
        <w:t>output</w:t>
      </w:r>
      <w:r w:rsidR="00177848" w:rsidRPr="00C6052E">
        <w:t xml:space="preserve"> </w:t>
      </w:r>
      <w:r w:rsidRPr="00C6052E">
        <w:t>includes</w:t>
      </w:r>
      <w:r w:rsidR="00177848" w:rsidRPr="00C6052E">
        <w:t xml:space="preserve"> </w:t>
      </w:r>
      <w:r w:rsidRPr="00C6052E">
        <w:t>consolidation</w:t>
      </w:r>
      <w:r w:rsidR="00177848" w:rsidRPr="00C6052E">
        <w:t xml:space="preserve"> </w:t>
      </w:r>
      <w:r w:rsidRPr="00C6052E">
        <w:t>of</w:t>
      </w:r>
      <w:r w:rsidR="00177848" w:rsidRPr="00C6052E">
        <w:t xml:space="preserve"> </w:t>
      </w:r>
      <w:r w:rsidRPr="00C6052E">
        <w:t>portfolio</w:t>
      </w:r>
      <w:r w:rsidR="00177848" w:rsidRPr="00C6052E">
        <w:t xml:space="preserve"> </w:t>
      </w:r>
      <w:r w:rsidRPr="00C6052E">
        <w:t>asset</w:t>
      </w:r>
      <w:r w:rsidR="00177848" w:rsidRPr="00C6052E">
        <w:t xml:space="preserve"> </w:t>
      </w:r>
      <w:r w:rsidRPr="00C6052E">
        <w:lastRenderedPageBreak/>
        <w:t>management</w:t>
      </w:r>
      <w:r w:rsidR="00177848" w:rsidRPr="00C6052E">
        <w:t xml:space="preserve"> </w:t>
      </w:r>
      <w:r w:rsidRPr="00C6052E">
        <w:t>plans</w:t>
      </w:r>
      <w:r w:rsidR="00177848" w:rsidRPr="00C6052E">
        <w:t xml:space="preserve"> </w:t>
      </w:r>
      <w:r w:rsidRPr="00C6052E">
        <w:t>and</w:t>
      </w:r>
      <w:r w:rsidR="00177848" w:rsidRPr="00C6052E">
        <w:t xml:space="preserve"> </w:t>
      </w:r>
      <w:r w:rsidRPr="00C6052E">
        <w:t>management</w:t>
      </w:r>
      <w:r w:rsidR="00177848" w:rsidRPr="00C6052E">
        <w:t xml:space="preserve"> </w:t>
      </w:r>
      <w:r w:rsidRPr="00C6052E">
        <w:t>of</w:t>
      </w:r>
      <w:r w:rsidR="00177848" w:rsidRPr="00C6052E">
        <w:t xml:space="preserve"> </w:t>
      </w:r>
      <w:r w:rsidRPr="00C6052E">
        <w:t>funding</w:t>
      </w:r>
      <w:r w:rsidR="00177848" w:rsidRPr="00C6052E">
        <w:t xml:space="preserve"> </w:t>
      </w:r>
      <w:r w:rsidRPr="00C6052E">
        <w:t>programs</w:t>
      </w:r>
      <w:r w:rsidR="00177848" w:rsidRPr="00C6052E">
        <w:t xml:space="preserve"> </w:t>
      </w:r>
      <w:r w:rsidRPr="00C6052E">
        <w:t>for</w:t>
      </w:r>
      <w:r w:rsidR="00177848" w:rsidRPr="00C6052E">
        <w:t xml:space="preserve"> </w:t>
      </w:r>
      <w:r w:rsidRPr="00C6052E">
        <w:t>maintenance</w:t>
      </w:r>
      <w:r w:rsidR="00177848" w:rsidRPr="00C6052E">
        <w:t xml:space="preserve"> </w:t>
      </w:r>
      <w:r w:rsidRPr="00C6052E">
        <w:t>and</w:t>
      </w:r>
      <w:r w:rsidR="00177848" w:rsidRPr="00C6052E">
        <w:t xml:space="preserve"> </w:t>
      </w:r>
      <w:r w:rsidRPr="00C6052E">
        <w:t>minor</w:t>
      </w:r>
      <w:r w:rsidR="00177848" w:rsidRPr="00C6052E">
        <w:t xml:space="preserve"> </w:t>
      </w:r>
      <w:r w:rsidRPr="00C6052E">
        <w:t>capital</w:t>
      </w:r>
      <w:r w:rsidR="00177848" w:rsidRPr="00C6052E">
        <w:t xml:space="preserve"> </w:t>
      </w:r>
      <w:r w:rsidRPr="00C6052E">
        <w:t>works.</w:t>
      </w:r>
    </w:p>
    <w:p w14:paraId="489B70AA" w14:textId="581F7BF6" w:rsidR="00EE5BB8" w:rsidRPr="00C6052E" w:rsidRDefault="00EE5BB8" w:rsidP="00EE5BB8">
      <w:r w:rsidRPr="00C6052E">
        <w:t>The</w:t>
      </w:r>
      <w:r w:rsidR="00177848" w:rsidRPr="00C6052E">
        <w:t xml:space="preserve"> </w:t>
      </w:r>
      <w:r w:rsidRPr="00C6052E">
        <w:t>Sport</w:t>
      </w:r>
      <w:r w:rsidR="00177848" w:rsidRPr="00C6052E">
        <w:t xml:space="preserve"> </w:t>
      </w:r>
      <w:r w:rsidRPr="00C6052E">
        <w:t>and</w:t>
      </w:r>
      <w:r w:rsidR="00177848" w:rsidRPr="00C6052E">
        <w:t xml:space="preserve"> </w:t>
      </w:r>
      <w:r w:rsidRPr="00C6052E">
        <w:t>Recreation</w:t>
      </w:r>
      <w:r w:rsidR="00177848" w:rsidRPr="00C6052E">
        <w:t xml:space="preserve"> </w:t>
      </w:r>
      <w:r w:rsidRPr="00C6052E">
        <w:t>output</w:t>
      </w:r>
      <w:r w:rsidR="00177848" w:rsidRPr="00C6052E">
        <w:t xml:space="preserve"> </w:t>
      </w:r>
      <w:r w:rsidRPr="00C6052E">
        <w:t>provides</w:t>
      </w:r>
      <w:r w:rsidR="00177848" w:rsidRPr="00C6052E">
        <w:t xml:space="preserve"> </w:t>
      </w:r>
      <w:r w:rsidRPr="00C6052E">
        <w:t>strategic</w:t>
      </w:r>
      <w:r w:rsidR="00177848" w:rsidRPr="00C6052E">
        <w:t xml:space="preserve"> </w:t>
      </w:r>
      <w:r w:rsidRPr="00C6052E">
        <w:t>leadership</w:t>
      </w:r>
      <w:r w:rsidR="00177848" w:rsidRPr="00C6052E">
        <w:t xml:space="preserve"> </w:t>
      </w:r>
      <w:r w:rsidRPr="00C6052E">
        <w:t>and</w:t>
      </w:r>
      <w:r w:rsidR="00177848" w:rsidRPr="00C6052E">
        <w:t xml:space="preserve"> </w:t>
      </w:r>
      <w:r w:rsidRPr="00C6052E">
        <w:t>investment</w:t>
      </w:r>
      <w:r w:rsidR="00177848" w:rsidRPr="00C6052E">
        <w:t xml:space="preserve"> </w:t>
      </w:r>
      <w:r w:rsidRPr="00C6052E">
        <w:t>in</w:t>
      </w:r>
      <w:r w:rsidR="00177848" w:rsidRPr="00C6052E">
        <w:t xml:space="preserve"> </w:t>
      </w:r>
      <w:r w:rsidRPr="00C6052E">
        <w:t>the</w:t>
      </w:r>
      <w:r w:rsidR="00177848" w:rsidRPr="00C6052E">
        <w:t xml:space="preserve"> </w:t>
      </w:r>
      <w:r w:rsidRPr="00C6052E">
        <w:t>sport</w:t>
      </w:r>
      <w:r w:rsidR="00177848" w:rsidRPr="00C6052E">
        <w:t xml:space="preserve"> </w:t>
      </w:r>
      <w:r w:rsidRPr="00C6052E">
        <w:t>and</w:t>
      </w:r>
      <w:r w:rsidR="00177848" w:rsidRPr="00C6052E">
        <w:t xml:space="preserve"> </w:t>
      </w:r>
      <w:r w:rsidRPr="00C6052E">
        <w:t>recreation</w:t>
      </w:r>
      <w:r w:rsidR="00177848" w:rsidRPr="00C6052E">
        <w:t xml:space="preserve"> </w:t>
      </w:r>
      <w:r w:rsidRPr="00C6052E">
        <w:t>industry</w:t>
      </w:r>
      <w:r w:rsidR="00177848" w:rsidRPr="00C6052E">
        <w:t xml:space="preserve"> </w:t>
      </w:r>
      <w:r w:rsidRPr="00C6052E">
        <w:t>through</w:t>
      </w:r>
      <w:r w:rsidR="00177848" w:rsidRPr="00C6052E">
        <w:t xml:space="preserve"> </w:t>
      </w:r>
      <w:r w:rsidRPr="00C6052E">
        <w:t>innovation,</w:t>
      </w:r>
      <w:r w:rsidR="00177848" w:rsidRPr="00C6052E">
        <w:t xml:space="preserve"> </w:t>
      </w:r>
      <w:r w:rsidRPr="00C6052E">
        <w:t>sector</w:t>
      </w:r>
      <w:r w:rsidR="00177848" w:rsidRPr="00C6052E">
        <w:t xml:space="preserve"> </w:t>
      </w:r>
      <w:r w:rsidRPr="00C6052E">
        <w:t>and</w:t>
      </w:r>
      <w:r w:rsidR="00177848" w:rsidRPr="00C6052E">
        <w:t xml:space="preserve"> </w:t>
      </w:r>
      <w:r w:rsidRPr="00C6052E">
        <w:t>industry</w:t>
      </w:r>
      <w:r w:rsidR="00177848" w:rsidRPr="00C6052E">
        <w:t xml:space="preserve"> </w:t>
      </w:r>
      <w:r w:rsidRPr="00C6052E">
        <w:t>development</w:t>
      </w:r>
      <w:r w:rsidR="00177848" w:rsidRPr="00C6052E">
        <w:t xml:space="preserve"> </w:t>
      </w:r>
      <w:r w:rsidRPr="00C6052E">
        <w:t>and</w:t>
      </w:r>
      <w:r w:rsidR="00177848" w:rsidRPr="00C6052E">
        <w:t xml:space="preserve"> </w:t>
      </w:r>
      <w:r w:rsidRPr="00C6052E">
        <w:t>funding</w:t>
      </w:r>
      <w:r w:rsidR="00177848" w:rsidRPr="00C6052E">
        <w:t xml:space="preserve"> </w:t>
      </w:r>
      <w:r w:rsidRPr="00C6052E">
        <w:t>support.</w:t>
      </w:r>
      <w:r w:rsidR="00177848" w:rsidRPr="00C6052E">
        <w:t xml:space="preserve"> </w:t>
      </w:r>
      <w:r w:rsidRPr="00C6052E">
        <w:t>It</w:t>
      </w:r>
      <w:r w:rsidR="00177848" w:rsidRPr="00C6052E">
        <w:t xml:space="preserve"> </w:t>
      </w:r>
      <w:r w:rsidRPr="00C6052E">
        <w:t>supports</w:t>
      </w:r>
      <w:r w:rsidR="00177848" w:rsidRPr="00C6052E">
        <w:t xml:space="preserve"> </w:t>
      </w:r>
      <w:r w:rsidRPr="00C6052E">
        <w:t>community</w:t>
      </w:r>
      <w:r w:rsidR="00177848" w:rsidRPr="00C6052E">
        <w:t xml:space="preserve"> </w:t>
      </w:r>
      <w:r w:rsidRPr="00C6052E">
        <w:t>participation</w:t>
      </w:r>
      <w:r w:rsidR="00177848" w:rsidRPr="00C6052E">
        <w:t xml:space="preserve"> </w:t>
      </w:r>
      <w:r w:rsidRPr="00C6052E">
        <w:t>and</w:t>
      </w:r>
      <w:r w:rsidR="00177848" w:rsidRPr="00C6052E">
        <w:t xml:space="preserve"> </w:t>
      </w:r>
      <w:r w:rsidRPr="00C6052E">
        <w:t>inclusion</w:t>
      </w:r>
      <w:r w:rsidR="00177848" w:rsidRPr="00C6052E">
        <w:t xml:space="preserve"> </w:t>
      </w:r>
      <w:r w:rsidRPr="00C6052E">
        <w:t>in</w:t>
      </w:r>
      <w:r w:rsidR="00177848" w:rsidRPr="00C6052E">
        <w:t xml:space="preserve"> </w:t>
      </w:r>
      <w:r w:rsidRPr="00C6052E">
        <w:t>the</w:t>
      </w:r>
      <w:r w:rsidR="00177848" w:rsidRPr="00C6052E">
        <w:t xml:space="preserve"> </w:t>
      </w:r>
      <w:r w:rsidRPr="00C6052E">
        <w:t>sport</w:t>
      </w:r>
      <w:r w:rsidR="00177848" w:rsidRPr="00C6052E">
        <w:t xml:space="preserve"> </w:t>
      </w:r>
      <w:r w:rsidRPr="00C6052E">
        <w:t>and</w:t>
      </w:r>
      <w:r w:rsidR="00177848" w:rsidRPr="00C6052E">
        <w:t xml:space="preserve"> </w:t>
      </w:r>
      <w:r w:rsidRPr="00C6052E">
        <w:t>recreation</w:t>
      </w:r>
      <w:r w:rsidR="00177848" w:rsidRPr="00C6052E">
        <w:t xml:space="preserve"> </w:t>
      </w:r>
      <w:r w:rsidRPr="00C6052E">
        <w:t>sector</w:t>
      </w:r>
      <w:r w:rsidR="00177848" w:rsidRPr="00C6052E">
        <w:t xml:space="preserve"> </w:t>
      </w:r>
      <w:r w:rsidRPr="00C6052E">
        <w:t>by</w:t>
      </w:r>
      <w:r w:rsidR="00177848" w:rsidRPr="00C6052E">
        <w:t xml:space="preserve"> </w:t>
      </w:r>
      <w:r w:rsidRPr="00C6052E">
        <w:t>strengthening</w:t>
      </w:r>
      <w:r w:rsidR="00177848" w:rsidRPr="00C6052E">
        <w:t xml:space="preserve"> </w:t>
      </w:r>
      <w:r w:rsidRPr="00C6052E">
        <w:t>the</w:t>
      </w:r>
      <w:r w:rsidR="00177848" w:rsidRPr="00C6052E">
        <w:t xml:space="preserve"> </w:t>
      </w:r>
      <w:r w:rsidRPr="00C6052E">
        <w:t>capacity</w:t>
      </w:r>
      <w:r w:rsidR="00177848" w:rsidRPr="00C6052E">
        <w:t xml:space="preserve"> </w:t>
      </w:r>
      <w:r w:rsidRPr="00C6052E">
        <w:t>of</w:t>
      </w:r>
      <w:r w:rsidR="00177848" w:rsidRPr="00C6052E">
        <w:t xml:space="preserve"> </w:t>
      </w:r>
      <w:r w:rsidRPr="00C6052E">
        <w:t>sport</w:t>
      </w:r>
      <w:r w:rsidR="00177848" w:rsidRPr="00C6052E">
        <w:t xml:space="preserve"> </w:t>
      </w:r>
      <w:r w:rsidRPr="00C6052E">
        <w:t>and</w:t>
      </w:r>
      <w:r w:rsidR="00177848" w:rsidRPr="00C6052E">
        <w:t xml:space="preserve"> </w:t>
      </w:r>
      <w:r w:rsidRPr="00C6052E">
        <w:t>recreation</w:t>
      </w:r>
      <w:r w:rsidR="00177848" w:rsidRPr="00C6052E">
        <w:t xml:space="preserve"> </w:t>
      </w:r>
      <w:r w:rsidRPr="00C6052E">
        <w:t>organisations</w:t>
      </w:r>
      <w:r w:rsidR="00177848" w:rsidRPr="00C6052E">
        <w:t xml:space="preserve"> </w:t>
      </w:r>
      <w:r w:rsidRPr="00C6052E">
        <w:t>to</w:t>
      </w:r>
      <w:r w:rsidR="00177848" w:rsidRPr="00C6052E">
        <w:t xml:space="preserve"> </w:t>
      </w:r>
      <w:r w:rsidRPr="00C6052E">
        <w:t>deliver</w:t>
      </w:r>
      <w:r w:rsidR="00177848" w:rsidRPr="00C6052E">
        <w:t xml:space="preserve"> </w:t>
      </w:r>
      <w:r w:rsidRPr="00C6052E">
        <w:t>participation</w:t>
      </w:r>
      <w:r w:rsidR="00177848" w:rsidRPr="00C6052E">
        <w:t xml:space="preserve"> </w:t>
      </w:r>
      <w:r w:rsidRPr="00C6052E">
        <w:t>opportunities,</w:t>
      </w:r>
      <w:r w:rsidR="00177848" w:rsidRPr="00C6052E">
        <w:t xml:space="preserve"> </w:t>
      </w:r>
      <w:r w:rsidRPr="00C6052E">
        <w:t>improving</w:t>
      </w:r>
      <w:r w:rsidR="00177848" w:rsidRPr="00C6052E">
        <w:t xml:space="preserve"> </w:t>
      </w:r>
      <w:r w:rsidRPr="00C6052E">
        <w:t>community</w:t>
      </w:r>
      <w:r w:rsidR="00177848" w:rsidRPr="00C6052E">
        <w:t xml:space="preserve"> </w:t>
      </w:r>
      <w:r w:rsidRPr="00C6052E">
        <w:t>sport</w:t>
      </w:r>
      <w:r w:rsidR="00177848" w:rsidRPr="00C6052E">
        <w:t xml:space="preserve"> </w:t>
      </w:r>
      <w:r w:rsidRPr="00C6052E">
        <w:t>and</w:t>
      </w:r>
      <w:r w:rsidR="00177848" w:rsidRPr="00C6052E">
        <w:t xml:space="preserve"> </w:t>
      </w:r>
      <w:r w:rsidRPr="00C6052E">
        <w:t>recreation</w:t>
      </w:r>
      <w:r w:rsidR="00177848" w:rsidRPr="00C6052E">
        <w:t xml:space="preserve"> </w:t>
      </w:r>
      <w:r w:rsidRPr="00C6052E">
        <w:t>facilities</w:t>
      </w:r>
      <w:r w:rsidR="00177848" w:rsidRPr="00C6052E">
        <w:t xml:space="preserve"> </w:t>
      </w:r>
      <w:r w:rsidRPr="00C6052E">
        <w:t>across</w:t>
      </w:r>
      <w:r w:rsidR="00177848" w:rsidRPr="00C6052E">
        <w:t xml:space="preserve"> </w:t>
      </w:r>
      <w:r w:rsidRPr="00C6052E">
        <w:t>the</w:t>
      </w:r>
      <w:r w:rsidR="00177848" w:rsidRPr="00C6052E">
        <w:t xml:space="preserve"> </w:t>
      </w:r>
      <w:r w:rsidRPr="00C6052E">
        <w:t>state</w:t>
      </w:r>
      <w:r w:rsidR="00177848" w:rsidRPr="00C6052E">
        <w:t xml:space="preserve"> </w:t>
      </w:r>
      <w:r w:rsidRPr="00C6052E">
        <w:t>and</w:t>
      </w:r>
      <w:r w:rsidR="00177848" w:rsidRPr="00C6052E">
        <w:t xml:space="preserve"> </w:t>
      </w:r>
      <w:r w:rsidRPr="00C6052E">
        <w:t>guiding</w:t>
      </w:r>
      <w:r w:rsidR="00177848" w:rsidRPr="00C6052E">
        <w:t xml:space="preserve"> </w:t>
      </w:r>
      <w:r w:rsidRPr="00C6052E">
        <w:t>the</w:t>
      </w:r>
      <w:r w:rsidR="00177848" w:rsidRPr="00C6052E">
        <w:t xml:space="preserve"> </w:t>
      </w:r>
      <w:r w:rsidRPr="00C6052E">
        <w:t>development</w:t>
      </w:r>
      <w:r w:rsidR="00177848" w:rsidRPr="00C6052E">
        <w:t xml:space="preserve"> </w:t>
      </w:r>
      <w:r w:rsidRPr="00C6052E">
        <w:t>and</w:t>
      </w:r>
      <w:r w:rsidR="00177848" w:rsidRPr="00C6052E">
        <w:t xml:space="preserve"> </w:t>
      </w:r>
      <w:r w:rsidRPr="00C6052E">
        <w:t>management</w:t>
      </w:r>
      <w:r w:rsidR="00177848" w:rsidRPr="00C6052E">
        <w:t xml:space="preserve"> </w:t>
      </w:r>
      <w:r w:rsidRPr="00C6052E">
        <w:t>of</w:t>
      </w:r>
      <w:r w:rsidR="00177848" w:rsidRPr="00C6052E">
        <w:t xml:space="preserve"> </w:t>
      </w:r>
      <w:r w:rsidRPr="00C6052E">
        <w:t>state</w:t>
      </w:r>
      <w:r w:rsidRPr="00C6052E">
        <w:noBreakHyphen/>
        <w:t>level</w:t>
      </w:r>
      <w:r w:rsidR="00177848" w:rsidRPr="00C6052E">
        <w:t xml:space="preserve"> </w:t>
      </w:r>
      <w:r w:rsidRPr="00C6052E">
        <w:t>sporting</w:t>
      </w:r>
      <w:r w:rsidR="00177848" w:rsidRPr="00C6052E">
        <w:t xml:space="preserve"> </w:t>
      </w:r>
      <w:r w:rsidRPr="00C6052E">
        <w:t>facilities</w:t>
      </w:r>
      <w:r w:rsidR="00177848" w:rsidRPr="00C6052E">
        <w:t xml:space="preserve"> </w:t>
      </w:r>
      <w:r w:rsidRPr="00C6052E">
        <w:t>and</w:t>
      </w:r>
      <w:r w:rsidR="00177848" w:rsidRPr="00C6052E">
        <w:t xml:space="preserve"> </w:t>
      </w:r>
      <w:r w:rsidRPr="00C6052E">
        <w:t>events,</w:t>
      </w:r>
      <w:r w:rsidR="00177848" w:rsidRPr="00C6052E">
        <w:t xml:space="preserve"> </w:t>
      </w:r>
      <w:r w:rsidRPr="00C6052E">
        <w:t>to</w:t>
      </w:r>
      <w:r w:rsidR="00177848" w:rsidRPr="00C6052E">
        <w:t xml:space="preserve"> </w:t>
      </w:r>
      <w:r w:rsidRPr="00C6052E">
        <w:t>encourage</w:t>
      </w:r>
      <w:r w:rsidR="00177848" w:rsidRPr="00C6052E">
        <w:t xml:space="preserve"> </w:t>
      </w:r>
      <w:r w:rsidRPr="00C6052E">
        <w:t>participation</w:t>
      </w:r>
      <w:r w:rsidR="00177848" w:rsidRPr="00C6052E">
        <w:t xml:space="preserve"> </w:t>
      </w:r>
      <w:r w:rsidRPr="00C6052E">
        <w:t>by</w:t>
      </w:r>
      <w:r w:rsidR="00177848" w:rsidRPr="00C6052E">
        <w:t xml:space="preserve"> </w:t>
      </w:r>
      <w:r w:rsidRPr="00C6052E">
        <w:t>all</w:t>
      </w:r>
      <w:r w:rsidR="00177848" w:rsidRPr="00C6052E">
        <w:t xml:space="preserve"> </w:t>
      </w:r>
      <w:r w:rsidRPr="00C6052E">
        <w:t>Victorians.</w:t>
      </w:r>
    </w:p>
    <w:p w14:paraId="0E3E1642" w14:textId="322DD7EC" w:rsidR="00EE5BB8" w:rsidRPr="00C6052E" w:rsidRDefault="00EE5BB8" w:rsidP="00EE5BB8">
      <w:r w:rsidRPr="00C6052E">
        <w:t>The</w:t>
      </w:r>
      <w:r w:rsidR="00177848" w:rsidRPr="00C6052E">
        <w:t xml:space="preserve"> </w:t>
      </w:r>
      <w:r w:rsidRPr="00C6052E">
        <w:t>Tourism</w:t>
      </w:r>
      <w:r w:rsidR="00177848" w:rsidRPr="00C6052E">
        <w:t xml:space="preserve"> </w:t>
      </w:r>
      <w:r w:rsidRPr="00C6052E">
        <w:t>and</w:t>
      </w:r>
      <w:r w:rsidR="00177848" w:rsidRPr="00C6052E">
        <w:t xml:space="preserve"> </w:t>
      </w:r>
      <w:r w:rsidRPr="00C6052E">
        <w:t>Major</w:t>
      </w:r>
      <w:r w:rsidR="00177848" w:rsidRPr="00C6052E">
        <w:t xml:space="preserve"> </w:t>
      </w:r>
      <w:r w:rsidRPr="00C6052E">
        <w:t>Events</w:t>
      </w:r>
      <w:r w:rsidR="00177848" w:rsidRPr="00C6052E">
        <w:t xml:space="preserve"> </w:t>
      </w:r>
      <w:r w:rsidRPr="00C6052E">
        <w:t>output</w:t>
      </w:r>
      <w:r w:rsidR="00177848" w:rsidRPr="00C6052E">
        <w:t xml:space="preserve"> </w:t>
      </w:r>
      <w:r w:rsidRPr="00C6052E">
        <w:t>maximises</w:t>
      </w:r>
      <w:r w:rsidR="00177848" w:rsidRPr="00C6052E">
        <w:t xml:space="preserve"> </w:t>
      </w:r>
      <w:r w:rsidRPr="00C6052E">
        <w:t>employment</w:t>
      </w:r>
      <w:r w:rsidR="00177848" w:rsidRPr="00C6052E">
        <w:t xml:space="preserve"> </w:t>
      </w:r>
      <w:r w:rsidRPr="00C6052E">
        <w:t>and</w:t>
      </w:r>
      <w:r w:rsidR="00177848" w:rsidRPr="00C6052E">
        <w:t xml:space="preserve"> </w:t>
      </w:r>
      <w:r w:rsidRPr="00C6052E">
        <w:t>the</w:t>
      </w:r>
      <w:r w:rsidR="00177848" w:rsidRPr="00C6052E">
        <w:t xml:space="preserve"> </w:t>
      </w:r>
      <w:r w:rsidRPr="00C6052E">
        <w:t>long–term</w:t>
      </w:r>
      <w:r w:rsidR="00177848" w:rsidRPr="00C6052E">
        <w:t xml:space="preserve"> </w:t>
      </w:r>
      <w:r w:rsidRPr="00C6052E">
        <w:t>economic</w:t>
      </w:r>
      <w:r w:rsidR="00177848" w:rsidRPr="00C6052E">
        <w:t xml:space="preserve"> </w:t>
      </w:r>
      <w:r w:rsidRPr="00C6052E">
        <w:t>benefits</w:t>
      </w:r>
      <w:r w:rsidR="00177848" w:rsidRPr="00C6052E">
        <w:t xml:space="preserve"> </w:t>
      </w:r>
      <w:r w:rsidRPr="00C6052E">
        <w:t>of</w:t>
      </w:r>
      <w:r w:rsidR="00177848" w:rsidRPr="00C6052E">
        <w:t xml:space="preserve"> </w:t>
      </w:r>
      <w:r w:rsidRPr="00C6052E">
        <w:t>tourism</w:t>
      </w:r>
      <w:r w:rsidR="00177848" w:rsidRPr="00C6052E">
        <w:t xml:space="preserve"> </w:t>
      </w:r>
      <w:r w:rsidRPr="00C6052E">
        <w:t>and</w:t>
      </w:r>
      <w:r w:rsidR="00177848" w:rsidRPr="00C6052E">
        <w:t xml:space="preserve"> </w:t>
      </w:r>
      <w:r w:rsidRPr="00C6052E">
        <w:t>major</w:t>
      </w:r>
      <w:r w:rsidR="00177848" w:rsidRPr="00C6052E">
        <w:t xml:space="preserve"> </w:t>
      </w:r>
      <w:r w:rsidRPr="00C6052E">
        <w:t>events</w:t>
      </w:r>
      <w:r w:rsidR="00177848" w:rsidRPr="00C6052E">
        <w:t xml:space="preserve"> </w:t>
      </w:r>
      <w:r w:rsidRPr="00C6052E">
        <w:t>to</w:t>
      </w:r>
      <w:r w:rsidR="00177848" w:rsidRPr="00C6052E">
        <w:t xml:space="preserve"> </w:t>
      </w:r>
      <w:r w:rsidRPr="00C6052E">
        <w:t>Victoria</w:t>
      </w:r>
      <w:r w:rsidR="00177848" w:rsidRPr="00C6052E">
        <w:t xml:space="preserve"> </w:t>
      </w:r>
      <w:r w:rsidRPr="00C6052E">
        <w:t>by</w:t>
      </w:r>
      <w:r w:rsidR="00177848" w:rsidRPr="00C6052E">
        <w:t xml:space="preserve"> </w:t>
      </w:r>
      <w:r w:rsidRPr="00C6052E">
        <w:t>developing</w:t>
      </w:r>
      <w:r w:rsidR="00177848" w:rsidRPr="00C6052E">
        <w:t xml:space="preserve"> </w:t>
      </w:r>
      <w:r w:rsidRPr="00C6052E">
        <w:t>and</w:t>
      </w:r>
      <w:r w:rsidR="00177848" w:rsidRPr="00C6052E">
        <w:t xml:space="preserve"> </w:t>
      </w:r>
      <w:r w:rsidRPr="00C6052E">
        <w:t>marketing</w:t>
      </w:r>
      <w:r w:rsidR="00177848" w:rsidRPr="00C6052E">
        <w:t xml:space="preserve"> </w:t>
      </w:r>
      <w:r w:rsidRPr="00C6052E">
        <w:t>the</w:t>
      </w:r>
      <w:r w:rsidR="00177848" w:rsidRPr="00C6052E">
        <w:t xml:space="preserve"> </w:t>
      </w:r>
      <w:r w:rsidRPr="00C6052E">
        <w:t>State</w:t>
      </w:r>
      <w:r w:rsidR="00177848" w:rsidRPr="00C6052E">
        <w:t xml:space="preserve"> </w:t>
      </w:r>
      <w:r w:rsidRPr="00C6052E">
        <w:t>as</w:t>
      </w:r>
      <w:r w:rsidR="00177848" w:rsidRPr="00C6052E">
        <w:t xml:space="preserve"> </w:t>
      </w:r>
      <w:r w:rsidRPr="00C6052E">
        <w:t>a</w:t>
      </w:r>
      <w:r w:rsidR="00177848" w:rsidRPr="00C6052E">
        <w:t xml:space="preserve"> </w:t>
      </w:r>
      <w:r w:rsidRPr="00C6052E">
        <w:t>competitive</w:t>
      </w:r>
      <w:r w:rsidR="00177848" w:rsidRPr="00C6052E">
        <w:t xml:space="preserve"> </w:t>
      </w:r>
      <w:r w:rsidRPr="00C6052E">
        <w:t>destination.</w:t>
      </w:r>
    </w:p>
    <w:p w14:paraId="7EE8960C" w14:textId="0CB6486F" w:rsidR="00EE5BB8" w:rsidRPr="00C6052E" w:rsidRDefault="00EE5BB8" w:rsidP="006F1C8C">
      <w:pPr>
        <w:pStyle w:val="Heading3"/>
      </w:pPr>
      <w:r w:rsidRPr="00C6052E">
        <w:t>Deliver</w:t>
      </w:r>
      <w:r w:rsidR="00177848" w:rsidRPr="00C6052E">
        <w:t xml:space="preserve"> </w:t>
      </w:r>
      <w:r w:rsidRPr="00C6052E">
        <w:t>high–quality</w:t>
      </w:r>
      <w:r w:rsidR="00177848" w:rsidRPr="00C6052E">
        <w:t xml:space="preserve"> </w:t>
      </w:r>
      <w:r w:rsidRPr="00C6052E">
        <w:t>training</w:t>
      </w:r>
      <w:r w:rsidR="00177848" w:rsidRPr="00C6052E">
        <w:t xml:space="preserve"> </w:t>
      </w:r>
      <w:r w:rsidRPr="00C6052E">
        <w:t>and</w:t>
      </w:r>
      <w:r w:rsidR="00177848" w:rsidRPr="00C6052E">
        <w:t xml:space="preserve"> </w:t>
      </w:r>
      <w:r w:rsidRPr="00C6052E">
        <w:t>skills</w:t>
      </w:r>
      <w:r w:rsidR="00177848" w:rsidRPr="00C6052E">
        <w:t xml:space="preserve"> </w:t>
      </w:r>
      <w:r w:rsidRPr="00C6052E">
        <w:t>to</w:t>
      </w:r>
      <w:r w:rsidR="00177848" w:rsidRPr="00C6052E">
        <w:t xml:space="preserve"> </w:t>
      </w:r>
      <w:r w:rsidRPr="00C6052E">
        <w:t>meet</w:t>
      </w:r>
      <w:r w:rsidR="00177848" w:rsidRPr="00C6052E">
        <w:t xml:space="preserve"> </w:t>
      </w:r>
      <w:r w:rsidRPr="00C6052E">
        <w:t>industry</w:t>
      </w:r>
      <w:r w:rsidR="00177848" w:rsidRPr="00C6052E">
        <w:t xml:space="preserve"> </w:t>
      </w:r>
      <w:r w:rsidRPr="00C6052E">
        <w:t>needs</w:t>
      </w:r>
      <w:r w:rsidR="00177848" w:rsidRPr="00C6052E">
        <w:t xml:space="preserve"> </w:t>
      </w:r>
      <w:r w:rsidRPr="00C6052E">
        <w:t>and</w:t>
      </w:r>
      <w:r w:rsidR="00177848" w:rsidRPr="00C6052E">
        <w:t xml:space="preserve"> </w:t>
      </w:r>
      <w:r w:rsidRPr="00C6052E">
        <w:t>jobs</w:t>
      </w:r>
      <w:r w:rsidR="00177848" w:rsidRPr="00C6052E">
        <w:t xml:space="preserve"> </w:t>
      </w:r>
      <w:r w:rsidRPr="00C6052E">
        <w:t>for</w:t>
      </w:r>
      <w:r w:rsidR="00177848" w:rsidRPr="00C6052E">
        <w:t xml:space="preserve"> </w:t>
      </w:r>
      <w:r w:rsidRPr="00C6052E">
        <w:t>a</w:t>
      </w:r>
      <w:r w:rsidR="00177848" w:rsidRPr="00C6052E">
        <w:t xml:space="preserve"> </w:t>
      </w:r>
      <w:r w:rsidRPr="00C6052E">
        <w:t>growing</w:t>
      </w:r>
      <w:r w:rsidR="00177848" w:rsidRPr="00C6052E">
        <w:t xml:space="preserve"> </w:t>
      </w:r>
      <w:r w:rsidRPr="00C6052E">
        <w:t>economy</w:t>
      </w:r>
    </w:p>
    <w:p w14:paraId="3BD153C7" w14:textId="0B9DBF0F" w:rsidR="00EE5BB8" w:rsidRPr="00C6052E" w:rsidRDefault="00EE5BB8" w:rsidP="00EE5BB8">
      <w:r w:rsidRPr="00C6052E">
        <w:t>This</w:t>
      </w:r>
      <w:r w:rsidR="00177848" w:rsidRPr="00C6052E">
        <w:t xml:space="preserve"> </w:t>
      </w:r>
      <w:r w:rsidRPr="00C6052E">
        <w:t>objective</w:t>
      </w:r>
      <w:r w:rsidR="00177848" w:rsidRPr="00C6052E">
        <w:t xml:space="preserve"> </w:t>
      </w:r>
      <w:r w:rsidRPr="00C6052E">
        <w:t>seeks</w:t>
      </w:r>
      <w:r w:rsidR="00177848" w:rsidRPr="00C6052E">
        <w:t xml:space="preserve"> </w:t>
      </w:r>
      <w:r w:rsidRPr="00C6052E">
        <w:t>to</w:t>
      </w:r>
      <w:r w:rsidR="00177848" w:rsidRPr="00C6052E">
        <w:t xml:space="preserve"> </w:t>
      </w:r>
      <w:r w:rsidRPr="00C6052E">
        <w:t>develop</w:t>
      </w:r>
      <w:r w:rsidR="00177848" w:rsidRPr="00C6052E">
        <w:t xml:space="preserve"> </w:t>
      </w:r>
      <w:r w:rsidRPr="00C6052E">
        <w:t>the</w:t>
      </w:r>
      <w:r w:rsidR="00177848" w:rsidRPr="00C6052E">
        <w:t xml:space="preserve"> </w:t>
      </w:r>
      <w:r w:rsidRPr="00C6052E">
        <w:t>skills</w:t>
      </w:r>
      <w:r w:rsidR="00177848" w:rsidRPr="00C6052E">
        <w:t xml:space="preserve"> </w:t>
      </w:r>
      <w:r w:rsidRPr="00C6052E">
        <w:t>of</w:t>
      </w:r>
      <w:r w:rsidR="00177848" w:rsidRPr="00C6052E">
        <w:t xml:space="preserve"> </w:t>
      </w:r>
      <w:r w:rsidRPr="00C6052E">
        <w:t>Victorians</w:t>
      </w:r>
      <w:r w:rsidR="00177848" w:rsidRPr="00C6052E">
        <w:t xml:space="preserve"> </w:t>
      </w:r>
      <w:r w:rsidRPr="00C6052E">
        <w:t>to</w:t>
      </w:r>
      <w:r w:rsidR="00177848" w:rsidRPr="00C6052E">
        <w:t xml:space="preserve"> </w:t>
      </w:r>
      <w:r w:rsidRPr="00C6052E">
        <w:t>meet</w:t>
      </w:r>
      <w:r w:rsidR="00177848" w:rsidRPr="00C6052E">
        <w:t xml:space="preserve"> </w:t>
      </w:r>
      <w:r w:rsidRPr="00C6052E">
        <w:t>the</w:t>
      </w:r>
      <w:r w:rsidR="00177848" w:rsidRPr="00C6052E">
        <w:t xml:space="preserve"> </w:t>
      </w:r>
      <w:r w:rsidRPr="00C6052E">
        <w:t>current</w:t>
      </w:r>
      <w:r w:rsidR="00177848" w:rsidRPr="00C6052E">
        <w:t xml:space="preserve"> </w:t>
      </w:r>
      <w:r w:rsidRPr="00C6052E">
        <w:t>and</w:t>
      </w:r>
      <w:r w:rsidR="00177848" w:rsidRPr="00C6052E">
        <w:t xml:space="preserve"> </w:t>
      </w:r>
      <w:r w:rsidRPr="00C6052E">
        <w:t>future</w:t>
      </w:r>
      <w:r w:rsidR="00177848" w:rsidRPr="00C6052E">
        <w:t xml:space="preserve"> </w:t>
      </w:r>
      <w:r w:rsidRPr="00C6052E">
        <w:t>needs</w:t>
      </w:r>
      <w:r w:rsidR="00177848" w:rsidRPr="00C6052E">
        <w:t xml:space="preserve"> </w:t>
      </w:r>
      <w:r w:rsidRPr="00C6052E">
        <w:t>of</w:t>
      </w:r>
      <w:r w:rsidR="00177848" w:rsidRPr="00C6052E">
        <w:t xml:space="preserve"> </w:t>
      </w:r>
      <w:r w:rsidRPr="00C6052E">
        <w:t>industry</w:t>
      </w:r>
      <w:r w:rsidR="00177848" w:rsidRPr="00C6052E">
        <w:t xml:space="preserve"> </w:t>
      </w:r>
      <w:r w:rsidRPr="00C6052E">
        <w:t>and</w:t>
      </w:r>
      <w:r w:rsidR="00177848" w:rsidRPr="00C6052E">
        <w:t xml:space="preserve"> </w:t>
      </w:r>
      <w:r w:rsidRPr="00C6052E">
        <w:t>business</w:t>
      </w:r>
      <w:r w:rsidR="00177848" w:rsidRPr="00C6052E">
        <w:t xml:space="preserve"> </w:t>
      </w:r>
      <w:r w:rsidRPr="00C6052E">
        <w:t>by</w:t>
      </w:r>
      <w:r w:rsidR="00177848" w:rsidRPr="00C6052E">
        <w:t xml:space="preserve"> </w:t>
      </w:r>
      <w:r w:rsidRPr="00C6052E">
        <w:t>ensuring</w:t>
      </w:r>
      <w:r w:rsidR="00177848" w:rsidRPr="00C6052E">
        <w:t xml:space="preserve"> </w:t>
      </w:r>
      <w:r w:rsidRPr="00C6052E">
        <w:t>that</w:t>
      </w:r>
      <w:r w:rsidR="00177848" w:rsidRPr="00C6052E">
        <w:t xml:space="preserve"> </w:t>
      </w:r>
      <w:r w:rsidRPr="00C6052E">
        <w:t>TAFEs</w:t>
      </w:r>
      <w:r w:rsidR="00177848" w:rsidRPr="00C6052E">
        <w:t xml:space="preserve"> </w:t>
      </w:r>
      <w:r w:rsidRPr="00C6052E">
        <w:t>and</w:t>
      </w:r>
      <w:r w:rsidR="00177848" w:rsidRPr="00C6052E">
        <w:t xml:space="preserve"> </w:t>
      </w:r>
      <w:r w:rsidRPr="00C6052E">
        <w:t>training</w:t>
      </w:r>
      <w:r w:rsidR="00177848" w:rsidRPr="00C6052E">
        <w:t xml:space="preserve"> </w:t>
      </w:r>
      <w:r w:rsidRPr="00C6052E">
        <w:t>providers</w:t>
      </w:r>
      <w:r w:rsidR="00177848" w:rsidRPr="00C6052E">
        <w:t xml:space="preserve"> </w:t>
      </w:r>
      <w:r w:rsidRPr="00C6052E">
        <w:t>deliver</w:t>
      </w:r>
      <w:r w:rsidR="00177848" w:rsidRPr="00C6052E">
        <w:t xml:space="preserve"> </w:t>
      </w:r>
      <w:r w:rsidRPr="00C6052E">
        <w:t>high</w:t>
      </w:r>
      <w:r w:rsidR="00177848" w:rsidRPr="00C6052E">
        <w:t xml:space="preserve"> </w:t>
      </w:r>
      <w:r w:rsidRPr="00C6052E">
        <w:t>quality</w:t>
      </w:r>
      <w:r w:rsidR="00177848" w:rsidRPr="00C6052E">
        <w:t xml:space="preserve"> </w:t>
      </w:r>
      <w:r w:rsidRPr="00C6052E">
        <w:t>and</w:t>
      </w:r>
      <w:r w:rsidR="00177848" w:rsidRPr="00C6052E">
        <w:t xml:space="preserve"> </w:t>
      </w:r>
      <w:r w:rsidRPr="00C6052E">
        <w:t>accessible</w:t>
      </w:r>
      <w:r w:rsidR="00177848" w:rsidRPr="00C6052E">
        <w:t xml:space="preserve"> </w:t>
      </w:r>
      <w:r w:rsidRPr="00C6052E">
        <w:t>training.</w:t>
      </w:r>
    </w:p>
    <w:p w14:paraId="6887D83A" w14:textId="3258968B" w:rsidR="00EE5BB8" w:rsidRPr="00C6052E" w:rsidRDefault="00EE5BB8" w:rsidP="00EE5BB8">
      <w:r w:rsidRPr="00C6052E">
        <w:t>The</w:t>
      </w:r>
      <w:r w:rsidR="00177848" w:rsidRPr="00C6052E">
        <w:t xml:space="preserve"> </w:t>
      </w:r>
      <w:r w:rsidRPr="00C6052E">
        <w:t>Training,</w:t>
      </w:r>
      <w:r w:rsidR="00177848" w:rsidRPr="00C6052E">
        <w:t xml:space="preserve"> </w:t>
      </w:r>
      <w:r w:rsidRPr="00C6052E">
        <w:t>Higher</w:t>
      </w:r>
      <w:r w:rsidR="00177848" w:rsidRPr="00C6052E">
        <w:t xml:space="preserve"> </w:t>
      </w:r>
      <w:r w:rsidRPr="00C6052E">
        <w:t>Education</w:t>
      </w:r>
      <w:r w:rsidR="00177848" w:rsidRPr="00C6052E">
        <w:t xml:space="preserve"> </w:t>
      </w:r>
      <w:r w:rsidRPr="00C6052E">
        <w:t>and</w:t>
      </w:r>
      <w:r w:rsidR="00177848" w:rsidRPr="00C6052E">
        <w:t xml:space="preserve"> </w:t>
      </w:r>
      <w:r w:rsidRPr="00C6052E">
        <w:t>Workforce</w:t>
      </w:r>
      <w:r w:rsidR="00177848" w:rsidRPr="00C6052E">
        <w:t xml:space="preserve"> </w:t>
      </w:r>
      <w:r w:rsidRPr="00C6052E">
        <w:t>Development</w:t>
      </w:r>
      <w:r w:rsidR="00177848" w:rsidRPr="00C6052E">
        <w:t xml:space="preserve"> </w:t>
      </w:r>
      <w:r w:rsidRPr="00C6052E">
        <w:t>output</w:t>
      </w:r>
      <w:r w:rsidR="00177848" w:rsidRPr="00C6052E">
        <w:t xml:space="preserve"> </w:t>
      </w:r>
      <w:r w:rsidRPr="00C6052E">
        <w:t>supports</w:t>
      </w:r>
      <w:r w:rsidR="00177848" w:rsidRPr="00C6052E">
        <w:t xml:space="preserve"> </w:t>
      </w:r>
      <w:r w:rsidRPr="00C6052E">
        <w:t>Victorians</w:t>
      </w:r>
      <w:r w:rsidR="00177848" w:rsidRPr="00C6052E">
        <w:t xml:space="preserve"> </w:t>
      </w:r>
      <w:r w:rsidRPr="00C6052E">
        <w:t>to</w:t>
      </w:r>
      <w:r w:rsidR="00177848" w:rsidRPr="00C6052E">
        <w:t xml:space="preserve"> </w:t>
      </w:r>
      <w:r w:rsidRPr="00C6052E">
        <w:t>gain</w:t>
      </w:r>
      <w:r w:rsidR="00177848" w:rsidRPr="00C6052E">
        <w:t xml:space="preserve"> </w:t>
      </w:r>
      <w:r w:rsidRPr="00C6052E">
        <w:t>the</w:t>
      </w:r>
      <w:r w:rsidR="00177848" w:rsidRPr="00C6052E">
        <w:t xml:space="preserve"> </w:t>
      </w:r>
      <w:r w:rsidRPr="00C6052E">
        <w:t>skills</w:t>
      </w:r>
      <w:r w:rsidR="00177848" w:rsidRPr="00C6052E">
        <w:t xml:space="preserve"> </w:t>
      </w:r>
      <w:r w:rsidRPr="00C6052E">
        <w:t>and</w:t>
      </w:r>
      <w:r w:rsidR="00177848" w:rsidRPr="00C6052E">
        <w:t xml:space="preserve"> </w:t>
      </w:r>
      <w:r w:rsidRPr="00C6052E">
        <w:t>capabilities</w:t>
      </w:r>
      <w:r w:rsidR="00177848" w:rsidRPr="00C6052E">
        <w:t xml:space="preserve"> </w:t>
      </w:r>
      <w:r w:rsidRPr="00C6052E">
        <w:t>essential</w:t>
      </w:r>
      <w:r w:rsidR="00177848" w:rsidRPr="00C6052E">
        <w:t xml:space="preserve"> </w:t>
      </w:r>
      <w:r w:rsidRPr="00C6052E">
        <w:t>for</w:t>
      </w:r>
      <w:r w:rsidR="00177848" w:rsidRPr="00C6052E">
        <w:t xml:space="preserve"> </w:t>
      </w:r>
      <w:r w:rsidRPr="00C6052E">
        <w:t>success</w:t>
      </w:r>
      <w:r w:rsidR="00177848" w:rsidRPr="00C6052E">
        <w:t xml:space="preserve"> </w:t>
      </w:r>
      <w:r w:rsidRPr="00C6052E">
        <w:t>in</w:t>
      </w:r>
      <w:r w:rsidR="00177848" w:rsidRPr="00C6052E">
        <w:t xml:space="preserve"> </w:t>
      </w:r>
      <w:r w:rsidRPr="00C6052E">
        <w:t>employment</w:t>
      </w:r>
      <w:r w:rsidR="00177848" w:rsidRPr="00C6052E">
        <w:t xml:space="preserve"> </w:t>
      </w:r>
      <w:r w:rsidRPr="00C6052E">
        <w:t>and</w:t>
      </w:r>
      <w:r w:rsidR="00177848" w:rsidRPr="00C6052E">
        <w:t xml:space="preserve"> </w:t>
      </w:r>
      <w:r w:rsidRPr="00C6052E">
        <w:t>further</w:t>
      </w:r>
      <w:r w:rsidR="00177848" w:rsidRPr="00C6052E">
        <w:t xml:space="preserve"> </w:t>
      </w:r>
      <w:r w:rsidRPr="00C6052E">
        <w:t>training</w:t>
      </w:r>
      <w:r w:rsidR="00177848" w:rsidRPr="00C6052E">
        <w:t xml:space="preserve"> </w:t>
      </w:r>
      <w:r w:rsidRPr="00C6052E">
        <w:t>or</w:t>
      </w:r>
      <w:r w:rsidR="00177848" w:rsidRPr="00C6052E">
        <w:t xml:space="preserve"> </w:t>
      </w:r>
      <w:r w:rsidRPr="00C6052E">
        <w:t>study.</w:t>
      </w:r>
      <w:r w:rsidR="00177848" w:rsidRPr="00C6052E">
        <w:t xml:space="preserve"> </w:t>
      </w:r>
      <w:r w:rsidRPr="00C6052E">
        <w:t>DJSIR</w:t>
      </w:r>
      <w:r w:rsidR="00177848" w:rsidRPr="00C6052E">
        <w:t xml:space="preserve"> </w:t>
      </w:r>
      <w:r w:rsidRPr="00C6052E">
        <w:t>works</w:t>
      </w:r>
      <w:r w:rsidR="00177848" w:rsidRPr="00C6052E">
        <w:t xml:space="preserve"> </w:t>
      </w:r>
      <w:r w:rsidRPr="00C6052E">
        <w:t>with</w:t>
      </w:r>
      <w:r w:rsidR="00177848" w:rsidRPr="00C6052E">
        <w:t xml:space="preserve"> </w:t>
      </w:r>
      <w:r w:rsidRPr="00C6052E">
        <w:t>the</w:t>
      </w:r>
      <w:r w:rsidR="00177848" w:rsidRPr="00C6052E">
        <w:t xml:space="preserve"> </w:t>
      </w:r>
      <w:r w:rsidRPr="00C6052E">
        <w:t>TAFE</w:t>
      </w:r>
      <w:r w:rsidR="00177848" w:rsidRPr="00C6052E">
        <w:t xml:space="preserve"> </w:t>
      </w:r>
      <w:r w:rsidRPr="00C6052E">
        <w:t>and</w:t>
      </w:r>
      <w:r w:rsidR="00177848" w:rsidRPr="00C6052E">
        <w:t xml:space="preserve"> </w:t>
      </w:r>
      <w:r w:rsidRPr="00C6052E">
        <w:t>training</w:t>
      </w:r>
      <w:r w:rsidR="00177848" w:rsidRPr="00C6052E">
        <w:t xml:space="preserve"> </w:t>
      </w:r>
      <w:r w:rsidRPr="00C6052E">
        <w:t>sector</w:t>
      </w:r>
      <w:r w:rsidR="00177848" w:rsidRPr="00C6052E">
        <w:t xml:space="preserve"> </w:t>
      </w:r>
      <w:r w:rsidRPr="00C6052E">
        <w:t>to</w:t>
      </w:r>
      <w:r w:rsidR="00177848" w:rsidRPr="00C6052E">
        <w:t xml:space="preserve"> </w:t>
      </w:r>
      <w:r w:rsidRPr="00C6052E">
        <w:t>deliver</w:t>
      </w:r>
      <w:r w:rsidR="00177848" w:rsidRPr="00C6052E">
        <w:t xml:space="preserve"> </w:t>
      </w:r>
      <w:r w:rsidRPr="00C6052E">
        <w:t>quality</w:t>
      </w:r>
      <w:r w:rsidR="00177848" w:rsidRPr="00C6052E">
        <w:t xml:space="preserve"> </w:t>
      </w:r>
      <w:r w:rsidRPr="00C6052E">
        <w:t>training</w:t>
      </w:r>
      <w:r w:rsidR="00177848" w:rsidRPr="00C6052E">
        <w:t xml:space="preserve"> </w:t>
      </w:r>
      <w:r w:rsidRPr="00C6052E">
        <w:t>that</w:t>
      </w:r>
      <w:r w:rsidR="00177848" w:rsidRPr="00C6052E">
        <w:t xml:space="preserve"> </w:t>
      </w:r>
      <w:r w:rsidRPr="00C6052E">
        <w:t>strongly</w:t>
      </w:r>
      <w:r w:rsidR="00177848" w:rsidRPr="00C6052E">
        <w:t xml:space="preserve"> </w:t>
      </w:r>
      <w:r w:rsidRPr="00C6052E">
        <w:t>supports</w:t>
      </w:r>
      <w:r w:rsidR="00177848" w:rsidRPr="00C6052E">
        <w:t xml:space="preserve"> </w:t>
      </w:r>
      <w:r w:rsidRPr="00C6052E">
        <w:t>industry</w:t>
      </w:r>
      <w:r w:rsidR="00177848" w:rsidRPr="00C6052E">
        <w:t xml:space="preserve"> </w:t>
      </w:r>
      <w:r w:rsidRPr="00C6052E">
        <w:t>to</w:t>
      </w:r>
      <w:r w:rsidR="00177848" w:rsidRPr="00C6052E">
        <w:t xml:space="preserve"> </w:t>
      </w:r>
      <w:r w:rsidRPr="00C6052E">
        <w:t>meet</w:t>
      </w:r>
      <w:r w:rsidR="00177848" w:rsidRPr="00C6052E">
        <w:t xml:space="preserve"> </w:t>
      </w:r>
      <w:r w:rsidRPr="00C6052E">
        <w:t>the</w:t>
      </w:r>
      <w:r w:rsidR="00177848" w:rsidRPr="00C6052E">
        <w:t xml:space="preserve"> </w:t>
      </w:r>
      <w:r w:rsidRPr="00C6052E">
        <w:t>evolving</w:t>
      </w:r>
      <w:r w:rsidR="00177848" w:rsidRPr="00C6052E">
        <w:t xml:space="preserve"> </w:t>
      </w:r>
      <w:r w:rsidRPr="00C6052E">
        <w:t>needs</w:t>
      </w:r>
      <w:r w:rsidR="00177848" w:rsidRPr="00C6052E">
        <w:t xml:space="preserve"> </w:t>
      </w:r>
      <w:r w:rsidRPr="00C6052E">
        <w:t>of</w:t>
      </w:r>
      <w:r w:rsidR="00177848" w:rsidRPr="00C6052E">
        <w:t xml:space="preserve"> </w:t>
      </w:r>
      <w:r w:rsidRPr="00C6052E">
        <w:t>the</w:t>
      </w:r>
      <w:r w:rsidR="00177848" w:rsidRPr="00C6052E">
        <w:t xml:space="preserve"> </w:t>
      </w:r>
      <w:r w:rsidRPr="00C6052E">
        <w:t>economy,</w:t>
      </w:r>
      <w:r w:rsidR="00177848" w:rsidRPr="00C6052E">
        <w:t xml:space="preserve"> </w:t>
      </w:r>
      <w:r w:rsidRPr="00C6052E">
        <w:t>promotes</w:t>
      </w:r>
      <w:r w:rsidR="00177848" w:rsidRPr="00C6052E">
        <w:t xml:space="preserve"> </w:t>
      </w:r>
      <w:r w:rsidRPr="00C6052E">
        <w:t>equity</w:t>
      </w:r>
      <w:r w:rsidR="00177848" w:rsidRPr="00C6052E">
        <w:t xml:space="preserve"> </w:t>
      </w:r>
      <w:r w:rsidRPr="00C6052E">
        <w:t>and</w:t>
      </w:r>
      <w:r w:rsidR="00177848" w:rsidRPr="00C6052E">
        <w:t xml:space="preserve"> </w:t>
      </w:r>
      <w:r w:rsidRPr="00C6052E">
        <w:t>addresses</w:t>
      </w:r>
      <w:r w:rsidR="00177848" w:rsidRPr="00C6052E">
        <w:t xml:space="preserve"> </w:t>
      </w:r>
      <w:r w:rsidRPr="00C6052E">
        <w:t>disadvantage,</w:t>
      </w:r>
      <w:r w:rsidR="00177848" w:rsidRPr="00C6052E">
        <w:t xml:space="preserve"> </w:t>
      </w:r>
      <w:r w:rsidRPr="00C6052E">
        <w:t>with</w:t>
      </w:r>
      <w:r w:rsidR="00177848" w:rsidRPr="00C6052E">
        <w:t xml:space="preserve"> </w:t>
      </w:r>
      <w:r w:rsidRPr="00C6052E">
        <w:t>an</w:t>
      </w:r>
      <w:r w:rsidR="00177848" w:rsidRPr="00C6052E">
        <w:t xml:space="preserve"> </w:t>
      </w:r>
      <w:r w:rsidRPr="00C6052E">
        <w:t>emphasis</w:t>
      </w:r>
      <w:r w:rsidR="00177848" w:rsidRPr="00C6052E">
        <w:t xml:space="preserve"> </w:t>
      </w:r>
      <w:r w:rsidRPr="00C6052E">
        <w:t>on</w:t>
      </w:r>
      <w:r w:rsidR="00177848" w:rsidRPr="00C6052E">
        <w:t xml:space="preserve"> </w:t>
      </w:r>
      <w:r w:rsidRPr="00C6052E">
        <w:t>growth</w:t>
      </w:r>
      <w:r w:rsidR="00177848" w:rsidRPr="00C6052E">
        <w:t xml:space="preserve"> </w:t>
      </w:r>
      <w:r w:rsidRPr="00C6052E">
        <w:t>sectors</w:t>
      </w:r>
      <w:r w:rsidR="00177848" w:rsidRPr="00C6052E">
        <w:t xml:space="preserve"> </w:t>
      </w:r>
      <w:r w:rsidRPr="00C6052E">
        <w:t>of</w:t>
      </w:r>
      <w:r w:rsidR="00177848" w:rsidRPr="00C6052E">
        <w:t xml:space="preserve"> </w:t>
      </w:r>
      <w:r w:rsidRPr="00C6052E">
        <w:t>the</w:t>
      </w:r>
      <w:r w:rsidR="00177848" w:rsidRPr="00C6052E">
        <w:t xml:space="preserve"> </w:t>
      </w:r>
      <w:r w:rsidRPr="00C6052E">
        <w:t>economy.</w:t>
      </w:r>
      <w:r w:rsidR="00177848" w:rsidRPr="00C6052E">
        <w:t xml:space="preserve"> </w:t>
      </w:r>
      <w:r w:rsidRPr="00C6052E">
        <w:t>This</w:t>
      </w:r>
      <w:r w:rsidR="00177848" w:rsidRPr="00C6052E">
        <w:t xml:space="preserve"> </w:t>
      </w:r>
      <w:r w:rsidRPr="00C6052E">
        <w:t>output</w:t>
      </w:r>
      <w:r w:rsidR="00177848" w:rsidRPr="00C6052E">
        <w:t xml:space="preserve"> </w:t>
      </w:r>
      <w:r w:rsidRPr="00C6052E">
        <w:t>includes</w:t>
      </w:r>
      <w:r w:rsidR="00177848" w:rsidRPr="00C6052E">
        <w:t xml:space="preserve"> </w:t>
      </w:r>
      <w:r w:rsidRPr="00C6052E">
        <w:t>the</w:t>
      </w:r>
      <w:r w:rsidR="00177848" w:rsidRPr="00C6052E">
        <w:t xml:space="preserve"> </w:t>
      </w:r>
      <w:r w:rsidRPr="00C6052E">
        <w:t>functions</w:t>
      </w:r>
      <w:r w:rsidR="00177848" w:rsidRPr="00C6052E">
        <w:t xml:space="preserve"> </w:t>
      </w:r>
      <w:r w:rsidRPr="00C6052E">
        <w:t>of</w:t>
      </w:r>
      <w:r w:rsidR="00177848" w:rsidRPr="00C6052E">
        <w:t xml:space="preserve"> </w:t>
      </w:r>
      <w:r w:rsidRPr="00C6052E">
        <w:t>training</w:t>
      </w:r>
      <w:r w:rsidR="00177848" w:rsidRPr="00C6052E">
        <w:t xml:space="preserve"> </w:t>
      </w:r>
      <w:r w:rsidRPr="00C6052E">
        <w:t>system</w:t>
      </w:r>
      <w:r w:rsidR="00177848" w:rsidRPr="00C6052E">
        <w:t xml:space="preserve"> </w:t>
      </w:r>
      <w:r w:rsidRPr="00C6052E">
        <w:t>design,</w:t>
      </w:r>
      <w:r w:rsidR="00177848" w:rsidRPr="00C6052E">
        <w:t xml:space="preserve"> </w:t>
      </w:r>
      <w:r w:rsidRPr="00C6052E">
        <w:t>industry</w:t>
      </w:r>
      <w:r w:rsidR="00177848" w:rsidRPr="00C6052E">
        <w:t xml:space="preserve"> </w:t>
      </w:r>
      <w:r w:rsidRPr="00C6052E">
        <w:t>engagement,</w:t>
      </w:r>
      <w:r w:rsidR="00177848" w:rsidRPr="00C6052E">
        <w:t xml:space="preserve"> </w:t>
      </w:r>
      <w:r w:rsidRPr="00C6052E">
        <w:t>contracting</w:t>
      </w:r>
      <w:r w:rsidR="00177848" w:rsidRPr="00C6052E">
        <w:t xml:space="preserve"> </w:t>
      </w:r>
      <w:r w:rsidRPr="00C6052E">
        <w:t>and</w:t>
      </w:r>
      <w:r w:rsidR="00177848" w:rsidRPr="00C6052E">
        <w:t xml:space="preserve"> </w:t>
      </w:r>
      <w:r w:rsidRPr="00C6052E">
        <w:t>monitoring</w:t>
      </w:r>
      <w:r w:rsidR="00177848" w:rsidRPr="00C6052E">
        <w:t xml:space="preserve"> </w:t>
      </w:r>
      <w:r w:rsidRPr="00C6052E">
        <w:t>of</w:t>
      </w:r>
      <w:r w:rsidR="00177848" w:rsidRPr="00C6052E">
        <w:t xml:space="preserve"> </w:t>
      </w:r>
      <w:r w:rsidRPr="00C6052E">
        <w:t>quality</w:t>
      </w:r>
      <w:r w:rsidR="00177848" w:rsidRPr="00C6052E">
        <w:t xml:space="preserve"> </w:t>
      </w:r>
      <w:r w:rsidRPr="00C6052E">
        <w:t>and</w:t>
      </w:r>
      <w:r w:rsidR="00177848" w:rsidRPr="00C6052E">
        <w:t xml:space="preserve"> </w:t>
      </w:r>
      <w:r w:rsidRPr="00C6052E">
        <w:t>training</w:t>
      </w:r>
      <w:r w:rsidR="00177848" w:rsidRPr="00C6052E">
        <w:t xml:space="preserve"> </w:t>
      </w:r>
      <w:r w:rsidRPr="00C6052E">
        <w:t>services</w:t>
      </w:r>
      <w:r w:rsidR="00177848" w:rsidRPr="00C6052E">
        <w:t xml:space="preserve"> </w:t>
      </w:r>
      <w:r w:rsidRPr="00C6052E">
        <w:t>including</w:t>
      </w:r>
      <w:r w:rsidR="00177848" w:rsidRPr="00C6052E">
        <w:t xml:space="preserve"> </w:t>
      </w:r>
      <w:r w:rsidRPr="00C6052E">
        <w:t>accredited</w:t>
      </w:r>
      <w:r w:rsidR="00177848" w:rsidRPr="00C6052E">
        <w:t xml:space="preserve"> </w:t>
      </w:r>
      <w:r w:rsidRPr="00C6052E">
        <w:t>and</w:t>
      </w:r>
      <w:r w:rsidR="00177848" w:rsidRPr="00C6052E">
        <w:t xml:space="preserve"> </w:t>
      </w:r>
      <w:r w:rsidRPr="00C6052E">
        <w:t>pre</w:t>
      </w:r>
      <w:r w:rsidRPr="00C6052E">
        <w:noBreakHyphen/>
        <w:t>accredited</w:t>
      </w:r>
      <w:r w:rsidR="00177848" w:rsidRPr="00C6052E">
        <w:t xml:space="preserve"> </w:t>
      </w:r>
      <w:r w:rsidRPr="00C6052E">
        <w:t>vocational</w:t>
      </w:r>
      <w:r w:rsidR="00177848" w:rsidRPr="00C6052E">
        <w:t xml:space="preserve"> </w:t>
      </w:r>
      <w:r w:rsidRPr="00C6052E">
        <w:t>education</w:t>
      </w:r>
      <w:r w:rsidR="00177848" w:rsidRPr="00C6052E">
        <w:t xml:space="preserve"> </w:t>
      </w:r>
      <w:r w:rsidRPr="00C6052E">
        <w:t>and</w:t>
      </w:r>
      <w:r w:rsidR="00177848" w:rsidRPr="00C6052E">
        <w:t xml:space="preserve"> </w:t>
      </w:r>
      <w:r w:rsidRPr="00C6052E">
        <w:t>training.</w:t>
      </w:r>
    </w:p>
    <w:p w14:paraId="3E7F083B" w14:textId="422748A7" w:rsidR="00EE5BB8" w:rsidRPr="00C6052E" w:rsidRDefault="00EE5BB8" w:rsidP="00C6052E">
      <w:pPr>
        <w:pStyle w:val="Heading2numbered0"/>
      </w:pPr>
      <w:bookmarkStart w:id="410" w:name="_Toc163566006"/>
      <w:bookmarkStart w:id="411" w:name="_Ref209710940"/>
      <w:bookmarkStart w:id="412" w:name="_Ref209710947"/>
      <w:r w:rsidRPr="00C6052E">
        <w:t>Glossary</w:t>
      </w:r>
      <w:r w:rsidR="00177848" w:rsidRPr="00C6052E">
        <w:t xml:space="preserve"> </w:t>
      </w:r>
      <w:r w:rsidRPr="00C6052E">
        <w:t>of</w:t>
      </w:r>
      <w:r w:rsidR="00177848" w:rsidRPr="00C6052E">
        <w:t xml:space="preserve"> </w:t>
      </w:r>
      <w:r w:rsidRPr="00C6052E">
        <w:t>technical</w:t>
      </w:r>
      <w:r w:rsidR="00177848" w:rsidRPr="00C6052E">
        <w:t xml:space="preserve"> </w:t>
      </w:r>
      <w:r w:rsidRPr="00C6052E">
        <w:t>terms</w:t>
      </w:r>
      <w:bookmarkEnd w:id="410"/>
      <w:bookmarkEnd w:id="411"/>
      <w:bookmarkEnd w:id="412"/>
    </w:p>
    <w:p w14:paraId="2A6B8D23" w14:textId="7F780A99" w:rsidR="00EE5BB8" w:rsidRPr="006F1C8C" w:rsidRDefault="00EE5BB8" w:rsidP="006F1C8C">
      <w:pPr>
        <w:pStyle w:val="Normalbeforebullets"/>
        <w:rPr>
          <w:b/>
          <w:bCs/>
        </w:rPr>
      </w:pPr>
      <w:r w:rsidRPr="006F1C8C">
        <w:rPr>
          <w:b/>
          <w:bCs/>
        </w:rPr>
        <w:t>Actuarial</w:t>
      </w:r>
      <w:r w:rsidR="00177848" w:rsidRPr="006F1C8C">
        <w:rPr>
          <w:b/>
          <w:bCs/>
        </w:rPr>
        <w:t xml:space="preserve"> </w:t>
      </w:r>
      <w:r w:rsidRPr="006F1C8C">
        <w:rPr>
          <w:b/>
          <w:bCs/>
        </w:rPr>
        <w:t>gains</w:t>
      </w:r>
      <w:r w:rsidR="00177848" w:rsidRPr="006F1C8C">
        <w:rPr>
          <w:b/>
          <w:bCs/>
        </w:rPr>
        <w:t xml:space="preserve"> </w:t>
      </w:r>
      <w:r w:rsidRPr="006F1C8C">
        <w:rPr>
          <w:b/>
          <w:bCs/>
        </w:rPr>
        <w:t>or</w:t>
      </w:r>
      <w:r w:rsidR="00177848" w:rsidRPr="006F1C8C">
        <w:rPr>
          <w:b/>
          <w:bCs/>
        </w:rPr>
        <w:t xml:space="preserve"> </w:t>
      </w:r>
      <w:r w:rsidRPr="006F1C8C">
        <w:rPr>
          <w:b/>
          <w:bCs/>
        </w:rPr>
        <w:t>losses</w:t>
      </w:r>
      <w:r w:rsidR="00177848" w:rsidRPr="006F1C8C">
        <w:rPr>
          <w:b/>
          <w:bCs/>
        </w:rPr>
        <w:t xml:space="preserve"> </w:t>
      </w:r>
      <w:r w:rsidRPr="006F1C8C">
        <w:rPr>
          <w:b/>
          <w:bCs/>
        </w:rPr>
        <w:t>on</w:t>
      </w:r>
      <w:r w:rsidR="00177848" w:rsidRPr="006F1C8C">
        <w:rPr>
          <w:b/>
          <w:bCs/>
        </w:rPr>
        <w:t xml:space="preserve"> </w:t>
      </w:r>
      <w:r w:rsidRPr="006F1C8C">
        <w:rPr>
          <w:b/>
          <w:bCs/>
        </w:rPr>
        <w:t>superannuation</w:t>
      </w:r>
      <w:r w:rsidR="00177848" w:rsidRPr="006F1C8C">
        <w:rPr>
          <w:b/>
          <w:bCs/>
        </w:rPr>
        <w:t xml:space="preserve"> </w:t>
      </w:r>
      <w:r w:rsidRPr="006F1C8C">
        <w:rPr>
          <w:b/>
          <w:bCs/>
        </w:rPr>
        <w:t>defined</w:t>
      </w:r>
      <w:r w:rsidR="00177848" w:rsidRPr="006F1C8C">
        <w:rPr>
          <w:b/>
          <w:bCs/>
        </w:rPr>
        <w:t xml:space="preserve"> </w:t>
      </w:r>
      <w:r w:rsidRPr="006F1C8C">
        <w:rPr>
          <w:b/>
          <w:bCs/>
        </w:rPr>
        <w:t>benefit</w:t>
      </w:r>
      <w:r w:rsidR="00177848" w:rsidRPr="006F1C8C">
        <w:rPr>
          <w:b/>
          <w:bCs/>
        </w:rPr>
        <w:t xml:space="preserve"> </w:t>
      </w:r>
      <w:r w:rsidRPr="006F1C8C">
        <w:rPr>
          <w:b/>
          <w:bCs/>
        </w:rPr>
        <w:t>plans</w:t>
      </w:r>
    </w:p>
    <w:p w14:paraId="7B12390D" w14:textId="67899E7D" w:rsidR="00EE5BB8" w:rsidRPr="00C6052E" w:rsidRDefault="00EE5BB8" w:rsidP="00EE5BB8">
      <w:r w:rsidRPr="00C6052E">
        <w:t>Actuarial</w:t>
      </w:r>
      <w:r w:rsidR="00177848" w:rsidRPr="00C6052E">
        <w:t xml:space="preserve"> </w:t>
      </w:r>
      <w:r w:rsidRPr="00C6052E">
        <w:t>gains</w:t>
      </w:r>
      <w:r w:rsidR="00177848" w:rsidRPr="00C6052E">
        <w:t xml:space="preserve"> </w:t>
      </w:r>
      <w:r w:rsidRPr="00C6052E">
        <w:t>or</w:t>
      </w:r>
      <w:r w:rsidR="00177848" w:rsidRPr="00C6052E">
        <w:t xml:space="preserve"> </w:t>
      </w:r>
      <w:r w:rsidRPr="00C6052E">
        <w:t>losses</w:t>
      </w:r>
      <w:r w:rsidR="00177848" w:rsidRPr="00C6052E">
        <w:t xml:space="preserve"> </w:t>
      </w:r>
      <w:r w:rsidRPr="00C6052E">
        <w:t>are</w:t>
      </w:r>
      <w:r w:rsidR="00177848" w:rsidRPr="00C6052E">
        <w:t xml:space="preserve"> </w:t>
      </w:r>
      <w:r w:rsidRPr="00C6052E">
        <w:t>changes</w:t>
      </w:r>
      <w:r w:rsidR="00177848" w:rsidRPr="00C6052E">
        <w:t xml:space="preserve"> </w:t>
      </w:r>
      <w:r w:rsidRPr="00C6052E">
        <w:t>in</w:t>
      </w:r>
      <w:r w:rsidR="00177848" w:rsidRPr="00C6052E">
        <w:t xml:space="preserve"> </w:t>
      </w:r>
      <w:r w:rsidRPr="00C6052E">
        <w:t>the</w:t>
      </w:r>
      <w:r w:rsidR="00177848" w:rsidRPr="00C6052E">
        <w:t xml:space="preserve"> </w:t>
      </w:r>
      <w:r w:rsidRPr="00C6052E">
        <w:t>present</w:t>
      </w:r>
      <w:r w:rsidR="00177848" w:rsidRPr="00C6052E">
        <w:t xml:space="preserve"> </w:t>
      </w:r>
      <w:r w:rsidRPr="00C6052E">
        <w:t>value</w:t>
      </w:r>
      <w:r w:rsidR="00177848" w:rsidRPr="00C6052E">
        <w:t xml:space="preserve"> </w:t>
      </w:r>
      <w:r w:rsidRPr="00C6052E">
        <w:t>of</w:t>
      </w:r>
      <w:r w:rsidR="00177848" w:rsidRPr="00C6052E">
        <w:t xml:space="preserve"> </w:t>
      </w:r>
      <w:r w:rsidRPr="00C6052E">
        <w:t>the</w:t>
      </w:r>
      <w:r w:rsidR="00177848" w:rsidRPr="00C6052E">
        <w:t xml:space="preserve"> </w:t>
      </w:r>
      <w:r w:rsidRPr="00C6052E">
        <w:t>superannuation</w:t>
      </w:r>
      <w:r w:rsidR="00177848" w:rsidRPr="00C6052E">
        <w:t xml:space="preserve"> </w:t>
      </w:r>
      <w:r w:rsidRPr="00C6052E">
        <w:t>defined</w:t>
      </w:r>
      <w:r w:rsidR="00177848" w:rsidRPr="00C6052E">
        <w:t xml:space="preserve"> </w:t>
      </w:r>
      <w:r w:rsidRPr="00C6052E">
        <w:t>benefit</w:t>
      </w:r>
      <w:r w:rsidR="00177848" w:rsidRPr="00C6052E">
        <w:t xml:space="preserve"> </w:t>
      </w:r>
      <w:r w:rsidRPr="00C6052E">
        <w:t>liability</w:t>
      </w:r>
      <w:r w:rsidR="00177848" w:rsidRPr="00C6052E">
        <w:t xml:space="preserve"> </w:t>
      </w:r>
      <w:r w:rsidRPr="00C6052E">
        <w:t>resulting</w:t>
      </w:r>
      <w:r w:rsidR="00177848" w:rsidRPr="00C6052E">
        <w:t xml:space="preserve"> </w:t>
      </w:r>
      <w:r w:rsidRPr="00C6052E">
        <w:t>from</w:t>
      </w:r>
      <w:r w:rsidR="00177848" w:rsidRPr="00C6052E">
        <w:t xml:space="preserve"> </w:t>
      </w:r>
      <w:r w:rsidRPr="00C6052E">
        <w:t>experience</w:t>
      </w:r>
      <w:r w:rsidR="00177848" w:rsidRPr="00C6052E">
        <w:t xml:space="preserve"> </w:t>
      </w:r>
      <w:r w:rsidRPr="00C6052E">
        <w:t>adjustments</w:t>
      </w:r>
      <w:r w:rsidR="00177848" w:rsidRPr="00C6052E">
        <w:t xml:space="preserve"> </w:t>
      </w:r>
      <w:r w:rsidRPr="00C6052E">
        <w:t>(the</w:t>
      </w:r>
      <w:r w:rsidR="00177848" w:rsidRPr="00C6052E">
        <w:t xml:space="preserve"> </w:t>
      </w:r>
      <w:r w:rsidRPr="00C6052E">
        <w:t>effects</w:t>
      </w:r>
      <w:r w:rsidR="00177848" w:rsidRPr="00C6052E">
        <w:t xml:space="preserve"> </w:t>
      </w:r>
      <w:r w:rsidRPr="00C6052E">
        <w:t>of</w:t>
      </w:r>
      <w:r w:rsidR="00177848" w:rsidRPr="00C6052E">
        <w:t xml:space="preserve"> </w:t>
      </w:r>
      <w:r w:rsidRPr="00C6052E">
        <w:t>differences</w:t>
      </w:r>
      <w:r w:rsidR="00177848" w:rsidRPr="00C6052E">
        <w:t xml:space="preserve"> </w:t>
      </w:r>
      <w:r w:rsidRPr="00C6052E">
        <w:t>between</w:t>
      </w:r>
      <w:r w:rsidR="00177848" w:rsidRPr="00C6052E">
        <w:t xml:space="preserve"> </w:t>
      </w:r>
      <w:r w:rsidRPr="00C6052E">
        <w:t>the</w:t>
      </w:r>
      <w:r w:rsidR="00177848" w:rsidRPr="00C6052E">
        <w:t xml:space="preserve"> </w:t>
      </w:r>
      <w:r w:rsidRPr="00C6052E">
        <w:t>previous</w:t>
      </w:r>
      <w:r w:rsidR="00177848" w:rsidRPr="00C6052E">
        <w:t xml:space="preserve"> </w:t>
      </w:r>
      <w:r w:rsidRPr="00C6052E">
        <w:t>actuarial</w:t>
      </w:r>
      <w:r w:rsidR="00177848" w:rsidRPr="00C6052E">
        <w:t xml:space="preserve"> </w:t>
      </w:r>
      <w:r w:rsidRPr="00C6052E">
        <w:t>assumptions</w:t>
      </w:r>
      <w:r w:rsidR="00177848" w:rsidRPr="00C6052E">
        <w:t xml:space="preserve"> </w:t>
      </w:r>
      <w:r w:rsidRPr="00C6052E">
        <w:t>and</w:t>
      </w:r>
      <w:r w:rsidR="00177848" w:rsidRPr="00C6052E">
        <w:t xml:space="preserve"> </w:t>
      </w:r>
      <w:r w:rsidRPr="00C6052E">
        <w:t>what</w:t>
      </w:r>
      <w:r w:rsidR="00177848" w:rsidRPr="00C6052E">
        <w:t xml:space="preserve"> </w:t>
      </w:r>
      <w:r w:rsidRPr="00C6052E">
        <w:t>has</w:t>
      </w:r>
      <w:r w:rsidR="00177848" w:rsidRPr="00C6052E">
        <w:t xml:space="preserve"> </w:t>
      </w:r>
      <w:r w:rsidRPr="00C6052E">
        <w:t>actually</w:t>
      </w:r>
      <w:r w:rsidR="00177848" w:rsidRPr="00C6052E">
        <w:t xml:space="preserve"> </w:t>
      </w:r>
      <w:r w:rsidRPr="00C6052E">
        <w:t>occurred)</w:t>
      </w:r>
      <w:r w:rsidR="00177848" w:rsidRPr="00C6052E">
        <w:t xml:space="preserve"> </w:t>
      </w:r>
      <w:r w:rsidRPr="00C6052E">
        <w:t>and</w:t>
      </w:r>
      <w:r w:rsidR="00177848" w:rsidRPr="00C6052E">
        <w:t xml:space="preserve"> </w:t>
      </w:r>
      <w:r w:rsidRPr="00C6052E">
        <w:t>the</w:t>
      </w:r>
      <w:r w:rsidR="00177848" w:rsidRPr="00C6052E">
        <w:t xml:space="preserve"> </w:t>
      </w:r>
      <w:r w:rsidRPr="00C6052E">
        <w:t>effects</w:t>
      </w:r>
      <w:r w:rsidR="00177848" w:rsidRPr="00C6052E">
        <w:t xml:space="preserve"> </w:t>
      </w:r>
      <w:r w:rsidRPr="00C6052E">
        <w:t>of</w:t>
      </w:r>
      <w:r w:rsidR="00177848" w:rsidRPr="00C6052E">
        <w:t xml:space="preserve"> </w:t>
      </w:r>
      <w:r w:rsidRPr="00C6052E">
        <w:t>changes</w:t>
      </w:r>
      <w:r w:rsidR="00177848" w:rsidRPr="00C6052E">
        <w:t xml:space="preserve"> </w:t>
      </w:r>
      <w:r w:rsidRPr="00C6052E">
        <w:t>in</w:t>
      </w:r>
      <w:r w:rsidR="00177848" w:rsidRPr="00C6052E">
        <w:t xml:space="preserve"> </w:t>
      </w:r>
      <w:r w:rsidRPr="00C6052E">
        <w:t>actuarial</w:t>
      </w:r>
      <w:r w:rsidR="00177848" w:rsidRPr="00C6052E">
        <w:t xml:space="preserve"> </w:t>
      </w:r>
      <w:r w:rsidRPr="00C6052E">
        <w:t>assumptions.</w:t>
      </w:r>
    </w:p>
    <w:p w14:paraId="0523908D" w14:textId="6D71ABA2" w:rsidR="00EE5BB8" w:rsidRPr="006F1C8C" w:rsidRDefault="00EE5BB8" w:rsidP="006F1C8C">
      <w:pPr>
        <w:pStyle w:val="Normalbeforebullets"/>
        <w:rPr>
          <w:b/>
          <w:bCs/>
        </w:rPr>
      </w:pPr>
      <w:r w:rsidRPr="006F1C8C">
        <w:rPr>
          <w:b/>
          <w:bCs/>
        </w:rPr>
        <w:t>Administered</w:t>
      </w:r>
      <w:r w:rsidR="00177848" w:rsidRPr="006F1C8C">
        <w:rPr>
          <w:b/>
          <w:bCs/>
        </w:rPr>
        <w:t xml:space="preserve"> </w:t>
      </w:r>
      <w:r w:rsidRPr="006F1C8C">
        <w:rPr>
          <w:b/>
          <w:bCs/>
        </w:rPr>
        <w:t>item</w:t>
      </w:r>
    </w:p>
    <w:p w14:paraId="406D2932" w14:textId="4395EAE5" w:rsidR="00EE5BB8" w:rsidRPr="00C6052E" w:rsidRDefault="00EE5BB8" w:rsidP="00EE5BB8">
      <w:r w:rsidRPr="00C6052E">
        <w:t>Administered</w:t>
      </w:r>
      <w:r w:rsidR="00177848" w:rsidRPr="00C6052E">
        <w:t xml:space="preserve"> </w:t>
      </w:r>
      <w:r w:rsidRPr="00C6052E">
        <w:t>item</w:t>
      </w:r>
      <w:r w:rsidR="00177848" w:rsidRPr="00C6052E">
        <w:t xml:space="preserve"> </w:t>
      </w:r>
      <w:r w:rsidRPr="00C6052E">
        <w:t>generally</w:t>
      </w:r>
      <w:r w:rsidR="00177848" w:rsidRPr="00C6052E">
        <w:t xml:space="preserve"> </w:t>
      </w:r>
      <w:r w:rsidRPr="00C6052E">
        <w:t>refers</w:t>
      </w:r>
      <w:r w:rsidR="00177848" w:rsidRPr="00C6052E">
        <w:t xml:space="preserve"> </w:t>
      </w:r>
      <w:r w:rsidRPr="00C6052E">
        <w:t>to</w:t>
      </w:r>
      <w:r w:rsidR="00177848" w:rsidRPr="00C6052E">
        <w:t xml:space="preserve"> </w:t>
      </w:r>
      <w:r w:rsidRPr="00C6052E">
        <w:t>a</w:t>
      </w:r>
      <w:r w:rsidR="00177848" w:rsidRPr="00C6052E">
        <w:t xml:space="preserve"> </w:t>
      </w:r>
      <w:r w:rsidRPr="00C6052E">
        <w:t>department</w:t>
      </w:r>
      <w:r w:rsidR="00177848" w:rsidRPr="00C6052E">
        <w:t xml:space="preserve"> </w:t>
      </w:r>
      <w:r w:rsidRPr="00C6052E">
        <w:t>lacking</w:t>
      </w:r>
      <w:r w:rsidR="00177848" w:rsidRPr="00C6052E">
        <w:t xml:space="preserve"> </w:t>
      </w:r>
      <w:r w:rsidRPr="00C6052E">
        <w:t>the</w:t>
      </w:r>
      <w:r w:rsidR="00177848" w:rsidRPr="00C6052E">
        <w:t xml:space="preserve"> </w:t>
      </w:r>
      <w:r w:rsidRPr="00C6052E">
        <w:t>capacity</w:t>
      </w:r>
      <w:r w:rsidR="00177848" w:rsidRPr="00C6052E">
        <w:t xml:space="preserve"> </w:t>
      </w:r>
      <w:r w:rsidRPr="00C6052E">
        <w:t>to</w:t>
      </w:r>
      <w:r w:rsidR="00177848" w:rsidRPr="00C6052E">
        <w:t xml:space="preserve"> </w:t>
      </w:r>
      <w:r w:rsidRPr="00C6052E">
        <w:t>benefit</w:t>
      </w:r>
      <w:r w:rsidR="00177848" w:rsidRPr="00C6052E">
        <w:t xml:space="preserve"> </w:t>
      </w:r>
      <w:r w:rsidRPr="00C6052E">
        <w:t>from</w:t>
      </w:r>
      <w:r w:rsidR="00177848" w:rsidRPr="00C6052E">
        <w:t xml:space="preserve"> </w:t>
      </w:r>
      <w:r w:rsidRPr="00C6052E">
        <w:t>that</w:t>
      </w:r>
      <w:r w:rsidR="00177848" w:rsidRPr="00C6052E">
        <w:t xml:space="preserve"> </w:t>
      </w:r>
      <w:r w:rsidRPr="00C6052E">
        <w:t>item</w:t>
      </w:r>
      <w:r w:rsidR="00177848" w:rsidRPr="00C6052E">
        <w:t xml:space="preserve"> </w:t>
      </w:r>
      <w:r w:rsidRPr="00C6052E">
        <w:t>in</w:t>
      </w:r>
      <w:r w:rsidR="00177848" w:rsidRPr="00C6052E">
        <w:t xml:space="preserve"> </w:t>
      </w:r>
      <w:r w:rsidRPr="00C6052E">
        <w:t>the</w:t>
      </w:r>
      <w:r w:rsidR="00177848" w:rsidRPr="00C6052E">
        <w:t xml:space="preserve"> </w:t>
      </w:r>
      <w:r w:rsidRPr="00C6052E">
        <w:t>pursuit</w:t>
      </w:r>
      <w:r w:rsidR="00177848" w:rsidRPr="00C6052E">
        <w:t xml:space="preserve"> </w:t>
      </w:r>
      <w:r w:rsidRPr="00C6052E">
        <w:t>of</w:t>
      </w:r>
      <w:r w:rsidR="00177848" w:rsidRPr="00C6052E">
        <w:t xml:space="preserve"> </w:t>
      </w:r>
      <w:r w:rsidRPr="00C6052E">
        <w:t>the</w:t>
      </w:r>
      <w:r w:rsidR="00177848" w:rsidRPr="00C6052E">
        <w:t xml:space="preserve"> </w:t>
      </w:r>
      <w:r w:rsidRPr="00C6052E">
        <w:t>entity’s</w:t>
      </w:r>
      <w:r w:rsidR="00177848" w:rsidRPr="00C6052E">
        <w:t xml:space="preserve"> </w:t>
      </w:r>
      <w:r w:rsidRPr="00C6052E">
        <w:t>objectives</w:t>
      </w:r>
      <w:r w:rsidR="00177848" w:rsidRPr="00C6052E">
        <w:t xml:space="preserve"> </w:t>
      </w:r>
      <w:r w:rsidRPr="00C6052E">
        <w:t>and</w:t>
      </w:r>
      <w:r w:rsidR="00177848" w:rsidRPr="00C6052E">
        <w:t xml:space="preserve"> </w:t>
      </w:r>
      <w:r w:rsidRPr="00C6052E">
        <w:t>to</w:t>
      </w:r>
      <w:r w:rsidR="00177848" w:rsidRPr="00C6052E">
        <w:t xml:space="preserve"> </w:t>
      </w:r>
      <w:r w:rsidRPr="00C6052E">
        <w:t>deny</w:t>
      </w:r>
      <w:r w:rsidR="00177848" w:rsidRPr="00C6052E">
        <w:t xml:space="preserve"> </w:t>
      </w:r>
      <w:r w:rsidRPr="00C6052E">
        <w:t>or</w:t>
      </w:r>
      <w:r w:rsidR="00177848" w:rsidRPr="00C6052E">
        <w:t xml:space="preserve"> </w:t>
      </w:r>
      <w:r w:rsidRPr="00C6052E">
        <w:t>regulate</w:t>
      </w:r>
      <w:r w:rsidR="00177848" w:rsidRPr="00C6052E">
        <w:t xml:space="preserve"> </w:t>
      </w:r>
      <w:r w:rsidRPr="00C6052E">
        <w:t>the</w:t>
      </w:r>
      <w:r w:rsidR="00177848" w:rsidRPr="00C6052E">
        <w:t xml:space="preserve"> </w:t>
      </w:r>
      <w:r w:rsidRPr="00C6052E">
        <w:t>access</w:t>
      </w:r>
      <w:r w:rsidR="00177848" w:rsidRPr="00C6052E">
        <w:t xml:space="preserve"> </w:t>
      </w:r>
      <w:r w:rsidRPr="00C6052E">
        <w:t>of</w:t>
      </w:r>
      <w:r w:rsidR="00177848" w:rsidRPr="00C6052E">
        <w:t xml:space="preserve"> </w:t>
      </w:r>
      <w:r w:rsidRPr="00C6052E">
        <w:t>others</w:t>
      </w:r>
      <w:r w:rsidR="00177848" w:rsidRPr="00C6052E">
        <w:t xml:space="preserve"> </w:t>
      </w:r>
      <w:r w:rsidRPr="00C6052E">
        <w:t>to</w:t>
      </w:r>
      <w:r w:rsidR="00177848" w:rsidRPr="00C6052E">
        <w:t xml:space="preserve"> </w:t>
      </w:r>
      <w:r w:rsidRPr="00C6052E">
        <w:t>that</w:t>
      </w:r>
      <w:r w:rsidR="00177848" w:rsidRPr="00C6052E">
        <w:t xml:space="preserve"> </w:t>
      </w:r>
      <w:r w:rsidRPr="00C6052E">
        <w:t>benefit.</w:t>
      </w:r>
      <w:r w:rsidR="00177848" w:rsidRPr="00C6052E">
        <w:t xml:space="preserve"> </w:t>
      </w:r>
    </w:p>
    <w:p w14:paraId="36D230F1" w14:textId="77777777" w:rsidR="00EE5BB8" w:rsidRPr="006F1C8C" w:rsidRDefault="00EE5BB8" w:rsidP="006F1C8C">
      <w:pPr>
        <w:pStyle w:val="Normalbeforebullets"/>
        <w:rPr>
          <w:b/>
          <w:bCs/>
        </w:rPr>
      </w:pPr>
      <w:r w:rsidRPr="006F1C8C">
        <w:rPr>
          <w:b/>
          <w:bCs/>
        </w:rPr>
        <w:lastRenderedPageBreak/>
        <w:t>Amortisation</w:t>
      </w:r>
    </w:p>
    <w:p w14:paraId="38AC55DB" w14:textId="78F69201" w:rsidR="00EE5BB8" w:rsidRPr="00C6052E" w:rsidRDefault="00EE5BB8" w:rsidP="00EE5BB8">
      <w:r w:rsidRPr="00C6052E">
        <w:t>Amortisation</w:t>
      </w:r>
      <w:r w:rsidR="00177848" w:rsidRPr="00C6052E">
        <w:t xml:space="preserve"> </w:t>
      </w:r>
      <w:r w:rsidRPr="00C6052E">
        <w:t>is</w:t>
      </w:r>
      <w:r w:rsidR="00177848" w:rsidRPr="00C6052E">
        <w:t xml:space="preserve"> </w:t>
      </w:r>
      <w:r w:rsidRPr="00C6052E">
        <w:t>the</w:t>
      </w:r>
      <w:r w:rsidR="00177848" w:rsidRPr="00C6052E">
        <w:t xml:space="preserve"> </w:t>
      </w:r>
      <w:r w:rsidRPr="00C6052E">
        <w:t>expense</w:t>
      </w:r>
      <w:r w:rsidR="00177848" w:rsidRPr="00C6052E">
        <w:t xml:space="preserve"> </w:t>
      </w:r>
      <w:r w:rsidRPr="00C6052E">
        <w:t>which</w:t>
      </w:r>
      <w:r w:rsidR="00177848" w:rsidRPr="00C6052E">
        <w:t xml:space="preserve"> </w:t>
      </w:r>
      <w:r w:rsidRPr="00C6052E">
        <w:t>results</w:t>
      </w:r>
      <w:r w:rsidR="00177848" w:rsidRPr="00C6052E">
        <w:t xml:space="preserve"> </w:t>
      </w:r>
      <w:r w:rsidRPr="00C6052E">
        <w:t>from</w:t>
      </w:r>
      <w:r w:rsidR="00177848" w:rsidRPr="00C6052E">
        <w:t xml:space="preserve"> </w:t>
      </w:r>
      <w:r w:rsidRPr="00C6052E">
        <w:t>the</w:t>
      </w:r>
      <w:r w:rsidR="00177848" w:rsidRPr="00C6052E">
        <w:t xml:space="preserve"> </w:t>
      </w:r>
      <w:r w:rsidRPr="00C6052E">
        <w:t>consumption,</w:t>
      </w:r>
      <w:r w:rsidR="00177848" w:rsidRPr="00C6052E">
        <w:t xml:space="preserve"> </w:t>
      </w:r>
      <w:r w:rsidRPr="00C6052E">
        <w:t>extraction</w:t>
      </w:r>
      <w:r w:rsidR="00177848" w:rsidRPr="00C6052E">
        <w:t xml:space="preserve"> </w:t>
      </w:r>
      <w:r w:rsidRPr="00C6052E">
        <w:t>or</w:t>
      </w:r>
      <w:r w:rsidR="00177848" w:rsidRPr="00C6052E">
        <w:t xml:space="preserve"> </w:t>
      </w:r>
      <w:r w:rsidRPr="00C6052E">
        <w:t>use</w:t>
      </w:r>
      <w:r w:rsidR="00177848" w:rsidRPr="00C6052E">
        <w:t xml:space="preserve"> </w:t>
      </w:r>
      <w:r w:rsidRPr="00C6052E">
        <w:t>over</w:t>
      </w:r>
      <w:r w:rsidR="00177848" w:rsidRPr="00C6052E">
        <w:t xml:space="preserve"> </w:t>
      </w:r>
      <w:r w:rsidRPr="00C6052E">
        <w:t>time</w:t>
      </w:r>
      <w:r w:rsidR="00177848" w:rsidRPr="00C6052E">
        <w:t xml:space="preserve"> </w:t>
      </w:r>
      <w:r w:rsidRPr="00C6052E">
        <w:t>of</w:t>
      </w:r>
      <w:r w:rsidR="00177848" w:rsidRPr="00C6052E">
        <w:t xml:space="preserve"> </w:t>
      </w:r>
      <w:r w:rsidRPr="00C6052E">
        <w:t>a</w:t>
      </w:r>
      <w:r w:rsidR="00177848" w:rsidRPr="00C6052E">
        <w:t xml:space="preserve"> </w:t>
      </w:r>
      <w:r w:rsidRPr="00C6052E">
        <w:t>non</w:t>
      </w:r>
      <w:r w:rsidRPr="00C6052E">
        <w:noBreakHyphen/>
        <w:t>produced</w:t>
      </w:r>
      <w:r w:rsidR="00177848" w:rsidRPr="00C6052E">
        <w:t xml:space="preserve"> </w:t>
      </w:r>
      <w:r w:rsidRPr="00C6052E">
        <w:t>physical</w:t>
      </w:r>
      <w:r w:rsidR="00177848" w:rsidRPr="00C6052E">
        <w:t xml:space="preserve"> </w:t>
      </w:r>
      <w:r w:rsidRPr="00C6052E">
        <w:t>or</w:t>
      </w:r>
      <w:r w:rsidR="00177848" w:rsidRPr="00C6052E">
        <w:t xml:space="preserve"> </w:t>
      </w:r>
      <w:r w:rsidRPr="00C6052E">
        <w:t>intangible</w:t>
      </w:r>
      <w:r w:rsidR="00177848" w:rsidRPr="00C6052E">
        <w:t xml:space="preserve"> </w:t>
      </w:r>
      <w:r w:rsidRPr="00C6052E">
        <w:t>asset.</w:t>
      </w:r>
      <w:r w:rsidR="00177848" w:rsidRPr="00C6052E">
        <w:t xml:space="preserve"> </w:t>
      </w:r>
      <w:r w:rsidRPr="00C6052E">
        <w:t>This</w:t>
      </w:r>
      <w:r w:rsidR="00177848" w:rsidRPr="00C6052E">
        <w:t xml:space="preserve"> </w:t>
      </w:r>
      <w:r w:rsidRPr="00C6052E">
        <w:t>expense</w:t>
      </w:r>
      <w:r w:rsidR="00177848" w:rsidRPr="00C6052E">
        <w:t xml:space="preserve"> </w:t>
      </w:r>
      <w:r w:rsidRPr="00C6052E">
        <w:t>is</w:t>
      </w:r>
      <w:r w:rsidR="00177848" w:rsidRPr="00C6052E">
        <w:t xml:space="preserve"> </w:t>
      </w:r>
      <w:r w:rsidRPr="00C6052E">
        <w:t>classified</w:t>
      </w:r>
      <w:r w:rsidR="00177848" w:rsidRPr="00C6052E">
        <w:t xml:space="preserve"> </w:t>
      </w:r>
      <w:r w:rsidRPr="00C6052E">
        <w:t>as</w:t>
      </w:r>
      <w:r w:rsidR="00177848" w:rsidRPr="00C6052E">
        <w:t xml:space="preserve"> </w:t>
      </w:r>
      <w:r w:rsidRPr="00C6052E">
        <w:t>an</w:t>
      </w:r>
      <w:r w:rsidR="00177848" w:rsidRPr="00C6052E">
        <w:t xml:space="preserve"> </w:t>
      </w:r>
      <w:r w:rsidRPr="00C6052E">
        <w:t>‘other</w:t>
      </w:r>
      <w:r w:rsidR="00177848" w:rsidRPr="00C6052E">
        <w:t xml:space="preserve"> </w:t>
      </w:r>
      <w:r w:rsidRPr="00C6052E">
        <w:t>economic</w:t>
      </w:r>
      <w:r w:rsidR="00177848" w:rsidRPr="00C6052E">
        <w:t xml:space="preserve"> </w:t>
      </w:r>
      <w:r w:rsidRPr="00C6052E">
        <w:t>flow’.</w:t>
      </w:r>
    </w:p>
    <w:p w14:paraId="46669743" w14:textId="77777777" w:rsidR="00EE5BB8" w:rsidRPr="006F1C8C" w:rsidRDefault="00EE5BB8" w:rsidP="006F1C8C">
      <w:pPr>
        <w:pStyle w:val="Normalbeforebullets"/>
        <w:rPr>
          <w:b/>
          <w:bCs/>
        </w:rPr>
      </w:pPr>
      <w:r w:rsidRPr="006F1C8C">
        <w:rPr>
          <w:b/>
          <w:bCs/>
        </w:rPr>
        <w:t>Borrowings</w:t>
      </w:r>
    </w:p>
    <w:p w14:paraId="68C5C3F9" w14:textId="330D52EF" w:rsidR="00EE5BB8" w:rsidRPr="00C6052E" w:rsidRDefault="00EE5BB8" w:rsidP="00EE5BB8">
      <w:r w:rsidRPr="00C6052E">
        <w:t>Borrowings</w:t>
      </w:r>
      <w:r w:rsidR="00177848" w:rsidRPr="00C6052E">
        <w:t xml:space="preserve"> </w:t>
      </w:r>
      <w:r w:rsidRPr="00C6052E">
        <w:t>refers</w:t>
      </w:r>
      <w:r w:rsidR="00177848" w:rsidRPr="00C6052E">
        <w:t xml:space="preserve"> </w:t>
      </w:r>
      <w:r w:rsidRPr="00C6052E">
        <w:t>to</w:t>
      </w:r>
      <w:r w:rsidR="00177848" w:rsidRPr="00C6052E">
        <w:t xml:space="preserve"> </w:t>
      </w:r>
      <w:r w:rsidRPr="00C6052E">
        <w:t>interest</w:t>
      </w:r>
      <w:r w:rsidR="00177848" w:rsidRPr="00C6052E">
        <w:t xml:space="preserve"> </w:t>
      </w:r>
      <w:r w:rsidRPr="00C6052E">
        <w:t>bearing</w:t>
      </w:r>
      <w:r w:rsidR="00177848" w:rsidRPr="00C6052E">
        <w:t xml:space="preserve"> </w:t>
      </w:r>
      <w:r w:rsidRPr="00C6052E">
        <w:t>liabilities</w:t>
      </w:r>
      <w:r w:rsidR="00177848" w:rsidRPr="00C6052E">
        <w:t xml:space="preserve"> </w:t>
      </w:r>
      <w:r w:rsidRPr="00C6052E">
        <w:t>mainly</w:t>
      </w:r>
      <w:r w:rsidR="00177848" w:rsidRPr="00C6052E">
        <w:t xml:space="preserve"> </w:t>
      </w:r>
      <w:r w:rsidRPr="00C6052E">
        <w:t>from</w:t>
      </w:r>
      <w:r w:rsidR="00177848" w:rsidRPr="00C6052E">
        <w:t xml:space="preserve"> </w:t>
      </w:r>
      <w:r w:rsidRPr="00C6052E">
        <w:t>public</w:t>
      </w:r>
      <w:r w:rsidR="00177848" w:rsidRPr="00C6052E">
        <w:t xml:space="preserve"> </w:t>
      </w:r>
      <w:r w:rsidRPr="00C6052E">
        <w:t>borrowings</w:t>
      </w:r>
      <w:r w:rsidR="00177848" w:rsidRPr="00C6052E">
        <w:t xml:space="preserve"> </w:t>
      </w:r>
      <w:r w:rsidRPr="00C6052E">
        <w:t>raised</w:t>
      </w:r>
      <w:r w:rsidR="00177848" w:rsidRPr="00C6052E">
        <w:t xml:space="preserve"> </w:t>
      </w:r>
      <w:r w:rsidRPr="00C6052E">
        <w:t>through</w:t>
      </w:r>
      <w:r w:rsidR="00177848" w:rsidRPr="00C6052E">
        <w:t xml:space="preserve"> </w:t>
      </w:r>
      <w:r w:rsidRPr="00C6052E">
        <w:t>the</w:t>
      </w:r>
      <w:r w:rsidR="00177848" w:rsidRPr="00C6052E">
        <w:t xml:space="preserve"> </w:t>
      </w:r>
      <w:r w:rsidRPr="00C6052E">
        <w:t>TCV,</w:t>
      </w:r>
      <w:r w:rsidR="00177848" w:rsidRPr="00C6052E">
        <w:t xml:space="preserve"> </w:t>
      </w:r>
      <w:r w:rsidRPr="00C6052E">
        <w:t>lease</w:t>
      </w:r>
      <w:r w:rsidR="00177848" w:rsidRPr="00C6052E">
        <w:t xml:space="preserve"> </w:t>
      </w:r>
      <w:r w:rsidRPr="00C6052E">
        <w:t>liabilities</w:t>
      </w:r>
      <w:r w:rsidR="00177848" w:rsidRPr="00C6052E">
        <w:t xml:space="preserve"> </w:t>
      </w:r>
      <w:r w:rsidRPr="00C6052E">
        <w:t>and</w:t>
      </w:r>
      <w:r w:rsidR="00177848" w:rsidRPr="00C6052E">
        <w:t xml:space="preserve"> </w:t>
      </w:r>
      <w:r w:rsidRPr="00C6052E">
        <w:t>other</w:t>
      </w:r>
      <w:r w:rsidR="00177848" w:rsidRPr="00C6052E">
        <w:t xml:space="preserve"> </w:t>
      </w:r>
      <w:r w:rsidRPr="00C6052E">
        <w:t>interest–bearing</w:t>
      </w:r>
      <w:r w:rsidR="00177848" w:rsidRPr="00C6052E">
        <w:t xml:space="preserve"> </w:t>
      </w:r>
      <w:r w:rsidRPr="00C6052E">
        <w:t>arrangements.</w:t>
      </w:r>
      <w:r w:rsidR="00177848" w:rsidRPr="00C6052E">
        <w:t xml:space="preserve"> </w:t>
      </w:r>
      <w:r w:rsidRPr="00C6052E">
        <w:rPr>
          <w:spacing w:val="-2"/>
        </w:rPr>
        <w:t>Borrowings</w:t>
      </w:r>
      <w:r w:rsidR="00177848" w:rsidRPr="00C6052E">
        <w:rPr>
          <w:spacing w:val="-2"/>
        </w:rPr>
        <w:t xml:space="preserve"> </w:t>
      </w:r>
      <w:r w:rsidRPr="00C6052E">
        <w:rPr>
          <w:spacing w:val="-2"/>
        </w:rPr>
        <w:t>also</w:t>
      </w:r>
      <w:r w:rsidR="00177848" w:rsidRPr="00C6052E">
        <w:rPr>
          <w:spacing w:val="-2"/>
        </w:rPr>
        <w:t xml:space="preserve"> </w:t>
      </w:r>
      <w:r w:rsidRPr="00C6052E">
        <w:rPr>
          <w:spacing w:val="-2"/>
        </w:rPr>
        <w:t>include</w:t>
      </w:r>
      <w:r w:rsidR="00177848" w:rsidRPr="00C6052E">
        <w:rPr>
          <w:spacing w:val="-2"/>
        </w:rPr>
        <w:t xml:space="preserve"> </w:t>
      </w:r>
      <w:r w:rsidRPr="00C6052E">
        <w:rPr>
          <w:spacing w:val="-2"/>
        </w:rPr>
        <w:t>non–interest–bearing</w:t>
      </w:r>
      <w:r w:rsidR="00177848" w:rsidRPr="00C6052E">
        <w:rPr>
          <w:spacing w:val="-2"/>
        </w:rPr>
        <w:t xml:space="preserve"> </w:t>
      </w:r>
      <w:r w:rsidRPr="00C6052E">
        <w:rPr>
          <w:spacing w:val="-2"/>
        </w:rPr>
        <w:t>advances</w:t>
      </w:r>
      <w:r w:rsidR="00177848" w:rsidRPr="00C6052E">
        <w:t xml:space="preserve"> </w:t>
      </w:r>
      <w:r w:rsidRPr="00C6052E">
        <w:t>from</w:t>
      </w:r>
      <w:r w:rsidR="00177848" w:rsidRPr="00C6052E">
        <w:t xml:space="preserve"> </w:t>
      </w:r>
      <w:r w:rsidRPr="00C6052E">
        <w:t>government</w:t>
      </w:r>
      <w:r w:rsidR="00177848" w:rsidRPr="00C6052E">
        <w:t xml:space="preserve"> </w:t>
      </w:r>
      <w:r w:rsidRPr="00C6052E">
        <w:t>that</w:t>
      </w:r>
      <w:r w:rsidR="00177848" w:rsidRPr="00C6052E">
        <w:t xml:space="preserve"> </w:t>
      </w:r>
      <w:r w:rsidRPr="00C6052E">
        <w:t>are</w:t>
      </w:r>
      <w:r w:rsidR="00177848" w:rsidRPr="00C6052E">
        <w:t xml:space="preserve"> </w:t>
      </w:r>
      <w:r w:rsidRPr="00C6052E">
        <w:t>acquired</w:t>
      </w:r>
      <w:r w:rsidR="00177848" w:rsidRPr="00C6052E">
        <w:t xml:space="preserve"> </w:t>
      </w:r>
      <w:r w:rsidRPr="00C6052E">
        <w:t>for</w:t>
      </w:r>
      <w:r w:rsidR="00177848" w:rsidRPr="00C6052E">
        <w:t xml:space="preserve"> </w:t>
      </w:r>
      <w:r w:rsidRPr="00C6052E">
        <w:t>policy</w:t>
      </w:r>
      <w:r w:rsidR="00177848" w:rsidRPr="00C6052E">
        <w:t xml:space="preserve"> </w:t>
      </w:r>
      <w:r w:rsidRPr="00C6052E">
        <w:t>purposes.</w:t>
      </w:r>
    </w:p>
    <w:p w14:paraId="05FC111C" w14:textId="4D8E1540" w:rsidR="00EE5BB8" w:rsidRPr="006F1C8C" w:rsidRDefault="00EE5BB8" w:rsidP="006F1C8C">
      <w:pPr>
        <w:pStyle w:val="Normalbeforebullets"/>
        <w:rPr>
          <w:b/>
          <w:bCs/>
        </w:rPr>
      </w:pPr>
      <w:r w:rsidRPr="006F1C8C">
        <w:rPr>
          <w:b/>
          <w:bCs/>
        </w:rPr>
        <w:t>Comprehensive</w:t>
      </w:r>
      <w:r w:rsidR="00177848" w:rsidRPr="006F1C8C">
        <w:rPr>
          <w:b/>
          <w:bCs/>
        </w:rPr>
        <w:t xml:space="preserve"> </w:t>
      </w:r>
      <w:r w:rsidRPr="006F1C8C">
        <w:rPr>
          <w:b/>
          <w:bCs/>
        </w:rPr>
        <w:t>result</w:t>
      </w:r>
    </w:p>
    <w:p w14:paraId="322916FF" w14:textId="436D9866" w:rsidR="00EE5BB8" w:rsidRPr="00C6052E" w:rsidRDefault="00EE5BB8" w:rsidP="00EE5BB8">
      <w:r w:rsidRPr="00C6052E">
        <w:t>The</w:t>
      </w:r>
      <w:r w:rsidR="00177848" w:rsidRPr="00C6052E">
        <w:t xml:space="preserve"> </w:t>
      </w:r>
      <w:r w:rsidRPr="00C6052E">
        <w:t>net</w:t>
      </w:r>
      <w:r w:rsidR="00177848" w:rsidRPr="00C6052E">
        <w:t xml:space="preserve"> </w:t>
      </w:r>
      <w:r w:rsidRPr="00C6052E">
        <w:t>result</w:t>
      </w:r>
      <w:r w:rsidR="00177848" w:rsidRPr="00C6052E">
        <w:t xml:space="preserve"> </w:t>
      </w:r>
      <w:r w:rsidRPr="00C6052E">
        <w:t>of</w:t>
      </w:r>
      <w:r w:rsidR="00177848" w:rsidRPr="00C6052E">
        <w:t xml:space="preserve"> </w:t>
      </w:r>
      <w:r w:rsidRPr="00C6052E">
        <w:t>all</w:t>
      </w:r>
      <w:r w:rsidR="00177848" w:rsidRPr="00C6052E">
        <w:t xml:space="preserve"> </w:t>
      </w:r>
      <w:r w:rsidRPr="00C6052E">
        <w:t>items</w:t>
      </w:r>
      <w:r w:rsidR="00177848" w:rsidRPr="00C6052E">
        <w:t xml:space="preserve"> </w:t>
      </w:r>
      <w:r w:rsidRPr="00C6052E">
        <w:t>of</w:t>
      </w:r>
      <w:r w:rsidR="00177848" w:rsidRPr="00C6052E">
        <w:t xml:space="preserve"> </w:t>
      </w:r>
      <w:r w:rsidRPr="00C6052E">
        <w:t>income</w:t>
      </w:r>
      <w:r w:rsidR="00177848" w:rsidRPr="00C6052E">
        <w:t xml:space="preserve"> </w:t>
      </w:r>
      <w:r w:rsidRPr="00C6052E">
        <w:t>and</w:t>
      </w:r>
      <w:r w:rsidR="00177848" w:rsidRPr="00C6052E">
        <w:t xml:space="preserve"> </w:t>
      </w:r>
      <w:r w:rsidRPr="00C6052E">
        <w:t>expense</w:t>
      </w:r>
      <w:r w:rsidR="00177848" w:rsidRPr="00C6052E">
        <w:t xml:space="preserve"> </w:t>
      </w:r>
      <w:r w:rsidRPr="00C6052E">
        <w:t>recognised</w:t>
      </w:r>
      <w:r w:rsidR="00177848" w:rsidRPr="00C6052E">
        <w:t xml:space="preserve"> </w:t>
      </w:r>
      <w:r w:rsidRPr="00C6052E">
        <w:t>for</w:t>
      </w:r>
      <w:r w:rsidR="00177848" w:rsidRPr="00C6052E">
        <w:t xml:space="preserve"> </w:t>
      </w:r>
      <w:r w:rsidRPr="00C6052E">
        <w:t>the</w:t>
      </w:r>
      <w:r w:rsidR="00177848" w:rsidRPr="00C6052E">
        <w:t xml:space="preserve"> </w:t>
      </w:r>
      <w:r w:rsidRPr="00C6052E">
        <w:t>period.</w:t>
      </w:r>
      <w:r w:rsidR="00177848" w:rsidRPr="00C6052E">
        <w:t xml:space="preserve"> </w:t>
      </w:r>
      <w:r w:rsidRPr="00C6052E">
        <w:t>It</w:t>
      </w:r>
      <w:r w:rsidR="00177848" w:rsidRPr="00C6052E">
        <w:t xml:space="preserve"> </w:t>
      </w:r>
      <w:r w:rsidRPr="00C6052E">
        <w:t>is</w:t>
      </w:r>
      <w:r w:rsidR="00177848" w:rsidRPr="00C6052E">
        <w:t xml:space="preserve"> </w:t>
      </w:r>
      <w:r w:rsidRPr="00C6052E">
        <w:t>the</w:t>
      </w:r>
      <w:r w:rsidR="00177848" w:rsidRPr="00C6052E">
        <w:t xml:space="preserve"> </w:t>
      </w:r>
      <w:r w:rsidRPr="00C6052E">
        <w:t>aggregate</w:t>
      </w:r>
      <w:r w:rsidR="00177848" w:rsidRPr="00C6052E">
        <w:t xml:space="preserve"> </w:t>
      </w:r>
      <w:r w:rsidRPr="00C6052E">
        <w:t>of</w:t>
      </w:r>
      <w:r w:rsidR="00177848" w:rsidRPr="00C6052E">
        <w:t xml:space="preserve"> </w:t>
      </w:r>
      <w:r w:rsidRPr="00C6052E">
        <w:t>the</w:t>
      </w:r>
      <w:r w:rsidR="00177848" w:rsidRPr="00C6052E">
        <w:t xml:space="preserve"> </w:t>
      </w:r>
      <w:r w:rsidRPr="00C6052E">
        <w:t>operating</w:t>
      </w:r>
      <w:r w:rsidR="00177848" w:rsidRPr="00C6052E">
        <w:t xml:space="preserve"> </w:t>
      </w:r>
      <w:r w:rsidRPr="00C6052E">
        <w:t>result</w:t>
      </w:r>
      <w:r w:rsidR="00177848" w:rsidRPr="00C6052E">
        <w:t xml:space="preserve"> </w:t>
      </w:r>
      <w:r w:rsidRPr="00C6052E">
        <w:t>and</w:t>
      </w:r>
      <w:r w:rsidR="00177848" w:rsidRPr="00C6052E">
        <w:t xml:space="preserve"> </w:t>
      </w:r>
      <w:r w:rsidRPr="00C6052E">
        <w:t>other</w:t>
      </w:r>
      <w:r w:rsidR="00177848" w:rsidRPr="00C6052E">
        <w:t xml:space="preserve"> </w:t>
      </w:r>
      <w:r w:rsidRPr="00C6052E">
        <w:t>comprehensive</w:t>
      </w:r>
      <w:r w:rsidR="00177848" w:rsidRPr="00C6052E">
        <w:t xml:space="preserve"> </w:t>
      </w:r>
      <w:r w:rsidRPr="00C6052E">
        <w:t>income.</w:t>
      </w:r>
    </w:p>
    <w:p w14:paraId="6D63F479" w14:textId="77777777" w:rsidR="00EE5BB8" w:rsidRPr="006F1C8C" w:rsidRDefault="00EE5BB8" w:rsidP="006F1C8C">
      <w:pPr>
        <w:pStyle w:val="Normalbeforebullets"/>
        <w:rPr>
          <w:b/>
          <w:bCs/>
        </w:rPr>
      </w:pPr>
      <w:r w:rsidRPr="006F1C8C">
        <w:rPr>
          <w:b/>
          <w:bCs/>
        </w:rPr>
        <w:t>Commitments</w:t>
      </w:r>
    </w:p>
    <w:p w14:paraId="2EA6BCDF" w14:textId="4637B8D7" w:rsidR="00EE5BB8" w:rsidRPr="00C6052E" w:rsidRDefault="00EE5BB8" w:rsidP="00EE5BB8">
      <w:r w:rsidRPr="00C6052E">
        <w:t>Commitments</w:t>
      </w:r>
      <w:r w:rsidR="00177848" w:rsidRPr="00C6052E">
        <w:t xml:space="preserve"> </w:t>
      </w:r>
      <w:r w:rsidRPr="00C6052E">
        <w:t>include</w:t>
      </w:r>
      <w:r w:rsidR="00177848" w:rsidRPr="00C6052E">
        <w:t xml:space="preserve"> </w:t>
      </w:r>
      <w:r w:rsidRPr="00C6052E">
        <w:t>those</w:t>
      </w:r>
      <w:r w:rsidR="00177848" w:rsidRPr="00C6052E">
        <w:t xml:space="preserve"> </w:t>
      </w:r>
      <w:r w:rsidRPr="00C6052E">
        <w:t>operating,</w:t>
      </w:r>
      <w:r w:rsidR="00177848" w:rsidRPr="00C6052E">
        <w:t xml:space="preserve"> </w:t>
      </w:r>
      <w:r w:rsidRPr="00C6052E">
        <w:t>capital</w:t>
      </w:r>
      <w:r w:rsidR="00177848" w:rsidRPr="00C6052E">
        <w:t xml:space="preserve"> </w:t>
      </w:r>
      <w:r w:rsidRPr="00C6052E">
        <w:t>and</w:t>
      </w:r>
      <w:r w:rsidR="00177848" w:rsidRPr="00C6052E">
        <w:t xml:space="preserve"> </w:t>
      </w:r>
      <w:r w:rsidRPr="00C6052E">
        <w:t>other</w:t>
      </w:r>
      <w:r w:rsidR="00177848" w:rsidRPr="00C6052E">
        <w:t xml:space="preserve"> </w:t>
      </w:r>
      <w:r w:rsidRPr="00C6052E">
        <w:t>outsourcing</w:t>
      </w:r>
      <w:r w:rsidR="00177848" w:rsidRPr="00C6052E">
        <w:t xml:space="preserve"> </w:t>
      </w:r>
      <w:r w:rsidRPr="00C6052E">
        <w:t>commitments</w:t>
      </w:r>
      <w:r w:rsidR="00177848" w:rsidRPr="00C6052E">
        <w:t xml:space="preserve"> </w:t>
      </w:r>
      <w:r w:rsidRPr="00C6052E">
        <w:t>arising</w:t>
      </w:r>
      <w:r w:rsidR="00177848" w:rsidRPr="00C6052E">
        <w:t xml:space="preserve"> </w:t>
      </w:r>
      <w:r w:rsidRPr="00C6052E">
        <w:t>from</w:t>
      </w:r>
      <w:r w:rsidR="00177848" w:rsidRPr="00C6052E">
        <w:t xml:space="preserve"> </w:t>
      </w:r>
      <w:r w:rsidRPr="00C6052E">
        <w:t>non</w:t>
      </w:r>
      <w:r w:rsidRPr="00C6052E">
        <w:noBreakHyphen/>
        <w:t>cancellable</w:t>
      </w:r>
      <w:r w:rsidR="00177848" w:rsidRPr="00C6052E">
        <w:t xml:space="preserve"> </w:t>
      </w:r>
      <w:r w:rsidRPr="00C6052E">
        <w:t>contractual</w:t>
      </w:r>
      <w:r w:rsidR="00177848" w:rsidRPr="00C6052E">
        <w:t xml:space="preserve"> </w:t>
      </w:r>
      <w:r w:rsidRPr="00C6052E">
        <w:t>or</w:t>
      </w:r>
      <w:r w:rsidR="00177848" w:rsidRPr="00C6052E">
        <w:t xml:space="preserve"> </w:t>
      </w:r>
      <w:r w:rsidRPr="00C6052E">
        <w:t>statutory</w:t>
      </w:r>
      <w:r w:rsidR="00177848" w:rsidRPr="00C6052E">
        <w:t xml:space="preserve"> </w:t>
      </w:r>
      <w:r w:rsidRPr="00C6052E">
        <w:t>sources.</w:t>
      </w:r>
    </w:p>
    <w:p w14:paraId="4DA874AD" w14:textId="3837B461" w:rsidR="00EE5BB8" w:rsidRPr="006F1C8C" w:rsidRDefault="00EE5BB8" w:rsidP="006F1C8C">
      <w:pPr>
        <w:pStyle w:val="Normalbeforebullets"/>
        <w:rPr>
          <w:b/>
          <w:bCs/>
        </w:rPr>
      </w:pPr>
      <w:r w:rsidRPr="006F1C8C">
        <w:rPr>
          <w:b/>
          <w:bCs/>
        </w:rPr>
        <w:t>Controlled</w:t>
      </w:r>
      <w:r w:rsidR="00177848" w:rsidRPr="006F1C8C">
        <w:rPr>
          <w:b/>
          <w:bCs/>
        </w:rPr>
        <w:t xml:space="preserve"> </w:t>
      </w:r>
      <w:r w:rsidRPr="006F1C8C">
        <w:rPr>
          <w:b/>
          <w:bCs/>
        </w:rPr>
        <w:t>item</w:t>
      </w:r>
    </w:p>
    <w:p w14:paraId="5290FD7E" w14:textId="1328A7EC" w:rsidR="00EE5BB8" w:rsidRPr="00C6052E" w:rsidRDefault="00EE5BB8" w:rsidP="00EE5BB8">
      <w:r w:rsidRPr="00C6052E">
        <w:t>Controlled</w:t>
      </w:r>
      <w:r w:rsidR="00177848" w:rsidRPr="00C6052E">
        <w:t xml:space="preserve"> </w:t>
      </w:r>
      <w:r w:rsidRPr="00C6052E">
        <w:t>item</w:t>
      </w:r>
      <w:r w:rsidR="00177848" w:rsidRPr="00C6052E">
        <w:t xml:space="preserve"> </w:t>
      </w:r>
      <w:r w:rsidRPr="00C6052E">
        <w:t>generally</w:t>
      </w:r>
      <w:r w:rsidR="00177848" w:rsidRPr="00C6052E">
        <w:t xml:space="preserve"> </w:t>
      </w:r>
      <w:r w:rsidRPr="00C6052E">
        <w:t>refers</w:t>
      </w:r>
      <w:r w:rsidR="00177848" w:rsidRPr="00C6052E">
        <w:t xml:space="preserve"> </w:t>
      </w:r>
      <w:r w:rsidRPr="00C6052E">
        <w:t>to</w:t>
      </w:r>
      <w:r w:rsidR="00177848" w:rsidRPr="00C6052E">
        <w:t xml:space="preserve"> </w:t>
      </w:r>
      <w:r w:rsidRPr="00C6052E">
        <w:t>the</w:t>
      </w:r>
      <w:r w:rsidR="00177848" w:rsidRPr="00C6052E">
        <w:t xml:space="preserve"> </w:t>
      </w:r>
      <w:r w:rsidRPr="00C6052E">
        <w:t>capacity</w:t>
      </w:r>
      <w:r w:rsidR="00177848" w:rsidRPr="00C6052E">
        <w:t xml:space="preserve"> </w:t>
      </w:r>
      <w:r w:rsidRPr="00C6052E">
        <w:t>of</w:t>
      </w:r>
      <w:r w:rsidR="00177848" w:rsidRPr="00C6052E">
        <w:t xml:space="preserve"> </w:t>
      </w:r>
      <w:r w:rsidRPr="00C6052E">
        <w:t>a</w:t>
      </w:r>
      <w:r w:rsidR="00177848" w:rsidRPr="00C6052E">
        <w:t xml:space="preserve"> </w:t>
      </w:r>
      <w:r w:rsidRPr="00C6052E">
        <w:t>department</w:t>
      </w:r>
      <w:r w:rsidR="00177848" w:rsidRPr="00C6052E">
        <w:t xml:space="preserve"> </w:t>
      </w:r>
      <w:r w:rsidRPr="00C6052E">
        <w:t>to</w:t>
      </w:r>
      <w:r w:rsidR="00177848" w:rsidRPr="00C6052E">
        <w:t xml:space="preserve"> </w:t>
      </w:r>
      <w:r w:rsidRPr="00C6052E">
        <w:t>benefit</w:t>
      </w:r>
      <w:r w:rsidR="00177848" w:rsidRPr="00C6052E">
        <w:t xml:space="preserve"> </w:t>
      </w:r>
      <w:r w:rsidRPr="00C6052E">
        <w:t>from</w:t>
      </w:r>
      <w:r w:rsidR="00177848" w:rsidRPr="00C6052E">
        <w:t xml:space="preserve"> </w:t>
      </w:r>
      <w:r w:rsidRPr="00C6052E">
        <w:t>that</w:t>
      </w:r>
      <w:r w:rsidR="00177848" w:rsidRPr="00C6052E">
        <w:t xml:space="preserve"> </w:t>
      </w:r>
      <w:r w:rsidRPr="00C6052E">
        <w:t>item</w:t>
      </w:r>
      <w:r w:rsidR="00177848" w:rsidRPr="00C6052E">
        <w:t xml:space="preserve"> </w:t>
      </w:r>
      <w:r w:rsidRPr="00C6052E">
        <w:t>in</w:t>
      </w:r>
      <w:r w:rsidR="00177848" w:rsidRPr="00C6052E">
        <w:t xml:space="preserve"> </w:t>
      </w:r>
      <w:r w:rsidRPr="00C6052E">
        <w:t>the</w:t>
      </w:r>
      <w:r w:rsidR="00177848" w:rsidRPr="00C6052E">
        <w:t xml:space="preserve"> </w:t>
      </w:r>
      <w:r w:rsidRPr="00C6052E">
        <w:t>pursuit</w:t>
      </w:r>
      <w:r w:rsidR="00177848" w:rsidRPr="00C6052E">
        <w:t xml:space="preserve"> </w:t>
      </w:r>
      <w:r w:rsidRPr="00C6052E">
        <w:t>of</w:t>
      </w:r>
      <w:r w:rsidR="00177848" w:rsidRPr="00C6052E">
        <w:t xml:space="preserve"> </w:t>
      </w:r>
      <w:r w:rsidRPr="00C6052E">
        <w:t>the</w:t>
      </w:r>
      <w:r w:rsidR="00177848" w:rsidRPr="00C6052E">
        <w:t xml:space="preserve"> </w:t>
      </w:r>
      <w:r w:rsidRPr="00C6052E">
        <w:t>entity’s</w:t>
      </w:r>
      <w:r w:rsidR="00177848" w:rsidRPr="00C6052E">
        <w:t xml:space="preserve"> </w:t>
      </w:r>
      <w:r w:rsidRPr="00C6052E">
        <w:t>objectives</w:t>
      </w:r>
      <w:r w:rsidR="00177848" w:rsidRPr="00C6052E">
        <w:t xml:space="preserve"> </w:t>
      </w:r>
      <w:r w:rsidRPr="00C6052E">
        <w:t>and</w:t>
      </w:r>
      <w:r w:rsidR="00177848" w:rsidRPr="00C6052E">
        <w:t xml:space="preserve"> </w:t>
      </w:r>
      <w:r w:rsidRPr="00C6052E">
        <w:t>to</w:t>
      </w:r>
      <w:r w:rsidR="00177848" w:rsidRPr="00C6052E">
        <w:t xml:space="preserve"> </w:t>
      </w:r>
      <w:r w:rsidRPr="00C6052E">
        <w:t>deny</w:t>
      </w:r>
      <w:r w:rsidR="00177848" w:rsidRPr="00C6052E">
        <w:t xml:space="preserve"> </w:t>
      </w:r>
      <w:r w:rsidRPr="00C6052E">
        <w:t>or</w:t>
      </w:r>
      <w:r w:rsidR="00177848" w:rsidRPr="00C6052E">
        <w:t xml:space="preserve"> </w:t>
      </w:r>
      <w:r w:rsidRPr="00C6052E">
        <w:t>regulate</w:t>
      </w:r>
      <w:r w:rsidR="00177848" w:rsidRPr="00C6052E">
        <w:t xml:space="preserve"> </w:t>
      </w:r>
      <w:r w:rsidRPr="00C6052E">
        <w:t>the</w:t>
      </w:r>
      <w:r w:rsidR="00177848" w:rsidRPr="00C6052E">
        <w:t xml:space="preserve"> </w:t>
      </w:r>
      <w:r w:rsidRPr="00C6052E">
        <w:t>access</w:t>
      </w:r>
      <w:r w:rsidR="00177848" w:rsidRPr="00C6052E">
        <w:t xml:space="preserve"> </w:t>
      </w:r>
      <w:r w:rsidRPr="00C6052E">
        <w:t>of</w:t>
      </w:r>
      <w:r w:rsidR="00177848" w:rsidRPr="00C6052E">
        <w:t xml:space="preserve"> </w:t>
      </w:r>
      <w:r w:rsidRPr="00C6052E">
        <w:t>others</w:t>
      </w:r>
      <w:r w:rsidR="00177848" w:rsidRPr="00C6052E">
        <w:t xml:space="preserve"> </w:t>
      </w:r>
      <w:r w:rsidRPr="00C6052E">
        <w:t>to</w:t>
      </w:r>
      <w:r w:rsidR="00177848" w:rsidRPr="00C6052E">
        <w:t xml:space="preserve"> </w:t>
      </w:r>
      <w:r w:rsidRPr="00C6052E">
        <w:t>that</w:t>
      </w:r>
      <w:r w:rsidR="00177848" w:rsidRPr="00C6052E">
        <w:t xml:space="preserve"> </w:t>
      </w:r>
      <w:r w:rsidRPr="00C6052E">
        <w:t>benefit.</w:t>
      </w:r>
      <w:r w:rsidR="00177848" w:rsidRPr="00C6052E">
        <w:t xml:space="preserve"> </w:t>
      </w:r>
    </w:p>
    <w:p w14:paraId="1F59B327" w14:textId="46106C3C" w:rsidR="00EE5BB8" w:rsidRPr="006F1C8C" w:rsidRDefault="00EE5BB8" w:rsidP="006F1C8C">
      <w:pPr>
        <w:pStyle w:val="Normalbeforebullets"/>
        <w:rPr>
          <w:b/>
          <w:bCs/>
        </w:rPr>
      </w:pPr>
      <w:r w:rsidRPr="006F1C8C">
        <w:rPr>
          <w:b/>
          <w:bCs/>
        </w:rPr>
        <w:t>Current</w:t>
      </w:r>
      <w:r w:rsidR="00177848" w:rsidRPr="006F1C8C">
        <w:rPr>
          <w:b/>
          <w:bCs/>
        </w:rPr>
        <w:t xml:space="preserve"> </w:t>
      </w:r>
      <w:r w:rsidRPr="006F1C8C">
        <w:rPr>
          <w:b/>
          <w:bCs/>
        </w:rPr>
        <w:t>grants</w:t>
      </w:r>
    </w:p>
    <w:p w14:paraId="4F3A939E" w14:textId="71801A9E" w:rsidR="00EE5BB8" w:rsidRPr="00C6052E" w:rsidRDefault="00EE5BB8" w:rsidP="00EE5BB8">
      <w:r w:rsidRPr="00C6052E">
        <w:t>Amounts</w:t>
      </w:r>
      <w:r w:rsidR="00177848" w:rsidRPr="00C6052E">
        <w:t xml:space="preserve"> </w:t>
      </w:r>
      <w:r w:rsidRPr="00C6052E">
        <w:t>payable</w:t>
      </w:r>
      <w:r w:rsidR="00177848" w:rsidRPr="00C6052E">
        <w:t xml:space="preserve"> </w:t>
      </w:r>
      <w:r w:rsidRPr="00C6052E">
        <w:t>or</w:t>
      </w:r>
      <w:r w:rsidR="00177848" w:rsidRPr="00C6052E">
        <w:t xml:space="preserve"> </w:t>
      </w:r>
      <w:r w:rsidRPr="00C6052E">
        <w:t>receivable</w:t>
      </w:r>
      <w:r w:rsidR="00177848" w:rsidRPr="00C6052E">
        <w:t xml:space="preserve"> </w:t>
      </w:r>
      <w:r w:rsidRPr="00C6052E">
        <w:t>for</w:t>
      </w:r>
      <w:r w:rsidR="00177848" w:rsidRPr="00C6052E">
        <w:t xml:space="preserve"> </w:t>
      </w:r>
      <w:r w:rsidRPr="00C6052E">
        <w:t>current</w:t>
      </w:r>
      <w:r w:rsidR="00177848" w:rsidRPr="00C6052E">
        <w:t xml:space="preserve"> </w:t>
      </w:r>
      <w:r w:rsidRPr="00C6052E">
        <w:t>purposes</w:t>
      </w:r>
      <w:r w:rsidR="00177848" w:rsidRPr="00C6052E">
        <w:t xml:space="preserve"> </w:t>
      </w:r>
      <w:r w:rsidRPr="00C6052E">
        <w:t>for</w:t>
      </w:r>
      <w:r w:rsidR="00177848" w:rsidRPr="00C6052E">
        <w:t xml:space="preserve"> </w:t>
      </w:r>
      <w:r w:rsidRPr="00C6052E">
        <w:t>which</w:t>
      </w:r>
      <w:r w:rsidR="00177848" w:rsidRPr="00C6052E">
        <w:t xml:space="preserve"> </w:t>
      </w:r>
      <w:r w:rsidRPr="00C6052E">
        <w:t>no</w:t>
      </w:r>
      <w:r w:rsidR="00177848" w:rsidRPr="00C6052E">
        <w:t xml:space="preserve"> </w:t>
      </w:r>
      <w:r w:rsidRPr="00C6052E">
        <w:t>economic</w:t>
      </w:r>
      <w:r w:rsidR="00177848" w:rsidRPr="00C6052E">
        <w:t xml:space="preserve"> </w:t>
      </w:r>
      <w:r w:rsidRPr="00C6052E">
        <w:t>benefits</w:t>
      </w:r>
      <w:r w:rsidR="00177848" w:rsidRPr="00C6052E">
        <w:t xml:space="preserve"> </w:t>
      </w:r>
      <w:r w:rsidRPr="00C6052E">
        <w:t>of</w:t>
      </w:r>
      <w:r w:rsidR="00177848" w:rsidRPr="00C6052E">
        <w:t xml:space="preserve"> </w:t>
      </w:r>
      <w:r w:rsidRPr="00C6052E">
        <w:t>equal</w:t>
      </w:r>
      <w:r w:rsidR="00177848" w:rsidRPr="00C6052E">
        <w:t xml:space="preserve"> </w:t>
      </w:r>
      <w:r w:rsidRPr="00C6052E">
        <w:t>value</w:t>
      </w:r>
      <w:r w:rsidR="00177848" w:rsidRPr="00C6052E">
        <w:t xml:space="preserve"> </w:t>
      </w:r>
      <w:r w:rsidRPr="00C6052E">
        <w:t>are</w:t>
      </w:r>
      <w:r w:rsidR="00177848" w:rsidRPr="00C6052E">
        <w:t xml:space="preserve"> </w:t>
      </w:r>
      <w:r w:rsidRPr="00C6052E">
        <w:t>receivable</w:t>
      </w:r>
      <w:r w:rsidR="00177848" w:rsidRPr="00C6052E">
        <w:t xml:space="preserve"> </w:t>
      </w:r>
      <w:r w:rsidRPr="00C6052E">
        <w:t>or</w:t>
      </w:r>
      <w:r w:rsidR="00177848" w:rsidRPr="00C6052E">
        <w:t xml:space="preserve"> </w:t>
      </w:r>
      <w:r w:rsidRPr="00C6052E">
        <w:t>payable</w:t>
      </w:r>
      <w:r w:rsidR="00177848" w:rsidRPr="00C6052E">
        <w:t xml:space="preserve"> </w:t>
      </w:r>
      <w:r w:rsidRPr="00C6052E">
        <w:t>in</w:t>
      </w:r>
      <w:r w:rsidR="00177848" w:rsidRPr="00C6052E">
        <w:t xml:space="preserve"> </w:t>
      </w:r>
      <w:r w:rsidRPr="00C6052E">
        <w:t>return.</w:t>
      </w:r>
    </w:p>
    <w:p w14:paraId="153DF3EF" w14:textId="2BAC4697" w:rsidR="00EE5BB8" w:rsidRPr="006F1C8C" w:rsidRDefault="00EE5BB8" w:rsidP="006F1C8C">
      <w:pPr>
        <w:pStyle w:val="Normalbeforebullets"/>
        <w:rPr>
          <w:b/>
          <w:bCs/>
        </w:rPr>
      </w:pPr>
      <w:r w:rsidRPr="006F1C8C">
        <w:rPr>
          <w:b/>
          <w:bCs/>
        </w:rPr>
        <w:t>Depreciation</w:t>
      </w:r>
    </w:p>
    <w:p w14:paraId="04C3E202" w14:textId="1D8D5412" w:rsidR="00EE5BB8" w:rsidRPr="00C6052E" w:rsidRDefault="00EE5BB8" w:rsidP="00EE5BB8">
      <w:r w:rsidRPr="00C6052E">
        <w:t>Depreciation</w:t>
      </w:r>
      <w:r w:rsidR="00177848" w:rsidRPr="00C6052E">
        <w:t xml:space="preserve"> </w:t>
      </w:r>
      <w:r w:rsidRPr="00C6052E">
        <w:t>is</w:t>
      </w:r>
      <w:r w:rsidR="00177848" w:rsidRPr="00C6052E">
        <w:t xml:space="preserve"> </w:t>
      </w:r>
      <w:r w:rsidRPr="00C6052E">
        <w:t>an</w:t>
      </w:r>
      <w:r w:rsidR="00177848" w:rsidRPr="00C6052E">
        <w:t xml:space="preserve"> </w:t>
      </w:r>
      <w:r w:rsidRPr="00C6052E">
        <w:t>expense</w:t>
      </w:r>
      <w:r w:rsidR="00177848" w:rsidRPr="00C6052E">
        <w:t xml:space="preserve"> </w:t>
      </w:r>
      <w:r w:rsidRPr="00C6052E">
        <w:t>that</w:t>
      </w:r>
      <w:r w:rsidR="00177848" w:rsidRPr="00C6052E">
        <w:t xml:space="preserve"> </w:t>
      </w:r>
      <w:r w:rsidRPr="00C6052E">
        <w:t>arises</w:t>
      </w:r>
      <w:r w:rsidR="00177848" w:rsidRPr="00C6052E">
        <w:t xml:space="preserve"> </w:t>
      </w:r>
      <w:r w:rsidRPr="00C6052E">
        <w:t>from</w:t>
      </w:r>
      <w:r w:rsidR="00177848" w:rsidRPr="00C6052E">
        <w:t xml:space="preserve"> </w:t>
      </w:r>
      <w:r w:rsidRPr="00C6052E">
        <w:t>the</w:t>
      </w:r>
      <w:r w:rsidR="00177848" w:rsidRPr="00C6052E">
        <w:t xml:space="preserve"> </w:t>
      </w:r>
      <w:r w:rsidRPr="00C6052E">
        <w:t>consumption</w:t>
      </w:r>
      <w:r w:rsidR="00177848" w:rsidRPr="00C6052E">
        <w:t xml:space="preserve"> </w:t>
      </w:r>
      <w:r w:rsidRPr="00C6052E">
        <w:t>through</w:t>
      </w:r>
      <w:r w:rsidR="00177848" w:rsidRPr="00C6052E">
        <w:t xml:space="preserve"> </w:t>
      </w:r>
      <w:r w:rsidRPr="00C6052E">
        <w:t>wear</w:t>
      </w:r>
      <w:r w:rsidR="00177848" w:rsidRPr="00C6052E">
        <w:t xml:space="preserve"> </w:t>
      </w:r>
      <w:r w:rsidRPr="00C6052E">
        <w:t>or</w:t>
      </w:r>
      <w:r w:rsidR="00177848" w:rsidRPr="00C6052E">
        <w:t xml:space="preserve"> </w:t>
      </w:r>
      <w:r w:rsidRPr="00C6052E">
        <w:t>time</w:t>
      </w:r>
      <w:r w:rsidR="00177848" w:rsidRPr="00C6052E">
        <w:t xml:space="preserve"> </w:t>
      </w:r>
      <w:r w:rsidRPr="00C6052E">
        <w:t>of</w:t>
      </w:r>
      <w:r w:rsidR="00177848" w:rsidRPr="00C6052E">
        <w:t xml:space="preserve"> </w:t>
      </w:r>
      <w:r w:rsidRPr="00C6052E">
        <w:t>a</w:t>
      </w:r>
      <w:r w:rsidR="00177848" w:rsidRPr="00C6052E">
        <w:t xml:space="preserve"> </w:t>
      </w:r>
      <w:r w:rsidRPr="00C6052E">
        <w:t>produced</w:t>
      </w:r>
      <w:r w:rsidR="00177848" w:rsidRPr="00C6052E">
        <w:t xml:space="preserve"> </w:t>
      </w:r>
      <w:r w:rsidRPr="00C6052E">
        <w:t>physical</w:t>
      </w:r>
      <w:r w:rsidR="00177848" w:rsidRPr="00C6052E">
        <w:t xml:space="preserve"> </w:t>
      </w:r>
      <w:r w:rsidRPr="00C6052E">
        <w:t>asset.</w:t>
      </w:r>
      <w:r w:rsidR="00177848" w:rsidRPr="00C6052E">
        <w:t xml:space="preserve"> </w:t>
      </w:r>
      <w:r w:rsidRPr="00C6052E">
        <w:t>This</w:t>
      </w:r>
      <w:r w:rsidR="00177848" w:rsidRPr="00C6052E">
        <w:t xml:space="preserve"> </w:t>
      </w:r>
      <w:r w:rsidRPr="00C6052E">
        <w:t>expense</w:t>
      </w:r>
      <w:r w:rsidR="00177848" w:rsidRPr="00C6052E">
        <w:t xml:space="preserve"> </w:t>
      </w:r>
      <w:r w:rsidRPr="00C6052E">
        <w:t>is</w:t>
      </w:r>
      <w:r w:rsidR="00177848" w:rsidRPr="00C6052E">
        <w:t xml:space="preserve"> </w:t>
      </w:r>
      <w:r w:rsidRPr="00C6052E">
        <w:t>classified</w:t>
      </w:r>
      <w:r w:rsidR="00177848" w:rsidRPr="00C6052E">
        <w:t xml:space="preserve"> </w:t>
      </w:r>
      <w:r w:rsidRPr="00C6052E">
        <w:t>as</w:t>
      </w:r>
      <w:r w:rsidR="00177848" w:rsidRPr="00C6052E">
        <w:t xml:space="preserve"> </w:t>
      </w:r>
      <w:r w:rsidRPr="00C6052E">
        <w:t>a</w:t>
      </w:r>
      <w:r w:rsidR="00177848" w:rsidRPr="00C6052E">
        <w:t xml:space="preserve"> </w:t>
      </w:r>
      <w:r w:rsidRPr="00C6052E">
        <w:t>‘transaction’</w:t>
      </w:r>
      <w:r w:rsidR="00177848" w:rsidRPr="00C6052E">
        <w:t xml:space="preserve"> </w:t>
      </w:r>
      <w:r w:rsidRPr="00C6052E">
        <w:t>and</w:t>
      </w:r>
      <w:r w:rsidR="00177848" w:rsidRPr="00C6052E">
        <w:t xml:space="preserve"> </w:t>
      </w:r>
      <w:r w:rsidRPr="00C6052E">
        <w:t>so</w:t>
      </w:r>
      <w:r w:rsidR="00177848" w:rsidRPr="00C6052E">
        <w:t xml:space="preserve"> </w:t>
      </w:r>
      <w:r w:rsidRPr="00C6052E">
        <w:t>reduces</w:t>
      </w:r>
      <w:r w:rsidR="00177848" w:rsidRPr="00C6052E">
        <w:t xml:space="preserve"> </w:t>
      </w:r>
      <w:r w:rsidRPr="00C6052E">
        <w:t>the</w:t>
      </w:r>
      <w:r w:rsidR="00177848" w:rsidRPr="00C6052E">
        <w:t xml:space="preserve"> </w:t>
      </w:r>
      <w:r w:rsidRPr="00C6052E">
        <w:t>‘net</w:t>
      </w:r>
      <w:r w:rsidR="00177848" w:rsidRPr="00C6052E">
        <w:t xml:space="preserve"> </w:t>
      </w:r>
      <w:r w:rsidRPr="00C6052E">
        <w:t>result</w:t>
      </w:r>
      <w:r w:rsidR="00177848" w:rsidRPr="00C6052E">
        <w:t xml:space="preserve"> </w:t>
      </w:r>
      <w:r w:rsidRPr="00C6052E">
        <w:t>from</w:t>
      </w:r>
      <w:r w:rsidR="00177848" w:rsidRPr="00C6052E">
        <w:t xml:space="preserve"> </w:t>
      </w:r>
      <w:r w:rsidRPr="00C6052E">
        <w:t>transaction’.</w:t>
      </w:r>
    </w:p>
    <w:p w14:paraId="69C21375" w14:textId="66C5E0D9" w:rsidR="00EE5BB8" w:rsidRPr="006F1C8C" w:rsidRDefault="00EE5BB8" w:rsidP="006F1C8C">
      <w:pPr>
        <w:pStyle w:val="Normalbeforebullets"/>
        <w:rPr>
          <w:b/>
          <w:bCs/>
        </w:rPr>
      </w:pPr>
      <w:r w:rsidRPr="006F1C8C">
        <w:rPr>
          <w:b/>
          <w:bCs/>
        </w:rPr>
        <w:t>Effective</w:t>
      </w:r>
      <w:r w:rsidR="00177848" w:rsidRPr="006F1C8C">
        <w:rPr>
          <w:b/>
          <w:bCs/>
        </w:rPr>
        <w:t xml:space="preserve"> </w:t>
      </w:r>
      <w:r w:rsidRPr="006F1C8C">
        <w:rPr>
          <w:b/>
          <w:bCs/>
        </w:rPr>
        <w:t>interest</w:t>
      </w:r>
      <w:r w:rsidR="00177848" w:rsidRPr="006F1C8C">
        <w:rPr>
          <w:b/>
          <w:bCs/>
        </w:rPr>
        <w:t xml:space="preserve"> </w:t>
      </w:r>
      <w:r w:rsidRPr="006F1C8C">
        <w:rPr>
          <w:b/>
          <w:bCs/>
        </w:rPr>
        <w:t>method</w:t>
      </w:r>
    </w:p>
    <w:p w14:paraId="55715A33" w14:textId="6C48503E" w:rsidR="00EE5BB8" w:rsidRPr="00C6052E" w:rsidRDefault="00EE5BB8" w:rsidP="00EE5BB8">
      <w:r w:rsidRPr="00C6052E">
        <w:t>The</w:t>
      </w:r>
      <w:r w:rsidR="00177848" w:rsidRPr="00C6052E">
        <w:t xml:space="preserve"> </w:t>
      </w:r>
      <w:r w:rsidRPr="00C6052E">
        <w:t>effective</w:t>
      </w:r>
      <w:r w:rsidR="00177848" w:rsidRPr="00C6052E">
        <w:t xml:space="preserve"> </w:t>
      </w:r>
      <w:r w:rsidRPr="00C6052E">
        <w:t>interest</w:t>
      </w:r>
      <w:r w:rsidR="00177848" w:rsidRPr="00C6052E">
        <w:t xml:space="preserve"> </w:t>
      </w:r>
      <w:r w:rsidRPr="00C6052E">
        <w:t>method</w:t>
      </w:r>
      <w:r w:rsidR="00177848" w:rsidRPr="00C6052E">
        <w:t xml:space="preserve"> </w:t>
      </w:r>
      <w:r w:rsidRPr="00C6052E">
        <w:t>is</w:t>
      </w:r>
      <w:r w:rsidR="00177848" w:rsidRPr="00C6052E">
        <w:t xml:space="preserve"> </w:t>
      </w:r>
      <w:r w:rsidRPr="00C6052E">
        <w:t>used</w:t>
      </w:r>
      <w:r w:rsidR="00177848" w:rsidRPr="00C6052E">
        <w:t xml:space="preserve"> </w:t>
      </w:r>
      <w:r w:rsidRPr="00C6052E">
        <w:t>to</w:t>
      </w:r>
      <w:r w:rsidR="00177848" w:rsidRPr="00C6052E">
        <w:t xml:space="preserve"> </w:t>
      </w:r>
      <w:r w:rsidRPr="00C6052E">
        <w:t>calculate</w:t>
      </w:r>
      <w:r w:rsidR="00177848" w:rsidRPr="00C6052E">
        <w:t xml:space="preserve"> </w:t>
      </w:r>
      <w:r w:rsidRPr="00C6052E">
        <w:t>the</w:t>
      </w:r>
      <w:r w:rsidR="00177848" w:rsidRPr="00C6052E">
        <w:t xml:space="preserve"> </w:t>
      </w:r>
      <w:r w:rsidRPr="00C6052E">
        <w:t>amortised</w:t>
      </w:r>
      <w:r w:rsidR="00177848" w:rsidRPr="00C6052E">
        <w:t xml:space="preserve"> </w:t>
      </w:r>
      <w:r w:rsidRPr="00C6052E">
        <w:t>cost</w:t>
      </w:r>
      <w:r w:rsidR="00177848" w:rsidRPr="00C6052E">
        <w:t xml:space="preserve"> </w:t>
      </w:r>
      <w:r w:rsidRPr="00C6052E">
        <w:t>of</w:t>
      </w:r>
      <w:r w:rsidR="00177848" w:rsidRPr="00C6052E">
        <w:t xml:space="preserve"> </w:t>
      </w:r>
      <w:r w:rsidRPr="00C6052E">
        <w:t>a</w:t>
      </w:r>
      <w:r w:rsidR="00177848" w:rsidRPr="00C6052E">
        <w:t xml:space="preserve"> </w:t>
      </w:r>
      <w:r w:rsidRPr="00C6052E">
        <w:t>financial</w:t>
      </w:r>
      <w:r w:rsidR="00177848" w:rsidRPr="00C6052E">
        <w:t xml:space="preserve"> </w:t>
      </w:r>
      <w:r w:rsidRPr="00C6052E">
        <w:t>asset</w:t>
      </w:r>
      <w:r w:rsidR="00177848" w:rsidRPr="00C6052E">
        <w:t xml:space="preserve"> </w:t>
      </w:r>
      <w:r w:rsidRPr="00C6052E">
        <w:t>or</w:t>
      </w:r>
      <w:r w:rsidR="00177848" w:rsidRPr="00C6052E">
        <w:t xml:space="preserve"> </w:t>
      </w:r>
      <w:r w:rsidRPr="00C6052E">
        <w:t>liability</w:t>
      </w:r>
      <w:r w:rsidR="00177848" w:rsidRPr="00C6052E">
        <w:t xml:space="preserve"> </w:t>
      </w:r>
      <w:r w:rsidRPr="00C6052E">
        <w:t>and</w:t>
      </w:r>
      <w:r w:rsidR="00177848" w:rsidRPr="00C6052E">
        <w:t xml:space="preserve"> </w:t>
      </w:r>
      <w:r w:rsidRPr="00C6052E">
        <w:t>of</w:t>
      </w:r>
      <w:r w:rsidR="00177848" w:rsidRPr="00C6052E">
        <w:t xml:space="preserve"> </w:t>
      </w:r>
      <w:r w:rsidRPr="00C6052E">
        <w:t>allocating</w:t>
      </w:r>
      <w:r w:rsidR="00177848" w:rsidRPr="00C6052E">
        <w:t xml:space="preserve"> </w:t>
      </w:r>
      <w:r w:rsidRPr="00C6052E">
        <w:t>interest</w:t>
      </w:r>
      <w:r w:rsidR="00177848" w:rsidRPr="00C6052E">
        <w:t xml:space="preserve"> </w:t>
      </w:r>
      <w:r w:rsidRPr="00C6052E">
        <w:t>income</w:t>
      </w:r>
      <w:r w:rsidR="00177848" w:rsidRPr="00C6052E">
        <w:t xml:space="preserve"> </w:t>
      </w:r>
      <w:r w:rsidRPr="00C6052E">
        <w:t>over</w:t>
      </w:r>
      <w:r w:rsidR="00177848" w:rsidRPr="00C6052E">
        <w:t xml:space="preserve"> </w:t>
      </w:r>
      <w:r w:rsidRPr="00C6052E">
        <w:t>the</w:t>
      </w:r>
      <w:r w:rsidR="00177848" w:rsidRPr="00C6052E">
        <w:t xml:space="preserve"> </w:t>
      </w:r>
      <w:r w:rsidRPr="00C6052E">
        <w:t>relevant</w:t>
      </w:r>
      <w:r w:rsidR="00177848" w:rsidRPr="00C6052E">
        <w:t xml:space="preserve"> </w:t>
      </w:r>
      <w:r w:rsidRPr="00C6052E">
        <w:t>period.</w:t>
      </w:r>
      <w:r w:rsidR="00177848" w:rsidRPr="00C6052E">
        <w:t xml:space="preserve"> </w:t>
      </w:r>
      <w:r w:rsidRPr="00C6052E">
        <w:t>The</w:t>
      </w:r>
      <w:r w:rsidR="00177848" w:rsidRPr="00C6052E">
        <w:t xml:space="preserve"> </w:t>
      </w:r>
      <w:r w:rsidRPr="00C6052E">
        <w:t>effective</w:t>
      </w:r>
      <w:r w:rsidR="00177848" w:rsidRPr="00C6052E">
        <w:t xml:space="preserve"> </w:t>
      </w:r>
      <w:r w:rsidRPr="00C6052E">
        <w:t>interest</w:t>
      </w:r>
      <w:r w:rsidR="00177848" w:rsidRPr="00C6052E">
        <w:t xml:space="preserve"> </w:t>
      </w:r>
      <w:r w:rsidRPr="00C6052E">
        <w:t>rate</w:t>
      </w:r>
      <w:r w:rsidR="00177848" w:rsidRPr="00C6052E">
        <w:t xml:space="preserve"> </w:t>
      </w:r>
      <w:r w:rsidRPr="00C6052E">
        <w:t>is</w:t>
      </w:r>
      <w:r w:rsidR="00177848" w:rsidRPr="00C6052E">
        <w:t xml:space="preserve"> </w:t>
      </w:r>
      <w:r w:rsidRPr="00C6052E">
        <w:t>the</w:t>
      </w:r>
      <w:r w:rsidR="00177848" w:rsidRPr="00C6052E">
        <w:t xml:space="preserve"> </w:t>
      </w:r>
      <w:r w:rsidRPr="00C6052E">
        <w:t>rate</w:t>
      </w:r>
      <w:r w:rsidR="00177848" w:rsidRPr="00C6052E">
        <w:t xml:space="preserve"> </w:t>
      </w:r>
      <w:r w:rsidRPr="00C6052E">
        <w:t>that</w:t>
      </w:r>
      <w:r w:rsidR="00177848" w:rsidRPr="00C6052E">
        <w:t xml:space="preserve"> </w:t>
      </w:r>
      <w:r w:rsidRPr="00C6052E">
        <w:t>exactly</w:t>
      </w:r>
      <w:r w:rsidR="00177848" w:rsidRPr="00C6052E">
        <w:t xml:space="preserve"> </w:t>
      </w:r>
      <w:r w:rsidRPr="00C6052E">
        <w:t>discounts</w:t>
      </w:r>
      <w:r w:rsidR="00177848" w:rsidRPr="00C6052E">
        <w:t xml:space="preserve"> </w:t>
      </w:r>
      <w:r w:rsidRPr="00C6052E">
        <w:t>estimated</w:t>
      </w:r>
      <w:r w:rsidR="00177848" w:rsidRPr="00C6052E">
        <w:t xml:space="preserve"> </w:t>
      </w:r>
      <w:r w:rsidRPr="00C6052E">
        <w:t>future</w:t>
      </w:r>
      <w:r w:rsidR="00177848" w:rsidRPr="00C6052E">
        <w:t xml:space="preserve"> </w:t>
      </w:r>
      <w:r w:rsidRPr="00C6052E">
        <w:t>cash</w:t>
      </w:r>
      <w:r w:rsidR="00177848" w:rsidRPr="00C6052E">
        <w:t xml:space="preserve"> </w:t>
      </w:r>
      <w:r w:rsidRPr="00C6052E">
        <w:t>receipts</w:t>
      </w:r>
      <w:r w:rsidR="00177848" w:rsidRPr="00C6052E">
        <w:t xml:space="preserve"> </w:t>
      </w:r>
      <w:r w:rsidRPr="00C6052E">
        <w:t>through</w:t>
      </w:r>
      <w:r w:rsidR="00177848" w:rsidRPr="00C6052E">
        <w:t xml:space="preserve"> </w:t>
      </w:r>
      <w:r w:rsidRPr="00C6052E">
        <w:t>the</w:t>
      </w:r>
      <w:r w:rsidR="00177848" w:rsidRPr="00C6052E">
        <w:t xml:space="preserve"> </w:t>
      </w:r>
      <w:r w:rsidRPr="00C6052E">
        <w:t>expected</w:t>
      </w:r>
      <w:r w:rsidR="00177848" w:rsidRPr="00C6052E">
        <w:t xml:space="preserve"> </w:t>
      </w:r>
      <w:r w:rsidRPr="00C6052E">
        <w:t>life</w:t>
      </w:r>
      <w:r w:rsidR="00177848" w:rsidRPr="00C6052E">
        <w:t xml:space="preserve"> </w:t>
      </w:r>
      <w:r w:rsidRPr="00C6052E">
        <w:t>of</w:t>
      </w:r>
      <w:r w:rsidR="00177848" w:rsidRPr="00C6052E">
        <w:t xml:space="preserve"> </w:t>
      </w:r>
      <w:r w:rsidRPr="00C6052E">
        <w:t>the</w:t>
      </w:r>
      <w:r w:rsidR="00177848" w:rsidRPr="00C6052E">
        <w:t xml:space="preserve"> </w:t>
      </w:r>
      <w:r w:rsidRPr="00C6052E">
        <w:t>financial</w:t>
      </w:r>
      <w:r w:rsidR="00177848" w:rsidRPr="00C6052E">
        <w:t xml:space="preserve"> </w:t>
      </w:r>
      <w:r w:rsidRPr="00C6052E">
        <w:t>instrument,</w:t>
      </w:r>
      <w:r w:rsidR="00177848" w:rsidRPr="00C6052E">
        <w:t xml:space="preserve"> </w:t>
      </w:r>
      <w:r w:rsidRPr="00C6052E">
        <w:t>or,</w:t>
      </w:r>
      <w:r w:rsidR="00177848" w:rsidRPr="00C6052E">
        <w:t xml:space="preserve"> </w:t>
      </w:r>
      <w:r w:rsidRPr="00C6052E">
        <w:t>where</w:t>
      </w:r>
      <w:r w:rsidR="00177848" w:rsidRPr="00C6052E">
        <w:t xml:space="preserve"> </w:t>
      </w:r>
      <w:r w:rsidRPr="00C6052E">
        <w:t>appropriate,</w:t>
      </w:r>
      <w:r w:rsidR="00177848" w:rsidRPr="00C6052E">
        <w:t xml:space="preserve"> </w:t>
      </w:r>
      <w:r w:rsidRPr="00C6052E">
        <w:t>a</w:t>
      </w:r>
      <w:r w:rsidR="00177848" w:rsidRPr="00C6052E">
        <w:t xml:space="preserve"> </w:t>
      </w:r>
      <w:r w:rsidRPr="00C6052E">
        <w:t>shorter</w:t>
      </w:r>
      <w:r w:rsidR="00177848" w:rsidRPr="00C6052E">
        <w:t xml:space="preserve"> </w:t>
      </w:r>
      <w:r w:rsidRPr="00C6052E">
        <w:t>period.</w:t>
      </w:r>
    </w:p>
    <w:p w14:paraId="789E498A" w14:textId="558DCBED" w:rsidR="00EE5BB8" w:rsidRPr="006F1C8C" w:rsidRDefault="00EE5BB8" w:rsidP="006F1C8C">
      <w:pPr>
        <w:pStyle w:val="Normalbeforebullets"/>
        <w:rPr>
          <w:b/>
          <w:bCs/>
        </w:rPr>
      </w:pPr>
      <w:r w:rsidRPr="006F1C8C">
        <w:rPr>
          <w:b/>
          <w:bCs/>
        </w:rPr>
        <w:t>Financial</w:t>
      </w:r>
      <w:r w:rsidR="00177848" w:rsidRPr="006F1C8C">
        <w:rPr>
          <w:b/>
          <w:bCs/>
        </w:rPr>
        <w:t xml:space="preserve"> </w:t>
      </w:r>
      <w:r w:rsidRPr="006F1C8C">
        <w:rPr>
          <w:b/>
          <w:bCs/>
        </w:rPr>
        <w:t>asset</w:t>
      </w:r>
    </w:p>
    <w:p w14:paraId="6B782C5D" w14:textId="5B9D3988" w:rsidR="00EE5BB8" w:rsidRPr="00C6052E" w:rsidRDefault="00EE5BB8" w:rsidP="0028635E">
      <w:pPr>
        <w:pStyle w:val="Normalbeforebullets"/>
      </w:pPr>
      <w:r w:rsidRPr="00C6052E">
        <w:t>A</w:t>
      </w:r>
      <w:r w:rsidR="00177848" w:rsidRPr="00C6052E">
        <w:t xml:space="preserve"> </w:t>
      </w:r>
      <w:r w:rsidRPr="00C6052E">
        <w:t>financial</w:t>
      </w:r>
      <w:r w:rsidR="00177848" w:rsidRPr="00C6052E">
        <w:t xml:space="preserve"> </w:t>
      </w:r>
      <w:r w:rsidRPr="00C6052E">
        <w:t>asset</w:t>
      </w:r>
      <w:r w:rsidR="00177848" w:rsidRPr="00C6052E">
        <w:t xml:space="preserve"> </w:t>
      </w:r>
      <w:r w:rsidRPr="00C6052E">
        <w:t>is</w:t>
      </w:r>
      <w:r w:rsidR="00177848" w:rsidRPr="00C6052E">
        <w:t xml:space="preserve"> </w:t>
      </w:r>
      <w:r w:rsidRPr="00C6052E">
        <w:t>any</w:t>
      </w:r>
      <w:r w:rsidR="00177848" w:rsidRPr="00C6052E">
        <w:t xml:space="preserve"> </w:t>
      </w:r>
      <w:r w:rsidRPr="00C6052E">
        <w:t>asset</w:t>
      </w:r>
      <w:r w:rsidR="00177848" w:rsidRPr="00C6052E">
        <w:t xml:space="preserve"> </w:t>
      </w:r>
      <w:r w:rsidRPr="00C6052E">
        <w:t>that</w:t>
      </w:r>
      <w:r w:rsidR="00177848" w:rsidRPr="00C6052E">
        <w:t xml:space="preserve"> </w:t>
      </w:r>
      <w:r w:rsidRPr="00C6052E">
        <w:t>is:</w:t>
      </w:r>
    </w:p>
    <w:p w14:paraId="7C4AE816" w14:textId="77777777" w:rsidR="00EE5BB8" w:rsidRPr="00C6052E" w:rsidRDefault="00EE5BB8" w:rsidP="00EE5BB8">
      <w:pPr>
        <w:pStyle w:val="Bulleta"/>
        <w:numPr>
          <w:ilvl w:val="0"/>
          <w:numId w:val="43"/>
        </w:numPr>
      </w:pPr>
      <w:r w:rsidRPr="00C6052E">
        <w:t>cash</w:t>
      </w:r>
    </w:p>
    <w:p w14:paraId="60B6A161" w14:textId="6517A47C" w:rsidR="00EE5BB8" w:rsidRPr="00C6052E" w:rsidRDefault="00EE5BB8" w:rsidP="00EE5BB8">
      <w:pPr>
        <w:pStyle w:val="Bulleta"/>
        <w:ind w:left="284" w:hanging="284"/>
      </w:pPr>
      <w:r w:rsidRPr="00C6052E">
        <w:t>an</w:t>
      </w:r>
      <w:r w:rsidR="00177848" w:rsidRPr="00C6052E">
        <w:t xml:space="preserve"> </w:t>
      </w:r>
      <w:r w:rsidRPr="00C6052E">
        <w:t>equity</w:t>
      </w:r>
      <w:r w:rsidR="00177848" w:rsidRPr="00C6052E">
        <w:t xml:space="preserve"> </w:t>
      </w:r>
      <w:r w:rsidRPr="00C6052E">
        <w:t>instrument</w:t>
      </w:r>
      <w:r w:rsidR="00177848" w:rsidRPr="00C6052E">
        <w:t xml:space="preserve"> </w:t>
      </w:r>
      <w:r w:rsidRPr="00C6052E">
        <w:t>of</w:t>
      </w:r>
      <w:r w:rsidR="00177848" w:rsidRPr="00C6052E">
        <w:t xml:space="preserve"> </w:t>
      </w:r>
      <w:r w:rsidRPr="00C6052E">
        <w:t>another</w:t>
      </w:r>
      <w:r w:rsidR="00177848" w:rsidRPr="00C6052E">
        <w:t xml:space="preserve"> </w:t>
      </w:r>
      <w:r w:rsidRPr="00C6052E">
        <w:t>entity</w:t>
      </w:r>
    </w:p>
    <w:p w14:paraId="5959FD26" w14:textId="7DDB61EF" w:rsidR="00EE5BB8" w:rsidRPr="00C6052E" w:rsidRDefault="00EE5BB8" w:rsidP="00EE5BB8">
      <w:pPr>
        <w:pStyle w:val="Bulleta"/>
        <w:ind w:left="284" w:hanging="284"/>
      </w:pPr>
      <w:r w:rsidRPr="00C6052E">
        <w:lastRenderedPageBreak/>
        <w:t>a</w:t>
      </w:r>
      <w:r w:rsidR="00177848" w:rsidRPr="00C6052E">
        <w:t xml:space="preserve"> </w:t>
      </w:r>
      <w:r w:rsidRPr="00C6052E">
        <w:t>contractual</w:t>
      </w:r>
      <w:r w:rsidR="00177848" w:rsidRPr="00C6052E">
        <w:t xml:space="preserve"> </w:t>
      </w:r>
      <w:r w:rsidRPr="00C6052E">
        <w:t>right</w:t>
      </w:r>
      <w:r w:rsidR="00177848" w:rsidRPr="00C6052E">
        <w:t xml:space="preserve"> </w:t>
      </w:r>
      <w:r w:rsidRPr="00C6052E">
        <w:t>or</w:t>
      </w:r>
      <w:r w:rsidR="00177848" w:rsidRPr="00C6052E">
        <w:t xml:space="preserve"> </w:t>
      </w:r>
      <w:r w:rsidRPr="00C6052E">
        <w:t>statutory</w:t>
      </w:r>
      <w:r w:rsidR="00177848" w:rsidRPr="00C6052E">
        <w:t xml:space="preserve"> </w:t>
      </w:r>
      <w:r w:rsidRPr="00C6052E">
        <w:t>right:</w:t>
      </w:r>
    </w:p>
    <w:p w14:paraId="6C517EC2" w14:textId="00180757" w:rsidR="00EE5BB8" w:rsidRPr="00C6052E" w:rsidRDefault="00EE5BB8" w:rsidP="00EE5BB8">
      <w:pPr>
        <w:pStyle w:val="Bullet2"/>
        <w:numPr>
          <w:ilvl w:val="0"/>
          <w:numId w:val="11"/>
        </w:numPr>
        <w:ind w:left="568" w:hanging="284"/>
      </w:pPr>
      <w:r w:rsidRPr="00C6052E">
        <w:t>to</w:t>
      </w:r>
      <w:r w:rsidR="00177848" w:rsidRPr="00C6052E">
        <w:t xml:space="preserve"> </w:t>
      </w:r>
      <w:r w:rsidRPr="00C6052E">
        <w:t>receive</w:t>
      </w:r>
      <w:r w:rsidR="00177848" w:rsidRPr="00C6052E">
        <w:t xml:space="preserve"> </w:t>
      </w:r>
      <w:r w:rsidRPr="00C6052E">
        <w:t>cash</w:t>
      </w:r>
      <w:r w:rsidR="00177848" w:rsidRPr="00C6052E">
        <w:t xml:space="preserve"> </w:t>
      </w:r>
      <w:r w:rsidRPr="00C6052E">
        <w:t>or</w:t>
      </w:r>
      <w:r w:rsidR="00177848" w:rsidRPr="00C6052E">
        <w:t xml:space="preserve"> </w:t>
      </w:r>
      <w:r w:rsidRPr="00C6052E">
        <w:t>another</w:t>
      </w:r>
      <w:r w:rsidR="00177848" w:rsidRPr="00C6052E">
        <w:t xml:space="preserve"> </w:t>
      </w:r>
      <w:r w:rsidRPr="00C6052E">
        <w:t>financial</w:t>
      </w:r>
      <w:r w:rsidR="00177848" w:rsidRPr="00C6052E">
        <w:t xml:space="preserve"> </w:t>
      </w:r>
      <w:r w:rsidRPr="00C6052E">
        <w:t>asset</w:t>
      </w:r>
      <w:r w:rsidR="00177848" w:rsidRPr="00C6052E">
        <w:t xml:space="preserve"> </w:t>
      </w:r>
      <w:r w:rsidRPr="00C6052E">
        <w:t>from</w:t>
      </w:r>
      <w:r w:rsidR="00177848" w:rsidRPr="00C6052E">
        <w:t xml:space="preserve"> </w:t>
      </w:r>
      <w:r w:rsidRPr="00C6052E">
        <w:t>another</w:t>
      </w:r>
      <w:r w:rsidR="00177848" w:rsidRPr="00C6052E">
        <w:t xml:space="preserve"> </w:t>
      </w:r>
      <w:r w:rsidRPr="00C6052E">
        <w:t>entity;</w:t>
      </w:r>
      <w:r w:rsidR="00177848" w:rsidRPr="00C6052E">
        <w:t xml:space="preserve"> </w:t>
      </w:r>
      <w:r w:rsidRPr="00C6052E">
        <w:t>or</w:t>
      </w:r>
    </w:p>
    <w:p w14:paraId="0D78BE28" w14:textId="4BECC255" w:rsidR="00EE5BB8" w:rsidRPr="00C6052E" w:rsidRDefault="00EE5BB8" w:rsidP="00EE5BB8">
      <w:pPr>
        <w:pStyle w:val="Bullet2last"/>
        <w:numPr>
          <w:ilvl w:val="0"/>
          <w:numId w:val="11"/>
        </w:numPr>
        <w:ind w:left="568" w:hanging="284"/>
      </w:pPr>
      <w:r w:rsidRPr="00C6052E">
        <w:t>to</w:t>
      </w:r>
      <w:r w:rsidR="00177848" w:rsidRPr="00C6052E">
        <w:t xml:space="preserve"> </w:t>
      </w:r>
      <w:r w:rsidRPr="00C6052E">
        <w:t>exchange</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or</w:t>
      </w:r>
      <w:r w:rsidR="00177848" w:rsidRPr="00C6052E">
        <w:t xml:space="preserve"> </w:t>
      </w:r>
      <w:r w:rsidRPr="00C6052E">
        <w:t>financial</w:t>
      </w:r>
      <w:r w:rsidR="00177848" w:rsidRPr="00C6052E">
        <w:t xml:space="preserve"> </w:t>
      </w:r>
      <w:r w:rsidRPr="00C6052E">
        <w:t>liabilities</w:t>
      </w:r>
      <w:r w:rsidR="00177848" w:rsidRPr="00C6052E">
        <w:t xml:space="preserve"> </w:t>
      </w:r>
      <w:r w:rsidRPr="00C6052E">
        <w:t>with</w:t>
      </w:r>
      <w:r w:rsidR="00177848" w:rsidRPr="00C6052E">
        <w:t xml:space="preserve"> </w:t>
      </w:r>
      <w:r w:rsidRPr="00C6052E">
        <w:t>another</w:t>
      </w:r>
      <w:r w:rsidR="00177848" w:rsidRPr="00C6052E">
        <w:t xml:space="preserve"> </w:t>
      </w:r>
      <w:r w:rsidRPr="00C6052E">
        <w:t>entity</w:t>
      </w:r>
      <w:r w:rsidR="00177848" w:rsidRPr="00C6052E">
        <w:t xml:space="preserve"> </w:t>
      </w:r>
      <w:r w:rsidRPr="00C6052E">
        <w:t>under</w:t>
      </w:r>
      <w:r w:rsidR="00177848" w:rsidRPr="00C6052E">
        <w:t xml:space="preserve"> </w:t>
      </w:r>
      <w:r w:rsidRPr="00C6052E">
        <w:t>conditions</w:t>
      </w:r>
      <w:r w:rsidR="00177848" w:rsidRPr="00C6052E">
        <w:t xml:space="preserve"> </w:t>
      </w:r>
      <w:r w:rsidRPr="00C6052E">
        <w:t>that</w:t>
      </w:r>
      <w:r w:rsidR="00177848" w:rsidRPr="00C6052E">
        <w:t xml:space="preserve"> </w:t>
      </w:r>
      <w:r w:rsidRPr="00C6052E">
        <w:t>are</w:t>
      </w:r>
      <w:r w:rsidR="00177848" w:rsidRPr="00C6052E">
        <w:t xml:space="preserve"> </w:t>
      </w:r>
      <w:r w:rsidRPr="00C6052E">
        <w:t>potentially</w:t>
      </w:r>
      <w:r w:rsidR="00177848" w:rsidRPr="00C6052E">
        <w:t xml:space="preserve"> </w:t>
      </w:r>
      <w:r w:rsidRPr="00C6052E">
        <w:t>favourable</w:t>
      </w:r>
      <w:r w:rsidR="00177848" w:rsidRPr="00C6052E">
        <w:t xml:space="preserve"> </w:t>
      </w:r>
      <w:r w:rsidRPr="00C6052E">
        <w:t>to</w:t>
      </w:r>
      <w:r w:rsidR="00177848" w:rsidRPr="00C6052E">
        <w:t xml:space="preserve"> </w:t>
      </w:r>
      <w:r w:rsidRPr="00C6052E">
        <w:t>the</w:t>
      </w:r>
      <w:r w:rsidR="00177848" w:rsidRPr="00C6052E">
        <w:t xml:space="preserve"> </w:t>
      </w:r>
      <w:r w:rsidRPr="00C6052E">
        <w:t>entity;</w:t>
      </w:r>
      <w:r w:rsidR="00177848" w:rsidRPr="00C6052E">
        <w:t xml:space="preserve"> </w:t>
      </w:r>
      <w:r w:rsidRPr="00C6052E">
        <w:t>or</w:t>
      </w:r>
      <w:r w:rsidR="00177848" w:rsidRPr="00C6052E">
        <w:t xml:space="preserve"> </w:t>
      </w:r>
    </w:p>
    <w:p w14:paraId="6C23CABD" w14:textId="3188140D" w:rsidR="00EE5BB8" w:rsidRPr="00C6052E" w:rsidRDefault="00EE5BB8" w:rsidP="00EE5BB8">
      <w:pPr>
        <w:pStyle w:val="Bulleta"/>
        <w:ind w:left="284" w:hanging="284"/>
      </w:pPr>
      <w:r w:rsidRPr="00C6052E">
        <w:t>a</w:t>
      </w:r>
      <w:r w:rsidR="00177848" w:rsidRPr="00C6052E">
        <w:t xml:space="preserve"> </w:t>
      </w:r>
      <w:r w:rsidRPr="00C6052E">
        <w:t>contract</w:t>
      </w:r>
      <w:r w:rsidR="00177848" w:rsidRPr="00C6052E">
        <w:t xml:space="preserve"> </w:t>
      </w:r>
      <w:r w:rsidRPr="00C6052E">
        <w:t>that</w:t>
      </w:r>
      <w:r w:rsidR="00177848" w:rsidRPr="00C6052E">
        <w:t xml:space="preserve"> </w:t>
      </w:r>
      <w:r w:rsidRPr="00C6052E">
        <w:t>will</w:t>
      </w:r>
      <w:r w:rsidR="00177848" w:rsidRPr="00C6052E">
        <w:t xml:space="preserve"> </w:t>
      </w:r>
      <w:r w:rsidRPr="00C6052E">
        <w:t>or</w:t>
      </w:r>
      <w:r w:rsidR="00177848" w:rsidRPr="00C6052E">
        <w:t xml:space="preserve"> </w:t>
      </w:r>
      <w:r w:rsidRPr="00C6052E">
        <w:t>may</w:t>
      </w:r>
      <w:r w:rsidR="00177848" w:rsidRPr="00C6052E">
        <w:t xml:space="preserve"> </w:t>
      </w:r>
      <w:r w:rsidRPr="00C6052E">
        <w:t>be</w:t>
      </w:r>
      <w:r w:rsidR="00177848" w:rsidRPr="00C6052E">
        <w:t xml:space="preserve"> </w:t>
      </w:r>
      <w:r w:rsidRPr="00C6052E">
        <w:t>settled</w:t>
      </w:r>
      <w:r w:rsidR="00177848" w:rsidRPr="00C6052E">
        <w:t xml:space="preserve"> </w:t>
      </w:r>
      <w:r w:rsidRPr="00C6052E">
        <w:t>in</w:t>
      </w:r>
      <w:r w:rsidR="00177848" w:rsidRPr="00C6052E">
        <w:t xml:space="preserve"> </w:t>
      </w:r>
      <w:r w:rsidRPr="00C6052E">
        <w:t>the</w:t>
      </w:r>
      <w:r w:rsidR="00177848" w:rsidRPr="00C6052E">
        <w:t xml:space="preserve"> </w:t>
      </w:r>
      <w:r w:rsidRPr="00C6052E">
        <w:t>entity’s</w:t>
      </w:r>
      <w:r w:rsidR="00177848" w:rsidRPr="00C6052E">
        <w:t xml:space="preserve"> </w:t>
      </w:r>
      <w:r w:rsidRPr="00C6052E">
        <w:t>own</w:t>
      </w:r>
      <w:r w:rsidR="00177848" w:rsidRPr="00C6052E">
        <w:t xml:space="preserve"> </w:t>
      </w:r>
      <w:r w:rsidRPr="00C6052E">
        <w:t>equity</w:t>
      </w:r>
      <w:r w:rsidR="00177848" w:rsidRPr="00C6052E">
        <w:t xml:space="preserve"> </w:t>
      </w:r>
      <w:r w:rsidRPr="00C6052E">
        <w:t>instruments</w:t>
      </w:r>
      <w:r w:rsidR="00177848" w:rsidRPr="00C6052E">
        <w:t xml:space="preserve"> </w:t>
      </w:r>
      <w:r w:rsidRPr="00C6052E">
        <w:t>and</w:t>
      </w:r>
      <w:r w:rsidR="00177848" w:rsidRPr="00C6052E">
        <w:t xml:space="preserve"> </w:t>
      </w:r>
      <w:r w:rsidRPr="00C6052E">
        <w:t>is</w:t>
      </w:r>
    </w:p>
    <w:p w14:paraId="34259611" w14:textId="573A71EA" w:rsidR="00EE5BB8" w:rsidRPr="00C6052E" w:rsidRDefault="00EE5BB8" w:rsidP="00EE5BB8">
      <w:pPr>
        <w:pStyle w:val="Bullet2"/>
        <w:numPr>
          <w:ilvl w:val="0"/>
          <w:numId w:val="11"/>
        </w:numPr>
        <w:ind w:left="568" w:hanging="284"/>
      </w:pPr>
      <w:r w:rsidRPr="00C6052E">
        <w:t>a</w:t>
      </w:r>
      <w:r w:rsidR="00177848" w:rsidRPr="00C6052E">
        <w:t xml:space="preserve"> </w:t>
      </w:r>
      <w:r w:rsidRPr="00C6052E">
        <w:t>non–derivative</w:t>
      </w:r>
      <w:r w:rsidR="00177848" w:rsidRPr="00C6052E">
        <w:t xml:space="preserve"> </w:t>
      </w:r>
      <w:r w:rsidRPr="00C6052E">
        <w:t>for</w:t>
      </w:r>
      <w:r w:rsidR="00177848" w:rsidRPr="00C6052E">
        <w:t xml:space="preserve"> </w:t>
      </w:r>
      <w:r w:rsidRPr="00C6052E">
        <w:t>which</w:t>
      </w:r>
      <w:r w:rsidR="00177848" w:rsidRPr="00C6052E">
        <w:t xml:space="preserve"> </w:t>
      </w:r>
      <w:r w:rsidRPr="00C6052E">
        <w:t>the</w:t>
      </w:r>
      <w:r w:rsidR="00177848" w:rsidRPr="00C6052E">
        <w:t xml:space="preserve"> </w:t>
      </w:r>
      <w:r w:rsidRPr="00C6052E">
        <w:t>entity</w:t>
      </w:r>
      <w:r w:rsidR="00177848" w:rsidRPr="00C6052E">
        <w:t xml:space="preserve"> </w:t>
      </w:r>
      <w:r w:rsidRPr="00C6052E">
        <w:t>is</w:t>
      </w:r>
      <w:r w:rsidR="00177848" w:rsidRPr="00C6052E">
        <w:t xml:space="preserve"> </w:t>
      </w:r>
      <w:r w:rsidRPr="00C6052E">
        <w:t>or</w:t>
      </w:r>
      <w:r w:rsidR="00177848" w:rsidRPr="00C6052E">
        <w:t xml:space="preserve"> </w:t>
      </w:r>
      <w:r w:rsidRPr="00C6052E">
        <w:t>may</w:t>
      </w:r>
      <w:r w:rsidR="00177848" w:rsidRPr="00C6052E">
        <w:t xml:space="preserve"> </w:t>
      </w:r>
      <w:r w:rsidRPr="00C6052E">
        <w:t>be</w:t>
      </w:r>
      <w:r w:rsidR="00177848" w:rsidRPr="00C6052E">
        <w:t xml:space="preserve"> </w:t>
      </w:r>
      <w:r w:rsidRPr="00C6052E">
        <w:t>obliged</w:t>
      </w:r>
      <w:r w:rsidR="00177848" w:rsidRPr="00C6052E">
        <w:t xml:space="preserve"> </w:t>
      </w:r>
      <w:r w:rsidRPr="00C6052E">
        <w:t>to</w:t>
      </w:r>
      <w:r w:rsidR="00177848" w:rsidRPr="00C6052E">
        <w:t xml:space="preserve"> </w:t>
      </w:r>
      <w:r w:rsidRPr="00C6052E">
        <w:t>receive</w:t>
      </w:r>
      <w:r w:rsidR="00177848" w:rsidRPr="00C6052E">
        <w:t xml:space="preserve"> </w:t>
      </w:r>
      <w:r w:rsidRPr="00C6052E">
        <w:t>a</w:t>
      </w:r>
      <w:r w:rsidR="00177848" w:rsidRPr="00C6052E">
        <w:t xml:space="preserve"> </w:t>
      </w:r>
      <w:r w:rsidRPr="00C6052E">
        <w:t>variable</w:t>
      </w:r>
      <w:r w:rsidR="00177848" w:rsidRPr="00C6052E">
        <w:t xml:space="preserve"> </w:t>
      </w:r>
      <w:r w:rsidRPr="00C6052E">
        <w:t>number</w:t>
      </w:r>
      <w:r w:rsidR="00177848" w:rsidRPr="00C6052E">
        <w:t xml:space="preserve"> </w:t>
      </w:r>
      <w:r w:rsidRPr="00C6052E">
        <w:t>of</w:t>
      </w:r>
      <w:r w:rsidR="00177848" w:rsidRPr="00C6052E">
        <w:t xml:space="preserve"> </w:t>
      </w:r>
      <w:r w:rsidRPr="00C6052E">
        <w:t>the</w:t>
      </w:r>
      <w:r w:rsidR="00177848" w:rsidRPr="00C6052E">
        <w:t xml:space="preserve"> </w:t>
      </w:r>
      <w:r w:rsidRPr="00C6052E">
        <w:t>entity’s</w:t>
      </w:r>
      <w:r w:rsidR="00177848" w:rsidRPr="00C6052E">
        <w:t xml:space="preserve"> </w:t>
      </w:r>
      <w:r w:rsidRPr="00C6052E">
        <w:t>own</w:t>
      </w:r>
      <w:r w:rsidR="00177848" w:rsidRPr="00C6052E">
        <w:t xml:space="preserve"> </w:t>
      </w:r>
      <w:r w:rsidRPr="00C6052E">
        <w:t>equity</w:t>
      </w:r>
      <w:r w:rsidR="00177848" w:rsidRPr="00C6052E">
        <w:t xml:space="preserve"> </w:t>
      </w:r>
      <w:r w:rsidRPr="00C6052E">
        <w:t>instruments;</w:t>
      </w:r>
      <w:r w:rsidR="00177848" w:rsidRPr="00C6052E">
        <w:t xml:space="preserve"> </w:t>
      </w:r>
      <w:r w:rsidRPr="00C6052E">
        <w:t>or</w:t>
      </w:r>
    </w:p>
    <w:p w14:paraId="20FAE91D" w14:textId="105D03FE" w:rsidR="00EE5BB8" w:rsidRPr="00C6052E" w:rsidRDefault="00EE5BB8" w:rsidP="00EE5BB8">
      <w:pPr>
        <w:pStyle w:val="Bullet2last"/>
        <w:numPr>
          <w:ilvl w:val="0"/>
          <w:numId w:val="11"/>
        </w:numPr>
        <w:ind w:left="568" w:hanging="284"/>
      </w:pPr>
      <w:r w:rsidRPr="00C6052E">
        <w:t>a</w:t>
      </w:r>
      <w:r w:rsidR="00177848" w:rsidRPr="00C6052E">
        <w:t xml:space="preserve"> </w:t>
      </w:r>
      <w:r w:rsidRPr="00C6052E">
        <w:t>derivative</w:t>
      </w:r>
      <w:r w:rsidR="00177848" w:rsidRPr="00C6052E">
        <w:t xml:space="preserve"> </w:t>
      </w:r>
      <w:r w:rsidRPr="00C6052E">
        <w:t>that</w:t>
      </w:r>
      <w:r w:rsidR="00177848" w:rsidRPr="00C6052E">
        <w:t xml:space="preserve"> </w:t>
      </w:r>
      <w:r w:rsidRPr="00C6052E">
        <w:t>will</w:t>
      </w:r>
      <w:r w:rsidR="00177848" w:rsidRPr="00C6052E">
        <w:t xml:space="preserve"> </w:t>
      </w:r>
      <w:r w:rsidRPr="00C6052E">
        <w:t>or</w:t>
      </w:r>
      <w:r w:rsidR="00177848" w:rsidRPr="00C6052E">
        <w:t xml:space="preserve"> </w:t>
      </w:r>
      <w:r w:rsidRPr="00C6052E">
        <w:t>may</w:t>
      </w:r>
      <w:r w:rsidR="00177848" w:rsidRPr="00C6052E">
        <w:t xml:space="preserve"> </w:t>
      </w:r>
      <w:r w:rsidRPr="00C6052E">
        <w:t>be</w:t>
      </w:r>
      <w:r w:rsidR="00177848" w:rsidRPr="00C6052E">
        <w:t xml:space="preserve"> </w:t>
      </w:r>
      <w:r w:rsidRPr="00C6052E">
        <w:t>settled</w:t>
      </w:r>
      <w:r w:rsidR="00177848" w:rsidRPr="00C6052E">
        <w:t xml:space="preserve"> </w:t>
      </w:r>
      <w:r w:rsidRPr="00C6052E">
        <w:t>other</w:t>
      </w:r>
      <w:r w:rsidR="00177848" w:rsidRPr="00C6052E">
        <w:t xml:space="preserve"> </w:t>
      </w:r>
      <w:r w:rsidRPr="00C6052E">
        <w:t>than</w:t>
      </w:r>
      <w:r w:rsidR="00177848" w:rsidRPr="00C6052E">
        <w:t xml:space="preserve"> </w:t>
      </w:r>
      <w:r w:rsidRPr="00C6052E">
        <w:t>by</w:t>
      </w:r>
      <w:r w:rsidR="00177848" w:rsidRPr="00C6052E">
        <w:t xml:space="preserve"> </w:t>
      </w:r>
      <w:r w:rsidRPr="00C6052E">
        <w:t>the</w:t>
      </w:r>
      <w:r w:rsidR="00177848" w:rsidRPr="00C6052E">
        <w:t xml:space="preserve"> </w:t>
      </w:r>
      <w:r w:rsidRPr="00C6052E">
        <w:t>exchange</w:t>
      </w:r>
      <w:r w:rsidR="00177848" w:rsidRPr="00C6052E">
        <w:t xml:space="preserve"> </w:t>
      </w:r>
      <w:r w:rsidRPr="00C6052E">
        <w:t>of</w:t>
      </w:r>
      <w:r w:rsidR="00177848" w:rsidRPr="00C6052E">
        <w:t xml:space="preserve"> </w:t>
      </w:r>
      <w:r w:rsidRPr="00C6052E">
        <w:t>a</w:t>
      </w:r>
      <w:r w:rsidR="00177848" w:rsidRPr="00C6052E">
        <w:t xml:space="preserve"> </w:t>
      </w:r>
      <w:r w:rsidRPr="00C6052E">
        <w:t>fixed</w:t>
      </w:r>
      <w:r w:rsidR="00177848" w:rsidRPr="00C6052E">
        <w:t xml:space="preserve"> </w:t>
      </w:r>
      <w:r w:rsidRPr="00C6052E">
        <w:t>amount</w:t>
      </w:r>
      <w:r w:rsidR="00177848" w:rsidRPr="00C6052E">
        <w:t xml:space="preserve"> </w:t>
      </w:r>
      <w:r w:rsidRPr="00C6052E">
        <w:t>of</w:t>
      </w:r>
      <w:r w:rsidR="00177848" w:rsidRPr="00C6052E">
        <w:t xml:space="preserve"> </w:t>
      </w:r>
      <w:r w:rsidRPr="00C6052E">
        <w:t>cash</w:t>
      </w:r>
      <w:r w:rsidR="00177848" w:rsidRPr="00C6052E">
        <w:t xml:space="preserve"> </w:t>
      </w:r>
      <w:r w:rsidRPr="00C6052E">
        <w:t>or</w:t>
      </w:r>
      <w:r w:rsidR="00177848" w:rsidRPr="00C6052E">
        <w:t xml:space="preserve"> </w:t>
      </w:r>
      <w:r w:rsidRPr="00C6052E">
        <w:t>another</w:t>
      </w:r>
      <w:r w:rsidR="00177848" w:rsidRPr="00C6052E">
        <w:t xml:space="preserve"> </w:t>
      </w:r>
      <w:r w:rsidRPr="00C6052E">
        <w:t>financial</w:t>
      </w:r>
      <w:r w:rsidR="00177848" w:rsidRPr="00C6052E">
        <w:t xml:space="preserve"> </w:t>
      </w:r>
      <w:r w:rsidRPr="00C6052E">
        <w:t>asset</w:t>
      </w:r>
      <w:r w:rsidR="00177848" w:rsidRPr="00C6052E">
        <w:t xml:space="preserve"> </w:t>
      </w:r>
      <w:r w:rsidRPr="00C6052E">
        <w:t>for</w:t>
      </w:r>
      <w:r w:rsidR="00177848" w:rsidRPr="00C6052E">
        <w:t xml:space="preserve"> </w:t>
      </w:r>
      <w:r w:rsidRPr="00C6052E">
        <w:t>a</w:t>
      </w:r>
      <w:r w:rsidR="00177848" w:rsidRPr="00C6052E">
        <w:t xml:space="preserve"> </w:t>
      </w:r>
      <w:r w:rsidRPr="00C6052E">
        <w:t>fixed</w:t>
      </w:r>
      <w:r w:rsidR="00177848" w:rsidRPr="00C6052E">
        <w:t xml:space="preserve"> </w:t>
      </w:r>
      <w:r w:rsidRPr="00C6052E">
        <w:t>number</w:t>
      </w:r>
      <w:r w:rsidR="00177848" w:rsidRPr="00C6052E">
        <w:t xml:space="preserve"> </w:t>
      </w:r>
      <w:r w:rsidRPr="00C6052E">
        <w:t>of</w:t>
      </w:r>
      <w:r w:rsidR="00177848" w:rsidRPr="00C6052E">
        <w:t xml:space="preserve"> </w:t>
      </w:r>
      <w:r w:rsidRPr="00C6052E">
        <w:t>the</w:t>
      </w:r>
      <w:r w:rsidR="00177848" w:rsidRPr="00C6052E">
        <w:t xml:space="preserve"> </w:t>
      </w:r>
      <w:r w:rsidRPr="00C6052E">
        <w:t>entity’s</w:t>
      </w:r>
      <w:r w:rsidR="00177848" w:rsidRPr="00C6052E">
        <w:t xml:space="preserve"> </w:t>
      </w:r>
      <w:r w:rsidRPr="00C6052E">
        <w:t>own</w:t>
      </w:r>
      <w:r w:rsidR="00177848" w:rsidRPr="00C6052E">
        <w:t xml:space="preserve"> </w:t>
      </w:r>
      <w:r w:rsidRPr="00C6052E">
        <w:t>equity</w:t>
      </w:r>
      <w:r w:rsidR="00177848" w:rsidRPr="00C6052E">
        <w:t xml:space="preserve"> </w:t>
      </w:r>
      <w:r w:rsidRPr="00C6052E">
        <w:t>instruments.</w:t>
      </w:r>
    </w:p>
    <w:p w14:paraId="54CDB654" w14:textId="477A2188" w:rsidR="00EE5BB8" w:rsidRPr="006F1C8C" w:rsidRDefault="00EE5BB8" w:rsidP="006F1C8C">
      <w:pPr>
        <w:pStyle w:val="Normalbeforebullets"/>
        <w:rPr>
          <w:b/>
          <w:bCs/>
        </w:rPr>
      </w:pPr>
      <w:r w:rsidRPr="006F1C8C">
        <w:rPr>
          <w:b/>
          <w:bCs/>
        </w:rPr>
        <w:t>Financial</w:t>
      </w:r>
      <w:r w:rsidR="00177848" w:rsidRPr="006F1C8C">
        <w:rPr>
          <w:b/>
          <w:bCs/>
        </w:rPr>
        <w:t xml:space="preserve"> </w:t>
      </w:r>
      <w:r w:rsidRPr="006F1C8C">
        <w:rPr>
          <w:b/>
          <w:bCs/>
        </w:rPr>
        <w:t>instrument</w:t>
      </w:r>
    </w:p>
    <w:p w14:paraId="72D8A894" w14:textId="5D1E64B7" w:rsidR="00EE5BB8" w:rsidRPr="00C6052E" w:rsidRDefault="00EE5BB8" w:rsidP="00EE5BB8">
      <w:r w:rsidRPr="00C6052E">
        <w:t>A</w:t>
      </w:r>
      <w:r w:rsidR="00177848" w:rsidRPr="00C6052E">
        <w:t xml:space="preserve"> </w:t>
      </w:r>
      <w:r w:rsidRPr="00C6052E">
        <w:t>financial</w:t>
      </w:r>
      <w:r w:rsidR="00177848" w:rsidRPr="00C6052E">
        <w:t xml:space="preserve"> </w:t>
      </w:r>
      <w:r w:rsidRPr="00C6052E">
        <w:t>instrument</w:t>
      </w:r>
      <w:r w:rsidR="00177848" w:rsidRPr="00C6052E">
        <w:t xml:space="preserve"> </w:t>
      </w:r>
      <w:r w:rsidRPr="00C6052E">
        <w:t>is</w:t>
      </w:r>
      <w:r w:rsidR="00177848" w:rsidRPr="00C6052E">
        <w:t xml:space="preserve"> </w:t>
      </w:r>
      <w:r w:rsidRPr="00C6052E">
        <w:t>any</w:t>
      </w:r>
      <w:r w:rsidR="00177848" w:rsidRPr="00C6052E">
        <w:t xml:space="preserve"> </w:t>
      </w:r>
      <w:r w:rsidRPr="00C6052E">
        <w:t>contract</w:t>
      </w:r>
      <w:r w:rsidR="00177848" w:rsidRPr="00C6052E">
        <w:t xml:space="preserve"> </w:t>
      </w:r>
      <w:r w:rsidRPr="00C6052E">
        <w:t>that</w:t>
      </w:r>
      <w:r w:rsidR="00177848" w:rsidRPr="00C6052E">
        <w:t xml:space="preserve"> </w:t>
      </w:r>
      <w:r w:rsidRPr="00C6052E">
        <w:t>gives</w:t>
      </w:r>
      <w:r w:rsidR="00177848" w:rsidRPr="00C6052E">
        <w:t xml:space="preserve"> </w:t>
      </w:r>
      <w:r w:rsidRPr="00C6052E">
        <w:t>rise</w:t>
      </w:r>
      <w:r w:rsidR="00177848" w:rsidRPr="00C6052E">
        <w:t xml:space="preserve"> </w:t>
      </w:r>
      <w:r w:rsidRPr="00C6052E">
        <w:t>to</w:t>
      </w:r>
      <w:r w:rsidR="00177848" w:rsidRPr="00C6052E">
        <w:t xml:space="preserve"> </w:t>
      </w:r>
      <w:r w:rsidRPr="00C6052E">
        <w:t>a</w:t>
      </w:r>
      <w:r w:rsidR="00177848" w:rsidRPr="00C6052E">
        <w:t xml:space="preserve"> </w:t>
      </w:r>
      <w:r w:rsidRPr="00C6052E">
        <w:t>financial</w:t>
      </w:r>
      <w:r w:rsidR="00177848" w:rsidRPr="00C6052E">
        <w:t xml:space="preserve"> </w:t>
      </w:r>
      <w:r w:rsidRPr="00C6052E">
        <w:t>asset</w:t>
      </w:r>
      <w:r w:rsidR="00177848" w:rsidRPr="00C6052E">
        <w:t xml:space="preserve"> </w:t>
      </w:r>
      <w:r w:rsidRPr="00C6052E">
        <w:t>of</w:t>
      </w:r>
      <w:r w:rsidR="00177848" w:rsidRPr="00C6052E">
        <w:t xml:space="preserve"> </w:t>
      </w:r>
      <w:r w:rsidRPr="00C6052E">
        <w:t>one</w:t>
      </w:r>
      <w:r w:rsidR="00177848" w:rsidRPr="00C6052E">
        <w:t xml:space="preserve"> </w:t>
      </w:r>
      <w:r w:rsidRPr="00C6052E">
        <w:t>entity</w:t>
      </w:r>
      <w:r w:rsidR="00177848" w:rsidRPr="00C6052E">
        <w:t xml:space="preserve"> </w:t>
      </w:r>
      <w:r w:rsidRPr="00C6052E">
        <w:t>and</w:t>
      </w:r>
      <w:r w:rsidR="00177848" w:rsidRPr="00C6052E">
        <w:t xml:space="preserve"> </w:t>
      </w:r>
      <w:r w:rsidRPr="00C6052E">
        <w:t>a</w:t>
      </w:r>
      <w:r w:rsidR="00177848" w:rsidRPr="00C6052E">
        <w:t xml:space="preserve"> </w:t>
      </w:r>
      <w:r w:rsidRPr="00C6052E">
        <w:t>financial</w:t>
      </w:r>
      <w:r w:rsidR="00177848" w:rsidRPr="00C6052E">
        <w:t xml:space="preserve"> </w:t>
      </w:r>
      <w:r w:rsidRPr="00C6052E">
        <w:t>liability</w:t>
      </w:r>
      <w:r w:rsidR="00177848" w:rsidRPr="00C6052E">
        <w:t xml:space="preserve"> </w:t>
      </w:r>
      <w:r w:rsidRPr="00C6052E">
        <w:t>or</w:t>
      </w:r>
      <w:r w:rsidR="00177848" w:rsidRPr="00C6052E">
        <w:t xml:space="preserve"> </w:t>
      </w:r>
      <w:r w:rsidRPr="00C6052E">
        <w:t>equity</w:t>
      </w:r>
      <w:r w:rsidR="00177848" w:rsidRPr="00C6052E">
        <w:t xml:space="preserve"> </w:t>
      </w:r>
      <w:r w:rsidRPr="00C6052E">
        <w:t>instrument</w:t>
      </w:r>
      <w:r w:rsidR="00177848" w:rsidRPr="00C6052E">
        <w:t xml:space="preserve"> </w:t>
      </w:r>
      <w:r w:rsidRPr="00C6052E">
        <w:t>of</w:t>
      </w:r>
      <w:r w:rsidR="00177848" w:rsidRPr="00C6052E">
        <w:t xml:space="preserve"> </w:t>
      </w:r>
      <w:r w:rsidRPr="00C6052E">
        <w:t>another</w:t>
      </w:r>
      <w:r w:rsidR="00177848" w:rsidRPr="00C6052E">
        <w:t xml:space="preserve"> </w:t>
      </w:r>
      <w:r w:rsidRPr="00C6052E">
        <w:t>entity.</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or</w:t>
      </w:r>
      <w:r w:rsidR="00177848" w:rsidRPr="00C6052E">
        <w:t xml:space="preserve"> </w:t>
      </w:r>
      <w:r w:rsidRPr="00C6052E">
        <w:t>liabilities</w:t>
      </w:r>
      <w:r w:rsidR="00177848" w:rsidRPr="00C6052E">
        <w:t xml:space="preserve"> </w:t>
      </w:r>
      <w:r w:rsidRPr="00C6052E">
        <w:t>that</w:t>
      </w:r>
      <w:r w:rsidR="00177848" w:rsidRPr="00C6052E">
        <w:t xml:space="preserve"> </w:t>
      </w:r>
      <w:r w:rsidRPr="00C6052E">
        <w:t>are</w:t>
      </w:r>
      <w:r w:rsidR="00177848" w:rsidRPr="00C6052E">
        <w:t xml:space="preserve"> </w:t>
      </w:r>
      <w:r w:rsidRPr="00C6052E">
        <w:t>not</w:t>
      </w:r>
      <w:r w:rsidR="00177848" w:rsidRPr="00C6052E">
        <w:t xml:space="preserve"> </w:t>
      </w:r>
      <w:r w:rsidRPr="00C6052E">
        <w:t>contractual</w:t>
      </w:r>
      <w:r w:rsidR="00177848" w:rsidRPr="00C6052E">
        <w:t xml:space="preserve"> </w:t>
      </w:r>
      <w:r w:rsidRPr="00C6052E">
        <w:t>(such</w:t>
      </w:r>
      <w:r w:rsidR="00177848" w:rsidRPr="00C6052E">
        <w:t xml:space="preserve"> </w:t>
      </w:r>
      <w:r w:rsidRPr="00C6052E">
        <w:t>as</w:t>
      </w:r>
      <w:r w:rsidR="00177848" w:rsidRPr="00C6052E">
        <w:t xml:space="preserve"> </w:t>
      </w:r>
      <w:r w:rsidRPr="00C6052E">
        <w:t>statutory</w:t>
      </w:r>
      <w:r w:rsidR="00177848" w:rsidRPr="00C6052E">
        <w:t xml:space="preserve"> </w:t>
      </w:r>
      <w:r w:rsidRPr="00C6052E">
        <w:t>receivables</w:t>
      </w:r>
      <w:r w:rsidR="00177848" w:rsidRPr="00C6052E">
        <w:t xml:space="preserve"> </w:t>
      </w:r>
      <w:r w:rsidRPr="00C6052E">
        <w:t>or</w:t>
      </w:r>
      <w:r w:rsidR="00177848" w:rsidRPr="00C6052E">
        <w:t xml:space="preserve"> </w:t>
      </w:r>
      <w:r w:rsidRPr="00C6052E">
        <w:t>payables</w:t>
      </w:r>
      <w:r w:rsidR="00177848" w:rsidRPr="00C6052E">
        <w:t xml:space="preserve"> </w:t>
      </w:r>
      <w:r w:rsidRPr="00C6052E">
        <w:t>that</w:t>
      </w:r>
      <w:r w:rsidR="00177848" w:rsidRPr="00C6052E">
        <w:t xml:space="preserve"> </w:t>
      </w:r>
      <w:r w:rsidRPr="00C6052E">
        <w:t>arise</w:t>
      </w:r>
      <w:r w:rsidR="00177848" w:rsidRPr="00C6052E">
        <w:t xml:space="preserve"> </w:t>
      </w:r>
      <w:r w:rsidRPr="00C6052E">
        <w:t>as</w:t>
      </w:r>
      <w:r w:rsidR="00177848" w:rsidRPr="00C6052E">
        <w:t xml:space="preserve"> </w:t>
      </w:r>
      <w:r w:rsidRPr="00C6052E">
        <w:t>a</w:t>
      </w:r>
      <w:r w:rsidR="00177848" w:rsidRPr="00C6052E">
        <w:t xml:space="preserve"> </w:t>
      </w:r>
      <w:r w:rsidRPr="00C6052E">
        <w:t>result</w:t>
      </w:r>
      <w:r w:rsidR="00177848" w:rsidRPr="00C6052E">
        <w:t xml:space="preserve"> </w:t>
      </w:r>
      <w:r w:rsidRPr="00C6052E">
        <w:t>of</w:t>
      </w:r>
      <w:r w:rsidR="00177848" w:rsidRPr="00C6052E">
        <w:t xml:space="preserve"> </w:t>
      </w:r>
      <w:r w:rsidRPr="00C6052E">
        <w:t>statutory</w:t>
      </w:r>
      <w:r w:rsidR="00177848" w:rsidRPr="00C6052E">
        <w:t xml:space="preserve"> </w:t>
      </w:r>
      <w:r w:rsidRPr="00C6052E">
        <w:t>requirements</w:t>
      </w:r>
      <w:r w:rsidR="00177848" w:rsidRPr="00C6052E">
        <w:t xml:space="preserve"> </w:t>
      </w:r>
      <w:r w:rsidRPr="00C6052E">
        <w:t>imposed</w:t>
      </w:r>
      <w:r w:rsidR="00177848" w:rsidRPr="00C6052E">
        <w:t xml:space="preserve"> </w:t>
      </w:r>
      <w:r w:rsidRPr="00C6052E">
        <w:t>by</w:t>
      </w:r>
      <w:r w:rsidR="00177848" w:rsidRPr="00C6052E">
        <w:t xml:space="preserve"> </w:t>
      </w:r>
      <w:r w:rsidRPr="00C6052E">
        <w:t>governments)</w:t>
      </w:r>
      <w:r w:rsidR="00177848" w:rsidRPr="00C6052E">
        <w:t xml:space="preserve"> </w:t>
      </w:r>
      <w:r w:rsidRPr="00C6052E">
        <w:t>are</w:t>
      </w:r>
      <w:r w:rsidR="00177848" w:rsidRPr="00C6052E">
        <w:t xml:space="preserve"> </w:t>
      </w:r>
      <w:r w:rsidRPr="00C6052E">
        <w:t>not</w:t>
      </w:r>
      <w:r w:rsidR="00177848" w:rsidRPr="00C6052E">
        <w:t xml:space="preserve"> </w:t>
      </w:r>
      <w:r w:rsidRPr="00C6052E">
        <w:t>financial</w:t>
      </w:r>
      <w:r w:rsidR="00177848" w:rsidRPr="00C6052E">
        <w:t xml:space="preserve"> </w:t>
      </w:r>
      <w:r w:rsidRPr="00C6052E">
        <w:t>instruments.</w:t>
      </w:r>
      <w:r w:rsidR="00177848" w:rsidRPr="00C6052E">
        <w:t xml:space="preserve"> </w:t>
      </w:r>
    </w:p>
    <w:p w14:paraId="241F470F" w14:textId="1FABE0FA" w:rsidR="00EE5BB8" w:rsidRPr="006F1C8C" w:rsidRDefault="00EE5BB8" w:rsidP="006F1C8C">
      <w:pPr>
        <w:pStyle w:val="Normalbeforebullets"/>
        <w:rPr>
          <w:b/>
          <w:bCs/>
        </w:rPr>
      </w:pPr>
      <w:r w:rsidRPr="006F1C8C">
        <w:rPr>
          <w:b/>
          <w:bCs/>
        </w:rPr>
        <w:t>Financial</w:t>
      </w:r>
      <w:r w:rsidR="00177848" w:rsidRPr="006F1C8C">
        <w:rPr>
          <w:b/>
          <w:bCs/>
        </w:rPr>
        <w:t xml:space="preserve"> </w:t>
      </w:r>
      <w:r w:rsidRPr="006F1C8C">
        <w:rPr>
          <w:b/>
          <w:bCs/>
        </w:rPr>
        <w:t>liability</w:t>
      </w:r>
    </w:p>
    <w:p w14:paraId="5EF5C26B" w14:textId="5C0CCF0E" w:rsidR="00EE5BB8" w:rsidRPr="00C6052E" w:rsidRDefault="00EE5BB8" w:rsidP="00C6052E">
      <w:pPr>
        <w:pStyle w:val="Normalbeforebullets"/>
      </w:pPr>
      <w:r w:rsidRPr="00C6052E">
        <w:t>A</w:t>
      </w:r>
      <w:r w:rsidR="00177848" w:rsidRPr="00C6052E">
        <w:t xml:space="preserve"> </w:t>
      </w:r>
      <w:r w:rsidRPr="00C6052E">
        <w:t>financial</w:t>
      </w:r>
      <w:r w:rsidR="00177848" w:rsidRPr="00C6052E">
        <w:t xml:space="preserve"> </w:t>
      </w:r>
      <w:r w:rsidRPr="00C6052E">
        <w:t>liability</w:t>
      </w:r>
      <w:r w:rsidR="00177848" w:rsidRPr="00C6052E">
        <w:t xml:space="preserve"> </w:t>
      </w:r>
      <w:r w:rsidRPr="00C6052E">
        <w:t>is</w:t>
      </w:r>
      <w:r w:rsidR="00177848" w:rsidRPr="00C6052E">
        <w:t xml:space="preserve"> </w:t>
      </w:r>
      <w:r w:rsidRPr="00C6052E">
        <w:t>any</w:t>
      </w:r>
      <w:r w:rsidR="00177848" w:rsidRPr="00C6052E">
        <w:t xml:space="preserve"> </w:t>
      </w:r>
      <w:r w:rsidRPr="00C6052E">
        <w:t>liability</w:t>
      </w:r>
      <w:r w:rsidR="00177848" w:rsidRPr="00C6052E">
        <w:t xml:space="preserve"> </w:t>
      </w:r>
      <w:r w:rsidRPr="00C6052E">
        <w:t>that</w:t>
      </w:r>
      <w:r w:rsidR="00177848" w:rsidRPr="00C6052E">
        <w:t xml:space="preserve"> </w:t>
      </w:r>
      <w:r w:rsidRPr="00C6052E">
        <w:t>is:</w:t>
      </w:r>
    </w:p>
    <w:p w14:paraId="15307703" w14:textId="38BB5033" w:rsidR="00EE5BB8" w:rsidRPr="00C6052E" w:rsidRDefault="00EE5BB8" w:rsidP="00EE5BB8">
      <w:pPr>
        <w:pStyle w:val="Bulleta"/>
        <w:numPr>
          <w:ilvl w:val="0"/>
          <w:numId w:val="44"/>
        </w:numPr>
      </w:pPr>
      <w:r w:rsidRPr="00C6052E">
        <w:t>A</w:t>
      </w:r>
      <w:r w:rsidR="00177848" w:rsidRPr="00C6052E">
        <w:t xml:space="preserve"> </w:t>
      </w:r>
      <w:r w:rsidRPr="00C6052E">
        <w:t>contractual</w:t>
      </w:r>
      <w:r w:rsidR="00177848" w:rsidRPr="00C6052E">
        <w:t xml:space="preserve"> </w:t>
      </w:r>
      <w:r w:rsidRPr="00C6052E">
        <w:t>or</w:t>
      </w:r>
      <w:r w:rsidR="00177848" w:rsidRPr="00C6052E">
        <w:t xml:space="preserve"> </w:t>
      </w:r>
      <w:r w:rsidRPr="00C6052E">
        <w:t>statutory</w:t>
      </w:r>
      <w:r w:rsidR="00177848" w:rsidRPr="00C6052E">
        <w:t xml:space="preserve"> </w:t>
      </w:r>
      <w:r w:rsidRPr="00C6052E">
        <w:t>obligation:</w:t>
      </w:r>
    </w:p>
    <w:p w14:paraId="7F527664" w14:textId="51A1A1E5" w:rsidR="00EE5BB8" w:rsidRPr="00C6052E" w:rsidRDefault="00EE5BB8" w:rsidP="00EE5BB8">
      <w:pPr>
        <w:pStyle w:val="Bullet2"/>
        <w:numPr>
          <w:ilvl w:val="0"/>
          <w:numId w:val="11"/>
        </w:numPr>
        <w:ind w:left="568" w:hanging="284"/>
      </w:pPr>
      <w:r w:rsidRPr="00C6052E">
        <w:t>to</w:t>
      </w:r>
      <w:r w:rsidR="00177848" w:rsidRPr="00C6052E">
        <w:t xml:space="preserve"> </w:t>
      </w:r>
      <w:r w:rsidRPr="00C6052E">
        <w:t>deliver</w:t>
      </w:r>
      <w:r w:rsidR="00177848" w:rsidRPr="00C6052E">
        <w:t xml:space="preserve"> </w:t>
      </w:r>
      <w:r w:rsidRPr="00C6052E">
        <w:t>cash</w:t>
      </w:r>
      <w:r w:rsidR="00177848" w:rsidRPr="00C6052E">
        <w:t xml:space="preserve"> </w:t>
      </w:r>
      <w:r w:rsidRPr="00C6052E">
        <w:t>or</w:t>
      </w:r>
      <w:r w:rsidR="00177848" w:rsidRPr="00C6052E">
        <w:t xml:space="preserve"> </w:t>
      </w:r>
      <w:r w:rsidRPr="00C6052E">
        <w:t>another</w:t>
      </w:r>
      <w:r w:rsidR="00177848" w:rsidRPr="00C6052E">
        <w:t xml:space="preserve"> </w:t>
      </w:r>
      <w:r w:rsidRPr="00C6052E">
        <w:t>financial</w:t>
      </w:r>
      <w:r w:rsidR="00177848" w:rsidRPr="00C6052E">
        <w:t xml:space="preserve"> </w:t>
      </w:r>
      <w:r w:rsidRPr="00C6052E">
        <w:t>asset</w:t>
      </w:r>
      <w:r w:rsidR="00177848" w:rsidRPr="00C6052E">
        <w:t xml:space="preserve"> </w:t>
      </w:r>
      <w:r w:rsidRPr="00C6052E">
        <w:t>to</w:t>
      </w:r>
      <w:r w:rsidR="00177848" w:rsidRPr="00C6052E">
        <w:t xml:space="preserve"> </w:t>
      </w:r>
      <w:r w:rsidRPr="00C6052E">
        <w:t>another</w:t>
      </w:r>
      <w:r w:rsidR="00177848" w:rsidRPr="00C6052E">
        <w:t xml:space="preserve"> </w:t>
      </w:r>
      <w:r w:rsidRPr="00C6052E">
        <w:t>entity;</w:t>
      </w:r>
      <w:r w:rsidR="00177848" w:rsidRPr="00C6052E">
        <w:t xml:space="preserve"> </w:t>
      </w:r>
      <w:r w:rsidRPr="00C6052E">
        <w:t>or</w:t>
      </w:r>
    </w:p>
    <w:p w14:paraId="1994E566" w14:textId="787A1C08" w:rsidR="00EE5BB8" w:rsidRPr="00C6052E" w:rsidRDefault="00EE5BB8" w:rsidP="00EE5BB8">
      <w:pPr>
        <w:pStyle w:val="Bullet2last"/>
        <w:numPr>
          <w:ilvl w:val="0"/>
          <w:numId w:val="11"/>
        </w:numPr>
        <w:ind w:left="568" w:hanging="284"/>
      </w:pPr>
      <w:r w:rsidRPr="00C6052E">
        <w:t>to</w:t>
      </w:r>
      <w:r w:rsidR="00177848" w:rsidRPr="00C6052E">
        <w:t xml:space="preserve"> </w:t>
      </w:r>
      <w:r w:rsidRPr="00C6052E">
        <w:t>exchange</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or</w:t>
      </w:r>
      <w:r w:rsidR="00177848" w:rsidRPr="00C6052E">
        <w:t xml:space="preserve"> </w:t>
      </w:r>
      <w:r w:rsidRPr="00C6052E">
        <w:t>financial</w:t>
      </w:r>
      <w:r w:rsidR="00177848" w:rsidRPr="00C6052E">
        <w:t xml:space="preserve"> </w:t>
      </w:r>
      <w:r w:rsidRPr="00C6052E">
        <w:t>liabilities</w:t>
      </w:r>
      <w:r w:rsidR="00177848" w:rsidRPr="00C6052E">
        <w:t xml:space="preserve"> </w:t>
      </w:r>
      <w:r w:rsidRPr="00C6052E">
        <w:t>with</w:t>
      </w:r>
      <w:r w:rsidR="00177848" w:rsidRPr="00C6052E">
        <w:t xml:space="preserve"> </w:t>
      </w:r>
      <w:r w:rsidRPr="00C6052E">
        <w:t>another</w:t>
      </w:r>
      <w:r w:rsidR="00177848" w:rsidRPr="00C6052E">
        <w:t xml:space="preserve"> </w:t>
      </w:r>
      <w:r w:rsidRPr="00C6052E">
        <w:t>entity</w:t>
      </w:r>
      <w:r w:rsidR="00177848" w:rsidRPr="00C6052E">
        <w:t xml:space="preserve"> </w:t>
      </w:r>
      <w:r w:rsidRPr="00C6052E">
        <w:t>under</w:t>
      </w:r>
      <w:r w:rsidR="00177848" w:rsidRPr="00C6052E">
        <w:t xml:space="preserve"> </w:t>
      </w:r>
      <w:r w:rsidRPr="00C6052E">
        <w:t>conditions</w:t>
      </w:r>
      <w:r w:rsidR="00177848" w:rsidRPr="00C6052E">
        <w:t xml:space="preserve"> </w:t>
      </w:r>
      <w:r w:rsidRPr="00C6052E">
        <w:t>that</w:t>
      </w:r>
      <w:r w:rsidR="00177848" w:rsidRPr="00C6052E">
        <w:t xml:space="preserve"> </w:t>
      </w:r>
      <w:r w:rsidRPr="00C6052E">
        <w:t>are</w:t>
      </w:r>
      <w:r w:rsidR="00177848" w:rsidRPr="00C6052E">
        <w:t xml:space="preserve"> </w:t>
      </w:r>
      <w:r w:rsidRPr="00C6052E">
        <w:t>potentially</w:t>
      </w:r>
      <w:r w:rsidR="00177848" w:rsidRPr="00C6052E">
        <w:t xml:space="preserve"> </w:t>
      </w:r>
      <w:r w:rsidRPr="00C6052E">
        <w:t>unfavourable</w:t>
      </w:r>
      <w:r w:rsidR="00177848" w:rsidRPr="00C6052E">
        <w:t xml:space="preserve"> </w:t>
      </w:r>
      <w:r w:rsidRPr="00C6052E">
        <w:t>to</w:t>
      </w:r>
      <w:r w:rsidR="00177848" w:rsidRPr="00C6052E">
        <w:t xml:space="preserve"> </w:t>
      </w:r>
      <w:r w:rsidRPr="00C6052E">
        <w:t>the</w:t>
      </w:r>
      <w:r w:rsidR="00177848" w:rsidRPr="00C6052E">
        <w:t xml:space="preserve"> </w:t>
      </w:r>
      <w:r w:rsidRPr="00C6052E">
        <w:t>entity;</w:t>
      </w:r>
      <w:r w:rsidR="00177848" w:rsidRPr="00C6052E">
        <w:t xml:space="preserve"> </w:t>
      </w:r>
      <w:r w:rsidRPr="00C6052E">
        <w:t>or</w:t>
      </w:r>
    </w:p>
    <w:p w14:paraId="00313254" w14:textId="653C1446" w:rsidR="00EE5BB8" w:rsidRPr="00C6052E" w:rsidRDefault="00177848" w:rsidP="00EE5BB8">
      <w:pPr>
        <w:pStyle w:val="Bulleta"/>
        <w:ind w:left="284" w:hanging="284"/>
      </w:pPr>
      <w:r w:rsidRPr="00C6052E">
        <w:t xml:space="preserve"> </w:t>
      </w:r>
      <w:r w:rsidR="00EE5BB8" w:rsidRPr="00C6052E">
        <w:t>A</w:t>
      </w:r>
      <w:r w:rsidRPr="00C6052E">
        <w:t xml:space="preserve"> </w:t>
      </w:r>
      <w:r w:rsidR="00EE5BB8" w:rsidRPr="00C6052E">
        <w:t>contract</w:t>
      </w:r>
      <w:r w:rsidRPr="00C6052E">
        <w:t xml:space="preserve"> </w:t>
      </w:r>
      <w:r w:rsidR="00EE5BB8" w:rsidRPr="00C6052E">
        <w:t>that</w:t>
      </w:r>
      <w:r w:rsidRPr="00C6052E">
        <w:t xml:space="preserve"> </w:t>
      </w:r>
      <w:r w:rsidR="00EE5BB8" w:rsidRPr="00C6052E">
        <w:t>will</w:t>
      </w:r>
      <w:r w:rsidRPr="00C6052E">
        <w:t xml:space="preserve"> </w:t>
      </w:r>
      <w:r w:rsidR="00EE5BB8" w:rsidRPr="00C6052E">
        <w:t>or</w:t>
      </w:r>
      <w:r w:rsidRPr="00C6052E">
        <w:t xml:space="preserve"> </w:t>
      </w:r>
      <w:r w:rsidR="00EE5BB8" w:rsidRPr="00C6052E">
        <w:t>may</w:t>
      </w:r>
      <w:r w:rsidRPr="00C6052E">
        <w:t xml:space="preserve"> </w:t>
      </w:r>
      <w:r w:rsidR="00EE5BB8" w:rsidRPr="00C6052E">
        <w:t>be</w:t>
      </w:r>
      <w:r w:rsidRPr="00C6052E">
        <w:t xml:space="preserve"> </w:t>
      </w:r>
      <w:r w:rsidR="00EE5BB8" w:rsidRPr="00C6052E">
        <w:t>settled</w:t>
      </w:r>
      <w:r w:rsidRPr="00C6052E">
        <w:t xml:space="preserve"> </w:t>
      </w:r>
      <w:r w:rsidR="00EE5BB8" w:rsidRPr="00C6052E">
        <w:t>in</w:t>
      </w:r>
      <w:r w:rsidRPr="00C6052E">
        <w:t xml:space="preserve"> </w:t>
      </w:r>
      <w:r w:rsidR="00EE5BB8" w:rsidRPr="00C6052E">
        <w:t>the</w:t>
      </w:r>
      <w:r w:rsidRPr="00C6052E">
        <w:t xml:space="preserve"> </w:t>
      </w:r>
      <w:r w:rsidR="00EE5BB8" w:rsidRPr="00C6052E">
        <w:t>entity’s</w:t>
      </w:r>
      <w:r w:rsidRPr="00C6052E">
        <w:t xml:space="preserve"> </w:t>
      </w:r>
      <w:r w:rsidR="00EE5BB8" w:rsidRPr="00C6052E">
        <w:t>own</w:t>
      </w:r>
      <w:r w:rsidRPr="00C6052E">
        <w:t xml:space="preserve"> </w:t>
      </w:r>
      <w:r w:rsidR="00EE5BB8" w:rsidRPr="00C6052E">
        <w:t>equity</w:t>
      </w:r>
      <w:r w:rsidRPr="00C6052E">
        <w:t xml:space="preserve"> </w:t>
      </w:r>
      <w:r w:rsidR="00EE5BB8" w:rsidRPr="00C6052E">
        <w:t>instruments</w:t>
      </w:r>
      <w:r w:rsidRPr="00C6052E">
        <w:t xml:space="preserve"> </w:t>
      </w:r>
      <w:r w:rsidR="00EE5BB8" w:rsidRPr="00C6052E">
        <w:t>and</w:t>
      </w:r>
      <w:r w:rsidRPr="00C6052E">
        <w:t xml:space="preserve"> </w:t>
      </w:r>
      <w:r w:rsidR="00EE5BB8" w:rsidRPr="00C6052E">
        <w:t>is:</w:t>
      </w:r>
    </w:p>
    <w:p w14:paraId="7A6483CC" w14:textId="234A569E" w:rsidR="00EE5BB8" w:rsidRPr="00C6052E" w:rsidRDefault="00EE5BB8" w:rsidP="00EE5BB8">
      <w:pPr>
        <w:pStyle w:val="Bullet2"/>
        <w:numPr>
          <w:ilvl w:val="0"/>
          <w:numId w:val="11"/>
        </w:numPr>
        <w:ind w:left="568" w:hanging="284"/>
      </w:pPr>
      <w:r w:rsidRPr="00C6052E">
        <w:t>a</w:t>
      </w:r>
      <w:r w:rsidR="00177848" w:rsidRPr="00C6052E">
        <w:t xml:space="preserve"> </w:t>
      </w:r>
      <w:r w:rsidRPr="00C6052E">
        <w:t>non–derivative</w:t>
      </w:r>
      <w:r w:rsidR="00177848" w:rsidRPr="00C6052E">
        <w:t xml:space="preserve"> </w:t>
      </w:r>
      <w:r w:rsidRPr="00C6052E">
        <w:t>for</w:t>
      </w:r>
      <w:r w:rsidR="00177848" w:rsidRPr="00C6052E">
        <w:t xml:space="preserve"> </w:t>
      </w:r>
      <w:r w:rsidRPr="00C6052E">
        <w:t>which</w:t>
      </w:r>
      <w:r w:rsidR="00177848" w:rsidRPr="00C6052E">
        <w:t xml:space="preserve"> </w:t>
      </w:r>
      <w:r w:rsidRPr="00C6052E">
        <w:t>the</w:t>
      </w:r>
      <w:r w:rsidR="00177848" w:rsidRPr="00C6052E">
        <w:t xml:space="preserve"> </w:t>
      </w:r>
      <w:r w:rsidRPr="00C6052E">
        <w:t>entity</w:t>
      </w:r>
      <w:r w:rsidR="00177848" w:rsidRPr="00C6052E">
        <w:t xml:space="preserve"> </w:t>
      </w:r>
      <w:r w:rsidRPr="00C6052E">
        <w:t>is</w:t>
      </w:r>
      <w:r w:rsidR="00177848" w:rsidRPr="00C6052E">
        <w:t xml:space="preserve"> </w:t>
      </w:r>
      <w:r w:rsidRPr="00C6052E">
        <w:t>or</w:t>
      </w:r>
      <w:r w:rsidR="00177848" w:rsidRPr="00C6052E">
        <w:t xml:space="preserve"> </w:t>
      </w:r>
      <w:r w:rsidRPr="00C6052E">
        <w:t>may</w:t>
      </w:r>
      <w:r w:rsidR="00177848" w:rsidRPr="00C6052E">
        <w:t xml:space="preserve"> </w:t>
      </w:r>
      <w:r w:rsidRPr="00C6052E">
        <w:t>be</w:t>
      </w:r>
      <w:r w:rsidR="00177848" w:rsidRPr="00C6052E">
        <w:t xml:space="preserve"> </w:t>
      </w:r>
      <w:r w:rsidRPr="00C6052E">
        <w:t>obliged</w:t>
      </w:r>
      <w:r w:rsidR="00177848" w:rsidRPr="00C6052E">
        <w:t xml:space="preserve"> </w:t>
      </w:r>
      <w:r w:rsidRPr="00C6052E">
        <w:t>to</w:t>
      </w:r>
      <w:r w:rsidR="00177848" w:rsidRPr="00C6052E">
        <w:t xml:space="preserve"> </w:t>
      </w:r>
      <w:r w:rsidRPr="00C6052E">
        <w:t>deliver</w:t>
      </w:r>
      <w:r w:rsidR="00177848" w:rsidRPr="00C6052E">
        <w:t xml:space="preserve"> </w:t>
      </w:r>
      <w:r w:rsidRPr="00C6052E">
        <w:t>a</w:t>
      </w:r>
      <w:r w:rsidR="00177848" w:rsidRPr="00C6052E">
        <w:t xml:space="preserve"> </w:t>
      </w:r>
      <w:r w:rsidRPr="00C6052E">
        <w:t>variable</w:t>
      </w:r>
      <w:r w:rsidR="00177848" w:rsidRPr="00C6052E">
        <w:t xml:space="preserve"> </w:t>
      </w:r>
      <w:r w:rsidRPr="00C6052E">
        <w:t>number</w:t>
      </w:r>
      <w:r w:rsidR="00177848" w:rsidRPr="00C6052E">
        <w:t xml:space="preserve"> </w:t>
      </w:r>
      <w:r w:rsidRPr="00C6052E">
        <w:t>of</w:t>
      </w:r>
      <w:r w:rsidR="00177848" w:rsidRPr="00C6052E">
        <w:t xml:space="preserve"> </w:t>
      </w:r>
      <w:r w:rsidRPr="00C6052E">
        <w:t>the</w:t>
      </w:r>
      <w:r w:rsidR="00177848" w:rsidRPr="00C6052E">
        <w:t xml:space="preserve"> </w:t>
      </w:r>
      <w:r w:rsidRPr="00C6052E">
        <w:t>entity’s</w:t>
      </w:r>
      <w:r w:rsidR="00177848" w:rsidRPr="00C6052E">
        <w:t xml:space="preserve"> </w:t>
      </w:r>
      <w:r w:rsidRPr="00C6052E">
        <w:t>own</w:t>
      </w:r>
      <w:r w:rsidR="00177848" w:rsidRPr="00C6052E">
        <w:t xml:space="preserve"> </w:t>
      </w:r>
      <w:r w:rsidRPr="00C6052E">
        <w:t>equity</w:t>
      </w:r>
      <w:r w:rsidR="00177848" w:rsidRPr="00C6052E">
        <w:t xml:space="preserve"> </w:t>
      </w:r>
      <w:r w:rsidRPr="00C6052E">
        <w:t>instruments;</w:t>
      </w:r>
      <w:r w:rsidR="00177848" w:rsidRPr="00C6052E">
        <w:t xml:space="preserve"> </w:t>
      </w:r>
      <w:r w:rsidRPr="00C6052E">
        <w:t>or</w:t>
      </w:r>
    </w:p>
    <w:p w14:paraId="7D212DA8" w14:textId="55437710" w:rsidR="00EE5BB8" w:rsidRPr="00C6052E" w:rsidRDefault="00EE5BB8" w:rsidP="00EE5BB8">
      <w:pPr>
        <w:pStyle w:val="Bullet2last"/>
        <w:numPr>
          <w:ilvl w:val="0"/>
          <w:numId w:val="11"/>
        </w:numPr>
        <w:ind w:left="568" w:hanging="284"/>
      </w:pPr>
      <w:r w:rsidRPr="00C6052E">
        <w:t>a</w:t>
      </w:r>
      <w:r w:rsidR="00177848" w:rsidRPr="00C6052E">
        <w:t xml:space="preserve"> </w:t>
      </w:r>
      <w:r w:rsidRPr="00C6052E">
        <w:t>derivative</w:t>
      </w:r>
      <w:r w:rsidR="00177848" w:rsidRPr="00C6052E">
        <w:t xml:space="preserve"> </w:t>
      </w:r>
      <w:r w:rsidRPr="00C6052E">
        <w:t>that</w:t>
      </w:r>
      <w:r w:rsidR="00177848" w:rsidRPr="00C6052E">
        <w:t xml:space="preserve"> </w:t>
      </w:r>
      <w:r w:rsidRPr="00C6052E">
        <w:t>will</w:t>
      </w:r>
      <w:r w:rsidR="00177848" w:rsidRPr="00C6052E">
        <w:t xml:space="preserve"> </w:t>
      </w:r>
      <w:r w:rsidRPr="00C6052E">
        <w:t>or</w:t>
      </w:r>
      <w:r w:rsidR="00177848" w:rsidRPr="00C6052E">
        <w:t xml:space="preserve"> </w:t>
      </w:r>
      <w:r w:rsidRPr="00C6052E">
        <w:t>may</w:t>
      </w:r>
      <w:r w:rsidR="00177848" w:rsidRPr="00C6052E">
        <w:t xml:space="preserve"> </w:t>
      </w:r>
      <w:r w:rsidRPr="00C6052E">
        <w:t>be</w:t>
      </w:r>
      <w:r w:rsidR="00177848" w:rsidRPr="00C6052E">
        <w:t xml:space="preserve"> </w:t>
      </w:r>
      <w:r w:rsidRPr="00C6052E">
        <w:t>settled</w:t>
      </w:r>
      <w:r w:rsidR="00177848" w:rsidRPr="00C6052E">
        <w:t xml:space="preserve"> </w:t>
      </w:r>
      <w:r w:rsidRPr="00C6052E">
        <w:t>other</w:t>
      </w:r>
      <w:r w:rsidR="00177848" w:rsidRPr="00C6052E">
        <w:t xml:space="preserve"> </w:t>
      </w:r>
      <w:r w:rsidRPr="00C6052E">
        <w:t>than</w:t>
      </w:r>
      <w:r w:rsidR="00177848" w:rsidRPr="00C6052E">
        <w:t xml:space="preserve"> </w:t>
      </w:r>
      <w:r w:rsidRPr="00C6052E">
        <w:t>by</w:t>
      </w:r>
      <w:r w:rsidR="00177848" w:rsidRPr="00C6052E">
        <w:t xml:space="preserve"> </w:t>
      </w:r>
      <w:r w:rsidRPr="00C6052E">
        <w:t>the</w:t>
      </w:r>
      <w:r w:rsidR="00177848" w:rsidRPr="00C6052E">
        <w:t xml:space="preserve"> </w:t>
      </w:r>
      <w:r w:rsidRPr="00C6052E">
        <w:t>exchange</w:t>
      </w:r>
      <w:r w:rsidR="00177848" w:rsidRPr="00C6052E">
        <w:t xml:space="preserve"> </w:t>
      </w:r>
      <w:r w:rsidRPr="00C6052E">
        <w:t>of</w:t>
      </w:r>
      <w:r w:rsidR="00177848" w:rsidRPr="00C6052E">
        <w:t xml:space="preserve"> </w:t>
      </w:r>
      <w:r w:rsidRPr="00C6052E">
        <w:t>a</w:t>
      </w:r>
      <w:r w:rsidR="00177848" w:rsidRPr="00C6052E">
        <w:t xml:space="preserve"> </w:t>
      </w:r>
      <w:r w:rsidRPr="00C6052E">
        <w:t>fixed</w:t>
      </w:r>
      <w:r w:rsidR="00177848" w:rsidRPr="00C6052E">
        <w:t xml:space="preserve"> </w:t>
      </w:r>
      <w:r w:rsidRPr="00C6052E">
        <w:t>amount</w:t>
      </w:r>
      <w:r w:rsidR="00177848" w:rsidRPr="00C6052E">
        <w:t xml:space="preserve"> </w:t>
      </w:r>
      <w:r w:rsidRPr="00C6052E">
        <w:t>of</w:t>
      </w:r>
      <w:r w:rsidR="00177848" w:rsidRPr="00C6052E">
        <w:t xml:space="preserve"> </w:t>
      </w:r>
      <w:r w:rsidRPr="00C6052E">
        <w:t>cash</w:t>
      </w:r>
      <w:r w:rsidR="00177848" w:rsidRPr="00C6052E">
        <w:t xml:space="preserve"> </w:t>
      </w:r>
      <w:r w:rsidRPr="00C6052E">
        <w:t>or</w:t>
      </w:r>
      <w:r w:rsidR="00177848" w:rsidRPr="00C6052E">
        <w:t xml:space="preserve"> </w:t>
      </w:r>
      <w:r w:rsidRPr="00C6052E">
        <w:t>another</w:t>
      </w:r>
      <w:r w:rsidR="00177848" w:rsidRPr="00C6052E">
        <w:t xml:space="preserve"> </w:t>
      </w:r>
      <w:r w:rsidRPr="00C6052E">
        <w:t>financial</w:t>
      </w:r>
      <w:r w:rsidR="00177848" w:rsidRPr="00C6052E">
        <w:t xml:space="preserve"> </w:t>
      </w:r>
      <w:r w:rsidRPr="00C6052E">
        <w:t>asset</w:t>
      </w:r>
      <w:r w:rsidR="00177848" w:rsidRPr="00C6052E">
        <w:t xml:space="preserve"> </w:t>
      </w:r>
      <w:r w:rsidRPr="00C6052E">
        <w:t>for</w:t>
      </w:r>
      <w:r w:rsidR="00177848" w:rsidRPr="00C6052E">
        <w:t xml:space="preserve"> </w:t>
      </w:r>
      <w:r w:rsidRPr="00C6052E">
        <w:t>a</w:t>
      </w:r>
      <w:r w:rsidR="00177848" w:rsidRPr="00C6052E">
        <w:t xml:space="preserve"> </w:t>
      </w:r>
      <w:r w:rsidRPr="00C6052E">
        <w:t>fixed</w:t>
      </w:r>
      <w:r w:rsidR="00177848" w:rsidRPr="00C6052E">
        <w:t xml:space="preserve"> </w:t>
      </w:r>
      <w:r w:rsidRPr="00C6052E">
        <w:t>number</w:t>
      </w:r>
      <w:r w:rsidR="00177848" w:rsidRPr="00C6052E">
        <w:t xml:space="preserve"> </w:t>
      </w:r>
      <w:r w:rsidRPr="00C6052E">
        <w:t>of</w:t>
      </w:r>
      <w:r w:rsidR="00177848" w:rsidRPr="00C6052E">
        <w:t xml:space="preserve"> </w:t>
      </w:r>
      <w:r w:rsidRPr="00C6052E">
        <w:t>the</w:t>
      </w:r>
      <w:r w:rsidR="00177848" w:rsidRPr="00C6052E">
        <w:t xml:space="preserve"> </w:t>
      </w:r>
      <w:r w:rsidRPr="00C6052E">
        <w:t>entity’s</w:t>
      </w:r>
      <w:r w:rsidR="00177848" w:rsidRPr="00C6052E">
        <w:t xml:space="preserve"> </w:t>
      </w:r>
      <w:r w:rsidRPr="00C6052E">
        <w:t>own</w:t>
      </w:r>
      <w:r w:rsidR="00177848" w:rsidRPr="00C6052E">
        <w:t xml:space="preserve"> </w:t>
      </w:r>
      <w:r w:rsidRPr="00C6052E">
        <w:t>equity</w:t>
      </w:r>
      <w:r w:rsidR="00177848" w:rsidRPr="00C6052E">
        <w:t xml:space="preserve"> </w:t>
      </w:r>
      <w:r w:rsidRPr="00C6052E">
        <w:t>instruments.</w:t>
      </w:r>
      <w:r w:rsidR="00177848" w:rsidRPr="00C6052E">
        <w:t xml:space="preserve"> </w:t>
      </w:r>
      <w:r w:rsidRPr="00C6052E">
        <w:t>For</w:t>
      </w:r>
      <w:r w:rsidR="00177848" w:rsidRPr="00C6052E">
        <w:t xml:space="preserve"> </w:t>
      </w:r>
      <w:r w:rsidRPr="00C6052E">
        <w:t>this</w:t>
      </w:r>
      <w:r w:rsidR="00177848" w:rsidRPr="00C6052E">
        <w:t xml:space="preserve"> </w:t>
      </w:r>
      <w:r w:rsidRPr="00C6052E">
        <w:t>purpose</w:t>
      </w:r>
      <w:r w:rsidR="00177848" w:rsidRPr="00C6052E">
        <w:t xml:space="preserve"> </w:t>
      </w:r>
      <w:r w:rsidRPr="00C6052E">
        <w:t>the</w:t>
      </w:r>
      <w:r w:rsidR="00177848" w:rsidRPr="00C6052E">
        <w:t xml:space="preserve"> </w:t>
      </w:r>
      <w:r w:rsidRPr="00C6052E">
        <w:t>entity’s</w:t>
      </w:r>
      <w:r w:rsidR="00177848" w:rsidRPr="00C6052E">
        <w:t xml:space="preserve"> </w:t>
      </w:r>
      <w:r w:rsidRPr="00C6052E">
        <w:t>own</w:t>
      </w:r>
      <w:r w:rsidR="00177848" w:rsidRPr="00C6052E">
        <w:t xml:space="preserve"> </w:t>
      </w:r>
      <w:r w:rsidRPr="00C6052E">
        <w:t>equity</w:t>
      </w:r>
      <w:r w:rsidR="00177848" w:rsidRPr="00C6052E">
        <w:t xml:space="preserve"> </w:t>
      </w:r>
      <w:r w:rsidRPr="00C6052E">
        <w:t>instruments</w:t>
      </w:r>
      <w:r w:rsidR="00177848" w:rsidRPr="00C6052E">
        <w:t xml:space="preserve"> </w:t>
      </w:r>
      <w:r w:rsidRPr="00C6052E">
        <w:t>do</w:t>
      </w:r>
      <w:r w:rsidR="00177848" w:rsidRPr="00C6052E">
        <w:t xml:space="preserve"> </w:t>
      </w:r>
      <w:r w:rsidRPr="00C6052E">
        <w:t>not</w:t>
      </w:r>
      <w:r w:rsidR="00177848" w:rsidRPr="00C6052E">
        <w:t xml:space="preserve"> </w:t>
      </w:r>
      <w:r w:rsidRPr="00C6052E">
        <w:t>include</w:t>
      </w:r>
      <w:r w:rsidR="00177848" w:rsidRPr="00C6052E">
        <w:t xml:space="preserve"> </w:t>
      </w:r>
      <w:r w:rsidRPr="00C6052E">
        <w:t>instruments</w:t>
      </w:r>
      <w:r w:rsidR="00177848" w:rsidRPr="00C6052E">
        <w:t xml:space="preserve"> </w:t>
      </w:r>
      <w:r w:rsidRPr="00C6052E">
        <w:t>that</w:t>
      </w:r>
      <w:r w:rsidR="00177848" w:rsidRPr="00C6052E">
        <w:t xml:space="preserve"> </w:t>
      </w:r>
      <w:r w:rsidRPr="00C6052E">
        <w:t>are</w:t>
      </w:r>
      <w:r w:rsidR="00177848" w:rsidRPr="00C6052E">
        <w:t xml:space="preserve"> </w:t>
      </w:r>
      <w:r w:rsidRPr="00C6052E">
        <w:t>themselves</w:t>
      </w:r>
      <w:r w:rsidR="00177848" w:rsidRPr="00C6052E">
        <w:t xml:space="preserve"> </w:t>
      </w:r>
      <w:r w:rsidRPr="00C6052E">
        <w:t>contracts</w:t>
      </w:r>
      <w:r w:rsidR="00177848" w:rsidRPr="00C6052E">
        <w:t xml:space="preserve"> </w:t>
      </w:r>
      <w:r w:rsidRPr="00C6052E">
        <w:t>for</w:t>
      </w:r>
      <w:r w:rsidR="00177848" w:rsidRPr="00C6052E">
        <w:t xml:space="preserve"> </w:t>
      </w:r>
      <w:r w:rsidRPr="00C6052E">
        <w:t>the</w:t>
      </w:r>
      <w:r w:rsidR="00177848" w:rsidRPr="00C6052E">
        <w:t xml:space="preserve"> </w:t>
      </w:r>
      <w:r w:rsidRPr="00C6052E">
        <w:t>future</w:t>
      </w:r>
      <w:r w:rsidR="00177848" w:rsidRPr="00C6052E">
        <w:t xml:space="preserve"> </w:t>
      </w:r>
      <w:r w:rsidRPr="00C6052E">
        <w:t>receipt</w:t>
      </w:r>
      <w:r w:rsidR="00177848" w:rsidRPr="00C6052E">
        <w:t xml:space="preserve"> </w:t>
      </w:r>
      <w:r w:rsidRPr="00C6052E">
        <w:t>or</w:t>
      </w:r>
      <w:r w:rsidR="00177848" w:rsidRPr="00C6052E">
        <w:t xml:space="preserve"> </w:t>
      </w:r>
      <w:r w:rsidRPr="00C6052E">
        <w:t>delivery</w:t>
      </w:r>
      <w:r w:rsidR="00177848" w:rsidRPr="00C6052E">
        <w:t xml:space="preserve"> </w:t>
      </w:r>
      <w:r w:rsidRPr="00C6052E">
        <w:t>of</w:t>
      </w:r>
      <w:r w:rsidR="00177848" w:rsidRPr="00C6052E">
        <w:t xml:space="preserve"> </w:t>
      </w:r>
      <w:r w:rsidRPr="00C6052E">
        <w:t>the</w:t>
      </w:r>
      <w:r w:rsidR="00177848" w:rsidRPr="00C6052E">
        <w:t xml:space="preserve"> </w:t>
      </w:r>
      <w:r w:rsidRPr="00C6052E">
        <w:t>entity’s</w:t>
      </w:r>
      <w:r w:rsidR="00177848" w:rsidRPr="00C6052E">
        <w:t xml:space="preserve"> </w:t>
      </w:r>
      <w:r w:rsidRPr="00C6052E">
        <w:t>own</w:t>
      </w:r>
      <w:r w:rsidR="00177848" w:rsidRPr="00C6052E">
        <w:t xml:space="preserve"> </w:t>
      </w:r>
      <w:r w:rsidRPr="00C6052E">
        <w:t>equity</w:t>
      </w:r>
      <w:r w:rsidR="00177848" w:rsidRPr="00C6052E">
        <w:t xml:space="preserve"> </w:t>
      </w:r>
      <w:r w:rsidRPr="00C6052E">
        <w:t>instruments.</w:t>
      </w:r>
      <w:r w:rsidR="00177848" w:rsidRPr="00C6052E">
        <w:t xml:space="preserve"> </w:t>
      </w:r>
    </w:p>
    <w:p w14:paraId="7CE17AB1" w14:textId="3D7B433A" w:rsidR="00EE5BB8" w:rsidRPr="006F1C8C" w:rsidRDefault="00EE5BB8" w:rsidP="006F1C8C">
      <w:pPr>
        <w:pStyle w:val="Normalbeforebullets"/>
        <w:rPr>
          <w:b/>
          <w:bCs/>
        </w:rPr>
      </w:pPr>
      <w:r w:rsidRPr="006F1C8C">
        <w:rPr>
          <w:b/>
          <w:bCs/>
        </w:rPr>
        <w:t>Grant</w:t>
      </w:r>
      <w:r w:rsidR="00177848" w:rsidRPr="006F1C8C">
        <w:rPr>
          <w:b/>
          <w:bCs/>
        </w:rPr>
        <w:t xml:space="preserve"> </w:t>
      </w:r>
      <w:r w:rsidRPr="006F1C8C">
        <w:rPr>
          <w:b/>
          <w:bCs/>
        </w:rPr>
        <w:t>expenses</w:t>
      </w:r>
    </w:p>
    <w:p w14:paraId="712CD175" w14:textId="37AE8237" w:rsidR="00EE5BB8" w:rsidRPr="00C6052E" w:rsidRDefault="00EE5BB8" w:rsidP="00EE5BB8">
      <w:r w:rsidRPr="00C6052E">
        <w:t>Transactions</w:t>
      </w:r>
      <w:r w:rsidR="00177848" w:rsidRPr="00C6052E">
        <w:t xml:space="preserve"> </w:t>
      </w:r>
      <w:r w:rsidRPr="00C6052E">
        <w:t>in</w:t>
      </w:r>
      <w:r w:rsidR="00177848" w:rsidRPr="00C6052E">
        <w:t xml:space="preserve"> </w:t>
      </w:r>
      <w:r w:rsidRPr="00C6052E">
        <w:t>which</w:t>
      </w:r>
      <w:r w:rsidR="00177848" w:rsidRPr="00C6052E">
        <w:t xml:space="preserve"> </w:t>
      </w:r>
      <w:r w:rsidRPr="00C6052E">
        <w:t>one</w:t>
      </w:r>
      <w:r w:rsidR="00177848" w:rsidRPr="00C6052E">
        <w:t xml:space="preserve"> </w:t>
      </w:r>
      <w:r w:rsidRPr="00C6052E">
        <w:t>unit</w:t>
      </w:r>
      <w:r w:rsidR="00177848" w:rsidRPr="00C6052E">
        <w:t xml:space="preserve"> </w:t>
      </w:r>
      <w:r w:rsidRPr="00C6052E">
        <w:t>provides</w:t>
      </w:r>
      <w:r w:rsidR="00177848" w:rsidRPr="00C6052E">
        <w:t xml:space="preserve"> </w:t>
      </w:r>
      <w:r w:rsidRPr="00C6052E">
        <w:t>goods,</w:t>
      </w:r>
      <w:r w:rsidR="00177848" w:rsidRPr="00C6052E">
        <w:t xml:space="preserve"> </w:t>
      </w:r>
      <w:r w:rsidRPr="00C6052E">
        <w:t>services,</w:t>
      </w:r>
      <w:r w:rsidR="00177848" w:rsidRPr="00C6052E">
        <w:t xml:space="preserve"> </w:t>
      </w:r>
      <w:r w:rsidRPr="00C6052E">
        <w:t>assets</w:t>
      </w:r>
      <w:r w:rsidR="00177848" w:rsidRPr="00C6052E">
        <w:t xml:space="preserve"> </w:t>
      </w:r>
      <w:r w:rsidRPr="00C6052E">
        <w:t>(or</w:t>
      </w:r>
      <w:r w:rsidR="00177848" w:rsidRPr="00C6052E">
        <w:t xml:space="preserve"> </w:t>
      </w:r>
      <w:r w:rsidRPr="00C6052E">
        <w:t>extinguishes</w:t>
      </w:r>
      <w:r w:rsidR="00177848" w:rsidRPr="00C6052E">
        <w:t xml:space="preserve"> </w:t>
      </w:r>
      <w:r w:rsidRPr="00C6052E">
        <w:t>a</w:t>
      </w:r>
      <w:r w:rsidR="00177848" w:rsidRPr="00C6052E">
        <w:t xml:space="preserve"> </w:t>
      </w:r>
      <w:r w:rsidRPr="00C6052E">
        <w:t>liability)</w:t>
      </w:r>
      <w:r w:rsidR="00177848" w:rsidRPr="00C6052E">
        <w:t xml:space="preserve"> </w:t>
      </w:r>
      <w:r w:rsidRPr="00C6052E">
        <w:t>or</w:t>
      </w:r>
      <w:r w:rsidR="00177848" w:rsidRPr="00C6052E">
        <w:t xml:space="preserve"> </w:t>
      </w:r>
      <w:r w:rsidRPr="00C6052E">
        <w:t>labour</w:t>
      </w:r>
      <w:r w:rsidR="00177848" w:rsidRPr="00C6052E">
        <w:t xml:space="preserve"> </w:t>
      </w:r>
      <w:r w:rsidRPr="00C6052E">
        <w:t>to</w:t>
      </w:r>
      <w:r w:rsidR="00177848" w:rsidRPr="00C6052E">
        <w:t xml:space="preserve"> </w:t>
      </w:r>
      <w:r w:rsidRPr="00C6052E">
        <w:t>another</w:t>
      </w:r>
      <w:r w:rsidR="00177848" w:rsidRPr="00C6052E">
        <w:t xml:space="preserve"> </w:t>
      </w:r>
      <w:r w:rsidRPr="00C6052E">
        <w:rPr>
          <w:spacing w:val="-4"/>
        </w:rPr>
        <w:t>unit</w:t>
      </w:r>
      <w:r w:rsidR="00177848" w:rsidRPr="00C6052E">
        <w:rPr>
          <w:spacing w:val="-4"/>
        </w:rPr>
        <w:t xml:space="preserve"> </w:t>
      </w:r>
      <w:r w:rsidRPr="00C6052E">
        <w:rPr>
          <w:spacing w:val="-4"/>
        </w:rPr>
        <w:t>without</w:t>
      </w:r>
      <w:r w:rsidR="00177848" w:rsidRPr="00C6052E">
        <w:rPr>
          <w:spacing w:val="-4"/>
        </w:rPr>
        <w:t xml:space="preserve"> </w:t>
      </w:r>
      <w:r w:rsidRPr="00C6052E">
        <w:rPr>
          <w:spacing w:val="-4"/>
        </w:rPr>
        <w:t>receiving</w:t>
      </w:r>
      <w:r w:rsidR="00177848" w:rsidRPr="00C6052E">
        <w:rPr>
          <w:spacing w:val="-4"/>
        </w:rPr>
        <w:t xml:space="preserve"> </w:t>
      </w:r>
      <w:r w:rsidRPr="00C6052E">
        <w:rPr>
          <w:spacing w:val="-4"/>
        </w:rPr>
        <w:t>approximately</w:t>
      </w:r>
      <w:r w:rsidR="00177848" w:rsidRPr="00C6052E">
        <w:rPr>
          <w:spacing w:val="-4"/>
        </w:rPr>
        <w:t xml:space="preserve"> </w:t>
      </w:r>
      <w:r w:rsidRPr="00C6052E">
        <w:rPr>
          <w:spacing w:val="-4"/>
        </w:rPr>
        <w:t>equal</w:t>
      </w:r>
      <w:r w:rsidR="00177848" w:rsidRPr="00C6052E">
        <w:rPr>
          <w:spacing w:val="-4"/>
        </w:rPr>
        <w:t xml:space="preserve"> </w:t>
      </w:r>
      <w:r w:rsidRPr="00C6052E">
        <w:rPr>
          <w:spacing w:val="-4"/>
        </w:rPr>
        <w:t>value</w:t>
      </w:r>
      <w:r w:rsidR="00177848" w:rsidRPr="00C6052E">
        <w:rPr>
          <w:spacing w:val="-4"/>
        </w:rPr>
        <w:t xml:space="preserve"> </w:t>
      </w:r>
      <w:r w:rsidRPr="00C6052E">
        <w:rPr>
          <w:spacing w:val="-4"/>
        </w:rPr>
        <w:t>in</w:t>
      </w:r>
      <w:r w:rsidR="00177848" w:rsidRPr="00C6052E">
        <w:rPr>
          <w:spacing w:val="-4"/>
        </w:rPr>
        <w:t xml:space="preserve"> </w:t>
      </w:r>
      <w:r w:rsidRPr="00C6052E">
        <w:rPr>
          <w:spacing w:val="-4"/>
        </w:rPr>
        <w:t>return</w:t>
      </w:r>
      <w:r w:rsidRPr="00C6052E">
        <w:t>.</w:t>
      </w:r>
      <w:r w:rsidR="00177848" w:rsidRPr="00C6052E">
        <w:t xml:space="preserve"> </w:t>
      </w:r>
      <w:r w:rsidRPr="00C6052E">
        <w:t>Grants</w:t>
      </w:r>
      <w:r w:rsidR="00177848" w:rsidRPr="00C6052E">
        <w:t xml:space="preserve"> </w:t>
      </w:r>
      <w:r w:rsidRPr="00C6052E">
        <w:t>can</w:t>
      </w:r>
      <w:r w:rsidR="00177848" w:rsidRPr="00C6052E">
        <w:t xml:space="preserve"> </w:t>
      </w:r>
      <w:r w:rsidRPr="00C6052E">
        <w:t>either</w:t>
      </w:r>
      <w:r w:rsidR="00177848" w:rsidRPr="00C6052E">
        <w:t xml:space="preserve"> </w:t>
      </w:r>
      <w:r w:rsidRPr="00C6052E">
        <w:t>be</w:t>
      </w:r>
      <w:r w:rsidR="00177848" w:rsidRPr="00C6052E">
        <w:t xml:space="preserve"> </w:t>
      </w:r>
      <w:r w:rsidRPr="00C6052E">
        <w:t>operating</w:t>
      </w:r>
      <w:r w:rsidR="00177848" w:rsidRPr="00C6052E">
        <w:t xml:space="preserve"> </w:t>
      </w:r>
      <w:r w:rsidRPr="00C6052E">
        <w:t>or</w:t>
      </w:r>
      <w:r w:rsidR="00177848" w:rsidRPr="00C6052E">
        <w:t xml:space="preserve"> </w:t>
      </w:r>
      <w:r w:rsidRPr="00C6052E">
        <w:t>capital</w:t>
      </w:r>
      <w:r w:rsidR="00177848" w:rsidRPr="00C6052E">
        <w:t xml:space="preserve"> </w:t>
      </w:r>
      <w:r w:rsidRPr="00C6052E">
        <w:t>in</w:t>
      </w:r>
      <w:r w:rsidR="00177848" w:rsidRPr="00C6052E">
        <w:t xml:space="preserve"> </w:t>
      </w:r>
      <w:r w:rsidRPr="00C6052E">
        <w:t>nature.</w:t>
      </w:r>
    </w:p>
    <w:p w14:paraId="5F6C6AC4" w14:textId="68C8B675" w:rsidR="00EE5BB8" w:rsidRPr="00C6052E" w:rsidRDefault="00EE5BB8" w:rsidP="00EE5BB8">
      <w:r w:rsidRPr="00C6052E">
        <w:t>While</w:t>
      </w:r>
      <w:r w:rsidR="00177848" w:rsidRPr="00C6052E">
        <w:t xml:space="preserve"> </w:t>
      </w:r>
      <w:r w:rsidRPr="00C6052E">
        <w:t>grants</w:t>
      </w:r>
      <w:r w:rsidR="00177848" w:rsidRPr="00C6052E">
        <w:t xml:space="preserve"> </w:t>
      </w:r>
      <w:r w:rsidRPr="00C6052E">
        <w:t>to</w:t>
      </w:r>
      <w:r w:rsidR="00177848" w:rsidRPr="00C6052E">
        <w:t xml:space="preserve"> </w:t>
      </w:r>
      <w:r w:rsidRPr="00C6052E">
        <w:t>governments</w:t>
      </w:r>
      <w:r w:rsidR="00177848" w:rsidRPr="00C6052E">
        <w:t xml:space="preserve"> </w:t>
      </w:r>
      <w:r w:rsidRPr="00C6052E">
        <w:t>may</w:t>
      </w:r>
      <w:r w:rsidR="00177848" w:rsidRPr="00C6052E">
        <w:t xml:space="preserve"> </w:t>
      </w:r>
      <w:r w:rsidRPr="00C6052E">
        <w:t>result</w:t>
      </w:r>
      <w:r w:rsidR="00177848" w:rsidRPr="00C6052E">
        <w:t xml:space="preserve"> </w:t>
      </w:r>
      <w:r w:rsidRPr="00C6052E">
        <w:t>in</w:t>
      </w:r>
      <w:r w:rsidR="00177848" w:rsidRPr="00C6052E">
        <w:t xml:space="preserve"> </w:t>
      </w:r>
      <w:r w:rsidRPr="00C6052E">
        <w:t>the</w:t>
      </w:r>
      <w:r w:rsidR="00177848" w:rsidRPr="00C6052E">
        <w:t xml:space="preserve"> </w:t>
      </w:r>
      <w:r w:rsidRPr="00C6052E">
        <w:t>provision</w:t>
      </w:r>
      <w:r w:rsidR="00177848" w:rsidRPr="00C6052E">
        <w:t xml:space="preserve"> </w:t>
      </w:r>
      <w:r w:rsidRPr="00C6052E">
        <w:t>of</w:t>
      </w:r>
      <w:r w:rsidR="00177848" w:rsidRPr="00C6052E">
        <w:t xml:space="preserve"> </w:t>
      </w:r>
      <w:r w:rsidRPr="00C6052E">
        <w:t>some</w:t>
      </w:r>
      <w:r w:rsidR="00177848" w:rsidRPr="00C6052E">
        <w:t xml:space="preserve"> </w:t>
      </w:r>
      <w:r w:rsidRPr="00C6052E">
        <w:t>goods</w:t>
      </w:r>
      <w:r w:rsidR="00177848" w:rsidRPr="00C6052E">
        <w:t xml:space="preserve"> </w:t>
      </w:r>
      <w:r w:rsidRPr="00C6052E">
        <w:t>or</w:t>
      </w:r>
      <w:r w:rsidR="00177848" w:rsidRPr="00C6052E">
        <w:t xml:space="preserve"> </w:t>
      </w:r>
      <w:r w:rsidRPr="00C6052E">
        <w:t>services</w:t>
      </w:r>
      <w:r w:rsidR="00177848" w:rsidRPr="00C6052E">
        <w:t xml:space="preserve"> </w:t>
      </w:r>
      <w:r w:rsidRPr="00C6052E">
        <w:t>to</w:t>
      </w:r>
      <w:r w:rsidR="00177848" w:rsidRPr="00C6052E">
        <w:t xml:space="preserve"> </w:t>
      </w:r>
      <w:r w:rsidRPr="00C6052E">
        <w:t>the</w:t>
      </w:r>
      <w:r w:rsidR="00177848" w:rsidRPr="00C6052E">
        <w:t xml:space="preserve"> </w:t>
      </w:r>
      <w:r w:rsidRPr="00C6052E">
        <w:t>transferor,</w:t>
      </w:r>
      <w:r w:rsidR="00177848" w:rsidRPr="00C6052E">
        <w:t xml:space="preserve"> </w:t>
      </w:r>
      <w:r w:rsidRPr="00C6052E">
        <w:t>they</w:t>
      </w:r>
      <w:r w:rsidR="00177848" w:rsidRPr="00C6052E">
        <w:t xml:space="preserve"> </w:t>
      </w:r>
      <w:r w:rsidRPr="00C6052E">
        <w:t>do</w:t>
      </w:r>
      <w:r w:rsidR="00177848" w:rsidRPr="00C6052E">
        <w:t xml:space="preserve"> </w:t>
      </w:r>
      <w:r w:rsidRPr="00C6052E">
        <w:t>not</w:t>
      </w:r>
      <w:r w:rsidR="00177848" w:rsidRPr="00C6052E">
        <w:t xml:space="preserve"> </w:t>
      </w:r>
      <w:r w:rsidRPr="00C6052E">
        <w:t>give</w:t>
      </w:r>
      <w:r w:rsidR="00177848" w:rsidRPr="00C6052E">
        <w:t xml:space="preserve"> </w:t>
      </w:r>
      <w:r w:rsidRPr="00C6052E">
        <w:t>the</w:t>
      </w:r>
      <w:r w:rsidR="00177848" w:rsidRPr="00C6052E">
        <w:t xml:space="preserve"> </w:t>
      </w:r>
      <w:r w:rsidRPr="00C6052E">
        <w:t>transferor</w:t>
      </w:r>
      <w:r w:rsidR="00177848" w:rsidRPr="00C6052E">
        <w:t xml:space="preserve"> </w:t>
      </w:r>
      <w:r w:rsidRPr="00C6052E">
        <w:t>a</w:t>
      </w:r>
      <w:r w:rsidR="00177848" w:rsidRPr="00C6052E">
        <w:t xml:space="preserve"> </w:t>
      </w:r>
      <w:r w:rsidRPr="00C6052E">
        <w:t>claim</w:t>
      </w:r>
      <w:r w:rsidR="00177848" w:rsidRPr="00C6052E">
        <w:t xml:space="preserve"> </w:t>
      </w:r>
      <w:r w:rsidRPr="00C6052E">
        <w:t>to</w:t>
      </w:r>
      <w:r w:rsidR="00177848" w:rsidRPr="00C6052E">
        <w:t xml:space="preserve"> </w:t>
      </w:r>
      <w:r w:rsidRPr="00C6052E">
        <w:t>receive</w:t>
      </w:r>
      <w:r w:rsidR="00177848" w:rsidRPr="00C6052E">
        <w:t xml:space="preserve"> </w:t>
      </w:r>
      <w:r w:rsidRPr="00C6052E">
        <w:t>directly</w:t>
      </w:r>
      <w:r w:rsidR="00177848" w:rsidRPr="00C6052E">
        <w:t xml:space="preserve"> </w:t>
      </w:r>
      <w:r w:rsidRPr="00C6052E">
        <w:t>benefits</w:t>
      </w:r>
      <w:r w:rsidR="00177848" w:rsidRPr="00C6052E">
        <w:t xml:space="preserve"> </w:t>
      </w:r>
      <w:r w:rsidRPr="00C6052E">
        <w:t>of</w:t>
      </w:r>
      <w:r w:rsidR="00177848" w:rsidRPr="00C6052E">
        <w:t xml:space="preserve"> </w:t>
      </w:r>
      <w:r w:rsidRPr="00C6052E">
        <w:t>approximately</w:t>
      </w:r>
      <w:r w:rsidR="00177848" w:rsidRPr="00C6052E">
        <w:t xml:space="preserve"> </w:t>
      </w:r>
      <w:r w:rsidRPr="00C6052E">
        <w:t>equal</w:t>
      </w:r>
      <w:r w:rsidR="00177848" w:rsidRPr="00C6052E">
        <w:t xml:space="preserve"> </w:t>
      </w:r>
      <w:r w:rsidRPr="00C6052E">
        <w:t>value.</w:t>
      </w:r>
      <w:r w:rsidR="00177848" w:rsidRPr="00C6052E">
        <w:t xml:space="preserve"> </w:t>
      </w:r>
      <w:r w:rsidRPr="00C6052E">
        <w:t>For</w:t>
      </w:r>
      <w:r w:rsidR="00177848" w:rsidRPr="00C6052E">
        <w:t xml:space="preserve"> </w:t>
      </w:r>
      <w:r w:rsidRPr="00C6052E">
        <w:t>this</w:t>
      </w:r>
      <w:r w:rsidR="00177848" w:rsidRPr="00C6052E">
        <w:t xml:space="preserve"> </w:t>
      </w:r>
      <w:r w:rsidRPr="00C6052E">
        <w:t>reason,</w:t>
      </w:r>
      <w:r w:rsidR="00177848" w:rsidRPr="00C6052E">
        <w:t xml:space="preserve"> </w:t>
      </w:r>
      <w:r w:rsidRPr="00C6052E">
        <w:t>grants</w:t>
      </w:r>
      <w:r w:rsidR="00177848" w:rsidRPr="00C6052E">
        <w:t xml:space="preserve"> </w:t>
      </w:r>
      <w:r w:rsidRPr="00C6052E">
        <w:t>are</w:t>
      </w:r>
      <w:r w:rsidR="00177848" w:rsidRPr="00C6052E">
        <w:t xml:space="preserve"> </w:t>
      </w:r>
      <w:r w:rsidRPr="00C6052E">
        <w:t>referred</w:t>
      </w:r>
      <w:r w:rsidR="00177848" w:rsidRPr="00C6052E">
        <w:t xml:space="preserve"> </w:t>
      </w:r>
      <w:r w:rsidRPr="00C6052E">
        <w:t>to</w:t>
      </w:r>
      <w:r w:rsidR="00177848" w:rsidRPr="00C6052E">
        <w:t xml:space="preserve"> </w:t>
      </w:r>
      <w:r w:rsidRPr="00C6052E">
        <w:t>by</w:t>
      </w:r>
      <w:r w:rsidR="00177848" w:rsidRPr="00C6052E">
        <w:t xml:space="preserve"> </w:t>
      </w:r>
      <w:r w:rsidRPr="00C6052E">
        <w:t>the</w:t>
      </w:r>
      <w:r w:rsidR="00177848" w:rsidRPr="00C6052E">
        <w:t xml:space="preserve"> </w:t>
      </w:r>
      <w:r w:rsidRPr="00C6052E">
        <w:t>AASB</w:t>
      </w:r>
      <w:r w:rsidR="00177848" w:rsidRPr="00C6052E">
        <w:t xml:space="preserve"> </w:t>
      </w:r>
      <w:r w:rsidRPr="00C6052E">
        <w:t>as</w:t>
      </w:r>
      <w:r w:rsidR="00177848" w:rsidRPr="00C6052E">
        <w:t xml:space="preserve"> </w:t>
      </w:r>
      <w:r w:rsidRPr="00C6052E">
        <w:t>involuntary</w:t>
      </w:r>
      <w:r w:rsidR="00177848" w:rsidRPr="00C6052E">
        <w:t xml:space="preserve"> </w:t>
      </w:r>
      <w:r w:rsidRPr="00C6052E">
        <w:t>transfers</w:t>
      </w:r>
      <w:r w:rsidR="00177848" w:rsidRPr="00C6052E">
        <w:t xml:space="preserve"> </w:t>
      </w:r>
      <w:r w:rsidRPr="00C6052E">
        <w:t>and</w:t>
      </w:r>
      <w:r w:rsidR="00177848" w:rsidRPr="00C6052E">
        <w:t xml:space="preserve"> </w:t>
      </w:r>
      <w:r w:rsidRPr="00C6052E">
        <w:t>are</w:t>
      </w:r>
      <w:r w:rsidR="00177848" w:rsidRPr="00C6052E">
        <w:t xml:space="preserve"> </w:t>
      </w:r>
      <w:r w:rsidRPr="00C6052E">
        <w:t>termed</w:t>
      </w:r>
      <w:r w:rsidR="00177848" w:rsidRPr="00C6052E">
        <w:t xml:space="preserve"> </w:t>
      </w:r>
      <w:r w:rsidRPr="00C6052E">
        <w:t>non</w:t>
      </w:r>
      <w:r w:rsidR="00177848" w:rsidRPr="00C6052E">
        <w:t xml:space="preserve"> </w:t>
      </w:r>
      <w:r w:rsidRPr="00C6052E">
        <w:t>reciprocal</w:t>
      </w:r>
      <w:r w:rsidR="00177848" w:rsidRPr="00C6052E">
        <w:t xml:space="preserve"> </w:t>
      </w:r>
      <w:r w:rsidRPr="00C6052E">
        <w:t>transfers.</w:t>
      </w:r>
      <w:r w:rsidR="00177848" w:rsidRPr="00C6052E">
        <w:t xml:space="preserve"> </w:t>
      </w:r>
      <w:r w:rsidRPr="00C6052E">
        <w:t>Receipt</w:t>
      </w:r>
      <w:r w:rsidR="00177848" w:rsidRPr="00C6052E">
        <w:t xml:space="preserve"> </w:t>
      </w:r>
      <w:r w:rsidRPr="00C6052E">
        <w:t>and</w:t>
      </w:r>
      <w:r w:rsidR="00177848" w:rsidRPr="00C6052E">
        <w:t xml:space="preserve"> </w:t>
      </w:r>
      <w:r w:rsidRPr="00C6052E">
        <w:t>sacrifice</w:t>
      </w:r>
      <w:r w:rsidR="00177848" w:rsidRPr="00C6052E">
        <w:t xml:space="preserve"> </w:t>
      </w:r>
      <w:r w:rsidRPr="00C6052E">
        <w:t>of</w:t>
      </w:r>
      <w:r w:rsidR="00177848" w:rsidRPr="00C6052E">
        <w:t xml:space="preserve"> </w:t>
      </w:r>
      <w:r w:rsidRPr="00C6052E">
        <w:lastRenderedPageBreak/>
        <w:t>approximately</w:t>
      </w:r>
      <w:r w:rsidR="00177848" w:rsidRPr="00C6052E">
        <w:t xml:space="preserve"> </w:t>
      </w:r>
      <w:r w:rsidRPr="00C6052E">
        <w:t>equal</w:t>
      </w:r>
      <w:r w:rsidR="00177848" w:rsidRPr="00C6052E">
        <w:t xml:space="preserve"> </w:t>
      </w:r>
      <w:r w:rsidRPr="00C6052E">
        <w:t>value</w:t>
      </w:r>
      <w:r w:rsidR="00177848" w:rsidRPr="00C6052E">
        <w:t xml:space="preserve"> </w:t>
      </w:r>
      <w:r w:rsidRPr="00C6052E">
        <w:t>may</w:t>
      </w:r>
      <w:r w:rsidR="00177848" w:rsidRPr="00C6052E">
        <w:t xml:space="preserve"> </w:t>
      </w:r>
      <w:r w:rsidRPr="00C6052E">
        <w:t>occur,</w:t>
      </w:r>
      <w:r w:rsidR="00177848" w:rsidRPr="00C6052E">
        <w:t xml:space="preserve"> </w:t>
      </w:r>
      <w:r w:rsidRPr="00C6052E">
        <w:t>but</w:t>
      </w:r>
      <w:r w:rsidR="00177848" w:rsidRPr="00C6052E">
        <w:t xml:space="preserve"> </w:t>
      </w:r>
      <w:r w:rsidRPr="00C6052E">
        <w:t>only</w:t>
      </w:r>
      <w:r w:rsidR="00177848" w:rsidRPr="00C6052E">
        <w:t xml:space="preserve"> </w:t>
      </w:r>
      <w:r w:rsidRPr="00C6052E">
        <w:t>by</w:t>
      </w:r>
      <w:r w:rsidR="00177848" w:rsidRPr="00C6052E">
        <w:t xml:space="preserve"> </w:t>
      </w:r>
      <w:r w:rsidRPr="00C6052E">
        <w:t>coincidence.</w:t>
      </w:r>
      <w:r w:rsidR="00177848" w:rsidRPr="00C6052E">
        <w:t xml:space="preserve"> </w:t>
      </w:r>
      <w:r w:rsidRPr="00C6052E">
        <w:t>For</w:t>
      </w:r>
      <w:r w:rsidR="00177848" w:rsidRPr="00C6052E">
        <w:t xml:space="preserve"> </w:t>
      </w:r>
      <w:r w:rsidRPr="00C6052E">
        <w:t>example,</w:t>
      </w:r>
      <w:r w:rsidR="00177848" w:rsidRPr="00C6052E">
        <w:t xml:space="preserve"> </w:t>
      </w:r>
      <w:r w:rsidRPr="00C6052E">
        <w:t>governments</w:t>
      </w:r>
      <w:r w:rsidR="00177848" w:rsidRPr="00C6052E">
        <w:t xml:space="preserve"> </w:t>
      </w:r>
      <w:r w:rsidRPr="00C6052E">
        <w:t>are</w:t>
      </w:r>
      <w:r w:rsidR="00177848" w:rsidRPr="00C6052E">
        <w:t xml:space="preserve"> </w:t>
      </w:r>
      <w:r w:rsidRPr="00C6052E">
        <w:t>not</w:t>
      </w:r>
      <w:r w:rsidR="00177848" w:rsidRPr="00C6052E">
        <w:t xml:space="preserve"> </w:t>
      </w:r>
      <w:r w:rsidRPr="00C6052E">
        <w:t>obliged</w:t>
      </w:r>
      <w:r w:rsidR="00177848" w:rsidRPr="00C6052E">
        <w:t xml:space="preserve"> </w:t>
      </w:r>
      <w:r w:rsidRPr="00C6052E">
        <w:t>to</w:t>
      </w:r>
      <w:r w:rsidR="00177848" w:rsidRPr="00C6052E">
        <w:t xml:space="preserve"> </w:t>
      </w:r>
      <w:r w:rsidRPr="00C6052E">
        <w:t>provide</w:t>
      </w:r>
      <w:r w:rsidR="00177848" w:rsidRPr="00C6052E">
        <w:t xml:space="preserve"> </w:t>
      </w:r>
      <w:r w:rsidRPr="00C6052E">
        <w:t>commensurate</w:t>
      </w:r>
      <w:r w:rsidR="00177848" w:rsidRPr="00C6052E">
        <w:t xml:space="preserve"> </w:t>
      </w:r>
      <w:r w:rsidRPr="00C6052E">
        <w:t>benefits</w:t>
      </w:r>
      <w:r w:rsidR="00177848" w:rsidRPr="00C6052E">
        <w:t xml:space="preserve"> </w:t>
      </w:r>
      <w:r w:rsidRPr="00C6052E">
        <w:t>in</w:t>
      </w:r>
      <w:r w:rsidR="00177848" w:rsidRPr="00C6052E">
        <w:t xml:space="preserve"> </w:t>
      </w:r>
      <w:r w:rsidRPr="00C6052E">
        <w:t>the</w:t>
      </w:r>
      <w:r w:rsidR="00177848" w:rsidRPr="00C6052E">
        <w:t xml:space="preserve"> </w:t>
      </w:r>
      <w:r w:rsidRPr="00C6052E">
        <w:t>form</w:t>
      </w:r>
      <w:r w:rsidR="00177848" w:rsidRPr="00C6052E">
        <w:t xml:space="preserve"> </w:t>
      </w:r>
      <w:r w:rsidRPr="00C6052E">
        <w:t>of</w:t>
      </w:r>
      <w:r w:rsidR="00177848" w:rsidRPr="00C6052E">
        <w:t xml:space="preserve"> </w:t>
      </w:r>
      <w:r w:rsidRPr="00C6052E">
        <w:t>goods</w:t>
      </w:r>
      <w:r w:rsidR="00177848" w:rsidRPr="00C6052E">
        <w:t xml:space="preserve"> </w:t>
      </w:r>
      <w:r w:rsidRPr="00C6052E">
        <w:t>or</w:t>
      </w:r>
      <w:r w:rsidR="00177848" w:rsidRPr="00C6052E">
        <w:t xml:space="preserve"> </w:t>
      </w:r>
      <w:r w:rsidRPr="00C6052E">
        <w:t>services</w:t>
      </w:r>
      <w:r w:rsidR="00177848" w:rsidRPr="00C6052E">
        <w:t xml:space="preserve"> </w:t>
      </w:r>
      <w:r w:rsidRPr="00C6052E">
        <w:t>to</w:t>
      </w:r>
      <w:r w:rsidR="00177848" w:rsidRPr="00C6052E">
        <w:t xml:space="preserve"> </w:t>
      </w:r>
      <w:r w:rsidRPr="00C6052E">
        <w:t>particular</w:t>
      </w:r>
      <w:r w:rsidR="00177848" w:rsidRPr="00C6052E">
        <w:t xml:space="preserve"> </w:t>
      </w:r>
      <w:r w:rsidRPr="00C6052E">
        <w:t>taxpayers</w:t>
      </w:r>
      <w:r w:rsidR="00177848" w:rsidRPr="00C6052E">
        <w:t xml:space="preserve"> </w:t>
      </w:r>
      <w:r w:rsidRPr="00C6052E">
        <w:t>in</w:t>
      </w:r>
      <w:r w:rsidR="00177848" w:rsidRPr="00C6052E">
        <w:t xml:space="preserve"> </w:t>
      </w:r>
      <w:r w:rsidRPr="00C6052E">
        <w:t>return</w:t>
      </w:r>
      <w:r w:rsidR="00177848" w:rsidRPr="00C6052E">
        <w:t xml:space="preserve"> </w:t>
      </w:r>
      <w:r w:rsidRPr="00C6052E">
        <w:t>for</w:t>
      </w:r>
      <w:r w:rsidR="00177848" w:rsidRPr="00C6052E">
        <w:t xml:space="preserve"> </w:t>
      </w:r>
      <w:r w:rsidRPr="00C6052E">
        <w:t>their</w:t>
      </w:r>
      <w:r w:rsidR="00177848" w:rsidRPr="00C6052E">
        <w:t xml:space="preserve"> </w:t>
      </w:r>
      <w:r w:rsidRPr="00C6052E">
        <w:t>taxes.</w:t>
      </w:r>
    </w:p>
    <w:p w14:paraId="5D48C561" w14:textId="7B23360F" w:rsidR="00EE5BB8" w:rsidRPr="00C6052E" w:rsidRDefault="00EE5BB8" w:rsidP="00EE5BB8">
      <w:r w:rsidRPr="00C6052E">
        <w:t>Grants</w:t>
      </w:r>
      <w:r w:rsidR="00177848" w:rsidRPr="00C6052E">
        <w:t xml:space="preserve"> </w:t>
      </w:r>
      <w:r w:rsidRPr="00C6052E">
        <w:t>can</w:t>
      </w:r>
      <w:r w:rsidR="00177848" w:rsidRPr="00C6052E">
        <w:t xml:space="preserve"> </w:t>
      </w:r>
      <w:r w:rsidRPr="00C6052E">
        <w:t>be</w:t>
      </w:r>
      <w:r w:rsidR="00177848" w:rsidRPr="00C6052E">
        <w:t xml:space="preserve"> </w:t>
      </w:r>
      <w:r w:rsidRPr="00C6052E">
        <w:t>paid</w:t>
      </w:r>
      <w:r w:rsidR="00177848" w:rsidRPr="00C6052E">
        <w:t xml:space="preserve"> </w:t>
      </w:r>
      <w:r w:rsidRPr="00C6052E">
        <w:t>as</w:t>
      </w:r>
      <w:r w:rsidR="00177848" w:rsidRPr="00C6052E">
        <w:t xml:space="preserve"> </w:t>
      </w:r>
      <w:r w:rsidRPr="00C6052E">
        <w:t>general</w:t>
      </w:r>
      <w:r w:rsidR="00177848" w:rsidRPr="00C6052E">
        <w:t xml:space="preserve"> </w:t>
      </w:r>
      <w:r w:rsidRPr="00C6052E">
        <w:t>purpose</w:t>
      </w:r>
      <w:r w:rsidR="00177848" w:rsidRPr="00C6052E">
        <w:t xml:space="preserve"> </w:t>
      </w:r>
      <w:r w:rsidRPr="00C6052E">
        <w:t>grants</w:t>
      </w:r>
      <w:r w:rsidR="00177848" w:rsidRPr="00C6052E">
        <w:t xml:space="preserve"> </w:t>
      </w:r>
      <w:r w:rsidRPr="00C6052E">
        <w:t>which</w:t>
      </w:r>
      <w:r w:rsidR="00177848" w:rsidRPr="00C6052E">
        <w:t xml:space="preserve"> </w:t>
      </w:r>
      <w:r w:rsidRPr="00C6052E">
        <w:t>refer</w:t>
      </w:r>
      <w:r w:rsidR="00177848" w:rsidRPr="00C6052E">
        <w:t xml:space="preserve"> </w:t>
      </w:r>
      <w:r w:rsidRPr="00C6052E">
        <w:t>to</w:t>
      </w:r>
      <w:r w:rsidR="00177848" w:rsidRPr="00C6052E">
        <w:t xml:space="preserve"> </w:t>
      </w:r>
      <w:r w:rsidRPr="00C6052E">
        <w:t>grants</w:t>
      </w:r>
      <w:r w:rsidR="00177848" w:rsidRPr="00C6052E">
        <w:t xml:space="preserve"> </w:t>
      </w:r>
      <w:r w:rsidRPr="00C6052E">
        <w:t>that</w:t>
      </w:r>
      <w:r w:rsidR="00177848" w:rsidRPr="00C6052E">
        <w:t xml:space="preserve"> </w:t>
      </w:r>
      <w:r w:rsidRPr="00C6052E">
        <w:t>are</w:t>
      </w:r>
      <w:r w:rsidR="00177848" w:rsidRPr="00C6052E">
        <w:t xml:space="preserve"> </w:t>
      </w:r>
      <w:r w:rsidRPr="00C6052E">
        <w:t>not</w:t>
      </w:r>
      <w:r w:rsidR="00177848" w:rsidRPr="00C6052E">
        <w:t xml:space="preserve"> </w:t>
      </w:r>
      <w:r w:rsidRPr="00C6052E">
        <w:t>subject</w:t>
      </w:r>
      <w:r w:rsidR="00177848" w:rsidRPr="00C6052E">
        <w:t xml:space="preserve"> </w:t>
      </w:r>
      <w:r w:rsidRPr="00C6052E">
        <w:t>to</w:t>
      </w:r>
      <w:r w:rsidR="00177848" w:rsidRPr="00C6052E">
        <w:t xml:space="preserve"> </w:t>
      </w:r>
      <w:r w:rsidRPr="00C6052E">
        <w:t>conditions</w:t>
      </w:r>
      <w:r w:rsidR="00177848" w:rsidRPr="00C6052E">
        <w:t xml:space="preserve"> </w:t>
      </w:r>
      <w:r w:rsidRPr="00C6052E">
        <w:t>regarding</w:t>
      </w:r>
      <w:r w:rsidR="00177848" w:rsidRPr="00C6052E">
        <w:t xml:space="preserve"> </w:t>
      </w:r>
      <w:r w:rsidRPr="00C6052E">
        <w:t>their</w:t>
      </w:r>
      <w:r w:rsidR="00177848" w:rsidRPr="00C6052E">
        <w:t xml:space="preserve"> </w:t>
      </w:r>
      <w:r w:rsidRPr="00C6052E">
        <w:t>use.</w:t>
      </w:r>
      <w:r w:rsidR="00177848" w:rsidRPr="00C6052E">
        <w:t xml:space="preserve"> </w:t>
      </w:r>
      <w:r w:rsidRPr="00C6052E">
        <w:t>Alternatively,</w:t>
      </w:r>
      <w:r w:rsidR="00177848" w:rsidRPr="00C6052E">
        <w:t xml:space="preserve"> </w:t>
      </w:r>
      <w:r w:rsidRPr="00C6052E">
        <w:t>they</w:t>
      </w:r>
      <w:r w:rsidR="00177848" w:rsidRPr="00C6052E">
        <w:t xml:space="preserve"> </w:t>
      </w:r>
      <w:r w:rsidRPr="00C6052E">
        <w:t>may</w:t>
      </w:r>
      <w:r w:rsidR="00177848" w:rsidRPr="00C6052E">
        <w:t xml:space="preserve"> </w:t>
      </w:r>
      <w:r w:rsidRPr="00C6052E">
        <w:t>be</w:t>
      </w:r>
      <w:r w:rsidR="00177848" w:rsidRPr="00C6052E">
        <w:t xml:space="preserve"> </w:t>
      </w:r>
      <w:r w:rsidRPr="00C6052E">
        <w:t>paid</w:t>
      </w:r>
      <w:r w:rsidR="00177848" w:rsidRPr="00C6052E">
        <w:t xml:space="preserve"> </w:t>
      </w:r>
      <w:r w:rsidRPr="00C6052E">
        <w:t>as</w:t>
      </w:r>
      <w:r w:rsidR="00177848" w:rsidRPr="00C6052E">
        <w:t xml:space="preserve"> </w:t>
      </w:r>
      <w:r w:rsidRPr="00C6052E">
        <w:t>specific</w:t>
      </w:r>
      <w:r w:rsidR="00177848" w:rsidRPr="00C6052E">
        <w:t xml:space="preserve"> </w:t>
      </w:r>
      <w:r w:rsidRPr="00C6052E">
        <w:t>purpose</w:t>
      </w:r>
      <w:r w:rsidR="00177848" w:rsidRPr="00C6052E">
        <w:t xml:space="preserve"> </w:t>
      </w:r>
      <w:r w:rsidRPr="00C6052E">
        <w:t>grants</w:t>
      </w:r>
      <w:r w:rsidR="00177848" w:rsidRPr="00C6052E">
        <w:t xml:space="preserve"> </w:t>
      </w:r>
      <w:r w:rsidRPr="00C6052E">
        <w:t>which</w:t>
      </w:r>
      <w:r w:rsidR="00177848" w:rsidRPr="00C6052E">
        <w:t xml:space="preserve"> </w:t>
      </w:r>
      <w:r w:rsidRPr="00C6052E">
        <w:t>are</w:t>
      </w:r>
      <w:r w:rsidR="00177848" w:rsidRPr="00C6052E">
        <w:t xml:space="preserve"> </w:t>
      </w:r>
      <w:r w:rsidRPr="00C6052E">
        <w:t>paid</w:t>
      </w:r>
      <w:r w:rsidR="00177848" w:rsidRPr="00C6052E">
        <w:t xml:space="preserve"> </w:t>
      </w:r>
      <w:r w:rsidRPr="00C6052E">
        <w:t>for</w:t>
      </w:r>
      <w:r w:rsidR="00177848" w:rsidRPr="00C6052E">
        <w:t xml:space="preserve"> </w:t>
      </w:r>
      <w:r w:rsidRPr="00C6052E">
        <w:t>a</w:t>
      </w:r>
      <w:r w:rsidR="00177848" w:rsidRPr="00C6052E">
        <w:t xml:space="preserve"> </w:t>
      </w:r>
      <w:r w:rsidRPr="00C6052E">
        <w:t>particular</w:t>
      </w:r>
      <w:r w:rsidR="00177848" w:rsidRPr="00C6052E">
        <w:t xml:space="preserve"> </w:t>
      </w:r>
      <w:r w:rsidRPr="00C6052E">
        <w:t>purpose</w:t>
      </w:r>
      <w:r w:rsidR="00177848" w:rsidRPr="00C6052E">
        <w:t xml:space="preserve"> </w:t>
      </w:r>
      <w:r w:rsidRPr="00C6052E">
        <w:t>and/or</w:t>
      </w:r>
      <w:r w:rsidR="00177848" w:rsidRPr="00C6052E">
        <w:t xml:space="preserve"> </w:t>
      </w:r>
      <w:r w:rsidRPr="00C6052E">
        <w:t>have</w:t>
      </w:r>
      <w:r w:rsidR="00177848" w:rsidRPr="00C6052E">
        <w:t xml:space="preserve"> </w:t>
      </w:r>
      <w:r w:rsidRPr="00C6052E">
        <w:t>conditions</w:t>
      </w:r>
      <w:r w:rsidR="00177848" w:rsidRPr="00C6052E">
        <w:t xml:space="preserve"> </w:t>
      </w:r>
      <w:r w:rsidRPr="00C6052E">
        <w:t>attached</w:t>
      </w:r>
      <w:r w:rsidR="00177848" w:rsidRPr="00C6052E">
        <w:t xml:space="preserve"> </w:t>
      </w:r>
      <w:r w:rsidRPr="00C6052E">
        <w:t>regarding</w:t>
      </w:r>
      <w:r w:rsidR="00177848" w:rsidRPr="00C6052E">
        <w:t xml:space="preserve"> </w:t>
      </w:r>
      <w:r w:rsidRPr="00C6052E">
        <w:t>their</w:t>
      </w:r>
      <w:r w:rsidR="00177848" w:rsidRPr="00C6052E">
        <w:t xml:space="preserve"> </w:t>
      </w:r>
      <w:r w:rsidRPr="00C6052E">
        <w:t>use.</w:t>
      </w:r>
    </w:p>
    <w:p w14:paraId="4BC914D2" w14:textId="2BA06E70" w:rsidR="00EE5BB8" w:rsidRPr="006F1C8C" w:rsidRDefault="00EE5BB8" w:rsidP="006F1C8C">
      <w:pPr>
        <w:pStyle w:val="Normalbeforebullets"/>
        <w:rPr>
          <w:b/>
          <w:bCs/>
        </w:rPr>
      </w:pPr>
      <w:r w:rsidRPr="006F1C8C">
        <w:rPr>
          <w:b/>
          <w:bCs/>
        </w:rPr>
        <w:t>General</w:t>
      </w:r>
      <w:r w:rsidR="00177848" w:rsidRPr="006F1C8C">
        <w:rPr>
          <w:b/>
          <w:bCs/>
        </w:rPr>
        <w:t xml:space="preserve"> </w:t>
      </w:r>
      <w:r w:rsidRPr="006F1C8C">
        <w:rPr>
          <w:b/>
          <w:bCs/>
        </w:rPr>
        <w:t>government</w:t>
      </w:r>
      <w:r w:rsidR="00177848" w:rsidRPr="006F1C8C">
        <w:rPr>
          <w:b/>
          <w:bCs/>
        </w:rPr>
        <w:t xml:space="preserve"> </w:t>
      </w:r>
      <w:r w:rsidRPr="006F1C8C">
        <w:rPr>
          <w:b/>
          <w:bCs/>
        </w:rPr>
        <w:t>sector</w:t>
      </w:r>
    </w:p>
    <w:p w14:paraId="7C309C6B" w14:textId="31AC45E4" w:rsidR="00EE5BB8" w:rsidRPr="00C6052E" w:rsidRDefault="00EE5BB8" w:rsidP="00EE5BB8">
      <w:r w:rsidRPr="00C6052E">
        <w:t>The</w:t>
      </w:r>
      <w:r w:rsidR="00177848" w:rsidRPr="00C6052E">
        <w:t xml:space="preserve"> </w:t>
      </w:r>
      <w:r w:rsidRPr="00C6052E">
        <w:t>general</w:t>
      </w:r>
      <w:r w:rsidR="00177848" w:rsidRPr="00C6052E">
        <w:t xml:space="preserve"> </w:t>
      </w:r>
      <w:r w:rsidRPr="00C6052E">
        <w:t>government</w:t>
      </w:r>
      <w:r w:rsidR="00177848" w:rsidRPr="00C6052E">
        <w:t xml:space="preserve"> </w:t>
      </w:r>
      <w:r w:rsidRPr="00C6052E">
        <w:t>sector</w:t>
      </w:r>
      <w:r w:rsidR="00177848" w:rsidRPr="00C6052E">
        <w:t xml:space="preserve"> </w:t>
      </w:r>
      <w:r w:rsidRPr="00C6052E">
        <w:t>comprises</w:t>
      </w:r>
      <w:r w:rsidR="00177848" w:rsidRPr="00C6052E">
        <w:t xml:space="preserve"> </w:t>
      </w:r>
      <w:r w:rsidRPr="00C6052E">
        <w:t>all</w:t>
      </w:r>
      <w:r w:rsidR="00177848" w:rsidRPr="00C6052E">
        <w:t xml:space="preserve"> </w:t>
      </w:r>
      <w:r w:rsidRPr="00C6052E">
        <w:t>government</w:t>
      </w:r>
      <w:r w:rsidR="00177848" w:rsidRPr="00C6052E">
        <w:t xml:space="preserve"> </w:t>
      </w:r>
      <w:r w:rsidRPr="00C6052E">
        <w:t>departments,</w:t>
      </w:r>
      <w:r w:rsidR="00177848" w:rsidRPr="00C6052E">
        <w:t xml:space="preserve"> </w:t>
      </w:r>
      <w:r w:rsidRPr="00C6052E">
        <w:t>offices</w:t>
      </w:r>
      <w:r w:rsidR="00177848" w:rsidRPr="00C6052E">
        <w:t xml:space="preserve"> </w:t>
      </w:r>
      <w:r w:rsidRPr="00C6052E">
        <w:t>and</w:t>
      </w:r>
      <w:r w:rsidR="00177848" w:rsidRPr="00C6052E">
        <w:t xml:space="preserve"> </w:t>
      </w:r>
      <w:r w:rsidRPr="00C6052E">
        <w:t>other</w:t>
      </w:r>
      <w:r w:rsidR="00177848" w:rsidRPr="00C6052E">
        <w:t xml:space="preserve"> </w:t>
      </w:r>
      <w:r w:rsidRPr="00C6052E">
        <w:t>bodies</w:t>
      </w:r>
      <w:r w:rsidR="00177848" w:rsidRPr="00C6052E">
        <w:t xml:space="preserve"> </w:t>
      </w:r>
      <w:r w:rsidRPr="00C6052E">
        <w:t>engaged</w:t>
      </w:r>
      <w:r w:rsidR="00177848" w:rsidRPr="00C6052E">
        <w:t xml:space="preserve"> </w:t>
      </w:r>
      <w:r w:rsidRPr="00C6052E">
        <w:t>in</w:t>
      </w:r>
      <w:r w:rsidR="00177848" w:rsidRPr="00C6052E">
        <w:t xml:space="preserve"> </w:t>
      </w:r>
      <w:r w:rsidRPr="00C6052E">
        <w:t>providing</w:t>
      </w:r>
      <w:r w:rsidR="00177848" w:rsidRPr="00C6052E">
        <w:t xml:space="preserve"> </w:t>
      </w:r>
      <w:r w:rsidRPr="00C6052E">
        <w:t>services</w:t>
      </w:r>
      <w:r w:rsidR="00177848" w:rsidRPr="00C6052E">
        <w:t xml:space="preserve"> </w:t>
      </w:r>
      <w:r w:rsidRPr="00C6052E">
        <w:t>free</w:t>
      </w:r>
      <w:r w:rsidR="00177848" w:rsidRPr="00C6052E">
        <w:t xml:space="preserve"> </w:t>
      </w:r>
      <w:r w:rsidRPr="00C6052E">
        <w:t>of</w:t>
      </w:r>
      <w:r w:rsidR="00177848" w:rsidRPr="00C6052E">
        <w:t xml:space="preserve"> </w:t>
      </w:r>
      <w:r w:rsidRPr="00C6052E">
        <w:t>charge</w:t>
      </w:r>
      <w:r w:rsidR="00177848" w:rsidRPr="00C6052E">
        <w:t xml:space="preserve"> </w:t>
      </w:r>
      <w:r w:rsidRPr="00C6052E">
        <w:t>or</w:t>
      </w:r>
      <w:r w:rsidR="00177848" w:rsidRPr="00C6052E">
        <w:t xml:space="preserve"> </w:t>
      </w:r>
      <w:r w:rsidRPr="00C6052E">
        <w:t>at</w:t>
      </w:r>
      <w:r w:rsidR="00177848" w:rsidRPr="00C6052E">
        <w:t xml:space="preserve"> </w:t>
      </w:r>
      <w:r w:rsidRPr="00C6052E">
        <w:t>a</w:t>
      </w:r>
      <w:r w:rsidR="00177848" w:rsidRPr="00C6052E">
        <w:t xml:space="preserve"> </w:t>
      </w:r>
      <w:r w:rsidRPr="00C6052E">
        <w:t>price</w:t>
      </w:r>
      <w:r w:rsidR="00177848" w:rsidRPr="00C6052E">
        <w:t xml:space="preserve"> </w:t>
      </w:r>
      <w:r w:rsidRPr="00C6052E">
        <w:t>significantly</w:t>
      </w:r>
      <w:r w:rsidR="00177848" w:rsidRPr="00C6052E">
        <w:t xml:space="preserve"> </w:t>
      </w:r>
      <w:r w:rsidRPr="00C6052E">
        <w:t>below</w:t>
      </w:r>
      <w:r w:rsidR="00177848" w:rsidRPr="00C6052E">
        <w:t xml:space="preserve"> </w:t>
      </w:r>
      <w:r w:rsidRPr="00C6052E">
        <w:t>their</w:t>
      </w:r>
      <w:r w:rsidR="00177848" w:rsidRPr="00C6052E">
        <w:t xml:space="preserve"> </w:t>
      </w:r>
      <w:r w:rsidRPr="00C6052E">
        <w:t>cost</w:t>
      </w:r>
      <w:r w:rsidR="00177848" w:rsidRPr="00C6052E">
        <w:t xml:space="preserve"> </w:t>
      </w:r>
      <w:r w:rsidRPr="00C6052E">
        <w:t>of</w:t>
      </w:r>
      <w:r w:rsidR="00177848" w:rsidRPr="00C6052E">
        <w:t xml:space="preserve"> </w:t>
      </w:r>
      <w:r w:rsidRPr="00C6052E">
        <w:t>production.</w:t>
      </w:r>
      <w:r w:rsidR="00177848" w:rsidRPr="00C6052E">
        <w:t xml:space="preserve"> </w:t>
      </w:r>
      <w:r w:rsidRPr="00C6052E">
        <w:t>General</w:t>
      </w:r>
      <w:r w:rsidR="00177848" w:rsidRPr="00C6052E">
        <w:t xml:space="preserve"> </w:t>
      </w:r>
      <w:r w:rsidRPr="00C6052E">
        <w:t>government</w:t>
      </w:r>
      <w:r w:rsidR="00177848" w:rsidRPr="00C6052E">
        <w:t xml:space="preserve"> </w:t>
      </w:r>
      <w:r w:rsidRPr="00C6052E">
        <w:t>services</w:t>
      </w:r>
      <w:r w:rsidR="00177848" w:rsidRPr="00C6052E">
        <w:t xml:space="preserve"> </w:t>
      </w:r>
      <w:r w:rsidRPr="00C6052E">
        <w:t>include</w:t>
      </w:r>
      <w:r w:rsidR="00177848" w:rsidRPr="00C6052E">
        <w:t xml:space="preserve"> </w:t>
      </w:r>
      <w:r w:rsidRPr="00C6052E">
        <w:t>those</w:t>
      </w:r>
      <w:r w:rsidR="00177848" w:rsidRPr="00C6052E">
        <w:t xml:space="preserve"> </w:t>
      </w:r>
      <w:r w:rsidRPr="00C6052E">
        <w:t>which</w:t>
      </w:r>
      <w:r w:rsidR="00177848" w:rsidRPr="00C6052E">
        <w:t xml:space="preserve"> </w:t>
      </w:r>
      <w:r w:rsidRPr="00C6052E">
        <w:t>are</w:t>
      </w:r>
      <w:r w:rsidR="00177848" w:rsidRPr="00C6052E">
        <w:t xml:space="preserve"> </w:t>
      </w:r>
      <w:r w:rsidRPr="00C6052E">
        <w:t>mainly</w:t>
      </w:r>
      <w:r w:rsidR="00177848" w:rsidRPr="00C6052E">
        <w:t xml:space="preserve"> </w:t>
      </w:r>
      <w:r w:rsidRPr="00C6052E">
        <w:t>non–market</w:t>
      </w:r>
      <w:r w:rsidR="00177848" w:rsidRPr="00C6052E">
        <w:t xml:space="preserve"> </w:t>
      </w:r>
      <w:r w:rsidRPr="00C6052E">
        <w:t>in</w:t>
      </w:r>
      <w:r w:rsidR="00177848" w:rsidRPr="00C6052E">
        <w:t xml:space="preserve"> </w:t>
      </w:r>
      <w:r w:rsidRPr="00C6052E">
        <w:t>nature,</w:t>
      </w:r>
      <w:r w:rsidR="00177848" w:rsidRPr="00C6052E">
        <w:t xml:space="preserve"> </w:t>
      </w:r>
      <w:r w:rsidRPr="00C6052E">
        <w:t>those</w:t>
      </w:r>
      <w:r w:rsidR="00177848" w:rsidRPr="00C6052E">
        <w:t xml:space="preserve"> </w:t>
      </w:r>
      <w:r w:rsidRPr="00C6052E">
        <w:t>which</w:t>
      </w:r>
      <w:r w:rsidR="00177848" w:rsidRPr="00C6052E">
        <w:t xml:space="preserve"> </w:t>
      </w:r>
      <w:r w:rsidRPr="00C6052E">
        <w:t>are</w:t>
      </w:r>
      <w:r w:rsidR="00177848" w:rsidRPr="00C6052E">
        <w:t xml:space="preserve"> </w:t>
      </w:r>
      <w:r w:rsidRPr="00C6052E">
        <w:t>largely</w:t>
      </w:r>
      <w:r w:rsidR="00177848" w:rsidRPr="00C6052E">
        <w:t xml:space="preserve"> </w:t>
      </w:r>
      <w:r w:rsidRPr="00C6052E">
        <w:t>for</w:t>
      </w:r>
      <w:r w:rsidR="00177848" w:rsidRPr="00C6052E">
        <w:t xml:space="preserve"> </w:t>
      </w:r>
      <w:r w:rsidRPr="00C6052E">
        <w:t>collective</w:t>
      </w:r>
      <w:r w:rsidR="00177848" w:rsidRPr="00C6052E">
        <w:t xml:space="preserve"> </w:t>
      </w:r>
      <w:r w:rsidRPr="00C6052E">
        <w:t>consumption</w:t>
      </w:r>
      <w:r w:rsidR="00177848" w:rsidRPr="00C6052E">
        <w:t xml:space="preserve"> </w:t>
      </w:r>
      <w:r w:rsidRPr="00C6052E">
        <w:t>by</w:t>
      </w:r>
      <w:r w:rsidR="00177848" w:rsidRPr="00C6052E">
        <w:t xml:space="preserve"> </w:t>
      </w:r>
      <w:r w:rsidRPr="00C6052E">
        <w:t>the</w:t>
      </w:r>
      <w:r w:rsidR="00177848" w:rsidRPr="00C6052E">
        <w:t xml:space="preserve"> </w:t>
      </w:r>
      <w:r w:rsidRPr="00C6052E">
        <w:t>community</w:t>
      </w:r>
      <w:r w:rsidR="00177848" w:rsidRPr="00C6052E">
        <w:t xml:space="preserve"> </w:t>
      </w:r>
      <w:r w:rsidRPr="00C6052E">
        <w:t>and</w:t>
      </w:r>
      <w:r w:rsidR="00177848" w:rsidRPr="00C6052E">
        <w:t xml:space="preserve"> </w:t>
      </w:r>
      <w:r w:rsidRPr="00C6052E">
        <w:t>those</w:t>
      </w:r>
      <w:r w:rsidR="00177848" w:rsidRPr="00C6052E">
        <w:t xml:space="preserve"> </w:t>
      </w:r>
      <w:r w:rsidRPr="00C6052E">
        <w:t>which</w:t>
      </w:r>
      <w:r w:rsidR="00177848" w:rsidRPr="00C6052E">
        <w:t xml:space="preserve"> </w:t>
      </w:r>
      <w:r w:rsidRPr="00C6052E">
        <w:t>involve</w:t>
      </w:r>
      <w:r w:rsidR="00177848" w:rsidRPr="00C6052E">
        <w:t xml:space="preserve"> </w:t>
      </w:r>
      <w:r w:rsidRPr="00C6052E">
        <w:t>the</w:t>
      </w:r>
      <w:r w:rsidR="00177848" w:rsidRPr="00C6052E">
        <w:t xml:space="preserve"> </w:t>
      </w:r>
      <w:r w:rsidRPr="00C6052E">
        <w:t>transfer</w:t>
      </w:r>
      <w:r w:rsidR="00177848" w:rsidRPr="00C6052E">
        <w:t xml:space="preserve"> </w:t>
      </w:r>
      <w:r w:rsidRPr="00C6052E">
        <w:t>or</w:t>
      </w:r>
      <w:r w:rsidR="00177848" w:rsidRPr="00C6052E">
        <w:t xml:space="preserve"> </w:t>
      </w:r>
      <w:r w:rsidRPr="00C6052E">
        <w:t>redistribution</w:t>
      </w:r>
      <w:r w:rsidR="00177848" w:rsidRPr="00C6052E">
        <w:t xml:space="preserve"> </w:t>
      </w:r>
      <w:r w:rsidRPr="00C6052E">
        <w:t>of</w:t>
      </w:r>
      <w:r w:rsidR="00177848" w:rsidRPr="00C6052E">
        <w:t xml:space="preserve"> </w:t>
      </w:r>
      <w:r w:rsidRPr="00C6052E">
        <w:t>income.</w:t>
      </w:r>
      <w:r w:rsidR="00177848" w:rsidRPr="00C6052E">
        <w:t xml:space="preserve"> </w:t>
      </w:r>
      <w:r w:rsidRPr="00C6052E">
        <w:t>These</w:t>
      </w:r>
      <w:r w:rsidR="00177848" w:rsidRPr="00C6052E">
        <w:t xml:space="preserve"> </w:t>
      </w:r>
      <w:r w:rsidRPr="00C6052E">
        <w:t>services</w:t>
      </w:r>
      <w:r w:rsidR="00177848" w:rsidRPr="00C6052E">
        <w:t xml:space="preserve"> </w:t>
      </w:r>
      <w:r w:rsidRPr="00C6052E">
        <w:t>are</w:t>
      </w:r>
      <w:r w:rsidR="00177848" w:rsidRPr="00C6052E">
        <w:t xml:space="preserve"> </w:t>
      </w:r>
      <w:r w:rsidRPr="00C6052E">
        <w:t>financed</w:t>
      </w:r>
      <w:r w:rsidR="00177848" w:rsidRPr="00C6052E">
        <w:t xml:space="preserve"> </w:t>
      </w:r>
      <w:r w:rsidRPr="00C6052E">
        <w:t>mainly</w:t>
      </w:r>
      <w:r w:rsidR="00177848" w:rsidRPr="00C6052E">
        <w:t xml:space="preserve"> </w:t>
      </w:r>
      <w:r w:rsidRPr="00C6052E">
        <w:t>through</w:t>
      </w:r>
      <w:r w:rsidR="00177848" w:rsidRPr="00C6052E">
        <w:t xml:space="preserve"> </w:t>
      </w:r>
      <w:r w:rsidRPr="00C6052E">
        <w:t>taxes,</w:t>
      </w:r>
      <w:r w:rsidR="00177848" w:rsidRPr="00C6052E">
        <w:t xml:space="preserve"> </w:t>
      </w:r>
      <w:r w:rsidRPr="00C6052E">
        <w:t>or</w:t>
      </w:r>
      <w:r w:rsidR="00177848" w:rsidRPr="00C6052E">
        <w:t xml:space="preserve"> </w:t>
      </w:r>
      <w:r w:rsidRPr="00C6052E">
        <w:t>other</w:t>
      </w:r>
      <w:r w:rsidR="00177848" w:rsidRPr="00C6052E">
        <w:t xml:space="preserve"> </w:t>
      </w:r>
      <w:r w:rsidRPr="00C6052E">
        <w:t>compulsory</w:t>
      </w:r>
      <w:r w:rsidR="00177848" w:rsidRPr="00C6052E">
        <w:t xml:space="preserve"> </w:t>
      </w:r>
      <w:r w:rsidRPr="00C6052E">
        <w:t>levies</w:t>
      </w:r>
      <w:r w:rsidR="00177848" w:rsidRPr="00C6052E">
        <w:t xml:space="preserve"> </w:t>
      </w:r>
      <w:r w:rsidRPr="00C6052E">
        <w:t>and</w:t>
      </w:r>
      <w:r w:rsidR="00177848" w:rsidRPr="00C6052E">
        <w:t xml:space="preserve"> </w:t>
      </w:r>
      <w:r w:rsidRPr="00C6052E">
        <w:t>user</w:t>
      </w:r>
      <w:r w:rsidR="00177848" w:rsidRPr="00C6052E">
        <w:t xml:space="preserve"> </w:t>
      </w:r>
      <w:r w:rsidRPr="00C6052E">
        <w:t>charges.</w:t>
      </w:r>
    </w:p>
    <w:p w14:paraId="6FEDB6CB" w14:textId="2AE72393" w:rsidR="00EE5BB8" w:rsidRPr="006F1C8C" w:rsidRDefault="00EE5BB8" w:rsidP="006F1C8C">
      <w:pPr>
        <w:pStyle w:val="Normalbeforebullets"/>
        <w:rPr>
          <w:b/>
          <w:bCs/>
        </w:rPr>
      </w:pPr>
      <w:r w:rsidRPr="006F1C8C">
        <w:rPr>
          <w:b/>
          <w:bCs/>
        </w:rPr>
        <w:t>Grants</w:t>
      </w:r>
      <w:r w:rsidR="00177848" w:rsidRPr="006F1C8C">
        <w:rPr>
          <w:b/>
          <w:bCs/>
        </w:rPr>
        <w:t xml:space="preserve"> </w:t>
      </w:r>
      <w:r w:rsidRPr="006F1C8C">
        <w:rPr>
          <w:b/>
          <w:bCs/>
        </w:rPr>
        <w:t>for</w:t>
      </w:r>
      <w:r w:rsidR="00177848" w:rsidRPr="006F1C8C">
        <w:rPr>
          <w:b/>
          <w:bCs/>
        </w:rPr>
        <w:t xml:space="preserve"> </w:t>
      </w:r>
      <w:r w:rsidRPr="006F1C8C">
        <w:rPr>
          <w:b/>
          <w:bCs/>
        </w:rPr>
        <w:t>on-passing</w:t>
      </w:r>
    </w:p>
    <w:p w14:paraId="0D8A88C1" w14:textId="69FFA955" w:rsidR="00EE5BB8" w:rsidRPr="00C6052E" w:rsidRDefault="00EE5BB8" w:rsidP="00EE5BB8">
      <w:r w:rsidRPr="00C6052E">
        <w:t>All</w:t>
      </w:r>
      <w:r w:rsidR="00177848" w:rsidRPr="00C6052E">
        <w:t xml:space="preserve"> </w:t>
      </w:r>
      <w:r w:rsidRPr="00C6052E">
        <w:t>grants</w:t>
      </w:r>
      <w:r w:rsidR="00177848" w:rsidRPr="00C6052E">
        <w:t xml:space="preserve"> </w:t>
      </w:r>
      <w:r w:rsidRPr="00C6052E">
        <w:t>paid</w:t>
      </w:r>
      <w:r w:rsidR="00177848" w:rsidRPr="00C6052E">
        <w:t xml:space="preserve"> </w:t>
      </w:r>
      <w:r w:rsidRPr="00C6052E">
        <w:t>to</w:t>
      </w:r>
      <w:r w:rsidR="00177848" w:rsidRPr="00C6052E">
        <w:t xml:space="preserve"> </w:t>
      </w:r>
      <w:r w:rsidRPr="00C6052E">
        <w:t>one</w:t>
      </w:r>
      <w:r w:rsidR="00177848" w:rsidRPr="00C6052E">
        <w:t xml:space="preserve"> </w:t>
      </w:r>
      <w:r w:rsidRPr="00C6052E">
        <w:t>institutional</w:t>
      </w:r>
      <w:r w:rsidR="00177848" w:rsidRPr="00C6052E">
        <w:t xml:space="preserve"> </w:t>
      </w:r>
      <w:r w:rsidRPr="00C6052E">
        <w:t>sector</w:t>
      </w:r>
      <w:r w:rsidR="00177848" w:rsidRPr="00C6052E">
        <w:t xml:space="preserve"> </w:t>
      </w:r>
      <w:r w:rsidRPr="00C6052E">
        <w:t>(e.g.</w:t>
      </w:r>
      <w:r w:rsidR="00177848" w:rsidRPr="00C6052E">
        <w:t xml:space="preserve"> </w:t>
      </w:r>
      <w:r w:rsidRPr="00C6052E">
        <w:t>a</w:t>
      </w:r>
      <w:r w:rsidR="00177848" w:rsidRPr="00C6052E">
        <w:t xml:space="preserve"> </w:t>
      </w:r>
      <w:r w:rsidRPr="00C6052E">
        <w:t>state</w:t>
      </w:r>
      <w:r w:rsidR="00177848" w:rsidRPr="00C6052E">
        <w:t xml:space="preserve"> </w:t>
      </w:r>
      <w:r w:rsidRPr="00C6052E">
        <w:t>general</w:t>
      </w:r>
      <w:r w:rsidR="00177848" w:rsidRPr="00C6052E">
        <w:t xml:space="preserve"> </w:t>
      </w:r>
      <w:r w:rsidRPr="00C6052E">
        <w:t>government)</w:t>
      </w:r>
      <w:r w:rsidR="00177848" w:rsidRPr="00C6052E">
        <w:t xml:space="preserve"> </w:t>
      </w:r>
      <w:r w:rsidRPr="00C6052E">
        <w:t>to</w:t>
      </w:r>
      <w:r w:rsidR="00177848" w:rsidRPr="00C6052E">
        <w:t xml:space="preserve"> </w:t>
      </w:r>
      <w:r w:rsidRPr="00C6052E">
        <w:t>be</w:t>
      </w:r>
      <w:r w:rsidR="00177848" w:rsidRPr="00C6052E">
        <w:t xml:space="preserve"> </w:t>
      </w:r>
      <w:r w:rsidRPr="00C6052E">
        <w:t>passed</w:t>
      </w:r>
      <w:r w:rsidR="00177848" w:rsidRPr="00C6052E">
        <w:t xml:space="preserve"> </w:t>
      </w:r>
      <w:r w:rsidRPr="00C6052E">
        <w:t>on</w:t>
      </w:r>
      <w:r w:rsidR="00177848" w:rsidRPr="00C6052E">
        <w:t xml:space="preserve"> </w:t>
      </w:r>
      <w:r w:rsidRPr="00C6052E">
        <w:t>to</w:t>
      </w:r>
      <w:r w:rsidR="00177848" w:rsidRPr="00C6052E">
        <w:t xml:space="preserve"> </w:t>
      </w:r>
      <w:r w:rsidRPr="00C6052E">
        <w:t>another</w:t>
      </w:r>
      <w:r w:rsidR="00177848" w:rsidRPr="00C6052E">
        <w:t xml:space="preserve"> </w:t>
      </w:r>
      <w:r w:rsidRPr="00C6052E">
        <w:t>institutional</w:t>
      </w:r>
      <w:r w:rsidR="00177848" w:rsidRPr="00C6052E">
        <w:t xml:space="preserve"> </w:t>
      </w:r>
      <w:r w:rsidRPr="00C6052E">
        <w:t>sector</w:t>
      </w:r>
      <w:r w:rsidR="00177848" w:rsidRPr="00C6052E">
        <w:t xml:space="preserve"> </w:t>
      </w:r>
      <w:r w:rsidRPr="00C6052E">
        <w:t>(e.g.</w:t>
      </w:r>
      <w:r w:rsidR="00177848" w:rsidRPr="00C6052E">
        <w:t xml:space="preserve"> </w:t>
      </w:r>
      <w:r w:rsidRPr="00C6052E">
        <w:t>local</w:t>
      </w:r>
      <w:r w:rsidR="00177848" w:rsidRPr="00C6052E">
        <w:t xml:space="preserve"> </w:t>
      </w:r>
      <w:r w:rsidRPr="00C6052E">
        <w:t>government</w:t>
      </w:r>
      <w:r w:rsidR="00177848" w:rsidRPr="00C6052E">
        <w:t xml:space="preserve"> </w:t>
      </w:r>
      <w:r w:rsidRPr="00C6052E">
        <w:t>or</w:t>
      </w:r>
      <w:r w:rsidR="00177848" w:rsidRPr="00C6052E">
        <w:t xml:space="preserve"> </w:t>
      </w:r>
      <w:r w:rsidRPr="00C6052E">
        <w:t>a</w:t>
      </w:r>
      <w:r w:rsidR="00177848" w:rsidRPr="00C6052E">
        <w:t xml:space="preserve"> </w:t>
      </w:r>
      <w:r w:rsidRPr="00C6052E">
        <w:t>private</w:t>
      </w:r>
      <w:r w:rsidR="00177848" w:rsidRPr="00C6052E">
        <w:t xml:space="preserve"> </w:t>
      </w:r>
      <w:r w:rsidRPr="00C6052E">
        <w:t>non-profit</w:t>
      </w:r>
      <w:r w:rsidR="00177848" w:rsidRPr="00C6052E">
        <w:t xml:space="preserve"> </w:t>
      </w:r>
      <w:r w:rsidRPr="00C6052E">
        <w:t>institution).</w:t>
      </w:r>
    </w:p>
    <w:p w14:paraId="16AD0319" w14:textId="52AB3752" w:rsidR="00EE5BB8" w:rsidRPr="006F1C8C" w:rsidRDefault="00EE5BB8" w:rsidP="006F1C8C">
      <w:pPr>
        <w:pStyle w:val="Normalbeforebullets"/>
        <w:rPr>
          <w:b/>
          <w:bCs/>
        </w:rPr>
      </w:pPr>
      <w:r w:rsidRPr="006F1C8C">
        <w:rPr>
          <w:b/>
          <w:bCs/>
        </w:rPr>
        <w:t>Infrastructure</w:t>
      </w:r>
      <w:r w:rsidR="00177848" w:rsidRPr="006F1C8C">
        <w:rPr>
          <w:b/>
          <w:bCs/>
        </w:rPr>
        <w:t xml:space="preserve"> </w:t>
      </w:r>
      <w:r w:rsidRPr="006F1C8C">
        <w:rPr>
          <w:b/>
          <w:bCs/>
        </w:rPr>
        <w:t>systems</w:t>
      </w:r>
    </w:p>
    <w:p w14:paraId="065C854A" w14:textId="6C7F50FC" w:rsidR="00EE5BB8" w:rsidRPr="00C6052E" w:rsidRDefault="00EE5BB8" w:rsidP="00EE5BB8">
      <w:r w:rsidRPr="00C6052E">
        <w:t>Infrastructure</w:t>
      </w:r>
      <w:r w:rsidR="00177848" w:rsidRPr="00C6052E">
        <w:t xml:space="preserve"> </w:t>
      </w:r>
      <w:r w:rsidRPr="00C6052E">
        <w:t>systems</w:t>
      </w:r>
      <w:r w:rsidR="00177848" w:rsidRPr="00C6052E">
        <w:t xml:space="preserve"> </w:t>
      </w:r>
      <w:r w:rsidRPr="00C6052E">
        <w:t>provide</w:t>
      </w:r>
      <w:r w:rsidR="00177848" w:rsidRPr="00C6052E">
        <w:t xml:space="preserve"> </w:t>
      </w:r>
      <w:r w:rsidRPr="00C6052E">
        <w:t>essential</w:t>
      </w:r>
      <w:r w:rsidR="00177848" w:rsidRPr="00C6052E">
        <w:t xml:space="preserve"> </w:t>
      </w:r>
      <w:r w:rsidRPr="00C6052E">
        <w:t>services</w:t>
      </w:r>
      <w:r w:rsidR="00177848" w:rsidRPr="00C6052E">
        <w:t xml:space="preserve"> </w:t>
      </w:r>
      <w:r w:rsidRPr="00C6052E">
        <w:t>used</w:t>
      </w:r>
      <w:r w:rsidR="00177848" w:rsidRPr="00C6052E">
        <w:t xml:space="preserve"> </w:t>
      </w:r>
      <w:r w:rsidRPr="00C6052E">
        <w:t>in</w:t>
      </w:r>
      <w:r w:rsidR="00177848" w:rsidRPr="00C6052E">
        <w:t xml:space="preserve"> </w:t>
      </w:r>
      <w:r w:rsidRPr="00C6052E">
        <w:t>the</w:t>
      </w:r>
      <w:r w:rsidR="00177848" w:rsidRPr="00C6052E">
        <w:t xml:space="preserve"> </w:t>
      </w:r>
      <w:r w:rsidRPr="00C6052E">
        <w:t>delivery</w:t>
      </w:r>
      <w:r w:rsidR="00177848" w:rsidRPr="00C6052E">
        <w:t xml:space="preserve"> </w:t>
      </w:r>
      <w:r w:rsidRPr="00C6052E">
        <w:t>of</w:t>
      </w:r>
      <w:r w:rsidR="00177848" w:rsidRPr="00C6052E">
        <w:t xml:space="preserve"> </w:t>
      </w:r>
      <w:r w:rsidRPr="00C6052E">
        <w:t>final</w:t>
      </w:r>
      <w:r w:rsidR="00177848" w:rsidRPr="00C6052E">
        <w:t xml:space="preserve"> </w:t>
      </w:r>
      <w:r w:rsidRPr="00C6052E">
        <w:t>services</w:t>
      </w:r>
      <w:r w:rsidR="00177848" w:rsidRPr="00C6052E">
        <w:t xml:space="preserve"> </w:t>
      </w:r>
      <w:r w:rsidRPr="00C6052E">
        <w:t>or</w:t>
      </w:r>
      <w:r w:rsidR="00177848" w:rsidRPr="00C6052E">
        <w:t xml:space="preserve"> </w:t>
      </w:r>
      <w:r w:rsidRPr="00C6052E">
        <w:t>products.</w:t>
      </w:r>
      <w:r w:rsidR="00177848" w:rsidRPr="00C6052E">
        <w:t xml:space="preserve"> </w:t>
      </w:r>
      <w:r w:rsidRPr="00C6052E">
        <w:t>They</w:t>
      </w:r>
      <w:r w:rsidR="00177848" w:rsidRPr="00C6052E">
        <w:t xml:space="preserve"> </w:t>
      </w:r>
      <w:r w:rsidRPr="00C6052E">
        <w:t>are</w:t>
      </w:r>
      <w:r w:rsidR="00177848" w:rsidRPr="00C6052E">
        <w:t xml:space="preserve"> </w:t>
      </w:r>
      <w:r w:rsidRPr="00C6052E">
        <w:t>generally</w:t>
      </w:r>
      <w:r w:rsidR="00177848" w:rsidRPr="00C6052E">
        <w:t xml:space="preserve"> </w:t>
      </w:r>
      <w:r w:rsidRPr="00C6052E">
        <w:t>a</w:t>
      </w:r>
      <w:r w:rsidR="00177848" w:rsidRPr="00C6052E">
        <w:t xml:space="preserve"> </w:t>
      </w:r>
      <w:r w:rsidRPr="00C6052E">
        <w:t>complex</w:t>
      </w:r>
      <w:r w:rsidR="00177848" w:rsidRPr="00C6052E">
        <w:t xml:space="preserve"> </w:t>
      </w:r>
      <w:r w:rsidRPr="00C6052E">
        <w:t>interconnected</w:t>
      </w:r>
      <w:r w:rsidR="00177848" w:rsidRPr="00C6052E">
        <w:t xml:space="preserve"> </w:t>
      </w:r>
      <w:r w:rsidRPr="00C6052E">
        <w:t>network</w:t>
      </w:r>
      <w:r w:rsidR="00177848" w:rsidRPr="00C6052E">
        <w:t xml:space="preserve"> </w:t>
      </w:r>
      <w:r w:rsidRPr="00C6052E">
        <w:t>of</w:t>
      </w:r>
      <w:r w:rsidR="00177848" w:rsidRPr="00C6052E">
        <w:t xml:space="preserve"> </w:t>
      </w:r>
      <w:r w:rsidRPr="00C6052E">
        <w:t>individual</w:t>
      </w:r>
      <w:r w:rsidR="00177848" w:rsidRPr="00C6052E">
        <w:t xml:space="preserve"> </w:t>
      </w:r>
      <w:r w:rsidRPr="00C6052E">
        <w:t>assets</w:t>
      </w:r>
      <w:r w:rsidR="00177848" w:rsidRPr="00C6052E">
        <w:t xml:space="preserve"> </w:t>
      </w:r>
      <w:r w:rsidRPr="00C6052E">
        <w:t>and</w:t>
      </w:r>
      <w:r w:rsidR="00177848" w:rsidRPr="00C6052E">
        <w:t xml:space="preserve"> </w:t>
      </w:r>
      <w:r w:rsidRPr="00C6052E">
        <w:t>mainly</w:t>
      </w:r>
      <w:r w:rsidR="00177848" w:rsidRPr="00C6052E">
        <w:t xml:space="preserve"> </w:t>
      </w:r>
      <w:r w:rsidRPr="00C6052E">
        <w:t>include</w:t>
      </w:r>
      <w:r w:rsidR="00177848" w:rsidRPr="00C6052E">
        <w:t xml:space="preserve"> </w:t>
      </w:r>
      <w:r w:rsidRPr="00C6052E">
        <w:t>sewerage</w:t>
      </w:r>
      <w:r w:rsidR="00177848" w:rsidRPr="00C6052E">
        <w:t xml:space="preserve"> </w:t>
      </w:r>
      <w:r w:rsidRPr="00C6052E">
        <w:t>systems,</w:t>
      </w:r>
      <w:r w:rsidR="00177848" w:rsidRPr="00C6052E">
        <w:t xml:space="preserve"> </w:t>
      </w:r>
      <w:r w:rsidRPr="00C6052E">
        <w:t>water</w:t>
      </w:r>
      <w:r w:rsidR="00177848" w:rsidRPr="00C6052E">
        <w:t xml:space="preserve"> </w:t>
      </w:r>
      <w:r w:rsidRPr="00C6052E">
        <w:t>storage</w:t>
      </w:r>
      <w:r w:rsidR="00177848" w:rsidRPr="00C6052E">
        <w:t xml:space="preserve"> </w:t>
      </w:r>
      <w:r w:rsidRPr="00C6052E">
        <w:t>and</w:t>
      </w:r>
      <w:r w:rsidR="00177848" w:rsidRPr="00C6052E">
        <w:t xml:space="preserve"> </w:t>
      </w:r>
      <w:r w:rsidRPr="00C6052E">
        <w:t>supply</w:t>
      </w:r>
      <w:r w:rsidR="00177848" w:rsidRPr="00C6052E">
        <w:t xml:space="preserve"> </w:t>
      </w:r>
      <w:r w:rsidRPr="00C6052E">
        <w:t>systems,</w:t>
      </w:r>
      <w:r w:rsidR="00177848" w:rsidRPr="00C6052E">
        <w:t xml:space="preserve"> </w:t>
      </w:r>
      <w:r w:rsidRPr="00C6052E">
        <w:t>ports,</w:t>
      </w:r>
      <w:r w:rsidR="00177848" w:rsidRPr="00C6052E">
        <w:t xml:space="preserve"> </w:t>
      </w:r>
      <w:r w:rsidRPr="00C6052E">
        <w:t>utilities</w:t>
      </w:r>
      <w:r w:rsidR="00177848" w:rsidRPr="00C6052E">
        <w:t xml:space="preserve"> </w:t>
      </w:r>
      <w:r w:rsidRPr="00C6052E">
        <w:t>and</w:t>
      </w:r>
      <w:r w:rsidR="00177848" w:rsidRPr="00C6052E">
        <w:t xml:space="preserve"> </w:t>
      </w:r>
      <w:r w:rsidRPr="00C6052E">
        <w:t>public</w:t>
      </w:r>
      <w:r w:rsidR="00177848" w:rsidRPr="00C6052E">
        <w:t xml:space="preserve"> </w:t>
      </w:r>
      <w:r w:rsidRPr="00C6052E">
        <w:t>transport</w:t>
      </w:r>
      <w:r w:rsidR="00177848" w:rsidRPr="00C6052E">
        <w:t xml:space="preserve"> </w:t>
      </w:r>
      <w:r w:rsidRPr="00C6052E">
        <w:t>assets</w:t>
      </w:r>
      <w:r w:rsidR="00177848" w:rsidRPr="00C6052E">
        <w:t xml:space="preserve"> </w:t>
      </w:r>
      <w:r w:rsidRPr="00C6052E">
        <w:t>owned</w:t>
      </w:r>
      <w:r w:rsidR="00177848" w:rsidRPr="00C6052E">
        <w:t xml:space="preserve"> </w:t>
      </w:r>
      <w:r w:rsidRPr="00C6052E">
        <w:t>by</w:t>
      </w:r>
      <w:r w:rsidR="00177848" w:rsidRPr="00C6052E">
        <w:t xml:space="preserve"> </w:t>
      </w:r>
      <w:r w:rsidRPr="00C6052E">
        <w:t>DJSIR.</w:t>
      </w:r>
    </w:p>
    <w:p w14:paraId="26722BFF" w14:textId="08FB5085" w:rsidR="00EE5BB8" w:rsidRPr="006F1C8C" w:rsidRDefault="00EE5BB8" w:rsidP="006F1C8C">
      <w:pPr>
        <w:pStyle w:val="Normalbeforebullets"/>
        <w:rPr>
          <w:b/>
          <w:bCs/>
        </w:rPr>
      </w:pPr>
      <w:r w:rsidRPr="006F1C8C">
        <w:rPr>
          <w:b/>
          <w:bCs/>
        </w:rPr>
        <w:t>Intangible</w:t>
      </w:r>
      <w:r w:rsidR="00177848" w:rsidRPr="006F1C8C">
        <w:rPr>
          <w:b/>
          <w:bCs/>
        </w:rPr>
        <w:t xml:space="preserve"> </w:t>
      </w:r>
      <w:r w:rsidRPr="006F1C8C">
        <w:rPr>
          <w:b/>
          <w:bCs/>
        </w:rPr>
        <w:t>produced</w:t>
      </w:r>
      <w:r w:rsidR="00177848" w:rsidRPr="006F1C8C">
        <w:rPr>
          <w:b/>
          <w:bCs/>
        </w:rPr>
        <w:t xml:space="preserve"> </w:t>
      </w:r>
      <w:r w:rsidRPr="006F1C8C">
        <w:rPr>
          <w:b/>
          <w:bCs/>
        </w:rPr>
        <w:t>assets</w:t>
      </w:r>
    </w:p>
    <w:p w14:paraId="050E8D63" w14:textId="55B247F0" w:rsidR="00EE5BB8" w:rsidRPr="00C6052E" w:rsidRDefault="00EE5BB8" w:rsidP="00EE5BB8">
      <w:r w:rsidRPr="00C6052E">
        <w:t>Refer</w:t>
      </w:r>
      <w:r w:rsidR="00177848" w:rsidRPr="00C6052E">
        <w:t xml:space="preserve"> </w:t>
      </w:r>
      <w:r w:rsidRPr="00C6052E">
        <w:t>to</w:t>
      </w:r>
      <w:r w:rsidR="00177848" w:rsidRPr="00C6052E">
        <w:t xml:space="preserve"> </w:t>
      </w:r>
      <w:r w:rsidRPr="00C6052E">
        <w:t>produced</w:t>
      </w:r>
      <w:r w:rsidR="00177848" w:rsidRPr="00C6052E">
        <w:t xml:space="preserve"> </w:t>
      </w:r>
      <w:r w:rsidRPr="00C6052E">
        <w:t>assets</w:t>
      </w:r>
      <w:r w:rsidR="00177848" w:rsidRPr="00C6052E">
        <w:t xml:space="preserve"> </w:t>
      </w:r>
      <w:r w:rsidRPr="00C6052E">
        <w:t>in</w:t>
      </w:r>
      <w:r w:rsidR="00177848" w:rsidRPr="00C6052E">
        <w:t xml:space="preserve"> </w:t>
      </w:r>
      <w:r w:rsidRPr="00C6052E">
        <w:t>this</w:t>
      </w:r>
      <w:r w:rsidR="00177848" w:rsidRPr="00C6052E">
        <w:t xml:space="preserve"> </w:t>
      </w:r>
      <w:r w:rsidRPr="00C6052E">
        <w:t>glossary.</w:t>
      </w:r>
    </w:p>
    <w:p w14:paraId="1A52C7D7" w14:textId="4FABA9DB" w:rsidR="00EE5BB8" w:rsidRPr="006F1C8C" w:rsidRDefault="00EE5BB8" w:rsidP="006F1C8C">
      <w:pPr>
        <w:pStyle w:val="Normalbeforebullets"/>
        <w:rPr>
          <w:b/>
          <w:bCs/>
        </w:rPr>
      </w:pPr>
      <w:r w:rsidRPr="006F1C8C">
        <w:rPr>
          <w:b/>
          <w:bCs/>
        </w:rPr>
        <w:t>Intangible</w:t>
      </w:r>
      <w:r w:rsidR="00177848" w:rsidRPr="006F1C8C">
        <w:rPr>
          <w:b/>
          <w:bCs/>
        </w:rPr>
        <w:t xml:space="preserve"> </w:t>
      </w:r>
      <w:r w:rsidRPr="006F1C8C">
        <w:rPr>
          <w:b/>
          <w:bCs/>
        </w:rPr>
        <w:t>non–produced</w:t>
      </w:r>
      <w:r w:rsidR="00177848" w:rsidRPr="006F1C8C">
        <w:rPr>
          <w:b/>
          <w:bCs/>
        </w:rPr>
        <w:t xml:space="preserve"> </w:t>
      </w:r>
      <w:r w:rsidRPr="006F1C8C">
        <w:rPr>
          <w:b/>
          <w:bCs/>
        </w:rPr>
        <w:t>assets</w:t>
      </w:r>
    </w:p>
    <w:p w14:paraId="74C93169" w14:textId="13D15DE9" w:rsidR="00EE5BB8" w:rsidRPr="00C6052E" w:rsidRDefault="00EE5BB8" w:rsidP="00EE5BB8">
      <w:r w:rsidRPr="00C6052E">
        <w:t>Refer</w:t>
      </w:r>
      <w:r w:rsidR="00177848" w:rsidRPr="00C6052E">
        <w:t xml:space="preserve"> </w:t>
      </w:r>
      <w:r w:rsidRPr="00C6052E">
        <w:t>to</w:t>
      </w:r>
      <w:r w:rsidR="00177848" w:rsidRPr="00C6052E">
        <w:t xml:space="preserve"> </w:t>
      </w:r>
      <w:r w:rsidRPr="00C6052E">
        <w:t>non–produced</w:t>
      </w:r>
      <w:r w:rsidR="00177848" w:rsidRPr="00C6052E">
        <w:t xml:space="preserve"> </w:t>
      </w:r>
      <w:r w:rsidRPr="00C6052E">
        <w:t>asset</w:t>
      </w:r>
      <w:r w:rsidR="00177848" w:rsidRPr="00C6052E">
        <w:t xml:space="preserve"> </w:t>
      </w:r>
      <w:r w:rsidRPr="00C6052E">
        <w:t>in</w:t>
      </w:r>
      <w:r w:rsidR="00177848" w:rsidRPr="00C6052E">
        <w:t xml:space="preserve"> </w:t>
      </w:r>
      <w:r w:rsidRPr="00C6052E">
        <w:t>this</w:t>
      </w:r>
      <w:r w:rsidR="00177848" w:rsidRPr="00C6052E">
        <w:t xml:space="preserve"> </w:t>
      </w:r>
      <w:r w:rsidRPr="00C6052E">
        <w:t>glossary.</w:t>
      </w:r>
    </w:p>
    <w:p w14:paraId="65796CB9" w14:textId="64E6D160" w:rsidR="00EE5BB8" w:rsidRPr="006F1C8C" w:rsidRDefault="00EE5BB8" w:rsidP="006F1C8C">
      <w:pPr>
        <w:pStyle w:val="Normalbeforebullets"/>
        <w:rPr>
          <w:b/>
          <w:bCs/>
        </w:rPr>
      </w:pPr>
      <w:r w:rsidRPr="006F1C8C">
        <w:rPr>
          <w:b/>
          <w:bCs/>
        </w:rPr>
        <w:t>Net</w:t>
      </w:r>
      <w:r w:rsidR="00177848" w:rsidRPr="006F1C8C">
        <w:rPr>
          <w:b/>
          <w:bCs/>
        </w:rPr>
        <w:t xml:space="preserve"> </w:t>
      </w:r>
      <w:r w:rsidRPr="006F1C8C">
        <w:rPr>
          <w:b/>
          <w:bCs/>
        </w:rPr>
        <w:t>acquisition</w:t>
      </w:r>
      <w:r w:rsidR="00177848" w:rsidRPr="006F1C8C">
        <w:rPr>
          <w:b/>
          <w:bCs/>
        </w:rPr>
        <w:t xml:space="preserve"> </w:t>
      </w:r>
      <w:r w:rsidRPr="006F1C8C">
        <w:rPr>
          <w:b/>
          <w:bCs/>
        </w:rPr>
        <w:t>of</w:t>
      </w:r>
      <w:r w:rsidR="00177848" w:rsidRPr="006F1C8C">
        <w:rPr>
          <w:b/>
          <w:bCs/>
        </w:rPr>
        <w:t xml:space="preserve"> </w:t>
      </w:r>
      <w:r w:rsidRPr="006F1C8C">
        <w:rPr>
          <w:b/>
          <w:bCs/>
        </w:rPr>
        <w:t>non–</w:t>
      </w:r>
      <w:r w:rsidR="00177848" w:rsidRPr="006F1C8C">
        <w:rPr>
          <w:b/>
          <w:bCs/>
        </w:rPr>
        <w:t xml:space="preserve"> </w:t>
      </w:r>
      <w:r w:rsidRPr="006F1C8C">
        <w:rPr>
          <w:b/>
          <w:bCs/>
        </w:rPr>
        <w:t>financial</w:t>
      </w:r>
      <w:r w:rsidR="00177848" w:rsidRPr="006F1C8C">
        <w:rPr>
          <w:b/>
          <w:bCs/>
        </w:rPr>
        <w:t xml:space="preserve"> </w:t>
      </w:r>
      <w:r w:rsidRPr="006F1C8C">
        <w:rPr>
          <w:b/>
          <w:bCs/>
        </w:rPr>
        <w:t>assets</w:t>
      </w:r>
      <w:r w:rsidR="00177848" w:rsidRPr="006F1C8C">
        <w:rPr>
          <w:b/>
          <w:bCs/>
        </w:rPr>
        <w:t xml:space="preserve"> </w:t>
      </w:r>
      <w:r w:rsidRPr="006F1C8C">
        <w:rPr>
          <w:b/>
          <w:bCs/>
        </w:rPr>
        <w:t>(from</w:t>
      </w:r>
      <w:r w:rsidR="00177848" w:rsidRPr="006F1C8C">
        <w:rPr>
          <w:b/>
          <w:bCs/>
        </w:rPr>
        <w:t xml:space="preserve"> </w:t>
      </w:r>
      <w:r w:rsidRPr="006F1C8C">
        <w:rPr>
          <w:b/>
          <w:bCs/>
        </w:rPr>
        <w:t>transactions)</w:t>
      </w:r>
    </w:p>
    <w:p w14:paraId="7E4CDE7A" w14:textId="57BADD08" w:rsidR="00EE5BB8" w:rsidRPr="00C6052E" w:rsidRDefault="00EE5BB8" w:rsidP="00EE5BB8">
      <w:r w:rsidRPr="00C6052E">
        <w:t>Purchases</w:t>
      </w:r>
      <w:r w:rsidR="00177848" w:rsidRPr="00C6052E">
        <w:t xml:space="preserve"> </w:t>
      </w:r>
      <w:r w:rsidRPr="00C6052E">
        <w:t>(and</w:t>
      </w:r>
      <w:r w:rsidR="00177848" w:rsidRPr="00C6052E">
        <w:t xml:space="preserve"> </w:t>
      </w:r>
      <w:r w:rsidRPr="00C6052E">
        <w:t>other</w:t>
      </w:r>
      <w:r w:rsidR="00177848" w:rsidRPr="00C6052E">
        <w:t xml:space="preserve"> </w:t>
      </w:r>
      <w:r w:rsidRPr="00C6052E">
        <w:t>acquisitions)</w:t>
      </w:r>
      <w:r w:rsidR="00177848" w:rsidRPr="00C6052E">
        <w:t xml:space="preserve"> </w:t>
      </w:r>
      <w:r w:rsidRPr="00C6052E">
        <w:t>of</w:t>
      </w:r>
      <w:r w:rsidR="00177848" w:rsidRPr="00C6052E">
        <w:t xml:space="preserve"> </w:t>
      </w:r>
      <w:r w:rsidRPr="00C6052E">
        <w:t>non-financial</w:t>
      </w:r>
      <w:r w:rsidR="00177848" w:rsidRPr="00C6052E">
        <w:t xml:space="preserve"> </w:t>
      </w:r>
      <w:r w:rsidRPr="00C6052E">
        <w:t>assets</w:t>
      </w:r>
      <w:r w:rsidR="00177848" w:rsidRPr="00C6052E">
        <w:t xml:space="preserve"> </w:t>
      </w:r>
      <w:r w:rsidRPr="00C6052E">
        <w:t>less</w:t>
      </w:r>
      <w:r w:rsidR="00177848" w:rsidRPr="00C6052E">
        <w:t xml:space="preserve"> </w:t>
      </w:r>
      <w:r w:rsidRPr="00C6052E">
        <w:t>sales</w:t>
      </w:r>
      <w:r w:rsidR="00177848" w:rsidRPr="00C6052E">
        <w:t xml:space="preserve"> </w:t>
      </w:r>
      <w:r w:rsidRPr="00C6052E">
        <w:t>(or</w:t>
      </w:r>
      <w:r w:rsidR="00177848" w:rsidRPr="00C6052E">
        <w:t xml:space="preserve"> </w:t>
      </w:r>
      <w:r w:rsidRPr="00C6052E">
        <w:t>disposals)</w:t>
      </w:r>
      <w:r w:rsidR="00177848" w:rsidRPr="00C6052E">
        <w:t xml:space="preserve"> </w:t>
      </w:r>
      <w:r w:rsidRPr="00C6052E">
        <w:t>of</w:t>
      </w:r>
      <w:r w:rsidR="00177848" w:rsidRPr="00C6052E">
        <w:t xml:space="preserve"> </w:t>
      </w:r>
      <w:r w:rsidRPr="00C6052E">
        <w:t>non-financial</w:t>
      </w:r>
      <w:r w:rsidR="00177848" w:rsidRPr="00C6052E">
        <w:t xml:space="preserve"> </w:t>
      </w:r>
      <w:r w:rsidRPr="00C6052E">
        <w:t>assets</w:t>
      </w:r>
      <w:r w:rsidR="00177848" w:rsidRPr="00C6052E">
        <w:t xml:space="preserve"> </w:t>
      </w:r>
      <w:r w:rsidRPr="00C6052E">
        <w:t>less</w:t>
      </w:r>
      <w:r w:rsidR="00177848" w:rsidRPr="00C6052E">
        <w:t xml:space="preserve"> </w:t>
      </w:r>
      <w:r w:rsidRPr="00C6052E">
        <w:t>depreciation</w:t>
      </w:r>
      <w:r w:rsidR="00177848" w:rsidRPr="00C6052E">
        <w:t xml:space="preserve"> </w:t>
      </w:r>
      <w:r w:rsidRPr="00C6052E">
        <w:t>plus</w:t>
      </w:r>
      <w:r w:rsidR="00177848" w:rsidRPr="00C6052E">
        <w:t xml:space="preserve"> </w:t>
      </w:r>
      <w:r w:rsidRPr="00C6052E">
        <w:t>changes</w:t>
      </w:r>
      <w:r w:rsidR="00177848" w:rsidRPr="00C6052E">
        <w:t xml:space="preserve"> </w:t>
      </w:r>
      <w:r w:rsidRPr="00C6052E">
        <w:t>in</w:t>
      </w:r>
      <w:r w:rsidR="00177848" w:rsidRPr="00C6052E">
        <w:t xml:space="preserve"> </w:t>
      </w:r>
      <w:r w:rsidRPr="00C6052E">
        <w:t>inventories</w:t>
      </w:r>
      <w:r w:rsidR="00177848" w:rsidRPr="00C6052E">
        <w:t xml:space="preserve"> </w:t>
      </w:r>
      <w:r w:rsidRPr="00C6052E">
        <w:t>and</w:t>
      </w:r>
      <w:r w:rsidR="00177848" w:rsidRPr="00C6052E">
        <w:t xml:space="preserve"> </w:t>
      </w:r>
      <w:r w:rsidRPr="00C6052E">
        <w:t>other</w:t>
      </w:r>
      <w:r w:rsidR="00177848" w:rsidRPr="00C6052E">
        <w:t xml:space="preserve"> </w:t>
      </w:r>
      <w:r w:rsidRPr="00C6052E">
        <w:t>movements</w:t>
      </w:r>
      <w:r w:rsidR="00177848" w:rsidRPr="00C6052E">
        <w:t xml:space="preserve"> </w:t>
      </w:r>
      <w:r w:rsidRPr="00C6052E">
        <w:t>in</w:t>
      </w:r>
      <w:r w:rsidR="00177848" w:rsidRPr="00C6052E">
        <w:t xml:space="preserve"> </w:t>
      </w:r>
      <w:r w:rsidRPr="00C6052E">
        <w:t>non-financial</w:t>
      </w:r>
      <w:r w:rsidR="00177848" w:rsidRPr="00C6052E">
        <w:t xml:space="preserve"> </w:t>
      </w:r>
      <w:r w:rsidRPr="00C6052E">
        <w:t>assets.</w:t>
      </w:r>
      <w:r w:rsidR="00177848" w:rsidRPr="00C6052E">
        <w:t xml:space="preserve"> </w:t>
      </w:r>
      <w:r w:rsidRPr="00C6052E">
        <w:t>Includes</w:t>
      </w:r>
      <w:r w:rsidR="00177848" w:rsidRPr="00C6052E">
        <w:t xml:space="preserve"> </w:t>
      </w:r>
      <w:r w:rsidRPr="00C6052E">
        <w:t>only</w:t>
      </w:r>
      <w:r w:rsidR="00177848" w:rsidRPr="00C6052E">
        <w:t xml:space="preserve"> </w:t>
      </w:r>
      <w:r w:rsidRPr="00C6052E">
        <w:t>those</w:t>
      </w:r>
      <w:r w:rsidR="00177848" w:rsidRPr="00C6052E">
        <w:t xml:space="preserve"> </w:t>
      </w:r>
      <w:r w:rsidRPr="00C6052E">
        <w:t>increases</w:t>
      </w:r>
      <w:r w:rsidR="00177848" w:rsidRPr="00C6052E">
        <w:t xml:space="preserve"> </w:t>
      </w:r>
      <w:r w:rsidRPr="00C6052E">
        <w:t>or</w:t>
      </w:r>
      <w:r w:rsidR="00177848" w:rsidRPr="00C6052E">
        <w:t xml:space="preserve"> </w:t>
      </w:r>
      <w:r w:rsidRPr="00C6052E">
        <w:t>decreases</w:t>
      </w:r>
      <w:r w:rsidR="00177848" w:rsidRPr="00C6052E">
        <w:t xml:space="preserve"> </w:t>
      </w:r>
      <w:r w:rsidRPr="00C6052E">
        <w:t>in</w:t>
      </w:r>
      <w:r w:rsidR="00177848" w:rsidRPr="00C6052E">
        <w:t xml:space="preserve"> </w:t>
      </w:r>
      <w:proofErr w:type="spellStart"/>
      <w:r w:rsidRPr="00C6052E">
        <w:t>non</w:t>
      </w:r>
      <w:r w:rsidR="00177848" w:rsidRPr="00C6052E">
        <w:t xml:space="preserve"> </w:t>
      </w:r>
      <w:r w:rsidRPr="00C6052E">
        <w:t>financial</w:t>
      </w:r>
      <w:proofErr w:type="spellEnd"/>
      <w:r w:rsidR="00177848" w:rsidRPr="00C6052E">
        <w:t xml:space="preserve"> </w:t>
      </w:r>
      <w:r w:rsidRPr="00C6052E">
        <w:t>assets</w:t>
      </w:r>
      <w:r w:rsidR="00177848" w:rsidRPr="00C6052E">
        <w:t xml:space="preserve"> </w:t>
      </w:r>
      <w:r w:rsidRPr="00C6052E">
        <w:t>resulting</w:t>
      </w:r>
      <w:r w:rsidR="00177848" w:rsidRPr="00C6052E">
        <w:t xml:space="preserve"> </w:t>
      </w:r>
      <w:r w:rsidRPr="00C6052E">
        <w:t>from</w:t>
      </w:r>
      <w:r w:rsidR="00177848" w:rsidRPr="00C6052E">
        <w:t xml:space="preserve"> </w:t>
      </w:r>
      <w:r w:rsidRPr="00C6052E">
        <w:t>transactions</w:t>
      </w:r>
      <w:r w:rsidR="00177848" w:rsidRPr="00C6052E">
        <w:t xml:space="preserve"> </w:t>
      </w:r>
      <w:r w:rsidRPr="00C6052E">
        <w:t>and</w:t>
      </w:r>
      <w:r w:rsidR="00177848" w:rsidRPr="00C6052E">
        <w:t xml:space="preserve"> </w:t>
      </w:r>
      <w:r w:rsidRPr="00C6052E">
        <w:t>therefore</w:t>
      </w:r>
      <w:r w:rsidR="00177848" w:rsidRPr="00C6052E">
        <w:t xml:space="preserve"> </w:t>
      </w:r>
      <w:r w:rsidRPr="00C6052E">
        <w:t>excludes</w:t>
      </w:r>
      <w:r w:rsidR="00177848" w:rsidRPr="00C6052E">
        <w:t xml:space="preserve"> </w:t>
      </w:r>
      <w:r w:rsidRPr="00C6052E">
        <w:t>write</w:t>
      </w:r>
      <w:r w:rsidR="00177848" w:rsidRPr="00C6052E">
        <w:t xml:space="preserve"> </w:t>
      </w:r>
      <w:r w:rsidRPr="00C6052E">
        <w:t>offs,</w:t>
      </w:r>
      <w:r w:rsidR="00177848" w:rsidRPr="00C6052E">
        <w:t xml:space="preserve"> </w:t>
      </w:r>
      <w:r w:rsidRPr="00C6052E">
        <w:t>impairment</w:t>
      </w:r>
      <w:r w:rsidR="00177848" w:rsidRPr="00C6052E">
        <w:t xml:space="preserve"> </w:t>
      </w:r>
      <w:r w:rsidRPr="00C6052E">
        <w:t>write-downs</w:t>
      </w:r>
      <w:r w:rsidR="00177848" w:rsidRPr="00C6052E">
        <w:t xml:space="preserve"> </w:t>
      </w:r>
      <w:r w:rsidRPr="00C6052E">
        <w:t>and</w:t>
      </w:r>
      <w:r w:rsidR="00177848" w:rsidRPr="00C6052E">
        <w:t xml:space="preserve"> </w:t>
      </w:r>
      <w:r w:rsidRPr="00C6052E">
        <w:t>revaluations.</w:t>
      </w:r>
    </w:p>
    <w:p w14:paraId="65FFF663" w14:textId="40A6FE25" w:rsidR="00EE5BB8" w:rsidRPr="006F1C8C" w:rsidRDefault="00EE5BB8" w:rsidP="006F1C8C">
      <w:pPr>
        <w:pStyle w:val="Normalbeforebullets"/>
        <w:rPr>
          <w:b/>
          <w:bCs/>
        </w:rPr>
      </w:pPr>
      <w:r w:rsidRPr="006F1C8C">
        <w:rPr>
          <w:b/>
          <w:bCs/>
        </w:rPr>
        <w:lastRenderedPageBreak/>
        <w:t>Net</w:t>
      </w:r>
      <w:r w:rsidR="00177848" w:rsidRPr="006F1C8C">
        <w:rPr>
          <w:b/>
          <w:bCs/>
        </w:rPr>
        <w:t xml:space="preserve"> </w:t>
      </w:r>
      <w:r w:rsidRPr="006F1C8C">
        <w:rPr>
          <w:b/>
          <w:bCs/>
        </w:rPr>
        <w:t>result</w:t>
      </w:r>
    </w:p>
    <w:p w14:paraId="279C2EC6" w14:textId="0ACE1299" w:rsidR="00EE5BB8" w:rsidRPr="00C6052E" w:rsidRDefault="00EE5BB8" w:rsidP="006F1C8C">
      <w:pPr>
        <w:keepLines/>
      </w:pPr>
      <w:r w:rsidRPr="00C6052E">
        <w:t>Net</w:t>
      </w:r>
      <w:r w:rsidR="00177848" w:rsidRPr="00C6052E">
        <w:t xml:space="preserve"> </w:t>
      </w:r>
      <w:r w:rsidRPr="00C6052E">
        <w:t>result</w:t>
      </w:r>
      <w:r w:rsidR="00177848" w:rsidRPr="00C6052E">
        <w:t xml:space="preserve"> </w:t>
      </w:r>
      <w:r w:rsidRPr="00C6052E">
        <w:t>is</w:t>
      </w:r>
      <w:r w:rsidR="00177848" w:rsidRPr="00C6052E">
        <w:t xml:space="preserve"> </w:t>
      </w:r>
      <w:r w:rsidRPr="00C6052E">
        <w:t>a</w:t>
      </w:r>
      <w:r w:rsidR="00177848" w:rsidRPr="00C6052E">
        <w:t xml:space="preserve"> </w:t>
      </w:r>
      <w:r w:rsidRPr="00C6052E">
        <w:t>measure</w:t>
      </w:r>
      <w:r w:rsidR="00177848" w:rsidRPr="00C6052E">
        <w:t xml:space="preserve"> </w:t>
      </w:r>
      <w:r w:rsidRPr="00C6052E">
        <w:t>of</w:t>
      </w:r>
      <w:r w:rsidR="00177848" w:rsidRPr="00C6052E">
        <w:t xml:space="preserve"> </w:t>
      </w:r>
      <w:r w:rsidRPr="00C6052E">
        <w:t>financial</w:t>
      </w:r>
      <w:r w:rsidR="00177848" w:rsidRPr="00C6052E">
        <w:t xml:space="preserve"> </w:t>
      </w:r>
      <w:r w:rsidRPr="00C6052E">
        <w:t>performance</w:t>
      </w:r>
      <w:r w:rsidR="00177848" w:rsidRPr="00C6052E">
        <w:t xml:space="preserve"> </w:t>
      </w:r>
      <w:r w:rsidRPr="00C6052E">
        <w:t>of</w:t>
      </w:r>
      <w:r w:rsidR="00177848" w:rsidRPr="00C6052E">
        <w:t xml:space="preserve"> </w:t>
      </w:r>
      <w:r w:rsidRPr="00C6052E">
        <w:t>the</w:t>
      </w:r>
      <w:r w:rsidR="00177848" w:rsidRPr="00C6052E">
        <w:t xml:space="preserve"> </w:t>
      </w:r>
      <w:r w:rsidRPr="00C6052E">
        <w:t>operations</w:t>
      </w:r>
      <w:r w:rsidR="00177848" w:rsidRPr="00C6052E">
        <w:t xml:space="preserve"> </w:t>
      </w:r>
      <w:r w:rsidRPr="00C6052E">
        <w:t>for</w:t>
      </w:r>
      <w:r w:rsidR="00177848" w:rsidRPr="00C6052E">
        <w:t xml:space="preserve"> </w:t>
      </w:r>
      <w:r w:rsidRPr="00C6052E">
        <w:t>the</w:t>
      </w:r>
      <w:r w:rsidR="00177848" w:rsidRPr="00C6052E">
        <w:t xml:space="preserve"> </w:t>
      </w:r>
      <w:r w:rsidRPr="00C6052E">
        <w:t>period.</w:t>
      </w:r>
      <w:r w:rsidR="00177848" w:rsidRPr="00C6052E">
        <w:t xml:space="preserve"> </w:t>
      </w:r>
      <w:r w:rsidRPr="00C6052E">
        <w:t>It</w:t>
      </w:r>
      <w:r w:rsidR="00177848" w:rsidRPr="00C6052E">
        <w:t xml:space="preserve"> </w:t>
      </w:r>
      <w:r w:rsidRPr="00C6052E">
        <w:t>is</w:t>
      </w:r>
      <w:r w:rsidR="00177848" w:rsidRPr="00C6052E">
        <w:t xml:space="preserve"> </w:t>
      </w:r>
      <w:r w:rsidRPr="00C6052E">
        <w:t>the</w:t>
      </w:r>
      <w:r w:rsidR="00177848" w:rsidRPr="00C6052E">
        <w:t xml:space="preserve"> </w:t>
      </w:r>
      <w:r w:rsidRPr="00C6052E">
        <w:t>net</w:t>
      </w:r>
      <w:r w:rsidR="00177848" w:rsidRPr="00C6052E">
        <w:t xml:space="preserve"> </w:t>
      </w:r>
      <w:r w:rsidRPr="00C6052E">
        <w:t>result</w:t>
      </w:r>
      <w:r w:rsidR="00177848" w:rsidRPr="00C6052E">
        <w:t xml:space="preserve"> </w:t>
      </w:r>
      <w:r w:rsidRPr="00C6052E">
        <w:t>of</w:t>
      </w:r>
      <w:r w:rsidR="00177848" w:rsidRPr="00C6052E">
        <w:t xml:space="preserve"> </w:t>
      </w:r>
      <w:r w:rsidRPr="00C6052E">
        <w:t>items</w:t>
      </w:r>
      <w:r w:rsidR="00177848" w:rsidRPr="00C6052E">
        <w:t xml:space="preserve"> </w:t>
      </w:r>
      <w:r w:rsidRPr="00C6052E">
        <w:t>of</w:t>
      </w:r>
      <w:r w:rsidR="00177848" w:rsidRPr="00C6052E">
        <w:t xml:space="preserve"> </w:t>
      </w:r>
      <w:r w:rsidRPr="00C6052E">
        <w:t>income,</w:t>
      </w:r>
      <w:r w:rsidR="00177848" w:rsidRPr="00C6052E">
        <w:t xml:space="preserve"> </w:t>
      </w:r>
      <w:r w:rsidRPr="00C6052E">
        <w:t>gains</w:t>
      </w:r>
      <w:r w:rsidR="00177848" w:rsidRPr="00C6052E">
        <w:t xml:space="preserve"> </w:t>
      </w:r>
      <w:r w:rsidRPr="00C6052E">
        <w:t>and</w:t>
      </w:r>
      <w:r w:rsidR="00177848" w:rsidRPr="00C6052E">
        <w:t xml:space="preserve"> </w:t>
      </w:r>
      <w:r w:rsidRPr="00C6052E">
        <w:t>expenses</w:t>
      </w:r>
      <w:r w:rsidR="00177848" w:rsidRPr="00C6052E">
        <w:t xml:space="preserve"> </w:t>
      </w:r>
      <w:r w:rsidRPr="00C6052E">
        <w:t>(including</w:t>
      </w:r>
      <w:r w:rsidR="00177848" w:rsidRPr="00C6052E">
        <w:t xml:space="preserve"> </w:t>
      </w:r>
      <w:r w:rsidRPr="00C6052E">
        <w:t>losses)</w:t>
      </w:r>
      <w:r w:rsidR="00177848" w:rsidRPr="00C6052E">
        <w:t xml:space="preserve"> </w:t>
      </w:r>
      <w:r w:rsidRPr="00C6052E">
        <w:t>recognised</w:t>
      </w:r>
      <w:r w:rsidR="00177848" w:rsidRPr="00C6052E">
        <w:t xml:space="preserve"> </w:t>
      </w:r>
      <w:r w:rsidRPr="00C6052E">
        <w:t>for</w:t>
      </w:r>
      <w:r w:rsidR="00177848" w:rsidRPr="00C6052E">
        <w:t xml:space="preserve"> </w:t>
      </w:r>
      <w:r w:rsidRPr="00C6052E">
        <w:t>the</w:t>
      </w:r>
      <w:r w:rsidR="00177848" w:rsidRPr="00C6052E">
        <w:t xml:space="preserve"> </w:t>
      </w:r>
      <w:r w:rsidRPr="00C6052E">
        <w:t>period,</w:t>
      </w:r>
      <w:r w:rsidR="00177848" w:rsidRPr="00C6052E">
        <w:t xml:space="preserve"> </w:t>
      </w:r>
      <w:r w:rsidRPr="00C6052E">
        <w:t>excluding</w:t>
      </w:r>
      <w:r w:rsidR="00177848" w:rsidRPr="00C6052E">
        <w:t xml:space="preserve"> </w:t>
      </w:r>
      <w:r w:rsidRPr="00C6052E">
        <w:t>those</w:t>
      </w:r>
      <w:r w:rsidR="00177848" w:rsidRPr="00C6052E">
        <w:t xml:space="preserve"> </w:t>
      </w:r>
      <w:r w:rsidRPr="00C6052E">
        <w:t>that</w:t>
      </w:r>
      <w:r w:rsidR="00177848" w:rsidRPr="00C6052E">
        <w:t xml:space="preserve"> </w:t>
      </w:r>
      <w:r w:rsidRPr="00C6052E">
        <w:t>are</w:t>
      </w:r>
      <w:r w:rsidR="00177848" w:rsidRPr="00C6052E">
        <w:t xml:space="preserve"> </w:t>
      </w:r>
      <w:r w:rsidRPr="00C6052E">
        <w:t>classified</w:t>
      </w:r>
      <w:r w:rsidR="00177848" w:rsidRPr="00C6052E">
        <w:t xml:space="preserve"> </w:t>
      </w:r>
      <w:r w:rsidRPr="00C6052E">
        <w:t>as</w:t>
      </w:r>
      <w:r w:rsidR="00177848" w:rsidRPr="00C6052E">
        <w:t xml:space="preserve"> </w:t>
      </w:r>
      <w:r w:rsidRPr="00C6052E">
        <w:t>‘other</w:t>
      </w:r>
      <w:r w:rsidR="00177848" w:rsidRPr="00C6052E">
        <w:t xml:space="preserve"> </w:t>
      </w:r>
      <w:r w:rsidRPr="00C6052E">
        <w:t>economic</w:t>
      </w:r>
      <w:r w:rsidR="00177848" w:rsidRPr="00C6052E">
        <w:t xml:space="preserve"> </w:t>
      </w:r>
      <w:r w:rsidRPr="00C6052E">
        <w:t>flows</w:t>
      </w:r>
      <w:r w:rsidR="00177848" w:rsidRPr="00C6052E">
        <w:t xml:space="preserve"> </w:t>
      </w:r>
      <w:r w:rsidRPr="00C6052E">
        <w:t>–</w:t>
      </w:r>
      <w:r w:rsidR="00177848" w:rsidRPr="00C6052E">
        <w:t xml:space="preserve"> </w:t>
      </w:r>
      <w:r w:rsidRPr="00C6052E">
        <w:t>other</w:t>
      </w:r>
      <w:r w:rsidR="00177848" w:rsidRPr="00C6052E">
        <w:t xml:space="preserve"> </w:t>
      </w:r>
      <w:r w:rsidRPr="00C6052E">
        <w:t>comprehensive</w:t>
      </w:r>
      <w:r w:rsidR="00177848" w:rsidRPr="00C6052E">
        <w:t xml:space="preserve"> </w:t>
      </w:r>
      <w:r w:rsidRPr="00C6052E">
        <w:t>income’.</w:t>
      </w:r>
    </w:p>
    <w:p w14:paraId="2DBB309B" w14:textId="5830E271" w:rsidR="00EE5BB8" w:rsidRPr="006F1C8C" w:rsidRDefault="00EE5BB8" w:rsidP="006F1C8C">
      <w:pPr>
        <w:pStyle w:val="Normalbeforebullets"/>
        <w:rPr>
          <w:b/>
          <w:bCs/>
        </w:rPr>
      </w:pPr>
      <w:r w:rsidRPr="006F1C8C">
        <w:rPr>
          <w:b/>
          <w:bCs/>
        </w:rPr>
        <w:t>Net</w:t>
      </w:r>
      <w:r w:rsidR="00177848" w:rsidRPr="006F1C8C">
        <w:rPr>
          <w:b/>
          <w:bCs/>
        </w:rPr>
        <w:t xml:space="preserve"> </w:t>
      </w:r>
      <w:r w:rsidRPr="006F1C8C">
        <w:rPr>
          <w:b/>
          <w:bCs/>
        </w:rPr>
        <w:t>result</w:t>
      </w:r>
      <w:r w:rsidR="00177848" w:rsidRPr="006F1C8C">
        <w:rPr>
          <w:b/>
          <w:bCs/>
        </w:rPr>
        <w:t xml:space="preserve"> </w:t>
      </w:r>
      <w:r w:rsidRPr="006F1C8C">
        <w:rPr>
          <w:b/>
          <w:bCs/>
        </w:rPr>
        <w:t>from</w:t>
      </w:r>
      <w:r w:rsidR="00177848" w:rsidRPr="006F1C8C">
        <w:rPr>
          <w:b/>
          <w:bCs/>
        </w:rPr>
        <w:t xml:space="preserve"> </w:t>
      </w:r>
      <w:r w:rsidRPr="006F1C8C">
        <w:rPr>
          <w:b/>
          <w:bCs/>
        </w:rPr>
        <w:t>transactions/net</w:t>
      </w:r>
      <w:r w:rsidR="00177848" w:rsidRPr="006F1C8C">
        <w:rPr>
          <w:b/>
          <w:bCs/>
        </w:rPr>
        <w:t xml:space="preserve"> </w:t>
      </w:r>
      <w:r w:rsidRPr="006F1C8C">
        <w:rPr>
          <w:b/>
          <w:bCs/>
        </w:rPr>
        <w:t>operating</w:t>
      </w:r>
      <w:r w:rsidR="00177848" w:rsidRPr="006F1C8C">
        <w:rPr>
          <w:b/>
          <w:bCs/>
        </w:rPr>
        <w:t xml:space="preserve"> </w:t>
      </w:r>
      <w:r w:rsidRPr="006F1C8C">
        <w:rPr>
          <w:b/>
          <w:bCs/>
        </w:rPr>
        <w:t>balance</w:t>
      </w:r>
    </w:p>
    <w:p w14:paraId="01447983" w14:textId="3AB235C7" w:rsidR="00EE5BB8" w:rsidRPr="00C6052E" w:rsidRDefault="00EE5BB8" w:rsidP="00EE5BB8">
      <w:r w:rsidRPr="00C6052E">
        <w:t>Net</w:t>
      </w:r>
      <w:r w:rsidR="00177848" w:rsidRPr="00C6052E">
        <w:t xml:space="preserve"> </w:t>
      </w:r>
      <w:r w:rsidRPr="00C6052E">
        <w:t>result</w:t>
      </w:r>
      <w:r w:rsidR="00177848" w:rsidRPr="00C6052E">
        <w:t xml:space="preserve"> </w:t>
      </w:r>
      <w:r w:rsidRPr="00C6052E">
        <w:t>from</w:t>
      </w:r>
      <w:r w:rsidR="00177848" w:rsidRPr="00C6052E">
        <w:t xml:space="preserve"> </w:t>
      </w:r>
      <w:r w:rsidRPr="00C6052E">
        <w:t>transactions</w:t>
      </w:r>
      <w:r w:rsidR="00177848" w:rsidRPr="00C6052E">
        <w:t xml:space="preserve"> </w:t>
      </w:r>
      <w:r w:rsidRPr="00C6052E">
        <w:t>or</w:t>
      </w:r>
      <w:r w:rsidR="00177848" w:rsidRPr="00C6052E">
        <w:t xml:space="preserve"> </w:t>
      </w:r>
      <w:r w:rsidRPr="00C6052E">
        <w:t>net</w:t>
      </w:r>
      <w:r w:rsidR="00177848" w:rsidRPr="00C6052E">
        <w:t xml:space="preserve"> </w:t>
      </w:r>
      <w:r w:rsidRPr="00C6052E">
        <w:t>operating</w:t>
      </w:r>
      <w:r w:rsidR="00177848" w:rsidRPr="00C6052E">
        <w:t xml:space="preserve"> </w:t>
      </w:r>
      <w:r w:rsidRPr="00C6052E">
        <w:t>balance</w:t>
      </w:r>
      <w:r w:rsidR="00177848" w:rsidRPr="00C6052E">
        <w:t xml:space="preserve"> </w:t>
      </w:r>
      <w:r w:rsidRPr="00C6052E">
        <w:t>is</w:t>
      </w:r>
      <w:r w:rsidR="00177848" w:rsidRPr="00C6052E">
        <w:t xml:space="preserve"> </w:t>
      </w:r>
      <w:r w:rsidRPr="00C6052E">
        <w:t>a</w:t>
      </w:r>
      <w:r w:rsidR="00177848" w:rsidRPr="00C6052E">
        <w:t xml:space="preserve"> </w:t>
      </w:r>
      <w:r w:rsidRPr="00C6052E">
        <w:t>key</w:t>
      </w:r>
      <w:r w:rsidR="00177848" w:rsidRPr="00C6052E">
        <w:t xml:space="preserve"> </w:t>
      </w:r>
      <w:r w:rsidRPr="00C6052E">
        <w:t>fiscal</w:t>
      </w:r>
      <w:r w:rsidR="00177848" w:rsidRPr="00C6052E">
        <w:t xml:space="preserve"> </w:t>
      </w:r>
      <w:r w:rsidRPr="00C6052E">
        <w:t>aggregate</w:t>
      </w:r>
      <w:r w:rsidR="00177848" w:rsidRPr="00C6052E">
        <w:t xml:space="preserve"> </w:t>
      </w:r>
      <w:r w:rsidRPr="00C6052E">
        <w:t>and</w:t>
      </w:r>
      <w:r w:rsidR="00177848" w:rsidRPr="00C6052E">
        <w:t xml:space="preserve"> </w:t>
      </w:r>
      <w:r w:rsidRPr="00C6052E">
        <w:t>is</w:t>
      </w:r>
      <w:r w:rsidR="00177848" w:rsidRPr="00C6052E">
        <w:t xml:space="preserve"> </w:t>
      </w:r>
      <w:r w:rsidRPr="00C6052E">
        <w:t>revenue</w:t>
      </w:r>
      <w:r w:rsidR="00177848" w:rsidRPr="00C6052E">
        <w:t xml:space="preserve"> </w:t>
      </w:r>
      <w:r w:rsidRPr="00C6052E">
        <w:t>and</w:t>
      </w:r>
      <w:r w:rsidR="00177848" w:rsidRPr="00C6052E">
        <w:t xml:space="preserve"> </w:t>
      </w:r>
      <w:r w:rsidRPr="00C6052E">
        <w:t>income</w:t>
      </w:r>
      <w:r w:rsidR="00177848" w:rsidRPr="00C6052E">
        <w:t xml:space="preserve"> </w:t>
      </w:r>
      <w:r w:rsidRPr="00C6052E">
        <w:t>from</w:t>
      </w:r>
      <w:r w:rsidR="00177848" w:rsidRPr="00C6052E">
        <w:t xml:space="preserve"> </w:t>
      </w:r>
      <w:r w:rsidRPr="00C6052E">
        <w:t>transactions</w:t>
      </w:r>
      <w:r w:rsidR="00177848" w:rsidRPr="00C6052E">
        <w:t xml:space="preserve"> </w:t>
      </w:r>
      <w:r w:rsidRPr="00C6052E">
        <w:t>minus</w:t>
      </w:r>
      <w:r w:rsidR="00177848" w:rsidRPr="00C6052E">
        <w:t xml:space="preserve"> </w:t>
      </w:r>
      <w:r w:rsidRPr="00C6052E">
        <w:t>expenses</w:t>
      </w:r>
      <w:r w:rsidR="00177848" w:rsidRPr="00C6052E">
        <w:t xml:space="preserve"> </w:t>
      </w:r>
      <w:r w:rsidRPr="00C6052E">
        <w:t>from</w:t>
      </w:r>
      <w:r w:rsidR="00177848" w:rsidRPr="00C6052E">
        <w:t xml:space="preserve"> </w:t>
      </w:r>
      <w:r w:rsidRPr="00C6052E">
        <w:t>transactions.</w:t>
      </w:r>
      <w:r w:rsidR="00177848" w:rsidRPr="00C6052E">
        <w:t xml:space="preserve"> </w:t>
      </w:r>
      <w:r w:rsidRPr="00C6052E">
        <w:t>It</w:t>
      </w:r>
      <w:r w:rsidR="00177848" w:rsidRPr="00C6052E">
        <w:t xml:space="preserve"> </w:t>
      </w:r>
      <w:r w:rsidRPr="00C6052E">
        <w:t>is</w:t>
      </w:r>
      <w:r w:rsidR="00177848" w:rsidRPr="00C6052E">
        <w:t xml:space="preserve"> </w:t>
      </w:r>
      <w:r w:rsidRPr="00C6052E">
        <w:t>a</w:t>
      </w:r>
      <w:r w:rsidR="00177848" w:rsidRPr="00C6052E">
        <w:t xml:space="preserve"> </w:t>
      </w:r>
      <w:r w:rsidRPr="00C6052E">
        <w:t>summary</w:t>
      </w:r>
      <w:r w:rsidR="00177848" w:rsidRPr="00C6052E">
        <w:t xml:space="preserve"> </w:t>
      </w:r>
      <w:r w:rsidRPr="00C6052E">
        <w:t>measure</w:t>
      </w:r>
      <w:r w:rsidR="00177848" w:rsidRPr="00C6052E">
        <w:t xml:space="preserve"> </w:t>
      </w:r>
      <w:r w:rsidRPr="00C6052E">
        <w:t>of</w:t>
      </w:r>
      <w:r w:rsidR="00177848" w:rsidRPr="00C6052E">
        <w:t xml:space="preserve"> </w:t>
      </w:r>
      <w:r w:rsidRPr="00C6052E">
        <w:t>the</w:t>
      </w:r>
      <w:r w:rsidR="00177848" w:rsidRPr="00C6052E">
        <w:t xml:space="preserve"> </w:t>
      </w:r>
      <w:r w:rsidRPr="00C6052E">
        <w:t>ongoing</w:t>
      </w:r>
      <w:r w:rsidR="00177848" w:rsidRPr="00C6052E">
        <w:t xml:space="preserve"> </w:t>
      </w:r>
      <w:r w:rsidRPr="00C6052E">
        <w:t>sustainability</w:t>
      </w:r>
      <w:r w:rsidR="00177848" w:rsidRPr="00C6052E">
        <w:t xml:space="preserve"> </w:t>
      </w:r>
      <w:r w:rsidRPr="00C6052E">
        <w:t>of</w:t>
      </w:r>
      <w:r w:rsidR="00177848" w:rsidRPr="00C6052E">
        <w:t xml:space="preserve"> </w:t>
      </w:r>
      <w:r w:rsidRPr="00C6052E">
        <w:t>operations.</w:t>
      </w:r>
      <w:r w:rsidR="00177848" w:rsidRPr="00C6052E">
        <w:t xml:space="preserve"> </w:t>
      </w:r>
      <w:r w:rsidRPr="00C6052E">
        <w:t>It</w:t>
      </w:r>
      <w:r w:rsidR="00177848" w:rsidRPr="00C6052E">
        <w:t xml:space="preserve"> </w:t>
      </w:r>
      <w:r w:rsidRPr="00C6052E">
        <w:t>excludes</w:t>
      </w:r>
      <w:r w:rsidR="00177848" w:rsidRPr="00C6052E">
        <w:t xml:space="preserve"> </w:t>
      </w:r>
      <w:r w:rsidRPr="00C6052E">
        <w:t>gains</w:t>
      </w:r>
      <w:r w:rsidR="00177848" w:rsidRPr="00C6052E">
        <w:t xml:space="preserve"> </w:t>
      </w:r>
      <w:r w:rsidRPr="00C6052E">
        <w:t>and</w:t>
      </w:r>
      <w:r w:rsidR="00177848" w:rsidRPr="00C6052E">
        <w:t xml:space="preserve"> </w:t>
      </w:r>
      <w:r w:rsidRPr="00C6052E">
        <w:t>losses</w:t>
      </w:r>
      <w:r w:rsidR="00177848" w:rsidRPr="00C6052E">
        <w:t xml:space="preserve"> </w:t>
      </w:r>
      <w:r w:rsidRPr="00C6052E">
        <w:t>resulting</w:t>
      </w:r>
      <w:r w:rsidR="00177848" w:rsidRPr="00C6052E">
        <w:t xml:space="preserve"> </w:t>
      </w:r>
      <w:r w:rsidRPr="00C6052E">
        <w:t>from</w:t>
      </w:r>
      <w:r w:rsidR="00177848" w:rsidRPr="00C6052E">
        <w:t xml:space="preserve"> </w:t>
      </w:r>
      <w:r w:rsidRPr="00C6052E">
        <w:t>changes</w:t>
      </w:r>
      <w:r w:rsidR="00177848" w:rsidRPr="00C6052E">
        <w:t xml:space="preserve"> </w:t>
      </w:r>
      <w:r w:rsidRPr="00C6052E">
        <w:t>in</w:t>
      </w:r>
      <w:r w:rsidR="00177848" w:rsidRPr="00C6052E">
        <w:t xml:space="preserve"> </w:t>
      </w:r>
      <w:r w:rsidRPr="00C6052E">
        <w:t>price</w:t>
      </w:r>
      <w:r w:rsidR="00177848" w:rsidRPr="00C6052E">
        <w:t xml:space="preserve"> </w:t>
      </w:r>
      <w:r w:rsidRPr="00C6052E">
        <w:t>levels</w:t>
      </w:r>
      <w:r w:rsidR="00177848" w:rsidRPr="00C6052E">
        <w:t xml:space="preserve"> </w:t>
      </w:r>
      <w:r w:rsidRPr="00C6052E">
        <w:t>and</w:t>
      </w:r>
      <w:r w:rsidR="00177848" w:rsidRPr="00C6052E">
        <w:t xml:space="preserve"> </w:t>
      </w:r>
      <w:r w:rsidRPr="00C6052E">
        <w:t>other</w:t>
      </w:r>
      <w:r w:rsidR="00177848" w:rsidRPr="00C6052E">
        <w:t xml:space="preserve"> </w:t>
      </w:r>
      <w:r w:rsidRPr="00C6052E">
        <w:t>changes</w:t>
      </w:r>
      <w:r w:rsidR="00177848" w:rsidRPr="00C6052E">
        <w:t xml:space="preserve"> </w:t>
      </w:r>
      <w:r w:rsidRPr="00C6052E">
        <w:t>in</w:t>
      </w:r>
      <w:r w:rsidR="00177848" w:rsidRPr="00C6052E">
        <w:t xml:space="preserve"> </w:t>
      </w:r>
      <w:r w:rsidRPr="00C6052E">
        <w:t>the</w:t>
      </w:r>
      <w:r w:rsidR="00177848" w:rsidRPr="00C6052E">
        <w:t xml:space="preserve"> </w:t>
      </w:r>
      <w:r w:rsidRPr="00C6052E">
        <w:t>volume</w:t>
      </w:r>
      <w:r w:rsidR="00177848" w:rsidRPr="00C6052E">
        <w:t xml:space="preserve"> </w:t>
      </w:r>
      <w:r w:rsidRPr="00C6052E">
        <w:t>of</w:t>
      </w:r>
      <w:r w:rsidR="00177848" w:rsidRPr="00C6052E">
        <w:t xml:space="preserve"> </w:t>
      </w:r>
      <w:r w:rsidRPr="00C6052E">
        <w:t>assets.</w:t>
      </w:r>
      <w:r w:rsidR="00177848" w:rsidRPr="00C6052E">
        <w:t xml:space="preserve"> </w:t>
      </w:r>
      <w:r w:rsidRPr="00C6052E">
        <w:t>It</w:t>
      </w:r>
      <w:r w:rsidR="00177848" w:rsidRPr="00C6052E">
        <w:t xml:space="preserve"> </w:t>
      </w:r>
      <w:r w:rsidRPr="00C6052E">
        <w:t>is</w:t>
      </w:r>
      <w:r w:rsidR="00177848" w:rsidRPr="00C6052E">
        <w:t xml:space="preserve"> </w:t>
      </w:r>
      <w:r w:rsidRPr="00C6052E">
        <w:t>the</w:t>
      </w:r>
      <w:r w:rsidR="00177848" w:rsidRPr="00C6052E">
        <w:t xml:space="preserve"> </w:t>
      </w:r>
      <w:r w:rsidRPr="00C6052E">
        <w:t>component</w:t>
      </w:r>
      <w:r w:rsidR="00177848" w:rsidRPr="00C6052E">
        <w:t xml:space="preserve"> </w:t>
      </w:r>
      <w:r w:rsidRPr="00C6052E">
        <w:t>of</w:t>
      </w:r>
      <w:r w:rsidR="00177848" w:rsidRPr="00C6052E">
        <w:t xml:space="preserve"> </w:t>
      </w:r>
      <w:r w:rsidRPr="00C6052E">
        <w:t>the</w:t>
      </w:r>
      <w:r w:rsidR="00177848" w:rsidRPr="00C6052E">
        <w:t xml:space="preserve"> </w:t>
      </w:r>
      <w:r w:rsidRPr="00C6052E">
        <w:t>change</w:t>
      </w:r>
      <w:r w:rsidR="00177848" w:rsidRPr="00C6052E">
        <w:t xml:space="preserve"> </w:t>
      </w:r>
      <w:r w:rsidRPr="00C6052E">
        <w:t>in</w:t>
      </w:r>
      <w:r w:rsidR="00177848" w:rsidRPr="00C6052E">
        <w:t xml:space="preserve"> </w:t>
      </w:r>
      <w:r w:rsidRPr="00C6052E">
        <w:t>net</w:t>
      </w:r>
      <w:r w:rsidR="00177848" w:rsidRPr="00C6052E">
        <w:t xml:space="preserve"> </w:t>
      </w:r>
      <w:r w:rsidRPr="00C6052E">
        <w:t>worth</w:t>
      </w:r>
      <w:r w:rsidR="00177848" w:rsidRPr="00C6052E">
        <w:t xml:space="preserve"> </w:t>
      </w:r>
      <w:r w:rsidRPr="00C6052E">
        <w:t>that</w:t>
      </w:r>
      <w:r w:rsidR="00177848" w:rsidRPr="00C6052E">
        <w:t xml:space="preserve"> </w:t>
      </w:r>
      <w:r w:rsidRPr="00C6052E">
        <w:t>is</w:t>
      </w:r>
      <w:r w:rsidR="00177848" w:rsidRPr="00C6052E">
        <w:t xml:space="preserve"> </w:t>
      </w:r>
      <w:r w:rsidRPr="00C6052E">
        <w:t>due</w:t>
      </w:r>
      <w:r w:rsidR="00177848" w:rsidRPr="00C6052E">
        <w:t xml:space="preserve"> </w:t>
      </w:r>
      <w:r w:rsidRPr="00C6052E">
        <w:t>to</w:t>
      </w:r>
      <w:r w:rsidR="00177848" w:rsidRPr="00C6052E">
        <w:t xml:space="preserve"> </w:t>
      </w:r>
      <w:r w:rsidRPr="00C6052E">
        <w:t>transactions</w:t>
      </w:r>
      <w:r w:rsidR="00177848" w:rsidRPr="00C6052E">
        <w:t xml:space="preserve"> </w:t>
      </w:r>
      <w:r w:rsidRPr="00C6052E">
        <w:t>and</w:t>
      </w:r>
      <w:r w:rsidR="00177848" w:rsidRPr="00C6052E">
        <w:t xml:space="preserve"> </w:t>
      </w:r>
      <w:r w:rsidRPr="00C6052E">
        <w:t>can</w:t>
      </w:r>
      <w:r w:rsidR="00177848" w:rsidRPr="00C6052E">
        <w:t xml:space="preserve"> </w:t>
      </w:r>
      <w:r w:rsidRPr="00C6052E">
        <w:t>be</w:t>
      </w:r>
      <w:r w:rsidR="00177848" w:rsidRPr="00C6052E">
        <w:t xml:space="preserve"> </w:t>
      </w:r>
      <w:r w:rsidRPr="00C6052E">
        <w:t>attributed</w:t>
      </w:r>
      <w:r w:rsidR="00177848" w:rsidRPr="00C6052E">
        <w:t xml:space="preserve"> </w:t>
      </w:r>
      <w:r w:rsidRPr="00C6052E">
        <w:t>directly</w:t>
      </w:r>
      <w:r w:rsidR="00177848" w:rsidRPr="00C6052E">
        <w:t xml:space="preserve"> </w:t>
      </w:r>
      <w:r w:rsidRPr="00C6052E">
        <w:t>to</w:t>
      </w:r>
      <w:r w:rsidR="00177848" w:rsidRPr="00C6052E">
        <w:t xml:space="preserve"> </w:t>
      </w:r>
      <w:r w:rsidRPr="00C6052E">
        <w:t>government</w:t>
      </w:r>
      <w:r w:rsidR="00177848" w:rsidRPr="00C6052E">
        <w:t xml:space="preserve"> </w:t>
      </w:r>
      <w:r w:rsidRPr="00C6052E">
        <w:t>policies.</w:t>
      </w:r>
    </w:p>
    <w:p w14:paraId="3AF649D7" w14:textId="00AB6897" w:rsidR="00EE5BB8" w:rsidRPr="006F1C8C" w:rsidRDefault="00EE5BB8" w:rsidP="006F1C8C">
      <w:pPr>
        <w:pStyle w:val="Normalbeforebullets"/>
        <w:rPr>
          <w:b/>
          <w:bCs/>
        </w:rPr>
      </w:pPr>
      <w:r w:rsidRPr="006F1C8C">
        <w:rPr>
          <w:b/>
          <w:bCs/>
        </w:rPr>
        <w:t>Net</w:t>
      </w:r>
      <w:r w:rsidR="00177848" w:rsidRPr="006F1C8C">
        <w:rPr>
          <w:b/>
          <w:bCs/>
        </w:rPr>
        <w:t xml:space="preserve"> </w:t>
      </w:r>
      <w:r w:rsidRPr="006F1C8C">
        <w:rPr>
          <w:b/>
          <w:bCs/>
        </w:rPr>
        <w:t>worth</w:t>
      </w:r>
    </w:p>
    <w:p w14:paraId="157BA03D" w14:textId="2E482975" w:rsidR="00EE5BB8" w:rsidRPr="00C6052E" w:rsidRDefault="00EE5BB8" w:rsidP="00EE5BB8">
      <w:r w:rsidRPr="00C6052E">
        <w:t>Assets</w:t>
      </w:r>
      <w:r w:rsidR="00177848" w:rsidRPr="00C6052E">
        <w:t xml:space="preserve"> </w:t>
      </w:r>
      <w:r w:rsidRPr="00C6052E">
        <w:t>less</w:t>
      </w:r>
      <w:r w:rsidR="00177848" w:rsidRPr="00C6052E">
        <w:t xml:space="preserve"> </w:t>
      </w:r>
      <w:r w:rsidRPr="00C6052E">
        <w:t>liabilities,</w:t>
      </w:r>
      <w:r w:rsidR="00177848" w:rsidRPr="00C6052E">
        <w:t xml:space="preserve"> </w:t>
      </w:r>
      <w:r w:rsidRPr="00C6052E">
        <w:t>which</w:t>
      </w:r>
      <w:r w:rsidR="00177848" w:rsidRPr="00C6052E">
        <w:t xml:space="preserve"> </w:t>
      </w:r>
      <w:r w:rsidRPr="00C6052E">
        <w:t>is</w:t>
      </w:r>
      <w:r w:rsidR="00177848" w:rsidRPr="00C6052E">
        <w:t xml:space="preserve"> </w:t>
      </w:r>
      <w:r w:rsidRPr="00C6052E">
        <w:t>an</w:t>
      </w:r>
      <w:r w:rsidR="00177848" w:rsidRPr="00C6052E">
        <w:t xml:space="preserve"> </w:t>
      </w:r>
      <w:r w:rsidRPr="00C6052E">
        <w:t>economic</w:t>
      </w:r>
      <w:r w:rsidR="00177848" w:rsidRPr="00C6052E">
        <w:t xml:space="preserve"> </w:t>
      </w:r>
      <w:r w:rsidRPr="00C6052E">
        <w:t>measure</w:t>
      </w:r>
      <w:r w:rsidR="00177848" w:rsidRPr="00C6052E">
        <w:t xml:space="preserve"> </w:t>
      </w:r>
      <w:r w:rsidRPr="00C6052E">
        <w:t>of</w:t>
      </w:r>
      <w:r w:rsidR="00177848" w:rsidRPr="00C6052E">
        <w:t xml:space="preserve"> </w:t>
      </w:r>
      <w:r w:rsidRPr="00C6052E">
        <w:t>wealth.</w:t>
      </w:r>
    </w:p>
    <w:p w14:paraId="42BF0F04" w14:textId="28BFCD9F" w:rsidR="00EE5BB8" w:rsidRPr="006F1C8C" w:rsidRDefault="00EE5BB8" w:rsidP="006F1C8C">
      <w:pPr>
        <w:pStyle w:val="Normalbeforebullets"/>
        <w:rPr>
          <w:b/>
          <w:bCs/>
        </w:rPr>
      </w:pPr>
      <w:r w:rsidRPr="006F1C8C">
        <w:rPr>
          <w:b/>
          <w:bCs/>
        </w:rPr>
        <w:t>Non–financial</w:t>
      </w:r>
      <w:r w:rsidR="00177848" w:rsidRPr="006F1C8C">
        <w:rPr>
          <w:b/>
          <w:bCs/>
        </w:rPr>
        <w:t xml:space="preserve"> </w:t>
      </w:r>
      <w:r w:rsidRPr="006F1C8C">
        <w:rPr>
          <w:b/>
          <w:bCs/>
        </w:rPr>
        <w:t>assets</w:t>
      </w:r>
    </w:p>
    <w:p w14:paraId="36AFD18A" w14:textId="6177A9BB" w:rsidR="00EE5BB8" w:rsidRPr="00C6052E" w:rsidRDefault="00EE5BB8" w:rsidP="00EE5BB8">
      <w:r w:rsidRPr="00C6052E">
        <w:t>Non-financial</w:t>
      </w:r>
      <w:r w:rsidR="00177848" w:rsidRPr="00C6052E">
        <w:t xml:space="preserve"> </w:t>
      </w:r>
      <w:r w:rsidRPr="00C6052E">
        <w:t>assets</w:t>
      </w:r>
      <w:r w:rsidR="00177848" w:rsidRPr="00C6052E">
        <w:t xml:space="preserve"> </w:t>
      </w:r>
      <w:r w:rsidRPr="00C6052E">
        <w:t>are</w:t>
      </w:r>
      <w:r w:rsidR="00177848" w:rsidRPr="00C6052E">
        <w:t xml:space="preserve"> </w:t>
      </w:r>
      <w:r w:rsidRPr="00C6052E">
        <w:t>all</w:t>
      </w:r>
      <w:r w:rsidR="00177848" w:rsidRPr="00C6052E">
        <w:t xml:space="preserve"> </w:t>
      </w:r>
      <w:r w:rsidRPr="00C6052E">
        <w:t>assets</w:t>
      </w:r>
      <w:r w:rsidR="00177848" w:rsidRPr="00C6052E">
        <w:t xml:space="preserve"> </w:t>
      </w:r>
      <w:r w:rsidRPr="00C6052E">
        <w:t>that</w:t>
      </w:r>
      <w:r w:rsidR="00177848" w:rsidRPr="00C6052E">
        <w:t xml:space="preserve"> </w:t>
      </w:r>
      <w:r w:rsidRPr="00C6052E">
        <w:t>are</w:t>
      </w:r>
      <w:r w:rsidR="00177848" w:rsidRPr="00C6052E">
        <w:t xml:space="preserve"> </w:t>
      </w:r>
      <w:r w:rsidRPr="00C6052E">
        <w:t>not</w:t>
      </w:r>
      <w:r w:rsidR="00177848" w:rsidRPr="00C6052E">
        <w:t xml:space="preserve"> </w:t>
      </w:r>
      <w:r w:rsidRPr="00C6052E">
        <w:t>‘financial</w:t>
      </w:r>
      <w:r w:rsidR="00177848" w:rsidRPr="00C6052E">
        <w:t xml:space="preserve"> </w:t>
      </w:r>
      <w:r w:rsidRPr="00C6052E">
        <w:t>assets’.</w:t>
      </w:r>
      <w:r w:rsidR="00177848" w:rsidRPr="00C6052E">
        <w:t xml:space="preserve"> </w:t>
      </w:r>
      <w:r w:rsidRPr="00C6052E">
        <w:t>It</w:t>
      </w:r>
      <w:r w:rsidR="00177848" w:rsidRPr="00C6052E">
        <w:t xml:space="preserve"> </w:t>
      </w:r>
      <w:r w:rsidRPr="00C6052E">
        <w:t>includes</w:t>
      </w:r>
      <w:r w:rsidR="00177848" w:rsidRPr="00C6052E">
        <w:t xml:space="preserve"> </w:t>
      </w:r>
      <w:r w:rsidRPr="00C6052E">
        <w:t>inventories,</w:t>
      </w:r>
      <w:r w:rsidR="00177848" w:rsidRPr="00C6052E">
        <w:t xml:space="preserve"> </w:t>
      </w:r>
      <w:r w:rsidRPr="00C6052E">
        <w:t>land,</w:t>
      </w:r>
      <w:r w:rsidR="00177848" w:rsidRPr="00C6052E">
        <w:t xml:space="preserve"> </w:t>
      </w:r>
      <w:r w:rsidRPr="00C6052E">
        <w:t>buildings,</w:t>
      </w:r>
      <w:r w:rsidR="00177848" w:rsidRPr="00C6052E">
        <w:t xml:space="preserve"> </w:t>
      </w:r>
      <w:r w:rsidRPr="00C6052E">
        <w:t>infrastructure,</w:t>
      </w:r>
      <w:r w:rsidR="00177848" w:rsidRPr="00C6052E">
        <w:t xml:space="preserve"> </w:t>
      </w:r>
      <w:r w:rsidRPr="00C6052E">
        <w:t>road</w:t>
      </w:r>
      <w:r w:rsidR="00177848" w:rsidRPr="00C6052E">
        <w:t xml:space="preserve"> </w:t>
      </w:r>
      <w:r w:rsidRPr="00C6052E">
        <w:t>networks,</w:t>
      </w:r>
      <w:r w:rsidR="00177848" w:rsidRPr="00C6052E">
        <w:t xml:space="preserve"> </w:t>
      </w:r>
      <w:r w:rsidRPr="00C6052E">
        <w:t>land</w:t>
      </w:r>
      <w:r w:rsidR="00177848" w:rsidRPr="00C6052E">
        <w:t xml:space="preserve"> </w:t>
      </w:r>
      <w:r w:rsidRPr="00C6052E">
        <w:t>under</w:t>
      </w:r>
      <w:r w:rsidR="00177848" w:rsidRPr="00C6052E">
        <w:t xml:space="preserve"> </w:t>
      </w:r>
      <w:r w:rsidRPr="00C6052E">
        <w:t>roads,</w:t>
      </w:r>
      <w:r w:rsidR="00177848" w:rsidRPr="00C6052E">
        <w:t xml:space="preserve"> </w:t>
      </w:r>
      <w:r w:rsidRPr="00C6052E">
        <w:t>plant</w:t>
      </w:r>
      <w:r w:rsidR="00177848" w:rsidRPr="00C6052E">
        <w:t xml:space="preserve"> </w:t>
      </w:r>
      <w:r w:rsidRPr="00C6052E">
        <w:t>and</w:t>
      </w:r>
      <w:r w:rsidR="00177848" w:rsidRPr="00C6052E">
        <w:t xml:space="preserve"> </w:t>
      </w:r>
      <w:r w:rsidRPr="00C6052E">
        <w:t>equipment,</w:t>
      </w:r>
      <w:r w:rsidR="00177848" w:rsidRPr="00C6052E">
        <w:t xml:space="preserve"> </w:t>
      </w:r>
      <w:r w:rsidRPr="00C6052E">
        <w:t>investment</w:t>
      </w:r>
      <w:r w:rsidR="00177848" w:rsidRPr="00C6052E">
        <w:t xml:space="preserve"> </w:t>
      </w:r>
      <w:r w:rsidRPr="00C6052E">
        <w:t>properties,</w:t>
      </w:r>
      <w:r w:rsidR="00177848" w:rsidRPr="00C6052E">
        <w:t xml:space="preserve"> </w:t>
      </w:r>
      <w:r w:rsidRPr="00C6052E">
        <w:t>cultural</w:t>
      </w:r>
      <w:r w:rsidR="00177848" w:rsidRPr="00C6052E">
        <w:t xml:space="preserve"> </w:t>
      </w:r>
      <w:r w:rsidRPr="00C6052E">
        <w:t>and</w:t>
      </w:r>
      <w:r w:rsidR="00177848" w:rsidRPr="00C6052E">
        <w:t xml:space="preserve"> </w:t>
      </w:r>
      <w:r w:rsidRPr="00C6052E">
        <w:t>heritage</w:t>
      </w:r>
      <w:r w:rsidR="00177848" w:rsidRPr="00C6052E">
        <w:t xml:space="preserve"> </w:t>
      </w:r>
      <w:r w:rsidRPr="00C6052E">
        <w:t>assets,</w:t>
      </w:r>
      <w:r w:rsidR="00177848" w:rsidRPr="00C6052E">
        <w:t xml:space="preserve"> </w:t>
      </w:r>
      <w:r w:rsidRPr="00C6052E">
        <w:t>intangible</w:t>
      </w:r>
      <w:r w:rsidR="00177848" w:rsidRPr="00C6052E">
        <w:t xml:space="preserve"> </w:t>
      </w:r>
      <w:r w:rsidRPr="00C6052E">
        <w:t>and</w:t>
      </w:r>
      <w:r w:rsidR="00177848" w:rsidRPr="00C6052E">
        <w:t xml:space="preserve"> </w:t>
      </w:r>
      <w:r w:rsidRPr="00C6052E">
        <w:t>biological</w:t>
      </w:r>
      <w:r w:rsidR="00177848" w:rsidRPr="00C6052E">
        <w:t xml:space="preserve"> </w:t>
      </w:r>
      <w:r w:rsidRPr="00C6052E">
        <w:t>assets.</w:t>
      </w:r>
    </w:p>
    <w:p w14:paraId="120660BF" w14:textId="0020EE3E" w:rsidR="00EE5BB8" w:rsidRPr="006F1C8C" w:rsidRDefault="00EE5BB8" w:rsidP="006F1C8C">
      <w:pPr>
        <w:pStyle w:val="Normalbeforebullets"/>
        <w:rPr>
          <w:b/>
          <w:bCs/>
        </w:rPr>
      </w:pPr>
      <w:r w:rsidRPr="006F1C8C">
        <w:rPr>
          <w:b/>
          <w:bCs/>
        </w:rPr>
        <w:t>Non–produced</w:t>
      </w:r>
      <w:r w:rsidR="00177848" w:rsidRPr="006F1C8C">
        <w:rPr>
          <w:b/>
          <w:bCs/>
        </w:rPr>
        <w:t xml:space="preserve"> </w:t>
      </w:r>
      <w:r w:rsidRPr="006F1C8C">
        <w:rPr>
          <w:b/>
          <w:bCs/>
        </w:rPr>
        <w:t>assets</w:t>
      </w:r>
    </w:p>
    <w:p w14:paraId="19BA290D" w14:textId="25D70B2B" w:rsidR="00EE5BB8" w:rsidRPr="00C6052E" w:rsidRDefault="00EE5BB8" w:rsidP="00EE5BB8">
      <w:r w:rsidRPr="00C6052E">
        <w:t>Non–produced</w:t>
      </w:r>
      <w:r w:rsidR="00177848" w:rsidRPr="00C6052E">
        <w:t xml:space="preserve"> </w:t>
      </w:r>
      <w:r w:rsidRPr="00C6052E">
        <w:t>assets</w:t>
      </w:r>
      <w:r w:rsidR="00177848" w:rsidRPr="00C6052E">
        <w:t xml:space="preserve"> </w:t>
      </w:r>
      <w:r w:rsidRPr="00C6052E">
        <w:t>are</w:t>
      </w:r>
      <w:r w:rsidR="00177848" w:rsidRPr="00C6052E">
        <w:t xml:space="preserve"> </w:t>
      </w:r>
      <w:r w:rsidRPr="00C6052E">
        <w:t>assets</w:t>
      </w:r>
      <w:r w:rsidR="00177848" w:rsidRPr="00C6052E">
        <w:t xml:space="preserve"> </w:t>
      </w:r>
      <w:r w:rsidRPr="00C6052E">
        <w:t>needed</w:t>
      </w:r>
      <w:r w:rsidR="00177848" w:rsidRPr="00C6052E">
        <w:t xml:space="preserve"> </w:t>
      </w:r>
      <w:r w:rsidRPr="00C6052E">
        <w:t>for</w:t>
      </w:r>
      <w:r w:rsidR="00177848" w:rsidRPr="00C6052E">
        <w:t xml:space="preserve"> </w:t>
      </w:r>
      <w:r w:rsidRPr="00C6052E">
        <w:t>production</w:t>
      </w:r>
      <w:r w:rsidR="00177848" w:rsidRPr="00C6052E">
        <w:t xml:space="preserve"> </w:t>
      </w:r>
      <w:r w:rsidRPr="00C6052E">
        <w:t>that</w:t>
      </w:r>
      <w:r w:rsidR="00177848" w:rsidRPr="00C6052E">
        <w:t xml:space="preserve"> </w:t>
      </w:r>
      <w:r w:rsidRPr="00C6052E">
        <w:t>have</w:t>
      </w:r>
      <w:r w:rsidR="00177848" w:rsidRPr="00C6052E">
        <w:t xml:space="preserve"> </w:t>
      </w:r>
      <w:r w:rsidRPr="00C6052E">
        <w:t>not</w:t>
      </w:r>
      <w:r w:rsidR="00177848" w:rsidRPr="00C6052E">
        <w:t xml:space="preserve"> </w:t>
      </w:r>
      <w:r w:rsidRPr="00C6052E">
        <w:t>themselves</w:t>
      </w:r>
      <w:r w:rsidR="00177848" w:rsidRPr="00C6052E">
        <w:t xml:space="preserve"> </w:t>
      </w:r>
      <w:r w:rsidRPr="00C6052E">
        <w:t>been</w:t>
      </w:r>
      <w:r w:rsidR="00177848" w:rsidRPr="00C6052E">
        <w:t xml:space="preserve"> </w:t>
      </w:r>
      <w:r w:rsidRPr="00C6052E">
        <w:t>produced.</w:t>
      </w:r>
      <w:r w:rsidR="00177848" w:rsidRPr="00C6052E">
        <w:t xml:space="preserve"> </w:t>
      </w:r>
      <w:r w:rsidRPr="00C6052E">
        <w:t>They</w:t>
      </w:r>
      <w:r w:rsidR="00177848" w:rsidRPr="00C6052E">
        <w:t xml:space="preserve"> </w:t>
      </w:r>
      <w:r w:rsidRPr="00C6052E">
        <w:t>include</w:t>
      </w:r>
      <w:r w:rsidR="00177848" w:rsidRPr="00C6052E">
        <w:t xml:space="preserve"> </w:t>
      </w:r>
      <w:r w:rsidRPr="00C6052E">
        <w:t>land,</w:t>
      </w:r>
      <w:r w:rsidR="00177848" w:rsidRPr="00C6052E">
        <w:t xml:space="preserve"> </w:t>
      </w:r>
      <w:r w:rsidRPr="00C6052E">
        <w:t>subsoil</w:t>
      </w:r>
      <w:r w:rsidR="00177848" w:rsidRPr="00C6052E">
        <w:t xml:space="preserve"> </w:t>
      </w:r>
      <w:r w:rsidRPr="00C6052E">
        <w:t>assets,</w:t>
      </w:r>
      <w:r w:rsidR="00177848" w:rsidRPr="00C6052E">
        <w:t xml:space="preserve"> </w:t>
      </w:r>
      <w:r w:rsidRPr="00C6052E">
        <w:t>and</w:t>
      </w:r>
      <w:r w:rsidR="00177848" w:rsidRPr="00C6052E">
        <w:t xml:space="preserve"> </w:t>
      </w:r>
      <w:r w:rsidRPr="00C6052E">
        <w:t>certain</w:t>
      </w:r>
      <w:r w:rsidR="00177848" w:rsidRPr="00C6052E">
        <w:t xml:space="preserve"> </w:t>
      </w:r>
      <w:r w:rsidRPr="00C6052E">
        <w:t>intangible</w:t>
      </w:r>
      <w:r w:rsidR="00177848" w:rsidRPr="00C6052E">
        <w:t xml:space="preserve"> </w:t>
      </w:r>
      <w:r w:rsidRPr="00C6052E">
        <w:t>assets.</w:t>
      </w:r>
      <w:r w:rsidR="00177848" w:rsidRPr="00C6052E">
        <w:t xml:space="preserve"> </w:t>
      </w:r>
      <w:r w:rsidRPr="00C6052E">
        <w:t>Non</w:t>
      </w:r>
      <w:r w:rsidRPr="00C6052E">
        <w:noBreakHyphen/>
        <w:t>produced</w:t>
      </w:r>
      <w:r w:rsidR="00177848" w:rsidRPr="00C6052E">
        <w:t xml:space="preserve"> </w:t>
      </w:r>
      <w:r w:rsidRPr="00C6052E">
        <w:t>intangibles</w:t>
      </w:r>
      <w:r w:rsidR="00177848" w:rsidRPr="00C6052E">
        <w:t xml:space="preserve"> </w:t>
      </w:r>
      <w:r w:rsidRPr="00C6052E">
        <w:t>are</w:t>
      </w:r>
      <w:r w:rsidR="00177848" w:rsidRPr="00C6052E">
        <w:t xml:space="preserve"> </w:t>
      </w:r>
      <w:r w:rsidRPr="00C6052E">
        <w:t>intangible</w:t>
      </w:r>
      <w:r w:rsidR="00177848" w:rsidRPr="00C6052E">
        <w:t xml:space="preserve"> </w:t>
      </w:r>
      <w:r w:rsidRPr="00C6052E">
        <w:t>assets</w:t>
      </w:r>
      <w:r w:rsidR="00177848" w:rsidRPr="00C6052E">
        <w:t xml:space="preserve"> </w:t>
      </w:r>
      <w:r w:rsidRPr="00C6052E">
        <w:t>needed</w:t>
      </w:r>
      <w:r w:rsidR="00177848" w:rsidRPr="00C6052E">
        <w:t xml:space="preserve"> </w:t>
      </w:r>
      <w:r w:rsidRPr="00C6052E">
        <w:t>for</w:t>
      </w:r>
      <w:r w:rsidR="00177848" w:rsidRPr="00C6052E">
        <w:t xml:space="preserve"> </w:t>
      </w:r>
      <w:r w:rsidRPr="00C6052E">
        <w:t>production</w:t>
      </w:r>
      <w:r w:rsidR="00177848" w:rsidRPr="00C6052E">
        <w:t xml:space="preserve"> </w:t>
      </w:r>
      <w:r w:rsidRPr="00C6052E">
        <w:t>that</w:t>
      </w:r>
      <w:r w:rsidR="00177848" w:rsidRPr="00C6052E">
        <w:t xml:space="preserve"> </w:t>
      </w:r>
      <w:r w:rsidRPr="00C6052E">
        <w:t>have</w:t>
      </w:r>
      <w:r w:rsidR="00177848" w:rsidRPr="00C6052E">
        <w:t xml:space="preserve"> </w:t>
      </w:r>
      <w:r w:rsidRPr="00C6052E">
        <w:t>not</w:t>
      </w:r>
      <w:r w:rsidR="00177848" w:rsidRPr="00C6052E">
        <w:t xml:space="preserve"> </w:t>
      </w:r>
      <w:r w:rsidRPr="00C6052E">
        <w:t>themselves</w:t>
      </w:r>
      <w:r w:rsidR="00177848" w:rsidRPr="00C6052E">
        <w:t xml:space="preserve"> </w:t>
      </w:r>
      <w:r w:rsidRPr="00C6052E">
        <w:t>been</w:t>
      </w:r>
      <w:r w:rsidR="00177848" w:rsidRPr="00C6052E">
        <w:t xml:space="preserve"> </w:t>
      </w:r>
      <w:r w:rsidRPr="00C6052E">
        <w:t>produced.</w:t>
      </w:r>
      <w:r w:rsidR="00177848" w:rsidRPr="00C6052E">
        <w:t xml:space="preserve"> </w:t>
      </w:r>
      <w:r w:rsidRPr="00C6052E">
        <w:t>They</w:t>
      </w:r>
      <w:r w:rsidR="00177848" w:rsidRPr="00C6052E">
        <w:t xml:space="preserve"> </w:t>
      </w:r>
      <w:r w:rsidRPr="00C6052E">
        <w:t>include</w:t>
      </w:r>
      <w:r w:rsidR="00177848" w:rsidRPr="00C6052E">
        <w:t xml:space="preserve"> </w:t>
      </w:r>
      <w:r w:rsidRPr="00C6052E">
        <w:t>constructs</w:t>
      </w:r>
      <w:r w:rsidR="00177848" w:rsidRPr="00C6052E">
        <w:t xml:space="preserve"> </w:t>
      </w:r>
      <w:r w:rsidRPr="00C6052E">
        <w:t>of</w:t>
      </w:r>
      <w:r w:rsidR="00177848" w:rsidRPr="00C6052E">
        <w:t xml:space="preserve"> </w:t>
      </w:r>
      <w:r w:rsidRPr="00C6052E">
        <w:t>society</w:t>
      </w:r>
      <w:r w:rsidR="00177848" w:rsidRPr="00C6052E">
        <w:t xml:space="preserve"> </w:t>
      </w:r>
      <w:r w:rsidRPr="00C6052E">
        <w:t>such</w:t>
      </w:r>
      <w:r w:rsidR="00177848" w:rsidRPr="00C6052E">
        <w:t xml:space="preserve"> </w:t>
      </w:r>
      <w:r w:rsidRPr="00C6052E">
        <w:t>as</w:t>
      </w:r>
      <w:r w:rsidR="00177848" w:rsidRPr="00C6052E">
        <w:t xml:space="preserve"> </w:t>
      </w:r>
      <w:r w:rsidRPr="00C6052E">
        <w:t>patents.</w:t>
      </w:r>
    </w:p>
    <w:p w14:paraId="15C58AE7" w14:textId="7DD37CE2" w:rsidR="00EE5BB8" w:rsidRPr="006F1C8C" w:rsidRDefault="00EE5BB8" w:rsidP="006F1C8C">
      <w:pPr>
        <w:pStyle w:val="Normalbeforebullets"/>
        <w:rPr>
          <w:b/>
          <w:bCs/>
        </w:rPr>
      </w:pPr>
      <w:r w:rsidRPr="006F1C8C">
        <w:rPr>
          <w:b/>
          <w:bCs/>
        </w:rPr>
        <w:t>Other</w:t>
      </w:r>
      <w:r w:rsidR="00177848" w:rsidRPr="006F1C8C">
        <w:rPr>
          <w:b/>
          <w:bCs/>
        </w:rPr>
        <w:t xml:space="preserve"> </w:t>
      </w:r>
      <w:r w:rsidRPr="006F1C8C">
        <w:rPr>
          <w:b/>
          <w:bCs/>
        </w:rPr>
        <w:t>economic</w:t>
      </w:r>
      <w:r w:rsidR="00177848" w:rsidRPr="006F1C8C">
        <w:rPr>
          <w:b/>
          <w:bCs/>
        </w:rPr>
        <w:t xml:space="preserve"> </w:t>
      </w:r>
      <w:r w:rsidRPr="006F1C8C">
        <w:rPr>
          <w:b/>
          <w:bCs/>
        </w:rPr>
        <w:t>flows</w:t>
      </w:r>
      <w:r w:rsidR="00177848" w:rsidRPr="006F1C8C">
        <w:rPr>
          <w:b/>
          <w:bCs/>
        </w:rPr>
        <w:t xml:space="preserve"> </w:t>
      </w:r>
      <w:r w:rsidRPr="006F1C8C">
        <w:rPr>
          <w:b/>
          <w:bCs/>
        </w:rPr>
        <w:t>–</w:t>
      </w:r>
      <w:r w:rsidR="00177848" w:rsidRPr="006F1C8C">
        <w:rPr>
          <w:b/>
          <w:bCs/>
        </w:rPr>
        <w:t xml:space="preserve"> </w:t>
      </w:r>
      <w:r w:rsidRPr="006F1C8C">
        <w:rPr>
          <w:b/>
          <w:bCs/>
        </w:rPr>
        <w:t>other</w:t>
      </w:r>
      <w:r w:rsidR="00177848" w:rsidRPr="006F1C8C">
        <w:rPr>
          <w:b/>
          <w:bCs/>
        </w:rPr>
        <w:t xml:space="preserve"> </w:t>
      </w:r>
      <w:r w:rsidRPr="006F1C8C">
        <w:rPr>
          <w:b/>
          <w:bCs/>
        </w:rPr>
        <w:t>comprehensive</w:t>
      </w:r>
      <w:r w:rsidR="00177848" w:rsidRPr="006F1C8C">
        <w:rPr>
          <w:b/>
          <w:bCs/>
        </w:rPr>
        <w:t xml:space="preserve"> </w:t>
      </w:r>
      <w:r w:rsidRPr="006F1C8C">
        <w:rPr>
          <w:b/>
          <w:bCs/>
        </w:rPr>
        <w:t>income</w:t>
      </w:r>
    </w:p>
    <w:p w14:paraId="566E75B7" w14:textId="27087332" w:rsidR="00EE5BB8" w:rsidRPr="00C6052E" w:rsidRDefault="00EE5BB8" w:rsidP="00EE5BB8">
      <w:r w:rsidRPr="00C6052E">
        <w:t>Other</w:t>
      </w:r>
      <w:r w:rsidR="00177848" w:rsidRPr="00C6052E">
        <w:t xml:space="preserve"> </w:t>
      </w:r>
      <w:r w:rsidRPr="00C6052E">
        <w:t>economic</w:t>
      </w:r>
      <w:r w:rsidR="00177848" w:rsidRPr="00C6052E">
        <w:t xml:space="preserve"> </w:t>
      </w:r>
      <w:r w:rsidRPr="00C6052E">
        <w:t>flows</w:t>
      </w:r>
      <w:r w:rsidR="00177848" w:rsidRPr="00C6052E">
        <w:t xml:space="preserve"> </w:t>
      </w:r>
      <w:r w:rsidRPr="00C6052E">
        <w:t>–</w:t>
      </w:r>
      <w:r w:rsidR="00177848" w:rsidRPr="00C6052E">
        <w:t xml:space="preserve"> </w:t>
      </w:r>
      <w:r w:rsidRPr="00C6052E">
        <w:t>other</w:t>
      </w:r>
      <w:r w:rsidR="00177848" w:rsidRPr="00C6052E">
        <w:t xml:space="preserve"> </w:t>
      </w:r>
      <w:r w:rsidRPr="00C6052E">
        <w:t>comprehensive</w:t>
      </w:r>
      <w:r w:rsidR="00177848" w:rsidRPr="00C6052E">
        <w:t xml:space="preserve"> </w:t>
      </w:r>
      <w:r w:rsidRPr="00C6052E">
        <w:t>income</w:t>
      </w:r>
      <w:r w:rsidR="00177848" w:rsidRPr="00C6052E">
        <w:t xml:space="preserve"> </w:t>
      </w:r>
      <w:r w:rsidRPr="00C6052E">
        <w:rPr>
          <w:spacing w:val="-2"/>
        </w:rPr>
        <w:t>comprises</w:t>
      </w:r>
      <w:r w:rsidR="00177848" w:rsidRPr="00C6052E">
        <w:rPr>
          <w:spacing w:val="-2"/>
        </w:rPr>
        <w:t xml:space="preserve"> </w:t>
      </w:r>
      <w:r w:rsidRPr="00C6052E">
        <w:rPr>
          <w:spacing w:val="-2"/>
        </w:rPr>
        <w:t>items</w:t>
      </w:r>
      <w:r w:rsidR="00177848" w:rsidRPr="00C6052E">
        <w:rPr>
          <w:spacing w:val="-2"/>
        </w:rPr>
        <w:t xml:space="preserve"> </w:t>
      </w:r>
      <w:r w:rsidRPr="00C6052E">
        <w:rPr>
          <w:spacing w:val="-2"/>
        </w:rPr>
        <w:t>(including</w:t>
      </w:r>
      <w:r w:rsidR="00177848" w:rsidRPr="00C6052E">
        <w:rPr>
          <w:spacing w:val="-2"/>
        </w:rPr>
        <w:t xml:space="preserve"> </w:t>
      </w:r>
      <w:r w:rsidRPr="00C6052E">
        <w:rPr>
          <w:spacing w:val="-2"/>
        </w:rPr>
        <w:t>reclassification</w:t>
      </w:r>
      <w:r w:rsidR="00177848" w:rsidRPr="00C6052E">
        <w:rPr>
          <w:spacing w:val="-2"/>
        </w:rPr>
        <w:t xml:space="preserve"> </w:t>
      </w:r>
      <w:r w:rsidRPr="00C6052E">
        <w:rPr>
          <w:spacing w:val="-2"/>
        </w:rPr>
        <w:t>adjustments)</w:t>
      </w:r>
      <w:r w:rsidR="00177848" w:rsidRPr="00C6052E">
        <w:t xml:space="preserve"> </w:t>
      </w:r>
      <w:r w:rsidRPr="00C6052E">
        <w:t>that</w:t>
      </w:r>
      <w:r w:rsidR="00177848" w:rsidRPr="00C6052E">
        <w:t xml:space="preserve"> </w:t>
      </w:r>
      <w:r w:rsidRPr="00C6052E">
        <w:t>are</w:t>
      </w:r>
      <w:r w:rsidR="00177848" w:rsidRPr="00C6052E">
        <w:t xml:space="preserve"> </w:t>
      </w:r>
      <w:r w:rsidRPr="00C6052E">
        <w:t>not</w:t>
      </w:r>
      <w:r w:rsidR="00177848" w:rsidRPr="00C6052E">
        <w:t xml:space="preserve"> </w:t>
      </w:r>
      <w:r w:rsidRPr="00C6052E">
        <w:t>recognised</w:t>
      </w:r>
      <w:r w:rsidR="00177848" w:rsidRPr="00C6052E">
        <w:t xml:space="preserve"> </w:t>
      </w:r>
      <w:r w:rsidRPr="00C6052E">
        <w:t>in</w:t>
      </w:r>
      <w:r w:rsidR="00177848" w:rsidRPr="00C6052E">
        <w:t xml:space="preserve"> </w:t>
      </w:r>
      <w:r w:rsidRPr="00C6052E">
        <w:t>net</w:t>
      </w:r>
      <w:r w:rsidR="00177848" w:rsidRPr="00C6052E">
        <w:t xml:space="preserve"> </w:t>
      </w:r>
      <w:r w:rsidRPr="00C6052E">
        <w:t>result</w:t>
      </w:r>
      <w:r w:rsidR="00177848" w:rsidRPr="00C6052E">
        <w:t xml:space="preserve"> </w:t>
      </w:r>
      <w:r w:rsidRPr="00C6052E">
        <w:t>as</w:t>
      </w:r>
      <w:r w:rsidR="00177848" w:rsidRPr="00C6052E">
        <w:t xml:space="preserve"> </w:t>
      </w:r>
      <w:r w:rsidRPr="00C6052E">
        <w:t>required</w:t>
      </w:r>
      <w:r w:rsidR="00177848" w:rsidRPr="00C6052E">
        <w:t xml:space="preserve"> </w:t>
      </w:r>
      <w:r w:rsidRPr="00C6052E">
        <w:t>or</w:t>
      </w:r>
      <w:r w:rsidR="00177848" w:rsidRPr="00C6052E">
        <w:t xml:space="preserve"> </w:t>
      </w:r>
      <w:r w:rsidRPr="00C6052E">
        <w:t>permitted</w:t>
      </w:r>
      <w:r w:rsidR="00177848" w:rsidRPr="00C6052E">
        <w:t xml:space="preserve"> </w:t>
      </w:r>
      <w:r w:rsidRPr="00C6052E">
        <w:t>by</w:t>
      </w:r>
      <w:r w:rsidR="00177848" w:rsidRPr="00C6052E">
        <w:t xml:space="preserve"> </w:t>
      </w:r>
      <w:r w:rsidRPr="00C6052E">
        <w:t>other</w:t>
      </w:r>
      <w:r w:rsidR="00177848" w:rsidRPr="00C6052E">
        <w:t xml:space="preserve"> </w:t>
      </w:r>
      <w:r w:rsidRPr="00C6052E">
        <w:t>Australian</w:t>
      </w:r>
      <w:r w:rsidR="00177848" w:rsidRPr="00C6052E">
        <w:t xml:space="preserve"> </w:t>
      </w:r>
      <w:r w:rsidRPr="00C6052E">
        <w:t>Accounting</w:t>
      </w:r>
      <w:r w:rsidR="00177848" w:rsidRPr="00C6052E">
        <w:t xml:space="preserve"> </w:t>
      </w:r>
      <w:r w:rsidRPr="00C6052E">
        <w:t>Standards.</w:t>
      </w:r>
    </w:p>
    <w:p w14:paraId="66A6D75A" w14:textId="53CFED33" w:rsidR="00EE5BB8" w:rsidRPr="00C6052E" w:rsidRDefault="00EE5BB8" w:rsidP="0028635E">
      <w:pPr>
        <w:pStyle w:val="Normalbeforebullets"/>
      </w:pPr>
      <w:r w:rsidRPr="00C6052E">
        <w:t>The</w:t>
      </w:r>
      <w:r w:rsidR="00177848" w:rsidRPr="00C6052E">
        <w:t xml:space="preserve"> </w:t>
      </w:r>
      <w:r w:rsidRPr="00C6052E">
        <w:t>components</w:t>
      </w:r>
      <w:r w:rsidR="00177848" w:rsidRPr="00C6052E">
        <w:t xml:space="preserve"> </w:t>
      </w:r>
      <w:r w:rsidRPr="00C6052E">
        <w:t>of</w:t>
      </w:r>
      <w:r w:rsidR="00177848" w:rsidRPr="00C6052E">
        <w:t xml:space="preserve"> </w:t>
      </w:r>
      <w:r w:rsidRPr="00C6052E">
        <w:t>other</w:t>
      </w:r>
      <w:r w:rsidR="00177848" w:rsidRPr="00C6052E">
        <w:t xml:space="preserve"> </w:t>
      </w:r>
      <w:r w:rsidRPr="00C6052E">
        <w:t>economic</w:t>
      </w:r>
      <w:r w:rsidR="00177848" w:rsidRPr="00C6052E">
        <w:t xml:space="preserve"> </w:t>
      </w:r>
      <w:r w:rsidRPr="00C6052E">
        <w:t>flows</w:t>
      </w:r>
      <w:r w:rsidR="00177848" w:rsidRPr="00C6052E">
        <w:t xml:space="preserve"> </w:t>
      </w:r>
      <w:r w:rsidRPr="00C6052E">
        <w:t>–</w:t>
      </w:r>
      <w:r w:rsidR="00177848" w:rsidRPr="00C6052E">
        <w:t xml:space="preserve"> </w:t>
      </w:r>
      <w:r w:rsidRPr="00C6052E">
        <w:t>other</w:t>
      </w:r>
      <w:r w:rsidR="00177848" w:rsidRPr="00C6052E">
        <w:t xml:space="preserve"> </w:t>
      </w:r>
      <w:r w:rsidRPr="00C6052E">
        <w:t>comprehensive</w:t>
      </w:r>
      <w:r w:rsidR="00177848" w:rsidRPr="00C6052E">
        <w:t xml:space="preserve"> </w:t>
      </w:r>
      <w:r w:rsidRPr="00C6052E">
        <w:t>income</w:t>
      </w:r>
      <w:r w:rsidR="00177848" w:rsidRPr="00C6052E">
        <w:t xml:space="preserve"> </w:t>
      </w:r>
      <w:r w:rsidRPr="00C6052E">
        <w:t>include:</w:t>
      </w:r>
    </w:p>
    <w:p w14:paraId="29A08AC9" w14:textId="7F0BB637" w:rsidR="00EE5BB8" w:rsidRPr="00C6052E" w:rsidRDefault="00EE5BB8" w:rsidP="00EE5BB8">
      <w:pPr>
        <w:pStyle w:val="Bullet1"/>
        <w:numPr>
          <w:ilvl w:val="0"/>
          <w:numId w:val="1"/>
        </w:numPr>
        <w:spacing w:line="278" w:lineRule="auto"/>
        <w:ind w:left="284" w:hanging="284"/>
        <w:rPr>
          <w:lang w:val="en-AU"/>
        </w:rPr>
      </w:pPr>
      <w:r w:rsidRPr="00C6052E">
        <w:rPr>
          <w:lang w:val="en-AU"/>
        </w:rPr>
        <w:t>changes</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physical</w:t>
      </w:r>
      <w:r w:rsidR="00177848" w:rsidRPr="00C6052E">
        <w:rPr>
          <w:lang w:val="en-AU"/>
        </w:rPr>
        <w:t xml:space="preserve"> </w:t>
      </w:r>
      <w:r w:rsidRPr="00C6052E">
        <w:rPr>
          <w:lang w:val="en-AU"/>
        </w:rPr>
        <w:t>asset</w:t>
      </w:r>
      <w:r w:rsidR="00177848" w:rsidRPr="00C6052E">
        <w:rPr>
          <w:lang w:val="en-AU"/>
        </w:rPr>
        <w:t xml:space="preserve"> </w:t>
      </w:r>
      <w:r w:rsidRPr="00C6052E">
        <w:rPr>
          <w:lang w:val="en-AU"/>
        </w:rPr>
        <w:t>revaluation</w:t>
      </w:r>
      <w:r w:rsidR="00177848" w:rsidRPr="00C6052E">
        <w:rPr>
          <w:lang w:val="en-AU"/>
        </w:rPr>
        <w:t xml:space="preserve"> </w:t>
      </w:r>
      <w:r w:rsidRPr="00C6052E">
        <w:rPr>
          <w:lang w:val="en-AU"/>
        </w:rPr>
        <w:t>surplus,</w:t>
      </w:r>
    </w:p>
    <w:p w14:paraId="0EF91ADD" w14:textId="76669597" w:rsidR="00EE5BB8" w:rsidRPr="00C6052E" w:rsidRDefault="00EE5BB8" w:rsidP="00EE5BB8">
      <w:pPr>
        <w:pStyle w:val="Bullet1"/>
        <w:numPr>
          <w:ilvl w:val="0"/>
          <w:numId w:val="1"/>
        </w:numPr>
        <w:spacing w:line="278" w:lineRule="auto"/>
        <w:ind w:left="284" w:hanging="284"/>
        <w:rPr>
          <w:lang w:val="en-AU"/>
        </w:rPr>
      </w:pPr>
      <w:r w:rsidRPr="00C6052E">
        <w:rPr>
          <w:lang w:val="en-AU"/>
        </w:rPr>
        <w:t>share</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net</w:t>
      </w:r>
      <w:r w:rsidR="00177848" w:rsidRPr="00C6052E">
        <w:rPr>
          <w:lang w:val="en-AU"/>
        </w:rPr>
        <w:t xml:space="preserve"> </w:t>
      </w:r>
      <w:r w:rsidRPr="00C6052E">
        <w:rPr>
          <w:lang w:val="en-AU"/>
        </w:rPr>
        <w:t>movement</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revaluation</w:t>
      </w:r>
      <w:r w:rsidR="00177848" w:rsidRPr="00C6052E">
        <w:rPr>
          <w:lang w:val="en-AU"/>
        </w:rPr>
        <w:t xml:space="preserve"> </w:t>
      </w:r>
      <w:r w:rsidRPr="00C6052E">
        <w:rPr>
          <w:lang w:val="en-AU"/>
        </w:rPr>
        <w:t>surplus</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associates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joint</w:t>
      </w:r>
      <w:r w:rsidR="00177848" w:rsidRPr="00C6052E">
        <w:rPr>
          <w:lang w:val="en-AU"/>
        </w:rPr>
        <w:t xml:space="preserve"> </w:t>
      </w:r>
      <w:r w:rsidRPr="00C6052E">
        <w:rPr>
          <w:lang w:val="en-AU"/>
        </w:rPr>
        <w:t>ventures,</w:t>
      </w:r>
      <w:r w:rsidR="00177848" w:rsidRPr="00C6052E">
        <w:rPr>
          <w:lang w:val="en-AU"/>
        </w:rPr>
        <w:t xml:space="preserve"> </w:t>
      </w:r>
      <w:r w:rsidRPr="00C6052E">
        <w:rPr>
          <w:lang w:val="en-AU"/>
        </w:rPr>
        <w:t>and</w:t>
      </w:r>
    </w:p>
    <w:p w14:paraId="05883B99" w14:textId="57369A3C" w:rsidR="00EE5BB8" w:rsidRPr="00C6052E" w:rsidRDefault="00EE5BB8" w:rsidP="00EE5BB8">
      <w:pPr>
        <w:pStyle w:val="Bullet1last"/>
        <w:numPr>
          <w:ilvl w:val="0"/>
          <w:numId w:val="1"/>
        </w:numPr>
        <w:spacing w:line="278" w:lineRule="auto"/>
        <w:ind w:left="284" w:hanging="284"/>
        <w:rPr>
          <w:lang w:val="en-AU"/>
        </w:rPr>
      </w:pPr>
      <w:r w:rsidRPr="00C6052E">
        <w:rPr>
          <w:lang w:val="en-AU"/>
        </w:rPr>
        <w:t>gains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losses</w:t>
      </w:r>
      <w:r w:rsidR="00177848" w:rsidRPr="00C6052E">
        <w:rPr>
          <w:lang w:val="en-AU"/>
        </w:rPr>
        <w:t xml:space="preserve"> </w:t>
      </w:r>
      <w:r w:rsidRPr="00C6052E">
        <w:rPr>
          <w:lang w:val="en-AU"/>
        </w:rPr>
        <w:t>on</w:t>
      </w:r>
      <w:r w:rsidR="00177848" w:rsidRPr="00C6052E">
        <w:rPr>
          <w:lang w:val="en-AU"/>
        </w:rPr>
        <w:t xml:space="preserve"> </w:t>
      </w:r>
      <w:r w:rsidRPr="00C6052E">
        <w:rPr>
          <w:lang w:val="en-AU"/>
        </w:rPr>
        <w:t>remeasuring</w:t>
      </w:r>
      <w:r w:rsidR="00177848" w:rsidRPr="00C6052E">
        <w:rPr>
          <w:lang w:val="en-AU"/>
        </w:rPr>
        <w:t xml:space="preserve"> </w:t>
      </w:r>
      <w:r w:rsidRPr="00C6052E">
        <w:rPr>
          <w:lang w:val="en-AU"/>
        </w:rPr>
        <w:t>available-for-sale</w:t>
      </w:r>
      <w:r w:rsidR="00177848" w:rsidRPr="00C6052E">
        <w:rPr>
          <w:lang w:val="en-AU"/>
        </w:rPr>
        <w:t xml:space="preserve"> </w:t>
      </w:r>
      <w:r w:rsidRPr="00C6052E">
        <w:rPr>
          <w:lang w:val="en-AU"/>
        </w:rPr>
        <w:t>financial</w:t>
      </w:r>
      <w:r w:rsidR="00177848" w:rsidRPr="00C6052E">
        <w:rPr>
          <w:lang w:val="en-AU"/>
        </w:rPr>
        <w:t xml:space="preserve"> </w:t>
      </w:r>
      <w:r w:rsidRPr="00C6052E">
        <w:rPr>
          <w:lang w:val="en-AU"/>
        </w:rPr>
        <w:t>assets.</w:t>
      </w:r>
    </w:p>
    <w:p w14:paraId="56630F9B" w14:textId="603BBC20" w:rsidR="00EE5BB8" w:rsidRPr="006F1C8C" w:rsidRDefault="00EE5BB8" w:rsidP="006F1C8C">
      <w:pPr>
        <w:pStyle w:val="Normalbeforebullets"/>
        <w:rPr>
          <w:b/>
          <w:bCs/>
        </w:rPr>
      </w:pPr>
      <w:r w:rsidRPr="006F1C8C">
        <w:rPr>
          <w:b/>
          <w:bCs/>
        </w:rPr>
        <w:t>Produced</w:t>
      </w:r>
      <w:r w:rsidR="00177848" w:rsidRPr="006F1C8C">
        <w:rPr>
          <w:b/>
          <w:bCs/>
        </w:rPr>
        <w:t xml:space="preserve"> </w:t>
      </w:r>
      <w:r w:rsidRPr="006F1C8C">
        <w:rPr>
          <w:b/>
          <w:bCs/>
        </w:rPr>
        <w:t>assets</w:t>
      </w:r>
    </w:p>
    <w:p w14:paraId="315AA1E6" w14:textId="5EA44D8A" w:rsidR="00EE5BB8" w:rsidRPr="00C6052E" w:rsidRDefault="00EE5BB8" w:rsidP="00EE5BB8">
      <w:r w:rsidRPr="00C6052E">
        <w:t>Produced</w:t>
      </w:r>
      <w:r w:rsidR="00177848" w:rsidRPr="00C6052E">
        <w:t xml:space="preserve"> </w:t>
      </w:r>
      <w:r w:rsidRPr="00C6052E">
        <w:t>assets</w:t>
      </w:r>
      <w:r w:rsidR="00177848" w:rsidRPr="00C6052E">
        <w:t xml:space="preserve"> </w:t>
      </w:r>
      <w:r w:rsidRPr="00C6052E">
        <w:t>include</w:t>
      </w:r>
      <w:r w:rsidR="00177848" w:rsidRPr="00C6052E">
        <w:t xml:space="preserve"> </w:t>
      </w:r>
      <w:r w:rsidRPr="00C6052E">
        <w:t>buildings,</w:t>
      </w:r>
      <w:r w:rsidR="00177848" w:rsidRPr="00C6052E">
        <w:t xml:space="preserve"> </w:t>
      </w:r>
      <w:r w:rsidRPr="00C6052E">
        <w:t>plant</w:t>
      </w:r>
      <w:r w:rsidR="00177848" w:rsidRPr="00C6052E">
        <w:t xml:space="preserve"> </w:t>
      </w:r>
      <w:r w:rsidRPr="00C6052E">
        <w:t>and</w:t>
      </w:r>
      <w:r w:rsidR="00177848" w:rsidRPr="00C6052E">
        <w:t xml:space="preserve"> </w:t>
      </w:r>
      <w:r w:rsidRPr="00C6052E">
        <w:t>equipment,</w:t>
      </w:r>
      <w:r w:rsidR="00177848" w:rsidRPr="00C6052E">
        <w:t xml:space="preserve"> </w:t>
      </w:r>
      <w:r w:rsidRPr="00C6052E">
        <w:t>inventories,</w:t>
      </w:r>
      <w:r w:rsidR="00177848" w:rsidRPr="00C6052E">
        <w:t xml:space="preserve"> </w:t>
      </w:r>
      <w:r w:rsidRPr="00C6052E">
        <w:t>cultivated</w:t>
      </w:r>
      <w:r w:rsidR="00177848" w:rsidRPr="00C6052E">
        <w:t xml:space="preserve"> </w:t>
      </w:r>
      <w:r w:rsidRPr="00C6052E">
        <w:t>assets</w:t>
      </w:r>
      <w:r w:rsidR="00177848" w:rsidRPr="00C6052E">
        <w:t xml:space="preserve"> </w:t>
      </w:r>
      <w:r w:rsidRPr="00C6052E">
        <w:t>and</w:t>
      </w:r>
      <w:r w:rsidR="00177848" w:rsidRPr="00C6052E">
        <w:t xml:space="preserve"> </w:t>
      </w:r>
      <w:r w:rsidRPr="00C6052E">
        <w:t>certain</w:t>
      </w:r>
      <w:r w:rsidR="00177848" w:rsidRPr="00C6052E">
        <w:t xml:space="preserve"> </w:t>
      </w:r>
      <w:r w:rsidRPr="00C6052E">
        <w:t>intangible</w:t>
      </w:r>
      <w:r w:rsidR="00177848" w:rsidRPr="00C6052E">
        <w:t xml:space="preserve"> </w:t>
      </w:r>
      <w:r w:rsidRPr="00C6052E">
        <w:t>assets.</w:t>
      </w:r>
      <w:r w:rsidR="00177848" w:rsidRPr="00C6052E">
        <w:t xml:space="preserve"> </w:t>
      </w:r>
      <w:r w:rsidRPr="00C6052E">
        <w:t>Intangible</w:t>
      </w:r>
      <w:r w:rsidR="00177848" w:rsidRPr="00C6052E">
        <w:t xml:space="preserve"> </w:t>
      </w:r>
      <w:r w:rsidRPr="00C6052E">
        <w:t>produced</w:t>
      </w:r>
      <w:r w:rsidR="00177848" w:rsidRPr="00C6052E">
        <w:t xml:space="preserve"> </w:t>
      </w:r>
      <w:r w:rsidRPr="00C6052E">
        <w:t>assets</w:t>
      </w:r>
      <w:r w:rsidR="00177848" w:rsidRPr="00C6052E">
        <w:t xml:space="preserve"> </w:t>
      </w:r>
      <w:r w:rsidRPr="00C6052E">
        <w:t>may</w:t>
      </w:r>
      <w:r w:rsidR="00177848" w:rsidRPr="00C6052E">
        <w:t xml:space="preserve"> </w:t>
      </w:r>
      <w:r w:rsidRPr="00C6052E">
        <w:t>include</w:t>
      </w:r>
      <w:r w:rsidR="00177848" w:rsidRPr="00C6052E">
        <w:t xml:space="preserve"> </w:t>
      </w:r>
      <w:r w:rsidRPr="00C6052E">
        <w:t>computer</w:t>
      </w:r>
      <w:r w:rsidR="00177848" w:rsidRPr="00C6052E">
        <w:t xml:space="preserve"> </w:t>
      </w:r>
      <w:r w:rsidRPr="00C6052E">
        <w:t>software,</w:t>
      </w:r>
      <w:r w:rsidR="00177848" w:rsidRPr="00C6052E">
        <w:t xml:space="preserve"> </w:t>
      </w:r>
      <w:r w:rsidRPr="00C6052E">
        <w:t>motion</w:t>
      </w:r>
      <w:r w:rsidR="00177848" w:rsidRPr="00C6052E">
        <w:t xml:space="preserve"> </w:t>
      </w:r>
      <w:r w:rsidRPr="00C6052E">
        <w:t>picture</w:t>
      </w:r>
      <w:r w:rsidR="00177848" w:rsidRPr="00C6052E">
        <w:t xml:space="preserve"> </w:t>
      </w:r>
      <w:r w:rsidRPr="00C6052E">
        <w:t>films,</w:t>
      </w:r>
      <w:r w:rsidR="00177848" w:rsidRPr="00C6052E">
        <w:t xml:space="preserve"> </w:t>
      </w:r>
      <w:r w:rsidRPr="00C6052E">
        <w:t>and</w:t>
      </w:r>
      <w:r w:rsidR="00177848" w:rsidRPr="00C6052E">
        <w:t xml:space="preserve"> </w:t>
      </w:r>
      <w:r w:rsidRPr="00C6052E">
        <w:rPr>
          <w:spacing w:val="-2"/>
        </w:rPr>
        <w:t>research</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development</w:t>
      </w:r>
      <w:r w:rsidR="00177848" w:rsidRPr="00C6052E">
        <w:rPr>
          <w:spacing w:val="-2"/>
        </w:rPr>
        <w:t xml:space="preserve"> </w:t>
      </w:r>
      <w:r w:rsidRPr="00C6052E">
        <w:rPr>
          <w:spacing w:val="-2"/>
        </w:rPr>
        <w:t>costs</w:t>
      </w:r>
      <w:r w:rsidR="00177848" w:rsidRPr="00C6052E">
        <w:rPr>
          <w:spacing w:val="-2"/>
        </w:rPr>
        <w:t xml:space="preserve"> </w:t>
      </w:r>
      <w:r w:rsidRPr="00C6052E">
        <w:rPr>
          <w:spacing w:val="-2"/>
        </w:rPr>
        <w:t>(which</w:t>
      </w:r>
      <w:r w:rsidR="00177848" w:rsidRPr="00C6052E">
        <w:rPr>
          <w:spacing w:val="-2"/>
        </w:rPr>
        <w:t xml:space="preserve"> </w:t>
      </w:r>
      <w:r w:rsidRPr="00C6052E">
        <w:rPr>
          <w:spacing w:val="-2"/>
        </w:rPr>
        <w:t>does</w:t>
      </w:r>
      <w:r w:rsidR="00177848" w:rsidRPr="00C6052E">
        <w:rPr>
          <w:spacing w:val="-2"/>
        </w:rPr>
        <w:t xml:space="preserve"> </w:t>
      </w:r>
      <w:r w:rsidRPr="00C6052E">
        <w:rPr>
          <w:spacing w:val="-2"/>
        </w:rPr>
        <w:t>not</w:t>
      </w:r>
      <w:r w:rsidR="00177848" w:rsidRPr="00C6052E">
        <w:rPr>
          <w:spacing w:val="-2"/>
        </w:rPr>
        <w:t xml:space="preserve"> </w:t>
      </w:r>
      <w:r w:rsidRPr="00C6052E">
        <w:rPr>
          <w:spacing w:val="-2"/>
        </w:rPr>
        <w:t>include</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start–up</w:t>
      </w:r>
      <w:r w:rsidR="00177848" w:rsidRPr="00C6052E">
        <w:rPr>
          <w:spacing w:val="-2"/>
        </w:rPr>
        <w:t xml:space="preserve"> </w:t>
      </w:r>
      <w:r w:rsidRPr="00C6052E">
        <w:rPr>
          <w:spacing w:val="-2"/>
        </w:rPr>
        <w:t>costs</w:t>
      </w:r>
      <w:r w:rsidR="00177848" w:rsidRPr="00C6052E">
        <w:rPr>
          <w:spacing w:val="-2"/>
        </w:rPr>
        <w:t xml:space="preserve"> </w:t>
      </w:r>
      <w:r w:rsidRPr="00C6052E">
        <w:rPr>
          <w:spacing w:val="-2"/>
        </w:rPr>
        <w:t>associated</w:t>
      </w:r>
      <w:r w:rsidR="00177848" w:rsidRPr="00C6052E">
        <w:rPr>
          <w:spacing w:val="-2"/>
        </w:rPr>
        <w:t xml:space="preserve"> </w:t>
      </w:r>
      <w:r w:rsidRPr="00C6052E">
        <w:rPr>
          <w:spacing w:val="-2"/>
        </w:rPr>
        <w:t>with</w:t>
      </w:r>
      <w:r w:rsidR="00177848" w:rsidRPr="00C6052E">
        <w:rPr>
          <w:spacing w:val="-2"/>
        </w:rPr>
        <w:t xml:space="preserve"> </w:t>
      </w:r>
      <w:r w:rsidRPr="00C6052E">
        <w:rPr>
          <w:spacing w:val="-2"/>
        </w:rPr>
        <w:t>capital</w:t>
      </w:r>
      <w:r w:rsidR="00177848" w:rsidRPr="00C6052E">
        <w:rPr>
          <w:spacing w:val="-2"/>
        </w:rPr>
        <w:t xml:space="preserve"> </w:t>
      </w:r>
      <w:r w:rsidRPr="00C6052E">
        <w:rPr>
          <w:spacing w:val="-2"/>
        </w:rPr>
        <w:t>projects).</w:t>
      </w:r>
    </w:p>
    <w:p w14:paraId="7D01C04E" w14:textId="7AADE265" w:rsidR="00EE5BB8" w:rsidRPr="006F1C8C" w:rsidRDefault="00EE5BB8" w:rsidP="006F1C8C">
      <w:pPr>
        <w:pStyle w:val="Normalbeforebullets"/>
        <w:rPr>
          <w:b/>
          <w:bCs/>
        </w:rPr>
      </w:pPr>
      <w:r w:rsidRPr="006F1C8C">
        <w:rPr>
          <w:b/>
          <w:bCs/>
        </w:rPr>
        <w:lastRenderedPageBreak/>
        <w:t>Sales</w:t>
      </w:r>
      <w:r w:rsidR="00177848" w:rsidRPr="006F1C8C">
        <w:rPr>
          <w:b/>
          <w:bCs/>
        </w:rPr>
        <w:t xml:space="preserve"> </w:t>
      </w:r>
      <w:r w:rsidRPr="006F1C8C">
        <w:rPr>
          <w:b/>
          <w:bCs/>
        </w:rPr>
        <w:t>of</w:t>
      </w:r>
      <w:r w:rsidR="00177848" w:rsidRPr="006F1C8C">
        <w:rPr>
          <w:b/>
          <w:bCs/>
        </w:rPr>
        <w:t xml:space="preserve"> </w:t>
      </w:r>
      <w:r w:rsidRPr="006F1C8C">
        <w:rPr>
          <w:b/>
          <w:bCs/>
        </w:rPr>
        <w:t>goods</w:t>
      </w:r>
      <w:r w:rsidR="00177848" w:rsidRPr="006F1C8C">
        <w:rPr>
          <w:b/>
          <w:bCs/>
        </w:rPr>
        <w:t xml:space="preserve"> </w:t>
      </w:r>
      <w:r w:rsidRPr="006F1C8C">
        <w:rPr>
          <w:b/>
          <w:bCs/>
        </w:rPr>
        <w:t>and</w:t>
      </w:r>
      <w:r w:rsidR="00177848" w:rsidRPr="006F1C8C">
        <w:rPr>
          <w:b/>
          <w:bCs/>
        </w:rPr>
        <w:t xml:space="preserve"> </w:t>
      </w:r>
      <w:r w:rsidRPr="006F1C8C">
        <w:rPr>
          <w:b/>
          <w:bCs/>
        </w:rPr>
        <w:t>services</w:t>
      </w:r>
    </w:p>
    <w:p w14:paraId="473B62AD" w14:textId="34BADE59" w:rsidR="00EE5BB8" w:rsidRPr="00C6052E" w:rsidRDefault="00EE5BB8" w:rsidP="00EE5BB8">
      <w:r w:rsidRPr="00C6052E">
        <w:t>Refers</w:t>
      </w:r>
      <w:r w:rsidR="00177848" w:rsidRPr="00C6052E">
        <w:t xml:space="preserve"> </w:t>
      </w:r>
      <w:r w:rsidRPr="00C6052E">
        <w:t>to</w:t>
      </w:r>
      <w:r w:rsidR="00177848" w:rsidRPr="00C6052E">
        <w:t xml:space="preserve"> </w:t>
      </w:r>
      <w:r w:rsidRPr="00C6052E">
        <w:t>income</w:t>
      </w:r>
      <w:r w:rsidR="00177848" w:rsidRPr="00C6052E">
        <w:t xml:space="preserve"> </w:t>
      </w:r>
      <w:r w:rsidRPr="00C6052E">
        <w:t>from</w:t>
      </w:r>
      <w:r w:rsidR="00177848" w:rsidRPr="00C6052E">
        <w:t xml:space="preserve"> </w:t>
      </w:r>
      <w:r w:rsidRPr="00C6052E">
        <w:t>the</w:t>
      </w:r>
      <w:r w:rsidR="00177848" w:rsidRPr="00C6052E">
        <w:t xml:space="preserve"> </w:t>
      </w:r>
      <w:r w:rsidRPr="00C6052E">
        <w:t>direct</w:t>
      </w:r>
      <w:r w:rsidR="00177848" w:rsidRPr="00C6052E">
        <w:t xml:space="preserve"> </w:t>
      </w:r>
      <w:r w:rsidRPr="00C6052E">
        <w:t>provision</w:t>
      </w:r>
      <w:r w:rsidR="00177848" w:rsidRPr="00C6052E">
        <w:t xml:space="preserve"> </w:t>
      </w:r>
      <w:r w:rsidRPr="00C6052E">
        <w:t>of</w:t>
      </w:r>
      <w:r w:rsidR="00177848" w:rsidRPr="00C6052E">
        <w:t xml:space="preserve"> </w:t>
      </w:r>
      <w:r w:rsidRPr="00C6052E">
        <w:t>goods</w:t>
      </w:r>
      <w:r w:rsidR="00177848" w:rsidRPr="00C6052E">
        <w:t xml:space="preserve"> </w:t>
      </w:r>
      <w:r w:rsidRPr="00C6052E">
        <w:t>and</w:t>
      </w:r>
      <w:r w:rsidR="00177848" w:rsidRPr="00C6052E">
        <w:t xml:space="preserve"> </w:t>
      </w:r>
      <w:r w:rsidRPr="00C6052E">
        <w:t>services</w:t>
      </w:r>
      <w:r w:rsidR="00177848" w:rsidRPr="00C6052E">
        <w:t xml:space="preserve"> </w:t>
      </w:r>
      <w:r w:rsidRPr="00C6052E">
        <w:t>and</w:t>
      </w:r>
      <w:r w:rsidR="00177848" w:rsidRPr="00C6052E">
        <w:t xml:space="preserve"> </w:t>
      </w:r>
      <w:r w:rsidRPr="00C6052E">
        <w:t>includes</w:t>
      </w:r>
      <w:r w:rsidR="00177848" w:rsidRPr="00C6052E">
        <w:t xml:space="preserve"> </w:t>
      </w:r>
      <w:r w:rsidRPr="00C6052E">
        <w:t>fees</w:t>
      </w:r>
      <w:r w:rsidR="00177848" w:rsidRPr="00C6052E">
        <w:t xml:space="preserve"> </w:t>
      </w:r>
      <w:r w:rsidRPr="00C6052E">
        <w:t>and</w:t>
      </w:r>
      <w:r w:rsidR="00177848" w:rsidRPr="00C6052E">
        <w:t xml:space="preserve"> </w:t>
      </w:r>
      <w:r w:rsidRPr="00C6052E">
        <w:t>charges</w:t>
      </w:r>
      <w:r w:rsidR="00177848" w:rsidRPr="00C6052E">
        <w:t xml:space="preserve"> </w:t>
      </w:r>
      <w:r w:rsidRPr="00C6052E">
        <w:t>for</w:t>
      </w:r>
      <w:r w:rsidR="00177848" w:rsidRPr="00C6052E">
        <w:t xml:space="preserve"> </w:t>
      </w:r>
      <w:r w:rsidRPr="00C6052E">
        <w:t>services</w:t>
      </w:r>
      <w:r w:rsidR="00177848" w:rsidRPr="00C6052E">
        <w:t xml:space="preserve"> </w:t>
      </w:r>
      <w:r w:rsidRPr="00C6052E">
        <w:t>rendered,</w:t>
      </w:r>
      <w:r w:rsidR="00177848" w:rsidRPr="00C6052E">
        <w:t xml:space="preserve"> </w:t>
      </w:r>
      <w:r w:rsidRPr="00C6052E">
        <w:t>sales</w:t>
      </w:r>
      <w:r w:rsidR="00177848" w:rsidRPr="00C6052E">
        <w:t xml:space="preserve"> </w:t>
      </w:r>
      <w:r w:rsidRPr="00C6052E">
        <w:t>of</w:t>
      </w:r>
      <w:r w:rsidR="00177848" w:rsidRPr="00C6052E">
        <w:t xml:space="preserve"> </w:t>
      </w:r>
      <w:r w:rsidRPr="00C6052E">
        <w:t>goods</w:t>
      </w:r>
      <w:r w:rsidR="00177848" w:rsidRPr="00C6052E">
        <w:t xml:space="preserve"> </w:t>
      </w:r>
      <w:r w:rsidRPr="00C6052E">
        <w:t>and</w:t>
      </w:r>
      <w:r w:rsidR="00177848" w:rsidRPr="00C6052E">
        <w:t xml:space="preserve"> </w:t>
      </w:r>
      <w:r w:rsidRPr="00C6052E">
        <w:t>services,</w:t>
      </w:r>
      <w:r w:rsidR="00177848" w:rsidRPr="00C6052E">
        <w:t xml:space="preserve"> </w:t>
      </w:r>
      <w:r w:rsidRPr="00C6052E">
        <w:t>fees</w:t>
      </w:r>
      <w:r w:rsidR="00177848" w:rsidRPr="00C6052E">
        <w:t xml:space="preserve"> </w:t>
      </w:r>
      <w:r w:rsidRPr="00C6052E">
        <w:t>from</w:t>
      </w:r>
      <w:r w:rsidR="00177848" w:rsidRPr="00C6052E">
        <w:t xml:space="preserve"> </w:t>
      </w:r>
      <w:r w:rsidRPr="00C6052E">
        <w:t>regulatory</w:t>
      </w:r>
      <w:r w:rsidR="00177848" w:rsidRPr="00C6052E">
        <w:t xml:space="preserve"> </w:t>
      </w:r>
      <w:r w:rsidRPr="00C6052E">
        <w:t>services,</w:t>
      </w:r>
      <w:r w:rsidR="00177848" w:rsidRPr="00C6052E">
        <w:t xml:space="preserve"> </w:t>
      </w:r>
      <w:r w:rsidRPr="00C6052E">
        <w:t>work</w:t>
      </w:r>
      <w:r w:rsidR="00177848" w:rsidRPr="00C6052E">
        <w:t xml:space="preserve"> </w:t>
      </w:r>
      <w:r w:rsidRPr="00C6052E">
        <w:t>done</w:t>
      </w:r>
      <w:r w:rsidR="00177848" w:rsidRPr="00C6052E">
        <w:t xml:space="preserve"> </w:t>
      </w:r>
      <w:r w:rsidRPr="00C6052E">
        <w:t>as</w:t>
      </w:r>
      <w:r w:rsidR="00177848" w:rsidRPr="00C6052E">
        <w:t xml:space="preserve"> </w:t>
      </w:r>
      <w:r w:rsidRPr="00C6052E">
        <w:t>an</w:t>
      </w:r>
      <w:r w:rsidR="00177848" w:rsidRPr="00C6052E">
        <w:t xml:space="preserve"> </w:t>
      </w:r>
      <w:r w:rsidRPr="00C6052E">
        <w:t>agent</w:t>
      </w:r>
      <w:r w:rsidR="00177848" w:rsidRPr="00C6052E">
        <w:t xml:space="preserve"> </w:t>
      </w:r>
      <w:r w:rsidRPr="00C6052E">
        <w:t>for</w:t>
      </w:r>
      <w:r w:rsidR="00177848" w:rsidRPr="00C6052E">
        <w:t xml:space="preserve"> </w:t>
      </w:r>
      <w:r w:rsidRPr="00C6052E">
        <w:t>private</w:t>
      </w:r>
      <w:r w:rsidR="00177848" w:rsidRPr="00C6052E">
        <w:t xml:space="preserve"> </w:t>
      </w:r>
      <w:r w:rsidRPr="00C6052E">
        <w:t>enterprises.</w:t>
      </w:r>
      <w:r w:rsidR="00177848" w:rsidRPr="00C6052E">
        <w:t xml:space="preserve"> </w:t>
      </w:r>
      <w:r w:rsidRPr="00C6052E">
        <w:t>It</w:t>
      </w:r>
      <w:r w:rsidR="00177848" w:rsidRPr="00C6052E">
        <w:t xml:space="preserve"> </w:t>
      </w:r>
      <w:r w:rsidRPr="00C6052E">
        <w:t>also</w:t>
      </w:r>
      <w:r w:rsidR="00177848" w:rsidRPr="00C6052E">
        <w:t xml:space="preserve"> </w:t>
      </w:r>
      <w:r w:rsidRPr="00C6052E">
        <w:t>includes</w:t>
      </w:r>
      <w:r w:rsidR="00177848" w:rsidRPr="00C6052E">
        <w:t xml:space="preserve"> </w:t>
      </w:r>
      <w:r w:rsidRPr="00C6052E">
        <w:t>rental</w:t>
      </w:r>
      <w:r w:rsidR="00177848" w:rsidRPr="00C6052E">
        <w:t xml:space="preserve"> </w:t>
      </w:r>
      <w:r w:rsidRPr="00C6052E">
        <w:t>income</w:t>
      </w:r>
      <w:r w:rsidR="00177848" w:rsidRPr="00C6052E">
        <w:t xml:space="preserve"> </w:t>
      </w:r>
      <w:r w:rsidRPr="00C6052E">
        <w:t>under</w:t>
      </w:r>
      <w:r w:rsidR="00177848" w:rsidRPr="00C6052E">
        <w:t xml:space="preserve"> </w:t>
      </w:r>
      <w:r w:rsidRPr="00C6052E">
        <w:t>operating</w:t>
      </w:r>
      <w:r w:rsidR="00177848" w:rsidRPr="00C6052E">
        <w:t xml:space="preserve"> </w:t>
      </w:r>
      <w:r w:rsidRPr="00C6052E">
        <w:t>leases</w:t>
      </w:r>
      <w:r w:rsidR="00177848" w:rsidRPr="00C6052E">
        <w:t xml:space="preserve"> </w:t>
      </w:r>
      <w:r w:rsidRPr="00C6052E">
        <w:t>and</w:t>
      </w:r>
      <w:r w:rsidR="00177848" w:rsidRPr="00C6052E">
        <w:t xml:space="preserve"> </w:t>
      </w:r>
      <w:r w:rsidRPr="00C6052E">
        <w:t>on</w:t>
      </w:r>
      <w:r w:rsidR="00177848" w:rsidRPr="00C6052E">
        <w:t xml:space="preserve"> </w:t>
      </w:r>
      <w:r w:rsidRPr="00C6052E">
        <w:t>produced</w:t>
      </w:r>
      <w:r w:rsidR="00177848" w:rsidRPr="00C6052E">
        <w:t xml:space="preserve"> </w:t>
      </w:r>
      <w:r w:rsidRPr="00C6052E">
        <w:t>assets</w:t>
      </w:r>
      <w:r w:rsidR="00177848" w:rsidRPr="00C6052E">
        <w:t xml:space="preserve"> </w:t>
      </w:r>
      <w:r w:rsidRPr="00C6052E">
        <w:t>such</w:t>
      </w:r>
      <w:r w:rsidR="00177848" w:rsidRPr="00C6052E">
        <w:t xml:space="preserve"> </w:t>
      </w:r>
      <w:r w:rsidRPr="00C6052E">
        <w:t>as</w:t>
      </w:r>
      <w:r w:rsidR="00177848" w:rsidRPr="00C6052E">
        <w:t xml:space="preserve"> </w:t>
      </w:r>
      <w:r w:rsidRPr="00C6052E">
        <w:t>buildings</w:t>
      </w:r>
      <w:r w:rsidR="00177848" w:rsidRPr="00C6052E">
        <w:t xml:space="preserve"> </w:t>
      </w:r>
      <w:r w:rsidRPr="00C6052E">
        <w:t>and</w:t>
      </w:r>
      <w:r w:rsidR="00177848" w:rsidRPr="00C6052E">
        <w:t xml:space="preserve"> </w:t>
      </w:r>
      <w:r w:rsidRPr="00C6052E">
        <w:t>entertainment</w:t>
      </w:r>
      <w:r w:rsidR="00177848" w:rsidRPr="00C6052E">
        <w:t xml:space="preserve"> </w:t>
      </w:r>
      <w:r w:rsidRPr="00C6052E">
        <w:t>but</w:t>
      </w:r>
      <w:r w:rsidR="00177848" w:rsidRPr="00C6052E">
        <w:t xml:space="preserve"> </w:t>
      </w:r>
      <w:r w:rsidRPr="00C6052E">
        <w:t>excludes</w:t>
      </w:r>
      <w:r w:rsidR="00177848" w:rsidRPr="00C6052E">
        <w:t xml:space="preserve"> </w:t>
      </w:r>
      <w:r w:rsidRPr="00C6052E">
        <w:t>rent</w:t>
      </w:r>
      <w:r w:rsidR="00177848" w:rsidRPr="00C6052E">
        <w:t xml:space="preserve"> </w:t>
      </w:r>
      <w:r w:rsidRPr="00C6052E">
        <w:t>income</w:t>
      </w:r>
      <w:r w:rsidR="00177848" w:rsidRPr="00C6052E">
        <w:t xml:space="preserve"> </w:t>
      </w:r>
      <w:r w:rsidRPr="00C6052E">
        <w:t>from</w:t>
      </w:r>
      <w:r w:rsidR="00177848" w:rsidRPr="00C6052E">
        <w:t xml:space="preserve"> </w:t>
      </w:r>
      <w:r w:rsidRPr="00C6052E">
        <w:t>the</w:t>
      </w:r>
      <w:r w:rsidR="00177848" w:rsidRPr="00C6052E">
        <w:t xml:space="preserve"> </w:t>
      </w:r>
      <w:r w:rsidRPr="00C6052E">
        <w:t>use</w:t>
      </w:r>
      <w:r w:rsidR="00177848" w:rsidRPr="00C6052E">
        <w:t xml:space="preserve"> </w:t>
      </w:r>
      <w:r w:rsidRPr="00C6052E">
        <w:t>of</w:t>
      </w:r>
      <w:r w:rsidR="00177848" w:rsidRPr="00C6052E">
        <w:t xml:space="preserve"> </w:t>
      </w:r>
      <w:r w:rsidRPr="00C6052E">
        <w:t>non–produced</w:t>
      </w:r>
      <w:r w:rsidR="00177848" w:rsidRPr="00C6052E">
        <w:t xml:space="preserve"> </w:t>
      </w:r>
      <w:r w:rsidRPr="00C6052E">
        <w:t>assets</w:t>
      </w:r>
      <w:r w:rsidR="00177848" w:rsidRPr="00C6052E">
        <w:t xml:space="preserve"> </w:t>
      </w:r>
      <w:r w:rsidRPr="00C6052E">
        <w:t>such</w:t>
      </w:r>
      <w:r w:rsidR="00177848" w:rsidRPr="00C6052E">
        <w:t xml:space="preserve"> </w:t>
      </w:r>
      <w:r w:rsidRPr="00C6052E">
        <w:t>as</w:t>
      </w:r>
      <w:r w:rsidR="00177848" w:rsidRPr="00C6052E">
        <w:t xml:space="preserve"> </w:t>
      </w:r>
      <w:r w:rsidRPr="00C6052E">
        <w:t>land.</w:t>
      </w:r>
      <w:r w:rsidR="00177848" w:rsidRPr="00C6052E">
        <w:t xml:space="preserve"> </w:t>
      </w:r>
      <w:r w:rsidRPr="00C6052E">
        <w:t>User</w:t>
      </w:r>
      <w:r w:rsidR="00177848" w:rsidRPr="00C6052E">
        <w:t xml:space="preserve"> </w:t>
      </w:r>
      <w:r w:rsidRPr="00C6052E">
        <w:t>charges</w:t>
      </w:r>
      <w:r w:rsidR="00177848" w:rsidRPr="00C6052E">
        <w:t xml:space="preserve"> </w:t>
      </w:r>
      <w:r w:rsidRPr="00C6052E">
        <w:t>include</w:t>
      </w:r>
      <w:r w:rsidR="00177848" w:rsidRPr="00C6052E">
        <w:t xml:space="preserve"> </w:t>
      </w:r>
      <w:r w:rsidRPr="00C6052E">
        <w:t>sale</w:t>
      </w:r>
      <w:r w:rsidR="00177848" w:rsidRPr="00C6052E">
        <w:t xml:space="preserve"> </w:t>
      </w:r>
      <w:r w:rsidRPr="00C6052E">
        <w:t>of</w:t>
      </w:r>
      <w:r w:rsidR="00177848" w:rsidRPr="00C6052E">
        <w:t xml:space="preserve"> </w:t>
      </w:r>
      <w:r w:rsidRPr="00C6052E">
        <w:t>goods</w:t>
      </w:r>
      <w:r w:rsidR="00177848" w:rsidRPr="00C6052E">
        <w:t xml:space="preserve"> </w:t>
      </w:r>
      <w:r w:rsidRPr="00C6052E">
        <w:t>and</w:t>
      </w:r>
      <w:r w:rsidR="00177848" w:rsidRPr="00C6052E">
        <w:t xml:space="preserve"> </w:t>
      </w:r>
      <w:r w:rsidRPr="00C6052E">
        <w:t>services</w:t>
      </w:r>
      <w:r w:rsidR="00177848" w:rsidRPr="00C6052E">
        <w:t xml:space="preserve"> </w:t>
      </w:r>
      <w:r w:rsidRPr="00C6052E">
        <w:t>income.</w:t>
      </w:r>
    </w:p>
    <w:p w14:paraId="4C4567E1" w14:textId="4898FEC6" w:rsidR="00EE5BB8" w:rsidRPr="006F1C8C" w:rsidRDefault="00EE5BB8" w:rsidP="006F1C8C">
      <w:pPr>
        <w:pStyle w:val="Normalbeforebullets"/>
        <w:rPr>
          <w:b/>
          <w:bCs/>
        </w:rPr>
      </w:pPr>
      <w:r w:rsidRPr="006F1C8C">
        <w:rPr>
          <w:b/>
          <w:bCs/>
        </w:rPr>
        <w:t>Supplies</w:t>
      </w:r>
      <w:r w:rsidR="00177848" w:rsidRPr="006F1C8C">
        <w:rPr>
          <w:b/>
          <w:bCs/>
        </w:rPr>
        <w:t xml:space="preserve"> </w:t>
      </w:r>
      <w:r w:rsidRPr="006F1C8C">
        <w:rPr>
          <w:b/>
          <w:bCs/>
        </w:rPr>
        <w:t>and</w:t>
      </w:r>
      <w:r w:rsidR="00177848" w:rsidRPr="006F1C8C">
        <w:rPr>
          <w:b/>
          <w:bCs/>
        </w:rPr>
        <w:t xml:space="preserve"> </w:t>
      </w:r>
      <w:r w:rsidRPr="006F1C8C">
        <w:rPr>
          <w:b/>
          <w:bCs/>
        </w:rPr>
        <w:t>services</w:t>
      </w:r>
    </w:p>
    <w:p w14:paraId="1DAF0532" w14:textId="3EED8E0D" w:rsidR="00EE5BB8" w:rsidRPr="00C6052E" w:rsidRDefault="00EE5BB8" w:rsidP="00EE5BB8">
      <w:r w:rsidRPr="00C6052E">
        <w:t>Supplies</w:t>
      </w:r>
      <w:r w:rsidR="00177848" w:rsidRPr="00C6052E">
        <w:t xml:space="preserve"> </w:t>
      </w:r>
      <w:r w:rsidRPr="00C6052E">
        <w:t>and</w:t>
      </w:r>
      <w:r w:rsidR="00177848" w:rsidRPr="00C6052E">
        <w:t xml:space="preserve"> </w:t>
      </w:r>
      <w:r w:rsidRPr="00C6052E">
        <w:t>services</w:t>
      </w:r>
      <w:r w:rsidR="00177848" w:rsidRPr="00C6052E">
        <w:t xml:space="preserve"> </w:t>
      </w:r>
      <w:r w:rsidRPr="00C6052E">
        <w:t>generally</w:t>
      </w:r>
      <w:r w:rsidR="00177848" w:rsidRPr="00C6052E">
        <w:t xml:space="preserve"> </w:t>
      </w:r>
      <w:r w:rsidRPr="00C6052E">
        <w:t>represent</w:t>
      </w:r>
      <w:r w:rsidR="00177848" w:rsidRPr="00C6052E">
        <w:t xml:space="preserve"> </w:t>
      </w:r>
      <w:r w:rsidRPr="00C6052E">
        <w:t>cost</w:t>
      </w:r>
      <w:r w:rsidR="00177848" w:rsidRPr="00C6052E">
        <w:t xml:space="preserve"> </w:t>
      </w:r>
      <w:r w:rsidRPr="00C6052E">
        <w:t>of</w:t>
      </w:r>
      <w:r w:rsidR="00177848" w:rsidRPr="00C6052E">
        <w:t xml:space="preserve"> </w:t>
      </w:r>
      <w:r w:rsidRPr="00C6052E">
        <w:t>goods</w:t>
      </w:r>
      <w:r w:rsidR="00177848" w:rsidRPr="00C6052E">
        <w:t xml:space="preserve"> </w:t>
      </w:r>
      <w:r w:rsidRPr="00C6052E">
        <w:t>sold</w:t>
      </w:r>
      <w:r w:rsidR="00177848" w:rsidRPr="00C6052E">
        <w:t xml:space="preserve"> </w:t>
      </w:r>
      <w:r w:rsidRPr="00C6052E">
        <w:t>and</w:t>
      </w:r>
      <w:r w:rsidR="00177848" w:rsidRPr="00C6052E">
        <w:t xml:space="preserve"> </w:t>
      </w:r>
      <w:r w:rsidRPr="00C6052E">
        <w:t>the</w:t>
      </w:r>
      <w:r w:rsidR="00177848" w:rsidRPr="00C6052E">
        <w:t xml:space="preserve"> </w:t>
      </w:r>
      <w:r w:rsidRPr="00C6052E">
        <w:t>day–to–day</w:t>
      </w:r>
      <w:r w:rsidR="00177848" w:rsidRPr="00C6052E">
        <w:t xml:space="preserve"> </w:t>
      </w:r>
      <w:r w:rsidRPr="00C6052E">
        <w:t>running</w:t>
      </w:r>
      <w:r w:rsidR="00177848" w:rsidRPr="00C6052E">
        <w:t xml:space="preserve"> </w:t>
      </w:r>
      <w:r w:rsidRPr="00C6052E">
        <w:t>costs,</w:t>
      </w:r>
      <w:r w:rsidR="00177848" w:rsidRPr="00C6052E">
        <w:t xml:space="preserve"> </w:t>
      </w:r>
      <w:r w:rsidRPr="00C6052E">
        <w:t>including</w:t>
      </w:r>
      <w:r w:rsidR="00177848" w:rsidRPr="00C6052E">
        <w:t xml:space="preserve"> </w:t>
      </w:r>
      <w:r w:rsidRPr="00C6052E">
        <w:t>maintenance</w:t>
      </w:r>
      <w:r w:rsidR="00177848" w:rsidRPr="00C6052E">
        <w:t xml:space="preserve"> </w:t>
      </w:r>
      <w:r w:rsidRPr="00C6052E">
        <w:t>costs</w:t>
      </w:r>
      <w:r w:rsidR="00177848" w:rsidRPr="00C6052E">
        <w:t xml:space="preserve"> </w:t>
      </w:r>
      <w:r w:rsidRPr="00C6052E">
        <w:t>incurred</w:t>
      </w:r>
      <w:r w:rsidR="00177848" w:rsidRPr="00C6052E">
        <w:t xml:space="preserve"> </w:t>
      </w:r>
      <w:r w:rsidRPr="00C6052E">
        <w:t>in</w:t>
      </w:r>
      <w:r w:rsidR="00177848" w:rsidRPr="00C6052E">
        <w:t xml:space="preserve"> </w:t>
      </w:r>
      <w:r w:rsidRPr="00C6052E">
        <w:t>the</w:t>
      </w:r>
      <w:r w:rsidR="00177848" w:rsidRPr="00C6052E">
        <w:t xml:space="preserve"> </w:t>
      </w:r>
      <w:r w:rsidRPr="00C6052E">
        <w:t>normal</w:t>
      </w:r>
      <w:r w:rsidR="00177848" w:rsidRPr="00C6052E">
        <w:t xml:space="preserve"> </w:t>
      </w:r>
      <w:r w:rsidRPr="00C6052E">
        <w:t>operations</w:t>
      </w:r>
      <w:r w:rsidR="00177848" w:rsidRPr="00C6052E">
        <w:t xml:space="preserve"> </w:t>
      </w:r>
      <w:r w:rsidRPr="00C6052E">
        <w:t>of</w:t>
      </w:r>
      <w:r w:rsidR="00177848" w:rsidRPr="00C6052E">
        <w:t xml:space="preserve"> </w:t>
      </w:r>
      <w:r w:rsidRPr="00C6052E">
        <w:t>DJSIR.</w:t>
      </w:r>
      <w:r w:rsidR="00177848" w:rsidRPr="00C6052E">
        <w:t xml:space="preserve"> </w:t>
      </w:r>
    </w:p>
    <w:p w14:paraId="5E671C90" w14:textId="77777777" w:rsidR="00EE5BB8" w:rsidRPr="006F1C8C" w:rsidRDefault="00EE5BB8" w:rsidP="006F1C8C">
      <w:pPr>
        <w:pStyle w:val="Normalbeforebullets"/>
        <w:rPr>
          <w:b/>
          <w:bCs/>
        </w:rPr>
      </w:pPr>
      <w:r w:rsidRPr="006F1C8C">
        <w:rPr>
          <w:b/>
          <w:bCs/>
        </w:rPr>
        <w:t>Transactions</w:t>
      </w:r>
    </w:p>
    <w:p w14:paraId="34BFB281" w14:textId="50BC7309" w:rsidR="00EE5BB8" w:rsidRPr="00C6052E" w:rsidRDefault="00EE5BB8" w:rsidP="00EE5BB8">
      <w:r w:rsidRPr="00C6052E">
        <w:t>Transactions</w:t>
      </w:r>
      <w:r w:rsidR="00177848" w:rsidRPr="00C6052E">
        <w:t xml:space="preserve"> </w:t>
      </w:r>
      <w:r w:rsidRPr="00C6052E">
        <w:t>are</w:t>
      </w:r>
      <w:r w:rsidR="00177848" w:rsidRPr="00C6052E">
        <w:t xml:space="preserve"> </w:t>
      </w:r>
      <w:r w:rsidRPr="00C6052E">
        <w:t>those</w:t>
      </w:r>
      <w:r w:rsidR="00177848" w:rsidRPr="00C6052E">
        <w:t xml:space="preserve"> </w:t>
      </w:r>
      <w:r w:rsidRPr="00C6052E">
        <w:t>economic</w:t>
      </w:r>
      <w:r w:rsidR="00177848" w:rsidRPr="00C6052E">
        <w:t xml:space="preserve"> </w:t>
      </w:r>
      <w:r w:rsidRPr="00C6052E">
        <w:t>flows</w:t>
      </w:r>
      <w:r w:rsidR="00177848" w:rsidRPr="00C6052E">
        <w:t xml:space="preserve"> </w:t>
      </w:r>
      <w:r w:rsidRPr="00C6052E">
        <w:t>that</w:t>
      </w:r>
      <w:r w:rsidR="00177848" w:rsidRPr="00C6052E">
        <w:t xml:space="preserve"> </w:t>
      </w:r>
      <w:r w:rsidRPr="00C6052E">
        <w:t>are</w:t>
      </w:r>
      <w:r w:rsidR="00177848" w:rsidRPr="00C6052E">
        <w:t xml:space="preserve"> </w:t>
      </w:r>
      <w:r w:rsidRPr="00C6052E">
        <w:t>considered</w:t>
      </w:r>
      <w:r w:rsidR="00177848" w:rsidRPr="00C6052E">
        <w:t xml:space="preserve"> </w:t>
      </w:r>
      <w:r w:rsidRPr="00C6052E">
        <w:t>to</w:t>
      </w:r>
      <w:r w:rsidR="00177848" w:rsidRPr="00C6052E">
        <w:t xml:space="preserve"> </w:t>
      </w:r>
      <w:r w:rsidRPr="00C6052E">
        <w:t>arise</w:t>
      </w:r>
      <w:r w:rsidR="00177848" w:rsidRPr="00C6052E">
        <w:t xml:space="preserve"> </w:t>
      </w:r>
      <w:r w:rsidRPr="00C6052E">
        <w:t>as</w:t>
      </w:r>
      <w:r w:rsidR="00177848" w:rsidRPr="00C6052E">
        <w:t xml:space="preserve"> </w:t>
      </w:r>
      <w:r w:rsidRPr="00C6052E">
        <w:t>a</w:t>
      </w:r>
      <w:r w:rsidR="00177848" w:rsidRPr="00C6052E">
        <w:t xml:space="preserve"> </w:t>
      </w:r>
      <w:r w:rsidRPr="00C6052E">
        <w:t>result</w:t>
      </w:r>
      <w:r w:rsidR="00177848" w:rsidRPr="00C6052E">
        <w:t xml:space="preserve"> </w:t>
      </w:r>
      <w:r w:rsidRPr="00C6052E">
        <w:t>of</w:t>
      </w:r>
      <w:r w:rsidR="00177848" w:rsidRPr="00C6052E">
        <w:t xml:space="preserve"> </w:t>
      </w:r>
      <w:r w:rsidRPr="00C6052E">
        <w:t>policy</w:t>
      </w:r>
      <w:r w:rsidR="00177848" w:rsidRPr="00C6052E">
        <w:t xml:space="preserve"> </w:t>
      </w:r>
      <w:r w:rsidRPr="00C6052E">
        <w:t>decisions,</w:t>
      </w:r>
      <w:r w:rsidR="00177848" w:rsidRPr="00C6052E">
        <w:t xml:space="preserve"> </w:t>
      </w:r>
      <w:r w:rsidRPr="00C6052E">
        <w:t>usually</w:t>
      </w:r>
      <w:r w:rsidR="00177848" w:rsidRPr="00C6052E">
        <w:t xml:space="preserve"> </w:t>
      </w:r>
      <w:r w:rsidRPr="00C6052E">
        <w:t>an</w:t>
      </w:r>
      <w:r w:rsidR="00177848" w:rsidRPr="00C6052E">
        <w:t xml:space="preserve"> </w:t>
      </w:r>
      <w:r w:rsidRPr="00C6052E">
        <w:t>interaction</w:t>
      </w:r>
      <w:r w:rsidR="00177848" w:rsidRPr="00C6052E">
        <w:t xml:space="preserve"> </w:t>
      </w:r>
      <w:r w:rsidRPr="00C6052E">
        <w:t>between</w:t>
      </w:r>
      <w:r w:rsidR="00177848" w:rsidRPr="00C6052E">
        <w:t xml:space="preserve"> </w:t>
      </w:r>
      <w:r w:rsidRPr="00C6052E">
        <w:t>two</w:t>
      </w:r>
      <w:r w:rsidR="00177848" w:rsidRPr="00C6052E">
        <w:t xml:space="preserve"> </w:t>
      </w:r>
      <w:r w:rsidRPr="00C6052E">
        <w:t>entities</w:t>
      </w:r>
      <w:r w:rsidR="00177848" w:rsidRPr="00C6052E">
        <w:t xml:space="preserve"> </w:t>
      </w:r>
      <w:r w:rsidRPr="00C6052E">
        <w:t>by</w:t>
      </w:r>
      <w:r w:rsidR="00177848" w:rsidRPr="00C6052E">
        <w:t xml:space="preserve"> </w:t>
      </w:r>
      <w:r w:rsidRPr="00C6052E">
        <w:t>mutual</w:t>
      </w:r>
      <w:r w:rsidR="00177848" w:rsidRPr="00C6052E">
        <w:t xml:space="preserve"> </w:t>
      </w:r>
      <w:r w:rsidRPr="00C6052E">
        <w:t>agreement.</w:t>
      </w:r>
      <w:r w:rsidR="00177848" w:rsidRPr="00C6052E">
        <w:t xml:space="preserve"> </w:t>
      </w:r>
      <w:r w:rsidRPr="00C6052E">
        <w:t>They</w:t>
      </w:r>
      <w:r w:rsidR="00177848" w:rsidRPr="00C6052E">
        <w:t xml:space="preserve"> </w:t>
      </w:r>
      <w:r w:rsidRPr="00C6052E">
        <w:t>also</w:t>
      </w:r>
      <w:r w:rsidR="00177848" w:rsidRPr="00C6052E">
        <w:t xml:space="preserve"> </w:t>
      </w:r>
      <w:r w:rsidRPr="00C6052E">
        <w:t>include</w:t>
      </w:r>
      <w:r w:rsidR="00177848" w:rsidRPr="00C6052E">
        <w:t xml:space="preserve"> </w:t>
      </w:r>
      <w:r w:rsidRPr="00C6052E">
        <w:t>flows</w:t>
      </w:r>
      <w:r w:rsidR="00177848" w:rsidRPr="00C6052E">
        <w:t xml:space="preserve"> </w:t>
      </w:r>
      <w:r w:rsidRPr="00C6052E">
        <w:t>within</w:t>
      </w:r>
      <w:r w:rsidR="00177848" w:rsidRPr="00C6052E">
        <w:t xml:space="preserve"> </w:t>
      </w:r>
      <w:r w:rsidRPr="00C6052E">
        <w:t>an</w:t>
      </w:r>
      <w:r w:rsidR="00177848" w:rsidRPr="00C6052E">
        <w:t xml:space="preserve"> </w:t>
      </w:r>
      <w:r w:rsidRPr="00C6052E">
        <w:t>entity</w:t>
      </w:r>
      <w:r w:rsidR="00177848" w:rsidRPr="00C6052E">
        <w:t xml:space="preserve"> </w:t>
      </w:r>
      <w:r w:rsidRPr="00C6052E">
        <w:t>such</w:t>
      </w:r>
      <w:r w:rsidR="00177848" w:rsidRPr="00C6052E">
        <w:t xml:space="preserve"> </w:t>
      </w:r>
      <w:r w:rsidRPr="00C6052E">
        <w:t>as</w:t>
      </w:r>
      <w:r w:rsidR="00177848" w:rsidRPr="00C6052E">
        <w:t xml:space="preserve"> </w:t>
      </w:r>
      <w:r w:rsidRPr="00C6052E">
        <w:t>depreciation</w:t>
      </w:r>
      <w:r w:rsidR="00177848" w:rsidRPr="00C6052E">
        <w:t xml:space="preserve"> </w:t>
      </w:r>
      <w:r w:rsidRPr="00C6052E">
        <w:t>where</w:t>
      </w:r>
      <w:r w:rsidR="00177848" w:rsidRPr="00C6052E">
        <w:t xml:space="preserve"> </w:t>
      </w:r>
      <w:r w:rsidRPr="00C6052E">
        <w:t>the</w:t>
      </w:r>
      <w:r w:rsidR="00177848" w:rsidRPr="00C6052E">
        <w:t xml:space="preserve"> </w:t>
      </w:r>
      <w:r w:rsidRPr="00C6052E">
        <w:t>owner</w:t>
      </w:r>
      <w:r w:rsidR="00177848" w:rsidRPr="00C6052E">
        <w:t xml:space="preserve"> </w:t>
      </w:r>
      <w:r w:rsidRPr="00C6052E">
        <w:t>is</w:t>
      </w:r>
      <w:r w:rsidR="00177848" w:rsidRPr="00C6052E">
        <w:t xml:space="preserve"> </w:t>
      </w:r>
      <w:r w:rsidRPr="00C6052E">
        <w:t>simultaneously</w:t>
      </w:r>
      <w:r w:rsidR="00177848" w:rsidRPr="00C6052E">
        <w:t xml:space="preserve"> </w:t>
      </w:r>
      <w:r w:rsidRPr="00C6052E">
        <w:t>acting</w:t>
      </w:r>
      <w:r w:rsidR="00177848" w:rsidRPr="00C6052E">
        <w:t xml:space="preserve"> </w:t>
      </w:r>
      <w:r w:rsidRPr="00C6052E">
        <w:t>as</w:t>
      </w:r>
      <w:r w:rsidR="00177848" w:rsidRPr="00C6052E">
        <w:t xml:space="preserve"> </w:t>
      </w:r>
      <w:r w:rsidRPr="00C6052E">
        <w:t>the</w:t>
      </w:r>
      <w:r w:rsidR="00177848" w:rsidRPr="00C6052E">
        <w:t xml:space="preserve"> </w:t>
      </w:r>
      <w:r w:rsidRPr="00C6052E">
        <w:t>owner</w:t>
      </w:r>
      <w:r w:rsidR="00177848" w:rsidRPr="00C6052E">
        <w:t xml:space="preserve"> </w:t>
      </w:r>
      <w:r w:rsidRPr="00C6052E">
        <w:t>of</w:t>
      </w:r>
      <w:r w:rsidR="00177848" w:rsidRPr="00C6052E">
        <w:t xml:space="preserve"> </w:t>
      </w:r>
      <w:r w:rsidRPr="00C6052E">
        <w:t>the</w:t>
      </w:r>
      <w:r w:rsidR="00177848" w:rsidRPr="00C6052E">
        <w:t xml:space="preserve"> </w:t>
      </w:r>
      <w:r w:rsidRPr="00C6052E">
        <w:t>depreciating</w:t>
      </w:r>
      <w:r w:rsidR="00177848" w:rsidRPr="00C6052E">
        <w:t xml:space="preserve"> </w:t>
      </w:r>
      <w:r w:rsidRPr="00C6052E">
        <w:t>asset</w:t>
      </w:r>
      <w:r w:rsidR="00177848" w:rsidRPr="00C6052E">
        <w:t xml:space="preserve"> </w:t>
      </w:r>
      <w:r w:rsidRPr="00C6052E">
        <w:t>and</w:t>
      </w:r>
      <w:r w:rsidR="00177848" w:rsidRPr="00C6052E">
        <w:t xml:space="preserve"> </w:t>
      </w:r>
      <w:r w:rsidRPr="00C6052E">
        <w:t>as</w:t>
      </w:r>
      <w:r w:rsidR="00177848" w:rsidRPr="00C6052E">
        <w:t xml:space="preserve"> </w:t>
      </w:r>
      <w:r w:rsidRPr="00C6052E">
        <w:t>the</w:t>
      </w:r>
      <w:r w:rsidR="00177848" w:rsidRPr="00C6052E">
        <w:t xml:space="preserve"> </w:t>
      </w:r>
      <w:r w:rsidRPr="00C6052E">
        <w:t>consumer</w:t>
      </w:r>
      <w:r w:rsidR="00177848" w:rsidRPr="00C6052E">
        <w:t xml:space="preserve"> </w:t>
      </w:r>
      <w:r w:rsidRPr="00C6052E">
        <w:t>of</w:t>
      </w:r>
      <w:r w:rsidR="00177848" w:rsidRPr="00C6052E">
        <w:t xml:space="preserve"> </w:t>
      </w:r>
      <w:r w:rsidRPr="00C6052E">
        <w:t>the</w:t>
      </w:r>
      <w:r w:rsidR="00177848" w:rsidRPr="00C6052E">
        <w:t xml:space="preserve"> </w:t>
      </w:r>
      <w:r w:rsidRPr="00C6052E">
        <w:t>service</w:t>
      </w:r>
      <w:r w:rsidR="00177848" w:rsidRPr="00C6052E">
        <w:t xml:space="preserve"> </w:t>
      </w:r>
      <w:r w:rsidRPr="00C6052E">
        <w:t>provided</w:t>
      </w:r>
      <w:r w:rsidR="00177848" w:rsidRPr="00C6052E">
        <w:t xml:space="preserve"> </w:t>
      </w:r>
      <w:r w:rsidRPr="00C6052E">
        <w:t>by</w:t>
      </w:r>
      <w:r w:rsidR="00177848" w:rsidRPr="00C6052E">
        <w:t xml:space="preserve"> </w:t>
      </w:r>
      <w:r w:rsidRPr="00C6052E">
        <w:t>the</w:t>
      </w:r>
      <w:r w:rsidR="00177848" w:rsidRPr="00C6052E">
        <w:t xml:space="preserve"> </w:t>
      </w:r>
      <w:r w:rsidRPr="00C6052E">
        <w:t>asset.</w:t>
      </w:r>
      <w:r w:rsidR="00177848" w:rsidRPr="00C6052E">
        <w:t xml:space="preserve"> </w:t>
      </w:r>
      <w:r w:rsidRPr="00C6052E">
        <w:t>Taxation</w:t>
      </w:r>
      <w:r w:rsidR="00177848" w:rsidRPr="00C6052E">
        <w:t xml:space="preserve"> </w:t>
      </w:r>
      <w:r w:rsidRPr="00C6052E">
        <w:t>is</w:t>
      </w:r>
      <w:r w:rsidR="00177848" w:rsidRPr="00C6052E">
        <w:t xml:space="preserve"> </w:t>
      </w:r>
      <w:r w:rsidRPr="00C6052E">
        <w:t>regarded</w:t>
      </w:r>
      <w:r w:rsidR="00177848" w:rsidRPr="00C6052E">
        <w:t xml:space="preserve"> </w:t>
      </w:r>
      <w:r w:rsidRPr="00C6052E">
        <w:t>as</w:t>
      </w:r>
      <w:r w:rsidR="00177848" w:rsidRPr="00C6052E">
        <w:t xml:space="preserve"> </w:t>
      </w:r>
      <w:r w:rsidRPr="00C6052E">
        <w:t>mutually</w:t>
      </w:r>
      <w:r w:rsidR="00177848" w:rsidRPr="00C6052E">
        <w:t xml:space="preserve"> </w:t>
      </w:r>
      <w:r w:rsidRPr="00C6052E">
        <w:t>agreed</w:t>
      </w:r>
      <w:r w:rsidR="00177848" w:rsidRPr="00C6052E">
        <w:t xml:space="preserve"> </w:t>
      </w:r>
      <w:r w:rsidRPr="00C6052E">
        <w:t>interactions</w:t>
      </w:r>
      <w:r w:rsidR="00177848" w:rsidRPr="00C6052E">
        <w:t xml:space="preserve"> </w:t>
      </w:r>
      <w:r w:rsidRPr="00C6052E">
        <w:t>between</w:t>
      </w:r>
      <w:r w:rsidR="00177848" w:rsidRPr="00C6052E">
        <w:t xml:space="preserve"> </w:t>
      </w:r>
      <w:r w:rsidRPr="00C6052E">
        <w:t>the</w:t>
      </w:r>
      <w:r w:rsidR="00177848" w:rsidRPr="00C6052E">
        <w:t xml:space="preserve"> </w:t>
      </w:r>
      <w:r w:rsidRPr="00C6052E">
        <w:t>government</w:t>
      </w:r>
      <w:r w:rsidR="00177848" w:rsidRPr="00C6052E">
        <w:t xml:space="preserve"> </w:t>
      </w:r>
      <w:r w:rsidRPr="00C6052E">
        <w:t>and</w:t>
      </w:r>
      <w:r w:rsidR="00177848" w:rsidRPr="00C6052E">
        <w:t xml:space="preserve"> </w:t>
      </w:r>
      <w:r w:rsidRPr="00C6052E">
        <w:t>taxpayers.</w:t>
      </w:r>
      <w:r w:rsidR="00177848" w:rsidRPr="00C6052E">
        <w:t xml:space="preserve"> </w:t>
      </w:r>
      <w:r w:rsidRPr="00C6052E">
        <w:t>Transactions</w:t>
      </w:r>
      <w:r w:rsidR="00177848" w:rsidRPr="00C6052E">
        <w:t xml:space="preserve"> </w:t>
      </w:r>
      <w:r w:rsidRPr="00C6052E">
        <w:t>can</w:t>
      </w:r>
      <w:r w:rsidR="00177848" w:rsidRPr="00C6052E">
        <w:t xml:space="preserve"> </w:t>
      </w:r>
      <w:r w:rsidRPr="00C6052E">
        <w:t>be</w:t>
      </w:r>
      <w:r w:rsidR="00177848" w:rsidRPr="00C6052E">
        <w:t xml:space="preserve"> </w:t>
      </w:r>
      <w:r w:rsidRPr="00C6052E">
        <w:t>in</w:t>
      </w:r>
      <w:r w:rsidR="00177848" w:rsidRPr="00C6052E">
        <w:t xml:space="preserve"> </w:t>
      </w:r>
      <w:r w:rsidRPr="00C6052E">
        <w:t>kind</w:t>
      </w:r>
      <w:r w:rsidR="00177848" w:rsidRPr="00C6052E">
        <w:t xml:space="preserve"> </w:t>
      </w:r>
      <w:r w:rsidRPr="00C6052E">
        <w:t>(e.g.</w:t>
      </w:r>
      <w:r w:rsidR="00177848" w:rsidRPr="00C6052E">
        <w:t xml:space="preserve"> </w:t>
      </w:r>
      <w:r w:rsidRPr="00C6052E">
        <w:t>assets</w:t>
      </w:r>
      <w:r w:rsidR="00177848" w:rsidRPr="00C6052E">
        <w:t xml:space="preserve"> </w:t>
      </w:r>
      <w:r w:rsidRPr="00C6052E">
        <w:t>provided/given</w:t>
      </w:r>
      <w:r w:rsidR="00177848" w:rsidRPr="00C6052E">
        <w:t xml:space="preserve"> </w:t>
      </w:r>
      <w:r w:rsidRPr="00C6052E">
        <w:t>free</w:t>
      </w:r>
      <w:r w:rsidR="00177848" w:rsidRPr="00C6052E">
        <w:t xml:space="preserve"> </w:t>
      </w:r>
      <w:r w:rsidRPr="00C6052E">
        <w:t>of</w:t>
      </w:r>
      <w:r w:rsidR="00177848" w:rsidRPr="00C6052E">
        <w:t xml:space="preserve"> </w:t>
      </w:r>
      <w:r w:rsidRPr="00C6052E">
        <w:t>charge</w:t>
      </w:r>
      <w:r w:rsidR="00177848" w:rsidRPr="00C6052E">
        <w:t xml:space="preserve"> </w:t>
      </w:r>
      <w:r w:rsidRPr="00C6052E">
        <w:t>or</w:t>
      </w:r>
      <w:r w:rsidR="00177848" w:rsidRPr="00C6052E">
        <w:t xml:space="preserve"> </w:t>
      </w:r>
      <w:r w:rsidRPr="00C6052E">
        <w:t>for</w:t>
      </w:r>
      <w:r w:rsidR="00177848" w:rsidRPr="00C6052E">
        <w:t xml:space="preserve"> </w:t>
      </w:r>
      <w:r w:rsidRPr="00C6052E">
        <w:t>nominal</w:t>
      </w:r>
      <w:r w:rsidR="00177848" w:rsidRPr="00C6052E">
        <w:t xml:space="preserve"> </w:t>
      </w:r>
      <w:r w:rsidRPr="00C6052E">
        <w:t>consideration)</w:t>
      </w:r>
      <w:r w:rsidR="00177848" w:rsidRPr="00C6052E">
        <w:t xml:space="preserve"> </w:t>
      </w:r>
      <w:r w:rsidRPr="00C6052E">
        <w:t>or</w:t>
      </w:r>
      <w:r w:rsidR="00177848" w:rsidRPr="00C6052E">
        <w:t xml:space="preserve"> </w:t>
      </w:r>
      <w:r w:rsidRPr="00C6052E">
        <w:t>where</w:t>
      </w:r>
      <w:r w:rsidR="00177848" w:rsidRPr="00C6052E">
        <w:t xml:space="preserve"> </w:t>
      </w:r>
      <w:r w:rsidRPr="00C6052E">
        <w:t>the</w:t>
      </w:r>
      <w:r w:rsidR="00177848" w:rsidRPr="00C6052E">
        <w:t xml:space="preserve"> </w:t>
      </w:r>
      <w:r w:rsidRPr="00C6052E">
        <w:t>final</w:t>
      </w:r>
      <w:r w:rsidR="00177848" w:rsidRPr="00C6052E">
        <w:t xml:space="preserve"> </w:t>
      </w:r>
      <w:r w:rsidRPr="00C6052E">
        <w:t>consideration</w:t>
      </w:r>
      <w:r w:rsidR="00177848" w:rsidRPr="00C6052E">
        <w:t xml:space="preserve"> </w:t>
      </w:r>
      <w:r w:rsidRPr="00C6052E">
        <w:t>is</w:t>
      </w:r>
      <w:r w:rsidR="00177848" w:rsidRPr="00C6052E">
        <w:t xml:space="preserve"> </w:t>
      </w:r>
      <w:r w:rsidRPr="00C6052E">
        <w:t>cash.</w:t>
      </w:r>
      <w:r w:rsidR="00177848" w:rsidRPr="00C6052E">
        <w:t xml:space="preserve"> </w:t>
      </w:r>
      <w:r w:rsidRPr="00C6052E">
        <w:t>In</w:t>
      </w:r>
      <w:r w:rsidR="00177848" w:rsidRPr="00C6052E">
        <w:t xml:space="preserve"> </w:t>
      </w:r>
      <w:r w:rsidRPr="00C6052E">
        <w:t>simple</w:t>
      </w:r>
      <w:r w:rsidR="00177848" w:rsidRPr="00C6052E">
        <w:t xml:space="preserve"> </w:t>
      </w:r>
      <w:r w:rsidRPr="00C6052E">
        <w:t>terms,</w:t>
      </w:r>
      <w:r w:rsidR="00177848" w:rsidRPr="00C6052E">
        <w:t xml:space="preserve"> </w:t>
      </w:r>
      <w:r w:rsidRPr="00C6052E">
        <w:t>transactions</w:t>
      </w:r>
      <w:r w:rsidR="00177848" w:rsidRPr="00C6052E">
        <w:t xml:space="preserve"> </w:t>
      </w:r>
      <w:r w:rsidRPr="00C6052E">
        <w:t>arise</w:t>
      </w:r>
      <w:r w:rsidR="00177848" w:rsidRPr="00C6052E">
        <w:t xml:space="preserve"> </w:t>
      </w:r>
      <w:r w:rsidRPr="00C6052E">
        <w:t>from</w:t>
      </w:r>
      <w:r w:rsidR="00177848" w:rsidRPr="00C6052E">
        <w:t xml:space="preserve"> </w:t>
      </w:r>
      <w:r w:rsidRPr="00C6052E">
        <w:t>the</w:t>
      </w:r>
      <w:r w:rsidR="00177848" w:rsidRPr="00C6052E">
        <w:t xml:space="preserve"> </w:t>
      </w:r>
      <w:r w:rsidRPr="00C6052E">
        <w:t>policy</w:t>
      </w:r>
      <w:r w:rsidR="00177848" w:rsidRPr="00C6052E">
        <w:t xml:space="preserve"> </w:t>
      </w:r>
      <w:r w:rsidRPr="00C6052E">
        <w:t>decisions</w:t>
      </w:r>
      <w:r w:rsidR="00177848" w:rsidRPr="00C6052E">
        <w:t xml:space="preserve"> </w:t>
      </w:r>
      <w:r w:rsidRPr="00C6052E">
        <w:t>of</w:t>
      </w:r>
      <w:r w:rsidR="00177848" w:rsidRPr="00C6052E">
        <w:t xml:space="preserve"> </w:t>
      </w:r>
      <w:r w:rsidRPr="00C6052E">
        <w:t>the</w:t>
      </w:r>
      <w:r w:rsidR="00177848" w:rsidRPr="00C6052E">
        <w:t xml:space="preserve"> </w:t>
      </w:r>
      <w:r w:rsidRPr="00C6052E">
        <w:t>government.</w:t>
      </w:r>
      <w:r w:rsidR="00177848" w:rsidRPr="00C6052E">
        <w:t xml:space="preserve"> </w:t>
      </w:r>
    </w:p>
    <w:p w14:paraId="5DCB790E" w14:textId="51175BB0" w:rsidR="00D33AA2" w:rsidRPr="00EE5BB8" w:rsidRDefault="00D33AA2">
      <w:pPr>
        <w:rPr>
          <w:lang w:val="en-US"/>
        </w:rPr>
      </w:pPr>
    </w:p>
    <w:sectPr w:rsidR="00D33AA2" w:rsidRPr="00EE5BB8" w:rsidSect="00EE5BB8">
      <w:headerReference w:type="even" r:id="rId35"/>
      <w:headerReference w:type="default" r:id="rId36"/>
      <w:footerReference w:type="even" r:id="rId37"/>
      <w:footerReference w:type="default" r:id="rId38"/>
      <w:pgSz w:w="11907" w:h="16840" w:code="9"/>
      <w:pgMar w:top="1134" w:right="1134" w:bottom="1134" w:left="1134" w:header="567"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D4C92" w14:textId="77777777" w:rsidR="00CB4880" w:rsidRPr="00C6052E" w:rsidRDefault="00CB4880" w:rsidP="00EE5BB8">
      <w:pPr>
        <w:spacing w:after="0" w:line="240" w:lineRule="auto"/>
      </w:pPr>
      <w:r w:rsidRPr="00C6052E">
        <w:separator/>
      </w:r>
    </w:p>
  </w:endnote>
  <w:endnote w:type="continuationSeparator" w:id="0">
    <w:p w14:paraId="2C5FFA47" w14:textId="77777777" w:rsidR="00CB4880" w:rsidRPr="00C6052E" w:rsidRDefault="00CB4880" w:rsidP="00EE5BB8">
      <w:pPr>
        <w:spacing w:after="0" w:line="240" w:lineRule="auto"/>
      </w:pPr>
      <w:r w:rsidRPr="00C605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Light Italic">
    <w:panose1 w:val="000004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Medium">
    <w:panose1 w:val="00000600000000000000"/>
    <w:charset w:val="00"/>
    <w:family w:val="auto"/>
    <w:pitch w:val="variable"/>
    <w:sig w:usb0="00000007" w:usb1="00000000" w:usb2="00000000" w:usb3="00000000" w:csb0="00000093" w:csb1="00000000"/>
  </w:font>
  <w:font w:name="VIC SemiBold Italic">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VIC-Light">
    <w:altName w:val="VIC"/>
    <w:panose1 w:val="00000000000000000000"/>
    <w:charset w:val="4D"/>
    <w:family w:val="auto"/>
    <w:notTrueType/>
    <w:pitch w:val="default"/>
    <w:sig w:usb0="00000003" w:usb1="00000000" w:usb2="00000000" w:usb3="00000000" w:csb0="00000001" w:csb1="00000000"/>
  </w:font>
  <w:font w:name="VIC-Regular">
    <w:altName w:val="VIC"/>
    <w:panose1 w:val="00000000000000000000"/>
    <w:charset w:val="4D"/>
    <w:family w:val="auto"/>
    <w:notTrueType/>
    <w:pitch w:val="default"/>
    <w:sig w:usb0="00000003" w:usb1="00000000" w:usb2="00000000" w:usb3="00000000" w:csb0="00000001" w:csb1="00000000"/>
  </w:font>
  <w:font w:name="VIC-LightItalic">
    <w:altName w:val="VIC"/>
    <w:panose1 w:val="00000000000000000000"/>
    <w:charset w:val="4D"/>
    <w:family w:val="auto"/>
    <w:notTrueType/>
    <w:pitch w:val="default"/>
    <w:sig w:usb0="00000003" w:usb1="00000000" w:usb2="00000000" w:usb3="00000000" w:csb0="00000001" w:csb1="00000000"/>
  </w:font>
  <w:font w:name="VIC-SemiBold">
    <w:altName w:val="VIC"/>
    <w:panose1 w:val="00000000000000000000"/>
    <w:charset w:val="4D"/>
    <w:family w:val="auto"/>
    <w:notTrueType/>
    <w:pitch w:val="default"/>
    <w:sig w:usb0="00000003" w:usb1="00000000" w:usb2="00000000" w:usb3="00000000" w:csb0="00000001" w:csb1="00000000"/>
  </w:font>
  <w:font w:name="VIC-Medium">
    <w:altName w:val="VIC"/>
    <w:panose1 w:val="00000000000000000000"/>
    <w:charset w:val="4D"/>
    <w:family w:val="auto"/>
    <w:notTrueType/>
    <w:pitch w:val="default"/>
    <w:sig w:usb0="00000003" w:usb1="00000000" w:usb2="00000000" w:usb3="00000000" w:csb0="00000001" w:csb1="00000000"/>
  </w:font>
  <w:font w:name="VIC Medium Italic">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B53D" w14:textId="7656833B" w:rsidR="00EE5BB8" w:rsidRPr="00C6052E" w:rsidRDefault="00EE5BB8">
    <w:pPr>
      <w:pStyle w:val="Footer"/>
    </w:pPr>
    <w:r w:rsidRPr="00C6052E">
      <w:rPr>
        <w:noProof/>
        <w14:ligatures w14:val="standardContextual"/>
      </w:rPr>
      <mc:AlternateContent>
        <mc:Choice Requires="wps">
          <w:drawing>
            <wp:anchor distT="0" distB="0" distL="0" distR="0" simplePos="0" relativeHeight="251658268" behindDoc="0" locked="0" layoutInCell="1" allowOverlap="1" wp14:anchorId="6FF5724E" wp14:editId="6BD82792">
              <wp:simplePos x="635" y="635"/>
              <wp:positionH relativeFrom="page">
                <wp:align>center</wp:align>
              </wp:positionH>
              <wp:positionV relativeFrom="page">
                <wp:align>bottom</wp:align>
              </wp:positionV>
              <wp:extent cx="906145" cy="393700"/>
              <wp:effectExtent l="0" t="0" r="8255" b="0"/>
              <wp:wrapNone/>
              <wp:docPr id="1589362439" name="Text Box 101"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145" cy="393700"/>
                      </a:xfrm>
                      <a:prstGeom prst="rect">
                        <a:avLst/>
                      </a:prstGeom>
                      <a:noFill/>
                      <a:ln>
                        <a:noFill/>
                      </a:ln>
                    </wps:spPr>
                    <wps:txbx>
                      <w:txbxContent>
                        <w:p w14:paraId="3A5EF697" w14:textId="6826D9BE"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F5724E" id="_x0000_t202" coordsize="21600,21600" o:spt="202" path="m,l,21600r21600,l21600,xe">
              <v:stroke joinstyle="miter"/>
              <v:path gradientshapeok="t" o:connecttype="rect"/>
            </v:shapetype>
            <v:shape id="Text Box 101" o:spid="_x0000_s1041" type="#_x0000_t202" alt="UNOFFICIAL" style="position:absolute;margin-left:0;margin-top:0;width:71.35pt;height:31pt;z-index:2516582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" filled="f" stroked="f">
              <v:textbox style="mso-fit-shape-to-text:t" inset="0,0,0,15pt">
                <w:txbxContent>
                  <w:p w14:paraId="3A5EF697" w14:textId="6826D9BE"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D560" w14:textId="21D7F673" w:rsidR="00EE5BB8" w:rsidRPr="00C6052E" w:rsidRDefault="00EE5BB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62CDD" w14:textId="77777777" w:rsidR="00CB4880" w:rsidRPr="00C6052E" w:rsidRDefault="00CB4880" w:rsidP="00EE5BB8">
      <w:pPr>
        <w:spacing w:after="0" w:line="240" w:lineRule="auto"/>
      </w:pPr>
      <w:r w:rsidRPr="00C6052E">
        <w:separator/>
      </w:r>
    </w:p>
  </w:footnote>
  <w:footnote w:type="continuationSeparator" w:id="0">
    <w:p w14:paraId="66D14552" w14:textId="77777777" w:rsidR="00CB4880" w:rsidRPr="00C6052E" w:rsidRDefault="00CB4880" w:rsidP="00EE5BB8">
      <w:pPr>
        <w:spacing w:after="0" w:line="240" w:lineRule="auto"/>
      </w:pPr>
      <w:r w:rsidRPr="00C605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7CCB" w14:textId="48FCD737" w:rsidR="00EE5BB8" w:rsidRPr="00C6052E" w:rsidRDefault="00EE5BB8" w:rsidP="00120E3A">
    <w:pPr>
      <w:pStyle w:val="Header"/>
    </w:pPr>
    <w:r w:rsidRPr="00C6052E">
      <w:rPr>
        <w:noProof/>
        <w14:ligatures w14:val="standardContextual"/>
      </w:rPr>
      <mc:AlternateContent>
        <mc:Choice Requires="wps">
          <w:drawing>
            <wp:anchor distT="0" distB="0" distL="0" distR="0" simplePos="0" relativeHeight="251658243" behindDoc="0" locked="0" layoutInCell="1" allowOverlap="1" wp14:anchorId="26D941CF" wp14:editId="2CD3AF1F">
              <wp:simplePos x="635" y="635"/>
              <wp:positionH relativeFrom="page">
                <wp:align>center</wp:align>
              </wp:positionH>
              <wp:positionV relativeFrom="page">
                <wp:align>top</wp:align>
              </wp:positionV>
              <wp:extent cx="906145" cy="393700"/>
              <wp:effectExtent l="0" t="0" r="8255" b="6350"/>
              <wp:wrapNone/>
              <wp:docPr id="75446602" name="Text Box 10"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393700"/>
                      </a:xfrm>
                      <a:prstGeom prst="rect">
                        <a:avLst/>
                      </a:prstGeom>
                      <a:noFill/>
                      <a:ln>
                        <a:noFill/>
                      </a:ln>
                    </wps:spPr>
                    <wps:txbx>
                      <w:txbxContent>
                        <w:p w14:paraId="16D3F255" w14:textId="5C046BD0"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D941CF" id="_x0000_t202" coordsize="21600,21600" o:spt="202" path="m,l,21600r21600,l21600,xe">
              <v:stroke joinstyle="miter"/>
              <v:path gradientshapeok="t" o:connecttype="rect"/>
            </v:shapetype>
            <v:shape id="Text Box 10" o:spid="_x0000_s1026" type="#_x0000_t202" alt="UNOFFICIAL" style="position:absolute;margin-left:0;margin-top:0;width:71.35pt;height:3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" filled="f" stroked="f">
              <v:textbox style="mso-fit-shape-to-text:t" inset="0,15pt,0,0">
                <w:txbxContent>
                  <w:p w14:paraId="16D3F255" w14:textId="5C046BD0"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5D96" w14:textId="40649AB2" w:rsidR="00EE5BB8" w:rsidRPr="00C6052E" w:rsidRDefault="00EE5BB8" w:rsidP="00437C1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8250" w14:textId="1BCFF0D0" w:rsidR="00EE5BB8" w:rsidRPr="00C6052E" w:rsidRDefault="00EE5BB8" w:rsidP="00120E3A">
    <w:pPr>
      <w:pStyle w:val="Header"/>
    </w:pPr>
    <w:r w:rsidRPr="00C6052E">
      <w:rPr>
        <w:noProof/>
        <w14:ligatures w14:val="standardContextual"/>
      </w:rPr>
      <mc:AlternateContent>
        <mc:Choice Requires="wps">
          <w:drawing>
            <wp:anchor distT="0" distB="0" distL="0" distR="0" simplePos="0" relativeHeight="251658249" behindDoc="0" locked="0" layoutInCell="1" allowOverlap="1" wp14:anchorId="135624B2" wp14:editId="61546895">
              <wp:simplePos x="635" y="635"/>
              <wp:positionH relativeFrom="page">
                <wp:align>center</wp:align>
              </wp:positionH>
              <wp:positionV relativeFrom="page">
                <wp:align>top</wp:align>
              </wp:positionV>
              <wp:extent cx="906145" cy="393700"/>
              <wp:effectExtent l="0" t="0" r="8255" b="6350"/>
              <wp:wrapNone/>
              <wp:docPr id="1009726403" name="Text Box 2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393700"/>
                      </a:xfrm>
                      <a:prstGeom prst="rect">
                        <a:avLst/>
                      </a:prstGeom>
                      <a:noFill/>
                      <a:ln>
                        <a:noFill/>
                      </a:ln>
                    </wps:spPr>
                    <wps:txbx>
                      <w:txbxContent>
                        <w:p w14:paraId="08FFE18C" w14:textId="5B7C7D51"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5624B2" id="_x0000_t202" coordsize="21600,21600" o:spt="202" path="m,l,21600r21600,l21600,xe">
              <v:stroke joinstyle="miter"/>
              <v:path gradientshapeok="t" o:connecttype="rect"/>
            </v:shapetype>
            <v:shape id="Text Box 21" o:spid="_x0000_s1032" type="#_x0000_t202" alt="UNOFFICIAL" style="position:absolute;margin-left:0;margin-top:0;width:71.35pt;height:31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" filled="f" stroked="f">
              <v:textbox style="mso-fit-shape-to-text:t" inset="0,15pt,0,0">
                <w:txbxContent>
                  <w:p w14:paraId="08FFE18C" w14:textId="5B7C7D51"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556E" w14:textId="07249532" w:rsidR="00EE5BB8" w:rsidRPr="00C6052E" w:rsidRDefault="00EE5BB8" w:rsidP="00120E3A">
    <w:pPr>
      <w:pStyle w:val="Header"/>
    </w:pPr>
    <w:r w:rsidRPr="00C6052E">
      <w:rPr>
        <w:noProof/>
        <w14:ligatures w14:val="standardContextual"/>
      </w:rPr>
      <mc:AlternateContent>
        <mc:Choice Requires="wps">
          <w:drawing>
            <wp:anchor distT="0" distB="0" distL="0" distR="0" simplePos="0" relativeHeight="251658250" behindDoc="0" locked="0" layoutInCell="1" allowOverlap="1" wp14:anchorId="217C5723" wp14:editId="0A0E7291">
              <wp:simplePos x="635" y="635"/>
              <wp:positionH relativeFrom="page">
                <wp:align>center</wp:align>
              </wp:positionH>
              <wp:positionV relativeFrom="page">
                <wp:align>top</wp:align>
              </wp:positionV>
              <wp:extent cx="906145" cy="393700"/>
              <wp:effectExtent l="0" t="0" r="8255" b="6350"/>
              <wp:wrapNone/>
              <wp:docPr id="1150697336" name="Text Box 2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393700"/>
                      </a:xfrm>
                      <a:prstGeom prst="rect">
                        <a:avLst/>
                      </a:prstGeom>
                      <a:noFill/>
                      <a:ln>
                        <a:noFill/>
                      </a:ln>
                    </wps:spPr>
                    <wps:txbx>
                      <w:txbxContent>
                        <w:p w14:paraId="3139C4F8" w14:textId="10463CBB"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7C5723" id="_x0000_t202" coordsize="21600,21600" o:spt="202" path="m,l,21600r21600,l21600,xe">
              <v:stroke joinstyle="miter"/>
              <v:path gradientshapeok="t" o:connecttype="rect"/>
            </v:shapetype>
            <v:shape id="Text Box 22" o:spid="_x0000_s1033" type="#_x0000_t202" alt="UNOFFICIAL" style="position:absolute;margin-left:0;margin-top:0;width:71.35pt;height:31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" filled="f" stroked="f">
              <v:textbox style="mso-fit-shape-to-text:t" inset="0,15pt,0,0">
                <w:txbxContent>
                  <w:p w14:paraId="3139C4F8" w14:textId="10463CBB"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2A37" w14:textId="32BD2712" w:rsidR="00EE5BB8" w:rsidRPr="00C6052E" w:rsidRDefault="00EE5BB8" w:rsidP="00120E3A">
    <w:pPr>
      <w:pStyle w:val="Header"/>
    </w:pPr>
    <w:r w:rsidRPr="00C6052E">
      <w:rPr>
        <w:noProof/>
        <w14:ligatures w14:val="standardContextual"/>
      </w:rPr>
      <mc:AlternateContent>
        <mc:Choice Requires="wps">
          <w:drawing>
            <wp:anchor distT="0" distB="0" distL="0" distR="0" simplePos="0" relativeHeight="251658251" behindDoc="0" locked="0" layoutInCell="1" allowOverlap="1" wp14:anchorId="1D90ADDD" wp14:editId="212E6CD8">
              <wp:simplePos x="635" y="635"/>
              <wp:positionH relativeFrom="page">
                <wp:align>center</wp:align>
              </wp:positionH>
              <wp:positionV relativeFrom="page">
                <wp:align>top</wp:align>
              </wp:positionV>
              <wp:extent cx="906145" cy="393700"/>
              <wp:effectExtent l="0" t="0" r="8255" b="6350"/>
              <wp:wrapNone/>
              <wp:docPr id="840127094" name="Text Box 2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393700"/>
                      </a:xfrm>
                      <a:prstGeom prst="rect">
                        <a:avLst/>
                      </a:prstGeom>
                      <a:noFill/>
                      <a:ln>
                        <a:noFill/>
                      </a:ln>
                    </wps:spPr>
                    <wps:txbx>
                      <w:txbxContent>
                        <w:p w14:paraId="075BCEBF" w14:textId="68173406"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90ADDD" id="_x0000_t202" coordsize="21600,21600" o:spt="202" path="m,l,21600r21600,l21600,xe">
              <v:stroke joinstyle="miter"/>
              <v:path gradientshapeok="t" o:connecttype="rect"/>
            </v:shapetype>
            <v:shape id="Text Box 23" o:spid="_x0000_s1034" type="#_x0000_t202" alt="UNOFFICIAL" style="position:absolute;margin-left:0;margin-top:0;width:71.35pt;height:31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" filled="f" stroked="f">
              <v:textbox style="mso-fit-shape-to-text:t" inset="0,15pt,0,0">
                <w:txbxContent>
                  <w:p w14:paraId="075BCEBF" w14:textId="68173406"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725B" w14:textId="14FCAF4B" w:rsidR="00EE5BB8" w:rsidRPr="00C6052E" w:rsidRDefault="00EE5BB8" w:rsidP="00120E3A">
    <w:pPr>
      <w:pStyle w:val="Header"/>
    </w:pPr>
    <w:r w:rsidRPr="00C6052E">
      <w:rPr>
        <w:noProof/>
        <w14:ligatures w14:val="standardContextual"/>
      </w:rPr>
      <mc:AlternateContent>
        <mc:Choice Requires="wps">
          <w:drawing>
            <wp:anchor distT="0" distB="0" distL="0" distR="0" simplePos="0" relativeHeight="251658252" behindDoc="0" locked="0" layoutInCell="1" allowOverlap="1" wp14:anchorId="3CDD836C" wp14:editId="6415B703">
              <wp:simplePos x="635" y="635"/>
              <wp:positionH relativeFrom="page">
                <wp:align>center</wp:align>
              </wp:positionH>
              <wp:positionV relativeFrom="page">
                <wp:align>top</wp:align>
              </wp:positionV>
              <wp:extent cx="906145" cy="393700"/>
              <wp:effectExtent l="0" t="0" r="8255" b="6350"/>
              <wp:wrapNone/>
              <wp:docPr id="963618075" name="Text Box 24"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393700"/>
                      </a:xfrm>
                      <a:prstGeom prst="rect">
                        <a:avLst/>
                      </a:prstGeom>
                      <a:noFill/>
                      <a:ln>
                        <a:noFill/>
                      </a:ln>
                    </wps:spPr>
                    <wps:txbx>
                      <w:txbxContent>
                        <w:p w14:paraId="45B31567" w14:textId="0248EA43"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DD836C" id="_x0000_t202" coordsize="21600,21600" o:spt="202" path="m,l,21600r21600,l21600,xe">
              <v:stroke joinstyle="miter"/>
              <v:path gradientshapeok="t" o:connecttype="rect"/>
            </v:shapetype>
            <v:shape id="Text Box 24" o:spid="_x0000_s1035" type="#_x0000_t202" alt="UNOFFICIAL" style="position:absolute;margin-left:0;margin-top:0;width:71.35pt;height:31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" filled="f" stroked="f">
              <v:textbox style="mso-fit-shape-to-text:t" inset="0,15pt,0,0">
                <w:txbxContent>
                  <w:p w14:paraId="45B31567" w14:textId="0248EA43"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0E5E" w14:textId="1486DC9E" w:rsidR="00EE5BB8" w:rsidRPr="00C6052E" w:rsidRDefault="00EE5BB8" w:rsidP="00437C1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8A58" w14:textId="48A74448" w:rsidR="00EE5BB8" w:rsidRPr="00C6052E" w:rsidRDefault="00EE5BB8" w:rsidP="00120E3A">
    <w:pPr>
      <w:pStyle w:val="Header"/>
    </w:pPr>
    <w:r w:rsidRPr="00C6052E">
      <w:rPr>
        <w:noProof/>
        <w14:ligatures w14:val="standardContextual"/>
      </w:rPr>
      <mc:AlternateContent>
        <mc:Choice Requires="wps">
          <w:drawing>
            <wp:anchor distT="0" distB="0" distL="0" distR="0" simplePos="0" relativeHeight="251658253" behindDoc="0" locked="0" layoutInCell="1" allowOverlap="1" wp14:anchorId="53F36748" wp14:editId="0D4F3CA1">
              <wp:simplePos x="635" y="635"/>
              <wp:positionH relativeFrom="page">
                <wp:align>center</wp:align>
              </wp:positionH>
              <wp:positionV relativeFrom="page">
                <wp:align>top</wp:align>
              </wp:positionV>
              <wp:extent cx="906145" cy="393700"/>
              <wp:effectExtent l="0" t="0" r="8255" b="6350"/>
              <wp:wrapNone/>
              <wp:docPr id="2116228620" name="Text Box 26"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393700"/>
                      </a:xfrm>
                      <a:prstGeom prst="rect">
                        <a:avLst/>
                      </a:prstGeom>
                      <a:noFill/>
                      <a:ln>
                        <a:noFill/>
                      </a:ln>
                    </wps:spPr>
                    <wps:txbx>
                      <w:txbxContent>
                        <w:p w14:paraId="32AA14F2" w14:textId="41F25E28"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F36748" id="_x0000_t202" coordsize="21600,21600" o:spt="202" path="m,l,21600r21600,l21600,xe">
              <v:stroke joinstyle="miter"/>
              <v:path gradientshapeok="t" o:connecttype="rect"/>
            </v:shapetype>
            <v:shape id="Text Box 26" o:spid="_x0000_s1036" type="#_x0000_t202" alt="UNOFFICIAL" style="position:absolute;margin-left:0;margin-top:0;width:71.35pt;height:31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" filled="f" stroked="f">
              <v:textbox style="mso-fit-shape-to-text:t" inset="0,15pt,0,0">
                <w:txbxContent>
                  <w:p w14:paraId="32AA14F2" w14:textId="41F25E28"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DE89" w14:textId="77AADFA3" w:rsidR="00EE5BB8" w:rsidRPr="00C6052E" w:rsidRDefault="00EE5BB8" w:rsidP="00437C1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D135" w14:textId="53ACAAB6" w:rsidR="00EE5BB8" w:rsidRPr="00C6052E" w:rsidRDefault="00EE5BB8" w:rsidP="00120E3A">
    <w:pPr>
      <w:pStyle w:val="Header"/>
    </w:pPr>
    <w:r w:rsidRPr="00C6052E">
      <w:rPr>
        <w:noProof/>
        <w14:ligatures w14:val="standardContextual"/>
      </w:rPr>
      <mc:AlternateContent>
        <mc:Choice Requires="wps">
          <w:drawing>
            <wp:anchor distT="0" distB="0" distL="0" distR="0" simplePos="0" relativeHeight="251658254" behindDoc="0" locked="0" layoutInCell="1" allowOverlap="1" wp14:anchorId="221DEA33" wp14:editId="6B7375FB">
              <wp:simplePos x="635" y="635"/>
              <wp:positionH relativeFrom="page">
                <wp:align>center</wp:align>
              </wp:positionH>
              <wp:positionV relativeFrom="page">
                <wp:align>top</wp:align>
              </wp:positionV>
              <wp:extent cx="906145" cy="393700"/>
              <wp:effectExtent l="0" t="0" r="8255" b="6350"/>
              <wp:wrapNone/>
              <wp:docPr id="885569625" name="Text Box 28"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393700"/>
                      </a:xfrm>
                      <a:prstGeom prst="rect">
                        <a:avLst/>
                      </a:prstGeom>
                      <a:noFill/>
                      <a:ln>
                        <a:noFill/>
                      </a:ln>
                    </wps:spPr>
                    <wps:txbx>
                      <w:txbxContent>
                        <w:p w14:paraId="7D0383C3" w14:textId="0AE2C542"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1DEA33" id="_x0000_t202" coordsize="21600,21600" o:spt="202" path="m,l,21600r21600,l21600,xe">
              <v:stroke joinstyle="miter"/>
              <v:path gradientshapeok="t" o:connecttype="rect"/>
            </v:shapetype>
            <v:shape id="Text Box 28" o:spid="_x0000_s1037" type="#_x0000_t202" alt="UNOFFICIAL" style="position:absolute;margin-left:0;margin-top:0;width:71.35pt;height:31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" filled="f" stroked="f">
              <v:textbox style="mso-fit-shape-to-text:t" inset="0,15pt,0,0">
                <w:txbxContent>
                  <w:p w14:paraId="7D0383C3" w14:textId="0AE2C542"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D8B1" w14:textId="00C15A1C" w:rsidR="00EE5BB8" w:rsidRPr="00C6052E" w:rsidRDefault="00EE5BB8" w:rsidP="00437C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B0D6" w14:textId="1434868D" w:rsidR="00EE5BB8" w:rsidRPr="00C6052E" w:rsidRDefault="00EE5BB8" w:rsidP="00120E3A">
    <w:pPr>
      <w:pStyle w:val="Header"/>
    </w:pPr>
    <w:r w:rsidRPr="00C6052E">
      <w:rPr>
        <w:noProof/>
        <w14:ligatures w14:val="standardContextual"/>
      </w:rPr>
      <mc:AlternateContent>
        <mc:Choice Requires="wps">
          <w:drawing>
            <wp:anchor distT="0" distB="0" distL="0" distR="0" simplePos="0" relativeHeight="251658244" behindDoc="0" locked="0" layoutInCell="1" allowOverlap="1" wp14:anchorId="3E1A95E1" wp14:editId="00A4CD44">
              <wp:simplePos x="635" y="635"/>
              <wp:positionH relativeFrom="page">
                <wp:align>center</wp:align>
              </wp:positionH>
              <wp:positionV relativeFrom="page">
                <wp:align>top</wp:align>
              </wp:positionV>
              <wp:extent cx="906145" cy="393700"/>
              <wp:effectExtent l="0" t="0" r="8255" b="6350"/>
              <wp:wrapNone/>
              <wp:docPr id="1428581920" name="Text Box 1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393700"/>
                      </a:xfrm>
                      <a:prstGeom prst="rect">
                        <a:avLst/>
                      </a:prstGeom>
                      <a:noFill/>
                      <a:ln>
                        <a:noFill/>
                      </a:ln>
                    </wps:spPr>
                    <wps:txbx>
                      <w:txbxContent>
                        <w:p w14:paraId="2CA6D502" w14:textId="1746664D"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1A95E1" id="_x0000_t202" coordsize="21600,21600" o:spt="202" path="m,l,21600r21600,l21600,xe">
              <v:stroke joinstyle="miter"/>
              <v:path gradientshapeok="t" o:connecttype="rect"/>
            </v:shapetype>
            <v:shape id="Text Box 11" o:spid="_x0000_s1027" type="#_x0000_t202" alt="UNOFFICIAL" style="position:absolute;margin-left:0;margin-top:0;width:71.35pt;height:31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" filled="f" stroked="f">
              <v:textbox style="mso-fit-shape-to-text:t" inset="0,15pt,0,0">
                <w:txbxContent>
                  <w:p w14:paraId="2CA6D502" w14:textId="1746664D"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ED69" w14:textId="6C5AA2BB" w:rsidR="00EE5BB8" w:rsidRPr="00C6052E" w:rsidRDefault="00EE5BB8" w:rsidP="00120E3A">
    <w:pPr>
      <w:pStyle w:val="Header"/>
    </w:pPr>
    <w:r w:rsidRPr="00C6052E">
      <w:rPr>
        <w:noProof/>
        <w14:ligatures w14:val="standardContextual"/>
      </w:rPr>
      <mc:AlternateContent>
        <mc:Choice Requires="wps">
          <w:drawing>
            <wp:anchor distT="0" distB="0" distL="0" distR="0" simplePos="0" relativeHeight="251658255" behindDoc="0" locked="0" layoutInCell="1" allowOverlap="1" wp14:anchorId="6C21CE9A" wp14:editId="62A724BB">
              <wp:simplePos x="635" y="635"/>
              <wp:positionH relativeFrom="page">
                <wp:align>center</wp:align>
              </wp:positionH>
              <wp:positionV relativeFrom="page">
                <wp:align>top</wp:align>
              </wp:positionV>
              <wp:extent cx="906145" cy="393700"/>
              <wp:effectExtent l="0" t="0" r="8255" b="6350"/>
              <wp:wrapNone/>
              <wp:docPr id="481842804" name="Text Box 3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393700"/>
                      </a:xfrm>
                      <a:prstGeom prst="rect">
                        <a:avLst/>
                      </a:prstGeom>
                      <a:noFill/>
                      <a:ln>
                        <a:noFill/>
                      </a:ln>
                    </wps:spPr>
                    <wps:txbx>
                      <w:txbxContent>
                        <w:p w14:paraId="3552EE99" w14:textId="49983E05"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21CE9A" id="_x0000_t202" coordsize="21600,21600" o:spt="202" path="m,l,21600r21600,l21600,xe">
              <v:stroke joinstyle="miter"/>
              <v:path gradientshapeok="t" o:connecttype="rect"/>
            </v:shapetype>
            <v:shape id="Text Box 31" o:spid="_x0000_s1038" type="#_x0000_t202" alt="UNOFFICIAL" style="position:absolute;margin-left:0;margin-top:0;width:71.35pt;height:31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" filled="f" stroked="f">
              <v:textbox style="mso-fit-shape-to-text:t" inset="0,15pt,0,0">
                <w:txbxContent>
                  <w:p w14:paraId="3552EE99" w14:textId="49983E05"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82AF" w14:textId="43AE74E4" w:rsidR="00EE5BB8" w:rsidRPr="00C6052E" w:rsidRDefault="00EE5BB8" w:rsidP="00437C17">
    <w:pPr>
      <w:pStyle w:val="Header"/>
    </w:pPr>
    <w:r w:rsidRPr="00C6052E">
      <w:rPr>
        <w:noProof/>
        <w14:ligatures w14:val="standardContextual"/>
      </w:rPr>
      <mc:AlternateContent>
        <mc:Choice Requires="wps">
          <w:drawing>
            <wp:anchor distT="0" distB="0" distL="0" distR="0" simplePos="0" relativeHeight="251658256" behindDoc="0" locked="0" layoutInCell="1" allowOverlap="1" wp14:anchorId="16C71D6E" wp14:editId="0F041454">
              <wp:simplePos x="635" y="635"/>
              <wp:positionH relativeFrom="page">
                <wp:align>center</wp:align>
              </wp:positionH>
              <wp:positionV relativeFrom="page">
                <wp:align>top</wp:align>
              </wp:positionV>
              <wp:extent cx="906145" cy="393700"/>
              <wp:effectExtent l="0" t="0" r="8255" b="6350"/>
              <wp:wrapNone/>
              <wp:docPr id="393395917" name="Text Box 3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393700"/>
                      </a:xfrm>
                      <a:prstGeom prst="rect">
                        <a:avLst/>
                      </a:prstGeom>
                      <a:noFill/>
                      <a:ln>
                        <a:noFill/>
                      </a:ln>
                    </wps:spPr>
                    <wps:txbx>
                      <w:txbxContent>
                        <w:p w14:paraId="7A10A099" w14:textId="6AEDFDD3"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C71D6E" id="_x0000_t202" coordsize="21600,21600" o:spt="202" path="m,l,21600r21600,l21600,xe">
              <v:stroke joinstyle="miter"/>
              <v:path gradientshapeok="t" o:connecttype="rect"/>
            </v:shapetype>
            <v:shape id="Text Box 32" o:spid="_x0000_s1039" type="#_x0000_t202" alt="UNOFFICIAL" style="position:absolute;margin-left:0;margin-top:0;width:71.35pt;height:31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" filled="f" stroked="f">
              <v:textbox style="mso-fit-shape-to-text:t" inset="0,15pt,0,0">
                <w:txbxContent>
                  <w:p w14:paraId="7A10A099" w14:textId="6AEDFDD3"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910C" w14:textId="6DA11814" w:rsidR="00EE5BB8" w:rsidRPr="00C6052E" w:rsidRDefault="00EE5BB8">
    <w:pPr>
      <w:pStyle w:val="Header"/>
    </w:pPr>
    <w:r w:rsidRPr="00C6052E">
      <w:rPr>
        <w:noProof/>
        <w14:ligatures w14:val="standardContextual"/>
      </w:rPr>
      <mc:AlternateContent>
        <mc:Choice Requires="wps">
          <w:drawing>
            <wp:anchor distT="0" distB="0" distL="0" distR="0" simplePos="0" relativeHeight="251658261" behindDoc="0" locked="0" layoutInCell="1" allowOverlap="1" wp14:anchorId="5825B871" wp14:editId="061DF824">
              <wp:simplePos x="635" y="635"/>
              <wp:positionH relativeFrom="page">
                <wp:align>center</wp:align>
              </wp:positionH>
              <wp:positionV relativeFrom="page">
                <wp:align>top</wp:align>
              </wp:positionV>
              <wp:extent cx="906145" cy="393700"/>
              <wp:effectExtent l="0" t="0" r="8255" b="6350"/>
              <wp:wrapNone/>
              <wp:docPr id="1287231877" name="Text Box 6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393700"/>
                      </a:xfrm>
                      <a:prstGeom prst="rect">
                        <a:avLst/>
                      </a:prstGeom>
                      <a:noFill/>
                      <a:ln>
                        <a:noFill/>
                      </a:ln>
                    </wps:spPr>
                    <wps:txbx>
                      <w:txbxContent>
                        <w:p w14:paraId="0907A395" w14:textId="051B4F78"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25B871" id="_x0000_t202" coordsize="21600,21600" o:spt="202" path="m,l,21600r21600,l21600,xe">
              <v:stroke joinstyle="miter"/>
              <v:path gradientshapeok="t" o:connecttype="rect"/>
            </v:shapetype>
            <v:shape id="Text Box 63" o:spid="_x0000_s1040" type="#_x0000_t202" alt="UNOFFICIAL" style="position:absolute;margin-left:0;margin-top:0;width:71.35pt;height:31pt;z-index:2516582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" filled="f" stroked="f">
              <v:textbox style="mso-fit-shape-to-text:t" inset="0,15pt,0,0">
                <w:txbxContent>
                  <w:p w14:paraId="0907A395" w14:textId="051B4F78"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73B4" w14:textId="61B246C4" w:rsidR="00EE5BB8" w:rsidRPr="00C6052E" w:rsidRDefault="00EE5B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AE6C" w14:textId="11713FDF" w:rsidR="00EE5BB8" w:rsidRPr="00C6052E" w:rsidRDefault="00EE5BB8" w:rsidP="00437C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B0F0" w14:textId="6AC429E1" w:rsidR="00EE5BB8" w:rsidRPr="00C6052E" w:rsidRDefault="00EE5BB8" w:rsidP="00120E3A">
    <w:pPr>
      <w:pStyle w:val="Header"/>
    </w:pPr>
    <w:r w:rsidRPr="00C6052E">
      <w:rPr>
        <w:noProof/>
        <w14:ligatures w14:val="standardContextual"/>
      </w:rPr>
      <mc:AlternateContent>
        <mc:Choice Requires="wps">
          <w:drawing>
            <wp:anchor distT="0" distB="0" distL="0" distR="0" simplePos="0" relativeHeight="251658245" behindDoc="0" locked="0" layoutInCell="1" allowOverlap="1" wp14:anchorId="0287820C" wp14:editId="211DFAE0">
              <wp:simplePos x="635" y="635"/>
              <wp:positionH relativeFrom="page">
                <wp:align>center</wp:align>
              </wp:positionH>
              <wp:positionV relativeFrom="page">
                <wp:align>top</wp:align>
              </wp:positionV>
              <wp:extent cx="906145" cy="393700"/>
              <wp:effectExtent l="0" t="0" r="8255" b="6350"/>
              <wp:wrapNone/>
              <wp:docPr id="1159018045" name="Text Box 1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393700"/>
                      </a:xfrm>
                      <a:prstGeom prst="rect">
                        <a:avLst/>
                      </a:prstGeom>
                      <a:noFill/>
                      <a:ln>
                        <a:noFill/>
                      </a:ln>
                    </wps:spPr>
                    <wps:txbx>
                      <w:txbxContent>
                        <w:p w14:paraId="5C0E3284" w14:textId="27B4D948"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87820C" id="_x0000_t202" coordsize="21600,21600" o:spt="202" path="m,l,21600r21600,l21600,xe">
              <v:stroke joinstyle="miter"/>
              <v:path gradientshapeok="t" o:connecttype="rect"/>
            </v:shapetype>
            <v:shape id="Text Box 13" o:spid="_x0000_s1028" type="#_x0000_t202" alt="UNOFFICIAL" style="position:absolute;margin-left:0;margin-top:0;width:71.35pt;height:3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" filled="f" stroked="f">
              <v:textbox style="mso-fit-shape-to-text:t" inset="0,15pt,0,0">
                <w:txbxContent>
                  <w:p w14:paraId="5C0E3284" w14:textId="27B4D948"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B45E0" w14:textId="2A05D87B" w:rsidR="00EE5BB8" w:rsidRPr="00C6052E" w:rsidRDefault="00EE5BB8" w:rsidP="00437C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2A59" w14:textId="42A4E39C" w:rsidR="00EE5BB8" w:rsidRPr="00C6052E" w:rsidRDefault="00EE5BB8" w:rsidP="00120E3A">
    <w:pPr>
      <w:pStyle w:val="Header"/>
    </w:pPr>
    <w:r w:rsidRPr="00C6052E">
      <w:rPr>
        <w:noProof/>
        <w14:ligatures w14:val="standardContextual"/>
      </w:rPr>
      <mc:AlternateContent>
        <mc:Choice Requires="wps">
          <w:drawing>
            <wp:anchor distT="0" distB="0" distL="0" distR="0" simplePos="0" relativeHeight="251658246" behindDoc="0" locked="0" layoutInCell="1" allowOverlap="1" wp14:anchorId="4ABCB0FC" wp14:editId="18E80387">
              <wp:simplePos x="635" y="635"/>
              <wp:positionH relativeFrom="page">
                <wp:align>center</wp:align>
              </wp:positionH>
              <wp:positionV relativeFrom="page">
                <wp:align>top</wp:align>
              </wp:positionV>
              <wp:extent cx="906145" cy="393700"/>
              <wp:effectExtent l="0" t="0" r="8255" b="6350"/>
              <wp:wrapNone/>
              <wp:docPr id="699870312" name="Text Box 15"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393700"/>
                      </a:xfrm>
                      <a:prstGeom prst="rect">
                        <a:avLst/>
                      </a:prstGeom>
                      <a:noFill/>
                      <a:ln>
                        <a:noFill/>
                      </a:ln>
                    </wps:spPr>
                    <wps:txbx>
                      <w:txbxContent>
                        <w:p w14:paraId="126DD9BE" w14:textId="1B470C11"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BCB0FC" id="_x0000_t202" coordsize="21600,21600" o:spt="202" path="m,l,21600r21600,l21600,xe">
              <v:stroke joinstyle="miter"/>
              <v:path gradientshapeok="t" o:connecttype="rect"/>
            </v:shapetype>
            <v:shape id="Text Box 15" o:spid="_x0000_s1029" type="#_x0000_t202" alt="UNOFFICIAL" style="position:absolute;margin-left:0;margin-top:0;width:71.35pt;height:31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" filled="f" stroked="f">
              <v:textbox style="mso-fit-shape-to-text:t" inset="0,15pt,0,0">
                <w:txbxContent>
                  <w:p w14:paraId="126DD9BE" w14:textId="1B470C11"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EBFD3" w14:textId="2E9DFC6C" w:rsidR="00EE5BB8" w:rsidRPr="00C6052E" w:rsidRDefault="00EE5BB8" w:rsidP="00437C1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2EFA" w14:textId="148CD01A" w:rsidR="00EE5BB8" w:rsidRPr="00C6052E" w:rsidRDefault="00EE5BB8" w:rsidP="00120E3A">
    <w:pPr>
      <w:pStyle w:val="Header"/>
    </w:pPr>
    <w:r w:rsidRPr="00C6052E">
      <w:rPr>
        <w:noProof/>
        <w14:ligatures w14:val="standardContextual"/>
      </w:rPr>
      <mc:AlternateContent>
        <mc:Choice Requires="wps">
          <w:drawing>
            <wp:anchor distT="0" distB="0" distL="0" distR="0" simplePos="0" relativeHeight="251658247" behindDoc="0" locked="0" layoutInCell="1" allowOverlap="1" wp14:anchorId="79182CBD" wp14:editId="5E1BB8BE">
              <wp:simplePos x="635" y="635"/>
              <wp:positionH relativeFrom="page">
                <wp:align>center</wp:align>
              </wp:positionH>
              <wp:positionV relativeFrom="page">
                <wp:align>top</wp:align>
              </wp:positionV>
              <wp:extent cx="906145" cy="393700"/>
              <wp:effectExtent l="0" t="0" r="8255" b="6350"/>
              <wp:wrapNone/>
              <wp:docPr id="1094965441" name="Text Box 17"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393700"/>
                      </a:xfrm>
                      <a:prstGeom prst="rect">
                        <a:avLst/>
                      </a:prstGeom>
                      <a:noFill/>
                      <a:ln>
                        <a:noFill/>
                      </a:ln>
                    </wps:spPr>
                    <wps:txbx>
                      <w:txbxContent>
                        <w:p w14:paraId="0659426D" w14:textId="2955FD15"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182CBD" id="_x0000_t202" coordsize="21600,21600" o:spt="202" path="m,l,21600r21600,l21600,xe">
              <v:stroke joinstyle="miter"/>
              <v:path gradientshapeok="t" o:connecttype="rect"/>
            </v:shapetype>
            <v:shape id="Text Box 17" o:spid="_x0000_s1030" type="#_x0000_t202" alt="UNOFFICIAL" style="position:absolute;margin-left:0;margin-top:0;width:71.35pt;height:31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" filled="f" stroked="f">
              <v:textbox style="mso-fit-shape-to-text:t" inset="0,15pt,0,0">
                <w:txbxContent>
                  <w:p w14:paraId="0659426D" w14:textId="2955FD15"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C1F1" w14:textId="414DEB8C" w:rsidR="00EE5BB8" w:rsidRPr="00C6052E" w:rsidRDefault="00EE5BB8" w:rsidP="00120E3A">
    <w:pPr>
      <w:pStyle w:val="Header"/>
    </w:pPr>
    <w:r w:rsidRPr="00C6052E">
      <w:rPr>
        <w:noProof/>
        <w14:ligatures w14:val="standardContextual"/>
      </w:rPr>
      <mc:AlternateContent>
        <mc:Choice Requires="wps">
          <w:drawing>
            <wp:anchor distT="0" distB="0" distL="0" distR="0" simplePos="0" relativeHeight="251658248" behindDoc="0" locked="0" layoutInCell="1" allowOverlap="1" wp14:anchorId="655236EB" wp14:editId="2F555B85">
              <wp:simplePos x="635" y="635"/>
              <wp:positionH relativeFrom="page">
                <wp:align>center</wp:align>
              </wp:positionH>
              <wp:positionV relativeFrom="page">
                <wp:align>top</wp:align>
              </wp:positionV>
              <wp:extent cx="906145" cy="393700"/>
              <wp:effectExtent l="0" t="0" r="8255" b="6350"/>
              <wp:wrapNone/>
              <wp:docPr id="1785414645" name="Text Box 18"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393700"/>
                      </a:xfrm>
                      <a:prstGeom prst="rect">
                        <a:avLst/>
                      </a:prstGeom>
                      <a:noFill/>
                      <a:ln>
                        <a:noFill/>
                      </a:ln>
                    </wps:spPr>
                    <wps:txbx>
                      <w:txbxContent>
                        <w:p w14:paraId="17868ED1" w14:textId="2021B5B4"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5236EB" id="_x0000_t202" coordsize="21600,21600" o:spt="202" path="m,l,21600r21600,l21600,xe">
              <v:stroke joinstyle="miter"/>
              <v:path gradientshapeok="t" o:connecttype="rect"/>
            </v:shapetype>
            <v:shape id="Text Box 18" o:spid="_x0000_s1031" type="#_x0000_t202" alt="UNOFFICIAL" style="position:absolute;margin-left:0;margin-top:0;width:71.35pt;height:31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" filled="f" stroked="f">
              <v:textbox style="mso-fit-shape-to-text:t" inset="0,15pt,0,0">
                <w:txbxContent>
                  <w:p w14:paraId="17868ED1" w14:textId="2021B5B4"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B44"/>
    <w:multiLevelType w:val="hybridMultilevel"/>
    <w:tmpl w:val="0F4C2FF6"/>
    <w:lvl w:ilvl="0" w:tplc="FFFFFFFF">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550CD6"/>
    <w:multiLevelType w:val="hybridMultilevel"/>
    <w:tmpl w:val="56EAA8FC"/>
    <w:lvl w:ilvl="0" w:tplc="FFFFFFFF">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3F0493"/>
    <w:multiLevelType w:val="hybridMultilevel"/>
    <w:tmpl w:val="CEF2D786"/>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115893"/>
    <w:multiLevelType w:val="hybridMultilevel"/>
    <w:tmpl w:val="7DD00AA8"/>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0456EE"/>
    <w:multiLevelType w:val="hybridMultilevel"/>
    <w:tmpl w:val="ED8808EA"/>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EB6ECF"/>
    <w:multiLevelType w:val="hybridMultilevel"/>
    <w:tmpl w:val="EE66435A"/>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A6629C"/>
    <w:multiLevelType w:val="hybridMultilevel"/>
    <w:tmpl w:val="EECE1768"/>
    <w:lvl w:ilvl="0" w:tplc="04090019">
      <w:start w:val="1"/>
      <w:numFmt w:val="lowerLetter"/>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B26E91"/>
    <w:multiLevelType w:val="hybridMultilevel"/>
    <w:tmpl w:val="2C0044A2"/>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FF6FBC"/>
    <w:multiLevelType w:val="hybridMultilevel"/>
    <w:tmpl w:val="BF5EF25A"/>
    <w:lvl w:ilvl="0" w:tplc="28CC6E1A">
      <w:start w:val="1"/>
      <w:numFmt w:val="decimal"/>
      <w:lvlText w:val="%1."/>
      <w:lvlJc w:val="left"/>
      <w:pPr>
        <w:ind w:left="284" w:hanging="284"/>
      </w:pPr>
      <w:rPr>
        <w:rFont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357A56"/>
    <w:multiLevelType w:val="hybridMultilevel"/>
    <w:tmpl w:val="7EFAD776"/>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D00B84"/>
    <w:multiLevelType w:val="hybridMultilevel"/>
    <w:tmpl w:val="4B986B64"/>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057E37"/>
    <w:multiLevelType w:val="hybridMultilevel"/>
    <w:tmpl w:val="D7B25184"/>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BE277B"/>
    <w:multiLevelType w:val="hybridMultilevel"/>
    <w:tmpl w:val="7D2A40B6"/>
    <w:lvl w:ilvl="0" w:tplc="F66AFD0A">
      <w:start w:val="1"/>
      <w:numFmt w:val="bullet"/>
      <w:pStyle w:val="TableBullet"/>
      <w:lvlText w:val=""/>
      <w:lvlJc w:val="left"/>
      <w:pPr>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7D44FF"/>
    <w:multiLevelType w:val="hybridMultilevel"/>
    <w:tmpl w:val="9C62F9A8"/>
    <w:lvl w:ilvl="0" w:tplc="27A2F330">
      <w:start w:val="1"/>
      <w:numFmt w:val="lowerLetter"/>
      <w:lvlText w:val="(%1)"/>
      <w:lvlJc w:val="left"/>
      <w:pPr>
        <w:ind w:left="284" w:hanging="284"/>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40001E"/>
    <w:multiLevelType w:val="hybridMultilevel"/>
    <w:tmpl w:val="79949276"/>
    <w:lvl w:ilvl="0" w:tplc="8E909B62">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C8B43A7"/>
    <w:multiLevelType w:val="hybridMultilevel"/>
    <w:tmpl w:val="5824DDB0"/>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AE08BB"/>
    <w:multiLevelType w:val="hybridMultilevel"/>
    <w:tmpl w:val="FE464DB6"/>
    <w:lvl w:ilvl="0" w:tplc="E83CF0FE">
      <w:start w:val="1"/>
      <w:numFmt w:val="decimal"/>
      <w:pStyle w:val="Tablenotes-numbered"/>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8520FE"/>
    <w:multiLevelType w:val="hybridMultilevel"/>
    <w:tmpl w:val="7EFAD776"/>
    <w:lvl w:ilvl="0" w:tplc="FFFFFFFF">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E015455"/>
    <w:multiLevelType w:val="hybridMultilevel"/>
    <w:tmpl w:val="0C30E990"/>
    <w:lvl w:ilvl="0" w:tplc="BB484E26">
      <w:numFmt w:val="bullet"/>
      <w:lvlText w:val="•"/>
      <w:lvlJc w:val="left"/>
      <w:pPr>
        <w:ind w:left="832" w:hanging="366"/>
      </w:pPr>
      <w:rPr>
        <w:rFonts w:ascii="Arial" w:eastAsia="Arial" w:hAnsi="Arial" w:cs="Arial" w:hint="default"/>
        <w:b w:val="0"/>
        <w:bCs w:val="0"/>
        <w:i w:val="0"/>
        <w:iCs w:val="0"/>
        <w:spacing w:val="0"/>
        <w:w w:val="123"/>
        <w:sz w:val="17"/>
        <w:szCs w:val="17"/>
        <w:lang w:val="en-US" w:eastAsia="en-US" w:bidi="ar-SA"/>
      </w:rPr>
    </w:lvl>
    <w:lvl w:ilvl="1" w:tplc="7494D044">
      <w:numFmt w:val="bullet"/>
      <w:lvlText w:val="•"/>
      <w:lvlJc w:val="left"/>
      <w:pPr>
        <w:ind w:left="1580" w:hanging="366"/>
      </w:pPr>
      <w:rPr>
        <w:rFonts w:hint="default"/>
        <w:lang w:val="en-US" w:eastAsia="en-US" w:bidi="ar-SA"/>
      </w:rPr>
    </w:lvl>
    <w:lvl w:ilvl="2" w:tplc="7114A724">
      <w:numFmt w:val="bullet"/>
      <w:lvlText w:val="•"/>
      <w:lvlJc w:val="left"/>
      <w:pPr>
        <w:ind w:left="2321" w:hanging="366"/>
      </w:pPr>
      <w:rPr>
        <w:rFonts w:hint="default"/>
        <w:lang w:val="en-US" w:eastAsia="en-US" w:bidi="ar-SA"/>
      </w:rPr>
    </w:lvl>
    <w:lvl w:ilvl="3" w:tplc="797034B4">
      <w:numFmt w:val="bullet"/>
      <w:lvlText w:val="•"/>
      <w:lvlJc w:val="left"/>
      <w:pPr>
        <w:ind w:left="3061" w:hanging="366"/>
      </w:pPr>
      <w:rPr>
        <w:rFonts w:hint="default"/>
        <w:lang w:val="en-US" w:eastAsia="en-US" w:bidi="ar-SA"/>
      </w:rPr>
    </w:lvl>
    <w:lvl w:ilvl="4" w:tplc="3B8E462C">
      <w:numFmt w:val="bullet"/>
      <w:lvlText w:val="•"/>
      <w:lvlJc w:val="left"/>
      <w:pPr>
        <w:ind w:left="3802" w:hanging="366"/>
      </w:pPr>
      <w:rPr>
        <w:rFonts w:hint="default"/>
        <w:lang w:val="en-US" w:eastAsia="en-US" w:bidi="ar-SA"/>
      </w:rPr>
    </w:lvl>
    <w:lvl w:ilvl="5" w:tplc="8E3C00B6">
      <w:numFmt w:val="bullet"/>
      <w:lvlText w:val="•"/>
      <w:lvlJc w:val="left"/>
      <w:pPr>
        <w:ind w:left="4543" w:hanging="366"/>
      </w:pPr>
      <w:rPr>
        <w:rFonts w:hint="default"/>
        <w:lang w:val="en-US" w:eastAsia="en-US" w:bidi="ar-SA"/>
      </w:rPr>
    </w:lvl>
    <w:lvl w:ilvl="6" w:tplc="AF281E9C">
      <w:numFmt w:val="bullet"/>
      <w:lvlText w:val="•"/>
      <w:lvlJc w:val="left"/>
      <w:pPr>
        <w:ind w:left="5283" w:hanging="366"/>
      </w:pPr>
      <w:rPr>
        <w:rFonts w:hint="default"/>
        <w:lang w:val="en-US" w:eastAsia="en-US" w:bidi="ar-SA"/>
      </w:rPr>
    </w:lvl>
    <w:lvl w:ilvl="7" w:tplc="CCB01ACA">
      <w:numFmt w:val="bullet"/>
      <w:lvlText w:val="•"/>
      <w:lvlJc w:val="left"/>
      <w:pPr>
        <w:ind w:left="6024" w:hanging="366"/>
      </w:pPr>
      <w:rPr>
        <w:rFonts w:hint="default"/>
        <w:lang w:val="en-US" w:eastAsia="en-US" w:bidi="ar-SA"/>
      </w:rPr>
    </w:lvl>
    <w:lvl w:ilvl="8" w:tplc="214A9AB4">
      <w:numFmt w:val="bullet"/>
      <w:lvlText w:val="•"/>
      <w:lvlJc w:val="left"/>
      <w:pPr>
        <w:ind w:left="6765" w:hanging="366"/>
      </w:pPr>
      <w:rPr>
        <w:rFonts w:hint="default"/>
        <w:lang w:val="en-US" w:eastAsia="en-US" w:bidi="ar-SA"/>
      </w:rPr>
    </w:lvl>
  </w:abstractNum>
  <w:abstractNum w:abstractNumId="19" w15:restartNumberingAfterBreak="0">
    <w:nsid w:val="1E0F51A3"/>
    <w:multiLevelType w:val="hybridMultilevel"/>
    <w:tmpl w:val="BEFC745E"/>
    <w:lvl w:ilvl="0" w:tplc="32E86D06">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057707E"/>
    <w:multiLevelType w:val="hybridMultilevel"/>
    <w:tmpl w:val="071E645A"/>
    <w:lvl w:ilvl="0" w:tplc="04090019">
      <w:start w:val="1"/>
      <w:numFmt w:val="lowerLetter"/>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8660E8C"/>
    <w:multiLevelType w:val="hybridMultilevel"/>
    <w:tmpl w:val="25467588"/>
    <w:lvl w:ilvl="0" w:tplc="04090019">
      <w:start w:val="1"/>
      <w:numFmt w:val="lowerLetter"/>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8D34EFC"/>
    <w:multiLevelType w:val="hybridMultilevel"/>
    <w:tmpl w:val="690EBEE0"/>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BF50187"/>
    <w:multiLevelType w:val="hybridMultilevel"/>
    <w:tmpl w:val="308CB480"/>
    <w:lvl w:ilvl="0" w:tplc="32E86D06">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C352FFB"/>
    <w:multiLevelType w:val="hybridMultilevel"/>
    <w:tmpl w:val="EB5CAA00"/>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E8860EE"/>
    <w:multiLevelType w:val="hybridMultilevel"/>
    <w:tmpl w:val="147C5580"/>
    <w:lvl w:ilvl="0" w:tplc="92B8491A">
      <w:start w:val="1"/>
      <w:numFmt w:val="lowerLetter"/>
      <w:pStyle w:val="Bulleta"/>
      <w:lvlText w:val="%1)"/>
      <w:lvlJc w:val="left"/>
      <w:pPr>
        <w:ind w:left="284" w:hanging="284"/>
      </w:pPr>
      <w:rPr>
        <w:rFonts w:ascii="Arial" w:eastAsia="Arial" w:hAnsi="Arial" w:cs="Arial" w:hint="default"/>
        <w:color w:val="383834"/>
        <w:spacing w:val="-2"/>
        <w:w w:val="103"/>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313744F2"/>
    <w:multiLevelType w:val="hybridMultilevel"/>
    <w:tmpl w:val="80BAD51A"/>
    <w:lvl w:ilvl="0" w:tplc="FFFFFFFF">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15E1443"/>
    <w:multiLevelType w:val="hybridMultilevel"/>
    <w:tmpl w:val="F0989CDC"/>
    <w:lvl w:ilvl="0" w:tplc="32E86D06">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2CF6C8A"/>
    <w:multiLevelType w:val="hybridMultilevel"/>
    <w:tmpl w:val="C6842A4E"/>
    <w:lvl w:ilvl="0" w:tplc="68A05D72">
      <w:start w:val="1"/>
      <w:numFmt w:val="decimal"/>
      <w:pStyle w:val="Heading5"/>
      <w:lvlText w:val="%1."/>
      <w:lvlJc w:val="left"/>
      <w:pPr>
        <w:ind w:left="284" w:hanging="284"/>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3690DD0"/>
    <w:multiLevelType w:val="hybridMultilevel"/>
    <w:tmpl w:val="58C4DDD4"/>
    <w:lvl w:ilvl="0" w:tplc="88104A3C">
      <w:start w:val="9"/>
      <w:numFmt w:val="bullet"/>
      <w:lvlText w:val="–"/>
      <w:lvlJc w:val="left"/>
      <w:pPr>
        <w:ind w:left="644" w:hanging="360"/>
      </w:pPr>
      <w:rPr>
        <w:rFonts w:ascii="VIC Light Italic" w:eastAsiaTheme="minorHAnsi" w:hAnsi="VIC Light Italic"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0" w15:restartNumberingAfterBreak="0">
    <w:nsid w:val="35356FE0"/>
    <w:multiLevelType w:val="hybridMultilevel"/>
    <w:tmpl w:val="B352DDFE"/>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6D41CCC"/>
    <w:multiLevelType w:val="hybridMultilevel"/>
    <w:tmpl w:val="22C4260A"/>
    <w:lvl w:ilvl="0" w:tplc="D9D697CA">
      <w:numFmt w:val="bullet"/>
      <w:pStyle w:val="Bullet1"/>
      <w:lvlText w:val="•"/>
      <w:lvlJc w:val="left"/>
      <w:pPr>
        <w:ind w:left="717" w:hanging="360"/>
      </w:pPr>
      <w:rPr>
        <w:rFonts w:ascii="Arial" w:hAnsi="Arial" w:cstheme="minorBidi" w:hint="default"/>
        <w:sz w:val="24"/>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7FE42FC"/>
    <w:multiLevelType w:val="multilevel"/>
    <w:tmpl w:val="B6509240"/>
    <w:styleLink w:val="ListBulletStyle"/>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Arial" w:hAnsi="Arial" w:hint="default"/>
      </w:rPr>
    </w:lvl>
    <w:lvl w:ilvl="2">
      <w:start w:val="1"/>
      <w:numFmt w:val="bullet"/>
      <w:lvlText w:val=""/>
      <w:lvlJc w:val="left"/>
      <w:pPr>
        <w:tabs>
          <w:tab w:val="num" w:pos="852"/>
        </w:tabs>
        <w:ind w:left="852" w:hanging="284"/>
      </w:pPr>
      <w:rPr>
        <w:rFonts w:ascii="Symbol" w:hAnsi="Symbol"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33" w15:restartNumberingAfterBreak="0">
    <w:nsid w:val="38460243"/>
    <w:multiLevelType w:val="hybridMultilevel"/>
    <w:tmpl w:val="F26C99C8"/>
    <w:lvl w:ilvl="0" w:tplc="0F408CB0">
      <w:numFmt w:val="bullet"/>
      <w:lvlText w:val="•"/>
      <w:lvlJc w:val="left"/>
      <w:pPr>
        <w:ind w:left="569" w:hanging="360"/>
      </w:pPr>
      <w:rPr>
        <w:rFonts w:ascii="Arial" w:eastAsia="Arial" w:hAnsi="Arial" w:cs="Arial" w:hint="default"/>
        <w:b w:val="0"/>
        <w:bCs w:val="0"/>
        <w:i w:val="0"/>
        <w:iCs w:val="0"/>
        <w:color w:val="010101"/>
        <w:spacing w:val="0"/>
        <w:w w:val="103"/>
        <w:sz w:val="17"/>
        <w:szCs w:val="17"/>
        <w:lang w:val="en-US" w:eastAsia="en-US" w:bidi="ar-SA"/>
      </w:rPr>
    </w:lvl>
    <w:lvl w:ilvl="1" w:tplc="B37650EA">
      <w:numFmt w:val="bullet"/>
      <w:lvlText w:val="•"/>
      <w:lvlJc w:val="left"/>
      <w:pPr>
        <w:ind w:left="1047" w:hanging="360"/>
      </w:pPr>
      <w:rPr>
        <w:rFonts w:hint="default"/>
        <w:lang w:val="en-US" w:eastAsia="en-US" w:bidi="ar-SA"/>
      </w:rPr>
    </w:lvl>
    <w:lvl w:ilvl="2" w:tplc="98DE0CBE">
      <w:numFmt w:val="bullet"/>
      <w:lvlText w:val="•"/>
      <w:lvlJc w:val="left"/>
      <w:pPr>
        <w:ind w:left="1535" w:hanging="360"/>
      </w:pPr>
      <w:rPr>
        <w:rFonts w:hint="default"/>
        <w:lang w:val="en-US" w:eastAsia="en-US" w:bidi="ar-SA"/>
      </w:rPr>
    </w:lvl>
    <w:lvl w:ilvl="3" w:tplc="3BE674EC">
      <w:numFmt w:val="bullet"/>
      <w:lvlText w:val="•"/>
      <w:lvlJc w:val="left"/>
      <w:pPr>
        <w:ind w:left="2023" w:hanging="360"/>
      </w:pPr>
      <w:rPr>
        <w:rFonts w:hint="default"/>
        <w:lang w:val="en-US" w:eastAsia="en-US" w:bidi="ar-SA"/>
      </w:rPr>
    </w:lvl>
    <w:lvl w:ilvl="4" w:tplc="F07C54C8">
      <w:numFmt w:val="bullet"/>
      <w:lvlText w:val="•"/>
      <w:lvlJc w:val="left"/>
      <w:pPr>
        <w:ind w:left="2510" w:hanging="360"/>
      </w:pPr>
      <w:rPr>
        <w:rFonts w:hint="default"/>
        <w:lang w:val="en-US" w:eastAsia="en-US" w:bidi="ar-SA"/>
      </w:rPr>
    </w:lvl>
    <w:lvl w:ilvl="5" w:tplc="E4F63546">
      <w:numFmt w:val="bullet"/>
      <w:lvlText w:val="•"/>
      <w:lvlJc w:val="left"/>
      <w:pPr>
        <w:ind w:left="2998" w:hanging="360"/>
      </w:pPr>
      <w:rPr>
        <w:rFonts w:hint="default"/>
        <w:lang w:val="en-US" w:eastAsia="en-US" w:bidi="ar-SA"/>
      </w:rPr>
    </w:lvl>
    <w:lvl w:ilvl="6" w:tplc="23D64A8E">
      <w:numFmt w:val="bullet"/>
      <w:lvlText w:val="•"/>
      <w:lvlJc w:val="left"/>
      <w:pPr>
        <w:ind w:left="3486" w:hanging="360"/>
      </w:pPr>
      <w:rPr>
        <w:rFonts w:hint="default"/>
        <w:lang w:val="en-US" w:eastAsia="en-US" w:bidi="ar-SA"/>
      </w:rPr>
    </w:lvl>
    <w:lvl w:ilvl="7" w:tplc="86A8704E">
      <w:numFmt w:val="bullet"/>
      <w:lvlText w:val="•"/>
      <w:lvlJc w:val="left"/>
      <w:pPr>
        <w:ind w:left="3973" w:hanging="360"/>
      </w:pPr>
      <w:rPr>
        <w:rFonts w:hint="default"/>
        <w:lang w:val="en-US" w:eastAsia="en-US" w:bidi="ar-SA"/>
      </w:rPr>
    </w:lvl>
    <w:lvl w:ilvl="8" w:tplc="B98262E8">
      <w:numFmt w:val="bullet"/>
      <w:lvlText w:val="•"/>
      <w:lvlJc w:val="left"/>
      <w:pPr>
        <w:ind w:left="4461" w:hanging="360"/>
      </w:pPr>
      <w:rPr>
        <w:rFonts w:hint="default"/>
        <w:lang w:val="en-US" w:eastAsia="en-US" w:bidi="ar-SA"/>
      </w:rPr>
    </w:lvl>
  </w:abstractNum>
  <w:abstractNum w:abstractNumId="34" w15:restartNumberingAfterBreak="0">
    <w:nsid w:val="391109B2"/>
    <w:multiLevelType w:val="hybridMultilevel"/>
    <w:tmpl w:val="41DC0D9A"/>
    <w:lvl w:ilvl="0" w:tplc="26ACE7AE">
      <w:numFmt w:val="bullet"/>
      <w:lvlText w:val="•"/>
      <w:lvlJc w:val="left"/>
      <w:pPr>
        <w:ind w:left="814" w:hanging="359"/>
      </w:pPr>
      <w:rPr>
        <w:rFonts w:ascii="Arial" w:eastAsia="Arial" w:hAnsi="Arial" w:cs="Arial" w:hint="default"/>
        <w:b w:val="0"/>
        <w:bCs w:val="0"/>
        <w:i w:val="0"/>
        <w:iCs w:val="0"/>
        <w:color w:val="010101"/>
        <w:spacing w:val="0"/>
        <w:w w:val="106"/>
        <w:sz w:val="17"/>
        <w:szCs w:val="17"/>
        <w:lang w:val="en-US" w:eastAsia="en-US" w:bidi="ar-SA"/>
      </w:rPr>
    </w:lvl>
    <w:lvl w:ilvl="1" w:tplc="AACE50F8">
      <w:numFmt w:val="bullet"/>
      <w:lvlText w:val="•"/>
      <w:lvlJc w:val="left"/>
      <w:pPr>
        <w:ind w:left="1547" w:hanging="359"/>
      </w:pPr>
      <w:rPr>
        <w:rFonts w:hint="default"/>
        <w:lang w:val="en-US" w:eastAsia="en-US" w:bidi="ar-SA"/>
      </w:rPr>
    </w:lvl>
    <w:lvl w:ilvl="2" w:tplc="9C0C27A2">
      <w:numFmt w:val="bullet"/>
      <w:lvlText w:val="•"/>
      <w:lvlJc w:val="left"/>
      <w:pPr>
        <w:ind w:left="2274" w:hanging="359"/>
      </w:pPr>
      <w:rPr>
        <w:rFonts w:hint="default"/>
        <w:lang w:val="en-US" w:eastAsia="en-US" w:bidi="ar-SA"/>
      </w:rPr>
    </w:lvl>
    <w:lvl w:ilvl="3" w:tplc="CE540748">
      <w:numFmt w:val="bullet"/>
      <w:lvlText w:val="•"/>
      <w:lvlJc w:val="left"/>
      <w:pPr>
        <w:ind w:left="3002" w:hanging="359"/>
      </w:pPr>
      <w:rPr>
        <w:rFonts w:hint="default"/>
        <w:lang w:val="en-US" w:eastAsia="en-US" w:bidi="ar-SA"/>
      </w:rPr>
    </w:lvl>
    <w:lvl w:ilvl="4" w:tplc="BBEAAE70">
      <w:numFmt w:val="bullet"/>
      <w:lvlText w:val="•"/>
      <w:lvlJc w:val="left"/>
      <w:pPr>
        <w:ind w:left="3729" w:hanging="359"/>
      </w:pPr>
      <w:rPr>
        <w:rFonts w:hint="default"/>
        <w:lang w:val="en-US" w:eastAsia="en-US" w:bidi="ar-SA"/>
      </w:rPr>
    </w:lvl>
    <w:lvl w:ilvl="5" w:tplc="AA52B048">
      <w:numFmt w:val="bullet"/>
      <w:lvlText w:val="•"/>
      <w:lvlJc w:val="left"/>
      <w:pPr>
        <w:ind w:left="4457" w:hanging="359"/>
      </w:pPr>
      <w:rPr>
        <w:rFonts w:hint="default"/>
        <w:lang w:val="en-US" w:eastAsia="en-US" w:bidi="ar-SA"/>
      </w:rPr>
    </w:lvl>
    <w:lvl w:ilvl="6" w:tplc="470601EA">
      <w:numFmt w:val="bullet"/>
      <w:lvlText w:val="•"/>
      <w:lvlJc w:val="left"/>
      <w:pPr>
        <w:ind w:left="5184" w:hanging="359"/>
      </w:pPr>
      <w:rPr>
        <w:rFonts w:hint="default"/>
        <w:lang w:val="en-US" w:eastAsia="en-US" w:bidi="ar-SA"/>
      </w:rPr>
    </w:lvl>
    <w:lvl w:ilvl="7" w:tplc="DC7877FC">
      <w:numFmt w:val="bullet"/>
      <w:lvlText w:val="•"/>
      <w:lvlJc w:val="left"/>
      <w:pPr>
        <w:ind w:left="5912" w:hanging="359"/>
      </w:pPr>
      <w:rPr>
        <w:rFonts w:hint="default"/>
        <w:lang w:val="en-US" w:eastAsia="en-US" w:bidi="ar-SA"/>
      </w:rPr>
    </w:lvl>
    <w:lvl w:ilvl="8" w:tplc="64B609B0">
      <w:numFmt w:val="bullet"/>
      <w:lvlText w:val="•"/>
      <w:lvlJc w:val="left"/>
      <w:pPr>
        <w:ind w:left="6639" w:hanging="359"/>
      </w:pPr>
      <w:rPr>
        <w:rFonts w:hint="default"/>
        <w:lang w:val="en-US" w:eastAsia="en-US" w:bidi="ar-SA"/>
      </w:rPr>
    </w:lvl>
  </w:abstractNum>
  <w:abstractNum w:abstractNumId="35" w15:restartNumberingAfterBreak="0">
    <w:nsid w:val="39343991"/>
    <w:multiLevelType w:val="hybridMultilevel"/>
    <w:tmpl w:val="B0BCC27C"/>
    <w:lvl w:ilvl="0" w:tplc="A498DCF4">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3CC93DB9"/>
    <w:multiLevelType w:val="hybridMultilevel"/>
    <w:tmpl w:val="80BAD51A"/>
    <w:lvl w:ilvl="0" w:tplc="B328A828">
      <w:start w:val="1"/>
      <w:numFmt w:val="lowerRoman"/>
      <w:lvlText w:val="%1."/>
      <w:lvlJc w:val="left"/>
      <w:pPr>
        <w:ind w:left="284" w:hanging="284"/>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D2F6730"/>
    <w:multiLevelType w:val="hybridMultilevel"/>
    <w:tmpl w:val="4DECEE42"/>
    <w:lvl w:ilvl="0" w:tplc="6F5CBED0">
      <w:numFmt w:val="bullet"/>
      <w:pStyle w:val="Tablebullet0"/>
      <w:lvlText w:val="•"/>
      <w:lvlJc w:val="left"/>
      <w:pPr>
        <w:ind w:left="720" w:hanging="360"/>
      </w:pPr>
      <w:rPr>
        <w:rFonts w:ascii="Arial" w:hAnsi="Arial" w:cstheme="minorBidi"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2586DCD"/>
    <w:multiLevelType w:val="hybridMultilevel"/>
    <w:tmpl w:val="56EAA8FC"/>
    <w:lvl w:ilvl="0" w:tplc="FFFFFFFF">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57908D8"/>
    <w:multiLevelType w:val="hybridMultilevel"/>
    <w:tmpl w:val="38C64B28"/>
    <w:lvl w:ilvl="0" w:tplc="04090019">
      <w:start w:val="1"/>
      <w:numFmt w:val="lowerLetter"/>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8F8070A"/>
    <w:multiLevelType w:val="hybridMultilevel"/>
    <w:tmpl w:val="894E16F4"/>
    <w:lvl w:ilvl="0" w:tplc="32E86D06">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C42A07"/>
    <w:multiLevelType w:val="hybridMultilevel"/>
    <w:tmpl w:val="A8C2C1A2"/>
    <w:lvl w:ilvl="0" w:tplc="5EF43A4A">
      <w:start w:val="1"/>
      <w:numFmt w:val="bullet"/>
      <w:pStyle w:val="Bullet2"/>
      <w:lvlText w:val=""/>
      <w:lvlJc w:val="left"/>
      <w:pPr>
        <w:ind w:left="567" w:hanging="28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AD0E0A"/>
    <w:multiLevelType w:val="hybridMultilevel"/>
    <w:tmpl w:val="3FA03BBC"/>
    <w:lvl w:ilvl="0" w:tplc="32E86D06">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F8315A6"/>
    <w:multiLevelType w:val="multilevel"/>
    <w:tmpl w:val="47421C64"/>
    <w:lvl w:ilvl="0">
      <w:start w:val="1"/>
      <w:numFmt w:val="decimal"/>
      <w:pStyle w:val="Heading1Numbered"/>
      <w:lvlText w:val="%1."/>
      <w:lvlJc w:val="left"/>
      <w:pPr>
        <w:ind w:left="567" w:hanging="567"/>
      </w:pPr>
    </w:lvl>
    <w:lvl w:ilvl="1">
      <w:start w:val="1"/>
      <w:numFmt w:val="decimal"/>
      <w:pStyle w:val="Heading2Numbered"/>
      <w:lvlText w:val="%1.%2"/>
      <w:lvlJc w:val="left"/>
      <w:pPr>
        <w:ind w:left="567" w:hanging="567"/>
      </w:pPr>
    </w:lvl>
    <w:lvl w:ilvl="2">
      <w:start w:val="1"/>
      <w:numFmt w:val="decimal"/>
      <w:pStyle w:val="Heading3Numbered"/>
      <w:lvlText w:val="%1.%2.%3"/>
      <w:lvlJc w:val="left"/>
      <w:pPr>
        <w:ind w:left="851" w:hanging="851"/>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0534059"/>
    <w:multiLevelType w:val="hybridMultilevel"/>
    <w:tmpl w:val="950C99C0"/>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5F13EFE"/>
    <w:multiLevelType w:val="hybridMultilevel"/>
    <w:tmpl w:val="070CA036"/>
    <w:lvl w:ilvl="0" w:tplc="8F2E4E24">
      <w:start w:val="1"/>
      <w:numFmt w:val="decimal"/>
      <w:pStyle w:val="AppendixHeading2numbered"/>
      <w:lvlText w:val="%1."/>
      <w:lvlJc w:val="left"/>
      <w:pPr>
        <w:tabs>
          <w:tab w:val="num" w:pos="284"/>
        </w:tabs>
        <w:ind w:left="284" w:hanging="284"/>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7" w15:restartNumberingAfterBreak="0">
    <w:nsid w:val="560550B8"/>
    <w:multiLevelType w:val="hybridMultilevel"/>
    <w:tmpl w:val="6D4C6CD0"/>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6320D01"/>
    <w:multiLevelType w:val="hybridMultilevel"/>
    <w:tmpl w:val="352EA56E"/>
    <w:lvl w:ilvl="0" w:tplc="37FAD234">
      <w:start w:val="1"/>
      <w:numFmt w:val="lowerRoman"/>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7727018"/>
    <w:multiLevelType w:val="hybridMultilevel"/>
    <w:tmpl w:val="4C2EEC1A"/>
    <w:lvl w:ilvl="0" w:tplc="23607E76">
      <w:start w:val="1"/>
      <w:numFmt w:val="bullet"/>
      <w:pStyle w:val="Bullet"/>
      <w:lvlText w:val=""/>
      <w:lvlJc w:val="left"/>
      <w:pPr>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043A0A"/>
    <w:multiLevelType w:val="hybridMultilevel"/>
    <w:tmpl w:val="08C842A6"/>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EFC2898"/>
    <w:multiLevelType w:val="hybridMultilevel"/>
    <w:tmpl w:val="A5948DBE"/>
    <w:lvl w:ilvl="0" w:tplc="32E86D06">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06A13FC"/>
    <w:multiLevelType w:val="hybridMultilevel"/>
    <w:tmpl w:val="56EAA8FC"/>
    <w:lvl w:ilvl="0" w:tplc="FFFFFFFF">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278727A"/>
    <w:multiLevelType w:val="hybridMultilevel"/>
    <w:tmpl w:val="B60C91A0"/>
    <w:lvl w:ilvl="0" w:tplc="32E86D06">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397557E"/>
    <w:multiLevelType w:val="hybridMultilevel"/>
    <w:tmpl w:val="0F4C2FF6"/>
    <w:lvl w:ilvl="0" w:tplc="FFFFFFFF">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6C67CA4"/>
    <w:multiLevelType w:val="hybridMultilevel"/>
    <w:tmpl w:val="3A64906A"/>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7F568FF"/>
    <w:multiLevelType w:val="hybridMultilevel"/>
    <w:tmpl w:val="32346908"/>
    <w:lvl w:ilvl="0" w:tplc="32E86D06">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8211583"/>
    <w:multiLevelType w:val="hybridMultilevel"/>
    <w:tmpl w:val="35207828"/>
    <w:lvl w:ilvl="0" w:tplc="2DAA2390">
      <w:start w:val="1"/>
      <w:numFmt w:val="lowerLetter"/>
      <w:pStyle w:val="ListParagrapha"/>
      <w:lvlText w:val="%1)"/>
      <w:lvlJc w:val="left"/>
      <w:pPr>
        <w:ind w:left="720" w:hanging="360"/>
      </w:pPr>
      <w:rPr>
        <w:rFonts w:ascii="Arial" w:eastAsia="Arial" w:hAnsi="Arial" w:cs="Arial" w:hint="default"/>
        <w:color w:val="383834"/>
        <w:spacing w:val="-2"/>
        <w:w w:val="103"/>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6C5D75AE"/>
    <w:multiLevelType w:val="hybridMultilevel"/>
    <w:tmpl w:val="ED8808EA"/>
    <w:lvl w:ilvl="0" w:tplc="FFFFFFFF">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DC435D1"/>
    <w:multiLevelType w:val="hybridMultilevel"/>
    <w:tmpl w:val="2EAE37B0"/>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E965071"/>
    <w:multiLevelType w:val="hybridMultilevel"/>
    <w:tmpl w:val="28EE7636"/>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0182B45"/>
    <w:multiLevelType w:val="multilevel"/>
    <w:tmpl w:val="B4ACC6EA"/>
    <w:lvl w:ilvl="0">
      <w:start w:val="1"/>
      <w:numFmt w:val="decimal"/>
      <w:pStyle w:val="Heading1numbered0"/>
      <w:lvlText w:val="%1."/>
      <w:lvlJc w:val="left"/>
      <w:pPr>
        <w:ind w:left="851" w:hanging="567"/>
      </w:pPr>
      <w:rPr>
        <w:rFonts w:hint="default"/>
      </w:rPr>
    </w:lvl>
    <w:lvl w:ilvl="1">
      <w:start w:val="1"/>
      <w:numFmt w:val="decimal"/>
      <w:pStyle w:val="Heading2numbered0"/>
      <w:lvlText w:val="%1.%2"/>
      <w:lvlJc w:val="left"/>
      <w:pPr>
        <w:ind w:left="567" w:hanging="567"/>
      </w:pPr>
      <w:rPr>
        <w:rFonts w:hint="default"/>
      </w:rPr>
    </w:lvl>
    <w:lvl w:ilvl="2">
      <w:start w:val="1"/>
      <w:numFmt w:val="decimal"/>
      <w:pStyle w:val="Heading3numbered0"/>
      <w:lvlText w:val="%1.%2.%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1546C2F"/>
    <w:multiLevelType w:val="hybridMultilevel"/>
    <w:tmpl w:val="1898F8C0"/>
    <w:lvl w:ilvl="0" w:tplc="6BA8646C">
      <w:start w:val="1"/>
      <w:numFmt w:val="decimal"/>
      <w:pStyle w:val="ListParagraph"/>
      <w:lvlText w:val="%1."/>
      <w:lvlJc w:val="left"/>
      <w:pPr>
        <w:ind w:left="369" w:hanging="369"/>
      </w:pPr>
      <w:rPr>
        <w:rFonts w:ascii="Arial" w:eastAsia="Arial" w:hAnsi="Arial" w:cs="Arial" w:hint="default"/>
        <w:color w:val="383834"/>
        <w:spacing w:val="-2"/>
        <w:w w:val="103"/>
        <w:sz w:val="20"/>
        <w:szCs w:val="20"/>
        <w:lang w:val="en-AU" w:eastAsia="en-US" w:bidi="ar-SA"/>
      </w:rPr>
    </w:lvl>
    <w:lvl w:ilvl="1" w:tplc="93AEFE8E">
      <w:numFmt w:val="bullet"/>
      <w:lvlText w:val="•"/>
      <w:lvlJc w:val="left"/>
      <w:pPr>
        <w:ind w:left="3078" w:hanging="369"/>
      </w:pPr>
      <w:rPr>
        <w:rFonts w:hint="default"/>
        <w:lang w:val="en-AU" w:eastAsia="en-US" w:bidi="ar-SA"/>
      </w:rPr>
    </w:lvl>
    <w:lvl w:ilvl="2" w:tplc="12D4977C">
      <w:numFmt w:val="bullet"/>
      <w:lvlText w:val="•"/>
      <w:lvlJc w:val="left"/>
      <w:pPr>
        <w:ind w:left="3976" w:hanging="369"/>
      </w:pPr>
      <w:rPr>
        <w:rFonts w:hint="default"/>
        <w:lang w:val="en-AU" w:eastAsia="en-US" w:bidi="ar-SA"/>
      </w:rPr>
    </w:lvl>
    <w:lvl w:ilvl="3" w:tplc="DF12600A">
      <w:numFmt w:val="bullet"/>
      <w:lvlText w:val="•"/>
      <w:lvlJc w:val="left"/>
      <w:pPr>
        <w:ind w:left="4875" w:hanging="369"/>
      </w:pPr>
      <w:rPr>
        <w:rFonts w:hint="default"/>
        <w:lang w:val="en-AU" w:eastAsia="en-US" w:bidi="ar-SA"/>
      </w:rPr>
    </w:lvl>
    <w:lvl w:ilvl="4" w:tplc="E3CA3F6E">
      <w:numFmt w:val="bullet"/>
      <w:lvlText w:val="•"/>
      <w:lvlJc w:val="left"/>
      <w:pPr>
        <w:ind w:left="5773" w:hanging="369"/>
      </w:pPr>
      <w:rPr>
        <w:rFonts w:hint="default"/>
        <w:lang w:val="en-AU" w:eastAsia="en-US" w:bidi="ar-SA"/>
      </w:rPr>
    </w:lvl>
    <w:lvl w:ilvl="5" w:tplc="CBBC68C0">
      <w:numFmt w:val="bullet"/>
      <w:lvlText w:val="•"/>
      <w:lvlJc w:val="left"/>
      <w:pPr>
        <w:ind w:left="6672" w:hanging="369"/>
      </w:pPr>
      <w:rPr>
        <w:rFonts w:hint="default"/>
        <w:lang w:val="en-AU" w:eastAsia="en-US" w:bidi="ar-SA"/>
      </w:rPr>
    </w:lvl>
    <w:lvl w:ilvl="6" w:tplc="E9A064E6">
      <w:numFmt w:val="bullet"/>
      <w:lvlText w:val="•"/>
      <w:lvlJc w:val="left"/>
      <w:pPr>
        <w:ind w:left="7570" w:hanging="369"/>
      </w:pPr>
      <w:rPr>
        <w:rFonts w:hint="default"/>
        <w:lang w:val="en-AU" w:eastAsia="en-US" w:bidi="ar-SA"/>
      </w:rPr>
    </w:lvl>
    <w:lvl w:ilvl="7" w:tplc="4A0AAF2E">
      <w:numFmt w:val="bullet"/>
      <w:lvlText w:val="•"/>
      <w:lvlJc w:val="left"/>
      <w:pPr>
        <w:ind w:left="8468" w:hanging="369"/>
      </w:pPr>
      <w:rPr>
        <w:rFonts w:hint="default"/>
        <w:lang w:val="en-AU" w:eastAsia="en-US" w:bidi="ar-SA"/>
      </w:rPr>
    </w:lvl>
    <w:lvl w:ilvl="8" w:tplc="0CD834B4">
      <w:numFmt w:val="bullet"/>
      <w:lvlText w:val="•"/>
      <w:lvlJc w:val="left"/>
      <w:pPr>
        <w:ind w:left="9367" w:hanging="369"/>
      </w:pPr>
      <w:rPr>
        <w:rFonts w:hint="default"/>
        <w:lang w:val="en-AU" w:eastAsia="en-US" w:bidi="ar-SA"/>
      </w:rPr>
    </w:lvl>
  </w:abstractNum>
  <w:abstractNum w:abstractNumId="64" w15:restartNumberingAfterBreak="0">
    <w:nsid w:val="7493057A"/>
    <w:multiLevelType w:val="hybridMultilevel"/>
    <w:tmpl w:val="0226D09A"/>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6C1098B"/>
    <w:multiLevelType w:val="hybridMultilevel"/>
    <w:tmpl w:val="841EEEEC"/>
    <w:lvl w:ilvl="0" w:tplc="32E86D06">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9D24AA6"/>
    <w:multiLevelType w:val="hybridMultilevel"/>
    <w:tmpl w:val="EB640E18"/>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B857542"/>
    <w:multiLevelType w:val="hybridMultilevel"/>
    <w:tmpl w:val="232C9A6A"/>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9680121">
    <w:abstractNumId w:val="31"/>
  </w:num>
  <w:num w:numId="2" w16cid:durableId="1348017532">
    <w:abstractNumId w:val="31"/>
  </w:num>
  <w:num w:numId="3" w16cid:durableId="1276909800">
    <w:abstractNumId w:val="42"/>
  </w:num>
  <w:num w:numId="4" w16cid:durableId="1095596940">
    <w:abstractNumId w:val="49"/>
  </w:num>
  <w:num w:numId="5" w16cid:durableId="10035801">
    <w:abstractNumId w:val="28"/>
  </w:num>
  <w:num w:numId="6" w16cid:durableId="1046485235">
    <w:abstractNumId w:val="63"/>
  </w:num>
  <w:num w:numId="7" w16cid:durableId="1737119480">
    <w:abstractNumId w:val="12"/>
  </w:num>
  <w:num w:numId="8" w16cid:durableId="5313842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645934">
    <w:abstractNumId w:val="55"/>
  </w:num>
  <w:num w:numId="10" w16cid:durableId="1767537595">
    <w:abstractNumId w:val="41"/>
  </w:num>
  <w:num w:numId="11" w16cid:durableId="1744600531">
    <w:abstractNumId w:val="35"/>
  </w:num>
  <w:num w:numId="12" w16cid:durableId="1265452756">
    <w:abstractNumId w:val="62"/>
  </w:num>
  <w:num w:numId="13" w16cid:durableId="248542423">
    <w:abstractNumId w:val="37"/>
  </w:num>
  <w:num w:numId="14" w16cid:durableId="552620858">
    <w:abstractNumId w:val="16"/>
  </w:num>
  <w:num w:numId="15" w16cid:durableId="722800995">
    <w:abstractNumId w:val="36"/>
  </w:num>
  <w:num w:numId="16" w16cid:durableId="1689984267">
    <w:abstractNumId w:val="52"/>
  </w:num>
  <w:num w:numId="17" w16cid:durableId="796529045">
    <w:abstractNumId w:val="38"/>
  </w:num>
  <w:num w:numId="18" w16cid:durableId="377557111">
    <w:abstractNumId w:val="1"/>
  </w:num>
  <w:num w:numId="19" w16cid:durableId="254825739">
    <w:abstractNumId w:val="29"/>
  </w:num>
  <w:num w:numId="20" w16cid:durableId="1204751160">
    <w:abstractNumId w:val="26"/>
  </w:num>
  <w:num w:numId="21" w16cid:durableId="904602790">
    <w:abstractNumId w:val="3"/>
  </w:num>
  <w:num w:numId="22" w16cid:durableId="1431318513">
    <w:abstractNumId w:val="11"/>
  </w:num>
  <w:num w:numId="23" w16cid:durableId="1828398994">
    <w:abstractNumId w:val="47"/>
  </w:num>
  <w:num w:numId="24" w16cid:durableId="1136530042">
    <w:abstractNumId w:val="60"/>
  </w:num>
  <w:num w:numId="25" w16cid:durableId="513543286">
    <w:abstractNumId w:val="15"/>
  </w:num>
  <w:num w:numId="26" w16cid:durableId="861818024">
    <w:abstractNumId w:val="67"/>
  </w:num>
  <w:num w:numId="27" w16cid:durableId="1474176640">
    <w:abstractNumId w:val="22"/>
  </w:num>
  <w:num w:numId="28" w16cid:durableId="1318414999">
    <w:abstractNumId w:val="64"/>
  </w:num>
  <w:num w:numId="29" w16cid:durableId="410615178">
    <w:abstractNumId w:val="2"/>
  </w:num>
  <w:num w:numId="30" w16cid:durableId="974527482">
    <w:abstractNumId w:val="25"/>
    <w:lvlOverride w:ilvl="0">
      <w:startOverride w:val="1"/>
    </w:lvlOverride>
  </w:num>
  <w:num w:numId="31" w16cid:durableId="950161115">
    <w:abstractNumId w:val="4"/>
  </w:num>
  <w:num w:numId="32" w16cid:durableId="1348144043">
    <w:abstractNumId w:val="45"/>
  </w:num>
  <w:num w:numId="33" w16cid:durableId="100804273">
    <w:abstractNumId w:val="56"/>
  </w:num>
  <w:num w:numId="34" w16cid:durableId="1854875897">
    <w:abstractNumId w:val="7"/>
  </w:num>
  <w:num w:numId="35" w16cid:durableId="1866406196">
    <w:abstractNumId w:val="10"/>
  </w:num>
  <w:num w:numId="36" w16cid:durableId="1486817022">
    <w:abstractNumId w:val="5"/>
  </w:num>
  <w:num w:numId="37" w16cid:durableId="132645977">
    <w:abstractNumId w:val="66"/>
  </w:num>
  <w:num w:numId="38" w16cid:durableId="1838576120">
    <w:abstractNumId w:val="24"/>
  </w:num>
  <w:num w:numId="39" w16cid:durableId="216092471">
    <w:abstractNumId w:val="9"/>
  </w:num>
  <w:num w:numId="40" w16cid:durableId="1519390386">
    <w:abstractNumId w:val="50"/>
  </w:num>
  <w:num w:numId="41" w16cid:durableId="1194415084">
    <w:abstractNumId w:val="30"/>
  </w:num>
  <w:num w:numId="42" w16cid:durableId="1177579557">
    <w:abstractNumId w:val="61"/>
  </w:num>
  <w:num w:numId="43" w16cid:durableId="1387413112">
    <w:abstractNumId w:val="25"/>
    <w:lvlOverride w:ilvl="0">
      <w:startOverride w:val="1"/>
    </w:lvlOverride>
  </w:num>
  <w:num w:numId="44" w16cid:durableId="1844735731">
    <w:abstractNumId w:val="25"/>
    <w:lvlOverride w:ilvl="0">
      <w:startOverride w:val="1"/>
    </w:lvlOverride>
  </w:num>
  <w:num w:numId="45" w16cid:durableId="1018586129">
    <w:abstractNumId w:val="44"/>
  </w:num>
  <w:num w:numId="46" w16cid:durableId="648100325">
    <w:abstractNumId w:val="32"/>
  </w:num>
  <w:num w:numId="47" w16cid:durableId="1072580293">
    <w:abstractNumId w:val="58"/>
  </w:num>
  <w:num w:numId="48" w16cid:durableId="138960282">
    <w:abstractNumId w:val="39"/>
  </w:num>
  <w:num w:numId="49" w16cid:durableId="997808520">
    <w:abstractNumId w:val="21"/>
  </w:num>
  <w:num w:numId="50" w16cid:durableId="1777824625">
    <w:abstractNumId w:val="20"/>
  </w:num>
  <w:num w:numId="51" w16cid:durableId="1454206979">
    <w:abstractNumId w:val="6"/>
  </w:num>
  <w:num w:numId="52" w16cid:durableId="355233517">
    <w:abstractNumId w:val="16"/>
    <w:lvlOverride w:ilvl="0">
      <w:startOverride w:val="1"/>
    </w:lvlOverride>
  </w:num>
  <w:num w:numId="53" w16cid:durableId="1309627910">
    <w:abstractNumId w:val="8"/>
  </w:num>
  <w:num w:numId="54" w16cid:durableId="983240121">
    <w:abstractNumId w:val="43"/>
  </w:num>
  <w:num w:numId="55" w16cid:durableId="1316959962">
    <w:abstractNumId w:val="23"/>
  </w:num>
  <w:num w:numId="56" w16cid:durableId="1282683006">
    <w:abstractNumId w:val="57"/>
  </w:num>
  <w:num w:numId="57" w16cid:durableId="2050569955">
    <w:abstractNumId w:val="53"/>
  </w:num>
  <w:num w:numId="58" w16cid:durableId="1061368095">
    <w:abstractNumId w:val="65"/>
  </w:num>
  <w:num w:numId="59" w16cid:durableId="201215040">
    <w:abstractNumId w:val="27"/>
  </w:num>
  <w:num w:numId="60" w16cid:durableId="313609179">
    <w:abstractNumId w:val="19"/>
  </w:num>
  <w:num w:numId="61" w16cid:durableId="257300619">
    <w:abstractNumId w:val="51"/>
  </w:num>
  <w:num w:numId="62" w16cid:durableId="1266041855">
    <w:abstractNumId w:val="40"/>
  </w:num>
  <w:num w:numId="63" w16cid:durableId="2051801187">
    <w:abstractNumId w:val="54"/>
  </w:num>
  <w:num w:numId="64" w16cid:durableId="865868752">
    <w:abstractNumId w:val="0"/>
  </w:num>
  <w:num w:numId="65" w16cid:durableId="466777864">
    <w:abstractNumId w:val="13"/>
  </w:num>
  <w:num w:numId="66" w16cid:durableId="1392148243">
    <w:abstractNumId w:val="14"/>
  </w:num>
  <w:num w:numId="67" w16cid:durableId="308941162">
    <w:abstractNumId w:val="46"/>
  </w:num>
  <w:num w:numId="68" w16cid:durableId="1426027262">
    <w:abstractNumId w:val="48"/>
  </w:num>
  <w:num w:numId="69" w16cid:durableId="1520269185">
    <w:abstractNumId w:val="17"/>
  </w:num>
  <w:num w:numId="70" w16cid:durableId="1941451797">
    <w:abstractNumId w:val="59"/>
  </w:num>
  <w:num w:numId="71" w16cid:durableId="1341664884">
    <w:abstractNumId w:val="18"/>
  </w:num>
  <w:num w:numId="72" w16cid:durableId="1656957921">
    <w:abstractNumId w:val="33"/>
  </w:num>
  <w:num w:numId="73" w16cid:durableId="1412460413">
    <w:abstractNumId w:val="3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B8"/>
    <w:rsid w:val="00003EF4"/>
    <w:rsid w:val="00006100"/>
    <w:rsid w:val="00030B7E"/>
    <w:rsid w:val="0005118D"/>
    <w:rsid w:val="000A1E86"/>
    <w:rsid w:val="000B7BBB"/>
    <w:rsid w:val="000C0740"/>
    <w:rsid w:val="000E75FB"/>
    <w:rsid w:val="000F5B20"/>
    <w:rsid w:val="00104228"/>
    <w:rsid w:val="00114908"/>
    <w:rsid w:val="00157285"/>
    <w:rsid w:val="001629A5"/>
    <w:rsid w:val="001700E3"/>
    <w:rsid w:val="001713CE"/>
    <w:rsid w:val="001772C9"/>
    <w:rsid w:val="00177848"/>
    <w:rsid w:val="00193B39"/>
    <w:rsid w:val="001C20F9"/>
    <w:rsid w:val="001D1E8C"/>
    <w:rsid w:val="001E567B"/>
    <w:rsid w:val="00203239"/>
    <w:rsid w:val="00213481"/>
    <w:rsid w:val="00242AA9"/>
    <w:rsid w:val="00246C6A"/>
    <w:rsid w:val="00265891"/>
    <w:rsid w:val="00274ABA"/>
    <w:rsid w:val="0028635E"/>
    <w:rsid w:val="00291743"/>
    <w:rsid w:val="002A0A54"/>
    <w:rsid w:val="002A2311"/>
    <w:rsid w:val="002A3B26"/>
    <w:rsid w:val="002A3CC0"/>
    <w:rsid w:val="002A4825"/>
    <w:rsid w:val="002A4D98"/>
    <w:rsid w:val="002C10CE"/>
    <w:rsid w:val="002C2DC7"/>
    <w:rsid w:val="0035690A"/>
    <w:rsid w:val="00362CF6"/>
    <w:rsid w:val="00366FA4"/>
    <w:rsid w:val="00370FD2"/>
    <w:rsid w:val="003829F5"/>
    <w:rsid w:val="0039148E"/>
    <w:rsid w:val="003957FF"/>
    <w:rsid w:val="003966CB"/>
    <w:rsid w:val="003A3F2A"/>
    <w:rsid w:val="003C7E15"/>
    <w:rsid w:val="003D4A8B"/>
    <w:rsid w:val="003E05F4"/>
    <w:rsid w:val="003E1C09"/>
    <w:rsid w:val="00421510"/>
    <w:rsid w:val="004450EB"/>
    <w:rsid w:val="00445EF8"/>
    <w:rsid w:val="004635F2"/>
    <w:rsid w:val="00483058"/>
    <w:rsid w:val="004846AB"/>
    <w:rsid w:val="00487AB1"/>
    <w:rsid w:val="0049039B"/>
    <w:rsid w:val="00494786"/>
    <w:rsid w:val="00496B9D"/>
    <w:rsid w:val="004C0653"/>
    <w:rsid w:val="004E52AF"/>
    <w:rsid w:val="00513A15"/>
    <w:rsid w:val="005227B7"/>
    <w:rsid w:val="0052379D"/>
    <w:rsid w:val="00590BC1"/>
    <w:rsid w:val="0059361A"/>
    <w:rsid w:val="005C1D39"/>
    <w:rsid w:val="005C6D11"/>
    <w:rsid w:val="005D78C4"/>
    <w:rsid w:val="005E4417"/>
    <w:rsid w:val="005F1F70"/>
    <w:rsid w:val="00602595"/>
    <w:rsid w:val="00615ADA"/>
    <w:rsid w:val="006232BC"/>
    <w:rsid w:val="00667796"/>
    <w:rsid w:val="00686513"/>
    <w:rsid w:val="006A1096"/>
    <w:rsid w:val="006B5FCB"/>
    <w:rsid w:val="006C36CA"/>
    <w:rsid w:val="006D5FE0"/>
    <w:rsid w:val="006E345D"/>
    <w:rsid w:val="006F1C8C"/>
    <w:rsid w:val="00730A3C"/>
    <w:rsid w:val="00756F8D"/>
    <w:rsid w:val="00774F8D"/>
    <w:rsid w:val="00783ECC"/>
    <w:rsid w:val="00794F8B"/>
    <w:rsid w:val="007C69B9"/>
    <w:rsid w:val="007D0236"/>
    <w:rsid w:val="007D3D95"/>
    <w:rsid w:val="00814D77"/>
    <w:rsid w:val="0082442A"/>
    <w:rsid w:val="00842B07"/>
    <w:rsid w:val="008475A5"/>
    <w:rsid w:val="008543A0"/>
    <w:rsid w:val="00857D46"/>
    <w:rsid w:val="00880FCA"/>
    <w:rsid w:val="00887305"/>
    <w:rsid w:val="008E7383"/>
    <w:rsid w:val="00906363"/>
    <w:rsid w:val="00912EEA"/>
    <w:rsid w:val="00914AF9"/>
    <w:rsid w:val="009564D4"/>
    <w:rsid w:val="0096090B"/>
    <w:rsid w:val="009952C1"/>
    <w:rsid w:val="009B2A17"/>
    <w:rsid w:val="009C530E"/>
    <w:rsid w:val="009F04B2"/>
    <w:rsid w:val="00A05778"/>
    <w:rsid w:val="00A26513"/>
    <w:rsid w:val="00A42238"/>
    <w:rsid w:val="00A45FFA"/>
    <w:rsid w:val="00A6480E"/>
    <w:rsid w:val="00AA0230"/>
    <w:rsid w:val="00AB1A66"/>
    <w:rsid w:val="00AD2C21"/>
    <w:rsid w:val="00B03435"/>
    <w:rsid w:val="00B1545C"/>
    <w:rsid w:val="00B2093F"/>
    <w:rsid w:val="00B26B52"/>
    <w:rsid w:val="00B515DB"/>
    <w:rsid w:val="00B53837"/>
    <w:rsid w:val="00B66698"/>
    <w:rsid w:val="00BA2E97"/>
    <w:rsid w:val="00BD048B"/>
    <w:rsid w:val="00BD0FAC"/>
    <w:rsid w:val="00BE3C43"/>
    <w:rsid w:val="00BF20ED"/>
    <w:rsid w:val="00C17A57"/>
    <w:rsid w:val="00C34F64"/>
    <w:rsid w:val="00C50F53"/>
    <w:rsid w:val="00C6052E"/>
    <w:rsid w:val="00C80666"/>
    <w:rsid w:val="00CA7AB2"/>
    <w:rsid w:val="00CB4880"/>
    <w:rsid w:val="00CC2B8F"/>
    <w:rsid w:val="00CE2B51"/>
    <w:rsid w:val="00D02276"/>
    <w:rsid w:val="00D051D2"/>
    <w:rsid w:val="00D33AA2"/>
    <w:rsid w:val="00D41E95"/>
    <w:rsid w:val="00D50D3B"/>
    <w:rsid w:val="00D51F51"/>
    <w:rsid w:val="00D52474"/>
    <w:rsid w:val="00D573AE"/>
    <w:rsid w:val="00D704E1"/>
    <w:rsid w:val="00D807D2"/>
    <w:rsid w:val="00D83915"/>
    <w:rsid w:val="00D966F0"/>
    <w:rsid w:val="00D97857"/>
    <w:rsid w:val="00DA7266"/>
    <w:rsid w:val="00DB608A"/>
    <w:rsid w:val="00DD1B40"/>
    <w:rsid w:val="00DD2339"/>
    <w:rsid w:val="00DF1756"/>
    <w:rsid w:val="00DF33C2"/>
    <w:rsid w:val="00E0291D"/>
    <w:rsid w:val="00E02B91"/>
    <w:rsid w:val="00E16C0A"/>
    <w:rsid w:val="00E26B6E"/>
    <w:rsid w:val="00E33155"/>
    <w:rsid w:val="00E611C7"/>
    <w:rsid w:val="00E828ED"/>
    <w:rsid w:val="00E9084D"/>
    <w:rsid w:val="00E95FCD"/>
    <w:rsid w:val="00E97D0C"/>
    <w:rsid w:val="00EA66F2"/>
    <w:rsid w:val="00EA6770"/>
    <w:rsid w:val="00EA7A88"/>
    <w:rsid w:val="00EC3A08"/>
    <w:rsid w:val="00EE5BB8"/>
    <w:rsid w:val="00EF4E9E"/>
    <w:rsid w:val="00F04AE1"/>
    <w:rsid w:val="00F059E6"/>
    <w:rsid w:val="00F25E17"/>
    <w:rsid w:val="00F64935"/>
    <w:rsid w:val="00F660D1"/>
    <w:rsid w:val="00F704C8"/>
    <w:rsid w:val="00FD0B0B"/>
    <w:rsid w:val="00FD7B75"/>
    <w:rsid w:val="00FE19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5CEDD"/>
  <w15:chartTrackingRefBased/>
  <w15:docId w15:val="{BE36425F-83E1-4075-B61E-BC827ECD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7B7"/>
    <w:pPr>
      <w:autoSpaceDE w:val="0"/>
      <w:autoSpaceDN w:val="0"/>
      <w:spacing w:after="240" w:line="276" w:lineRule="auto"/>
    </w:pPr>
    <w:rPr>
      <w:kern w:val="0"/>
      <w14:ligatures w14:val="none"/>
    </w:rPr>
  </w:style>
  <w:style w:type="paragraph" w:styleId="Heading1">
    <w:name w:val="heading 1"/>
    <w:basedOn w:val="Normal"/>
    <w:next w:val="Normal"/>
    <w:link w:val="Heading1Char"/>
    <w:uiPriority w:val="9"/>
    <w:qFormat/>
    <w:rsid w:val="00EE5BB8"/>
    <w:pPr>
      <w:keepNext/>
      <w:keepLines/>
      <w:pageBreakBefore/>
      <w:spacing w:before="480"/>
      <w:outlineLvl w:val="0"/>
    </w:pPr>
    <w:rPr>
      <w:rFonts w:eastAsia="MS Gothic" w:cs="Times New Roman"/>
      <w:b/>
      <w:bCs/>
      <w:sz w:val="36"/>
    </w:rPr>
  </w:style>
  <w:style w:type="paragraph" w:styleId="Heading2">
    <w:name w:val="heading 2"/>
    <w:basedOn w:val="Normal"/>
    <w:next w:val="Normal"/>
    <w:link w:val="Heading2Char"/>
    <w:uiPriority w:val="9"/>
    <w:unhideWhenUsed/>
    <w:qFormat/>
    <w:rsid w:val="00EE5BB8"/>
    <w:pPr>
      <w:keepNext/>
      <w:keepLines/>
      <w:spacing w:before="360"/>
      <w:outlineLvl w:val="1"/>
    </w:pPr>
    <w:rPr>
      <w:rFonts w:eastAsia="MS Gothic" w:cs="Times New Roman"/>
      <w:b/>
      <w:bCs/>
      <w:sz w:val="32"/>
      <w:szCs w:val="26"/>
    </w:rPr>
  </w:style>
  <w:style w:type="paragraph" w:styleId="Heading3">
    <w:name w:val="heading 3"/>
    <w:basedOn w:val="Normal"/>
    <w:next w:val="Normal"/>
    <w:link w:val="Heading3Char"/>
    <w:uiPriority w:val="9"/>
    <w:unhideWhenUsed/>
    <w:qFormat/>
    <w:rsid w:val="00EE5BB8"/>
    <w:pPr>
      <w:keepNext/>
      <w:keepLines/>
      <w:suppressAutoHyphens/>
      <w:autoSpaceDE/>
      <w:autoSpaceDN/>
      <w:spacing w:before="240" w:after="200"/>
      <w:outlineLvl w:val="2"/>
    </w:pPr>
    <w:rPr>
      <w:rFonts w:ascii="Arial" w:eastAsia="MS Gothic" w:hAnsi="Arial" w:cs="Arial"/>
      <w:b/>
      <w:bCs/>
      <w:sz w:val="28"/>
      <w:szCs w:val="32"/>
    </w:rPr>
  </w:style>
  <w:style w:type="paragraph" w:styleId="Heading4">
    <w:name w:val="heading 4"/>
    <w:basedOn w:val="Normal"/>
    <w:next w:val="Normal"/>
    <w:link w:val="Heading4Char"/>
    <w:uiPriority w:val="9"/>
    <w:unhideWhenUsed/>
    <w:qFormat/>
    <w:rsid w:val="00EE5BB8"/>
    <w:pPr>
      <w:keepNext/>
      <w:keepLines/>
      <w:suppressAutoHyphens/>
      <w:autoSpaceDE/>
      <w:autoSpaceDN/>
      <w:spacing w:before="240" w:after="120"/>
      <w:outlineLvl w:val="3"/>
    </w:pPr>
    <w:rPr>
      <w:rFonts w:ascii="Arial" w:eastAsia="MS Gothic" w:hAnsi="Arial" w:cs="Arial"/>
      <w:b/>
      <w:bCs/>
      <w:iCs/>
      <w:szCs w:val="32"/>
    </w:rPr>
  </w:style>
  <w:style w:type="paragraph" w:styleId="Heading5">
    <w:name w:val="heading 5"/>
    <w:basedOn w:val="Normal"/>
    <w:next w:val="Normal"/>
    <w:link w:val="Heading5Char"/>
    <w:uiPriority w:val="9"/>
    <w:unhideWhenUsed/>
    <w:qFormat/>
    <w:rsid w:val="00EE5BB8"/>
    <w:pPr>
      <w:numPr>
        <w:numId w:val="5"/>
      </w:numPr>
      <w:spacing w:before="240" w:after="60"/>
      <w:outlineLvl w:val="4"/>
    </w:pPr>
    <w:rPr>
      <w:rFonts w:cs="Times New Roman"/>
      <w:b/>
      <w:bCs/>
      <w:iCs/>
      <w:szCs w:val="26"/>
    </w:rPr>
  </w:style>
  <w:style w:type="paragraph" w:styleId="Heading6">
    <w:name w:val="heading 6"/>
    <w:basedOn w:val="Normal"/>
    <w:next w:val="Normal"/>
    <w:link w:val="Heading6Char"/>
    <w:uiPriority w:val="9"/>
    <w:unhideWhenUsed/>
    <w:qFormat/>
    <w:rsid w:val="00C6052E"/>
    <w:pPr>
      <w:keepNext/>
      <w:spacing w:before="240" w:after="60"/>
      <w:outlineLvl w:val="5"/>
    </w:pPr>
    <w:rPr>
      <w:rFonts w:eastAsia="Times New Roman" w:cs="Times New Roman"/>
      <w:b/>
      <w:bCs/>
      <w:szCs w:val="22"/>
    </w:rPr>
  </w:style>
  <w:style w:type="paragraph" w:styleId="Heading7">
    <w:name w:val="heading 7"/>
    <w:basedOn w:val="Normal"/>
    <w:next w:val="Normal"/>
    <w:link w:val="Heading7Char"/>
    <w:uiPriority w:val="9"/>
    <w:semiHidden/>
    <w:unhideWhenUsed/>
    <w:qFormat/>
    <w:rsid w:val="00EE5B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B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B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730A3C"/>
    <w:pPr>
      <w:keepNext/>
      <w:tabs>
        <w:tab w:val="right" w:leader="dot" w:pos="9629"/>
      </w:tabs>
      <w:spacing w:before="120" w:after="0"/>
    </w:pPr>
    <w:rPr>
      <w:b/>
    </w:rPr>
  </w:style>
  <w:style w:type="paragraph" w:customStyle="1" w:styleId="Tablenotes-indented">
    <w:name w:val="Table notes - indented"/>
    <w:basedOn w:val="Normal"/>
    <w:qFormat/>
    <w:rsid w:val="00D52474"/>
    <w:pPr>
      <w:tabs>
        <w:tab w:val="left" w:pos="294"/>
      </w:tabs>
      <w:spacing w:after="113"/>
      <w:ind w:left="397" w:hanging="170"/>
    </w:pPr>
    <w:rPr>
      <w:rFonts w:ascii="Arial" w:hAnsi="Arial"/>
      <w:i/>
      <w:color w:val="262626" w:themeColor="text1" w:themeTint="D9"/>
      <w:sz w:val="20"/>
      <w:szCs w:val="14"/>
      <w:lang w:val="en-GB"/>
    </w:rPr>
  </w:style>
  <w:style w:type="paragraph" w:customStyle="1" w:styleId="Bullet1">
    <w:name w:val="Bullet 1"/>
    <w:basedOn w:val="Normal"/>
    <w:qFormat/>
    <w:rsid w:val="00EC3A08"/>
    <w:pPr>
      <w:numPr>
        <w:numId w:val="2"/>
      </w:numPr>
      <w:spacing w:after="120" w:line="240" w:lineRule="exact"/>
    </w:pPr>
    <w:rPr>
      <w:color w:val="262626" w:themeColor="text1" w:themeTint="D9"/>
      <w:szCs w:val="18"/>
      <w:lang w:val="en-GB"/>
    </w:rPr>
  </w:style>
  <w:style w:type="paragraph" w:styleId="TOC2">
    <w:name w:val="toc 2"/>
    <w:basedOn w:val="Normal"/>
    <w:next w:val="Normal"/>
    <w:autoRedefine/>
    <w:uiPriority w:val="39"/>
    <w:unhideWhenUsed/>
    <w:rsid w:val="00EE5BB8"/>
    <w:pPr>
      <w:spacing w:after="0"/>
      <w:ind w:left="200"/>
    </w:pPr>
    <w:rPr>
      <w:szCs w:val="22"/>
    </w:rPr>
  </w:style>
  <w:style w:type="paragraph" w:customStyle="1" w:styleId="Bullet1last">
    <w:name w:val="Bullet 1 last"/>
    <w:basedOn w:val="Bullet1"/>
    <w:qFormat/>
    <w:rsid w:val="001713CE"/>
    <w:pPr>
      <w:spacing w:after="240"/>
      <w:ind w:left="284" w:hanging="284"/>
    </w:pPr>
  </w:style>
  <w:style w:type="character" w:customStyle="1" w:styleId="Heading1Char">
    <w:name w:val="Heading 1 Char"/>
    <w:link w:val="Heading1"/>
    <w:uiPriority w:val="9"/>
    <w:rsid w:val="00EE5BB8"/>
    <w:rPr>
      <w:rFonts w:eastAsia="MS Gothic" w:cs="Times New Roman"/>
      <w:b/>
      <w:bCs/>
      <w:kern w:val="0"/>
      <w:sz w:val="36"/>
      <w:lang w:val="en-US"/>
      <w14:ligatures w14:val="none"/>
    </w:rPr>
  </w:style>
  <w:style w:type="character" w:customStyle="1" w:styleId="Heading2Char">
    <w:name w:val="Heading 2 Char"/>
    <w:link w:val="Heading2"/>
    <w:uiPriority w:val="9"/>
    <w:rsid w:val="00EE5BB8"/>
    <w:rPr>
      <w:rFonts w:eastAsia="MS Gothic" w:cs="Times New Roman"/>
      <w:b/>
      <w:bCs/>
      <w:kern w:val="0"/>
      <w:sz w:val="32"/>
      <w:szCs w:val="26"/>
      <w:lang w:val="en-US"/>
      <w14:ligatures w14:val="none"/>
    </w:rPr>
  </w:style>
  <w:style w:type="character" w:customStyle="1" w:styleId="Heading3Char">
    <w:name w:val="Heading 3 Char"/>
    <w:link w:val="Heading3"/>
    <w:uiPriority w:val="9"/>
    <w:rsid w:val="00EE5BB8"/>
    <w:rPr>
      <w:rFonts w:ascii="Arial" w:eastAsia="MS Gothic" w:hAnsi="Arial" w:cs="Arial"/>
      <w:b/>
      <w:bCs/>
      <w:kern w:val="0"/>
      <w:sz w:val="28"/>
      <w:szCs w:val="32"/>
      <w:lang w:val="en-US"/>
      <w14:ligatures w14:val="none"/>
    </w:rPr>
  </w:style>
  <w:style w:type="character" w:customStyle="1" w:styleId="Heading4Char">
    <w:name w:val="Heading 4 Char"/>
    <w:link w:val="Heading4"/>
    <w:uiPriority w:val="9"/>
    <w:rsid w:val="00EE5BB8"/>
    <w:rPr>
      <w:rFonts w:ascii="Arial" w:eastAsia="MS Gothic" w:hAnsi="Arial" w:cs="Arial"/>
      <w:b/>
      <w:bCs/>
      <w:iCs/>
      <w:kern w:val="0"/>
      <w:szCs w:val="32"/>
      <w:lang w:val="en-US"/>
      <w14:ligatures w14:val="none"/>
    </w:rPr>
  </w:style>
  <w:style w:type="character" w:customStyle="1" w:styleId="Heading5Char">
    <w:name w:val="Heading 5 Char"/>
    <w:link w:val="Heading5"/>
    <w:uiPriority w:val="9"/>
    <w:rsid w:val="00EE5BB8"/>
    <w:rPr>
      <w:rFonts w:cs="Times New Roman"/>
      <w:b/>
      <w:bCs/>
      <w:iCs/>
      <w:kern w:val="0"/>
      <w:szCs w:val="26"/>
      <w:lang w:val="en-US"/>
      <w14:ligatures w14:val="none"/>
    </w:rPr>
  </w:style>
  <w:style w:type="character" w:customStyle="1" w:styleId="Heading6Char">
    <w:name w:val="Heading 6 Char"/>
    <w:link w:val="Heading6"/>
    <w:uiPriority w:val="9"/>
    <w:rsid w:val="00C6052E"/>
    <w:rPr>
      <w:rFonts w:eastAsia="Times New Roman" w:cs="Times New Roman"/>
      <w:b/>
      <w:bCs/>
      <w:kern w:val="0"/>
      <w:szCs w:val="22"/>
      <w:lang w:val="en-US"/>
      <w14:ligatures w14:val="none"/>
    </w:rPr>
  </w:style>
  <w:style w:type="character" w:customStyle="1" w:styleId="Heading7Char">
    <w:name w:val="Heading 7 Char"/>
    <w:basedOn w:val="DefaultParagraphFont"/>
    <w:link w:val="Heading7"/>
    <w:uiPriority w:val="9"/>
    <w:rsid w:val="00EE5BB8"/>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EE5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EE5BB8"/>
    <w:rPr>
      <w:rFonts w:eastAsiaTheme="majorEastAsia" w:cstheme="majorBidi"/>
      <w:color w:val="272727" w:themeColor="text1" w:themeTint="D8"/>
    </w:rPr>
  </w:style>
  <w:style w:type="paragraph" w:styleId="Title">
    <w:name w:val="Title"/>
    <w:basedOn w:val="Normal"/>
    <w:next w:val="Normal"/>
    <w:link w:val="TitleChar"/>
    <w:uiPriority w:val="10"/>
    <w:qFormat/>
    <w:rsid w:val="00EE5BB8"/>
    <w:pPr>
      <w:spacing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BB8"/>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EE5BB8"/>
    <w:pPr>
      <w:outlineLvl w:val="1"/>
    </w:pPr>
    <w:rPr>
      <w:rFonts w:eastAsia="Times New Roman" w:cs="Times New Roman"/>
      <w:sz w:val="28"/>
      <w:szCs w:val="36"/>
    </w:rPr>
  </w:style>
  <w:style w:type="character" w:customStyle="1" w:styleId="SubtitleChar">
    <w:name w:val="Subtitle Char"/>
    <w:link w:val="Subtitle"/>
    <w:uiPriority w:val="11"/>
    <w:rsid w:val="00EE5BB8"/>
    <w:rPr>
      <w:rFonts w:eastAsia="Times New Roman" w:cs="Times New Roman"/>
      <w:kern w:val="0"/>
      <w:sz w:val="28"/>
      <w:szCs w:val="36"/>
      <w:lang w:val="en-US"/>
      <w14:ligatures w14:val="none"/>
    </w:rPr>
  </w:style>
  <w:style w:type="paragraph" w:styleId="ListParagraph">
    <w:name w:val="List Paragraph"/>
    <w:basedOn w:val="Normal"/>
    <w:uiPriority w:val="1"/>
    <w:qFormat/>
    <w:rsid w:val="00EE5BB8"/>
    <w:pPr>
      <w:numPr>
        <w:numId w:val="6"/>
      </w:numPr>
      <w:tabs>
        <w:tab w:val="left" w:pos="2180"/>
        <w:tab w:val="left" w:pos="2181"/>
      </w:tabs>
      <w:spacing w:after="140"/>
    </w:pPr>
    <w:rPr>
      <w:rFonts w:eastAsia="Times New Roman"/>
      <w:lang w:eastAsia="en-GB"/>
    </w:rPr>
  </w:style>
  <w:style w:type="paragraph" w:styleId="BalloonText">
    <w:name w:val="Balloon Text"/>
    <w:basedOn w:val="Normal"/>
    <w:link w:val="BalloonTextChar"/>
    <w:uiPriority w:val="99"/>
    <w:semiHidden/>
    <w:unhideWhenUsed/>
    <w:rsid w:val="00EE5BB8"/>
    <w:rPr>
      <w:rFonts w:ascii="Lucida Grande" w:hAnsi="Lucida Grande" w:cs="Lucida Grande"/>
      <w:sz w:val="18"/>
      <w:szCs w:val="18"/>
    </w:rPr>
  </w:style>
  <w:style w:type="character" w:customStyle="1" w:styleId="BalloonTextChar">
    <w:name w:val="Balloon Text Char"/>
    <w:link w:val="BalloonText"/>
    <w:uiPriority w:val="99"/>
    <w:semiHidden/>
    <w:rsid w:val="00EE5BB8"/>
    <w:rPr>
      <w:rFonts w:ascii="Lucida Grande" w:hAnsi="Lucida Grande" w:cs="Lucida Grande"/>
      <w:kern w:val="0"/>
      <w:sz w:val="18"/>
      <w:szCs w:val="18"/>
      <w:lang w:val="en-US"/>
      <w14:ligatures w14:val="none"/>
    </w:rPr>
  </w:style>
  <w:style w:type="paragraph" w:styleId="BodyTextIndent">
    <w:name w:val="Body Text Indent"/>
    <w:basedOn w:val="Normal"/>
    <w:link w:val="BodyTextIndentChar"/>
    <w:uiPriority w:val="99"/>
    <w:semiHidden/>
    <w:unhideWhenUsed/>
    <w:rsid w:val="00EE5BB8"/>
    <w:pPr>
      <w:spacing w:after="120"/>
      <w:ind w:left="283"/>
    </w:pPr>
  </w:style>
  <w:style w:type="character" w:customStyle="1" w:styleId="BodyTextIndentChar">
    <w:name w:val="Body Text Indent Char"/>
    <w:link w:val="BodyTextIndent"/>
    <w:uiPriority w:val="99"/>
    <w:semiHidden/>
    <w:rsid w:val="00EE5BB8"/>
    <w:rPr>
      <w:kern w:val="0"/>
      <w:lang w:val="en-US"/>
      <w14:ligatures w14:val="none"/>
    </w:rPr>
  </w:style>
  <w:style w:type="paragraph" w:customStyle="1" w:styleId="Bullet">
    <w:name w:val="Bullet"/>
    <w:basedOn w:val="Normal"/>
    <w:qFormat/>
    <w:rsid w:val="00EE5BB8"/>
    <w:pPr>
      <w:numPr>
        <w:numId w:val="4"/>
      </w:numPr>
      <w:spacing w:after="140"/>
    </w:pPr>
  </w:style>
  <w:style w:type="paragraph" w:customStyle="1" w:styleId="Bullet2">
    <w:name w:val="Bullet 2"/>
    <w:basedOn w:val="Bullet"/>
    <w:qFormat/>
    <w:rsid w:val="00EE5BB8"/>
    <w:pPr>
      <w:numPr>
        <w:numId w:val="3"/>
      </w:numPr>
    </w:pPr>
  </w:style>
  <w:style w:type="paragraph" w:customStyle="1" w:styleId="Bulletlast">
    <w:name w:val="Bullet last"/>
    <w:basedOn w:val="Bullet"/>
    <w:qFormat/>
    <w:rsid w:val="00EE5BB8"/>
    <w:pPr>
      <w:spacing w:after="280"/>
    </w:pPr>
  </w:style>
  <w:style w:type="paragraph" w:customStyle="1" w:styleId="Default">
    <w:name w:val="Default"/>
    <w:rsid w:val="00EE5BB8"/>
    <w:pPr>
      <w:autoSpaceDE w:val="0"/>
      <w:autoSpaceDN w:val="0"/>
      <w:adjustRightInd w:val="0"/>
    </w:pPr>
    <w:rPr>
      <w:rFonts w:ascii="Arial" w:hAnsi="Arial" w:cs="Arial"/>
      <w:color w:val="000000"/>
      <w:kern w:val="0"/>
      <w14:ligatures w14:val="none"/>
    </w:rPr>
  </w:style>
  <w:style w:type="character" w:styleId="FollowedHyperlink">
    <w:name w:val="FollowedHyperlink"/>
    <w:uiPriority w:val="99"/>
    <w:semiHidden/>
    <w:unhideWhenUsed/>
    <w:rsid w:val="00EE5BB8"/>
    <w:rPr>
      <w:color w:val="800080"/>
      <w:u w:val="single"/>
    </w:rPr>
  </w:style>
  <w:style w:type="paragraph" w:styleId="Footer">
    <w:name w:val="footer"/>
    <w:basedOn w:val="Normal"/>
    <w:link w:val="FooterChar"/>
    <w:uiPriority w:val="99"/>
    <w:unhideWhenUsed/>
    <w:rsid w:val="00EE5BB8"/>
    <w:pPr>
      <w:tabs>
        <w:tab w:val="center" w:pos="4320"/>
        <w:tab w:val="right" w:pos="9639"/>
      </w:tabs>
      <w:spacing w:after="0" w:line="200" w:lineRule="atLeast"/>
    </w:pPr>
    <w:rPr>
      <w:sz w:val="16"/>
    </w:rPr>
  </w:style>
  <w:style w:type="character" w:customStyle="1" w:styleId="FooterChar">
    <w:name w:val="Footer Char"/>
    <w:link w:val="Footer"/>
    <w:uiPriority w:val="99"/>
    <w:rsid w:val="00EE5BB8"/>
    <w:rPr>
      <w:kern w:val="0"/>
      <w:sz w:val="16"/>
      <w:lang w:val="en-US"/>
      <w14:ligatures w14:val="none"/>
    </w:rPr>
  </w:style>
  <w:style w:type="character" w:styleId="FootnoteReference">
    <w:name w:val="footnote reference"/>
    <w:uiPriority w:val="99"/>
    <w:unhideWhenUsed/>
    <w:rsid w:val="00EE5BB8"/>
    <w:rPr>
      <w:rFonts w:ascii="Arial" w:hAnsi="Arial"/>
      <w:vertAlign w:val="superscript"/>
    </w:rPr>
  </w:style>
  <w:style w:type="paragraph" w:styleId="FootnoteText">
    <w:name w:val="footnote text"/>
    <w:basedOn w:val="Normal"/>
    <w:link w:val="FootnoteTextChar"/>
    <w:uiPriority w:val="99"/>
    <w:unhideWhenUsed/>
    <w:rsid w:val="00EE5BB8"/>
    <w:pPr>
      <w:spacing w:after="60"/>
    </w:pPr>
    <w:rPr>
      <w:sz w:val="20"/>
    </w:rPr>
  </w:style>
  <w:style w:type="character" w:customStyle="1" w:styleId="FootnoteTextChar">
    <w:name w:val="Footnote Text Char"/>
    <w:link w:val="FootnoteText"/>
    <w:uiPriority w:val="99"/>
    <w:rsid w:val="00EE5BB8"/>
    <w:rPr>
      <w:kern w:val="0"/>
      <w:sz w:val="20"/>
      <w:lang w:val="en-US"/>
      <w14:ligatures w14:val="none"/>
    </w:rPr>
  </w:style>
  <w:style w:type="paragraph" w:styleId="Header">
    <w:name w:val="header"/>
    <w:basedOn w:val="Normal"/>
    <w:link w:val="HeaderChar"/>
    <w:uiPriority w:val="99"/>
    <w:unhideWhenUsed/>
    <w:rsid w:val="00EE5BB8"/>
    <w:pPr>
      <w:tabs>
        <w:tab w:val="center" w:pos="4320"/>
        <w:tab w:val="right" w:pos="8640"/>
      </w:tabs>
    </w:pPr>
  </w:style>
  <w:style w:type="character" w:customStyle="1" w:styleId="HeaderChar">
    <w:name w:val="Header Char"/>
    <w:link w:val="Header"/>
    <w:uiPriority w:val="99"/>
    <w:rsid w:val="00EE5BB8"/>
    <w:rPr>
      <w:kern w:val="0"/>
      <w:lang w:val="en-US"/>
      <w14:ligatures w14:val="none"/>
    </w:rPr>
  </w:style>
  <w:style w:type="character" w:styleId="Hyperlink">
    <w:name w:val="Hyperlink"/>
    <w:uiPriority w:val="99"/>
    <w:unhideWhenUsed/>
    <w:rsid w:val="00EE5BB8"/>
    <w:rPr>
      <w:rFonts w:ascii="Arial" w:hAnsi="Arial"/>
      <w:color w:val="0000FF"/>
      <w:u w:val="single"/>
    </w:rPr>
  </w:style>
  <w:style w:type="paragraph" w:styleId="NormalWeb">
    <w:name w:val="Normal (Web)"/>
    <w:basedOn w:val="Normal"/>
    <w:uiPriority w:val="99"/>
    <w:semiHidden/>
    <w:unhideWhenUsed/>
    <w:rsid w:val="00EE5BB8"/>
    <w:pPr>
      <w:spacing w:before="100" w:beforeAutospacing="1" w:after="100" w:afterAutospacing="1"/>
    </w:pPr>
    <w:rPr>
      <w:rFonts w:ascii="Times New Roman" w:eastAsia="Times New Roman" w:hAnsi="Times New Roman" w:cs="Times New Roman"/>
      <w:lang w:eastAsia="en-GB"/>
    </w:rPr>
  </w:style>
  <w:style w:type="paragraph" w:customStyle="1" w:styleId="Normalbeforebullets">
    <w:name w:val="Normal before bullets"/>
    <w:basedOn w:val="Normal"/>
    <w:qFormat/>
    <w:rsid w:val="00EE5BB8"/>
    <w:pPr>
      <w:keepNext/>
      <w:spacing w:after="140"/>
    </w:pPr>
  </w:style>
  <w:style w:type="character" w:styleId="PageNumber">
    <w:name w:val="page number"/>
    <w:uiPriority w:val="99"/>
    <w:unhideWhenUsed/>
    <w:rsid w:val="00EE5BB8"/>
  </w:style>
  <w:style w:type="paragraph" w:customStyle="1" w:styleId="TableCopy">
    <w:name w:val="Table Copy"/>
    <w:basedOn w:val="Normal"/>
    <w:qFormat/>
    <w:rsid w:val="00EA66F2"/>
    <w:pPr>
      <w:spacing w:after="120"/>
    </w:pPr>
  </w:style>
  <w:style w:type="paragraph" w:customStyle="1" w:styleId="TableBullet">
    <w:name w:val="Table Bullet"/>
    <w:basedOn w:val="TableCopy"/>
    <w:qFormat/>
    <w:rsid w:val="00EE5BB8"/>
    <w:pPr>
      <w:numPr>
        <w:numId w:val="7"/>
      </w:numPr>
      <w:spacing w:before="60" w:after="60"/>
    </w:pPr>
    <w:rPr>
      <w:szCs w:val="22"/>
    </w:rPr>
  </w:style>
  <w:style w:type="paragraph" w:customStyle="1" w:styleId="TableHeading">
    <w:name w:val="Table Heading"/>
    <w:basedOn w:val="Normal"/>
    <w:qFormat/>
    <w:rsid w:val="00EE5BB8"/>
    <w:pPr>
      <w:keepNext/>
      <w:spacing w:after="60"/>
    </w:pPr>
    <w:rPr>
      <w:b/>
      <w:lang w:eastAsia="en-GB"/>
    </w:rPr>
  </w:style>
  <w:style w:type="paragraph" w:customStyle="1" w:styleId="TableColumnHeading">
    <w:name w:val="Table Column Heading"/>
    <w:basedOn w:val="TableHeading"/>
    <w:qFormat/>
    <w:rsid w:val="00EE5BB8"/>
    <w:pPr>
      <w:spacing w:before="80" w:after="80"/>
    </w:pPr>
    <w:rPr>
      <w:szCs w:val="36"/>
      <w:lang w:val="en-GB"/>
    </w:rPr>
  </w:style>
  <w:style w:type="table" w:styleId="TableGrid">
    <w:name w:val="Table Grid"/>
    <w:basedOn w:val="TableNormal"/>
    <w:uiPriority w:val="59"/>
    <w:rsid w:val="00177848"/>
    <w:rPr>
      <w:rFonts w:ascii="Arial" w:eastAsia="MS Mincho"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styleId="TableGridLight">
    <w:name w:val="Grid Table Light"/>
    <w:basedOn w:val="TableNormal"/>
    <w:uiPriority w:val="40"/>
    <w:rsid w:val="00EE5BB8"/>
    <w:pPr>
      <w:widowControl w:val="0"/>
      <w:autoSpaceDE w:val="0"/>
      <w:autoSpaceDN w:val="0"/>
    </w:pPr>
    <w:rPr>
      <w:kern w:val="0"/>
      <w:lang w:val="en-US"/>
      <w14:ligatures w14:val="none"/>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style>
  <w:style w:type="paragraph" w:customStyle="1" w:styleId="TableParagraph">
    <w:name w:val="Table Paragraph"/>
    <w:basedOn w:val="Normal"/>
    <w:uiPriority w:val="1"/>
    <w:qFormat/>
    <w:rsid w:val="00EE5BB8"/>
    <w:pPr>
      <w:spacing w:after="140"/>
    </w:pPr>
    <w:rPr>
      <w:rFonts w:eastAsia="Arial"/>
      <w:szCs w:val="22"/>
      <w:lang w:eastAsia="en-GB"/>
    </w:rPr>
  </w:style>
  <w:style w:type="paragraph" w:styleId="TOC4">
    <w:name w:val="toc 4"/>
    <w:basedOn w:val="Normal"/>
    <w:next w:val="Normal"/>
    <w:autoRedefine/>
    <w:uiPriority w:val="39"/>
    <w:unhideWhenUsed/>
    <w:rsid w:val="00EE5BB8"/>
    <w:pPr>
      <w:spacing w:after="0"/>
      <w:ind w:left="600"/>
    </w:pPr>
    <w:rPr>
      <w:rFonts w:ascii="Cambria" w:hAnsi="Cambria"/>
      <w:szCs w:val="20"/>
    </w:rPr>
  </w:style>
  <w:style w:type="paragraph" w:styleId="TOC5">
    <w:name w:val="toc 5"/>
    <w:basedOn w:val="Normal"/>
    <w:next w:val="Normal"/>
    <w:autoRedefine/>
    <w:uiPriority w:val="39"/>
    <w:unhideWhenUsed/>
    <w:rsid w:val="00EE5BB8"/>
    <w:pPr>
      <w:spacing w:after="0"/>
      <w:ind w:left="800"/>
    </w:pPr>
    <w:rPr>
      <w:rFonts w:ascii="Cambria" w:hAnsi="Cambria"/>
      <w:szCs w:val="20"/>
    </w:rPr>
  </w:style>
  <w:style w:type="paragraph" w:styleId="TOC6">
    <w:name w:val="toc 6"/>
    <w:basedOn w:val="Normal"/>
    <w:next w:val="Normal"/>
    <w:autoRedefine/>
    <w:uiPriority w:val="39"/>
    <w:unhideWhenUsed/>
    <w:rsid w:val="00EE5BB8"/>
    <w:pPr>
      <w:spacing w:after="0"/>
      <w:ind w:left="1000"/>
    </w:pPr>
    <w:rPr>
      <w:rFonts w:ascii="Cambria" w:hAnsi="Cambria"/>
      <w:szCs w:val="20"/>
    </w:rPr>
  </w:style>
  <w:style w:type="paragraph" w:styleId="TOC7">
    <w:name w:val="toc 7"/>
    <w:basedOn w:val="Normal"/>
    <w:next w:val="Normal"/>
    <w:autoRedefine/>
    <w:uiPriority w:val="39"/>
    <w:unhideWhenUsed/>
    <w:rsid w:val="00EE5BB8"/>
    <w:pPr>
      <w:spacing w:after="0"/>
      <w:ind w:left="1200"/>
    </w:pPr>
    <w:rPr>
      <w:rFonts w:ascii="Cambria" w:hAnsi="Cambria"/>
      <w:szCs w:val="20"/>
    </w:rPr>
  </w:style>
  <w:style w:type="paragraph" w:styleId="TOC8">
    <w:name w:val="toc 8"/>
    <w:basedOn w:val="Normal"/>
    <w:next w:val="Normal"/>
    <w:autoRedefine/>
    <w:uiPriority w:val="39"/>
    <w:unhideWhenUsed/>
    <w:rsid w:val="00EE5BB8"/>
    <w:pPr>
      <w:spacing w:after="0"/>
      <w:ind w:left="1400"/>
    </w:pPr>
    <w:rPr>
      <w:rFonts w:ascii="Cambria" w:hAnsi="Cambria"/>
      <w:szCs w:val="20"/>
    </w:rPr>
  </w:style>
  <w:style w:type="paragraph" w:styleId="TOC9">
    <w:name w:val="toc 9"/>
    <w:basedOn w:val="Normal"/>
    <w:next w:val="Normal"/>
    <w:autoRedefine/>
    <w:uiPriority w:val="39"/>
    <w:unhideWhenUsed/>
    <w:rsid w:val="00EE5BB8"/>
    <w:pPr>
      <w:spacing w:after="0"/>
      <w:ind w:left="1600"/>
    </w:pPr>
    <w:rPr>
      <w:rFonts w:ascii="Cambria" w:hAnsi="Cambria"/>
      <w:szCs w:val="20"/>
    </w:rPr>
  </w:style>
  <w:style w:type="paragraph" w:styleId="TOCHeading">
    <w:name w:val="TOC Heading"/>
    <w:basedOn w:val="Heading1"/>
    <w:next w:val="Normal"/>
    <w:uiPriority w:val="39"/>
    <w:unhideWhenUsed/>
    <w:qFormat/>
    <w:rsid w:val="00EE5BB8"/>
    <w:pPr>
      <w:pageBreakBefore w:val="0"/>
      <w:spacing w:line="360" w:lineRule="auto"/>
      <w:outlineLvl w:val="9"/>
    </w:pPr>
    <w:rPr>
      <w:sz w:val="32"/>
      <w:szCs w:val="28"/>
    </w:rPr>
  </w:style>
  <w:style w:type="numbering" w:customStyle="1" w:styleId="CurrentList1">
    <w:name w:val="Current List1"/>
    <w:uiPriority w:val="99"/>
    <w:rsid w:val="00EE5BB8"/>
    <w:pPr>
      <w:numPr>
        <w:numId w:val="9"/>
      </w:numPr>
    </w:pPr>
  </w:style>
  <w:style w:type="numbering" w:customStyle="1" w:styleId="CurrentList2">
    <w:name w:val="Current List2"/>
    <w:uiPriority w:val="99"/>
    <w:rsid w:val="00EE5BB8"/>
    <w:pPr>
      <w:numPr>
        <w:numId w:val="10"/>
      </w:numPr>
    </w:pPr>
  </w:style>
  <w:style w:type="paragraph" w:customStyle="1" w:styleId="Contentsheading">
    <w:name w:val="Contents heading"/>
    <w:basedOn w:val="Normal"/>
    <w:qFormat/>
    <w:rsid w:val="00EE5BB8"/>
    <w:pPr>
      <w:keepNext/>
      <w:spacing w:line="240" w:lineRule="auto"/>
    </w:pPr>
    <w:rPr>
      <w:b/>
      <w:color w:val="000000" w:themeColor="text1"/>
      <w:sz w:val="32"/>
      <w:szCs w:val="44"/>
    </w:rPr>
  </w:style>
  <w:style w:type="table" w:customStyle="1" w:styleId="14514AnnualReport">
    <w:name w:val="14514_Annual_Report"/>
    <w:basedOn w:val="TableNormal"/>
    <w:uiPriority w:val="99"/>
    <w:rsid w:val="00EE5BB8"/>
    <w:pPr>
      <w:spacing w:after="0" w:line="240" w:lineRule="auto"/>
    </w:pPr>
    <w:rPr>
      <w:sz w:val="16"/>
    </w:rPr>
    <w:tblPr>
      <w:tblBorders>
        <w:top w:val="single" w:sz="6" w:space="0" w:color="196B24" w:themeColor="accent3"/>
        <w:bottom w:val="single" w:sz="6" w:space="0" w:color="196B24" w:themeColor="accent3"/>
        <w:insideH w:val="dashed" w:sz="4" w:space="0" w:color="ADADAD" w:themeColor="background2" w:themeShade="BF"/>
      </w:tblBorders>
      <w:tblCellMar>
        <w:top w:w="57" w:type="dxa"/>
        <w:left w:w="57" w:type="dxa"/>
        <w:bottom w:w="57" w:type="dxa"/>
        <w:right w:w="57" w:type="dxa"/>
      </w:tblCellMar>
    </w:tblPr>
    <w:trPr>
      <w:cantSplit/>
    </w:trPr>
    <w:tblStylePr w:type="firstRow">
      <w:pPr>
        <w:jc w:val="left"/>
      </w:pPr>
      <w:rPr>
        <w:rFonts w:asciiTheme="minorHAnsi" w:hAnsiTheme="minorHAnsi"/>
        <w:sz w:val="16"/>
      </w:rPr>
      <w:tblPr/>
      <w:tcPr>
        <w:tcBorders>
          <w:top w:val="single" w:sz="6" w:space="0" w:color="196B24" w:themeColor="accent3"/>
          <w:left w:val="nil"/>
          <w:bottom w:val="single" w:sz="6" w:space="0" w:color="196B24" w:themeColor="accent3"/>
          <w:right w:val="nil"/>
          <w:insideH w:val="nil"/>
          <w:insideV w:val="nil"/>
          <w:tl2br w:val="nil"/>
          <w:tr2bl w:val="nil"/>
        </w:tcBorders>
        <w:vAlign w:val="bottom"/>
      </w:tcPr>
    </w:tblStylePr>
    <w:tblStylePr w:type="lastRow">
      <w:rPr>
        <w:rFonts w:asciiTheme="minorHAnsi" w:hAnsiTheme="minorHAnsi"/>
        <w:sz w:val="16"/>
      </w:rPr>
      <w:tblPr/>
      <w:tcPr>
        <w:tcBorders>
          <w:top w:val="single" w:sz="6" w:space="0" w:color="196B24" w:themeColor="accent3"/>
          <w:left w:val="nil"/>
          <w:bottom w:val="single" w:sz="6" w:space="0" w:color="196B24" w:themeColor="accent3"/>
          <w:right w:val="nil"/>
          <w:insideH w:val="nil"/>
          <w:insideV w:val="nil"/>
          <w:tl2br w:val="nil"/>
          <w:tr2bl w:val="nil"/>
        </w:tcBorders>
      </w:tcPr>
    </w:tblStylePr>
  </w:style>
  <w:style w:type="paragraph" w:customStyle="1" w:styleId="ChapterNumber">
    <w:name w:val="Chapter Number"/>
    <w:basedOn w:val="Normal"/>
    <w:qFormat/>
    <w:rsid w:val="00EE5BB8"/>
    <w:pPr>
      <w:spacing w:before="4960" w:after="500" w:line="4800" w:lineRule="exact"/>
      <w:ind w:left="-425"/>
    </w:pPr>
    <w:rPr>
      <w:color w:val="196B24" w:themeColor="accent3"/>
      <w:spacing w:val="-420"/>
      <w:sz w:val="804"/>
      <w:szCs w:val="804"/>
    </w:rPr>
  </w:style>
  <w:style w:type="paragraph" w:customStyle="1" w:styleId="Chaptertitle">
    <w:name w:val="Chapter title"/>
    <w:basedOn w:val="Normal"/>
    <w:qFormat/>
    <w:rsid w:val="00EE5BB8"/>
    <w:pPr>
      <w:spacing w:line="920" w:lineRule="exact"/>
      <w:ind w:left="113"/>
    </w:pPr>
    <w:rPr>
      <w:color w:val="196B24" w:themeColor="accent3"/>
      <w:sz w:val="100"/>
      <w:szCs w:val="100"/>
    </w:rPr>
  </w:style>
  <w:style w:type="paragraph" w:customStyle="1" w:styleId="Graph">
    <w:name w:val="Graph"/>
    <w:basedOn w:val="Normal"/>
    <w:qFormat/>
    <w:rsid w:val="00EE5BB8"/>
    <w:pPr>
      <w:spacing w:before="113" w:line="240" w:lineRule="auto"/>
    </w:pPr>
    <w:rPr>
      <w:noProof/>
    </w:rPr>
  </w:style>
  <w:style w:type="paragraph" w:customStyle="1" w:styleId="Introtext">
    <w:name w:val="Intro text"/>
    <w:basedOn w:val="Normal"/>
    <w:qFormat/>
    <w:rsid w:val="00EE5BB8"/>
    <w:pPr>
      <w:spacing w:line="280" w:lineRule="exact"/>
    </w:pPr>
  </w:style>
  <w:style w:type="character" w:customStyle="1" w:styleId="Italics">
    <w:name w:val="Italics"/>
    <w:basedOn w:val="DefaultParagraphFont"/>
    <w:uiPriority w:val="1"/>
    <w:qFormat/>
    <w:rsid w:val="00C6052E"/>
    <w:rPr>
      <w:rFonts w:asciiTheme="minorHAnsi" w:hAnsiTheme="minorHAnsi"/>
      <w:i/>
      <w:iCs/>
    </w:rPr>
  </w:style>
  <w:style w:type="paragraph" w:customStyle="1" w:styleId="Normalbeforebullet">
    <w:name w:val="Normal before bullet"/>
    <w:basedOn w:val="Normal"/>
    <w:qFormat/>
    <w:rsid w:val="001713CE"/>
    <w:pPr>
      <w:spacing w:after="120"/>
    </w:pPr>
  </w:style>
  <w:style w:type="paragraph" w:customStyle="1" w:styleId="Tabletext">
    <w:name w:val="Table text"/>
    <w:basedOn w:val="Normal"/>
    <w:link w:val="TabletextChar"/>
    <w:qFormat/>
    <w:rsid w:val="00EE5BB8"/>
    <w:pPr>
      <w:spacing w:after="0" w:line="220" w:lineRule="exact"/>
    </w:pPr>
    <w:rPr>
      <w:sz w:val="16"/>
      <w:szCs w:val="16"/>
    </w:rPr>
  </w:style>
  <w:style w:type="paragraph" w:customStyle="1" w:styleId="Tablebullet0">
    <w:name w:val="Table bullet"/>
    <w:basedOn w:val="Tabletext"/>
    <w:qFormat/>
    <w:rsid w:val="00EE5BB8"/>
    <w:pPr>
      <w:numPr>
        <w:numId w:val="13"/>
      </w:numPr>
      <w:ind w:left="0" w:firstLine="0"/>
    </w:pPr>
  </w:style>
  <w:style w:type="paragraph" w:customStyle="1" w:styleId="Tableheading0">
    <w:name w:val="Table heading"/>
    <w:basedOn w:val="Tabletext"/>
    <w:qFormat/>
    <w:rsid w:val="00EE5BB8"/>
    <w:pPr>
      <w:keepNext/>
    </w:pPr>
    <w:rPr>
      <w:rFonts w:ascii="VIC Medium" w:hAnsi="VIC Medium"/>
      <w:color w:val="196B24" w:themeColor="accent3"/>
    </w:rPr>
  </w:style>
  <w:style w:type="paragraph" w:customStyle="1" w:styleId="Tablenotes">
    <w:name w:val="Table notes"/>
    <w:basedOn w:val="Normal"/>
    <w:qFormat/>
    <w:rsid w:val="00EE5BB8"/>
    <w:pPr>
      <w:tabs>
        <w:tab w:val="left" w:pos="294"/>
      </w:tabs>
      <w:spacing w:before="120" w:after="120" w:line="240" w:lineRule="auto"/>
      <w:ind w:left="295" w:hanging="295"/>
    </w:pPr>
    <w:rPr>
      <w:i/>
      <w:sz w:val="18"/>
      <w:szCs w:val="14"/>
    </w:rPr>
  </w:style>
  <w:style w:type="paragraph" w:customStyle="1" w:styleId="Tablenotes-numbered">
    <w:name w:val="Table notes - numbered"/>
    <w:basedOn w:val="Tablenotes"/>
    <w:qFormat/>
    <w:rsid w:val="001713CE"/>
    <w:pPr>
      <w:numPr>
        <w:numId w:val="14"/>
      </w:numPr>
      <w:spacing w:line="276" w:lineRule="auto"/>
      <w:ind w:left="0" w:firstLine="0"/>
    </w:pPr>
  </w:style>
  <w:style w:type="paragraph" w:customStyle="1" w:styleId="Tabletotal">
    <w:name w:val="Table total"/>
    <w:basedOn w:val="Tabletext"/>
    <w:qFormat/>
    <w:rsid w:val="003957FF"/>
    <w:pPr>
      <w:spacing w:after="120" w:line="264" w:lineRule="auto"/>
    </w:pPr>
    <w:rPr>
      <w:rFonts w:ascii="Arial" w:hAnsi="Arial"/>
      <w:b/>
      <w:sz w:val="20"/>
    </w:rPr>
  </w:style>
  <w:style w:type="character" w:customStyle="1" w:styleId="Wingdings">
    <w:name w:val="Wingdings"/>
    <w:basedOn w:val="DefaultParagraphFont"/>
    <w:uiPriority w:val="1"/>
    <w:qFormat/>
    <w:rsid w:val="00EE5BB8"/>
    <w:rPr>
      <w:rFonts w:ascii="Wingdings" w:hAnsi="Wingdings"/>
    </w:rPr>
  </w:style>
  <w:style w:type="paragraph" w:customStyle="1" w:styleId="Footnote">
    <w:name w:val="Footnote"/>
    <w:basedOn w:val="Normal"/>
    <w:qFormat/>
    <w:rsid w:val="004C0653"/>
    <w:pPr>
      <w:spacing w:after="60"/>
      <w:ind w:left="170" w:hanging="170"/>
    </w:pPr>
    <w:rPr>
      <w:sz w:val="16"/>
      <w:szCs w:val="14"/>
    </w:rPr>
  </w:style>
  <w:style w:type="paragraph" w:customStyle="1" w:styleId="Structurepoints">
    <w:name w:val="Structure points"/>
    <w:basedOn w:val="Normal"/>
    <w:qFormat/>
    <w:rsid w:val="00EE5BB8"/>
    <w:pPr>
      <w:spacing w:after="85"/>
      <w:ind w:left="454" w:hanging="454"/>
    </w:pPr>
    <w:rPr>
      <w:b/>
    </w:rPr>
  </w:style>
  <w:style w:type="character" w:customStyle="1" w:styleId="Medium">
    <w:name w:val="Medium"/>
    <w:basedOn w:val="DefaultParagraphFont"/>
    <w:uiPriority w:val="1"/>
    <w:qFormat/>
    <w:rsid w:val="00C6052E"/>
    <w:rPr>
      <w:rFonts w:ascii="Arial" w:hAnsi="Arial" w:hint="default"/>
      <w:b/>
    </w:rPr>
  </w:style>
  <w:style w:type="table" w:customStyle="1" w:styleId="14514AnnualReport1">
    <w:name w:val="14514_Annual_Report1"/>
    <w:basedOn w:val="TableNormal"/>
    <w:uiPriority w:val="99"/>
    <w:rsid w:val="00EE5BB8"/>
    <w:pPr>
      <w:spacing w:after="0" w:line="240" w:lineRule="auto"/>
    </w:pPr>
    <w:rPr>
      <w:sz w:val="16"/>
    </w:rPr>
    <w:tblPr>
      <w:tblBorders>
        <w:insideH w:val="dashed" w:sz="4" w:space="0" w:color="ADADAD" w:themeColor="background2" w:themeShade="BF"/>
      </w:tblBorders>
      <w:tblCellMar>
        <w:top w:w="57" w:type="dxa"/>
        <w:left w:w="57" w:type="dxa"/>
        <w:bottom w:w="57" w:type="dxa"/>
        <w:right w:w="57" w:type="dxa"/>
      </w:tblCellMar>
    </w:tblPr>
    <w:tblStylePr w:type="firstRow">
      <w:pPr>
        <w:jc w:val="left"/>
      </w:pPr>
      <w:rPr>
        <w:rFonts w:ascii="VIC SemiBold Italic" w:hAnsi="VIC SemiBold Italic"/>
        <w:sz w:val="16"/>
      </w:rPr>
      <w:tblPr/>
      <w:trPr>
        <w:cantSplit/>
      </w:trPr>
      <w:tcPr>
        <w:tcBorders>
          <w:top w:val="single" w:sz="6" w:space="0" w:color="156082" w:themeColor="accent1"/>
          <w:left w:val="nil"/>
          <w:bottom w:val="single" w:sz="6" w:space="0" w:color="156082" w:themeColor="accent1"/>
          <w:right w:val="nil"/>
          <w:insideH w:val="nil"/>
          <w:insideV w:val="nil"/>
          <w:tl2br w:val="nil"/>
          <w:tr2bl w:val="nil"/>
        </w:tcBorders>
        <w:vAlign w:val="bottom"/>
      </w:tcPr>
    </w:tblStylePr>
    <w:tblStylePr w:type="lastRow">
      <w:rPr>
        <w:rFonts w:ascii="VIC SemiBold Italic" w:hAnsi="VIC SemiBold Italic"/>
        <w:sz w:val="16"/>
      </w:rPr>
      <w:tblPr/>
      <w:tcPr>
        <w:tcBorders>
          <w:top w:val="single" w:sz="6" w:space="0" w:color="156082" w:themeColor="accent1"/>
          <w:left w:val="nil"/>
          <w:bottom w:val="single" w:sz="6" w:space="0" w:color="156082" w:themeColor="accent1"/>
          <w:right w:val="nil"/>
          <w:insideH w:val="nil"/>
          <w:insideV w:val="nil"/>
          <w:tl2br w:val="nil"/>
          <w:tr2bl w:val="nil"/>
        </w:tcBorders>
      </w:tcPr>
    </w:tblStylePr>
  </w:style>
  <w:style w:type="table" w:customStyle="1" w:styleId="StriveDocumentControl">
    <w:name w:val="Strive Document Control"/>
    <w:basedOn w:val="TableNormal"/>
    <w:uiPriority w:val="99"/>
    <w:rsid w:val="00EE5BB8"/>
    <w:pPr>
      <w:spacing w:after="0" w:line="240" w:lineRule="auto"/>
    </w:pPr>
    <w:rPr>
      <w:rFonts w:ascii="Arial" w:eastAsia="MS Mincho" w:hAnsi="Arial" w:cs="Times New Roman"/>
      <w:kern w:val="0"/>
      <w:sz w:val="20"/>
      <w:szCs w:val="20"/>
      <w:lang w:eastAsia="en-AU"/>
      <w14:ligatures w14:val="none"/>
    </w:rPr>
    <w:tblPr>
      <w:tblBorders>
        <w:bottom w:val="single" w:sz="6" w:space="0" w:color="196B24" w:themeColor="accent3"/>
        <w:insideH w:val="single" w:sz="4" w:space="0" w:color="196B24" w:themeColor="accent3"/>
        <w:insideV w:val="single" w:sz="4" w:space="0" w:color="196B24" w:themeColor="accent3"/>
      </w:tblBorders>
    </w:tblPr>
    <w:tblStylePr w:type="firstRow">
      <w:tblPr/>
      <w:tcPr>
        <w:tcBorders>
          <w:top w:val="single" w:sz="6" w:space="0" w:color="196B24" w:themeColor="accent3"/>
          <w:left w:val="nil"/>
          <w:bottom w:val="nil"/>
          <w:right w:val="nil"/>
          <w:insideH w:val="nil"/>
          <w:insideV w:val="single" w:sz="4" w:space="0" w:color="196B24" w:themeColor="accent3"/>
          <w:tl2br w:val="nil"/>
          <w:tr2bl w:val="nil"/>
        </w:tcBorders>
        <w:shd w:val="clear" w:color="auto" w:fill="DFF7E2" w:themeFill="accent3" w:themeFillTint="1A"/>
      </w:tcPr>
    </w:tblStylePr>
  </w:style>
  <w:style w:type="paragraph" w:customStyle="1" w:styleId="Bullet2last">
    <w:name w:val="Bullet 2 last"/>
    <w:basedOn w:val="Bullet2"/>
    <w:qFormat/>
    <w:rsid w:val="00EE5BB8"/>
    <w:pPr>
      <w:numPr>
        <w:numId w:val="0"/>
      </w:numPr>
      <w:spacing w:after="170"/>
    </w:pPr>
  </w:style>
  <w:style w:type="character" w:styleId="CommentReference">
    <w:name w:val="annotation reference"/>
    <w:basedOn w:val="DefaultParagraphFont"/>
    <w:uiPriority w:val="99"/>
    <w:semiHidden/>
    <w:unhideWhenUsed/>
    <w:rsid w:val="00EE5BB8"/>
    <w:rPr>
      <w:sz w:val="16"/>
      <w:szCs w:val="16"/>
    </w:rPr>
  </w:style>
  <w:style w:type="paragraph" w:styleId="CommentSubject">
    <w:name w:val="annotation subject"/>
    <w:basedOn w:val="Normal"/>
    <w:next w:val="Normal"/>
    <w:link w:val="CommentSubjectChar"/>
    <w:uiPriority w:val="99"/>
    <w:semiHidden/>
    <w:unhideWhenUsed/>
    <w:rsid w:val="002A4D98"/>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2A4D98"/>
    <w:rPr>
      <w:b/>
      <w:bCs/>
      <w:kern w:val="0"/>
      <w:sz w:val="20"/>
      <w:szCs w:val="20"/>
      <w:lang w:val="en-US"/>
      <w14:ligatures w14:val="none"/>
    </w:rPr>
  </w:style>
  <w:style w:type="table" w:styleId="GridTable1Light-Accent3">
    <w:name w:val="Grid Table 1 Light Accent 3"/>
    <w:basedOn w:val="TableNormal"/>
    <w:uiPriority w:val="46"/>
    <w:rsid w:val="00EE5BB8"/>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paragraph" w:customStyle="1" w:styleId="Heading3numbered0">
    <w:name w:val="Heading 3 numbered"/>
    <w:basedOn w:val="Heading4"/>
    <w:qFormat/>
    <w:rsid w:val="00157285"/>
    <w:pPr>
      <w:numPr>
        <w:ilvl w:val="2"/>
        <w:numId w:val="12"/>
      </w:numPr>
      <w:ind w:left="709" w:hanging="709"/>
    </w:pPr>
    <w:rPr>
      <w:sz w:val="26"/>
      <w:szCs w:val="22"/>
    </w:rPr>
  </w:style>
  <w:style w:type="paragraph" w:styleId="ListBullet">
    <w:name w:val="List Bullet"/>
    <w:basedOn w:val="Normal"/>
    <w:uiPriority w:val="99"/>
    <w:semiHidden/>
    <w:unhideWhenUsed/>
    <w:rsid w:val="00EE5BB8"/>
    <w:pPr>
      <w:contextualSpacing/>
    </w:pPr>
  </w:style>
  <w:style w:type="paragraph" w:styleId="ListBullet2">
    <w:name w:val="List Bullet 2"/>
    <w:basedOn w:val="Normal"/>
    <w:uiPriority w:val="99"/>
    <w:semiHidden/>
    <w:unhideWhenUsed/>
    <w:rsid w:val="00EE5BB8"/>
    <w:pPr>
      <w:contextualSpacing/>
    </w:pPr>
  </w:style>
  <w:style w:type="paragraph" w:styleId="ListBullet3">
    <w:name w:val="List Bullet 3"/>
    <w:basedOn w:val="Normal"/>
    <w:uiPriority w:val="99"/>
    <w:semiHidden/>
    <w:unhideWhenUsed/>
    <w:rsid w:val="00EE5BB8"/>
    <w:pPr>
      <w:contextualSpacing/>
    </w:pPr>
  </w:style>
  <w:style w:type="paragraph" w:styleId="ListContinue">
    <w:name w:val="List Continue"/>
    <w:basedOn w:val="Normal"/>
    <w:uiPriority w:val="99"/>
    <w:semiHidden/>
    <w:unhideWhenUsed/>
    <w:rsid w:val="00EE5BB8"/>
    <w:pPr>
      <w:spacing w:after="120"/>
      <w:ind w:left="283"/>
      <w:contextualSpacing/>
    </w:pPr>
  </w:style>
  <w:style w:type="paragraph" w:styleId="ListContinue2">
    <w:name w:val="List Continue 2"/>
    <w:basedOn w:val="Normal"/>
    <w:uiPriority w:val="99"/>
    <w:semiHidden/>
    <w:unhideWhenUsed/>
    <w:rsid w:val="00EE5BB8"/>
    <w:pPr>
      <w:spacing w:after="120"/>
      <w:ind w:left="566"/>
      <w:contextualSpacing/>
    </w:pPr>
  </w:style>
  <w:style w:type="paragraph" w:styleId="ListContinue3">
    <w:name w:val="List Continue 3"/>
    <w:basedOn w:val="Normal"/>
    <w:uiPriority w:val="99"/>
    <w:semiHidden/>
    <w:unhideWhenUsed/>
    <w:rsid w:val="00EE5BB8"/>
    <w:pPr>
      <w:spacing w:after="120"/>
      <w:ind w:left="849"/>
      <w:contextualSpacing/>
    </w:pPr>
  </w:style>
  <w:style w:type="table" w:styleId="ListTable1Light-Accent3">
    <w:name w:val="List Table 1 Light Accent 3"/>
    <w:basedOn w:val="TableNormal"/>
    <w:uiPriority w:val="46"/>
    <w:rsid w:val="00EE5BB8"/>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character" w:styleId="PlaceholderText">
    <w:name w:val="Placeholder Text"/>
    <w:basedOn w:val="DefaultParagraphFont"/>
    <w:uiPriority w:val="99"/>
    <w:semiHidden/>
    <w:rsid w:val="00EE5BB8"/>
    <w:rPr>
      <w:color w:val="666666"/>
    </w:rPr>
  </w:style>
  <w:style w:type="paragraph" w:customStyle="1" w:styleId="RHFooter">
    <w:name w:val="RH Footer"/>
    <w:basedOn w:val="Footer"/>
    <w:qFormat/>
    <w:rsid w:val="00EE5BB8"/>
    <w:pPr>
      <w:jc w:val="right"/>
    </w:pPr>
  </w:style>
  <w:style w:type="paragraph" w:styleId="TableofFigures">
    <w:name w:val="table of figures"/>
    <w:basedOn w:val="Normal"/>
    <w:next w:val="Normal"/>
    <w:uiPriority w:val="99"/>
    <w:semiHidden/>
    <w:unhideWhenUsed/>
    <w:rsid w:val="00EE5BB8"/>
    <w:pPr>
      <w:spacing w:after="0"/>
    </w:pPr>
  </w:style>
  <w:style w:type="character" w:styleId="UnresolvedMention">
    <w:name w:val="Unresolved Mention"/>
    <w:basedOn w:val="DefaultParagraphFont"/>
    <w:uiPriority w:val="99"/>
    <w:semiHidden/>
    <w:unhideWhenUsed/>
    <w:rsid w:val="00EE5BB8"/>
    <w:rPr>
      <w:color w:val="605E5C"/>
      <w:shd w:val="clear" w:color="auto" w:fill="E1DFDD"/>
    </w:rPr>
  </w:style>
  <w:style w:type="paragraph" w:customStyle="1" w:styleId="NoParagraphStyle">
    <w:name w:val="[No Paragraph Style]"/>
    <w:rsid w:val="00EE5BB8"/>
    <w:pPr>
      <w:autoSpaceDE w:val="0"/>
      <w:autoSpaceDN w:val="0"/>
      <w:adjustRightInd w:val="0"/>
      <w:spacing w:after="0" w:line="288" w:lineRule="auto"/>
      <w:textAlignment w:val="center"/>
    </w:pPr>
    <w:rPr>
      <w:rFonts w:ascii="Arial" w:hAnsi="Arial" w:cs="Arial"/>
      <w:color w:val="000000"/>
      <w:kern w:val="0"/>
      <w:lang w:val="en-US"/>
      <w14:ligatures w14:val="none"/>
    </w:rPr>
  </w:style>
  <w:style w:type="table" w:customStyle="1" w:styleId="DJSIR">
    <w:name w:val="DJSIR"/>
    <w:basedOn w:val="TableNormal"/>
    <w:uiPriority w:val="99"/>
    <w:rsid w:val="00EE5BB8"/>
    <w:pPr>
      <w:spacing w:before="60" w:after="60" w:line="240" w:lineRule="auto"/>
    </w:pPr>
    <w:rPr>
      <w:kern w:val="0"/>
      <w:sz w:val="18"/>
      <w14:ligatures w14:val="none"/>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156082" w:themeFill="accent1"/>
      </w:tcPr>
    </w:tblStylePr>
  </w:style>
  <w:style w:type="paragraph" w:styleId="Revision">
    <w:name w:val="Revision"/>
    <w:hidden/>
    <w:uiPriority w:val="99"/>
    <w:semiHidden/>
    <w:rsid w:val="00EE5BB8"/>
    <w:pPr>
      <w:spacing w:after="0" w:line="240" w:lineRule="auto"/>
    </w:pPr>
    <w:rPr>
      <w:rFonts w:ascii="Arial" w:hAnsi="Arial" w:cs="Arial"/>
      <w:color w:val="000000"/>
      <w:kern w:val="0"/>
      <w:sz w:val="18"/>
      <w:szCs w:val="18"/>
      <w:lang w:val="en-US"/>
      <w14:ligatures w14:val="none"/>
    </w:rPr>
  </w:style>
  <w:style w:type="paragraph" w:customStyle="1" w:styleId="Bulleta">
    <w:name w:val="Bullet a)"/>
    <w:basedOn w:val="Normal"/>
    <w:qFormat/>
    <w:rsid w:val="00EE5BB8"/>
    <w:pPr>
      <w:numPr>
        <w:numId w:val="8"/>
      </w:numPr>
      <w:spacing w:after="57"/>
      <w:ind w:left="0" w:firstLine="0"/>
    </w:pPr>
  </w:style>
  <w:style w:type="paragraph" w:styleId="BlockText">
    <w:name w:val="Block Text"/>
    <w:basedOn w:val="Normal"/>
    <w:uiPriority w:val="99"/>
    <w:semiHidden/>
    <w:unhideWhenUsed/>
    <w:rsid w:val="00EE5BB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EE5BB8"/>
    <w:pPr>
      <w:spacing w:after="120"/>
    </w:pPr>
  </w:style>
  <w:style w:type="character" w:customStyle="1" w:styleId="BodyTextChar">
    <w:name w:val="Body Text Char"/>
    <w:basedOn w:val="DefaultParagraphFont"/>
    <w:link w:val="BodyText"/>
    <w:uiPriority w:val="99"/>
    <w:semiHidden/>
    <w:rsid w:val="00EE5BB8"/>
    <w:rPr>
      <w:kern w:val="0"/>
      <w:lang w:val="en-US"/>
      <w14:ligatures w14:val="none"/>
    </w:rPr>
  </w:style>
  <w:style w:type="paragraph" w:styleId="BodyTextIndent3">
    <w:name w:val="Body Text Indent 3"/>
    <w:basedOn w:val="Normal"/>
    <w:link w:val="BodyTextIndent3Char"/>
    <w:uiPriority w:val="99"/>
    <w:semiHidden/>
    <w:unhideWhenUsed/>
    <w:rsid w:val="00EE5BB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E5BB8"/>
    <w:rPr>
      <w:kern w:val="0"/>
      <w:sz w:val="16"/>
      <w:szCs w:val="16"/>
      <w:lang w:val="en-US"/>
      <w14:ligatures w14:val="none"/>
    </w:rPr>
  </w:style>
  <w:style w:type="paragraph" w:styleId="DocumentMap">
    <w:name w:val="Document Map"/>
    <w:basedOn w:val="Normal"/>
    <w:link w:val="DocumentMapChar"/>
    <w:uiPriority w:val="99"/>
    <w:semiHidden/>
    <w:unhideWhenUsed/>
    <w:rsid w:val="00EE5BB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E5BB8"/>
    <w:rPr>
      <w:rFonts w:ascii="Segoe UI" w:hAnsi="Segoe UI" w:cs="Segoe UI"/>
      <w:kern w:val="0"/>
      <w:sz w:val="16"/>
      <w:szCs w:val="16"/>
      <w:lang w:val="en-US"/>
      <w14:ligatures w14:val="none"/>
    </w:rPr>
  </w:style>
  <w:style w:type="character" w:styleId="EndnoteReference">
    <w:name w:val="endnote reference"/>
    <w:basedOn w:val="DefaultParagraphFont"/>
    <w:uiPriority w:val="99"/>
    <w:semiHidden/>
    <w:unhideWhenUsed/>
    <w:rsid w:val="00EE5BB8"/>
    <w:rPr>
      <w:vertAlign w:val="superscript"/>
    </w:rPr>
  </w:style>
  <w:style w:type="paragraph" w:styleId="EndnoteText">
    <w:name w:val="endnote text"/>
    <w:basedOn w:val="Normal"/>
    <w:link w:val="EndnoteTextChar"/>
    <w:uiPriority w:val="99"/>
    <w:semiHidden/>
    <w:unhideWhenUsed/>
    <w:rsid w:val="00EE5B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5BB8"/>
    <w:rPr>
      <w:kern w:val="0"/>
      <w:sz w:val="20"/>
      <w:szCs w:val="20"/>
      <w:lang w:val="en-US"/>
      <w14:ligatures w14:val="none"/>
    </w:rPr>
  </w:style>
  <w:style w:type="paragraph" w:customStyle="1" w:styleId="FinancialstatementsTOC">
    <w:name w:val="Financial statements TOC"/>
    <w:basedOn w:val="Normal"/>
    <w:qFormat/>
    <w:rsid w:val="00D52474"/>
    <w:pPr>
      <w:tabs>
        <w:tab w:val="left" w:pos="284"/>
        <w:tab w:val="right" w:pos="9498"/>
      </w:tabs>
    </w:pPr>
    <w:rPr>
      <w:rFonts w:ascii="Arial" w:hAnsi="Arial"/>
    </w:rPr>
  </w:style>
  <w:style w:type="paragraph" w:customStyle="1" w:styleId="FinancialstatementsTOCL2">
    <w:name w:val="Financial statements TOC L2"/>
    <w:basedOn w:val="FinancialstatementsTOC"/>
    <w:qFormat/>
    <w:rsid w:val="00EE5BB8"/>
    <w:pPr>
      <w:tabs>
        <w:tab w:val="clear" w:pos="284"/>
        <w:tab w:val="left" w:pos="567"/>
        <w:tab w:val="left" w:pos="851"/>
      </w:tabs>
      <w:ind w:left="567" w:hanging="283"/>
    </w:pPr>
    <w:rPr>
      <w:rFonts w:asciiTheme="minorHAnsi" w:hAnsiTheme="minorHAnsi"/>
      <w:noProof/>
    </w:rPr>
  </w:style>
  <w:style w:type="paragraph" w:customStyle="1" w:styleId="Heading1numbered0">
    <w:name w:val="Heading 1 numbered"/>
    <w:basedOn w:val="Heading2"/>
    <w:qFormat/>
    <w:rsid w:val="00EE5BB8"/>
    <w:pPr>
      <w:numPr>
        <w:numId w:val="12"/>
      </w:numPr>
      <w:ind w:left="567"/>
    </w:pPr>
  </w:style>
  <w:style w:type="paragraph" w:customStyle="1" w:styleId="Heading2numbered0">
    <w:name w:val="Heading 2 numbered"/>
    <w:basedOn w:val="Heading3"/>
    <w:qFormat/>
    <w:rsid w:val="006F1C8C"/>
    <w:pPr>
      <w:numPr>
        <w:ilvl w:val="1"/>
        <w:numId w:val="12"/>
      </w:numPr>
      <w:spacing w:line="320" w:lineRule="exact"/>
      <w:ind w:left="709" w:hanging="709"/>
    </w:pPr>
    <w:rPr>
      <w:szCs w:val="28"/>
    </w:rPr>
  </w:style>
  <w:style w:type="paragraph" w:styleId="MacroText">
    <w:name w:val="macro"/>
    <w:link w:val="MacroTextChar"/>
    <w:uiPriority w:val="99"/>
    <w:semiHidden/>
    <w:unhideWhenUsed/>
    <w:rsid w:val="00EE5BB8"/>
    <w:pPr>
      <w:tabs>
        <w:tab w:val="left" w:pos="480"/>
        <w:tab w:val="left" w:pos="960"/>
        <w:tab w:val="left" w:pos="1440"/>
        <w:tab w:val="left" w:pos="1920"/>
        <w:tab w:val="left" w:pos="2400"/>
        <w:tab w:val="left" w:pos="2880"/>
        <w:tab w:val="left" w:pos="3360"/>
        <w:tab w:val="left" w:pos="3840"/>
        <w:tab w:val="left" w:pos="4320"/>
      </w:tabs>
      <w:spacing w:after="0" w:line="240" w:lineRule="exact"/>
    </w:pPr>
    <w:rPr>
      <w:rFonts w:ascii="Consolas" w:hAnsi="Consolas"/>
      <w:color w:val="262626" w:themeColor="text1" w:themeTint="D9"/>
      <w:sz w:val="20"/>
      <w:szCs w:val="20"/>
      <w:lang w:val="en-GB"/>
    </w:rPr>
  </w:style>
  <w:style w:type="character" w:customStyle="1" w:styleId="MacroTextChar">
    <w:name w:val="Macro Text Char"/>
    <w:basedOn w:val="DefaultParagraphFont"/>
    <w:link w:val="MacroText"/>
    <w:uiPriority w:val="99"/>
    <w:semiHidden/>
    <w:rsid w:val="00EE5BB8"/>
    <w:rPr>
      <w:rFonts w:ascii="Consolas" w:hAnsi="Consolas"/>
      <w:color w:val="262626" w:themeColor="text1" w:themeTint="D9"/>
      <w:sz w:val="20"/>
      <w:szCs w:val="20"/>
      <w:lang w:val="en-GB"/>
    </w:rPr>
  </w:style>
  <w:style w:type="paragraph" w:styleId="PlainText">
    <w:name w:val="Plain Text"/>
    <w:basedOn w:val="Normal"/>
    <w:link w:val="PlainTextChar"/>
    <w:uiPriority w:val="99"/>
    <w:semiHidden/>
    <w:unhideWhenUsed/>
    <w:rsid w:val="00EE5BB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E5BB8"/>
    <w:rPr>
      <w:rFonts w:ascii="Consolas" w:hAnsi="Consolas"/>
      <w:kern w:val="0"/>
      <w:sz w:val="21"/>
      <w:szCs w:val="21"/>
      <w:lang w:val="en-US"/>
      <w14:ligatures w14:val="none"/>
    </w:rPr>
  </w:style>
  <w:style w:type="paragraph" w:styleId="Signature">
    <w:name w:val="Signature"/>
    <w:basedOn w:val="Normal"/>
    <w:link w:val="SignatureChar"/>
    <w:uiPriority w:val="99"/>
    <w:semiHidden/>
    <w:unhideWhenUsed/>
    <w:rsid w:val="00EE5BB8"/>
    <w:pPr>
      <w:spacing w:after="0" w:line="240" w:lineRule="auto"/>
      <w:ind w:left="4252"/>
    </w:pPr>
  </w:style>
  <w:style w:type="character" w:customStyle="1" w:styleId="SignatureChar">
    <w:name w:val="Signature Char"/>
    <w:basedOn w:val="DefaultParagraphFont"/>
    <w:link w:val="Signature"/>
    <w:uiPriority w:val="99"/>
    <w:semiHidden/>
    <w:rsid w:val="00EE5BB8"/>
    <w:rPr>
      <w:kern w:val="0"/>
      <w:lang w:val="en-US"/>
      <w14:ligatures w14:val="none"/>
    </w:rPr>
  </w:style>
  <w:style w:type="paragraph" w:styleId="z-BottomofForm">
    <w:name w:val="HTML Bottom of Form"/>
    <w:basedOn w:val="Normal"/>
    <w:next w:val="Normal"/>
    <w:link w:val="z-BottomofFormChar"/>
    <w:hidden/>
    <w:rsid w:val="00EE5BB8"/>
    <w:pPr>
      <w:pBdr>
        <w:top w:val="single" w:sz="6" w:space="1" w:color="auto"/>
      </w:pBdr>
      <w:spacing w:after="0" w:line="240" w:lineRule="auto"/>
      <w:jc w:val="center"/>
    </w:pPr>
    <w:rPr>
      <w:rFonts w:ascii="Century Gothic" w:eastAsia="Times New Roman" w:hAnsi="Century Gothic"/>
      <w:vanish/>
      <w:sz w:val="16"/>
      <w:szCs w:val="16"/>
    </w:rPr>
  </w:style>
  <w:style w:type="character" w:customStyle="1" w:styleId="z-BottomofFormChar">
    <w:name w:val="z-Bottom of Form Char"/>
    <w:basedOn w:val="DefaultParagraphFont"/>
    <w:link w:val="z-BottomofForm"/>
    <w:rsid w:val="00EE5BB8"/>
    <w:rPr>
      <w:rFonts w:ascii="Century Gothic" w:eastAsia="Times New Roman" w:hAnsi="Century Gothic"/>
      <w:vanish/>
      <w:kern w:val="0"/>
      <w:sz w:val="16"/>
      <w:szCs w:val="16"/>
      <w:lang w:val="en-US"/>
      <w14:ligatures w14:val="none"/>
    </w:rPr>
  </w:style>
  <w:style w:type="paragraph" w:styleId="z-TopofForm">
    <w:name w:val="HTML Top of Form"/>
    <w:basedOn w:val="Normal"/>
    <w:next w:val="Normal"/>
    <w:link w:val="z-TopofFormChar"/>
    <w:hidden/>
    <w:rsid w:val="00EE5BB8"/>
    <w:pPr>
      <w:pBdr>
        <w:bottom w:val="single" w:sz="6" w:space="1" w:color="auto"/>
      </w:pBdr>
      <w:spacing w:after="0" w:line="240" w:lineRule="auto"/>
      <w:jc w:val="center"/>
    </w:pPr>
    <w:rPr>
      <w:rFonts w:ascii="Century Gothic" w:eastAsia="Times New Roman" w:hAnsi="Century Gothic"/>
      <w:vanish/>
      <w:sz w:val="16"/>
      <w:szCs w:val="16"/>
    </w:rPr>
  </w:style>
  <w:style w:type="character" w:customStyle="1" w:styleId="z-TopofFormChar">
    <w:name w:val="z-Top of Form Char"/>
    <w:basedOn w:val="DefaultParagraphFont"/>
    <w:link w:val="z-TopofForm"/>
    <w:rsid w:val="00EE5BB8"/>
    <w:rPr>
      <w:rFonts w:ascii="Century Gothic" w:eastAsia="Times New Roman" w:hAnsi="Century Gothic"/>
      <w:vanish/>
      <w:kern w:val="0"/>
      <w:sz w:val="16"/>
      <w:szCs w:val="16"/>
      <w:lang w:val="en-US"/>
      <w14:ligatures w14:val="none"/>
    </w:rPr>
  </w:style>
  <w:style w:type="paragraph" w:customStyle="1" w:styleId="Heading1Numbered">
    <w:name w:val="Heading 1 Numbered"/>
    <w:basedOn w:val="Heading1"/>
    <w:uiPriority w:val="99"/>
    <w:semiHidden/>
    <w:qFormat/>
    <w:rsid w:val="00EE5BB8"/>
    <w:pPr>
      <w:numPr>
        <w:numId w:val="45"/>
      </w:numPr>
      <w:ind w:left="0" w:firstLine="0"/>
    </w:pPr>
    <w:rPr>
      <w:b w:val="0"/>
      <w:bCs w:val="0"/>
    </w:rPr>
  </w:style>
  <w:style w:type="paragraph" w:customStyle="1" w:styleId="Heading2Numbered">
    <w:name w:val="Heading 2 Numbered"/>
    <w:basedOn w:val="Heading2"/>
    <w:uiPriority w:val="99"/>
    <w:semiHidden/>
    <w:qFormat/>
    <w:rsid w:val="00EE5BB8"/>
    <w:pPr>
      <w:numPr>
        <w:ilvl w:val="1"/>
        <w:numId w:val="45"/>
      </w:numPr>
      <w:ind w:left="0" w:firstLine="0"/>
    </w:pPr>
    <w:rPr>
      <w:b w:val="0"/>
      <w:bCs w:val="0"/>
    </w:rPr>
  </w:style>
  <w:style w:type="paragraph" w:customStyle="1" w:styleId="Heading3Numbered">
    <w:name w:val="Heading 3 Numbered"/>
    <w:basedOn w:val="Heading3"/>
    <w:uiPriority w:val="99"/>
    <w:semiHidden/>
    <w:qFormat/>
    <w:rsid w:val="00EE5BB8"/>
    <w:pPr>
      <w:numPr>
        <w:ilvl w:val="2"/>
        <w:numId w:val="45"/>
      </w:numPr>
      <w:ind w:left="0" w:firstLine="0"/>
    </w:pPr>
    <w:rPr>
      <w:b w:val="0"/>
      <w:bCs w:val="0"/>
    </w:rPr>
  </w:style>
  <w:style w:type="character" w:customStyle="1" w:styleId="TabletextChar">
    <w:name w:val="Table text Char"/>
    <w:link w:val="Tabletext"/>
    <w:rsid w:val="00EE5BB8"/>
    <w:rPr>
      <w:kern w:val="0"/>
      <w:sz w:val="16"/>
      <w:szCs w:val="16"/>
      <w:lang w:val="en-US"/>
      <w14:ligatures w14:val="none"/>
    </w:rPr>
  </w:style>
  <w:style w:type="table" w:customStyle="1" w:styleId="DTFFinancialTable">
    <w:name w:val="DTF Financial Table"/>
    <w:basedOn w:val="TableNormal"/>
    <w:uiPriority w:val="99"/>
    <w:rsid w:val="00EE5BB8"/>
    <w:pPr>
      <w:spacing w:before="20" w:after="20" w:line="240" w:lineRule="auto"/>
    </w:pPr>
    <w:rPr>
      <w:rFonts w:ascii="Arial" w:hAnsi="Arial"/>
      <w:spacing w:val="2"/>
      <w:kern w:val="0"/>
      <w:sz w:val="16"/>
      <w:szCs w:val="20"/>
      <w14:ligatures w14:val="none"/>
    </w:rPr>
    <w:tblPr>
      <w:tblStyleRowBandSize w:val="1"/>
      <w:tblStyleColBandSize w:val="1"/>
      <w:tblInd w:w="28" w:type="dxa"/>
      <w:tblBorders>
        <w:bottom w:val="single" w:sz="12" w:space="0" w:color="auto"/>
      </w:tblBorders>
      <w:tblCellMar>
        <w:left w:w="57" w:type="dxa"/>
        <w:right w:w="57" w:type="dxa"/>
      </w:tblCellMar>
    </w:tblPr>
    <w:trPr>
      <w:cantSplit/>
    </w:trPr>
    <w:tblStylePr w:type="firstRow">
      <w:pPr>
        <w:wordWrap/>
        <w:spacing w:beforeLines="0" w:before="60" w:beforeAutospacing="0" w:afterLines="0" w:after="60" w:afterAutospacing="0" w:line="240" w:lineRule="auto"/>
      </w:pPr>
      <w:rPr>
        <w:b w:val="0"/>
        <w:i w:val="0"/>
        <w:color w:val="FFFFFF" w:themeColor="background1"/>
        <w:sz w:val="16"/>
      </w:rPr>
      <w:tblPr/>
      <w:trPr>
        <w:cantSplit w:val="0"/>
      </w:trPr>
      <w:tcPr>
        <w:shd w:val="clear" w:color="auto" w:fill="000000"/>
        <w:vAlign w:val="bottom"/>
      </w:tcPr>
    </w:tblStylePr>
    <w:tblStylePr w:type="lastRow">
      <w:rPr>
        <w:b w:val="0"/>
      </w:rPr>
      <w:tblPr/>
      <w:tcPr>
        <w:tcBorders>
          <w:top w:val="single" w:sz="6" w:space="0" w:color="000000"/>
          <w:left w:val="nil"/>
          <w:bottom w:val="single" w:sz="12" w:space="0" w:color="000000"/>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cPr>
    </w:tblStylePr>
    <w:tblStylePr w:type="band1Vert">
      <w:tblPr/>
      <w:tcPr>
        <w:shd w:val="clear" w:color="auto" w:fill="EBEBEB"/>
      </w:tcPr>
    </w:tblStylePr>
    <w:tblStylePr w:type="band1Horz">
      <w:tblPr/>
      <w:tcPr>
        <w:shd w:val="clear" w:color="auto" w:fill="EBEBEB"/>
      </w:tcPr>
    </w:tblStylePr>
    <w:tblStylePr w:type="band2Horz">
      <w:tblPr/>
      <w:tcPr>
        <w:shd w:val="clear" w:color="auto" w:fill="FFFFFF"/>
      </w:tcPr>
    </w:tblStylePr>
  </w:style>
  <w:style w:type="table" w:customStyle="1" w:styleId="DTFTable">
    <w:name w:val="DTF Table"/>
    <w:basedOn w:val="TableNormal"/>
    <w:uiPriority w:val="99"/>
    <w:rsid w:val="00EE5BB8"/>
    <w:pPr>
      <w:spacing w:before="20" w:after="20" w:line="240" w:lineRule="auto"/>
      <w:jc w:val="right"/>
    </w:pPr>
    <w:rPr>
      <w:rFonts w:asciiTheme="majorHAnsi" w:hAnsiTheme="majorHAnsi"/>
      <w:kern w:val="0"/>
      <w:sz w:val="17"/>
      <w:szCs w:val="22"/>
      <w14:ligatures w14:val="none"/>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8E8E8" w:themeFill="background2"/>
      </w:tcPr>
    </w:tblStylePr>
    <w:tblStylePr w:type="band1Horz">
      <w:tblPr/>
      <w:tcPr>
        <w:shd w:val="clear" w:color="auto" w:fill="E8E8E8" w:themeFill="background2"/>
      </w:tcPr>
    </w:tblStylePr>
    <w:tblStylePr w:type="band2Horz">
      <w:tblPr/>
      <w:tcPr>
        <w:shd w:val="clear" w:color="auto" w:fill="FFFFFF" w:themeFill="background1"/>
      </w:tcPr>
    </w:tblStylePr>
  </w:style>
  <w:style w:type="numbering" w:customStyle="1" w:styleId="ListBulletStyle">
    <w:name w:val="List Bullet Style"/>
    <w:uiPriority w:val="99"/>
    <w:rsid w:val="00EE5BB8"/>
    <w:pPr>
      <w:numPr>
        <w:numId w:val="46"/>
      </w:numPr>
    </w:pPr>
  </w:style>
  <w:style w:type="paragraph" w:customStyle="1" w:styleId="msonormal0">
    <w:name w:val="msonormal"/>
    <w:basedOn w:val="Normal"/>
    <w:uiPriority w:val="99"/>
    <w:semiHidden/>
    <w:rsid w:val="00EE5BB8"/>
    <w:pPr>
      <w:spacing w:before="100" w:beforeAutospacing="1" w:after="100" w:afterAutospacing="1"/>
    </w:pPr>
    <w:rPr>
      <w:rFonts w:ascii="Times New Roman" w:eastAsia="Times New Roman" w:hAnsi="Times New Roman" w:cs="Times New Roman"/>
      <w:lang w:eastAsia="en-GB"/>
    </w:rPr>
  </w:style>
  <w:style w:type="paragraph" w:customStyle="1" w:styleId="HHeader2-Appendix02Headers">
    <w:name w:val="H: Header 2 - Appendix (02. Headers)"/>
    <w:basedOn w:val="Normal"/>
    <w:uiPriority w:val="99"/>
    <w:semiHidden/>
    <w:rsid w:val="00EE5BB8"/>
    <w:pPr>
      <w:pageBreakBefore/>
      <w:adjustRightInd w:val="0"/>
      <w:spacing w:before="170" w:line="400" w:lineRule="atLeast"/>
    </w:pPr>
    <w:rPr>
      <w:rFonts w:ascii="VIC-Light" w:eastAsiaTheme="minorEastAsia" w:hAnsi="VIC-Light" w:cs="VIC-Light"/>
      <w:color w:val="000002"/>
      <w:sz w:val="36"/>
      <w:szCs w:val="36"/>
    </w:rPr>
  </w:style>
  <w:style w:type="paragraph" w:customStyle="1" w:styleId="BBody-912ptVICLight03Body">
    <w:name w:val="B: Body - 9/12pt VIC Light (03. Body)"/>
    <w:basedOn w:val="Normal"/>
    <w:uiPriority w:val="99"/>
    <w:semiHidden/>
    <w:rsid w:val="00EE5BB8"/>
    <w:pPr>
      <w:keepLines/>
      <w:adjustRightInd w:val="0"/>
      <w:spacing w:line="240" w:lineRule="atLeast"/>
    </w:pPr>
    <w:rPr>
      <w:rFonts w:ascii="VIC-Light" w:eastAsiaTheme="minorEastAsia" w:hAnsi="VIC-Light" w:cs="VIC-Light"/>
      <w:color w:val="000000"/>
    </w:rPr>
  </w:style>
  <w:style w:type="paragraph" w:customStyle="1" w:styleId="BBodyColonbeforeBullets03Body">
    <w:name w:val="B: Body (Colon before Bullets) (03. Body)"/>
    <w:basedOn w:val="Normal"/>
    <w:uiPriority w:val="99"/>
    <w:semiHidden/>
    <w:rsid w:val="00EE5BB8"/>
    <w:pPr>
      <w:adjustRightInd w:val="0"/>
      <w:spacing w:after="57" w:line="240" w:lineRule="atLeast"/>
    </w:pPr>
    <w:rPr>
      <w:rFonts w:ascii="VIC-Light" w:eastAsiaTheme="minorEastAsia" w:hAnsi="VIC-Light" w:cs="VIC-Light"/>
      <w:color w:val="000000"/>
    </w:rPr>
  </w:style>
  <w:style w:type="paragraph" w:customStyle="1" w:styleId="BL1Bullets-912VICLight03Body">
    <w:name w:val="B: L1 Bullets - 9/12 VIC Light (03. Body)"/>
    <w:basedOn w:val="Normal"/>
    <w:uiPriority w:val="99"/>
    <w:semiHidden/>
    <w:rsid w:val="00EE5BB8"/>
    <w:pPr>
      <w:adjustRightInd w:val="0"/>
      <w:spacing w:after="57" w:line="240" w:lineRule="atLeast"/>
      <w:ind w:left="227" w:hanging="227"/>
    </w:pPr>
    <w:rPr>
      <w:rFonts w:ascii="VIC-Light" w:eastAsiaTheme="minorEastAsia" w:hAnsi="VIC-Light" w:cs="VIC-Light"/>
      <w:color w:val="000000"/>
    </w:rPr>
  </w:style>
  <w:style w:type="paragraph" w:customStyle="1" w:styleId="BL1BulletsLast-912VICLight03Body">
    <w:name w:val="B: L1 Bullets Last - 9/12 VIC Light (03. Body)"/>
    <w:basedOn w:val="BL1Bullets-912VICLight03Body"/>
    <w:uiPriority w:val="99"/>
    <w:semiHidden/>
    <w:rsid w:val="00EE5BB8"/>
  </w:style>
  <w:style w:type="paragraph" w:customStyle="1" w:styleId="HHeader5-1012VICReg02Headers">
    <w:name w:val="H: Header 5 - 10/12 VIC Reg (02. Headers)"/>
    <w:basedOn w:val="Normal"/>
    <w:next w:val="Normal"/>
    <w:uiPriority w:val="99"/>
    <w:semiHidden/>
    <w:rsid w:val="00EE5BB8"/>
    <w:pPr>
      <w:keepLines/>
      <w:adjustRightInd w:val="0"/>
      <w:spacing w:before="170" w:after="57" w:line="240" w:lineRule="atLeast"/>
    </w:pPr>
    <w:rPr>
      <w:rFonts w:ascii="VIC-Regular" w:eastAsiaTheme="minorEastAsia" w:hAnsi="VIC-Regular" w:cs="VIC-Regular"/>
      <w:caps/>
      <w:color w:val="0C143F"/>
      <w:sz w:val="20"/>
      <w:szCs w:val="20"/>
    </w:rPr>
  </w:style>
  <w:style w:type="paragraph" w:customStyle="1" w:styleId="TNotesNormalSpaceAfter204Table">
    <w:name w:val="T: Notes – Normal Space After 2 (04. Table)"/>
    <w:basedOn w:val="Normal"/>
    <w:uiPriority w:val="99"/>
    <w:semiHidden/>
    <w:rsid w:val="00EE5BB8"/>
    <w:pPr>
      <w:tabs>
        <w:tab w:val="left" w:pos="283"/>
        <w:tab w:val="left" w:pos="567"/>
        <w:tab w:val="left" w:pos="850"/>
        <w:tab w:val="left" w:pos="1134"/>
        <w:tab w:val="left" w:pos="1417"/>
        <w:tab w:val="left" w:pos="1701"/>
        <w:tab w:val="left" w:pos="1984"/>
        <w:tab w:val="left" w:pos="2268"/>
        <w:tab w:val="left" w:pos="2551"/>
        <w:tab w:val="left" w:pos="2835"/>
        <w:tab w:val="left" w:pos="3118"/>
      </w:tabs>
      <w:adjustRightInd w:val="0"/>
      <w:spacing w:after="113" w:line="160" w:lineRule="atLeast"/>
    </w:pPr>
    <w:rPr>
      <w:rFonts w:ascii="VIC-LightItalic" w:eastAsiaTheme="minorEastAsia" w:hAnsi="VIC-LightItalic" w:cs="VIC-LightItalic"/>
      <w:i/>
      <w:iCs/>
      <w:color w:val="000000"/>
      <w:sz w:val="14"/>
      <w:szCs w:val="14"/>
    </w:rPr>
  </w:style>
  <w:style w:type="paragraph" w:customStyle="1" w:styleId="TNotesAlphaa">
    <w:name w:val="T: Notes – Alpha (a"/>
    <w:aliases w:val="b,c) (04. Table)"/>
    <w:basedOn w:val="Normal"/>
    <w:uiPriority w:val="99"/>
    <w:semiHidden/>
    <w:rsid w:val="00EE5BB8"/>
    <w:pPr>
      <w:tabs>
        <w:tab w:val="left" w:pos="227"/>
        <w:tab w:val="left" w:pos="283"/>
        <w:tab w:val="left" w:pos="567"/>
        <w:tab w:val="left" w:pos="850"/>
        <w:tab w:val="left" w:pos="1134"/>
        <w:tab w:val="left" w:pos="1417"/>
        <w:tab w:val="left" w:pos="1701"/>
        <w:tab w:val="left" w:pos="1984"/>
        <w:tab w:val="left" w:pos="2268"/>
        <w:tab w:val="left" w:pos="2551"/>
        <w:tab w:val="left" w:pos="2835"/>
        <w:tab w:val="left" w:pos="3118"/>
      </w:tabs>
      <w:adjustRightInd w:val="0"/>
      <w:spacing w:after="113" w:line="160" w:lineRule="atLeast"/>
      <w:ind w:left="227" w:hanging="227"/>
    </w:pPr>
    <w:rPr>
      <w:rFonts w:ascii="VIC-LightItalic" w:eastAsiaTheme="minorEastAsia" w:hAnsi="VIC-LightItalic" w:cs="VIC-LightItalic"/>
      <w:i/>
      <w:iCs/>
      <w:color w:val="000000"/>
      <w:sz w:val="14"/>
      <w:szCs w:val="14"/>
    </w:rPr>
  </w:style>
  <w:style w:type="paragraph" w:customStyle="1" w:styleId="TBodycopy04Table">
    <w:name w:val="T: Body copy (04. Table)"/>
    <w:basedOn w:val="Normal"/>
    <w:uiPriority w:val="99"/>
    <w:semiHidden/>
    <w:rsid w:val="00EE5BB8"/>
    <w:pPr>
      <w:adjustRightInd w:val="0"/>
      <w:spacing w:after="113" w:line="220" w:lineRule="atLeast"/>
    </w:pPr>
    <w:rPr>
      <w:rFonts w:ascii="VIC-Light" w:eastAsiaTheme="minorEastAsia" w:hAnsi="VIC-Light" w:cs="VIC-Light"/>
      <w:color w:val="000000"/>
      <w:sz w:val="16"/>
      <w:szCs w:val="16"/>
    </w:rPr>
  </w:style>
  <w:style w:type="paragraph" w:customStyle="1" w:styleId="TNotesRomanNumerials04Table">
    <w:name w:val="T: Notes – Roman Numerials (04. Table)"/>
    <w:basedOn w:val="Normal"/>
    <w:uiPriority w:val="99"/>
    <w:semiHidden/>
    <w:rsid w:val="00EE5BB8"/>
    <w:pPr>
      <w:tabs>
        <w:tab w:val="left" w:pos="227"/>
        <w:tab w:val="left" w:pos="283"/>
        <w:tab w:val="left" w:pos="567"/>
        <w:tab w:val="left" w:pos="850"/>
        <w:tab w:val="left" w:pos="1134"/>
        <w:tab w:val="left" w:pos="1417"/>
        <w:tab w:val="left" w:pos="1701"/>
        <w:tab w:val="left" w:pos="1984"/>
        <w:tab w:val="left" w:pos="2268"/>
        <w:tab w:val="left" w:pos="2551"/>
        <w:tab w:val="left" w:pos="2835"/>
        <w:tab w:val="left" w:pos="3118"/>
      </w:tabs>
      <w:adjustRightInd w:val="0"/>
      <w:spacing w:after="113" w:line="160" w:lineRule="atLeast"/>
      <w:ind w:left="227" w:hanging="227"/>
    </w:pPr>
    <w:rPr>
      <w:rFonts w:ascii="VIC-LightItalic" w:eastAsiaTheme="minorEastAsia" w:hAnsi="VIC-LightItalic" w:cs="VIC-LightItalic"/>
      <w:i/>
      <w:iCs/>
      <w:color w:val="000000"/>
      <w:sz w:val="14"/>
      <w:szCs w:val="14"/>
    </w:rPr>
  </w:style>
  <w:style w:type="paragraph" w:customStyle="1" w:styleId="TNotesIndent04Table">
    <w:name w:val="T: Notes – Indent  (04. Table)"/>
    <w:basedOn w:val="Normal"/>
    <w:uiPriority w:val="99"/>
    <w:semiHidden/>
    <w:rsid w:val="00EE5BB8"/>
    <w:pPr>
      <w:tabs>
        <w:tab w:val="left" w:pos="227"/>
        <w:tab w:val="left" w:pos="283"/>
        <w:tab w:val="left" w:pos="567"/>
        <w:tab w:val="left" w:pos="850"/>
        <w:tab w:val="left" w:pos="1134"/>
        <w:tab w:val="left" w:pos="1417"/>
        <w:tab w:val="left" w:pos="1701"/>
        <w:tab w:val="left" w:pos="1984"/>
        <w:tab w:val="left" w:pos="2268"/>
        <w:tab w:val="left" w:pos="2551"/>
        <w:tab w:val="left" w:pos="2835"/>
        <w:tab w:val="left" w:pos="3118"/>
      </w:tabs>
      <w:adjustRightInd w:val="0"/>
      <w:spacing w:after="0" w:line="160" w:lineRule="atLeast"/>
      <w:ind w:left="227" w:hanging="227"/>
    </w:pPr>
    <w:rPr>
      <w:rFonts w:ascii="VIC-LightItalic" w:eastAsiaTheme="minorEastAsia" w:hAnsi="VIC-LightItalic" w:cs="VIC-LightItalic"/>
      <w:i/>
      <w:iCs/>
      <w:color w:val="000000"/>
      <w:sz w:val="14"/>
      <w:szCs w:val="14"/>
    </w:rPr>
  </w:style>
  <w:style w:type="paragraph" w:customStyle="1" w:styleId="HHeader3-1416ptVICReg02Headers">
    <w:name w:val="H: Header 3 - 14/16pt VIC Reg (02. Headers)"/>
    <w:basedOn w:val="Normal"/>
    <w:uiPriority w:val="99"/>
    <w:semiHidden/>
    <w:rsid w:val="00EE5BB8"/>
    <w:pPr>
      <w:adjustRightInd w:val="0"/>
      <w:spacing w:before="170" w:after="57" w:line="320" w:lineRule="atLeast"/>
    </w:pPr>
    <w:rPr>
      <w:rFonts w:ascii="VIC-Regular" w:eastAsiaTheme="minorEastAsia" w:hAnsi="VIC-Regular" w:cs="VIC-Regular"/>
      <w:color w:val="000002"/>
      <w:sz w:val="28"/>
      <w:szCs w:val="28"/>
    </w:rPr>
  </w:style>
  <w:style w:type="paragraph" w:customStyle="1" w:styleId="HHeader4-1113VICSemiBold02Headers">
    <w:name w:val="H: Header 4 - 11/13 VIC SemiBold (02. Headers)"/>
    <w:basedOn w:val="Normal"/>
    <w:next w:val="BBody-912ptVICLight03Body"/>
    <w:uiPriority w:val="99"/>
    <w:semiHidden/>
    <w:rsid w:val="00EE5BB8"/>
    <w:pPr>
      <w:adjustRightInd w:val="0"/>
      <w:spacing w:before="170" w:after="57" w:line="260" w:lineRule="atLeast"/>
    </w:pPr>
    <w:rPr>
      <w:rFonts w:ascii="VIC-SemiBold" w:eastAsiaTheme="minorEastAsia" w:hAnsi="VIC-SemiBold" w:cs="VIC-SemiBold"/>
      <w:b/>
      <w:bCs/>
      <w:color w:val="000002"/>
      <w:sz w:val="22"/>
      <w:szCs w:val="22"/>
    </w:rPr>
  </w:style>
  <w:style w:type="paragraph" w:customStyle="1" w:styleId="BL1NoList-912VICLight03Body">
    <w:name w:val="B: L1 No. List - 9/12 VIC Light (03. Body)"/>
    <w:basedOn w:val="Normal"/>
    <w:uiPriority w:val="99"/>
    <w:semiHidden/>
    <w:rsid w:val="00EE5BB8"/>
    <w:pPr>
      <w:adjustRightInd w:val="0"/>
      <w:spacing w:after="57" w:line="240" w:lineRule="atLeast"/>
      <w:ind w:left="227" w:hanging="227"/>
    </w:pPr>
    <w:rPr>
      <w:rFonts w:ascii="VIC-Light" w:eastAsiaTheme="minorEastAsia" w:hAnsi="VIC-Light" w:cs="VIC-Light"/>
      <w:color w:val="000000"/>
    </w:rPr>
  </w:style>
  <w:style w:type="paragraph" w:customStyle="1" w:styleId="BL1NoListLast-912VICLight03Body">
    <w:name w:val="B: L1 No. List Last - 9/12 VIC Light (03. Body)"/>
    <w:basedOn w:val="BL1Bullets-912VICLight03Body"/>
    <w:uiPriority w:val="99"/>
    <w:semiHidden/>
    <w:rsid w:val="00EE5BB8"/>
  </w:style>
  <w:style w:type="paragraph" w:customStyle="1" w:styleId="BL2Bullets-912VICLight03Body">
    <w:name w:val="B: L2 Bullets - 9/12 VIC Light (03. Body)"/>
    <w:basedOn w:val="BL1Bullets-912VICLight03Body"/>
    <w:uiPriority w:val="99"/>
    <w:semiHidden/>
    <w:rsid w:val="00EE5BB8"/>
  </w:style>
  <w:style w:type="paragraph" w:customStyle="1" w:styleId="BL2BulletsLast-912VICLight03Body">
    <w:name w:val="B: L2 Bullets Last - 9/12 VIC Light (03. Body)"/>
    <w:basedOn w:val="BL2Bullets-912VICLight03Body"/>
    <w:uiPriority w:val="99"/>
    <w:semiHidden/>
    <w:rsid w:val="00EE5BB8"/>
    <w:pPr>
      <w:spacing w:after="170"/>
      <w:ind w:left="454"/>
    </w:pPr>
  </w:style>
  <w:style w:type="paragraph" w:customStyle="1" w:styleId="TNotesNos1">
    <w:name w:val="T: Notes – No.s (1"/>
    <w:aliases w:val="2,3) (04. Table)"/>
    <w:basedOn w:val="Normal"/>
    <w:uiPriority w:val="99"/>
    <w:semiHidden/>
    <w:rsid w:val="00EE5BB8"/>
    <w:pPr>
      <w:tabs>
        <w:tab w:val="left" w:pos="227"/>
        <w:tab w:val="left" w:pos="283"/>
        <w:tab w:val="left" w:pos="567"/>
        <w:tab w:val="left" w:pos="850"/>
        <w:tab w:val="left" w:pos="1134"/>
        <w:tab w:val="left" w:pos="1417"/>
        <w:tab w:val="left" w:pos="1701"/>
        <w:tab w:val="left" w:pos="1984"/>
        <w:tab w:val="left" w:pos="2268"/>
        <w:tab w:val="left" w:pos="2551"/>
        <w:tab w:val="left" w:pos="2835"/>
        <w:tab w:val="left" w:pos="3118"/>
      </w:tabs>
      <w:adjustRightInd w:val="0"/>
      <w:spacing w:after="113" w:line="160" w:lineRule="atLeast"/>
      <w:ind w:left="227" w:hanging="227"/>
    </w:pPr>
    <w:rPr>
      <w:rFonts w:ascii="VIC-LightItalic" w:eastAsiaTheme="minorEastAsia" w:hAnsi="VIC-LightItalic" w:cs="VIC-LightItalic"/>
      <w:i/>
      <w:iCs/>
      <w:color w:val="000000"/>
      <w:sz w:val="14"/>
      <w:szCs w:val="14"/>
    </w:rPr>
  </w:style>
  <w:style w:type="paragraph" w:customStyle="1" w:styleId="HHeader1-2224VicMedium02Headers">
    <w:name w:val="H: Header 1 - 22/24 Vic Medium (02. Headers)"/>
    <w:basedOn w:val="Normal"/>
    <w:uiPriority w:val="99"/>
    <w:semiHidden/>
    <w:rsid w:val="00EE5BB8"/>
    <w:pPr>
      <w:tabs>
        <w:tab w:val="left" w:pos="1240"/>
        <w:tab w:val="left" w:pos="2100"/>
        <w:tab w:val="right" w:pos="7580"/>
      </w:tabs>
      <w:adjustRightInd w:val="0"/>
      <w:spacing w:after="510" w:line="480" w:lineRule="atLeast"/>
    </w:pPr>
    <w:rPr>
      <w:rFonts w:ascii="VIC-Medium" w:eastAsiaTheme="minorEastAsia" w:hAnsi="VIC-Medium" w:cs="VIC-Medium"/>
      <w:color w:val="000002"/>
      <w:sz w:val="44"/>
      <w:szCs w:val="44"/>
    </w:rPr>
  </w:style>
  <w:style w:type="paragraph" w:customStyle="1" w:styleId="TNotesIndentSpaceAfter204Table">
    <w:name w:val="T: Notes – Indent – Space After 2  (04. Table)"/>
    <w:basedOn w:val="TNotesIndent04Table"/>
    <w:uiPriority w:val="99"/>
    <w:semiHidden/>
    <w:rsid w:val="00EE5BB8"/>
  </w:style>
  <w:style w:type="paragraph" w:customStyle="1" w:styleId="BFootnote03Body">
    <w:name w:val="B: Footnote (03. Body)"/>
    <w:basedOn w:val="Normal"/>
    <w:next w:val="Normal"/>
    <w:uiPriority w:val="99"/>
    <w:semiHidden/>
    <w:rsid w:val="00EE5BB8"/>
    <w:pPr>
      <w:tabs>
        <w:tab w:val="left" w:pos="200"/>
        <w:tab w:val="left" w:pos="567"/>
        <w:tab w:val="left" w:pos="850"/>
        <w:tab w:val="left" w:pos="1134"/>
        <w:tab w:val="left" w:pos="1417"/>
        <w:tab w:val="left" w:pos="1701"/>
        <w:tab w:val="left" w:pos="1984"/>
        <w:tab w:val="left" w:pos="2268"/>
        <w:tab w:val="left" w:pos="2551"/>
        <w:tab w:val="left" w:pos="2835"/>
        <w:tab w:val="left" w:pos="3118"/>
      </w:tabs>
      <w:adjustRightInd w:val="0"/>
      <w:spacing w:after="0" w:line="150" w:lineRule="atLeast"/>
      <w:ind w:left="198" w:hanging="198"/>
    </w:pPr>
    <w:rPr>
      <w:rFonts w:ascii="VIC-Light" w:eastAsiaTheme="minorEastAsia" w:hAnsi="VIC-Light" w:cs="VIC-Light"/>
      <w:color w:val="000000"/>
      <w:sz w:val="14"/>
      <w:szCs w:val="14"/>
    </w:rPr>
  </w:style>
  <w:style w:type="paragraph" w:customStyle="1" w:styleId="TNotesNormal04Table">
    <w:name w:val="T: Notes – Normal (04. Table)"/>
    <w:basedOn w:val="Normal"/>
    <w:uiPriority w:val="99"/>
    <w:semiHidden/>
    <w:rsid w:val="00EE5BB8"/>
    <w:pPr>
      <w:tabs>
        <w:tab w:val="left" w:pos="283"/>
        <w:tab w:val="left" w:pos="567"/>
        <w:tab w:val="left" w:pos="850"/>
        <w:tab w:val="left" w:pos="1134"/>
        <w:tab w:val="left" w:pos="1417"/>
        <w:tab w:val="left" w:pos="1701"/>
        <w:tab w:val="left" w:pos="1984"/>
        <w:tab w:val="left" w:pos="2268"/>
        <w:tab w:val="left" w:pos="2551"/>
        <w:tab w:val="left" w:pos="2835"/>
        <w:tab w:val="left" w:pos="3118"/>
      </w:tabs>
      <w:adjustRightInd w:val="0"/>
      <w:spacing w:after="0" w:line="160" w:lineRule="atLeast"/>
    </w:pPr>
    <w:rPr>
      <w:rFonts w:ascii="VIC-LightItalic" w:eastAsiaTheme="minorEastAsia" w:hAnsi="VIC-LightItalic" w:cs="VIC-LightItalic"/>
      <w:i/>
      <w:iCs/>
      <w:color w:val="000000"/>
      <w:sz w:val="14"/>
      <w:szCs w:val="14"/>
    </w:rPr>
  </w:style>
  <w:style w:type="paragraph" w:customStyle="1" w:styleId="HHeader6912ptVICMed02Headers">
    <w:name w:val="H: Header 6 – 9/12pt VIC Med (02. Headers)"/>
    <w:basedOn w:val="BBody-912ptVICLight03Body"/>
    <w:uiPriority w:val="99"/>
    <w:semiHidden/>
    <w:rsid w:val="00EE5BB8"/>
    <w:pPr>
      <w:keepNext/>
      <w:spacing w:after="57"/>
    </w:pPr>
    <w:rPr>
      <w:rFonts w:ascii="VIC-Medium" w:hAnsi="VIC-Medium" w:cs="VIC-Medium"/>
    </w:rPr>
  </w:style>
  <w:style w:type="paragraph" w:customStyle="1" w:styleId="Tspace23Light91204Table">
    <w:name w:val="T: space 2/3 (Light 9/12) (04. Table)"/>
    <w:basedOn w:val="Normal"/>
    <w:uiPriority w:val="99"/>
    <w:semiHidden/>
    <w:rsid w:val="00EE5BB8"/>
    <w:pPr>
      <w:adjustRightInd w:val="0"/>
      <w:spacing w:before="113" w:line="240" w:lineRule="atLeast"/>
    </w:pPr>
    <w:rPr>
      <w:rFonts w:ascii="VIC-Light" w:eastAsiaTheme="minorEastAsia" w:hAnsi="VIC-Light" w:cs="VIC-Light"/>
      <w:color w:val="000000"/>
    </w:rPr>
  </w:style>
  <w:style w:type="paragraph" w:customStyle="1" w:styleId="TColumnHeaderMedium04Table">
    <w:name w:val="T: Column Header Medium (04. Table)"/>
    <w:basedOn w:val="TBodycopy04Table"/>
    <w:uiPriority w:val="99"/>
    <w:semiHidden/>
    <w:rsid w:val="00EE5BB8"/>
  </w:style>
  <w:style w:type="paragraph" w:customStyle="1" w:styleId="TbodyboldtotalGrey04Table">
    <w:name w:val="T: body bold (total) Grey (04. Table)"/>
    <w:basedOn w:val="TBodycopy04Table"/>
    <w:uiPriority w:val="99"/>
    <w:semiHidden/>
    <w:rsid w:val="00EE5BB8"/>
  </w:style>
  <w:style w:type="paragraph" w:customStyle="1" w:styleId="Tbodybullets04Table">
    <w:name w:val="T: body bullets (04. Table)"/>
    <w:basedOn w:val="Normal"/>
    <w:uiPriority w:val="99"/>
    <w:semiHidden/>
    <w:rsid w:val="00EE5BB8"/>
    <w:pPr>
      <w:adjustRightInd w:val="0"/>
      <w:spacing w:after="57" w:line="220" w:lineRule="atLeast"/>
      <w:ind w:left="283" w:hanging="170"/>
    </w:pPr>
    <w:rPr>
      <w:rFonts w:ascii="VIC-Light" w:eastAsiaTheme="minorEastAsia" w:hAnsi="VIC-Light" w:cs="VIC-Light"/>
      <w:color w:val="000000"/>
      <w:sz w:val="16"/>
      <w:szCs w:val="16"/>
    </w:rPr>
  </w:style>
  <w:style w:type="paragraph" w:customStyle="1" w:styleId="TcrossheadBlue04Table">
    <w:name w:val="T: crosshead (Blue) (04. Table)"/>
    <w:basedOn w:val="Normal"/>
    <w:uiPriority w:val="99"/>
    <w:semiHidden/>
    <w:rsid w:val="00EE5BB8"/>
    <w:pPr>
      <w:adjustRightInd w:val="0"/>
      <w:spacing w:after="0" w:line="220" w:lineRule="atLeast"/>
    </w:pPr>
    <w:rPr>
      <w:rFonts w:ascii="VIC-Medium" w:eastAsiaTheme="minorEastAsia" w:hAnsi="VIC-Medium" w:cs="VIC-Medium"/>
      <w:color w:val="0059D8"/>
      <w:sz w:val="16"/>
      <w:szCs w:val="16"/>
    </w:rPr>
  </w:style>
  <w:style w:type="paragraph" w:customStyle="1" w:styleId="BIntroPara-1214VICLight03Body">
    <w:name w:val="B: Intro Para - 12/14 VIC Light (03. Body)"/>
    <w:basedOn w:val="Normal"/>
    <w:uiPriority w:val="99"/>
    <w:semiHidden/>
    <w:rsid w:val="00EE5BB8"/>
    <w:pPr>
      <w:adjustRightInd w:val="0"/>
      <w:spacing w:line="280" w:lineRule="atLeast"/>
    </w:pPr>
    <w:rPr>
      <w:rFonts w:ascii="VIC-Light" w:eastAsiaTheme="minorEastAsia" w:hAnsi="VIC-Light" w:cs="VIC-Light"/>
      <w:color w:val="000000"/>
      <w:spacing w:val="-2"/>
    </w:rPr>
  </w:style>
  <w:style w:type="paragraph" w:customStyle="1" w:styleId="BL1Alphabullets03Body">
    <w:name w:val="B: L1 Alpha bullets  (03. Body)"/>
    <w:basedOn w:val="Normal"/>
    <w:uiPriority w:val="99"/>
    <w:semiHidden/>
    <w:rsid w:val="00EE5BB8"/>
    <w:pPr>
      <w:adjustRightInd w:val="0"/>
      <w:spacing w:after="57" w:line="240" w:lineRule="atLeast"/>
      <w:ind w:left="227" w:hanging="227"/>
    </w:pPr>
    <w:rPr>
      <w:rFonts w:ascii="VIC-Light" w:eastAsiaTheme="minorEastAsia" w:hAnsi="VIC-Light" w:cs="VIC-Light"/>
      <w:color w:val="000000"/>
    </w:rPr>
  </w:style>
  <w:style w:type="paragraph" w:customStyle="1" w:styleId="BL1Alphabulletslast03Body">
    <w:name w:val="B: L1 Alpha bullets last (03. Body)"/>
    <w:basedOn w:val="Normal"/>
    <w:uiPriority w:val="99"/>
    <w:semiHidden/>
    <w:rsid w:val="00EE5BB8"/>
    <w:pPr>
      <w:adjustRightInd w:val="0"/>
      <w:spacing w:after="113" w:line="240" w:lineRule="atLeast"/>
      <w:ind w:left="227" w:hanging="227"/>
    </w:pPr>
    <w:rPr>
      <w:rFonts w:ascii="VIC-Light" w:eastAsiaTheme="minorEastAsia" w:hAnsi="VIC-Light" w:cs="VIC-Light"/>
      <w:color w:val="000000"/>
    </w:rPr>
  </w:style>
  <w:style w:type="paragraph" w:customStyle="1" w:styleId="BL2BulletsAlpha-912VICLight03Body">
    <w:name w:val="B: L2 Bullets Alpha - 9/12 VIC Light (03. Body)"/>
    <w:basedOn w:val="BL1Bullets-912VICLight03Body"/>
    <w:uiPriority w:val="99"/>
    <w:semiHidden/>
    <w:rsid w:val="00EE5BB8"/>
  </w:style>
  <w:style w:type="paragraph" w:customStyle="1" w:styleId="BL2BulletsAlpha-912VICLightlast03Body">
    <w:name w:val="B: L2 Bullets Alpha - 9/12 VIC Light last (03. Body)"/>
    <w:basedOn w:val="BL1Bullets-912VICLight03Body"/>
    <w:uiPriority w:val="99"/>
    <w:semiHidden/>
    <w:rsid w:val="00EE5BB8"/>
  </w:style>
  <w:style w:type="paragraph" w:customStyle="1" w:styleId="HHeader2-1820ptVicLight02Headers">
    <w:name w:val="H: Header 2 - 18/20pt Vic Light (02. Headers)"/>
    <w:basedOn w:val="Normal"/>
    <w:uiPriority w:val="99"/>
    <w:semiHidden/>
    <w:rsid w:val="00EE5BB8"/>
    <w:pPr>
      <w:adjustRightInd w:val="0"/>
      <w:spacing w:before="170" w:line="400" w:lineRule="atLeast"/>
    </w:pPr>
    <w:rPr>
      <w:rFonts w:ascii="VIC-Light" w:eastAsiaTheme="minorEastAsia" w:hAnsi="VIC-Light" w:cs="VIC-Light"/>
      <w:color w:val="000002"/>
      <w:sz w:val="36"/>
      <w:szCs w:val="36"/>
    </w:rPr>
  </w:style>
  <w:style w:type="paragraph" w:customStyle="1" w:styleId="HHeader3-numberedforTOC02Headers">
    <w:name w:val="H: Header 3 - numbered for TOC (02. Headers)"/>
    <w:basedOn w:val="Normal"/>
    <w:uiPriority w:val="99"/>
    <w:semiHidden/>
    <w:rsid w:val="00EE5BB8"/>
    <w:pPr>
      <w:adjustRightInd w:val="0"/>
      <w:spacing w:before="170" w:after="57" w:line="320" w:lineRule="atLeast"/>
    </w:pPr>
    <w:rPr>
      <w:rFonts w:ascii="VIC-Regular" w:eastAsiaTheme="minorEastAsia" w:hAnsi="VIC-Regular" w:cs="VIC-Regular"/>
      <w:color w:val="000002"/>
      <w:sz w:val="28"/>
      <w:szCs w:val="28"/>
    </w:rPr>
  </w:style>
  <w:style w:type="paragraph" w:customStyle="1" w:styleId="ListParagrapha">
    <w:name w:val="List Paragraph a)"/>
    <w:basedOn w:val="Normal"/>
    <w:uiPriority w:val="99"/>
    <w:semiHidden/>
    <w:qFormat/>
    <w:rsid w:val="00EE5BB8"/>
    <w:pPr>
      <w:numPr>
        <w:numId w:val="47"/>
      </w:numPr>
      <w:tabs>
        <w:tab w:val="left" w:pos="2181"/>
      </w:tabs>
      <w:spacing w:after="140"/>
      <w:ind w:left="0" w:firstLine="0"/>
    </w:pPr>
    <w:rPr>
      <w:rFonts w:eastAsia="Times New Roman"/>
      <w:lang w:eastAsia="en-GB"/>
    </w:rPr>
  </w:style>
  <w:style w:type="paragraph" w:customStyle="1" w:styleId="Sec2NotesBoldSectionSpecificSec2">
    <w:name w:val="Sec 2: Notes Bold (Section Specific:Sec 2)"/>
    <w:basedOn w:val="Normal"/>
    <w:uiPriority w:val="99"/>
    <w:semiHidden/>
    <w:rsid w:val="00EE5BB8"/>
    <w:pPr>
      <w:tabs>
        <w:tab w:val="right" w:pos="4620"/>
      </w:tabs>
      <w:adjustRightInd w:val="0"/>
      <w:spacing w:after="85" w:line="240" w:lineRule="atLeast"/>
      <w:ind w:left="380" w:hanging="380"/>
    </w:pPr>
    <w:rPr>
      <w:rFonts w:ascii="VIC-Medium" w:eastAsiaTheme="minorEastAsia" w:hAnsi="VIC-Medium" w:cs="VIC-Medium"/>
      <w:color w:val="000000"/>
    </w:rPr>
  </w:style>
  <w:style w:type="paragraph" w:customStyle="1" w:styleId="Sec2NotesdescriptorSectionSpecificSec2">
    <w:name w:val="Sec 2: Notes descriptor (Section Specific:Sec 2)"/>
    <w:basedOn w:val="BBody-912ptVICLight03Body"/>
    <w:uiPriority w:val="99"/>
    <w:semiHidden/>
    <w:rsid w:val="00EE5BB8"/>
    <w:pPr>
      <w:ind w:left="380"/>
    </w:pPr>
  </w:style>
  <w:style w:type="paragraph" w:customStyle="1" w:styleId="Sec2NoteslightSectionSpecificSec2">
    <w:name w:val="Sec 2: Notes light (Section Specific:Sec 2)"/>
    <w:basedOn w:val="BBody-912ptVICLight03Body"/>
    <w:uiPriority w:val="99"/>
    <w:semiHidden/>
    <w:rsid w:val="00EE5BB8"/>
    <w:pPr>
      <w:tabs>
        <w:tab w:val="right" w:pos="860"/>
        <w:tab w:val="right" w:pos="4620"/>
      </w:tabs>
      <w:ind w:left="780" w:hanging="380"/>
    </w:pPr>
  </w:style>
  <w:style w:type="paragraph" w:customStyle="1" w:styleId="Tablefootnotes">
    <w:name w:val="Table footnotes"/>
    <w:basedOn w:val="Normal"/>
    <w:uiPriority w:val="99"/>
    <w:semiHidden/>
    <w:qFormat/>
    <w:rsid w:val="00EE5BB8"/>
    <w:pPr>
      <w:spacing w:before="60"/>
      <w:contextualSpacing/>
    </w:pPr>
    <w:rPr>
      <w:szCs w:val="22"/>
    </w:rPr>
  </w:style>
  <w:style w:type="table" w:styleId="PlainTable1">
    <w:name w:val="Plain Table 1"/>
    <w:basedOn w:val="TableNormal"/>
    <w:uiPriority w:val="41"/>
    <w:rsid w:val="00EE5BB8"/>
    <w:pPr>
      <w:spacing w:after="0" w:line="240" w:lineRule="auto"/>
    </w:pPr>
    <w:rPr>
      <w:rFonts w:eastAsiaTheme="minorEastAsia"/>
      <w:lang w:val="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ppendixHeading2numbered">
    <w:name w:val="Appendix Heading 2 numbered"/>
    <w:basedOn w:val="Heading2numbered0"/>
    <w:qFormat/>
    <w:rsid w:val="00EE5BB8"/>
    <w:pPr>
      <w:numPr>
        <w:ilvl w:val="0"/>
        <w:numId w:val="67"/>
      </w:numPr>
      <w:tabs>
        <w:tab w:val="clear" w:pos="284"/>
        <w:tab w:val="left" w:pos="454"/>
      </w:tabs>
      <w:suppressAutoHyphens w:val="0"/>
      <w:autoSpaceDE w:val="0"/>
      <w:autoSpaceDN w:val="0"/>
      <w:spacing w:before="360" w:after="240"/>
      <w:ind w:left="0" w:firstLine="0"/>
      <w:outlineLvl w:val="1"/>
    </w:pPr>
    <w:rPr>
      <w:rFonts w:asciiTheme="minorHAnsi" w:hAnsiTheme="minorHAnsi" w:cs="Times New Roman"/>
    </w:rPr>
  </w:style>
  <w:style w:type="paragraph" w:styleId="TOC3">
    <w:name w:val="toc 3"/>
    <w:basedOn w:val="Normal"/>
    <w:next w:val="Normal"/>
    <w:autoRedefine/>
    <w:uiPriority w:val="39"/>
    <w:unhideWhenUsed/>
    <w:rsid w:val="00EE5BB8"/>
    <w:pPr>
      <w:spacing w:after="100"/>
      <w:ind w:left="480"/>
    </w:pPr>
    <w:rPr>
      <w:rFonts w:eastAsiaTheme="minorEastAsia"/>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fontTable" Target="fontTable.xml"/><Relationship Id="rId21" Type="http://schemas.openxmlformats.org/officeDocument/2006/relationships/header" Target="header8.xml"/><Relationship Id="rId34" Type="http://schemas.openxmlformats.org/officeDocument/2006/relationships/header" Target="header2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9A2E9D89755488B54E51C8AC2DA7E" ma:contentTypeVersion="18" ma:contentTypeDescription="Create a new document." ma:contentTypeScope="" ma:versionID="e861b19e9769b4e45c71cda0196d5776">
  <xsd:schema xmlns:xsd="http://www.w3.org/2001/XMLSchema" xmlns:xs="http://www.w3.org/2001/XMLSchema" xmlns:p="http://schemas.microsoft.com/office/2006/metadata/properties" xmlns:ns2="98caef77-545b-4d4b-96ac-f88472b9d9b5" xmlns:ns3="62f59a1f-816a-4bca-bfc0-c901c4a1cb3d" targetNamespace="http://schemas.microsoft.com/office/2006/metadata/properties" ma:root="true" ma:fieldsID="56f458fb6da20a6ad1a288d1405e10ec" ns2:_="" ns3:_="">
    <xsd:import namespace="98caef77-545b-4d4b-96ac-f88472b9d9b5"/>
    <xsd:import namespace="62f59a1f-816a-4bca-bfc0-c901c4a1cb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Reviewed"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aef77-545b-4d4b-96ac-f88472b9d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Reviewed" ma:index="14" nillable="true" ma:displayName="Reviewed" ma:default="1" ma:internalName="Reviewed">
      <xsd:simpleType>
        <xsd:restriction base="dms:Boolean"/>
      </xsd:simpleType>
    </xsd:element>
    <xsd:element name="_Flow_SignoffStatus" ma:index="15" nillable="true" ma:displayName="Sign-off status" ma:internalName="Sign_x002d_off_x0020_status">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f59a1f-816a-4bca-bfc0-c901c4a1cb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ed xmlns="98caef77-545b-4d4b-96ac-f88472b9d9b5">true</Reviewed>
    <_Flow_SignoffStatus xmlns="98caef77-545b-4d4b-96ac-f88472b9d9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C84FB-FD12-4ADA-BBA5-1D186248F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aef77-545b-4d4b-96ac-f88472b9d9b5"/>
    <ds:schemaRef ds:uri="62f59a1f-816a-4bca-bfc0-c901c4a1c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6ADF40-F9EF-4048-8D24-9207C7CAC751}">
  <ds:schemaRefs>
    <ds:schemaRef ds:uri="http://schemas.microsoft.com/office/2006/metadata/properties"/>
    <ds:schemaRef ds:uri="http://schemas.microsoft.com/office/infopath/2007/PartnerControls"/>
    <ds:schemaRef ds:uri="98caef77-545b-4d4b-96ac-f88472b9d9b5"/>
  </ds:schemaRefs>
</ds:datastoreItem>
</file>

<file path=customXml/itemProps3.xml><?xml version="1.0" encoding="utf-8"?>
<ds:datastoreItem xmlns:ds="http://schemas.openxmlformats.org/officeDocument/2006/customXml" ds:itemID="{9F1D7BB9-3BF5-4CE9-8F7E-A557B1AFFD9F}">
  <ds:schemaRefs>
    <ds:schemaRef ds:uri="http://schemas.microsoft.com/sharepoint/v3/contenttype/forms"/>
  </ds:schemaRefs>
</ds:datastoreItem>
</file>

<file path=customXml/itemProps4.xml><?xml version="1.0" encoding="utf-8"?>
<ds:datastoreItem xmlns:ds="http://schemas.openxmlformats.org/officeDocument/2006/customXml" ds:itemID="{86CBB39B-F2E4-463E-9D6D-326AC7D11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116</Pages>
  <Words>25889</Words>
  <Characters>151215</Characters>
  <Application>Microsoft Office Word</Application>
  <DocSecurity>0</DocSecurity>
  <Lines>7815</Lines>
  <Paragraphs>4182</Paragraphs>
  <ScaleCrop>false</ScaleCrop>
  <HeadingPairs>
    <vt:vector size="2" baseType="variant">
      <vt:variant>
        <vt:lpstr>Title</vt:lpstr>
      </vt:variant>
      <vt:variant>
        <vt:i4>1</vt:i4>
      </vt:variant>
    </vt:vector>
  </HeadingPairs>
  <TitlesOfParts>
    <vt:vector size="1" baseType="lpstr">
      <vt:lpstr>DJSIR Annual Report 2024-25</vt:lpstr>
    </vt:vector>
  </TitlesOfParts>
  <Company/>
  <LinksUpToDate>false</LinksUpToDate>
  <CharactersWithSpaces>173447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DJSIR Annual Report 2024-25</dc:title>
  <dc:subject/>
  <dc:creator>Samaa Kirby</dc:creator>
  <cp:keywords/>
  <dc:description/>
  <cp:lastModifiedBy>Nada Markovic (DJSIR)</cp:lastModifiedBy>
  <cp:revision>12</cp:revision>
  <dcterms:created xsi:type="dcterms:W3CDTF">2025-11-18T05:13:00Z</dcterms:created>
  <dcterms:modified xsi:type="dcterms:W3CDTF">2025-11-25T22:50:00Z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62f13787,47c05161,3e085ea9,4ed87d0,27e79231,69ca529b,4f087126,76ab39ce,6611ede9,47f394a,55266e20,6b7128e8,4515363d,db5b93f,29b72c68,6fa8f8cc,4143d8c1,6a6b43f5,3f8a6553,2325c60a,3c2f33c3,44963f78,32135276</vt:lpwstr>
  </property>
  <property fmtid="{D5CDD505-2E9C-101B-9397-08002B2CF9AE}" pid="3" name="ClassificationContentMarkingHeaderShapeIds-1">
    <vt:lpwstr>396fa51b,55e6e75,7e23160c,be4f721,34c8b859,72abf282,399a8346,1cb85674,1772becd,636ea566,5df7ef7d,68a39c7,39d55ebe,5daa66ac,2b4a8eae,6060c80d,386fbaa,38c3b6e,19ebd3e9,beefb00,2af6415f,3d8cb520,c5dc048,56e8e47</vt:lpwstr>
  </property>
  <property fmtid="{D5CDD505-2E9C-101B-9397-08002B2CF9AE}" pid="4" name="ClassificationContentMarkingHeaderShapeIds-2">
    <vt:lpwstr>2c066eb4,2456516d,6eb8a74e,5ae0ecd5,2904f3b2,50826f52,586521d4,11bc9564,355a73c6,d145261,52b584e2,2f415cc5,429e1a6f,3da421e8,345b18a4,4cb99985,69230f7</vt:lpwstr>
  </property>
  <property fmtid="{D5CDD505-2E9C-101B-9397-08002B2CF9AE}" pid="5" name="ClassificationContentMarkingHeaderFontProps">
    <vt:lpwstr>#000000,12,Arial</vt:lpwstr>
  </property>
  <property fmtid="{D5CDD505-2E9C-101B-9397-08002B2CF9AE}" pid="6" name="ClassificationContentMarkingHeaderText">
    <vt:lpwstr>UNOFFICIAL</vt:lpwstr>
  </property>
  <property fmtid="{D5CDD505-2E9C-101B-9397-08002B2CF9AE}" pid="7" name="ClassificationContentMarkingFooterShapeIds">
    <vt:lpwstr>271f2252,172f3a55,569fc37c,53bb76f9,38496114,11675c26,2e90eda8,2cc09be9,161adbd8,59bb17b5,46e8736f,7398ff35,2c28ca13,7ac56a46,7b89d853,368a71a7,16b7f8f8,437cc82d,4d2e66a,255e80d7,33b96e4b,c764e98,6044acf4</vt:lpwstr>
  </property>
  <property fmtid="{D5CDD505-2E9C-101B-9397-08002B2CF9AE}" pid="8" name="ClassificationContentMarkingFooterShapeIds-1">
    <vt:lpwstr>70ca500f,64492885,7aa4e647,4b7bd1c3,39ef710a,4edafcf9,693bd29b,363e6320,4471d216,37578aff,401ae6ee,673f54bc,126ca364,5ebbbf07,49735cb</vt:lpwstr>
  </property>
  <property fmtid="{D5CDD505-2E9C-101B-9397-08002B2CF9AE}" pid="9" name="ClassificationContentMarkingFooterFontProps">
    <vt:lpwstr>#000000,12,Arial</vt:lpwstr>
  </property>
  <property fmtid="{D5CDD505-2E9C-101B-9397-08002B2CF9AE}" pid="10" name="ClassificationContentMarkingFooterText">
    <vt:lpwstr>UNOFFICIAL</vt:lpwstr>
  </property>
  <property fmtid="{D5CDD505-2E9C-101B-9397-08002B2CF9AE}" pid="11" name="MSIP_Label_aada7abd-22af-4be4-9080-cf0e1de95e2f_Enabled">
    <vt:lpwstr>true</vt:lpwstr>
  </property>
  <property fmtid="{D5CDD505-2E9C-101B-9397-08002B2CF9AE}" pid="12" name="MSIP_Label_aada7abd-22af-4be4-9080-cf0e1de95e2f_SetDate">
    <vt:lpwstr>2025-11-09T03:31:36Z</vt:lpwstr>
  </property>
  <property fmtid="{D5CDD505-2E9C-101B-9397-08002B2CF9AE}" pid="13" name="MSIP_Label_aada7abd-22af-4be4-9080-cf0e1de95e2f_Method">
    <vt:lpwstr>Privileged</vt:lpwstr>
  </property>
  <property fmtid="{D5CDD505-2E9C-101B-9397-08002B2CF9AE}" pid="14" name="MSIP_Label_aada7abd-22af-4be4-9080-cf0e1de95e2f_Name">
    <vt:lpwstr>Unofficial (DJPR)</vt:lpwstr>
  </property>
  <property fmtid="{D5CDD505-2E9C-101B-9397-08002B2CF9AE}" pid="15" name="MSIP_Label_aada7abd-22af-4be4-9080-cf0e1de95e2f_SiteId">
    <vt:lpwstr>722ea0be-3e1c-4b11-ad6f-9401d6856e24</vt:lpwstr>
  </property>
  <property fmtid="{D5CDD505-2E9C-101B-9397-08002B2CF9AE}" pid="16" name="MSIP_Label_aada7abd-22af-4be4-9080-cf0e1de95e2f_ActionId">
    <vt:lpwstr>b83cf70f-e4ce-47ef-8357-c52d7c11ce77</vt:lpwstr>
  </property>
  <property fmtid="{D5CDD505-2E9C-101B-9397-08002B2CF9AE}" pid="17" name="MSIP_Label_aada7abd-22af-4be4-9080-cf0e1de95e2f_ContentBits">
    <vt:lpwstr>3</vt:lpwstr>
  </property>
  <property fmtid="{D5CDD505-2E9C-101B-9397-08002B2CF9AE}" pid="18" name="MSIP_Label_aada7abd-22af-4be4-9080-cf0e1de95e2f_Tag">
    <vt:lpwstr>10, 0, 1, 1</vt:lpwstr>
  </property>
  <property fmtid="{D5CDD505-2E9C-101B-9397-08002B2CF9AE}" pid="19" name="ContentTypeId">
    <vt:lpwstr>0x010100EE89A2E9D89755488B54E51C8AC2DA7E</vt:lpwstr>
  </property>
  <property fmtid="{D5CDD505-2E9C-101B-9397-08002B2CF9AE}" pid="20" name="MediaServiceImageTags">
    <vt:lpwstr/>
  </property>
  <property fmtid="{D5CDD505-2E9C-101B-9397-08002B2CF9AE}" pid="21" name="DEDJTRSection">
    <vt:lpwstr/>
  </property>
  <property fmtid="{D5CDD505-2E9C-101B-9397-08002B2CF9AE}" pid="22" name="DEDJTRGroup">
    <vt:lpwstr/>
  </property>
  <property fmtid="{D5CDD505-2E9C-101B-9397-08002B2CF9AE}" pid="23" name="DEDJTRSecurityClassification">
    <vt:lpwstr/>
  </property>
  <property fmtid="{D5CDD505-2E9C-101B-9397-08002B2CF9AE}" pid="24" name="DEDJTRDivision">
    <vt:lpwstr/>
  </property>
  <property fmtid="{D5CDD505-2E9C-101B-9397-08002B2CF9AE}" pid="25" name="DEDJTRBranch">
    <vt:lpwstr/>
  </property>
</Properties>
</file>