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1B60" w14:textId="4D779C05" w:rsidR="00AE1539" w:rsidRPr="00A05757" w:rsidRDefault="00A05757" w:rsidP="006A11B7">
      <w:r>
        <w:rPr>
          <w:noProof/>
        </w:rPr>
        <w:drawing>
          <wp:inline distT="0" distB="0" distL="0" distR="0" wp14:anchorId="00A94BE1" wp14:editId="1E895041">
            <wp:extent cx="1421876" cy="813917"/>
            <wp:effectExtent l="0" t="0" r="635" b="0"/>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 logo"/>
                    <pic:cNvPicPr/>
                  </pic:nvPicPr>
                  <pic:blipFill>
                    <a:blip r:embed="rId11"/>
                    <a:stretch>
                      <a:fillRect/>
                    </a:stretch>
                  </pic:blipFill>
                  <pic:spPr>
                    <a:xfrm>
                      <a:off x="0" y="0"/>
                      <a:ext cx="1433602" cy="820629"/>
                    </a:xfrm>
                    <a:prstGeom prst="rect">
                      <a:avLst/>
                    </a:prstGeom>
                  </pic:spPr>
                </pic:pic>
              </a:graphicData>
            </a:graphic>
          </wp:inline>
        </w:drawing>
      </w:r>
    </w:p>
    <w:p w14:paraId="024E9B9D" w14:textId="036CFFDB" w:rsidR="00AE1539" w:rsidRDefault="00AE1539" w:rsidP="00AE1539">
      <w:pPr>
        <w:pStyle w:val="Title"/>
      </w:pPr>
      <w:r w:rsidRPr="00AE1539">
        <w:t>Sustainable Hunting Action Plan</w:t>
      </w:r>
      <w:r>
        <w:t xml:space="preserve"> </w:t>
      </w:r>
    </w:p>
    <w:p w14:paraId="7C9D4ABE" w14:textId="3ADB18AE" w:rsidR="0061599A" w:rsidRDefault="00AE1539" w:rsidP="00AE1539">
      <w:pPr>
        <w:pStyle w:val="Title"/>
      </w:pPr>
      <w:r w:rsidRPr="00AE1539">
        <w:t>2021</w:t>
      </w:r>
      <w:r w:rsidRPr="00AE1539">
        <w:rPr>
          <w:rFonts w:ascii="Cambria Math" w:hAnsi="Cambria Math" w:cs="Cambria Math"/>
        </w:rPr>
        <w:t>‑</w:t>
      </w:r>
      <w:r w:rsidRPr="00AE1539">
        <w:t xml:space="preserve">2024 </w:t>
      </w:r>
    </w:p>
    <w:p w14:paraId="51EBA046" w14:textId="77777777" w:rsidR="00A97BBA" w:rsidRPr="00A97BBA" w:rsidRDefault="00A97BBA" w:rsidP="00A97BBA">
      <w:pPr>
        <w:pStyle w:val="Title"/>
        <w:rPr>
          <w:lang w:val="en-GB"/>
        </w:rPr>
      </w:pPr>
      <w:r w:rsidRPr="00A97BBA">
        <w:rPr>
          <w:lang w:val="en-GB"/>
        </w:rPr>
        <w:t xml:space="preserve">Implementation Guide </w:t>
      </w:r>
    </w:p>
    <w:p w14:paraId="024B8D77" w14:textId="77777777" w:rsidR="007B644C" w:rsidRPr="0037380D" w:rsidRDefault="007B644C" w:rsidP="0037380D">
      <w:pPr>
        <w:rPr>
          <w:b/>
          <w:bCs/>
          <w:sz w:val="28"/>
          <w:szCs w:val="28"/>
        </w:rPr>
      </w:pPr>
      <w:r w:rsidRPr="0037380D">
        <w:rPr>
          <w:b/>
          <w:bCs/>
          <w:sz w:val="28"/>
          <w:szCs w:val="28"/>
        </w:rPr>
        <w:t>Customer Service Centre 136 186</w:t>
      </w:r>
    </w:p>
    <w:p w14:paraId="277ECA53" w14:textId="726FACD1" w:rsidR="007B644C" w:rsidRPr="0037380D" w:rsidRDefault="00120337" w:rsidP="0037380D">
      <w:pPr>
        <w:rPr>
          <w:b/>
          <w:bCs/>
          <w:sz w:val="28"/>
          <w:szCs w:val="28"/>
        </w:rPr>
      </w:pPr>
      <w:hyperlink r:id="rId12" w:history="1">
        <w:r w:rsidR="007B644C" w:rsidRPr="001A06D3">
          <w:rPr>
            <w:rStyle w:val="Hyperlink"/>
            <w:b/>
            <w:bCs/>
            <w:sz w:val="28"/>
            <w:szCs w:val="28"/>
          </w:rPr>
          <w:t>djpr.vic.gov.au/game-hunting</w:t>
        </w:r>
      </w:hyperlink>
    </w:p>
    <w:sdt>
      <w:sdtPr>
        <w:rPr>
          <w:rFonts w:ascii="Arial" w:eastAsia="MS Mincho" w:hAnsi="Arial" w:cs="Arial"/>
          <w:b w:val="0"/>
          <w:bCs w:val="0"/>
          <w:color w:val="auto"/>
          <w:spacing w:val="-4"/>
          <w:sz w:val="20"/>
          <w:szCs w:val="24"/>
        </w:rPr>
        <w:id w:val="-516995776"/>
        <w:docPartObj>
          <w:docPartGallery w:val="Table of Contents"/>
          <w:docPartUnique/>
        </w:docPartObj>
      </w:sdtPr>
      <w:sdtEndPr>
        <w:rPr>
          <w:noProof/>
        </w:rPr>
      </w:sdtEndPr>
      <w:sdtContent>
        <w:p w14:paraId="43DE1F5F" w14:textId="57C66187" w:rsidR="006A11B7" w:rsidRPr="000F6E7C" w:rsidRDefault="006A11B7">
          <w:pPr>
            <w:pStyle w:val="TOCHeading"/>
            <w:rPr>
              <w:rFonts w:ascii="Arial" w:hAnsi="Arial" w:cs="Arial"/>
              <w:color w:val="auto"/>
            </w:rPr>
          </w:pPr>
          <w:r w:rsidRPr="000F6E7C">
            <w:rPr>
              <w:rFonts w:ascii="Arial" w:hAnsi="Arial" w:cs="Arial"/>
              <w:color w:val="auto"/>
            </w:rPr>
            <w:t>Table of Contents</w:t>
          </w:r>
        </w:p>
        <w:p w14:paraId="5A48A43E" w14:textId="07F56723" w:rsidR="0037380D" w:rsidRPr="000F6E7C" w:rsidRDefault="006A11B7" w:rsidP="000F6E7C">
          <w:pPr>
            <w:pStyle w:val="TOC1"/>
            <w:rPr>
              <w:rFonts w:eastAsiaTheme="minorEastAsia" w:cstheme="minorBidi"/>
              <w:spacing w:val="0"/>
              <w:lang w:val="en-AU" w:eastAsia="en-GB"/>
            </w:rPr>
          </w:pPr>
          <w:r>
            <w:rPr>
              <w:noProof w:val="0"/>
            </w:rPr>
            <w:fldChar w:fldCharType="begin"/>
          </w:r>
          <w:r>
            <w:instrText xml:space="preserve"> TOC \o "1-3" \h \z \u </w:instrText>
          </w:r>
          <w:r>
            <w:rPr>
              <w:noProof w:val="0"/>
            </w:rPr>
            <w:fldChar w:fldCharType="separate"/>
          </w:r>
          <w:hyperlink w:anchor="_Toc103774058" w:history="1">
            <w:r w:rsidR="0037380D" w:rsidRPr="000F6E7C">
              <w:rPr>
                <w:rStyle w:val="Hyperlink"/>
                <w:i w:val="0"/>
                <w:iCs w:val="0"/>
              </w:rPr>
              <w:t>Introduction</w:t>
            </w:r>
            <w:r w:rsidR="0037380D" w:rsidRPr="000F6E7C">
              <w:rPr>
                <w:webHidden/>
              </w:rPr>
              <w:tab/>
            </w:r>
            <w:r w:rsidR="0037380D" w:rsidRPr="000F6E7C">
              <w:rPr>
                <w:webHidden/>
              </w:rPr>
              <w:fldChar w:fldCharType="begin"/>
            </w:r>
            <w:r w:rsidR="0037380D" w:rsidRPr="000F6E7C">
              <w:rPr>
                <w:webHidden/>
              </w:rPr>
              <w:instrText xml:space="preserve"> PAGEREF _Toc103774058 \h </w:instrText>
            </w:r>
            <w:r w:rsidR="0037380D" w:rsidRPr="000F6E7C">
              <w:rPr>
                <w:webHidden/>
              </w:rPr>
            </w:r>
            <w:r w:rsidR="0037380D" w:rsidRPr="000F6E7C">
              <w:rPr>
                <w:webHidden/>
              </w:rPr>
              <w:fldChar w:fldCharType="separate"/>
            </w:r>
            <w:r w:rsidR="0037380D" w:rsidRPr="000F6E7C">
              <w:rPr>
                <w:webHidden/>
              </w:rPr>
              <w:t>1</w:t>
            </w:r>
            <w:r w:rsidR="0037380D" w:rsidRPr="000F6E7C">
              <w:rPr>
                <w:webHidden/>
              </w:rPr>
              <w:fldChar w:fldCharType="end"/>
            </w:r>
          </w:hyperlink>
        </w:p>
        <w:p w14:paraId="2FD1C4F4" w14:textId="7C821F56" w:rsidR="0037380D" w:rsidRPr="000F6E7C" w:rsidRDefault="00120337" w:rsidP="000F6E7C">
          <w:pPr>
            <w:pStyle w:val="TOC1"/>
            <w:rPr>
              <w:rFonts w:eastAsiaTheme="minorEastAsia" w:cstheme="minorBidi"/>
              <w:spacing w:val="0"/>
              <w:lang w:val="en-AU" w:eastAsia="en-GB"/>
            </w:rPr>
          </w:pPr>
          <w:hyperlink w:anchor="_Toc103774059" w:history="1">
            <w:r w:rsidR="0037380D" w:rsidRPr="000F6E7C">
              <w:rPr>
                <w:rStyle w:val="Hyperlink"/>
                <w:i w:val="0"/>
                <w:iCs w:val="0"/>
              </w:rPr>
              <w:t>Governance and Responsibilities</w:t>
            </w:r>
            <w:r w:rsidR="0037380D" w:rsidRPr="000F6E7C">
              <w:rPr>
                <w:webHidden/>
              </w:rPr>
              <w:tab/>
            </w:r>
            <w:r w:rsidR="0037380D" w:rsidRPr="000F6E7C">
              <w:rPr>
                <w:webHidden/>
              </w:rPr>
              <w:fldChar w:fldCharType="begin"/>
            </w:r>
            <w:r w:rsidR="0037380D" w:rsidRPr="000F6E7C">
              <w:rPr>
                <w:webHidden/>
              </w:rPr>
              <w:instrText xml:space="preserve"> PAGEREF _Toc103774059 \h </w:instrText>
            </w:r>
            <w:r w:rsidR="0037380D" w:rsidRPr="000F6E7C">
              <w:rPr>
                <w:webHidden/>
              </w:rPr>
            </w:r>
            <w:r w:rsidR="0037380D" w:rsidRPr="000F6E7C">
              <w:rPr>
                <w:webHidden/>
              </w:rPr>
              <w:fldChar w:fldCharType="separate"/>
            </w:r>
            <w:r w:rsidR="0037380D" w:rsidRPr="000F6E7C">
              <w:rPr>
                <w:webHidden/>
              </w:rPr>
              <w:t>1</w:t>
            </w:r>
            <w:r w:rsidR="0037380D" w:rsidRPr="000F6E7C">
              <w:rPr>
                <w:webHidden/>
              </w:rPr>
              <w:fldChar w:fldCharType="end"/>
            </w:r>
          </w:hyperlink>
        </w:p>
        <w:p w14:paraId="1D7D83BC" w14:textId="52B072DB" w:rsidR="0037380D" w:rsidRDefault="00120337">
          <w:pPr>
            <w:pStyle w:val="TOC2"/>
            <w:tabs>
              <w:tab w:val="right" w:leader="dot" w:pos="10456"/>
            </w:tabs>
            <w:rPr>
              <w:rFonts w:eastAsiaTheme="minorEastAsia" w:cstheme="minorBidi"/>
              <w:b w:val="0"/>
              <w:bCs w:val="0"/>
              <w:noProof/>
              <w:spacing w:val="0"/>
              <w:sz w:val="24"/>
              <w:szCs w:val="24"/>
              <w:lang w:val="en-AU" w:eastAsia="en-GB"/>
            </w:rPr>
          </w:pPr>
          <w:hyperlink w:anchor="_Toc103774060" w:history="1">
            <w:r w:rsidR="0037380D" w:rsidRPr="00133A25">
              <w:rPr>
                <w:rStyle w:val="Hyperlink"/>
                <w:noProof/>
              </w:rPr>
              <w:t>Objective 1 – Informing and educating hunters</w:t>
            </w:r>
            <w:r w:rsidR="0037380D">
              <w:rPr>
                <w:noProof/>
                <w:webHidden/>
              </w:rPr>
              <w:tab/>
            </w:r>
            <w:r w:rsidR="0037380D">
              <w:rPr>
                <w:noProof/>
                <w:webHidden/>
              </w:rPr>
              <w:fldChar w:fldCharType="begin"/>
            </w:r>
            <w:r w:rsidR="0037380D">
              <w:rPr>
                <w:noProof/>
                <w:webHidden/>
              </w:rPr>
              <w:instrText xml:space="preserve"> PAGEREF _Toc103774060 \h </w:instrText>
            </w:r>
            <w:r w:rsidR="0037380D">
              <w:rPr>
                <w:noProof/>
                <w:webHidden/>
              </w:rPr>
            </w:r>
            <w:r w:rsidR="0037380D">
              <w:rPr>
                <w:noProof/>
                <w:webHidden/>
              </w:rPr>
              <w:fldChar w:fldCharType="separate"/>
            </w:r>
            <w:r w:rsidR="0037380D">
              <w:rPr>
                <w:noProof/>
                <w:webHidden/>
              </w:rPr>
              <w:t>2</w:t>
            </w:r>
            <w:r w:rsidR="0037380D">
              <w:rPr>
                <w:noProof/>
                <w:webHidden/>
              </w:rPr>
              <w:fldChar w:fldCharType="end"/>
            </w:r>
          </w:hyperlink>
        </w:p>
        <w:p w14:paraId="73337486" w14:textId="57D3BDC4" w:rsidR="0037380D" w:rsidRDefault="00120337">
          <w:pPr>
            <w:pStyle w:val="TOC2"/>
            <w:tabs>
              <w:tab w:val="right" w:leader="dot" w:pos="10456"/>
            </w:tabs>
            <w:rPr>
              <w:rFonts w:eastAsiaTheme="minorEastAsia" w:cstheme="minorBidi"/>
              <w:b w:val="0"/>
              <w:bCs w:val="0"/>
              <w:noProof/>
              <w:spacing w:val="0"/>
              <w:sz w:val="24"/>
              <w:szCs w:val="24"/>
              <w:lang w:val="en-AU" w:eastAsia="en-GB"/>
            </w:rPr>
          </w:pPr>
          <w:hyperlink w:anchor="_Toc103774061" w:history="1">
            <w:r w:rsidR="0037380D" w:rsidRPr="00133A25">
              <w:rPr>
                <w:rStyle w:val="Hyperlink"/>
                <w:noProof/>
              </w:rPr>
              <w:t>Objective 2 – Collaborating and partnering</w:t>
            </w:r>
            <w:r w:rsidR="0037380D">
              <w:rPr>
                <w:noProof/>
                <w:webHidden/>
              </w:rPr>
              <w:tab/>
            </w:r>
            <w:r w:rsidR="0037380D">
              <w:rPr>
                <w:noProof/>
                <w:webHidden/>
              </w:rPr>
              <w:fldChar w:fldCharType="begin"/>
            </w:r>
            <w:r w:rsidR="0037380D">
              <w:rPr>
                <w:noProof/>
                <w:webHidden/>
              </w:rPr>
              <w:instrText xml:space="preserve"> PAGEREF _Toc103774061 \h </w:instrText>
            </w:r>
            <w:r w:rsidR="0037380D">
              <w:rPr>
                <w:noProof/>
                <w:webHidden/>
              </w:rPr>
            </w:r>
            <w:r w:rsidR="0037380D">
              <w:rPr>
                <w:noProof/>
                <w:webHidden/>
              </w:rPr>
              <w:fldChar w:fldCharType="separate"/>
            </w:r>
            <w:r w:rsidR="0037380D">
              <w:rPr>
                <w:noProof/>
                <w:webHidden/>
              </w:rPr>
              <w:t>2</w:t>
            </w:r>
            <w:r w:rsidR="0037380D">
              <w:rPr>
                <w:noProof/>
                <w:webHidden/>
              </w:rPr>
              <w:fldChar w:fldCharType="end"/>
            </w:r>
          </w:hyperlink>
        </w:p>
        <w:p w14:paraId="180A1F7C" w14:textId="64A5F173" w:rsidR="0037380D" w:rsidRDefault="00120337">
          <w:pPr>
            <w:pStyle w:val="TOC2"/>
            <w:tabs>
              <w:tab w:val="right" w:leader="dot" w:pos="10456"/>
            </w:tabs>
            <w:rPr>
              <w:rFonts w:eastAsiaTheme="minorEastAsia" w:cstheme="minorBidi"/>
              <w:b w:val="0"/>
              <w:bCs w:val="0"/>
              <w:noProof/>
              <w:spacing w:val="0"/>
              <w:sz w:val="24"/>
              <w:szCs w:val="24"/>
              <w:lang w:val="en-AU" w:eastAsia="en-GB"/>
            </w:rPr>
          </w:pPr>
          <w:hyperlink w:anchor="_Toc103774062" w:history="1">
            <w:r w:rsidR="0037380D" w:rsidRPr="00133A25">
              <w:rPr>
                <w:rStyle w:val="Hyperlink"/>
                <w:noProof/>
              </w:rPr>
              <w:t>Objective 3 – Monitoring and research</w:t>
            </w:r>
            <w:r w:rsidR="0037380D">
              <w:rPr>
                <w:noProof/>
                <w:webHidden/>
              </w:rPr>
              <w:tab/>
            </w:r>
            <w:r w:rsidR="0037380D">
              <w:rPr>
                <w:noProof/>
                <w:webHidden/>
              </w:rPr>
              <w:fldChar w:fldCharType="begin"/>
            </w:r>
            <w:r w:rsidR="0037380D">
              <w:rPr>
                <w:noProof/>
                <w:webHidden/>
              </w:rPr>
              <w:instrText xml:space="preserve"> PAGEREF _Toc103774062 \h </w:instrText>
            </w:r>
            <w:r w:rsidR="0037380D">
              <w:rPr>
                <w:noProof/>
                <w:webHidden/>
              </w:rPr>
            </w:r>
            <w:r w:rsidR="0037380D">
              <w:rPr>
                <w:noProof/>
                <w:webHidden/>
              </w:rPr>
              <w:fldChar w:fldCharType="separate"/>
            </w:r>
            <w:r w:rsidR="0037380D">
              <w:rPr>
                <w:noProof/>
                <w:webHidden/>
              </w:rPr>
              <w:t>3</w:t>
            </w:r>
            <w:r w:rsidR="0037380D">
              <w:rPr>
                <w:noProof/>
                <w:webHidden/>
              </w:rPr>
              <w:fldChar w:fldCharType="end"/>
            </w:r>
          </w:hyperlink>
        </w:p>
        <w:p w14:paraId="3B66505C" w14:textId="5766939D" w:rsidR="006A11B7" w:rsidRDefault="006A11B7">
          <w:r>
            <w:rPr>
              <w:b/>
              <w:bCs/>
              <w:noProof/>
            </w:rPr>
            <w:fldChar w:fldCharType="end"/>
          </w:r>
        </w:p>
      </w:sdtContent>
    </w:sdt>
    <w:p w14:paraId="74D56D49" w14:textId="4515A931" w:rsidR="00B4167E" w:rsidRPr="00B4167E" w:rsidRDefault="00B4167E" w:rsidP="009E2D8A">
      <w:pPr>
        <w:pStyle w:val="Heading1"/>
      </w:pPr>
      <w:bookmarkStart w:id="0" w:name="_Toc103774058"/>
      <w:r w:rsidRPr="00B4167E">
        <w:t>Introduction</w:t>
      </w:r>
      <w:bookmarkEnd w:id="0"/>
    </w:p>
    <w:p w14:paraId="3ACE79B0" w14:textId="77777777" w:rsidR="00B4167E" w:rsidRPr="00B4167E" w:rsidRDefault="00B4167E" w:rsidP="00B4167E">
      <w:r w:rsidRPr="00B4167E">
        <w:t>The Sustainable Hunting Action Plan 2021–2024 (the plan) builds on the success of the 2016–2020 plan to grow the economic, environmental and social benefits of responsible sustainable and safe hunting in Victoria.</w:t>
      </w:r>
    </w:p>
    <w:p w14:paraId="1E1F2BA2" w14:textId="77777777" w:rsidR="00B4167E" w:rsidRDefault="00B4167E" w:rsidP="00B4167E">
      <w:r w:rsidRPr="00B4167E">
        <w:t>This Implementation Guide is to be used in conjunction with the plan and sets out the actions, responsibilities, governance arrangements and anticipated completion dates required for its implementation.</w:t>
      </w:r>
    </w:p>
    <w:p w14:paraId="24B07B5E" w14:textId="77777777" w:rsidR="009E2D8A" w:rsidRPr="009E2D8A" w:rsidRDefault="009E2D8A" w:rsidP="009E2D8A">
      <w:pPr>
        <w:pStyle w:val="Heading1"/>
      </w:pPr>
      <w:bookmarkStart w:id="1" w:name="_Toc103774059"/>
      <w:r w:rsidRPr="009E2D8A">
        <w:t>Governance and Responsibilities</w:t>
      </w:r>
      <w:bookmarkEnd w:id="1"/>
    </w:p>
    <w:p w14:paraId="21798D88" w14:textId="77777777" w:rsidR="009E2D8A" w:rsidRPr="009E2D8A" w:rsidRDefault="009E2D8A" w:rsidP="009E2D8A">
      <w:r w:rsidRPr="009E2D8A">
        <w:t>A key objective of the plan is to strengthen collaboration and partnerships between government, agencies, Traditional Owners, hunters and the community to continue to grow sustainable and responsible hunting.</w:t>
      </w:r>
    </w:p>
    <w:p w14:paraId="4F375FB7" w14:textId="77777777" w:rsidR="009E2D8A" w:rsidRPr="009E2D8A" w:rsidRDefault="009E2D8A" w:rsidP="009E2D8A">
      <w:r w:rsidRPr="009E2D8A">
        <w:t xml:space="preserve">The plan was developed through consultation with key stakeholders, and DJPR will lead the implementation of the plan in consultation with key delivery partners including the Game Management Authority (GMA), the Department of Environment, Land, Water and Planning (DELWP) and Parks Victoria. </w:t>
      </w:r>
    </w:p>
    <w:p w14:paraId="1A5FC9FF" w14:textId="77777777" w:rsidR="009E2D8A" w:rsidRPr="009E2D8A" w:rsidRDefault="009E2D8A" w:rsidP="009E2D8A">
      <w:r w:rsidRPr="009E2D8A">
        <w:t>The tables shown below specify the actions each department and agency is responsible for implementing. Progress will be communicated on the Sustainable Hunting Action Plan website. Those departments and agencies listed as secondary may still be responsible for implementing the action, or parts of the action, to assist the primary department or agency.</w:t>
      </w:r>
    </w:p>
    <w:p w14:paraId="2A72AED0" w14:textId="67D4FF4B" w:rsidR="00B4167E" w:rsidRPr="009E2D8A" w:rsidRDefault="009E2D8A" w:rsidP="009E2D8A">
      <w:r w:rsidRPr="009E2D8A">
        <w:t>The Department of Jobs, Precincts and Regions (DJPR) will evaluate the plan’s effectiveness and implementation following its conclusion in 2024.</w:t>
      </w:r>
    </w:p>
    <w:p w14:paraId="33BAEC97" w14:textId="662AA558" w:rsidR="009E2D8A" w:rsidRPr="009E2D8A" w:rsidRDefault="009E2D8A" w:rsidP="009E2D8A">
      <w:pPr>
        <w:pStyle w:val="Heading2"/>
      </w:pPr>
      <w:bookmarkStart w:id="2" w:name="_Toc103774060"/>
      <w:r w:rsidRPr="009E2D8A">
        <w:lastRenderedPageBreak/>
        <w:t>Objective 1 – Informing and educating hunters</w:t>
      </w:r>
      <w:bookmarkEnd w:id="2"/>
    </w:p>
    <w:tbl>
      <w:tblPr>
        <w:tblW w:w="0" w:type="auto"/>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020" w:firstRow="1" w:lastRow="0" w:firstColumn="0" w:lastColumn="0" w:noHBand="0" w:noVBand="0"/>
      </w:tblPr>
      <w:tblGrid>
        <w:gridCol w:w="3061"/>
        <w:gridCol w:w="1418"/>
        <w:gridCol w:w="1418"/>
        <w:gridCol w:w="1418"/>
        <w:gridCol w:w="1418"/>
        <w:gridCol w:w="1588"/>
      </w:tblGrid>
      <w:tr w:rsidR="00704ABF" w:rsidRPr="009E2D8A" w14:paraId="32CBB56C" w14:textId="77777777" w:rsidTr="00AF3DDE">
        <w:trPr>
          <w:trHeight w:val="60"/>
        </w:trPr>
        <w:tc>
          <w:tcPr>
            <w:tcW w:w="3061" w:type="dxa"/>
            <w:shd w:val="clear" w:color="auto" w:fill="auto"/>
            <w:tcMar>
              <w:top w:w="283" w:type="dxa"/>
              <w:left w:w="57" w:type="dxa"/>
              <w:bottom w:w="283" w:type="dxa"/>
              <w:right w:w="57" w:type="dxa"/>
            </w:tcMar>
          </w:tcPr>
          <w:p w14:paraId="6C094B7C" w14:textId="5C9C4746" w:rsidR="00704ABF" w:rsidRPr="009E2D8A" w:rsidRDefault="00704ABF" w:rsidP="00E42334">
            <w:pPr>
              <w:pStyle w:val="TableHeading"/>
            </w:pPr>
            <w:r w:rsidRPr="009E2D8A">
              <w:t>Action</w:t>
            </w:r>
          </w:p>
        </w:tc>
        <w:tc>
          <w:tcPr>
            <w:tcW w:w="1418" w:type="dxa"/>
            <w:shd w:val="clear" w:color="auto" w:fill="auto"/>
            <w:tcMar>
              <w:top w:w="283" w:type="dxa"/>
              <w:left w:w="57" w:type="dxa"/>
              <w:bottom w:w="283" w:type="dxa"/>
              <w:right w:w="57" w:type="dxa"/>
            </w:tcMar>
          </w:tcPr>
          <w:p w14:paraId="3BA1B5FB" w14:textId="79BAE52A" w:rsidR="00704ABF" w:rsidRPr="009E2D8A" w:rsidRDefault="00704ABF" w:rsidP="00E42334">
            <w:pPr>
              <w:pStyle w:val="TableHeading"/>
            </w:pPr>
            <w:r w:rsidRPr="009E2D8A">
              <w:t>Responsible Agency</w:t>
            </w:r>
            <w:r>
              <w:t xml:space="preserve"> – </w:t>
            </w:r>
            <w:r w:rsidRPr="009E2D8A">
              <w:t>DJPR</w:t>
            </w:r>
          </w:p>
        </w:tc>
        <w:tc>
          <w:tcPr>
            <w:tcW w:w="1418" w:type="dxa"/>
            <w:shd w:val="clear" w:color="auto" w:fill="auto"/>
            <w:tcMar>
              <w:top w:w="283" w:type="dxa"/>
              <w:left w:w="57" w:type="dxa"/>
              <w:bottom w:w="283" w:type="dxa"/>
              <w:right w:w="57" w:type="dxa"/>
            </w:tcMar>
          </w:tcPr>
          <w:p w14:paraId="45CF213F" w14:textId="103007C4" w:rsidR="00704ABF" w:rsidRPr="009E2D8A" w:rsidRDefault="00704ABF" w:rsidP="00E42334">
            <w:pPr>
              <w:pStyle w:val="TableHeading"/>
            </w:pPr>
            <w:r w:rsidRPr="009E2D8A">
              <w:t>Responsible Agency</w:t>
            </w:r>
            <w:r>
              <w:t xml:space="preserve"> –</w:t>
            </w:r>
            <w:r w:rsidRPr="009E2D8A">
              <w:t xml:space="preserve"> GMA</w:t>
            </w:r>
          </w:p>
        </w:tc>
        <w:tc>
          <w:tcPr>
            <w:tcW w:w="1418" w:type="dxa"/>
            <w:shd w:val="clear" w:color="auto" w:fill="auto"/>
            <w:tcMar>
              <w:top w:w="283" w:type="dxa"/>
              <w:left w:w="57" w:type="dxa"/>
              <w:bottom w:w="283" w:type="dxa"/>
              <w:right w:w="57" w:type="dxa"/>
            </w:tcMar>
          </w:tcPr>
          <w:p w14:paraId="363B372B" w14:textId="09C3C1FB" w:rsidR="00704ABF" w:rsidRPr="009E2D8A" w:rsidRDefault="00704ABF" w:rsidP="00E42334">
            <w:pPr>
              <w:pStyle w:val="TableHeading"/>
            </w:pPr>
            <w:r w:rsidRPr="009E2D8A">
              <w:t>Responsible Agency</w:t>
            </w:r>
            <w:r>
              <w:t xml:space="preserve"> –</w:t>
            </w:r>
            <w:r w:rsidRPr="009E2D8A">
              <w:t xml:space="preserve"> DELWP</w:t>
            </w:r>
          </w:p>
        </w:tc>
        <w:tc>
          <w:tcPr>
            <w:tcW w:w="1418" w:type="dxa"/>
            <w:shd w:val="clear" w:color="auto" w:fill="auto"/>
            <w:tcMar>
              <w:top w:w="283" w:type="dxa"/>
              <w:left w:w="57" w:type="dxa"/>
              <w:bottom w:w="283" w:type="dxa"/>
              <w:right w:w="57" w:type="dxa"/>
            </w:tcMar>
          </w:tcPr>
          <w:p w14:paraId="18C038D3" w14:textId="0C20CC94" w:rsidR="00704ABF" w:rsidRPr="009E2D8A" w:rsidRDefault="00704ABF" w:rsidP="00E42334">
            <w:pPr>
              <w:pStyle w:val="TableHeading"/>
            </w:pPr>
            <w:r w:rsidRPr="009E2D8A">
              <w:t>Responsible Agency</w:t>
            </w:r>
            <w:r>
              <w:t xml:space="preserve"> –</w:t>
            </w:r>
            <w:r w:rsidRPr="009E2D8A">
              <w:t xml:space="preserve"> Parks Vic.</w:t>
            </w:r>
          </w:p>
        </w:tc>
        <w:tc>
          <w:tcPr>
            <w:tcW w:w="1588" w:type="dxa"/>
            <w:shd w:val="clear" w:color="auto" w:fill="auto"/>
            <w:tcMar>
              <w:top w:w="283" w:type="dxa"/>
              <w:left w:w="57" w:type="dxa"/>
              <w:bottom w:w="283" w:type="dxa"/>
              <w:right w:w="57" w:type="dxa"/>
            </w:tcMar>
          </w:tcPr>
          <w:p w14:paraId="465FF6D9" w14:textId="77777777" w:rsidR="00463975" w:rsidRDefault="00463975" w:rsidP="00E42334">
            <w:pPr>
              <w:pStyle w:val="TableHeading"/>
            </w:pPr>
            <w:r>
              <w:t xml:space="preserve">Expected </w:t>
            </w:r>
          </w:p>
          <w:p w14:paraId="2150C614" w14:textId="17A23F38" w:rsidR="00704ABF" w:rsidRPr="009E2D8A" w:rsidRDefault="00704ABF" w:rsidP="00E42334">
            <w:pPr>
              <w:pStyle w:val="TableHeading"/>
            </w:pPr>
            <w:r w:rsidRPr="009E2D8A">
              <w:t>Completion Date</w:t>
            </w:r>
          </w:p>
        </w:tc>
      </w:tr>
      <w:tr w:rsidR="00704ABF" w:rsidRPr="009E2D8A" w14:paraId="35642CB0" w14:textId="77777777" w:rsidTr="00AF3DDE">
        <w:trPr>
          <w:trHeight w:val="60"/>
        </w:trPr>
        <w:tc>
          <w:tcPr>
            <w:tcW w:w="3061" w:type="dxa"/>
            <w:shd w:val="clear" w:color="auto" w:fill="auto"/>
            <w:tcMar>
              <w:top w:w="283" w:type="dxa"/>
              <w:left w:w="57" w:type="dxa"/>
              <w:bottom w:w="283" w:type="dxa"/>
              <w:right w:w="57" w:type="dxa"/>
            </w:tcMar>
          </w:tcPr>
          <w:p w14:paraId="43DB37C8" w14:textId="5F9015A9" w:rsidR="00704ABF" w:rsidRPr="009E2D8A" w:rsidRDefault="00704ABF" w:rsidP="002E4615">
            <w:pPr>
              <w:pStyle w:val="TableCopy"/>
            </w:pPr>
            <w:r w:rsidRPr="003D6E21">
              <w:rPr>
                <w:b/>
                <w:bCs/>
              </w:rPr>
              <w:t>1.1 Provide better access to information</w:t>
            </w:r>
            <w:r w:rsidRPr="009E2D8A">
              <w:t xml:space="preserve"> – by delivering practical enhancements to the More to Explore app to help improve knowledge about hunting locations.</w:t>
            </w:r>
          </w:p>
        </w:tc>
        <w:tc>
          <w:tcPr>
            <w:tcW w:w="1418" w:type="dxa"/>
            <w:shd w:val="clear" w:color="auto" w:fill="auto"/>
            <w:tcMar>
              <w:top w:w="283" w:type="dxa"/>
              <w:left w:w="57" w:type="dxa"/>
              <w:bottom w:w="283" w:type="dxa"/>
              <w:right w:w="57" w:type="dxa"/>
            </w:tcMar>
          </w:tcPr>
          <w:p w14:paraId="4BF7D955"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7E597E5F"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4A520350" w14:textId="77777777" w:rsidR="00704ABF" w:rsidRPr="003D6E21" w:rsidRDefault="00704ABF" w:rsidP="002E461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4755F731" w14:textId="77777777" w:rsidR="00704ABF" w:rsidRPr="009E2D8A" w:rsidRDefault="00704ABF" w:rsidP="002E4615">
            <w:pPr>
              <w:pStyle w:val="TableCopy"/>
            </w:pPr>
            <w:r w:rsidRPr="009E2D8A">
              <w:t>Secondary</w:t>
            </w:r>
          </w:p>
        </w:tc>
        <w:tc>
          <w:tcPr>
            <w:tcW w:w="1588" w:type="dxa"/>
            <w:shd w:val="clear" w:color="auto" w:fill="auto"/>
            <w:tcMar>
              <w:top w:w="283" w:type="dxa"/>
              <w:left w:w="57" w:type="dxa"/>
              <w:bottom w:w="283" w:type="dxa"/>
              <w:right w:w="57" w:type="dxa"/>
            </w:tcMar>
          </w:tcPr>
          <w:p w14:paraId="47F8F88E" w14:textId="72AE3EF0" w:rsidR="00704ABF" w:rsidRPr="009E2D8A" w:rsidRDefault="00704ABF" w:rsidP="002E4615">
            <w:pPr>
              <w:pStyle w:val="TableCopy"/>
            </w:pPr>
            <w:r w:rsidRPr="009E2D8A">
              <w:t>App enhancements completed by June 2024</w:t>
            </w:r>
          </w:p>
        </w:tc>
      </w:tr>
      <w:tr w:rsidR="00704ABF" w:rsidRPr="009E2D8A" w14:paraId="70D7BBB7" w14:textId="77777777" w:rsidTr="00AF3DDE">
        <w:trPr>
          <w:trHeight w:val="60"/>
        </w:trPr>
        <w:tc>
          <w:tcPr>
            <w:tcW w:w="3061" w:type="dxa"/>
            <w:shd w:val="clear" w:color="auto" w:fill="auto"/>
            <w:tcMar>
              <w:top w:w="283" w:type="dxa"/>
              <w:left w:w="57" w:type="dxa"/>
              <w:bottom w:w="283" w:type="dxa"/>
              <w:right w:w="57" w:type="dxa"/>
            </w:tcMar>
          </w:tcPr>
          <w:p w14:paraId="5F133241" w14:textId="0E511287" w:rsidR="00704ABF" w:rsidRPr="009E2D8A" w:rsidRDefault="00704ABF" w:rsidP="002E4615">
            <w:pPr>
              <w:pStyle w:val="TableCopy"/>
            </w:pPr>
            <w:r w:rsidRPr="003D6E21">
              <w:rPr>
                <w:b/>
                <w:bCs/>
              </w:rPr>
              <w:t>1.2 Educate and train new hunters</w:t>
            </w:r>
            <w:r w:rsidRPr="009E2D8A">
              <w:t xml:space="preserve"> – by developing a new online firearm safety education module.</w:t>
            </w:r>
          </w:p>
        </w:tc>
        <w:tc>
          <w:tcPr>
            <w:tcW w:w="1418" w:type="dxa"/>
            <w:shd w:val="clear" w:color="auto" w:fill="auto"/>
            <w:tcMar>
              <w:top w:w="283" w:type="dxa"/>
              <w:left w:w="57" w:type="dxa"/>
              <w:bottom w:w="283" w:type="dxa"/>
              <w:right w:w="57" w:type="dxa"/>
            </w:tcMar>
          </w:tcPr>
          <w:p w14:paraId="7E7BCB0A"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6E294042" w14:textId="77777777" w:rsidR="00704ABF" w:rsidRPr="003D6E21" w:rsidRDefault="00704ABF" w:rsidP="002E461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3F93071B"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06847CA4" w14:textId="77777777" w:rsidR="00704ABF" w:rsidRPr="009E2D8A" w:rsidRDefault="00704ABF" w:rsidP="002E4615">
            <w:pPr>
              <w:pStyle w:val="TableCopy"/>
            </w:pPr>
            <w:r w:rsidRPr="009E2D8A">
              <w:t>Secondary</w:t>
            </w:r>
          </w:p>
        </w:tc>
        <w:tc>
          <w:tcPr>
            <w:tcW w:w="1588" w:type="dxa"/>
            <w:shd w:val="clear" w:color="auto" w:fill="auto"/>
            <w:tcMar>
              <w:top w:w="283" w:type="dxa"/>
              <w:left w:w="57" w:type="dxa"/>
              <w:bottom w:w="283" w:type="dxa"/>
              <w:right w:w="57" w:type="dxa"/>
            </w:tcMar>
          </w:tcPr>
          <w:p w14:paraId="23AE4D49" w14:textId="77777777" w:rsidR="00704ABF" w:rsidRPr="009E2D8A" w:rsidRDefault="00704ABF" w:rsidP="002E4615">
            <w:pPr>
              <w:pStyle w:val="TableCopy"/>
            </w:pPr>
            <w:r w:rsidRPr="009E2D8A">
              <w:t>Module available August 2022</w:t>
            </w:r>
          </w:p>
        </w:tc>
      </w:tr>
      <w:tr w:rsidR="00704ABF" w:rsidRPr="009E2D8A" w14:paraId="32ADB1CC" w14:textId="77777777" w:rsidTr="00AF3DDE">
        <w:trPr>
          <w:trHeight w:val="60"/>
        </w:trPr>
        <w:tc>
          <w:tcPr>
            <w:tcW w:w="3061" w:type="dxa"/>
            <w:shd w:val="clear" w:color="auto" w:fill="auto"/>
            <w:tcMar>
              <w:top w:w="283" w:type="dxa"/>
              <w:left w:w="57" w:type="dxa"/>
              <w:bottom w:w="283" w:type="dxa"/>
              <w:right w:w="57" w:type="dxa"/>
            </w:tcMar>
          </w:tcPr>
          <w:p w14:paraId="1F493F4A" w14:textId="77777777" w:rsidR="00704ABF" w:rsidRPr="009E2D8A" w:rsidRDefault="00704ABF" w:rsidP="002E4615">
            <w:pPr>
              <w:pStyle w:val="TableCopy"/>
            </w:pPr>
            <w:r w:rsidRPr="003D6E21">
              <w:rPr>
                <w:b/>
                <w:bCs/>
              </w:rPr>
              <w:t>1.2 Educate and train new hunters</w:t>
            </w:r>
            <w:r w:rsidRPr="009E2D8A">
              <w:t xml:space="preserve"> – by starting introductory education sessions for new or aspiring game hunters.</w:t>
            </w:r>
          </w:p>
        </w:tc>
        <w:tc>
          <w:tcPr>
            <w:tcW w:w="1418" w:type="dxa"/>
            <w:shd w:val="clear" w:color="auto" w:fill="auto"/>
            <w:tcMar>
              <w:top w:w="283" w:type="dxa"/>
              <w:left w:w="57" w:type="dxa"/>
              <w:bottom w:w="283" w:type="dxa"/>
              <w:right w:w="57" w:type="dxa"/>
            </w:tcMar>
          </w:tcPr>
          <w:p w14:paraId="580DAB42"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1F6FF7B8" w14:textId="77777777" w:rsidR="00704ABF" w:rsidRPr="003D6E21" w:rsidRDefault="00704ABF" w:rsidP="002E461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257F012C"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145CB8B9" w14:textId="77777777" w:rsidR="00704ABF" w:rsidRPr="009E2D8A" w:rsidRDefault="00704ABF" w:rsidP="002E4615">
            <w:pPr>
              <w:pStyle w:val="TableCopy"/>
            </w:pPr>
            <w:r w:rsidRPr="009E2D8A">
              <w:t>Secondary</w:t>
            </w:r>
          </w:p>
        </w:tc>
        <w:tc>
          <w:tcPr>
            <w:tcW w:w="1588" w:type="dxa"/>
            <w:shd w:val="clear" w:color="auto" w:fill="auto"/>
            <w:tcMar>
              <w:top w:w="283" w:type="dxa"/>
              <w:left w:w="57" w:type="dxa"/>
              <w:bottom w:w="283" w:type="dxa"/>
              <w:right w:w="57" w:type="dxa"/>
            </w:tcMar>
          </w:tcPr>
          <w:p w14:paraId="44274C7A" w14:textId="77777777" w:rsidR="00704ABF" w:rsidRPr="009E2D8A" w:rsidRDefault="00704ABF" w:rsidP="002E4615">
            <w:pPr>
              <w:pStyle w:val="TableCopy"/>
            </w:pPr>
            <w:r w:rsidRPr="009E2D8A">
              <w:t>Sessions available by February 2023</w:t>
            </w:r>
          </w:p>
        </w:tc>
      </w:tr>
      <w:tr w:rsidR="00704ABF" w:rsidRPr="009E2D8A" w14:paraId="679149A8" w14:textId="77777777" w:rsidTr="00AF3DDE">
        <w:trPr>
          <w:trHeight w:val="60"/>
        </w:trPr>
        <w:tc>
          <w:tcPr>
            <w:tcW w:w="3061" w:type="dxa"/>
            <w:shd w:val="clear" w:color="auto" w:fill="auto"/>
            <w:tcMar>
              <w:top w:w="283" w:type="dxa"/>
              <w:left w:w="57" w:type="dxa"/>
              <w:bottom w:w="283" w:type="dxa"/>
              <w:right w:w="57" w:type="dxa"/>
            </w:tcMar>
          </w:tcPr>
          <w:p w14:paraId="4C8AB1E8" w14:textId="77777777" w:rsidR="00704ABF" w:rsidRPr="009E2D8A" w:rsidRDefault="00704ABF" w:rsidP="002E4615">
            <w:pPr>
              <w:pStyle w:val="TableCopy"/>
            </w:pPr>
            <w:r w:rsidRPr="003D6E21">
              <w:rPr>
                <w:b/>
                <w:bCs/>
              </w:rPr>
              <w:t>1.3 Enhance hunter education</w:t>
            </w:r>
            <w:r w:rsidRPr="009E2D8A">
              <w:t xml:space="preserve"> – by developing online video learning modules for game hunters wanting to increase their knowledge of hunting laws, responsible hunting methods and firearm safety.</w:t>
            </w:r>
          </w:p>
        </w:tc>
        <w:tc>
          <w:tcPr>
            <w:tcW w:w="1418" w:type="dxa"/>
            <w:shd w:val="clear" w:color="auto" w:fill="auto"/>
            <w:tcMar>
              <w:top w:w="283" w:type="dxa"/>
              <w:left w:w="57" w:type="dxa"/>
              <w:bottom w:w="283" w:type="dxa"/>
              <w:right w:w="57" w:type="dxa"/>
            </w:tcMar>
          </w:tcPr>
          <w:p w14:paraId="7FD7E01A"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17BD48F2" w14:textId="77777777" w:rsidR="00704ABF" w:rsidRPr="003D6E21" w:rsidRDefault="00704ABF" w:rsidP="002E461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53A43D5C"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5ED2DD45" w14:textId="77777777" w:rsidR="00704ABF" w:rsidRPr="009E2D8A" w:rsidRDefault="00704ABF" w:rsidP="002E4615">
            <w:pPr>
              <w:pStyle w:val="TableCopy"/>
            </w:pPr>
            <w:r w:rsidRPr="009E2D8A">
              <w:t>Secondary</w:t>
            </w:r>
          </w:p>
        </w:tc>
        <w:tc>
          <w:tcPr>
            <w:tcW w:w="1588" w:type="dxa"/>
            <w:shd w:val="clear" w:color="auto" w:fill="auto"/>
            <w:tcMar>
              <w:top w:w="283" w:type="dxa"/>
              <w:left w:w="57" w:type="dxa"/>
              <w:bottom w:w="283" w:type="dxa"/>
              <w:right w:w="57" w:type="dxa"/>
            </w:tcMar>
          </w:tcPr>
          <w:p w14:paraId="5A7F7AA7" w14:textId="47C5B246" w:rsidR="00704ABF" w:rsidRPr="009E2D8A" w:rsidRDefault="00704ABF" w:rsidP="002E4615">
            <w:pPr>
              <w:pStyle w:val="TableCopy"/>
            </w:pPr>
            <w:r w:rsidRPr="009E2D8A">
              <w:t>Modules available September 2022</w:t>
            </w:r>
          </w:p>
        </w:tc>
      </w:tr>
      <w:tr w:rsidR="00704ABF" w:rsidRPr="009E2D8A" w14:paraId="484C97B6" w14:textId="77777777" w:rsidTr="00AF3DDE">
        <w:trPr>
          <w:trHeight w:val="60"/>
        </w:trPr>
        <w:tc>
          <w:tcPr>
            <w:tcW w:w="3061" w:type="dxa"/>
            <w:shd w:val="clear" w:color="auto" w:fill="auto"/>
            <w:tcMar>
              <w:top w:w="283" w:type="dxa"/>
              <w:left w:w="57" w:type="dxa"/>
              <w:bottom w:w="283" w:type="dxa"/>
              <w:right w:w="57" w:type="dxa"/>
            </w:tcMar>
          </w:tcPr>
          <w:p w14:paraId="4BC3AEF0" w14:textId="1632CC5D" w:rsidR="00704ABF" w:rsidRPr="009E2D8A" w:rsidRDefault="00704ABF" w:rsidP="002E4615">
            <w:pPr>
              <w:pStyle w:val="TableCopy"/>
            </w:pPr>
            <w:r w:rsidRPr="003D6E21">
              <w:rPr>
                <w:b/>
                <w:bCs/>
              </w:rPr>
              <w:t>1.4 Improved animal welfare</w:t>
            </w:r>
            <w:r w:rsidRPr="009E2D8A">
              <w:t xml:space="preserve"> – by establishing a working group responsible for developing and implementing a wounding reduction action plan for waterfowl and quail in Victoria.</w:t>
            </w:r>
          </w:p>
        </w:tc>
        <w:tc>
          <w:tcPr>
            <w:tcW w:w="1418" w:type="dxa"/>
            <w:shd w:val="clear" w:color="auto" w:fill="auto"/>
            <w:tcMar>
              <w:top w:w="283" w:type="dxa"/>
              <w:left w:w="57" w:type="dxa"/>
              <w:bottom w:w="283" w:type="dxa"/>
              <w:right w:w="57" w:type="dxa"/>
            </w:tcMar>
          </w:tcPr>
          <w:p w14:paraId="2D1AFF29"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7FBB96CA" w14:textId="77777777" w:rsidR="00704ABF" w:rsidRPr="003D6E21" w:rsidRDefault="00704ABF" w:rsidP="002E461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5A94CDD9"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19A9F173" w14:textId="77777777" w:rsidR="00704ABF" w:rsidRPr="009E2D8A" w:rsidRDefault="00704ABF" w:rsidP="002E4615">
            <w:pPr>
              <w:pStyle w:val="TableCopy"/>
            </w:pPr>
            <w:r w:rsidRPr="009E2D8A">
              <w:t>Secondary</w:t>
            </w:r>
          </w:p>
        </w:tc>
        <w:tc>
          <w:tcPr>
            <w:tcW w:w="1588" w:type="dxa"/>
            <w:shd w:val="clear" w:color="auto" w:fill="auto"/>
            <w:tcMar>
              <w:top w:w="283" w:type="dxa"/>
              <w:left w:w="57" w:type="dxa"/>
              <w:bottom w:w="283" w:type="dxa"/>
              <w:right w:w="57" w:type="dxa"/>
            </w:tcMar>
          </w:tcPr>
          <w:p w14:paraId="27A086AC" w14:textId="77777777" w:rsidR="00704ABF" w:rsidRPr="009E2D8A" w:rsidRDefault="00704ABF" w:rsidP="002E4615">
            <w:pPr>
              <w:pStyle w:val="TableCopy"/>
            </w:pPr>
            <w:r w:rsidRPr="009E2D8A">
              <w:t>Waterfowl wounding reduction plan released August 2022</w:t>
            </w:r>
          </w:p>
          <w:p w14:paraId="545B294F" w14:textId="77777777" w:rsidR="00704ABF" w:rsidRPr="009E2D8A" w:rsidRDefault="00704ABF" w:rsidP="002E4615">
            <w:pPr>
              <w:pStyle w:val="TableCopy"/>
            </w:pPr>
            <w:r w:rsidRPr="009E2D8A">
              <w:t>Stubble Quail wounding reduction plan released December 2023</w:t>
            </w:r>
          </w:p>
        </w:tc>
      </w:tr>
      <w:tr w:rsidR="00704ABF" w:rsidRPr="009E2D8A" w14:paraId="4A249EA5" w14:textId="77777777" w:rsidTr="00AF3DDE">
        <w:trPr>
          <w:trHeight w:val="60"/>
        </w:trPr>
        <w:tc>
          <w:tcPr>
            <w:tcW w:w="3061" w:type="dxa"/>
            <w:shd w:val="clear" w:color="auto" w:fill="auto"/>
            <w:tcMar>
              <w:top w:w="283" w:type="dxa"/>
              <w:left w:w="57" w:type="dxa"/>
              <w:bottom w:w="283" w:type="dxa"/>
              <w:right w:w="57" w:type="dxa"/>
            </w:tcMar>
          </w:tcPr>
          <w:p w14:paraId="3D64FD0E" w14:textId="77777777" w:rsidR="00704ABF" w:rsidRPr="009E2D8A" w:rsidRDefault="00704ABF" w:rsidP="002E4615">
            <w:pPr>
              <w:pStyle w:val="TableCopy"/>
            </w:pPr>
            <w:r w:rsidRPr="003D6E21">
              <w:rPr>
                <w:b/>
                <w:bCs/>
              </w:rPr>
              <w:t>1.4 Improved animal welfare</w:t>
            </w:r>
            <w:r w:rsidRPr="009E2D8A">
              <w:t xml:space="preserve"> – by developing a wounding reduction action plan for deer.</w:t>
            </w:r>
          </w:p>
        </w:tc>
        <w:tc>
          <w:tcPr>
            <w:tcW w:w="1418" w:type="dxa"/>
            <w:shd w:val="clear" w:color="auto" w:fill="auto"/>
            <w:tcMar>
              <w:top w:w="283" w:type="dxa"/>
              <w:left w:w="57" w:type="dxa"/>
              <w:bottom w:w="283" w:type="dxa"/>
              <w:right w:w="57" w:type="dxa"/>
            </w:tcMar>
          </w:tcPr>
          <w:p w14:paraId="664CD70D"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2CE30D2D" w14:textId="77777777" w:rsidR="00704ABF" w:rsidRPr="003D6E21" w:rsidRDefault="00704ABF" w:rsidP="002E461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1D7D5011" w14:textId="77777777" w:rsidR="00704ABF" w:rsidRPr="009E2D8A" w:rsidRDefault="00704ABF" w:rsidP="002E4615">
            <w:pPr>
              <w:pStyle w:val="TableCopy"/>
            </w:pPr>
            <w:r w:rsidRPr="009E2D8A">
              <w:t>Secondary</w:t>
            </w:r>
          </w:p>
        </w:tc>
        <w:tc>
          <w:tcPr>
            <w:tcW w:w="1418" w:type="dxa"/>
            <w:shd w:val="clear" w:color="auto" w:fill="auto"/>
            <w:tcMar>
              <w:top w:w="283" w:type="dxa"/>
              <w:left w:w="57" w:type="dxa"/>
              <w:bottom w:w="283" w:type="dxa"/>
              <w:right w:w="57" w:type="dxa"/>
            </w:tcMar>
          </w:tcPr>
          <w:p w14:paraId="6B75520C" w14:textId="77777777" w:rsidR="00704ABF" w:rsidRPr="009E2D8A" w:rsidRDefault="00704ABF" w:rsidP="002E4615">
            <w:pPr>
              <w:pStyle w:val="TableCopy"/>
            </w:pPr>
            <w:r w:rsidRPr="009E2D8A">
              <w:t>Secondary</w:t>
            </w:r>
          </w:p>
        </w:tc>
        <w:tc>
          <w:tcPr>
            <w:tcW w:w="1588" w:type="dxa"/>
            <w:shd w:val="clear" w:color="auto" w:fill="auto"/>
            <w:tcMar>
              <w:top w:w="283" w:type="dxa"/>
              <w:left w:w="57" w:type="dxa"/>
              <w:bottom w:w="283" w:type="dxa"/>
              <w:right w:w="57" w:type="dxa"/>
            </w:tcMar>
          </w:tcPr>
          <w:p w14:paraId="0ED98734" w14:textId="4D2CB918" w:rsidR="00704ABF" w:rsidRPr="009E2D8A" w:rsidRDefault="00704ABF" w:rsidP="002E4615">
            <w:pPr>
              <w:pStyle w:val="TableCopy"/>
            </w:pPr>
            <w:r w:rsidRPr="009E2D8A">
              <w:t>Deer wounding reduction action plan released June 2024</w:t>
            </w:r>
          </w:p>
        </w:tc>
      </w:tr>
    </w:tbl>
    <w:p w14:paraId="2799783F" w14:textId="057A23C4" w:rsidR="00255E55" w:rsidRPr="00255E55" w:rsidRDefault="00255E55" w:rsidP="00255E55">
      <w:pPr>
        <w:pStyle w:val="Heading2"/>
      </w:pPr>
      <w:bookmarkStart w:id="3" w:name="_Toc103774061"/>
      <w:r w:rsidRPr="00255E55">
        <w:lastRenderedPageBreak/>
        <w:t>Objective 2 – Collaborating and partnering</w:t>
      </w:r>
      <w:bookmarkEnd w:id="3"/>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061"/>
        <w:gridCol w:w="1418"/>
        <w:gridCol w:w="1418"/>
        <w:gridCol w:w="1418"/>
        <w:gridCol w:w="1418"/>
        <w:gridCol w:w="1588"/>
      </w:tblGrid>
      <w:tr w:rsidR="00255E55" w:rsidRPr="00255E55" w14:paraId="67C67A65" w14:textId="77777777" w:rsidTr="00AF3DDE">
        <w:trPr>
          <w:trHeight w:val="453"/>
        </w:trPr>
        <w:tc>
          <w:tcPr>
            <w:tcW w:w="3061" w:type="dxa"/>
            <w:shd w:val="clear" w:color="auto" w:fill="auto"/>
            <w:tcMar>
              <w:top w:w="283" w:type="dxa"/>
              <w:left w:w="57" w:type="dxa"/>
              <w:bottom w:w="283" w:type="dxa"/>
              <w:right w:w="57" w:type="dxa"/>
            </w:tcMar>
          </w:tcPr>
          <w:p w14:paraId="5E356397" w14:textId="075C19AF" w:rsidR="00255E55" w:rsidRPr="00255E55" w:rsidRDefault="00255E55" w:rsidP="00544785">
            <w:pPr>
              <w:pStyle w:val="TableHeading"/>
            </w:pPr>
            <w:r w:rsidRPr="009E2D8A">
              <w:t>Action</w:t>
            </w:r>
          </w:p>
        </w:tc>
        <w:tc>
          <w:tcPr>
            <w:tcW w:w="1418" w:type="dxa"/>
            <w:shd w:val="clear" w:color="auto" w:fill="auto"/>
            <w:tcMar>
              <w:top w:w="283" w:type="dxa"/>
              <w:left w:w="57" w:type="dxa"/>
              <w:bottom w:w="283" w:type="dxa"/>
              <w:right w:w="57" w:type="dxa"/>
            </w:tcMar>
          </w:tcPr>
          <w:p w14:paraId="413A9390" w14:textId="7352142E" w:rsidR="00255E55" w:rsidRPr="00255E55" w:rsidRDefault="00255E55" w:rsidP="00544785">
            <w:pPr>
              <w:pStyle w:val="TableHeading"/>
            </w:pPr>
            <w:r w:rsidRPr="009E2D8A">
              <w:t>Responsible Agency</w:t>
            </w:r>
            <w:r>
              <w:t xml:space="preserve"> – </w:t>
            </w:r>
            <w:r w:rsidRPr="009E2D8A">
              <w:t>DJPR</w:t>
            </w:r>
          </w:p>
        </w:tc>
        <w:tc>
          <w:tcPr>
            <w:tcW w:w="1418" w:type="dxa"/>
            <w:shd w:val="clear" w:color="auto" w:fill="auto"/>
            <w:tcMar>
              <w:top w:w="283" w:type="dxa"/>
              <w:left w:w="57" w:type="dxa"/>
              <w:bottom w:w="283" w:type="dxa"/>
              <w:right w:w="57" w:type="dxa"/>
            </w:tcMar>
          </w:tcPr>
          <w:p w14:paraId="7F3BD0E1" w14:textId="2EDD1F19" w:rsidR="00255E55" w:rsidRPr="00255E55" w:rsidRDefault="00255E55" w:rsidP="00544785">
            <w:pPr>
              <w:pStyle w:val="TableHeading"/>
            </w:pPr>
            <w:r w:rsidRPr="009E2D8A">
              <w:t>Responsible Agency</w:t>
            </w:r>
            <w:r>
              <w:t xml:space="preserve"> –</w:t>
            </w:r>
            <w:r w:rsidRPr="009E2D8A">
              <w:t xml:space="preserve"> GMA</w:t>
            </w:r>
          </w:p>
        </w:tc>
        <w:tc>
          <w:tcPr>
            <w:tcW w:w="1418" w:type="dxa"/>
            <w:shd w:val="clear" w:color="auto" w:fill="auto"/>
            <w:tcMar>
              <w:top w:w="283" w:type="dxa"/>
              <w:left w:w="57" w:type="dxa"/>
              <w:bottom w:w="283" w:type="dxa"/>
              <w:right w:w="57" w:type="dxa"/>
            </w:tcMar>
          </w:tcPr>
          <w:p w14:paraId="34C93236" w14:textId="73FEDB9E" w:rsidR="00255E55" w:rsidRPr="00255E55" w:rsidRDefault="00255E55" w:rsidP="00544785">
            <w:pPr>
              <w:pStyle w:val="TableHeading"/>
            </w:pPr>
            <w:r w:rsidRPr="009E2D8A">
              <w:t>Responsible Agency</w:t>
            </w:r>
            <w:r>
              <w:t xml:space="preserve"> –</w:t>
            </w:r>
            <w:r w:rsidRPr="009E2D8A">
              <w:t xml:space="preserve"> DELWP</w:t>
            </w:r>
          </w:p>
        </w:tc>
        <w:tc>
          <w:tcPr>
            <w:tcW w:w="1418" w:type="dxa"/>
            <w:shd w:val="clear" w:color="auto" w:fill="auto"/>
            <w:tcMar>
              <w:top w:w="283" w:type="dxa"/>
              <w:left w:w="57" w:type="dxa"/>
              <w:bottom w:w="283" w:type="dxa"/>
              <w:right w:w="57" w:type="dxa"/>
            </w:tcMar>
          </w:tcPr>
          <w:p w14:paraId="25981FCE" w14:textId="133C3EED" w:rsidR="00255E55" w:rsidRPr="00255E55" w:rsidRDefault="00255E55" w:rsidP="00544785">
            <w:pPr>
              <w:pStyle w:val="TableHeading"/>
            </w:pPr>
            <w:r w:rsidRPr="009E2D8A">
              <w:t>Responsible Agency</w:t>
            </w:r>
            <w:r>
              <w:t xml:space="preserve"> –</w:t>
            </w:r>
            <w:r w:rsidRPr="009E2D8A">
              <w:t xml:space="preserve"> Parks Vic.</w:t>
            </w:r>
          </w:p>
        </w:tc>
        <w:tc>
          <w:tcPr>
            <w:tcW w:w="1588" w:type="dxa"/>
            <w:shd w:val="clear" w:color="auto" w:fill="auto"/>
            <w:tcMar>
              <w:top w:w="283" w:type="dxa"/>
              <w:left w:w="57" w:type="dxa"/>
              <w:bottom w:w="283" w:type="dxa"/>
              <w:right w:w="57" w:type="dxa"/>
            </w:tcMar>
          </w:tcPr>
          <w:p w14:paraId="5808E1AC" w14:textId="0946CDC3" w:rsidR="00255E55" w:rsidRPr="00255E55" w:rsidRDefault="00255E55" w:rsidP="00544785">
            <w:pPr>
              <w:pStyle w:val="TableHeading"/>
            </w:pPr>
            <w:r w:rsidRPr="009E2D8A">
              <w:t>Completion Date</w:t>
            </w:r>
          </w:p>
        </w:tc>
      </w:tr>
      <w:tr w:rsidR="00255E55" w:rsidRPr="00255E55" w14:paraId="4EB77723" w14:textId="77777777" w:rsidTr="00AF3DDE">
        <w:trPr>
          <w:trHeight w:val="453"/>
        </w:trPr>
        <w:tc>
          <w:tcPr>
            <w:tcW w:w="3061" w:type="dxa"/>
            <w:shd w:val="clear" w:color="auto" w:fill="auto"/>
            <w:tcMar>
              <w:top w:w="283" w:type="dxa"/>
              <w:left w:w="57" w:type="dxa"/>
              <w:bottom w:w="283" w:type="dxa"/>
              <w:right w:w="57" w:type="dxa"/>
            </w:tcMar>
          </w:tcPr>
          <w:p w14:paraId="374963A2" w14:textId="1CCA412B" w:rsidR="00255E55" w:rsidRPr="00255E55" w:rsidRDefault="00255E55" w:rsidP="00544785">
            <w:pPr>
              <w:pStyle w:val="TableCopy"/>
            </w:pPr>
            <w:r w:rsidRPr="003D6E21">
              <w:rPr>
                <w:b/>
                <w:bCs/>
              </w:rPr>
              <w:t>2.1 Monitor social and economic benefits</w:t>
            </w:r>
            <w:r w:rsidRPr="00255E55">
              <w:t xml:space="preserve"> – by continuing a study to determine the contribution of hunting to the economy. Studies took place in 2013, 2019 and a further study will be undertaken in 2024.</w:t>
            </w:r>
          </w:p>
        </w:tc>
        <w:tc>
          <w:tcPr>
            <w:tcW w:w="1418" w:type="dxa"/>
            <w:shd w:val="clear" w:color="auto" w:fill="auto"/>
            <w:tcMar>
              <w:top w:w="283" w:type="dxa"/>
              <w:left w:w="57" w:type="dxa"/>
              <w:bottom w:w="283" w:type="dxa"/>
              <w:right w:w="57" w:type="dxa"/>
            </w:tcMar>
          </w:tcPr>
          <w:p w14:paraId="15800749" w14:textId="77777777" w:rsidR="00255E55" w:rsidRPr="003D6E21" w:rsidRDefault="00255E55" w:rsidP="0054478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6BA42F4B" w14:textId="77777777" w:rsidR="00255E55" w:rsidRPr="00255E55" w:rsidRDefault="00255E55" w:rsidP="00544785">
            <w:pPr>
              <w:pStyle w:val="TableCopy"/>
            </w:pPr>
            <w:r w:rsidRPr="00255E55">
              <w:t>Secondary</w:t>
            </w:r>
          </w:p>
        </w:tc>
        <w:tc>
          <w:tcPr>
            <w:tcW w:w="1418" w:type="dxa"/>
            <w:shd w:val="clear" w:color="auto" w:fill="auto"/>
            <w:tcMar>
              <w:top w:w="283" w:type="dxa"/>
              <w:left w:w="57" w:type="dxa"/>
              <w:bottom w:w="283" w:type="dxa"/>
              <w:right w:w="57" w:type="dxa"/>
            </w:tcMar>
          </w:tcPr>
          <w:p w14:paraId="14B73DCB" w14:textId="77777777" w:rsidR="00255E55" w:rsidRPr="00255E55" w:rsidRDefault="00255E55" w:rsidP="00544785">
            <w:pPr>
              <w:pStyle w:val="TableCopy"/>
            </w:pPr>
            <w:r w:rsidRPr="00255E55">
              <w:t>Secondary</w:t>
            </w:r>
          </w:p>
        </w:tc>
        <w:tc>
          <w:tcPr>
            <w:tcW w:w="1418" w:type="dxa"/>
            <w:shd w:val="clear" w:color="auto" w:fill="auto"/>
            <w:tcMar>
              <w:top w:w="283" w:type="dxa"/>
              <w:left w:w="57" w:type="dxa"/>
              <w:bottom w:w="283" w:type="dxa"/>
              <w:right w:w="57" w:type="dxa"/>
            </w:tcMar>
          </w:tcPr>
          <w:p w14:paraId="54CA5DCD" w14:textId="77777777" w:rsidR="00255E55" w:rsidRPr="00255E55" w:rsidRDefault="00255E55" w:rsidP="00544785">
            <w:pPr>
              <w:pStyle w:val="TableCopy"/>
            </w:pPr>
            <w:r w:rsidRPr="00255E55">
              <w:t>Secondary</w:t>
            </w:r>
          </w:p>
        </w:tc>
        <w:tc>
          <w:tcPr>
            <w:tcW w:w="1588" w:type="dxa"/>
            <w:shd w:val="clear" w:color="auto" w:fill="auto"/>
            <w:tcMar>
              <w:top w:w="283" w:type="dxa"/>
              <w:left w:w="57" w:type="dxa"/>
              <w:bottom w:w="283" w:type="dxa"/>
              <w:right w:w="57" w:type="dxa"/>
            </w:tcMar>
          </w:tcPr>
          <w:p w14:paraId="727D5F21" w14:textId="77777777" w:rsidR="00255E55" w:rsidRPr="00255E55" w:rsidRDefault="00255E55" w:rsidP="00544785">
            <w:pPr>
              <w:pStyle w:val="TableCopy"/>
            </w:pPr>
            <w:r w:rsidRPr="00255E55">
              <w:t xml:space="preserve">Study published </w:t>
            </w:r>
            <w:r w:rsidRPr="00255E55">
              <w:br/>
              <w:t>by June 2024</w:t>
            </w:r>
          </w:p>
        </w:tc>
      </w:tr>
      <w:tr w:rsidR="00255E55" w:rsidRPr="00255E55" w14:paraId="05507551" w14:textId="77777777" w:rsidTr="00AF3DDE">
        <w:trPr>
          <w:trHeight w:val="453"/>
        </w:trPr>
        <w:tc>
          <w:tcPr>
            <w:tcW w:w="3061" w:type="dxa"/>
            <w:shd w:val="clear" w:color="auto" w:fill="auto"/>
            <w:tcMar>
              <w:top w:w="283" w:type="dxa"/>
              <w:left w:w="57" w:type="dxa"/>
              <w:bottom w:w="283" w:type="dxa"/>
              <w:right w:w="57" w:type="dxa"/>
            </w:tcMar>
          </w:tcPr>
          <w:p w14:paraId="6F62672F" w14:textId="4E744BEB" w:rsidR="00255E55" w:rsidRPr="00255E55" w:rsidRDefault="00255E55" w:rsidP="00544785">
            <w:pPr>
              <w:pStyle w:val="TableCopy"/>
            </w:pPr>
            <w:r w:rsidRPr="003D6E21">
              <w:rPr>
                <w:b/>
                <w:bCs/>
              </w:rPr>
              <w:t>2.2 Partner with the community to promote safe, responsible and sustainable hunting</w:t>
            </w:r>
            <w:r w:rsidRPr="00255E55">
              <w:t xml:space="preserve"> </w:t>
            </w:r>
            <w:r w:rsidR="003D6E21">
              <w:t xml:space="preserve">– </w:t>
            </w:r>
            <w:r w:rsidRPr="00255E55">
              <w:t>through a new grant program which will promote innovative new projects that align with the plan. It is expected that the grant program will include opportunities for:</w:t>
            </w:r>
          </w:p>
          <w:p w14:paraId="2D1D5E60" w14:textId="77777777" w:rsidR="00255E55" w:rsidRPr="00255E55" w:rsidRDefault="00255E55" w:rsidP="00DB2AF2">
            <w:pPr>
              <w:pStyle w:val="TableBullet"/>
            </w:pPr>
            <w:r w:rsidRPr="00255E55">
              <w:t>regional and tourism events</w:t>
            </w:r>
          </w:p>
          <w:p w14:paraId="5ABA5CB8" w14:textId="77777777" w:rsidR="00255E55" w:rsidRPr="00255E55" w:rsidRDefault="00255E55" w:rsidP="00DB2AF2">
            <w:pPr>
              <w:pStyle w:val="TableBullet"/>
            </w:pPr>
            <w:r w:rsidRPr="00255E55">
              <w:t>habitat restoration and conservation projects</w:t>
            </w:r>
          </w:p>
          <w:p w14:paraId="3A83E280" w14:textId="77777777" w:rsidR="00255E55" w:rsidRPr="00255E55" w:rsidRDefault="00255E55" w:rsidP="00DB2AF2">
            <w:pPr>
              <w:pStyle w:val="TableBullet"/>
            </w:pPr>
            <w:r w:rsidRPr="00255E55">
              <w:t>education and research.</w:t>
            </w:r>
          </w:p>
        </w:tc>
        <w:tc>
          <w:tcPr>
            <w:tcW w:w="1418" w:type="dxa"/>
            <w:shd w:val="clear" w:color="auto" w:fill="auto"/>
            <w:tcMar>
              <w:top w:w="283" w:type="dxa"/>
              <w:left w:w="57" w:type="dxa"/>
              <w:bottom w:w="283" w:type="dxa"/>
              <w:right w:w="57" w:type="dxa"/>
            </w:tcMar>
          </w:tcPr>
          <w:p w14:paraId="7095124D" w14:textId="77777777" w:rsidR="00255E55" w:rsidRPr="003D6E21" w:rsidRDefault="00255E55" w:rsidP="0054478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21EC10F5" w14:textId="77777777" w:rsidR="00255E55" w:rsidRPr="00255E55" w:rsidRDefault="00255E55" w:rsidP="00544785">
            <w:pPr>
              <w:pStyle w:val="TableCopy"/>
            </w:pPr>
            <w:r w:rsidRPr="00255E55">
              <w:t>Secondary</w:t>
            </w:r>
          </w:p>
        </w:tc>
        <w:tc>
          <w:tcPr>
            <w:tcW w:w="1418" w:type="dxa"/>
            <w:shd w:val="clear" w:color="auto" w:fill="auto"/>
            <w:tcMar>
              <w:top w:w="283" w:type="dxa"/>
              <w:left w:w="57" w:type="dxa"/>
              <w:bottom w:w="283" w:type="dxa"/>
              <w:right w:w="57" w:type="dxa"/>
            </w:tcMar>
          </w:tcPr>
          <w:p w14:paraId="78533994" w14:textId="77777777" w:rsidR="00255E55" w:rsidRPr="00255E55" w:rsidRDefault="00255E55" w:rsidP="00544785">
            <w:pPr>
              <w:pStyle w:val="TableCopy"/>
            </w:pPr>
            <w:r w:rsidRPr="00255E55">
              <w:t>Secondary</w:t>
            </w:r>
          </w:p>
        </w:tc>
        <w:tc>
          <w:tcPr>
            <w:tcW w:w="1418" w:type="dxa"/>
            <w:shd w:val="clear" w:color="auto" w:fill="auto"/>
            <w:tcMar>
              <w:top w:w="283" w:type="dxa"/>
              <w:left w:w="57" w:type="dxa"/>
              <w:bottom w:w="283" w:type="dxa"/>
              <w:right w:w="57" w:type="dxa"/>
            </w:tcMar>
          </w:tcPr>
          <w:p w14:paraId="2BD4D3E9" w14:textId="77777777" w:rsidR="00255E55" w:rsidRPr="00255E55" w:rsidRDefault="00255E55" w:rsidP="00544785">
            <w:pPr>
              <w:pStyle w:val="TableCopy"/>
            </w:pPr>
            <w:r w:rsidRPr="00255E55">
              <w:t>Secondary</w:t>
            </w:r>
          </w:p>
        </w:tc>
        <w:tc>
          <w:tcPr>
            <w:tcW w:w="1588" w:type="dxa"/>
            <w:shd w:val="clear" w:color="auto" w:fill="auto"/>
            <w:tcMar>
              <w:top w:w="283" w:type="dxa"/>
              <w:left w:w="57" w:type="dxa"/>
              <w:bottom w:w="283" w:type="dxa"/>
              <w:right w:w="57" w:type="dxa"/>
            </w:tcMar>
          </w:tcPr>
          <w:p w14:paraId="1ED24FEA" w14:textId="77777777" w:rsidR="00255E55" w:rsidRPr="00255E55" w:rsidRDefault="00255E55" w:rsidP="00544785">
            <w:pPr>
              <w:pStyle w:val="TableCopy"/>
            </w:pPr>
            <w:r w:rsidRPr="00255E55">
              <w:t>Grant program opens 2022</w:t>
            </w:r>
          </w:p>
        </w:tc>
      </w:tr>
      <w:tr w:rsidR="00255E55" w:rsidRPr="00255E55" w14:paraId="7CAD58A3" w14:textId="77777777" w:rsidTr="00AF3DDE">
        <w:trPr>
          <w:trHeight w:val="453"/>
        </w:trPr>
        <w:tc>
          <w:tcPr>
            <w:tcW w:w="3061" w:type="dxa"/>
            <w:shd w:val="clear" w:color="auto" w:fill="auto"/>
            <w:tcMar>
              <w:top w:w="283" w:type="dxa"/>
              <w:left w:w="57" w:type="dxa"/>
              <w:bottom w:w="283" w:type="dxa"/>
              <w:right w:w="57" w:type="dxa"/>
            </w:tcMar>
          </w:tcPr>
          <w:p w14:paraId="7AB14577" w14:textId="77777777" w:rsidR="00255E55" w:rsidRPr="00255E55" w:rsidRDefault="00255E55" w:rsidP="00544785">
            <w:pPr>
              <w:pStyle w:val="TableCopy"/>
            </w:pPr>
            <w:r w:rsidRPr="003D6E21">
              <w:rPr>
                <w:b/>
                <w:bCs/>
              </w:rPr>
              <w:t>2.3 Partner with Traditional Owners</w:t>
            </w:r>
            <w:r w:rsidRPr="00255E55">
              <w:t xml:space="preserve"> – by working with Traditional Owners to deliver the Traditional Owner Game Management Strategy (TOGMS) that will build their participation in hunting, land management and conservation.</w:t>
            </w:r>
          </w:p>
        </w:tc>
        <w:tc>
          <w:tcPr>
            <w:tcW w:w="1418" w:type="dxa"/>
            <w:shd w:val="clear" w:color="auto" w:fill="auto"/>
            <w:tcMar>
              <w:top w:w="283" w:type="dxa"/>
              <w:left w:w="57" w:type="dxa"/>
              <w:bottom w:w="283" w:type="dxa"/>
              <w:right w:w="57" w:type="dxa"/>
            </w:tcMar>
          </w:tcPr>
          <w:p w14:paraId="7DC2EA67" w14:textId="77777777" w:rsidR="00255E55" w:rsidRPr="003D6E21" w:rsidRDefault="00255E55" w:rsidP="00544785">
            <w:pPr>
              <w:pStyle w:val="TableCopy"/>
              <w:rPr>
                <w:b/>
                <w:bCs/>
              </w:rPr>
            </w:pPr>
            <w:r w:rsidRPr="003D6E21">
              <w:rPr>
                <w:b/>
                <w:bCs/>
              </w:rPr>
              <w:t>Primary</w:t>
            </w:r>
          </w:p>
        </w:tc>
        <w:tc>
          <w:tcPr>
            <w:tcW w:w="1418" w:type="dxa"/>
            <w:shd w:val="clear" w:color="auto" w:fill="auto"/>
            <w:tcMar>
              <w:top w:w="283" w:type="dxa"/>
              <w:left w:w="57" w:type="dxa"/>
              <w:bottom w:w="283" w:type="dxa"/>
              <w:right w:w="57" w:type="dxa"/>
            </w:tcMar>
          </w:tcPr>
          <w:p w14:paraId="39A75B24" w14:textId="77777777" w:rsidR="00255E55" w:rsidRPr="00255E55" w:rsidRDefault="00255E55" w:rsidP="00544785">
            <w:pPr>
              <w:pStyle w:val="TableCopy"/>
            </w:pPr>
            <w:r w:rsidRPr="00255E55">
              <w:t>Secondary</w:t>
            </w:r>
          </w:p>
        </w:tc>
        <w:tc>
          <w:tcPr>
            <w:tcW w:w="1418" w:type="dxa"/>
            <w:shd w:val="clear" w:color="auto" w:fill="auto"/>
            <w:tcMar>
              <w:top w:w="283" w:type="dxa"/>
              <w:left w:w="57" w:type="dxa"/>
              <w:bottom w:w="283" w:type="dxa"/>
              <w:right w:w="57" w:type="dxa"/>
            </w:tcMar>
          </w:tcPr>
          <w:p w14:paraId="6460594E" w14:textId="77777777" w:rsidR="00255E55" w:rsidRPr="00255E55" w:rsidRDefault="00255E55" w:rsidP="00544785">
            <w:pPr>
              <w:pStyle w:val="TableCopy"/>
            </w:pPr>
            <w:r w:rsidRPr="00255E55">
              <w:t>Secondary</w:t>
            </w:r>
          </w:p>
        </w:tc>
        <w:tc>
          <w:tcPr>
            <w:tcW w:w="1418" w:type="dxa"/>
            <w:shd w:val="clear" w:color="auto" w:fill="auto"/>
            <w:tcMar>
              <w:top w:w="283" w:type="dxa"/>
              <w:left w:w="57" w:type="dxa"/>
              <w:bottom w:w="283" w:type="dxa"/>
              <w:right w:w="57" w:type="dxa"/>
            </w:tcMar>
          </w:tcPr>
          <w:p w14:paraId="5F4EEE62" w14:textId="77777777" w:rsidR="00255E55" w:rsidRPr="00255E55" w:rsidRDefault="00255E55" w:rsidP="00544785">
            <w:pPr>
              <w:pStyle w:val="TableCopy"/>
            </w:pPr>
            <w:r w:rsidRPr="00255E55">
              <w:t>Secondary</w:t>
            </w:r>
          </w:p>
        </w:tc>
        <w:tc>
          <w:tcPr>
            <w:tcW w:w="1588" w:type="dxa"/>
            <w:shd w:val="clear" w:color="auto" w:fill="auto"/>
            <w:tcMar>
              <w:top w:w="283" w:type="dxa"/>
              <w:left w:w="57" w:type="dxa"/>
              <w:bottom w:w="283" w:type="dxa"/>
              <w:right w:w="0" w:type="dxa"/>
            </w:tcMar>
          </w:tcPr>
          <w:p w14:paraId="721C18C3" w14:textId="77777777" w:rsidR="00255E55" w:rsidRPr="00255E55" w:rsidRDefault="00255E55" w:rsidP="00544785">
            <w:pPr>
              <w:pStyle w:val="TableCopy"/>
            </w:pPr>
            <w:r w:rsidRPr="00255E55">
              <w:t>Implementation plan completed by June 2022</w:t>
            </w:r>
          </w:p>
          <w:p w14:paraId="3AEEF803" w14:textId="77777777" w:rsidR="00255E55" w:rsidRPr="00255E55" w:rsidRDefault="00255E55" w:rsidP="00544785">
            <w:pPr>
              <w:pStyle w:val="TableCopy"/>
            </w:pPr>
            <w:r w:rsidRPr="00255E55">
              <w:t>Ongoing implementation from July 2022</w:t>
            </w:r>
          </w:p>
        </w:tc>
      </w:tr>
    </w:tbl>
    <w:p w14:paraId="7DC0188E" w14:textId="77777777" w:rsidR="00C04D16" w:rsidRPr="00C04D16" w:rsidRDefault="00C04D16" w:rsidP="00C04D16">
      <w:pPr>
        <w:pStyle w:val="Heading2"/>
      </w:pPr>
      <w:bookmarkStart w:id="4" w:name="_Toc103774062"/>
      <w:r w:rsidRPr="00C04D16">
        <w:t>Objective 3 – Monitoring and research</w:t>
      </w:r>
      <w:bookmarkEnd w:id="4"/>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061"/>
        <w:gridCol w:w="1418"/>
        <w:gridCol w:w="1418"/>
        <w:gridCol w:w="1418"/>
        <w:gridCol w:w="1418"/>
        <w:gridCol w:w="1588"/>
      </w:tblGrid>
      <w:tr w:rsidR="008E3036" w:rsidRPr="00C04D16" w14:paraId="5CAE1D9D" w14:textId="77777777" w:rsidTr="00AF3DDE">
        <w:trPr>
          <w:trHeight w:val="60"/>
        </w:trPr>
        <w:tc>
          <w:tcPr>
            <w:tcW w:w="3061" w:type="dxa"/>
            <w:shd w:val="clear" w:color="auto" w:fill="auto"/>
            <w:tcMar>
              <w:top w:w="283" w:type="dxa"/>
              <w:left w:w="57" w:type="dxa"/>
              <w:bottom w:w="283" w:type="dxa"/>
              <w:right w:w="57" w:type="dxa"/>
            </w:tcMar>
          </w:tcPr>
          <w:p w14:paraId="1F279F4F" w14:textId="2526B849" w:rsidR="008E3036" w:rsidRPr="00C04D16" w:rsidRDefault="008E3036" w:rsidP="008E3036">
            <w:pPr>
              <w:pStyle w:val="TableHeading"/>
            </w:pPr>
            <w:r w:rsidRPr="009E2D8A">
              <w:t>Action</w:t>
            </w:r>
          </w:p>
        </w:tc>
        <w:tc>
          <w:tcPr>
            <w:tcW w:w="1418" w:type="dxa"/>
            <w:shd w:val="clear" w:color="auto" w:fill="auto"/>
            <w:tcMar>
              <w:top w:w="283" w:type="dxa"/>
              <w:left w:w="57" w:type="dxa"/>
              <w:bottom w:w="283" w:type="dxa"/>
              <w:right w:w="57" w:type="dxa"/>
            </w:tcMar>
          </w:tcPr>
          <w:p w14:paraId="4E174B87" w14:textId="59789CF6" w:rsidR="008E3036" w:rsidRPr="00C04D16" w:rsidRDefault="008E3036" w:rsidP="008E3036">
            <w:pPr>
              <w:pStyle w:val="TableHeading"/>
            </w:pPr>
            <w:r w:rsidRPr="009E2D8A">
              <w:t>Responsible Agency</w:t>
            </w:r>
            <w:r>
              <w:t xml:space="preserve"> – </w:t>
            </w:r>
            <w:r w:rsidRPr="009E2D8A">
              <w:t>DJPR</w:t>
            </w:r>
          </w:p>
        </w:tc>
        <w:tc>
          <w:tcPr>
            <w:tcW w:w="1418" w:type="dxa"/>
            <w:shd w:val="clear" w:color="auto" w:fill="auto"/>
            <w:tcMar>
              <w:top w:w="283" w:type="dxa"/>
              <w:left w:w="57" w:type="dxa"/>
              <w:bottom w:w="283" w:type="dxa"/>
              <w:right w:w="57" w:type="dxa"/>
            </w:tcMar>
          </w:tcPr>
          <w:p w14:paraId="6EB94BDD" w14:textId="032A7E69" w:rsidR="008E3036" w:rsidRPr="00C04D16" w:rsidRDefault="008E3036" w:rsidP="008E3036">
            <w:pPr>
              <w:pStyle w:val="TableHeading"/>
            </w:pPr>
            <w:r w:rsidRPr="009E2D8A">
              <w:t>Responsible Agency</w:t>
            </w:r>
            <w:r>
              <w:t xml:space="preserve"> –</w:t>
            </w:r>
            <w:r w:rsidRPr="009E2D8A">
              <w:t xml:space="preserve"> GMA</w:t>
            </w:r>
          </w:p>
        </w:tc>
        <w:tc>
          <w:tcPr>
            <w:tcW w:w="1418" w:type="dxa"/>
            <w:shd w:val="clear" w:color="auto" w:fill="auto"/>
            <w:tcMar>
              <w:top w:w="283" w:type="dxa"/>
              <w:left w:w="57" w:type="dxa"/>
              <w:bottom w:w="283" w:type="dxa"/>
              <w:right w:w="57" w:type="dxa"/>
            </w:tcMar>
          </w:tcPr>
          <w:p w14:paraId="55A0449C" w14:textId="10402AFC" w:rsidR="008E3036" w:rsidRPr="00C04D16" w:rsidRDefault="008E3036" w:rsidP="008E3036">
            <w:pPr>
              <w:pStyle w:val="TableHeading"/>
            </w:pPr>
            <w:r w:rsidRPr="009E2D8A">
              <w:t>Responsible Agency</w:t>
            </w:r>
            <w:r>
              <w:t xml:space="preserve"> –</w:t>
            </w:r>
            <w:r w:rsidRPr="009E2D8A">
              <w:t xml:space="preserve"> DELWP</w:t>
            </w:r>
          </w:p>
        </w:tc>
        <w:tc>
          <w:tcPr>
            <w:tcW w:w="1418" w:type="dxa"/>
            <w:shd w:val="clear" w:color="auto" w:fill="auto"/>
            <w:tcMar>
              <w:top w:w="283" w:type="dxa"/>
              <w:left w:w="57" w:type="dxa"/>
              <w:bottom w:w="283" w:type="dxa"/>
              <w:right w:w="57" w:type="dxa"/>
            </w:tcMar>
          </w:tcPr>
          <w:p w14:paraId="00750119" w14:textId="08BDB8CE" w:rsidR="008E3036" w:rsidRPr="00C04D16" w:rsidRDefault="008E3036" w:rsidP="008E3036">
            <w:pPr>
              <w:pStyle w:val="TableHeading"/>
            </w:pPr>
            <w:r w:rsidRPr="009E2D8A">
              <w:t>Responsible Agency</w:t>
            </w:r>
            <w:r>
              <w:t xml:space="preserve"> –</w:t>
            </w:r>
            <w:r w:rsidRPr="009E2D8A">
              <w:t xml:space="preserve"> Parks Vic.</w:t>
            </w:r>
          </w:p>
        </w:tc>
        <w:tc>
          <w:tcPr>
            <w:tcW w:w="1588" w:type="dxa"/>
            <w:shd w:val="clear" w:color="auto" w:fill="auto"/>
            <w:tcMar>
              <w:top w:w="283" w:type="dxa"/>
              <w:left w:w="57" w:type="dxa"/>
              <w:bottom w:w="283" w:type="dxa"/>
              <w:right w:w="57" w:type="dxa"/>
            </w:tcMar>
          </w:tcPr>
          <w:p w14:paraId="23B7C931" w14:textId="7167643D" w:rsidR="008E3036" w:rsidRPr="00C04D16" w:rsidRDefault="008E3036" w:rsidP="008E3036">
            <w:pPr>
              <w:pStyle w:val="TableHeading"/>
            </w:pPr>
            <w:r w:rsidRPr="009E2D8A">
              <w:t>Completion Date</w:t>
            </w:r>
          </w:p>
        </w:tc>
      </w:tr>
      <w:tr w:rsidR="00C04D16" w:rsidRPr="00C04D16" w14:paraId="05D1EFD4" w14:textId="77777777" w:rsidTr="00AF3DDE">
        <w:trPr>
          <w:trHeight w:val="60"/>
        </w:trPr>
        <w:tc>
          <w:tcPr>
            <w:tcW w:w="3061" w:type="dxa"/>
            <w:shd w:val="clear" w:color="auto" w:fill="auto"/>
            <w:tcMar>
              <w:top w:w="283" w:type="dxa"/>
              <w:left w:w="57" w:type="dxa"/>
              <w:bottom w:w="283" w:type="dxa"/>
              <w:right w:w="57" w:type="dxa"/>
            </w:tcMar>
          </w:tcPr>
          <w:p w14:paraId="34BA26C9" w14:textId="150FE58A" w:rsidR="00C04D16" w:rsidRPr="00C04D16" w:rsidRDefault="00C04D16" w:rsidP="00C04D16">
            <w:r w:rsidRPr="003D6E21">
              <w:rPr>
                <w:b/>
                <w:bCs/>
              </w:rPr>
              <w:t>3.1 Undertake research, monitoring and evaluation</w:t>
            </w:r>
            <w:r w:rsidRPr="00C04D16">
              <w:t xml:space="preserve"> – by monitoring to measure the success of the Waterfowl Wounding Reduction Action Plan.</w:t>
            </w:r>
          </w:p>
        </w:tc>
        <w:tc>
          <w:tcPr>
            <w:tcW w:w="1418" w:type="dxa"/>
            <w:shd w:val="clear" w:color="auto" w:fill="auto"/>
            <w:tcMar>
              <w:top w:w="283" w:type="dxa"/>
              <w:left w:w="57" w:type="dxa"/>
              <w:bottom w:w="283" w:type="dxa"/>
              <w:right w:w="57" w:type="dxa"/>
            </w:tcMar>
          </w:tcPr>
          <w:p w14:paraId="646ECF8C" w14:textId="77777777" w:rsidR="00C04D16" w:rsidRPr="00C04D16" w:rsidRDefault="00C04D16" w:rsidP="00C04D16">
            <w:r w:rsidRPr="00C04D16">
              <w:t>Secondary</w:t>
            </w:r>
          </w:p>
        </w:tc>
        <w:tc>
          <w:tcPr>
            <w:tcW w:w="1418" w:type="dxa"/>
            <w:shd w:val="clear" w:color="auto" w:fill="auto"/>
            <w:tcMar>
              <w:top w:w="283" w:type="dxa"/>
              <w:left w:w="57" w:type="dxa"/>
              <w:bottom w:w="283" w:type="dxa"/>
              <w:right w:w="57" w:type="dxa"/>
            </w:tcMar>
          </w:tcPr>
          <w:p w14:paraId="0A1D2898" w14:textId="77777777" w:rsidR="00C04D16" w:rsidRPr="003D6E21" w:rsidRDefault="00C04D16" w:rsidP="00C04D16">
            <w:pPr>
              <w:rPr>
                <w:b/>
                <w:bCs/>
              </w:rPr>
            </w:pPr>
            <w:r w:rsidRPr="003D6E21">
              <w:rPr>
                <w:b/>
                <w:bCs/>
              </w:rPr>
              <w:t>Primary</w:t>
            </w:r>
          </w:p>
        </w:tc>
        <w:tc>
          <w:tcPr>
            <w:tcW w:w="1418" w:type="dxa"/>
            <w:shd w:val="clear" w:color="auto" w:fill="auto"/>
            <w:tcMar>
              <w:top w:w="283" w:type="dxa"/>
              <w:left w:w="57" w:type="dxa"/>
              <w:bottom w:w="283" w:type="dxa"/>
              <w:right w:w="57" w:type="dxa"/>
            </w:tcMar>
          </w:tcPr>
          <w:p w14:paraId="1BAB16ED" w14:textId="77777777" w:rsidR="00C04D16" w:rsidRPr="00C04D16" w:rsidRDefault="00C04D16" w:rsidP="00C04D16">
            <w:r w:rsidRPr="00C04D16">
              <w:t>Secondary</w:t>
            </w:r>
          </w:p>
        </w:tc>
        <w:tc>
          <w:tcPr>
            <w:tcW w:w="1418" w:type="dxa"/>
            <w:shd w:val="clear" w:color="auto" w:fill="auto"/>
            <w:tcMar>
              <w:top w:w="283" w:type="dxa"/>
              <w:left w:w="57" w:type="dxa"/>
              <w:bottom w:w="283" w:type="dxa"/>
              <w:right w:w="57" w:type="dxa"/>
            </w:tcMar>
          </w:tcPr>
          <w:p w14:paraId="0D9B556C" w14:textId="77777777" w:rsidR="00C04D16" w:rsidRPr="00C04D16" w:rsidRDefault="00C04D16" w:rsidP="00C04D16">
            <w:r w:rsidRPr="00C04D16">
              <w:t>Secondary</w:t>
            </w:r>
          </w:p>
        </w:tc>
        <w:tc>
          <w:tcPr>
            <w:tcW w:w="1588" w:type="dxa"/>
            <w:shd w:val="clear" w:color="auto" w:fill="auto"/>
            <w:tcMar>
              <w:top w:w="283" w:type="dxa"/>
              <w:left w:w="57" w:type="dxa"/>
              <w:bottom w:w="283" w:type="dxa"/>
              <w:right w:w="57" w:type="dxa"/>
            </w:tcMar>
          </w:tcPr>
          <w:p w14:paraId="1B28C31D" w14:textId="77777777" w:rsidR="00C04D16" w:rsidRPr="00C04D16" w:rsidRDefault="00C04D16" w:rsidP="00C04D16">
            <w:r w:rsidRPr="00C04D16">
              <w:t>Ongoing program, report published by November each year</w:t>
            </w:r>
          </w:p>
        </w:tc>
      </w:tr>
      <w:tr w:rsidR="00C04D16" w:rsidRPr="00C04D16" w14:paraId="444E681C" w14:textId="77777777" w:rsidTr="00AF3DDE">
        <w:trPr>
          <w:trHeight w:val="60"/>
        </w:trPr>
        <w:tc>
          <w:tcPr>
            <w:tcW w:w="3061" w:type="dxa"/>
            <w:shd w:val="clear" w:color="auto" w:fill="auto"/>
            <w:tcMar>
              <w:top w:w="283" w:type="dxa"/>
              <w:left w:w="57" w:type="dxa"/>
              <w:bottom w:w="283" w:type="dxa"/>
              <w:right w:w="57" w:type="dxa"/>
            </w:tcMar>
          </w:tcPr>
          <w:p w14:paraId="61EA45A5" w14:textId="09E5EB7A" w:rsidR="00C04D16" w:rsidRPr="00C04D16" w:rsidRDefault="00C04D16" w:rsidP="00C04D16">
            <w:r w:rsidRPr="003D6E21">
              <w:rPr>
                <w:b/>
                <w:bCs/>
              </w:rPr>
              <w:lastRenderedPageBreak/>
              <w:t>3.1 Undertake research, monitoring and evaluation</w:t>
            </w:r>
            <w:r w:rsidRPr="00C04D16">
              <w:t xml:space="preserve"> – by ongoing quail abundance surveying to monitor population trends and ensure the sustainability of quail hunting.</w:t>
            </w:r>
          </w:p>
        </w:tc>
        <w:tc>
          <w:tcPr>
            <w:tcW w:w="1418" w:type="dxa"/>
            <w:shd w:val="clear" w:color="auto" w:fill="auto"/>
            <w:tcMar>
              <w:top w:w="283" w:type="dxa"/>
              <w:left w:w="57" w:type="dxa"/>
              <w:bottom w:w="283" w:type="dxa"/>
              <w:right w:w="57" w:type="dxa"/>
            </w:tcMar>
          </w:tcPr>
          <w:p w14:paraId="737EBC88" w14:textId="77777777" w:rsidR="00C04D16" w:rsidRPr="00C04D16" w:rsidRDefault="00C04D16" w:rsidP="00C04D16">
            <w:r w:rsidRPr="00C04D16">
              <w:t>Secondary</w:t>
            </w:r>
          </w:p>
        </w:tc>
        <w:tc>
          <w:tcPr>
            <w:tcW w:w="1418" w:type="dxa"/>
            <w:shd w:val="clear" w:color="auto" w:fill="auto"/>
            <w:tcMar>
              <w:top w:w="283" w:type="dxa"/>
              <w:left w:w="57" w:type="dxa"/>
              <w:bottom w:w="283" w:type="dxa"/>
              <w:right w:w="57" w:type="dxa"/>
            </w:tcMar>
          </w:tcPr>
          <w:p w14:paraId="60139555" w14:textId="77777777" w:rsidR="00C04D16" w:rsidRPr="003D6E21" w:rsidRDefault="00C04D16" w:rsidP="00C04D16">
            <w:pPr>
              <w:rPr>
                <w:b/>
                <w:bCs/>
              </w:rPr>
            </w:pPr>
            <w:r w:rsidRPr="003D6E21">
              <w:rPr>
                <w:b/>
                <w:bCs/>
              </w:rPr>
              <w:t>Primary</w:t>
            </w:r>
          </w:p>
        </w:tc>
        <w:tc>
          <w:tcPr>
            <w:tcW w:w="1418" w:type="dxa"/>
            <w:shd w:val="clear" w:color="auto" w:fill="auto"/>
            <w:tcMar>
              <w:top w:w="283" w:type="dxa"/>
              <w:left w:w="57" w:type="dxa"/>
              <w:bottom w:w="283" w:type="dxa"/>
              <w:right w:w="57" w:type="dxa"/>
            </w:tcMar>
          </w:tcPr>
          <w:p w14:paraId="6A54B551" w14:textId="77777777" w:rsidR="00C04D16" w:rsidRPr="00C04D16" w:rsidRDefault="00C04D16" w:rsidP="00C04D16">
            <w:r w:rsidRPr="00C04D16">
              <w:t>Secondary</w:t>
            </w:r>
          </w:p>
        </w:tc>
        <w:tc>
          <w:tcPr>
            <w:tcW w:w="1418" w:type="dxa"/>
            <w:shd w:val="clear" w:color="auto" w:fill="auto"/>
            <w:tcMar>
              <w:top w:w="283" w:type="dxa"/>
              <w:left w:w="57" w:type="dxa"/>
              <w:bottom w:w="283" w:type="dxa"/>
              <w:right w:w="57" w:type="dxa"/>
            </w:tcMar>
          </w:tcPr>
          <w:p w14:paraId="4EBCE3A7" w14:textId="77777777" w:rsidR="00C04D16" w:rsidRPr="00C04D16" w:rsidRDefault="00C04D16" w:rsidP="00C04D16">
            <w:r w:rsidRPr="00C04D16">
              <w:t>Secondary</w:t>
            </w:r>
          </w:p>
        </w:tc>
        <w:tc>
          <w:tcPr>
            <w:tcW w:w="1588" w:type="dxa"/>
            <w:shd w:val="clear" w:color="auto" w:fill="auto"/>
            <w:tcMar>
              <w:top w:w="283" w:type="dxa"/>
              <w:left w:w="57" w:type="dxa"/>
              <w:bottom w:w="283" w:type="dxa"/>
              <w:right w:w="57" w:type="dxa"/>
            </w:tcMar>
          </w:tcPr>
          <w:p w14:paraId="3F7667D7" w14:textId="77777777" w:rsidR="00C04D16" w:rsidRPr="00C04D16" w:rsidRDefault="00C04D16" w:rsidP="00C04D16">
            <w:r w:rsidRPr="00C04D16">
              <w:t>Ongoing monitoring program commences January 2022</w:t>
            </w:r>
          </w:p>
          <w:p w14:paraId="3C7A8BB5" w14:textId="77777777" w:rsidR="00C04D16" w:rsidRPr="00C04D16" w:rsidRDefault="00C04D16" w:rsidP="00C04D16">
            <w:r w:rsidRPr="00C04D16">
              <w:t xml:space="preserve">Report published </w:t>
            </w:r>
            <w:r w:rsidRPr="00C04D16">
              <w:br/>
              <w:t>July 2022</w:t>
            </w:r>
          </w:p>
        </w:tc>
      </w:tr>
      <w:tr w:rsidR="00C04D16" w:rsidRPr="00C04D16" w14:paraId="7E27607E" w14:textId="77777777" w:rsidTr="00AF3DDE">
        <w:trPr>
          <w:trHeight w:val="60"/>
        </w:trPr>
        <w:tc>
          <w:tcPr>
            <w:tcW w:w="3061" w:type="dxa"/>
            <w:shd w:val="clear" w:color="auto" w:fill="auto"/>
            <w:tcMar>
              <w:top w:w="283" w:type="dxa"/>
              <w:left w:w="57" w:type="dxa"/>
              <w:bottom w:w="283" w:type="dxa"/>
              <w:right w:w="57" w:type="dxa"/>
            </w:tcMar>
          </w:tcPr>
          <w:p w14:paraId="0EFCCD58" w14:textId="6AE650EC" w:rsidR="00C04D16" w:rsidRPr="00C04D16" w:rsidRDefault="00C04D16" w:rsidP="00C04D16">
            <w:r w:rsidRPr="00C04D16">
              <w:t>3</w:t>
            </w:r>
            <w:r w:rsidRPr="003D6E21">
              <w:rPr>
                <w:b/>
                <w:bCs/>
              </w:rPr>
              <w:t>.1 Undertake research, monitoring and evaluation</w:t>
            </w:r>
            <w:r w:rsidRPr="00C04D16">
              <w:t xml:space="preserve"> – by repeating the hog deer abundance and distribution study.</w:t>
            </w:r>
          </w:p>
        </w:tc>
        <w:tc>
          <w:tcPr>
            <w:tcW w:w="1418" w:type="dxa"/>
            <w:shd w:val="clear" w:color="auto" w:fill="auto"/>
            <w:tcMar>
              <w:top w:w="283" w:type="dxa"/>
              <w:left w:w="57" w:type="dxa"/>
              <w:bottom w:w="283" w:type="dxa"/>
              <w:right w:w="57" w:type="dxa"/>
            </w:tcMar>
          </w:tcPr>
          <w:p w14:paraId="135E7446" w14:textId="77777777" w:rsidR="00C04D16" w:rsidRPr="00C04D16" w:rsidRDefault="00C04D16" w:rsidP="00C04D16">
            <w:r w:rsidRPr="00C04D16">
              <w:t>Secondary</w:t>
            </w:r>
          </w:p>
        </w:tc>
        <w:tc>
          <w:tcPr>
            <w:tcW w:w="1418" w:type="dxa"/>
            <w:shd w:val="clear" w:color="auto" w:fill="auto"/>
            <w:tcMar>
              <w:top w:w="283" w:type="dxa"/>
              <w:left w:w="57" w:type="dxa"/>
              <w:bottom w:w="283" w:type="dxa"/>
              <w:right w:w="57" w:type="dxa"/>
            </w:tcMar>
          </w:tcPr>
          <w:p w14:paraId="299F69F6" w14:textId="77777777" w:rsidR="00C04D16" w:rsidRPr="003D6E21" w:rsidRDefault="00C04D16" w:rsidP="00C04D16">
            <w:pPr>
              <w:rPr>
                <w:b/>
                <w:bCs/>
              </w:rPr>
            </w:pPr>
            <w:r w:rsidRPr="003D6E21">
              <w:rPr>
                <w:b/>
                <w:bCs/>
              </w:rPr>
              <w:t>Primary</w:t>
            </w:r>
          </w:p>
        </w:tc>
        <w:tc>
          <w:tcPr>
            <w:tcW w:w="1418" w:type="dxa"/>
            <w:shd w:val="clear" w:color="auto" w:fill="auto"/>
            <w:tcMar>
              <w:top w:w="283" w:type="dxa"/>
              <w:left w:w="57" w:type="dxa"/>
              <w:bottom w:w="283" w:type="dxa"/>
              <w:right w:w="57" w:type="dxa"/>
            </w:tcMar>
          </w:tcPr>
          <w:p w14:paraId="63B0D59C" w14:textId="77777777" w:rsidR="00C04D16" w:rsidRPr="00C04D16" w:rsidRDefault="00C04D16" w:rsidP="00C04D16">
            <w:r w:rsidRPr="00C04D16">
              <w:t>Secondary</w:t>
            </w:r>
          </w:p>
        </w:tc>
        <w:tc>
          <w:tcPr>
            <w:tcW w:w="1418" w:type="dxa"/>
            <w:shd w:val="clear" w:color="auto" w:fill="auto"/>
            <w:tcMar>
              <w:top w:w="283" w:type="dxa"/>
              <w:left w:w="57" w:type="dxa"/>
              <w:bottom w:w="283" w:type="dxa"/>
              <w:right w:w="57" w:type="dxa"/>
            </w:tcMar>
          </w:tcPr>
          <w:p w14:paraId="11FFBA4F" w14:textId="77777777" w:rsidR="00C04D16" w:rsidRPr="00C04D16" w:rsidRDefault="00C04D16" w:rsidP="00C04D16">
            <w:r w:rsidRPr="00C04D16">
              <w:t>Secondary</w:t>
            </w:r>
          </w:p>
        </w:tc>
        <w:tc>
          <w:tcPr>
            <w:tcW w:w="1588" w:type="dxa"/>
            <w:shd w:val="clear" w:color="auto" w:fill="auto"/>
            <w:tcMar>
              <w:top w:w="283" w:type="dxa"/>
              <w:left w:w="57" w:type="dxa"/>
              <w:bottom w:w="283" w:type="dxa"/>
              <w:right w:w="57" w:type="dxa"/>
            </w:tcMar>
          </w:tcPr>
          <w:p w14:paraId="1A9B2D1D" w14:textId="77777777" w:rsidR="00C04D16" w:rsidRPr="00C04D16" w:rsidRDefault="00C04D16" w:rsidP="00C04D16">
            <w:r w:rsidRPr="00C04D16">
              <w:t>Survey commences November  2022</w:t>
            </w:r>
          </w:p>
          <w:p w14:paraId="4E1E5ECB" w14:textId="77777777" w:rsidR="00C04D16" w:rsidRPr="00C04D16" w:rsidRDefault="00C04D16" w:rsidP="00C04D16">
            <w:r w:rsidRPr="00C04D16">
              <w:t>Report published by June 2023</w:t>
            </w:r>
          </w:p>
        </w:tc>
      </w:tr>
      <w:tr w:rsidR="00C04D16" w:rsidRPr="00C04D16" w14:paraId="217DF48F" w14:textId="77777777" w:rsidTr="00AF3DDE">
        <w:trPr>
          <w:trHeight w:val="60"/>
        </w:trPr>
        <w:tc>
          <w:tcPr>
            <w:tcW w:w="3061" w:type="dxa"/>
            <w:shd w:val="clear" w:color="auto" w:fill="auto"/>
            <w:tcMar>
              <w:top w:w="170" w:type="dxa"/>
              <w:left w:w="57" w:type="dxa"/>
              <w:bottom w:w="170" w:type="dxa"/>
              <w:right w:w="57" w:type="dxa"/>
            </w:tcMar>
          </w:tcPr>
          <w:p w14:paraId="47ADBE4E" w14:textId="58F30726" w:rsidR="00C04D16" w:rsidRPr="00C04D16" w:rsidRDefault="00C04D16" w:rsidP="00C04D16">
            <w:r w:rsidRPr="003D6E21">
              <w:rPr>
                <w:b/>
                <w:bCs/>
              </w:rPr>
              <w:t>3.1 Undertake research, monitoring and evaluation</w:t>
            </w:r>
            <w:r w:rsidRPr="00C04D16">
              <w:t xml:space="preserve"> – by conducting deer research that determines the contribution of different types of recreational hunting as a deer control tool both </w:t>
            </w:r>
            <w:r w:rsidRPr="00C04D16">
              <w:br/>
              <w:t>for initial and ongoing deer reduction programs.</w:t>
            </w:r>
          </w:p>
        </w:tc>
        <w:tc>
          <w:tcPr>
            <w:tcW w:w="1418" w:type="dxa"/>
            <w:shd w:val="clear" w:color="auto" w:fill="auto"/>
            <w:tcMar>
              <w:top w:w="170" w:type="dxa"/>
              <w:left w:w="57" w:type="dxa"/>
              <w:bottom w:w="170" w:type="dxa"/>
              <w:right w:w="57" w:type="dxa"/>
            </w:tcMar>
          </w:tcPr>
          <w:p w14:paraId="6F6A8BFA" w14:textId="77777777" w:rsidR="00C04D16" w:rsidRPr="00C04D16" w:rsidRDefault="00C04D16" w:rsidP="00C04D16">
            <w:r w:rsidRPr="00C04D16">
              <w:t>Secondary</w:t>
            </w:r>
          </w:p>
        </w:tc>
        <w:tc>
          <w:tcPr>
            <w:tcW w:w="1418" w:type="dxa"/>
            <w:shd w:val="clear" w:color="auto" w:fill="auto"/>
            <w:tcMar>
              <w:top w:w="170" w:type="dxa"/>
              <w:left w:w="57" w:type="dxa"/>
              <w:bottom w:w="170" w:type="dxa"/>
              <w:right w:w="57" w:type="dxa"/>
            </w:tcMar>
          </w:tcPr>
          <w:p w14:paraId="6588E743" w14:textId="77777777" w:rsidR="00C04D16" w:rsidRPr="003D6E21" w:rsidRDefault="00C04D16" w:rsidP="00C04D16">
            <w:pPr>
              <w:rPr>
                <w:b/>
                <w:bCs/>
              </w:rPr>
            </w:pPr>
            <w:r w:rsidRPr="003D6E21">
              <w:rPr>
                <w:b/>
                <w:bCs/>
              </w:rPr>
              <w:t>Primary</w:t>
            </w:r>
          </w:p>
        </w:tc>
        <w:tc>
          <w:tcPr>
            <w:tcW w:w="1418" w:type="dxa"/>
            <w:shd w:val="clear" w:color="auto" w:fill="auto"/>
            <w:tcMar>
              <w:top w:w="170" w:type="dxa"/>
              <w:left w:w="57" w:type="dxa"/>
              <w:bottom w:w="170" w:type="dxa"/>
              <w:right w:w="57" w:type="dxa"/>
            </w:tcMar>
          </w:tcPr>
          <w:p w14:paraId="501CCF7A" w14:textId="77777777" w:rsidR="00C04D16" w:rsidRPr="00C04D16" w:rsidRDefault="00C04D16" w:rsidP="00C04D16">
            <w:r w:rsidRPr="00C04D16">
              <w:t>Secondary</w:t>
            </w:r>
          </w:p>
        </w:tc>
        <w:tc>
          <w:tcPr>
            <w:tcW w:w="1418" w:type="dxa"/>
            <w:shd w:val="clear" w:color="auto" w:fill="auto"/>
            <w:tcMar>
              <w:top w:w="170" w:type="dxa"/>
              <w:left w:w="57" w:type="dxa"/>
              <w:bottom w:w="170" w:type="dxa"/>
              <w:right w:w="57" w:type="dxa"/>
            </w:tcMar>
          </w:tcPr>
          <w:p w14:paraId="7C5068DD" w14:textId="77777777" w:rsidR="00C04D16" w:rsidRPr="00C04D16" w:rsidRDefault="00C04D16" w:rsidP="00C04D16">
            <w:r w:rsidRPr="00C04D16">
              <w:t>Secondary</w:t>
            </w:r>
          </w:p>
        </w:tc>
        <w:tc>
          <w:tcPr>
            <w:tcW w:w="1588" w:type="dxa"/>
            <w:shd w:val="clear" w:color="auto" w:fill="auto"/>
            <w:tcMar>
              <w:top w:w="170" w:type="dxa"/>
              <w:left w:w="57" w:type="dxa"/>
              <w:bottom w:w="170" w:type="dxa"/>
              <w:right w:w="57" w:type="dxa"/>
            </w:tcMar>
          </w:tcPr>
          <w:p w14:paraId="33D3D58E" w14:textId="77777777" w:rsidR="00C04D16" w:rsidRPr="00C04D16" w:rsidRDefault="00C04D16" w:rsidP="00C04D16">
            <w:r w:rsidRPr="00C04D16">
              <w:t>Agreed research scope July 2022</w:t>
            </w:r>
          </w:p>
          <w:p w14:paraId="60B47862" w14:textId="21B16F01" w:rsidR="00C04D16" w:rsidRPr="00C04D16" w:rsidRDefault="00C04D16" w:rsidP="00C04D16">
            <w:r w:rsidRPr="00C04D16">
              <w:t>Research design and planning June 2023</w:t>
            </w:r>
          </w:p>
          <w:p w14:paraId="067B329A" w14:textId="77777777" w:rsidR="00C04D16" w:rsidRPr="00C04D16" w:rsidRDefault="00C04D16" w:rsidP="00C04D16">
            <w:r w:rsidRPr="00C04D16">
              <w:t>Surveys undertaken November 2023 and November 2024</w:t>
            </w:r>
          </w:p>
          <w:p w14:paraId="3F51001B" w14:textId="77777777" w:rsidR="00C04D16" w:rsidRPr="00C04D16" w:rsidRDefault="00C04D16" w:rsidP="00C04D16">
            <w:r w:rsidRPr="00C04D16">
              <w:t xml:space="preserve">Report published </w:t>
            </w:r>
            <w:r w:rsidRPr="00C04D16">
              <w:br/>
              <w:t>June 2025</w:t>
            </w:r>
          </w:p>
        </w:tc>
      </w:tr>
      <w:tr w:rsidR="00C04D16" w:rsidRPr="00C04D16" w14:paraId="1F818400" w14:textId="77777777" w:rsidTr="00AF3DDE">
        <w:trPr>
          <w:trHeight w:val="60"/>
        </w:trPr>
        <w:tc>
          <w:tcPr>
            <w:tcW w:w="3061" w:type="dxa"/>
            <w:shd w:val="clear" w:color="auto" w:fill="auto"/>
            <w:tcMar>
              <w:top w:w="170" w:type="dxa"/>
              <w:left w:w="57" w:type="dxa"/>
              <w:bottom w:w="170" w:type="dxa"/>
              <w:right w:w="57" w:type="dxa"/>
            </w:tcMar>
          </w:tcPr>
          <w:p w14:paraId="781BE93D" w14:textId="2F7F3298" w:rsidR="00C04D16" w:rsidRPr="00C04D16" w:rsidRDefault="00C04D16" w:rsidP="00C04D16">
            <w:r w:rsidRPr="003D6E21">
              <w:rPr>
                <w:b/>
                <w:bCs/>
              </w:rPr>
              <w:t>3.2 Develop a game duck adaptive harvest management framework and strategy</w:t>
            </w:r>
            <w:r w:rsidRPr="00C04D16">
              <w:t xml:space="preserve"> – continue this important work by engaging technical experts to provide guidance on the identification of sustainable levels of harvest for reference during development of the harvest framework and strategy in consultation with key stakeholders.</w:t>
            </w:r>
          </w:p>
        </w:tc>
        <w:tc>
          <w:tcPr>
            <w:tcW w:w="1418" w:type="dxa"/>
            <w:shd w:val="clear" w:color="auto" w:fill="auto"/>
            <w:tcMar>
              <w:top w:w="170" w:type="dxa"/>
              <w:left w:w="57" w:type="dxa"/>
              <w:bottom w:w="170" w:type="dxa"/>
              <w:right w:w="57" w:type="dxa"/>
            </w:tcMar>
          </w:tcPr>
          <w:p w14:paraId="61CFBA73" w14:textId="77777777" w:rsidR="00C04D16" w:rsidRPr="003D6E21" w:rsidRDefault="00C04D16" w:rsidP="00C04D16">
            <w:pPr>
              <w:rPr>
                <w:b/>
                <w:bCs/>
              </w:rPr>
            </w:pPr>
            <w:r w:rsidRPr="003D6E21">
              <w:rPr>
                <w:b/>
                <w:bCs/>
              </w:rPr>
              <w:t>Primary</w:t>
            </w:r>
          </w:p>
        </w:tc>
        <w:tc>
          <w:tcPr>
            <w:tcW w:w="1418" w:type="dxa"/>
            <w:shd w:val="clear" w:color="auto" w:fill="auto"/>
            <w:tcMar>
              <w:top w:w="170" w:type="dxa"/>
              <w:left w:w="57" w:type="dxa"/>
              <w:bottom w:w="170" w:type="dxa"/>
              <w:right w:w="57" w:type="dxa"/>
            </w:tcMar>
          </w:tcPr>
          <w:p w14:paraId="7930C031" w14:textId="77777777" w:rsidR="00C04D16" w:rsidRPr="00C04D16" w:rsidRDefault="00C04D16" w:rsidP="00C04D16">
            <w:r w:rsidRPr="00C04D16">
              <w:t>Secondary</w:t>
            </w:r>
          </w:p>
        </w:tc>
        <w:tc>
          <w:tcPr>
            <w:tcW w:w="1418" w:type="dxa"/>
            <w:shd w:val="clear" w:color="auto" w:fill="auto"/>
            <w:tcMar>
              <w:top w:w="170" w:type="dxa"/>
              <w:left w:w="57" w:type="dxa"/>
              <w:bottom w:w="170" w:type="dxa"/>
              <w:right w:w="57" w:type="dxa"/>
            </w:tcMar>
          </w:tcPr>
          <w:p w14:paraId="5E49FFA6" w14:textId="77777777" w:rsidR="00C04D16" w:rsidRPr="00C04D16" w:rsidRDefault="00C04D16" w:rsidP="00C04D16">
            <w:r w:rsidRPr="00C04D16">
              <w:t>Secondary</w:t>
            </w:r>
          </w:p>
        </w:tc>
        <w:tc>
          <w:tcPr>
            <w:tcW w:w="1418" w:type="dxa"/>
            <w:shd w:val="clear" w:color="auto" w:fill="auto"/>
            <w:tcMar>
              <w:top w:w="170" w:type="dxa"/>
              <w:left w:w="57" w:type="dxa"/>
              <w:bottom w:w="170" w:type="dxa"/>
              <w:right w:w="57" w:type="dxa"/>
            </w:tcMar>
          </w:tcPr>
          <w:p w14:paraId="57E17A37" w14:textId="77777777" w:rsidR="00C04D16" w:rsidRPr="00C04D16" w:rsidRDefault="00C04D16" w:rsidP="00C04D16">
            <w:r w:rsidRPr="00C04D16">
              <w:t>Secondary</w:t>
            </w:r>
          </w:p>
        </w:tc>
        <w:tc>
          <w:tcPr>
            <w:tcW w:w="1588" w:type="dxa"/>
            <w:shd w:val="clear" w:color="auto" w:fill="auto"/>
            <w:tcMar>
              <w:top w:w="170" w:type="dxa"/>
              <w:left w:w="57" w:type="dxa"/>
              <w:bottom w:w="170" w:type="dxa"/>
              <w:right w:w="57" w:type="dxa"/>
            </w:tcMar>
          </w:tcPr>
          <w:p w14:paraId="001A73F0" w14:textId="77777777" w:rsidR="00C04D16" w:rsidRPr="00C04D16" w:rsidRDefault="00C04D16" w:rsidP="00C04D16">
            <w:r w:rsidRPr="00C04D16">
              <w:t>Technical experts engaged 2022</w:t>
            </w:r>
          </w:p>
          <w:p w14:paraId="11DE7D81" w14:textId="77777777" w:rsidR="00C04D16" w:rsidRPr="00C04D16" w:rsidRDefault="00C04D16" w:rsidP="00C04D16">
            <w:r w:rsidRPr="00C04D16">
              <w:t>Development of harvest framework and harvest strategy by December 2023</w:t>
            </w:r>
          </w:p>
        </w:tc>
      </w:tr>
    </w:tbl>
    <w:p w14:paraId="2EE6A74C" w14:textId="77777777" w:rsidR="00886F2D" w:rsidRPr="00886F2D" w:rsidRDefault="00886F2D" w:rsidP="00886F2D"/>
    <w:sectPr w:rsidR="00886F2D" w:rsidRPr="00886F2D" w:rsidSect="002F01A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8E83" w14:textId="77777777" w:rsidR="00120337" w:rsidRDefault="00120337" w:rsidP="00E56313">
      <w:r>
        <w:separator/>
      </w:r>
    </w:p>
    <w:p w14:paraId="67CF2150" w14:textId="77777777" w:rsidR="00120337" w:rsidRDefault="00120337" w:rsidP="00E56313"/>
    <w:p w14:paraId="103DDF4B" w14:textId="77777777" w:rsidR="00120337" w:rsidRDefault="00120337" w:rsidP="00E56313"/>
  </w:endnote>
  <w:endnote w:type="continuationSeparator" w:id="0">
    <w:p w14:paraId="51F957A0" w14:textId="77777777" w:rsidR="00120337" w:rsidRDefault="00120337" w:rsidP="00E56313">
      <w:r>
        <w:continuationSeparator/>
      </w:r>
    </w:p>
    <w:p w14:paraId="65A375EE" w14:textId="77777777" w:rsidR="00120337" w:rsidRDefault="00120337" w:rsidP="00E56313"/>
    <w:p w14:paraId="4AF01F60" w14:textId="77777777" w:rsidR="00120337" w:rsidRDefault="00120337"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781E"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34D0BE" w14:textId="77777777" w:rsidR="00843667" w:rsidRDefault="00843667" w:rsidP="00E56313">
    <w:pPr>
      <w:rPr>
        <w:rStyle w:val="PageNumber"/>
      </w:rPr>
    </w:pPr>
  </w:p>
  <w:p w14:paraId="2C38EB8E" w14:textId="77777777" w:rsidR="00843667" w:rsidRDefault="00843667" w:rsidP="00E56313"/>
  <w:p w14:paraId="1EB17AF5" w14:textId="77777777" w:rsidR="00843667" w:rsidRDefault="00843667" w:rsidP="00E56313"/>
  <w:p w14:paraId="19C6D0B7"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C56E" w14:textId="3570961F" w:rsidR="00450887" w:rsidRDefault="00450887">
    <w:pPr>
      <w:pStyle w:val="Footer"/>
    </w:pPr>
    <w:r>
      <w:rPr>
        <w:noProof/>
      </w:rPr>
      <mc:AlternateContent>
        <mc:Choice Requires="wps">
          <w:drawing>
            <wp:anchor distT="0" distB="0" distL="114300" distR="114300" simplePos="0" relativeHeight="251659264" behindDoc="0" locked="0" layoutInCell="0" allowOverlap="1" wp14:anchorId="3B3BFF0D" wp14:editId="792C01E2">
              <wp:simplePos x="0" y="0"/>
              <wp:positionH relativeFrom="page">
                <wp:posOffset>0</wp:posOffset>
              </wp:positionH>
              <wp:positionV relativeFrom="page">
                <wp:posOffset>10227945</wp:posOffset>
              </wp:positionV>
              <wp:extent cx="7560310" cy="273050"/>
              <wp:effectExtent l="0" t="0" r="0" b="12700"/>
              <wp:wrapNone/>
              <wp:docPr id="2" name="MSIPCM6e344323b2d1512e3d301c5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94684" w14:textId="09B2785C" w:rsidR="00450887" w:rsidRPr="00450887" w:rsidRDefault="00450887" w:rsidP="00450887">
                          <w:pPr>
                            <w:spacing w:after="0"/>
                            <w:jc w:val="center"/>
                            <w:rPr>
                              <w:rFonts w:ascii="Calibri" w:hAnsi="Calibri" w:cs="Calibri"/>
                              <w:color w:val="000000"/>
                              <w:sz w:val="24"/>
                            </w:rPr>
                          </w:pPr>
                          <w:r w:rsidRPr="0045088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3BFF0D" id="_x0000_t202" coordsize="21600,21600" o:spt="202" path="m,l,21600r21600,l21600,xe">
              <v:stroke joinstyle="miter"/>
              <v:path gradientshapeok="t" o:connecttype="rect"/>
            </v:shapetype>
            <v:shape id="MSIPCM6e344323b2d1512e3d301c53"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1sQIAAE4FAAAOAAAAZHJzL2Uyb0RvYy54bWysVEtv2zAMvg/YfxB02GmtX0maZnWKLEXW&#10;AmkbIB16VmQ5NmCLqqQ0zob991GynT6207CLRJEUHx8fF5dNXZFnoU0JMqXRaUiJkByyUm5T+v1h&#10;cTKmxFgmM1aBFCk9CEMvpx8/XOzVRMRQQJUJTdCINJO9SmlhrZoEgeGFqJk5BSUkCnPQNbP41Nsg&#10;02yP1usqiMNwFOxBZ0oDF8Yg96oV0qm3n+eC2/s8N8KSKqUYm/Wn9ufGncH0gk22mqmi5F0Y7B+i&#10;qFkp0enR1BWzjOx0+YepuuQaDOT2lEMdQJ6XXPgcMJsofJfNumBK+FwQHKOOMJn/Z5bfPa80KbOU&#10;xpRIVmOJbtc3q/ntSCSDQRInmziLhlEskiwJIz5MKMmE4Yjgz09PO7Bfrpkp5pCJ9jU5ieLRYDQO&#10;49H4c6cgym1hO/F4gC3SCR7LzBYdf3g+PPJXFeOiFrL/06osAKzQLd0ZuJGZaDoD7bXSZc304Y3W&#10;GnsAm7PTi7q/D6A6Tnh0vBR57xOZv1xv7JWZIERrhSDZ5is02OM93yDTlbzJde1uLCZBOXbZ4dhZ&#10;orGEI/NsOAqTCEUcZfFZEg596wUvv5U29puAmjgipRqj9g3FnpfGYiSo2qs4ZxIWZVX57q0k2ad0&#10;lKDJNxL8UUn86HJoY3WUbTaNr/cxjw1kB0xPQzscRvFFiTEsmbErpnEaMGyccHuPR14B+oKOoqQA&#10;/eNvfKePTYpSSvY4XSk1TzumBSXVjcT2PY8GAzeO/oGEfs3d9Fy5q+eAgxvhDlHck07XVj2Za6gf&#10;cQHMnDcUMcnRZ0o3PTm3+EIBLhAuZjNP4+ApZpdyrbgz7TBzyD40j0yrDn6LhbuDfv7Y5F0VWt0W&#10;7dnOQl76Ejl8WzQ72HFofeW6BeO2wuu313pZg9P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qP+i1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6BB94684" w14:textId="09B2785C" w:rsidR="00450887" w:rsidRPr="00450887" w:rsidRDefault="00450887" w:rsidP="00450887">
                    <w:pPr>
                      <w:spacing w:after="0"/>
                      <w:jc w:val="center"/>
                      <w:rPr>
                        <w:rFonts w:ascii="Calibri" w:hAnsi="Calibri" w:cs="Calibri"/>
                        <w:color w:val="000000"/>
                        <w:sz w:val="24"/>
                      </w:rPr>
                    </w:pPr>
                    <w:r w:rsidRPr="00450887">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7760" w14:textId="77777777" w:rsidR="00450887" w:rsidRDefault="0045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A579" w14:textId="77777777" w:rsidR="00120337" w:rsidRDefault="00120337" w:rsidP="00E56313">
      <w:r>
        <w:separator/>
      </w:r>
    </w:p>
    <w:p w14:paraId="53DA12F0" w14:textId="77777777" w:rsidR="00120337" w:rsidRDefault="00120337" w:rsidP="00E56313"/>
    <w:p w14:paraId="70155508" w14:textId="77777777" w:rsidR="00120337" w:rsidRDefault="00120337" w:rsidP="00E56313"/>
  </w:footnote>
  <w:footnote w:type="continuationSeparator" w:id="0">
    <w:p w14:paraId="32051945" w14:textId="77777777" w:rsidR="00120337" w:rsidRDefault="00120337" w:rsidP="00E56313">
      <w:r>
        <w:continuationSeparator/>
      </w:r>
    </w:p>
    <w:p w14:paraId="08A72A56" w14:textId="77777777" w:rsidR="00120337" w:rsidRDefault="00120337" w:rsidP="00E56313"/>
    <w:p w14:paraId="100FD68C" w14:textId="77777777" w:rsidR="00120337" w:rsidRDefault="00120337" w:rsidP="00E5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5A0B" w14:textId="77777777" w:rsidR="00450887" w:rsidRDefault="00450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DD12" w14:textId="4E741BA2" w:rsidR="00450887" w:rsidRDefault="00450887">
    <w:pPr>
      <w:pStyle w:val="Header"/>
    </w:pPr>
    <w:r>
      <w:rPr>
        <w:noProof/>
      </w:rPr>
      <mc:AlternateContent>
        <mc:Choice Requires="wps">
          <w:drawing>
            <wp:anchor distT="0" distB="0" distL="114300" distR="114300" simplePos="0" relativeHeight="251660288" behindDoc="0" locked="0" layoutInCell="0" allowOverlap="1" wp14:anchorId="5754F1B6" wp14:editId="46398F64">
              <wp:simplePos x="0" y="0"/>
              <wp:positionH relativeFrom="page">
                <wp:posOffset>0</wp:posOffset>
              </wp:positionH>
              <wp:positionV relativeFrom="page">
                <wp:posOffset>190500</wp:posOffset>
              </wp:positionV>
              <wp:extent cx="7560310" cy="273050"/>
              <wp:effectExtent l="0" t="0" r="0" b="12700"/>
              <wp:wrapNone/>
              <wp:docPr id="3" name="MSIPCMd2604dc1ab07141f99683464"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7A789" w14:textId="4881009A" w:rsidR="00450887" w:rsidRPr="00450887" w:rsidRDefault="00450887" w:rsidP="00450887">
                          <w:pPr>
                            <w:spacing w:after="0"/>
                            <w:jc w:val="center"/>
                            <w:rPr>
                              <w:rFonts w:ascii="Calibri" w:hAnsi="Calibri" w:cs="Calibri"/>
                              <w:color w:val="000000"/>
                              <w:sz w:val="24"/>
                            </w:rPr>
                          </w:pPr>
                          <w:r w:rsidRPr="0045088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54F1B6" id="_x0000_t202" coordsize="21600,21600" o:spt="202" path="m,l,21600r21600,l21600,xe">
              <v:stroke joinstyle="miter"/>
              <v:path gradientshapeok="t" o:connecttype="rect"/>
            </v:shapetype>
            <v:shape id="MSIPCMd2604dc1ab07141f99683464"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VsrgIAAEcFAAAOAAAAZHJzL2Uyb0RvYy54bWysVMlu2zAQvRfoPxA89NRGki3bsho5cB2k&#10;DeAkBpwiZ5qiLAHiEpKO5Bb99w4lylnaU9ELOZwZzvL4hucXLa/RE9OmkiLD0VmIERNU5pXYZ/j7&#10;/dWnBCNjichJLQXL8JEZfLF4/+68USkbyVLWOdMIggiTNirDpbUqDQJDS8aJOZOKCTAWUnNi4aj3&#10;Qa5JA9F5HYzCcBo0UudKS8qMAe1lb8SLLn5RMGrvisIwi+oMQ222W3W37twaLM5JutdElRX1ZZB/&#10;qIKTSkDSU6hLYgk66OqPULyiWhpZ2DMqeSCLoqKs6wG6icI33WxLoljXC4Bj1Akm8//C0tunjUZV&#10;nuExRoJweKKb7fVmdZOPpmGc04jswlkUR8V8Pk3G8TTGKGeGAoI/PzwepP38jZhyJXPWn9JP0ShJ&#10;kmiWjGcfvQOr9qX15iQGinjDQ5Xb0usn88lJv6kJZZyJ4c4QhgBTetkHuBY5a32AftvoihN9fOW1&#10;BQ4AOb1f5O/eS+U14SnxmhVDTlD+ctxolEkBoq0CkGz7RbbA8UFvQOmevC00dzs8JgI7sOx4YhZr&#10;LaKgnE2m4TgCEwXbaDYOJx31gufbShv7lUmOnJBhDVV3hCJPa2OhEnAdXFwyIa+quu7YWwvUZHg6&#10;hpCvLHCjFnDR9dDX6iTb7lrf2E7mR+hLy34qjKJXFSRfE2M3RMMYQL0w2vYOlqKWkER6CaNS6h9/&#10;0zt/YCdYMWpgrDJsHg9EM4zqawG8nUdx7OawO4CgX2p3g1Yc+ErCxEbweSjaic7X1oNYaMkfYPKX&#10;LhuYiKCQM8N2EFcWTmCAn4Oy5bKTYeIUsWuxVdSFdmA5SO/bB6KVx93Ci93KYfBI+gb+3reHeXmw&#10;sqi6t3HA9mh6vGFauyfzP4v7Dl6eO6/n/2/xG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jWqVsrgIAAEcFAAAOAAAAAAAA&#10;AAAAAAAAAC4CAABkcnMvZTJvRG9jLnhtbFBLAQItABQABgAIAAAAIQBLIgnm3AAAAAcBAAAPAAAA&#10;AAAAAAAAAAAAAAgFAABkcnMvZG93bnJldi54bWxQSwUGAAAAAAQABADzAAAAEQYAAAAA&#10;" o:allowincell="f" filled="f" stroked="f" strokeweight=".5pt">
              <v:fill o:detectmouseclick="t"/>
              <v:textbox inset=",0,,0">
                <w:txbxContent>
                  <w:p w14:paraId="1A07A789" w14:textId="4881009A" w:rsidR="00450887" w:rsidRPr="00450887" w:rsidRDefault="00450887" w:rsidP="00450887">
                    <w:pPr>
                      <w:spacing w:after="0"/>
                      <w:jc w:val="center"/>
                      <w:rPr>
                        <w:rFonts w:ascii="Calibri" w:hAnsi="Calibri" w:cs="Calibri"/>
                        <w:color w:val="000000"/>
                        <w:sz w:val="24"/>
                      </w:rPr>
                    </w:pPr>
                    <w:r w:rsidRPr="00450887">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B5A2" w14:textId="77777777" w:rsidR="00450887" w:rsidRDefault="00450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0F6E7C"/>
    <w:rsid w:val="00100DAC"/>
    <w:rsid w:val="00120337"/>
    <w:rsid w:val="001745B8"/>
    <w:rsid w:val="001748EF"/>
    <w:rsid w:val="00194343"/>
    <w:rsid w:val="001A06D3"/>
    <w:rsid w:val="001C600B"/>
    <w:rsid w:val="001D37F7"/>
    <w:rsid w:val="001E521A"/>
    <w:rsid w:val="00203883"/>
    <w:rsid w:val="00210DDC"/>
    <w:rsid w:val="002275CB"/>
    <w:rsid w:val="00255E55"/>
    <w:rsid w:val="00271CA1"/>
    <w:rsid w:val="00284955"/>
    <w:rsid w:val="00290BF9"/>
    <w:rsid w:val="00294AA3"/>
    <w:rsid w:val="002962D1"/>
    <w:rsid w:val="002A6DB1"/>
    <w:rsid w:val="002B6E14"/>
    <w:rsid w:val="002B7736"/>
    <w:rsid w:val="002B7DAA"/>
    <w:rsid w:val="002D2EC0"/>
    <w:rsid w:val="002E4615"/>
    <w:rsid w:val="002F01A7"/>
    <w:rsid w:val="003046E4"/>
    <w:rsid w:val="0031065A"/>
    <w:rsid w:val="00324BAD"/>
    <w:rsid w:val="0034186D"/>
    <w:rsid w:val="00343AFC"/>
    <w:rsid w:val="0035735A"/>
    <w:rsid w:val="00362FBA"/>
    <w:rsid w:val="0037064F"/>
    <w:rsid w:val="0037380D"/>
    <w:rsid w:val="00385B49"/>
    <w:rsid w:val="00395308"/>
    <w:rsid w:val="003A1138"/>
    <w:rsid w:val="003D6E21"/>
    <w:rsid w:val="003D7499"/>
    <w:rsid w:val="003E5FEE"/>
    <w:rsid w:val="003E7F9F"/>
    <w:rsid w:val="003F4C53"/>
    <w:rsid w:val="00424007"/>
    <w:rsid w:val="0042767C"/>
    <w:rsid w:val="00450887"/>
    <w:rsid w:val="00451405"/>
    <w:rsid w:val="00463975"/>
    <w:rsid w:val="00464890"/>
    <w:rsid w:val="00473AB1"/>
    <w:rsid w:val="004A15DF"/>
    <w:rsid w:val="004A7315"/>
    <w:rsid w:val="004D0B04"/>
    <w:rsid w:val="004D273C"/>
    <w:rsid w:val="00506C69"/>
    <w:rsid w:val="0051277C"/>
    <w:rsid w:val="00517406"/>
    <w:rsid w:val="00544785"/>
    <w:rsid w:val="00561580"/>
    <w:rsid w:val="0058543D"/>
    <w:rsid w:val="0061599A"/>
    <w:rsid w:val="006314FD"/>
    <w:rsid w:val="0063431F"/>
    <w:rsid w:val="00635700"/>
    <w:rsid w:val="0065327B"/>
    <w:rsid w:val="0066012B"/>
    <w:rsid w:val="00660A85"/>
    <w:rsid w:val="00665417"/>
    <w:rsid w:val="00671B15"/>
    <w:rsid w:val="00681D94"/>
    <w:rsid w:val="00697076"/>
    <w:rsid w:val="006A11B7"/>
    <w:rsid w:val="006B34CD"/>
    <w:rsid w:val="006B61E2"/>
    <w:rsid w:val="006F595D"/>
    <w:rsid w:val="00701AC3"/>
    <w:rsid w:val="00704ABF"/>
    <w:rsid w:val="0073019A"/>
    <w:rsid w:val="007421EA"/>
    <w:rsid w:val="00763A9B"/>
    <w:rsid w:val="00783316"/>
    <w:rsid w:val="007B644C"/>
    <w:rsid w:val="007C02A2"/>
    <w:rsid w:val="007D0491"/>
    <w:rsid w:val="007E1B64"/>
    <w:rsid w:val="007F66CB"/>
    <w:rsid w:val="00800403"/>
    <w:rsid w:val="008017B4"/>
    <w:rsid w:val="00804FD5"/>
    <w:rsid w:val="0082630D"/>
    <w:rsid w:val="00843667"/>
    <w:rsid w:val="008457D8"/>
    <w:rsid w:val="00870866"/>
    <w:rsid w:val="00886F2D"/>
    <w:rsid w:val="008C7567"/>
    <w:rsid w:val="008D4664"/>
    <w:rsid w:val="008D63F5"/>
    <w:rsid w:val="008E1BD0"/>
    <w:rsid w:val="008E3036"/>
    <w:rsid w:val="008E37CC"/>
    <w:rsid w:val="00916CAD"/>
    <w:rsid w:val="009324DF"/>
    <w:rsid w:val="00947441"/>
    <w:rsid w:val="00953ED1"/>
    <w:rsid w:val="009644BA"/>
    <w:rsid w:val="00983D55"/>
    <w:rsid w:val="009840A4"/>
    <w:rsid w:val="009A4B3D"/>
    <w:rsid w:val="009B221C"/>
    <w:rsid w:val="009D5C0B"/>
    <w:rsid w:val="009D7457"/>
    <w:rsid w:val="009D76C8"/>
    <w:rsid w:val="009E2779"/>
    <w:rsid w:val="009E2D8A"/>
    <w:rsid w:val="00A0004C"/>
    <w:rsid w:val="00A05757"/>
    <w:rsid w:val="00A05DF5"/>
    <w:rsid w:val="00A2008A"/>
    <w:rsid w:val="00A37580"/>
    <w:rsid w:val="00A43AEA"/>
    <w:rsid w:val="00A56D7C"/>
    <w:rsid w:val="00A822BD"/>
    <w:rsid w:val="00A84713"/>
    <w:rsid w:val="00A97BBA"/>
    <w:rsid w:val="00AB2405"/>
    <w:rsid w:val="00AC4E82"/>
    <w:rsid w:val="00AE1539"/>
    <w:rsid w:val="00AF334F"/>
    <w:rsid w:val="00AF3DDE"/>
    <w:rsid w:val="00B13EDC"/>
    <w:rsid w:val="00B20244"/>
    <w:rsid w:val="00B2145F"/>
    <w:rsid w:val="00B336E7"/>
    <w:rsid w:val="00B4167E"/>
    <w:rsid w:val="00B46E0D"/>
    <w:rsid w:val="00B65B0E"/>
    <w:rsid w:val="00B722AF"/>
    <w:rsid w:val="00B767D8"/>
    <w:rsid w:val="00BA2D59"/>
    <w:rsid w:val="00BA6C69"/>
    <w:rsid w:val="00BB20A0"/>
    <w:rsid w:val="00BB376F"/>
    <w:rsid w:val="00BB7A08"/>
    <w:rsid w:val="00BC7431"/>
    <w:rsid w:val="00BF2C1C"/>
    <w:rsid w:val="00BF324B"/>
    <w:rsid w:val="00C04D16"/>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B2AF2"/>
    <w:rsid w:val="00DD435A"/>
    <w:rsid w:val="00DD5E27"/>
    <w:rsid w:val="00DD77E3"/>
    <w:rsid w:val="00DE055F"/>
    <w:rsid w:val="00E42334"/>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3B0F9"/>
  <w15:chartTrackingRefBased/>
  <w15:docId w15:val="{BA0C9C28-5A17-7641-B4E1-F7AC9227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2E4615"/>
    <w:pPr>
      <w:spacing w:after="0"/>
    </w:pPr>
  </w:style>
  <w:style w:type="paragraph" w:customStyle="1" w:styleId="TableHeading">
    <w:name w:val="Table Heading"/>
    <w:basedOn w:val="Normal"/>
    <w:qFormat/>
    <w:rsid w:val="00E42334"/>
    <w:pPr>
      <w:spacing w:after="0"/>
    </w:pPr>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DB2AF2"/>
    <w:pPr>
      <w:numPr>
        <w:numId w:val="32"/>
      </w:numPr>
      <w:spacing w:after="6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0F6E7C"/>
    <w:pPr>
      <w:tabs>
        <w:tab w:val="right" w:leader="dot" w:pos="10456"/>
      </w:tabs>
      <w:spacing w:before="120" w:after="0"/>
    </w:pPr>
    <w:rPr>
      <w:rFonts w:asciiTheme="minorHAnsi" w:hAnsiTheme="minorHAnsi" w:cstheme="minorHAnsi"/>
      <w:b/>
      <w:bCs/>
      <w:i/>
      <w:iCs/>
      <w:noProof/>
      <w:sz w:val="24"/>
    </w:rPr>
  </w:style>
  <w:style w:type="paragraph" w:styleId="TOC2">
    <w:name w:val="toc 2"/>
    <w:basedOn w:val="Normal"/>
    <w:next w:val="Normal"/>
    <w:autoRedefine/>
    <w:uiPriority w:val="39"/>
    <w:unhideWhenUsed/>
    <w:rsid w:val="00A37580"/>
    <w:pPr>
      <w:spacing w:before="120" w:after="0"/>
      <w:ind w:left="200"/>
    </w:pPr>
    <w:rPr>
      <w:rFonts w:asciiTheme="minorHAnsi" w:hAnsiTheme="minorHAnsi" w:cstheme="minorHAnsi"/>
      <w:b/>
      <w:bCs/>
      <w:sz w:val="22"/>
      <w:szCs w:val="22"/>
    </w:rPr>
  </w:style>
  <w:style w:type="paragraph" w:styleId="TOC4">
    <w:name w:val="toc 4"/>
    <w:basedOn w:val="Normal"/>
    <w:next w:val="Normal"/>
    <w:autoRedefine/>
    <w:uiPriority w:val="39"/>
    <w:semiHidden/>
    <w:unhideWhenUsed/>
    <w:rsid w:val="0065327B"/>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65327B"/>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65327B"/>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65327B"/>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65327B"/>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65327B"/>
    <w:pPr>
      <w:spacing w:after="0"/>
      <w:ind w:left="1600"/>
    </w:pPr>
    <w:rPr>
      <w:rFonts w:asciiTheme="minorHAnsi" w:hAnsiTheme="minorHAnsi" w:cstheme="minorHAns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NoParagraphStyle">
    <w:name w:val="[No Paragraph Style]"/>
    <w:rsid w:val="009E2D8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01H1">
    <w:name w:val="01. H1"/>
    <w:basedOn w:val="NoParagraphStyle"/>
    <w:uiPriority w:val="99"/>
    <w:rsid w:val="009E2D8A"/>
    <w:pPr>
      <w:suppressAutoHyphens/>
      <w:spacing w:before="170" w:after="113"/>
    </w:pPr>
    <w:rPr>
      <w:rFonts w:ascii="VIC" w:hAnsi="VIC" w:cs="VIC"/>
      <w:b/>
      <w:bCs/>
      <w:color w:val="009CA6"/>
      <w:sz w:val="48"/>
      <w:szCs w:val="48"/>
    </w:rPr>
  </w:style>
  <w:style w:type="paragraph" w:customStyle="1" w:styleId="06Body">
    <w:name w:val="06. Body"/>
    <w:basedOn w:val="NoParagraphStyle"/>
    <w:uiPriority w:val="99"/>
    <w:rsid w:val="009E2D8A"/>
    <w:pPr>
      <w:suppressAutoHyphens/>
      <w:spacing w:before="170" w:line="280" w:lineRule="atLeast"/>
    </w:pPr>
    <w:rPr>
      <w:rFonts w:ascii="VIC Light" w:hAnsi="VIC Light" w:cs="VIC Light"/>
      <w:color w:val="53565A"/>
      <w:spacing w:val="-2"/>
      <w:sz w:val="20"/>
      <w:szCs w:val="20"/>
      <w:lang w:val="en-GB"/>
    </w:rPr>
  </w:style>
  <w:style w:type="character" w:customStyle="1" w:styleId="Bodybold">
    <w:name w:val="Body bold"/>
    <w:uiPriority w:val="99"/>
    <w:rsid w:val="009E2D8A"/>
    <w:rPr>
      <w:b/>
      <w:bCs/>
    </w:rPr>
  </w:style>
  <w:style w:type="paragraph" w:customStyle="1" w:styleId="07Bullet">
    <w:name w:val="07. Bullet"/>
    <w:basedOn w:val="06Body"/>
    <w:uiPriority w:val="99"/>
    <w:rsid w:val="00255E55"/>
    <w:pPr>
      <w:spacing w:before="57" w:after="57"/>
      <w:ind w:left="227" w:hanging="227"/>
    </w:pPr>
  </w:style>
  <w:style w:type="paragraph" w:styleId="TOCHeading">
    <w:name w:val="TOC Heading"/>
    <w:basedOn w:val="Heading1"/>
    <w:next w:val="Normal"/>
    <w:uiPriority w:val="39"/>
    <w:unhideWhenUsed/>
    <w:qFormat/>
    <w:rsid w:val="006A11B7"/>
    <w:pPr>
      <w:spacing w:after="0" w:line="276" w:lineRule="auto"/>
      <w:outlineLvl w:val="9"/>
    </w:pPr>
    <w:rPr>
      <w:rFonts w:asciiTheme="majorHAnsi" w:eastAsiaTheme="majorEastAsia" w:hAnsiTheme="majorHAnsi" w:cstheme="majorBidi"/>
      <w:color w:val="2F5496" w:themeColor="accent1" w:themeShade="BF"/>
      <w:spacing w:val="0"/>
      <w:sz w:val="28"/>
      <w:szCs w:val="28"/>
    </w:rPr>
  </w:style>
  <w:style w:type="paragraph" w:styleId="TOC3">
    <w:name w:val="toc 3"/>
    <w:basedOn w:val="Normal"/>
    <w:next w:val="Normal"/>
    <w:autoRedefine/>
    <w:uiPriority w:val="39"/>
    <w:unhideWhenUsed/>
    <w:rsid w:val="006A11B7"/>
    <w:pPr>
      <w:spacing w:after="0"/>
      <w:ind w:left="400"/>
    </w:pPr>
    <w:rPr>
      <w:rFonts w:asciiTheme="minorHAnsi" w:hAnsiTheme="minorHAnsi" w:cstheme="minorHAnsi"/>
      <w:szCs w:val="20"/>
    </w:rPr>
  </w:style>
  <w:style w:type="character" w:styleId="UnresolvedMention">
    <w:name w:val="Unresolved Mention"/>
    <w:basedOn w:val="DefaultParagraphFont"/>
    <w:uiPriority w:val="47"/>
    <w:rsid w:val="001A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jpr.vic.gov.au/game-hun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542D-5D2B-4DB4-A220-64D3E00AA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B40D0-73AD-4EDD-B43B-EB8CFCAD80F6}">
  <ds:schemaRefs>
    <ds:schemaRef ds:uri="http://schemas.microsoft.com/sharepoint/v3/contenttype/forms"/>
  </ds:schemaRefs>
</ds:datastoreItem>
</file>

<file path=customXml/itemProps3.xml><?xml version="1.0" encoding="utf-8"?>
<ds:datastoreItem xmlns:ds="http://schemas.openxmlformats.org/officeDocument/2006/customXml" ds:itemID="{B2012F8F-0466-490C-9E47-2BAEC286B435}">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4.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1005</Words>
  <Characters>5732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Jacqui E Mitchell (DJPR)</cp:lastModifiedBy>
  <cp:revision>5</cp:revision>
  <dcterms:created xsi:type="dcterms:W3CDTF">2022-05-24T04:32:00Z</dcterms:created>
  <dcterms:modified xsi:type="dcterms:W3CDTF">2022-05-25T23:16:00Z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MSIP_Label_d00a4df9-c942-4b09-b23a-6c1023f6de27_Enabled">
    <vt:lpwstr>true</vt:lpwstr>
  </property>
  <property fmtid="{D5CDD505-2E9C-101B-9397-08002B2CF9AE}" pid="4" name="MSIP_Label_d00a4df9-c942-4b09-b23a-6c1023f6de27_SetDate">
    <vt:lpwstr>2022-05-25T23:16:12Z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8d761d15-52ad-4a76-930d-943b1fc76d10</vt:lpwstr>
  </property>
  <property fmtid="{D5CDD505-2E9C-101B-9397-08002B2CF9AE}" pid="9" name="MSIP_Label_d00a4df9-c942-4b09-b23a-6c1023f6de27_ContentBits">
    <vt:lpwstr>3</vt:lpwstr>
  </property>
</Properties>
</file>