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aps w:val="0"/>
          <w:color w:val="000000"/>
          <w:spacing w:val="0"/>
          <w:sz w:val="18"/>
          <w:szCs w:val="18"/>
          <w:lang w:val="en-US"/>
        </w:rPr>
        <w:id w:val="-1190906142"/>
        <w:docPartObj>
          <w:docPartGallery w:val="Cover Pages"/>
          <w:docPartUnique/>
        </w:docPartObj>
      </w:sdtPr>
      <w:sdtEndPr/>
      <w:sdtContent>
        <w:p w14:paraId="3A226A61" w14:textId="22A4FD21" w:rsidR="00A976CE" w:rsidRPr="00845FAB" w:rsidRDefault="0089196B" w:rsidP="00E46734">
          <w:pPr>
            <w:pStyle w:val="Title"/>
          </w:pPr>
          <w:sdt>
            <w:sdtPr>
              <w:id w:val="-1805535528"/>
              <w:placeholder>
                <w:docPart w:val="DDDBBF8F781040DEAFFF60D0D10ED56F"/>
              </w:placeholder>
            </w:sdtPr>
            <w:sdtEndPr/>
            <w:sdtContent>
              <w:r w:rsidR="009461D2">
                <w:t>Guide to Good Governance and Portfolio</w:t>
              </w:r>
              <w:r w:rsidR="00A16390">
                <w:t xml:space="preserve"> performance</w:t>
              </w:r>
            </w:sdtContent>
          </w:sdt>
        </w:p>
        <w:sdt>
          <w:sdtPr>
            <w:id w:val="-518473900"/>
            <w:placeholder>
              <w:docPart w:val="90967D32E33A42B9ACC15D43E55D27C7"/>
            </w:placeholder>
          </w:sdtPr>
          <w:sdtEndPr/>
          <w:sdtContent>
            <w:p w14:paraId="5557D51E" w14:textId="2ACF8820" w:rsidR="00A976CE" w:rsidRPr="00845FAB" w:rsidRDefault="00DB3BBF" w:rsidP="00845FAB">
              <w:pPr>
                <w:pStyle w:val="Subtitle"/>
              </w:pPr>
              <w:r>
                <w:t>April</w:t>
              </w:r>
              <w:r w:rsidR="00736892">
                <w:t xml:space="preserve"> </w:t>
              </w:r>
              <w:r w:rsidR="001861F9">
                <w:t>202</w:t>
              </w:r>
              <w:r w:rsidR="00972DF7">
                <w:t>4</w:t>
              </w:r>
            </w:p>
          </w:sdtContent>
        </w:sdt>
        <w:p w14:paraId="494D12DE" w14:textId="3F3217B2" w:rsidR="00A976CE" w:rsidRDefault="0089196B" w:rsidP="00442F54">
          <w:pPr>
            <w:rPr>
              <w:sz w:val="28"/>
              <w:szCs w:val="28"/>
            </w:rPr>
            <w:sectPr w:rsidR="00A976CE" w:rsidSect="00477880">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701" w:left="1361" w:header="284" w:footer="340" w:gutter="0"/>
              <w:pgNumType w:start="0"/>
              <w:cols w:space="708"/>
              <w:titlePg/>
              <w:docGrid w:linePitch="360"/>
            </w:sectPr>
          </w:pPr>
        </w:p>
      </w:sdtContent>
    </w:sdt>
    <w:sdt>
      <w:sdtPr>
        <w:rPr>
          <w:rFonts w:ascii="Arial" w:eastAsiaTheme="minorHAnsi" w:hAnsi="Arial" w:cs="Arial"/>
          <w:color w:val="000000"/>
          <w:sz w:val="18"/>
          <w:szCs w:val="18"/>
        </w:rPr>
        <w:id w:val="1176853181"/>
        <w:docPartObj>
          <w:docPartGallery w:val="Table of Contents"/>
          <w:docPartUnique/>
        </w:docPartObj>
      </w:sdtPr>
      <w:sdtEndPr>
        <w:rPr>
          <w:b/>
          <w:bCs/>
          <w:noProof/>
        </w:rPr>
      </w:sdtEndPr>
      <w:sdtContent>
        <w:p w14:paraId="5A3B59DE" w14:textId="77777777" w:rsidR="0039117E" w:rsidRDefault="0039117E">
          <w:pPr>
            <w:pStyle w:val="TOCHeading"/>
          </w:pPr>
        </w:p>
        <w:p w14:paraId="4B60351D" w14:textId="2674645F" w:rsidR="00F835F8" w:rsidRDefault="00F835F8">
          <w:pPr>
            <w:pStyle w:val="TOCHeading"/>
          </w:pPr>
          <w:r>
            <w:t>Table of Contents</w:t>
          </w:r>
        </w:p>
        <w:p w14:paraId="60573E73" w14:textId="3292522B" w:rsidR="000B791E" w:rsidRDefault="00DA7B3E">
          <w:pPr>
            <w:pStyle w:val="TOC1"/>
            <w:rPr>
              <w:rFonts w:asciiTheme="minorHAnsi" w:eastAsiaTheme="minorEastAsia" w:hAnsiTheme="minorHAnsi" w:cstheme="minorBidi"/>
              <w:noProof/>
              <w:color w:val="auto"/>
              <w:kern w:val="2"/>
              <w:sz w:val="22"/>
              <w:szCs w:val="22"/>
              <w:lang w:val="en-AU" w:eastAsia="en-AU"/>
              <w14:ligatures w14:val="standardContextual"/>
            </w:rPr>
          </w:pPr>
          <w:r>
            <w:fldChar w:fldCharType="begin"/>
          </w:r>
          <w:r>
            <w:instrText xml:space="preserve"> TOC \o "1-5" \h \z \u </w:instrText>
          </w:r>
          <w:r>
            <w:fldChar w:fldCharType="separate"/>
          </w:r>
          <w:hyperlink w:anchor="_Toc164067824" w:history="1">
            <w:r w:rsidR="000B791E" w:rsidRPr="00CB747C">
              <w:rPr>
                <w:rStyle w:val="Hyperlink"/>
                <w:noProof/>
              </w:rPr>
              <w:t>Secretary’s Foreword</w:t>
            </w:r>
            <w:r w:rsidR="000B791E">
              <w:rPr>
                <w:noProof/>
                <w:webHidden/>
              </w:rPr>
              <w:tab/>
            </w:r>
            <w:r w:rsidR="000B791E">
              <w:rPr>
                <w:noProof/>
                <w:webHidden/>
              </w:rPr>
              <w:fldChar w:fldCharType="begin"/>
            </w:r>
            <w:r w:rsidR="000B791E">
              <w:rPr>
                <w:noProof/>
                <w:webHidden/>
              </w:rPr>
              <w:instrText xml:space="preserve"> PAGEREF _Toc164067824 \h </w:instrText>
            </w:r>
            <w:r w:rsidR="000B791E">
              <w:rPr>
                <w:noProof/>
                <w:webHidden/>
              </w:rPr>
            </w:r>
            <w:r w:rsidR="000B791E">
              <w:rPr>
                <w:noProof/>
                <w:webHidden/>
              </w:rPr>
              <w:fldChar w:fldCharType="separate"/>
            </w:r>
            <w:r w:rsidR="007403EE">
              <w:rPr>
                <w:noProof/>
                <w:webHidden/>
              </w:rPr>
              <w:t>1</w:t>
            </w:r>
            <w:r w:rsidR="000B791E">
              <w:rPr>
                <w:noProof/>
                <w:webHidden/>
              </w:rPr>
              <w:fldChar w:fldCharType="end"/>
            </w:r>
          </w:hyperlink>
        </w:p>
        <w:p w14:paraId="0E03B266" w14:textId="37AC41AB" w:rsidR="000B791E" w:rsidRDefault="0089196B">
          <w:pPr>
            <w:pStyle w:val="TOC1"/>
            <w:rPr>
              <w:rFonts w:asciiTheme="minorHAnsi" w:eastAsiaTheme="minorEastAsia" w:hAnsiTheme="minorHAnsi" w:cstheme="minorBidi"/>
              <w:noProof/>
              <w:color w:val="auto"/>
              <w:kern w:val="2"/>
              <w:sz w:val="22"/>
              <w:szCs w:val="22"/>
              <w:lang w:val="en-AU" w:eastAsia="en-AU"/>
              <w14:ligatures w14:val="standardContextual"/>
            </w:rPr>
          </w:pPr>
          <w:hyperlink w:anchor="_Toc164067825" w:history="1">
            <w:r w:rsidR="000B791E" w:rsidRPr="00CB747C">
              <w:rPr>
                <w:rStyle w:val="Hyperlink"/>
                <w:noProof/>
              </w:rPr>
              <w:t>1</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Purpose of this Guide</w:t>
            </w:r>
            <w:r w:rsidR="000B791E">
              <w:rPr>
                <w:noProof/>
                <w:webHidden/>
              </w:rPr>
              <w:tab/>
            </w:r>
            <w:r w:rsidR="000B791E">
              <w:rPr>
                <w:noProof/>
                <w:webHidden/>
              </w:rPr>
              <w:fldChar w:fldCharType="begin"/>
            </w:r>
            <w:r w:rsidR="000B791E">
              <w:rPr>
                <w:noProof/>
                <w:webHidden/>
              </w:rPr>
              <w:instrText xml:space="preserve"> PAGEREF _Toc164067825 \h </w:instrText>
            </w:r>
            <w:r w:rsidR="000B791E">
              <w:rPr>
                <w:noProof/>
                <w:webHidden/>
              </w:rPr>
            </w:r>
            <w:r w:rsidR="000B791E">
              <w:rPr>
                <w:noProof/>
                <w:webHidden/>
              </w:rPr>
              <w:fldChar w:fldCharType="separate"/>
            </w:r>
            <w:r w:rsidR="007403EE">
              <w:rPr>
                <w:noProof/>
                <w:webHidden/>
              </w:rPr>
              <w:t>2</w:t>
            </w:r>
            <w:r w:rsidR="000B791E">
              <w:rPr>
                <w:noProof/>
                <w:webHidden/>
              </w:rPr>
              <w:fldChar w:fldCharType="end"/>
            </w:r>
          </w:hyperlink>
        </w:p>
        <w:p w14:paraId="3EDFA6C1" w14:textId="0FEA86B5" w:rsidR="000B791E" w:rsidRDefault="0089196B">
          <w:pPr>
            <w:pStyle w:val="TOC1"/>
            <w:rPr>
              <w:rFonts w:asciiTheme="minorHAnsi" w:eastAsiaTheme="minorEastAsia" w:hAnsiTheme="minorHAnsi" w:cstheme="minorBidi"/>
              <w:noProof/>
              <w:color w:val="auto"/>
              <w:kern w:val="2"/>
              <w:sz w:val="22"/>
              <w:szCs w:val="22"/>
              <w:lang w:val="en-AU" w:eastAsia="en-AU"/>
              <w14:ligatures w14:val="standardContextual"/>
            </w:rPr>
          </w:pPr>
          <w:hyperlink w:anchor="_Toc164067826" w:history="1">
            <w:r w:rsidR="000B791E" w:rsidRPr="00CB747C">
              <w:rPr>
                <w:rStyle w:val="Hyperlink"/>
                <w:noProof/>
              </w:rPr>
              <w:t>2</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Background</w:t>
            </w:r>
            <w:r w:rsidR="000B791E">
              <w:rPr>
                <w:noProof/>
                <w:webHidden/>
              </w:rPr>
              <w:tab/>
            </w:r>
            <w:r w:rsidR="000B791E">
              <w:rPr>
                <w:noProof/>
                <w:webHidden/>
              </w:rPr>
              <w:fldChar w:fldCharType="begin"/>
            </w:r>
            <w:r w:rsidR="000B791E">
              <w:rPr>
                <w:noProof/>
                <w:webHidden/>
              </w:rPr>
              <w:instrText xml:space="preserve"> PAGEREF _Toc164067826 \h </w:instrText>
            </w:r>
            <w:r w:rsidR="000B791E">
              <w:rPr>
                <w:noProof/>
                <w:webHidden/>
              </w:rPr>
            </w:r>
            <w:r w:rsidR="000B791E">
              <w:rPr>
                <w:noProof/>
                <w:webHidden/>
              </w:rPr>
              <w:fldChar w:fldCharType="separate"/>
            </w:r>
            <w:r w:rsidR="007403EE">
              <w:rPr>
                <w:noProof/>
                <w:webHidden/>
              </w:rPr>
              <w:t>2</w:t>
            </w:r>
            <w:r w:rsidR="000B791E">
              <w:rPr>
                <w:noProof/>
                <w:webHidden/>
              </w:rPr>
              <w:fldChar w:fldCharType="end"/>
            </w:r>
          </w:hyperlink>
        </w:p>
        <w:p w14:paraId="250D20B1" w14:textId="7E5B3856" w:rsidR="000B791E" w:rsidRDefault="0089196B">
          <w:pPr>
            <w:pStyle w:val="TOC1"/>
            <w:rPr>
              <w:rFonts w:asciiTheme="minorHAnsi" w:eastAsiaTheme="minorEastAsia" w:hAnsiTheme="minorHAnsi" w:cstheme="minorBidi"/>
              <w:noProof/>
              <w:color w:val="auto"/>
              <w:kern w:val="2"/>
              <w:sz w:val="22"/>
              <w:szCs w:val="22"/>
              <w:lang w:val="en-AU" w:eastAsia="en-AU"/>
              <w14:ligatures w14:val="standardContextual"/>
            </w:rPr>
          </w:pPr>
          <w:hyperlink w:anchor="_Toc164067827" w:history="1">
            <w:r w:rsidR="000B791E" w:rsidRPr="00CB747C">
              <w:rPr>
                <w:rStyle w:val="Hyperlink"/>
                <w:noProof/>
              </w:rPr>
              <w:t>3</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Governance Framework Principles</w:t>
            </w:r>
            <w:r w:rsidR="000B791E">
              <w:rPr>
                <w:noProof/>
                <w:webHidden/>
              </w:rPr>
              <w:tab/>
            </w:r>
            <w:r w:rsidR="000B791E">
              <w:rPr>
                <w:noProof/>
                <w:webHidden/>
              </w:rPr>
              <w:fldChar w:fldCharType="begin"/>
            </w:r>
            <w:r w:rsidR="000B791E">
              <w:rPr>
                <w:noProof/>
                <w:webHidden/>
              </w:rPr>
              <w:instrText xml:space="preserve"> PAGEREF _Toc164067827 \h </w:instrText>
            </w:r>
            <w:r w:rsidR="000B791E">
              <w:rPr>
                <w:noProof/>
                <w:webHidden/>
              </w:rPr>
            </w:r>
            <w:r w:rsidR="000B791E">
              <w:rPr>
                <w:noProof/>
                <w:webHidden/>
              </w:rPr>
              <w:fldChar w:fldCharType="separate"/>
            </w:r>
            <w:r w:rsidR="007403EE">
              <w:rPr>
                <w:noProof/>
                <w:webHidden/>
              </w:rPr>
              <w:t>3</w:t>
            </w:r>
            <w:r w:rsidR="000B791E">
              <w:rPr>
                <w:noProof/>
                <w:webHidden/>
              </w:rPr>
              <w:fldChar w:fldCharType="end"/>
            </w:r>
          </w:hyperlink>
        </w:p>
        <w:p w14:paraId="03ABF355" w14:textId="21F4AD2A" w:rsidR="000B791E" w:rsidRDefault="0089196B">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4067828" w:history="1">
            <w:r w:rsidR="000B791E" w:rsidRPr="00CB747C">
              <w:rPr>
                <w:rStyle w:val="Hyperlink"/>
                <w:noProof/>
              </w:rPr>
              <w:t>3.1</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Proportionality</w:t>
            </w:r>
            <w:r w:rsidR="000B791E">
              <w:rPr>
                <w:noProof/>
                <w:webHidden/>
              </w:rPr>
              <w:tab/>
            </w:r>
            <w:r w:rsidR="000B791E">
              <w:rPr>
                <w:noProof/>
                <w:webHidden/>
              </w:rPr>
              <w:fldChar w:fldCharType="begin"/>
            </w:r>
            <w:r w:rsidR="000B791E">
              <w:rPr>
                <w:noProof/>
                <w:webHidden/>
              </w:rPr>
              <w:instrText xml:space="preserve"> PAGEREF _Toc164067828 \h </w:instrText>
            </w:r>
            <w:r w:rsidR="000B791E">
              <w:rPr>
                <w:noProof/>
                <w:webHidden/>
              </w:rPr>
            </w:r>
            <w:r w:rsidR="000B791E">
              <w:rPr>
                <w:noProof/>
                <w:webHidden/>
              </w:rPr>
              <w:fldChar w:fldCharType="separate"/>
            </w:r>
            <w:r w:rsidR="007403EE">
              <w:rPr>
                <w:noProof/>
                <w:webHidden/>
              </w:rPr>
              <w:t>3</w:t>
            </w:r>
            <w:r w:rsidR="000B791E">
              <w:rPr>
                <w:noProof/>
                <w:webHidden/>
              </w:rPr>
              <w:fldChar w:fldCharType="end"/>
            </w:r>
          </w:hyperlink>
        </w:p>
        <w:p w14:paraId="76A2ACDD" w14:textId="25E812D2" w:rsidR="000B791E" w:rsidRDefault="0089196B">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4067829" w:history="1">
            <w:r w:rsidR="000B791E" w:rsidRPr="00CB747C">
              <w:rPr>
                <w:rStyle w:val="Hyperlink"/>
                <w:noProof/>
              </w:rPr>
              <w:t>3.2</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Clear expectations</w:t>
            </w:r>
            <w:r w:rsidR="000B791E">
              <w:rPr>
                <w:noProof/>
                <w:webHidden/>
              </w:rPr>
              <w:tab/>
            </w:r>
            <w:r w:rsidR="000B791E">
              <w:rPr>
                <w:noProof/>
                <w:webHidden/>
              </w:rPr>
              <w:fldChar w:fldCharType="begin"/>
            </w:r>
            <w:r w:rsidR="000B791E">
              <w:rPr>
                <w:noProof/>
                <w:webHidden/>
              </w:rPr>
              <w:instrText xml:space="preserve"> PAGEREF _Toc164067829 \h </w:instrText>
            </w:r>
            <w:r w:rsidR="000B791E">
              <w:rPr>
                <w:noProof/>
                <w:webHidden/>
              </w:rPr>
            </w:r>
            <w:r w:rsidR="000B791E">
              <w:rPr>
                <w:noProof/>
                <w:webHidden/>
              </w:rPr>
              <w:fldChar w:fldCharType="separate"/>
            </w:r>
            <w:r w:rsidR="007403EE">
              <w:rPr>
                <w:noProof/>
                <w:webHidden/>
              </w:rPr>
              <w:t>3</w:t>
            </w:r>
            <w:r w:rsidR="000B791E">
              <w:rPr>
                <w:noProof/>
                <w:webHidden/>
              </w:rPr>
              <w:fldChar w:fldCharType="end"/>
            </w:r>
          </w:hyperlink>
        </w:p>
        <w:p w14:paraId="59CE81D6" w14:textId="10CFBE17" w:rsidR="000B791E" w:rsidRDefault="0089196B">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4067830" w:history="1">
            <w:r w:rsidR="000B791E" w:rsidRPr="00CB747C">
              <w:rPr>
                <w:rStyle w:val="Hyperlink"/>
                <w:noProof/>
              </w:rPr>
              <w:t>3.3</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Balancing independence and oversight</w:t>
            </w:r>
            <w:r w:rsidR="000B791E">
              <w:rPr>
                <w:noProof/>
                <w:webHidden/>
              </w:rPr>
              <w:tab/>
            </w:r>
            <w:r w:rsidR="000B791E">
              <w:rPr>
                <w:noProof/>
                <w:webHidden/>
              </w:rPr>
              <w:fldChar w:fldCharType="begin"/>
            </w:r>
            <w:r w:rsidR="000B791E">
              <w:rPr>
                <w:noProof/>
                <w:webHidden/>
              </w:rPr>
              <w:instrText xml:space="preserve"> PAGEREF _Toc164067830 \h </w:instrText>
            </w:r>
            <w:r w:rsidR="000B791E">
              <w:rPr>
                <w:noProof/>
                <w:webHidden/>
              </w:rPr>
            </w:r>
            <w:r w:rsidR="000B791E">
              <w:rPr>
                <w:noProof/>
                <w:webHidden/>
              </w:rPr>
              <w:fldChar w:fldCharType="separate"/>
            </w:r>
            <w:r w:rsidR="007403EE">
              <w:rPr>
                <w:noProof/>
                <w:webHidden/>
              </w:rPr>
              <w:t>3</w:t>
            </w:r>
            <w:r w:rsidR="000B791E">
              <w:rPr>
                <w:noProof/>
                <w:webHidden/>
              </w:rPr>
              <w:fldChar w:fldCharType="end"/>
            </w:r>
          </w:hyperlink>
        </w:p>
        <w:p w14:paraId="6257C9C7" w14:textId="2D17D774" w:rsidR="000B791E" w:rsidRDefault="0089196B">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4067831" w:history="1">
            <w:r w:rsidR="000B791E" w:rsidRPr="00CB747C">
              <w:rPr>
                <w:rStyle w:val="Hyperlink"/>
                <w:noProof/>
              </w:rPr>
              <w:t>3.4</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Trust, cooperation, and collaboration</w:t>
            </w:r>
            <w:r w:rsidR="000B791E">
              <w:rPr>
                <w:noProof/>
                <w:webHidden/>
              </w:rPr>
              <w:tab/>
            </w:r>
            <w:r w:rsidR="000B791E">
              <w:rPr>
                <w:noProof/>
                <w:webHidden/>
              </w:rPr>
              <w:fldChar w:fldCharType="begin"/>
            </w:r>
            <w:r w:rsidR="000B791E">
              <w:rPr>
                <w:noProof/>
                <w:webHidden/>
              </w:rPr>
              <w:instrText xml:space="preserve"> PAGEREF _Toc164067831 \h </w:instrText>
            </w:r>
            <w:r w:rsidR="000B791E">
              <w:rPr>
                <w:noProof/>
                <w:webHidden/>
              </w:rPr>
            </w:r>
            <w:r w:rsidR="000B791E">
              <w:rPr>
                <w:noProof/>
                <w:webHidden/>
              </w:rPr>
              <w:fldChar w:fldCharType="separate"/>
            </w:r>
            <w:r w:rsidR="007403EE">
              <w:rPr>
                <w:noProof/>
                <w:webHidden/>
              </w:rPr>
              <w:t>3</w:t>
            </w:r>
            <w:r w:rsidR="000B791E">
              <w:rPr>
                <w:noProof/>
                <w:webHidden/>
              </w:rPr>
              <w:fldChar w:fldCharType="end"/>
            </w:r>
          </w:hyperlink>
        </w:p>
        <w:p w14:paraId="5CE4CBBB" w14:textId="5A042824" w:rsidR="000B791E" w:rsidRDefault="0089196B">
          <w:pPr>
            <w:pStyle w:val="TOC1"/>
            <w:rPr>
              <w:rFonts w:asciiTheme="minorHAnsi" w:eastAsiaTheme="minorEastAsia" w:hAnsiTheme="minorHAnsi" w:cstheme="minorBidi"/>
              <w:noProof/>
              <w:color w:val="auto"/>
              <w:kern w:val="2"/>
              <w:sz w:val="22"/>
              <w:szCs w:val="22"/>
              <w:lang w:val="en-AU" w:eastAsia="en-AU"/>
              <w14:ligatures w14:val="standardContextual"/>
            </w:rPr>
          </w:pPr>
          <w:hyperlink w:anchor="_Toc164067832" w:history="1">
            <w:r w:rsidR="000B791E" w:rsidRPr="00CB747C">
              <w:rPr>
                <w:rStyle w:val="Hyperlink"/>
                <w:noProof/>
              </w:rPr>
              <w:t>4</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Governance Framework Model</w:t>
            </w:r>
            <w:r w:rsidR="000B791E">
              <w:rPr>
                <w:noProof/>
                <w:webHidden/>
              </w:rPr>
              <w:tab/>
            </w:r>
            <w:r w:rsidR="000B791E">
              <w:rPr>
                <w:noProof/>
                <w:webHidden/>
              </w:rPr>
              <w:fldChar w:fldCharType="begin"/>
            </w:r>
            <w:r w:rsidR="000B791E">
              <w:rPr>
                <w:noProof/>
                <w:webHidden/>
              </w:rPr>
              <w:instrText xml:space="preserve"> PAGEREF _Toc164067832 \h </w:instrText>
            </w:r>
            <w:r w:rsidR="000B791E">
              <w:rPr>
                <w:noProof/>
                <w:webHidden/>
              </w:rPr>
            </w:r>
            <w:r w:rsidR="000B791E">
              <w:rPr>
                <w:noProof/>
                <w:webHidden/>
              </w:rPr>
              <w:fldChar w:fldCharType="separate"/>
            </w:r>
            <w:r w:rsidR="007403EE">
              <w:rPr>
                <w:noProof/>
                <w:webHidden/>
              </w:rPr>
              <w:t>4</w:t>
            </w:r>
            <w:r w:rsidR="000B791E">
              <w:rPr>
                <w:noProof/>
                <w:webHidden/>
              </w:rPr>
              <w:fldChar w:fldCharType="end"/>
            </w:r>
          </w:hyperlink>
        </w:p>
        <w:p w14:paraId="5068A91D" w14:textId="4092EBB8" w:rsidR="000B791E" w:rsidRDefault="0089196B">
          <w:pPr>
            <w:pStyle w:val="TOC1"/>
            <w:rPr>
              <w:rFonts w:asciiTheme="minorHAnsi" w:eastAsiaTheme="minorEastAsia" w:hAnsiTheme="minorHAnsi" w:cstheme="minorBidi"/>
              <w:noProof/>
              <w:color w:val="auto"/>
              <w:kern w:val="2"/>
              <w:sz w:val="22"/>
              <w:szCs w:val="22"/>
              <w:lang w:val="en-AU" w:eastAsia="en-AU"/>
              <w14:ligatures w14:val="standardContextual"/>
            </w:rPr>
          </w:pPr>
          <w:hyperlink w:anchor="_Toc164067833" w:history="1">
            <w:r w:rsidR="000B791E" w:rsidRPr="00CB747C">
              <w:rPr>
                <w:rStyle w:val="Hyperlink"/>
                <w:noProof/>
              </w:rPr>
              <w:t>5</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Key Governance Requirements</w:t>
            </w:r>
            <w:r w:rsidR="000B791E">
              <w:rPr>
                <w:noProof/>
                <w:webHidden/>
              </w:rPr>
              <w:tab/>
            </w:r>
            <w:r w:rsidR="000B791E">
              <w:rPr>
                <w:noProof/>
                <w:webHidden/>
              </w:rPr>
              <w:fldChar w:fldCharType="begin"/>
            </w:r>
            <w:r w:rsidR="000B791E">
              <w:rPr>
                <w:noProof/>
                <w:webHidden/>
              </w:rPr>
              <w:instrText xml:space="preserve"> PAGEREF _Toc164067833 \h </w:instrText>
            </w:r>
            <w:r w:rsidR="000B791E">
              <w:rPr>
                <w:noProof/>
                <w:webHidden/>
              </w:rPr>
            </w:r>
            <w:r w:rsidR="000B791E">
              <w:rPr>
                <w:noProof/>
                <w:webHidden/>
              </w:rPr>
              <w:fldChar w:fldCharType="separate"/>
            </w:r>
            <w:r w:rsidR="007403EE">
              <w:rPr>
                <w:noProof/>
                <w:webHidden/>
              </w:rPr>
              <w:t>4</w:t>
            </w:r>
            <w:r w:rsidR="000B791E">
              <w:rPr>
                <w:noProof/>
                <w:webHidden/>
              </w:rPr>
              <w:fldChar w:fldCharType="end"/>
            </w:r>
          </w:hyperlink>
        </w:p>
        <w:p w14:paraId="5A2C91C1" w14:textId="78BD89FC" w:rsidR="000B791E" w:rsidRDefault="0089196B">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4067834" w:history="1">
            <w:r w:rsidR="000B791E" w:rsidRPr="00CB747C">
              <w:rPr>
                <w:rStyle w:val="Hyperlink"/>
                <w:noProof/>
              </w:rPr>
              <w:t>5.1</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Planning</w:t>
            </w:r>
            <w:r w:rsidR="000B791E">
              <w:rPr>
                <w:noProof/>
                <w:webHidden/>
              </w:rPr>
              <w:tab/>
            </w:r>
            <w:r w:rsidR="000B791E">
              <w:rPr>
                <w:noProof/>
                <w:webHidden/>
              </w:rPr>
              <w:fldChar w:fldCharType="begin"/>
            </w:r>
            <w:r w:rsidR="000B791E">
              <w:rPr>
                <w:noProof/>
                <w:webHidden/>
              </w:rPr>
              <w:instrText xml:space="preserve"> PAGEREF _Toc164067834 \h </w:instrText>
            </w:r>
            <w:r w:rsidR="000B791E">
              <w:rPr>
                <w:noProof/>
                <w:webHidden/>
              </w:rPr>
            </w:r>
            <w:r w:rsidR="000B791E">
              <w:rPr>
                <w:noProof/>
                <w:webHidden/>
              </w:rPr>
              <w:fldChar w:fldCharType="separate"/>
            </w:r>
            <w:r w:rsidR="007403EE">
              <w:rPr>
                <w:noProof/>
                <w:webHidden/>
              </w:rPr>
              <w:t>4</w:t>
            </w:r>
            <w:r w:rsidR="000B791E">
              <w:rPr>
                <w:noProof/>
                <w:webHidden/>
              </w:rPr>
              <w:fldChar w:fldCharType="end"/>
            </w:r>
          </w:hyperlink>
        </w:p>
        <w:p w14:paraId="7AE0793E" w14:textId="76348E7F"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35" w:history="1">
            <w:r w:rsidR="000B791E" w:rsidRPr="00CB747C">
              <w:rPr>
                <w:rStyle w:val="Hyperlink"/>
                <w:noProof/>
              </w:rPr>
              <w:t>5.1.1</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Corporate and business planning</w:t>
            </w:r>
            <w:r w:rsidR="000B791E">
              <w:rPr>
                <w:noProof/>
                <w:webHidden/>
              </w:rPr>
              <w:tab/>
            </w:r>
            <w:r w:rsidR="000B791E">
              <w:rPr>
                <w:noProof/>
                <w:webHidden/>
              </w:rPr>
              <w:fldChar w:fldCharType="begin"/>
            </w:r>
            <w:r w:rsidR="000B791E">
              <w:rPr>
                <w:noProof/>
                <w:webHidden/>
              </w:rPr>
              <w:instrText xml:space="preserve"> PAGEREF _Toc164067835 \h </w:instrText>
            </w:r>
            <w:r w:rsidR="000B791E">
              <w:rPr>
                <w:noProof/>
                <w:webHidden/>
              </w:rPr>
            </w:r>
            <w:r w:rsidR="000B791E">
              <w:rPr>
                <w:noProof/>
                <w:webHidden/>
              </w:rPr>
              <w:fldChar w:fldCharType="separate"/>
            </w:r>
            <w:r w:rsidR="007403EE">
              <w:rPr>
                <w:noProof/>
                <w:webHidden/>
              </w:rPr>
              <w:t>4</w:t>
            </w:r>
            <w:r w:rsidR="000B791E">
              <w:rPr>
                <w:noProof/>
                <w:webHidden/>
              </w:rPr>
              <w:fldChar w:fldCharType="end"/>
            </w:r>
          </w:hyperlink>
        </w:p>
        <w:p w14:paraId="3C13B16B" w14:textId="42E6F9DF"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37" w:history="1">
            <w:r w:rsidR="000B791E" w:rsidRPr="00CB747C">
              <w:rPr>
                <w:rStyle w:val="Hyperlink"/>
                <w:noProof/>
              </w:rPr>
              <w:t>5.1.2</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Resource Management Framework</w:t>
            </w:r>
            <w:r w:rsidR="000B791E">
              <w:rPr>
                <w:noProof/>
                <w:webHidden/>
              </w:rPr>
              <w:tab/>
            </w:r>
            <w:r w:rsidR="000B791E">
              <w:rPr>
                <w:noProof/>
                <w:webHidden/>
              </w:rPr>
              <w:fldChar w:fldCharType="begin"/>
            </w:r>
            <w:r w:rsidR="000B791E">
              <w:rPr>
                <w:noProof/>
                <w:webHidden/>
              </w:rPr>
              <w:instrText xml:space="preserve"> PAGEREF _Toc164067837 \h </w:instrText>
            </w:r>
            <w:r w:rsidR="000B791E">
              <w:rPr>
                <w:noProof/>
                <w:webHidden/>
              </w:rPr>
            </w:r>
            <w:r w:rsidR="000B791E">
              <w:rPr>
                <w:noProof/>
                <w:webHidden/>
              </w:rPr>
              <w:fldChar w:fldCharType="separate"/>
            </w:r>
            <w:r w:rsidR="007403EE">
              <w:rPr>
                <w:noProof/>
                <w:webHidden/>
              </w:rPr>
              <w:t>5</w:t>
            </w:r>
            <w:r w:rsidR="000B791E">
              <w:rPr>
                <w:noProof/>
                <w:webHidden/>
              </w:rPr>
              <w:fldChar w:fldCharType="end"/>
            </w:r>
          </w:hyperlink>
        </w:p>
        <w:p w14:paraId="5A8A2B23" w14:textId="2B45E8C2"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38" w:history="1">
            <w:r w:rsidR="000B791E" w:rsidRPr="00CB747C">
              <w:rPr>
                <w:rStyle w:val="Hyperlink"/>
                <w:noProof/>
              </w:rPr>
              <w:t>5.1.3</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Budget formulation</w:t>
            </w:r>
            <w:r w:rsidR="000B791E">
              <w:rPr>
                <w:noProof/>
                <w:webHidden/>
              </w:rPr>
              <w:tab/>
            </w:r>
            <w:r w:rsidR="000B791E">
              <w:rPr>
                <w:noProof/>
                <w:webHidden/>
              </w:rPr>
              <w:fldChar w:fldCharType="begin"/>
            </w:r>
            <w:r w:rsidR="000B791E">
              <w:rPr>
                <w:noProof/>
                <w:webHidden/>
              </w:rPr>
              <w:instrText xml:space="preserve"> PAGEREF _Toc164067838 \h </w:instrText>
            </w:r>
            <w:r w:rsidR="000B791E">
              <w:rPr>
                <w:noProof/>
                <w:webHidden/>
              </w:rPr>
            </w:r>
            <w:r w:rsidR="000B791E">
              <w:rPr>
                <w:noProof/>
                <w:webHidden/>
              </w:rPr>
              <w:fldChar w:fldCharType="separate"/>
            </w:r>
            <w:r w:rsidR="007403EE">
              <w:rPr>
                <w:noProof/>
                <w:webHidden/>
              </w:rPr>
              <w:t>5</w:t>
            </w:r>
            <w:r w:rsidR="000B791E">
              <w:rPr>
                <w:noProof/>
                <w:webHidden/>
              </w:rPr>
              <w:fldChar w:fldCharType="end"/>
            </w:r>
          </w:hyperlink>
        </w:p>
        <w:p w14:paraId="01A5D2AF" w14:textId="6089B8F7"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39" w:history="1">
            <w:r w:rsidR="000B791E" w:rsidRPr="00CB747C">
              <w:rPr>
                <w:rStyle w:val="Hyperlink"/>
                <w:noProof/>
              </w:rPr>
              <w:t>5.1.4</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Policy proposals</w:t>
            </w:r>
            <w:r w:rsidR="000B791E">
              <w:rPr>
                <w:noProof/>
                <w:webHidden/>
              </w:rPr>
              <w:tab/>
            </w:r>
            <w:r w:rsidR="000B791E">
              <w:rPr>
                <w:noProof/>
                <w:webHidden/>
              </w:rPr>
              <w:fldChar w:fldCharType="begin"/>
            </w:r>
            <w:r w:rsidR="000B791E">
              <w:rPr>
                <w:noProof/>
                <w:webHidden/>
              </w:rPr>
              <w:instrText xml:space="preserve"> PAGEREF _Toc164067839 \h </w:instrText>
            </w:r>
            <w:r w:rsidR="000B791E">
              <w:rPr>
                <w:noProof/>
                <w:webHidden/>
              </w:rPr>
            </w:r>
            <w:r w:rsidR="000B791E">
              <w:rPr>
                <w:noProof/>
                <w:webHidden/>
              </w:rPr>
              <w:fldChar w:fldCharType="separate"/>
            </w:r>
            <w:r w:rsidR="007403EE">
              <w:rPr>
                <w:noProof/>
                <w:webHidden/>
              </w:rPr>
              <w:t>6</w:t>
            </w:r>
            <w:r w:rsidR="000B791E">
              <w:rPr>
                <w:noProof/>
                <w:webHidden/>
              </w:rPr>
              <w:fldChar w:fldCharType="end"/>
            </w:r>
          </w:hyperlink>
        </w:p>
        <w:p w14:paraId="51902571" w14:textId="2917D963"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40" w:history="1">
            <w:r w:rsidR="000B791E" w:rsidRPr="00CB747C">
              <w:rPr>
                <w:rStyle w:val="Hyperlink"/>
                <w:noProof/>
              </w:rPr>
              <w:t>5.1.5</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Budget and funding proposals</w:t>
            </w:r>
            <w:r w:rsidR="000B791E">
              <w:rPr>
                <w:noProof/>
                <w:webHidden/>
              </w:rPr>
              <w:tab/>
            </w:r>
            <w:r w:rsidR="000B791E">
              <w:rPr>
                <w:noProof/>
                <w:webHidden/>
              </w:rPr>
              <w:fldChar w:fldCharType="begin"/>
            </w:r>
            <w:r w:rsidR="000B791E">
              <w:rPr>
                <w:noProof/>
                <w:webHidden/>
              </w:rPr>
              <w:instrText xml:space="preserve"> PAGEREF _Toc164067840 \h </w:instrText>
            </w:r>
            <w:r w:rsidR="000B791E">
              <w:rPr>
                <w:noProof/>
                <w:webHidden/>
              </w:rPr>
            </w:r>
            <w:r w:rsidR="000B791E">
              <w:rPr>
                <w:noProof/>
                <w:webHidden/>
              </w:rPr>
              <w:fldChar w:fldCharType="separate"/>
            </w:r>
            <w:r w:rsidR="007403EE">
              <w:rPr>
                <w:noProof/>
                <w:webHidden/>
              </w:rPr>
              <w:t>6</w:t>
            </w:r>
            <w:r w:rsidR="000B791E">
              <w:rPr>
                <w:noProof/>
                <w:webHidden/>
              </w:rPr>
              <w:fldChar w:fldCharType="end"/>
            </w:r>
          </w:hyperlink>
        </w:p>
        <w:p w14:paraId="21F93DCA" w14:textId="537F22E6"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41" w:history="1">
            <w:r w:rsidR="000B791E" w:rsidRPr="00CB747C">
              <w:rPr>
                <w:rStyle w:val="Hyperlink"/>
                <w:noProof/>
              </w:rPr>
              <w:t>5.1.6</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Procurement</w:t>
            </w:r>
            <w:r w:rsidR="000B791E">
              <w:rPr>
                <w:noProof/>
                <w:webHidden/>
              </w:rPr>
              <w:tab/>
            </w:r>
            <w:r w:rsidR="000B791E">
              <w:rPr>
                <w:noProof/>
                <w:webHidden/>
              </w:rPr>
              <w:fldChar w:fldCharType="begin"/>
            </w:r>
            <w:r w:rsidR="000B791E">
              <w:rPr>
                <w:noProof/>
                <w:webHidden/>
              </w:rPr>
              <w:instrText xml:space="preserve"> PAGEREF _Toc164067841 \h </w:instrText>
            </w:r>
            <w:r w:rsidR="000B791E">
              <w:rPr>
                <w:noProof/>
                <w:webHidden/>
              </w:rPr>
            </w:r>
            <w:r w:rsidR="000B791E">
              <w:rPr>
                <w:noProof/>
                <w:webHidden/>
              </w:rPr>
              <w:fldChar w:fldCharType="separate"/>
            </w:r>
            <w:r w:rsidR="007403EE">
              <w:rPr>
                <w:noProof/>
                <w:webHidden/>
              </w:rPr>
              <w:t>6</w:t>
            </w:r>
            <w:r w:rsidR="000B791E">
              <w:rPr>
                <w:noProof/>
                <w:webHidden/>
              </w:rPr>
              <w:fldChar w:fldCharType="end"/>
            </w:r>
          </w:hyperlink>
        </w:p>
        <w:p w14:paraId="71C4363D" w14:textId="4B9423F9"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42" w:history="1">
            <w:r w:rsidR="000B791E" w:rsidRPr="00CB747C">
              <w:rPr>
                <w:rStyle w:val="Hyperlink"/>
                <w:noProof/>
              </w:rPr>
              <w:t>5.1.7</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Service Level Agreements (SLA)</w:t>
            </w:r>
            <w:r w:rsidR="000B791E">
              <w:rPr>
                <w:noProof/>
                <w:webHidden/>
              </w:rPr>
              <w:tab/>
            </w:r>
            <w:r w:rsidR="000B791E">
              <w:rPr>
                <w:noProof/>
                <w:webHidden/>
              </w:rPr>
              <w:fldChar w:fldCharType="begin"/>
            </w:r>
            <w:r w:rsidR="000B791E">
              <w:rPr>
                <w:noProof/>
                <w:webHidden/>
              </w:rPr>
              <w:instrText xml:space="preserve"> PAGEREF _Toc164067842 \h </w:instrText>
            </w:r>
            <w:r w:rsidR="000B791E">
              <w:rPr>
                <w:noProof/>
                <w:webHidden/>
              </w:rPr>
            </w:r>
            <w:r w:rsidR="000B791E">
              <w:rPr>
                <w:noProof/>
                <w:webHidden/>
              </w:rPr>
              <w:fldChar w:fldCharType="separate"/>
            </w:r>
            <w:r w:rsidR="007403EE">
              <w:rPr>
                <w:noProof/>
                <w:webHidden/>
              </w:rPr>
              <w:t>7</w:t>
            </w:r>
            <w:r w:rsidR="000B791E">
              <w:rPr>
                <w:noProof/>
                <w:webHidden/>
              </w:rPr>
              <w:fldChar w:fldCharType="end"/>
            </w:r>
          </w:hyperlink>
        </w:p>
        <w:p w14:paraId="0F61A36C" w14:textId="41E1C4B4"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43" w:history="1">
            <w:r w:rsidR="000B791E" w:rsidRPr="00CB747C">
              <w:rPr>
                <w:rStyle w:val="Hyperlink"/>
                <w:noProof/>
              </w:rPr>
              <w:t>5.1.8</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Statement of Expectations (SOE)</w:t>
            </w:r>
            <w:r w:rsidR="000B791E">
              <w:rPr>
                <w:noProof/>
                <w:webHidden/>
              </w:rPr>
              <w:tab/>
            </w:r>
            <w:r w:rsidR="000B791E">
              <w:rPr>
                <w:noProof/>
                <w:webHidden/>
              </w:rPr>
              <w:fldChar w:fldCharType="begin"/>
            </w:r>
            <w:r w:rsidR="000B791E">
              <w:rPr>
                <w:noProof/>
                <w:webHidden/>
              </w:rPr>
              <w:instrText xml:space="preserve"> PAGEREF _Toc164067843 \h </w:instrText>
            </w:r>
            <w:r w:rsidR="000B791E">
              <w:rPr>
                <w:noProof/>
                <w:webHidden/>
              </w:rPr>
            </w:r>
            <w:r w:rsidR="000B791E">
              <w:rPr>
                <w:noProof/>
                <w:webHidden/>
              </w:rPr>
              <w:fldChar w:fldCharType="separate"/>
            </w:r>
            <w:r w:rsidR="007403EE">
              <w:rPr>
                <w:noProof/>
                <w:webHidden/>
              </w:rPr>
              <w:t>7</w:t>
            </w:r>
            <w:r w:rsidR="000B791E">
              <w:rPr>
                <w:noProof/>
                <w:webHidden/>
              </w:rPr>
              <w:fldChar w:fldCharType="end"/>
            </w:r>
          </w:hyperlink>
        </w:p>
        <w:p w14:paraId="2FC71105" w14:textId="0429E761" w:rsidR="000B791E" w:rsidRDefault="0089196B">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4067844" w:history="1">
            <w:r w:rsidR="000B791E" w:rsidRPr="00CB747C">
              <w:rPr>
                <w:rStyle w:val="Hyperlink"/>
                <w:noProof/>
              </w:rPr>
              <w:t>5.2</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Analyse and Monitor</w:t>
            </w:r>
            <w:r w:rsidR="000B791E">
              <w:rPr>
                <w:noProof/>
                <w:webHidden/>
              </w:rPr>
              <w:tab/>
            </w:r>
            <w:r w:rsidR="000B791E">
              <w:rPr>
                <w:noProof/>
                <w:webHidden/>
              </w:rPr>
              <w:fldChar w:fldCharType="begin"/>
            </w:r>
            <w:r w:rsidR="000B791E">
              <w:rPr>
                <w:noProof/>
                <w:webHidden/>
              </w:rPr>
              <w:instrText xml:space="preserve"> PAGEREF _Toc164067844 \h </w:instrText>
            </w:r>
            <w:r w:rsidR="000B791E">
              <w:rPr>
                <w:noProof/>
                <w:webHidden/>
              </w:rPr>
            </w:r>
            <w:r w:rsidR="000B791E">
              <w:rPr>
                <w:noProof/>
                <w:webHidden/>
              </w:rPr>
              <w:fldChar w:fldCharType="separate"/>
            </w:r>
            <w:r w:rsidR="007403EE">
              <w:rPr>
                <w:noProof/>
                <w:webHidden/>
              </w:rPr>
              <w:t>7</w:t>
            </w:r>
            <w:r w:rsidR="000B791E">
              <w:rPr>
                <w:noProof/>
                <w:webHidden/>
              </w:rPr>
              <w:fldChar w:fldCharType="end"/>
            </w:r>
          </w:hyperlink>
        </w:p>
        <w:p w14:paraId="02E4BBCB" w14:textId="0C5DC98B"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45" w:history="1">
            <w:r w:rsidR="000B791E" w:rsidRPr="00CB747C">
              <w:rPr>
                <w:rStyle w:val="Hyperlink"/>
                <w:noProof/>
              </w:rPr>
              <w:t>5.2.1</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Entity review</w:t>
            </w:r>
            <w:r w:rsidR="000B791E">
              <w:rPr>
                <w:noProof/>
                <w:webHidden/>
              </w:rPr>
              <w:tab/>
            </w:r>
            <w:r w:rsidR="000B791E">
              <w:rPr>
                <w:noProof/>
                <w:webHidden/>
              </w:rPr>
              <w:fldChar w:fldCharType="begin"/>
            </w:r>
            <w:r w:rsidR="000B791E">
              <w:rPr>
                <w:noProof/>
                <w:webHidden/>
              </w:rPr>
              <w:instrText xml:space="preserve"> PAGEREF _Toc164067845 \h </w:instrText>
            </w:r>
            <w:r w:rsidR="000B791E">
              <w:rPr>
                <w:noProof/>
                <w:webHidden/>
              </w:rPr>
            </w:r>
            <w:r w:rsidR="000B791E">
              <w:rPr>
                <w:noProof/>
                <w:webHidden/>
              </w:rPr>
              <w:fldChar w:fldCharType="separate"/>
            </w:r>
            <w:r w:rsidR="007403EE">
              <w:rPr>
                <w:noProof/>
                <w:webHidden/>
              </w:rPr>
              <w:t>7</w:t>
            </w:r>
            <w:r w:rsidR="000B791E">
              <w:rPr>
                <w:noProof/>
                <w:webHidden/>
              </w:rPr>
              <w:fldChar w:fldCharType="end"/>
            </w:r>
          </w:hyperlink>
        </w:p>
        <w:p w14:paraId="1C051F75" w14:textId="5C3B0991"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46" w:history="1">
            <w:r w:rsidR="000B791E" w:rsidRPr="00CB747C">
              <w:rPr>
                <w:rStyle w:val="Hyperlink"/>
                <w:noProof/>
              </w:rPr>
              <w:t>5.2.2</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Program evaluations</w:t>
            </w:r>
            <w:r w:rsidR="000B791E">
              <w:rPr>
                <w:noProof/>
                <w:webHidden/>
              </w:rPr>
              <w:tab/>
            </w:r>
            <w:r w:rsidR="000B791E">
              <w:rPr>
                <w:noProof/>
                <w:webHidden/>
              </w:rPr>
              <w:fldChar w:fldCharType="begin"/>
            </w:r>
            <w:r w:rsidR="000B791E">
              <w:rPr>
                <w:noProof/>
                <w:webHidden/>
              </w:rPr>
              <w:instrText xml:space="preserve"> PAGEREF _Toc164067846 \h </w:instrText>
            </w:r>
            <w:r w:rsidR="000B791E">
              <w:rPr>
                <w:noProof/>
                <w:webHidden/>
              </w:rPr>
            </w:r>
            <w:r w:rsidR="000B791E">
              <w:rPr>
                <w:noProof/>
                <w:webHidden/>
              </w:rPr>
              <w:fldChar w:fldCharType="separate"/>
            </w:r>
            <w:r w:rsidR="007403EE">
              <w:rPr>
                <w:noProof/>
                <w:webHidden/>
              </w:rPr>
              <w:t>8</w:t>
            </w:r>
            <w:r w:rsidR="000B791E">
              <w:rPr>
                <w:noProof/>
                <w:webHidden/>
              </w:rPr>
              <w:fldChar w:fldCharType="end"/>
            </w:r>
          </w:hyperlink>
        </w:p>
        <w:p w14:paraId="0B9494A4" w14:textId="4F2054B4" w:rsidR="000B791E" w:rsidRDefault="0089196B">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4067847" w:history="1">
            <w:r w:rsidR="000B791E" w:rsidRPr="00CB747C">
              <w:rPr>
                <w:rStyle w:val="Hyperlink"/>
                <w:noProof/>
              </w:rPr>
              <w:t>5.3</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Report</w:t>
            </w:r>
            <w:r w:rsidR="000B791E">
              <w:rPr>
                <w:noProof/>
                <w:webHidden/>
              </w:rPr>
              <w:tab/>
            </w:r>
            <w:r w:rsidR="000B791E">
              <w:rPr>
                <w:noProof/>
                <w:webHidden/>
              </w:rPr>
              <w:fldChar w:fldCharType="begin"/>
            </w:r>
            <w:r w:rsidR="000B791E">
              <w:rPr>
                <w:noProof/>
                <w:webHidden/>
              </w:rPr>
              <w:instrText xml:space="preserve"> PAGEREF _Toc164067847 \h </w:instrText>
            </w:r>
            <w:r w:rsidR="000B791E">
              <w:rPr>
                <w:noProof/>
                <w:webHidden/>
              </w:rPr>
            </w:r>
            <w:r w:rsidR="000B791E">
              <w:rPr>
                <w:noProof/>
                <w:webHidden/>
              </w:rPr>
              <w:fldChar w:fldCharType="separate"/>
            </w:r>
            <w:r w:rsidR="007403EE">
              <w:rPr>
                <w:noProof/>
                <w:webHidden/>
              </w:rPr>
              <w:t>8</w:t>
            </w:r>
            <w:r w:rsidR="000B791E">
              <w:rPr>
                <w:noProof/>
                <w:webHidden/>
              </w:rPr>
              <w:fldChar w:fldCharType="end"/>
            </w:r>
          </w:hyperlink>
        </w:p>
        <w:p w14:paraId="5E17067B" w14:textId="0C7BE1A7"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48" w:history="1">
            <w:r w:rsidR="000B791E" w:rsidRPr="00CB747C">
              <w:rPr>
                <w:rStyle w:val="Hyperlink"/>
                <w:iCs/>
                <w:noProof/>
              </w:rPr>
              <w:t>5.3.1</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i/>
                <w:noProof/>
              </w:rPr>
              <w:t>Financial Management Act 1994</w:t>
            </w:r>
            <w:r w:rsidR="000B791E" w:rsidRPr="00CB747C">
              <w:rPr>
                <w:rStyle w:val="Hyperlink"/>
                <w:noProof/>
              </w:rPr>
              <w:t xml:space="preserve"> and Standing Directions 2018</w:t>
            </w:r>
            <w:r w:rsidR="000B791E">
              <w:rPr>
                <w:noProof/>
                <w:webHidden/>
              </w:rPr>
              <w:tab/>
            </w:r>
            <w:r w:rsidR="000B791E">
              <w:rPr>
                <w:noProof/>
                <w:webHidden/>
              </w:rPr>
              <w:fldChar w:fldCharType="begin"/>
            </w:r>
            <w:r w:rsidR="000B791E">
              <w:rPr>
                <w:noProof/>
                <w:webHidden/>
              </w:rPr>
              <w:instrText xml:space="preserve"> PAGEREF _Toc164067848 \h </w:instrText>
            </w:r>
            <w:r w:rsidR="000B791E">
              <w:rPr>
                <w:noProof/>
                <w:webHidden/>
              </w:rPr>
            </w:r>
            <w:r w:rsidR="000B791E">
              <w:rPr>
                <w:noProof/>
                <w:webHidden/>
              </w:rPr>
              <w:fldChar w:fldCharType="separate"/>
            </w:r>
            <w:r w:rsidR="007403EE">
              <w:rPr>
                <w:noProof/>
                <w:webHidden/>
              </w:rPr>
              <w:t>8</w:t>
            </w:r>
            <w:r w:rsidR="000B791E">
              <w:rPr>
                <w:noProof/>
                <w:webHidden/>
              </w:rPr>
              <w:fldChar w:fldCharType="end"/>
            </w:r>
          </w:hyperlink>
        </w:p>
        <w:p w14:paraId="346091A6" w14:textId="3275FB9B"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49" w:history="1">
            <w:r w:rsidR="000B791E" w:rsidRPr="00CB747C">
              <w:rPr>
                <w:rStyle w:val="Hyperlink"/>
                <w:noProof/>
              </w:rPr>
              <w:t>5.3.2</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Performance reports</w:t>
            </w:r>
            <w:r w:rsidR="000B791E">
              <w:rPr>
                <w:noProof/>
                <w:webHidden/>
              </w:rPr>
              <w:tab/>
            </w:r>
            <w:r w:rsidR="000B791E">
              <w:rPr>
                <w:noProof/>
                <w:webHidden/>
              </w:rPr>
              <w:fldChar w:fldCharType="begin"/>
            </w:r>
            <w:r w:rsidR="000B791E">
              <w:rPr>
                <w:noProof/>
                <w:webHidden/>
              </w:rPr>
              <w:instrText xml:space="preserve"> PAGEREF _Toc164067849 \h </w:instrText>
            </w:r>
            <w:r w:rsidR="000B791E">
              <w:rPr>
                <w:noProof/>
                <w:webHidden/>
              </w:rPr>
            </w:r>
            <w:r w:rsidR="000B791E">
              <w:rPr>
                <w:noProof/>
                <w:webHidden/>
              </w:rPr>
              <w:fldChar w:fldCharType="separate"/>
            </w:r>
            <w:r w:rsidR="007403EE">
              <w:rPr>
                <w:noProof/>
                <w:webHidden/>
              </w:rPr>
              <w:t>9</w:t>
            </w:r>
            <w:r w:rsidR="000B791E">
              <w:rPr>
                <w:noProof/>
                <w:webHidden/>
              </w:rPr>
              <w:fldChar w:fldCharType="end"/>
            </w:r>
          </w:hyperlink>
        </w:p>
        <w:p w14:paraId="77C05588" w14:textId="4F7301D9"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50" w:history="1">
            <w:r w:rsidR="000B791E" w:rsidRPr="00CB747C">
              <w:rPr>
                <w:rStyle w:val="Hyperlink"/>
                <w:noProof/>
              </w:rPr>
              <w:t>5.3.3</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Financial reports</w:t>
            </w:r>
            <w:r w:rsidR="000B791E">
              <w:rPr>
                <w:noProof/>
                <w:webHidden/>
              </w:rPr>
              <w:tab/>
            </w:r>
            <w:r w:rsidR="000B791E">
              <w:rPr>
                <w:noProof/>
                <w:webHidden/>
              </w:rPr>
              <w:fldChar w:fldCharType="begin"/>
            </w:r>
            <w:r w:rsidR="000B791E">
              <w:rPr>
                <w:noProof/>
                <w:webHidden/>
              </w:rPr>
              <w:instrText xml:space="preserve"> PAGEREF _Toc164067850 \h </w:instrText>
            </w:r>
            <w:r w:rsidR="000B791E">
              <w:rPr>
                <w:noProof/>
                <w:webHidden/>
              </w:rPr>
            </w:r>
            <w:r w:rsidR="000B791E">
              <w:rPr>
                <w:noProof/>
                <w:webHidden/>
              </w:rPr>
              <w:fldChar w:fldCharType="separate"/>
            </w:r>
            <w:r w:rsidR="007403EE">
              <w:rPr>
                <w:noProof/>
                <w:webHidden/>
              </w:rPr>
              <w:t>9</w:t>
            </w:r>
            <w:r w:rsidR="000B791E">
              <w:rPr>
                <w:noProof/>
                <w:webHidden/>
              </w:rPr>
              <w:fldChar w:fldCharType="end"/>
            </w:r>
          </w:hyperlink>
        </w:p>
        <w:p w14:paraId="289E4682" w14:textId="3F453FA8"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51" w:history="1">
            <w:r w:rsidR="000B791E" w:rsidRPr="00CB747C">
              <w:rPr>
                <w:rStyle w:val="Hyperlink"/>
                <w:noProof/>
              </w:rPr>
              <w:t>5.3.4</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Compliance with DTF’s Asset Management and Accountability Framework (AMAF) and related attestation requirements</w:t>
            </w:r>
            <w:r w:rsidR="000B791E">
              <w:rPr>
                <w:noProof/>
                <w:webHidden/>
              </w:rPr>
              <w:tab/>
            </w:r>
            <w:r w:rsidR="000B791E">
              <w:rPr>
                <w:noProof/>
                <w:webHidden/>
              </w:rPr>
              <w:fldChar w:fldCharType="begin"/>
            </w:r>
            <w:r w:rsidR="000B791E">
              <w:rPr>
                <w:noProof/>
                <w:webHidden/>
              </w:rPr>
              <w:instrText xml:space="preserve"> PAGEREF _Toc164067851 \h </w:instrText>
            </w:r>
            <w:r w:rsidR="000B791E">
              <w:rPr>
                <w:noProof/>
                <w:webHidden/>
              </w:rPr>
            </w:r>
            <w:r w:rsidR="000B791E">
              <w:rPr>
                <w:noProof/>
                <w:webHidden/>
              </w:rPr>
              <w:fldChar w:fldCharType="separate"/>
            </w:r>
            <w:r w:rsidR="007403EE">
              <w:rPr>
                <w:noProof/>
                <w:webHidden/>
              </w:rPr>
              <w:t>10</w:t>
            </w:r>
            <w:r w:rsidR="000B791E">
              <w:rPr>
                <w:noProof/>
                <w:webHidden/>
              </w:rPr>
              <w:fldChar w:fldCharType="end"/>
            </w:r>
          </w:hyperlink>
        </w:p>
        <w:p w14:paraId="5B03A5B1" w14:textId="695F71B8" w:rsidR="000B791E" w:rsidRDefault="0089196B">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4067852" w:history="1">
            <w:r w:rsidR="000B791E" w:rsidRPr="00CB747C">
              <w:rPr>
                <w:rStyle w:val="Hyperlink"/>
                <w:noProof/>
              </w:rPr>
              <w:t>5.4</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Risk Management and Assurance</w:t>
            </w:r>
            <w:r w:rsidR="000B791E">
              <w:rPr>
                <w:noProof/>
                <w:webHidden/>
              </w:rPr>
              <w:tab/>
            </w:r>
            <w:r w:rsidR="000B791E">
              <w:rPr>
                <w:noProof/>
                <w:webHidden/>
              </w:rPr>
              <w:fldChar w:fldCharType="begin"/>
            </w:r>
            <w:r w:rsidR="000B791E">
              <w:rPr>
                <w:noProof/>
                <w:webHidden/>
              </w:rPr>
              <w:instrText xml:space="preserve"> PAGEREF _Toc164067852 \h </w:instrText>
            </w:r>
            <w:r w:rsidR="000B791E">
              <w:rPr>
                <w:noProof/>
                <w:webHidden/>
              </w:rPr>
            </w:r>
            <w:r w:rsidR="000B791E">
              <w:rPr>
                <w:noProof/>
                <w:webHidden/>
              </w:rPr>
              <w:fldChar w:fldCharType="separate"/>
            </w:r>
            <w:r w:rsidR="007403EE">
              <w:rPr>
                <w:noProof/>
                <w:webHidden/>
              </w:rPr>
              <w:t>10</w:t>
            </w:r>
            <w:r w:rsidR="000B791E">
              <w:rPr>
                <w:noProof/>
                <w:webHidden/>
              </w:rPr>
              <w:fldChar w:fldCharType="end"/>
            </w:r>
          </w:hyperlink>
        </w:p>
        <w:p w14:paraId="35F8678B" w14:textId="7C012BCF"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53" w:history="1">
            <w:r w:rsidR="000B791E" w:rsidRPr="00CB747C">
              <w:rPr>
                <w:rStyle w:val="Hyperlink"/>
                <w:noProof/>
              </w:rPr>
              <w:t>5.4.1</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Risk management</w:t>
            </w:r>
            <w:r w:rsidR="000B791E">
              <w:rPr>
                <w:noProof/>
                <w:webHidden/>
              </w:rPr>
              <w:tab/>
            </w:r>
            <w:r w:rsidR="000B791E">
              <w:rPr>
                <w:noProof/>
                <w:webHidden/>
              </w:rPr>
              <w:fldChar w:fldCharType="begin"/>
            </w:r>
            <w:r w:rsidR="000B791E">
              <w:rPr>
                <w:noProof/>
                <w:webHidden/>
              </w:rPr>
              <w:instrText xml:space="preserve"> PAGEREF _Toc164067853 \h </w:instrText>
            </w:r>
            <w:r w:rsidR="000B791E">
              <w:rPr>
                <w:noProof/>
                <w:webHidden/>
              </w:rPr>
            </w:r>
            <w:r w:rsidR="000B791E">
              <w:rPr>
                <w:noProof/>
                <w:webHidden/>
              </w:rPr>
              <w:fldChar w:fldCharType="separate"/>
            </w:r>
            <w:r w:rsidR="007403EE">
              <w:rPr>
                <w:noProof/>
                <w:webHidden/>
              </w:rPr>
              <w:t>10</w:t>
            </w:r>
            <w:r w:rsidR="000B791E">
              <w:rPr>
                <w:noProof/>
                <w:webHidden/>
              </w:rPr>
              <w:fldChar w:fldCharType="end"/>
            </w:r>
          </w:hyperlink>
        </w:p>
        <w:p w14:paraId="15A91D16" w14:textId="5198D421"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54" w:history="1">
            <w:r w:rsidR="000B791E" w:rsidRPr="00CB747C">
              <w:rPr>
                <w:rStyle w:val="Hyperlink"/>
                <w:noProof/>
              </w:rPr>
              <w:t>5.4.2</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Entity risk escalation criteria</w:t>
            </w:r>
            <w:r w:rsidR="000B791E">
              <w:rPr>
                <w:noProof/>
                <w:webHidden/>
              </w:rPr>
              <w:tab/>
            </w:r>
            <w:r w:rsidR="000B791E">
              <w:rPr>
                <w:noProof/>
                <w:webHidden/>
              </w:rPr>
              <w:fldChar w:fldCharType="begin"/>
            </w:r>
            <w:r w:rsidR="000B791E">
              <w:rPr>
                <w:noProof/>
                <w:webHidden/>
              </w:rPr>
              <w:instrText xml:space="preserve"> PAGEREF _Toc164067854 \h </w:instrText>
            </w:r>
            <w:r w:rsidR="000B791E">
              <w:rPr>
                <w:noProof/>
                <w:webHidden/>
              </w:rPr>
            </w:r>
            <w:r w:rsidR="000B791E">
              <w:rPr>
                <w:noProof/>
                <w:webHidden/>
              </w:rPr>
              <w:fldChar w:fldCharType="separate"/>
            </w:r>
            <w:r w:rsidR="007403EE">
              <w:rPr>
                <w:noProof/>
                <w:webHidden/>
              </w:rPr>
              <w:t>11</w:t>
            </w:r>
            <w:r w:rsidR="000B791E">
              <w:rPr>
                <w:noProof/>
                <w:webHidden/>
              </w:rPr>
              <w:fldChar w:fldCharType="end"/>
            </w:r>
          </w:hyperlink>
        </w:p>
        <w:p w14:paraId="13CD8373" w14:textId="2810D520"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55" w:history="1">
            <w:r w:rsidR="000B791E" w:rsidRPr="00CB747C">
              <w:rPr>
                <w:rStyle w:val="Hyperlink"/>
                <w:noProof/>
              </w:rPr>
              <w:t>5.4.3</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Assurance activities</w:t>
            </w:r>
            <w:r w:rsidR="000B791E">
              <w:rPr>
                <w:noProof/>
                <w:webHidden/>
              </w:rPr>
              <w:tab/>
            </w:r>
            <w:r w:rsidR="000B791E">
              <w:rPr>
                <w:noProof/>
                <w:webHidden/>
              </w:rPr>
              <w:fldChar w:fldCharType="begin"/>
            </w:r>
            <w:r w:rsidR="000B791E">
              <w:rPr>
                <w:noProof/>
                <w:webHidden/>
              </w:rPr>
              <w:instrText xml:space="preserve"> PAGEREF _Toc164067855 \h </w:instrText>
            </w:r>
            <w:r w:rsidR="000B791E">
              <w:rPr>
                <w:noProof/>
                <w:webHidden/>
              </w:rPr>
            </w:r>
            <w:r w:rsidR="000B791E">
              <w:rPr>
                <w:noProof/>
                <w:webHidden/>
              </w:rPr>
              <w:fldChar w:fldCharType="separate"/>
            </w:r>
            <w:r w:rsidR="007403EE">
              <w:rPr>
                <w:noProof/>
                <w:webHidden/>
              </w:rPr>
              <w:t>12</w:t>
            </w:r>
            <w:r w:rsidR="000B791E">
              <w:rPr>
                <w:noProof/>
                <w:webHidden/>
              </w:rPr>
              <w:fldChar w:fldCharType="end"/>
            </w:r>
          </w:hyperlink>
        </w:p>
        <w:p w14:paraId="4E389DEE" w14:textId="5BF99ADA"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56" w:history="1">
            <w:r w:rsidR="000B791E" w:rsidRPr="00CB747C">
              <w:rPr>
                <w:rStyle w:val="Hyperlink"/>
                <w:noProof/>
              </w:rPr>
              <w:t>5.4.4</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Insurance</w:t>
            </w:r>
            <w:r w:rsidR="000B791E">
              <w:rPr>
                <w:noProof/>
                <w:webHidden/>
              </w:rPr>
              <w:tab/>
            </w:r>
            <w:r w:rsidR="000B791E">
              <w:rPr>
                <w:noProof/>
                <w:webHidden/>
              </w:rPr>
              <w:fldChar w:fldCharType="begin"/>
            </w:r>
            <w:r w:rsidR="000B791E">
              <w:rPr>
                <w:noProof/>
                <w:webHidden/>
              </w:rPr>
              <w:instrText xml:space="preserve"> PAGEREF _Toc164067856 \h </w:instrText>
            </w:r>
            <w:r w:rsidR="000B791E">
              <w:rPr>
                <w:noProof/>
                <w:webHidden/>
              </w:rPr>
            </w:r>
            <w:r w:rsidR="000B791E">
              <w:rPr>
                <w:noProof/>
                <w:webHidden/>
              </w:rPr>
              <w:fldChar w:fldCharType="separate"/>
            </w:r>
            <w:r w:rsidR="007403EE">
              <w:rPr>
                <w:noProof/>
                <w:webHidden/>
              </w:rPr>
              <w:t>12</w:t>
            </w:r>
            <w:r w:rsidR="000B791E">
              <w:rPr>
                <w:noProof/>
                <w:webHidden/>
              </w:rPr>
              <w:fldChar w:fldCharType="end"/>
            </w:r>
          </w:hyperlink>
        </w:p>
        <w:p w14:paraId="6D0F946A" w14:textId="1F99EA99" w:rsidR="000B791E" w:rsidRDefault="0089196B">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4067857" w:history="1">
            <w:r w:rsidR="000B791E" w:rsidRPr="00CB747C">
              <w:rPr>
                <w:rStyle w:val="Hyperlink"/>
                <w:noProof/>
              </w:rPr>
              <w:t>5.5</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Communication and Engagement</w:t>
            </w:r>
            <w:r w:rsidR="000B791E">
              <w:rPr>
                <w:noProof/>
                <w:webHidden/>
              </w:rPr>
              <w:tab/>
            </w:r>
            <w:r w:rsidR="000B791E">
              <w:rPr>
                <w:noProof/>
                <w:webHidden/>
              </w:rPr>
              <w:fldChar w:fldCharType="begin"/>
            </w:r>
            <w:r w:rsidR="000B791E">
              <w:rPr>
                <w:noProof/>
                <w:webHidden/>
              </w:rPr>
              <w:instrText xml:space="preserve"> PAGEREF _Toc164067857 \h </w:instrText>
            </w:r>
            <w:r w:rsidR="000B791E">
              <w:rPr>
                <w:noProof/>
                <w:webHidden/>
              </w:rPr>
            </w:r>
            <w:r w:rsidR="000B791E">
              <w:rPr>
                <w:noProof/>
                <w:webHidden/>
              </w:rPr>
              <w:fldChar w:fldCharType="separate"/>
            </w:r>
            <w:r w:rsidR="007403EE">
              <w:rPr>
                <w:noProof/>
                <w:webHidden/>
              </w:rPr>
              <w:t>12</w:t>
            </w:r>
            <w:r w:rsidR="000B791E">
              <w:rPr>
                <w:noProof/>
                <w:webHidden/>
              </w:rPr>
              <w:fldChar w:fldCharType="end"/>
            </w:r>
          </w:hyperlink>
        </w:p>
        <w:p w14:paraId="09BDA85D" w14:textId="4D6C4F7A"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58" w:history="1">
            <w:r w:rsidR="000B791E" w:rsidRPr="00CB747C">
              <w:rPr>
                <w:rStyle w:val="Hyperlink"/>
                <w:noProof/>
              </w:rPr>
              <w:t>5.5.1</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Roles and responsibilities of relationship managers</w:t>
            </w:r>
            <w:r w:rsidR="000B791E">
              <w:rPr>
                <w:noProof/>
                <w:webHidden/>
              </w:rPr>
              <w:tab/>
            </w:r>
            <w:r w:rsidR="000B791E">
              <w:rPr>
                <w:noProof/>
                <w:webHidden/>
              </w:rPr>
              <w:fldChar w:fldCharType="begin"/>
            </w:r>
            <w:r w:rsidR="000B791E">
              <w:rPr>
                <w:noProof/>
                <w:webHidden/>
              </w:rPr>
              <w:instrText xml:space="preserve"> PAGEREF _Toc164067858 \h </w:instrText>
            </w:r>
            <w:r w:rsidR="000B791E">
              <w:rPr>
                <w:noProof/>
                <w:webHidden/>
              </w:rPr>
            </w:r>
            <w:r w:rsidR="000B791E">
              <w:rPr>
                <w:noProof/>
                <w:webHidden/>
              </w:rPr>
              <w:fldChar w:fldCharType="separate"/>
            </w:r>
            <w:r w:rsidR="007403EE">
              <w:rPr>
                <w:noProof/>
                <w:webHidden/>
              </w:rPr>
              <w:t>12</w:t>
            </w:r>
            <w:r w:rsidR="000B791E">
              <w:rPr>
                <w:noProof/>
                <w:webHidden/>
              </w:rPr>
              <w:fldChar w:fldCharType="end"/>
            </w:r>
          </w:hyperlink>
        </w:p>
        <w:p w14:paraId="4BF0A305" w14:textId="456F5BB4"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59" w:history="1">
            <w:r w:rsidR="000B791E" w:rsidRPr="00CB747C">
              <w:rPr>
                <w:rStyle w:val="Hyperlink"/>
                <w:noProof/>
              </w:rPr>
              <w:t>5.5.2</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Consultation on ministerial briefs</w:t>
            </w:r>
            <w:r w:rsidR="000B791E">
              <w:rPr>
                <w:noProof/>
                <w:webHidden/>
              </w:rPr>
              <w:tab/>
            </w:r>
            <w:r w:rsidR="000B791E">
              <w:rPr>
                <w:noProof/>
                <w:webHidden/>
              </w:rPr>
              <w:fldChar w:fldCharType="begin"/>
            </w:r>
            <w:r w:rsidR="000B791E">
              <w:rPr>
                <w:noProof/>
                <w:webHidden/>
              </w:rPr>
              <w:instrText xml:space="preserve"> PAGEREF _Toc164067859 \h </w:instrText>
            </w:r>
            <w:r w:rsidR="000B791E">
              <w:rPr>
                <w:noProof/>
                <w:webHidden/>
              </w:rPr>
            </w:r>
            <w:r w:rsidR="000B791E">
              <w:rPr>
                <w:noProof/>
                <w:webHidden/>
              </w:rPr>
              <w:fldChar w:fldCharType="separate"/>
            </w:r>
            <w:r w:rsidR="007403EE">
              <w:rPr>
                <w:noProof/>
                <w:webHidden/>
              </w:rPr>
              <w:t>13</w:t>
            </w:r>
            <w:r w:rsidR="000B791E">
              <w:rPr>
                <w:noProof/>
                <w:webHidden/>
              </w:rPr>
              <w:fldChar w:fldCharType="end"/>
            </w:r>
          </w:hyperlink>
        </w:p>
        <w:p w14:paraId="69AAC93C" w14:textId="03EF66EB"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60" w:history="1">
            <w:r w:rsidR="000B791E" w:rsidRPr="00CB747C">
              <w:rPr>
                <w:rStyle w:val="Hyperlink"/>
                <w:noProof/>
              </w:rPr>
              <w:t>5.5.3</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Corresponding with the minister</w:t>
            </w:r>
            <w:r w:rsidR="000B791E">
              <w:rPr>
                <w:noProof/>
                <w:webHidden/>
              </w:rPr>
              <w:tab/>
            </w:r>
            <w:r w:rsidR="000B791E">
              <w:rPr>
                <w:noProof/>
                <w:webHidden/>
              </w:rPr>
              <w:fldChar w:fldCharType="begin"/>
            </w:r>
            <w:r w:rsidR="000B791E">
              <w:rPr>
                <w:noProof/>
                <w:webHidden/>
              </w:rPr>
              <w:instrText xml:space="preserve"> PAGEREF _Toc164067860 \h </w:instrText>
            </w:r>
            <w:r w:rsidR="000B791E">
              <w:rPr>
                <w:noProof/>
                <w:webHidden/>
              </w:rPr>
            </w:r>
            <w:r w:rsidR="000B791E">
              <w:rPr>
                <w:noProof/>
                <w:webHidden/>
              </w:rPr>
              <w:fldChar w:fldCharType="separate"/>
            </w:r>
            <w:r w:rsidR="007403EE">
              <w:rPr>
                <w:noProof/>
                <w:webHidden/>
              </w:rPr>
              <w:t>13</w:t>
            </w:r>
            <w:r w:rsidR="000B791E">
              <w:rPr>
                <w:noProof/>
                <w:webHidden/>
              </w:rPr>
              <w:fldChar w:fldCharType="end"/>
            </w:r>
          </w:hyperlink>
        </w:p>
        <w:p w14:paraId="57F6FB81" w14:textId="051E0AF6"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61" w:history="1">
            <w:r w:rsidR="000B791E" w:rsidRPr="00CB747C">
              <w:rPr>
                <w:rStyle w:val="Hyperlink"/>
                <w:noProof/>
              </w:rPr>
              <w:t>5.5.4</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Meetings with the minister and ministerial staff</w:t>
            </w:r>
            <w:r w:rsidR="000B791E">
              <w:rPr>
                <w:noProof/>
                <w:webHidden/>
              </w:rPr>
              <w:tab/>
            </w:r>
            <w:r w:rsidR="000B791E">
              <w:rPr>
                <w:noProof/>
                <w:webHidden/>
              </w:rPr>
              <w:fldChar w:fldCharType="begin"/>
            </w:r>
            <w:r w:rsidR="000B791E">
              <w:rPr>
                <w:noProof/>
                <w:webHidden/>
              </w:rPr>
              <w:instrText xml:space="preserve"> PAGEREF _Toc164067861 \h </w:instrText>
            </w:r>
            <w:r w:rsidR="000B791E">
              <w:rPr>
                <w:noProof/>
                <w:webHidden/>
              </w:rPr>
            </w:r>
            <w:r w:rsidR="000B791E">
              <w:rPr>
                <w:noProof/>
                <w:webHidden/>
              </w:rPr>
              <w:fldChar w:fldCharType="separate"/>
            </w:r>
            <w:r w:rsidR="007403EE">
              <w:rPr>
                <w:noProof/>
                <w:webHidden/>
              </w:rPr>
              <w:t>13</w:t>
            </w:r>
            <w:r w:rsidR="000B791E">
              <w:rPr>
                <w:noProof/>
                <w:webHidden/>
              </w:rPr>
              <w:fldChar w:fldCharType="end"/>
            </w:r>
          </w:hyperlink>
        </w:p>
        <w:p w14:paraId="391B759B" w14:textId="7D58B33A"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62" w:history="1">
            <w:r w:rsidR="000B791E" w:rsidRPr="00CB747C">
              <w:rPr>
                <w:rStyle w:val="Hyperlink"/>
                <w:noProof/>
              </w:rPr>
              <w:t>5.5.5</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Governance meetings and frequency</w:t>
            </w:r>
            <w:r w:rsidR="000B791E">
              <w:rPr>
                <w:noProof/>
                <w:webHidden/>
              </w:rPr>
              <w:tab/>
            </w:r>
            <w:r w:rsidR="000B791E">
              <w:rPr>
                <w:noProof/>
                <w:webHidden/>
              </w:rPr>
              <w:fldChar w:fldCharType="begin"/>
            </w:r>
            <w:r w:rsidR="000B791E">
              <w:rPr>
                <w:noProof/>
                <w:webHidden/>
              </w:rPr>
              <w:instrText xml:space="preserve"> PAGEREF _Toc164067862 \h </w:instrText>
            </w:r>
            <w:r w:rsidR="000B791E">
              <w:rPr>
                <w:noProof/>
                <w:webHidden/>
              </w:rPr>
            </w:r>
            <w:r w:rsidR="000B791E">
              <w:rPr>
                <w:noProof/>
                <w:webHidden/>
              </w:rPr>
              <w:fldChar w:fldCharType="separate"/>
            </w:r>
            <w:r w:rsidR="007403EE">
              <w:rPr>
                <w:noProof/>
                <w:webHidden/>
              </w:rPr>
              <w:t>14</w:t>
            </w:r>
            <w:r w:rsidR="000B791E">
              <w:rPr>
                <w:noProof/>
                <w:webHidden/>
              </w:rPr>
              <w:fldChar w:fldCharType="end"/>
            </w:r>
          </w:hyperlink>
        </w:p>
        <w:p w14:paraId="6D7B8ACE" w14:textId="1D0D328F" w:rsidR="000B791E" w:rsidRDefault="0089196B">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4067863" w:history="1">
            <w:r w:rsidR="000B791E" w:rsidRPr="00CB747C">
              <w:rPr>
                <w:rStyle w:val="Hyperlink"/>
                <w:noProof/>
              </w:rPr>
              <w:t>5.6</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Board Appointments, Induction, Meetings and Performance</w:t>
            </w:r>
            <w:r w:rsidR="000B791E">
              <w:rPr>
                <w:noProof/>
                <w:webHidden/>
              </w:rPr>
              <w:tab/>
            </w:r>
            <w:r w:rsidR="000B791E">
              <w:rPr>
                <w:noProof/>
                <w:webHidden/>
              </w:rPr>
              <w:fldChar w:fldCharType="begin"/>
            </w:r>
            <w:r w:rsidR="000B791E">
              <w:rPr>
                <w:noProof/>
                <w:webHidden/>
              </w:rPr>
              <w:instrText xml:space="preserve"> PAGEREF _Toc164067863 \h </w:instrText>
            </w:r>
            <w:r w:rsidR="000B791E">
              <w:rPr>
                <w:noProof/>
                <w:webHidden/>
              </w:rPr>
            </w:r>
            <w:r w:rsidR="000B791E">
              <w:rPr>
                <w:noProof/>
                <w:webHidden/>
              </w:rPr>
              <w:fldChar w:fldCharType="separate"/>
            </w:r>
            <w:r w:rsidR="007403EE">
              <w:rPr>
                <w:noProof/>
                <w:webHidden/>
              </w:rPr>
              <w:t>14</w:t>
            </w:r>
            <w:r w:rsidR="000B791E">
              <w:rPr>
                <w:noProof/>
                <w:webHidden/>
              </w:rPr>
              <w:fldChar w:fldCharType="end"/>
            </w:r>
          </w:hyperlink>
        </w:p>
        <w:p w14:paraId="3788F653" w14:textId="66445D03"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64" w:history="1">
            <w:r w:rsidR="000B791E" w:rsidRPr="00CB747C">
              <w:rPr>
                <w:rStyle w:val="Hyperlink"/>
                <w:noProof/>
              </w:rPr>
              <w:t>5.6.1</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Recruitment, selection, appointment and remuneration processes</w:t>
            </w:r>
            <w:r w:rsidR="000B791E">
              <w:rPr>
                <w:noProof/>
                <w:webHidden/>
              </w:rPr>
              <w:tab/>
            </w:r>
            <w:r w:rsidR="000B791E">
              <w:rPr>
                <w:noProof/>
                <w:webHidden/>
              </w:rPr>
              <w:fldChar w:fldCharType="begin"/>
            </w:r>
            <w:r w:rsidR="000B791E">
              <w:rPr>
                <w:noProof/>
                <w:webHidden/>
              </w:rPr>
              <w:instrText xml:space="preserve"> PAGEREF _Toc164067864 \h </w:instrText>
            </w:r>
            <w:r w:rsidR="000B791E">
              <w:rPr>
                <w:noProof/>
                <w:webHidden/>
              </w:rPr>
            </w:r>
            <w:r w:rsidR="000B791E">
              <w:rPr>
                <w:noProof/>
                <w:webHidden/>
              </w:rPr>
              <w:fldChar w:fldCharType="separate"/>
            </w:r>
            <w:r w:rsidR="007403EE">
              <w:rPr>
                <w:noProof/>
                <w:webHidden/>
              </w:rPr>
              <w:t>14</w:t>
            </w:r>
            <w:r w:rsidR="000B791E">
              <w:rPr>
                <w:noProof/>
                <w:webHidden/>
              </w:rPr>
              <w:fldChar w:fldCharType="end"/>
            </w:r>
          </w:hyperlink>
        </w:p>
        <w:p w14:paraId="1C5EA0CD" w14:textId="13C7CD6A"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65" w:history="1">
            <w:r w:rsidR="000B791E" w:rsidRPr="00CB747C">
              <w:rPr>
                <w:rStyle w:val="Hyperlink"/>
                <w:noProof/>
              </w:rPr>
              <w:t xml:space="preserve">5.6.2 </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Diversity on Victorian Government boards</w:t>
            </w:r>
            <w:r w:rsidR="000B791E">
              <w:rPr>
                <w:noProof/>
                <w:webHidden/>
              </w:rPr>
              <w:tab/>
            </w:r>
            <w:r w:rsidR="000B791E">
              <w:rPr>
                <w:noProof/>
                <w:webHidden/>
              </w:rPr>
              <w:fldChar w:fldCharType="begin"/>
            </w:r>
            <w:r w:rsidR="000B791E">
              <w:rPr>
                <w:noProof/>
                <w:webHidden/>
              </w:rPr>
              <w:instrText xml:space="preserve"> PAGEREF _Toc164067865 \h </w:instrText>
            </w:r>
            <w:r w:rsidR="000B791E">
              <w:rPr>
                <w:noProof/>
                <w:webHidden/>
              </w:rPr>
            </w:r>
            <w:r w:rsidR="000B791E">
              <w:rPr>
                <w:noProof/>
                <w:webHidden/>
              </w:rPr>
              <w:fldChar w:fldCharType="separate"/>
            </w:r>
            <w:r w:rsidR="007403EE">
              <w:rPr>
                <w:noProof/>
                <w:webHidden/>
              </w:rPr>
              <w:t>14</w:t>
            </w:r>
            <w:r w:rsidR="000B791E">
              <w:rPr>
                <w:noProof/>
                <w:webHidden/>
              </w:rPr>
              <w:fldChar w:fldCharType="end"/>
            </w:r>
          </w:hyperlink>
        </w:p>
        <w:p w14:paraId="754B995C" w14:textId="31EE3412" w:rsidR="000B791E" w:rsidRDefault="0089196B">
          <w:pPr>
            <w:pStyle w:val="TOC4"/>
            <w:rPr>
              <w:rFonts w:asciiTheme="minorHAnsi" w:eastAsiaTheme="minorEastAsia" w:hAnsiTheme="minorHAnsi" w:cstheme="minorBidi"/>
              <w:noProof/>
              <w:color w:val="auto"/>
              <w:kern w:val="2"/>
              <w:sz w:val="22"/>
              <w:szCs w:val="22"/>
              <w:lang w:val="en-AU" w:eastAsia="en-AU"/>
              <w14:ligatures w14:val="standardContextual"/>
            </w:rPr>
          </w:pPr>
          <w:hyperlink w:anchor="_Toc164067866" w:history="1">
            <w:r w:rsidR="000B791E" w:rsidRPr="00CB747C">
              <w:rPr>
                <w:rStyle w:val="Hyperlink"/>
                <w:rFonts w:cstheme="majorHAnsi"/>
                <w:noProof/>
              </w:rPr>
              <w:t>5.6.2.1 Scope of diversity targets</w:t>
            </w:r>
            <w:r w:rsidR="000B791E">
              <w:rPr>
                <w:noProof/>
                <w:webHidden/>
              </w:rPr>
              <w:tab/>
            </w:r>
            <w:r w:rsidR="000B791E">
              <w:rPr>
                <w:noProof/>
                <w:webHidden/>
              </w:rPr>
              <w:fldChar w:fldCharType="begin"/>
            </w:r>
            <w:r w:rsidR="000B791E">
              <w:rPr>
                <w:noProof/>
                <w:webHidden/>
              </w:rPr>
              <w:instrText xml:space="preserve"> PAGEREF _Toc164067866 \h </w:instrText>
            </w:r>
            <w:r w:rsidR="000B791E">
              <w:rPr>
                <w:noProof/>
                <w:webHidden/>
              </w:rPr>
            </w:r>
            <w:r w:rsidR="000B791E">
              <w:rPr>
                <w:noProof/>
                <w:webHidden/>
              </w:rPr>
              <w:fldChar w:fldCharType="separate"/>
            </w:r>
            <w:r w:rsidR="007403EE">
              <w:rPr>
                <w:noProof/>
                <w:webHidden/>
              </w:rPr>
              <w:t>14</w:t>
            </w:r>
            <w:r w:rsidR="000B791E">
              <w:rPr>
                <w:noProof/>
                <w:webHidden/>
              </w:rPr>
              <w:fldChar w:fldCharType="end"/>
            </w:r>
          </w:hyperlink>
        </w:p>
        <w:p w14:paraId="704743CC" w14:textId="19955AB1"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67" w:history="1">
            <w:r w:rsidR="000B791E" w:rsidRPr="00CB747C">
              <w:rPr>
                <w:rStyle w:val="Hyperlink"/>
                <w:noProof/>
              </w:rPr>
              <w:t>5.6.3</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Board induction</w:t>
            </w:r>
            <w:r w:rsidR="000B791E">
              <w:rPr>
                <w:noProof/>
                <w:webHidden/>
              </w:rPr>
              <w:tab/>
            </w:r>
            <w:r w:rsidR="000B791E">
              <w:rPr>
                <w:noProof/>
                <w:webHidden/>
              </w:rPr>
              <w:fldChar w:fldCharType="begin"/>
            </w:r>
            <w:r w:rsidR="000B791E">
              <w:rPr>
                <w:noProof/>
                <w:webHidden/>
              </w:rPr>
              <w:instrText xml:space="preserve"> PAGEREF _Toc164067867 \h </w:instrText>
            </w:r>
            <w:r w:rsidR="000B791E">
              <w:rPr>
                <w:noProof/>
                <w:webHidden/>
              </w:rPr>
            </w:r>
            <w:r w:rsidR="000B791E">
              <w:rPr>
                <w:noProof/>
                <w:webHidden/>
              </w:rPr>
              <w:fldChar w:fldCharType="separate"/>
            </w:r>
            <w:r w:rsidR="007403EE">
              <w:rPr>
                <w:noProof/>
                <w:webHidden/>
              </w:rPr>
              <w:t>15</w:t>
            </w:r>
            <w:r w:rsidR="000B791E">
              <w:rPr>
                <w:noProof/>
                <w:webHidden/>
              </w:rPr>
              <w:fldChar w:fldCharType="end"/>
            </w:r>
          </w:hyperlink>
        </w:p>
        <w:p w14:paraId="7900E02B" w14:textId="4B1FFCC2"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68" w:history="1">
            <w:r w:rsidR="000B791E" w:rsidRPr="00CB747C">
              <w:rPr>
                <w:rStyle w:val="Hyperlink"/>
                <w:noProof/>
              </w:rPr>
              <w:t>5.6.4</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Departmental attendance at entity board meetings</w:t>
            </w:r>
            <w:r w:rsidR="000B791E">
              <w:rPr>
                <w:noProof/>
                <w:webHidden/>
              </w:rPr>
              <w:tab/>
            </w:r>
            <w:r w:rsidR="000B791E">
              <w:rPr>
                <w:noProof/>
                <w:webHidden/>
              </w:rPr>
              <w:fldChar w:fldCharType="begin"/>
            </w:r>
            <w:r w:rsidR="000B791E">
              <w:rPr>
                <w:noProof/>
                <w:webHidden/>
              </w:rPr>
              <w:instrText xml:space="preserve"> PAGEREF _Toc164067868 \h </w:instrText>
            </w:r>
            <w:r w:rsidR="000B791E">
              <w:rPr>
                <w:noProof/>
                <w:webHidden/>
              </w:rPr>
            </w:r>
            <w:r w:rsidR="000B791E">
              <w:rPr>
                <w:noProof/>
                <w:webHidden/>
              </w:rPr>
              <w:fldChar w:fldCharType="separate"/>
            </w:r>
            <w:r w:rsidR="007403EE">
              <w:rPr>
                <w:noProof/>
                <w:webHidden/>
              </w:rPr>
              <w:t>15</w:t>
            </w:r>
            <w:r w:rsidR="000B791E">
              <w:rPr>
                <w:noProof/>
                <w:webHidden/>
              </w:rPr>
              <w:fldChar w:fldCharType="end"/>
            </w:r>
          </w:hyperlink>
        </w:p>
        <w:p w14:paraId="31A4C397" w14:textId="4E8D5838"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69" w:history="1">
            <w:r w:rsidR="000B791E" w:rsidRPr="00CB747C">
              <w:rPr>
                <w:rStyle w:val="Hyperlink"/>
                <w:noProof/>
              </w:rPr>
              <w:t>5.6.5</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Board performance</w:t>
            </w:r>
            <w:r w:rsidR="000B791E">
              <w:rPr>
                <w:noProof/>
                <w:webHidden/>
              </w:rPr>
              <w:tab/>
            </w:r>
            <w:r w:rsidR="000B791E">
              <w:rPr>
                <w:noProof/>
                <w:webHidden/>
              </w:rPr>
              <w:fldChar w:fldCharType="begin"/>
            </w:r>
            <w:r w:rsidR="000B791E">
              <w:rPr>
                <w:noProof/>
                <w:webHidden/>
              </w:rPr>
              <w:instrText xml:space="preserve"> PAGEREF _Toc164067869 \h </w:instrText>
            </w:r>
            <w:r w:rsidR="000B791E">
              <w:rPr>
                <w:noProof/>
                <w:webHidden/>
              </w:rPr>
            </w:r>
            <w:r w:rsidR="000B791E">
              <w:rPr>
                <w:noProof/>
                <w:webHidden/>
              </w:rPr>
              <w:fldChar w:fldCharType="separate"/>
            </w:r>
            <w:r w:rsidR="007403EE">
              <w:rPr>
                <w:noProof/>
                <w:webHidden/>
              </w:rPr>
              <w:t>16</w:t>
            </w:r>
            <w:r w:rsidR="000B791E">
              <w:rPr>
                <w:noProof/>
                <w:webHidden/>
              </w:rPr>
              <w:fldChar w:fldCharType="end"/>
            </w:r>
          </w:hyperlink>
        </w:p>
        <w:p w14:paraId="18F035F9" w14:textId="493EEBBE" w:rsidR="000B791E" w:rsidRDefault="0089196B">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4067870" w:history="1">
            <w:r w:rsidR="000B791E" w:rsidRPr="00CB747C">
              <w:rPr>
                <w:rStyle w:val="Hyperlink"/>
                <w:noProof/>
              </w:rPr>
              <w:t>5.7 Occupational Health and Safety (OHS)</w:t>
            </w:r>
            <w:r w:rsidR="000B791E">
              <w:rPr>
                <w:noProof/>
                <w:webHidden/>
              </w:rPr>
              <w:tab/>
            </w:r>
            <w:r w:rsidR="000B791E">
              <w:rPr>
                <w:noProof/>
                <w:webHidden/>
              </w:rPr>
              <w:fldChar w:fldCharType="begin"/>
            </w:r>
            <w:r w:rsidR="000B791E">
              <w:rPr>
                <w:noProof/>
                <w:webHidden/>
              </w:rPr>
              <w:instrText xml:space="preserve"> PAGEREF _Toc164067870 \h </w:instrText>
            </w:r>
            <w:r w:rsidR="000B791E">
              <w:rPr>
                <w:noProof/>
                <w:webHidden/>
              </w:rPr>
            </w:r>
            <w:r w:rsidR="000B791E">
              <w:rPr>
                <w:noProof/>
                <w:webHidden/>
              </w:rPr>
              <w:fldChar w:fldCharType="separate"/>
            </w:r>
            <w:r w:rsidR="007403EE">
              <w:rPr>
                <w:noProof/>
                <w:webHidden/>
              </w:rPr>
              <w:t>16</w:t>
            </w:r>
            <w:r w:rsidR="000B791E">
              <w:rPr>
                <w:noProof/>
                <w:webHidden/>
              </w:rPr>
              <w:fldChar w:fldCharType="end"/>
            </w:r>
          </w:hyperlink>
        </w:p>
        <w:p w14:paraId="52535B30" w14:textId="694A5A09"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71" w:history="1">
            <w:r w:rsidR="000B791E" w:rsidRPr="00CB747C">
              <w:rPr>
                <w:rStyle w:val="Hyperlink"/>
                <w:noProof/>
                <w:lang w:eastAsia="en-AU"/>
              </w:rPr>
              <w:t xml:space="preserve">5.7.1 </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lang w:eastAsia="en-AU"/>
              </w:rPr>
              <w:t>Management of OHS risk</w:t>
            </w:r>
            <w:r w:rsidR="000B791E">
              <w:rPr>
                <w:noProof/>
                <w:webHidden/>
              </w:rPr>
              <w:tab/>
            </w:r>
            <w:r w:rsidR="000B791E">
              <w:rPr>
                <w:noProof/>
                <w:webHidden/>
              </w:rPr>
              <w:fldChar w:fldCharType="begin"/>
            </w:r>
            <w:r w:rsidR="000B791E">
              <w:rPr>
                <w:noProof/>
                <w:webHidden/>
              </w:rPr>
              <w:instrText xml:space="preserve"> PAGEREF _Toc164067871 \h </w:instrText>
            </w:r>
            <w:r w:rsidR="000B791E">
              <w:rPr>
                <w:noProof/>
                <w:webHidden/>
              </w:rPr>
            </w:r>
            <w:r w:rsidR="000B791E">
              <w:rPr>
                <w:noProof/>
                <w:webHidden/>
              </w:rPr>
              <w:fldChar w:fldCharType="separate"/>
            </w:r>
            <w:r w:rsidR="007403EE">
              <w:rPr>
                <w:noProof/>
                <w:webHidden/>
              </w:rPr>
              <w:t>16</w:t>
            </w:r>
            <w:r w:rsidR="000B791E">
              <w:rPr>
                <w:noProof/>
                <w:webHidden/>
              </w:rPr>
              <w:fldChar w:fldCharType="end"/>
            </w:r>
          </w:hyperlink>
        </w:p>
        <w:p w14:paraId="62DE1016" w14:textId="4646F3AA"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72" w:history="1">
            <w:r w:rsidR="000B791E" w:rsidRPr="00CB747C">
              <w:rPr>
                <w:rStyle w:val="Hyperlink"/>
                <w:noProof/>
                <w:lang w:val="en"/>
              </w:rPr>
              <w:t xml:space="preserve">5.7.2 </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lang w:val="en"/>
              </w:rPr>
              <w:t>Psychological Health in the workplace</w:t>
            </w:r>
            <w:r w:rsidR="000B791E">
              <w:rPr>
                <w:noProof/>
                <w:webHidden/>
              </w:rPr>
              <w:tab/>
            </w:r>
            <w:r w:rsidR="000B791E">
              <w:rPr>
                <w:noProof/>
                <w:webHidden/>
              </w:rPr>
              <w:fldChar w:fldCharType="begin"/>
            </w:r>
            <w:r w:rsidR="000B791E">
              <w:rPr>
                <w:noProof/>
                <w:webHidden/>
              </w:rPr>
              <w:instrText xml:space="preserve"> PAGEREF _Toc164067872 \h </w:instrText>
            </w:r>
            <w:r w:rsidR="000B791E">
              <w:rPr>
                <w:noProof/>
                <w:webHidden/>
              </w:rPr>
            </w:r>
            <w:r w:rsidR="000B791E">
              <w:rPr>
                <w:noProof/>
                <w:webHidden/>
              </w:rPr>
              <w:fldChar w:fldCharType="separate"/>
            </w:r>
            <w:r w:rsidR="007403EE">
              <w:rPr>
                <w:noProof/>
                <w:webHidden/>
              </w:rPr>
              <w:t>17</w:t>
            </w:r>
            <w:r w:rsidR="000B791E">
              <w:rPr>
                <w:noProof/>
                <w:webHidden/>
              </w:rPr>
              <w:fldChar w:fldCharType="end"/>
            </w:r>
          </w:hyperlink>
        </w:p>
        <w:p w14:paraId="7C1BF90D" w14:textId="039D7B58"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73" w:history="1">
            <w:r w:rsidR="000B791E" w:rsidRPr="00CB747C">
              <w:rPr>
                <w:rStyle w:val="Hyperlink"/>
                <w:noProof/>
              </w:rPr>
              <w:t>5.7.3</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OHS resources</w:t>
            </w:r>
            <w:r w:rsidR="000B791E">
              <w:rPr>
                <w:noProof/>
                <w:webHidden/>
              </w:rPr>
              <w:tab/>
            </w:r>
            <w:r w:rsidR="000B791E">
              <w:rPr>
                <w:noProof/>
                <w:webHidden/>
              </w:rPr>
              <w:fldChar w:fldCharType="begin"/>
            </w:r>
            <w:r w:rsidR="000B791E">
              <w:rPr>
                <w:noProof/>
                <w:webHidden/>
              </w:rPr>
              <w:instrText xml:space="preserve"> PAGEREF _Toc164067873 \h </w:instrText>
            </w:r>
            <w:r w:rsidR="000B791E">
              <w:rPr>
                <w:noProof/>
                <w:webHidden/>
              </w:rPr>
            </w:r>
            <w:r w:rsidR="000B791E">
              <w:rPr>
                <w:noProof/>
                <w:webHidden/>
              </w:rPr>
              <w:fldChar w:fldCharType="separate"/>
            </w:r>
            <w:r w:rsidR="007403EE">
              <w:rPr>
                <w:noProof/>
                <w:webHidden/>
              </w:rPr>
              <w:t>17</w:t>
            </w:r>
            <w:r w:rsidR="000B791E">
              <w:rPr>
                <w:noProof/>
                <w:webHidden/>
              </w:rPr>
              <w:fldChar w:fldCharType="end"/>
            </w:r>
          </w:hyperlink>
        </w:p>
        <w:p w14:paraId="582E587D" w14:textId="2CC858C6" w:rsidR="000B791E" w:rsidRDefault="0089196B">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4067874" w:history="1">
            <w:r w:rsidR="000B791E" w:rsidRPr="00CB747C">
              <w:rPr>
                <w:rStyle w:val="Hyperlink"/>
                <w:noProof/>
              </w:rPr>
              <w:t>5.8</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Integrity</w:t>
            </w:r>
            <w:r w:rsidR="000B791E">
              <w:rPr>
                <w:noProof/>
                <w:webHidden/>
              </w:rPr>
              <w:tab/>
            </w:r>
            <w:r w:rsidR="000B791E">
              <w:rPr>
                <w:noProof/>
                <w:webHidden/>
              </w:rPr>
              <w:fldChar w:fldCharType="begin"/>
            </w:r>
            <w:r w:rsidR="000B791E">
              <w:rPr>
                <w:noProof/>
                <w:webHidden/>
              </w:rPr>
              <w:instrText xml:space="preserve"> PAGEREF _Toc164067874 \h </w:instrText>
            </w:r>
            <w:r w:rsidR="000B791E">
              <w:rPr>
                <w:noProof/>
                <w:webHidden/>
              </w:rPr>
            </w:r>
            <w:r w:rsidR="000B791E">
              <w:rPr>
                <w:noProof/>
                <w:webHidden/>
              </w:rPr>
              <w:fldChar w:fldCharType="separate"/>
            </w:r>
            <w:r w:rsidR="007403EE">
              <w:rPr>
                <w:noProof/>
                <w:webHidden/>
              </w:rPr>
              <w:t>17</w:t>
            </w:r>
            <w:r w:rsidR="000B791E">
              <w:rPr>
                <w:noProof/>
                <w:webHidden/>
              </w:rPr>
              <w:fldChar w:fldCharType="end"/>
            </w:r>
          </w:hyperlink>
        </w:p>
        <w:p w14:paraId="05059B7D" w14:textId="026F0DF3"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75" w:history="1">
            <w:r w:rsidR="000B791E" w:rsidRPr="00CB747C">
              <w:rPr>
                <w:rStyle w:val="Hyperlink"/>
                <w:noProof/>
              </w:rPr>
              <w:t>5.8.1</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Integrity Overview</w:t>
            </w:r>
            <w:r w:rsidR="000B791E">
              <w:rPr>
                <w:noProof/>
                <w:webHidden/>
              </w:rPr>
              <w:tab/>
            </w:r>
            <w:r w:rsidR="000B791E">
              <w:rPr>
                <w:noProof/>
                <w:webHidden/>
              </w:rPr>
              <w:fldChar w:fldCharType="begin"/>
            </w:r>
            <w:r w:rsidR="000B791E">
              <w:rPr>
                <w:noProof/>
                <w:webHidden/>
              </w:rPr>
              <w:instrText xml:space="preserve"> PAGEREF _Toc164067875 \h </w:instrText>
            </w:r>
            <w:r w:rsidR="000B791E">
              <w:rPr>
                <w:noProof/>
                <w:webHidden/>
              </w:rPr>
            </w:r>
            <w:r w:rsidR="000B791E">
              <w:rPr>
                <w:noProof/>
                <w:webHidden/>
              </w:rPr>
              <w:fldChar w:fldCharType="separate"/>
            </w:r>
            <w:r w:rsidR="007403EE">
              <w:rPr>
                <w:noProof/>
                <w:webHidden/>
              </w:rPr>
              <w:t>17</w:t>
            </w:r>
            <w:r w:rsidR="000B791E">
              <w:rPr>
                <w:noProof/>
                <w:webHidden/>
              </w:rPr>
              <w:fldChar w:fldCharType="end"/>
            </w:r>
          </w:hyperlink>
        </w:p>
        <w:p w14:paraId="432AC95A" w14:textId="614162F5"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76" w:history="1">
            <w:r w:rsidR="000B791E" w:rsidRPr="00CB747C">
              <w:rPr>
                <w:rStyle w:val="Hyperlink"/>
                <w:noProof/>
              </w:rPr>
              <w:t>5.8.2</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Conflict of Interest</w:t>
            </w:r>
            <w:r w:rsidR="000B791E">
              <w:rPr>
                <w:noProof/>
                <w:webHidden/>
              </w:rPr>
              <w:tab/>
            </w:r>
            <w:r w:rsidR="000B791E">
              <w:rPr>
                <w:noProof/>
                <w:webHidden/>
              </w:rPr>
              <w:fldChar w:fldCharType="begin"/>
            </w:r>
            <w:r w:rsidR="000B791E">
              <w:rPr>
                <w:noProof/>
                <w:webHidden/>
              </w:rPr>
              <w:instrText xml:space="preserve"> PAGEREF _Toc164067876 \h </w:instrText>
            </w:r>
            <w:r w:rsidR="000B791E">
              <w:rPr>
                <w:noProof/>
                <w:webHidden/>
              </w:rPr>
            </w:r>
            <w:r w:rsidR="000B791E">
              <w:rPr>
                <w:noProof/>
                <w:webHidden/>
              </w:rPr>
              <w:fldChar w:fldCharType="separate"/>
            </w:r>
            <w:r w:rsidR="007403EE">
              <w:rPr>
                <w:noProof/>
                <w:webHidden/>
              </w:rPr>
              <w:t>18</w:t>
            </w:r>
            <w:r w:rsidR="000B791E">
              <w:rPr>
                <w:noProof/>
                <w:webHidden/>
              </w:rPr>
              <w:fldChar w:fldCharType="end"/>
            </w:r>
          </w:hyperlink>
        </w:p>
        <w:p w14:paraId="5B7B4B59" w14:textId="170AB479" w:rsidR="000B791E" w:rsidRDefault="0089196B">
          <w:pPr>
            <w:pStyle w:val="TOC4"/>
            <w:rPr>
              <w:rFonts w:asciiTheme="minorHAnsi" w:eastAsiaTheme="minorEastAsia" w:hAnsiTheme="minorHAnsi" w:cstheme="minorBidi"/>
              <w:noProof/>
              <w:color w:val="auto"/>
              <w:kern w:val="2"/>
              <w:sz w:val="22"/>
              <w:szCs w:val="22"/>
              <w:lang w:val="en-AU" w:eastAsia="en-AU"/>
              <w14:ligatures w14:val="standardContextual"/>
            </w:rPr>
          </w:pPr>
          <w:hyperlink w:anchor="_Toc164067877" w:history="1">
            <w:r w:rsidR="000B791E" w:rsidRPr="00CB747C">
              <w:rPr>
                <w:rStyle w:val="Hyperlink"/>
                <w:noProof/>
              </w:rPr>
              <w:t>5.8.2.1</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Specific reporting obligations for board members</w:t>
            </w:r>
            <w:r w:rsidR="000B791E">
              <w:rPr>
                <w:noProof/>
                <w:webHidden/>
              </w:rPr>
              <w:tab/>
            </w:r>
            <w:r w:rsidR="000B791E">
              <w:rPr>
                <w:noProof/>
                <w:webHidden/>
              </w:rPr>
              <w:fldChar w:fldCharType="begin"/>
            </w:r>
            <w:r w:rsidR="000B791E">
              <w:rPr>
                <w:noProof/>
                <w:webHidden/>
              </w:rPr>
              <w:instrText xml:space="preserve"> PAGEREF _Toc164067877 \h </w:instrText>
            </w:r>
            <w:r w:rsidR="000B791E">
              <w:rPr>
                <w:noProof/>
                <w:webHidden/>
              </w:rPr>
            </w:r>
            <w:r w:rsidR="000B791E">
              <w:rPr>
                <w:noProof/>
                <w:webHidden/>
              </w:rPr>
              <w:fldChar w:fldCharType="separate"/>
            </w:r>
            <w:r w:rsidR="007403EE">
              <w:rPr>
                <w:noProof/>
                <w:webHidden/>
              </w:rPr>
              <w:t>18</w:t>
            </w:r>
            <w:r w:rsidR="000B791E">
              <w:rPr>
                <w:noProof/>
                <w:webHidden/>
              </w:rPr>
              <w:fldChar w:fldCharType="end"/>
            </w:r>
          </w:hyperlink>
        </w:p>
        <w:p w14:paraId="24068461" w14:textId="52C72E2B"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78" w:history="1">
            <w:r w:rsidR="000B791E" w:rsidRPr="00CB747C">
              <w:rPr>
                <w:rStyle w:val="Hyperlink"/>
                <w:noProof/>
              </w:rPr>
              <w:t>5.8.3</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Fraud and Corruption Mitigation</w:t>
            </w:r>
            <w:r w:rsidR="000B791E">
              <w:rPr>
                <w:noProof/>
                <w:webHidden/>
              </w:rPr>
              <w:tab/>
            </w:r>
            <w:r w:rsidR="000B791E">
              <w:rPr>
                <w:noProof/>
                <w:webHidden/>
              </w:rPr>
              <w:fldChar w:fldCharType="begin"/>
            </w:r>
            <w:r w:rsidR="000B791E">
              <w:rPr>
                <w:noProof/>
                <w:webHidden/>
              </w:rPr>
              <w:instrText xml:space="preserve"> PAGEREF _Toc164067878 \h </w:instrText>
            </w:r>
            <w:r w:rsidR="000B791E">
              <w:rPr>
                <w:noProof/>
                <w:webHidden/>
              </w:rPr>
            </w:r>
            <w:r w:rsidR="000B791E">
              <w:rPr>
                <w:noProof/>
                <w:webHidden/>
              </w:rPr>
              <w:fldChar w:fldCharType="separate"/>
            </w:r>
            <w:r w:rsidR="007403EE">
              <w:rPr>
                <w:noProof/>
                <w:webHidden/>
              </w:rPr>
              <w:t>18</w:t>
            </w:r>
            <w:r w:rsidR="000B791E">
              <w:rPr>
                <w:noProof/>
                <w:webHidden/>
              </w:rPr>
              <w:fldChar w:fldCharType="end"/>
            </w:r>
          </w:hyperlink>
        </w:p>
        <w:p w14:paraId="2911380F" w14:textId="2D3F8AA9"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79" w:history="1">
            <w:r w:rsidR="000B791E" w:rsidRPr="00CB747C">
              <w:rPr>
                <w:rStyle w:val="Hyperlink"/>
                <w:noProof/>
              </w:rPr>
              <w:t>5.8.4</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Gifts, Benefits and Hospitality</w:t>
            </w:r>
            <w:r w:rsidR="000B791E">
              <w:rPr>
                <w:noProof/>
                <w:webHidden/>
              </w:rPr>
              <w:tab/>
            </w:r>
            <w:r w:rsidR="000B791E">
              <w:rPr>
                <w:noProof/>
                <w:webHidden/>
              </w:rPr>
              <w:fldChar w:fldCharType="begin"/>
            </w:r>
            <w:r w:rsidR="000B791E">
              <w:rPr>
                <w:noProof/>
                <w:webHidden/>
              </w:rPr>
              <w:instrText xml:space="preserve"> PAGEREF _Toc164067879 \h </w:instrText>
            </w:r>
            <w:r w:rsidR="000B791E">
              <w:rPr>
                <w:noProof/>
                <w:webHidden/>
              </w:rPr>
            </w:r>
            <w:r w:rsidR="000B791E">
              <w:rPr>
                <w:noProof/>
                <w:webHidden/>
              </w:rPr>
              <w:fldChar w:fldCharType="separate"/>
            </w:r>
            <w:r w:rsidR="007403EE">
              <w:rPr>
                <w:noProof/>
                <w:webHidden/>
              </w:rPr>
              <w:t>19</w:t>
            </w:r>
            <w:r w:rsidR="000B791E">
              <w:rPr>
                <w:noProof/>
                <w:webHidden/>
              </w:rPr>
              <w:fldChar w:fldCharType="end"/>
            </w:r>
          </w:hyperlink>
        </w:p>
        <w:p w14:paraId="14A0617B" w14:textId="04683083" w:rsidR="000B791E" w:rsidRDefault="0089196B">
          <w:pPr>
            <w:pStyle w:val="TOC4"/>
            <w:rPr>
              <w:rFonts w:asciiTheme="minorHAnsi" w:eastAsiaTheme="minorEastAsia" w:hAnsiTheme="minorHAnsi" w:cstheme="minorBidi"/>
              <w:noProof/>
              <w:color w:val="auto"/>
              <w:kern w:val="2"/>
              <w:sz w:val="22"/>
              <w:szCs w:val="22"/>
              <w:lang w:val="en-AU" w:eastAsia="en-AU"/>
              <w14:ligatures w14:val="standardContextual"/>
            </w:rPr>
          </w:pPr>
          <w:hyperlink w:anchor="_Toc164067880" w:history="1">
            <w:r w:rsidR="000B791E" w:rsidRPr="00CB747C">
              <w:rPr>
                <w:rStyle w:val="Hyperlink"/>
                <w:noProof/>
              </w:rPr>
              <w:t>5.8.4.1</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GBH reporting obligations</w:t>
            </w:r>
            <w:r w:rsidR="000B791E">
              <w:rPr>
                <w:noProof/>
                <w:webHidden/>
              </w:rPr>
              <w:tab/>
            </w:r>
            <w:r w:rsidR="000B791E">
              <w:rPr>
                <w:noProof/>
                <w:webHidden/>
              </w:rPr>
              <w:fldChar w:fldCharType="begin"/>
            </w:r>
            <w:r w:rsidR="000B791E">
              <w:rPr>
                <w:noProof/>
                <w:webHidden/>
              </w:rPr>
              <w:instrText xml:space="preserve"> PAGEREF _Toc164067880 \h </w:instrText>
            </w:r>
            <w:r w:rsidR="000B791E">
              <w:rPr>
                <w:noProof/>
                <w:webHidden/>
              </w:rPr>
            </w:r>
            <w:r w:rsidR="000B791E">
              <w:rPr>
                <w:noProof/>
                <w:webHidden/>
              </w:rPr>
              <w:fldChar w:fldCharType="separate"/>
            </w:r>
            <w:r w:rsidR="007403EE">
              <w:rPr>
                <w:noProof/>
                <w:webHidden/>
              </w:rPr>
              <w:t>19</w:t>
            </w:r>
            <w:r w:rsidR="000B791E">
              <w:rPr>
                <w:noProof/>
                <w:webHidden/>
              </w:rPr>
              <w:fldChar w:fldCharType="end"/>
            </w:r>
          </w:hyperlink>
        </w:p>
        <w:p w14:paraId="67C870D7" w14:textId="7502DF53"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81" w:history="1">
            <w:r w:rsidR="000B791E" w:rsidRPr="00CB747C">
              <w:rPr>
                <w:rStyle w:val="Hyperlink"/>
                <w:noProof/>
              </w:rPr>
              <w:t>5.8.5</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Public Interest Disclosures</w:t>
            </w:r>
            <w:r w:rsidR="000B791E">
              <w:rPr>
                <w:noProof/>
                <w:webHidden/>
              </w:rPr>
              <w:tab/>
            </w:r>
            <w:r w:rsidR="000B791E">
              <w:rPr>
                <w:noProof/>
                <w:webHidden/>
              </w:rPr>
              <w:fldChar w:fldCharType="begin"/>
            </w:r>
            <w:r w:rsidR="000B791E">
              <w:rPr>
                <w:noProof/>
                <w:webHidden/>
              </w:rPr>
              <w:instrText xml:space="preserve"> PAGEREF _Toc164067881 \h </w:instrText>
            </w:r>
            <w:r w:rsidR="000B791E">
              <w:rPr>
                <w:noProof/>
                <w:webHidden/>
              </w:rPr>
            </w:r>
            <w:r w:rsidR="000B791E">
              <w:rPr>
                <w:noProof/>
                <w:webHidden/>
              </w:rPr>
              <w:fldChar w:fldCharType="separate"/>
            </w:r>
            <w:r w:rsidR="007403EE">
              <w:rPr>
                <w:noProof/>
                <w:webHidden/>
              </w:rPr>
              <w:t>19</w:t>
            </w:r>
            <w:r w:rsidR="000B791E">
              <w:rPr>
                <w:noProof/>
                <w:webHidden/>
              </w:rPr>
              <w:fldChar w:fldCharType="end"/>
            </w:r>
          </w:hyperlink>
        </w:p>
        <w:p w14:paraId="0F9DDB0C" w14:textId="196BF557" w:rsidR="000B791E" w:rsidRDefault="0089196B">
          <w:pPr>
            <w:pStyle w:val="TOC4"/>
            <w:rPr>
              <w:rFonts w:asciiTheme="minorHAnsi" w:eastAsiaTheme="minorEastAsia" w:hAnsiTheme="minorHAnsi" w:cstheme="minorBidi"/>
              <w:noProof/>
              <w:color w:val="auto"/>
              <w:kern w:val="2"/>
              <w:sz w:val="22"/>
              <w:szCs w:val="22"/>
              <w:lang w:val="en-AU" w:eastAsia="en-AU"/>
              <w14:ligatures w14:val="standardContextual"/>
            </w:rPr>
          </w:pPr>
          <w:hyperlink w:anchor="_Toc164067882" w:history="1">
            <w:r w:rsidR="000B791E" w:rsidRPr="00CB747C">
              <w:rPr>
                <w:rStyle w:val="Hyperlink"/>
                <w:noProof/>
              </w:rPr>
              <w:t>5.8.5.1</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Entity requirements</w:t>
            </w:r>
            <w:r w:rsidR="000B791E">
              <w:rPr>
                <w:noProof/>
                <w:webHidden/>
              </w:rPr>
              <w:tab/>
            </w:r>
            <w:r w:rsidR="000B791E">
              <w:rPr>
                <w:noProof/>
                <w:webHidden/>
              </w:rPr>
              <w:fldChar w:fldCharType="begin"/>
            </w:r>
            <w:r w:rsidR="000B791E">
              <w:rPr>
                <w:noProof/>
                <w:webHidden/>
              </w:rPr>
              <w:instrText xml:space="preserve"> PAGEREF _Toc164067882 \h </w:instrText>
            </w:r>
            <w:r w:rsidR="000B791E">
              <w:rPr>
                <w:noProof/>
                <w:webHidden/>
              </w:rPr>
            </w:r>
            <w:r w:rsidR="000B791E">
              <w:rPr>
                <w:noProof/>
                <w:webHidden/>
              </w:rPr>
              <w:fldChar w:fldCharType="separate"/>
            </w:r>
            <w:r w:rsidR="007403EE">
              <w:rPr>
                <w:noProof/>
                <w:webHidden/>
              </w:rPr>
              <w:t>20</w:t>
            </w:r>
            <w:r w:rsidR="000B791E">
              <w:rPr>
                <w:noProof/>
                <w:webHidden/>
              </w:rPr>
              <w:fldChar w:fldCharType="end"/>
            </w:r>
          </w:hyperlink>
        </w:p>
        <w:p w14:paraId="35E92743" w14:textId="3EB3A868"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83" w:history="1">
            <w:r w:rsidR="000B791E" w:rsidRPr="00CB747C">
              <w:rPr>
                <w:rStyle w:val="Hyperlink"/>
                <w:noProof/>
              </w:rPr>
              <w:t>5.8.6 Foreign interference</w:t>
            </w:r>
            <w:r w:rsidR="000B791E">
              <w:rPr>
                <w:noProof/>
                <w:webHidden/>
              </w:rPr>
              <w:tab/>
            </w:r>
            <w:r w:rsidR="000B791E">
              <w:rPr>
                <w:noProof/>
                <w:webHidden/>
              </w:rPr>
              <w:fldChar w:fldCharType="begin"/>
            </w:r>
            <w:r w:rsidR="000B791E">
              <w:rPr>
                <w:noProof/>
                <w:webHidden/>
              </w:rPr>
              <w:instrText xml:space="preserve"> PAGEREF _Toc164067883 \h </w:instrText>
            </w:r>
            <w:r w:rsidR="000B791E">
              <w:rPr>
                <w:noProof/>
                <w:webHidden/>
              </w:rPr>
            </w:r>
            <w:r w:rsidR="000B791E">
              <w:rPr>
                <w:noProof/>
                <w:webHidden/>
              </w:rPr>
              <w:fldChar w:fldCharType="separate"/>
            </w:r>
            <w:r w:rsidR="007403EE">
              <w:rPr>
                <w:noProof/>
                <w:webHidden/>
              </w:rPr>
              <w:t>20</w:t>
            </w:r>
            <w:r w:rsidR="000B791E">
              <w:rPr>
                <w:noProof/>
                <w:webHidden/>
              </w:rPr>
              <w:fldChar w:fldCharType="end"/>
            </w:r>
          </w:hyperlink>
        </w:p>
        <w:p w14:paraId="4C940F41" w14:textId="63577CF1"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84" w:history="1">
            <w:r w:rsidR="000B791E" w:rsidRPr="00CB747C">
              <w:rPr>
                <w:rStyle w:val="Hyperlink"/>
                <w:noProof/>
              </w:rPr>
              <w:t>5.8.7 Child Safety</w:t>
            </w:r>
            <w:r w:rsidR="000B791E">
              <w:rPr>
                <w:noProof/>
                <w:webHidden/>
              </w:rPr>
              <w:tab/>
            </w:r>
            <w:r w:rsidR="000B791E">
              <w:rPr>
                <w:noProof/>
                <w:webHidden/>
              </w:rPr>
              <w:fldChar w:fldCharType="begin"/>
            </w:r>
            <w:r w:rsidR="000B791E">
              <w:rPr>
                <w:noProof/>
                <w:webHidden/>
              </w:rPr>
              <w:instrText xml:space="preserve"> PAGEREF _Toc164067884 \h </w:instrText>
            </w:r>
            <w:r w:rsidR="000B791E">
              <w:rPr>
                <w:noProof/>
                <w:webHidden/>
              </w:rPr>
            </w:r>
            <w:r w:rsidR="000B791E">
              <w:rPr>
                <w:noProof/>
                <w:webHidden/>
              </w:rPr>
              <w:fldChar w:fldCharType="separate"/>
            </w:r>
            <w:r w:rsidR="007403EE">
              <w:rPr>
                <w:noProof/>
                <w:webHidden/>
              </w:rPr>
              <w:t>21</w:t>
            </w:r>
            <w:r w:rsidR="000B791E">
              <w:rPr>
                <w:noProof/>
                <w:webHidden/>
              </w:rPr>
              <w:fldChar w:fldCharType="end"/>
            </w:r>
          </w:hyperlink>
        </w:p>
        <w:p w14:paraId="671A0940" w14:textId="5B4D3F2E" w:rsidR="000B791E" w:rsidRDefault="0089196B">
          <w:pPr>
            <w:pStyle w:val="TOC3"/>
            <w:rPr>
              <w:rFonts w:asciiTheme="minorHAnsi" w:eastAsiaTheme="minorEastAsia" w:hAnsiTheme="minorHAnsi" w:cstheme="minorBidi"/>
              <w:noProof/>
              <w:color w:val="auto"/>
              <w:kern w:val="2"/>
              <w:sz w:val="22"/>
              <w:szCs w:val="22"/>
              <w:lang w:val="en-AU" w:eastAsia="en-AU"/>
              <w14:ligatures w14:val="standardContextual"/>
            </w:rPr>
          </w:pPr>
          <w:hyperlink w:anchor="_Toc164067885" w:history="1">
            <w:r w:rsidR="000B791E" w:rsidRPr="00CB747C">
              <w:rPr>
                <w:rStyle w:val="Hyperlink"/>
                <w:noProof/>
              </w:rPr>
              <w:t>5.8.8</w:t>
            </w:r>
            <w:r w:rsidR="000B791E">
              <w:rPr>
                <w:rFonts w:asciiTheme="minorHAnsi" w:eastAsiaTheme="minorEastAsia" w:hAnsiTheme="minorHAnsi" w:cstheme="minorBidi"/>
                <w:noProof/>
                <w:color w:val="auto"/>
                <w:kern w:val="2"/>
                <w:sz w:val="22"/>
                <w:szCs w:val="22"/>
                <w:lang w:val="en-AU" w:eastAsia="en-AU"/>
                <w14:ligatures w14:val="standardContextual"/>
              </w:rPr>
              <w:tab/>
            </w:r>
            <w:r w:rsidR="000B791E" w:rsidRPr="00CB747C">
              <w:rPr>
                <w:rStyle w:val="Hyperlink"/>
                <w:noProof/>
              </w:rPr>
              <w:t>Further information and guidance on integrity</w:t>
            </w:r>
            <w:r w:rsidR="000B791E">
              <w:rPr>
                <w:noProof/>
                <w:webHidden/>
              </w:rPr>
              <w:tab/>
            </w:r>
            <w:r w:rsidR="000B791E">
              <w:rPr>
                <w:noProof/>
                <w:webHidden/>
              </w:rPr>
              <w:fldChar w:fldCharType="begin"/>
            </w:r>
            <w:r w:rsidR="000B791E">
              <w:rPr>
                <w:noProof/>
                <w:webHidden/>
              </w:rPr>
              <w:instrText xml:space="preserve"> PAGEREF _Toc164067885 \h </w:instrText>
            </w:r>
            <w:r w:rsidR="000B791E">
              <w:rPr>
                <w:noProof/>
                <w:webHidden/>
              </w:rPr>
            </w:r>
            <w:r w:rsidR="000B791E">
              <w:rPr>
                <w:noProof/>
                <w:webHidden/>
              </w:rPr>
              <w:fldChar w:fldCharType="separate"/>
            </w:r>
            <w:r w:rsidR="007403EE">
              <w:rPr>
                <w:noProof/>
                <w:webHidden/>
              </w:rPr>
              <w:t>21</w:t>
            </w:r>
            <w:r w:rsidR="000B791E">
              <w:rPr>
                <w:noProof/>
                <w:webHidden/>
              </w:rPr>
              <w:fldChar w:fldCharType="end"/>
            </w:r>
          </w:hyperlink>
        </w:p>
        <w:p w14:paraId="6CE1D7E1" w14:textId="188E85AE" w:rsidR="000B791E" w:rsidRDefault="0089196B">
          <w:pPr>
            <w:pStyle w:val="TOC4"/>
            <w:rPr>
              <w:rFonts w:asciiTheme="minorHAnsi" w:eastAsiaTheme="minorEastAsia" w:hAnsiTheme="minorHAnsi" w:cstheme="minorBidi"/>
              <w:noProof/>
              <w:color w:val="auto"/>
              <w:kern w:val="2"/>
              <w:sz w:val="22"/>
              <w:szCs w:val="22"/>
              <w:lang w:val="en-AU" w:eastAsia="en-AU"/>
              <w14:ligatures w14:val="standardContextual"/>
            </w:rPr>
          </w:pPr>
          <w:hyperlink w:anchor="_Toc164067886" w:history="1">
            <w:r w:rsidR="000B791E" w:rsidRPr="00CB747C">
              <w:rPr>
                <w:rStyle w:val="Hyperlink"/>
                <w:noProof/>
              </w:rPr>
              <w:t>5.8.8.1 Further information – DJSIR</w:t>
            </w:r>
            <w:r w:rsidR="000B791E">
              <w:rPr>
                <w:noProof/>
                <w:webHidden/>
              </w:rPr>
              <w:tab/>
            </w:r>
            <w:r w:rsidR="000B791E">
              <w:rPr>
                <w:noProof/>
                <w:webHidden/>
              </w:rPr>
              <w:fldChar w:fldCharType="begin"/>
            </w:r>
            <w:r w:rsidR="000B791E">
              <w:rPr>
                <w:noProof/>
                <w:webHidden/>
              </w:rPr>
              <w:instrText xml:space="preserve"> PAGEREF _Toc164067886 \h </w:instrText>
            </w:r>
            <w:r w:rsidR="000B791E">
              <w:rPr>
                <w:noProof/>
                <w:webHidden/>
              </w:rPr>
            </w:r>
            <w:r w:rsidR="000B791E">
              <w:rPr>
                <w:noProof/>
                <w:webHidden/>
              </w:rPr>
              <w:fldChar w:fldCharType="separate"/>
            </w:r>
            <w:r w:rsidR="007403EE">
              <w:rPr>
                <w:noProof/>
                <w:webHidden/>
              </w:rPr>
              <w:t>21</w:t>
            </w:r>
            <w:r w:rsidR="000B791E">
              <w:rPr>
                <w:noProof/>
                <w:webHidden/>
              </w:rPr>
              <w:fldChar w:fldCharType="end"/>
            </w:r>
          </w:hyperlink>
        </w:p>
        <w:p w14:paraId="2F23C7B4" w14:textId="779B4B5F" w:rsidR="000B791E" w:rsidRDefault="0089196B">
          <w:pPr>
            <w:pStyle w:val="TOC4"/>
            <w:rPr>
              <w:rFonts w:asciiTheme="minorHAnsi" w:eastAsiaTheme="minorEastAsia" w:hAnsiTheme="minorHAnsi" w:cstheme="minorBidi"/>
              <w:noProof/>
              <w:color w:val="auto"/>
              <w:kern w:val="2"/>
              <w:sz w:val="22"/>
              <w:szCs w:val="22"/>
              <w:lang w:val="en-AU" w:eastAsia="en-AU"/>
              <w14:ligatures w14:val="standardContextual"/>
            </w:rPr>
          </w:pPr>
          <w:hyperlink w:anchor="_Toc164067887" w:history="1">
            <w:r w:rsidR="000B791E" w:rsidRPr="00CB747C">
              <w:rPr>
                <w:rStyle w:val="Hyperlink"/>
                <w:noProof/>
              </w:rPr>
              <w:t>5.8.8.2 Further information – External Organisations</w:t>
            </w:r>
            <w:r w:rsidR="000B791E">
              <w:rPr>
                <w:noProof/>
                <w:webHidden/>
              </w:rPr>
              <w:tab/>
            </w:r>
            <w:r w:rsidR="000B791E">
              <w:rPr>
                <w:noProof/>
                <w:webHidden/>
              </w:rPr>
              <w:fldChar w:fldCharType="begin"/>
            </w:r>
            <w:r w:rsidR="000B791E">
              <w:rPr>
                <w:noProof/>
                <w:webHidden/>
              </w:rPr>
              <w:instrText xml:space="preserve"> PAGEREF _Toc164067887 \h </w:instrText>
            </w:r>
            <w:r w:rsidR="000B791E">
              <w:rPr>
                <w:noProof/>
                <w:webHidden/>
              </w:rPr>
            </w:r>
            <w:r w:rsidR="000B791E">
              <w:rPr>
                <w:noProof/>
                <w:webHidden/>
              </w:rPr>
              <w:fldChar w:fldCharType="separate"/>
            </w:r>
            <w:r w:rsidR="007403EE">
              <w:rPr>
                <w:noProof/>
                <w:webHidden/>
              </w:rPr>
              <w:t>21</w:t>
            </w:r>
            <w:r w:rsidR="000B791E">
              <w:rPr>
                <w:noProof/>
                <w:webHidden/>
              </w:rPr>
              <w:fldChar w:fldCharType="end"/>
            </w:r>
          </w:hyperlink>
        </w:p>
        <w:p w14:paraId="0AB10CB3" w14:textId="7FB2B64B" w:rsidR="000B791E" w:rsidRDefault="0089196B">
          <w:pPr>
            <w:pStyle w:val="TOC1"/>
            <w:rPr>
              <w:rFonts w:asciiTheme="minorHAnsi" w:eastAsiaTheme="minorEastAsia" w:hAnsiTheme="minorHAnsi" w:cstheme="minorBidi"/>
              <w:noProof/>
              <w:color w:val="auto"/>
              <w:kern w:val="2"/>
              <w:sz w:val="22"/>
              <w:szCs w:val="22"/>
              <w:lang w:val="en-AU" w:eastAsia="en-AU"/>
              <w14:ligatures w14:val="standardContextual"/>
            </w:rPr>
          </w:pPr>
          <w:hyperlink w:anchor="_Toc164067888" w:history="1">
            <w:r w:rsidR="000B791E" w:rsidRPr="00CB747C">
              <w:rPr>
                <w:rStyle w:val="Hyperlink"/>
                <w:noProof/>
              </w:rPr>
              <w:t>APPENDIX A: Legislation</w:t>
            </w:r>
            <w:r w:rsidR="000B791E">
              <w:rPr>
                <w:noProof/>
                <w:webHidden/>
              </w:rPr>
              <w:tab/>
            </w:r>
            <w:r w:rsidR="000B791E">
              <w:rPr>
                <w:noProof/>
                <w:webHidden/>
              </w:rPr>
              <w:fldChar w:fldCharType="begin"/>
            </w:r>
            <w:r w:rsidR="000B791E">
              <w:rPr>
                <w:noProof/>
                <w:webHidden/>
              </w:rPr>
              <w:instrText xml:space="preserve"> PAGEREF _Toc164067888 \h </w:instrText>
            </w:r>
            <w:r w:rsidR="000B791E">
              <w:rPr>
                <w:noProof/>
                <w:webHidden/>
              </w:rPr>
            </w:r>
            <w:r w:rsidR="000B791E">
              <w:rPr>
                <w:noProof/>
                <w:webHidden/>
              </w:rPr>
              <w:fldChar w:fldCharType="separate"/>
            </w:r>
            <w:r w:rsidR="007403EE">
              <w:rPr>
                <w:noProof/>
                <w:webHidden/>
              </w:rPr>
              <w:t>22</w:t>
            </w:r>
            <w:r w:rsidR="000B791E">
              <w:rPr>
                <w:noProof/>
                <w:webHidden/>
              </w:rPr>
              <w:fldChar w:fldCharType="end"/>
            </w:r>
          </w:hyperlink>
        </w:p>
        <w:p w14:paraId="4540ED5E" w14:textId="0BFC21D5" w:rsidR="000B791E" w:rsidRDefault="0089196B">
          <w:pPr>
            <w:pStyle w:val="TOC1"/>
            <w:rPr>
              <w:rFonts w:asciiTheme="minorHAnsi" w:eastAsiaTheme="minorEastAsia" w:hAnsiTheme="minorHAnsi" w:cstheme="minorBidi"/>
              <w:noProof/>
              <w:color w:val="auto"/>
              <w:kern w:val="2"/>
              <w:sz w:val="22"/>
              <w:szCs w:val="22"/>
              <w:lang w:val="en-AU" w:eastAsia="en-AU"/>
              <w14:ligatures w14:val="standardContextual"/>
            </w:rPr>
          </w:pPr>
          <w:hyperlink w:anchor="_Toc164067889" w:history="1">
            <w:r w:rsidR="000B791E" w:rsidRPr="00CB747C">
              <w:rPr>
                <w:rStyle w:val="Hyperlink"/>
                <w:noProof/>
              </w:rPr>
              <w:t>APPENDIX B: Diversity cohorts on Victorian Government Boards</w:t>
            </w:r>
            <w:r w:rsidR="000B791E">
              <w:rPr>
                <w:noProof/>
                <w:webHidden/>
              </w:rPr>
              <w:tab/>
            </w:r>
            <w:r w:rsidR="000B791E">
              <w:rPr>
                <w:noProof/>
                <w:webHidden/>
              </w:rPr>
              <w:fldChar w:fldCharType="begin"/>
            </w:r>
            <w:r w:rsidR="000B791E">
              <w:rPr>
                <w:noProof/>
                <w:webHidden/>
              </w:rPr>
              <w:instrText xml:space="preserve"> PAGEREF _Toc164067889 \h </w:instrText>
            </w:r>
            <w:r w:rsidR="000B791E">
              <w:rPr>
                <w:noProof/>
                <w:webHidden/>
              </w:rPr>
            </w:r>
            <w:r w:rsidR="000B791E">
              <w:rPr>
                <w:noProof/>
                <w:webHidden/>
              </w:rPr>
              <w:fldChar w:fldCharType="separate"/>
            </w:r>
            <w:r w:rsidR="007403EE">
              <w:rPr>
                <w:noProof/>
                <w:webHidden/>
              </w:rPr>
              <w:t>23</w:t>
            </w:r>
            <w:r w:rsidR="000B791E">
              <w:rPr>
                <w:noProof/>
                <w:webHidden/>
              </w:rPr>
              <w:fldChar w:fldCharType="end"/>
            </w:r>
          </w:hyperlink>
        </w:p>
        <w:p w14:paraId="66DF0DC8" w14:textId="46D38A9A" w:rsidR="000B791E" w:rsidRDefault="0089196B">
          <w:pPr>
            <w:pStyle w:val="TOC1"/>
            <w:rPr>
              <w:rFonts w:asciiTheme="minorHAnsi" w:eastAsiaTheme="minorEastAsia" w:hAnsiTheme="minorHAnsi" w:cstheme="minorBidi"/>
              <w:noProof/>
              <w:color w:val="auto"/>
              <w:kern w:val="2"/>
              <w:sz w:val="22"/>
              <w:szCs w:val="22"/>
              <w:lang w:val="en-AU" w:eastAsia="en-AU"/>
              <w14:ligatures w14:val="standardContextual"/>
            </w:rPr>
          </w:pPr>
          <w:hyperlink w:anchor="_Toc164067890" w:history="1">
            <w:r w:rsidR="000B791E" w:rsidRPr="00CB747C">
              <w:rPr>
                <w:rStyle w:val="Hyperlink"/>
                <w:noProof/>
              </w:rPr>
              <w:t>APPENDIX C: Support and resources</w:t>
            </w:r>
            <w:r w:rsidR="000B791E">
              <w:rPr>
                <w:noProof/>
                <w:webHidden/>
              </w:rPr>
              <w:tab/>
            </w:r>
            <w:r w:rsidR="000B791E">
              <w:rPr>
                <w:noProof/>
                <w:webHidden/>
              </w:rPr>
              <w:fldChar w:fldCharType="begin"/>
            </w:r>
            <w:r w:rsidR="000B791E">
              <w:rPr>
                <w:noProof/>
                <w:webHidden/>
              </w:rPr>
              <w:instrText xml:space="preserve"> PAGEREF _Toc164067890 \h </w:instrText>
            </w:r>
            <w:r w:rsidR="000B791E">
              <w:rPr>
                <w:noProof/>
                <w:webHidden/>
              </w:rPr>
            </w:r>
            <w:r w:rsidR="000B791E">
              <w:rPr>
                <w:noProof/>
                <w:webHidden/>
              </w:rPr>
              <w:fldChar w:fldCharType="separate"/>
            </w:r>
            <w:r w:rsidR="007403EE">
              <w:rPr>
                <w:noProof/>
                <w:webHidden/>
              </w:rPr>
              <w:t>27</w:t>
            </w:r>
            <w:r w:rsidR="000B791E">
              <w:rPr>
                <w:noProof/>
                <w:webHidden/>
              </w:rPr>
              <w:fldChar w:fldCharType="end"/>
            </w:r>
          </w:hyperlink>
        </w:p>
        <w:p w14:paraId="16209B4F" w14:textId="095CDAD8" w:rsidR="000B791E" w:rsidRDefault="0089196B">
          <w:pPr>
            <w:pStyle w:val="TOC1"/>
            <w:rPr>
              <w:rFonts w:asciiTheme="minorHAnsi" w:eastAsiaTheme="minorEastAsia" w:hAnsiTheme="minorHAnsi" w:cstheme="minorBidi"/>
              <w:noProof/>
              <w:color w:val="auto"/>
              <w:kern w:val="2"/>
              <w:sz w:val="22"/>
              <w:szCs w:val="22"/>
              <w:lang w:val="en-AU" w:eastAsia="en-AU"/>
              <w14:ligatures w14:val="standardContextual"/>
            </w:rPr>
          </w:pPr>
          <w:hyperlink w:anchor="_Toc164067891" w:history="1">
            <w:r w:rsidR="000B791E" w:rsidRPr="00CB747C">
              <w:rPr>
                <w:rStyle w:val="Hyperlink"/>
                <w:noProof/>
              </w:rPr>
              <w:t>APPENDIX D: Glossary</w:t>
            </w:r>
            <w:r w:rsidR="000B791E">
              <w:rPr>
                <w:noProof/>
                <w:webHidden/>
              </w:rPr>
              <w:tab/>
            </w:r>
            <w:r w:rsidR="000B791E">
              <w:rPr>
                <w:noProof/>
                <w:webHidden/>
              </w:rPr>
              <w:fldChar w:fldCharType="begin"/>
            </w:r>
            <w:r w:rsidR="000B791E">
              <w:rPr>
                <w:noProof/>
                <w:webHidden/>
              </w:rPr>
              <w:instrText xml:space="preserve"> PAGEREF _Toc164067891 \h </w:instrText>
            </w:r>
            <w:r w:rsidR="000B791E">
              <w:rPr>
                <w:noProof/>
                <w:webHidden/>
              </w:rPr>
            </w:r>
            <w:r w:rsidR="000B791E">
              <w:rPr>
                <w:noProof/>
                <w:webHidden/>
              </w:rPr>
              <w:fldChar w:fldCharType="separate"/>
            </w:r>
            <w:r w:rsidR="007403EE">
              <w:rPr>
                <w:noProof/>
                <w:webHidden/>
              </w:rPr>
              <w:t>30</w:t>
            </w:r>
            <w:r w:rsidR="000B791E">
              <w:rPr>
                <w:noProof/>
                <w:webHidden/>
              </w:rPr>
              <w:fldChar w:fldCharType="end"/>
            </w:r>
          </w:hyperlink>
        </w:p>
        <w:p w14:paraId="44E27DA4" w14:textId="7BF2DD84" w:rsidR="00F835F8" w:rsidRDefault="00DA7B3E">
          <w:r>
            <w:fldChar w:fldCharType="end"/>
          </w:r>
        </w:p>
      </w:sdtContent>
    </w:sdt>
    <w:p w14:paraId="3A535DF1" w14:textId="214F13DE" w:rsidR="004B661B" w:rsidRPr="00E5328C" w:rsidRDefault="004B661B" w:rsidP="00D6748F">
      <w:pPr>
        <w:spacing w:before="2400"/>
        <w:sectPr w:rsidR="004B661B" w:rsidRPr="00E5328C" w:rsidSect="00477880">
          <w:headerReference w:type="even" r:id="rId17"/>
          <w:headerReference w:type="default" r:id="rId18"/>
          <w:footerReference w:type="default" r:id="rId19"/>
          <w:headerReference w:type="first" r:id="rId20"/>
          <w:type w:val="oddPage"/>
          <w:pgSz w:w="11906" w:h="16838" w:code="9"/>
          <w:pgMar w:top="2268" w:right="1361" w:bottom="1701" w:left="1361" w:header="284" w:footer="340" w:gutter="0"/>
          <w:cols w:space="708"/>
          <w:docGrid w:linePitch="360"/>
        </w:sectPr>
      </w:pPr>
    </w:p>
    <w:p w14:paraId="030EEE0F" w14:textId="76428DF7" w:rsidR="003B39B7" w:rsidRDefault="003B39B7" w:rsidP="003B39B7">
      <w:pPr>
        <w:pStyle w:val="Heading1"/>
        <w:spacing w:before="0" w:after="0"/>
      </w:pPr>
      <w:bookmarkStart w:id="0" w:name="_Toc21095914"/>
      <w:bookmarkStart w:id="1" w:name="_Toc39481495"/>
      <w:bookmarkStart w:id="2" w:name="_Toc164067824"/>
      <w:r>
        <w:lastRenderedPageBreak/>
        <w:t xml:space="preserve">Secretary’s </w:t>
      </w:r>
      <w:r w:rsidR="00B804DB">
        <w:t>F</w:t>
      </w:r>
      <w:r>
        <w:t>oreword</w:t>
      </w:r>
      <w:bookmarkEnd w:id="0"/>
      <w:bookmarkEnd w:id="1"/>
      <w:bookmarkEnd w:id="2"/>
    </w:p>
    <w:p w14:paraId="283803E9" w14:textId="09C64150" w:rsidR="003B39B7" w:rsidRDefault="003B39B7" w:rsidP="003B39B7"/>
    <w:p w14:paraId="07FAB92C" w14:textId="77777777" w:rsidR="003B39B7" w:rsidRDefault="003B39B7" w:rsidP="003B39B7"/>
    <w:p w14:paraId="511B5959" w14:textId="708C9032" w:rsidR="004B2A2C" w:rsidRPr="004B2A2C" w:rsidRDefault="004B2A2C" w:rsidP="004B2A2C">
      <w:pPr>
        <w:rPr>
          <w:rFonts w:asciiTheme="minorHAnsi" w:eastAsia="Calibri" w:hAnsiTheme="minorHAnsi" w:cstheme="minorHAnsi"/>
        </w:rPr>
      </w:pPr>
      <w:r w:rsidRPr="004B2A2C">
        <w:rPr>
          <w:rFonts w:asciiTheme="minorHAnsi" w:eastAsia="Calibri" w:hAnsiTheme="minorHAnsi" w:cstheme="minorHAnsi"/>
        </w:rPr>
        <w:t xml:space="preserve">Established in January 2023, the Department of Jobs, Skills, Industry and Regions </w:t>
      </w:r>
      <w:r w:rsidR="00E83BC0">
        <w:t xml:space="preserve">(the department) </w:t>
      </w:r>
      <w:r w:rsidRPr="004B2A2C">
        <w:rPr>
          <w:rFonts w:asciiTheme="minorHAnsi" w:eastAsia="Calibri" w:hAnsiTheme="minorHAnsi" w:cstheme="minorHAnsi"/>
        </w:rPr>
        <w:t>brings together government portfolios focused on building a prosperous future for our state and its people, our businesses and industries, and our communities and regions.</w:t>
      </w:r>
    </w:p>
    <w:p w14:paraId="213F865F" w14:textId="77777777" w:rsidR="004B2A2C" w:rsidRPr="004B2A2C" w:rsidRDefault="004B2A2C" w:rsidP="004B2A2C">
      <w:pPr>
        <w:ind w:left="-20" w:right="-20"/>
        <w:rPr>
          <w:rFonts w:asciiTheme="minorHAnsi" w:eastAsiaTheme="minorEastAsia" w:hAnsiTheme="minorHAnsi" w:cstheme="minorHAnsi"/>
          <w:color w:val="000000" w:themeColor="text1"/>
        </w:rPr>
      </w:pPr>
      <w:r w:rsidRPr="004B2A2C">
        <w:rPr>
          <w:rFonts w:asciiTheme="minorHAnsi" w:eastAsiaTheme="minorEastAsia" w:hAnsiTheme="minorHAnsi" w:cstheme="minorHAnsi"/>
          <w:color w:val="000000" w:themeColor="text1"/>
        </w:rPr>
        <w:t xml:space="preserve">Our work supports 9 ministers across 11 portfolios - Jobs and Industry, Creative Industries, Medical Research, Tourism, Sport and Major Events, Outdoor Recreation, Economic Growth, Community Sport, Small Business, Skills and TAFE, Regional Development and Employment. </w:t>
      </w:r>
    </w:p>
    <w:p w14:paraId="1D12B897" w14:textId="270E78BF" w:rsidR="004B2A2C" w:rsidRPr="004B2A2C" w:rsidRDefault="004B2A2C" w:rsidP="004B2A2C">
      <w:pPr>
        <w:ind w:left="-20" w:right="-20"/>
        <w:rPr>
          <w:rFonts w:asciiTheme="minorHAnsi" w:eastAsia="Calibri" w:hAnsiTheme="minorHAnsi" w:cstheme="minorHAnsi"/>
        </w:rPr>
      </w:pPr>
      <w:r w:rsidRPr="004B2A2C">
        <w:rPr>
          <w:rFonts w:asciiTheme="minorHAnsi" w:eastAsia="Calibri" w:hAnsiTheme="minorHAnsi" w:cstheme="minorHAnsi"/>
        </w:rPr>
        <w:t xml:space="preserve">While we have a broad remit, we are united by our shared purpose in growing Victoria’s prosperity, building the productive capacity of our economy and increasing participation. </w:t>
      </w:r>
    </w:p>
    <w:p w14:paraId="724036AB" w14:textId="58D17920" w:rsidR="004B2A2C" w:rsidRPr="004B2A2C" w:rsidRDefault="004B2A2C" w:rsidP="004B2A2C">
      <w:pPr>
        <w:ind w:left="-20" w:right="-20"/>
        <w:rPr>
          <w:rFonts w:asciiTheme="minorHAnsi" w:eastAsiaTheme="minorEastAsia" w:hAnsiTheme="minorHAnsi" w:cstheme="minorHAnsi"/>
          <w:color w:val="000000" w:themeColor="text1"/>
        </w:rPr>
      </w:pPr>
      <w:r w:rsidRPr="004B2A2C">
        <w:rPr>
          <w:rFonts w:asciiTheme="minorHAnsi" w:eastAsia="Calibri" w:hAnsiTheme="minorHAnsi" w:cstheme="minorHAnsi"/>
        </w:rPr>
        <w:t xml:space="preserve">To deliver on this purpose and uphold the trust that is vested in us by the community, </w:t>
      </w:r>
      <w:r w:rsidR="00E83BC0">
        <w:t xml:space="preserve">the department </w:t>
      </w:r>
      <w:r w:rsidRPr="004B2A2C">
        <w:rPr>
          <w:rFonts w:asciiTheme="minorHAnsi" w:eastAsia="Calibri" w:hAnsiTheme="minorHAnsi" w:cstheme="minorHAnsi"/>
        </w:rPr>
        <w:t xml:space="preserve">and our portfolio </w:t>
      </w:r>
      <w:r w:rsidR="00EF00A4">
        <w:rPr>
          <w:rFonts w:asciiTheme="minorHAnsi" w:eastAsia="Calibri" w:hAnsiTheme="minorHAnsi" w:cstheme="minorHAnsi"/>
        </w:rPr>
        <w:t>entiti</w:t>
      </w:r>
      <w:r w:rsidR="00815EC2">
        <w:rPr>
          <w:rFonts w:asciiTheme="minorHAnsi" w:eastAsia="Calibri" w:hAnsiTheme="minorHAnsi" w:cstheme="minorHAnsi"/>
        </w:rPr>
        <w:t>es</w:t>
      </w:r>
      <w:r w:rsidRPr="004B2A2C">
        <w:rPr>
          <w:rFonts w:asciiTheme="minorHAnsi" w:eastAsia="Calibri" w:hAnsiTheme="minorHAnsi" w:cstheme="minorHAnsi"/>
        </w:rPr>
        <w:t xml:space="preserve"> must work collaboratively and in accordance with good governance. </w:t>
      </w:r>
    </w:p>
    <w:p w14:paraId="247E38B5" w14:textId="25ED63F1" w:rsidR="004B2A2C" w:rsidRPr="004B2A2C" w:rsidRDefault="00BA5420" w:rsidP="004B2A2C">
      <w:pPr>
        <w:ind w:left="-20" w:right="-20"/>
        <w:rPr>
          <w:rFonts w:asciiTheme="minorHAnsi" w:eastAsia="Calibri" w:hAnsiTheme="minorHAnsi" w:cstheme="minorHAnsi"/>
        </w:rPr>
      </w:pPr>
      <w:r>
        <w:rPr>
          <w:rFonts w:asciiTheme="minorHAnsi" w:eastAsia="Calibri" w:hAnsiTheme="minorHAnsi" w:cstheme="minorHAnsi"/>
        </w:rPr>
        <w:t>Each entity has responsibilities under establishing legislation, whole of sector</w:t>
      </w:r>
      <w:r w:rsidR="008D3431">
        <w:rPr>
          <w:rFonts w:asciiTheme="minorHAnsi" w:eastAsia="Calibri" w:hAnsiTheme="minorHAnsi" w:cstheme="minorHAnsi"/>
        </w:rPr>
        <w:t xml:space="preserve"> legislation</w:t>
      </w:r>
      <w:r w:rsidR="00EA542A">
        <w:rPr>
          <w:rFonts w:asciiTheme="minorHAnsi" w:eastAsia="Calibri" w:hAnsiTheme="minorHAnsi" w:cstheme="minorHAnsi"/>
        </w:rPr>
        <w:t xml:space="preserve"> and is also subject to departmental oversight of its performance. </w:t>
      </w:r>
      <w:r w:rsidR="002027E2">
        <w:rPr>
          <w:rFonts w:asciiTheme="minorHAnsi" w:eastAsia="Calibri" w:hAnsiTheme="minorHAnsi" w:cstheme="minorHAnsi"/>
        </w:rPr>
        <w:t>In particular, t</w:t>
      </w:r>
      <w:r w:rsidR="004B2A2C" w:rsidRPr="004B2A2C">
        <w:rPr>
          <w:rFonts w:asciiTheme="minorHAnsi" w:eastAsia="Calibri" w:hAnsiTheme="minorHAnsi" w:cstheme="minorHAnsi"/>
        </w:rPr>
        <w:t xml:space="preserve">he </w:t>
      </w:r>
      <w:r w:rsidR="004B2A2C" w:rsidRPr="004B2A2C">
        <w:rPr>
          <w:rFonts w:asciiTheme="minorHAnsi" w:eastAsia="Calibri" w:hAnsiTheme="minorHAnsi" w:cstheme="minorHAnsi"/>
          <w:i/>
          <w:iCs/>
        </w:rPr>
        <w:t>Public Administration Act 2004</w:t>
      </w:r>
      <w:r w:rsidR="00C5506D">
        <w:rPr>
          <w:rFonts w:asciiTheme="minorHAnsi" w:eastAsia="Calibri" w:hAnsiTheme="minorHAnsi" w:cstheme="minorHAnsi"/>
          <w:i/>
          <w:iCs/>
        </w:rPr>
        <w:t xml:space="preserve"> </w:t>
      </w:r>
      <w:r w:rsidR="00C5506D">
        <w:rPr>
          <w:rFonts w:asciiTheme="minorHAnsi" w:eastAsia="Calibri" w:hAnsiTheme="minorHAnsi" w:cstheme="minorHAnsi"/>
        </w:rPr>
        <w:t xml:space="preserve">and the Code of Conduct require entity boards </w:t>
      </w:r>
      <w:r w:rsidR="000050C2">
        <w:rPr>
          <w:rFonts w:asciiTheme="minorHAnsi" w:eastAsia="Calibri" w:hAnsiTheme="minorHAnsi" w:cstheme="minorHAnsi"/>
        </w:rPr>
        <w:t>to inform the department of known major risks to operations</w:t>
      </w:r>
      <w:r w:rsidR="004B2A2C" w:rsidRPr="004B2A2C">
        <w:rPr>
          <w:rFonts w:asciiTheme="minorHAnsi" w:eastAsia="Calibri" w:hAnsiTheme="minorHAnsi" w:cstheme="minorHAnsi"/>
        </w:rPr>
        <w:t xml:space="preserve">. In addition, the Standing Directions under the </w:t>
      </w:r>
      <w:r w:rsidR="004B2A2C" w:rsidRPr="00FB1FDA">
        <w:rPr>
          <w:rFonts w:asciiTheme="minorHAnsi" w:eastAsia="Calibri" w:hAnsiTheme="minorHAnsi" w:cstheme="minorHAnsi"/>
          <w:i/>
        </w:rPr>
        <w:t>Financial Management Act 1994</w:t>
      </w:r>
      <w:r w:rsidR="004B2A2C" w:rsidRPr="004B2A2C">
        <w:rPr>
          <w:rFonts w:asciiTheme="minorHAnsi" w:eastAsia="Calibri" w:hAnsiTheme="minorHAnsi" w:cstheme="minorHAnsi"/>
        </w:rPr>
        <w:t>, require that the department provides advice and support to portfolio entities concerning fiscal management, performance and sustainability.</w:t>
      </w:r>
    </w:p>
    <w:p w14:paraId="19523187" w14:textId="229A22E8" w:rsidR="004B2A2C" w:rsidRPr="004B2A2C" w:rsidRDefault="004B2A2C" w:rsidP="004B2A2C">
      <w:pPr>
        <w:ind w:left="-20" w:right="-20"/>
        <w:rPr>
          <w:rFonts w:asciiTheme="minorHAnsi" w:eastAsiaTheme="minorEastAsia" w:hAnsiTheme="minorHAnsi" w:cstheme="minorHAnsi"/>
          <w:color w:val="000000" w:themeColor="text1"/>
        </w:rPr>
      </w:pPr>
      <w:r w:rsidRPr="004B2A2C">
        <w:rPr>
          <w:rFonts w:asciiTheme="minorHAnsi" w:eastAsia="Calibri" w:hAnsiTheme="minorHAnsi" w:cstheme="minorHAnsi"/>
        </w:rPr>
        <w:t xml:space="preserve">The obligations of public sector </w:t>
      </w:r>
      <w:r w:rsidR="007B3C74">
        <w:rPr>
          <w:rFonts w:asciiTheme="minorHAnsi" w:eastAsia="Calibri" w:hAnsiTheme="minorHAnsi" w:cstheme="minorHAnsi"/>
        </w:rPr>
        <w:t>entities</w:t>
      </w:r>
      <w:r w:rsidRPr="004B2A2C">
        <w:rPr>
          <w:rFonts w:asciiTheme="minorHAnsi" w:eastAsia="Calibri" w:hAnsiTheme="minorHAnsi" w:cstheme="minorHAnsi"/>
        </w:rPr>
        <w:t xml:space="preserve"> can be complex. </w:t>
      </w:r>
      <w:r w:rsidRPr="004B2A2C" w:rsidDel="006954B7">
        <w:rPr>
          <w:rFonts w:asciiTheme="minorHAnsi" w:eastAsiaTheme="minorEastAsia" w:hAnsiTheme="minorHAnsi" w:cstheme="minorHAnsi"/>
          <w:color w:val="000000" w:themeColor="text1"/>
        </w:rPr>
        <w:t xml:space="preserve">This </w:t>
      </w:r>
      <w:r w:rsidR="006C4740">
        <w:rPr>
          <w:rFonts w:asciiTheme="minorHAnsi" w:eastAsiaTheme="minorEastAsia" w:hAnsiTheme="minorHAnsi" w:cstheme="minorHAnsi"/>
          <w:color w:val="000000" w:themeColor="text1"/>
        </w:rPr>
        <w:t>g</w:t>
      </w:r>
      <w:r w:rsidRPr="004B2A2C" w:rsidDel="006954B7">
        <w:rPr>
          <w:rFonts w:asciiTheme="minorHAnsi" w:eastAsiaTheme="minorEastAsia" w:hAnsiTheme="minorHAnsi" w:cstheme="minorHAnsi"/>
          <w:color w:val="000000" w:themeColor="text1"/>
        </w:rPr>
        <w:t xml:space="preserve">uide </w:t>
      </w:r>
      <w:r w:rsidRPr="004B2A2C">
        <w:rPr>
          <w:rFonts w:asciiTheme="minorHAnsi" w:eastAsiaTheme="minorEastAsia" w:hAnsiTheme="minorHAnsi" w:cstheme="minorHAnsi"/>
          <w:color w:val="000000" w:themeColor="text1"/>
        </w:rPr>
        <w:t xml:space="preserve">aims </w:t>
      </w:r>
      <w:r w:rsidRPr="004B2A2C" w:rsidDel="006954B7">
        <w:rPr>
          <w:rFonts w:asciiTheme="minorHAnsi" w:eastAsiaTheme="minorEastAsia" w:hAnsiTheme="minorHAnsi" w:cstheme="minorHAnsi"/>
          <w:color w:val="000000" w:themeColor="text1"/>
        </w:rPr>
        <w:t xml:space="preserve">to assist you in </w:t>
      </w:r>
      <w:r w:rsidRPr="004B2A2C">
        <w:rPr>
          <w:rFonts w:asciiTheme="minorHAnsi" w:eastAsiaTheme="minorEastAsia" w:hAnsiTheme="minorHAnsi" w:cstheme="minorHAnsi"/>
          <w:color w:val="000000" w:themeColor="text1"/>
        </w:rPr>
        <w:t xml:space="preserve">meeting your planning, </w:t>
      </w:r>
      <w:r w:rsidRPr="004B2A2C" w:rsidDel="006954B7">
        <w:rPr>
          <w:rFonts w:asciiTheme="minorHAnsi" w:eastAsiaTheme="minorEastAsia" w:hAnsiTheme="minorHAnsi" w:cstheme="minorHAnsi"/>
          <w:color w:val="000000" w:themeColor="text1"/>
        </w:rPr>
        <w:t>financial management, performance, risk, governance and integrity obligations.</w:t>
      </w:r>
      <w:r w:rsidRPr="004B2A2C">
        <w:rPr>
          <w:rFonts w:asciiTheme="minorHAnsi" w:eastAsia="Times New Roman" w:hAnsiTheme="minorHAnsi" w:cstheme="minorHAnsi"/>
          <w:color w:val="000000" w:themeColor="text1"/>
        </w:rPr>
        <w:t xml:space="preserve"> </w:t>
      </w:r>
      <w:r w:rsidRPr="004B2A2C">
        <w:rPr>
          <w:rFonts w:asciiTheme="minorHAnsi" w:eastAsiaTheme="minorEastAsia" w:hAnsiTheme="minorHAnsi" w:cstheme="minorHAnsi"/>
          <w:color w:val="000000" w:themeColor="text1"/>
        </w:rPr>
        <w:t>The department also provides additional support through a network of relationship managers assigned to each of your entities, serving as a single point of contact for all governance matters.</w:t>
      </w:r>
    </w:p>
    <w:p w14:paraId="649119B7" w14:textId="1BCAE5F9" w:rsidR="00B9114E" w:rsidRDefault="00B9114E" w:rsidP="00B9114E">
      <w:pPr>
        <w:rPr>
          <w:color w:val="auto"/>
          <w:sz w:val="24"/>
          <w:szCs w:val="32"/>
          <w:lang w:val="en-AU"/>
        </w:rPr>
      </w:pPr>
      <w:r>
        <w:t xml:space="preserve">I </w:t>
      </w:r>
      <w:r w:rsidR="008D3B43">
        <w:t xml:space="preserve">am committed </w:t>
      </w:r>
      <w:r w:rsidR="00E73DCE">
        <w:t xml:space="preserve">to working </w:t>
      </w:r>
      <w:r w:rsidR="001C6C26">
        <w:t xml:space="preserve">together </w:t>
      </w:r>
      <w:r w:rsidR="00E73DCE">
        <w:t>with you</w:t>
      </w:r>
      <w:r w:rsidR="002B3BF0">
        <w:t xml:space="preserve"> t</w:t>
      </w:r>
      <w:r>
        <w:t xml:space="preserve">o </w:t>
      </w:r>
      <w:r w:rsidR="002B0231">
        <w:t xml:space="preserve">ensure we continue </w:t>
      </w:r>
      <w:r w:rsidR="009A27B9">
        <w:t>to</w:t>
      </w:r>
      <w:r w:rsidR="002B0231">
        <w:t xml:space="preserve"> deliver </w:t>
      </w:r>
      <w:r w:rsidR="00E84142">
        <w:t>good</w:t>
      </w:r>
      <w:r w:rsidR="00E40E2A">
        <w:t xml:space="preserve"> outcomes</w:t>
      </w:r>
      <w:r w:rsidR="0031249A">
        <w:t xml:space="preserve"> for the people of Victoria,</w:t>
      </w:r>
      <w:r w:rsidR="00D14840">
        <w:t xml:space="preserve"> using </w:t>
      </w:r>
      <w:r w:rsidR="0030219E">
        <w:t xml:space="preserve">our </w:t>
      </w:r>
      <w:r w:rsidR="00D14840">
        <w:t xml:space="preserve">resources in </w:t>
      </w:r>
      <w:r w:rsidR="0030219E">
        <w:t xml:space="preserve">a highly </w:t>
      </w:r>
      <w:r w:rsidR="00BB7E06">
        <w:t>efficient and effective manner</w:t>
      </w:r>
      <w:r>
        <w:t>.</w:t>
      </w:r>
    </w:p>
    <w:p w14:paraId="06F239FF" w14:textId="77777777" w:rsidR="00B9114E" w:rsidRPr="004B2A2C" w:rsidRDefault="00B9114E" w:rsidP="004B2A2C">
      <w:pPr>
        <w:spacing w:after="0"/>
        <w:ind w:left="-20" w:right="-20"/>
        <w:rPr>
          <w:rFonts w:asciiTheme="minorHAnsi" w:eastAsiaTheme="minorEastAsia" w:hAnsiTheme="minorHAnsi" w:cstheme="minorHAnsi"/>
          <w:color w:val="000000" w:themeColor="text1"/>
        </w:rPr>
      </w:pPr>
    </w:p>
    <w:p w14:paraId="103017B2" w14:textId="3F8AA06E" w:rsidR="004B2A2C" w:rsidRDefault="004B2A2C" w:rsidP="003B39B7">
      <w:pPr>
        <w:rPr>
          <w:rFonts w:asciiTheme="minorHAnsi" w:hAnsiTheme="minorHAnsi" w:cstheme="minorHAnsi"/>
          <w:color w:val="auto"/>
        </w:rPr>
      </w:pPr>
    </w:p>
    <w:p w14:paraId="06054E7D" w14:textId="11C8B7C3" w:rsidR="003B39B7" w:rsidRDefault="003B39B7" w:rsidP="003B39B7"/>
    <w:p w14:paraId="14A0C7E3" w14:textId="5124F907" w:rsidR="003B39B7" w:rsidRPr="000D1F62" w:rsidRDefault="008B704D" w:rsidP="003B39B7">
      <w:pPr>
        <w:rPr>
          <w:rFonts w:ascii="Calibri" w:hAnsi="Calibri"/>
          <w:b/>
          <w:bCs/>
          <w:sz w:val="22"/>
          <w:lang w:eastAsia="en-AU"/>
        </w:rPr>
      </w:pPr>
      <w:r>
        <w:rPr>
          <w:b/>
          <w:bCs/>
          <w:lang w:eastAsia="en-AU"/>
        </w:rPr>
        <w:t>Tim Ada</w:t>
      </w:r>
    </w:p>
    <w:p w14:paraId="772104F6" w14:textId="22F30401" w:rsidR="003B39B7" w:rsidRDefault="003B39B7" w:rsidP="003B39B7">
      <w:pPr>
        <w:spacing w:after="240" w:line="242" w:lineRule="atLeast"/>
        <w:rPr>
          <w:color w:val="0070C0"/>
          <w:lang w:eastAsia="en-AU"/>
        </w:rPr>
      </w:pPr>
      <w:r w:rsidRPr="000D1F62">
        <w:rPr>
          <w:b/>
          <w:bCs/>
          <w:lang w:eastAsia="en-AU"/>
        </w:rPr>
        <w:t>Secretary</w:t>
      </w:r>
      <w:r w:rsidRPr="000D1F62">
        <w:rPr>
          <w:b/>
          <w:bCs/>
          <w:lang w:eastAsia="en-AU"/>
        </w:rPr>
        <w:br/>
        <w:t>Department of Jobs,</w:t>
      </w:r>
      <w:r w:rsidR="003311FE">
        <w:rPr>
          <w:b/>
          <w:bCs/>
          <w:lang w:eastAsia="en-AU"/>
        </w:rPr>
        <w:t xml:space="preserve"> Skills, </w:t>
      </w:r>
      <w:r w:rsidR="00322B6B">
        <w:rPr>
          <w:b/>
          <w:bCs/>
          <w:lang w:eastAsia="en-AU"/>
        </w:rPr>
        <w:t>Industry</w:t>
      </w:r>
      <w:r w:rsidR="00322B6B" w:rsidRPr="000D1F62">
        <w:rPr>
          <w:b/>
          <w:bCs/>
          <w:lang w:eastAsia="en-AU"/>
        </w:rPr>
        <w:t xml:space="preserve"> and</w:t>
      </w:r>
      <w:r w:rsidRPr="000D1F62">
        <w:rPr>
          <w:b/>
          <w:bCs/>
          <w:lang w:eastAsia="en-AU"/>
        </w:rPr>
        <w:t xml:space="preserve"> Regions</w:t>
      </w:r>
      <w:r>
        <w:rPr>
          <w:color w:val="404040"/>
          <w:lang w:eastAsia="en-AU"/>
        </w:rPr>
        <w:br/>
      </w:r>
    </w:p>
    <w:p w14:paraId="3A55F208" w14:textId="4A07A82F" w:rsidR="00215602" w:rsidRDefault="00215602">
      <w:pPr>
        <w:suppressAutoHyphens w:val="0"/>
        <w:autoSpaceDE/>
        <w:autoSpaceDN/>
        <w:adjustRightInd/>
        <w:spacing w:after="0" w:line="240" w:lineRule="auto"/>
        <w:textAlignment w:val="auto"/>
        <w:rPr>
          <w:color w:val="004C97" w:themeColor="accent1"/>
          <w:sz w:val="28"/>
          <w:szCs w:val="28"/>
        </w:rPr>
      </w:pPr>
      <w:r>
        <w:br w:type="page"/>
      </w:r>
    </w:p>
    <w:p w14:paraId="67601DF3" w14:textId="30A162BE" w:rsidR="0000440C" w:rsidRPr="00536CA8" w:rsidRDefault="00870350" w:rsidP="00536CA8">
      <w:pPr>
        <w:pStyle w:val="Heading1"/>
      </w:pPr>
      <w:bookmarkStart w:id="3" w:name="_Toc164067825"/>
      <w:r>
        <w:lastRenderedPageBreak/>
        <w:t>1</w:t>
      </w:r>
      <w:r>
        <w:tab/>
      </w:r>
      <w:r w:rsidR="00062F88">
        <w:t>Purpose of this Guide</w:t>
      </w:r>
      <w:bookmarkEnd w:id="3"/>
    </w:p>
    <w:p w14:paraId="10075B03" w14:textId="753EF278" w:rsidR="00870350" w:rsidRDefault="00870350" w:rsidP="00870350">
      <w:bookmarkStart w:id="4" w:name="_Toc122014105"/>
      <w:r w:rsidRPr="007D1E86">
        <w:t xml:space="preserve">An essential element of good public administration is the existence of a governance framework, which clearly sets out the expectations of </w:t>
      </w:r>
      <w:r>
        <w:t>m</w:t>
      </w:r>
      <w:r w:rsidRPr="007D1E86">
        <w:t>inister</w:t>
      </w:r>
      <w:r>
        <w:t>s</w:t>
      </w:r>
      <w:r w:rsidRPr="007D1E86">
        <w:t xml:space="preserve"> and their departments when </w:t>
      </w:r>
      <w:r w:rsidR="00C91D7A">
        <w:t xml:space="preserve">portfolio </w:t>
      </w:r>
      <w:r w:rsidR="008925B8">
        <w:t xml:space="preserve">entities </w:t>
      </w:r>
      <w:r w:rsidRPr="007D1E86">
        <w:t xml:space="preserve">exercise their functions and powers. </w:t>
      </w:r>
    </w:p>
    <w:p w14:paraId="053B42E8" w14:textId="14B7638F" w:rsidR="00870350" w:rsidRDefault="00870350" w:rsidP="00870350">
      <w:r>
        <w:t xml:space="preserve">Effective governance also relies on ministers, departments and </w:t>
      </w:r>
      <w:r w:rsidR="00C81471">
        <w:t>entities</w:t>
      </w:r>
      <w:r>
        <w:t xml:space="preserve"> working well together and departments providing support and guidance to </w:t>
      </w:r>
      <w:r w:rsidR="00C81471">
        <w:t>entities</w:t>
      </w:r>
      <w:r>
        <w:t xml:space="preserve"> in their portfolios. This requires clarity about respective roles and responsibilities and a shared understanding of how these roles will be undertaken.</w:t>
      </w:r>
    </w:p>
    <w:p w14:paraId="4D827654" w14:textId="6F05BEAB" w:rsidR="00870350" w:rsidRPr="001258C7" w:rsidRDefault="00870350" w:rsidP="00870350">
      <w:r>
        <w:t xml:space="preserve">Accordingly, the Department of Jobs, </w:t>
      </w:r>
      <w:r w:rsidR="006430BA">
        <w:t xml:space="preserve">Skills, Industry and Regions </w:t>
      </w:r>
      <w:r>
        <w:t xml:space="preserve">(the department) </w:t>
      </w:r>
      <w:r w:rsidR="001457D7">
        <w:t xml:space="preserve">has </w:t>
      </w:r>
      <w:r>
        <w:t>developed the Portfolio Governance Framework (governance framework) to apply to the department and its portfolio</w:t>
      </w:r>
      <w:r w:rsidR="00D7075D">
        <w:t xml:space="preserve"> </w:t>
      </w:r>
      <w:r w:rsidR="001A128B">
        <w:t>entities</w:t>
      </w:r>
      <w:r>
        <w:t xml:space="preserve">. </w:t>
      </w:r>
      <w:r w:rsidRPr="000C0EF8">
        <w:t xml:space="preserve">The </w:t>
      </w:r>
      <w:r>
        <w:t>governance f</w:t>
      </w:r>
      <w:r w:rsidRPr="000C0EF8">
        <w:t>ramework aims to:</w:t>
      </w:r>
    </w:p>
    <w:p w14:paraId="21024943" w14:textId="77777777" w:rsidR="00870350" w:rsidRPr="00227E62" w:rsidRDefault="00870350" w:rsidP="007B76F0">
      <w:pPr>
        <w:pStyle w:val="ListBullet"/>
        <w:numPr>
          <w:ilvl w:val="0"/>
          <w:numId w:val="9"/>
        </w:numPr>
        <w:rPr>
          <w:color w:val="auto"/>
        </w:rPr>
      </w:pPr>
      <w:r w:rsidRPr="00227E62">
        <w:rPr>
          <w:color w:val="auto"/>
        </w:rPr>
        <w:t>encourage better alignment of the portfolio’s strategic priorities</w:t>
      </w:r>
    </w:p>
    <w:p w14:paraId="6FC15386" w14:textId="50AB186D" w:rsidR="00870350" w:rsidRPr="00227E62" w:rsidRDefault="00870350" w:rsidP="007B76F0">
      <w:pPr>
        <w:pStyle w:val="ListBullet"/>
        <w:numPr>
          <w:ilvl w:val="0"/>
          <w:numId w:val="9"/>
        </w:numPr>
        <w:rPr>
          <w:color w:val="auto"/>
        </w:rPr>
      </w:pPr>
      <w:r w:rsidRPr="00227E62">
        <w:rPr>
          <w:color w:val="auto"/>
        </w:rPr>
        <w:t xml:space="preserve">improve coordination and collaboration to </w:t>
      </w:r>
      <w:r w:rsidR="004C28A9">
        <w:rPr>
          <w:color w:val="auto"/>
        </w:rPr>
        <w:t>enhance</w:t>
      </w:r>
      <w:r w:rsidR="004C28A9" w:rsidRPr="00227E62">
        <w:rPr>
          <w:color w:val="auto"/>
        </w:rPr>
        <w:t xml:space="preserve"> </w:t>
      </w:r>
      <w:r w:rsidRPr="00227E62">
        <w:rPr>
          <w:color w:val="auto"/>
        </w:rPr>
        <w:t>performance across the portfolio</w:t>
      </w:r>
    </w:p>
    <w:p w14:paraId="66AE20C2" w14:textId="1CDEC58B" w:rsidR="00870350" w:rsidRPr="00227E62" w:rsidRDefault="00870350" w:rsidP="00E42B54">
      <w:pPr>
        <w:pStyle w:val="ListBullet"/>
        <w:numPr>
          <w:ilvl w:val="0"/>
          <w:numId w:val="9"/>
        </w:numPr>
        <w:spacing w:after="120"/>
        <w:ind w:left="714" w:hanging="357"/>
        <w:rPr>
          <w:color w:val="auto"/>
        </w:rPr>
      </w:pPr>
      <w:r w:rsidRPr="00227E62">
        <w:rPr>
          <w:color w:val="auto"/>
        </w:rPr>
        <w:t>effectively identify and resolve risks and issues</w:t>
      </w:r>
      <w:r w:rsidR="004C28A9">
        <w:rPr>
          <w:color w:val="auto"/>
        </w:rPr>
        <w:t>.</w:t>
      </w:r>
      <w:r w:rsidRPr="00227E62">
        <w:rPr>
          <w:color w:val="auto"/>
        </w:rPr>
        <w:t xml:space="preserve"> </w:t>
      </w:r>
    </w:p>
    <w:p w14:paraId="412B8DAA" w14:textId="4ED4F48C" w:rsidR="00870350" w:rsidRDefault="00870350" w:rsidP="00870350">
      <w:r w:rsidRPr="007D1E86">
        <w:t xml:space="preserve">This </w:t>
      </w:r>
      <w:r w:rsidRPr="003E4AE3">
        <w:rPr>
          <w:i/>
        </w:rPr>
        <w:t>Guide to Good Governance and Portfolio Performance</w:t>
      </w:r>
      <w:r>
        <w:t xml:space="preserve"> (guide) </w:t>
      </w:r>
      <w:r w:rsidRPr="007D1E86">
        <w:t>set</w:t>
      </w:r>
      <w:r>
        <w:t xml:space="preserve">s </w:t>
      </w:r>
      <w:r w:rsidRPr="007D1E86">
        <w:t xml:space="preserve">the </w:t>
      </w:r>
      <w:r>
        <w:t xml:space="preserve">minimum </w:t>
      </w:r>
      <w:r w:rsidRPr="007D1E86">
        <w:t>standard</w:t>
      </w:r>
      <w:r>
        <w:t>s</w:t>
      </w:r>
      <w:r w:rsidRPr="007D1E86">
        <w:t xml:space="preserve"> for </w:t>
      </w:r>
      <w:r>
        <w:t xml:space="preserve">the </w:t>
      </w:r>
      <w:r w:rsidR="007E75B9">
        <w:t xml:space="preserve">governance framework for the </w:t>
      </w:r>
      <w:r>
        <w:t>depa</w:t>
      </w:r>
      <w:r w:rsidRPr="00F3454B">
        <w:t>rtment and its portfolio</w:t>
      </w:r>
      <w:r w:rsidR="00D7075D">
        <w:t xml:space="preserve"> </w:t>
      </w:r>
      <w:r w:rsidR="00E938AC">
        <w:t>entities</w:t>
      </w:r>
      <w:r>
        <w:t xml:space="preserve">. </w:t>
      </w:r>
    </w:p>
    <w:p w14:paraId="3EE68EC5" w14:textId="5AB68EBA" w:rsidR="00870350" w:rsidRPr="001D00C4" w:rsidRDefault="00870350" w:rsidP="00870350">
      <w:r w:rsidRPr="007D1E86">
        <w:t xml:space="preserve">The </w:t>
      </w:r>
      <w:r>
        <w:t>g</w:t>
      </w:r>
      <w:r w:rsidRPr="007D1E86">
        <w:t>uide also outlines the support and guidance</w:t>
      </w:r>
      <w:r>
        <w:t xml:space="preserve"> that</w:t>
      </w:r>
      <w:r w:rsidRPr="007D1E86">
        <w:t xml:space="preserve"> </w:t>
      </w:r>
      <w:r>
        <w:t xml:space="preserve">the department </w:t>
      </w:r>
      <w:r w:rsidRPr="007D1E86">
        <w:t xml:space="preserve">will provide to </w:t>
      </w:r>
      <w:r w:rsidR="005B3FCA">
        <w:t>entities</w:t>
      </w:r>
      <w:r w:rsidR="00D7075D">
        <w:t xml:space="preserve"> </w:t>
      </w:r>
      <w:r w:rsidRPr="007D1E86">
        <w:t>to support the achie</w:t>
      </w:r>
      <w:r>
        <w:t xml:space="preserve">vement of portfolio objectives </w:t>
      </w:r>
      <w:r w:rsidR="005A2730">
        <w:t>while meeting</w:t>
      </w:r>
      <w:r>
        <w:t xml:space="preserve"> </w:t>
      </w:r>
      <w:r w:rsidRPr="007D1E86">
        <w:t>legislative</w:t>
      </w:r>
      <w:r>
        <w:t xml:space="preserve">, </w:t>
      </w:r>
      <w:r w:rsidRPr="007D1E86">
        <w:t xml:space="preserve">governance and public administration </w:t>
      </w:r>
      <w:r>
        <w:t>requirements</w:t>
      </w:r>
      <w:r w:rsidRPr="007D1E86">
        <w:t xml:space="preserve">. </w:t>
      </w:r>
    </w:p>
    <w:p w14:paraId="2DFFF781" w14:textId="640881D0" w:rsidR="00870350" w:rsidRDefault="00870350" w:rsidP="00870350">
      <w:r w:rsidRPr="007D1E86">
        <w:t>Th</w:t>
      </w:r>
      <w:r>
        <w:t xml:space="preserve">e guide is </w:t>
      </w:r>
      <w:r w:rsidRPr="007D1E86">
        <w:t xml:space="preserve">not intended to substitute </w:t>
      </w:r>
      <w:r>
        <w:t>W</w:t>
      </w:r>
      <w:r w:rsidRPr="007D1E86">
        <w:t>hole</w:t>
      </w:r>
      <w:r>
        <w:t>-of-</w:t>
      </w:r>
      <w:r w:rsidRPr="007D1E86">
        <w:t xml:space="preserve">Victorian Government </w:t>
      </w:r>
      <w:r>
        <w:t xml:space="preserve">(WoVG) </w:t>
      </w:r>
      <w:r w:rsidRPr="007D1E86">
        <w:t xml:space="preserve">principles, guidelines, policies and circulars, or intended to be a substitute for </w:t>
      </w:r>
      <w:r w:rsidR="005B3FCA">
        <w:t xml:space="preserve">entity </w:t>
      </w:r>
      <w:r w:rsidRPr="007D1E86">
        <w:t xml:space="preserve">compliance with Victorian and </w:t>
      </w:r>
      <w:r w:rsidR="002D3150">
        <w:t>Australian</w:t>
      </w:r>
      <w:r w:rsidR="002D3150" w:rsidRPr="007D1E86">
        <w:t xml:space="preserve"> </w:t>
      </w:r>
      <w:r w:rsidRPr="007D1E86">
        <w:t>legislation.</w:t>
      </w:r>
      <w:r>
        <w:t xml:space="preserve"> </w:t>
      </w:r>
      <w:r w:rsidRPr="00522603">
        <w:t xml:space="preserve">The </w:t>
      </w:r>
      <w:r>
        <w:t>g</w:t>
      </w:r>
      <w:r w:rsidRPr="00522603">
        <w:t>uide do</w:t>
      </w:r>
      <w:r>
        <w:t>es</w:t>
      </w:r>
      <w:r w:rsidRPr="00522603">
        <w:t xml:space="preserve"> not replace or supersede the </w:t>
      </w:r>
      <w:r>
        <w:t>enabling</w:t>
      </w:r>
      <w:r w:rsidRPr="00522603">
        <w:t xml:space="preserve"> legislation of </w:t>
      </w:r>
      <w:r w:rsidR="00C81471">
        <w:t>entities</w:t>
      </w:r>
      <w:r w:rsidRPr="00522603">
        <w:t xml:space="preserve"> and in the event of a conflict</w:t>
      </w:r>
      <w:r>
        <w:t>,</w:t>
      </w:r>
      <w:r w:rsidRPr="00522603">
        <w:t xml:space="preserve"> the latter will take precedence over</w:t>
      </w:r>
      <w:r>
        <w:t xml:space="preserve"> the guide.</w:t>
      </w:r>
    </w:p>
    <w:p w14:paraId="4FC6E4D5" w14:textId="679568E8" w:rsidR="00870350" w:rsidRDefault="00870350" w:rsidP="00870350">
      <w:r>
        <w:t>It is recognise</w:t>
      </w:r>
      <w:r w:rsidR="0073216C">
        <w:t>d</w:t>
      </w:r>
      <w:r w:rsidR="00F86F40">
        <w:t xml:space="preserve"> that</w:t>
      </w:r>
      <w:r>
        <w:t xml:space="preserve"> the guide does not cover all aspects of governance and that it will continually mature. Feedback on the guide is encouraged and will be routinely sought by the department. Any questions or comments on the contents of the guide should initially be directed to your nominated department relationship manager</w:t>
      </w:r>
      <w:r w:rsidR="005825D9">
        <w:t xml:space="preserve"> (RM)</w:t>
      </w:r>
      <w:r>
        <w:t>.</w:t>
      </w:r>
    </w:p>
    <w:p w14:paraId="23A1274A" w14:textId="3752F040" w:rsidR="00B34C91" w:rsidRPr="00536CA8" w:rsidRDefault="00B34C91" w:rsidP="00B34C91">
      <w:pPr>
        <w:pStyle w:val="Heading1"/>
      </w:pPr>
      <w:bookmarkStart w:id="5" w:name="_Toc164067826"/>
      <w:r>
        <w:t>2</w:t>
      </w:r>
      <w:r>
        <w:tab/>
        <w:t>Background</w:t>
      </w:r>
      <w:bookmarkEnd w:id="5"/>
    </w:p>
    <w:p w14:paraId="0EC2AC13" w14:textId="7DA37B29" w:rsidR="004B73A5" w:rsidRPr="007D1E86" w:rsidRDefault="004B73A5" w:rsidP="004B73A5">
      <w:r>
        <w:t xml:space="preserve">The department </w:t>
      </w:r>
      <w:r w:rsidRPr="007D1E86">
        <w:t xml:space="preserve">is committed to supportive and constructive behaviours that contribute to collaborative relationships between </w:t>
      </w:r>
      <w:r>
        <w:t>m</w:t>
      </w:r>
      <w:r w:rsidRPr="007D1E86">
        <w:t xml:space="preserve">inisters, </w:t>
      </w:r>
      <w:r w:rsidR="00DE3672">
        <w:t xml:space="preserve">the </w:t>
      </w:r>
      <w:r>
        <w:t>department</w:t>
      </w:r>
      <w:r w:rsidRPr="007D1E86">
        <w:t xml:space="preserve"> and</w:t>
      </w:r>
      <w:r w:rsidR="00E51CAE">
        <w:t xml:space="preserve"> </w:t>
      </w:r>
      <w:r w:rsidR="00881B51">
        <w:t xml:space="preserve">portfolio </w:t>
      </w:r>
      <w:r w:rsidR="004E2A6D">
        <w:t>entities</w:t>
      </w:r>
      <w:r w:rsidRPr="007D1E86">
        <w:t>.</w:t>
      </w:r>
    </w:p>
    <w:p w14:paraId="5D4FFB44" w14:textId="3EFE89D2" w:rsidR="004B73A5" w:rsidRDefault="004B73A5" w:rsidP="004B73A5">
      <w:r>
        <w:t xml:space="preserve">This </w:t>
      </w:r>
      <w:r w:rsidRPr="007D1E86">
        <w:t xml:space="preserve">collaborative approach </w:t>
      </w:r>
      <w:r>
        <w:t>is reinforced by t</w:t>
      </w:r>
      <w:r w:rsidRPr="007D1E86">
        <w:t xml:space="preserve">he </w:t>
      </w:r>
      <w:r w:rsidRPr="007D1E86">
        <w:rPr>
          <w:i/>
          <w:iCs/>
        </w:rPr>
        <w:t xml:space="preserve">Public Administration Act 2004 </w:t>
      </w:r>
      <w:r w:rsidRPr="007D1E86">
        <w:t>(PAA)</w:t>
      </w:r>
      <w:r>
        <w:t>,</w:t>
      </w:r>
      <w:r w:rsidRPr="007D1E86">
        <w:t xml:space="preserve"> </w:t>
      </w:r>
      <w:r>
        <w:t>which outlines a department s</w:t>
      </w:r>
      <w:r w:rsidRPr="007D1E86">
        <w:t xml:space="preserve">ecretary’s responsibilities in respect </w:t>
      </w:r>
      <w:r>
        <w:t xml:space="preserve">to </w:t>
      </w:r>
      <w:r w:rsidR="00881B51">
        <w:t xml:space="preserve">entities </w:t>
      </w:r>
      <w:r w:rsidRPr="007D1E86">
        <w:t xml:space="preserve">and in turn the obligations of </w:t>
      </w:r>
      <w:r w:rsidR="00C661A1">
        <w:t xml:space="preserve">entities </w:t>
      </w:r>
      <w:r w:rsidRPr="007D1E86">
        <w:t xml:space="preserve">to </w:t>
      </w:r>
      <w:r>
        <w:t>the s</w:t>
      </w:r>
      <w:r w:rsidRPr="007D1E86">
        <w:t>ecretar</w:t>
      </w:r>
      <w:r>
        <w:t>y (as head of the d</w:t>
      </w:r>
      <w:r w:rsidRPr="007D1E86">
        <w:t>epartment</w:t>
      </w:r>
      <w:r>
        <w:t>)</w:t>
      </w:r>
      <w:r w:rsidRPr="007D1E86">
        <w:t xml:space="preserve">. </w:t>
      </w:r>
      <w:r w:rsidRPr="00924E85">
        <w:t>In 2014, the Parliament of Victoria passed legislation introducing a new section 13A of the PAA</w:t>
      </w:r>
      <w:r w:rsidRPr="007D1E86">
        <w:t>, which</w:t>
      </w:r>
      <w:r>
        <w:t xml:space="preserve"> </w:t>
      </w:r>
      <w:r w:rsidR="00DE3672">
        <w:t xml:space="preserve">outlines </w:t>
      </w:r>
      <w:r>
        <w:t>a</w:t>
      </w:r>
      <w:r w:rsidRPr="007D1E86">
        <w:t xml:space="preserve"> </w:t>
      </w:r>
      <w:r>
        <w:t>s</w:t>
      </w:r>
      <w:r w:rsidRPr="007D1E86">
        <w:t xml:space="preserve">ecretary’s obligations in relation to </w:t>
      </w:r>
      <w:r w:rsidR="00914E8F" w:rsidRPr="007D1E86">
        <w:t>portfolio entities</w:t>
      </w:r>
      <w:r w:rsidRPr="007D1E86">
        <w:t xml:space="preserve">. </w:t>
      </w:r>
      <w:r>
        <w:t>These obligations are:</w:t>
      </w:r>
    </w:p>
    <w:p w14:paraId="6067398A" w14:textId="0AF31E27" w:rsidR="004B73A5" w:rsidRPr="000B7E9F" w:rsidRDefault="004B73A5" w:rsidP="007B76F0">
      <w:pPr>
        <w:pStyle w:val="ListBullet"/>
        <w:numPr>
          <w:ilvl w:val="0"/>
          <w:numId w:val="8"/>
        </w:numPr>
        <w:rPr>
          <w:color w:val="auto"/>
        </w:rPr>
      </w:pPr>
      <w:r w:rsidRPr="000B7E9F">
        <w:rPr>
          <w:color w:val="auto"/>
        </w:rPr>
        <w:t>advising the minister on matters relating to the</w:t>
      </w:r>
      <w:r w:rsidR="00E51CAE">
        <w:rPr>
          <w:color w:val="auto"/>
        </w:rPr>
        <w:t xml:space="preserve"> </w:t>
      </w:r>
      <w:r w:rsidR="00443C5E">
        <w:rPr>
          <w:color w:val="auto"/>
        </w:rPr>
        <w:t>entity</w:t>
      </w:r>
      <w:r w:rsidRPr="000B7E9F">
        <w:rPr>
          <w:color w:val="auto"/>
        </w:rPr>
        <w:t>, including discharge of the</w:t>
      </w:r>
      <w:r w:rsidR="00E51CAE">
        <w:rPr>
          <w:color w:val="auto"/>
        </w:rPr>
        <w:t xml:space="preserve"> entity</w:t>
      </w:r>
      <w:r w:rsidR="00E51CAE" w:rsidRPr="000B7E9F">
        <w:rPr>
          <w:color w:val="auto"/>
        </w:rPr>
        <w:t>’s</w:t>
      </w:r>
      <w:r w:rsidR="00E51CAE">
        <w:rPr>
          <w:color w:val="auto"/>
        </w:rPr>
        <w:t xml:space="preserve"> responsibilities</w:t>
      </w:r>
      <w:r w:rsidRPr="000B7E9F">
        <w:rPr>
          <w:color w:val="auto"/>
        </w:rPr>
        <w:t xml:space="preserve"> under legislation</w:t>
      </w:r>
    </w:p>
    <w:p w14:paraId="73175B2A" w14:textId="646745CB" w:rsidR="004B73A5" w:rsidRPr="000B7E9F" w:rsidRDefault="004B73A5" w:rsidP="007B76F0">
      <w:pPr>
        <w:pStyle w:val="ListBullet"/>
        <w:numPr>
          <w:ilvl w:val="0"/>
          <w:numId w:val="8"/>
        </w:numPr>
        <w:rPr>
          <w:color w:val="auto"/>
        </w:rPr>
      </w:pPr>
      <w:r w:rsidRPr="000B7E9F">
        <w:rPr>
          <w:color w:val="auto"/>
        </w:rPr>
        <w:t xml:space="preserve">working with the </w:t>
      </w:r>
      <w:r w:rsidR="008C3381">
        <w:rPr>
          <w:color w:val="auto"/>
        </w:rPr>
        <w:t xml:space="preserve">entity </w:t>
      </w:r>
      <w:r w:rsidRPr="000B7E9F">
        <w:rPr>
          <w:color w:val="auto"/>
        </w:rPr>
        <w:t>to assist with matters relating to public administration and governance</w:t>
      </w:r>
    </w:p>
    <w:p w14:paraId="4EB6F364" w14:textId="665D0C8A" w:rsidR="004B73A5" w:rsidRPr="004860EB" w:rsidRDefault="004B73A5" w:rsidP="007B76F0">
      <w:pPr>
        <w:pStyle w:val="ListBullet"/>
        <w:numPr>
          <w:ilvl w:val="0"/>
          <w:numId w:val="8"/>
        </w:numPr>
        <w:rPr>
          <w:color w:val="auto"/>
        </w:rPr>
      </w:pPr>
      <w:r w:rsidRPr="000B7E9F">
        <w:rPr>
          <w:color w:val="auto"/>
        </w:rPr>
        <w:t xml:space="preserve">providing guidance to the </w:t>
      </w:r>
      <w:r w:rsidR="001160BA">
        <w:rPr>
          <w:color w:val="auto"/>
        </w:rPr>
        <w:t xml:space="preserve">entity </w:t>
      </w:r>
      <w:r w:rsidRPr="000B7E9F">
        <w:rPr>
          <w:color w:val="auto"/>
        </w:rPr>
        <w:t>to assist with matters relating to public administration and governance</w:t>
      </w:r>
      <w:r w:rsidR="004860EB">
        <w:rPr>
          <w:color w:val="auto"/>
        </w:rPr>
        <w:t xml:space="preserve"> </w:t>
      </w:r>
      <w:r w:rsidRPr="004860EB">
        <w:rPr>
          <w:color w:val="auto"/>
        </w:rPr>
        <w:t xml:space="preserve">obtaining information from the </w:t>
      </w:r>
      <w:r w:rsidR="001160BA">
        <w:rPr>
          <w:color w:val="auto"/>
        </w:rPr>
        <w:t xml:space="preserve">entity </w:t>
      </w:r>
      <w:r w:rsidRPr="004860EB">
        <w:rPr>
          <w:color w:val="auto"/>
        </w:rPr>
        <w:t>so the above tasks can be performed.</w:t>
      </w:r>
    </w:p>
    <w:p w14:paraId="5BA4160C" w14:textId="249892B5" w:rsidR="004B73A5" w:rsidRDefault="004B73A5" w:rsidP="004B73A5">
      <w:r w:rsidRPr="00EC5F55">
        <w:t xml:space="preserve">Section 13A of the PAA does not allow the secretary to direct or control an </w:t>
      </w:r>
      <w:r w:rsidR="003C0034" w:rsidRPr="00EC5F55">
        <w:t>entity</w:t>
      </w:r>
      <w:r w:rsidRPr="00EC5F55">
        <w:t xml:space="preserve">. </w:t>
      </w:r>
      <w:r w:rsidR="00837D9A" w:rsidRPr="00EC5F55">
        <w:t>Entities also</w:t>
      </w:r>
      <w:r w:rsidRPr="00EC5F55">
        <w:t xml:space="preserve"> have obligations under the PAA, which mirror those of the secretary, provided under section 81.</w:t>
      </w:r>
      <w:r>
        <w:t xml:space="preserve"> For example, </w:t>
      </w:r>
      <w:r w:rsidR="008108AB">
        <w:t xml:space="preserve">entities </w:t>
      </w:r>
      <w:r>
        <w:t>need to</w:t>
      </w:r>
      <w:r w:rsidRPr="007D1E86">
        <w:t xml:space="preserve"> inform the </w:t>
      </w:r>
      <w:r>
        <w:t>m</w:t>
      </w:r>
      <w:r w:rsidRPr="007D1E86">
        <w:t xml:space="preserve">inister and </w:t>
      </w:r>
      <w:r>
        <w:t>s</w:t>
      </w:r>
      <w:r w:rsidRPr="007D1E86">
        <w:t xml:space="preserve">ecretary of known major risks to the effective operation of the </w:t>
      </w:r>
      <w:r w:rsidR="00EE093A">
        <w:t xml:space="preserve">entity </w:t>
      </w:r>
      <w:r w:rsidRPr="007D1E86">
        <w:t xml:space="preserve">and provide the </w:t>
      </w:r>
      <w:r>
        <w:t>m</w:t>
      </w:r>
      <w:r w:rsidRPr="007D1E86">
        <w:t>inister with relevant information on request.</w:t>
      </w:r>
    </w:p>
    <w:p w14:paraId="40EEB894" w14:textId="6262B2CA" w:rsidR="004B73A5" w:rsidRDefault="004B73A5" w:rsidP="004B73A5">
      <w:r>
        <w:t xml:space="preserve">In addition, the </w:t>
      </w:r>
      <w:r w:rsidRPr="009507D4">
        <w:t>Standing Directions 2018</w:t>
      </w:r>
      <w:r w:rsidRPr="000B4109">
        <w:rPr>
          <w:i/>
        </w:rPr>
        <w:t xml:space="preserve"> under the Financial Management Act 1994</w:t>
      </w:r>
      <w:r>
        <w:t xml:space="preserve"> (FMA) </w:t>
      </w:r>
      <w:r w:rsidR="00D26ECC">
        <w:t>outlines</w:t>
      </w:r>
      <w:r>
        <w:t xml:space="preserve"> obligations of the department in relation to the financial management of</w:t>
      </w:r>
      <w:r w:rsidR="00BC42A3">
        <w:t xml:space="preserve"> </w:t>
      </w:r>
      <w:r w:rsidR="00EE093A">
        <w:t>entities</w:t>
      </w:r>
      <w:r>
        <w:t>. The Standing Directions 2018 require the department to:</w:t>
      </w:r>
    </w:p>
    <w:p w14:paraId="4FA27142" w14:textId="1304D189" w:rsidR="00FB199D" w:rsidRPr="0079344B" w:rsidRDefault="00FB199D" w:rsidP="00FB199D">
      <w:pPr>
        <w:pStyle w:val="ListBullet"/>
        <w:rPr>
          <w:color w:val="auto"/>
        </w:rPr>
      </w:pPr>
      <w:r w:rsidRPr="0079344B">
        <w:rPr>
          <w:color w:val="auto"/>
        </w:rPr>
        <w:t xml:space="preserve">provide advice and support to </w:t>
      </w:r>
      <w:r w:rsidR="00127310">
        <w:rPr>
          <w:color w:val="auto"/>
        </w:rPr>
        <w:t>entities</w:t>
      </w:r>
      <w:r w:rsidR="00575417" w:rsidRPr="0079344B">
        <w:rPr>
          <w:color w:val="auto"/>
        </w:rPr>
        <w:t xml:space="preserve"> </w:t>
      </w:r>
      <w:r w:rsidRPr="0079344B">
        <w:rPr>
          <w:color w:val="auto"/>
        </w:rPr>
        <w:t xml:space="preserve">in relation to financial management, </w:t>
      </w:r>
      <w:r w:rsidR="00BC42A3" w:rsidRPr="0079344B">
        <w:rPr>
          <w:color w:val="auto"/>
        </w:rPr>
        <w:t>performance,</w:t>
      </w:r>
      <w:r w:rsidRPr="0079344B">
        <w:rPr>
          <w:color w:val="auto"/>
        </w:rPr>
        <w:t xml:space="preserve"> and sustainability (Direction 2.3.4 (a))</w:t>
      </w:r>
    </w:p>
    <w:p w14:paraId="25DFC739" w14:textId="2BF63D04" w:rsidR="00FB199D" w:rsidRPr="0079344B" w:rsidRDefault="00FB199D" w:rsidP="0079344B">
      <w:pPr>
        <w:pStyle w:val="ListBullet"/>
        <w:rPr>
          <w:color w:val="auto"/>
        </w:rPr>
      </w:pPr>
      <w:r w:rsidRPr="0079344B">
        <w:rPr>
          <w:color w:val="auto"/>
        </w:rPr>
        <w:lastRenderedPageBreak/>
        <w:t xml:space="preserve">support the </w:t>
      </w:r>
      <w:r w:rsidR="00127310">
        <w:rPr>
          <w:color w:val="auto"/>
        </w:rPr>
        <w:t>r</w:t>
      </w:r>
      <w:r w:rsidRPr="0079344B">
        <w:rPr>
          <w:color w:val="auto"/>
        </w:rPr>
        <w:t xml:space="preserve">esponsible </w:t>
      </w:r>
      <w:r w:rsidR="00127310">
        <w:rPr>
          <w:color w:val="auto"/>
        </w:rPr>
        <w:t>m</w:t>
      </w:r>
      <w:r w:rsidRPr="0079344B">
        <w:rPr>
          <w:color w:val="auto"/>
        </w:rPr>
        <w:t xml:space="preserve">inister in the oversight of </w:t>
      </w:r>
      <w:r w:rsidR="00127310">
        <w:rPr>
          <w:color w:val="auto"/>
        </w:rPr>
        <w:t>entities</w:t>
      </w:r>
      <w:r w:rsidR="00575417" w:rsidRPr="0079344B">
        <w:rPr>
          <w:color w:val="auto"/>
        </w:rPr>
        <w:t xml:space="preserve"> </w:t>
      </w:r>
      <w:r w:rsidRPr="0079344B">
        <w:rPr>
          <w:color w:val="auto"/>
        </w:rPr>
        <w:t xml:space="preserve">and the </w:t>
      </w:r>
      <w:r w:rsidR="00127310">
        <w:rPr>
          <w:color w:val="auto"/>
        </w:rPr>
        <w:t>r</w:t>
      </w:r>
      <w:r w:rsidRPr="0079344B">
        <w:rPr>
          <w:color w:val="auto"/>
        </w:rPr>
        <w:t xml:space="preserve">esponsible </w:t>
      </w:r>
      <w:r w:rsidR="00127310">
        <w:rPr>
          <w:color w:val="auto"/>
        </w:rPr>
        <w:t>m</w:t>
      </w:r>
      <w:r w:rsidRPr="0079344B">
        <w:rPr>
          <w:color w:val="auto"/>
        </w:rPr>
        <w:t xml:space="preserve">inister’s portfolio as a whole, including providing information to the </w:t>
      </w:r>
      <w:r w:rsidR="00127310">
        <w:rPr>
          <w:color w:val="auto"/>
        </w:rPr>
        <w:t>r</w:t>
      </w:r>
      <w:r w:rsidRPr="0079344B">
        <w:rPr>
          <w:color w:val="auto"/>
        </w:rPr>
        <w:t xml:space="preserve">esponsible </w:t>
      </w:r>
      <w:r w:rsidR="00127310">
        <w:rPr>
          <w:color w:val="auto"/>
        </w:rPr>
        <w:t>m</w:t>
      </w:r>
      <w:r w:rsidRPr="0079344B">
        <w:rPr>
          <w:color w:val="auto"/>
        </w:rPr>
        <w:t xml:space="preserve">inister on </w:t>
      </w:r>
      <w:r w:rsidR="00127310">
        <w:rPr>
          <w:color w:val="auto"/>
        </w:rPr>
        <w:t>entities</w:t>
      </w:r>
      <w:r w:rsidR="007500C5">
        <w:rPr>
          <w:color w:val="auto"/>
        </w:rPr>
        <w:t>'</w:t>
      </w:r>
      <w:r w:rsidR="00127310" w:rsidRPr="0079344B">
        <w:rPr>
          <w:color w:val="auto"/>
        </w:rPr>
        <w:t xml:space="preserve"> </w:t>
      </w:r>
      <w:r w:rsidRPr="0079344B">
        <w:rPr>
          <w:color w:val="auto"/>
        </w:rPr>
        <w:t>financial management, performance and sustainability (Direction 2.3.4 (b))</w:t>
      </w:r>
    </w:p>
    <w:p w14:paraId="14EA8BCF" w14:textId="52532A3C" w:rsidR="00FB199D" w:rsidRDefault="00FB199D" w:rsidP="0079344B">
      <w:pPr>
        <w:pStyle w:val="ListBullet"/>
        <w:rPr>
          <w:color w:val="auto"/>
        </w:rPr>
      </w:pPr>
      <w:r w:rsidRPr="0079344B">
        <w:rPr>
          <w:color w:val="auto"/>
        </w:rPr>
        <w:t xml:space="preserve">provide information to the DTF </w:t>
      </w:r>
      <w:r w:rsidR="007500C5">
        <w:rPr>
          <w:color w:val="auto"/>
        </w:rPr>
        <w:t>a</w:t>
      </w:r>
      <w:r w:rsidRPr="0079344B">
        <w:rPr>
          <w:color w:val="auto"/>
        </w:rPr>
        <w:t xml:space="preserve">ccountable </w:t>
      </w:r>
      <w:r w:rsidR="007500C5">
        <w:rPr>
          <w:color w:val="auto"/>
        </w:rPr>
        <w:t>o</w:t>
      </w:r>
      <w:r w:rsidRPr="0079344B">
        <w:rPr>
          <w:color w:val="auto"/>
        </w:rPr>
        <w:t xml:space="preserve">fficer to support the </w:t>
      </w:r>
      <w:r w:rsidR="00106F8D" w:rsidRPr="0079344B">
        <w:rPr>
          <w:color w:val="auto"/>
        </w:rPr>
        <w:t>g</w:t>
      </w:r>
      <w:r w:rsidRPr="0079344B">
        <w:rPr>
          <w:color w:val="auto"/>
        </w:rPr>
        <w:t>overnment’s delivery of sound financial management (Direction 2.3.4 (c)).</w:t>
      </w:r>
      <w:r w:rsidRPr="0079344B">
        <w:rPr>
          <w:rStyle w:val="FootnoteReference"/>
          <w:color w:val="auto"/>
        </w:rPr>
        <w:footnoteReference w:id="2"/>
      </w:r>
      <w:r w:rsidRPr="0079344B">
        <w:rPr>
          <w:color w:val="auto"/>
        </w:rPr>
        <w:t xml:space="preserve">  </w:t>
      </w:r>
    </w:p>
    <w:p w14:paraId="00588209" w14:textId="77777777" w:rsidR="00575417" w:rsidRPr="0079344B" w:rsidRDefault="00575417" w:rsidP="009F42BA">
      <w:pPr>
        <w:pStyle w:val="ListBullet"/>
        <w:numPr>
          <w:ilvl w:val="0"/>
          <w:numId w:val="0"/>
        </w:numPr>
        <w:ind w:left="720"/>
        <w:rPr>
          <w:color w:val="auto"/>
        </w:rPr>
      </w:pPr>
    </w:p>
    <w:p w14:paraId="05023D39" w14:textId="2B01DF2E" w:rsidR="00FB199D" w:rsidRPr="00513781" w:rsidRDefault="00FB199D" w:rsidP="00FB199D">
      <w:pPr>
        <w:rPr>
          <w:color w:val="auto"/>
        </w:rPr>
      </w:pPr>
      <w:r w:rsidRPr="00513781">
        <w:rPr>
          <w:color w:val="auto"/>
        </w:rPr>
        <w:t xml:space="preserve">Additional requirements under the 2018 updates to the Standing Directions strengthen the </w:t>
      </w:r>
      <w:r w:rsidR="000F100E">
        <w:rPr>
          <w:color w:val="auto"/>
        </w:rPr>
        <w:t>c</w:t>
      </w:r>
      <w:r w:rsidRPr="00513781">
        <w:rPr>
          <w:color w:val="auto"/>
        </w:rPr>
        <w:t xml:space="preserve">hief </w:t>
      </w:r>
      <w:r w:rsidR="000F100E">
        <w:rPr>
          <w:color w:val="auto"/>
        </w:rPr>
        <w:t>f</w:t>
      </w:r>
      <w:r w:rsidRPr="00513781">
        <w:rPr>
          <w:color w:val="auto"/>
        </w:rPr>
        <w:t xml:space="preserve">inancial </w:t>
      </w:r>
      <w:r w:rsidR="000F100E">
        <w:rPr>
          <w:color w:val="auto"/>
        </w:rPr>
        <w:t>o</w:t>
      </w:r>
      <w:r w:rsidRPr="00513781">
        <w:rPr>
          <w:color w:val="auto"/>
        </w:rPr>
        <w:t xml:space="preserve">fficer’s (CFO) accountability to achieve whole-of-government financial objectives by requiring </w:t>
      </w:r>
      <w:r w:rsidR="00EF4C9F" w:rsidRPr="00513781">
        <w:rPr>
          <w:color w:val="auto"/>
        </w:rPr>
        <w:t>entity</w:t>
      </w:r>
      <w:r w:rsidR="00387C13" w:rsidRPr="00513781">
        <w:rPr>
          <w:color w:val="auto"/>
        </w:rPr>
        <w:t xml:space="preserve">’s </w:t>
      </w:r>
      <w:r w:rsidRPr="00513781">
        <w:rPr>
          <w:color w:val="auto"/>
        </w:rPr>
        <w:t>CFOs to:</w:t>
      </w:r>
    </w:p>
    <w:p w14:paraId="41F36FF3" w14:textId="2BF5A2EF" w:rsidR="00FB199D" w:rsidRPr="00513781" w:rsidRDefault="00FB199D" w:rsidP="00FB199D">
      <w:pPr>
        <w:pStyle w:val="ListBullet"/>
        <w:rPr>
          <w:color w:val="auto"/>
        </w:rPr>
      </w:pPr>
      <w:r w:rsidRPr="00513781">
        <w:rPr>
          <w:color w:val="auto"/>
        </w:rPr>
        <w:t xml:space="preserve">support whole of </w:t>
      </w:r>
      <w:r w:rsidR="00B50595">
        <w:rPr>
          <w:color w:val="auto"/>
        </w:rPr>
        <w:t>g</w:t>
      </w:r>
      <w:r w:rsidRPr="00513781">
        <w:rPr>
          <w:color w:val="auto"/>
        </w:rPr>
        <w:t>overnment financial objectives and the principles of sound financial management (Direction 2.4.6.1 (a))</w:t>
      </w:r>
    </w:p>
    <w:p w14:paraId="331A989E" w14:textId="1879F031" w:rsidR="00FB199D" w:rsidRPr="00513781" w:rsidRDefault="00FB199D" w:rsidP="00FB199D">
      <w:pPr>
        <w:pStyle w:val="ListBullet"/>
        <w:rPr>
          <w:color w:val="auto"/>
        </w:rPr>
      </w:pPr>
      <w:r w:rsidRPr="00513781">
        <w:rPr>
          <w:color w:val="auto"/>
        </w:rPr>
        <w:t xml:space="preserve">support their portfolio </w:t>
      </w:r>
      <w:r w:rsidR="00D11913">
        <w:rPr>
          <w:color w:val="auto"/>
        </w:rPr>
        <w:t>m</w:t>
      </w:r>
      <w:r w:rsidRPr="00513781">
        <w:rPr>
          <w:color w:val="auto"/>
        </w:rPr>
        <w:t xml:space="preserve">inisters in relation to the financial management of their </w:t>
      </w:r>
      <w:r w:rsidR="00260F19">
        <w:rPr>
          <w:color w:val="auto"/>
        </w:rPr>
        <w:t>d</w:t>
      </w:r>
      <w:r w:rsidR="00852BCA" w:rsidRPr="00513781">
        <w:rPr>
          <w:color w:val="auto"/>
        </w:rPr>
        <w:t>epartment</w:t>
      </w:r>
      <w:r w:rsidRPr="00513781">
        <w:rPr>
          <w:color w:val="auto"/>
        </w:rPr>
        <w:t xml:space="preserve"> or</w:t>
      </w:r>
      <w:r w:rsidR="00575417">
        <w:rPr>
          <w:color w:val="auto"/>
        </w:rPr>
        <w:t xml:space="preserve"> </w:t>
      </w:r>
      <w:r w:rsidR="00D11913">
        <w:rPr>
          <w:color w:val="auto"/>
        </w:rPr>
        <w:t>entity</w:t>
      </w:r>
      <w:r w:rsidRPr="00513781">
        <w:rPr>
          <w:color w:val="auto"/>
        </w:rPr>
        <w:t xml:space="preserve">, including issues and risks that may have an impact on the relevant </w:t>
      </w:r>
      <w:r w:rsidR="00B50595">
        <w:rPr>
          <w:color w:val="auto"/>
        </w:rPr>
        <w:t>m</w:t>
      </w:r>
      <w:r w:rsidRPr="00513781">
        <w:rPr>
          <w:color w:val="auto"/>
        </w:rPr>
        <w:t xml:space="preserve">inister’s portfolio or the financial performance and position of the </w:t>
      </w:r>
      <w:r w:rsidR="00805134">
        <w:rPr>
          <w:color w:val="auto"/>
        </w:rPr>
        <w:t>s</w:t>
      </w:r>
      <w:r w:rsidRPr="00513781">
        <w:rPr>
          <w:color w:val="auto"/>
        </w:rPr>
        <w:t>tate (Direction 2.4.6.1 (b))</w:t>
      </w:r>
    </w:p>
    <w:p w14:paraId="1E5DA8FC" w14:textId="13ADBA61" w:rsidR="00FB199D" w:rsidRPr="00513781" w:rsidRDefault="00FB199D" w:rsidP="00FB199D">
      <w:pPr>
        <w:pStyle w:val="ListBullet"/>
        <w:rPr>
          <w:color w:val="auto"/>
        </w:rPr>
      </w:pPr>
      <w:r w:rsidRPr="00513781">
        <w:rPr>
          <w:color w:val="auto"/>
        </w:rPr>
        <w:t xml:space="preserve">inform the CFO of their </w:t>
      </w:r>
      <w:r w:rsidR="001C0D8A">
        <w:rPr>
          <w:color w:val="auto"/>
        </w:rPr>
        <w:t>p</w:t>
      </w:r>
      <w:r w:rsidRPr="00513781">
        <w:rPr>
          <w:color w:val="auto"/>
        </w:rPr>
        <w:t xml:space="preserve">ortfolio </w:t>
      </w:r>
      <w:r w:rsidR="001C0D8A">
        <w:rPr>
          <w:color w:val="auto"/>
        </w:rPr>
        <w:t>d</w:t>
      </w:r>
      <w:r w:rsidRPr="00513781">
        <w:rPr>
          <w:color w:val="auto"/>
        </w:rPr>
        <w:t xml:space="preserve">epartment of issues and risks that may have an impact on the financial performance and position of the </w:t>
      </w:r>
      <w:r w:rsidR="00805134">
        <w:rPr>
          <w:color w:val="auto"/>
        </w:rPr>
        <w:t>s</w:t>
      </w:r>
      <w:r w:rsidRPr="00513781">
        <w:rPr>
          <w:color w:val="auto"/>
        </w:rPr>
        <w:t>tate (Direction 2.4.6.3 (a))</w:t>
      </w:r>
    </w:p>
    <w:p w14:paraId="0A289F3F" w14:textId="1A074470" w:rsidR="00FB199D" w:rsidRPr="00513781" w:rsidRDefault="00FB199D" w:rsidP="00FB199D">
      <w:pPr>
        <w:pStyle w:val="ListBullet"/>
        <w:rPr>
          <w:color w:val="auto"/>
        </w:rPr>
      </w:pPr>
      <w:r w:rsidRPr="00513781">
        <w:rPr>
          <w:color w:val="auto"/>
        </w:rPr>
        <w:t xml:space="preserve">directly provide to their </w:t>
      </w:r>
      <w:r w:rsidR="001C0D8A">
        <w:rPr>
          <w:color w:val="auto"/>
        </w:rPr>
        <w:t>p</w:t>
      </w:r>
      <w:r w:rsidRPr="00513781">
        <w:rPr>
          <w:color w:val="auto"/>
        </w:rPr>
        <w:t xml:space="preserve">ortfolio </w:t>
      </w:r>
      <w:r w:rsidR="001C0D8A">
        <w:rPr>
          <w:color w:val="auto"/>
        </w:rPr>
        <w:t>d</w:t>
      </w:r>
      <w:r w:rsidRPr="00513781">
        <w:rPr>
          <w:color w:val="auto"/>
        </w:rPr>
        <w:t xml:space="preserve">epartment factual financial information requested by the </w:t>
      </w:r>
      <w:r w:rsidR="00260F19">
        <w:rPr>
          <w:color w:val="auto"/>
        </w:rPr>
        <w:t>d</w:t>
      </w:r>
      <w:r w:rsidRPr="00513781">
        <w:rPr>
          <w:color w:val="auto"/>
        </w:rPr>
        <w:t>epartment to facilitate reporting and government decision making, within the time provided in the request (Direction 2.4.6.3 (b)).</w:t>
      </w:r>
    </w:p>
    <w:p w14:paraId="7AC3A35B" w14:textId="302C07E0" w:rsidR="00FB199D" w:rsidRPr="00536CA8" w:rsidRDefault="00FB199D" w:rsidP="00FB199D">
      <w:pPr>
        <w:pStyle w:val="Heading1"/>
      </w:pPr>
      <w:bookmarkStart w:id="6" w:name="_Toc164067827"/>
      <w:r>
        <w:t>3</w:t>
      </w:r>
      <w:r>
        <w:tab/>
        <w:t>Governance Framework Principles</w:t>
      </w:r>
      <w:bookmarkEnd w:id="6"/>
    </w:p>
    <w:p w14:paraId="3241C1E7" w14:textId="5767BFC8" w:rsidR="00B34C91" w:rsidRDefault="00891813" w:rsidP="00870350">
      <w:r w:rsidRPr="007D1E86">
        <w:t xml:space="preserve">The </w:t>
      </w:r>
      <w:r w:rsidR="00A86E42">
        <w:t>g</w:t>
      </w:r>
      <w:r>
        <w:t xml:space="preserve">overnance </w:t>
      </w:r>
      <w:r w:rsidR="00A86E42">
        <w:t>f</w:t>
      </w:r>
      <w:r>
        <w:t xml:space="preserve">ramework and </w:t>
      </w:r>
      <w:r w:rsidR="00A86E42">
        <w:t>g</w:t>
      </w:r>
      <w:r w:rsidRPr="007D1E86">
        <w:t xml:space="preserve">uide </w:t>
      </w:r>
      <w:r>
        <w:t>are</w:t>
      </w:r>
      <w:r w:rsidRPr="007D1E86">
        <w:t xml:space="preserve"> based on the following principles</w:t>
      </w:r>
      <w:r>
        <w:t>.</w:t>
      </w:r>
    </w:p>
    <w:p w14:paraId="476639BE" w14:textId="4D5B7C70" w:rsidR="00891813" w:rsidRPr="00891813" w:rsidRDefault="00891813" w:rsidP="00891813">
      <w:pPr>
        <w:pStyle w:val="Heading2"/>
      </w:pPr>
      <w:bookmarkStart w:id="7" w:name="_Toc164067828"/>
      <w:bookmarkEnd w:id="4"/>
      <w:r>
        <w:t>3.1</w:t>
      </w:r>
      <w:r>
        <w:tab/>
      </w:r>
      <w:r w:rsidR="008F4990">
        <w:t>Proportionality</w:t>
      </w:r>
      <w:bookmarkEnd w:id="7"/>
    </w:p>
    <w:p w14:paraId="5A468237" w14:textId="29BE1A55" w:rsidR="00E325BC" w:rsidRDefault="00E325BC" w:rsidP="00D556AE">
      <w:pPr>
        <w:pStyle w:val="bullet1"/>
        <w:numPr>
          <w:ilvl w:val="0"/>
          <w:numId w:val="0"/>
        </w:numPr>
        <w:ind w:left="720"/>
      </w:pPr>
      <w:r w:rsidRPr="00E706A7">
        <w:t xml:space="preserve">Oversight and monitoring mechanisms should be commensurate with risk and should not create an undue administrative burden for either the department </w:t>
      </w:r>
      <w:r w:rsidR="0033586D" w:rsidRPr="00E706A7">
        <w:t>or entities</w:t>
      </w:r>
      <w:r w:rsidRPr="00E706A7">
        <w:t>.</w:t>
      </w:r>
    </w:p>
    <w:p w14:paraId="5E4BF3D9" w14:textId="54BE4A02" w:rsidR="00E325BC" w:rsidRPr="00E706A7" w:rsidRDefault="00E325BC" w:rsidP="007D3AC9">
      <w:pPr>
        <w:pStyle w:val="Heading2"/>
      </w:pPr>
      <w:bookmarkStart w:id="8" w:name="_Toc164067829"/>
      <w:r>
        <w:t>3.2</w:t>
      </w:r>
      <w:r>
        <w:tab/>
        <w:t>Clear expectations</w:t>
      </w:r>
      <w:bookmarkEnd w:id="8"/>
    </w:p>
    <w:p w14:paraId="72B67E74" w14:textId="1FF49C8B" w:rsidR="00415FAA" w:rsidRDefault="00865AFC" w:rsidP="00E6716A">
      <w:pPr>
        <w:pStyle w:val="bullet1"/>
        <w:numPr>
          <w:ilvl w:val="0"/>
          <w:numId w:val="0"/>
        </w:numPr>
        <w:ind w:left="720"/>
      </w:pPr>
      <w:r>
        <w:t xml:space="preserve">The department’s expectations for </w:t>
      </w:r>
      <w:r w:rsidR="00DA1816">
        <w:t xml:space="preserve">entity </w:t>
      </w:r>
      <w:r>
        <w:t>governance are to be clear and well-defined</w:t>
      </w:r>
      <w:r w:rsidR="00415FAA">
        <w:t>.</w:t>
      </w:r>
      <w:r w:rsidR="00E6716A">
        <w:t xml:space="preserve"> </w:t>
      </w:r>
      <w:r w:rsidR="00415FAA">
        <w:t xml:space="preserve">The respective roles of </w:t>
      </w:r>
      <w:r w:rsidR="00C81471">
        <w:t>entities</w:t>
      </w:r>
      <w:r w:rsidR="00DA1816">
        <w:t xml:space="preserve"> </w:t>
      </w:r>
      <w:r w:rsidR="00415FAA">
        <w:t>and the department should be clear and agreed.</w:t>
      </w:r>
    </w:p>
    <w:p w14:paraId="1631FF87" w14:textId="4E098693" w:rsidR="00415FAA" w:rsidRPr="00E706A7" w:rsidRDefault="00415FAA" w:rsidP="00415FAA">
      <w:pPr>
        <w:pStyle w:val="Heading2"/>
      </w:pPr>
      <w:bookmarkStart w:id="9" w:name="_Toc164067830"/>
      <w:r>
        <w:t>3.</w:t>
      </w:r>
      <w:r w:rsidR="00793962">
        <w:t>3</w:t>
      </w:r>
      <w:r>
        <w:tab/>
      </w:r>
      <w:r w:rsidR="0011297A">
        <w:t xml:space="preserve">Balancing independence and </w:t>
      </w:r>
      <w:r w:rsidR="00B3281A">
        <w:t>oversight</w:t>
      </w:r>
      <w:bookmarkEnd w:id="9"/>
    </w:p>
    <w:p w14:paraId="61A0D826" w14:textId="35E37394" w:rsidR="0000440C" w:rsidRDefault="00B3281A" w:rsidP="0058648A">
      <w:pPr>
        <w:pStyle w:val="bullet2"/>
        <w:numPr>
          <w:ilvl w:val="0"/>
          <w:numId w:val="0"/>
        </w:numPr>
        <w:ind w:left="720"/>
      </w:pPr>
      <w:r>
        <w:t>The department should balance</w:t>
      </w:r>
      <w:r w:rsidR="008D0BFE">
        <w:t xml:space="preserve"> the imperative for oversight and monitoring with </w:t>
      </w:r>
      <w:r w:rsidR="001012EB">
        <w:t>entities</w:t>
      </w:r>
      <w:r w:rsidR="00D11913">
        <w:t>’</w:t>
      </w:r>
      <w:r w:rsidR="001012EB">
        <w:t xml:space="preserve"> independence</w:t>
      </w:r>
      <w:r w:rsidR="003F5152">
        <w:t>.</w:t>
      </w:r>
    </w:p>
    <w:p w14:paraId="73E7C74F" w14:textId="1732D336" w:rsidR="00793962" w:rsidRPr="00E706A7" w:rsidRDefault="00793962" w:rsidP="00793962">
      <w:pPr>
        <w:pStyle w:val="Heading2"/>
      </w:pPr>
      <w:bookmarkStart w:id="10" w:name="_Toc164067831"/>
      <w:r>
        <w:t>3.4</w:t>
      </w:r>
      <w:r>
        <w:tab/>
        <w:t>Trust</w:t>
      </w:r>
      <w:r w:rsidR="00C36FB7">
        <w:t>,</w:t>
      </w:r>
      <w:r>
        <w:t xml:space="preserve"> </w:t>
      </w:r>
      <w:r w:rsidR="007E26B1">
        <w:t>cooperation,</w:t>
      </w:r>
      <w:r>
        <w:t xml:space="preserve"> and </w:t>
      </w:r>
      <w:r w:rsidR="003F5152">
        <w:t>collaboration</w:t>
      </w:r>
      <w:bookmarkEnd w:id="10"/>
    </w:p>
    <w:p w14:paraId="1A6E7CEC" w14:textId="74B20FD7" w:rsidR="008606C2" w:rsidRPr="0058648A" w:rsidRDefault="008606C2" w:rsidP="0058648A">
      <w:pPr>
        <w:ind w:left="720"/>
        <w:rPr>
          <w:rFonts w:asciiTheme="minorHAnsi" w:hAnsiTheme="minorHAnsi" w:cstheme="minorHAnsi"/>
          <w:color w:val="auto"/>
        </w:rPr>
      </w:pPr>
      <w:r w:rsidRPr="0058648A">
        <w:rPr>
          <w:rFonts w:asciiTheme="minorHAnsi" w:hAnsiTheme="minorHAnsi" w:cstheme="minorHAnsi"/>
          <w:color w:val="auto"/>
          <w:kern w:val="24"/>
        </w:rPr>
        <w:t xml:space="preserve">The department and </w:t>
      </w:r>
      <w:r w:rsidR="00C81471" w:rsidRPr="0058648A">
        <w:rPr>
          <w:rFonts w:asciiTheme="minorHAnsi" w:hAnsiTheme="minorHAnsi" w:cstheme="minorHAnsi"/>
          <w:color w:val="auto"/>
          <w:kern w:val="24"/>
        </w:rPr>
        <w:t>entities</w:t>
      </w:r>
      <w:r w:rsidR="0099133E" w:rsidRPr="0058648A">
        <w:rPr>
          <w:rFonts w:asciiTheme="minorHAnsi" w:hAnsiTheme="minorHAnsi" w:cstheme="minorHAnsi"/>
          <w:color w:val="auto"/>
          <w:kern w:val="24"/>
        </w:rPr>
        <w:t xml:space="preserve"> </w:t>
      </w:r>
      <w:r w:rsidRPr="0058648A">
        <w:rPr>
          <w:rFonts w:asciiTheme="minorHAnsi" w:hAnsiTheme="minorHAnsi" w:cstheme="minorHAnsi"/>
          <w:color w:val="auto"/>
          <w:kern w:val="24"/>
        </w:rPr>
        <w:t>must commit to maintaining collaborative dialogue and to sharing information in a timely and transparent manner.</w:t>
      </w:r>
    </w:p>
    <w:p w14:paraId="00FF176A" w14:textId="251F6F9C" w:rsidR="009E5BCA" w:rsidRDefault="009E5BCA">
      <w:pPr>
        <w:suppressAutoHyphens w:val="0"/>
        <w:autoSpaceDE/>
        <w:autoSpaceDN/>
        <w:adjustRightInd/>
        <w:spacing w:after="0" w:line="240" w:lineRule="auto"/>
        <w:textAlignment w:val="auto"/>
      </w:pPr>
      <w:r>
        <w:br w:type="page"/>
      </w:r>
    </w:p>
    <w:p w14:paraId="111DC407" w14:textId="2D389D42" w:rsidR="006216C1" w:rsidRPr="00536CA8" w:rsidRDefault="006216C1" w:rsidP="006216C1">
      <w:pPr>
        <w:pStyle w:val="Heading1"/>
      </w:pPr>
      <w:bookmarkStart w:id="11" w:name="_Toc164067832"/>
      <w:r>
        <w:lastRenderedPageBreak/>
        <w:t>4</w:t>
      </w:r>
      <w:r>
        <w:tab/>
        <w:t xml:space="preserve">Governance </w:t>
      </w:r>
      <w:r w:rsidR="00A55233">
        <w:t>Framework Model</w:t>
      </w:r>
      <w:bookmarkEnd w:id="11"/>
    </w:p>
    <w:p w14:paraId="4FBBAB56" w14:textId="62A6B14A" w:rsidR="009E1E43" w:rsidRDefault="009E1E43" w:rsidP="009E1E43">
      <w:r>
        <w:t xml:space="preserve">The governance framework </w:t>
      </w:r>
      <w:r w:rsidRPr="00E44C48">
        <w:t>capture</w:t>
      </w:r>
      <w:r>
        <w:t>s</w:t>
      </w:r>
      <w:r w:rsidRPr="00E44C48">
        <w:t xml:space="preserve"> a broad range of areas relating to planning and performance, financial sustainability and accountability </w:t>
      </w:r>
      <w:r>
        <w:t xml:space="preserve">applicable to the department </w:t>
      </w:r>
      <w:r w:rsidRPr="00E44C48">
        <w:t>and</w:t>
      </w:r>
      <w:r w:rsidR="00F52298">
        <w:t xml:space="preserve"> </w:t>
      </w:r>
      <w:r w:rsidR="006C5B95">
        <w:t>entities</w:t>
      </w:r>
      <w:r w:rsidRPr="00E44C48">
        <w:t>.</w:t>
      </w:r>
    </w:p>
    <w:p w14:paraId="6DA8EF43" w14:textId="78C737FD" w:rsidR="009E1E43" w:rsidRDefault="009E1E43" w:rsidP="009E1E43">
      <w:r w:rsidRPr="00E44C48">
        <w:t xml:space="preserve">The </w:t>
      </w:r>
      <w:r>
        <w:t>governance f</w:t>
      </w:r>
      <w:r w:rsidRPr="00E44C48">
        <w:t>ramework has four key stages: plan, analyse, report and monitor</w:t>
      </w:r>
      <w:r>
        <w:t>,</w:t>
      </w:r>
      <w:r w:rsidRPr="00E44C48">
        <w:t xml:space="preserve"> w</w:t>
      </w:r>
      <w:r>
        <w:t xml:space="preserve">ith elements of risk management, </w:t>
      </w:r>
      <w:r w:rsidR="00C81471">
        <w:t>entit</w:t>
      </w:r>
      <w:r w:rsidR="009537ED">
        <w:t>y</w:t>
      </w:r>
      <w:r w:rsidR="001B3A08" w:rsidRPr="007B049F">
        <w:t xml:space="preserve"> </w:t>
      </w:r>
      <w:r w:rsidRPr="007B049F">
        <w:t xml:space="preserve">support and oversight </w:t>
      </w:r>
      <w:r>
        <w:t>embedded at each stage.</w:t>
      </w:r>
    </w:p>
    <w:p w14:paraId="5C8E1C32" w14:textId="4C638B77" w:rsidR="009E1E43" w:rsidRDefault="00F30726" w:rsidP="000B791E">
      <w:pPr>
        <w:pStyle w:val="bodycopy"/>
        <w:rPr>
          <w:color w:val="1F4E79"/>
          <w:sz w:val="22"/>
        </w:rPr>
      </w:pPr>
      <w:r>
        <w:rPr>
          <w:noProof/>
        </w:rPr>
        <w:drawing>
          <wp:inline distT="0" distB="0" distL="0" distR="0" wp14:anchorId="1A46F3E4" wp14:editId="6D8ACCDF">
            <wp:extent cx="5831840" cy="2767330"/>
            <wp:effectExtent l="0" t="0" r="0" b="0"/>
            <wp:docPr id="34" name="Picture 34" descr="A diagram of a business&#10;&#10;Description automatically generated">
              <a:extLst xmlns:a="http://schemas.openxmlformats.org/drawingml/2006/main">
                <a:ext uri="{FF2B5EF4-FFF2-40B4-BE49-F238E27FC236}">
                  <a16:creationId xmlns:a16="http://schemas.microsoft.com/office/drawing/2014/main" id="{6075615A-595C-F3E4-19ED-3C07416814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diagram of a business&#10;&#10;Description automatically generated">
                      <a:extLst>
                        <a:ext uri="{FF2B5EF4-FFF2-40B4-BE49-F238E27FC236}">
                          <a16:creationId xmlns:a16="http://schemas.microsoft.com/office/drawing/2014/main" id="{6075615A-595C-F3E4-19ED-3C0741681499}"/>
                        </a:ext>
                      </a:extLst>
                    </pic:cNvPr>
                    <pic:cNvPicPr>
                      <a:picLocks noChangeAspect="1"/>
                    </pic:cNvPicPr>
                  </pic:nvPicPr>
                  <pic:blipFill>
                    <a:blip r:embed="rId21"/>
                    <a:stretch>
                      <a:fillRect/>
                    </a:stretch>
                  </pic:blipFill>
                  <pic:spPr>
                    <a:xfrm>
                      <a:off x="0" y="0"/>
                      <a:ext cx="5831840" cy="2767330"/>
                    </a:xfrm>
                    <a:prstGeom prst="rect">
                      <a:avLst/>
                    </a:prstGeom>
                  </pic:spPr>
                </pic:pic>
              </a:graphicData>
            </a:graphic>
          </wp:inline>
        </w:drawing>
      </w:r>
    </w:p>
    <w:p w14:paraId="6BD0DD28" w14:textId="77777777" w:rsidR="00B35446" w:rsidRDefault="00B35446" w:rsidP="00F72F65">
      <w:pPr>
        <w:pStyle w:val="Heading1"/>
      </w:pPr>
    </w:p>
    <w:p w14:paraId="4E717213" w14:textId="43EB2791" w:rsidR="00F72F65" w:rsidRPr="00536CA8" w:rsidRDefault="00F72F65" w:rsidP="00F72F65">
      <w:pPr>
        <w:pStyle w:val="Heading1"/>
      </w:pPr>
      <w:bookmarkStart w:id="12" w:name="_Toc164067833"/>
      <w:r>
        <w:t>5</w:t>
      </w:r>
      <w:r>
        <w:tab/>
        <w:t xml:space="preserve">Key Governance </w:t>
      </w:r>
      <w:r w:rsidR="000E4D4F">
        <w:t>Requirements</w:t>
      </w:r>
      <w:bookmarkEnd w:id="12"/>
    </w:p>
    <w:p w14:paraId="7976F797" w14:textId="184ACCDA" w:rsidR="00684E32" w:rsidRPr="00891813" w:rsidRDefault="00684E32" w:rsidP="00684E32">
      <w:pPr>
        <w:pStyle w:val="Heading2"/>
      </w:pPr>
      <w:bookmarkStart w:id="13" w:name="_Toc164067834"/>
      <w:r>
        <w:t>5.1</w:t>
      </w:r>
      <w:r>
        <w:tab/>
        <w:t>Plan</w:t>
      </w:r>
      <w:r w:rsidR="0091361D">
        <w:t>ning</w:t>
      </w:r>
      <w:bookmarkEnd w:id="13"/>
    </w:p>
    <w:p w14:paraId="420987E4" w14:textId="28EC3B72" w:rsidR="008F4990" w:rsidRPr="000B7E9F" w:rsidRDefault="00EF50A5" w:rsidP="00EF50A5">
      <w:pPr>
        <w:pStyle w:val="bodycopy"/>
        <w:rPr>
          <w:color w:val="auto"/>
          <w:sz w:val="18"/>
          <w:szCs w:val="18"/>
        </w:rPr>
      </w:pPr>
      <w:r w:rsidRPr="000B7E9F">
        <w:rPr>
          <w:color w:val="auto"/>
          <w:sz w:val="18"/>
          <w:szCs w:val="18"/>
        </w:rPr>
        <w:t xml:space="preserve">An effective planning framework is critical to ensuring </w:t>
      </w:r>
      <w:r w:rsidR="00F55929">
        <w:rPr>
          <w:color w:val="auto"/>
          <w:sz w:val="18"/>
          <w:szCs w:val="18"/>
        </w:rPr>
        <w:t xml:space="preserve">entity </w:t>
      </w:r>
      <w:r w:rsidRPr="000B7E9F">
        <w:rPr>
          <w:color w:val="auto"/>
          <w:sz w:val="18"/>
          <w:szCs w:val="18"/>
        </w:rPr>
        <w:t xml:space="preserve">alignment with government priorities and department objectives. </w:t>
      </w:r>
    </w:p>
    <w:p w14:paraId="72910AD6" w14:textId="5BEBEA75" w:rsidR="0000440C" w:rsidRPr="00822532" w:rsidRDefault="00EF50A5" w:rsidP="00123BB4">
      <w:pPr>
        <w:pStyle w:val="Heading3"/>
      </w:pPr>
      <w:bookmarkStart w:id="14" w:name="_Toc164067835"/>
      <w:r>
        <w:t>5.1.1</w:t>
      </w:r>
      <w:r>
        <w:tab/>
        <w:t>Corporate and business planning</w:t>
      </w:r>
      <w:bookmarkEnd w:id="14"/>
    </w:p>
    <w:p w14:paraId="0D18E551" w14:textId="17EAD95F" w:rsidR="00622BBE" w:rsidRDefault="00622D22" w:rsidP="00622D22">
      <w:r w:rsidRPr="00641FD1">
        <w:t xml:space="preserve">A corporate plan </w:t>
      </w:r>
      <w:r>
        <w:t>is</w:t>
      </w:r>
      <w:r w:rsidRPr="00641FD1">
        <w:t xml:space="preserve"> often </w:t>
      </w:r>
      <w:r w:rsidR="006D1781">
        <w:t xml:space="preserve">a </w:t>
      </w:r>
      <w:r w:rsidR="006D1781" w:rsidRPr="00641FD1">
        <w:t xml:space="preserve">primary </w:t>
      </w:r>
      <w:r w:rsidRPr="00641FD1">
        <w:t>planning document</w:t>
      </w:r>
      <w:r w:rsidR="006D1781">
        <w:t xml:space="preserve"> </w:t>
      </w:r>
      <w:r w:rsidR="00BB0744">
        <w:t>for</w:t>
      </w:r>
      <w:r w:rsidR="006D1781" w:rsidRPr="006D1781">
        <w:t xml:space="preserve"> </w:t>
      </w:r>
      <w:r w:rsidR="006D1781" w:rsidRPr="00641FD1">
        <w:t>a</w:t>
      </w:r>
      <w:r w:rsidR="006D1781">
        <w:t>n entity</w:t>
      </w:r>
      <w:r w:rsidRPr="00484505">
        <w:t xml:space="preserve">, </w:t>
      </w:r>
      <w:r>
        <w:t xml:space="preserve">setting out </w:t>
      </w:r>
      <w:r w:rsidRPr="00BE4254">
        <w:t xml:space="preserve">the </w:t>
      </w:r>
      <w:r>
        <w:t>medium</w:t>
      </w:r>
      <w:r w:rsidRPr="00BE4254">
        <w:t xml:space="preserve">-term strategic </w:t>
      </w:r>
      <w:r>
        <w:t>direction.</w:t>
      </w:r>
      <w:r w:rsidR="007A707B">
        <w:t xml:space="preserve"> </w:t>
      </w:r>
      <w:r w:rsidR="00BB0744">
        <w:t>According to the</w:t>
      </w:r>
      <w:r w:rsidR="001E64F8">
        <w:t xml:space="preserve"> </w:t>
      </w:r>
      <w:r w:rsidR="007063B9">
        <w:t>Resource Management Framework (</w:t>
      </w:r>
      <w:r w:rsidR="001E64F8">
        <w:t>RMF</w:t>
      </w:r>
      <w:r w:rsidR="007063B9">
        <w:t>)</w:t>
      </w:r>
      <w:r w:rsidR="009C31EF">
        <w:t xml:space="preserve"> (July 2022)</w:t>
      </w:r>
      <w:r w:rsidR="001E64F8">
        <w:t xml:space="preserve"> definition, </w:t>
      </w:r>
      <w:r w:rsidR="00BA4FA0">
        <w:t xml:space="preserve">the </w:t>
      </w:r>
      <w:r w:rsidR="001E64F8">
        <w:t>medium term</w:t>
      </w:r>
      <w:r w:rsidR="007063B9">
        <w:t xml:space="preserve"> covers a rolling 4-year period.</w:t>
      </w:r>
      <w:r>
        <w:t xml:space="preserve"> It</w:t>
      </w:r>
      <w:r w:rsidRPr="00641FD1">
        <w:t xml:space="preserve"> represent</w:t>
      </w:r>
      <w:r>
        <w:t>s</w:t>
      </w:r>
      <w:r w:rsidRPr="00641FD1">
        <w:t xml:space="preserve"> an agreement between the </w:t>
      </w:r>
      <w:r w:rsidR="00C81471">
        <w:t>entity</w:t>
      </w:r>
      <w:r w:rsidR="00DB7632">
        <w:t xml:space="preserve">’s </w:t>
      </w:r>
      <w:r>
        <w:t>board (or equivalent)</w:t>
      </w:r>
      <w:r w:rsidRPr="00641FD1">
        <w:t xml:space="preserve"> and the</w:t>
      </w:r>
      <w:r>
        <w:t xml:space="preserve"> relevant</w:t>
      </w:r>
      <w:r w:rsidRPr="00641FD1">
        <w:t xml:space="preserve"> </w:t>
      </w:r>
      <w:r>
        <w:t>m</w:t>
      </w:r>
      <w:r w:rsidRPr="00641FD1">
        <w:t>inister</w:t>
      </w:r>
      <w:r>
        <w:t xml:space="preserve">. </w:t>
      </w:r>
      <w:r w:rsidRPr="00BE4254">
        <w:t>For some</w:t>
      </w:r>
      <w:r w:rsidR="00DB7632">
        <w:t xml:space="preserve"> </w:t>
      </w:r>
      <w:r w:rsidR="004E4543">
        <w:t>entities</w:t>
      </w:r>
      <w:r w:rsidRPr="00BE4254">
        <w:t>, corporate planning documentation</w:t>
      </w:r>
      <w:r w:rsidRPr="009E135A">
        <w:t xml:space="preserve"> may also be a legislative requirement.</w:t>
      </w:r>
      <w:r w:rsidR="00A210CE">
        <w:t xml:space="preserve"> </w:t>
      </w:r>
    </w:p>
    <w:p w14:paraId="17958754" w14:textId="3058586D" w:rsidR="0055455E" w:rsidRDefault="003E6D73" w:rsidP="0055455E">
      <w:r w:rsidRPr="00BE72BD">
        <w:t xml:space="preserve">Entities </w:t>
      </w:r>
      <w:r w:rsidR="003D1EBF">
        <w:t xml:space="preserve">should </w:t>
      </w:r>
      <w:r w:rsidRPr="00BE72BD">
        <w:t xml:space="preserve">develop or review their corporate plan annually. </w:t>
      </w:r>
      <w:r w:rsidR="0055455E">
        <w:t>The duration of corporate plans may vary in accordance with the entity’s enabling legislation</w:t>
      </w:r>
      <w:r w:rsidR="00423CA0">
        <w:t>,</w:t>
      </w:r>
      <w:r w:rsidR="0055455E">
        <w:t xml:space="preserve"> which may include annual business plans (or others), as stipulated by their legislative provisions.</w:t>
      </w:r>
      <w:r w:rsidR="00020600">
        <w:t xml:space="preserve"> </w:t>
      </w:r>
      <w:r w:rsidR="0055455E">
        <w:t>Entities</w:t>
      </w:r>
      <w:r w:rsidR="0055455E" w:rsidRPr="00BE4254">
        <w:t xml:space="preserve"> </w:t>
      </w:r>
      <w:r w:rsidR="0055455E">
        <w:t xml:space="preserve">may </w:t>
      </w:r>
      <w:r w:rsidR="0055455E" w:rsidRPr="00BE4254">
        <w:t xml:space="preserve">prepare an annual </w:t>
      </w:r>
      <w:r w:rsidR="0055455E">
        <w:t>b</w:t>
      </w:r>
      <w:r w:rsidR="0055455E" w:rsidRPr="00BE4254">
        <w:t xml:space="preserve">usiness </w:t>
      </w:r>
      <w:r w:rsidR="0055455E">
        <w:t>p</w:t>
      </w:r>
      <w:r w:rsidR="0055455E" w:rsidRPr="00BE4254">
        <w:t>lan</w:t>
      </w:r>
      <w:r w:rsidR="0055455E">
        <w:t>, as legislatively required</w:t>
      </w:r>
      <w:r w:rsidR="006D1781">
        <w:t xml:space="preserve"> or</w:t>
      </w:r>
      <w:r w:rsidR="0055455E">
        <w:t xml:space="preserve"> as part of their general governance practices, in lieu of a corporate plan.</w:t>
      </w:r>
      <w:r w:rsidR="0055455E" w:rsidRPr="00266E8A">
        <w:t xml:space="preserve"> </w:t>
      </w:r>
      <w:r w:rsidR="0055455E">
        <w:t>These business plans</w:t>
      </w:r>
      <w:r w:rsidR="003D1EBF">
        <w:t xml:space="preserve"> should</w:t>
      </w:r>
      <w:r w:rsidR="0055455E" w:rsidRPr="00BE4254">
        <w:t xml:space="preserve"> ensure</w:t>
      </w:r>
      <w:r w:rsidR="0055455E">
        <w:t xml:space="preserve"> that</w:t>
      </w:r>
      <w:r w:rsidR="0055455E" w:rsidRPr="00BE4254">
        <w:t xml:space="preserve"> the </w:t>
      </w:r>
      <w:r w:rsidR="0055455E">
        <w:t>entity</w:t>
      </w:r>
      <w:r w:rsidR="0055455E" w:rsidRPr="00BE4254">
        <w:t xml:space="preserve"> is on</w:t>
      </w:r>
      <w:r w:rsidR="00C148B6">
        <w:t xml:space="preserve"> </w:t>
      </w:r>
      <w:r w:rsidR="0055455E" w:rsidRPr="00BE4254">
        <w:t xml:space="preserve">track to deliver </w:t>
      </w:r>
      <w:r w:rsidR="003E3EF3">
        <w:t>its</w:t>
      </w:r>
      <w:r w:rsidR="0055455E" w:rsidRPr="00BE4254">
        <w:t xml:space="preserve"> </w:t>
      </w:r>
      <w:r w:rsidR="0055455E">
        <w:t>medium</w:t>
      </w:r>
      <w:r w:rsidR="0055455E" w:rsidRPr="00BE4254">
        <w:t>-term strategy</w:t>
      </w:r>
      <w:r w:rsidR="0055455E">
        <w:t xml:space="preserve">, as well as report on </w:t>
      </w:r>
      <w:r w:rsidR="008E2DB4">
        <w:t xml:space="preserve">the </w:t>
      </w:r>
      <w:r w:rsidR="0055455E">
        <w:t>p</w:t>
      </w:r>
      <w:r w:rsidR="0055455E" w:rsidRPr="00266E8A">
        <w:t>rogress of key strategic initiatives</w:t>
      </w:r>
      <w:r w:rsidR="0055455E">
        <w:t xml:space="preserve"> through the inclusion of </w:t>
      </w:r>
      <w:r w:rsidR="0055455E" w:rsidRPr="00BE4254">
        <w:t>achievable and measurable targets and milestones</w:t>
      </w:r>
      <w:r w:rsidR="0055455E">
        <w:t>.</w:t>
      </w:r>
    </w:p>
    <w:p w14:paraId="21834400" w14:textId="4AA64461" w:rsidR="003E6D73" w:rsidRDefault="003E6D73" w:rsidP="00622D22">
      <w:r w:rsidRPr="00BE72BD">
        <w:t xml:space="preserve">The </w:t>
      </w:r>
      <w:r w:rsidR="006D1781">
        <w:t>corporate or business</w:t>
      </w:r>
      <w:r w:rsidRPr="00BE72BD">
        <w:t xml:space="preserve"> plan sets out vision and mission statements,</w:t>
      </w:r>
      <w:r>
        <w:t xml:space="preserve"> </w:t>
      </w:r>
      <w:r w:rsidR="00FF3EC0">
        <w:t xml:space="preserve">the </w:t>
      </w:r>
      <w:r>
        <w:t>operating environment, strategic direction,</w:t>
      </w:r>
      <w:r w:rsidR="00B705FB">
        <w:t xml:space="preserve"> </w:t>
      </w:r>
      <w:r>
        <w:t>objectives</w:t>
      </w:r>
      <w:r w:rsidR="00B705FB">
        <w:t xml:space="preserve"> </w:t>
      </w:r>
      <w:r>
        <w:t xml:space="preserve">(including deliverables, </w:t>
      </w:r>
      <w:r w:rsidRPr="00641FD1">
        <w:t>performance targets</w:t>
      </w:r>
      <w:r>
        <w:t xml:space="preserve"> and </w:t>
      </w:r>
      <w:r w:rsidRPr="00641FD1">
        <w:t>f</w:t>
      </w:r>
      <w:r>
        <w:t>inancial</w:t>
      </w:r>
      <w:r w:rsidRPr="00641FD1">
        <w:t xml:space="preserve"> commitments</w:t>
      </w:r>
      <w:r>
        <w:t xml:space="preserve"> and forecasts</w:t>
      </w:r>
      <w:r w:rsidRPr="00641FD1">
        <w:t xml:space="preserve"> over the corporate planning period</w:t>
      </w:r>
      <w:r>
        <w:t>)</w:t>
      </w:r>
      <w:r w:rsidR="00FE68B9">
        <w:t>,</w:t>
      </w:r>
      <w:r>
        <w:t xml:space="preserve"> commentary on policy obligations performed on behalf of the government, identification of risks (including environmental risk such as climate change and asset </w:t>
      </w:r>
      <w:r w:rsidR="00D0104C">
        <w:t>risks</w:t>
      </w:r>
      <w:r w:rsidR="00E962AB">
        <w:t>)</w:t>
      </w:r>
      <w:r w:rsidR="008E36DC">
        <w:t>,</w:t>
      </w:r>
      <w:r>
        <w:t xml:space="preserve"> and strategies to m</w:t>
      </w:r>
      <w:r w:rsidR="002D42F5">
        <w:t>anag</w:t>
      </w:r>
      <w:r w:rsidR="00D76FBC">
        <w:t>e</w:t>
      </w:r>
      <w:r>
        <w:t xml:space="preserve"> operating costs and achieve operating efficiencies</w:t>
      </w:r>
      <w:r w:rsidRPr="00BE4254">
        <w:t>.</w:t>
      </w:r>
    </w:p>
    <w:p w14:paraId="06526D7C" w14:textId="6C3B0741" w:rsidR="00622D22" w:rsidRDefault="00A210CE" w:rsidP="00622D22">
      <w:r>
        <w:lastRenderedPageBreak/>
        <w:t xml:space="preserve">Where </w:t>
      </w:r>
      <w:r w:rsidR="00910D98">
        <w:t>no explicit mandatory requirements apply, the Standing Directions</w:t>
      </w:r>
      <w:r w:rsidR="00EE4A90">
        <w:t xml:space="preserve"> 2018</w:t>
      </w:r>
      <w:r w:rsidR="00910D98">
        <w:t xml:space="preserve"> under the FMA</w:t>
      </w:r>
      <w:r w:rsidR="00AF3CEF">
        <w:t xml:space="preserve"> specifies </w:t>
      </w:r>
      <w:r w:rsidR="00E46DC8">
        <w:t xml:space="preserve">public sector entity responsibilities </w:t>
      </w:r>
      <w:r w:rsidR="002E4AB3">
        <w:t>to achieve</w:t>
      </w:r>
      <w:r w:rsidR="00BA2A0F">
        <w:t xml:space="preserve"> </w:t>
      </w:r>
      <w:r w:rsidR="00C627B9">
        <w:t xml:space="preserve">high standards of public financial management and </w:t>
      </w:r>
      <w:r w:rsidR="00C5473D">
        <w:t>accountability.</w:t>
      </w:r>
      <w:r>
        <w:t xml:space="preserve"> </w:t>
      </w:r>
    </w:p>
    <w:p w14:paraId="3C36BC2F" w14:textId="507E8D80" w:rsidR="00622D22" w:rsidRDefault="009F51A4" w:rsidP="00622D22">
      <w:r w:rsidRPr="009F51A4">
        <w:t xml:space="preserve">When preparing corporate plans, entities should consult with their </w:t>
      </w:r>
      <w:r w:rsidR="00F76D36">
        <w:t>department</w:t>
      </w:r>
      <w:r w:rsidRPr="009F51A4">
        <w:t xml:space="preserve"> RMs early</w:t>
      </w:r>
      <w:r>
        <w:t xml:space="preserve">. </w:t>
      </w:r>
      <w:r w:rsidR="00622D22">
        <w:t>The collaboration between the d</w:t>
      </w:r>
      <w:r w:rsidR="00622D22" w:rsidRPr="00F313C4">
        <w:t xml:space="preserve">epartment and </w:t>
      </w:r>
      <w:r w:rsidR="00A87CE5">
        <w:t>entities</w:t>
      </w:r>
      <w:r w:rsidR="00A87CE5" w:rsidRPr="00F313C4">
        <w:t xml:space="preserve"> </w:t>
      </w:r>
      <w:r w:rsidR="00622D22" w:rsidRPr="00F313C4">
        <w:t xml:space="preserve">should allow for transparent and constructive </w:t>
      </w:r>
      <w:r w:rsidR="00622D22">
        <w:t xml:space="preserve">discussion on plans. </w:t>
      </w:r>
      <w:r w:rsidR="00622D22" w:rsidRPr="00D03E0F">
        <w:t>Following a thorough analysis and review</w:t>
      </w:r>
      <w:r w:rsidR="00622D22">
        <w:t xml:space="preserve"> from the department,</w:t>
      </w:r>
      <w:r w:rsidR="00622D22" w:rsidRPr="00D03E0F">
        <w:t xml:space="preserve"> the </w:t>
      </w:r>
      <w:r w:rsidR="00622D22">
        <w:t>m</w:t>
      </w:r>
      <w:r w:rsidR="00622D22" w:rsidRPr="00D03E0F">
        <w:t>inister may accept the plan in full or request certain amendments</w:t>
      </w:r>
      <w:r w:rsidR="006D1781">
        <w:t xml:space="preserve"> by an entity</w:t>
      </w:r>
      <w:r w:rsidR="00622D22" w:rsidRPr="00D03E0F">
        <w:t xml:space="preserve">. </w:t>
      </w:r>
      <w:r w:rsidR="00622D22">
        <w:t xml:space="preserve"> </w:t>
      </w:r>
    </w:p>
    <w:p w14:paraId="16BC9FCC" w14:textId="04B9E0BD" w:rsidR="008277FE" w:rsidRDefault="008277FE" w:rsidP="008277FE">
      <w:r>
        <w:t xml:space="preserve">The department may review </w:t>
      </w:r>
      <w:r w:rsidR="00C2520E">
        <w:t>corporate</w:t>
      </w:r>
      <w:r w:rsidR="007054F1">
        <w:t xml:space="preserve"> </w:t>
      </w:r>
      <w:r w:rsidR="00636547">
        <w:t xml:space="preserve">or </w:t>
      </w:r>
      <w:r>
        <w:t>business plans</w:t>
      </w:r>
      <w:r w:rsidRPr="00441731">
        <w:t xml:space="preserve"> prior to submission for </w:t>
      </w:r>
      <w:r>
        <w:t>m</w:t>
      </w:r>
      <w:r w:rsidRPr="00441731">
        <w:t xml:space="preserve">inisterial </w:t>
      </w:r>
      <w:r w:rsidR="004410DC">
        <w:t>approval</w:t>
      </w:r>
      <w:r w:rsidR="00636547">
        <w:t>.</w:t>
      </w:r>
      <w:r>
        <w:t xml:space="preserve"> </w:t>
      </w:r>
      <w:r w:rsidR="00EB7EB1">
        <w:t xml:space="preserve">Entity </w:t>
      </w:r>
      <w:r w:rsidRPr="00266E8A">
        <w:t>decisions should</w:t>
      </w:r>
      <w:r>
        <w:t xml:space="preserve"> then</w:t>
      </w:r>
      <w:r w:rsidRPr="00266E8A">
        <w:t xml:space="preserve"> be consistent with the agreed strategic direction in the corporate</w:t>
      </w:r>
      <w:r w:rsidR="00483018">
        <w:t xml:space="preserve"> or </w:t>
      </w:r>
      <w:r w:rsidR="00C2520E">
        <w:t>business</w:t>
      </w:r>
      <w:r w:rsidRPr="00266E8A">
        <w:t xml:space="preserve"> plan.</w:t>
      </w:r>
    </w:p>
    <w:p w14:paraId="5EB46283" w14:textId="3132B8D0" w:rsidR="00706DCF" w:rsidRPr="007C6C37" w:rsidRDefault="00505846" w:rsidP="007C6C37">
      <w:pPr>
        <w:pStyle w:val="Heading3"/>
        <w:rPr>
          <w:b w:val="0"/>
          <w:bCs w:val="0"/>
          <w:sz w:val="18"/>
          <w:szCs w:val="18"/>
        </w:rPr>
      </w:pPr>
      <w:bookmarkStart w:id="15" w:name="_Toc164067836"/>
      <w:r w:rsidRPr="00505846">
        <w:rPr>
          <w:b w:val="0"/>
          <w:bCs w:val="0"/>
          <w:sz w:val="18"/>
          <w:szCs w:val="18"/>
        </w:rPr>
        <w:t xml:space="preserve">Some entities need to meet the Department of Treasury and Finance’s (DTF) requirements set out in the </w:t>
      </w:r>
      <w:hyperlink r:id="rId22" w:tgtFrame="_blank" w:tooltip="https://www.dtf.vic.gov.au/planning-budgeting-and-financial-reporting-frameworks/corporate-planning-and-performance-reporting-requirements" w:history="1">
        <w:r w:rsidRPr="00505846">
          <w:rPr>
            <w:b w:val="0"/>
            <w:bCs w:val="0"/>
            <w:i/>
            <w:iCs/>
            <w:color w:val="0000FF"/>
            <w:sz w:val="18"/>
            <w:szCs w:val="18"/>
            <w:u w:val="single"/>
          </w:rPr>
          <w:t>Corporate Planning and Performance Reporting requirements for Government Business Enterprises</w:t>
        </w:r>
      </w:hyperlink>
      <w:r w:rsidRPr="00505846">
        <w:rPr>
          <w:b w:val="0"/>
          <w:bCs w:val="0"/>
          <w:i/>
          <w:iCs/>
          <w:sz w:val="18"/>
          <w:szCs w:val="18"/>
        </w:rPr>
        <w:t> </w:t>
      </w:r>
      <w:r w:rsidRPr="00505846">
        <w:rPr>
          <w:b w:val="0"/>
          <w:bCs w:val="0"/>
          <w:sz w:val="18"/>
          <w:szCs w:val="18"/>
        </w:rPr>
        <w:t>(October 2023). The department's Portfolio Entity Corporate Planning Guidelines specifies which entities the DTF requirements pertain to, as well as providing a more detailed overview of the standards and process.</w:t>
      </w:r>
      <w:bookmarkEnd w:id="15"/>
    </w:p>
    <w:p w14:paraId="270420D9" w14:textId="02780EE9" w:rsidR="008277FE" w:rsidRPr="00822532" w:rsidRDefault="008277FE" w:rsidP="008277FE">
      <w:pPr>
        <w:pStyle w:val="Heading3"/>
      </w:pPr>
      <w:bookmarkStart w:id="16" w:name="_Toc164067837"/>
      <w:r>
        <w:t>5.1.2</w:t>
      </w:r>
      <w:r>
        <w:tab/>
      </w:r>
      <w:r w:rsidR="001727BD">
        <w:t>Resource Management Framework</w:t>
      </w:r>
      <w:bookmarkEnd w:id="16"/>
    </w:p>
    <w:p w14:paraId="10099176" w14:textId="7710F24F" w:rsidR="00027336" w:rsidRDefault="00027336" w:rsidP="00027336">
      <w:r>
        <w:t xml:space="preserve">The Resource Management Framework (RMF) </w:t>
      </w:r>
      <w:r w:rsidR="009A7D0E">
        <w:t>was</w:t>
      </w:r>
      <w:r>
        <w:t xml:space="preserve"> effective from July 2019</w:t>
      </w:r>
      <w:r w:rsidR="00B755C0">
        <w:t xml:space="preserve"> and all d</w:t>
      </w:r>
      <w:r>
        <w:t xml:space="preserve">epartments are bound by the RMF in its entirety. </w:t>
      </w:r>
      <w:r w:rsidR="00BD474E">
        <w:t>Since</w:t>
      </w:r>
      <w:r w:rsidR="002B1C1F">
        <w:t xml:space="preserve"> 1 July 2023, an updated version of the RMF</w:t>
      </w:r>
      <w:r w:rsidR="007F2D69">
        <w:t xml:space="preserve"> applies</w:t>
      </w:r>
      <w:r w:rsidR="00097D4F">
        <w:t xml:space="preserve">, incorporating </w:t>
      </w:r>
      <w:hyperlink r:id="rId23" w:history="1">
        <w:r w:rsidR="007F2D69" w:rsidRPr="000603F0">
          <w:rPr>
            <w:rStyle w:val="Hyperlink"/>
          </w:rPr>
          <w:t>changes to existing polic</w:t>
        </w:r>
        <w:r w:rsidR="00BC3FA5">
          <w:rPr>
            <w:rStyle w:val="Hyperlink"/>
          </w:rPr>
          <w:t>i</w:t>
        </w:r>
        <w:r w:rsidR="007F2D69" w:rsidRPr="000603F0">
          <w:rPr>
            <w:rStyle w:val="Hyperlink"/>
          </w:rPr>
          <w:t>es</w:t>
        </w:r>
      </w:hyperlink>
      <w:r w:rsidR="00224656" w:rsidRPr="000603F0">
        <w:t xml:space="preserve"> </w:t>
      </w:r>
      <w:r w:rsidR="000603F0" w:rsidRPr="000603F0">
        <w:t xml:space="preserve">as directed by </w:t>
      </w:r>
      <w:r w:rsidR="00D71048">
        <w:t>g</w:t>
      </w:r>
      <w:r w:rsidR="000603F0" w:rsidRPr="000603F0">
        <w:t xml:space="preserve">overnment </w:t>
      </w:r>
      <w:r w:rsidR="00224656" w:rsidRPr="000603F0">
        <w:t xml:space="preserve">(see pg. </w:t>
      </w:r>
      <w:r w:rsidR="00771807" w:rsidRPr="000603F0">
        <w:t>5</w:t>
      </w:r>
      <w:r w:rsidR="000603F0">
        <w:t xml:space="preserve">, </w:t>
      </w:r>
      <w:hyperlink r:id="rId24" w:history="1">
        <w:r w:rsidR="000603F0" w:rsidRPr="000603F0">
          <w:rPr>
            <w:rStyle w:val="Hyperlink"/>
          </w:rPr>
          <w:t>Changes to the RMF since the 2022-23 published version</w:t>
        </w:r>
      </w:hyperlink>
      <w:r w:rsidR="00771807" w:rsidRPr="000603F0">
        <w:t>).</w:t>
      </w:r>
    </w:p>
    <w:p w14:paraId="5A1E10D7" w14:textId="054E6FF1" w:rsidR="00027336" w:rsidRDefault="00027336" w:rsidP="00027336">
      <w:r>
        <w:t>The RMF helps Victorian Government departments understand and apply the legal and policy framework that underpins resource management, budgeting</w:t>
      </w:r>
      <w:r w:rsidR="0089612F">
        <w:t xml:space="preserve">, </w:t>
      </w:r>
      <w:r w:rsidR="00F61C0A">
        <w:t>service delivery, accountability</w:t>
      </w:r>
      <w:r>
        <w:t xml:space="preserve"> and reporting processes.</w:t>
      </w:r>
    </w:p>
    <w:p w14:paraId="64CFAFBB" w14:textId="497AA605" w:rsidR="00272936" w:rsidRDefault="00272936" w:rsidP="00027336">
      <w:r>
        <w:t>All Victorian</w:t>
      </w:r>
      <w:r w:rsidR="005C443B">
        <w:t xml:space="preserve"> </w:t>
      </w:r>
      <w:r w:rsidR="00C33677">
        <w:t>G</w:t>
      </w:r>
      <w:r w:rsidR="005C443B">
        <w:t xml:space="preserve">overnment departments and specified entities listed in the RMF are required to apply the RMF under the </w:t>
      </w:r>
      <w:hyperlink r:id="rId25" w:history="1">
        <w:r w:rsidR="005C443B" w:rsidRPr="005C443B">
          <w:rPr>
            <w:rStyle w:val="Hyperlink"/>
          </w:rPr>
          <w:t xml:space="preserve">Standing Directions 2018 under the </w:t>
        </w:r>
        <w:r w:rsidR="005C443B" w:rsidRPr="005C443B">
          <w:rPr>
            <w:rStyle w:val="Hyperlink"/>
            <w:i/>
            <w:iCs/>
          </w:rPr>
          <w:t>Financial Management Act 1994</w:t>
        </w:r>
      </w:hyperlink>
      <w:r w:rsidR="005C443B">
        <w:t>.</w:t>
      </w:r>
    </w:p>
    <w:p w14:paraId="46F28C1E" w14:textId="3B0E77EE" w:rsidR="00410311" w:rsidRDefault="00410311" w:rsidP="00410311">
      <w:pPr>
        <w:pStyle w:val="Heading3"/>
      </w:pPr>
      <w:bookmarkStart w:id="17" w:name="_Toc164067838"/>
      <w:r>
        <w:t>5.1.3</w:t>
      </w:r>
      <w:r>
        <w:tab/>
        <w:t>Budget</w:t>
      </w:r>
      <w:r w:rsidR="00DF0893">
        <w:t xml:space="preserve"> formulation</w:t>
      </w:r>
      <w:bookmarkEnd w:id="17"/>
    </w:p>
    <w:p w14:paraId="46616DF9" w14:textId="37CA1B35" w:rsidR="006539EB" w:rsidRDefault="00C81471" w:rsidP="006539EB">
      <w:r>
        <w:t>Entities</w:t>
      </w:r>
      <w:r w:rsidR="006539EB" w:rsidRPr="00086754">
        <w:t xml:space="preserve"> should prepare </w:t>
      </w:r>
      <w:r w:rsidR="004E07E3">
        <w:t>a</w:t>
      </w:r>
      <w:r w:rsidR="00BA2C9F">
        <w:t xml:space="preserve">n </w:t>
      </w:r>
      <w:r w:rsidR="009400AA">
        <w:t>annual</w:t>
      </w:r>
      <w:r w:rsidR="00E6457E">
        <w:t xml:space="preserve"> </w:t>
      </w:r>
      <w:r w:rsidR="006539EB" w:rsidRPr="00086754">
        <w:t>budget</w:t>
      </w:r>
      <w:r w:rsidR="006539EB">
        <w:t xml:space="preserve"> </w:t>
      </w:r>
      <w:r w:rsidR="004E07E3">
        <w:t xml:space="preserve">that comprises of </w:t>
      </w:r>
      <w:r w:rsidR="00A82CA9">
        <w:t xml:space="preserve">a </w:t>
      </w:r>
      <w:r w:rsidR="007E6132">
        <w:t>detailed</w:t>
      </w:r>
      <w:r w:rsidR="006539EB" w:rsidRPr="00086754">
        <w:t xml:space="preserve"> income statement, balance sheet and cash</w:t>
      </w:r>
      <w:r w:rsidR="006539EB">
        <w:t xml:space="preserve"> </w:t>
      </w:r>
      <w:r w:rsidR="006539EB" w:rsidRPr="00086754">
        <w:t xml:space="preserve">flow for the </w:t>
      </w:r>
      <w:r w:rsidR="00BA2C9F">
        <w:t>current financial year</w:t>
      </w:r>
      <w:r w:rsidR="009400AA">
        <w:t>. The current financial year budget can be broken down by months.</w:t>
      </w:r>
      <w:r w:rsidR="00EF4B1E">
        <w:t xml:space="preserve"> An annual b</w:t>
      </w:r>
      <w:r w:rsidR="009400AA">
        <w:t>udget</w:t>
      </w:r>
      <w:r w:rsidR="00EF4B1E">
        <w:t xml:space="preserve"> should</w:t>
      </w:r>
      <w:r w:rsidR="007E6132">
        <w:t xml:space="preserve"> also</w:t>
      </w:r>
      <w:r w:rsidR="00EF4B1E">
        <w:t xml:space="preserve"> be developed </w:t>
      </w:r>
      <w:r w:rsidR="00483A8A">
        <w:t>over</w:t>
      </w:r>
      <w:r w:rsidR="00C5647A">
        <w:t xml:space="preserve"> the</w:t>
      </w:r>
      <w:r w:rsidR="00483A8A">
        <w:t xml:space="preserve"> forecast period of the plan</w:t>
      </w:r>
      <w:r w:rsidR="00542EB2">
        <w:t xml:space="preserve"> (</w:t>
      </w:r>
      <w:r w:rsidR="003A60AE">
        <w:t>i.e.</w:t>
      </w:r>
      <w:r w:rsidR="00562B6F">
        <w:t xml:space="preserve"> years </w:t>
      </w:r>
      <w:r w:rsidR="009A3AC4">
        <w:t>2,</w:t>
      </w:r>
      <w:r w:rsidR="00562B6F">
        <w:t xml:space="preserve"> 3 and 4)</w:t>
      </w:r>
      <w:r w:rsidR="006050A6">
        <w:t>.</w:t>
      </w:r>
      <w:r w:rsidR="009400AA">
        <w:t xml:space="preserve"> </w:t>
      </w:r>
    </w:p>
    <w:p w14:paraId="22C4CA0B" w14:textId="782374B7" w:rsidR="006539EB" w:rsidRPr="00086754" w:rsidRDefault="006539EB" w:rsidP="006539EB">
      <w:r w:rsidRPr="00086754">
        <w:t xml:space="preserve">The </w:t>
      </w:r>
      <w:r>
        <w:t xml:space="preserve">annual budget should </w:t>
      </w:r>
      <w:r w:rsidRPr="00086754">
        <w:t xml:space="preserve">be consistent with the </w:t>
      </w:r>
      <w:r>
        <w:t>c</w:t>
      </w:r>
      <w:r w:rsidRPr="00086754">
        <w:t xml:space="preserve">orporate </w:t>
      </w:r>
      <w:r>
        <w:t>p</w:t>
      </w:r>
      <w:r w:rsidRPr="00086754">
        <w:t>lan</w:t>
      </w:r>
      <w:r>
        <w:t xml:space="preserve">. </w:t>
      </w:r>
      <w:r w:rsidR="00C81471">
        <w:t>Entities</w:t>
      </w:r>
      <w:r>
        <w:t>’</w:t>
      </w:r>
      <w:r w:rsidRPr="00086754">
        <w:t xml:space="preserve"> budget processes will include:</w:t>
      </w:r>
    </w:p>
    <w:p w14:paraId="7287C0A4" w14:textId="26F33D09" w:rsidR="006539EB" w:rsidRPr="00A85E9B" w:rsidRDefault="006539EB" w:rsidP="006539EB">
      <w:pPr>
        <w:pStyle w:val="ListBullet"/>
        <w:rPr>
          <w:color w:val="auto"/>
        </w:rPr>
      </w:pPr>
      <w:r w:rsidRPr="00A85E9B">
        <w:rPr>
          <w:color w:val="auto"/>
        </w:rPr>
        <w:t>the income and key assumptions underpinning the income stream</w:t>
      </w:r>
      <w:r w:rsidR="00CD591F">
        <w:rPr>
          <w:color w:val="auto"/>
        </w:rPr>
        <w:t>s</w:t>
      </w:r>
      <w:r w:rsidRPr="00A85E9B">
        <w:rPr>
          <w:color w:val="auto"/>
        </w:rPr>
        <w:t>. These assumptions need to be realistic and based on corporate knowledge and trend analysis of actual performance over previous years.</w:t>
      </w:r>
    </w:p>
    <w:p w14:paraId="5CF639B4" w14:textId="35D55B19" w:rsidR="006539EB" w:rsidRPr="00A85E9B" w:rsidRDefault="006539EB" w:rsidP="006539EB">
      <w:pPr>
        <w:pStyle w:val="ListBullet"/>
        <w:rPr>
          <w:color w:val="auto"/>
        </w:rPr>
      </w:pPr>
      <w:r w:rsidRPr="00A85E9B">
        <w:rPr>
          <w:color w:val="auto"/>
        </w:rPr>
        <w:t>the expenditure and key assumptions underpinning the expenditure stream. These assumptions need to be rigorous, justifiable, tightly controlled, aligned to the corporate plan and based on and informed by corporate knowledge and trend analysis of actual performance over previous years.</w:t>
      </w:r>
    </w:p>
    <w:p w14:paraId="6D109E68" w14:textId="3981248C" w:rsidR="006539EB" w:rsidRPr="00A85E9B" w:rsidRDefault="006539EB" w:rsidP="006539EB">
      <w:pPr>
        <w:pStyle w:val="ListBullet"/>
        <w:rPr>
          <w:color w:val="auto"/>
        </w:rPr>
      </w:pPr>
      <w:r w:rsidRPr="00A85E9B">
        <w:rPr>
          <w:color w:val="auto"/>
        </w:rPr>
        <w:t>the key balance sheet, cash flow figures and key assumptions underpinning these items. These assumptions need to be based on and informed by corporate knowledge and trend analysis of actual performance over previous years.</w:t>
      </w:r>
    </w:p>
    <w:p w14:paraId="3199EAD4" w14:textId="31FA1089" w:rsidR="006539EB" w:rsidRPr="00A85E9B" w:rsidRDefault="006539EB" w:rsidP="006539EB">
      <w:pPr>
        <w:pStyle w:val="ListBullet"/>
        <w:rPr>
          <w:color w:val="auto"/>
        </w:rPr>
      </w:pPr>
      <w:r w:rsidRPr="00A85E9B">
        <w:rPr>
          <w:color w:val="auto"/>
        </w:rPr>
        <w:t>compliance with the FMA and the Standing Directions of the Minister for Finance (if required).</w:t>
      </w:r>
    </w:p>
    <w:p w14:paraId="78D281FB" w14:textId="47A5C81A" w:rsidR="006539EB" w:rsidRPr="00A85E9B" w:rsidRDefault="00C81471" w:rsidP="006539EB">
      <w:pPr>
        <w:rPr>
          <w:color w:val="auto"/>
        </w:rPr>
      </w:pPr>
      <w:r w:rsidRPr="00A85E9B">
        <w:rPr>
          <w:color w:val="auto"/>
        </w:rPr>
        <w:t>Entities</w:t>
      </w:r>
      <w:r w:rsidR="006539EB" w:rsidRPr="00A85E9B">
        <w:rPr>
          <w:color w:val="auto"/>
        </w:rPr>
        <w:t xml:space="preserve"> will outline the following metrics in the corporate plan for the annual budget and following two forecast years (except for </w:t>
      </w:r>
      <w:r w:rsidRPr="00A85E9B">
        <w:rPr>
          <w:color w:val="auto"/>
        </w:rPr>
        <w:t>entities</w:t>
      </w:r>
      <w:r w:rsidR="006539EB" w:rsidRPr="00A85E9B">
        <w:rPr>
          <w:color w:val="auto"/>
        </w:rPr>
        <w:t xml:space="preserve"> defined as small</w:t>
      </w:r>
      <w:r w:rsidR="00B2381C">
        <w:rPr>
          <w:color w:val="auto"/>
        </w:rPr>
        <w:t>,</w:t>
      </w:r>
      <w:r w:rsidR="006539EB" w:rsidRPr="00A85E9B">
        <w:rPr>
          <w:color w:val="auto"/>
        </w:rPr>
        <w:t xml:space="preserve"> which would only need to calculate the metrics on the annual budget):</w:t>
      </w:r>
    </w:p>
    <w:p w14:paraId="3ED17883" w14:textId="55148E5F" w:rsidR="006539EB" w:rsidRPr="00A85E9B" w:rsidRDefault="006539EB" w:rsidP="006539EB">
      <w:pPr>
        <w:pStyle w:val="ListBullet"/>
        <w:rPr>
          <w:color w:val="auto"/>
        </w:rPr>
      </w:pPr>
      <w:bookmarkStart w:id="18" w:name="_Hlk517993292"/>
      <w:r w:rsidRPr="00A85E9B">
        <w:rPr>
          <w:color w:val="auto"/>
        </w:rPr>
        <w:t>working capital (current assets / current liabilities)</w:t>
      </w:r>
    </w:p>
    <w:p w14:paraId="05091D06" w14:textId="10A6A682" w:rsidR="006539EB" w:rsidRPr="00A85E9B" w:rsidRDefault="006539EB" w:rsidP="006539EB">
      <w:pPr>
        <w:pStyle w:val="ListBullet"/>
        <w:rPr>
          <w:color w:val="auto"/>
        </w:rPr>
      </w:pPr>
      <w:r w:rsidRPr="00A85E9B">
        <w:rPr>
          <w:color w:val="auto"/>
        </w:rPr>
        <w:t>capex replacement (cash outflow for property plant and equipment / depreciation)</w:t>
      </w:r>
    </w:p>
    <w:p w14:paraId="49AB2414" w14:textId="644E9474" w:rsidR="006539EB" w:rsidRPr="00A85E9B" w:rsidRDefault="006539EB" w:rsidP="006539EB">
      <w:pPr>
        <w:pStyle w:val="ListBullet"/>
        <w:rPr>
          <w:color w:val="auto"/>
        </w:rPr>
      </w:pPr>
      <w:r w:rsidRPr="00A85E9B">
        <w:rPr>
          <w:color w:val="auto"/>
        </w:rPr>
        <w:t>revenue growth (current year revenue less last year revenue) as a percentage of last year’s revenue</w:t>
      </w:r>
    </w:p>
    <w:p w14:paraId="4593F63F" w14:textId="77777777" w:rsidR="006539EB" w:rsidRPr="00A85E9B" w:rsidRDefault="006539EB" w:rsidP="006539EB">
      <w:pPr>
        <w:pStyle w:val="ListBullet"/>
        <w:rPr>
          <w:color w:val="auto"/>
        </w:rPr>
      </w:pPr>
      <w:r w:rsidRPr="00A85E9B">
        <w:rPr>
          <w:color w:val="auto"/>
        </w:rPr>
        <w:t>labour growth (current year employee expenses as a percentage of current year revenue less last year’s employee expenses as a percentage of last year’s revenue).</w:t>
      </w:r>
    </w:p>
    <w:bookmarkEnd w:id="18"/>
    <w:p w14:paraId="585AA6B4" w14:textId="56C2809A" w:rsidR="006539EB" w:rsidRPr="005E05B9" w:rsidRDefault="00C81471" w:rsidP="006539EB">
      <w:r>
        <w:t>Entities</w:t>
      </w:r>
      <w:r w:rsidR="006539EB" w:rsidRPr="005E05B9">
        <w:t xml:space="preserve"> will seek feedback from </w:t>
      </w:r>
      <w:r w:rsidR="006539EB">
        <w:t>the department</w:t>
      </w:r>
      <w:r w:rsidR="006539EB" w:rsidRPr="005E05B9">
        <w:t xml:space="preserve"> before finalising and obtaining </w:t>
      </w:r>
      <w:r w:rsidR="006539EB">
        <w:t>b</w:t>
      </w:r>
      <w:r w:rsidR="006539EB" w:rsidRPr="005E05B9">
        <w:t>oard approval.</w:t>
      </w:r>
    </w:p>
    <w:p w14:paraId="61B3D7C1" w14:textId="4417D646" w:rsidR="006539EB" w:rsidRDefault="006539EB" w:rsidP="006539EB">
      <w:pPr>
        <w:pStyle w:val="Heading3"/>
      </w:pPr>
      <w:bookmarkStart w:id="19" w:name="_Toc164067839"/>
      <w:r>
        <w:lastRenderedPageBreak/>
        <w:t>5.1.4</w:t>
      </w:r>
      <w:r>
        <w:tab/>
        <w:t>Policy proposals</w:t>
      </w:r>
      <w:bookmarkEnd w:id="19"/>
    </w:p>
    <w:p w14:paraId="50010ECE" w14:textId="712296D2" w:rsidR="00A86293" w:rsidRDefault="00A86293" w:rsidP="00A86293">
      <w:r w:rsidRPr="005E05B9">
        <w:t>The development of policy proposals should aim to leverage opportunities for collaboratio</w:t>
      </w:r>
      <w:r>
        <w:t>n across portfolios and sectors</w:t>
      </w:r>
      <w:r w:rsidRPr="005E05B9">
        <w:t xml:space="preserve"> and for knowledge sharing and capability transfer.</w:t>
      </w:r>
    </w:p>
    <w:p w14:paraId="53A1E035" w14:textId="3F6CA4D8" w:rsidR="00A86293" w:rsidRDefault="00A86293" w:rsidP="00A86293">
      <w:r>
        <w:t xml:space="preserve">The department </w:t>
      </w:r>
      <w:r w:rsidRPr="005E05B9">
        <w:t>will take the lead role in policy setting that</w:t>
      </w:r>
      <w:r>
        <w:t xml:space="preserve"> </w:t>
      </w:r>
      <w:r w:rsidRPr="005E05B9">
        <w:t xml:space="preserve">require approval from </w:t>
      </w:r>
      <w:r>
        <w:t>m</w:t>
      </w:r>
      <w:r w:rsidRPr="005E05B9">
        <w:t xml:space="preserve">inisters, </w:t>
      </w:r>
      <w:r w:rsidR="00DF5DB8">
        <w:t xml:space="preserve">while </w:t>
      </w:r>
      <w:r w:rsidRPr="005E05B9">
        <w:t xml:space="preserve">actively collaborating with relevant </w:t>
      </w:r>
      <w:r w:rsidR="00C81471">
        <w:t>entities</w:t>
      </w:r>
      <w:r w:rsidRPr="005E05B9">
        <w:t xml:space="preserve">. </w:t>
      </w:r>
    </w:p>
    <w:p w14:paraId="04233643" w14:textId="6DEBDA2A" w:rsidR="00A86293" w:rsidRDefault="00C81471" w:rsidP="00A86293">
      <w:r>
        <w:t>Entities</w:t>
      </w:r>
      <w:r w:rsidR="00A86293" w:rsidRPr="005E05B9">
        <w:t xml:space="preserve"> will contribute to policy discussions, bringing evidence-based and expert perspectives regarding the potential effectiveness of policy options and implementation issues.</w:t>
      </w:r>
    </w:p>
    <w:p w14:paraId="55E5561F" w14:textId="4C9DD893" w:rsidR="00A86293" w:rsidRPr="005E05B9" w:rsidRDefault="00A86293" w:rsidP="00A86293">
      <w:r>
        <w:t xml:space="preserve">The department </w:t>
      </w:r>
      <w:r w:rsidRPr="005E05B9">
        <w:t xml:space="preserve">will support </w:t>
      </w:r>
      <w:r w:rsidR="00C81471">
        <w:t>entities</w:t>
      </w:r>
      <w:r w:rsidRPr="005E05B9">
        <w:t xml:space="preserve"> seeking legislative amendments that enhance their efficiency and effectiveness, particularly where minor amendments will progress more rapidly as part of a larger portfolio-wide </w:t>
      </w:r>
      <w:r w:rsidR="00B95362">
        <w:t>b</w:t>
      </w:r>
      <w:r w:rsidRPr="005E05B9">
        <w:t>ill.</w:t>
      </w:r>
    </w:p>
    <w:p w14:paraId="1428DA87" w14:textId="4715FA69" w:rsidR="00A86293" w:rsidRDefault="00A86293" w:rsidP="00A86293">
      <w:pPr>
        <w:pStyle w:val="Heading3"/>
      </w:pPr>
      <w:bookmarkStart w:id="20" w:name="_Toc164067840"/>
      <w:r>
        <w:t>5.1.5</w:t>
      </w:r>
      <w:r>
        <w:tab/>
        <w:t>Budget</w:t>
      </w:r>
      <w:r w:rsidR="005057AE">
        <w:t xml:space="preserve"> and funding proposals</w:t>
      </w:r>
      <w:bookmarkEnd w:id="20"/>
    </w:p>
    <w:p w14:paraId="7023837F" w14:textId="5F52A0F4" w:rsidR="00DE46D0" w:rsidRDefault="00C81471" w:rsidP="00DE46D0">
      <w:r>
        <w:t>Entities</w:t>
      </w:r>
      <w:r w:rsidR="00DE46D0" w:rsidRPr="00874E95">
        <w:t xml:space="preserve"> are often at the </w:t>
      </w:r>
      <w:r w:rsidR="00DE46D0">
        <w:t>front-end</w:t>
      </w:r>
      <w:r w:rsidR="00DE46D0" w:rsidRPr="00874E95">
        <w:t xml:space="preserve"> of policy implementation and their operations can be directly impacted by funding and budget decisions. </w:t>
      </w:r>
      <w:r w:rsidR="00DE46D0">
        <w:t>T</w:t>
      </w:r>
      <w:r w:rsidR="00DE46D0" w:rsidRPr="00874E95">
        <w:t xml:space="preserve">he contribution of </w:t>
      </w:r>
      <w:r>
        <w:t>entities</w:t>
      </w:r>
      <w:r w:rsidR="00DE46D0" w:rsidRPr="00874E95">
        <w:t xml:space="preserve"> is </w:t>
      </w:r>
      <w:r w:rsidR="00DE46D0">
        <w:t xml:space="preserve">therefore </w:t>
      </w:r>
      <w:r w:rsidR="00DE46D0" w:rsidRPr="00874E95">
        <w:t>vital to generating the best policy and investment proposals and outcomes.</w:t>
      </w:r>
    </w:p>
    <w:p w14:paraId="1D789CB8" w14:textId="20EF118C" w:rsidR="00DE46D0" w:rsidRDefault="00C81471" w:rsidP="00DE46D0">
      <w:r>
        <w:t>Entity</w:t>
      </w:r>
      <w:r w:rsidR="00DE46D0" w:rsidRPr="00E37ACD">
        <w:t xml:space="preserve"> proposals seek</w:t>
      </w:r>
      <w:r w:rsidR="00DE46D0">
        <w:t>ing</w:t>
      </w:r>
      <w:r w:rsidR="00DE46D0" w:rsidRPr="00E37ACD">
        <w:t xml:space="preserve"> additional budget or other funding</w:t>
      </w:r>
      <w:r w:rsidR="00DE46D0">
        <w:t xml:space="preserve"> </w:t>
      </w:r>
      <w:r w:rsidR="00DE46D0" w:rsidRPr="00E37ACD">
        <w:t xml:space="preserve">need to be raised with </w:t>
      </w:r>
      <w:r w:rsidR="00DE46D0">
        <w:t xml:space="preserve">the department, </w:t>
      </w:r>
      <w:r w:rsidR="00DE46D0" w:rsidRPr="00E37ACD">
        <w:t>with as much advance notice as possible</w:t>
      </w:r>
      <w:r w:rsidR="00DE46D0">
        <w:t>,</w:t>
      </w:r>
      <w:r w:rsidR="00DE46D0" w:rsidRPr="00E37ACD">
        <w:t xml:space="preserve"> to allow a coordinated approach across portfolios.</w:t>
      </w:r>
      <w:r w:rsidR="00DE46D0">
        <w:t xml:space="preserve"> </w:t>
      </w:r>
      <w:r>
        <w:t>Entities</w:t>
      </w:r>
      <w:r w:rsidR="00DE46D0" w:rsidRPr="00E37ACD">
        <w:t xml:space="preserve"> </w:t>
      </w:r>
      <w:r w:rsidR="00DE46D0">
        <w:t xml:space="preserve">should </w:t>
      </w:r>
      <w:r w:rsidR="00DE46D0" w:rsidRPr="00E37ACD">
        <w:t xml:space="preserve">consult with </w:t>
      </w:r>
      <w:r w:rsidR="00DE46D0">
        <w:t xml:space="preserve">the department </w:t>
      </w:r>
      <w:r w:rsidR="00DE46D0" w:rsidRPr="00E37ACD">
        <w:t>regarding any proposals to raise fees or charges</w:t>
      </w:r>
      <w:r w:rsidR="00DE46D0">
        <w:t>,</w:t>
      </w:r>
      <w:r w:rsidR="00DE46D0" w:rsidRPr="00E37ACD">
        <w:t xml:space="preserve"> prior to submitting proposal</w:t>
      </w:r>
      <w:r w:rsidR="00DE46D0">
        <w:t>s</w:t>
      </w:r>
      <w:r w:rsidR="00DE46D0" w:rsidRPr="00E37ACD">
        <w:t xml:space="preserve"> </w:t>
      </w:r>
      <w:r w:rsidR="00DE46D0">
        <w:t>for</w:t>
      </w:r>
      <w:r w:rsidR="00DE46D0" w:rsidRPr="00E37ACD">
        <w:t xml:space="preserve"> </w:t>
      </w:r>
      <w:r w:rsidR="00D741B0">
        <w:t>ministerial/</w:t>
      </w:r>
      <w:r w:rsidR="00423B25">
        <w:t xml:space="preserve"> </w:t>
      </w:r>
      <w:r w:rsidR="00D741B0">
        <w:t>government</w:t>
      </w:r>
      <w:r w:rsidR="00DE46D0" w:rsidRPr="00E37ACD">
        <w:t xml:space="preserve"> approval.</w:t>
      </w:r>
    </w:p>
    <w:p w14:paraId="372102CE" w14:textId="145A63B0" w:rsidR="00DE46D0" w:rsidRDefault="00DE46D0" w:rsidP="00DE46D0">
      <w:r>
        <w:t xml:space="preserve">DTF </w:t>
      </w:r>
      <w:r w:rsidRPr="00E37ACD">
        <w:t xml:space="preserve">requires </w:t>
      </w:r>
      <w:r w:rsidRPr="00086754">
        <w:t>public non-financial corporation</w:t>
      </w:r>
      <w:r>
        <w:t>s</w:t>
      </w:r>
      <w:r w:rsidRPr="00086754">
        <w:t xml:space="preserve"> </w:t>
      </w:r>
      <w:r>
        <w:t>(</w:t>
      </w:r>
      <w:r w:rsidRPr="00E37ACD">
        <w:t>PNFCs</w:t>
      </w:r>
      <w:r>
        <w:t>)</w:t>
      </w:r>
      <w:r w:rsidRPr="00E37ACD">
        <w:t xml:space="preserve"> to provide business cases for capital expenditure for the </w:t>
      </w:r>
      <w:r w:rsidR="00461673">
        <w:t>T</w:t>
      </w:r>
      <w:r w:rsidRPr="00E37ACD">
        <w:t xml:space="preserve">reasurer's (and therefore implicitly the </w:t>
      </w:r>
      <w:r w:rsidR="00A603AE">
        <w:t>m</w:t>
      </w:r>
      <w:r w:rsidRPr="00E37ACD">
        <w:t>inister's) approval before the project commences</w:t>
      </w:r>
      <w:r>
        <w:t xml:space="preserve">, as </w:t>
      </w:r>
      <w:r w:rsidR="005F6E38">
        <w:t>stipulated</w:t>
      </w:r>
      <w:r>
        <w:t xml:space="preserve"> in DTF’s</w:t>
      </w:r>
      <w:r w:rsidRPr="00473670">
        <w:t xml:space="preserve"> </w:t>
      </w:r>
      <w:r w:rsidRPr="009006C2">
        <w:rPr>
          <w:i/>
        </w:rPr>
        <w:t>Cor</w:t>
      </w:r>
      <w:r w:rsidRPr="00C43730">
        <w:rPr>
          <w:i/>
        </w:rPr>
        <w:t>p</w:t>
      </w:r>
      <w:r w:rsidRPr="00473670">
        <w:rPr>
          <w:i/>
        </w:rPr>
        <w:t>orate planning and performance reporting requirements</w:t>
      </w:r>
      <w:r w:rsidRPr="00E37ACD">
        <w:t xml:space="preserve">. </w:t>
      </w:r>
    </w:p>
    <w:p w14:paraId="08756903" w14:textId="104CFEB9" w:rsidR="00DE46D0" w:rsidRDefault="00C81471" w:rsidP="00DE46D0">
      <w:r>
        <w:t>Entities</w:t>
      </w:r>
      <w:r w:rsidR="00DE46D0" w:rsidRPr="00E37ACD">
        <w:t xml:space="preserve"> should engage with </w:t>
      </w:r>
      <w:r w:rsidR="00DE46D0">
        <w:t xml:space="preserve">the </w:t>
      </w:r>
      <w:r w:rsidR="0091352E">
        <w:t xml:space="preserve">department </w:t>
      </w:r>
      <w:r w:rsidR="0091352E" w:rsidRPr="00E37ACD">
        <w:t>when</w:t>
      </w:r>
      <w:r w:rsidR="00DE46D0">
        <w:t xml:space="preserve"> developing</w:t>
      </w:r>
      <w:r w:rsidR="00DE46D0" w:rsidRPr="00E37ACD">
        <w:t xml:space="preserve"> budget and funding proposals </w:t>
      </w:r>
      <w:r w:rsidR="00FF14D5">
        <w:t xml:space="preserve">(including </w:t>
      </w:r>
      <w:r w:rsidR="00C31BE3">
        <w:t xml:space="preserve">requests for Treasurer’s Advance) </w:t>
      </w:r>
      <w:r w:rsidR="00DE46D0">
        <w:t xml:space="preserve">that </w:t>
      </w:r>
      <w:r w:rsidR="00DE46D0" w:rsidRPr="00E37ACD">
        <w:t>requir</w:t>
      </w:r>
      <w:r w:rsidR="00DE46D0">
        <w:t xml:space="preserve">e </w:t>
      </w:r>
      <w:r w:rsidR="00DE46D0" w:rsidRPr="00E37ACD">
        <w:t>DTF input and</w:t>
      </w:r>
      <w:r w:rsidR="00DE46D0">
        <w:t>/or</w:t>
      </w:r>
      <w:r w:rsidR="00DE46D0" w:rsidRPr="00E37ACD">
        <w:t xml:space="preserve"> </w:t>
      </w:r>
      <w:r w:rsidR="002B6952">
        <w:t>c</w:t>
      </w:r>
      <w:r w:rsidR="00DE46D0" w:rsidRPr="00E37ACD">
        <w:t>abinet</w:t>
      </w:r>
      <w:r w:rsidR="00DE46D0">
        <w:t xml:space="preserve"> approval.</w:t>
      </w:r>
      <w:r w:rsidR="00DE46D0" w:rsidRPr="00E37ACD">
        <w:t xml:space="preserve"> </w:t>
      </w:r>
      <w:r w:rsidR="00DE46D0">
        <w:t>The department will</w:t>
      </w:r>
      <w:r w:rsidR="00DE46D0" w:rsidRPr="00E37ACD">
        <w:t xml:space="preserve"> provide </w:t>
      </w:r>
      <w:r w:rsidR="00E21A25" w:rsidRPr="00E37ACD">
        <w:t>advice</w:t>
      </w:r>
      <w:r w:rsidR="00E21A25">
        <w:t>, support and coordinate</w:t>
      </w:r>
      <w:r w:rsidR="00DE46D0" w:rsidRPr="00E37ACD">
        <w:t xml:space="preserve"> the </w:t>
      </w:r>
      <w:r w:rsidR="00E21A25" w:rsidRPr="00E37ACD">
        <w:t xml:space="preserve">submission </w:t>
      </w:r>
      <w:r w:rsidR="00E21A25">
        <w:t>of</w:t>
      </w:r>
      <w:r w:rsidR="00E21A25" w:rsidRPr="00E37ACD">
        <w:t xml:space="preserve"> </w:t>
      </w:r>
      <w:r w:rsidR="00DE46D0" w:rsidRPr="00E37ACD">
        <w:t xml:space="preserve">proposals </w:t>
      </w:r>
      <w:r w:rsidR="00E21A25">
        <w:t xml:space="preserve">to </w:t>
      </w:r>
      <w:r w:rsidR="00DE46D0">
        <w:t xml:space="preserve">DTF for </w:t>
      </w:r>
      <w:r w:rsidR="002B6952">
        <w:t>c</w:t>
      </w:r>
      <w:r w:rsidR="00DE46D0">
        <w:t xml:space="preserve">abinet consideration </w:t>
      </w:r>
      <w:r w:rsidR="00024741">
        <w:t>as</w:t>
      </w:r>
      <w:r w:rsidR="00DE46D0">
        <w:t xml:space="preserve"> and when required</w:t>
      </w:r>
      <w:r w:rsidR="00DE46D0" w:rsidRPr="00E37ACD">
        <w:t>.</w:t>
      </w:r>
    </w:p>
    <w:p w14:paraId="1B4A5935" w14:textId="571EC9AE" w:rsidR="00DE46D0" w:rsidRDefault="00C81471" w:rsidP="00DE46D0">
      <w:r>
        <w:t>Entities</w:t>
      </w:r>
      <w:r w:rsidR="00DE46D0" w:rsidRPr="00E37ACD">
        <w:t xml:space="preserve"> will provide </w:t>
      </w:r>
      <w:r w:rsidR="00DE46D0">
        <w:t>the department</w:t>
      </w:r>
      <w:r w:rsidR="00DE46D0" w:rsidRPr="00E37ACD">
        <w:t xml:space="preserve"> with the</w:t>
      </w:r>
      <w:r w:rsidR="00DE46D0">
        <w:t xml:space="preserve"> necessary information </w:t>
      </w:r>
      <w:r w:rsidR="00EF5B85">
        <w:t>to acquit</w:t>
      </w:r>
      <w:r w:rsidR="00DE46D0">
        <w:t xml:space="preserve"> DTF</w:t>
      </w:r>
      <w:r w:rsidR="00DE46D0" w:rsidRPr="00E37ACD">
        <w:t xml:space="preserve"> </w:t>
      </w:r>
      <w:r w:rsidR="00DE46D0">
        <w:t>requirements</w:t>
      </w:r>
      <w:r w:rsidR="00DE46D0" w:rsidRPr="00E37ACD">
        <w:t xml:space="preserve"> on invest</w:t>
      </w:r>
      <w:r w:rsidR="00DE46D0">
        <w:t xml:space="preserve">ment </w:t>
      </w:r>
      <w:r w:rsidR="00DE46D0" w:rsidRPr="00E37ACD">
        <w:t>management standard</w:t>
      </w:r>
      <w:r w:rsidR="001A617A">
        <w:t>s</w:t>
      </w:r>
      <w:r w:rsidR="00DE46D0">
        <w:t xml:space="preserve"> and</w:t>
      </w:r>
      <w:r w:rsidR="00DE46D0" w:rsidRPr="00E37ACD">
        <w:t xml:space="preserve"> investment lifecycle </w:t>
      </w:r>
      <w:r w:rsidR="001A617A">
        <w:t xml:space="preserve">management </w:t>
      </w:r>
      <w:r w:rsidR="00DE46D0" w:rsidRPr="00E37ACD">
        <w:t xml:space="preserve">(to </w:t>
      </w:r>
      <w:r w:rsidR="009A5565" w:rsidRPr="00E37ACD">
        <w:t>conceptuali</w:t>
      </w:r>
      <w:r w:rsidR="00B80150">
        <w:t>s</w:t>
      </w:r>
      <w:r w:rsidR="009A5565" w:rsidRPr="00E37ACD">
        <w:t>e</w:t>
      </w:r>
      <w:r w:rsidR="00DE46D0" w:rsidRPr="00E37ACD">
        <w:t>, prove, procure, implement and realise).</w:t>
      </w:r>
    </w:p>
    <w:p w14:paraId="0E4CF3D0" w14:textId="1147368A" w:rsidR="00DE46D0" w:rsidRDefault="00DE46D0" w:rsidP="00DE46D0">
      <w:r w:rsidRPr="007B2B14">
        <w:t xml:space="preserve">DTF’s </w:t>
      </w:r>
      <w:hyperlink r:id="rId26" w:history="1">
        <w:r w:rsidRPr="00E319C6">
          <w:rPr>
            <w:rStyle w:val="Hyperlink"/>
            <w:i/>
          </w:rPr>
          <w:t xml:space="preserve">High Value High Risk </w:t>
        </w:r>
        <w:r w:rsidR="00E319C6" w:rsidRPr="00E319C6">
          <w:rPr>
            <w:rStyle w:val="Hyperlink"/>
            <w:i/>
          </w:rPr>
          <w:t>Framework</w:t>
        </w:r>
      </w:hyperlink>
      <w:r w:rsidR="00E319C6">
        <w:t xml:space="preserve"> </w:t>
      </w:r>
      <w:r>
        <w:t>need</w:t>
      </w:r>
      <w:r w:rsidR="000B40B4">
        <w:t>s</w:t>
      </w:r>
      <w:r>
        <w:t xml:space="preserve"> to</w:t>
      </w:r>
      <w:r w:rsidRPr="00E37ACD">
        <w:t xml:space="preserve"> be followed for </w:t>
      </w:r>
      <w:r>
        <w:t>budget-funded projects t</w:t>
      </w:r>
      <w:r w:rsidRPr="00E37ACD">
        <w:t>hat are:</w:t>
      </w:r>
    </w:p>
    <w:p w14:paraId="393236D3" w14:textId="04BD7F1D" w:rsidR="00DE46D0" w:rsidRPr="00DE46D0" w:rsidRDefault="00DE46D0" w:rsidP="007B76F0">
      <w:pPr>
        <w:pStyle w:val="ListBullet"/>
        <w:numPr>
          <w:ilvl w:val="0"/>
          <w:numId w:val="11"/>
        </w:numPr>
        <w:rPr>
          <w:color w:val="auto"/>
        </w:rPr>
      </w:pPr>
      <w:r w:rsidRPr="00DE46D0">
        <w:rPr>
          <w:color w:val="auto"/>
        </w:rPr>
        <w:t>considered high risk using DTF’s risk assessment tool</w:t>
      </w:r>
      <w:r w:rsidR="00CF633C">
        <w:rPr>
          <w:color w:val="auto"/>
        </w:rPr>
        <w:t>,</w:t>
      </w:r>
      <w:r w:rsidRPr="00DE46D0">
        <w:rPr>
          <w:color w:val="auto"/>
        </w:rPr>
        <w:t xml:space="preserve"> the Project Profile Model (PPM)</w:t>
      </w:r>
    </w:p>
    <w:p w14:paraId="566E0256" w14:textId="77777777" w:rsidR="00DE46D0" w:rsidRPr="00DE46D0" w:rsidRDefault="00DE46D0" w:rsidP="007B76F0">
      <w:pPr>
        <w:pStyle w:val="ListBullet"/>
        <w:numPr>
          <w:ilvl w:val="0"/>
          <w:numId w:val="11"/>
        </w:numPr>
        <w:rPr>
          <w:color w:val="auto"/>
        </w:rPr>
      </w:pPr>
      <w:r w:rsidRPr="00DE46D0">
        <w:rPr>
          <w:color w:val="auto"/>
        </w:rPr>
        <w:t>considered medium risk using the PPM and has a total estimated investment (TEI) of between $100 million and $250 million</w:t>
      </w:r>
    </w:p>
    <w:p w14:paraId="555C743C" w14:textId="562573B2" w:rsidR="00DE46D0" w:rsidRPr="00DE46D0" w:rsidRDefault="00213CDB" w:rsidP="007B76F0">
      <w:pPr>
        <w:pStyle w:val="ListBullet"/>
        <w:numPr>
          <w:ilvl w:val="0"/>
          <w:numId w:val="11"/>
        </w:numPr>
        <w:rPr>
          <w:color w:val="auto"/>
        </w:rPr>
      </w:pPr>
      <w:r>
        <w:rPr>
          <w:color w:val="auto"/>
        </w:rPr>
        <w:t>considered low ris</w:t>
      </w:r>
      <w:r w:rsidR="007E7D08">
        <w:rPr>
          <w:color w:val="auto"/>
        </w:rPr>
        <w:t>k</w:t>
      </w:r>
      <w:r>
        <w:rPr>
          <w:color w:val="auto"/>
        </w:rPr>
        <w:t xml:space="preserve"> using the PPM but </w:t>
      </w:r>
      <w:r w:rsidR="00DE46D0" w:rsidRPr="00DE46D0">
        <w:rPr>
          <w:color w:val="auto"/>
        </w:rPr>
        <w:t>has a TEI over $250 million</w:t>
      </w:r>
    </w:p>
    <w:p w14:paraId="56E3F737" w14:textId="6059C7E0" w:rsidR="00DE46D0" w:rsidRPr="00DE46D0" w:rsidRDefault="00DE46D0" w:rsidP="007B76F0">
      <w:pPr>
        <w:pStyle w:val="ListBullet"/>
        <w:numPr>
          <w:ilvl w:val="0"/>
          <w:numId w:val="11"/>
        </w:numPr>
        <w:rPr>
          <w:color w:val="auto"/>
        </w:rPr>
      </w:pPr>
      <w:r w:rsidRPr="00DE46D0">
        <w:rPr>
          <w:color w:val="auto"/>
        </w:rPr>
        <w:t xml:space="preserve">identified by </w:t>
      </w:r>
      <w:r w:rsidR="009232B6">
        <w:rPr>
          <w:color w:val="auto"/>
        </w:rPr>
        <w:t>the g</w:t>
      </w:r>
      <w:r w:rsidRPr="00DE46D0">
        <w:rPr>
          <w:color w:val="auto"/>
        </w:rPr>
        <w:t>overnment as warranting the rigour applied to high value high risk (HVHR) investments.</w:t>
      </w:r>
    </w:p>
    <w:p w14:paraId="363FBFB0" w14:textId="2DB4FBB9" w:rsidR="00E07564" w:rsidRDefault="00E07564" w:rsidP="00E07564">
      <w:pPr>
        <w:pStyle w:val="Heading3"/>
      </w:pPr>
      <w:bookmarkStart w:id="21" w:name="_Toc164067841"/>
      <w:r>
        <w:t>5.1.6</w:t>
      </w:r>
      <w:r>
        <w:tab/>
        <w:t>Procurement</w:t>
      </w:r>
      <w:bookmarkEnd w:id="21"/>
    </w:p>
    <w:p w14:paraId="41DF0518" w14:textId="031AC8C3" w:rsidR="00AE0097" w:rsidRPr="00A13D3F" w:rsidRDefault="00AE0097" w:rsidP="00AE0097">
      <w:r w:rsidRPr="00A13D3F">
        <w:t>The Victorian Government Purchasing Board (VGPB)</w:t>
      </w:r>
      <w:r w:rsidR="00A547DA">
        <w:t>,</w:t>
      </w:r>
      <w:r w:rsidRPr="00A13D3F">
        <w:t xml:space="preserve"> established under the FMA</w:t>
      </w:r>
      <w:r w:rsidR="00094202">
        <w:t>,</w:t>
      </w:r>
      <w:r>
        <w:t xml:space="preserve"> </w:t>
      </w:r>
      <w:r w:rsidRPr="00A13D3F">
        <w:t xml:space="preserve">covers end-to-end procurement activity </w:t>
      </w:r>
      <w:r>
        <w:t xml:space="preserve">for </w:t>
      </w:r>
      <w:r w:rsidRPr="00063569">
        <w:t>non-construction goods and services</w:t>
      </w:r>
      <w:r w:rsidRPr="00A13D3F">
        <w:t xml:space="preserve"> from identifying needs, forward planning and market research through to contract management. The VGPB procurement policy framework recognises procurement as a core business function, using a complexity and risk</w:t>
      </w:r>
      <w:r>
        <w:t>-</w:t>
      </w:r>
      <w:r w:rsidRPr="00A13D3F">
        <w:t>based model.</w:t>
      </w:r>
    </w:p>
    <w:p w14:paraId="23D33BD8" w14:textId="0B6ADCE5" w:rsidR="00AE0097" w:rsidRPr="00A13D3F" w:rsidRDefault="00AE0097" w:rsidP="00AE0097">
      <w:r w:rsidRPr="00A13D3F">
        <w:t xml:space="preserve">Adherence to the VGPB procurement policy framework ensures that the procurement process is undertaken with integrity, accountability and in the interests of achieving value for money. There are four broad directives or principles which underpin the VGPB procurement policy framework and form the basis on which </w:t>
      </w:r>
      <w:r w:rsidR="00C81471">
        <w:t>entities</w:t>
      </w:r>
      <w:r w:rsidRPr="00A13D3F">
        <w:t xml:space="preserve"> should undertake procurement: </w:t>
      </w:r>
    </w:p>
    <w:p w14:paraId="79AB8F67" w14:textId="77777777" w:rsidR="00AE0097" w:rsidRPr="00ED3AEE" w:rsidRDefault="00AE0097" w:rsidP="007B76F0">
      <w:pPr>
        <w:pStyle w:val="ListBullet"/>
        <w:numPr>
          <w:ilvl w:val="0"/>
          <w:numId w:val="10"/>
        </w:numPr>
        <w:rPr>
          <w:b/>
          <w:color w:val="auto"/>
        </w:rPr>
      </w:pPr>
      <w:r w:rsidRPr="00ED3AEE">
        <w:rPr>
          <w:b/>
          <w:color w:val="auto"/>
        </w:rPr>
        <w:t>Value for Money:</w:t>
      </w:r>
      <w:r w:rsidRPr="00ED3AEE">
        <w:rPr>
          <w:color w:val="auto"/>
        </w:rPr>
        <w:t xml:space="preserve"> The achievement of a desired procurement outcome at the best possible price, based on a balanced judgement of both financial and non-financial factors.</w:t>
      </w:r>
    </w:p>
    <w:p w14:paraId="45A95CA0" w14:textId="77777777" w:rsidR="00AE0097" w:rsidRPr="00ED3AEE" w:rsidRDefault="00AE0097" w:rsidP="007B76F0">
      <w:pPr>
        <w:pStyle w:val="ListBullet"/>
        <w:numPr>
          <w:ilvl w:val="0"/>
          <w:numId w:val="10"/>
        </w:numPr>
        <w:rPr>
          <w:b/>
          <w:color w:val="auto"/>
        </w:rPr>
      </w:pPr>
      <w:r w:rsidRPr="00ED3AEE">
        <w:rPr>
          <w:b/>
          <w:color w:val="auto"/>
        </w:rPr>
        <w:lastRenderedPageBreak/>
        <w:t>Probity</w:t>
      </w:r>
      <w:r w:rsidRPr="00ED3AEE">
        <w:rPr>
          <w:color w:val="auto"/>
        </w:rPr>
        <w:t>: Probity requires high standards of behaviour and actions in the conduct of the procurement process. Key elements of probity include equity, confidentiality, avoiding conflicts of interest, and ensuring confidence in the integrity of government procurement processes. </w:t>
      </w:r>
    </w:p>
    <w:p w14:paraId="0D5349DC" w14:textId="052F88CF" w:rsidR="00AE0097" w:rsidRPr="00ED3AEE" w:rsidRDefault="00AE0097" w:rsidP="007B76F0">
      <w:pPr>
        <w:pStyle w:val="ListBullet"/>
        <w:numPr>
          <w:ilvl w:val="0"/>
          <w:numId w:val="10"/>
        </w:numPr>
        <w:rPr>
          <w:color w:val="auto"/>
        </w:rPr>
      </w:pPr>
      <w:r w:rsidRPr="00ED3AEE">
        <w:rPr>
          <w:b/>
          <w:color w:val="auto"/>
        </w:rPr>
        <w:t>Accountability:</w:t>
      </w:r>
      <w:r w:rsidRPr="00ED3AEE">
        <w:rPr>
          <w:color w:val="auto"/>
        </w:rPr>
        <w:t xml:space="preserve"> The VGPB framework requires that </w:t>
      </w:r>
      <w:r w:rsidR="00C81471">
        <w:rPr>
          <w:color w:val="auto"/>
        </w:rPr>
        <w:t>entities</w:t>
      </w:r>
      <w:r w:rsidRPr="00ED3AEE">
        <w:rPr>
          <w:color w:val="auto"/>
        </w:rPr>
        <w:t xml:space="preserve"> have an </w:t>
      </w:r>
      <w:r w:rsidR="004A2B66">
        <w:rPr>
          <w:color w:val="auto"/>
        </w:rPr>
        <w:t>a</w:t>
      </w:r>
      <w:r w:rsidRPr="00ED3AEE">
        <w:rPr>
          <w:color w:val="auto"/>
        </w:rPr>
        <w:t xml:space="preserve">ccountable </w:t>
      </w:r>
      <w:r w:rsidR="004A2B66">
        <w:rPr>
          <w:color w:val="auto"/>
        </w:rPr>
        <w:t>o</w:t>
      </w:r>
      <w:r w:rsidRPr="00ED3AEE">
        <w:rPr>
          <w:color w:val="auto"/>
        </w:rPr>
        <w:t xml:space="preserve">fficer capable of conducting procurement activities using appropriate capability to provide value for money outcomes. The </w:t>
      </w:r>
      <w:r w:rsidR="004A2B66">
        <w:rPr>
          <w:color w:val="auto"/>
        </w:rPr>
        <w:t>a</w:t>
      </w:r>
      <w:r w:rsidRPr="00ED3AEE">
        <w:rPr>
          <w:color w:val="auto"/>
        </w:rPr>
        <w:t xml:space="preserve">ccountable </w:t>
      </w:r>
      <w:r w:rsidR="004A2B66">
        <w:rPr>
          <w:color w:val="auto"/>
        </w:rPr>
        <w:t>o</w:t>
      </w:r>
      <w:r w:rsidRPr="00ED3AEE">
        <w:rPr>
          <w:color w:val="auto"/>
        </w:rPr>
        <w:t xml:space="preserve">fficer will establish the broader procurement governance framework and is accountable for implementation. An </w:t>
      </w:r>
      <w:r w:rsidR="004A2B66">
        <w:rPr>
          <w:color w:val="auto"/>
        </w:rPr>
        <w:t>a</w:t>
      </w:r>
      <w:r w:rsidRPr="00ED3AEE">
        <w:rPr>
          <w:color w:val="auto"/>
        </w:rPr>
        <w:t xml:space="preserve">ccountable </w:t>
      </w:r>
      <w:r w:rsidR="004A2B66">
        <w:rPr>
          <w:color w:val="auto"/>
        </w:rPr>
        <w:t>o</w:t>
      </w:r>
      <w:r w:rsidRPr="00ED3AEE">
        <w:rPr>
          <w:color w:val="auto"/>
        </w:rPr>
        <w:t xml:space="preserve">fficer will establish a </w:t>
      </w:r>
      <w:r w:rsidR="004A2B66">
        <w:rPr>
          <w:color w:val="auto"/>
        </w:rPr>
        <w:t>c</w:t>
      </w:r>
      <w:r w:rsidRPr="00ED3AEE">
        <w:rPr>
          <w:color w:val="auto"/>
        </w:rPr>
        <w:t xml:space="preserve">hief </w:t>
      </w:r>
      <w:r w:rsidR="004A2B66">
        <w:rPr>
          <w:color w:val="auto"/>
        </w:rPr>
        <w:t>p</w:t>
      </w:r>
      <w:r w:rsidRPr="00ED3AEE">
        <w:rPr>
          <w:color w:val="auto"/>
        </w:rPr>
        <w:t xml:space="preserve">rocurement </w:t>
      </w:r>
      <w:r w:rsidR="004A2B66">
        <w:rPr>
          <w:color w:val="auto"/>
        </w:rPr>
        <w:t>o</w:t>
      </w:r>
      <w:r w:rsidRPr="00ED3AEE">
        <w:rPr>
          <w:color w:val="auto"/>
        </w:rPr>
        <w:t>fficer and an internal procurement unit where necessary.</w:t>
      </w:r>
    </w:p>
    <w:p w14:paraId="1866C1E5" w14:textId="73B2D279" w:rsidR="009B11C6" w:rsidRPr="00ED3AEE" w:rsidRDefault="009B11C6" w:rsidP="007B76F0">
      <w:pPr>
        <w:pStyle w:val="ListBullet"/>
        <w:numPr>
          <w:ilvl w:val="0"/>
          <w:numId w:val="10"/>
        </w:numPr>
        <w:rPr>
          <w:color w:val="auto"/>
        </w:rPr>
      </w:pPr>
      <w:r w:rsidRPr="00ED3AEE">
        <w:rPr>
          <w:b/>
          <w:color w:val="auto"/>
        </w:rPr>
        <w:t xml:space="preserve">Scalability: </w:t>
      </w:r>
      <w:r w:rsidRPr="00ED3AEE">
        <w:rPr>
          <w:color w:val="auto"/>
          <w:lang w:val="en"/>
        </w:rPr>
        <w:t xml:space="preserve">Scalability is the relationship between the complexity of a procurement project and the capability of the </w:t>
      </w:r>
      <w:r w:rsidR="00C81471">
        <w:rPr>
          <w:color w:val="auto"/>
          <w:lang w:val="en"/>
        </w:rPr>
        <w:t>entity</w:t>
      </w:r>
      <w:r w:rsidRPr="00ED3AEE">
        <w:rPr>
          <w:color w:val="auto"/>
          <w:lang w:val="en"/>
        </w:rPr>
        <w:t xml:space="preserve"> to conduct it to achieve a good procurement outcome. </w:t>
      </w:r>
    </w:p>
    <w:p w14:paraId="17D41649" w14:textId="7DA93A03" w:rsidR="00174DAE" w:rsidRDefault="00174DAE" w:rsidP="009B11C6">
      <w:r w:rsidRPr="009C7641">
        <w:t>Specifi</w:t>
      </w:r>
      <w:r w:rsidR="00F21732" w:rsidRPr="009C7641">
        <w:t>ed</w:t>
      </w:r>
      <w:r w:rsidRPr="009C7641">
        <w:t xml:space="preserve"> </w:t>
      </w:r>
      <w:r w:rsidR="000F100E">
        <w:t>department</w:t>
      </w:r>
      <w:r w:rsidRPr="009C7641">
        <w:t xml:space="preserve"> entities are required to comply with the VGPB framework</w:t>
      </w:r>
      <w:r w:rsidR="00277A4C">
        <w:t>;</w:t>
      </w:r>
      <w:r w:rsidRPr="009C7641">
        <w:t xml:space="preserve"> however, all</w:t>
      </w:r>
      <w:r w:rsidR="009B11C6" w:rsidRPr="00F21732">
        <w:t xml:space="preserve"> </w:t>
      </w:r>
      <w:r w:rsidR="00C81471" w:rsidRPr="00F21732">
        <w:t>entities</w:t>
      </w:r>
      <w:r w:rsidR="009B11C6" w:rsidRPr="00F21732">
        <w:t xml:space="preserve"> are encouraged to align with the framework as a matter of best practice</w:t>
      </w:r>
      <w:r w:rsidRPr="009C7641">
        <w:t>.</w:t>
      </w:r>
    </w:p>
    <w:p w14:paraId="2C3BA066" w14:textId="616B22BA" w:rsidR="009B11C6" w:rsidRPr="003E5A5F" w:rsidRDefault="00C81471" w:rsidP="009B11C6">
      <w:r>
        <w:t>Entities</w:t>
      </w:r>
      <w:r w:rsidR="009B11C6" w:rsidRPr="003E5A5F">
        <w:t xml:space="preserve"> should </w:t>
      </w:r>
      <w:r w:rsidR="009B11C6">
        <w:t xml:space="preserve">also </w:t>
      </w:r>
      <w:r w:rsidR="009B11C6" w:rsidRPr="003E5A5F">
        <w:t xml:space="preserve">consider procurement requirements that exist beyond the VGPB, such as relevant Australian Standards and requirements for public construction under the </w:t>
      </w:r>
      <w:r w:rsidR="009B11C6" w:rsidRPr="003E5A5F">
        <w:rPr>
          <w:i/>
        </w:rPr>
        <w:t>Project Development and Construction Management Act 1994</w:t>
      </w:r>
      <w:r w:rsidR="009B11C6" w:rsidRPr="003E5A5F">
        <w:t>.</w:t>
      </w:r>
      <w:r w:rsidR="00CC7AFE">
        <w:t xml:space="preserve"> </w:t>
      </w:r>
      <w:r w:rsidR="009B11C6">
        <w:t xml:space="preserve">For further information and advice, contact your nominated department relationship manager. </w:t>
      </w:r>
    </w:p>
    <w:p w14:paraId="37C6456C" w14:textId="12E22832" w:rsidR="009B11C6" w:rsidRDefault="009B11C6" w:rsidP="009B11C6">
      <w:pPr>
        <w:pStyle w:val="Heading3"/>
      </w:pPr>
      <w:bookmarkStart w:id="22" w:name="_Toc164067842"/>
      <w:r>
        <w:t>5.1.7</w:t>
      </w:r>
      <w:r>
        <w:tab/>
      </w:r>
      <w:r w:rsidR="004948A9">
        <w:t>Service Level Agreements (SLA)</w:t>
      </w:r>
      <w:bookmarkEnd w:id="22"/>
    </w:p>
    <w:p w14:paraId="1A5DBDDB" w14:textId="5CE85F0B" w:rsidR="000B46A5" w:rsidRDefault="000B46A5" w:rsidP="000B46A5">
      <w:r>
        <w:t>Service Level A</w:t>
      </w:r>
      <w:r w:rsidRPr="00B37EA9">
        <w:t>greement</w:t>
      </w:r>
      <w:r>
        <w:t>s</w:t>
      </w:r>
      <w:r w:rsidRPr="00B37EA9">
        <w:t xml:space="preserve"> (SLA)</w:t>
      </w:r>
      <w:r>
        <w:t xml:space="preserve"> may be </w:t>
      </w:r>
      <w:r w:rsidRPr="00B37EA9">
        <w:t xml:space="preserve">required </w:t>
      </w:r>
      <w:r>
        <w:t>where the department</w:t>
      </w:r>
      <w:r w:rsidRPr="00B37EA9">
        <w:t xml:space="preserve"> </w:t>
      </w:r>
      <w:r>
        <w:t xml:space="preserve">provides </w:t>
      </w:r>
      <w:r w:rsidRPr="00B37EA9">
        <w:t xml:space="preserve">services (i.e. legal support, finance, </w:t>
      </w:r>
      <w:r>
        <w:t xml:space="preserve">training, travel, </w:t>
      </w:r>
      <w:r w:rsidRPr="00B37EA9">
        <w:t xml:space="preserve">or </w:t>
      </w:r>
      <w:r>
        <w:t>payroll</w:t>
      </w:r>
      <w:r w:rsidRPr="00B37EA9">
        <w:t>)</w:t>
      </w:r>
      <w:r>
        <w:t xml:space="preserve"> to </w:t>
      </w:r>
      <w:r w:rsidR="00C81471">
        <w:t>entities</w:t>
      </w:r>
      <w:r>
        <w:t>.</w:t>
      </w:r>
    </w:p>
    <w:p w14:paraId="19494903" w14:textId="77777777" w:rsidR="000B46A5" w:rsidRDefault="000B46A5" w:rsidP="000B46A5">
      <w:r>
        <w:t>SLAs formalise the agreement between the two parties and set out a minimum level of service along with service standards, targets, costings and terms of payment for those services.</w:t>
      </w:r>
    </w:p>
    <w:p w14:paraId="2B82B263" w14:textId="61B4070D" w:rsidR="000B46A5" w:rsidRDefault="000B46A5" w:rsidP="000B46A5">
      <w:r w:rsidRPr="000845EB">
        <w:t>SLAs</w:t>
      </w:r>
      <w:r>
        <w:t xml:space="preserve"> </w:t>
      </w:r>
      <w:r w:rsidRPr="000845EB">
        <w:t>assist corporate services managers in improving their service relationships and establishing shared arrangements</w:t>
      </w:r>
      <w:r w:rsidR="000410AA">
        <w:t>, providing</w:t>
      </w:r>
      <w:r w:rsidRPr="000845EB">
        <w:t xml:space="preserve"> transparency</w:t>
      </w:r>
      <w:r>
        <w:t xml:space="preserve"> and</w:t>
      </w:r>
      <w:r w:rsidRPr="000845EB">
        <w:t xml:space="preserve"> </w:t>
      </w:r>
      <w:r>
        <w:t>giv</w:t>
      </w:r>
      <w:r w:rsidR="00733223">
        <w:t>ing</w:t>
      </w:r>
      <w:r w:rsidRPr="000845EB">
        <w:t xml:space="preserve"> the</w:t>
      </w:r>
      <w:r>
        <w:t xml:space="preserve"> </w:t>
      </w:r>
      <w:r w:rsidRPr="000845EB">
        <w:t>service provider an oppo</w:t>
      </w:r>
      <w:r>
        <w:t xml:space="preserve">rtunity to improve performance, </w:t>
      </w:r>
      <w:r w:rsidRPr="000845EB">
        <w:t>and</w:t>
      </w:r>
      <w:r>
        <w:t xml:space="preserve"> the </w:t>
      </w:r>
      <w:r w:rsidRPr="000845EB">
        <w:t>customer an opportunity to review priorities</w:t>
      </w:r>
      <w:r>
        <w:t>.</w:t>
      </w:r>
      <w:r w:rsidR="002917B3">
        <w:t xml:space="preserve"> With this in mind, SLAs should incorporate a clear framework for introducing revisions or </w:t>
      </w:r>
      <w:r w:rsidR="00626D4B">
        <w:t>modifications during the course of the contract.</w:t>
      </w:r>
    </w:p>
    <w:p w14:paraId="2D3F900A" w14:textId="356FC996" w:rsidR="000B46A5" w:rsidRDefault="000B46A5" w:rsidP="000B46A5">
      <w:pPr>
        <w:pStyle w:val="Heading3"/>
      </w:pPr>
      <w:bookmarkStart w:id="23" w:name="_Toc164067843"/>
      <w:r>
        <w:t>5.1.8</w:t>
      </w:r>
      <w:r>
        <w:tab/>
        <w:t>S</w:t>
      </w:r>
      <w:r w:rsidR="001D05B2">
        <w:t>tatement of Expectations</w:t>
      </w:r>
      <w:r w:rsidR="00733223">
        <w:t xml:space="preserve"> (SOE)</w:t>
      </w:r>
      <w:bookmarkEnd w:id="23"/>
    </w:p>
    <w:p w14:paraId="7724E8EB" w14:textId="0A438FEB" w:rsidR="007F61E6" w:rsidRDefault="007F61E6" w:rsidP="007F61E6">
      <w:r w:rsidRPr="007719A8">
        <w:t>The purpose of a Statement of Expectations</w:t>
      </w:r>
      <w:r>
        <w:t xml:space="preserve"> (SOE)</w:t>
      </w:r>
      <w:r w:rsidRPr="007719A8">
        <w:t xml:space="preserve"> is to establish clear expectations of </w:t>
      </w:r>
      <w:r w:rsidR="00C81471">
        <w:t>entity</w:t>
      </w:r>
      <w:r w:rsidRPr="007719A8">
        <w:t xml:space="preserve"> performance and improvement between responsible </w:t>
      </w:r>
      <w:r>
        <w:t>m</w:t>
      </w:r>
      <w:r w:rsidRPr="007719A8">
        <w:t xml:space="preserve">inisters and </w:t>
      </w:r>
      <w:r>
        <w:t xml:space="preserve">their </w:t>
      </w:r>
      <w:r w:rsidR="00C81471">
        <w:t>entities</w:t>
      </w:r>
      <w:r>
        <w:t>.</w:t>
      </w:r>
    </w:p>
    <w:p w14:paraId="5E087E73" w14:textId="5CF4E902" w:rsidR="007F61E6" w:rsidRDefault="007F61E6" w:rsidP="007F61E6">
      <w:r>
        <w:t>SOEs are not a mandatory requirement. However, a well-developed SOE is</w:t>
      </w:r>
      <w:r w:rsidRPr="007719A8">
        <w:t xml:space="preserve"> an opportunity for </w:t>
      </w:r>
      <w:r>
        <w:t>m</w:t>
      </w:r>
      <w:r w:rsidRPr="007719A8">
        <w:t xml:space="preserve">inisters to provide greater clarity about government directions and objectives relevant to an </w:t>
      </w:r>
      <w:r w:rsidR="00C81471">
        <w:t>entity</w:t>
      </w:r>
      <w:r w:rsidRPr="007719A8">
        <w:t xml:space="preserve">, policies it is expected to observe in conducting its operations and performance </w:t>
      </w:r>
      <w:r>
        <w:t xml:space="preserve">targets it is expected to meet. </w:t>
      </w:r>
    </w:p>
    <w:p w14:paraId="06E7DE05" w14:textId="6239B70C" w:rsidR="007F61E6" w:rsidRDefault="007F61E6" w:rsidP="007F61E6">
      <w:r w:rsidRPr="00B37EA9">
        <w:t xml:space="preserve">Where appropriate, </w:t>
      </w:r>
      <w:r>
        <w:t>the department</w:t>
      </w:r>
      <w:r w:rsidRPr="00B37EA9">
        <w:t xml:space="preserve"> will prepare a draft S</w:t>
      </w:r>
      <w:r>
        <w:t>O</w:t>
      </w:r>
      <w:r w:rsidRPr="00B37EA9">
        <w:t>E</w:t>
      </w:r>
      <w:r>
        <w:t>,</w:t>
      </w:r>
      <w:r w:rsidRPr="00B37EA9">
        <w:t xml:space="preserve"> in consultation with </w:t>
      </w:r>
      <w:r>
        <w:t xml:space="preserve">the </w:t>
      </w:r>
      <w:r w:rsidR="00C81471">
        <w:t>entity</w:t>
      </w:r>
      <w:r w:rsidRPr="00B37EA9">
        <w:t xml:space="preserve">, for </w:t>
      </w:r>
      <w:r>
        <w:t>m</w:t>
      </w:r>
      <w:r w:rsidRPr="00B37EA9">
        <w:t>inisterial approval.</w:t>
      </w:r>
      <w:r>
        <w:t xml:space="preserve"> </w:t>
      </w:r>
      <w:r w:rsidR="00C81471">
        <w:t>Entities</w:t>
      </w:r>
      <w:r>
        <w:t xml:space="preserve"> should have systems in place to ensure </w:t>
      </w:r>
      <w:r w:rsidR="008A5CA5">
        <w:t xml:space="preserve">a </w:t>
      </w:r>
      <w:r>
        <w:t>periodic review of obligations under their SOEs or equivalent governing documents.</w:t>
      </w:r>
    </w:p>
    <w:p w14:paraId="083D09F0" w14:textId="287F0E79" w:rsidR="007F61E6" w:rsidRDefault="007F61E6" w:rsidP="007F61E6">
      <w:r>
        <w:t xml:space="preserve">Regulatory </w:t>
      </w:r>
      <w:r w:rsidR="00C81471">
        <w:t>entities</w:t>
      </w:r>
      <w:r>
        <w:t xml:space="preserve"> are required to meet DTF’s SOE Framework, and it is expected that only one SOE will be required. The requirements for regulatory </w:t>
      </w:r>
      <w:r w:rsidR="00C81471">
        <w:t>entities</w:t>
      </w:r>
      <w:r>
        <w:t xml:space="preserve"> are on the DTF website including the </w:t>
      </w:r>
      <w:hyperlink r:id="rId27" w:history="1">
        <w:r w:rsidRPr="00C139AC">
          <w:rPr>
            <w:rStyle w:val="Hyperlink"/>
            <w:i/>
          </w:rPr>
          <w:t>Statement of Expectations Framework for Regulators</w:t>
        </w:r>
      </w:hyperlink>
      <w:r>
        <w:t xml:space="preserve">; </w:t>
      </w:r>
      <w:hyperlink r:id="rId28" w:history="1">
        <w:r w:rsidRPr="00DF6918">
          <w:rPr>
            <w:rStyle w:val="Hyperlink"/>
            <w:i/>
          </w:rPr>
          <w:t>Guidelines for preparing Ministerial Statements of Expectations under the SOE Framework</w:t>
        </w:r>
      </w:hyperlink>
      <w:r>
        <w:rPr>
          <w:i/>
        </w:rPr>
        <w:t>;</w:t>
      </w:r>
      <w:r w:rsidRPr="00C5761B">
        <w:rPr>
          <w:i/>
        </w:rPr>
        <w:t xml:space="preserve"> </w:t>
      </w:r>
      <w:r w:rsidR="00E74A53">
        <w:t xml:space="preserve"> </w:t>
      </w:r>
      <w:hyperlink r:id="rId29" w:history="1">
        <w:r w:rsidR="00E74A53" w:rsidRPr="00C47F1B">
          <w:rPr>
            <w:rStyle w:val="Hyperlink"/>
          </w:rPr>
          <w:t>Towards</w:t>
        </w:r>
        <w:r w:rsidR="00550E13" w:rsidRPr="00C47F1B">
          <w:rPr>
            <w:rStyle w:val="Hyperlink"/>
          </w:rPr>
          <w:t xml:space="preserve"> </w:t>
        </w:r>
        <w:r w:rsidR="008F25FF" w:rsidRPr="00C47F1B">
          <w:rPr>
            <w:rStyle w:val="Hyperlink"/>
          </w:rPr>
          <w:t>Best Practice – a guide for regulators</w:t>
        </w:r>
      </w:hyperlink>
      <w:r w:rsidR="008F25FF">
        <w:t xml:space="preserve"> </w:t>
      </w:r>
      <w:r>
        <w:t xml:space="preserve">and </w:t>
      </w:r>
      <w:hyperlink r:id="rId30" w:history="1">
        <w:r w:rsidRPr="002F70D1">
          <w:rPr>
            <w:rStyle w:val="Hyperlink"/>
            <w:i/>
          </w:rPr>
          <w:t>Stage Two Regulator SOE Guidelines</w:t>
        </w:r>
      </w:hyperlink>
      <w:r>
        <w:t>.</w:t>
      </w:r>
    </w:p>
    <w:p w14:paraId="0669B4B7" w14:textId="42A2D20C" w:rsidR="00E540BB" w:rsidRPr="00891813" w:rsidRDefault="00E540BB" w:rsidP="00E540BB">
      <w:pPr>
        <w:pStyle w:val="Heading2"/>
      </w:pPr>
      <w:bookmarkStart w:id="24" w:name="_Toc164067844"/>
      <w:r>
        <w:t>5.2</w:t>
      </w:r>
      <w:r>
        <w:tab/>
        <w:t>Analyse and Monitor</w:t>
      </w:r>
      <w:bookmarkEnd w:id="24"/>
    </w:p>
    <w:p w14:paraId="42323454" w14:textId="1E07A04F" w:rsidR="00941F80" w:rsidRPr="000F100E" w:rsidRDefault="00941F80" w:rsidP="00941F80">
      <w:pPr>
        <w:pStyle w:val="bodycopy"/>
        <w:rPr>
          <w:color w:val="auto"/>
          <w:sz w:val="18"/>
          <w:szCs w:val="18"/>
        </w:rPr>
      </w:pPr>
      <w:r w:rsidRPr="000F100E">
        <w:rPr>
          <w:color w:val="auto"/>
          <w:sz w:val="18"/>
          <w:szCs w:val="18"/>
        </w:rPr>
        <w:t xml:space="preserve">In line with the principles of good public administration and governance, the governance framework aims to ensure effective oversight of ‘arm’s-length’ </w:t>
      </w:r>
      <w:r w:rsidR="00C81471" w:rsidRPr="000F100E">
        <w:rPr>
          <w:color w:val="auto"/>
          <w:sz w:val="18"/>
          <w:szCs w:val="18"/>
        </w:rPr>
        <w:t>entities</w:t>
      </w:r>
      <w:r w:rsidRPr="000F100E">
        <w:rPr>
          <w:color w:val="auto"/>
          <w:sz w:val="18"/>
          <w:szCs w:val="18"/>
        </w:rPr>
        <w:t>’ activities and outcomes.</w:t>
      </w:r>
    </w:p>
    <w:p w14:paraId="3800C648" w14:textId="1445B710" w:rsidR="00941F80" w:rsidRDefault="00941F80" w:rsidP="00941F80">
      <w:pPr>
        <w:pStyle w:val="Heading3"/>
      </w:pPr>
      <w:bookmarkStart w:id="25" w:name="_Toc164067845"/>
      <w:r>
        <w:t>5.</w:t>
      </w:r>
      <w:r w:rsidR="007C180C">
        <w:t>2.1</w:t>
      </w:r>
      <w:r>
        <w:tab/>
      </w:r>
      <w:r w:rsidR="00C81471">
        <w:t>Entity</w:t>
      </w:r>
      <w:r w:rsidR="007C180C">
        <w:t xml:space="preserve"> review</w:t>
      </w:r>
      <w:bookmarkEnd w:id="25"/>
    </w:p>
    <w:p w14:paraId="609B3ED1" w14:textId="25120CAC" w:rsidR="00E01849" w:rsidRPr="00F36316" w:rsidRDefault="00E01849" w:rsidP="00E01849">
      <w:r>
        <w:t xml:space="preserve">Consideration needs to </w:t>
      </w:r>
      <w:r w:rsidRPr="00F36316">
        <w:t xml:space="preserve">be given to when and how </w:t>
      </w:r>
      <w:r w:rsidR="00C81471">
        <w:t>entities</w:t>
      </w:r>
      <w:r w:rsidRPr="00F36316">
        <w:t xml:space="preserve"> are reviewed</w:t>
      </w:r>
      <w:r>
        <w:t>,</w:t>
      </w:r>
      <w:r w:rsidRPr="00F36316">
        <w:t xml:space="preserve"> to ensure</w:t>
      </w:r>
      <w:r>
        <w:t xml:space="preserve"> that</w:t>
      </w:r>
      <w:r w:rsidRPr="00F36316">
        <w:t xml:space="preserve"> they run efficiently</w:t>
      </w:r>
      <w:r>
        <w:t xml:space="preserve"> and effectively and</w:t>
      </w:r>
      <w:r w:rsidRPr="00F36316">
        <w:t xml:space="preserve"> </w:t>
      </w:r>
      <w:r>
        <w:t xml:space="preserve">that </w:t>
      </w:r>
      <w:r w:rsidRPr="00F36316">
        <w:t>they remain relevant and appropriate.</w:t>
      </w:r>
    </w:p>
    <w:p w14:paraId="3EC5B4C3" w14:textId="15527393" w:rsidR="00E01849" w:rsidRDefault="00E01849" w:rsidP="00E01849">
      <w:r w:rsidRPr="00F36316">
        <w:t xml:space="preserve">The minimum expectations for </w:t>
      </w:r>
      <w:r w:rsidR="00C81471">
        <w:t>entity</w:t>
      </w:r>
      <w:r w:rsidRPr="00F36316">
        <w:t xml:space="preserve"> review</w:t>
      </w:r>
      <w:r>
        <w:t>s</w:t>
      </w:r>
      <w:r w:rsidRPr="00F36316">
        <w:t xml:space="preserve"> are </w:t>
      </w:r>
      <w:r w:rsidR="00085328">
        <w:t>outlined</w:t>
      </w:r>
      <w:r>
        <w:t xml:space="preserve"> in</w:t>
      </w:r>
      <w:r w:rsidRPr="002540C9">
        <w:t xml:space="preserve"> the </w:t>
      </w:r>
      <w:hyperlink r:id="rId31" w:history="1">
        <w:r w:rsidRPr="00216235">
          <w:rPr>
            <w:rStyle w:val="Hyperlink"/>
            <w:i/>
          </w:rPr>
          <w:t>Premier’s Circular No. 2013/2: Creation and Review of Non-Departmental Entities</w:t>
        </w:r>
      </w:hyperlink>
      <w:r>
        <w:t xml:space="preserve">. Under the requirements of the Circular, </w:t>
      </w:r>
      <w:r w:rsidR="00C81471">
        <w:t>entities</w:t>
      </w:r>
      <w:r>
        <w:t xml:space="preserve"> need to </w:t>
      </w:r>
      <w:r w:rsidRPr="00F36316">
        <w:t>be reviewed within three years of their creation and every six years thereafter.</w:t>
      </w:r>
    </w:p>
    <w:p w14:paraId="41B478B4" w14:textId="3B81016F" w:rsidR="00E01849" w:rsidRPr="00F36316" w:rsidRDefault="00E01849" w:rsidP="00E01849">
      <w:r w:rsidRPr="00F36316">
        <w:lastRenderedPageBreak/>
        <w:t xml:space="preserve">Reviews of </w:t>
      </w:r>
      <w:r w:rsidR="00C81471">
        <w:t>entities</w:t>
      </w:r>
      <w:r w:rsidRPr="00F36316">
        <w:t xml:space="preserve"> will</w:t>
      </w:r>
      <w:r>
        <w:t xml:space="preserve"> include the following four </w:t>
      </w:r>
      <w:r w:rsidRPr="00F36316">
        <w:t>assessment factors</w:t>
      </w:r>
      <w:r>
        <w:t xml:space="preserve"> at a minimum</w:t>
      </w:r>
      <w:r w:rsidRPr="00F36316">
        <w:t>:</w:t>
      </w:r>
    </w:p>
    <w:p w14:paraId="43875F64" w14:textId="77777777" w:rsidR="00E01849" w:rsidRPr="00ED3AEE" w:rsidRDefault="00E01849" w:rsidP="007B76F0">
      <w:pPr>
        <w:pStyle w:val="ListBullet"/>
        <w:numPr>
          <w:ilvl w:val="0"/>
          <w:numId w:val="12"/>
        </w:numPr>
        <w:rPr>
          <w:color w:val="auto"/>
        </w:rPr>
      </w:pPr>
      <w:r w:rsidRPr="00ED3AEE">
        <w:rPr>
          <w:color w:val="auto"/>
        </w:rPr>
        <w:t>Is there a role for government?</w:t>
      </w:r>
    </w:p>
    <w:p w14:paraId="2678517C" w14:textId="6950F052" w:rsidR="002F55CF" w:rsidRPr="00ED3AEE" w:rsidRDefault="00E01849" w:rsidP="007B76F0">
      <w:pPr>
        <w:pStyle w:val="ListBullet"/>
        <w:numPr>
          <w:ilvl w:val="0"/>
          <w:numId w:val="12"/>
        </w:numPr>
        <w:rPr>
          <w:color w:val="auto"/>
        </w:rPr>
      </w:pPr>
      <w:r w:rsidRPr="00ED3AEE">
        <w:rPr>
          <w:color w:val="auto"/>
        </w:rPr>
        <w:t xml:space="preserve">What degree of autonomy from government or </w:t>
      </w:r>
      <w:r w:rsidR="000F100E">
        <w:rPr>
          <w:color w:val="auto"/>
        </w:rPr>
        <w:t>m</w:t>
      </w:r>
      <w:r w:rsidRPr="00ED3AEE">
        <w:rPr>
          <w:color w:val="auto"/>
        </w:rPr>
        <w:t>inisters is required?</w:t>
      </w:r>
      <w:r w:rsidR="002F55CF" w:rsidRPr="00ED3AEE">
        <w:rPr>
          <w:color w:val="auto"/>
        </w:rPr>
        <w:t xml:space="preserve"> </w:t>
      </w:r>
    </w:p>
    <w:p w14:paraId="0CABC36E" w14:textId="30F0F1C8" w:rsidR="002F55CF" w:rsidRPr="00ED3AEE" w:rsidRDefault="002F55CF" w:rsidP="007B76F0">
      <w:pPr>
        <w:pStyle w:val="ListBullet"/>
        <w:numPr>
          <w:ilvl w:val="0"/>
          <w:numId w:val="12"/>
        </w:numPr>
        <w:rPr>
          <w:color w:val="auto"/>
        </w:rPr>
      </w:pPr>
      <w:r w:rsidRPr="00ED3AEE">
        <w:rPr>
          <w:color w:val="auto"/>
        </w:rPr>
        <w:t>What is the appropriate form of the entity?</w:t>
      </w:r>
    </w:p>
    <w:p w14:paraId="347517BF" w14:textId="77777777" w:rsidR="002F55CF" w:rsidRPr="00ED3AEE" w:rsidRDefault="002F55CF" w:rsidP="007B76F0">
      <w:pPr>
        <w:pStyle w:val="ListBullet"/>
        <w:numPr>
          <w:ilvl w:val="0"/>
          <w:numId w:val="12"/>
        </w:numPr>
        <w:rPr>
          <w:color w:val="auto"/>
        </w:rPr>
      </w:pPr>
      <w:r w:rsidRPr="00ED3AEE">
        <w:rPr>
          <w:color w:val="auto"/>
        </w:rPr>
        <w:t>Can the functions be performed by an existing entity?</w:t>
      </w:r>
    </w:p>
    <w:p w14:paraId="3B635C8A" w14:textId="68C418ED" w:rsidR="00E01849" w:rsidRDefault="002F55CF" w:rsidP="007F490C">
      <w:r w:rsidRPr="00F36316">
        <w:t xml:space="preserve">Where appropriate, an external reviewer may be appointed to conduct an independent </w:t>
      </w:r>
      <w:r w:rsidR="00C81471">
        <w:t>entity</w:t>
      </w:r>
      <w:r w:rsidRPr="00F36316">
        <w:t xml:space="preserve"> review.</w:t>
      </w:r>
      <w:r>
        <w:t xml:space="preserve"> </w:t>
      </w:r>
      <w:r w:rsidR="00C81471">
        <w:t>Entities</w:t>
      </w:r>
      <w:r w:rsidRPr="00F36316">
        <w:t xml:space="preserve"> should </w:t>
      </w:r>
      <w:r w:rsidR="002E7D13">
        <w:t>consult</w:t>
      </w:r>
      <w:r w:rsidR="002E7D13" w:rsidRPr="00F36316">
        <w:t xml:space="preserve"> </w:t>
      </w:r>
      <w:r w:rsidRPr="00F36316">
        <w:t xml:space="preserve">with their </w:t>
      </w:r>
      <w:r>
        <w:t>d</w:t>
      </w:r>
      <w:r w:rsidRPr="00F36316">
        <w:t xml:space="preserve">eputy </w:t>
      </w:r>
      <w:r>
        <w:t>s</w:t>
      </w:r>
      <w:r w:rsidRPr="00F36316">
        <w:t xml:space="preserve">ecretary and the </w:t>
      </w:r>
      <w:r>
        <w:t xml:space="preserve">department’s </w:t>
      </w:r>
      <w:r w:rsidRPr="00F36316">
        <w:t>Corporate Services Group for advice in this regard.</w:t>
      </w:r>
    </w:p>
    <w:p w14:paraId="29FC3880" w14:textId="6670DB1B" w:rsidR="009341B0" w:rsidRPr="00B1621A" w:rsidRDefault="009341B0" w:rsidP="007F490C">
      <w:r>
        <w:t>In addition, the department may choose t</w:t>
      </w:r>
      <w:r w:rsidR="00764034">
        <w:t xml:space="preserve">o conduct </w:t>
      </w:r>
      <w:r w:rsidR="004A0577">
        <w:t>e</w:t>
      </w:r>
      <w:r w:rsidR="00764034">
        <w:t>ntity health assessments</w:t>
      </w:r>
      <w:r w:rsidR="006A71B3">
        <w:t xml:space="preserve"> (if necessary) to assist any entities facing challenges </w:t>
      </w:r>
      <w:r w:rsidR="00402778">
        <w:t>with a tai</w:t>
      </w:r>
      <w:r w:rsidR="00EE6D31">
        <w:t>lored treatment plan that could provide</w:t>
      </w:r>
      <w:r w:rsidR="00402778">
        <w:t xml:space="preserve"> additional support or have additional oversight and reporting arrangements. </w:t>
      </w:r>
    </w:p>
    <w:p w14:paraId="2F93395B" w14:textId="070B29C6" w:rsidR="001239F3" w:rsidRDefault="001239F3" w:rsidP="001239F3">
      <w:pPr>
        <w:pStyle w:val="Heading3"/>
      </w:pPr>
      <w:bookmarkStart w:id="26" w:name="_Toc39481517"/>
      <w:bookmarkStart w:id="27" w:name="_Toc164067846"/>
      <w:r>
        <w:t>5.2.</w:t>
      </w:r>
      <w:r w:rsidR="00551B75">
        <w:t>2</w:t>
      </w:r>
      <w:r>
        <w:tab/>
        <w:t>Program evaluations</w:t>
      </w:r>
      <w:bookmarkEnd w:id="26"/>
      <w:bookmarkEnd w:id="27"/>
    </w:p>
    <w:p w14:paraId="3E0C30B3" w14:textId="37AB50FC" w:rsidR="001239F3" w:rsidRDefault="00C81471" w:rsidP="001239F3">
      <w:r>
        <w:t>Entities</w:t>
      </w:r>
      <w:r w:rsidR="001239F3" w:rsidRPr="00B46CBD">
        <w:t xml:space="preserve"> </w:t>
      </w:r>
      <w:r w:rsidR="001239F3">
        <w:t xml:space="preserve">are responsible for </w:t>
      </w:r>
      <w:r w:rsidR="001239F3" w:rsidRPr="00B46CBD">
        <w:t>monitor</w:t>
      </w:r>
      <w:r w:rsidR="001239F3">
        <w:t>ing</w:t>
      </w:r>
      <w:r w:rsidR="001239F3" w:rsidRPr="00B46CBD">
        <w:t xml:space="preserve"> and evalua</w:t>
      </w:r>
      <w:r w:rsidR="001239F3">
        <w:t>ting</w:t>
      </w:r>
      <w:r w:rsidR="001239F3" w:rsidRPr="00B46CBD">
        <w:t xml:space="preserve"> programs and activities to generate evidence of effectiveness and contribute to continuous improvement in program design and implementation.</w:t>
      </w:r>
      <w:r w:rsidR="001239F3">
        <w:t xml:space="preserve"> </w:t>
      </w:r>
      <w:r w:rsidR="001239F3" w:rsidRPr="004A66F7">
        <w:t xml:space="preserve">The </w:t>
      </w:r>
      <w:r w:rsidR="000A21D9" w:rsidRPr="000A21D9">
        <w:rPr>
          <w:iCs/>
        </w:rPr>
        <w:t>department’s</w:t>
      </w:r>
      <w:r w:rsidR="00EE641A">
        <w:rPr>
          <w:i/>
        </w:rPr>
        <w:t xml:space="preserve"> </w:t>
      </w:r>
      <w:hyperlink r:id="rId32" w:history="1">
        <w:r w:rsidR="001239F3" w:rsidRPr="009C414B">
          <w:rPr>
            <w:rStyle w:val="Hyperlink"/>
            <w:i/>
          </w:rPr>
          <w:t>Monitoring and Evaluation Policy and Standards</w:t>
        </w:r>
      </w:hyperlink>
      <w:r w:rsidR="001239F3" w:rsidRPr="004A66F7">
        <w:t xml:space="preserve"> outlines the consistent minimum approach and expectations </w:t>
      </w:r>
      <w:r w:rsidR="001239F3">
        <w:t xml:space="preserve">encouraged by </w:t>
      </w:r>
      <w:r>
        <w:t>entities</w:t>
      </w:r>
      <w:r w:rsidR="001239F3">
        <w:t>.</w:t>
      </w:r>
      <w:r w:rsidR="001239F3" w:rsidRPr="004A66F7">
        <w:rPr>
          <w:i/>
        </w:rPr>
        <w:t xml:space="preserve"> </w:t>
      </w:r>
    </w:p>
    <w:p w14:paraId="74B5184B" w14:textId="2030CA0A" w:rsidR="001239F3" w:rsidRDefault="000A21D9" w:rsidP="001239F3">
      <w:r w:rsidRPr="004A66F7">
        <w:t xml:space="preserve">The </w:t>
      </w:r>
      <w:r w:rsidRPr="000A21D9">
        <w:rPr>
          <w:iCs/>
        </w:rPr>
        <w:t>department’s</w:t>
      </w:r>
      <w:r>
        <w:rPr>
          <w:i/>
        </w:rPr>
        <w:t xml:space="preserve"> </w:t>
      </w:r>
      <w:r w:rsidR="001239F3" w:rsidRPr="004A66F7">
        <w:rPr>
          <w:i/>
        </w:rPr>
        <w:t>Monitoring and Evaluation Policy and Standards</w:t>
      </w:r>
      <w:r w:rsidR="001239F3">
        <w:t xml:space="preserve"> are in line with the </w:t>
      </w:r>
      <w:r w:rsidR="001239F3" w:rsidRPr="00A669D3">
        <w:t>DTF’s</w:t>
      </w:r>
      <w:r w:rsidR="001239F3">
        <w:t xml:space="preserve"> </w:t>
      </w:r>
      <w:hyperlink r:id="rId33" w:history="1">
        <w:r w:rsidR="001239F3" w:rsidRPr="007B48AB">
          <w:rPr>
            <w:rStyle w:val="Hyperlink"/>
          </w:rPr>
          <w:t>Resource Management Framework</w:t>
        </w:r>
      </w:hyperlink>
      <w:r w:rsidR="001239F3">
        <w:rPr>
          <w:i/>
        </w:rPr>
        <w:t xml:space="preserve">. </w:t>
      </w:r>
      <w:r w:rsidR="001239F3" w:rsidRPr="004A66F7">
        <w:t xml:space="preserve">DTF </w:t>
      </w:r>
      <w:r w:rsidR="001239F3" w:rsidRPr="00B46CBD">
        <w:t xml:space="preserve">requires that </w:t>
      </w:r>
      <w:r w:rsidR="001239F3">
        <w:t xml:space="preserve">all departments or </w:t>
      </w:r>
      <w:r w:rsidR="00C81471">
        <w:t>entities</w:t>
      </w:r>
      <w:r w:rsidR="001239F3">
        <w:t xml:space="preserve"> seeking</w:t>
      </w:r>
      <w:r w:rsidR="001239F3" w:rsidRPr="00B46CBD">
        <w:t xml:space="preserve"> fur</w:t>
      </w:r>
      <w:r w:rsidR="001239F3">
        <w:t>ther funding for activities need to</w:t>
      </w:r>
      <w:r w:rsidR="001239F3" w:rsidRPr="00B46CBD">
        <w:t xml:space="preserve"> undertake a program evaluation.</w:t>
      </w:r>
      <w:r w:rsidR="003F5885" w:rsidRPr="00323C4F">
        <w:t xml:space="preserve"> </w:t>
      </w:r>
    </w:p>
    <w:p w14:paraId="49C680BA" w14:textId="2DD3E9EF" w:rsidR="00AB107B" w:rsidRPr="00891813" w:rsidRDefault="00AB107B" w:rsidP="00AB107B">
      <w:pPr>
        <w:pStyle w:val="Heading2"/>
      </w:pPr>
      <w:bookmarkStart w:id="28" w:name="_Toc164067847"/>
      <w:r>
        <w:t>5.</w:t>
      </w:r>
      <w:r w:rsidR="009540DA" w:rsidRPr="00E27A2A">
        <w:t>3</w:t>
      </w:r>
      <w:r>
        <w:tab/>
        <w:t>Report</w:t>
      </w:r>
      <w:bookmarkEnd w:id="28"/>
    </w:p>
    <w:p w14:paraId="7BEE2AEF" w14:textId="14ADA901" w:rsidR="00E9309E" w:rsidRPr="00BE4254" w:rsidRDefault="00E9309E" w:rsidP="00E9309E">
      <w:r w:rsidRPr="00BE4254">
        <w:t xml:space="preserve">Robust performance management and reporting </w:t>
      </w:r>
      <w:r w:rsidR="00494B00">
        <w:t>are</w:t>
      </w:r>
      <w:r w:rsidR="00494B00" w:rsidRPr="00BE4254">
        <w:t xml:space="preserve"> </w:t>
      </w:r>
      <w:r w:rsidRPr="00BE4254">
        <w:t>critical to effectively measur</w:t>
      </w:r>
      <w:r>
        <w:t>e</w:t>
      </w:r>
      <w:r w:rsidRPr="00BE4254">
        <w:t xml:space="preserve"> the extent to which objectives are being achieved</w:t>
      </w:r>
      <w:r>
        <w:t xml:space="preserve"> and</w:t>
      </w:r>
      <w:r w:rsidRPr="00BE4254">
        <w:t xml:space="preserve"> services are effectively and ef</w:t>
      </w:r>
      <w:r>
        <w:t>ficiently delivered. This is necessary to ensure</w:t>
      </w:r>
      <w:r w:rsidRPr="00BE4254">
        <w:t xml:space="preserve"> that public sector accountability requirements for </w:t>
      </w:r>
      <w:r w:rsidR="00C81471">
        <w:t>entities</w:t>
      </w:r>
      <w:r>
        <w:t xml:space="preserve"> are met.</w:t>
      </w:r>
    </w:p>
    <w:p w14:paraId="7AF210A0" w14:textId="7EB9C0ED" w:rsidR="00E9309E" w:rsidRPr="00BE4254" w:rsidRDefault="00E9309E" w:rsidP="00E9309E">
      <w:r w:rsidRPr="00BE4254">
        <w:t xml:space="preserve">Under section 13A of the </w:t>
      </w:r>
      <w:r w:rsidR="00A76224" w:rsidRPr="00B63E39">
        <w:rPr>
          <w:i/>
          <w:iCs/>
        </w:rPr>
        <w:t>Public Administration Act</w:t>
      </w:r>
      <w:r w:rsidR="00B63E39" w:rsidRPr="00B63E39">
        <w:rPr>
          <w:i/>
          <w:iCs/>
        </w:rPr>
        <w:t xml:space="preserve"> </w:t>
      </w:r>
      <w:r w:rsidR="007C4C1C" w:rsidRPr="00B63E39">
        <w:rPr>
          <w:i/>
          <w:iCs/>
        </w:rPr>
        <w:t>2004</w:t>
      </w:r>
      <w:r w:rsidR="007C4C1C">
        <w:t>,</w:t>
      </w:r>
      <w:r w:rsidRPr="00BE4254">
        <w:t xml:space="preserve"> </w:t>
      </w:r>
      <w:r>
        <w:t xml:space="preserve">department </w:t>
      </w:r>
      <w:r w:rsidR="00DB0F18">
        <w:t>s</w:t>
      </w:r>
      <w:r>
        <w:t>ecretaries need to advise</w:t>
      </w:r>
      <w:r w:rsidRPr="00BE4254">
        <w:t xml:space="preserve"> </w:t>
      </w:r>
      <w:r>
        <w:t>m</w:t>
      </w:r>
      <w:r w:rsidRPr="00BE4254">
        <w:t>inister</w:t>
      </w:r>
      <w:r>
        <w:t>s</w:t>
      </w:r>
      <w:r w:rsidRPr="00BE4254">
        <w:t xml:space="preserve"> on matters relating to relevant portfolio </w:t>
      </w:r>
      <w:r w:rsidR="00C81471">
        <w:t>entities</w:t>
      </w:r>
      <w:r w:rsidRPr="00BE4254">
        <w:t xml:space="preserve">, including in relation to </w:t>
      </w:r>
      <w:r>
        <w:t>an</w:t>
      </w:r>
      <w:r w:rsidRPr="00BE4254">
        <w:t xml:space="preserve"> </w:t>
      </w:r>
      <w:r w:rsidR="00C81471">
        <w:t>entity</w:t>
      </w:r>
      <w:r w:rsidRPr="00BE4254">
        <w:t>’s performance (financial and non-financial, including ris</w:t>
      </w:r>
      <w:r>
        <w:t>k).</w:t>
      </w:r>
      <w:r w:rsidRPr="00744293">
        <w:t xml:space="preserve"> </w:t>
      </w:r>
      <w:r>
        <w:t xml:space="preserve">At the same time, the department </w:t>
      </w:r>
      <w:r w:rsidRPr="00BE4254">
        <w:t xml:space="preserve">is required to provide advice and support to </w:t>
      </w:r>
      <w:r w:rsidR="00C81471">
        <w:t>entities</w:t>
      </w:r>
      <w:r w:rsidRPr="00BE4254">
        <w:t xml:space="preserve"> on the discharge of their responsibilities. </w:t>
      </w:r>
    </w:p>
    <w:p w14:paraId="3374C96E" w14:textId="416BC97A" w:rsidR="00E9309E" w:rsidRDefault="00E9309E" w:rsidP="00E9309E">
      <w:r w:rsidRPr="00BE4254">
        <w:t>The k</w:t>
      </w:r>
      <w:r>
        <w:t xml:space="preserve">ey to both </w:t>
      </w:r>
      <w:r w:rsidR="00C81471">
        <w:t>entities</w:t>
      </w:r>
      <w:r>
        <w:t xml:space="preserve"> and the d</w:t>
      </w:r>
      <w:r w:rsidRPr="00BE4254">
        <w:t>epartment effectively fulfilling these responsibilities is clear and</w:t>
      </w:r>
      <w:r>
        <w:t xml:space="preserve"> consists of</w:t>
      </w:r>
      <w:r w:rsidRPr="00BE4254">
        <w:t xml:space="preserve"> streamlined performance management and reporting requirements between </w:t>
      </w:r>
      <w:r w:rsidR="000064F6">
        <w:t>p</w:t>
      </w:r>
      <w:r w:rsidRPr="00BE4254">
        <w:t xml:space="preserve">arliament, </w:t>
      </w:r>
      <w:r>
        <w:t>m</w:t>
      </w:r>
      <w:r w:rsidRPr="00BE4254">
        <w:t xml:space="preserve">inisters, </w:t>
      </w:r>
      <w:r>
        <w:t xml:space="preserve">the department </w:t>
      </w:r>
      <w:r w:rsidRPr="00BE4254">
        <w:t xml:space="preserve">and </w:t>
      </w:r>
      <w:r w:rsidR="00C81471">
        <w:t>entities</w:t>
      </w:r>
      <w:r>
        <w:t>.</w:t>
      </w:r>
    </w:p>
    <w:p w14:paraId="5A9F409C" w14:textId="6C023975" w:rsidR="00F91460" w:rsidRPr="00DB0A1B" w:rsidRDefault="00F91460" w:rsidP="00F91460">
      <w:pPr>
        <w:pStyle w:val="Heading3"/>
      </w:pPr>
      <w:bookmarkStart w:id="29" w:name="_Toc39481519"/>
      <w:bookmarkStart w:id="30" w:name="_Toc164067848"/>
      <w:r w:rsidRPr="00F91460">
        <w:rPr>
          <w:iCs/>
        </w:rPr>
        <w:t>5.3.1</w:t>
      </w:r>
      <w:r>
        <w:rPr>
          <w:i/>
        </w:rPr>
        <w:tab/>
      </w:r>
      <w:r w:rsidRPr="00DB0A1B">
        <w:rPr>
          <w:i/>
        </w:rPr>
        <w:t xml:space="preserve">Financial Management Act </w:t>
      </w:r>
      <w:r>
        <w:rPr>
          <w:i/>
        </w:rPr>
        <w:t>1994</w:t>
      </w:r>
      <w:r w:rsidRPr="00DB0A1B">
        <w:t xml:space="preserve"> and Standing Directions </w:t>
      </w:r>
      <w:r>
        <w:t>2018</w:t>
      </w:r>
      <w:bookmarkEnd w:id="29"/>
      <w:bookmarkEnd w:id="30"/>
    </w:p>
    <w:p w14:paraId="18A4E355" w14:textId="62B6328C" w:rsidR="00FB408A" w:rsidRPr="006D4E9A" w:rsidRDefault="00F91460" w:rsidP="00FB408A">
      <w:r w:rsidRPr="006D4E9A">
        <w:t xml:space="preserve">Relevant portfolio </w:t>
      </w:r>
      <w:r w:rsidR="00C81471">
        <w:t>entities</w:t>
      </w:r>
      <w:r w:rsidRPr="006D4E9A">
        <w:t xml:space="preserve"> must comply with the </w:t>
      </w:r>
      <w:r w:rsidR="00917A65" w:rsidRPr="00DB0A1B">
        <w:rPr>
          <w:i/>
        </w:rPr>
        <w:t xml:space="preserve">Financial Management Act </w:t>
      </w:r>
      <w:r w:rsidR="00917A65">
        <w:rPr>
          <w:i/>
        </w:rPr>
        <w:t>1994</w:t>
      </w:r>
      <w:r w:rsidR="00917A65" w:rsidRPr="00DB0A1B">
        <w:t xml:space="preserve"> </w:t>
      </w:r>
      <w:r w:rsidRPr="006D4E9A">
        <w:t xml:space="preserve"> and the </w:t>
      </w:r>
      <w:hyperlink r:id="rId34" w:history="1">
        <w:r w:rsidRPr="00DA6001">
          <w:rPr>
            <w:rStyle w:val="Hyperlink"/>
          </w:rPr>
          <w:t>Standing Directions 2018 under the FMA</w:t>
        </w:r>
      </w:hyperlink>
      <w:r>
        <w:t xml:space="preserve">.  DTF provides guidance to assist </w:t>
      </w:r>
      <w:r w:rsidR="00C81471">
        <w:t>entities</w:t>
      </w:r>
      <w:r>
        <w:t xml:space="preserve"> to determine whether they are subject to the Standing Directions.</w:t>
      </w:r>
      <w:r>
        <w:rPr>
          <w:rStyle w:val="FootnoteReference"/>
          <w:color w:val="1F4E79"/>
          <w:sz w:val="22"/>
        </w:rPr>
        <w:footnoteReference w:id="3"/>
      </w:r>
      <w:r>
        <w:t xml:space="preserve"> </w:t>
      </w:r>
      <w:r w:rsidRPr="00AA0143">
        <w:t>Other</w:t>
      </w:r>
      <w:r w:rsidR="00FB408A">
        <w:t xml:space="preserve"> </w:t>
      </w:r>
      <w:r w:rsidR="00C81471">
        <w:t>entities</w:t>
      </w:r>
      <w:r w:rsidR="00FB408A" w:rsidRPr="00AA0143">
        <w:t xml:space="preserve"> are encouraged to apply the</w:t>
      </w:r>
      <w:r w:rsidR="00FB408A">
        <w:t xml:space="preserve"> Standing Directions</w:t>
      </w:r>
      <w:r w:rsidR="00FB408A" w:rsidRPr="00AA0143">
        <w:t xml:space="preserve"> where this would enhance their</w:t>
      </w:r>
      <w:r w:rsidR="00FB408A">
        <w:t xml:space="preserve"> </w:t>
      </w:r>
      <w:r w:rsidR="00FB408A" w:rsidRPr="00AA0143">
        <w:t>financial accountability and control frameworks.</w:t>
      </w:r>
    </w:p>
    <w:p w14:paraId="08B1F7C5" w14:textId="6F1ADBC6" w:rsidR="00FB408A" w:rsidRPr="006D4E9A" w:rsidRDefault="00FB408A" w:rsidP="00FB408A">
      <w:r w:rsidRPr="006D4E9A">
        <w:t xml:space="preserve">The Standing Directions support the FMA by specifying matters that need to be complied with by departments and </w:t>
      </w:r>
      <w:r w:rsidR="00C81471">
        <w:t>entities</w:t>
      </w:r>
      <w:r w:rsidRPr="006D4E9A">
        <w:t xml:space="preserve"> to:</w:t>
      </w:r>
    </w:p>
    <w:p w14:paraId="2E7AE369" w14:textId="77777777" w:rsidR="00FB408A" w:rsidRPr="009540DA" w:rsidRDefault="00FB408A" w:rsidP="007B76F0">
      <w:pPr>
        <w:pStyle w:val="ListBullet"/>
        <w:numPr>
          <w:ilvl w:val="0"/>
          <w:numId w:val="13"/>
        </w:numPr>
        <w:rPr>
          <w:color w:val="auto"/>
        </w:rPr>
      </w:pPr>
      <w:r w:rsidRPr="009540DA">
        <w:rPr>
          <w:color w:val="auto"/>
        </w:rPr>
        <w:t>implement and maintain appropriate financial management practices</w:t>
      </w:r>
    </w:p>
    <w:p w14:paraId="3B72F861" w14:textId="77777777" w:rsidR="00FB408A" w:rsidRPr="009540DA" w:rsidRDefault="00FB408A" w:rsidP="007B76F0">
      <w:pPr>
        <w:pStyle w:val="ListBullet"/>
        <w:numPr>
          <w:ilvl w:val="0"/>
          <w:numId w:val="13"/>
        </w:numPr>
        <w:rPr>
          <w:color w:val="auto"/>
        </w:rPr>
      </w:pPr>
      <w:r w:rsidRPr="009540DA">
        <w:rPr>
          <w:color w:val="auto"/>
        </w:rPr>
        <w:t>achieve a consistent standard of accountability and financial reporting</w:t>
      </w:r>
    </w:p>
    <w:p w14:paraId="44AF74C9" w14:textId="7728169C" w:rsidR="00FB408A" w:rsidRPr="006D4E9A" w:rsidRDefault="00C81471" w:rsidP="00FB408A">
      <w:r>
        <w:t>Entities</w:t>
      </w:r>
      <w:r w:rsidR="00FB408A" w:rsidRPr="006D4E9A">
        <w:t xml:space="preserve"> must report compliance with the FMA through DTF’s</w:t>
      </w:r>
      <w:r w:rsidR="00FB408A">
        <w:t xml:space="preserve"> </w:t>
      </w:r>
      <w:r w:rsidR="00FB408A" w:rsidRPr="005B0DB6">
        <w:t>Standing Directions 2018</w:t>
      </w:r>
      <w:r w:rsidR="00FB408A">
        <w:rPr>
          <w:i/>
        </w:rPr>
        <w:t>,</w:t>
      </w:r>
      <w:r w:rsidR="00FB408A" w:rsidRPr="006D4E9A">
        <w:t xml:space="preserve"> </w:t>
      </w:r>
      <w:r w:rsidR="00FB408A">
        <w:t xml:space="preserve">in </w:t>
      </w:r>
      <w:r w:rsidR="00FB408A" w:rsidRPr="006D4E9A">
        <w:t xml:space="preserve">their </w:t>
      </w:r>
      <w:r w:rsidR="00FB408A">
        <w:t>a</w:t>
      </w:r>
      <w:r w:rsidR="00FB408A" w:rsidRPr="006D4E9A">
        <w:t xml:space="preserve">nnual report and to the </w:t>
      </w:r>
      <w:r w:rsidR="0030418C">
        <w:t>m</w:t>
      </w:r>
      <w:r w:rsidR="00FB408A" w:rsidRPr="006D4E9A">
        <w:t>inister and department</w:t>
      </w:r>
      <w:r w:rsidR="00FB408A">
        <w:t xml:space="preserve"> in line with the Directions (see</w:t>
      </w:r>
      <w:r w:rsidR="002F0952">
        <w:t xml:space="preserve"> </w:t>
      </w:r>
      <w:r w:rsidR="00FB408A">
        <w:t>Direction 5.1, 5.2 and 5.3 for details)</w:t>
      </w:r>
      <w:r w:rsidR="00FB408A" w:rsidRPr="006D4E9A">
        <w:t>.</w:t>
      </w:r>
      <w:r w:rsidR="006E60B5">
        <w:t xml:space="preserve"> A copy of annual attestation </w:t>
      </w:r>
      <w:r w:rsidR="0096506C">
        <w:t>should be provided to the department.</w:t>
      </w:r>
    </w:p>
    <w:p w14:paraId="1A200ACE" w14:textId="51F73BA0" w:rsidR="00FB408A" w:rsidRPr="006D4E9A" w:rsidRDefault="00FB408A" w:rsidP="00FB408A">
      <w:r>
        <w:lastRenderedPageBreak/>
        <w:t>The</w:t>
      </w:r>
      <w:r w:rsidRPr="006D4E9A">
        <w:t xml:space="preserve"> Standing Direction 4.2.3 </w:t>
      </w:r>
      <w:r>
        <w:t xml:space="preserve">on </w:t>
      </w:r>
      <w:r w:rsidRPr="00AE4CD4">
        <w:rPr>
          <w:i/>
        </w:rPr>
        <w:t xml:space="preserve">Asset </w:t>
      </w:r>
      <w:r w:rsidR="006D5A96">
        <w:rPr>
          <w:i/>
        </w:rPr>
        <w:t>M</w:t>
      </w:r>
      <w:r w:rsidRPr="00AE4CD4">
        <w:rPr>
          <w:i/>
        </w:rPr>
        <w:t xml:space="preserve">anagement </w:t>
      </w:r>
      <w:r w:rsidR="006D5A96">
        <w:rPr>
          <w:i/>
        </w:rPr>
        <w:t>A</w:t>
      </w:r>
      <w:r w:rsidRPr="00AE4CD4">
        <w:rPr>
          <w:i/>
        </w:rPr>
        <w:t>ccountability</w:t>
      </w:r>
      <w:r w:rsidR="006D5A96">
        <w:rPr>
          <w:i/>
        </w:rPr>
        <w:t xml:space="preserve"> Framework</w:t>
      </w:r>
      <w:r w:rsidRPr="006D4E9A">
        <w:t xml:space="preserve"> and Standing Direction 3.7</w:t>
      </w:r>
      <w:r>
        <w:t xml:space="preserve"> on</w:t>
      </w:r>
      <w:r w:rsidRPr="006D4E9A">
        <w:t xml:space="preserve"> </w:t>
      </w:r>
      <w:r w:rsidRPr="00AE4CD4">
        <w:rPr>
          <w:i/>
        </w:rPr>
        <w:t>Managing risk</w:t>
      </w:r>
      <w:r w:rsidRPr="006D4E9A">
        <w:t xml:space="preserve"> are further detailed </w:t>
      </w:r>
      <w:r w:rsidRPr="00412A16">
        <w:t xml:space="preserve">in </w:t>
      </w:r>
      <w:r w:rsidRPr="006D4E9A">
        <w:t>sections</w:t>
      </w:r>
      <w:r>
        <w:t xml:space="preserve"> 5.3.4 and 5.4</w:t>
      </w:r>
      <w:r w:rsidRPr="006D4E9A">
        <w:t xml:space="preserve"> below.</w:t>
      </w:r>
    </w:p>
    <w:p w14:paraId="14C95150" w14:textId="1D635FED" w:rsidR="00C154A3" w:rsidRPr="006D4E9A" w:rsidRDefault="00C154A3" w:rsidP="00C154A3">
      <w:pPr>
        <w:pStyle w:val="Heading3"/>
      </w:pPr>
      <w:bookmarkStart w:id="31" w:name="_Toc39481520"/>
      <w:bookmarkStart w:id="32" w:name="_Toc164067849"/>
      <w:r>
        <w:t>5.3.2</w:t>
      </w:r>
      <w:r>
        <w:tab/>
        <w:t>Performance reports</w:t>
      </w:r>
      <w:bookmarkEnd w:id="31"/>
      <w:bookmarkEnd w:id="32"/>
    </w:p>
    <w:p w14:paraId="0A411886" w14:textId="29FBC2E8" w:rsidR="00C154A3" w:rsidRPr="00BE4254" w:rsidRDefault="00C81471" w:rsidP="00C154A3">
      <w:r>
        <w:t>Entities</w:t>
      </w:r>
      <w:r w:rsidR="00C154A3" w:rsidRPr="00BE4254">
        <w:t xml:space="preserve"> </w:t>
      </w:r>
      <w:r w:rsidR="00C154A3">
        <w:t>will</w:t>
      </w:r>
      <w:r w:rsidR="00C154A3" w:rsidRPr="00BE4254">
        <w:t xml:space="preserve"> report on their performance </w:t>
      </w:r>
      <w:r w:rsidR="00C154A3">
        <w:t xml:space="preserve">to the department </w:t>
      </w:r>
      <w:r w:rsidR="00C154A3" w:rsidRPr="00BE4254">
        <w:t>at least</w:t>
      </w:r>
      <w:r w:rsidR="00C154A3">
        <w:t xml:space="preserve"> annually, having</w:t>
      </w:r>
      <w:r w:rsidR="00C154A3" w:rsidRPr="00BE4254">
        <w:t xml:space="preserve"> regard to factors including:</w:t>
      </w:r>
    </w:p>
    <w:p w14:paraId="7E567177" w14:textId="77777777" w:rsidR="00C154A3" w:rsidRPr="00306ABB" w:rsidRDefault="00C154A3" w:rsidP="007B76F0">
      <w:pPr>
        <w:pStyle w:val="ListBullet"/>
        <w:numPr>
          <w:ilvl w:val="0"/>
          <w:numId w:val="14"/>
        </w:numPr>
        <w:rPr>
          <w:color w:val="auto"/>
        </w:rPr>
      </w:pPr>
      <w:r w:rsidRPr="00306ABB">
        <w:rPr>
          <w:color w:val="auto"/>
        </w:rPr>
        <w:t>description of key achievements over the reporting period</w:t>
      </w:r>
    </w:p>
    <w:p w14:paraId="554BE98D" w14:textId="70CE4B7A" w:rsidR="00C154A3" w:rsidRPr="00306ABB" w:rsidRDefault="00C154A3" w:rsidP="007B76F0">
      <w:pPr>
        <w:pStyle w:val="ListBullet"/>
        <w:numPr>
          <w:ilvl w:val="0"/>
          <w:numId w:val="14"/>
        </w:numPr>
        <w:rPr>
          <w:color w:val="auto"/>
        </w:rPr>
      </w:pPr>
      <w:r w:rsidRPr="00306ABB">
        <w:rPr>
          <w:color w:val="auto"/>
        </w:rPr>
        <w:t xml:space="preserve">description of any current and emerging </w:t>
      </w:r>
      <w:r w:rsidR="005E52A3">
        <w:rPr>
          <w:color w:val="auto"/>
        </w:rPr>
        <w:t>financial and operational</w:t>
      </w:r>
      <w:r w:rsidRPr="00306ABB">
        <w:rPr>
          <w:color w:val="auto"/>
        </w:rPr>
        <w:t xml:space="preserve"> risks and responses</w:t>
      </w:r>
    </w:p>
    <w:p w14:paraId="5C4BA1DC" w14:textId="3A710CE2" w:rsidR="00C154A3" w:rsidRPr="00306ABB" w:rsidRDefault="00C154A3" w:rsidP="007B76F0">
      <w:pPr>
        <w:pStyle w:val="ListBullet"/>
        <w:numPr>
          <w:ilvl w:val="0"/>
          <w:numId w:val="14"/>
        </w:numPr>
        <w:rPr>
          <w:color w:val="auto"/>
        </w:rPr>
      </w:pPr>
      <w:r w:rsidRPr="00306ABB">
        <w:rPr>
          <w:color w:val="auto"/>
        </w:rPr>
        <w:t xml:space="preserve">performance information showing the extent to which performance objectives are being met, based on evidence from </w:t>
      </w:r>
      <w:r w:rsidR="00C81471">
        <w:rPr>
          <w:color w:val="auto"/>
        </w:rPr>
        <w:t>entity</w:t>
      </w:r>
      <w:r w:rsidRPr="00306ABB">
        <w:rPr>
          <w:color w:val="auto"/>
        </w:rPr>
        <w:t xml:space="preserve"> indicators</w:t>
      </w:r>
    </w:p>
    <w:p w14:paraId="5C8D5461" w14:textId="1E080256" w:rsidR="00C154A3" w:rsidRPr="00306ABB" w:rsidRDefault="00C154A3" w:rsidP="007B76F0">
      <w:pPr>
        <w:pStyle w:val="ListBullet"/>
        <w:numPr>
          <w:ilvl w:val="0"/>
          <w:numId w:val="14"/>
        </w:numPr>
        <w:rPr>
          <w:color w:val="auto"/>
        </w:rPr>
      </w:pPr>
      <w:r w:rsidRPr="00306ABB">
        <w:rPr>
          <w:color w:val="auto"/>
        </w:rPr>
        <w:t xml:space="preserve">performance information showing the extent to which outputs are being met, based on evidence from </w:t>
      </w:r>
      <w:r w:rsidR="00C81471">
        <w:rPr>
          <w:color w:val="auto"/>
        </w:rPr>
        <w:t>entity</w:t>
      </w:r>
      <w:r w:rsidRPr="00306ABB">
        <w:rPr>
          <w:color w:val="auto"/>
        </w:rPr>
        <w:t xml:space="preserve"> output performance measures</w:t>
      </w:r>
    </w:p>
    <w:p w14:paraId="34EAF6D0" w14:textId="77777777" w:rsidR="00C154A3" w:rsidRPr="00306ABB" w:rsidRDefault="00C154A3" w:rsidP="007B76F0">
      <w:pPr>
        <w:pStyle w:val="ListBullet"/>
        <w:numPr>
          <w:ilvl w:val="0"/>
          <w:numId w:val="14"/>
        </w:numPr>
        <w:rPr>
          <w:color w:val="auto"/>
        </w:rPr>
      </w:pPr>
      <w:r w:rsidRPr="00306ABB">
        <w:rPr>
          <w:color w:val="auto"/>
        </w:rPr>
        <w:t>commentary explaining the key drivers behind any significant variation from targets</w:t>
      </w:r>
    </w:p>
    <w:p w14:paraId="350B60C8" w14:textId="707F47A8" w:rsidR="00C154A3" w:rsidRPr="00BE4254" w:rsidRDefault="00C154A3" w:rsidP="00C154A3">
      <w:r>
        <w:t xml:space="preserve">The department </w:t>
      </w:r>
      <w:r w:rsidRPr="00BE4254">
        <w:t xml:space="preserve">will work with </w:t>
      </w:r>
      <w:r w:rsidR="00C81471">
        <w:t>entities</w:t>
      </w:r>
      <w:r w:rsidRPr="00BE4254">
        <w:t xml:space="preserve"> to ensure performance reports provide sufficient content</w:t>
      </w:r>
      <w:r>
        <w:t xml:space="preserve">, </w:t>
      </w:r>
      <w:r w:rsidRPr="00BE4254">
        <w:t xml:space="preserve">detail and feedback to the </w:t>
      </w:r>
      <w:r w:rsidR="00C81471">
        <w:t>entity</w:t>
      </w:r>
      <w:r w:rsidRPr="00BE4254">
        <w:t xml:space="preserve"> on</w:t>
      </w:r>
      <w:r>
        <w:t xml:space="preserve"> the use and contribution of performance reporting data towards the department’s objectives.</w:t>
      </w:r>
    </w:p>
    <w:p w14:paraId="108C9C9F" w14:textId="699723A9" w:rsidR="00C154A3" w:rsidRDefault="00C154A3" w:rsidP="00C154A3">
      <w:pPr>
        <w:pStyle w:val="Heading3"/>
      </w:pPr>
      <w:bookmarkStart w:id="33" w:name="_Toc39481521"/>
      <w:bookmarkStart w:id="34" w:name="_Toc164067850"/>
      <w:r>
        <w:t>5.3.3</w:t>
      </w:r>
      <w:r>
        <w:tab/>
        <w:t>Financial reports</w:t>
      </w:r>
      <w:bookmarkEnd w:id="33"/>
      <w:bookmarkEnd w:id="34"/>
    </w:p>
    <w:p w14:paraId="7D612991" w14:textId="004D3FBD" w:rsidR="00C154A3" w:rsidRDefault="00C81471" w:rsidP="00C154A3">
      <w:r>
        <w:t>Entities</w:t>
      </w:r>
      <w:r w:rsidR="00C154A3" w:rsidRPr="00086754">
        <w:t xml:space="preserve"> </w:t>
      </w:r>
      <w:r w:rsidR="00C154A3">
        <w:t xml:space="preserve">in the </w:t>
      </w:r>
      <w:r w:rsidR="00C154A3" w:rsidRPr="00086754">
        <w:t xml:space="preserve">general government </w:t>
      </w:r>
      <w:r w:rsidR="00C154A3">
        <w:t>sector</w:t>
      </w:r>
      <w:r w:rsidR="00C154A3" w:rsidRPr="00086754">
        <w:t xml:space="preserve"> </w:t>
      </w:r>
      <w:r w:rsidR="00C154A3">
        <w:t>are required to</w:t>
      </w:r>
      <w:r w:rsidR="00C154A3" w:rsidRPr="00086754">
        <w:t xml:space="preserve"> provide monthly data feeds </w:t>
      </w:r>
      <w:r w:rsidR="00E261F7">
        <w:t xml:space="preserve">and </w:t>
      </w:r>
      <w:r w:rsidR="008A12B9">
        <w:t>comme</w:t>
      </w:r>
      <w:r w:rsidR="00D90212">
        <w:t xml:space="preserve">ntary on </w:t>
      </w:r>
      <w:r w:rsidR="00632FBA">
        <w:t>variances</w:t>
      </w:r>
      <w:r w:rsidR="00D90212">
        <w:t xml:space="preserve"> between budget and </w:t>
      </w:r>
      <w:r w:rsidR="007E2861">
        <w:t>actuals</w:t>
      </w:r>
      <w:r w:rsidR="00C154A3" w:rsidRPr="00086754">
        <w:t xml:space="preserve"> to </w:t>
      </w:r>
      <w:r w:rsidR="00021C23">
        <w:t>the department’s</w:t>
      </w:r>
      <w:r w:rsidR="00E41C84">
        <w:t xml:space="preserve"> </w:t>
      </w:r>
      <w:r w:rsidR="007756A5">
        <w:t xml:space="preserve">Finance, </w:t>
      </w:r>
      <w:r w:rsidR="009A33D5">
        <w:t>Investment</w:t>
      </w:r>
      <w:r w:rsidR="00C154A3">
        <w:t xml:space="preserve"> and Procurement </w:t>
      </w:r>
      <w:r w:rsidR="00025AC3">
        <w:t xml:space="preserve">branch </w:t>
      </w:r>
      <w:r w:rsidR="00465DDD">
        <w:t>with</w:t>
      </w:r>
      <w:r w:rsidR="00C154A3">
        <w:t xml:space="preserve">in </w:t>
      </w:r>
      <w:r w:rsidR="003614B2">
        <w:t xml:space="preserve">the </w:t>
      </w:r>
      <w:r w:rsidR="00C154A3" w:rsidRPr="00086754">
        <w:t>Corporate Services Group</w:t>
      </w:r>
      <w:r w:rsidR="00C154A3">
        <w:t>,</w:t>
      </w:r>
      <w:r w:rsidR="00C154A3" w:rsidRPr="0083061A">
        <w:t xml:space="preserve"> i</w:t>
      </w:r>
      <w:r w:rsidR="00C154A3">
        <w:t>n line with current department</w:t>
      </w:r>
      <w:r w:rsidR="00C154A3" w:rsidRPr="0083061A">
        <w:t xml:space="preserve"> timeframes.</w:t>
      </w:r>
    </w:p>
    <w:p w14:paraId="1384AD85" w14:textId="004E141E" w:rsidR="00C154A3" w:rsidRDefault="00C81471" w:rsidP="00C154A3">
      <w:r>
        <w:t>Entities</w:t>
      </w:r>
      <w:r w:rsidR="00E3514B">
        <w:t xml:space="preserve">, including </w:t>
      </w:r>
      <w:r w:rsidR="00C154A3" w:rsidRPr="00086754">
        <w:t xml:space="preserve">both general government and </w:t>
      </w:r>
      <w:r w:rsidR="00C154A3">
        <w:t>PNFC</w:t>
      </w:r>
      <w:r w:rsidR="0056670F">
        <w:t>s</w:t>
      </w:r>
      <w:r w:rsidR="00E3514B">
        <w:t>,</w:t>
      </w:r>
      <w:r w:rsidR="00C154A3" w:rsidRPr="00086754">
        <w:t xml:space="preserve"> will </w:t>
      </w:r>
      <w:r w:rsidR="00C154A3">
        <w:t xml:space="preserve">submit periodic </w:t>
      </w:r>
      <w:r w:rsidR="00C154A3" w:rsidRPr="00086754">
        <w:t>report</w:t>
      </w:r>
      <w:r w:rsidR="00C154A3">
        <w:t>s to their relationship manager</w:t>
      </w:r>
      <w:r w:rsidR="00CF68C0">
        <w:t>s</w:t>
      </w:r>
      <w:r w:rsidR="00C154A3">
        <w:t xml:space="preserve"> and relevant finance contacts in </w:t>
      </w:r>
      <w:r w:rsidR="00021C23">
        <w:t xml:space="preserve">the department’s Finance, Investment and Procurement branch </w:t>
      </w:r>
      <w:r w:rsidR="00C154A3">
        <w:t>on a periodic basis.</w:t>
      </w:r>
      <w:r w:rsidR="00C154A3" w:rsidRPr="00557D97" w:rsidDel="0020678C">
        <w:rPr>
          <w:highlight w:val="yellow"/>
        </w:rPr>
        <w:t xml:space="preserve"> </w:t>
      </w:r>
      <w:r w:rsidR="00C154A3">
        <w:t xml:space="preserve"> </w:t>
      </w:r>
    </w:p>
    <w:p w14:paraId="640174F2" w14:textId="77777777" w:rsidR="00C154A3" w:rsidRPr="00086754" w:rsidRDefault="00C154A3" w:rsidP="00C154A3">
      <w:pPr>
        <w:keepNext/>
      </w:pPr>
      <w:r>
        <w:t>Financial reports should include:</w:t>
      </w:r>
      <w:r w:rsidRPr="00086754">
        <w:t xml:space="preserve"> </w:t>
      </w:r>
    </w:p>
    <w:p w14:paraId="26F05982" w14:textId="1E83C0F6" w:rsidR="00C154A3" w:rsidRPr="00306ABB" w:rsidRDefault="00C154A3" w:rsidP="007B76F0">
      <w:pPr>
        <w:pStyle w:val="ListBullet"/>
        <w:numPr>
          <w:ilvl w:val="0"/>
          <w:numId w:val="15"/>
        </w:numPr>
        <w:rPr>
          <w:color w:val="auto"/>
        </w:rPr>
      </w:pPr>
      <w:r w:rsidRPr="00306ABB">
        <w:rPr>
          <w:color w:val="auto"/>
        </w:rPr>
        <w:t xml:space="preserve">year-to-date financial performance against </w:t>
      </w:r>
      <w:r w:rsidR="000E13EF">
        <w:rPr>
          <w:color w:val="auto"/>
        </w:rPr>
        <w:t xml:space="preserve">the </w:t>
      </w:r>
      <w:r w:rsidRPr="00306ABB">
        <w:rPr>
          <w:color w:val="auto"/>
        </w:rPr>
        <w:t>approved budget, revised budget (where applicable) and estimated full year forecasts (including profit and loss statement, balance sheet and cash flow statements)</w:t>
      </w:r>
      <w:r w:rsidRPr="00306ABB">
        <w:rPr>
          <w:rStyle w:val="FootnoteReference"/>
          <w:rFonts w:cs="Arial"/>
          <w:color w:val="auto"/>
          <w:sz w:val="22"/>
        </w:rPr>
        <w:footnoteReference w:id="4"/>
      </w:r>
    </w:p>
    <w:p w14:paraId="6DA691C9" w14:textId="2DBA818A" w:rsidR="00C154A3" w:rsidRPr="00306ABB" w:rsidRDefault="00C154A3" w:rsidP="007B76F0">
      <w:pPr>
        <w:pStyle w:val="ListBullet"/>
        <w:numPr>
          <w:ilvl w:val="0"/>
          <w:numId w:val="15"/>
        </w:numPr>
        <w:rPr>
          <w:color w:val="auto"/>
        </w:rPr>
      </w:pPr>
      <w:r w:rsidRPr="00306ABB">
        <w:rPr>
          <w:color w:val="auto"/>
        </w:rPr>
        <w:t>underlying assumptions</w:t>
      </w:r>
      <w:r w:rsidR="002C6BD2">
        <w:rPr>
          <w:color w:val="auto"/>
        </w:rPr>
        <w:t xml:space="preserve"> that underpin the forecasts</w:t>
      </w:r>
      <w:r w:rsidRPr="00306ABB">
        <w:rPr>
          <w:color w:val="auto"/>
        </w:rPr>
        <w:t xml:space="preserve"> and details in relation to key factors affecting the financial performance (year-to-date and full year forecasts)</w:t>
      </w:r>
    </w:p>
    <w:p w14:paraId="2A33C9C0" w14:textId="66CB7561" w:rsidR="00C154A3" w:rsidRPr="00306ABB" w:rsidRDefault="00C154A3" w:rsidP="007B76F0">
      <w:pPr>
        <w:pStyle w:val="ListBullet"/>
        <w:numPr>
          <w:ilvl w:val="0"/>
          <w:numId w:val="15"/>
        </w:numPr>
        <w:rPr>
          <w:color w:val="auto"/>
        </w:rPr>
      </w:pPr>
      <w:r w:rsidRPr="00306ABB">
        <w:rPr>
          <w:color w:val="auto"/>
        </w:rPr>
        <w:t xml:space="preserve">description of any current and emerging risks that </w:t>
      </w:r>
      <w:r w:rsidR="002C6BD2">
        <w:rPr>
          <w:color w:val="auto"/>
        </w:rPr>
        <w:t xml:space="preserve">may </w:t>
      </w:r>
      <w:r w:rsidRPr="00306ABB">
        <w:rPr>
          <w:color w:val="auto"/>
        </w:rPr>
        <w:t xml:space="preserve">have financial implications and responses (covering at least </w:t>
      </w:r>
      <w:r w:rsidR="003578CA">
        <w:rPr>
          <w:color w:val="auto"/>
        </w:rPr>
        <w:t xml:space="preserve">the </w:t>
      </w:r>
      <w:r w:rsidRPr="00306ABB">
        <w:rPr>
          <w:color w:val="auto"/>
        </w:rPr>
        <w:t>next 12 months as a rolling forecast)</w:t>
      </w:r>
    </w:p>
    <w:p w14:paraId="1FCF9CCC" w14:textId="77777777" w:rsidR="00C154A3" w:rsidRPr="00306ABB" w:rsidRDefault="00C154A3" w:rsidP="007B76F0">
      <w:pPr>
        <w:pStyle w:val="ListBullet"/>
        <w:numPr>
          <w:ilvl w:val="0"/>
          <w:numId w:val="15"/>
        </w:numPr>
        <w:rPr>
          <w:color w:val="auto"/>
        </w:rPr>
      </w:pPr>
      <w:r w:rsidRPr="00306ABB">
        <w:rPr>
          <w:color w:val="auto"/>
        </w:rPr>
        <w:t>explanations for any significant variations between budget and actuals</w:t>
      </w:r>
    </w:p>
    <w:p w14:paraId="7ABF13F9" w14:textId="2662F5B0" w:rsidR="00C154A3" w:rsidRPr="00306ABB" w:rsidRDefault="00C154A3" w:rsidP="007B76F0">
      <w:pPr>
        <w:pStyle w:val="ListBullet"/>
        <w:numPr>
          <w:ilvl w:val="0"/>
          <w:numId w:val="15"/>
        </w:numPr>
        <w:rPr>
          <w:color w:val="auto"/>
        </w:rPr>
      </w:pPr>
      <w:r w:rsidRPr="00306ABB">
        <w:rPr>
          <w:color w:val="auto"/>
        </w:rPr>
        <w:t>strategies planned and implemented to address any significant variations</w:t>
      </w:r>
    </w:p>
    <w:p w14:paraId="0F6E3DCF" w14:textId="77777777" w:rsidR="00C154A3" w:rsidRPr="00306ABB" w:rsidRDefault="00C154A3" w:rsidP="007B76F0">
      <w:pPr>
        <w:pStyle w:val="ListBullet"/>
        <w:numPr>
          <w:ilvl w:val="0"/>
          <w:numId w:val="15"/>
        </w:numPr>
        <w:rPr>
          <w:color w:val="auto"/>
        </w:rPr>
      </w:pPr>
      <w:r w:rsidRPr="00306ABB">
        <w:rPr>
          <w:color w:val="auto"/>
        </w:rPr>
        <w:t>performance information on any financial indicators (KPIs) and financial ratios, as appropriate against targets</w:t>
      </w:r>
    </w:p>
    <w:p w14:paraId="268EA78F" w14:textId="7A0C95E4" w:rsidR="00094154" w:rsidRPr="00306ABB" w:rsidRDefault="00094154" w:rsidP="007B76F0">
      <w:pPr>
        <w:pStyle w:val="ListBullet"/>
        <w:numPr>
          <w:ilvl w:val="0"/>
          <w:numId w:val="15"/>
        </w:numPr>
        <w:rPr>
          <w:color w:val="auto"/>
        </w:rPr>
      </w:pPr>
      <w:r w:rsidRPr="00306ABB">
        <w:rPr>
          <w:color w:val="auto"/>
        </w:rPr>
        <w:t xml:space="preserve">sign-off from the </w:t>
      </w:r>
      <w:r w:rsidR="00C81471">
        <w:rPr>
          <w:color w:val="auto"/>
        </w:rPr>
        <w:t>entity</w:t>
      </w:r>
      <w:r w:rsidRPr="00306ABB">
        <w:rPr>
          <w:color w:val="auto"/>
        </w:rPr>
        <w:t xml:space="preserve">’s accountable officer (usually the </w:t>
      </w:r>
      <w:r w:rsidR="0060055D">
        <w:rPr>
          <w:color w:val="auto"/>
        </w:rPr>
        <w:t>c</w:t>
      </w:r>
      <w:r w:rsidRPr="00306ABB">
        <w:rPr>
          <w:color w:val="auto"/>
        </w:rPr>
        <w:t xml:space="preserve">hief </w:t>
      </w:r>
      <w:r w:rsidR="0060055D">
        <w:rPr>
          <w:color w:val="auto"/>
        </w:rPr>
        <w:t>e</w:t>
      </w:r>
      <w:r w:rsidRPr="00306ABB">
        <w:rPr>
          <w:color w:val="auto"/>
        </w:rPr>
        <w:t xml:space="preserve">xecutive </w:t>
      </w:r>
      <w:r w:rsidR="0060055D">
        <w:rPr>
          <w:color w:val="auto"/>
        </w:rPr>
        <w:t>o</w:t>
      </w:r>
      <w:r w:rsidRPr="00306ABB">
        <w:rPr>
          <w:color w:val="auto"/>
        </w:rPr>
        <w:t xml:space="preserve">fficer </w:t>
      </w:r>
      <w:r w:rsidR="00C10F18">
        <w:rPr>
          <w:color w:val="auto"/>
        </w:rPr>
        <w:t xml:space="preserve">(CEO) </w:t>
      </w:r>
      <w:r w:rsidRPr="00306ABB">
        <w:rPr>
          <w:color w:val="auto"/>
        </w:rPr>
        <w:t>or equivalent</w:t>
      </w:r>
      <w:r w:rsidR="00E6253D">
        <w:rPr>
          <w:color w:val="auto"/>
        </w:rPr>
        <w:t>,</w:t>
      </w:r>
      <w:r w:rsidRPr="00306ABB">
        <w:rPr>
          <w:color w:val="auto"/>
        </w:rPr>
        <w:t xml:space="preserve"> or the board if the </w:t>
      </w:r>
      <w:r w:rsidR="00C81471">
        <w:rPr>
          <w:color w:val="auto"/>
        </w:rPr>
        <w:t>entity</w:t>
      </w:r>
      <w:r w:rsidRPr="00306ABB">
        <w:rPr>
          <w:color w:val="auto"/>
        </w:rPr>
        <w:t xml:space="preserve"> is a PNFC)</w:t>
      </w:r>
      <w:r w:rsidR="000E13EF">
        <w:rPr>
          <w:color w:val="auto"/>
        </w:rPr>
        <w:t>.</w:t>
      </w:r>
    </w:p>
    <w:p w14:paraId="727B91BB" w14:textId="299FC7EB" w:rsidR="00094154" w:rsidRPr="00CE69F3" w:rsidRDefault="00C81471" w:rsidP="00094154">
      <w:r>
        <w:t>Entities</w:t>
      </w:r>
      <w:r w:rsidR="00094154" w:rsidRPr="00CE69F3">
        <w:t xml:space="preserve"> are </w:t>
      </w:r>
      <w:r w:rsidR="00094154" w:rsidRPr="00086754">
        <w:t>required</w:t>
      </w:r>
      <w:r w:rsidR="00094154" w:rsidRPr="00CE69F3">
        <w:t xml:space="preserve"> to provide the</w:t>
      </w:r>
      <w:r w:rsidR="00094154">
        <w:t xml:space="preserve"> department with the </w:t>
      </w:r>
      <w:r w:rsidR="00094154" w:rsidRPr="00CE69F3">
        <w:t xml:space="preserve">following </w:t>
      </w:r>
      <w:r w:rsidR="00094154">
        <w:t xml:space="preserve">on </w:t>
      </w:r>
      <w:r w:rsidR="00094154" w:rsidRPr="00CE69F3">
        <w:t>an annual basis:</w:t>
      </w:r>
    </w:p>
    <w:p w14:paraId="09929ADD" w14:textId="3D78268C" w:rsidR="00094154" w:rsidRPr="007D22A1" w:rsidRDefault="00094154" w:rsidP="00094154">
      <w:r>
        <w:t xml:space="preserve">a) </w:t>
      </w:r>
      <w:r w:rsidR="006F6864">
        <w:t>A</w:t>
      </w:r>
      <w:r>
        <w:t>n a</w:t>
      </w:r>
      <w:r w:rsidRPr="007D22A1">
        <w:t xml:space="preserve">udited </w:t>
      </w:r>
      <w:r>
        <w:t>a</w:t>
      </w:r>
      <w:r w:rsidRPr="007D22A1">
        <w:t xml:space="preserve">nnual </w:t>
      </w:r>
      <w:r>
        <w:t>r</w:t>
      </w:r>
      <w:r w:rsidRPr="007D22A1">
        <w:t>eport which comprises the financial statements and review of operations:</w:t>
      </w:r>
    </w:p>
    <w:p w14:paraId="584BC15D" w14:textId="2A344E04" w:rsidR="00094154" w:rsidRPr="00306ABB" w:rsidRDefault="00094154" w:rsidP="007B76F0">
      <w:pPr>
        <w:pStyle w:val="ListBullet"/>
        <w:numPr>
          <w:ilvl w:val="0"/>
          <w:numId w:val="16"/>
        </w:numPr>
        <w:rPr>
          <w:color w:val="auto"/>
        </w:rPr>
      </w:pPr>
      <w:r w:rsidRPr="00306ABB">
        <w:rPr>
          <w:color w:val="auto"/>
        </w:rPr>
        <w:t xml:space="preserve">if required under the FMA or enabling legislation, </w:t>
      </w:r>
      <w:r w:rsidR="00C81471">
        <w:rPr>
          <w:color w:val="auto"/>
        </w:rPr>
        <w:t>entities</w:t>
      </w:r>
      <w:r w:rsidRPr="00306ABB">
        <w:rPr>
          <w:color w:val="auto"/>
        </w:rPr>
        <w:t xml:space="preserve"> need to submit their final annual report to the department </w:t>
      </w:r>
      <w:r w:rsidR="00F21E3D">
        <w:rPr>
          <w:color w:val="auto"/>
        </w:rPr>
        <w:t>for</w:t>
      </w:r>
      <w:r w:rsidRPr="00306ABB">
        <w:rPr>
          <w:color w:val="auto"/>
        </w:rPr>
        <w:t xml:space="preserve"> tabling in Parliament through the relevant minister. Prior to finalising the annual report, the </w:t>
      </w:r>
      <w:r w:rsidR="00C81471">
        <w:rPr>
          <w:color w:val="auto"/>
        </w:rPr>
        <w:t>entity</w:t>
      </w:r>
      <w:r w:rsidRPr="00306ABB">
        <w:rPr>
          <w:color w:val="auto"/>
        </w:rPr>
        <w:t xml:space="preserve"> needs to provide the department with the financial statements and draft report of operations for review and consultation</w:t>
      </w:r>
    </w:p>
    <w:p w14:paraId="6D45E5A6" w14:textId="14C6F41F" w:rsidR="00094154" w:rsidRPr="00306ABB" w:rsidRDefault="00094154" w:rsidP="007B76F0">
      <w:pPr>
        <w:pStyle w:val="ListBullet"/>
        <w:numPr>
          <w:ilvl w:val="0"/>
          <w:numId w:val="16"/>
        </w:numPr>
        <w:rPr>
          <w:color w:val="auto"/>
        </w:rPr>
      </w:pPr>
      <w:r w:rsidRPr="00306ABB">
        <w:rPr>
          <w:color w:val="auto"/>
        </w:rPr>
        <w:t xml:space="preserve">the annual report needs to comply with the annual reporting requirements </w:t>
      </w:r>
      <w:r w:rsidR="002A5B7A">
        <w:rPr>
          <w:color w:val="auto"/>
        </w:rPr>
        <w:t>outlined</w:t>
      </w:r>
      <w:r w:rsidRPr="00306ABB">
        <w:rPr>
          <w:color w:val="auto"/>
        </w:rPr>
        <w:t xml:space="preserve"> in Section 45 of the FMA, subordinate reporting directions and other statutory reporting provisions</w:t>
      </w:r>
      <w:r w:rsidR="006F6864">
        <w:rPr>
          <w:color w:val="auto"/>
        </w:rPr>
        <w:t>.</w:t>
      </w:r>
    </w:p>
    <w:p w14:paraId="2D87FB7B" w14:textId="456B98E2" w:rsidR="00094154" w:rsidRPr="00A21259" w:rsidRDefault="00094154" w:rsidP="00094154">
      <w:r>
        <w:t xml:space="preserve">b) </w:t>
      </w:r>
      <w:r w:rsidR="006F6864">
        <w:t>E</w:t>
      </w:r>
      <w:r w:rsidRPr="00A21259">
        <w:t>nd</w:t>
      </w:r>
      <w:r>
        <w:t>-</w:t>
      </w:r>
      <w:r w:rsidRPr="00A21259">
        <w:t>of</w:t>
      </w:r>
      <w:r>
        <w:t>-y</w:t>
      </w:r>
      <w:r w:rsidRPr="00A21259">
        <w:t xml:space="preserve">ear </w:t>
      </w:r>
      <w:r>
        <w:t>r</w:t>
      </w:r>
      <w:r w:rsidRPr="00A21259">
        <w:t xml:space="preserve">eport which comprises: </w:t>
      </w:r>
    </w:p>
    <w:p w14:paraId="54C75FFF" w14:textId="77777777" w:rsidR="00094154" w:rsidRPr="00B25B4A" w:rsidRDefault="00094154" w:rsidP="007B76F0">
      <w:pPr>
        <w:pStyle w:val="ListBullet"/>
        <w:numPr>
          <w:ilvl w:val="0"/>
          <w:numId w:val="17"/>
        </w:numPr>
        <w:rPr>
          <w:color w:val="auto"/>
        </w:rPr>
      </w:pPr>
      <w:r w:rsidRPr="00B25B4A">
        <w:rPr>
          <w:color w:val="auto"/>
        </w:rPr>
        <w:lastRenderedPageBreak/>
        <w:t>periodic financial reporting during the year</w:t>
      </w:r>
    </w:p>
    <w:p w14:paraId="7FBA89F5" w14:textId="3DDCEC53" w:rsidR="00094154" w:rsidRPr="00B25B4A" w:rsidRDefault="00C81471" w:rsidP="007B76F0">
      <w:pPr>
        <w:pStyle w:val="ListBullet"/>
        <w:numPr>
          <w:ilvl w:val="0"/>
          <w:numId w:val="17"/>
        </w:numPr>
        <w:rPr>
          <w:color w:val="auto"/>
        </w:rPr>
      </w:pPr>
      <w:r>
        <w:rPr>
          <w:color w:val="auto"/>
        </w:rPr>
        <w:t>entity</w:t>
      </w:r>
      <w:r w:rsidR="00094154" w:rsidRPr="00B25B4A">
        <w:rPr>
          <w:color w:val="auto"/>
        </w:rPr>
        <w:t>’s achievements against budget and the previous year</w:t>
      </w:r>
    </w:p>
    <w:p w14:paraId="324B716B" w14:textId="4023C32E" w:rsidR="00094154" w:rsidRPr="00B25B4A" w:rsidRDefault="00094154" w:rsidP="007B76F0">
      <w:pPr>
        <w:pStyle w:val="ListBullet"/>
        <w:numPr>
          <w:ilvl w:val="0"/>
          <w:numId w:val="17"/>
        </w:numPr>
        <w:rPr>
          <w:color w:val="auto"/>
        </w:rPr>
      </w:pPr>
      <w:r w:rsidRPr="00B25B4A">
        <w:rPr>
          <w:color w:val="auto"/>
        </w:rPr>
        <w:t>the calculation of the following five metrics:</w:t>
      </w:r>
    </w:p>
    <w:p w14:paraId="134AE1A0" w14:textId="77777777" w:rsidR="00094154" w:rsidRPr="00B25B4A" w:rsidRDefault="00094154" w:rsidP="002B4645">
      <w:pPr>
        <w:pStyle w:val="ListBullet"/>
        <w:numPr>
          <w:ilvl w:val="0"/>
          <w:numId w:val="17"/>
        </w:numPr>
        <w:ind w:left="1080"/>
        <w:rPr>
          <w:color w:val="auto"/>
        </w:rPr>
      </w:pPr>
      <w:r w:rsidRPr="00B25B4A">
        <w:rPr>
          <w:color w:val="auto"/>
        </w:rPr>
        <w:t>working capital</w:t>
      </w:r>
    </w:p>
    <w:p w14:paraId="3ABE831A" w14:textId="77777777" w:rsidR="00094154" w:rsidRPr="00B25B4A" w:rsidRDefault="00094154" w:rsidP="002B4645">
      <w:pPr>
        <w:pStyle w:val="ListBullet"/>
        <w:numPr>
          <w:ilvl w:val="0"/>
          <w:numId w:val="17"/>
        </w:numPr>
        <w:ind w:left="1080"/>
        <w:rPr>
          <w:color w:val="auto"/>
        </w:rPr>
      </w:pPr>
      <w:r w:rsidRPr="00B25B4A">
        <w:rPr>
          <w:color w:val="auto"/>
        </w:rPr>
        <w:t>capex replacement</w:t>
      </w:r>
    </w:p>
    <w:p w14:paraId="39B85D54" w14:textId="77777777" w:rsidR="00094154" w:rsidRPr="00B25B4A" w:rsidRDefault="00094154" w:rsidP="002B4645">
      <w:pPr>
        <w:pStyle w:val="ListBullet"/>
        <w:numPr>
          <w:ilvl w:val="0"/>
          <w:numId w:val="17"/>
        </w:numPr>
        <w:ind w:left="1080"/>
        <w:rPr>
          <w:color w:val="auto"/>
        </w:rPr>
      </w:pPr>
      <w:r w:rsidRPr="00B25B4A">
        <w:rPr>
          <w:color w:val="auto"/>
        </w:rPr>
        <w:t>revenue growth</w:t>
      </w:r>
    </w:p>
    <w:p w14:paraId="70E13408" w14:textId="5EE450C5" w:rsidR="00094154" w:rsidRPr="00B25B4A" w:rsidRDefault="00094154" w:rsidP="002B4645">
      <w:pPr>
        <w:pStyle w:val="ListBullet"/>
        <w:numPr>
          <w:ilvl w:val="0"/>
          <w:numId w:val="18"/>
        </w:numPr>
        <w:ind w:left="1080"/>
        <w:rPr>
          <w:color w:val="auto"/>
        </w:rPr>
      </w:pPr>
      <w:r w:rsidRPr="00B25B4A">
        <w:rPr>
          <w:color w:val="auto"/>
        </w:rPr>
        <w:t>labour growth</w:t>
      </w:r>
      <w:r w:rsidR="006F6864">
        <w:rPr>
          <w:color w:val="auto"/>
        </w:rPr>
        <w:t>.</w:t>
      </w:r>
    </w:p>
    <w:p w14:paraId="0A9612EB" w14:textId="77777777" w:rsidR="00094154" w:rsidRDefault="00094154" w:rsidP="00094154">
      <w:r w:rsidRPr="00A21259">
        <w:t xml:space="preserve">Periodical financial reporting will </w:t>
      </w:r>
      <w:r>
        <w:t xml:space="preserve">include </w:t>
      </w:r>
      <w:r w:rsidRPr="00A21259">
        <w:t xml:space="preserve">capital expenditure (both at an aggregate </w:t>
      </w:r>
      <w:r>
        <w:t xml:space="preserve">level </w:t>
      </w:r>
      <w:r w:rsidRPr="00A21259">
        <w:t>and for key initiatives) and key financial and non-financial risks (current and emerging).</w:t>
      </w:r>
    </w:p>
    <w:p w14:paraId="3A606629" w14:textId="5F6305EA" w:rsidR="00094154" w:rsidRPr="00B25B4A" w:rsidRDefault="00C81471" w:rsidP="00193AD9">
      <w:pPr>
        <w:pStyle w:val="ListBullet"/>
        <w:numPr>
          <w:ilvl w:val="0"/>
          <w:numId w:val="0"/>
        </w:numPr>
        <w:rPr>
          <w:color w:val="auto"/>
        </w:rPr>
      </w:pPr>
      <w:r>
        <w:rPr>
          <w:color w:val="auto"/>
        </w:rPr>
        <w:t>Entities</w:t>
      </w:r>
      <w:r w:rsidR="00094154" w:rsidRPr="00B25B4A">
        <w:rPr>
          <w:color w:val="auto"/>
        </w:rPr>
        <w:t xml:space="preserve"> need to submit periodic reporting by the following dates after period end:</w:t>
      </w:r>
    </w:p>
    <w:p w14:paraId="1F3C13DB" w14:textId="77777777" w:rsidR="00094154" w:rsidRPr="00B25B4A" w:rsidRDefault="00094154" w:rsidP="007B76F0">
      <w:pPr>
        <w:pStyle w:val="ListBullet"/>
        <w:numPr>
          <w:ilvl w:val="0"/>
          <w:numId w:val="19"/>
        </w:numPr>
        <w:rPr>
          <w:color w:val="auto"/>
        </w:rPr>
      </w:pPr>
      <w:r w:rsidRPr="00B25B4A">
        <w:rPr>
          <w:color w:val="auto"/>
        </w:rPr>
        <w:t>If monthly reporting – in line with current departmental timeframes after month end</w:t>
      </w:r>
    </w:p>
    <w:p w14:paraId="5ED26DAE" w14:textId="77777777" w:rsidR="00094154" w:rsidRPr="00B25B4A" w:rsidRDefault="00094154" w:rsidP="007B76F0">
      <w:pPr>
        <w:pStyle w:val="ListBullet"/>
        <w:numPr>
          <w:ilvl w:val="0"/>
          <w:numId w:val="19"/>
        </w:numPr>
        <w:rPr>
          <w:color w:val="auto"/>
        </w:rPr>
      </w:pPr>
      <w:r w:rsidRPr="00B25B4A">
        <w:rPr>
          <w:color w:val="auto"/>
        </w:rPr>
        <w:t>If quarterly reporting – in line with current departmental timeframes after quarter end</w:t>
      </w:r>
    </w:p>
    <w:p w14:paraId="49C6A419" w14:textId="77777777" w:rsidR="00094154" w:rsidRPr="00B25B4A" w:rsidRDefault="00094154" w:rsidP="007B76F0">
      <w:pPr>
        <w:pStyle w:val="ListBullet"/>
        <w:numPr>
          <w:ilvl w:val="0"/>
          <w:numId w:val="19"/>
        </w:numPr>
        <w:rPr>
          <w:color w:val="auto"/>
        </w:rPr>
      </w:pPr>
      <w:r w:rsidRPr="00B25B4A">
        <w:rPr>
          <w:color w:val="auto"/>
        </w:rPr>
        <w:t>If bi-annual reporting – in line with current departmental timeframes after the half year end</w:t>
      </w:r>
    </w:p>
    <w:p w14:paraId="64921E88" w14:textId="45372D3D" w:rsidR="00094154" w:rsidRPr="00B25B4A" w:rsidRDefault="00094154" w:rsidP="007B76F0">
      <w:pPr>
        <w:pStyle w:val="ListBullet"/>
        <w:numPr>
          <w:ilvl w:val="0"/>
          <w:numId w:val="19"/>
        </w:numPr>
        <w:rPr>
          <w:color w:val="auto"/>
        </w:rPr>
      </w:pPr>
      <w:r w:rsidRPr="00B25B4A">
        <w:rPr>
          <w:color w:val="auto"/>
        </w:rPr>
        <w:t>If annual reporting – in line with current department timeframes after year end</w:t>
      </w:r>
      <w:r w:rsidR="00520BC0">
        <w:rPr>
          <w:color w:val="auto"/>
        </w:rPr>
        <w:t>.</w:t>
      </w:r>
    </w:p>
    <w:p w14:paraId="54AC240D" w14:textId="42FA42BD" w:rsidR="00094154" w:rsidRPr="007D22A1" w:rsidRDefault="00094154" w:rsidP="00C12EE7">
      <w:r w:rsidRPr="00A21259">
        <w:t xml:space="preserve">The last periodic report for a financial year will be replaced with an </w:t>
      </w:r>
      <w:r>
        <w:t>e</w:t>
      </w:r>
      <w:r w:rsidRPr="00A21259">
        <w:t xml:space="preserve">nd of </w:t>
      </w:r>
      <w:r>
        <w:t>y</w:t>
      </w:r>
      <w:r w:rsidRPr="00A21259">
        <w:t>ear report</w:t>
      </w:r>
      <w:r w:rsidR="2BEDAD1D">
        <w:t xml:space="preserve"> including a copy of </w:t>
      </w:r>
      <w:r w:rsidR="00C52B3B">
        <w:t xml:space="preserve">the </w:t>
      </w:r>
      <w:r w:rsidR="2BEDAD1D">
        <w:t>signed annual attestation statement against the requirements of the</w:t>
      </w:r>
      <w:r w:rsidR="00E637AA">
        <w:t xml:space="preserve"> FMA</w:t>
      </w:r>
      <w:r w:rsidR="00CA7BF0">
        <w:t>.</w:t>
      </w:r>
    </w:p>
    <w:p w14:paraId="5D51B5B6" w14:textId="6E43E876" w:rsidR="00B23C3B" w:rsidRPr="001D3EEC" w:rsidRDefault="00B23C3B" w:rsidP="001767E2">
      <w:pPr>
        <w:pStyle w:val="Heading3"/>
        <w:ind w:left="567" w:hanging="567"/>
      </w:pPr>
      <w:bookmarkStart w:id="35" w:name="_Toc39481522"/>
      <w:bookmarkStart w:id="36" w:name="_Toc164067851"/>
      <w:r>
        <w:t>5.3.4</w:t>
      </w:r>
      <w:r>
        <w:tab/>
      </w:r>
      <w:r w:rsidRPr="00DB0A1B">
        <w:t>Compliance with DTF’s Asset Management and Accountability Framework</w:t>
      </w:r>
      <w:r>
        <w:t xml:space="preserve"> (AMAF)</w:t>
      </w:r>
      <w:r w:rsidRPr="00DB0A1B">
        <w:t xml:space="preserve"> and related attestation requirements</w:t>
      </w:r>
      <w:bookmarkEnd w:id="35"/>
      <w:bookmarkEnd w:id="36"/>
    </w:p>
    <w:p w14:paraId="6780BDCC" w14:textId="4CAF8C19" w:rsidR="00DE0601" w:rsidRDefault="0096539F" w:rsidP="00A708DA">
      <w:r>
        <w:t>Entities utili</w:t>
      </w:r>
      <w:r w:rsidR="009A5870">
        <w:t>s</w:t>
      </w:r>
      <w:r>
        <w:t>e assets to deliver services to Victorians.</w:t>
      </w:r>
      <w:r w:rsidR="00921E70" w:rsidRPr="00921E70">
        <w:t xml:space="preserve"> The </w:t>
      </w:r>
      <w:hyperlink r:id="rId35" w:history="1">
        <w:r w:rsidR="00921E70" w:rsidRPr="003E31AE">
          <w:rPr>
            <w:rStyle w:val="Hyperlink"/>
          </w:rPr>
          <w:t>AMAF</w:t>
        </w:r>
      </w:hyperlink>
      <w:r w:rsidR="00921E70" w:rsidRPr="00921E70">
        <w:t xml:space="preserve"> has a strong focus on continuously improving asset management</w:t>
      </w:r>
      <w:r w:rsidRPr="00940DEA">
        <w:t xml:space="preserve"> </w:t>
      </w:r>
      <w:r w:rsidR="00E36343">
        <w:t>and</w:t>
      </w:r>
      <w:r w:rsidR="00E36343" w:rsidRPr="00E36343">
        <w:t xml:space="preserve"> aims to support </w:t>
      </w:r>
      <w:r w:rsidR="00E36343">
        <w:t>entities</w:t>
      </w:r>
      <w:r w:rsidR="00E36343" w:rsidRPr="00E36343">
        <w:t xml:space="preserve"> to implement effective asset management systems</w:t>
      </w:r>
      <w:r w:rsidR="001B5295">
        <w:t>, processes</w:t>
      </w:r>
      <w:r w:rsidR="00E36343" w:rsidRPr="00E36343">
        <w:t xml:space="preserve"> and be accountable for their assets. </w:t>
      </w:r>
    </w:p>
    <w:p w14:paraId="3FB14870" w14:textId="789A0732" w:rsidR="001B5295" w:rsidRDefault="001B5295" w:rsidP="00A708DA">
      <w:r w:rsidRPr="001B5295">
        <w:t xml:space="preserve">The AMAF details mandatory asset management requirements as well as general guidance for </w:t>
      </w:r>
      <w:r w:rsidR="00AE4A21">
        <w:t>entities</w:t>
      </w:r>
      <w:r w:rsidRPr="001B5295">
        <w:t xml:space="preserve"> responsible for managing </w:t>
      </w:r>
      <w:r w:rsidR="00A804B6">
        <w:t xml:space="preserve">and overseeing </w:t>
      </w:r>
      <w:r w:rsidR="00170D4B">
        <w:t>(through</w:t>
      </w:r>
      <w:r w:rsidR="00A804B6">
        <w:t xml:space="preserve"> devolved accountability) </w:t>
      </w:r>
      <w:r w:rsidRPr="001B5295">
        <w:t xml:space="preserve">assets. Mandatory requirements include developing asset management strategies, governance frameworks, performance standards and processes to regularly monitor </w:t>
      </w:r>
      <w:r w:rsidR="00170D4B">
        <w:t>asset performance</w:t>
      </w:r>
      <w:r w:rsidRPr="001B5295">
        <w:t xml:space="preserve"> and improve asset management. The requirements also include establishing systems and processes for identifying and addressing performance failures.</w:t>
      </w:r>
      <w:r w:rsidR="0066598D">
        <w:t xml:space="preserve"> Leadership and accountability </w:t>
      </w:r>
      <w:r w:rsidR="001A3681">
        <w:t>form</w:t>
      </w:r>
      <w:r w:rsidR="0066598D">
        <w:t xml:space="preserve"> an integral part of AMAF.</w:t>
      </w:r>
    </w:p>
    <w:p w14:paraId="658AAE99" w14:textId="5C2D25E9" w:rsidR="00FB5019" w:rsidRDefault="009962CD" w:rsidP="00EC3FD6">
      <w:r>
        <w:t>AMAF is mandated through Standing</w:t>
      </w:r>
      <w:r w:rsidR="00102797">
        <w:t xml:space="preserve"> </w:t>
      </w:r>
      <w:r w:rsidR="005B677E">
        <w:t>D</w:t>
      </w:r>
      <w:r w:rsidR="00FC2ED2">
        <w:t>irections</w:t>
      </w:r>
      <w:r w:rsidR="00AA17FC">
        <w:t>, requiring</w:t>
      </w:r>
      <w:r w:rsidRPr="004B3A46">
        <w:t xml:space="preserve"> </w:t>
      </w:r>
      <w:r>
        <w:t>entities</w:t>
      </w:r>
      <w:r w:rsidRPr="004B3A46">
        <w:t xml:space="preserve"> to </w:t>
      </w:r>
      <w:r>
        <w:t>assess</w:t>
      </w:r>
      <w:r w:rsidR="00FB5019">
        <w:t xml:space="preserve"> annual</w:t>
      </w:r>
      <w:r w:rsidRPr="004B3A46">
        <w:t xml:space="preserve"> compliance against the mandatory requirements</w:t>
      </w:r>
      <w:r>
        <w:t>.</w:t>
      </w:r>
    </w:p>
    <w:p w14:paraId="02048A21" w14:textId="0CAC010A" w:rsidR="00EC3FD6" w:rsidRDefault="00055583" w:rsidP="00EC3FD6">
      <w:r>
        <w:t xml:space="preserve">For entities with their own board, the </w:t>
      </w:r>
      <w:r w:rsidR="003A134D">
        <w:t>a</w:t>
      </w:r>
      <w:r>
        <w:t xml:space="preserve">ccountable </w:t>
      </w:r>
      <w:r w:rsidR="003A134D">
        <w:t>o</w:t>
      </w:r>
      <w:r>
        <w:t xml:space="preserve">fficer (usually the </w:t>
      </w:r>
      <w:r w:rsidR="006F29FB">
        <w:t>e</w:t>
      </w:r>
      <w:r>
        <w:t xml:space="preserve">ntity CEO) is required to provide assurance to the </w:t>
      </w:r>
      <w:r w:rsidR="00C10F18">
        <w:t>c</w:t>
      </w:r>
      <w:r>
        <w:t xml:space="preserve">hair of that board (the </w:t>
      </w:r>
      <w:r w:rsidR="00C10F18">
        <w:t>r</w:t>
      </w:r>
      <w:r>
        <w:t xml:space="preserve">esponsible </w:t>
      </w:r>
      <w:r w:rsidR="00C10F18">
        <w:t>b</w:t>
      </w:r>
      <w:r>
        <w:t xml:space="preserve">ody) that the entity complies with the requirements of the AMAF. </w:t>
      </w:r>
      <w:r w:rsidR="00EC3FD6">
        <w:t xml:space="preserve">The </w:t>
      </w:r>
      <w:r w:rsidR="00C10F18">
        <w:t>r</w:t>
      </w:r>
      <w:r w:rsidR="00EC3FD6" w:rsidRPr="00741155">
        <w:t xml:space="preserve">esponsible </w:t>
      </w:r>
      <w:r w:rsidR="00C10F18">
        <w:t>b</w:t>
      </w:r>
      <w:r w:rsidR="00EC3FD6" w:rsidRPr="00741155">
        <w:t>odies</w:t>
      </w:r>
      <w:r w:rsidR="00EC3FD6">
        <w:t xml:space="preserve"> </w:t>
      </w:r>
      <w:r w:rsidR="00EC3FD6" w:rsidRPr="00741155">
        <w:t>must, at least every three years</w:t>
      </w:r>
      <w:r w:rsidR="00EC3FD6">
        <w:t xml:space="preserve"> from 2020-21</w:t>
      </w:r>
      <w:r w:rsidR="00EC3FD6" w:rsidRPr="00741155">
        <w:t xml:space="preserve">, conduct a self-assessment of the level of asset management maturity within their </w:t>
      </w:r>
      <w:r w:rsidR="00EC3FD6">
        <w:t xml:space="preserve">entity </w:t>
      </w:r>
      <w:r w:rsidR="00EC3FD6" w:rsidRPr="00741155">
        <w:t>and state this in their annual repor</w:t>
      </w:r>
      <w:r w:rsidR="00EC3FD6">
        <w:t>t.</w:t>
      </w:r>
    </w:p>
    <w:p w14:paraId="49D6F283" w14:textId="0405BC61" w:rsidR="00E115C5" w:rsidRPr="00A21259" w:rsidRDefault="00E115C5" w:rsidP="00E115C5">
      <w:pPr>
        <w:pStyle w:val="Heading2"/>
      </w:pPr>
      <w:bookmarkStart w:id="37" w:name="_Toc39481523"/>
      <w:bookmarkStart w:id="38" w:name="_Toc164067852"/>
      <w:r>
        <w:t>5.4</w:t>
      </w:r>
      <w:r>
        <w:tab/>
        <w:t xml:space="preserve">Risk </w:t>
      </w:r>
      <w:r w:rsidR="004F0627">
        <w:t>M</w:t>
      </w:r>
      <w:r>
        <w:t>anagement</w:t>
      </w:r>
      <w:bookmarkEnd w:id="37"/>
      <w:r>
        <w:t xml:space="preserve"> </w:t>
      </w:r>
      <w:r w:rsidR="002B396D">
        <w:t xml:space="preserve">and </w:t>
      </w:r>
      <w:r w:rsidR="004F0627">
        <w:t>A</w:t>
      </w:r>
      <w:r w:rsidR="002B396D">
        <w:t>ssurance</w:t>
      </w:r>
      <w:bookmarkEnd w:id="38"/>
    </w:p>
    <w:p w14:paraId="4FC9314A" w14:textId="19CDDC1A" w:rsidR="00917C7A" w:rsidRPr="00193AD9" w:rsidRDefault="00917C7A" w:rsidP="00917C7A">
      <w:pPr>
        <w:spacing w:after="120" w:line="240" w:lineRule="auto"/>
        <w:rPr>
          <w:rFonts w:asciiTheme="minorHAnsi" w:hAnsiTheme="minorHAnsi" w:cstheme="minorHAnsi"/>
        </w:rPr>
      </w:pPr>
      <w:r w:rsidRPr="00193AD9">
        <w:rPr>
          <w:rFonts w:asciiTheme="minorHAnsi" w:hAnsiTheme="minorHAnsi" w:cstheme="minorHAnsi"/>
        </w:rPr>
        <w:t xml:space="preserve">Risk management and assurance activities are essential components of good corporate governance for all </w:t>
      </w:r>
      <w:r w:rsidR="0029253F" w:rsidRPr="00193AD9">
        <w:rPr>
          <w:rFonts w:asciiTheme="minorHAnsi" w:hAnsiTheme="minorHAnsi" w:cstheme="minorHAnsi"/>
        </w:rPr>
        <w:t>p</w:t>
      </w:r>
      <w:r w:rsidRPr="00193AD9">
        <w:rPr>
          <w:rFonts w:asciiTheme="minorHAnsi" w:hAnsiTheme="minorHAnsi" w:cstheme="minorHAnsi"/>
        </w:rPr>
        <w:t>ortfolio entities.</w:t>
      </w:r>
    </w:p>
    <w:p w14:paraId="4A6FB668" w14:textId="3496BC3A" w:rsidR="003F5369" w:rsidRDefault="003F5369" w:rsidP="003F5369">
      <w:pPr>
        <w:pStyle w:val="Heading3"/>
      </w:pPr>
      <w:bookmarkStart w:id="39" w:name="_Toc164067853"/>
      <w:bookmarkStart w:id="40" w:name="_Toc39481524"/>
      <w:r>
        <w:t>5.4.1</w:t>
      </w:r>
      <w:r w:rsidR="00EA0DD7">
        <w:tab/>
      </w:r>
      <w:r>
        <w:t>Risk management</w:t>
      </w:r>
      <w:bookmarkEnd w:id="39"/>
      <w:r>
        <w:t xml:space="preserve"> </w:t>
      </w:r>
      <w:bookmarkEnd w:id="40"/>
    </w:p>
    <w:p w14:paraId="560A4F78" w14:textId="5B52DFB4" w:rsidR="002B750E" w:rsidRPr="00193AD9" w:rsidRDefault="002B750E" w:rsidP="002B750E">
      <w:pPr>
        <w:spacing w:after="120" w:line="240" w:lineRule="auto"/>
        <w:rPr>
          <w:rFonts w:asciiTheme="minorHAnsi" w:hAnsiTheme="minorHAnsi" w:cstheme="minorHAnsi"/>
        </w:rPr>
      </w:pPr>
      <w:r w:rsidRPr="00193AD9">
        <w:rPr>
          <w:rFonts w:asciiTheme="minorHAnsi" w:hAnsiTheme="minorHAnsi" w:cstheme="minorHAnsi"/>
        </w:rPr>
        <w:t>The</w:t>
      </w:r>
      <w:r w:rsidR="00103E11">
        <w:rPr>
          <w:rFonts w:asciiTheme="minorHAnsi" w:hAnsiTheme="minorHAnsi" w:cstheme="minorHAnsi"/>
        </w:rPr>
        <w:t xml:space="preserve"> PAA and FMA</w:t>
      </w:r>
      <w:r w:rsidRPr="00193AD9">
        <w:rPr>
          <w:rFonts w:asciiTheme="minorHAnsi" w:hAnsiTheme="minorHAnsi" w:cstheme="minorHAnsi"/>
        </w:rPr>
        <w:t xml:space="preserve"> require portfolio entities to have effective and accountable risk management systems and strategies in place.</w:t>
      </w:r>
    </w:p>
    <w:p w14:paraId="64979D69" w14:textId="155CD7E2" w:rsidR="002B750E" w:rsidRPr="00193AD9" w:rsidRDefault="002B750E" w:rsidP="002B750E">
      <w:pPr>
        <w:spacing w:after="120" w:line="240" w:lineRule="auto"/>
        <w:rPr>
          <w:rFonts w:asciiTheme="minorHAnsi" w:hAnsiTheme="minorHAnsi" w:cstheme="minorHAnsi"/>
        </w:rPr>
      </w:pPr>
      <w:r w:rsidRPr="00193AD9">
        <w:rPr>
          <w:rFonts w:asciiTheme="minorHAnsi" w:hAnsiTheme="minorHAnsi" w:cstheme="minorHAnsi"/>
        </w:rPr>
        <w:t xml:space="preserve">Management and the board are responsible for their organisation’s governance, risk management and control processes. Internal auditors assist both management and </w:t>
      </w:r>
      <w:r w:rsidR="00847401" w:rsidRPr="00193AD9">
        <w:rPr>
          <w:rFonts w:asciiTheme="minorHAnsi" w:hAnsiTheme="minorHAnsi" w:cstheme="minorHAnsi"/>
        </w:rPr>
        <w:t xml:space="preserve">the </w:t>
      </w:r>
      <w:r w:rsidRPr="00193AD9">
        <w:rPr>
          <w:rFonts w:asciiTheme="minorHAnsi" w:hAnsiTheme="minorHAnsi" w:cstheme="minorHAnsi"/>
        </w:rPr>
        <w:t xml:space="preserve">risk/audit committee by examining, evaluating, reporting, and recommending improvements on the adequacy, </w:t>
      </w:r>
      <w:r w:rsidR="006F7ACD" w:rsidRPr="00193AD9">
        <w:rPr>
          <w:rFonts w:asciiTheme="minorHAnsi" w:hAnsiTheme="minorHAnsi" w:cstheme="minorHAnsi"/>
        </w:rPr>
        <w:t>efficiency</w:t>
      </w:r>
      <w:r w:rsidRPr="00193AD9">
        <w:rPr>
          <w:rFonts w:asciiTheme="minorHAnsi" w:hAnsiTheme="minorHAnsi" w:cstheme="minorHAnsi"/>
        </w:rPr>
        <w:t>, and effectiveness of these processes.</w:t>
      </w:r>
    </w:p>
    <w:p w14:paraId="277EB7C9" w14:textId="1CF469CC" w:rsidR="002B750E" w:rsidRPr="00193AD9" w:rsidRDefault="002B750E" w:rsidP="002B750E">
      <w:pPr>
        <w:spacing w:after="120" w:line="240" w:lineRule="auto"/>
        <w:rPr>
          <w:rFonts w:asciiTheme="minorHAnsi" w:hAnsiTheme="minorHAnsi" w:cstheme="minorHAnsi"/>
        </w:rPr>
      </w:pPr>
      <w:r w:rsidRPr="00193AD9">
        <w:rPr>
          <w:rFonts w:asciiTheme="minorHAnsi" w:hAnsiTheme="minorHAnsi" w:cstheme="minorHAnsi"/>
        </w:rPr>
        <w:t xml:space="preserve">All </w:t>
      </w:r>
      <w:r w:rsidR="006F7ACD" w:rsidRPr="00193AD9">
        <w:rPr>
          <w:rFonts w:asciiTheme="minorHAnsi" w:hAnsiTheme="minorHAnsi" w:cstheme="minorHAnsi"/>
        </w:rPr>
        <w:t>p</w:t>
      </w:r>
      <w:r w:rsidRPr="00193AD9">
        <w:rPr>
          <w:rFonts w:asciiTheme="minorHAnsi" w:hAnsiTheme="minorHAnsi" w:cstheme="minorHAnsi"/>
        </w:rPr>
        <w:t xml:space="preserve">ortfolio </w:t>
      </w:r>
      <w:r w:rsidR="006F7ACD" w:rsidRPr="00193AD9">
        <w:rPr>
          <w:rFonts w:asciiTheme="minorHAnsi" w:hAnsiTheme="minorHAnsi" w:cstheme="minorHAnsi"/>
        </w:rPr>
        <w:t>entities</w:t>
      </w:r>
      <w:r w:rsidRPr="00193AD9">
        <w:rPr>
          <w:rFonts w:asciiTheme="minorHAnsi" w:hAnsiTheme="minorHAnsi" w:cstheme="minorHAnsi"/>
        </w:rPr>
        <w:t xml:space="preserve"> must have risk management frameworks that are consistent with </w:t>
      </w:r>
      <w:r w:rsidRPr="00193AD9">
        <w:rPr>
          <w:rFonts w:asciiTheme="minorHAnsi" w:hAnsiTheme="minorHAnsi" w:cstheme="minorHAnsi"/>
          <w:i/>
          <w:iCs/>
        </w:rPr>
        <w:t>AS ISO 31000:2018 Risk Management – Guidelines</w:t>
      </w:r>
      <w:r w:rsidR="001B1BE3" w:rsidRPr="00193AD9">
        <w:rPr>
          <w:rFonts w:asciiTheme="minorHAnsi" w:hAnsiTheme="minorHAnsi" w:cstheme="minorHAnsi"/>
          <w:i/>
          <w:iCs/>
        </w:rPr>
        <w:t>.</w:t>
      </w:r>
      <w:r w:rsidR="000158E8" w:rsidRPr="00193AD9">
        <w:rPr>
          <w:rFonts w:asciiTheme="minorHAnsi" w:hAnsiTheme="minorHAnsi" w:cstheme="minorHAnsi"/>
          <w:i/>
          <w:iCs/>
        </w:rPr>
        <w:t xml:space="preserve"> </w:t>
      </w:r>
      <w:r w:rsidRPr="00193AD9">
        <w:rPr>
          <w:rFonts w:asciiTheme="minorHAnsi" w:hAnsiTheme="minorHAnsi" w:cstheme="minorHAnsi"/>
        </w:rPr>
        <w:t>They can consist of the following components:</w:t>
      </w:r>
    </w:p>
    <w:p w14:paraId="435D7069" w14:textId="77777777" w:rsidR="002B750E" w:rsidRPr="00193AD9" w:rsidRDefault="002B750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A risk management policy and plan that integrates with corporate planning.</w:t>
      </w:r>
    </w:p>
    <w:p w14:paraId="72AE568A" w14:textId="77777777" w:rsidR="002B750E" w:rsidRPr="00193AD9" w:rsidRDefault="002B750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eastAsia="Arial" w:hAnsiTheme="minorHAnsi" w:cstheme="minorHAnsi"/>
          <w:color w:val="000000"/>
          <w:sz w:val="18"/>
          <w:szCs w:val="18"/>
        </w:rPr>
        <w:lastRenderedPageBreak/>
        <w:t>R</w:t>
      </w:r>
      <w:r w:rsidRPr="00193AD9">
        <w:rPr>
          <w:rFonts w:asciiTheme="minorHAnsi" w:hAnsiTheme="minorHAnsi" w:cstheme="minorHAnsi"/>
          <w:color w:val="000000"/>
          <w:sz w:val="18"/>
          <w:szCs w:val="18"/>
        </w:rPr>
        <w:t>isk registers and profiles.</w:t>
      </w:r>
    </w:p>
    <w:p w14:paraId="253AE9A4" w14:textId="77777777" w:rsidR="002B750E" w:rsidRPr="00193AD9" w:rsidRDefault="002B750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eastAsia="Arial" w:hAnsiTheme="minorHAnsi" w:cstheme="minorHAnsi"/>
          <w:color w:val="000000"/>
          <w:sz w:val="18"/>
          <w:szCs w:val="18"/>
        </w:rPr>
        <w:t>B</w:t>
      </w:r>
      <w:r w:rsidRPr="00193AD9">
        <w:rPr>
          <w:rFonts w:asciiTheme="minorHAnsi" w:hAnsiTheme="minorHAnsi" w:cstheme="minorHAnsi"/>
          <w:color w:val="000000"/>
          <w:sz w:val="18"/>
          <w:szCs w:val="18"/>
        </w:rPr>
        <w:t>usiness continuity and emergency management plans.</w:t>
      </w:r>
    </w:p>
    <w:p w14:paraId="6021F5A5" w14:textId="77777777" w:rsidR="002B750E" w:rsidRPr="00193AD9" w:rsidRDefault="002B750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Information security and cybersecurity plans.</w:t>
      </w:r>
    </w:p>
    <w:p w14:paraId="11D99635" w14:textId="77777777" w:rsidR="002B750E" w:rsidRPr="00193AD9" w:rsidRDefault="002B750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eastAsia="Arial" w:hAnsiTheme="minorHAnsi" w:cstheme="minorHAnsi"/>
          <w:color w:val="000000"/>
          <w:sz w:val="18"/>
          <w:szCs w:val="18"/>
        </w:rPr>
        <w:t>C</w:t>
      </w:r>
      <w:r w:rsidRPr="00193AD9">
        <w:rPr>
          <w:rFonts w:asciiTheme="minorHAnsi" w:hAnsiTheme="minorHAnsi" w:cstheme="minorHAnsi"/>
          <w:color w:val="000000"/>
          <w:sz w:val="18"/>
          <w:szCs w:val="18"/>
        </w:rPr>
        <w:t>ompliance and quality systems.</w:t>
      </w:r>
    </w:p>
    <w:p w14:paraId="63642BDE" w14:textId="77777777" w:rsidR="002B750E" w:rsidRPr="00193AD9" w:rsidRDefault="002B750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eastAsia="Arial" w:hAnsiTheme="minorHAnsi" w:cstheme="minorHAnsi"/>
          <w:color w:val="000000"/>
          <w:sz w:val="18"/>
          <w:szCs w:val="18"/>
        </w:rPr>
        <w:t>A</w:t>
      </w:r>
      <w:r w:rsidRPr="00193AD9">
        <w:rPr>
          <w:rFonts w:asciiTheme="minorHAnsi" w:hAnsiTheme="minorHAnsi" w:cstheme="minorHAnsi"/>
          <w:color w:val="000000"/>
          <w:sz w:val="18"/>
          <w:szCs w:val="18"/>
        </w:rPr>
        <w:t xml:space="preserve"> fraud and corruption control plan.</w:t>
      </w:r>
    </w:p>
    <w:p w14:paraId="14F3E1D5" w14:textId="77777777" w:rsidR="002B750E" w:rsidRPr="00193AD9" w:rsidRDefault="002B750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Tools, templates, and training.</w:t>
      </w:r>
    </w:p>
    <w:p w14:paraId="6B2B575B" w14:textId="678B6736" w:rsidR="002B750E" w:rsidRPr="00193AD9" w:rsidRDefault="002B750E" w:rsidP="002B750E">
      <w:pPr>
        <w:spacing w:after="120" w:line="240" w:lineRule="auto"/>
        <w:rPr>
          <w:rFonts w:asciiTheme="minorHAnsi" w:hAnsiTheme="minorHAnsi" w:cstheme="minorHAnsi"/>
        </w:rPr>
      </w:pPr>
      <w:r w:rsidRPr="00193AD9">
        <w:rPr>
          <w:rFonts w:asciiTheme="minorHAnsi" w:hAnsiTheme="minorHAnsi" w:cstheme="minorHAnsi"/>
        </w:rPr>
        <w:t xml:space="preserve">To ensure risks are being managed in a consistent way, some </w:t>
      </w:r>
      <w:r w:rsidR="00CE7028" w:rsidRPr="00193AD9">
        <w:rPr>
          <w:rFonts w:asciiTheme="minorHAnsi" w:hAnsiTheme="minorHAnsi" w:cstheme="minorHAnsi"/>
        </w:rPr>
        <w:t>p</w:t>
      </w:r>
      <w:r w:rsidRPr="00193AD9">
        <w:rPr>
          <w:rFonts w:asciiTheme="minorHAnsi" w:hAnsiTheme="minorHAnsi" w:cstheme="minorHAnsi"/>
        </w:rPr>
        <w:t xml:space="preserve">ortfolio entities are required to comply with the mandatory requirements of the </w:t>
      </w:r>
      <w:hyperlink r:id="rId36" w:history="1">
        <w:r w:rsidRPr="0062524C">
          <w:rPr>
            <w:rStyle w:val="Hyperlink"/>
            <w:rFonts w:asciiTheme="minorHAnsi" w:hAnsiTheme="minorHAnsi" w:cstheme="minorHAnsi"/>
            <w:i/>
            <w:iCs/>
          </w:rPr>
          <w:t>Victorian Government Risk Management Framework</w:t>
        </w:r>
      </w:hyperlink>
      <w:r w:rsidR="00CE7028" w:rsidRPr="00193AD9">
        <w:rPr>
          <w:rFonts w:asciiTheme="minorHAnsi" w:hAnsiTheme="minorHAnsi" w:cstheme="minorHAnsi"/>
          <w:i/>
          <w:iCs/>
        </w:rPr>
        <w:t xml:space="preserve"> </w:t>
      </w:r>
      <w:r w:rsidR="00CE7028" w:rsidRPr="00C10F18">
        <w:rPr>
          <w:rFonts w:asciiTheme="minorHAnsi" w:hAnsiTheme="minorHAnsi" w:cstheme="minorHAnsi"/>
        </w:rPr>
        <w:t>(VGRMF)</w:t>
      </w:r>
      <w:r w:rsidRPr="00C10F18">
        <w:rPr>
          <w:rFonts w:asciiTheme="minorHAnsi" w:hAnsiTheme="minorHAnsi" w:cstheme="minorHAnsi"/>
        </w:rPr>
        <w:t>.</w:t>
      </w:r>
    </w:p>
    <w:p w14:paraId="78C339FD" w14:textId="6A0373FB" w:rsidR="002B750E" w:rsidRPr="00193AD9" w:rsidRDefault="00666A7B" w:rsidP="002B750E">
      <w:pPr>
        <w:keepNext/>
        <w:keepLines/>
        <w:rPr>
          <w:rFonts w:asciiTheme="minorHAnsi" w:hAnsiTheme="minorHAnsi" w:cstheme="minorHAnsi"/>
        </w:rPr>
      </w:pPr>
      <w:r w:rsidRPr="00193AD9">
        <w:rPr>
          <w:rFonts w:asciiTheme="minorHAnsi" w:hAnsiTheme="minorHAnsi" w:cstheme="minorHAnsi"/>
        </w:rPr>
        <w:t>According to</w:t>
      </w:r>
      <w:r w:rsidR="002B750E" w:rsidRPr="00193AD9">
        <w:rPr>
          <w:rFonts w:asciiTheme="minorHAnsi" w:hAnsiTheme="minorHAnsi" w:cstheme="minorHAnsi"/>
        </w:rPr>
        <w:t xml:space="preserve"> the VGRMF, entities must:</w:t>
      </w:r>
    </w:p>
    <w:p w14:paraId="74948988" w14:textId="21855D92" w:rsidR="002B750E" w:rsidRPr="00193AD9" w:rsidRDefault="002B750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maintain a risk register that records risks aligned to the delivery of their corporate plan (or strategic plan) and operations</w:t>
      </w:r>
    </w:p>
    <w:p w14:paraId="016D1288" w14:textId="14636769" w:rsidR="002B750E" w:rsidRPr="00193AD9" w:rsidRDefault="002B750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ensure that risks are reviewed in a timely and regular manner</w:t>
      </w:r>
    </w:p>
    <w:p w14:paraId="506CA314" w14:textId="4482D18E" w:rsidR="002B750E" w:rsidRPr="00193AD9" w:rsidRDefault="002B750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continually assess and manage the most significant risks in order to protect against loss and achieve objectives</w:t>
      </w:r>
    </w:p>
    <w:p w14:paraId="72B90E88" w14:textId="69AE0714" w:rsidR="002B750E" w:rsidRPr="00193AD9" w:rsidRDefault="002B750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establish the context and identify; analyse; evaluate; treat; communicate and consult; and monitor and review their strategic and operational risks</w:t>
      </w:r>
    </w:p>
    <w:p w14:paraId="406F5BA9" w14:textId="545289F1" w:rsidR="002B750E" w:rsidRPr="00193AD9" w:rsidRDefault="002B750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escalate strategic and operational risks to the department, as appropriate and as part of periodic reporting.</w:t>
      </w:r>
    </w:p>
    <w:p w14:paraId="6C81C6D0" w14:textId="36E5FCD6" w:rsidR="00977D11" w:rsidRPr="00826993" w:rsidRDefault="00977D11" w:rsidP="00977D11">
      <w:pPr>
        <w:pStyle w:val="Heading3"/>
      </w:pPr>
      <w:bookmarkStart w:id="41" w:name="_Toc164067854"/>
      <w:r>
        <w:t>5.4.2</w:t>
      </w:r>
      <w:r>
        <w:tab/>
        <w:t>Entity risk escalation criteria</w:t>
      </w:r>
      <w:bookmarkEnd w:id="41"/>
    </w:p>
    <w:p w14:paraId="49B5041D" w14:textId="77777777" w:rsidR="00977D11" w:rsidRDefault="00977D11" w:rsidP="00977D11">
      <w:r>
        <w:t xml:space="preserve">The department </w:t>
      </w:r>
      <w:r w:rsidRPr="00D77451">
        <w:t xml:space="preserve">and </w:t>
      </w:r>
      <w:r>
        <w:t>entities</w:t>
      </w:r>
      <w:r w:rsidRPr="00D77451">
        <w:t xml:space="preserve"> should adopt a </w:t>
      </w:r>
      <w:r w:rsidRPr="00D77451">
        <w:rPr>
          <w:i/>
        </w:rPr>
        <w:t>no surprises</w:t>
      </w:r>
      <w:r w:rsidRPr="00D77451">
        <w:t xml:space="preserve"> approach to</w:t>
      </w:r>
      <w:r>
        <w:t xml:space="preserve"> risk or</w:t>
      </w:r>
      <w:r w:rsidRPr="00D77451">
        <w:t xml:space="preserve"> issues management.</w:t>
      </w:r>
    </w:p>
    <w:p w14:paraId="406BA254" w14:textId="77777777" w:rsidR="00977D11" w:rsidRPr="00193AD9" w:rsidRDefault="00977D11" w:rsidP="00977D11">
      <w:pPr>
        <w:rPr>
          <w:rFonts w:asciiTheme="minorHAnsi" w:hAnsiTheme="minorHAnsi" w:cstheme="minorHAnsi"/>
        </w:rPr>
      </w:pPr>
      <w:r w:rsidRPr="00193AD9">
        <w:rPr>
          <w:rFonts w:asciiTheme="minorHAnsi" w:hAnsiTheme="minorHAnsi" w:cstheme="minorHAnsi"/>
        </w:rPr>
        <w:t>This includes substantive risks or issues raised through regular meetings, ongoing dialogue with the relationship manager, submission of annual business/corporate plans, letters to the minister, stakeholder consultations, parliamentary questions, media inquiries or governance committees.</w:t>
      </w:r>
    </w:p>
    <w:p w14:paraId="7C3F4987" w14:textId="77777777" w:rsidR="00977D11" w:rsidRDefault="00977D11" w:rsidP="00977D11">
      <w:r>
        <w:t>Escalation criteria includes:</w:t>
      </w:r>
    </w:p>
    <w:p w14:paraId="22F4B828" w14:textId="77777777" w:rsidR="00977D11" w:rsidRPr="00741197" w:rsidRDefault="00977D11" w:rsidP="007B76F0">
      <w:pPr>
        <w:pStyle w:val="ListBullet"/>
        <w:numPr>
          <w:ilvl w:val="0"/>
          <w:numId w:val="23"/>
        </w:numPr>
        <w:rPr>
          <w:color w:val="auto"/>
        </w:rPr>
      </w:pPr>
      <w:r w:rsidRPr="00741197">
        <w:rPr>
          <w:color w:val="auto"/>
        </w:rPr>
        <w:t>where the risk</w:t>
      </w:r>
      <w:r>
        <w:rPr>
          <w:color w:val="auto"/>
        </w:rPr>
        <w:t xml:space="preserve"> or issue</w:t>
      </w:r>
      <w:r w:rsidRPr="00741197">
        <w:rPr>
          <w:color w:val="auto"/>
        </w:rPr>
        <w:t xml:space="preserve"> may require oversight or management at the department level or outside the </w:t>
      </w:r>
      <w:r>
        <w:rPr>
          <w:color w:val="auto"/>
        </w:rPr>
        <w:t>entity</w:t>
      </w:r>
      <w:r w:rsidRPr="00741197">
        <w:rPr>
          <w:color w:val="auto"/>
        </w:rPr>
        <w:t>’s remit (e.g. some inter</w:t>
      </w:r>
      <w:r>
        <w:rPr>
          <w:color w:val="auto"/>
        </w:rPr>
        <w:t>-entity</w:t>
      </w:r>
      <w:r w:rsidRPr="00741197">
        <w:rPr>
          <w:color w:val="auto"/>
        </w:rPr>
        <w:t xml:space="preserve"> </w:t>
      </w:r>
      <w:r>
        <w:rPr>
          <w:color w:val="auto"/>
        </w:rPr>
        <w:t>and</w:t>
      </w:r>
      <w:r w:rsidRPr="00741197">
        <w:rPr>
          <w:color w:val="auto"/>
        </w:rPr>
        <w:t xml:space="preserve"> portfolio risk</w:t>
      </w:r>
      <w:r>
        <w:rPr>
          <w:color w:val="auto"/>
        </w:rPr>
        <w:t>s or issues</w:t>
      </w:r>
      <w:r w:rsidRPr="00741197">
        <w:rPr>
          <w:color w:val="auto"/>
        </w:rPr>
        <w:t>)</w:t>
      </w:r>
    </w:p>
    <w:p w14:paraId="2149909A" w14:textId="7C85212A" w:rsidR="00977D11" w:rsidRDefault="00977D11" w:rsidP="007B76F0">
      <w:pPr>
        <w:pStyle w:val="ListBullet"/>
        <w:numPr>
          <w:ilvl w:val="0"/>
          <w:numId w:val="23"/>
        </w:numPr>
        <w:rPr>
          <w:color w:val="auto"/>
        </w:rPr>
      </w:pPr>
      <w:r w:rsidRPr="00741197">
        <w:rPr>
          <w:color w:val="auto"/>
        </w:rPr>
        <w:t xml:space="preserve">if the risk were to eventuate, it would materially impact on the department, portfolio </w:t>
      </w:r>
      <w:r w:rsidR="00A0640F">
        <w:rPr>
          <w:color w:val="auto"/>
        </w:rPr>
        <w:t>m</w:t>
      </w:r>
      <w:r w:rsidRPr="00741197">
        <w:rPr>
          <w:color w:val="auto"/>
        </w:rPr>
        <w:t xml:space="preserve">inister, or </w:t>
      </w:r>
      <w:r w:rsidR="00980257">
        <w:rPr>
          <w:color w:val="auto"/>
        </w:rPr>
        <w:t>s</w:t>
      </w:r>
      <w:r w:rsidRPr="00741197">
        <w:rPr>
          <w:color w:val="auto"/>
        </w:rPr>
        <w:t>tate’s reputation or financial position</w:t>
      </w:r>
    </w:p>
    <w:p w14:paraId="1E3D3505" w14:textId="00D8BCC8" w:rsidR="00977D11" w:rsidRPr="00741197" w:rsidRDefault="00977D11" w:rsidP="007B76F0">
      <w:pPr>
        <w:pStyle w:val="ListBullet"/>
        <w:numPr>
          <w:ilvl w:val="0"/>
          <w:numId w:val="23"/>
        </w:numPr>
        <w:rPr>
          <w:color w:val="auto"/>
        </w:rPr>
      </w:pPr>
      <w:r>
        <w:rPr>
          <w:color w:val="auto"/>
        </w:rPr>
        <w:t xml:space="preserve">if the issue has had, or is having a material impact on the department, portfolio </w:t>
      </w:r>
      <w:r w:rsidR="00A0640F">
        <w:rPr>
          <w:color w:val="auto"/>
        </w:rPr>
        <w:t>m</w:t>
      </w:r>
      <w:r>
        <w:rPr>
          <w:color w:val="auto"/>
        </w:rPr>
        <w:t xml:space="preserve">inister, or </w:t>
      </w:r>
      <w:r w:rsidR="00980257">
        <w:rPr>
          <w:color w:val="auto"/>
        </w:rPr>
        <w:t>s</w:t>
      </w:r>
      <w:r>
        <w:rPr>
          <w:color w:val="auto"/>
        </w:rPr>
        <w:t xml:space="preserve">tate’s reputation or financial position </w:t>
      </w:r>
    </w:p>
    <w:p w14:paraId="2D27C8D3" w14:textId="77777777" w:rsidR="00977D11" w:rsidRPr="00741197" w:rsidRDefault="00977D11" w:rsidP="007B76F0">
      <w:pPr>
        <w:pStyle w:val="ListBullet"/>
        <w:numPr>
          <w:ilvl w:val="0"/>
          <w:numId w:val="23"/>
        </w:numPr>
        <w:rPr>
          <w:color w:val="auto"/>
        </w:rPr>
      </w:pPr>
      <w:r>
        <w:rPr>
          <w:color w:val="auto"/>
        </w:rPr>
        <w:t>a</w:t>
      </w:r>
      <w:r w:rsidRPr="00741197">
        <w:rPr>
          <w:color w:val="auto"/>
        </w:rPr>
        <w:t>n emerging risk that may become a key risk or could inform the department’s forward planning.</w:t>
      </w:r>
    </w:p>
    <w:p w14:paraId="6A500F7B" w14:textId="77777777" w:rsidR="00977D11" w:rsidRDefault="00977D11" w:rsidP="00977D11"/>
    <w:p w14:paraId="1C6ED0CE" w14:textId="77777777" w:rsidR="00977D11" w:rsidRPr="007107BD" w:rsidRDefault="00977D11" w:rsidP="00977D11">
      <w:r w:rsidRPr="007107BD">
        <w:t xml:space="preserve">Portfolio </w:t>
      </w:r>
      <w:r>
        <w:t>entities</w:t>
      </w:r>
      <w:r w:rsidRPr="007107BD">
        <w:t xml:space="preserve"> should </w:t>
      </w:r>
      <w:r>
        <w:t xml:space="preserve">provide </w:t>
      </w:r>
      <w:r w:rsidRPr="007107BD">
        <w:t xml:space="preserve">continuous disclosure </w:t>
      </w:r>
      <w:r>
        <w:t xml:space="preserve">and </w:t>
      </w:r>
      <w:r w:rsidRPr="007107BD">
        <w:t xml:space="preserve">inform the </w:t>
      </w:r>
      <w:r>
        <w:t>d</w:t>
      </w:r>
      <w:r w:rsidRPr="007107BD">
        <w:t>epartment as soon as they become aware of:</w:t>
      </w:r>
    </w:p>
    <w:p w14:paraId="624D309F" w14:textId="77777777" w:rsidR="00977D11" w:rsidRPr="00741197" w:rsidRDefault="00977D11" w:rsidP="007B76F0">
      <w:pPr>
        <w:pStyle w:val="ListBullet"/>
        <w:numPr>
          <w:ilvl w:val="0"/>
          <w:numId w:val="24"/>
        </w:numPr>
        <w:rPr>
          <w:color w:val="auto"/>
        </w:rPr>
      </w:pPr>
      <w:r w:rsidRPr="00741197">
        <w:rPr>
          <w:color w:val="auto"/>
        </w:rPr>
        <w:t>significant variations to planned strategies and plans</w:t>
      </w:r>
    </w:p>
    <w:p w14:paraId="464F3008" w14:textId="77777777" w:rsidR="00977D11" w:rsidRPr="00741197" w:rsidRDefault="00977D11" w:rsidP="007B76F0">
      <w:pPr>
        <w:pStyle w:val="ListBullet"/>
        <w:numPr>
          <w:ilvl w:val="0"/>
          <w:numId w:val="24"/>
        </w:numPr>
        <w:rPr>
          <w:color w:val="auto"/>
        </w:rPr>
      </w:pPr>
      <w:r w:rsidRPr="00741197">
        <w:rPr>
          <w:color w:val="auto"/>
        </w:rPr>
        <w:t>significant variations to the total estimated investment or timing of capital investments compared to plan</w:t>
      </w:r>
    </w:p>
    <w:p w14:paraId="66F28ECD" w14:textId="77777777" w:rsidR="00977D11" w:rsidRPr="00741197" w:rsidRDefault="00977D11" w:rsidP="007B76F0">
      <w:pPr>
        <w:pStyle w:val="ListBullet"/>
        <w:numPr>
          <w:ilvl w:val="0"/>
          <w:numId w:val="24"/>
        </w:numPr>
        <w:rPr>
          <w:color w:val="auto"/>
        </w:rPr>
      </w:pPr>
      <w:r w:rsidRPr="00741197">
        <w:rPr>
          <w:color w:val="auto"/>
        </w:rPr>
        <w:t>a material variation (+/</w:t>
      </w:r>
      <w:r w:rsidRPr="00741197">
        <w:rPr>
          <w:rFonts w:ascii="Cambria Math" w:hAnsi="Cambria Math" w:cs="Cambria Math"/>
          <w:color w:val="auto"/>
        </w:rPr>
        <w:t>‐</w:t>
      </w:r>
      <w:r w:rsidRPr="00741197">
        <w:rPr>
          <w:color w:val="auto"/>
        </w:rPr>
        <w:t> 15 per cent or more) in forecast full year profit or cash flow from operating activities compared to plans</w:t>
      </w:r>
    </w:p>
    <w:p w14:paraId="025D3DE5" w14:textId="77777777" w:rsidR="00977D11" w:rsidRPr="00741197" w:rsidRDefault="00977D11" w:rsidP="007B76F0">
      <w:pPr>
        <w:pStyle w:val="ListBullet"/>
        <w:numPr>
          <w:ilvl w:val="0"/>
          <w:numId w:val="24"/>
        </w:numPr>
        <w:rPr>
          <w:color w:val="auto"/>
        </w:rPr>
      </w:pPr>
      <w:r w:rsidRPr="00741197">
        <w:rPr>
          <w:color w:val="auto"/>
        </w:rPr>
        <w:t xml:space="preserve">significant variations in KPIs compared to plans, and/or </w:t>
      </w:r>
    </w:p>
    <w:p w14:paraId="4E1C317D" w14:textId="1B448572" w:rsidR="00977D11" w:rsidRPr="00741197" w:rsidRDefault="00977D11" w:rsidP="007B76F0">
      <w:pPr>
        <w:pStyle w:val="ListBullet"/>
        <w:numPr>
          <w:ilvl w:val="0"/>
          <w:numId w:val="24"/>
        </w:numPr>
        <w:rPr>
          <w:color w:val="auto"/>
        </w:rPr>
      </w:pPr>
      <w:r w:rsidRPr="00741197">
        <w:rPr>
          <w:color w:val="auto"/>
        </w:rPr>
        <w:t>any financial or non</w:t>
      </w:r>
      <w:r w:rsidRPr="00741197">
        <w:rPr>
          <w:rFonts w:ascii="Cambria Math" w:hAnsi="Cambria Math" w:cs="Cambria Math"/>
          <w:color w:val="auto"/>
        </w:rPr>
        <w:t>‐</w:t>
      </w:r>
      <w:r w:rsidRPr="00741197">
        <w:rPr>
          <w:color w:val="auto"/>
        </w:rPr>
        <w:t xml:space="preserve">financial (including reputational) developments which may materially impact the portfolio </w:t>
      </w:r>
      <w:r>
        <w:rPr>
          <w:color w:val="auto"/>
        </w:rPr>
        <w:t>entity</w:t>
      </w:r>
      <w:r w:rsidRPr="00741197">
        <w:rPr>
          <w:color w:val="auto"/>
        </w:rPr>
        <w:t xml:space="preserve"> or the </w:t>
      </w:r>
      <w:r w:rsidR="003F024D">
        <w:rPr>
          <w:color w:val="auto"/>
        </w:rPr>
        <w:t>g</w:t>
      </w:r>
      <w:r w:rsidRPr="00741197">
        <w:rPr>
          <w:color w:val="auto"/>
        </w:rPr>
        <w:t xml:space="preserve">overnment. </w:t>
      </w:r>
    </w:p>
    <w:p w14:paraId="2AA36434" w14:textId="77777777" w:rsidR="00977D11" w:rsidRPr="007107BD" w:rsidRDefault="00977D11" w:rsidP="00977D11">
      <w:r w:rsidRPr="007107BD">
        <w:t xml:space="preserve">Further, portfolio </w:t>
      </w:r>
      <w:r>
        <w:t>entities</w:t>
      </w:r>
      <w:r w:rsidRPr="007107BD">
        <w:t xml:space="preserve"> are required to inform the relevant </w:t>
      </w:r>
      <w:r>
        <w:t>m</w:t>
      </w:r>
      <w:r w:rsidRPr="007107BD">
        <w:t>inister as soon as they become aware of a material variation (+/</w:t>
      </w:r>
      <w:r w:rsidRPr="007107BD">
        <w:rPr>
          <w:rFonts w:ascii="Cambria Math" w:hAnsi="Cambria Math" w:cs="Cambria Math"/>
        </w:rPr>
        <w:t>‐</w:t>
      </w:r>
      <w:r w:rsidRPr="007107BD">
        <w:t xml:space="preserve"> 15 per cent or more) to the total estimated investment of a major project approved by the </w:t>
      </w:r>
      <w:r>
        <w:t>m</w:t>
      </w:r>
      <w:r w:rsidRPr="007107BD">
        <w:t>inister.</w:t>
      </w:r>
    </w:p>
    <w:p w14:paraId="5947D690" w14:textId="3B8D6C02" w:rsidR="00977D11" w:rsidRDefault="00977D11" w:rsidP="00977D11">
      <w:r w:rsidRPr="00D77451">
        <w:t xml:space="preserve">Protocols for reporting and communicating risks and issues (including media protocols) to the </w:t>
      </w:r>
      <w:r>
        <w:t>d</w:t>
      </w:r>
      <w:r w:rsidRPr="00D77451">
        <w:t xml:space="preserve">epartment and </w:t>
      </w:r>
      <w:r>
        <w:t>m</w:t>
      </w:r>
      <w:r w:rsidRPr="00D77451">
        <w:t xml:space="preserve">inister will be documented and referenced in </w:t>
      </w:r>
      <w:r>
        <w:t>SOEs</w:t>
      </w:r>
      <w:r w:rsidRPr="00D77451">
        <w:t xml:space="preserve"> and other governing documents</w:t>
      </w:r>
      <w:r>
        <w:t xml:space="preserve"> such as </w:t>
      </w:r>
      <w:r w:rsidR="00225A26">
        <w:t>Service Agreements (</w:t>
      </w:r>
      <w:r>
        <w:t>S</w:t>
      </w:r>
      <w:r w:rsidR="00AD0FD1">
        <w:t>A</w:t>
      </w:r>
      <w:r>
        <w:t>s</w:t>
      </w:r>
      <w:r w:rsidR="00225A26">
        <w:t>)</w:t>
      </w:r>
      <w:r w:rsidRPr="00D77451">
        <w:t xml:space="preserve">. Where an </w:t>
      </w:r>
      <w:r>
        <w:t>entity</w:t>
      </w:r>
      <w:r w:rsidRPr="00D77451">
        <w:t xml:space="preserve"> i</w:t>
      </w:r>
      <w:r>
        <w:t xml:space="preserve">dentifies a significant service or </w:t>
      </w:r>
      <w:r w:rsidRPr="00D77451">
        <w:t>financial risk or issue (not already noted in their strategic risk regis</w:t>
      </w:r>
      <w:r>
        <w:t>ter), they will communicate the</w:t>
      </w:r>
      <w:r w:rsidRPr="00D77451">
        <w:t xml:space="preserve"> risk to the relevant </w:t>
      </w:r>
      <w:r>
        <w:t>department</w:t>
      </w:r>
      <w:r w:rsidRPr="00D77451">
        <w:t xml:space="preserve"> contact and outline the mitigation strategy to </w:t>
      </w:r>
      <w:r>
        <w:t>the department</w:t>
      </w:r>
      <w:r w:rsidRPr="00D77451">
        <w:t xml:space="preserve"> as soon as practicable. Issues include trends, concerns </w:t>
      </w:r>
      <w:r>
        <w:t>or</w:t>
      </w:r>
      <w:r w:rsidRPr="00D77451">
        <w:t xml:space="preserve"> events which are known </w:t>
      </w:r>
      <w:r>
        <w:t xml:space="preserve">or are </w:t>
      </w:r>
      <w:r>
        <w:lastRenderedPageBreak/>
        <w:t xml:space="preserve">emerging </w:t>
      </w:r>
      <w:r w:rsidRPr="00D77451">
        <w:t xml:space="preserve">major risks to the effective operation of the </w:t>
      </w:r>
      <w:r>
        <w:t>entity</w:t>
      </w:r>
      <w:r w:rsidRPr="00D77451">
        <w:t xml:space="preserve"> and of the risk management systems that it has in place to address those risks.</w:t>
      </w:r>
    </w:p>
    <w:p w14:paraId="11685688" w14:textId="65F9F3AA" w:rsidR="002B750E" w:rsidRPr="001C355C" w:rsidRDefault="00EA0DD7" w:rsidP="003F5369">
      <w:pPr>
        <w:pStyle w:val="Heading3"/>
      </w:pPr>
      <w:bookmarkStart w:id="42" w:name="_Toc164067855"/>
      <w:bookmarkStart w:id="43" w:name="_Toc39481525"/>
      <w:r w:rsidRPr="001C355C">
        <w:t>5.4.</w:t>
      </w:r>
      <w:r w:rsidR="00725F6B">
        <w:t>3</w:t>
      </w:r>
      <w:r w:rsidRPr="001C355C">
        <w:tab/>
      </w:r>
      <w:r w:rsidR="002B750E" w:rsidRPr="001C355C">
        <w:t>Assurance activities</w:t>
      </w:r>
      <w:bookmarkEnd w:id="42"/>
    </w:p>
    <w:p w14:paraId="5E3E2E0F" w14:textId="77777777" w:rsidR="00A700BE" w:rsidRPr="00193AD9" w:rsidRDefault="00A700BE" w:rsidP="00A700BE">
      <w:pPr>
        <w:spacing w:after="120" w:line="240" w:lineRule="auto"/>
        <w:rPr>
          <w:rFonts w:asciiTheme="minorHAnsi" w:hAnsiTheme="minorHAnsi" w:cstheme="minorHAnsi"/>
        </w:rPr>
      </w:pPr>
      <w:r w:rsidRPr="00193AD9">
        <w:rPr>
          <w:rFonts w:asciiTheme="minorHAnsi" w:hAnsiTheme="minorHAnsi" w:cstheme="minorHAnsi"/>
        </w:rPr>
        <w:t xml:space="preserve">Assurance activities are designed to provide independent conclusions and a degree of confidence regarding the outcome of the evaluation or measurement of the subject matter against predetermined criteria. </w:t>
      </w:r>
    </w:p>
    <w:p w14:paraId="1279DA9B" w14:textId="77777777" w:rsidR="00A700BE" w:rsidRPr="00193AD9" w:rsidRDefault="00A700BE" w:rsidP="00A700BE">
      <w:pPr>
        <w:spacing w:after="120" w:line="240" w:lineRule="auto"/>
        <w:rPr>
          <w:rFonts w:asciiTheme="minorHAnsi" w:hAnsiTheme="minorHAnsi" w:cstheme="minorHAnsi"/>
        </w:rPr>
      </w:pPr>
      <w:r w:rsidRPr="00193AD9">
        <w:rPr>
          <w:rFonts w:asciiTheme="minorHAnsi" w:hAnsiTheme="minorHAnsi" w:cstheme="minorHAnsi"/>
        </w:rPr>
        <w:t>The subject matter can take many forms such as:</w:t>
      </w:r>
    </w:p>
    <w:p w14:paraId="67C42806" w14:textId="77777777" w:rsidR="00A700BE" w:rsidRPr="00193AD9" w:rsidRDefault="00A700B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Corporate governance practices.</w:t>
      </w:r>
    </w:p>
    <w:p w14:paraId="6B406577" w14:textId="77777777" w:rsidR="00A700BE" w:rsidRPr="00193AD9" w:rsidRDefault="00A700B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Effectiveness and efficiency of operations.</w:t>
      </w:r>
    </w:p>
    <w:p w14:paraId="208166AA" w14:textId="77777777" w:rsidR="00A700BE" w:rsidRPr="00193AD9" w:rsidRDefault="00A700B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Systems, processes, people, and performance.</w:t>
      </w:r>
    </w:p>
    <w:p w14:paraId="1F4C58E8" w14:textId="77777777" w:rsidR="00A700BE" w:rsidRPr="00193AD9" w:rsidRDefault="00A700B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Data reliability, completeness, integrity, and availability.</w:t>
      </w:r>
    </w:p>
    <w:p w14:paraId="4EFB8B41" w14:textId="77777777" w:rsidR="00A700BE" w:rsidRPr="00193AD9" w:rsidRDefault="00A700B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Accreditation and certifications.</w:t>
      </w:r>
    </w:p>
    <w:p w14:paraId="231A27B0" w14:textId="77777777" w:rsidR="00A700BE" w:rsidRPr="00193AD9" w:rsidRDefault="00A700B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Compliance with laws, regulations, and contracts.</w:t>
      </w:r>
    </w:p>
    <w:p w14:paraId="3D715411" w14:textId="5FF2C0B1" w:rsidR="00A700BE" w:rsidRPr="00193AD9" w:rsidRDefault="00A700BE" w:rsidP="00A700BE">
      <w:pPr>
        <w:spacing w:after="120" w:line="240" w:lineRule="auto"/>
        <w:rPr>
          <w:rFonts w:asciiTheme="minorHAnsi" w:hAnsiTheme="minorHAnsi" w:cstheme="minorHAnsi"/>
        </w:rPr>
      </w:pPr>
      <w:r w:rsidRPr="00193AD9">
        <w:rPr>
          <w:rFonts w:asciiTheme="minorHAnsi" w:hAnsiTheme="minorHAnsi" w:cstheme="minorHAnsi"/>
        </w:rPr>
        <w:t>Attestations, internal/external audits, accreditations, and surveys are some categories of assurance activities that entities may use to provide independent and reasonable assurance to their board, risk/audit committee and/or management that they are on track to achieve their objectives.</w:t>
      </w:r>
    </w:p>
    <w:p w14:paraId="3FB2F4CE" w14:textId="3F4FF0B8" w:rsidR="00A700BE" w:rsidRPr="00193AD9" w:rsidRDefault="00A700BE" w:rsidP="00A700BE">
      <w:pPr>
        <w:spacing w:after="120" w:line="240" w:lineRule="auto"/>
        <w:rPr>
          <w:rFonts w:asciiTheme="minorHAnsi" w:hAnsiTheme="minorHAnsi" w:cstheme="minorHAnsi"/>
        </w:rPr>
      </w:pPr>
      <w:r w:rsidRPr="00193AD9">
        <w:rPr>
          <w:rFonts w:asciiTheme="minorHAnsi" w:hAnsiTheme="minorHAnsi" w:cstheme="minorHAnsi"/>
        </w:rPr>
        <w:t xml:space="preserve">The </w:t>
      </w:r>
      <w:r w:rsidR="00143F41" w:rsidRPr="00193AD9">
        <w:rPr>
          <w:rFonts w:asciiTheme="minorHAnsi" w:hAnsiTheme="minorHAnsi" w:cstheme="minorHAnsi"/>
        </w:rPr>
        <w:t>entity</w:t>
      </w:r>
      <w:r w:rsidRPr="00193AD9">
        <w:rPr>
          <w:rFonts w:asciiTheme="minorHAnsi" w:hAnsiTheme="minorHAnsi" w:cstheme="minorHAnsi"/>
        </w:rPr>
        <w:t xml:space="preserve">’s assurance framework </w:t>
      </w:r>
      <w:r w:rsidR="003D3CB5" w:rsidRPr="00193AD9">
        <w:rPr>
          <w:rFonts w:asciiTheme="minorHAnsi" w:hAnsiTheme="minorHAnsi" w:cstheme="minorHAnsi"/>
        </w:rPr>
        <w:t>may</w:t>
      </w:r>
      <w:r w:rsidRPr="00193AD9">
        <w:rPr>
          <w:rFonts w:asciiTheme="minorHAnsi" w:hAnsiTheme="minorHAnsi" w:cstheme="minorHAnsi"/>
        </w:rPr>
        <w:t xml:space="preserve"> consist of:</w:t>
      </w:r>
    </w:p>
    <w:p w14:paraId="4F665A80" w14:textId="77777777" w:rsidR="00A700BE" w:rsidRPr="00193AD9" w:rsidRDefault="00A700B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An assurance strategy and internal audit charter linked to organisational objectives.</w:t>
      </w:r>
    </w:p>
    <w:p w14:paraId="24AACE46" w14:textId="77777777" w:rsidR="00A700BE" w:rsidRPr="00193AD9" w:rsidRDefault="00A700B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An assurance map detailing sources of all assurance activities.</w:t>
      </w:r>
    </w:p>
    <w:p w14:paraId="47B80AE0" w14:textId="77777777" w:rsidR="00A700BE" w:rsidRPr="00193AD9" w:rsidRDefault="00A700B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A risk-based assurance/audit plan outlining planned activities.</w:t>
      </w:r>
    </w:p>
    <w:p w14:paraId="7A861D18" w14:textId="77777777" w:rsidR="00A700BE" w:rsidRPr="00193AD9" w:rsidRDefault="00A700B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Registers and reports to track implementation progress of recommendations.</w:t>
      </w:r>
    </w:p>
    <w:p w14:paraId="47AB1C7C" w14:textId="5568938E" w:rsidR="002B750E" w:rsidRPr="00193AD9" w:rsidRDefault="00A700BE" w:rsidP="007B76F0">
      <w:pPr>
        <w:pStyle w:val="ListParagraph"/>
        <w:numPr>
          <w:ilvl w:val="0"/>
          <w:numId w:val="48"/>
        </w:numPr>
        <w:autoSpaceDE w:val="0"/>
        <w:autoSpaceDN w:val="0"/>
        <w:adjustRightInd w:val="0"/>
        <w:spacing w:after="120"/>
        <w:rPr>
          <w:rFonts w:asciiTheme="minorHAnsi" w:hAnsiTheme="minorHAnsi" w:cstheme="minorHAnsi"/>
          <w:color w:val="000000"/>
          <w:sz w:val="18"/>
          <w:szCs w:val="18"/>
        </w:rPr>
      </w:pPr>
      <w:r w:rsidRPr="00193AD9">
        <w:rPr>
          <w:rFonts w:asciiTheme="minorHAnsi" w:hAnsiTheme="minorHAnsi" w:cstheme="minorHAnsi"/>
          <w:color w:val="000000"/>
          <w:sz w:val="18"/>
          <w:szCs w:val="18"/>
        </w:rPr>
        <w:t>Key performance indicators of assurance activities.</w:t>
      </w:r>
    </w:p>
    <w:p w14:paraId="383C95C4" w14:textId="1A3E5D38" w:rsidR="003F5369" w:rsidRPr="001C355C" w:rsidRDefault="00A700BE" w:rsidP="003F5369">
      <w:pPr>
        <w:pStyle w:val="Heading3"/>
      </w:pPr>
      <w:bookmarkStart w:id="44" w:name="_Toc164067856"/>
      <w:r w:rsidRPr="001C355C">
        <w:t>5.4.</w:t>
      </w:r>
      <w:r w:rsidR="00725F6B">
        <w:t>4</w:t>
      </w:r>
      <w:r w:rsidRPr="001C355C">
        <w:tab/>
      </w:r>
      <w:r w:rsidR="003F5369" w:rsidRPr="001C355C">
        <w:t>Insurance</w:t>
      </w:r>
      <w:bookmarkEnd w:id="43"/>
      <w:bookmarkEnd w:id="44"/>
    </w:p>
    <w:p w14:paraId="074A630A" w14:textId="60408E54" w:rsidR="003F5369" w:rsidRDefault="003F5369" w:rsidP="003F5369">
      <w:r>
        <w:t xml:space="preserve">As required by Ministerial Standing Direction 3.7.1, </w:t>
      </w:r>
      <w:r w:rsidR="00C81471">
        <w:t>entities</w:t>
      </w:r>
      <w:r w:rsidRPr="004A6A03">
        <w:t xml:space="preserve"> need to ensure that they have appropriate insurances in place</w:t>
      </w:r>
      <w:r>
        <w:t xml:space="preserve"> through the Victorian Managed Insurance Authority (VMIA) unless exempted by the responsible minister, or where the VMIA cannot offer insurance for a specific risk. </w:t>
      </w:r>
    </w:p>
    <w:p w14:paraId="4BC61A26" w14:textId="6C8288EB" w:rsidR="003F5369" w:rsidRDefault="003F5369" w:rsidP="003F5369">
      <w:r>
        <w:t xml:space="preserve">As part of the </w:t>
      </w:r>
      <w:r w:rsidR="00C81471">
        <w:t>entities</w:t>
      </w:r>
      <w:r>
        <w:t>’ compliance with the VGRMF, t</w:t>
      </w:r>
      <w:r w:rsidRPr="004A6A03">
        <w:t xml:space="preserve">he level of insurance should be based on the </w:t>
      </w:r>
      <w:r w:rsidR="00C81471">
        <w:t>entity</w:t>
      </w:r>
      <w:r w:rsidRPr="004A6A03">
        <w:t>’s risk profile and tolerance, past claim</w:t>
      </w:r>
      <w:r>
        <w:t>s a</w:t>
      </w:r>
      <w:r w:rsidRPr="004A6A03">
        <w:t>nd the availability and cost of insurance.</w:t>
      </w:r>
      <w:r>
        <w:t xml:space="preserve"> </w:t>
      </w:r>
    </w:p>
    <w:p w14:paraId="09E60165" w14:textId="5B658AAD" w:rsidR="003F5369" w:rsidRPr="004A6A03" w:rsidRDefault="003F5369" w:rsidP="003F5369">
      <w:r>
        <w:t xml:space="preserve">It is important </w:t>
      </w:r>
      <w:r w:rsidR="00C81471">
        <w:t>entities</w:t>
      </w:r>
      <w:r>
        <w:t xml:space="preserve"> understand their insurable risk and consult with VMIA to determine an appropriate level of self-insurance or deductibles. </w:t>
      </w:r>
      <w:r w:rsidR="00C81471">
        <w:t>Entities</w:t>
      </w:r>
      <w:r w:rsidRPr="004A6A03">
        <w:t xml:space="preserve"> are responsible for managing and funding any self-insured and under-deductible losses.</w:t>
      </w:r>
    </w:p>
    <w:p w14:paraId="39D55604" w14:textId="53747D63" w:rsidR="00F0582E" w:rsidRDefault="00217E54" w:rsidP="00F0582E">
      <w:pPr>
        <w:pStyle w:val="Heading2"/>
      </w:pPr>
      <w:bookmarkStart w:id="45" w:name="_Toc39481528"/>
      <w:bookmarkStart w:id="46" w:name="_Toc164067857"/>
      <w:r>
        <w:t>5.5</w:t>
      </w:r>
      <w:r>
        <w:tab/>
      </w:r>
      <w:r w:rsidR="00F0582E">
        <w:t xml:space="preserve">Communication and </w:t>
      </w:r>
      <w:bookmarkEnd w:id="45"/>
      <w:r w:rsidR="001A60E2">
        <w:t>E</w:t>
      </w:r>
      <w:r w:rsidR="00F0582E">
        <w:t>ngagement</w:t>
      </w:r>
      <w:bookmarkEnd w:id="46"/>
    </w:p>
    <w:p w14:paraId="4851A0E2" w14:textId="6936C150" w:rsidR="00F0582E" w:rsidRPr="00726A38" w:rsidRDefault="00F0582E" w:rsidP="00F0582E">
      <w:pPr>
        <w:pStyle w:val="bodycopy"/>
        <w:rPr>
          <w:color w:val="auto"/>
          <w:sz w:val="18"/>
          <w:szCs w:val="18"/>
        </w:rPr>
      </w:pPr>
      <w:bookmarkStart w:id="47" w:name="_Toc448391510"/>
      <w:r w:rsidRPr="00B051BC">
        <w:rPr>
          <w:color w:val="auto"/>
          <w:sz w:val="18"/>
        </w:rPr>
        <w:t xml:space="preserve">An essential element of good public administration and governance is a framework to facilitate effective </w:t>
      </w:r>
      <w:r w:rsidR="00795D42">
        <w:rPr>
          <w:color w:val="auto"/>
          <w:sz w:val="18"/>
        </w:rPr>
        <w:t xml:space="preserve">communication and </w:t>
      </w:r>
      <w:r w:rsidRPr="00B051BC">
        <w:rPr>
          <w:color w:val="auto"/>
          <w:sz w:val="18"/>
        </w:rPr>
        <w:t xml:space="preserve">engagement between ministers, </w:t>
      </w:r>
      <w:r w:rsidR="00C81471">
        <w:rPr>
          <w:color w:val="auto"/>
          <w:sz w:val="18"/>
        </w:rPr>
        <w:t>entities</w:t>
      </w:r>
      <w:r w:rsidRPr="00B051BC">
        <w:rPr>
          <w:color w:val="auto"/>
          <w:sz w:val="18"/>
        </w:rPr>
        <w:t xml:space="preserve"> and departments.</w:t>
      </w:r>
      <w:bookmarkEnd w:id="47"/>
      <w:r w:rsidRPr="00B051BC">
        <w:rPr>
          <w:color w:val="auto"/>
          <w:sz w:val="18"/>
        </w:rPr>
        <w:t xml:space="preserve"> </w:t>
      </w:r>
      <w:r w:rsidR="00816C73" w:rsidRPr="00816C73">
        <w:rPr>
          <w:color w:val="0E101A"/>
          <w:sz w:val="18"/>
          <w:szCs w:val="18"/>
        </w:rPr>
        <w:t xml:space="preserve">The Victorian Public Sector Commission </w:t>
      </w:r>
      <w:r w:rsidR="00B158F0">
        <w:rPr>
          <w:color w:val="auto"/>
          <w:sz w:val="18"/>
        </w:rPr>
        <w:t>(</w:t>
      </w:r>
      <w:r w:rsidR="00DE1E4C">
        <w:rPr>
          <w:color w:val="auto"/>
          <w:sz w:val="18"/>
        </w:rPr>
        <w:t>VPSC</w:t>
      </w:r>
      <w:r w:rsidR="00B158F0">
        <w:rPr>
          <w:color w:val="auto"/>
          <w:sz w:val="18"/>
        </w:rPr>
        <w:t>)</w:t>
      </w:r>
      <w:r w:rsidR="00DE1E4C">
        <w:rPr>
          <w:color w:val="auto"/>
          <w:sz w:val="18"/>
        </w:rPr>
        <w:t xml:space="preserve"> </w:t>
      </w:r>
      <w:r w:rsidR="00262F2E" w:rsidRPr="00262F2E">
        <w:rPr>
          <w:color w:val="0E101A"/>
          <w:sz w:val="18"/>
          <w:szCs w:val="18"/>
        </w:rPr>
        <w:t xml:space="preserve">released new guidance on </w:t>
      </w:r>
      <w:hyperlink r:id="rId37" w:tgtFrame="_blank" w:history="1">
        <w:r w:rsidR="00262F2E" w:rsidRPr="00262F2E">
          <w:rPr>
            <w:rStyle w:val="Hyperlink"/>
            <w:color w:val="4A6EE0"/>
            <w:sz w:val="18"/>
            <w:szCs w:val="18"/>
          </w:rPr>
          <w:t>Establishing portfolio governance arrangements</w:t>
        </w:r>
      </w:hyperlink>
      <w:r w:rsidR="004C08A5">
        <w:rPr>
          <w:sz w:val="18"/>
          <w:szCs w:val="18"/>
        </w:rPr>
        <w:t xml:space="preserve"> </w:t>
      </w:r>
      <w:r w:rsidR="004C08A5" w:rsidRPr="00041660">
        <w:rPr>
          <w:color w:val="auto"/>
          <w:sz w:val="18"/>
          <w:szCs w:val="18"/>
        </w:rPr>
        <w:t xml:space="preserve">to assist the department and </w:t>
      </w:r>
      <w:r w:rsidR="00A80FA3" w:rsidRPr="00041660">
        <w:rPr>
          <w:color w:val="auto"/>
          <w:sz w:val="18"/>
          <w:szCs w:val="18"/>
        </w:rPr>
        <w:t>portfolio entities build effective working relationships</w:t>
      </w:r>
      <w:r w:rsidR="00262F2E" w:rsidRPr="00041660">
        <w:rPr>
          <w:color w:val="auto"/>
          <w:sz w:val="18"/>
          <w:szCs w:val="18"/>
        </w:rPr>
        <w:t>.</w:t>
      </w:r>
    </w:p>
    <w:p w14:paraId="7E95D83D" w14:textId="79C0C8B2" w:rsidR="00F0582E" w:rsidRDefault="00217E54" w:rsidP="00F0582E">
      <w:pPr>
        <w:pStyle w:val="Heading3"/>
      </w:pPr>
      <w:bookmarkStart w:id="48" w:name="_Toc39481529"/>
      <w:bookmarkStart w:id="49" w:name="_Toc164067858"/>
      <w:r>
        <w:t>5.5.1</w:t>
      </w:r>
      <w:r>
        <w:tab/>
      </w:r>
      <w:r w:rsidR="00F0582E">
        <w:t>Roles and responsibilities of relationship managers</w:t>
      </w:r>
      <w:bookmarkEnd w:id="48"/>
      <w:bookmarkEnd w:id="49"/>
    </w:p>
    <w:p w14:paraId="64D0ADCF" w14:textId="5CDBFC3A" w:rsidR="00F0582E" w:rsidRDefault="00F0582E" w:rsidP="00F0582E">
      <w:r>
        <w:t xml:space="preserve">The department </w:t>
      </w:r>
      <w:r w:rsidRPr="00636096">
        <w:t xml:space="preserve">and </w:t>
      </w:r>
      <w:r w:rsidR="00C81471">
        <w:t>entity</w:t>
      </w:r>
      <w:r w:rsidRPr="00636096">
        <w:t xml:space="preserve"> will nominate a </w:t>
      </w:r>
      <w:r>
        <w:t>responsible contact officer to act as the relationship manager</w:t>
      </w:r>
      <w:r w:rsidR="00C06D98">
        <w:t xml:space="preserve"> (RM)</w:t>
      </w:r>
      <w:r>
        <w:t xml:space="preserve"> and </w:t>
      </w:r>
      <w:r w:rsidRPr="00636096">
        <w:t xml:space="preserve">to provide a </w:t>
      </w:r>
      <w:r>
        <w:t>key</w:t>
      </w:r>
      <w:r w:rsidRPr="00636096">
        <w:t xml:space="preserve"> point of contact to facilitate engagement and communications.</w:t>
      </w:r>
      <w:r w:rsidR="009E274A">
        <w:t xml:space="preserve"> </w:t>
      </w:r>
      <w:r>
        <w:t xml:space="preserve">Noting that there may be multiple points of contact between the </w:t>
      </w:r>
      <w:r w:rsidR="00C81471">
        <w:t>entity</w:t>
      </w:r>
      <w:r>
        <w:t xml:space="preserve"> and department, </w:t>
      </w:r>
      <w:r w:rsidRPr="00636096">
        <w:t xml:space="preserve">relationship managers </w:t>
      </w:r>
      <w:r>
        <w:t xml:space="preserve">should </w:t>
      </w:r>
      <w:r w:rsidRPr="00636096">
        <w:t xml:space="preserve">be kept informed of all dealings </w:t>
      </w:r>
      <w:r>
        <w:t xml:space="preserve">of a material nature </w:t>
      </w:r>
      <w:r w:rsidRPr="00636096">
        <w:t xml:space="preserve">between the </w:t>
      </w:r>
      <w:r>
        <w:t xml:space="preserve">department and </w:t>
      </w:r>
      <w:r w:rsidR="00021934">
        <w:t xml:space="preserve">the </w:t>
      </w:r>
      <w:r w:rsidR="00C81471">
        <w:t>entity</w:t>
      </w:r>
      <w:r w:rsidR="00462539">
        <w:t>.</w:t>
      </w:r>
    </w:p>
    <w:p w14:paraId="34A8BBDC" w14:textId="1300A294" w:rsidR="00F0582E" w:rsidRDefault="00C724B1" w:rsidP="00F0582E">
      <w:r>
        <w:t>The</w:t>
      </w:r>
      <w:r w:rsidR="00462539">
        <w:t xml:space="preserve"> </w:t>
      </w:r>
      <w:r w:rsidR="00F0582E" w:rsidDel="00597C3E">
        <w:t>Financial</w:t>
      </w:r>
      <w:r w:rsidR="00F407DD">
        <w:t xml:space="preserve">, </w:t>
      </w:r>
      <w:r w:rsidR="00597C3E">
        <w:t>Investment</w:t>
      </w:r>
      <w:r w:rsidR="00F0582E">
        <w:t xml:space="preserve"> and Procurement </w:t>
      </w:r>
      <w:r>
        <w:t xml:space="preserve">branch </w:t>
      </w:r>
      <w:r w:rsidR="00F0582E">
        <w:t>will support relationship managers on matters of fiscal risk and cost pressures</w:t>
      </w:r>
      <w:r w:rsidR="00F0165B">
        <w:t>,</w:t>
      </w:r>
      <w:r w:rsidR="00AB37E5">
        <w:t xml:space="preserve"> </w:t>
      </w:r>
      <w:r w:rsidR="00F0165B">
        <w:t xml:space="preserve">while </w:t>
      </w:r>
      <w:r w:rsidR="00D54E65">
        <w:t>the P</w:t>
      </w:r>
      <w:r w:rsidR="00F0165B">
        <w:t xml:space="preserve">erformance and </w:t>
      </w:r>
      <w:r w:rsidR="00D54E65">
        <w:t>G</w:t>
      </w:r>
      <w:r w:rsidR="00F0165B">
        <w:t>overnance team will provide centrali</w:t>
      </w:r>
      <w:r w:rsidR="00D54E65">
        <w:t>s</w:t>
      </w:r>
      <w:r w:rsidR="00F0165B">
        <w:t xml:space="preserve">ed support on matters related to portfolio governance for </w:t>
      </w:r>
      <w:r w:rsidR="00D54E65">
        <w:t>entities</w:t>
      </w:r>
      <w:r w:rsidR="00F0582E">
        <w:t>.</w:t>
      </w:r>
    </w:p>
    <w:p w14:paraId="483BC2B5" w14:textId="22AAFD83" w:rsidR="00F0582E" w:rsidRDefault="00F0582E" w:rsidP="00F0582E">
      <w:r>
        <w:t xml:space="preserve">Regular and transparent engagement between </w:t>
      </w:r>
      <w:r w:rsidR="00C81471">
        <w:t>entities</w:t>
      </w:r>
      <w:r>
        <w:t xml:space="preserve"> and the relevant relationship managers in the department is required. The relevant departmental contact should visit the </w:t>
      </w:r>
      <w:r w:rsidR="00C81471">
        <w:t>entity</w:t>
      </w:r>
      <w:r>
        <w:t xml:space="preserve"> at least annually and where circumstances require it. </w:t>
      </w:r>
    </w:p>
    <w:p w14:paraId="37A98726" w14:textId="61B439EA" w:rsidR="00F0582E" w:rsidRDefault="00C81471" w:rsidP="00F0582E">
      <w:r>
        <w:lastRenderedPageBreak/>
        <w:t>Entity</w:t>
      </w:r>
      <w:r w:rsidR="00F0582E">
        <w:t>-specific SAs</w:t>
      </w:r>
      <w:r w:rsidR="00410BE8">
        <w:t>, SLAs</w:t>
      </w:r>
      <w:r w:rsidR="00F0582E">
        <w:t xml:space="preserve"> and</w:t>
      </w:r>
      <w:r w:rsidR="00410BE8">
        <w:t xml:space="preserve"> ministerial</w:t>
      </w:r>
      <w:r w:rsidR="00F0582E">
        <w:t xml:space="preserve"> SOEs may also prescribe the frequency and purpose of meetings. </w:t>
      </w:r>
    </w:p>
    <w:p w14:paraId="7DB29E22" w14:textId="77777777" w:rsidR="00F0582E" w:rsidRPr="00CA34CC" w:rsidRDefault="00F0582E" w:rsidP="00F0582E">
      <w:r>
        <w:t>As a minimum, s</w:t>
      </w:r>
      <w:r w:rsidRPr="00CA34CC">
        <w:t>uch engagements should:</w:t>
      </w:r>
    </w:p>
    <w:p w14:paraId="48697CAE" w14:textId="594F411D" w:rsidR="00F0582E" w:rsidRPr="00FC63CA" w:rsidRDefault="00F0582E" w:rsidP="007B76F0">
      <w:pPr>
        <w:pStyle w:val="ListBullet"/>
        <w:numPr>
          <w:ilvl w:val="0"/>
          <w:numId w:val="25"/>
        </w:numPr>
        <w:rPr>
          <w:color w:val="auto"/>
        </w:rPr>
      </w:pPr>
      <w:bookmarkStart w:id="50" w:name="_Toc448391512"/>
      <w:r w:rsidRPr="00FC63CA">
        <w:rPr>
          <w:color w:val="auto"/>
        </w:rPr>
        <w:t xml:space="preserve">ensure clarity of the respective roles and responsibilities of ministers, the department and </w:t>
      </w:r>
      <w:bookmarkEnd w:id="50"/>
      <w:r w:rsidR="00C81471">
        <w:rPr>
          <w:color w:val="auto"/>
        </w:rPr>
        <w:t>entities</w:t>
      </w:r>
    </w:p>
    <w:p w14:paraId="11E102A5" w14:textId="1DFD453A" w:rsidR="00F0582E" w:rsidRPr="00FC63CA" w:rsidRDefault="00F0582E" w:rsidP="007B76F0">
      <w:pPr>
        <w:pStyle w:val="ListBullet"/>
        <w:numPr>
          <w:ilvl w:val="0"/>
          <w:numId w:val="25"/>
        </w:numPr>
        <w:rPr>
          <w:color w:val="auto"/>
        </w:rPr>
      </w:pPr>
      <w:r w:rsidRPr="00FC63CA">
        <w:rPr>
          <w:color w:val="auto"/>
        </w:rPr>
        <w:t xml:space="preserve">discuss periodic reports submitted by </w:t>
      </w:r>
      <w:r w:rsidR="00C81471">
        <w:rPr>
          <w:color w:val="auto"/>
        </w:rPr>
        <w:t>entities</w:t>
      </w:r>
      <w:r w:rsidRPr="00FC63CA">
        <w:rPr>
          <w:color w:val="auto"/>
        </w:rPr>
        <w:t>, risks and issues under management, commercial transactions or ministerial submissions (amongst other things as deemed appropriate)</w:t>
      </w:r>
    </w:p>
    <w:p w14:paraId="002F28D8" w14:textId="380D522B" w:rsidR="00F0582E" w:rsidRPr="00FC63CA" w:rsidRDefault="00F0582E" w:rsidP="007B76F0">
      <w:pPr>
        <w:pStyle w:val="ListBullet"/>
        <w:numPr>
          <w:ilvl w:val="0"/>
          <w:numId w:val="25"/>
        </w:numPr>
        <w:rPr>
          <w:color w:val="auto"/>
        </w:rPr>
      </w:pPr>
      <w:bookmarkStart w:id="51" w:name="_Toc448391493"/>
      <w:bookmarkStart w:id="52" w:name="_Toc448391514"/>
      <w:r w:rsidRPr="00FC63CA">
        <w:rPr>
          <w:color w:val="auto"/>
        </w:rPr>
        <w:t>be characterised by positive relationships, and manage escalation where different views exist</w:t>
      </w:r>
      <w:bookmarkEnd w:id="51"/>
    </w:p>
    <w:p w14:paraId="2C3EA316" w14:textId="19D61171" w:rsidR="00F0582E" w:rsidRPr="00FC63CA" w:rsidRDefault="00F0582E" w:rsidP="007B76F0">
      <w:pPr>
        <w:pStyle w:val="ListBullet"/>
        <w:numPr>
          <w:ilvl w:val="0"/>
          <w:numId w:val="25"/>
        </w:numPr>
        <w:rPr>
          <w:color w:val="auto"/>
        </w:rPr>
      </w:pPr>
      <w:r w:rsidRPr="00FC63CA">
        <w:rPr>
          <w:color w:val="auto"/>
        </w:rPr>
        <w:t xml:space="preserve">agree </w:t>
      </w:r>
      <w:bookmarkStart w:id="53" w:name="_Toc448391490"/>
      <w:bookmarkStart w:id="54" w:name="_Toc448391515"/>
      <w:bookmarkEnd w:id="52"/>
      <w:r w:rsidRPr="00FC63CA">
        <w:rPr>
          <w:color w:val="auto"/>
        </w:rPr>
        <w:t xml:space="preserve">clear guidelines and protocols about meetings between ministers, the department and </w:t>
      </w:r>
      <w:r w:rsidR="00C81471">
        <w:rPr>
          <w:color w:val="auto"/>
        </w:rPr>
        <w:t>entity</w:t>
      </w:r>
      <w:r w:rsidRPr="00FC63CA">
        <w:rPr>
          <w:color w:val="auto"/>
        </w:rPr>
        <w:t xml:space="preserve"> representatives</w:t>
      </w:r>
    </w:p>
    <w:bookmarkEnd w:id="53"/>
    <w:p w14:paraId="7A035ACE" w14:textId="5FAAB9E2" w:rsidR="00F0582E" w:rsidRPr="00FC63CA" w:rsidRDefault="00F0582E" w:rsidP="007B76F0">
      <w:pPr>
        <w:pStyle w:val="ListBullet"/>
        <w:numPr>
          <w:ilvl w:val="0"/>
          <w:numId w:val="25"/>
        </w:numPr>
        <w:rPr>
          <w:color w:val="auto"/>
        </w:rPr>
      </w:pPr>
      <w:r w:rsidRPr="00FC63CA">
        <w:rPr>
          <w:color w:val="auto"/>
        </w:rPr>
        <w:t xml:space="preserve">account for both </w:t>
      </w:r>
      <w:r w:rsidR="00C81471">
        <w:rPr>
          <w:color w:val="auto"/>
        </w:rPr>
        <w:t>entity</w:t>
      </w:r>
      <w:r w:rsidRPr="00FC63CA">
        <w:rPr>
          <w:color w:val="auto"/>
        </w:rPr>
        <w:t xml:space="preserve"> independence and the need for department input and oversight</w:t>
      </w:r>
      <w:bookmarkEnd w:id="54"/>
    </w:p>
    <w:p w14:paraId="584FCBF7" w14:textId="354757E2" w:rsidR="004318E7" w:rsidRDefault="00F0582E" w:rsidP="007B76F0">
      <w:pPr>
        <w:pStyle w:val="ListBullet"/>
        <w:numPr>
          <w:ilvl w:val="0"/>
          <w:numId w:val="25"/>
        </w:numPr>
      </w:pPr>
      <w:r w:rsidRPr="00FC63CA">
        <w:rPr>
          <w:color w:val="auto"/>
        </w:rPr>
        <w:t>be supported by timely and effective feedback with an intention to improve communication and transparency.</w:t>
      </w:r>
    </w:p>
    <w:p w14:paraId="37A0ED6F" w14:textId="11B51EFE" w:rsidR="001C7C57" w:rsidRPr="001C7C57" w:rsidRDefault="00217E54" w:rsidP="001C7C57">
      <w:pPr>
        <w:pStyle w:val="Heading3"/>
      </w:pPr>
      <w:bookmarkStart w:id="55" w:name="_Toc39481530"/>
      <w:bookmarkStart w:id="56" w:name="_Toc164067859"/>
      <w:r>
        <w:t>5.5.</w:t>
      </w:r>
      <w:r w:rsidR="00CF6F91">
        <w:t>2</w:t>
      </w:r>
      <w:r>
        <w:tab/>
      </w:r>
      <w:r w:rsidR="00F0582E" w:rsidRPr="000603F0">
        <w:t>Consultation on ministerial briefs</w:t>
      </w:r>
      <w:bookmarkEnd w:id="55"/>
      <w:bookmarkEnd w:id="56"/>
    </w:p>
    <w:p w14:paraId="5528679E" w14:textId="4047395B" w:rsidR="00684A7F" w:rsidRDefault="00684A7F" w:rsidP="001447ED">
      <w:r w:rsidRPr="00817A81">
        <w:t xml:space="preserve">The </w:t>
      </w:r>
      <w:r w:rsidR="00521A4E">
        <w:t>d</w:t>
      </w:r>
      <w:r w:rsidRPr="00817A81">
        <w:t xml:space="preserve">epartment and entities will collaborate </w:t>
      </w:r>
      <w:r w:rsidR="00256648" w:rsidRPr="00530788">
        <w:t>with</w:t>
      </w:r>
      <w:r w:rsidRPr="00817A81">
        <w:t xml:space="preserve"> </w:t>
      </w:r>
      <w:r w:rsidR="00225518" w:rsidRPr="00530788">
        <w:t xml:space="preserve">the </w:t>
      </w:r>
      <w:r w:rsidRPr="0099160C">
        <w:t>designate</w:t>
      </w:r>
      <w:r w:rsidR="00571F88" w:rsidRPr="00530788">
        <w:t>d</w:t>
      </w:r>
      <w:r w:rsidRPr="0099160C">
        <w:t xml:space="preserve"> </w:t>
      </w:r>
      <w:r w:rsidRPr="00817A81">
        <w:t xml:space="preserve">relationship </w:t>
      </w:r>
      <w:r w:rsidR="00571F88" w:rsidRPr="00530788">
        <w:t>manager</w:t>
      </w:r>
      <w:r w:rsidRPr="00530788">
        <w:t>,</w:t>
      </w:r>
      <w:r w:rsidRPr="0099160C">
        <w:t xml:space="preserve"> ensuring comprehensive information for minist</w:t>
      </w:r>
      <w:r w:rsidRPr="00817A81">
        <w:t xml:space="preserve">erial briefings </w:t>
      </w:r>
      <w:r w:rsidRPr="00530788">
        <w:t xml:space="preserve">is </w:t>
      </w:r>
      <w:r w:rsidRPr="0099160C">
        <w:t xml:space="preserve">communicated, along with associated materials and </w:t>
      </w:r>
      <w:r w:rsidRPr="00817A81">
        <w:t>event details.</w:t>
      </w:r>
      <w:r>
        <w:t xml:space="preserve"> </w:t>
      </w:r>
    </w:p>
    <w:p w14:paraId="11DBE2BA" w14:textId="45696B76" w:rsidR="001447ED" w:rsidRDefault="00C364A5" w:rsidP="001447ED">
      <w:r>
        <w:t>The department will engage with e</w:t>
      </w:r>
      <w:r w:rsidR="001447ED">
        <w:t xml:space="preserve">ntities during the initial drafting </w:t>
      </w:r>
      <w:r w:rsidR="007C4C1C">
        <w:t>process, to</w:t>
      </w:r>
      <w:r w:rsidR="00606CFA">
        <w:t xml:space="preserve"> seek </w:t>
      </w:r>
      <w:r w:rsidR="001447ED">
        <w:t>relevant</w:t>
      </w:r>
      <w:r w:rsidR="00606CFA">
        <w:t xml:space="preserve"> </w:t>
      </w:r>
      <w:r w:rsidR="00103153">
        <w:t xml:space="preserve">information or </w:t>
      </w:r>
      <w:r w:rsidR="00606CFA">
        <w:t>advice</w:t>
      </w:r>
      <w:r w:rsidR="00CC78C7">
        <w:t xml:space="preserve"> </w:t>
      </w:r>
      <w:r w:rsidR="00AB3483">
        <w:t>before</w:t>
      </w:r>
      <w:r w:rsidR="001447ED">
        <w:t xml:space="preserve"> </w:t>
      </w:r>
      <w:r w:rsidR="00FB2362">
        <w:t>providing</w:t>
      </w:r>
      <w:r w:rsidR="001447ED">
        <w:t xml:space="preserve"> an independent opinion/advice on the subject of the brief.</w:t>
      </w:r>
    </w:p>
    <w:p w14:paraId="09702F37" w14:textId="274BCE5A" w:rsidR="008873EA" w:rsidRDefault="008873EA" w:rsidP="001447ED">
      <w:r>
        <w:t>In relation to events,</w:t>
      </w:r>
      <w:r w:rsidR="00AB444F">
        <w:t xml:space="preserve"> the entity may send an invitation directly to the minister</w:t>
      </w:r>
      <w:r w:rsidR="006B5ECA">
        <w:t>,</w:t>
      </w:r>
      <w:r w:rsidR="00AB444F">
        <w:t xml:space="preserve"> </w:t>
      </w:r>
      <w:r w:rsidR="00571E2C">
        <w:t>the m</w:t>
      </w:r>
      <w:r w:rsidR="00571E2C" w:rsidRPr="00FD6323">
        <w:t xml:space="preserve">inister’s </w:t>
      </w:r>
      <w:r w:rsidR="00571E2C">
        <w:t>c</w:t>
      </w:r>
      <w:r w:rsidR="00571E2C" w:rsidRPr="00FD6323">
        <w:t xml:space="preserve">hief of </w:t>
      </w:r>
      <w:r w:rsidR="00571E2C">
        <w:t>s</w:t>
      </w:r>
      <w:r w:rsidR="00571E2C" w:rsidRPr="00FD6323">
        <w:t>taff and</w:t>
      </w:r>
      <w:r w:rsidR="00E67A37">
        <w:t>/or</w:t>
      </w:r>
      <w:r w:rsidR="00571E2C" w:rsidRPr="00FD6323">
        <w:t xml:space="preserve"> other ministerial staff</w:t>
      </w:r>
      <w:r w:rsidR="00571E2C">
        <w:t xml:space="preserve">, for their consideration </w:t>
      </w:r>
      <w:r w:rsidR="00E67A37">
        <w:t>to attend</w:t>
      </w:r>
      <w:r w:rsidR="00EB30B8">
        <w:t>.</w:t>
      </w:r>
      <w:r w:rsidR="00E67A37">
        <w:t xml:space="preserve"> However, </w:t>
      </w:r>
      <w:r w:rsidR="00155802">
        <w:t xml:space="preserve">in the organisation of these events, they are generally undertaken by Strategic Communications </w:t>
      </w:r>
      <w:r w:rsidR="00A129DA">
        <w:t>within</w:t>
      </w:r>
      <w:r w:rsidR="006B3FD6">
        <w:t xml:space="preserve"> </w:t>
      </w:r>
      <w:r w:rsidR="00B66269">
        <w:t>the department</w:t>
      </w:r>
      <w:r w:rsidR="006B3FD6">
        <w:t>.</w:t>
      </w:r>
      <w:r w:rsidR="00EB30B8">
        <w:t xml:space="preserve"> </w:t>
      </w:r>
      <w:r w:rsidR="00AC564B" w:rsidRPr="0099160C">
        <w:t>Typically, relationship managers re</w:t>
      </w:r>
      <w:r w:rsidR="00AC564B" w:rsidRPr="00EB7D1A">
        <w:t xml:space="preserve">ceive requests from the minister’s office to prepare event briefs, including details such as the event’s purpose, timeline, budget, attendee information, running sheet, </w:t>
      </w:r>
      <w:r w:rsidR="00EB7D1A" w:rsidRPr="00530788">
        <w:t>etc.</w:t>
      </w:r>
      <w:r w:rsidR="0082531F" w:rsidRPr="00530788">
        <w:t xml:space="preserve"> </w:t>
      </w:r>
      <w:r w:rsidR="00AC564B" w:rsidRPr="0099160C">
        <w:t>Concurrently, the Strategic Communications team may</w:t>
      </w:r>
      <w:r w:rsidR="00AC564B" w:rsidRPr="00EB7D1A">
        <w:t xml:space="preserve"> ask relationship managers to review the potential media opportunities, which require Executive Director approval.</w:t>
      </w:r>
    </w:p>
    <w:p w14:paraId="491B8552" w14:textId="7C65F97E" w:rsidR="00F0582E" w:rsidRDefault="003456AF" w:rsidP="00F0582E">
      <w:r w:rsidRPr="00F623C7">
        <w:t>The department</w:t>
      </w:r>
      <w:r w:rsidR="00F0582E" w:rsidRPr="00F623C7">
        <w:t xml:space="preserve"> will provide a written briefing to an incoming minister</w:t>
      </w:r>
      <w:r w:rsidR="00604A22">
        <w:t>, a</w:t>
      </w:r>
      <w:r w:rsidR="008E016A">
        <w:t>t</w:t>
      </w:r>
      <w:r w:rsidR="00604A22">
        <w:t xml:space="preserve"> the m</w:t>
      </w:r>
      <w:r w:rsidR="008E016A">
        <w:t>inister’s request,</w:t>
      </w:r>
      <w:r w:rsidR="00F0582E" w:rsidRPr="00F623C7">
        <w:t xml:space="preserve"> on the </w:t>
      </w:r>
      <w:r w:rsidR="00C81471" w:rsidRPr="00F623C7">
        <w:t>entity</w:t>
      </w:r>
      <w:r w:rsidR="00F0582E" w:rsidRPr="00F623C7">
        <w:t>’s functions, operations and current issues soon after taking office.</w:t>
      </w:r>
      <w:r w:rsidR="00F0582E" w:rsidRPr="00775552">
        <w:t xml:space="preserve"> </w:t>
      </w:r>
    </w:p>
    <w:p w14:paraId="03F5C0F6" w14:textId="6F215ED7" w:rsidR="00056A88" w:rsidRDefault="00E117B6" w:rsidP="00F0582E">
      <w:r w:rsidRPr="00420085">
        <w:t xml:space="preserve">In line with the department’s responsibility to provide advice to the minister on entity operations and administration, the department may prepare a separate brief to the </w:t>
      </w:r>
      <w:r w:rsidR="002C5174">
        <w:t>m</w:t>
      </w:r>
      <w:r w:rsidRPr="00420085">
        <w:t>inister in connection with the meeting. Where appropriate, the department will provide a copy of the brief, or parts of it, to the entity, subject to the minister’s approval</w:t>
      </w:r>
      <w:r w:rsidR="00420085" w:rsidRPr="00420085">
        <w:t>.</w:t>
      </w:r>
    </w:p>
    <w:p w14:paraId="214C80E3" w14:textId="12E7AFD7" w:rsidR="00F0582E" w:rsidRPr="00775552" w:rsidRDefault="00217E54" w:rsidP="00F0582E">
      <w:pPr>
        <w:pStyle w:val="Heading3"/>
      </w:pPr>
      <w:bookmarkStart w:id="57" w:name="_Toc39481531"/>
      <w:bookmarkStart w:id="58" w:name="_Toc164067860"/>
      <w:r>
        <w:t>5.5.</w:t>
      </w:r>
      <w:r w:rsidR="00CF6F91">
        <w:t>3</w:t>
      </w:r>
      <w:r>
        <w:tab/>
      </w:r>
      <w:r w:rsidR="00F0582E">
        <w:t xml:space="preserve">Corresponding with the </w:t>
      </w:r>
      <w:r w:rsidR="00524F3A">
        <w:t>m</w:t>
      </w:r>
      <w:r w:rsidR="00F0582E">
        <w:t>inister</w:t>
      </w:r>
      <w:bookmarkEnd w:id="57"/>
      <w:bookmarkEnd w:id="58"/>
    </w:p>
    <w:p w14:paraId="0EF95624" w14:textId="36DE5318" w:rsidR="00F0582E" w:rsidRDefault="00F0582E" w:rsidP="00F0582E">
      <w:r w:rsidRPr="00370B6C">
        <w:t xml:space="preserve">Formal letters sent to </w:t>
      </w:r>
      <w:r>
        <w:t xml:space="preserve">the minister by </w:t>
      </w:r>
      <w:r w:rsidR="00C81471">
        <w:t>entities</w:t>
      </w:r>
      <w:r>
        <w:t xml:space="preserve"> (i.e.</w:t>
      </w:r>
      <w:r w:rsidR="00E651AE">
        <w:t>,</w:t>
      </w:r>
      <w:r>
        <w:t xml:space="preserve"> seeking approval of a corporate plan</w:t>
      </w:r>
      <w:r w:rsidRPr="00370B6C">
        <w:t xml:space="preserve"> or business plan) should be sent by the</w:t>
      </w:r>
      <w:r>
        <w:t xml:space="preserve"> </w:t>
      </w:r>
      <w:r w:rsidR="00C81471">
        <w:t>entity</w:t>
      </w:r>
      <w:r w:rsidRPr="00370B6C">
        <w:t xml:space="preserve"> </w:t>
      </w:r>
      <w:r>
        <w:t>c</w:t>
      </w:r>
      <w:r w:rsidRPr="00370B6C">
        <w:t>hair</w:t>
      </w:r>
      <w:r>
        <w:t xml:space="preserve"> or </w:t>
      </w:r>
      <w:r w:rsidRPr="00370B6C">
        <w:t>CEO.</w:t>
      </w:r>
      <w:r>
        <w:t xml:space="preserve"> </w:t>
      </w:r>
      <w:r w:rsidRPr="00370B6C">
        <w:t xml:space="preserve">A copy of the letter </w:t>
      </w:r>
      <w:r>
        <w:t xml:space="preserve">should also be sent to the relevant </w:t>
      </w:r>
      <w:r w:rsidR="00E75680">
        <w:t>department</w:t>
      </w:r>
      <w:r w:rsidR="007E2709">
        <w:t xml:space="preserve"> </w:t>
      </w:r>
      <w:r>
        <w:t>group head or deputy secretary.</w:t>
      </w:r>
    </w:p>
    <w:p w14:paraId="17341288" w14:textId="0632C8F6" w:rsidR="00502978" w:rsidRPr="0040039F" w:rsidRDefault="00502978" w:rsidP="00502978">
      <w:pPr>
        <w:pStyle w:val="Heading3"/>
      </w:pPr>
      <w:bookmarkStart w:id="59" w:name="_Toc39481532"/>
      <w:bookmarkStart w:id="60" w:name="_Toc164067861"/>
      <w:r>
        <w:t>5.5.</w:t>
      </w:r>
      <w:r w:rsidR="00CF6F91">
        <w:t>4</w:t>
      </w:r>
      <w:r>
        <w:tab/>
      </w:r>
      <w:r w:rsidRPr="0040039F">
        <w:t xml:space="preserve">Meetings with the </w:t>
      </w:r>
      <w:r>
        <w:t>m</w:t>
      </w:r>
      <w:r w:rsidRPr="0040039F">
        <w:t xml:space="preserve">inister </w:t>
      </w:r>
      <w:r>
        <w:t>and ministerial staff</w:t>
      </w:r>
      <w:bookmarkEnd w:id="59"/>
      <w:bookmarkEnd w:id="60"/>
    </w:p>
    <w:p w14:paraId="43B79750" w14:textId="6544A9B8" w:rsidR="00502978" w:rsidRDefault="00C81471" w:rsidP="00502978">
      <w:r>
        <w:t>Entities</w:t>
      </w:r>
      <w:r w:rsidR="00502978">
        <w:t xml:space="preserve"> will invite the department’s </w:t>
      </w:r>
      <w:r w:rsidR="00502978" w:rsidRPr="00B37EA9">
        <w:t>relevant senior executive</w:t>
      </w:r>
      <w:r w:rsidR="00502978" w:rsidRPr="00FD6323">
        <w:t xml:space="preserve"> to scheduled meetings with the </w:t>
      </w:r>
      <w:r w:rsidR="00E75680">
        <w:t>m</w:t>
      </w:r>
      <w:r w:rsidR="00502978" w:rsidRPr="00FD6323">
        <w:t xml:space="preserve">inister, </w:t>
      </w:r>
      <w:r w:rsidR="00502978">
        <w:t xml:space="preserve">the </w:t>
      </w:r>
      <w:r w:rsidR="00E75680">
        <w:t>m</w:t>
      </w:r>
      <w:r w:rsidR="00502978" w:rsidRPr="00FD6323">
        <w:t xml:space="preserve">inister’s </w:t>
      </w:r>
      <w:r w:rsidR="00502978">
        <w:t>c</w:t>
      </w:r>
      <w:r w:rsidR="00502978" w:rsidRPr="00FD6323">
        <w:t xml:space="preserve">hief of </w:t>
      </w:r>
      <w:r w:rsidR="00502978">
        <w:t>s</w:t>
      </w:r>
      <w:r w:rsidR="00502978" w:rsidRPr="00FD6323">
        <w:t>taff and other ministerial staff, except where the meeting directly relates to regu</w:t>
      </w:r>
      <w:r w:rsidR="00502978">
        <w:t>latory decision-making</w:t>
      </w:r>
      <w:r w:rsidR="00502978" w:rsidRPr="00FD6323">
        <w:t xml:space="preserve"> and the </w:t>
      </w:r>
      <w:r>
        <w:t>entity</w:t>
      </w:r>
      <w:r w:rsidR="00502978" w:rsidRPr="00FD6323">
        <w:t xml:space="preserve"> considers there are issues of confidentiality or potential conflict of interest involved.</w:t>
      </w:r>
      <w:r w:rsidR="00502978">
        <w:t xml:space="preserve"> </w:t>
      </w:r>
      <w:r w:rsidR="00502978" w:rsidRPr="00FD6323">
        <w:t xml:space="preserve">In particular, the </w:t>
      </w:r>
      <w:r w:rsidR="00E75680">
        <w:t>s</w:t>
      </w:r>
      <w:r w:rsidR="00502978" w:rsidRPr="00FD6323">
        <w:t xml:space="preserve">ecretary, </w:t>
      </w:r>
      <w:r w:rsidR="00502978">
        <w:t xml:space="preserve">group head, </w:t>
      </w:r>
      <w:r w:rsidR="000C22EE">
        <w:t xml:space="preserve">or </w:t>
      </w:r>
      <w:r w:rsidR="00502978" w:rsidRPr="00FD6323">
        <w:t xml:space="preserve">relevant </w:t>
      </w:r>
      <w:r w:rsidR="00E75680">
        <w:t>d</w:t>
      </w:r>
      <w:r w:rsidR="00502978" w:rsidRPr="00FD6323">
        <w:t xml:space="preserve">eputy </w:t>
      </w:r>
      <w:r w:rsidR="00E75680">
        <w:t>s</w:t>
      </w:r>
      <w:r w:rsidR="00502978" w:rsidRPr="00FD6323">
        <w:t xml:space="preserve">ecretary should be invited to meetings between the </w:t>
      </w:r>
      <w:r w:rsidR="000C22EE">
        <w:t>m</w:t>
      </w:r>
      <w:r w:rsidR="00502978" w:rsidRPr="00FD6323">
        <w:t xml:space="preserve">inister </w:t>
      </w:r>
      <w:r w:rsidR="00502978">
        <w:t>or ministerial</w:t>
      </w:r>
      <w:r w:rsidR="00502978" w:rsidRPr="00FD6323">
        <w:t xml:space="preserve"> staff where the </w:t>
      </w:r>
      <w:r>
        <w:t>entity</w:t>
      </w:r>
      <w:r w:rsidR="00502978" w:rsidRPr="00FD6323">
        <w:t xml:space="preserve"> representative is the </w:t>
      </w:r>
      <w:r w:rsidR="000C22EE">
        <w:t>c</w:t>
      </w:r>
      <w:r w:rsidR="00502978" w:rsidRPr="00FD6323">
        <w:t xml:space="preserve">hair, a </w:t>
      </w:r>
      <w:r w:rsidR="00502978">
        <w:t>director of the board (board member)</w:t>
      </w:r>
      <w:r w:rsidR="00502978" w:rsidRPr="00FD6323">
        <w:t xml:space="preserve"> or </w:t>
      </w:r>
      <w:r w:rsidR="00502978">
        <w:t>CEO.</w:t>
      </w:r>
    </w:p>
    <w:p w14:paraId="7534C2D5" w14:textId="3D0B2674" w:rsidR="00502978" w:rsidRDefault="00502978" w:rsidP="00502978">
      <w:r>
        <w:t xml:space="preserve">The department’s </w:t>
      </w:r>
      <w:r w:rsidRPr="00FD6323">
        <w:t xml:space="preserve">attendance at meetings is subject to the agreement of the </w:t>
      </w:r>
      <w:r w:rsidR="000C22EE">
        <w:t>m</w:t>
      </w:r>
      <w:r w:rsidRPr="00FD6323">
        <w:t>inister. Meetings can be arran</w:t>
      </w:r>
      <w:r>
        <w:t xml:space="preserve">ged with the </w:t>
      </w:r>
      <w:r w:rsidR="000C22EE">
        <w:t>m</w:t>
      </w:r>
      <w:r>
        <w:t>inister</w:t>
      </w:r>
      <w:r w:rsidRPr="00FD6323">
        <w:t xml:space="preserve">, but the relevant </w:t>
      </w:r>
      <w:r>
        <w:t>department</w:t>
      </w:r>
      <w:r w:rsidRPr="00775552">
        <w:t xml:space="preserve"> </w:t>
      </w:r>
      <w:r>
        <w:t xml:space="preserve">contact </w:t>
      </w:r>
      <w:r w:rsidRPr="00775552">
        <w:t>officer</w:t>
      </w:r>
      <w:r w:rsidRPr="00FD6323">
        <w:t xml:space="preserve"> for the </w:t>
      </w:r>
      <w:r w:rsidR="00C81471">
        <w:t>entity</w:t>
      </w:r>
      <w:r w:rsidRPr="00FD6323">
        <w:t xml:space="preserve"> is to be advised of the meeting date and time.</w:t>
      </w:r>
    </w:p>
    <w:p w14:paraId="04235F5E" w14:textId="7F938A9F" w:rsidR="00502978" w:rsidRDefault="00502978" w:rsidP="00502978">
      <w:r w:rsidRPr="00FD6323">
        <w:t>A list of attendees, agenda items and any other</w:t>
      </w:r>
      <w:r w:rsidR="0068773D">
        <w:t xml:space="preserve"> meeting</w:t>
      </w:r>
      <w:r w:rsidRPr="00FD6323">
        <w:t xml:space="preserve"> briefing papers </w:t>
      </w:r>
      <w:r w:rsidR="0068773D">
        <w:t xml:space="preserve">and attachments </w:t>
      </w:r>
      <w:r w:rsidRPr="00FD6323">
        <w:t xml:space="preserve">are to be provided to the </w:t>
      </w:r>
      <w:r w:rsidR="00FC3423">
        <w:t>m</w:t>
      </w:r>
      <w:r w:rsidRPr="00FD6323">
        <w:t xml:space="preserve">inister and </w:t>
      </w:r>
      <w:r>
        <w:t xml:space="preserve">the department </w:t>
      </w:r>
      <w:r w:rsidRPr="00FD6323">
        <w:t xml:space="preserve">prior to the meeting (unless the meeting is </w:t>
      </w:r>
      <w:r>
        <w:t xml:space="preserve">deemed </w:t>
      </w:r>
      <w:r w:rsidRPr="00FD6323">
        <w:t>urgent).</w:t>
      </w:r>
    </w:p>
    <w:p w14:paraId="5C0E4189" w14:textId="77089658" w:rsidR="00502978" w:rsidRDefault="00502978" w:rsidP="00502978">
      <w:r w:rsidRPr="00420085">
        <w:t xml:space="preserve">In line with the department’s responsibility to provide advice to the minister on </w:t>
      </w:r>
      <w:r w:rsidR="00C81471" w:rsidRPr="00420085">
        <w:t>entity</w:t>
      </w:r>
      <w:r w:rsidRPr="00420085">
        <w:t xml:space="preserve"> operations and administration, the department may prepare a separate brief to the </w:t>
      </w:r>
      <w:r w:rsidR="00393E03">
        <w:t>m</w:t>
      </w:r>
      <w:r w:rsidRPr="00420085">
        <w:t xml:space="preserve">inister in connection with the meeting. Where appropriate, the department will provide a copy of the brief, or parts of it, to the </w:t>
      </w:r>
      <w:r w:rsidR="00C81471" w:rsidRPr="00420085">
        <w:t>entity</w:t>
      </w:r>
      <w:r w:rsidRPr="00420085">
        <w:t>, subject to the minister’s approval.</w:t>
      </w:r>
    </w:p>
    <w:p w14:paraId="29F4FAF0" w14:textId="0B7233E9" w:rsidR="00502978" w:rsidRDefault="00C81471" w:rsidP="00502978">
      <w:r>
        <w:lastRenderedPageBreak/>
        <w:t>Entity</w:t>
      </w:r>
      <w:r w:rsidR="00502978" w:rsidRPr="00FD6323">
        <w:t xml:space="preserve"> </w:t>
      </w:r>
      <w:r w:rsidR="00502978">
        <w:t>c</w:t>
      </w:r>
      <w:r w:rsidR="00502978" w:rsidRPr="00FD6323">
        <w:t>hair</w:t>
      </w:r>
      <w:r w:rsidR="00502978">
        <w:t>s</w:t>
      </w:r>
      <w:r w:rsidR="00502978" w:rsidRPr="00FD6323">
        <w:t xml:space="preserve"> or CEO</w:t>
      </w:r>
      <w:r w:rsidR="00502978">
        <w:t>s</w:t>
      </w:r>
      <w:r w:rsidR="00502978" w:rsidRPr="00FD6323">
        <w:t xml:space="preserve"> should meet with the </w:t>
      </w:r>
      <w:r w:rsidR="00502978">
        <w:t>m</w:t>
      </w:r>
      <w:r w:rsidR="00502978" w:rsidRPr="00FD6323">
        <w:t>inister or delegate at least annually.</w:t>
      </w:r>
      <w:r w:rsidR="00502978">
        <w:t xml:space="preserve"> </w:t>
      </w:r>
      <w:r w:rsidR="00502978" w:rsidRPr="00FD6323">
        <w:t xml:space="preserve">The frequency and timing of additional meetings is at the discretion of the </w:t>
      </w:r>
      <w:r w:rsidR="00502978">
        <w:t xml:space="preserve">minister. The department </w:t>
      </w:r>
      <w:r w:rsidR="00502978" w:rsidRPr="00FD6323">
        <w:t>will attend these meetings, sub</w:t>
      </w:r>
      <w:r w:rsidR="00502978">
        <w:t>ject to the minister’s approval and</w:t>
      </w:r>
      <w:r w:rsidR="00502978" w:rsidRPr="00FD6323">
        <w:t xml:space="preserve"> </w:t>
      </w:r>
      <w:r w:rsidR="00502978">
        <w:t xml:space="preserve">will </w:t>
      </w:r>
      <w:r w:rsidR="00502978" w:rsidRPr="00FD6323">
        <w:t xml:space="preserve">provide support for </w:t>
      </w:r>
      <w:r>
        <w:t>entities</w:t>
      </w:r>
      <w:r w:rsidR="00502978" w:rsidRPr="00FD6323">
        <w:t xml:space="preserve"> in obtaining access and engagement with </w:t>
      </w:r>
      <w:r w:rsidR="00502978">
        <w:t>m</w:t>
      </w:r>
      <w:r w:rsidR="00502978" w:rsidRPr="00FD6323">
        <w:t>inisters</w:t>
      </w:r>
      <w:r w:rsidR="00502978">
        <w:t>.</w:t>
      </w:r>
    </w:p>
    <w:p w14:paraId="364B9EAE" w14:textId="65B88CB7" w:rsidR="00502978" w:rsidRPr="0040039F" w:rsidRDefault="003C3F46" w:rsidP="00502978">
      <w:pPr>
        <w:pStyle w:val="Heading3"/>
      </w:pPr>
      <w:bookmarkStart w:id="61" w:name="_Toc448391496"/>
      <w:bookmarkStart w:id="62" w:name="_Toc39481533"/>
      <w:bookmarkStart w:id="63" w:name="_Toc164067862"/>
      <w:r>
        <w:t>5.5.</w:t>
      </w:r>
      <w:r w:rsidR="004F520B">
        <w:t>5</w:t>
      </w:r>
      <w:r>
        <w:tab/>
      </w:r>
      <w:r w:rsidR="00502978" w:rsidRPr="0040039F">
        <w:t>Governance meetings and frequency</w:t>
      </w:r>
      <w:bookmarkEnd w:id="61"/>
      <w:bookmarkEnd w:id="62"/>
      <w:bookmarkEnd w:id="63"/>
    </w:p>
    <w:p w14:paraId="5C81C92B" w14:textId="627C5DEF" w:rsidR="008B5A37" w:rsidRDefault="00502978" w:rsidP="00502978">
      <w:bookmarkStart w:id="64" w:name="_Toc448391497"/>
      <w:r>
        <w:t xml:space="preserve">The </w:t>
      </w:r>
      <w:r w:rsidR="00C81471">
        <w:t>entity</w:t>
      </w:r>
      <w:r>
        <w:t xml:space="preserve"> chair </w:t>
      </w:r>
      <w:r w:rsidRPr="00B37EA9">
        <w:t>or CEO</w:t>
      </w:r>
      <w:r w:rsidR="00B26F7C">
        <w:t xml:space="preserve"> should</w:t>
      </w:r>
      <w:r w:rsidRPr="00B37EA9">
        <w:t xml:space="preserve"> meet with the </w:t>
      </w:r>
      <w:r>
        <w:t>department’s s</w:t>
      </w:r>
      <w:r w:rsidRPr="00B37EA9">
        <w:t xml:space="preserve">ecretary, </w:t>
      </w:r>
      <w:r>
        <w:t>d</w:t>
      </w:r>
      <w:r w:rsidRPr="00B37EA9">
        <w:t xml:space="preserve">eputy </w:t>
      </w:r>
      <w:r>
        <w:t>s</w:t>
      </w:r>
      <w:r w:rsidRPr="00B37EA9">
        <w:t xml:space="preserve">ecretary </w:t>
      </w:r>
      <w:r>
        <w:t xml:space="preserve">or relevant senior </w:t>
      </w:r>
      <w:r w:rsidRPr="00B37EA9">
        <w:t>executive at least annually.</w:t>
      </w:r>
      <w:bookmarkEnd w:id="64"/>
      <w:r w:rsidR="00CB7A7C">
        <w:t xml:space="preserve"> This may be in the form of an annual CEO </w:t>
      </w:r>
      <w:r w:rsidR="00530077">
        <w:t>f</w:t>
      </w:r>
      <w:r w:rsidR="00CB7A7C">
        <w:t>orum</w:t>
      </w:r>
      <w:r w:rsidR="009A5D6C">
        <w:t>,</w:t>
      </w:r>
      <w:r w:rsidR="009C65B2">
        <w:t xml:space="preserve"> </w:t>
      </w:r>
      <w:r w:rsidR="009C69B2">
        <w:t>which provides a platform</w:t>
      </w:r>
      <w:r w:rsidR="009C65B2">
        <w:t xml:space="preserve"> for portfolio entit</w:t>
      </w:r>
      <w:r w:rsidR="009A5D6C">
        <w:t>y</w:t>
      </w:r>
      <w:r w:rsidR="009C65B2">
        <w:t xml:space="preserve"> CEOs and the department </w:t>
      </w:r>
      <w:r w:rsidR="00E2245C">
        <w:t xml:space="preserve">to discuss matters relating to entity oversight, including the </w:t>
      </w:r>
      <w:r w:rsidR="00530077">
        <w:t>discharge</w:t>
      </w:r>
      <w:r w:rsidR="00E2245C">
        <w:t xml:space="preserve"> of entities’ responsibilities under legislation.</w:t>
      </w:r>
      <w:r w:rsidR="00F61DB9">
        <w:t xml:space="preserve"> </w:t>
      </w:r>
      <w:r w:rsidR="00F61DB9" w:rsidRPr="004318E7">
        <w:t xml:space="preserve">This forum </w:t>
      </w:r>
      <w:r w:rsidR="004F0042">
        <w:t xml:space="preserve">may </w:t>
      </w:r>
      <w:r w:rsidR="00F61DB9" w:rsidRPr="004318E7">
        <w:t xml:space="preserve">also extend invitations to external speakers </w:t>
      </w:r>
      <w:r w:rsidR="0031092B">
        <w:t>including</w:t>
      </w:r>
      <w:r w:rsidR="00F61DB9" w:rsidRPr="004318E7">
        <w:t xml:space="preserve"> representatives from</w:t>
      </w:r>
      <w:r w:rsidR="004F0042">
        <w:t xml:space="preserve"> the</w:t>
      </w:r>
      <w:r w:rsidR="00F61DB9">
        <w:t xml:space="preserve"> Department of </w:t>
      </w:r>
      <w:r w:rsidR="0031092B">
        <w:t>Treasury</w:t>
      </w:r>
      <w:r w:rsidR="00F61DB9">
        <w:t xml:space="preserve"> and Finance, and </w:t>
      </w:r>
      <w:r w:rsidR="00E2668D">
        <w:t>other government organisations</w:t>
      </w:r>
      <w:r w:rsidR="006A5FEB">
        <w:t>.</w:t>
      </w:r>
    </w:p>
    <w:p w14:paraId="2FCE4911" w14:textId="1FF38F17" w:rsidR="000408D1" w:rsidRDefault="000408D1" w:rsidP="000408D1">
      <w:r w:rsidRPr="004318E7">
        <w:t xml:space="preserve">CFO </w:t>
      </w:r>
      <w:r w:rsidR="000F4F2C">
        <w:t>f</w:t>
      </w:r>
      <w:r w:rsidRPr="004318E7">
        <w:t xml:space="preserve">orums are a platform for collaboration and connection between portfolio </w:t>
      </w:r>
      <w:r>
        <w:t>entity</w:t>
      </w:r>
      <w:r w:rsidRPr="004318E7">
        <w:t xml:space="preserve"> CFOs and the department. The intent of this forum is to address shared challenges and cultivate critical discussion. It also enables the department to provide information and advice and build </w:t>
      </w:r>
      <w:r>
        <w:t xml:space="preserve">a </w:t>
      </w:r>
      <w:r w:rsidRPr="004318E7">
        <w:t>common understanding of requirements. CFO Forums are held periodically and chaired by the department CFO. This forum also extends invitations to external speakers such as representatives from</w:t>
      </w:r>
      <w:r>
        <w:t xml:space="preserve"> the</w:t>
      </w:r>
      <w:r w:rsidRPr="004318E7">
        <w:t xml:space="preserve"> Victorian Auditor General’s Office (VAGO) to discuss significant accounting developments, including amendments to Accounting Standards and audit approaches</w:t>
      </w:r>
      <w:r>
        <w:t>.</w:t>
      </w:r>
    </w:p>
    <w:p w14:paraId="17D8BAB7" w14:textId="18653EB2" w:rsidR="00502978" w:rsidRDefault="00530077" w:rsidP="00502978">
      <w:bookmarkStart w:id="65" w:name="_Toc448391498"/>
      <w:r>
        <w:t xml:space="preserve">Apart from the CEO </w:t>
      </w:r>
      <w:r w:rsidR="008D5788">
        <w:t xml:space="preserve">and CFO </w:t>
      </w:r>
      <w:r>
        <w:t>forum</w:t>
      </w:r>
      <w:r w:rsidR="008D5788">
        <w:t>s</w:t>
      </w:r>
      <w:r>
        <w:t>, t</w:t>
      </w:r>
      <w:r w:rsidR="00502978" w:rsidRPr="00B37EA9">
        <w:t xml:space="preserve">he </w:t>
      </w:r>
      <w:r w:rsidR="00502978">
        <w:t>s</w:t>
      </w:r>
      <w:r w:rsidR="00502978" w:rsidRPr="00B37EA9">
        <w:t xml:space="preserve">ecretary, </w:t>
      </w:r>
      <w:r w:rsidR="00502978">
        <w:t>d</w:t>
      </w:r>
      <w:r w:rsidR="00502978" w:rsidRPr="00B37EA9">
        <w:t xml:space="preserve">eputy </w:t>
      </w:r>
      <w:r w:rsidR="00502978">
        <w:t>s</w:t>
      </w:r>
      <w:r w:rsidR="00502978" w:rsidRPr="00B37EA9">
        <w:t xml:space="preserve">ecretary or relevant senior executive </w:t>
      </w:r>
      <w:r w:rsidR="00AF529B">
        <w:t xml:space="preserve">may </w:t>
      </w:r>
      <w:r w:rsidR="00502978" w:rsidRPr="00B37EA9">
        <w:t xml:space="preserve">undertake annual visits to </w:t>
      </w:r>
      <w:r w:rsidR="00502978">
        <w:t xml:space="preserve">the </w:t>
      </w:r>
      <w:r w:rsidR="00C81471">
        <w:t>entity</w:t>
      </w:r>
      <w:r w:rsidR="00502978" w:rsidRPr="00B37EA9">
        <w:t>.</w:t>
      </w:r>
      <w:bookmarkEnd w:id="65"/>
    </w:p>
    <w:p w14:paraId="5BB1DDFC" w14:textId="107DAA60" w:rsidR="00502978" w:rsidRPr="00BE4254" w:rsidRDefault="004F7F07" w:rsidP="00502978">
      <w:pPr>
        <w:pStyle w:val="Heading2"/>
      </w:pPr>
      <w:bookmarkStart w:id="66" w:name="_Toc448391518"/>
      <w:bookmarkStart w:id="67" w:name="_Toc454638952"/>
      <w:bookmarkStart w:id="68" w:name="_Toc456088167"/>
      <w:bookmarkStart w:id="69" w:name="_Toc520212428"/>
      <w:bookmarkStart w:id="70" w:name="_Toc39481535"/>
      <w:bookmarkStart w:id="71" w:name="_Toc164067863"/>
      <w:r>
        <w:t>5.6</w:t>
      </w:r>
      <w:r>
        <w:tab/>
      </w:r>
      <w:r w:rsidR="00502978" w:rsidRPr="00BE4254">
        <w:t xml:space="preserve">Board </w:t>
      </w:r>
      <w:r w:rsidR="008C3F0D">
        <w:t>A</w:t>
      </w:r>
      <w:r w:rsidR="00502978" w:rsidRPr="00BE4254">
        <w:t>ppointments</w:t>
      </w:r>
      <w:r w:rsidR="00502978">
        <w:t xml:space="preserve">, </w:t>
      </w:r>
      <w:r w:rsidR="008C3F0D">
        <w:t>I</w:t>
      </w:r>
      <w:r w:rsidR="00502978">
        <w:t>nduction,</w:t>
      </w:r>
      <w:r w:rsidR="00502978" w:rsidRPr="00BE4254">
        <w:t xml:space="preserve"> </w:t>
      </w:r>
      <w:r w:rsidR="008C3F0D">
        <w:t>M</w:t>
      </w:r>
      <w:r w:rsidR="00502978" w:rsidRPr="00BE4254">
        <w:t>eetings</w:t>
      </w:r>
      <w:bookmarkEnd w:id="66"/>
      <w:bookmarkEnd w:id="67"/>
      <w:r w:rsidR="00502978">
        <w:t xml:space="preserve"> and </w:t>
      </w:r>
      <w:r w:rsidR="008C3F0D">
        <w:t>P</w:t>
      </w:r>
      <w:r w:rsidR="00502978">
        <w:t>erformance</w:t>
      </w:r>
      <w:bookmarkEnd w:id="68"/>
      <w:bookmarkEnd w:id="69"/>
      <w:bookmarkEnd w:id="70"/>
      <w:bookmarkEnd w:id="71"/>
    </w:p>
    <w:p w14:paraId="519DFAEA" w14:textId="5D99C361" w:rsidR="00502978" w:rsidRPr="00DA4757" w:rsidRDefault="00502978" w:rsidP="00502978">
      <w:pPr>
        <w:pStyle w:val="bodycopy"/>
        <w:rPr>
          <w:sz w:val="18"/>
        </w:rPr>
      </w:pPr>
      <w:r w:rsidRPr="00FC4749">
        <w:rPr>
          <w:color w:val="auto"/>
          <w:sz w:val="18"/>
        </w:rPr>
        <w:t xml:space="preserve">An essential element of good public administration is sound board governance, including the recruitment, selection, appointment and remuneration of board members. The minimum requirements for board governance are set out in the </w:t>
      </w:r>
      <w:hyperlink r:id="rId38" w:history="1">
        <w:r w:rsidRPr="0085722A">
          <w:rPr>
            <w:rStyle w:val="Hyperlink"/>
            <w:sz w:val="18"/>
          </w:rPr>
          <w:t>Premier’s Circular No. 2015/2</w:t>
        </w:r>
        <w:r w:rsidRPr="0085722A">
          <w:rPr>
            <w:rStyle w:val="Hyperlink"/>
            <w:i/>
            <w:sz w:val="18"/>
          </w:rPr>
          <w:t xml:space="preserve"> Good Board Governance.</w:t>
        </w:r>
      </w:hyperlink>
    </w:p>
    <w:p w14:paraId="34AFD234" w14:textId="5376796D" w:rsidR="00502978" w:rsidRPr="009006C2" w:rsidRDefault="004F7F07" w:rsidP="00502978">
      <w:pPr>
        <w:pStyle w:val="Heading3"/>
      </w:pPr>
      <w:bookmarkStart w:id="72" w:name="_Toc39481536"/>
      <w:bookmarkStart w:id="73" w:name="_Toc164067864"/>
      <w:r>
        <w:t>5.6.1</w:t>
      </w:r>
      <w:r>
        <w:tab/>
      </w:r>
      <w:r w:rsidR="00502978" w:rsidRPr="0040039F">
        <w:t>Recruitment, selection, appointment and remuneration processes</w:t>
      </w:r>
      <w:bookmarkEnd w:id="72"/>
      <w:bookmarkEnd w:id="73"/>
    </w:p>
    <w:p w14:paraId="216EC1AD" w14:textId="44FA04D4" w:rsidR="004976BD" w:rsidRPr="00E62C2F" w:rsidRDefault="00E14322" w:rsidP="00024464">
      <w:pPr>
        <w:rPr>
          <w:color w:val="auto"/>
        </w:rPr>
      </w:pPr>
      <w:r w:rsidRPr="0099160C">
        <w:rPr>
          <w:lang w:eastAsia="en-AU"/>
        </w:rPr>
        <w:t xml:space="preserve">The department and entities where applicable, will support ministers in developing merit-based, </w:t>
      </w:r>
      <w:r w:rsidR="00407BD8" w:rsidRPr="00474E21">
        <w:rPr>
          <w:lang w:eastAsia="en-AU"/>
        </w:rPr>
        <w:t xml:space="preserve">inclusive, </w:t>
      </w:r>
      <w:r w:rsidRPr="0099160C">
        <w:rPr>
          <w:lang w:eastAsia="en-AU"/>
        </w:rPr>
        <w:t>fair</w:t>
      </w:r>
      <w:r w:rsidR="00407BD8" w:rsidRPr="00530788">
        <w:rPr>
          <w:lang w:eastAsia="en-AU"/>
        </w:rPr>
        <w:t xml:space="preserve"> and</w:t>
      </w:r>
      <w:r w:rsidRPr="0099160C">
        <w:rPr>
          <w:lang w:eastAsia="en-AU"/>
        </w:rPr>
        <w:t xml:space="preserve"> </w:t>
      </w:r>
      <w:r w:rsidR="008B53EA" w:rsidRPr="00530788">
        <w:rPr>
          <w:lang w:eastAsia="en-AU"/>
        </w:rPr>
        <w:t>transparent</w:t>
      </w:r>
      <w:r w:rsidRPr="0099160C">
        <w:rPr>
          <w:lang w:eastAsia="en-AU"/>
        </w:rPr>
        <w:t xml:space="preserve"> processes for board recruitment and selection.</w:t>
      </w:r>
      <w:r w:rsidR="00502978" w:rsidRPr="00632DA9">
        <w:rPr>
          <w:lang w:eastAsia="en-AU"/>
        </w:rPr>
        <w:t xml:space="preserve"> Promoting the full participation </w:t>
      </w:r>
      <w:r w:rsidR="007C4C1C" w:rsidRPr="00632DA9">
        <w:rPr>
          <w:lang w:eastAsia="en-AU"/>
        </w:rPr>
        <w:t xml:space="preserve">of </w:t>
      </w:r>
      <w:r w:rsidR="007C4C1C">
        <w:rPr>
          <w:lang w:eastAsia="en-AU"/>
        </w:rPr>
        <w:t>diverse</w:t>
      </w:r>
      <w:r w:rsidR="0045536B">
        <w:rPr>
          <w:lang w:eastAsia="en-AU"/>
        </w:rPr>
        <w:t xml:space="preserve"> cohorts on boards</w:t>
      </w:r>
      <w:r w:rsidR="007739CC">
        <w:rPr>
          <w:lang w:eastAsia="en-AU"/>
        </w:rPr>
        <w:t xml:space="preserve"> brings </w:t>
      </w:r>
      <w:r w:rsidR="00502978" w:rsidRPr="00632DA9">
        <w:rPr>
          <w:lang w:eastAsia="en-AU"/>
        </w:rPr>
        <w:t xml:space="preserve">diversity in skills and perspectives </w:t>
      </w:r>
      <w:r w:rsidR="00F5050A">
        <w:rPr>
          <w:lang w:eastAsia="en-AU"/>
        </w:rPr>
        <w:t>to</w:t>
      </w:r>
      <w:r w:rsidR="00F5050A" w:rsidRPr="00632DA9">
        <w:rPr>
          <w:lang w:eastAsia="en-AU"/>
        </w:rPr>
        <w:t xml:space="preserve"> </w:t>
      </w:r>
      <w:r w:rsidR="00502978" w:rsidRPr="00632DA9">
        <w:rPr>
          <w:lang w:eastAsia="en-AU"/>
        </w:rPr>
        <w:t xml:space="preserve">strengthen the Victorian economy and the broader community. </w:t>
      </w:r>
      <w:r w:rsidR="002F7C7F">
        <w:rPr>
          <w:lang w:eastAsia="en-AU"/>
        </w:rPr>
        <w:t xml:space="preserve">The </w:t>
      </w:r>
      <w:r w:rsidR="00502978" w:rsidRPr="00632DA9">
        <w:rPr>
          <w:lang w:eastAsia="en-AU"/>
        </w:rPr>
        <w:t>Victoria</w:t>
      </w:r>
      <w:r w:rsidR="002F7C7F">
        <w:rPr>
          <w:lang w:eastAsia="en-AU"/>
        </w:rPr>
        <w:t>n Government</w:t>
      </w:r>
      <w:r w:rsidR="00502978" w:rsidRPr="00632DA9">
        <w:rPr>
          <w:lang w:eastAsia="en-AU"/>
        </w:rPr>
        <w:t xml:space="preserve"> strives to have public sector </w:t>
      </w:r>
      <w:r w:rsidR="00502978">
        <w:rPr>
          <w:lang w:eastAsia="en-AU"/>
        </w:rPr>
        <w:t>b</w:t>
      </w:r>
      <w:r w:rsidR="00502978" w:rsidRPr="00632DA9">
        <w:rPr>
          <w:lang w:eastAsia="en-AU"/>
        </w:rPr>
        <w:t>oards that are highly effective and reflective of our diverse community.</w:t>
      </w:r>
      <w:r w:rsidR="00502978" w:rsidRPr="00632DA9">
        <w:rPr>
          <w:rFonts w:ascii="Helvetica" w:hAnsi="Helvetica" w:cs="Helvetica"/>
          <w:lang w:eastAsia="en-AU"/>
        </w:rPr>
        <w:t xml:space="preserve"> </w:t>
      </w:r>
    </w:p>
    <w:p w14:paraId="3108DF58" w14:textId="16C8BA51" w:rsidR="004976BD" w:rsidRDefault="00296D5B" w:rsidP="004976BD">
      <w:r>
        <w:t xml:space="preserve">The department </w:t>
      </w:r>
      <w:r w:rsidRPr="0040039F">
        <w:t xml:space="preserve">and </w:t>
      </w:r>
      <w:r>
        <w:t>entities</w:t>
      </w:r>
      <w:r w:rsidRPr="0040039F">
        <w:t xml:space="preserve"> </w:t>
      </w:r>
      <w:r>
        <w:t xml:space="preserve">are to </w:t>
      </w:r>
      <w:r w:rsidRPr="0040039F">
        <w:t xml:space="preserve">follow the Victorian Public Service Commission’s (VPSC) </w:t>
      </w:r>
      <w:hyperlink r:id="rId39" w:history="1">
        <w:r w:rsidRPr="006F206F">
          <w:rPr>
            <w:rStyle w:val="Hyperlink"/>
            <w:i/>
          </w:rPr>
          <w:t>Recruitment and Appointment to the Board – A Governance Officers’ Toolkit</w:t>
        </w:r>
      </w:hyperlink>
      <w:r w:rsidRPr="0040039F">
        <w:t xml:space="preserve"> </w:t>
      </w:r>
      <w:r>
        <w:t>for the</w:t>
      </w:r>
      <w:r w:rsidRPr="0040039F">
        <w:t xml:space="preserve"> recruitment and selection of board members</w:t>
      </w:r>
      <w:r w:rsidR="0087615C">
        <w:t>. They are also</w:t>
      </w:r>
      <w:r w:rsidR="005C2704">
        <w:t xml:space="preserve"> to </w:t>
      </w:r>
      <w:r w:rsidR="00AE4460">
        <w:t xml:space="preserve">follow </w:t>
      </w:r>
      <w:r w:rsidR="004976BD" w:rsidRPr="0040039F">
        <w:t xml:space="preserve">the Department of Premier and Cabinet’s (DPC) </w:t>
      </w:r>
      <w:hyperlink r:id="rId40" w:history="1">
        <w:r w:rsidR="004976BD" w:rsidRPr="005B3257">
          <w:rPr>
            <w:rStyle w:val="Hyperlink"/>
            <w:i/>
          </w:rPr>
          <w:t>Appointment and Remuneration Guidelines</w:t>
        </w:r>
      </w:hyperlink>
      <w:r w:rsidR="004976BD" w:rsidRPr="0040039F">
        <w:t xml:space="preserve"> </w:t>
      </w:r>
      <w:r w:rsidR="00D3671A">
        <w:t>for</w:t>
      </w:r>
      <w:r w:rsidR="004976BD" w:rsidRPr="0040039F">
        <w:t xml:space="preserve"> the appointment and remuneration of board members.</w:t>
      </w:r>
    </w:p>
    <w:p w14:paraId="5561C64E" w14:textId="1E30B56F" w:rsidR="00341DAC" w:rsidRDefault="00341DAC" w:rsidP="0099160C">
      <w:pPr>
        <w:pStyle w:val="Heading3"/>
      </w:pPr>
      <w:bookmarkStart w:id="74" w:name="_Toc164067865"/>
      <w:r w:rsidRPr="00341F09">
        <w:t xml:space="preserve">5.6.2 </w:t>
      </w:r>
      <w:r w:rsidR="00C43B2A" w:rsidRPr="00230601">
        <w:tab/>
      </w:r>
      <w:r w:rsidRPr="00230601">
        <w:t>Diversity on Victorian Government boards</w:t>
      </w:r>
      <w:bookmarkEnd w:id="74"/>
    </w:p>
    <w:p w14:paraId="486F01B3" w14:textId="0FDFCC23" w:rsidR="005B1A23" w:rsidRPr="00B1138E" w:rsidRDefault="002507BF" w:rsidP="005B1A23">
      <w:pPr>
        <w:rPr>
          <w:rFonts w:asciiTheme="minorHAnsi" w:hAnsiTheme="minorHAnsi" w:cstheme="minorHAnsi"/>
        </w:rPr>
      </w:pPr>
      <w:r w:rsidRPr="00690BBB">
        <w:rPr>
          <w:rFonts w:asciiTheme="minorHAnsi" w:hAnsiTheme="minorHAnsi" w:cstheme="minorHAnsi"/>
          <w:color w:val="0D0D0D"/>
          <w:shd w:val="clear" w:color="auto" w:fill="FFFFFF"/>
        </w:rPr>
        <w:t xml:space="preserve">The </w:t>
      </w:r>
      <w:r>
        <w:rPr>
          <w:rFonts w:asciiTheme="minorHAnsi" w:hAnsiTheme="minorHAnsi" w:cstheme="minorHAnsi"/>
          <w:color w:val="0D0D0D"/>
          <w:shd w:val="clear" w:color="auto" w:fill="FFFFFF"/>
        </w:rPr>
        <w:t xml:space="preserve">government has committed to meet WoVG representational targets to enhance diversity across Victorian Government boards. These targets, overseen internally by WoVG and monitored across departmental and portfolio levels, form an essential component of the WoVG reporting system. While attaining all targets across every board may not be viable, each individual board strives to meet all diversity targets. Progress updates will draw upon board data from the Government Appointments and Public Entity Database (GAPED) and </w:t>
      </w:r>
      <w:r w:rsidR="00E84BDA">
        <w:rPr>
          <w:rFonts w:asciiTheme="minorHAnsi" w:hAnsiTheme="minorHAnsi" w:cstheme="minorHAnsi"/>
          <w:color w:val="0D0D0D"/>
          <w:shd w:val="clear" w:color="auto" w:fill="FFFFFF"/>
        </w:rPr>
        <w:t xml:space="preserve">are </w:t>
      </w:r>
      <w:r>
        <w:rPr>
          <w:rFonts w:asciiTheme="minorHAnsi" w:hAnsiTheme="minorHAnsi" w:cstheme="minorHAnsi"/>
          <w:color w:val="0D0D0D"/>
          <w:shd w:val="clear" w:color="auto" w:fill="FFFFFF"/>
        </w:rPr>
        <w:t>verified by portfolio groups. DPC has defined 7 diversity targets, measured at extended periods of reporting, as outlined in Appendix B: Diversity cohorts on Victorian Government boards.</w:t>
      </w:r>
      <w:bookmarkStart w:id="75" w:name="_Hlk156829085"/>
    </w:p>
    <w:p w14:paraId="73FE09B1" w14:textId="7AD1B3BD" w:rsidR="001410FC" w:rsidRPr="00B1138E" w:rsidRDefault="000603F0" w:rsidP="00B1138E">
      <w:pPr>
        <w:pStyle w:val="Heading4"/>
        <w:spacing w:after="240"/>
        <w:rPr>
          <w:rFonts w:cstheme="majorHAnsi"/>
        </w:rPr>
      </w:pPr>
      <w:bookmarkStart w:id="76" w:name="_Toc164067866"/>
      <w:bookmarkEnd w:id="75"/>
      <w:r w:rsidRPr="00B9366D">
        <w:rPr>
          <w:rFonts w:cstheme="majorHAnsi"/>
          <w:i w:val="0"/>
        </w:rPr>
        <w:t xml:space="preserve">5.6.2.1 </w:t>
      </w:r>
      <w:r w:rsidR="001410FC" w:rsidRPr="00B9366D">
        <w:rPr>
          <w:rFonts w:cstheme="majorHAnsi"/>
        </w:rPr>
        <w:t>Scope of diversity targets</w:t>
      </w:r>
      <w:bookmarkEnd w:id="76"/>
    </w:p>
    <w:p w14:paraId="696536CD" w14:textId="1B385AFE" w:rsidR="00472520" w:rsidRDefault="00472520" w:rsidP="001410FC">
      <w:r>
        <w:t xml:space="preserve">All members of </w:t>
      </w:r>
      <w:r w:rsidR="005C63C1">
        <w:t>public boards</w:t>
      </w:r>
      <w:r>
        <w:t xml:space="preserve"> will be counted toward</w:t>
      </w:r>
      <w:r w:rsidR="005C63C1">
        <w:t>s</w:t>
      </w:r>
      <w:r>
        <w:t xml:space="preserve"> targets, except non-government appointed members of university councils (see below). For example, the following members will be counted: </w:t>
      </w:r>
    </w:p>
    <w:p w14:paraId="3096F2C7" w14:textId="77777777" w:rsidR="006A6401" w:rsidRPr="00081493" w:rsidRDefault="00472520" w:rsidP="007B76F0">
      <w:pPr>
        <w:pStyle w:val="ListParagraph"/>
        <w:numPr>
          <w:ilvl w:val="0"/>
          <w:numId w:val="23"/>
        </w:numPr>
        <w:ind w:left="709"/>
        <w:rPr>
          <w:rFonts w:asciiTheme="minorHAnsi" w:hAnsiTheme="minorHAnsi" w:cstheme="minorHAnsi"/>
          <w:color w:val="auto"/>
          <w:sz w:val="18"/>
          <w:szCs w:val="18"/>
        </w:rPr>
      </w:pPr>
      <w:r w:rsidRPr="00081493">
        <w:rPr>
          <w:rFonts w:asciiTheme="minorHAnsi" w:hAnsiTheme="minorHAnsi" w:cstheme="minorHAnsi"/>
          <w:color w:val="auto"/>
          <w:sz w:val="18"/>
          <w:szCs w:val="18"/>
        </w:rPr>
        <w:t>Elected members</w:t>
      </w:r>
    </w:p>
    <w:p w14:paraId="238C6920" w14:textId="5C078E06" w:rsidR="006A6401" w:rsidRPr="00081493" w:rsidRDefault="00472520" w:rsidP="007B76F0">
      <w:pPr>
        <w:pStyle w:val="ListParagraph"/>
        <w:numPr>
          <w:ilvl w:val="0"/>
          <w:numId w:val="23"/>
        </w:numPr>
        <w:ind w:left="709"/>
        <w:rPr>
          <w:rFonts w:asciiTheme="minorHAnsi" w:hAnsiTheme="minorHAnsi" w:cstheme="minorHAnsi"/>
          <w:color w:val="auto"/>
          <w:sz w:val="18"/>
          <w:szCs w:val="18"/>
        </w:rPr>
      </w:pPr>
      <w:r w:rsidRPr="00081493">
        <w:rPr>
          <w:rFonts w:asciiTheme="minorHAnsi" w:hAnsiTheme="minorHAnsi" w:cstheme="minorHAnsi"/>
          <w:color w:val="auto"/>
          <w:sz w:val="18"/>
          <w:szCs w:val="18"/>
        </w:rPr>
        <w:t>Members nominated by a non-government organisation</w:t>
      </w:r>
    </w:p>
    <w:p w14:paraId="78C6B435" w14:textId="75529758" w:rsidR="00D40580" w:rsidRPr="00081493" w:rsidRDefault="00472520" w:rsidP="007B76F0">
      <w:pPr>
        <w:pStyle w:val="ListParagraph"/>
        <w:numPr>
          <w:ilvl w:val="0"/>
          <w:numId w:val="23"/>
        </w:numPr>
        <w:spacing w:after="120"/>
        <w:ind w:left="709" w:hanging="357"/>
        <w:rPr>
          <w:rFonts w:asciiTheme="minorHAnsi" w:hAnsiTheme="minorHAnsi" w:cstheme="minorHAnsi"/>
          <w:color w:val="auto"/>
          <w:sz w:val="18"/>
          <w:szCs w:val="18"/>
        </w:rPr>
      </w:pPr>
      <w:r w:rsidRPr="00081493">
        <w:rPr>
          <w:rFonts w:asciiTheme="minorHAnsi" w:hAnsiTheme="minorHAnsi" w:cstheme="minorHAnsi"/>
          <w:color w:val="auto"/>
          <w:sz w:val="18"/>
          <w:szCs w:val="18"/>
        </w:rPr>
        <w:t>Ex-officio members (individuals that are automatically members of the entity by virtue of another position they hold).</w:t>
      </w:r>
    </w:p>
    <w:p w14:paraId="4EDCE974" w14:textId="44FCC533" w:rsidR="006A6401" w:rsidRPr="00D40580" w:rsidRDefault="00D40580" w:rsidP="00D40580">
      <w:pPr>
        <w:rPr>
          <w:rFonts w:asciiTheme="minorHAnsi" w:hAnsiTheme="minorHAnsi" w:cstheme="minorHAnsi"/>
        </w:rPr>
      </w:pPr>
      <w:r>
        <w:lastRenderedPageBreak/>
        <w:t xml:space="preserve">Where an entity has nomination rights to a board, </w:t>
      </w:r>
      <w:r w:rsidR="00873B5D">
        <w:t>it</w:t>
      </w:r>
      <w:r>
        <w:t xml:space="preserve"> should be encouraged to consider making nominations that reflect the government’s ambition that Victorian Government boards reflect the communities </w:t>
      </w:r>
      <w:r w:rsidR="00925498">
        <w:t>they</w:t>
      </w:r>
      <w:r>
        <w:t xml:space="preserve"> serve.</w:t>
      </w:r>
    </w:p>
    <w:p w14:paraId="05EA2679" w14:textId="075A9406" w:rsidR="001410FC" w:rsidRDefault="001410FC" w:rsidP="001410FC">
      <w:r>
        <w:t xml:space="preserve">Non-government appointed members of university councils are not within </w:t>
      </w:r>
      <w:r w:rsidR="00D409BE">
        <w:t xml:space="preserve">the </w:t>
      </w:r>
      <w:r>
        <w:t xml:space="preserve">scope of the diversity targets. However, </w:t>
      </w:r>
      <w:r w:rsidR="00B8156C">
        <w:t>g</w:t>
      </w:r>
      <w:r>
        <w:t>overnment-appointed members (</w:t>
      </w:r>
      <w:r w:rsidR="00121C26">
        <w:t>i.e.,</w:t>
      </w:r>
      <w:r>
        <w:t xml:space="preserve"> those appointments made by the </w:t>
      </w:r>
      <w:r w:rsidR="00B8156C">
        <w:t>m</w:t>
      </w:r>
      <w:r>
        <w:t xml:space="preserve">inister or the </w:t>
      </w:r>
      <w:r w:rsidR="00B8156C">
        <w:t>g</w:t>
      </w:r>
      <w:r>
        <w:t xml:space="preserve">overnor in </w:t>
      </w:r>
      <w:r w:rsidR="00B8156C">
        <w:t>c</w:t>
      </w:r>
      <w:r>
        <w:t xml:space="preserve">ouncil) of university councils are within </w:t>
      </w:r>
      <w:r w:rsidR="008936E1">
        <w:t xml:space="preserve">the </w:t>
      </w:r>
      <w:r>
        <w:t xml:space="preserve">scope of the targets. Government appoints fewer than half the members of university councils and university councils are ‘exempt bodies’ under the </w:t>
      </w:r>
      <w:r w:rsidRPr="00A73D6C">
        <w:rPr>
          <w:i/>
          <w:iCs/>
        </w:rPr>
        <w:t>Public Administration Act 2004</w:t>
      </w:r>
      <w:r>
        <w:t xml:space="preserve"> (Vic).</w:t>
      </w:r>
    </w:p>
    <w:p w14:paraId="3A444467" w14:textId="09FA889A" w:rsidR="004976BD" w:rsidRPr="0040039F" w:rsidRDefault="004976BD" w:rsidP="004976BD">
      <w:pPr>
        <w:pStyle w:val="Heading3"/>
      </w:pPr>
      <w:bookmarkStart w:id="77" w:name="_Toc39481537"/>
      <w:bookmarkStart w:id="78" w:name="_Toc164067867"/>
      <w:r>
        <w:t>5.6.</w:t>
      </w:r>
      <w:r w:rsidR="00F0125C">
        <w:t>3</w:t>
      </w:r>
      <w:r>
        <w:tab/>
      </w:r>
      <w:r w:rsidRPr="0040039F">
        <w:t>Board induction</w:t>
      </w:r>
      <w:bookmarkEnd w:id="77"/>
      <w:bookmarkEnd w:id="78"/>
    </w:p>
    <w:p w14:paraId="48C53129" w14:textId="07B1B6D8" w:rsidR="005A44C5" w:rsidRDefault="004976BD" w:rsidP="004976BD">
      <w:r w:rsidRPr="00BE4254">
        <w:t xml:space="preserve">Induction </w:t>
      </w:r>
      <w:r>
        <w:t>of b</w:t>
      </w:r>
      <w:r w:rsidRPr="00BE4254">
        <w:t xml:space="preserve">oard members is to be performed by the </w:t>
      </w:r>
      <w:r w:rsidR="00C81471">
        <w:t>entity</w:t>
      </w:r>
      <w:r w:rsidRPr="00BE4254">
        <w:t xml:space="preserve">, with assistance from </w:t>
      </w:r>
      <w:r>
        <w:t xml:space="preserve">the department </w:t>
      </w:r>
      <w:r w:rsidRPr="00BE4254">
        <w:t>as required.</w:t>
      </w:r>
      <w:r w:rsidR="00916B7A">
        <w:t xml:space="preserve"> </w:t>
      </w:r>
      <w:r w:rsidRPr="00BE4254">
        <w:t xml:space="preserve">Induction procedures should be </w:t>
      </w:r>
      <w:r w:rsidR="00CF4D49">
        <w:t xml:space="preserve">conducted </w:t>
      </w:r>
      <w:r>
        <w:t xml:space="preserve">as quickly as </w:t>
      </w:r>
      <w:r w:rsidR="00CF4D49">
        <w:t xml:space="preserve">practicable </w:t>
      </w:r>
      <w:r w:rsidRPr="00BE4254">
        <w:t xml:space="preserve">to allow new </w:t>
      </w:r>
      <w:r>
        <w:t>b</w:t>
      </w:r>
      <w:r w:rsidRPr="00BE4254">
        <w:t>oard m</w:t>
      </w:r>
      <w:r>
        <w:t>embers to participate fully</w:t>
      </w:r>
      <w:r w:rsidRPr="00BE4254">
        <w:t>.</w:t>
      </w:r>
      <w:r w:rsidR="0060600B">
        <w:t xml:space="preserve"> </w:t>
      </w:r>
    </w:p>
    <w:p w14:paraId="09C135FD" w14:textId="16B56A8C" w:rsidR="004976BD" w:rsidRDefault="0060600B" w:rsidP="004976BD">
      <w:r>
        <w:t xml:space="preserve">Induction programs for board directors may be </w:t>
      </w:r>
      <w:r w:rsidR="00E72987">
        <w:t>coordinated by</w:t>
      </w:r>
      <w:r w:rsidR="00001254">
        <w:t>:</w:t>
      </w:r>
    </w:p>
    <w:p w14:paraId="7627CFBF" w14:textId="55C6528D" w:rsidR="00001254" w:rsidRPr="007B7F94" w:rsidRDefault="00D50238" w:rsidP="007B76F0">
      <w:pPr>
        <w:pStyle w:val="ListParagraph"/>
        <w:numPr>
          <w:ilvl w:val="0"/>
          <w:numId w:val="36"/>
        </w:numPr>
        <w:spacing w:line="220" w:lineRule="atLeast"/>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On a case-</w:t>
      </w:r>
      <w:r w:rsidR="00B8156C">
        <w:rPr>
          <w:rFonts w:asciiTheme="minorHAnsi" w:hAnsiTheme="minorHAnsi" w:cstheme="minorHAnsi"/>
          <w:color w:val="auto"/>
          <w:sz w:val="18"/>
          <w:szCs w:val="18"/>
        </w:rPr>
        <w:t>by</w:t>
      </w:r>
      <w:r>
        <w:rPr>
          <w:rFonts w:asciiTheme="minorHAnsi" w:hAnsiTheme="minorHAnsi" w:cstheme="minorHAnsi"/>
          <w:color w:val="auto"/>
          <w:sz w:val="18"/>
          <w:szCs w:val="18"/>
        </w:rPr>
        <w:t xml:space="preserve">-case basis, </w:t>
      </w:r>
      <w:r w:rsidR="00FF3767">
        <w:rPr>
          <w:rFonts w:asciiTheme="minorHAnsi" w:hAnsiTheme="minorHAnsi" w:cstheme="minorHAnsi"/>
          <w:color w:val="auto"/>
          <w:sz w:val="18"/>
          <w:szCs w:val="18"/>
        </w:rPr>
        <w:t xml:space="preserve">the </w:t>
      </w:r>
      <w:r w:rsidR="00360E05" w:rsidRPr="007B7F94">
        <w:rPr>
          <w:rFonts w:asciiTheme="minorHAnsi" w:hAnsiTheme="minorHAnsi" w:cstheme="minorHAnsi"/>
          <w:color w:val="auto"/>
          <w:sz w:val="18"/>
          <w:szCs w:val="18"/>
        </w:rPr>
        <w:t>d</w:t>
      </w:r>
      <w:r w:rsidR="00AF4068" w:rsidRPr="007B7F94">
        <w:rPr>
          <w:rFonts w:asciiTheme="minorHAnsi" w:hAnsiTheme="minorHAnsi" w:cstheme="minorHAnsi"/>
          <w:color w:val="auto"/>
          <w:sz w:val="18"/>
          <w:szCs w:val="18"/>
        </w:rPr>
        <w:t>epartment sometimes manage</w:t>
      </w:r>
      <w:r w:rsidR="00FF3767">
        <w:rPr>
          <w:rFonts w:asciiTheme="minorHAnsi" w:hAnsiTheme="minorHAnsi" w:cstheme="minorHAnsi"/>
          <w:color w:val="auto"/>
          <w:sz w:val="18"/>
          <w:szCs w:val="18"/>
        </w:rPr>
        <w:t>s</w:t>
      </w:r>
      <w:r w:rsidR="00AF4068" w:rsidRPr="007B7F94">
        <w:rPr>
          <w:rFonts w:asciiTheme="minorHAnsi" w:hAnsiTheme="minorHAnsi" w:cstheme="minorHAnsi"/>
          <w:color w:val="auto"/>
          <w:sz w:val="18"/>
          <w:szCs w:val="18"/>
        </w:rPr>
        <w:t xml:space="preserve"> the induction program fo</w:t>
      </w:r>
      <w:r w:rsidR="00360E05" w:rsidRPr="007B7F94">
        <w:rPr>
          <w:rFonts w:asciiTheme="minorHAnsi" w:hAnsiTheme="minorHAnsi" w:cstheme="minorHAnsi"/>
          <w:color w:val="auto"/>
          <w:sz w:val="18"/>
          <w:szCs w:val="18"/>
        </w:rPr>
        <w:t>r</w:t>
      </w:r>
      <w:r w:rsidR="00AF4068" w:rsidRPr="007B7F94">
        <w:rPr>
          <w:rFonts w:asciiTheme="minorHAnsi" w:hAnsiTheme="minorHAnsi" w:cstheme="minorHAnsi"/>
          <w:color w:val="auto"/>
          <w:sz w:val="18"/>
          <w:szCs w:val="18"/>
        </w:rPr>
        <w:t xml:space="preserve"> board </w:t>
      </w:r>
      <w:r>
        <w:rPr>
          <w:rFonts w:asciiTheme="minorHAnsi" w:hAnsiTheme="minorHAnsi" w:cstheme="minorHAnsi"/>
          <w:color w:val="auto"/>
          <w:sz w:val="18"/>
          <w:szCs w:val="18"/>
        </w:rPr>
        <w:t>members</w:t>
      </w:r>
      <w:r w:rsidR="00AF4068" w:rsidRPr="007B7F94">
        <w:rPr>
          <w:rFonts w:asciiTheme="minorHAnsi" w:hAnsiTheme="minorHAnsi" w:cstheme="minorHAnsi"/>
          <w:color w:val="auto"/>
          <w:sz w:val="18"/>
          <w:szCs w:val="18"/>
        </w:rPr>
        <w:t xml:space="preserve"> within their portfolio</w:t>
      </w:r>
    </w:p>
    <w:p w14:paraId="57AABB42" w14:textId="151B3A84" w:rsidR="00AF4068" w:rsidRPr="007B7F94" w:rsidRDefault="00360E05" w:rsidP="007B76F0">
      <w:pPr>
        <w:pStyle w:val="ListParagraph"/>
        <w:numPr>
          <w:ilvl w:val="0"/>
          <w:numId w:val="36"/>
        </w:numPr>
        <w:spacing w:line="220" w:lineRule="atLeast"/>
        <w:ind w:left="714" w:hanging="357"/>
        <w:contextualSpacing w:val="0"/>
        <w:rPr>
          <w:rFonts w:asciiTheme="minorHAnsi" w:hAnsiTheme="minorHAnsi" w:cstheme="minorHAnsi"/>
          <w:color w:val="auto"/>
          <w:sz w:val="18"/>
          <w:szCs w:val="18"/>
        </w:rPr>
      </w:pPr>
      <w:r w:rsidRPr="007B7F94">
        <w:rPr>
          <w:rFonts w:asciiTheme="minorHAnsi" w:hAnsiTheme="minorHAnsi" w:cstheme="minorHAnsi"/>
          <w:color w:val="auto"/>
          <w:sz w:val="18"/>
          <w:szCs w:val="18"/>
        </w:rPr>
        <w:t>the board’s secretariat</w:t>
      </w:r>
    </w:p>
    <w:p w14:paraId="543C5E71" w14:textId="1465E4AA" w:rsidR="00360E05" w:rsidRPr="007B7F94" w:rsidRDefault="00360E05" w:rsidP="007B76F0">
      <w:pPr>
        <w:pStyle w:val="ListParagraph"/>
        <w:numPr>
          <w:ilvl w:val="0"/>
          <w:numId w:val="36"/>
        </w:numPr>
        <w:spacing w:line="220" w:lineRule="atLeast"/>
        <w:ind w:left="714" w:hanging="357"/>
        <w:contextualSpacing w:val="0"/>
        <w:rPr>
          <w:rFonts w:asciiTheme="minorHAnsi" w:hAnsiTheme="minorHAnsi" w:cstheme="minorHAnsi"/>
          <w:color w:val="auto"/>
          <w:sz w:val="18"/>
          <w:szCs w:val="18"/>
        </w:rPr>
      </w:pPr>
      <w:r w:rsidRPr="007B7F94">
        <w:rPr>
          <w:rFonts w:asciiTheme="minorHAnsi" w:hAnsiTheme="minorHAnsi" w:cstheme="minorHAnsi"/>
          <w:color w:val="auto"/>
          <w:sz w:val="18"/>
          <w:szCs w:val="18"/>
        </w:rPr>
        <w:t>public entity management or staff.</w:t>
      </w:r>
    </w:p>
    <w:p w14:paraId="36C48C8A" w14:textId="77777777" w:rsidR="00360E05" w:rsidRPr="00AF4068" w:rsidRDefault="00360E05" w:rsidP="00360E05">
      <w:pPr>
        <w:pStyle w:val="ListParagraph"/>
        <w:rPr>
          <w:rFonts w:asciiTheme="minorHAnsi" w:hAnsiTheme="minorHAnsi" w:cstheme="minorHAnsi"/>
          <w:sz w:val="18"/>
          <w:szCs w:val="18"/>
        </w:rPr>
      </w:pPr>
    </w:p>
    <w:p w14:paraId="138C4C90" w14:textId="77777777" w:rsidR="004976BD" w:rsidRPr="0040039F" w:rsidRDefault="004976BD" w:rsidP="004976BD">
      <w:r w:rsidRPr="00BE4254">
        <w:t>At a minimum,</w:t>
      </w:r>
      <w:r w:rsidRPr="0040039F">
        <w:t xml:space="preserve"> all </w:t>
      </w:r>
      <w:r>
        <w:t>b</w:t>
      </w:r>
      <w:r w:rsidRPr="0040039F">
        <w:t>oard members should be provided with:</w:t>
      </w:r>
    </w:p>
    <w:p w14:paraId="566CBB79" w14:textId="74A9A570" w:rsidR="004976BD" w:rsidRPr="00E62C2F" w:rsidRDefault="004976BD" w:rsidP="007B76F0">
      <w:pPr>
        <w:pStyle w:val="ListParagraph"/>
        <w:numPr>
          <w:ilvl w:val="0"/>
          <w:numId w:val="26"/>
        </w:numPr>
        <w:rPr>
          <w:rFonts w:ascii="Arial" w:hAnsi="Arial" w:cs="Arial"/>
          <w:color w:val="auto"/>
          <w:sz w:val="18"/>
          <w:szCs w:val="18"/>
        </w:rPr>
      </w:pPr>
      <w:r w:rsidRPr="00E62C2F">
        <w:rPr>
          <w:rFonts w:ascii="Arial" w:hAnsi="Arial" w:cs="Arial"/>
          <w:color w:val="auto"/>
          <w:sz w:val="18"/>
          <w:szCs w:val="18"/>
        </w:rPr>
        <w:t xml:space="preserve">VPSC’s </w:t>
      </w:r>
      <w:hyperlink r:id="rId41" w:history="1">
        <w:r w:rsidRPr="008C63EA">
          <w:rPr>
            <w:rStyle w:val="Hyperlink"/>
            <w:rFonts w:ascii="Arial" w:hAnsi="Arial" w:cs="Arial"/>
            <w:sz w:val="18"/>
            <w:szCs w:val="18"/>
          </w:rPr>
          <w:t>Welcome to the Board – Director’s Guide to Public Entity Governance</w:t>
        </w:r>
      </w:hyperlink>
    </w:p>
    <w:p w14:paraId="2460FD4E" w14:textId="7B620759" w:rsidR="004976BD" w:rsidRPr="00E62C2F" w:rsidRDefault="004976BD" w:rsidP="007B76F0">
      <w:pPr>
        <w:pStyle w:val="ListBullet"/>
        <w:numPr>
          <w:ilvl w:val="0"/>
          <w:numId w:val="26"/>
        </w:numPr>
        <w:rPr>
          <w:color w:val="auto"/>
        </w:rPr>
      </w:pPr>
      <w:r w:rsidRPr="00E62C2F">
        <w:rPr>
          <w:color w:val="auto"/>
        </w:rPr>
        <w:t xml:space="preserve">Code of Conduct – either that endorsed by the </w:t>
      </w:r>
      <w:r w:rsidR="00C81471">
        <w:rPr>
          <w:color w:val="auto"/>
        </w:rPr>
        <w:t>entity</w:t>
      </w:r>
      <w:r w:rsidRPr="00E62C2F">
        <w:rPr>
          <w:color w:val="auto"/>
        </w:rPr>
        <w:t xml:space="preserve"> board, or the VPSC </w:t>
      </w:r>
      <w:hyperlink r:id="rId42" w:history="1">
        <w:r w:rsidR="002708A1" w:rsidRPr="00E81732">
          <w:rPr>
            <w:rStyle w:val="Hyperlink"/>
          </w:rPr>
          <w:t>Code of Conduct for</w:t>
        </w:r>
        <w:r w:rsidR="002708A1" w:rsidRPr="0094510E">
          <w:rPr>
            <w:rStyle w:val="Hyperlink"/>
          </w:rPr>
          <w:t xml:space="preserve"> </w:t>
        </w:r>
        <w:r w:rsidRPr="008C63EA">
          <w:rPr>
            <w:rStyle w:val="Hyperlink"/>
          </w:rPr>
          <w:t>Director</w:t>
        </w:r>
        <w:r w:rsidR="005031FB" w:rsidRPr="0094510E">
          <w:rPr>
            <w:rStyle w:val="Hyperlink"/>
          </w:rPr>
          <w:t xml:space="preserve"> </w:t>
        </w:r>
        <w:r w:rsidR="005031FB" w:rsidRPr="00E81732">
          <w:rPr>
            <w:rStyle w:val="Hyperlink"/>
          </w:rPr>
          <w:t>of Victorian Public Entities</w:t>
        </w:r>
      </w:hyperlink>
    </w:p>
    <w:p w14:paraId="37E265D7" w14:textId="517CDA6A" w:rsidR="004976BD" w:rsidRPr="00E62C2F" w:rsidRDefault="004976BD" w:rsidP="007B76F0">
      <w:pPr>
        <w:pStyle w:val="ListBullet"/>
        <w:numPr>
          <w:ilvl w:val="0"/>
          <w:numId w:val="26"/>
        </w:numPr>
        <w:rPr>
          <w:color w:val="auto"/>
        </w:rPr>
      </w:pPr>
      <w:r w:rsidRPr="00E62C2F">
        <w:rPr>
          <w:color w:val="auto"/>
        </w:rPr>
        <w:t xml:space="preserve">Conflict of Interest Policy and guidance – either material endorsed by the board and specific to the </w:t>
      </w:r>
      <w:r w:rsidR="00C81471">
        <w:rPr>
          <w:color w:val="auto"/>
        </w:rPr>
        <w:t>entity</w:t>
      </w:r>
      <w:r w:rsidRPr="00E62C2F">
        <w:rPr>
          <w:color w:val="auto"/>
        </w:rPr>
        <w:t xml:space="preserve">, or the </w:t>
      </w:r>
      <w:r w:rsidRPr="00007D68">
        <w:rPr>
          <w:iCs/>
          <w:color w:val="auto"/>
        </w:rPr>
        <w:t xml:space="preserve">VPSC </w:t>
      </w:r>
      <w:hyperlink r:id="rId43" w:history="1">
        <w:r w:rsidRPr="00FD3812">
          <w:rPr>
            <w:rStyle w:val="Hyperlink"/>
            <w:iCs/>
          </w:rPr>
          <w:t>Conflict of Interest and Duty</w:t>
        </w:r>
        <w:r w:rsidR="00007D68" w:rsidRPr="00FD3812">
          <w:rPr>
            <w:rStyle w:val="Hyperlink"/>
            <w:iCs/>
          </w:rPr>
          <w:t xml:space="preserve"> Guidance for Directors</w:t>
        </w:r>
      </w:hyperlink>
    </w:p>
    <w:p w14:paraId="0369AE0B" w14:textId="3DD3F28B" w:rsidR="004976BD" w:rsidRPr="00E62C2F" w:rsidRDefault="004976BD" w:rsidP="007B76F0">
      <w:pPr>
        <w:pStyle w:val="ListBullet"/>
        <w:numPr>
          <w:ilvl w:val="0"/>
          <w:numId w:val="26"/>
        </w:numPr>
        <w:rPr>
          <w:color w:val="auto"/>
        </w:rPr>
      </w:pPr>
      <w:r w:rsidRPr="00E62C2F">
        <w:rPr>
          <w:color w:val="auto"/>
        </w:rPr>
        <w:t xml:space="preserve">relevant enabling legislation, Order in Council instruments, </w:t>
      </w:r>
      <w:r w:rsidRPr="00E62C2F">
        <w:rPr>
          <w:i/>
          <w:color w:val="auto"/>
        </w:rPr>
        <w:t>Corporations Act 2001 (Cth</w:t>
      </w:r>
      <w:r w:rsidRPr="00E62C2F">
        <w:rPr>
          <w:color w:val="auto"/>
        </w:rPr>
        <w:t>) constitution or constituting terms of reference</w:t>
      </w:r>
    </w:p>
    <w:p w14:paraId="084693AC" w14:textId="7592F6B1" w:rsidR="004976BD" w:rsidRPr="00E62C2F" w:rsidRDefault="004976BD" w:rsidP="007B76F0">
      <w:pPr>
        <w:pStyle w:val="ListBullet"/>
        <w:numPr>
          <w:ilvl w:val="0"/>
          <w:numId w:val="26"/>
        </w:numPr>
        <w:rPr>
          <w:color w:val="auto"/>
        </w:rPr>
      </w:pPr>
      <w:r w:rsidRPr="00E62C2F">
        <w:rPr>
          <w:color w:val="auto"/>
        </w:rPr>
        <w:t xml:space="preserve">all policies adopted by, or relevant to, the </w:t>
      </w:r>
      <w:r w:rsidR="00C81471">
        <w:rPr>
          <w:color w:val="auto"/>
        </w:rPr>
        <w:t>entity</w:t>
      </w:r>
      <w:r w:rsidRPr="00E62C2F">
        <w:rPr>
          <w:color w:val="auto"/>
        </w:rPr>
        <w:t xml:space="preserve"> or the board of the </w:t>
      </w:r>
      <w:r w:rsidR="00C81471">
        <w:rPr>
          <w:color w:val="auto"/>
        </w:rPr>
        <w:t>entity</w:t>
      </w:r>
    </w:p>
    <w:p w14:paraId="169BDF64" w14:textId="2D759C3C" w:rsidR="004976BD" w:rsidRPr="00E62C2F" w:rsidRDefault="004976BD" w:rsidP="007B76F0">
      <w:pPr>
        <w:pStyle w:val="ListBullet"/>
        <w:numPr>
          <w:ilvl w:val="0"/>
          <w:numId w:val="26"/>
        </w:numPr>
        <w:rPr>
          <w:color w:val="auto"/>
        </w:rPr>
      </w:pPr>
      <w:r w:rsidRPr="00E62C2F">
        <w:rPr>
          <w:color w:val="auto"/>
        </w:rPr>
        <w:t xml:space="preserve">an overview of the </w:t>
      </w:r>
      <w:r w:rsidR="00C81471">
        <w:rPr>
          <w:color w:val="auto"/>
        </w:rPr>
        <w:t>entity</w:t>
      </w:r>
      <w:r w:rsidRPr="00E62C2F">
        <w:rPr>
          <w:color w:val="auto"/>
        </w:rPr>
        <w:t>’s current financial, strategic and operational position</w:t>
      </w:r>
    </w:p>
    <w:p w14:paraId="74D5B1C1" w14:textId="1A146F4B" w:rsidR="004976BD" w:rsidRPr="00E62C2F" w:rsidRDefault="004976BD" w:rsidP="007B76F0">
      <w:pPr>
        <w:pStyle w:val="ListBullet"/>
        <w:numPr>
          <w:ilvl w:val="0"/>
          <w:numId w:val="26"/>
        </w:numPr>
        <w:rPr>
          <w:color w:val="auto"/>
        </w:rPr>
      </w:pPr>
      <w:r w:rsidRPr="00E62C2F">
        <w:rPr>
          <w:color w:val="auto"/>
        </w:rPr>
        <w:t xml:space="preserve">a description of the respective roles and relationships between the </w:t>
      </w:r>
      <w:r w:rsidR="00C81471">
        <w:rPr>
          <w:color w:val="auto"/>
        </w:rPr>
        <w:t>entity</w:t>
      </w:r>
      <w:r w:rsidRPr="00E62C2F">
        <w:rPr>
          <w:color w:val="auto"/>
        </w:rPr>
        <w:t>, department and minister, including the SOE</w:t>
      </w:r>
    </w:p>
    <w:p w14:paraId="45111C51" w14:textId="1CFE5748" w:rsidR="004976BD" w:rsidRPr="00E62C2F" w:rsidRDefault="004976BD" w:rsidP="007B76F0">
      <w:pPr>
        <w:pStyle w:val="ListBullet"/>
        <w:numPr>
          <w:ilvl w:val="0"/>
          <w:numId w:val="26"/>
        </w:numPr>
        <w:rPr>
          <w:color w:val="auto"/>
        </w:rPr>
      </w:pPr>
      <w:r w:rsidRPr="00E62C2F">
        <w:rPr>
          <w:color w:val="auto"/>
        </w:rPr>
        <w:t xml:space="preserve">a document outlining the roles and responsibilities of senior </w:t>
      </w:r>
      <w:r w:rsidR="00C81471">
        <w:rPr>
          <w:color w:val="auto"/>
        </w:rPr>
        <w:t>entity</w:t>
      </w:r>
      <w:r w:rsidRPr="00E62C2F">
        <w:rPr>
          <w:color w:val="auto"/>
        </w:rPr>
        <w:t xml:space="preserve"> executives if applicable.</w:t>
      </w:r>
    </w:p>
    <w:p w14:paraId="3C5F91DC" w14:textId="77777777" w:rsidR="001E6071" w:rsidRDefault="001E6071" w:rsidP="004976BD"/>
    <w:p w14:paraId="3C783C26" w14:textId="1D2BA990" w:rsidR="004976BD" w:rsidRDefault="004976BD" w:rsidP="004976BD">
      <w:r>
        <w:t xml:space="preserve">On appointment to the board, each member is required to make a declaration of private interests, which is lodged with the </w:t>
      </w:r>
      <w:r w:rsidR="00B8156C">
        <w:t>c</w:t>
      </w:r>
      <w:r>
        <w:t xml:space="preserve">hair. Further information on this declaration and conflict of interest </w:t>
      </w:r>
      <w:r w:rsidR="00AB297B">
        <w:t xml:space="preserve">can be found </w:t>
      </w:r>
      <w:r>
        <w:t xml:space="preserve">at </w:t>
      </w:r>
      <w:r w:rsidRPr="005F1C3D">
        <w:t>Section 5.7.</w:t>
      </w:r>
      <w:r w:rsidR="00E23A85" w:rsidRPr="005F1C3D">
        <w:t>2</w:t>
      </w:r>
      <w:r w:rsidR="00B8156C">
        <w:t>.</w:t>
      </w:r>
    </w:p>
    <w:p w14:paraId="6BA846C8" w14:textId="06C49B0B" w:rsidR="004976BD" w:rsidRPr="00360F9E" w:rsidRDefault="003315F3" w:rsidP="004976BD">
      <w:pPr>
        <w:pStyle w:val="Heading3"/>
      </w:pPr>
      <w:bookmarkStart w:id="79" w:name="_Toc39481538"/>
      <w:bookmarkStart w:id="80" w:name="_Toc164067868"/>
      <w:r>
        <w:t>5.6.</w:t>
      </w:r>
      <w:r w:rsidR="00F0125C">
        <w:t>4</w:t>
      </w:r>
      <w:r>
        <w:tab/>
      </w:r>
      <w:r w:rsidR="004976BD" w:rsidRPr="00360F9E">
        <w:t xml:space="preserve">Departmental attendance </w:t>
      </w:r>
      <w:r w:rsidR="004976BD">
        <w:t>at</w:t>
      </w:r>
      <w:r w:rsidR="004976BD" w:rsidRPr="00360F9E">
        <w:t xml:space="preserve"> </w:t>
      </w:r>
      <w:r w:rsidR="00C81471">
        <w:t>entity</w:t>
      </w:r>
      <w:r w:rsidR="004976BD" w:rsidRPr="00360F9E">
        <w:t xml:space="preserve"> </w:t>
      </w:r>
      <w:r w:rsidR="004976BD">
        <w:t>b</w:t>
      </w:r>
      <w:r w:rsidR="004976BD" w:rsidRPr="00360F9E">
        <w:t>oard meetings</w:t>
      </w:r>
      <w:bookmarkEnd w:id="79"/>
      <w:bookmarkEnd w:id="80"/>
    </w:p>
    <w:p w14:paraId="31B063B6" w14:textId="42AB5332" w:rsidR="004976BD" w:rsidRDefault="004976BD" w:rsidP="004976BD">
      <w:r>
        <w:t xml:space="preserve">The department’s </w:t>
      </w:r>
      <w:r w:rsidRPr="00BE4254">
        <w:t xml:space="preserve">representatives may be asked to attend </w:t>
      </w:r>
      <w:r w:rsidR="00C81471">
        <w:t>entity</w:t>
      </w:r>
      <w:r w:rsidRPr="00BE4254">
        <w:t xml:space="preserve"> </w:t>
      </w:r>
      <w:r>
        <w:t>b</w:t>
      </w:r>
      <w:r w:rsidRPr="00BE4254">
        <w:t>oard meetings</w:t>
      </w:r>
      <w:r>
        <w:t xml:space="preserve"> (at the </w:t>
      </w:r>
      <w:r w:rsidR="00B8156C">
        <w:t>c</w:t>
      </w:r>
      <w:r>
        <w:t>hair’s discretion)</w:t>
      </w:r>
      <w:r w:rsidRPr="00BE4254">
        <w:t xml:space="preserve"> to present or to observe.</w:t>
      </w:r>
    </w:p>
    <w:p w14:paraId="669DC7FB" w14:textId="4842E337" w:rsidR="00D50238" w:rsidRPr="00BE4254" w:rsidRDefault="004976BD" w:rsidP="00D50238">
      <w:r w:rsidRPr="00BE4254">
        <w:t xml:space="preserve">It is desirable for a </w:t>
      </w:r>
      <w:r>
        <w:t xml:space="preserve">department representative, either senior executive or </w:t>
      </w:r>
      <w:r w:rsidR="00B8156C">
        <w:t>d</w:t>
      </w:r>
      <w:r>
        <w:t xml:space="preserve">eputy </w:t>
      </w:r>
      <w:r w:rsidR="00B8156C">
        <w:t>s</w:t>
      </w:r>
      <w:r>
        <w:t>ecretary,</w:t>
      </w:r>
      <w:r w:rsidRPr="00BE4254">
        <w:t xml:space="preserve"> to present at </w:t>
      </w:r>
      <w:r w:rsidR="00C81471">
        <w:t>entity</w:t>
      </w:r>
      <w:r w:rsidRPr="00BE4254">
        <w:t xml:space="preserve"> </w:t>
      </w:r>
      <w:r>
        <w:t>b</w:t>
      </w:r>
      <w:r w:rsidRPr="00BE4254">
        <w:t xml:space="preserve">oard meetings at least annually to provide the </w:t>
      </w:r>
      <w:r w:rsidR="00C81471">
        <w:t>entity</w:t>
      </w:r>
      <w:r w:rsidRPr="00BE4254">
        <w:t xml:space="preserve"> with portfolio context and an update on current issues.</w:t>
      </w:r>
      <w:r w:rsidR="00D50238">
        <w:t xml:space="preserve"> The department </w:t>
      </w:r>
      <w:r w:rsidR="00D50238" w:rsidRPr="00BE4254">
        <w:t xml:space="preserve">and </w:t>
      </w:r>
      <w:r w:rsidR="00D50238">
        <w:t>entities</w:t>
      </w:r>
      <w:r w:rsidR="00D50238" w:rsidRPr="00BE4254">
        <w:t xml:space="preserve"> will review and discuss annually whether it is appropriate </w:t>
      </w:r>
      <w:r w:rsidR="00D50238">
        <w:t>for a department representative to attend b</w:t>
      </w:r>
      <w:r w:rsidR="00D50238" w:rsidRPr="00BE4254">
        <w:t xml:space="preserve">oard meetings </w:t>
      </w:r>
      <w:r w:rsidR="00D50238">
        <w:t xml:space="preserve">annually or more </w:t>
      </w:r>
      <w:r w:rsidR="00D50238" w:rsidRPr="00BE4254">
        <w:t>regularly.</w:t>
      </w:r>
    </w:p>
    <w:p w14:paraId="12B7E8FF" w14:textId="77777777" w:rsidR="00D50238" w:rsidRDefault="00D50238" w:rsidP="00D50238">
      <w:r w:rsidRPr="00BE4254">
        <w:t xml:space="preserve">The above requirements do not apply if a </w:t>
      </w:r>
      <w:r>
        <w:t xml:space="preserve">department representative </w:t>
      </w:r>
      <w:r w:rsidRPr="00BE4254">
        <w:t>is formally appointed as a</w:t>
      </w:r>
      <w:r>
        <w:t xml:space="preserve"> board member.</w:t>
      </w:r>
    </w:p>
    <w:p w14:paraId="07DF3C13" w14:textId="4F0070A3" w:rsidR="004976BD" w:rsidRDefault="004976BD" w:rsidP="004976BD">
      <w:r w:rsidRPr="00BE4254">
        <w:t xml:space="preserve">The </w:t>
      </w:r>
      <w:r w:rsidR="00035C55">
        <w:t>c</w:t>
      </w:r>
      <w:r w:rsidRPr="00BE4254">
        <w:t xml:space="preserve">hair will determine any conditions on </w:t>
      </w:r>
      <w:r>
        <w:t xml:space="preserve">department representatives </w:t>
      </w:r>
      <w:r w:rsidRPr="00BE4254">
        <w:t xml:space="preserve">attending meetings as observers. In all cases, </w:t>
      </w:r>
      <w:r>
        <w:t>department representatives</w:t>
      </w:r>
      <w:r w:rsidRPr="00BE4254">
        <w:t xml:space="preserve"> will declare any conflicts of interest, only report any information gained to the appropriate </w:t>
      </w:r>
      <w:r>
        <w:t>senior executive, deputy secretary</w:t>
      </w:r>
      <w:r w:rsidRPr="00BE4254">
        <w:t xml:space="preserve"> or the </w:t>
      </w:r>
      <w:r>
        <w:t>minister</w:t>
      </w:r>
      <w:r w:rsidRPr="00BE4254">
        <w:t xml:space="preserve"> and </w:t>
      </w:r>
      <w:r w:rsidRPr="00563904">
        <w:rPr>
          <w:b/>
          <w:bCs/>
        </w:rPr>
        <w:t>not participate</w:t>
      </w:r>
      <w:r w:rsidRPr="00BE4254">
        <w:t xml:space="preserve"> in the deliberations</w:t>
      </w:r>
      <w:r>
        <w:t>,</w:t>
      </w:r>
      <w:r w:rsidRPr="00BE4254">
        <w:t xml:space="preserve"> votes</w:t>
      </w:r>
      <w:r>
        <w:t xml:space="preserve"> or </w:t>
      </w:r>
      <w:r w:rsidRPr="00BE4254">
        <w:t>resolutions.</w:t>
      </w:r>
    </w:p>
    <w:p w14:paraId="38158633" w14:textId="6EE13B61" w:rsidR="0099608B" w:rsidRDefault="0099608B" w:rsidP="0099608B">
      <w:r>
        <w:lastRenderedPageBreak/>
        <w:t xml:space="preserve">In some cases, department staff are appointed to a board as an </w:t>
      </w:r>
      <w:r w:rsidRPr="00580E87">
        <w:rPr>
          <w:i/>
        </w:rPr>
        <w:t>ex-officio</w:t>
      </w:r>
      <w:r>
        <w:t xml:space="preserve"> appointment. Ex-officio members are appointed as a requirement of holding another office or substantive position. In all cases, it is vital that there is a clear and shared understanding between the board and the departmental representative on their role, including whether the representative’s attendance extends to participation in board decisions, or if it is limited to observing, or presenting the </w:t>
      </w:r>
      <w:r w:rsidR="00617829">
        <w:t>d</w:t>
      </w:r>
      <w:r>
        <w:t>epartment’s perspective on specific matters.</w:t>
      </w:r>
    </w:p>
    <w:p w14:paraId="2CCA1F8E" w14:textId="5823263F" w:rsidR="0099608B" w:rsidRPr="001135D0" w:rsidRDefault="0099608B" w:rsidP="0099608B">
      <w:pPr>
        <w:pStyle w:val="Heading3"/>
      </w:pPr>
      <w:bookmarkStart w:id="81" w:name="_Toc39481539"/>
      <w:bookmarkStart w:id="82" w:name="_Toc164067869"/>
      <w:r>
        <w:t>5.6.</w:t>
      </w:r>
      <w:r w:rsidR="00F0125C">
        <w:t>5</w:t>
      </w:r>
      <w:r>
        <w:tab/>
      </w:r>
      <w:r w:rsidRPr="00360F9E">
        <w:t>Board performance</w:t>
      </w:r>
      <w:bookmarkEnd w:id="81"/>
      <w:bookmarkEnd w:id="82"/>
    </w:p>
    <w:p w14:paraId="612959EF" w14:textId="05EC77A8" w:rsidR="0099608B" w:rsidRDefault="0099608B" w:rsidP="0099608B">
      <w:r>
        <w:t>T</w:t>
      </w:r>
      <w:r w:rsidRPr="00BE4254">
        <w:t xml:space="preserve">he PAA </w:t>
      </w:r>
      <w:r>
        <w:t>(s 81) requires b</w:t>
      </w:r>
      <w:r w:rsidRPr="00BE4254">
        <w:t>oard</w:t>
      </w:r>
      <w:r>
        <w:t>s</w:t>
      </w:r>
      <w:r w:rsidRPr="00BE4254">
        <w:t xml:space="preserve"> </w:t>
      </w:r>
      <w:r>
        <w:t>to</w:t>
      </w:r>
      <w:r w:rsidRPr="00BE4254">
        <w:t xml:space="preserve"> assess </w:t>
      </w:r>
      <w:r>
        <w:t>their</w:t>
      </w:r>
      <w:r w:rsidRPr="00BE4254">
        <w:t xml:space="preserve"> performance.</w:t>
      </w:r>
      <w:r>
        <w:t xml:space="preserve"> </w:t>
      </w:r>
      <w:r w:rsidRPr="00BE4254">
        <w:t xml:space="preserve">All </w:t>
      </w:r>
      <w:r>
        <w:t>b</w:t>
      </w:r>
      <w:r w:rsidRPr="00BE4254">
        <w:t xml:space="preserve">oards will review practice, as well as collective and </w:t>
      </w:r>
      <w:r>
        <w:t>individual member</w:t>
      </w:r>
      <w:r w:rsidRPr="00BE4254">
        <w:t xml:space="preserve"> performance (including the </w:t>
      </w:r>
      <w:r>
        <w:t>c</w:t>
      </w:r>
      <w:r w:rsidRPr="00BE4254">
        <w:t>hair) annually</w:t>
      </w:r>
      <w:r>
        <w:t xml:space="preserve">. </w:t>
      </w:r>
    </w:p>
    <w:p w14:paraId="50332268" w14:textId="77777777" w:rsidR="00B16315" w:rsidRDefault="00B16315" w:rsidP="00B16315">
      <w:r>
        <w:t>Chairs need to</w:t>
      </w:r>
      <w:r w:rsidRPr="00BE4254">
        <w:t xml:space="preserve"> ensure</w:t>
      </w:r>
      <w:r>
        <w:t xml:space="preserve"> that</w:t>
      </w:r>
      <w:r w:rsidRPr="00BE4254">
        <w:t xml:space="preserve"> there are adequate procedures in place for assessing the performance of individual </w:t>
      </w:r>
      <w:r>
        <w:t>board members</w:t>
      </w:r>
      <w:r w:rsidRPr="00BE4254">
        <w:t xml:space="preserve"> and dealing with underperformance.</w:t>
      </w:r>
    </w:p>
    <w:p w14:paraId="0A6C0D61" w14:textId="326C3D8A" w:rsidR="0099608B" w:rsidRPr="00BE4254" w:rsidRDefault="0099608B" w:rsidP="0099608B">
      <w:r>
        <w:t>T</w:t>
      </w:r>
      <w:r w:rsidRPr="00BE4254">
        <w:t xml:space="preserve">his can </w:t>
      </w:r>
      <w:r>
        <w:t>be a self-assessment</w:t>
      </w:r>
      <w:r w:rsidRPr="00BE4254">
        <w:t xml:space="preserve"> led by the </w:t>
      </w:r>
      <w:r w:rsidRPr="00F6549C">
        <w:t>chair</w:t>
      </w:r>
      <w:r>
        <w:t>.</w:t>
      </w:r>
      <w:r w:rsidRPr="001135D0">
        <w:t xml:space="preserve"> </w:t>
      </w:r>
      <w:r>
        <w:t xml:space="preserve">Periodically, boards </w:t>
      </w:r>
      <w:r w:rsidR="005868C4">
        <w:t>should</w:t>
      </w:r>
      <w:r>
        <w:t xml:space="preserve"> </w:t>
      </w:r>
      <w:r w:rsidRPr="00BE4254">
        <w:t>consider engaging an independent corporate governance consultant to provide an independent assessment of performance</w:t>
      </w:r>
      <w:r>
        <w:t>. A</w:t>
      </w:r>
      <w:r w:rsidRPr="00BE4254">
        <w:t xml:space="preserve">n independent assessment of performance should occur </w:t>
      </w:r>
      <w:r>
        <w:t>at least once every three years</w:t>
      </w:r>
      <w:r w:rsidRPr="00BE4254">
        <w:t xml:space="preserve"> and more often for large or complex </w:t>
      </w:r>
      <w:r w:rsidR="00C81471">
        <w:t>entities</w:t>
      </w:r>
      <w:r w:rsidRPr="00BE4254">
        <w:t>.</w:t>
      </w:r>
    </w:p>
    <w:p w14:paraId="6E49F6C3" w14:textId="322B1D5E" w:rsidR="0099608B" w:rsidRDefault="00E52AE5" w:rsidP="0099608B">
      <w:r>
        <w:t>A</w:t>
      </w:r>
      <w:r w:rsidR="0099608B">
        <w:t>ssessment</w:t>
      </w:r>
      <w:r>
        <w:t>s</w:t>
      </w:r>
      <w:r w:rsidR="0099608B">
        <w:t xml:space="preserve"> need to</w:t>
      </w:r>
      <w:r w:rsidR="0099608B" w:rsidRPr="00BE4254">
        <w:t xml:space="preserve"> include observation, interviews</w:t>
      </w:r>
      <w:r w:rsidR="00B74C62" w:rsidRPr="00BE4254">
        <w:t>,</w:t>
      </w:r>
      <w:r w:rsidR="0099608B" w:rsidRPr="00BE4254">
        <w:t xml:space="preserve"> and surveys, but can also include an examination of </w:t>
      </w:r>
      <w:r w:rsidR="0099608B">
        <w:t>b</w:t>
      </w:r>
      <w:r w:rsidR="0099608B" w:rsidRPr="00BE4254">
        <w:t xml:space="preserve">oard papers, minutes, policy manuals, governance charters and all operational aspects of the </w:t>
      </w:r>
      <w:r w:rsidR="0099608B">
        <w:t>b</w:t>
      </w:r>
      <w:r w:rsidR="0099608B" w:rsidRPr="00BE4254">
        <w:t xml:space="preserve">oard, including its operational culture and relationship with </w:t>
      </w:r>
      <w:r w:rsidR="002A5B0F">
        <w:t xml:space="preserve">the </w:t>
      </w:r>
      <w:r w:rsidR="00B74C62" w:rsidRPr="00F6549C">
        <w:t>chair.</w:t>
      </w:r>
    </w:p>
    <w:p w14:paraId="268C7D58" w14:textId="6671956D" w:rsidR="0099608B" w:rsidRDefault="00650C12" w:rsidP="0099608B">
      <w:r>
        <w:t xml:space="preserve">Boards </w:t>
      </w:r>
      <w:r w:rsidR="0099608B">
        <w:t xml:space="preserve">can </w:t>
      </w:r>
      <w:r w:rsidR="0099608B" w:rsidRPr="00BE4254">
        <w:t xml:space="preserve">supplement annual assessments by reviewing the effectiveness of each </w:t>
      </w:r>
      <w:r w:rsidR="0099608B">
        <w:t>b</w:t>
      </w:r>
      <w:r w:rsidR="0099608B" w:rsidRPr="00BE4254">
        <w:t xml:space="preserve">oard meeting. For example, a different </w:t>
      </w:r>
      <w:r w:rsidR="0099608B">
        <w:t xml:space="preserve">board member </w:t>
      </w:r>
      <w:r w:rsidR="0099608B" w:rsidRPr="00BE4254">
        <w:t>at each meeting may observe proceedings, assess relevance of the agenda and quality of the papers</w:t>
      </w:r>
      <w:r w:rsidRPr="00BE4254">
        <w:t>,</w:t>
      </w:r>
      <w:r w:rsidR="0099608B" w:rsidRPr="00BE4254">
        <w:t xml:space="preserve"> and then lead a discussion on such factors.</w:t>
      </w:r>
    </w:p>
    <w:p w14:paraId="0B3843A7" w14:textId="41EDCE95" w:rsidR="00C477B3" w:rsidRDefault="0099608B" w:rsidP="009A45C7">
      <w:r w:rsidRPr="00BE4254">
        <w:t xml:space="preserve">Outcomes of performance reviews of </w:t>
      </w:r>
      <w:r>
        <w:t>b</w:t>
      </w:r>
      <w:r w:rsidRPr="00BE4254">
        <w:t xml:space="preserve">oards </w:t>
      </w:r>
      <w:r w:rsidR="00EB7A98">
        <w:t>pe</w:t>
      </w:r>
      <w:r w:rsidR="00DC07A2">
        <w:t xml:space="preserve">rformance </w:t>
      </w:r>
      <w:r w:rsidRPr="00BE4254">
        <w:t xml:space="preserve">and </w:t>
      </w:r>
      <w:r>
        <w:t xml:space="preserve">individual board members </w:t>
      </w:r>
      <w:r w:rsidRPr="00BE4254">
        <w:t xml:space="preserve">should be shared with the </w:t>
      </w:r>
      <w:r w:rsidR="00F6549C">
        <w:t>m</w:t>
      </w:r>
      <w:r w:rsidRPr="00BE4254">
        <w:t>inister and</w:t>
      </w:r>
      <w:r>
        <w:t xml:space="preserve"> the</w:t>
      </w:r>
      <w:r w:rsidRPr="00BE4254">
        <w:t xml:space="preserve"> </w:t>
      </w:r>
      <w:r>
        <w:t>department</w:t>
      </w:r>
      <w:r w:rsidRPr="00BE4254">
        <w:t xml:space="preserve">. </w:t>
      </w:r>
      <w:bookmarkStart w:id="83" w:name="_Toc39481540"/>
    </w:p>
    <w:p w14:paraId="2C3C5139" w14:textId="1A0305E4" w:rsidR="00703AFA" w:rsidRPr="00A77734" w:rsidRDefault="00703AFA" w:rsidP="00703AFA">
      <w:pPr>
        <w:pStyle w:val="Heading2"/>
      </w:pPr>
      <w:bookmarkStart w:id="84" w:name="_Toc164067870"/>
      <w:r w:rsidRPr="00A77734">
        <w:t>5.</w:t>
      </w:r>
      <w:r>
        <w:t>7</w:t>
      </w:r>
      <w:r w:rsidRPr="00A77734">
        <w:t xml:space="preserve"> Occupational Health and Safety</w:t>
      </w:r>
      <w:r>
        <w:t xml:space="preserve"> (OHS)</w:t>
      </w:r>
      <w:bookmarkEnd w:id="84"/>
    </w:p>
    <w:p w14:paraId="565B9154" w14:textId="047DE268" w:rsidR="00703AFA" w:rsidRDefault="00703AFA" w:rsidP="00703AFA">
      <w:pPr>
        <w:spacing w:after="0"/>
        <w:rPr>
          <w:rFonts w:asciiTheme="minorHAnsi" w:hAnsiTheme="minorHAnsi" w:cstheme="minorHAnsi"/>
          <w:color w:val="auto"/>
          <w:sz w:val="22"/>
          <w:szCs w:val="22"/>
          <w:lang w:val="en-AU"/>
        </w:rPr>
      </w:pPr>
      <w:r>
        <w:t>Entities need to be aware of and comply with the requirements of</w:t>
      </w:r>
      <w:r w:rsidRPr="003B6D5A">
        <w:t xml:space="preserve"> </w:t>
      </w:r>
      <w:hyperlink r:id="rId44" w:history="1">
        <w:r w:rsidRPr="003B6D5A">
          <w:rPr>
            <w:rStyle w:val="Hyperlink"/>
            <w:i/>
            <w:iCs/>
            <w:u w:val="none"/>
          </w:rPr>
          <w:t>the Occupational Health and Safety Act 2004</w:t>
        </w:r>
        <w:r w:rsidRPr="003B6D5A">
          <w:rPr>
            <w:rStyle w:val="Hyperlink"/>
            <w:u w:val="none"/>
          </w:rPr>
          <w:t xml:space="preserve"> (OHS Act) </w:t>
        </w:r>
        <w:r w:rsidRPr="003B6D5A">
          <w:rPr>
            <w:rStyle w:val="Hyperlink"/>
            <w:color w:val="auto"/>
            <w:u w:val="none"/>
          </w:rPr>
          <w:t>to ensure the health, safety, and wellbeing of all who are involved with or affected by its operations. Un</w:t>
        </w:r>
      </w:hyperlink>
      <w:r>
        <w:t xml:space="preserve">der the OHS Act, employers must provide and maintain a working </w:t>
      </w:r>
      <w:r>
        <w:rPr>
          <w:rFonts w:asciiTheme="minorHAnsi" w:hAnsiTheme="minorHAnsi" w:cstheme="minorHAnsi"/>
        </w:rPr>
        <w:t>environment for their employees, including contractors, that is safe and without risks to health, so far as reasonably practicable. In Section 5 of the OHS Act, health is defined as including psychological health.</w:t>
      </w:r>
    </w:p>
    <w:p w14:paraId="11E32659" w14:textId="77777777" w:rsidR="00703AFA" w:rsidRDefault="00703AFA" w:rsidP="00703AFA">
      <w:pPr>
        <w:spacing w:after="0"/>
        <w:rPr>
          <w:rFonts w:asciiTheme="minorHAnsi" w:hAnsiTheme="minorHAnsi" w:cstheme="minorHAnsi"/>
        </w:rPr>
      </w:pPr>
    </w:p>
    <w:p w14:paraId="5242EE36" w14:textId="77777777" w:rsidR="00703AFA" w:rsidRDefault="00703AFA" w:rsidP="00703AFA">
      <w:pPr>
        <w:spacing w:after="0"/>
        <w:rPr>
          <w:rFonts w:asciiTheme="minorHAnsi" w:hAnsiTheme="minorHAnsi" w:cstheme="minorHAnsi"/>
        </w:rPr>
      </w:pPr>
      <w:r>
        <w:rPr>
          <w:rFonts w:asciiTheme="minorHAnsi" w:hAnsiTheme="minorHAnsi" w:cstheme="minorHAnsi"/>
        </w:rPr>
        <w:t xml:space="preserve">There are five main principles that entities should adhere to in ensuring sound health and safety management: </w:t>
      </w:r>
    </w:p>
    <w:p w14:paraId="424E7722" w14:textId="77777777" w:rsidR="00703AFA" w:rsidRDefault="00703AFA" w:rsidP="00703AFA">
      <w:pPr>
        <w:spacing w:after="0"/>
        <w:rPr>
          <w:rFonts w:asciiTheme="minorHAnsi" w:hAnsiTheme="minorHAnsi" w:cstheme="minorHAnsi"/>
        </w:rPr>
      </w:pPr>
    </w:p>
    <w:p w14:paraId="6CB96B33" w14:textId="77777777" w:rsidR="00703AFA" w:rsidRPr="00703AFA" w:rsidRDefault="00703AFA" w:rsidP="00703AFA">
      <w:pPr>
        <w:pStyle w:val="ListParagraph"/>
        <w:numPr>
          <w:ilvl w:val="0"/>
          <w:numId w:val="23"/>
        </w:numPr>
        <w:ind w:left="709"/>
        <w:rPr>
          <w:rFonts w:asciiTheme="minorHAnsi" w:hAnsiTheme="minorHAnsi" w:cstheme="minorHAnsi"/>
          <w:color w:val="auto"/>
          <w:sz w:val="18"/>
          <w:szCs w:val="18"/>
        </w:rPr>
      </w:pPr>
      <w:r w:rsidRPr="00703AFA">
        <w:rPr>
          <w:rFonts w:asciiTheme="minorHAnsi" w:hAnsiTheme="minorHAnsi" w:cstheme="minorHAnsi"/>
          <w:color w:val="auto"/>
          <w:sz w:val="18"/>
          <w:szCs w:val="18"/>
        </w:rPr>
        <w:t>Employees, other persons at work and members of the public be given the highest level of protection against risks to their health and safety that is reasonably practicable in the circumstances.</w:t>
      </w:r>
    </w:p>
    <w:p w14:paraId="20527EB6" w14:textId="77777777" w:rsidR="00703AFA" w:rsidRPr="00703AFA" w:rsidRDefault="00703AFA" w:rsidP="00703AFA">
      <w:pPr>
        <w:pStyle w:val="ListParagraph"/>
        <w:numPr>
          <w:ilvl w:val="0"/>
          <w:numId w:val="23"/>
        </w:numPr>
        <w:ind w:left="709"/>
        <w:rPr>
          <w:rFonts w:asciiTheme="minorHAnsi" w:hAnsiTheme="minorHAnsi" w:cstheme="minorHAnsi"/>
          <w:color w:val="auto"/>
          <w:sz w:val="18"/>
          <w:szCs w:val="18"/>
        </w:rPr>
      </w:pPr>
      <w:r w:rsidRPr="00703AFA">
        <w:rPr>
          <w:rFonts w:asciiTheme="minorHAnsi" w:hAnsiTheme="minorHAnsi" w:cstheme="minorHAnsi"/>
          <w:color w:val="auto"/>
          <w:sz w:val="18"/>
          <w:szCs w:val="18"/>
        </w:rPr>
        <w:t>Persons who control or manage matters that give rise or may give rise to risks to health or safety are responsible for eliminating or reducing those risks so far as is reasonably practicable.</w:t>
      </w:r>
    </w:p>
    <w:p w14:paraId="17D3D746" w14:textId="77777777" w:rsidR="00703AFA" w:rsidRPr="00703AFA" w:rsidRDefault="00703AFA" w:rsidP="00703AFA">
      <w:pPr>
        <w:pStyle w:val="ListParagraph"/>
        <w:numPr>
          <w:ilvl w:val="0"/>
          <w:numId w:val="23"/>
        </w:numPr>
        <w:ind w:left="709"/>
        <w:rPr>
          <w:rFonts w:asciiTheme="minorHAnsi" w:hAnsiTheme="minorHAnsi" w:cstheme="minorHAnsi"/>
          <w:color w:val="auto"/>
          <w:sz w:val="18"/>
          <w:szCs w:val="18"/>
        </w:rPr>
      </w:pPr>
      <w:r w:rsidRPr="00703AFA">
        <w:rPr>
          <w:rFonts w:asciiTheme="minorHAnsi" w:hAnsiTheme="minorHAnsi" w:cstheme="minorHAnsi"/>
          <w:color w:val="auto"/>
          <w:sz w:val="18"/>
          <w:szCs w:val="18"/>
        </w:rPr>
        <w:t>Employers and self-employed persons should be proactive, and take all reasonably practicable measures, to ensure health and safety at workplaces and in the conduct of undertakings.</w:t>
      </w:r>
    </w:p>
    <w:p w14:paraId="34F65306" w14:textId="77777777" w:rsidR="00703AFA" w:rsidRPr="00703AFA" w:rsidRDefault="00703AFA" w:rsidP="00703AFA">
      <w:pPr>
        <w:pStyle w:val="ListParagraph"/>
        <w:numPr>
          <w:ilvl w:val="0"/>
          <w:numId w:val="23"/>
        </w:numPr>
        <w:ind w:left="709"/>
        <w:rPr>
          <w:rFonts w:asciiTheme="minorHAnsi" w:hAnsiTheme="minorHAnsi" w:cstheme="minorHAnsi"/>
          <w:color w:val="auto"/>
          <w:sz w:val="18"/>
          <w:szCs w:val="18"/>
        </w:rPr>
      </w:pPr>
      <w:r w:rsidRPr="00703AFA">
        <w:rPr>
          <w:rFonts w:asciiTheme="minorHAnsi" w:hAnsiTheme="minorHAnsi" w:cstheme="minorHAnsi"/>
          <w:color w:val="auto"/>
          <w:sz w:val="18"/>
          <w:szCs w:val="18"/>
        </w:rPr>
        <w:t>Employers and employees should exchange information and ideas about risks to health and safety and measures that can be taken to eliminate or reduce those risks.</w:t>
      </w:r>
    </w:p>
    <w:p w14:paraId="68DBE8AA" w14:textId="77777777" w:rsidR="00703AFA" w:rsidRDefault="00703AFA" w:rsidP="00703AFA">
      <w:pPr>
        <w:pStyle w:val="ListParagraph"/>
        <w:numPr>
          <w:ilvl w:val="0"/>
          <w:numId w:val="23"/>
        </w:numPr>
        <w:ind w:left="709"/>
        <w:rPr>
          <w:rFonts w:asciiTheme="minorHAnsi" w:hAnsiTheme="minorHAnsi" w:cstheme="minorHAnsi"/>
          <w:color w:val="auto"/>
          <w:sz w:val="18"/>
          <w:szCs w:val="18"/>
        </w:rPr>
      </w:pPr>
      <w:r w:rsidRPr="00703AFA">
        <w:rPr>
          <w:rFonts w:asciiTheme="minorHAnsi" w:hAnsiTheme="minorHAnsi" w:cstheme="minorHAnsi"/>
          <w:color w:val="auto"/>
          <w:sz w:val="18"/>
          <w:szCs w:val="18"/>
        </w:rPr>
        <w:t>Employees are entitled, and should be encouraged, to be represented in relation to health and safety issues including active consultation.</w:t>
      </w:r>
    </w:p>
    <w:p w14:paraId="55E136C1" w14:textId="77777777" w:rsidR="00703AFA" w:rsidRPr="00703AFA" w:rsidRDefault="00703AFA" w:rsidP="00703AFA">
      <w:pPr>
        <w:pStyle w:val="ListParagraph"/>
        <w:ind w:left="709"/>
        <w:rPr>
          <w:rFonts w:asciiTheme="minorHAnsi" w:hAnsiTheme="minorHAnsi" w:cstheme="minorHAnsi"/>
          <w:color w:val="auto"/>
          <w:sz w:val="18"/>
          <w:szCs w:val="18"/>
        </w:rPr>
      </w:pPr>
    </w:p>
    <w:p w14:paraId="5779B9A4" w14:textId="7C3E1A90" w:rsidR="00703AFA" w:rsidRPr="00126477" w:rsidRDefault="00703AFA" w:rsidP="000B791E">
      <w:pPr>
        <w:pStyle w:val="Heading3"/>
        <w:rPr>
          <w:color w:val="auto"/>
          <w:lang w:eastAsia="en-AU"/>
        </w:rPr>
      </w:pPr>
      <w:bookmarkStart w:id="85" w:name="_Toc164067871"/>
      <w:r w:rsidRPr="00126477">
        <w:rPr>
          <w:lang w:eastAsia="en-AU"/>
        </w:rPr>
        <w:t xml:space="preserve">5.7.1 </w:t>
      </w:r>
      <w:r w:rsidRPr="00126477">
        <w:rPr>
          <w:lang w:eastAsia="en-AU"/>
        </w:rPr>
        <w:tab/>
        <w:t>Management of OHS risk</w:t>
      </w:r>
      <w:bookmarkEnd w:id="85"/>
    </w:p>
    <w:p w14:paraId="73D3BA64" w14:textId="77777777" w:rsidR="00703AFA" w:rsidRDefault="00703AFA" w:rsidP="00703AFA">
      <w:pPr>
        <w:spacing w:after="0"/>
        <w:rPr>
          <w:rFonts w:asciiTheme="minorHAnsi" w:hAnsiTheme="minorHAnsi" w:cstheme="minorHAnsi"/>
          <w:b/>
          <w:bCs/>
          <w:lang w:eastAsia="en-AU"/>
        </w:rPr>
      </w:pPr>
    </w:p>
    <w:p w14:paraId="1CA28B29" w14:textId="77777777" w:rsidR="00703AFA" w:rsidRDefault="00703AFA" w:rsidP="00703AFA">
      <w:pPr>
        <w:spacing w:after="0"/>
        <w:rPr>
          <w:rFonts w:asciiTheme="minorHAnsi" w:hAnsiTheme="minorHAnsi" w:cstheme="minorHAnsi"/>
          <w:b/>
          <w:bCs/>
          <w:color w:val="004C97" w:themeColor="accent1"/>
        </w:rPr>
      </w:pPr>
      <w:r>
        <w:rPr>
          <w:rFonts w:asciiTheme="minorHAnsi" w:hAnsiTheme="minorHAnsi" w:cstheme="minorHAnsi"/>
        </w:rPr>
        <w:t>Entities are to ensure OHS hazards within the workplace are identified and risks controlled and documented. This includes providing the required training, induction, processes and equipment to support the safety and wellbeing of employees and others under their management and control.</w:t>
      </w:r>
    </w:p>
    <w:p w14:paraId="22C16F0D" w14:textId="77777777" w:rsidR="00703AFA" w:rsidRDefault="00703AFA" w:rsidP="00703AFA">
      <w:pPr>
        <w:spacing w:before="100" w:beforeAutospacing="1" w:after="100" w:afterAutospacing="1"/>
        <w:jc w:val="both"/>
        <w:rPr>
          <w:rFonts w:asciiTheme="minorHAnsi" w:hAnsiTheme="minorHAnsi" w:cstheme="minorHAnsi"/>
          <w:color w:val="C00000"/>
        </w:rPr>
      </w:pPr>
      <w:r>
        <w:rPr>
          <w:rFonts w:asciiTheme="minorHAnsi" w:hAnsiTheme="minorHAnsi" w:cstheme="minorHAnsi"/>
          <w:color w:val="000000" w:themeColor="text1"/>
          <w:lang w:val="en"/>
        </w:rPr>
        <w:lastRenderedPageBreak/>
        <w:t>All safety and wellbeing hazards associated with work activities, processes, plant and substances under the management and control of entities must be identified and assessed to determine the level of risk.  Risk control measures must be put in place, recorded and monitored to ensure OHS risks are eliminated or minimised so far as is reasonably practicable.</w:t>
      </w:r>
    </w:p>
    <w:p w14:paraId="71CE0050" w14:textId="77777777" w:rsidR="00703AFA" w:rsidRDefault="00703AFA" w:rsidP="00703AFA">
      <w:pPr>
        <w:jc w:val="both"/>
        <w:rPr>
          <w:rFonts w:asciiTheme="minorHAnsi" w:hAnsiTheme="minorHAnsi" w:cstheme="minorHAnsi"/>
          <w:color w:val="auto"/>
        </w:rPr>
      </w:pPr>
      <w:r>
        <w:rPr>
          <w:rFonts w:asciiTheme="minorHAnsi" w:hAnsiTheme="minorHAnsi" w:cstheme="minorHAnsi"/>
        </w:rPr>
        <w:t>It is important for entities to follow the 4 steps of risk management for physical and psychological safety:</w:t>
      </w:r>
    </w:p>
    <w:p w14:paraId="06EEFEEB" w14:textId="77777777" w:rsidR="00703AFA" w:rsidRPr="00126477" w:rsidRDefault="00703AFA" w:rsidP="00126477">
      <w:pPr>
        <w:pStyle w:val="ListParagraph"/>
        <w:numPr>
          <w:ilvl w:val="0"/>
          <w:numId w:val="23"/>
        </w:numPr>
        <w:ind w:left="709"/>
        <w:rPr>
          <w:rFonts w:asciiTheme="minorHAnsi" w:hAnsiTheme="minorHAnsi" w:cstheme="minorHAnsi"/>
          <w:color w:val="auto"/>
          <w:sz w:val="18"/>
          <w:szCs w:val="18"/>
        </w:rPr>
      </w:pPr>
      <w:r w:rsidRPr="00126477">
        <w:rPr>
          <w:rFonts w:asciiTheme="minorHAnsi" w:hAnsiTheme="minorHAnsi" w:cstheme="minorHAnsi"/>
          <w:color w:val="auto"/>
          <w:sz w:val="18"/>
          <w:szCs w:val="18"/>
        </w:rPr>
        <w:t>Identify the hazards/risks</w:t>
      </w:r>
    </w:p>
    <w:p w14:paraId="19B6289B" w14:textId="77777777" w:rsidR="00703AFA" w:rsidRPr="00126477" w:rsidRDefault="00703AFA" w:rsidP="00126477">
      <w:pPr>
        <w:pStyle w:val="ListParagraph"/>
        <w:numPr>
          <w:ilvl w:val="0"/>
          <w:numId w:val="23"/>
        </w:numPr>
        <w:ind w:left="709"/>
        <w:rPr>
          <w:rFonts w:asciiTheme="minorHAnsi" w:hAnsiTheme="minorHAnsi" w:cstheme="minorHAnsi"/>
          <w:color w:val="auto"/>
          <w:sz w:val="18"/>
          <w:szCs w:val="18"/>
        </w:rPr>
      </w:pPr>
      <w:r w:rsidRPr="00126477">
        <w:rPr>
          <w:rFonts w:asciiTheme="minorHAnsi" w:hAnsiTheme="minorHAnsi" w:cstheme="minorHAnsi"/>
          <w:color w:val="auto"/>
          <w:sz w:val="18"/>
          <w:szCs w:val="18"/>
        </w:rPr>
        <w:t>Assess the risks</w:t>
      </w:r>
    </w:p>
    <w:p w14:paraId="7C4094BA" w14:textId="77777777" w:rsidR="00703AFA" w:rsidRPr="00126477" w:rsidRDefault="00703AFA" w:rsidP="00126477">
      <w:pPr>
        <w:pStyle w:val="ListParagraph"/>
        <w:numPr>
          <w:ilvl w:val="0"/>
          <w:numId w:val="23"/>
        </w:numPr>
        <w:ind w:left="709"/>
        <w:rPr>
          <w:rFonts w:asciiTheme="minorHAnsi" w:hAnsiTheme="minorHAnsi" w:cstheme="minorHAnsi"/>
          <w:color w:val="auto"/>
          <w:sz w:val="18"/>
          <w:szCs w:val="18"/>
        </w:rPr>
      </w:pPr>
      <w:r w:rsidRPr="00126477">
        <w:rPr>
          <w:rFonts w:asciiTheme="minorHAnsi" w:hAnsiTheme="minorHAnsi" w:cstheme="minorHAnsi"/>
          <w:color w:val="auto"/>
          <w:sz w:val="18"/>
          <w:szCs w:val="18"/>
        </w:rPr>
        <w:t xml:space="preserve">Control the risks </w:t>
      </w:r>
    </w:p>
    <w:p w14:paraId="54969C47" w14:textId="77777777" w:rsidR="00703AFA" w:rsidRPr="00126477" w:rsidRDefault="00703AFA" w:rsidP="00126477">
      <w:pPr>
        <w:pStyle w:val="ListParagraph"/>
        <w:numPr>
          <w:ilvl w:val="0"/>
          <w:numId w:val="23"/>
        </w:numPr>
        <w:ind w:left="709"/>
        <w:rPr>
          <w:rFonts w:asciiTheme="minorHAnsi" w:hAnsiTheme="minorHAnsi" w:cstheme="minorHAnsi"/>
          <w:color w:val="auto"/>
          <w:sz w:val="18"/>
          <w:szCs w:val="18"/>
        </w:rPr>
      </w:pPr>
      <w:r w:rsidRPr="00126477">
        <w:rPr>
          <w:rFonts w:asciiTheme="minorHAnsi" w:hAnsiTheme="minorHAnsi" w:cstheme="minorHAnsi"/>
          <w:color w:val="auto"/>
          <w:sz w:val="18"/>
          <w:szCs w:val="18"/>
        </w:rPr>
        <w:t>Monitor/ review the controls to ensure the risk is managed effectively</w:t>
      </w:r>
    </w:p>
    <w:p w14:paraId="30F6419C" w14:textId="77777777" w:rsidR="00703AFA" w:rsidRPr="00126477" w:rsidRDefault="00703AFA" w:rsidP="00703AFA">
      <w:pPr>
        <w:pStyle w:val="ListParagraph"/>
        <w:spacing w:line="264" w:lineRule="auto"/>
        <w:jc w:val="both"/>
        <w:rPr>
          <w:rFonts w:asciiTheme="minorHAnsi" w:hAnsiTheme="minorHAnsi" w:cstheme="minorHAnsi"/>
          <w:sz w:val="20"/>
          <w:szCs w:val="20"/>
        </w:rPr>
      </w:pPr>
    </w:p>
    <w:p w14:paraId="723FD423" w14:textId="77777777" w:rsidR="00703AFA" w:rsidRDefault="00703AFA" w:rsidP="00126477">
      <w:pPr>
        <w:spacing w:after="0"/>
        <w:jc w:val="both"/>
        <w:rPr>
          <w:rFonts w:asciiTheme="minorHAnsi" w:hAnsiTheme="minorHAnsi" w:cstheme="minorHAnsi"/>
          <w:color w:val="000000" w:themeColor="text1"/>
          <w:sz w:val="22"/>
          <w:szCs w:val="22"/>
          <w:lang w:val="en"/>
        </w:rPr>
      </w:pPr>
      <w:r>
        <w:rPr>
          <w:rFonts w:asciiTheme="minorHAnsi" w:hAnsiTheme="minorHAnsi" w:cstheme="minorHAnsi"/>
          <w:color w:val="000000" w:themeColor="text1"/>
          <w:lang w:val="en"/>
        </w:rPr>
        <w:t>It is the responsibility of entities to monitor developments in emerging OHS risks and treatment of those risks in relation to matters within its control at an organisational level.</w:t>
      </w:r>
    </w:p>
    <w:p w14:paraId="15BA3416" w14:textId="77777777" w:rsidR="00703AFA" w:rsidRDefault="00703AFA" w:rsidP="00126477">
      <w:pPr>
        <w:spacing w:after="0"/>
        <w:jc w:val="both"/>
        <w:rPr>
          <w:rFonts w:ascii="Calibri" w:hAnsi="Calibri" w:cs="Calibri"/>
          <w:color w:val="000000" w:themeColor="text1"/>
          <w:lang w:val="en"/>
        </w:rPr>
      </w:pPr>
    </w:p>
    <w:p w14:paraId="236CDCBA" w14:textId="272A1D71" w:rsidR="00703AFA" w:rsidRPr="00126477" w:rsidRDefault="00703AFA" w:rsidP="00D66504">
      <w:pPr>
        <w:pStyle w:val="Heading3"/>
        <w:spacing w:before="60"/>
        <w:rPr>
          <w:lang w:val="en"/>
        </w:rPr>
      </w:pPr>
      <w:bookmarkStart w:id="86" w:name="_Toc164067872"/>
      <w:r w:rsidRPr="00126477">
        <w:rPr>
          <w:lang w:val="en"/>
        </w:rPr>
        <w:t xml:space="preserve">5.7.2 </w:t>
      </w:r>
      <w:r w:rsidRPr="00126477">
        <w:rPr>
          <w:lang w:val="en"/>
        </w:rPr>
        <w:tab/>
        <w:t>Psychological Health in the workplace</w:t>
      </w:r>
      <w:bookmarkEnd w:id="86"/>
    </w:p>
    <w:p w14:paraId="4FD89792" w14:textId="77777777" w:rsidR="00703AFA" w:rsidRDefault="00703AFA" w:rsidP="00126477">
      <w:pPr>
        <w:spacing w:after="0"/>
        <w:rPr>
          <w:color w:val="000000" w:themeColor="text1"/>
          <w:lang w:val="en"/>
        </w:rPr>
      </w:pPr>
    </w:p>
    <w:p w14:paraId="540983EF" w14:textId="7FBEA54E" w:rsidR="00703AFA" w:rsidRDefault="00703AFA" w:rsidP="00703AFA">
      <w:pPr>
        <w:spacing w:after="0"/>
        <w:rPr>
          <w:rFonts w:asciiTheme="minorHAnsi" w:hAnsiTheme="minorHAnsi" w:cstheme="minorHAnsi"/>
          <w:color w:val="000000" w:themeColor="text1"/>
          <w:lang w:val="en"/>
        </w:rPr>
      </w:pPr>
      <w:r>
        <w:rPr>
          <w:rFonts w:asciiTheme="minorHAnsi" w:hAnsiTheme="minorHAnsi" w:cstheme="minorHAnsi"/>
          <w:color w:val="000000" w:themeColor="text1"/>
          <w:lang w:val="en"/>
        </w:rPr>
        <w:t>Current proposed OHS Amendment (Psychological Health) Regulations seek to:</w:t>
      </w:r>
    </w:p>
    <w:p w14:paraId="42A51AD7" w14:textId="77777777" w:rsidR="00703AFA" w:rsidRDefault="00703AFA" w:rsidP="00126477">
      <w:pPr>
        <w:spacing w:after="0"/>
        <w:rPr>
          <w:rFonts w:asciiTheme="minorHAnsi" w:hAnsiTheme="minorHAnsi" w:cstheme="minorHAnsi"/>
          <w:color w:val="auto"/>
          <w:lang w:val="en-AU"/>
        </w:rPr>
      </w:pPr>
    </w:p>
    <w:p w14:paraId="0C173AB3" w14:textId="77777777" w:rsidR="00703AFA" w:rsidRPr="00126477" w:rsidRDefault="00703AFA" w:rsidP="00126477">
      <w:pPr>
        <w:pStyle w:val="ListParagraph"/>
        <w:numPr>
          <w:ilvl w:val="0"/>
          <w:numId w:val="23"/>
        </w:numPr>
        <w:ind w:left="709"/>
        <w:rPr>
          <w:rFonts w:asciiTheme="minorHAnsi" w:hAnsiTheme="minorHAnsi" w:cstheme="minorHAnsi"/>
          <w:color w:val="auto"/>
          <w:sz w:val="18"/>
          <w:szCs w:val="18"/>
        </w:rPr>
      </w:pPr>
      <w:r w:rsidRPr="00126477">
        <w:rPr>
          <w:rFonts w:asciiTheme="minorHAnsi" w:hAnsiTheme="minorHAnsi" w:cstheme="minorHAnsi"/>
          <w:color w:val="auto"/>
          <w:sz w:val="18"/>
          <w:szCs w:val="18"/>
        </w:rPr>
        <w:t>Strengthen OHS legislation to address risks associated with workplace psychological health</w:t>
      </w:r>
    </w:p>
    <w:p w14:paraId="72339474" w14:textId="1AAB6444" w:rsidR="00703AFA" w:rsidRPr="00126477" w:rsidRDefault="00703AFA" w:rsidP="00126477">
      <w:pPr>
        <w:pStyle w:val="ListParagraph"/>
        <w:numPr>
          <w:ilvl w:val="0"/>
          <w:numId w:val="23"/>
        </w:numPr>
        <w:ind w:left="709"/>
        <w:rPr>
          <w:rFonts w:asciiTheme="minorHAnsi" w:hAnsiTheme="minorHAnsi" w:cstheme="minorHAnsi"/>
          <w:color w:val="auto"/>
          <w:sz w:val="18"/>
          <w:szCs w:val="18"/>
        </w:rPr>
      </w:pPr>
      <w:r w:rsidRPr="00126477">
        <w:rPr>
          <w:rFonts w:asciiTheme="minorHAnsi" w:hAnsiTheme="minorHAnsi" w:cstheme="minorHAnsi"/>
          <w:color w:val="auto"/>
          <w:sz w:val="18"/>
          <w:szCs w:val="18"/>
        </w:rPr>
        <w:t>Promote the importance of psychological health and safety in the workplace</w:t>
      </w:r>
      <w:r w:rsidR="00C30551">
        <w:rPr>
          <w:rFonts w:asciiTheme="minorHAnsi" w:hAnsiTheme="minorHAnsi" w:cstheme="minorHAnsi"/>
          <w:color w:val="auto"/>
          <w:sz w:val="18"/>
          <w:szCs w:val="18"/>
        </w:rPr>
        <w:t xml:space="preserve">, with </w:t>
      </w:r>
      <w:r w:rsidRPr="00126477">
        <w:rPr>
          <w:rFonts w:asciiTheme="minorHAnsi" w:hAnsiTheme="minorHAnsi" w:cstheme="minorHAnsi"/>
          <w:color w:val="auto"/>
          <w:sz w:val="18"/>
          <w:szCs w:val="18"/>
        </w:rPr>
        <w:t>an emphasis on prevention</w:t>
      </w:r>
    </w:p>
    <w:p w14:paraId="3FD32585" w14:textId="77777777" w:rsidR="00703AFA" w:rsidRPr="00126477" w:rsidRDefault="00703AFA" w:rsidP="00126477">
      <w:pPr>
        <w:pStyle w:val="ListParagraph"/>
        <w:numPr>
          <w:ilvl w:val="0"/>
          <w:numId w:val="23"/>
        </w:numPr>
        <w:ind w:left="709"/>
        <w:rPr>
          <w:rFonts w:asciiTheme="minorHAnsi" w:hAnsiTheme="minorHAnsi" w:cstheme="minorHAnsi"/>
          <w:color w:val="auto"/>
          <w:sz w:val="18"/>
          <w:szCs w:val="18"/>
        </w:rPr>
      </w:pPr>
      <w:r w:rsidRPr="00126477">
        <w:rPr>
          <w:rFonts w:asciiTheme="minorHAnsi" w:hAnsiTheme="minorHAnsi" w:cstheme="minorHAnsi"/>
          <w:color w:val="auto"/>
          <w:sz w:val="18"/>
          <w:szCs w:val="18"/>
        </w:rPr>
        <w:t>Require employers to identify and control risks to protect workers from mental injury arising from hazards including bullying, sexual harassment, occupational violence and aggression (OVA), workload and exposure to traumatic events.</w:t>
      </w:r>
    </w:p>
    <w:p w14:paraId="22533111" w14:textId="77777777" w:rsidR="00703AFA" w:rsidRPr="00126477" w:rsidRDefault="00703AFA" w:rsidP="00126477">
      <w:pPr>
        <w:pStyle w:val="ListParagraph"/>
        <w:numPr>
          <w:ilvl w:val="0"/>
          <w:numId w:val="23"/>
        </w:numPr>
        <w:ind w:left="709"/>
        <w:rPr>
          <w:rFonts w:asciiTheme="minorHAnsi" w:hAnsiTheme="minorHAnsi" w:cstheme="minorHAnsi"/>
          <w:color w:val="auto"/>
          <w:sz w:val="18"/>
          <w:szCs w:val="18"/>
        </w:rPr>
      </w:pPr>
      <w:r w:rsidRPr="00126477">
        <w:rPr>
          <w:rFonts w:asciiTheme="minorHAnsi" w:hAnsiTheme="minorHAnsi" w:cstheme="minorHAnsi"/>
          <w:color w:val="auto"/>
          <w:sz w:val="18"/>
          <w:szCs w:val="18"/>
        </w:rPr>
        <w:t>Require certain employers to report data on complaints of bullying, sexual harassment and OVA to WorkSafe</w:t>
      </w:r>
    </w:p>
    <w:p w14:paraId="6C8E132B" w14:textId="77777777" w:rsidR="00703AFA" w:rsidRPr="00D66504" w:rsidRDefault="00703AFA" w:rsidP="00C2636A">
      <w:pPr>
        <w:spacing w:after="140" w:line="360" w:lineRule="auto"/>
        <w:jc w:val="both"/>
        <w:rPr>
          <w:rFonts w:asciiTheme="minorHAnsi" w:hAnsiTheme="minorHAnsi" w:cstheme="minorHAnsi"/>
          <w:color w:val="000000" w:themeColor="text1"/>
          <w:sz w:val="2"/>
          <w:szCs w:val="2"/>
          <w:lang w:val="en"/>
        </w:rPr>
      </w:pPr>
    </w:p>
    <w:p w14:paraId="21824917" w14:textId="77777777" w:rsidR="00703AFA" w:rsidRDefault="00703AFA" w:rsidP="00703AFA">
      <w:pPr>
        <w:rPr>
          <w:rFonts w:asciiTheme="minorHAnsi" w:hAnsiTheme="minorHAnsi" w:cstheme="minorHAnsi"/>
          <w:color w:val="000000" w:themeColor="text1"/>
          <w:lang w:val="en-AU"/>
        </w:rPr>
      </w:pPr>
      <w:r>
        <w:rPr>
          <w:rFonts w:asciiTheme="minorHAnsi" w:hAnsiTheme="minorHAnsi" w:cstheme="minorHAnsi"/>
          <w:color w:val="000000" w:themeColor="text1"/>
        </w:rPr>
        <w:t>With an increased focus on psychological health in the workplace, entities should aim to develop and deepen awareness of the management and mitigation of the risk associated with psychosocial hazards, and to uplift associated skills with their executives, managers, and employees to equip them in meeting and managing their OHS legislative obligations.</w:t>
      </w:r>
    </w:p>
    <w:p w14:paraId="4F6D145F" w14:textId="0FDB6E96" w:rsidR="00703AFA" w:rsidRPr="00126477" w:rsidRDefault="00703AFA" w:rsidP="000B791E">
      <w:pPr>
        <w:pStyle w:val="Heading3"/>
      </w:pPr>
      <w:bookmarkStart w:id="87" w:name="_Toc164067873"/>
      <w:r w:rsidRPr="00126477">
        <w:t>5.7.3</w:t>
      </w:r>
      <w:r w:rsidRPr="00126477">
        <w:tab/>
        <w:t>OHS resources</w:t>
      </w:r>
      <w:bookmarkEnd w:id="87"/>
    </w:p>
    <w:p w14:paraId="5A65AB6E" w14:textId="77777777" w:rsidR="00703AFA" w:rsidRPr="00126477" w:rsidRDefault="00703AFA" w:rsidP="00126477">
      <w:pPr>
        <w:pStyle w:val="ListParagraph"/>
        <w:numPr>
          <w:ilvl w:val="0"/>
          <w:numId w:val="57"/>
        </w:numPr>
        <w:rPr>
          <w:rFonts w:asciiTheme="minorHAnsi" w:hAnsiTheme="minorHAnsi" w:cstheme="minorHAnsi"/>
          <w:sz w:val="18"/>
          <w:szCs w:val="18"/>
        </w:rPr>
      </w:pPr>
      <w:r w:rsidRPr="00126477">
        <w:rPr>
          <w:rFonts w:asciiTheme="minorHAnsi" w:hAnsiTheme="minorHAnsi" w:cstheme="minorHAnsi"/>
          <w:sz w:val="18"/>
          <w:szCs w:val="18"/>
        </w:rPr>
        <w:t xml:space="preserve">The </w:t>
      </w:r>
      <w:hyperlink r:id="rId45" w:history="1">
        <w:r w:rsidRPr="00126477">
          <w:rPr>
            <w:rStyle w:val="Hyperlink"/>
            <w:rFonts w:asciiTheme="minorHAnsi" w:hAnsiTheme="minorHAnsi" w:cstheme="minorHAnsi"/>
            <w:sz w:val="18"/>
            <w:szCs w:val="18"/>
          </w:rPr>
          <w:t>WorkSafe website</w:t>
        </w:r>
      </w:hyperlink>
      <w:r w:rsidRPr="00126477">
        <w:rPr>
          <w:rFonts w:asciiTheme="minorHAnsi" w:hAnsiTheme="minorHAnsi" w:cstheme="minorHAnsi"/>
          <w:sz w:val="18"/>
          <w:szCs w:val="18"/>
        </w:rPr>
        <w:t xml:space="preserve"> provides online resources for employers to better understand their OHS responsibilities and duties and how to manage hazards risks and create safe environment. </w:t>
      </w:r>
    </w:p>
    <w:p w14:paraId="096E7F5E" w14:textId="77777777" w:rsidR="00703AFA" w:rsidRPr="00126477" w:rsidRDefault="00703AFA" w:rsidP="00126477">
      <w:pPr>
        <w:pStyle w:val="ListParagraph"/>
        <w:numPr>
          <w:ilvl w:val="0"/>
          <w:numId w:val="57"/>
        </w:numPr>
        <w:rPr>
          <w:rFonts w:asciiTheme="minorHAnsi" w:hAnsiTheme="minorHAnsi" w:cstheme="minorHAnsi"/>
          <w:sz w:val="18"/>
          <w:szCs w:val="18"/>
        </w:rPr>
      </w:pPr>
      <w:r w:rsidRPr="00126477">
        <w:rPr>
          <w:rFonts w:asciiTheme="minorHAnsi" w:hAnsiTheme="minorHAnsi" w:cstheme="minorHAnsi"/>
          <w:color w:val="auto"/>
          <w:sz w:val="18"/>
          <w:szCs w:val="18"/>
        </w:rPr>
        <w:t>This includes a</w:t>
      </w:r>
      <w:r w:rsidRPr="00126477">
        <w:rPr>
          <w:rFonts w:asciiTheme="minorHAnsi" w:hAnsiTheme="minorHAnsi" w:cstheme="minorHAnsi"/>
          <w:color w:val="191919"/>
          <w:sz w:val="18"/>
          <w:szCs w:val="18"/>
          <w:shd w:val="clear" w:color="auto" w:fill="FFFFFF"/>
        </w:rPr>
        <w:t xml:space="preserve"> </w:t>
      </w:r>
      <w:hyperlink r:id="rId46" w:history="1">
        <w:r w:rsidRPr="00126477">
          <w:rPr>
            <w:rStyle w:val="Hyperlink"/>
            <w:rFonts w:asciiTheme="minorHAnsi" w:hAnsiTheme="minorHAnsi" w:cstheme="minorHAnsi"/>
            <w:sz w:val="18"/>
            <w:szCs w:val="18"/>
          </w:rPr>
          <w:t>WorkWell Toolkit</w:t>
        </w:r>
      </w:hyperlink>
      <w:r w:rsidRPr="00126477">
        <w:rPr>
          <w:rFonts w:asciiTheme="minorHAnsi" w:hAnsiTheme="minorHAnsi" w:cstheme="minorHAnsi"/>
          <w:sz w:val="18"/>
          <w:szCs w:val="18"/>
        </w:rPr>
        <w:t xml:space="preserve"> providing a step-by-step approach to prevent mental injuries and promote safe and mentally healthy workplaces. </w:t>
      </w:r>
    </w:p>
    <w:p w14:paraId="541018BA" w14:textId="77777777" w:rsidR="00703AFA" w:rsidRDefault="00703AFA" w:rsidP="009A45C7"/>
    <w:p w14:paraId="163EC67F" w14:textId="0105BB4C" w:rsidR="00C477B3" w:rsidRDefault="00C477B3" w:rsidP="00C477B3">
      <w:pPr>
        <w:pStyle w:val="Heading2"/>
      </w:pPr>
      <w:bookmarkStart w:id="88" w:name="_Toc164067874"/>
      <w:r>
        <w:t>5.</w:t>
      </w:r>
      <w:r w:rsidR="00703AFA">
        <w:t>8</w:t>
      </w:r>
      <w:r>
        <w:tab/>
        <w:t>Integrity</w:t>
      </w:r>
      <w:bookmarkEnd w:id="88"/>
    </w:p>
    <w:p w14:paraId="0151BB00" w14:textId="53EF0051" w:rsidR="00C477B3" w:rsidRDefault="00C477B3" w:rsidP="00C477B3">
      <w:pPr>
        <w:pStyle w:val="Heading3"/>
      </w:pPr>
      <w:bookmarkStart w:id="89" w:name="_Toc164067875"/>
      <w:r>
        <w:t>5.</w:t>
      </w:r>
      <w:r w:rsidR="00703AFA">
        <w:t>8</w:t>
      </w:r>
      <w:r>
        <w:t>.1</w:t>
      </w:r>
      <w:r>
        <w:tab/>
        <w:t>Integrity Overview</w:t>
      </w:r>
      <w:bookmarkEnd w:id="89"/>
    </w:p>
    <w:p w14:paraId="377F9FB4" w14:textId="17EAA9B9" w:rsidR="00C477B3" w:rsidRDefault="00C477B3" w:rsidP="00C477B3">
      <w:r>
        <w:t xml:space="preserve">Section 7 of the </w:t>
      </w:r>
      <w:hyperlink r:id="rId47" w:history="1">
        <w:r w:rsidRPr="00613CB0">
          <w:rPr>
            <w:rStyle w:val="Hyperlink"/>
            <w:i/>
            <w:iCs/>
          </w:rPr>
          <w:t>Public Adm</w:t>
        </w:r>
        <w:bookmarkStart w:id="90" w:name="_Hlt154044476"/>
        <w:bookmarkStart w:id="91" w:name="_Hlt154044477"/>
        <w:r w:rsidRPr="00613CB0">
          <w:rPr>
            <w:rStyle w:val="Hyperlink"/>
            <w:i/>
            <w:iCs/>
          </w:rPr>
          <w:t>i</w:t>
        </w:r>
        <w:bookmarkEnd w:id="90"/>
        <w:bookmarkEnd w:id="91"/>
        <w:r w:rsidRPr="00613CB0">
          <w:rPr>
            <w:rStyle w:val="Hyperlink"/>
            <w:i/>
            <w:iCs/>
          </w:rPr>
          <w:t>nistration Act 2004</w:t>
        </w:r>
      </w:hyperlink>
      <w:r>
        <w:t xml:space="preserve"> identifies integrity as one of seven core public sector values and requires public officials to demonstrate integrity by</w:t>
      </w:r>
      <w:r w:rsidR="00D24B4B">
        <w:t>:</w:t>
      </w:r>
    </w:p>
    <w:p w14:paraId="361E98C8" w14:textId="77777777" w:rsidR="00C477B3" w:rsidRPr="005575FC" w:rsidRDefault="00C477B3" w:rsidP="007B76F0">
      <w:pPr>
        <w:pStyle w:val="ListParagraph"/>
        <w:numPr>
          <w:ilvl w:val="0"/>
          <w:numId w:val="49"/>
        </w:numPr>
        <w:suppressAutoHyphens/>
        <w:autoSpaceDE w:val="0"/>
        <w:autoSpaceDN w:val="0"/>
        <w:adjustRightInd w:val="0"/>
        <w:spacing w:after="160" w:line="220" w:lineRule="atLeast"/>
        <w:textAlignment w:val="center"/>
        <w:rPr>
          <w:rFonts w:asciiTheme="minorHAnsi" w:hAnsiTheme="minorHAnsi" w:cstheme="minorHAnsi"/>
          <w:color w:val="000000" w:themeColor="text1"/>
          <w:sz w:val="18"/>
          <w:szCs w:val="18"/>
        </w:rPr>
      </w:pPr>
      <w:r w:rsidRPr="005575FC">
        <w:rPr>
          <w:rFonts w:asciiTheme="minorHAnsi" w:hAnsiTheme="minorHAnsi" w:cstheme="minorHAnsi"/>
          <w:color w:val="000000" w:themeColor="text1"/>
          <w:sz w:val="18"/>
          <w:szCs w:val="18"/>
        </w:rPr>
        <w:t>being honest, open and transparent in their dealings</w:t>
      </w:r>
    </w:p>
    <w:p w14:paraId="4ED7EE2C" w14:textId="77777777" w:rsidR="00C477B3" w:rsidRPr="005575FC" w:rsidRDefault="00C477B3" w:rsidP="007B76F0">
      <w:pPr>
        <w:pStyle w:val="ListParagraph"/>
        <w:numPr>
          <w:ilvl w:val="0"/>
          <w:numId w:val="49"/>
        </w:numPr>
        <w:suppressAutoHyphens/>
        <w:autoSpaceDE w:val="0"/>
        <w:autoSpaceDN w:val="0"/>
        <w:adjustRightInd w:val="0"/>
        <w:spacing w:after="160" w:line="220" w:lineRule="atLeast"/>
        <w:textAlignment w:val="center"/>
        <w:rPr>
          <w:rFonts w:asciiTheme="minorHAnsi" w:hAnsiTheme="minorHAnsi" w:cstheme="minorHAnsi"/>
          <w:color w:val="000000" w:themeColor="text1"/>
          <w:sz w:val="18"/>
          <w:szCs w:val="18"/>
        </w:rPr>
      </w:pPr>
      <w:r w:rsidRPr="005575FC">
        <w:rPr>
          <w:rFonts w:asciiTheme="minorHAnsi" w:hAnsiTheme="minorHAnsi" w:cstheme="minorHAnsi"/>
          <w:color w:val="000000" w:themeColor="text1"/>
          <w:sz w:val="18"/>
          <w:szCs w:val="18"/>
        </w:rPr>
        <w:t>using powers responsibly</w:t>
      </w:r>
    </w:p>
    <w:p w14:paraId="4CD8ECB1" w14:textId="77777777" w:rsidR="00C477B3" w:rsidRPr="005575FC" w:rsidRDefault="00C477B3" w:rsidP="007B76F0">
      <w:pPr>
        <w:pStyle w:val="ListParagraph"/>
        <w:numPr>
          <w:ilvl w:val="0"/>
          <w:numId w:val="49"/>
        </w:numPr>
        <w:suppressAutoHyphens/>
        <w:autoSpaceDE w:val="0"/>
        <w:autoSpaceDN w:val="0"/>
        <w:adjustRightInd w:val="0"/>
        <w:spacing w:after="160" w:line="220" w:lineRule="atLeast"/>
        <w:textAlignment w:val="center"/>
        <w:rPr>
          <w:rFonts w:asciiTheme="minorHAnsi" w:hAnsiTheme="minorHAnsi" w:cstheme="minorHAnsi"/>
          <w:color w:val="000000" w:themeColor="text1"/>
          <w:sz w:val="18"/>
          <w:szCs w:val="18"/>
        </w:rPr>
      </w:pPr>
      <w:r w:rsidRPr="005575FC">
        <w:rPr>
          <w:rFonts w:asciiTheme="minorHAnsi" w:hAnsiTheme="minorHAnsi" w:cstheme="minorHAnsi"/>
          <w:color w:val="000000" w:themeColor="text1"/>
          <w:sz w:val="18"/>
          <w:szCs w:val="18"/>
        </w:rPr>
        <w:t>reporting improper conduct</w:t>
      </w:r>
    </w:p>
    <w:p w14:paraId="38FD32EB" w14:textId="77777777" w:rsidR="00C477B3" w:rsidRPr="005575FC" w:rsidRDefault="00C477B3" w:rsidP="007B76F0">
      <w:pPr>
        <w:pStyle w:val="ListParagraph"/>
        <w:numPr>
          <w:ilvl w:val="0"/>
          <w:numId w:val="49"/>
        </w:numPr>
        <w:suppressAutoHyphens/>
        <w:autoSpaceDE w:val="0"/>
        <w:autoSpaceDN w:val="0"/>
        <w:adjustRightInd w:val="0"/>
        <w:spacing w:after="160" w:line="220" w:lineRule="atLeast"/>
        <w:textAlignment w:val="center"/>
        <w:rPr>
          <w:rFonts w:asciiTheme="minorHAnsi" w:hAnsiTheme="minorHAnsi" w:cstheme="minorHAnsi"/>
          <w:color w:val="000000" w:themeColor="text1"/>
          <w:sz w:val="18"/>
          <w:szCs w:val="18"/>
        </w:rPr>
      </w:pPr>
      <w:r w:rsidRPr="005575FC">
        <w:rPr>
          <w:rFonts w:asciiTheme="minorHAnsi" w:hAnsiTheme="minorHAnsi" w:cstheme="minorHAnsi"/>
          <w:color w:val="000000" w:themeColor="text1"/>
          <w:sz w:val="18"/>
          <w:szCs w:val="18"/>
        </w:rPr>
        <w:t>avoiding any real or apparent conflicts of interest</w:t>
      </w:r>
    </w:p>
    <w:p w14:paraId="64973B6F" w14:textId="77777777" w:rsidR="00C477B3" w:rsidRPr="005575FC" w:rsidRDefault="00C477B3" w:rsidP="007B76F0">
      <w:pPr>
        <w:pStyle w:val="ListParagraph"/>
        <w:numPr>
          <w:ilvl w:val="0"/>
          <w:numId w:val="49"/>
        </w:numPr>
        <w:suppressAutoHyphens/>
        <w:autoSpaceDE w:val="0"/>
        <w:autoSpaceDN w:val="0"/>
        <w:adjustRightInd w:val="0"/>
        <w:spacing w:after="160" w:line="220" w:lineRule="atLeast"/>
        <w:textAlignment w:val="center"/>
        <w:rPr>
          <w:rFonts w:asciiTheme="minorHAnsi" w:hAnsiTheme="minorHAnsi" w:cstheme="minorHAnsi"/>
          <w:color w:val="000000" w:themeColor="text1"/>
          <w:sz w:val="18"/>
          <w:szCs w:val="18"/>
        </w:rPr>
      </w:pPr>
      <w:r w:rsidRPr="005575FC">
        <w:rPr>
          <w:rFonts w:asciiTheme="minorHAnsi" w:hAnsiTheme="minorHAnsi" w:cstheme="minorHAnsi"/>
          <w:color w:val="000000" w:themeColor="text1"/>
          <w:sz w:val="18"/>
          <w:szCs w:val="18"/>
        </w:rPr>
        <w:t>striving to earn and sustain public trust of a high level.</w:t>
      </w:r>
    </w:p>
    <w:p w14:paraId="18CFF7E7" w14:textId="77777777" w:rsidR="00C477B3" w:rsidRPr="00D03E27" w:rsidRDefault="00C477B3" w:rsidP="00C477B3">
      <w:r>
        <w:t xml:space="preserve">Integrity expectations and obligations </w:t>
      </w:r>
      <w:r w:rsidRPr="00D03E27">
        <w:t>should be embedded</w:t>
      </w:r>
      <w:r>
        <w:t xml:space="preserve"> </w:t>
      </w:r>
      <w:r w:rsidRPr="00D03E27">
        <w:t>into relevant organisational policies and procedures, including</w:t>
      </w:r>
      <w:r>
        <w:t xml:space="preserve"> recruitment and</w:t>
      </w:r>
      <w:r w:rsidRPr="00D03E27">
        <w:t xml:space="preserve"> procurement. When implementing integrity policies, leadership </w:t>
      </w:r>
      <w:r>
        <w:t>behaviours and clear</w:t>
      </w:r>
      <w:r w:rsidRPr="00D03E27">
        <w:t xml:space="preserve"> communication </w:t>
      </w:r>
      <w:r>
        <w:t>are</w:t>
      </w:r>
      <w:r w:rsidRPr="00D03E27">
        <w:t xml:space="preserve"> critical.</w:t>
      </w:r>
    </w:p>
    <w:p w14:paraId="7D6625F1" w14:textId="7BFAFC81" w:rsidR="00C477B3" w:rsidRPr="00D03E27" w:rsidRDefault="00C477B3" w:rsidP="00C477B3">
      <w:r w:rsidRPr="00D03E27">
        <w:lastRenderedPageBreak/>
        <w:t>It is also important to communicate the importance of integrity to key stakeholders</w:t>
      </w:r>
      <w:r>
        <w:t>,</w:t>
      </w:r>
      <w:r w:rsidRPr="00D03E27">
        <w:t xml:space="preserve"> such as clients and current or prospective suppliers</w:t>
      </w:r>
      <w:r>
        <w:t xml:space="preserve">, including the requirements outlined in the </w:t>
      </w:r>
      <w:hyperlink r:id="rId48" w:history="1">
        <w:r w:rsidRPr="007B29E1">
          <w:rPr>
            <w:rStyle w:val="Hyperlink"/>
          </w:rPr>
          <w:t>Supplier Code of Conduct</w:t>
        </w:r>
      </w:hyperlink>
      <w:r>
        <w:t>,</w:t>
      </w:r>
      <w:r w:rsidRPr="00D03E27">
        <w:t xml:space="preserve"> so that they are aware of </w:t>
      </w:r>
      <w:r>
        <w:t>their</w:t>
      </w:r>
      <w:r w:rsidDel="009E1019">
        <w:t xml:space="preserve"> </w:t>
      </w:r>
      <w:r>
        <w:t>integrity obligations.</w:t>
      </w:r>
    </w:p>
    <w:p w14:paraId="52CA8443" w14:textId="12EBF5A0" w:rsidR="00C477B3" w:rsidRDefault="00C477B3" w:rsidP="00C477B3">
      <w:pPr>
        <w:pStyle w:val="Heading3"/>
      </w:pPr>
      <w:bookmarkStart w:id="92" w:name="_Toc164067876"/>
      <w:r>
        <w:t>5.</w:t>
      </w:r>
      <w:r w:rsidR="00703AFA">
        <w:t>8</w:t>
      </w:r>
      <w:r>
        <w:t>.2</w:t>
      </w:r>
      <w:r>
        <w:tab/>
        <w:t>Conflict of Interest</w:t>
      </w:r>
      <w:bookmarkEnd w:id="92"/>
    </w:p>
    <w:p w14:paraId="3E40E5F7" w14:textId="1CB95CF3" w:rsidR="00C477B3" w:rsidRDefault="00C477B3" w:rsidP="00C477B3">
      <w:r>
        <w:t xml:space="preserve">The </w:t>
      </w:r>
      <w:hyperlink r:id="rId49" w:history="1">
        <w:r w:rsidRPr="008C2367">
          <w:rPr>
            <w:rStyle w:val="Hyperlink"/>
          </w:rPr>
          <w:t>VPSC Code of Conduct</w:t>
        </w:r>
      </w:hyperlink>
      <w:r>
        <w:t xml:space="preserve"> (Code) requires public sector body heads to develop and implement procedures tailored to their own operating environment to support the </w:t>
      </w:r>
      <w:r w:rsidDel="00B362E2">
        <w:t xml:space="preserve">effective </w:t>
      </w:r>
      <w:r>
        <w:t>declaration and management of conflicts of interest (COI). This would normally</w:t>
      </w:r>
      <w:r w:rsidRPr="00D03E27">
        <w:t xml:space="preserve"> include maintaining a </w:t>
      </w:r>
      <w:r>
        <w:t>register</w:t>
      </w:r>
      <w:r w:rsidRPr="000F4FB8">
        <w:rPr>
          <w:i/>
        </w:rPr>
        <w:t xml:space="preserve"> </w:t>
      </w:r>
      <w:r>
        <w:t>which is</w:t>
      </w:r>
      <w:r w:rsidRPr="00D03E27">
        <w:t xml:space="preserve"> used to </w:t>
      </w:r>
      <w:r>
        <w:t>record COI declarations for individual matters and</w:t>
      </w:r>
      <w:r w:rsidRPr="00D03E27">
        <w:t xml:space="preserve"> projects such as procurement, recruitment</w:t>
      </w:r>
      <w:r w:rsidR="00621D1B" w:rsidRPr="00D03E27">
        <w:t>,</w:t>
      </w:r>
      <w:r w:rsidRPr="00D03E27">
        <w:t xml:space="preserve"> and promotional activities.</w:t>
      </w:r>
    </w:p>
    <w:p w14:paraId="5AC31696" w14:textId="77777777" w:rsidR="00C477B3" w:rsidRDefault="00C477B3" w:rsidP="00C477B3">
      <w:r>
        <w:t>A COI occurs where there is a conflict between the public duty and private interests of a public official. A conflict can be actual, potential, or perceived. It may relate to circumstances where the entity’s employee is, or could be, directly influenced, or where it could be perceived that the employee may be influenced.</w:t>
      </w:r>
    </w:p>
    <w:p w14:paraId="09465AE0" w14:textId="77777777" w:rsidR="00C477B3" w:rsidRPr="00E20488" w:rsidDel="00B362E2" w:rsidRDefault="00C477B3" w:rsidP="00C477B3">
      <w:r>
        <w:t>Entity employees should avoid COIs</w:t>
      </w:r>
      <w:r w:rsidDel="0097235F">
        <w:t xml:space="preserve"> </w:t>
      </w:r>
      <w:r>
        <w:t>wherever possible. They should ensure that their personal or financial interests (including the interests of family members, friends, and associates) do not influence and could not be perceived to influence them in the performance of their role.</w:t>
      </w:r>
      <w:r w:rsidRPr="00B362E2">
        <w:t xml:space="preserve"> </w:t>
      </w:r>
      <w:r>
        <w:t xml:space="preserve">Entity employees must declare and manage any COIs that cannot be avoided in accordance with their </w:t>
      </w:r>
      <w:r w:rsidDel="00B362E2">
        <w:t>organisation’s</w:t>
      </w:r>
      <w:r>
        <w:t xml:space="preserve"> policies and procedures.</w:t>
      </w:r>
    </w:p>
    <w:p w14:paraId="6B1909CE" w14:textId="013AC409" w:rsidR="00C477B3" w:rsidRPr="00745A8E" w:rsidRDefault="00C477B3" w:rsidP="00C477B3">
      <w:pPr>
        <w:pStyle w:val="Heading4"/>
      </w:pPr>
      <w:bookmarkStart w:id="93" w:name="_Toc164067877"/>
      <w:r w:rsidRPr="003857C3">
        <w:t>5.</w:t>
      </w:r>
      <w:r w:rsidR="00703AFA">
        <w:t>8</w:t>
      </w:r>
      <w:r w:rsidRPr="003857C3">
        <w:t>.2.1</w:t>
      </w:r>
      <w:r w:rsidRPr="003857C3">
        <w:tab/>
        <w:t>Specific reporting obligations for board members</w:t>
      </w:r>
      <w:bookmarkEnd w:id="93"/>
    </w:p>
    <w:p w14:paraId="3A9A1A26" w14:textId="778AB937" w:rsidR="00C477B3" w:rsidRPr="00D03E27" w:rsidRDefault="00C477B3" w:rsidP="00C477B3">
      <w:r w:rsidRPr="00D03E27">
        <w:t>Upon appointment to a board, each member must</w:t>
      </w:r>
      <w:r>
        <w:t xml:space="preserve"> </w:t>
      </w:r>
      <w:r w:rsidRPr="00D03E27">
        <w:t xml:space="preserve">make a </w:t>
      </w:r>
      <w:hyperlink r:id="rId50" w:history="1">
        <w:r w:rsidRPr="005F4BDF">
          <w:rPr>
            <w:rStyle w:val="Hyperlink"/>
            <w:i/>
          </w:rPr>
          <w:t>Declaration of Private Interests</w:t>
        </w:r>
      </w:hyperlink>
      <w:r w:rsidRPr="00D03E27">
        <w:t xml:space="preserve"> which is lodged with the </w:t>
      </w:r>
      <w:r>
        <w:t>board chair</w:t>
      </w:r>
      <w:r w:rsidRPr="00D03E27">
        <w:t xml:space="preserve">. The </w:t>
      </w:r>
      <w:r>
        <w:t>board chair</w:t>
      </w:r>
      <w:r w:rsidRPr="00D03E27">
        <w:t xml:space="preserve"> should ensure that the information is recorded in a </w:t>
      </w:r>
      <w:r w:rsidRPr="00D03E27">
        <w:rPr>
          <w:i/>
        </w:rPr>
        <w:t>Register of Interests</w:t>
      </w:r>
      <w:r w:rsidRPr="00D03E27">
        <w:t xml:space="preserve"> and that it is updated annually. If a board member’s circumstances change, he or she needs to lodge an updated declaration (unless the change is already adequately recorded in the register as a result of a declaration made at a board meeting). </w:t>
      </w:r>
    </w:p>
    <w:p w14:paraId="44E9F673" w14:textId="77777777" w:rsidR="00C477B3" w:rsidRPr="000F4FB8" w:rsidRDefault="00C477B3" w:rsidP="00C477B3">
      <w:pPr>
        <w:rPr>
          <w:i/>
        </w:rPr>
      </w:pPr>
      <w:r w:rsidRPr="00D03E27">
        <w:t>An up-to</w:t>
      </w:r>
      <w:r>
        <w:t>-</w:t>
      </w:r>
      <w:r w:rsidRPr="00D03E27">
        <w:t xml:space="preserve">date </w:t>
      </w:r>
      <w:r w:rsidRPr="00D03E27">
        <w:rPr>
          <w:i/>
        </w:rPr>
        <w:t>Register of Interests</w:t>
      </w:r>
      <w:r w:rsidRPr="00D03E27">
        <w:t xml:space="preserve"> should be maintained which includes details of both the direct and indirect interests of each board member that may give rise to a conflict of interest. At the start of each board meeting, the </w:t>
      </w:r>
      <w:r>
        <w:t>board chair</w:t>
      </w:r>
      <w:r w:rsidRPr="00D03E27">
        <w:t xml:space="preserve"> should ask whether members’ interests as recorded in the register are complete and true. If there are no changes, this should be noted in the minutes. If there are changes, these should be recorded in the minutes and the </w:t>
      </w:r>
      <w:r w:rsidRPr="00D03E27">
        <w:rPr>
          <w:i/>
        </w:rPr>
        <w:t xml:space="preserve">Register of Interests </w:t>
      </w:r>
      <w:r w:rsidRPr="00D03E27">
        <w:t>should be updated</w:t>
      </w:r>
      <w:r w:rsidRPr="00D03E27">
        <w:rPr>
          <w:i/>
        </w:rPr>
        <w:t>.</w:t>
      </w:r>
    </w:p>
    <w:p w14:paraId="5EA08107" w14:textId="77777777" w:rsidR="00C477B3" w:rsidRPr="00D03E27" w:rsidRDefault="00C477B3" w:rsidP="00C477B3">
      <w:r w:rsidRPr="14667A63">
        <w:rPr>
          <w:color w:val="001B34" w:themeColor="accent5" w:themeShade="80"/>
          <w:sz w:val="22"/>
          <w:szCs w:val="22"/>
        </w:rPr>
        <w:t xml:space="preserve"> </w:t>
      </w:r>
      <w:r>
        <w:t xml:space="preserve">Further information </w:t>
      </w:r>
      <w:r w:rsidRPr="00D03E27">
        <w:t xml:space="preserve">in relation to </w:t>
      </w:r>
      <w:r>
        <w:t>COI</w:t>
      </w:r>
      <w:r w:rsidRPr="00D03E27">
        <w:t xml:space="preserve"> </w:t>
      </w:r>
      <w:r>
        <w:t xml:space="preserve">is available, </w:t>
      </w:r>
      <w:r w:rsidRPr="00D03E27">
        <w:t>including:</w:t>
      </w:r>
    </w:p>
    <w:p w14:paraId="4E82CEEC" w14:textId="49203107" w:rsidR="00C477B3" w:rsidRDefault="0089196B" w:rsidP="007B76F0">
      <w:pPr>
        <w:pStyle w:val="ListBullet"/>
        <w:numPr>
          <w:ilvl w:val="0"/>
          <w:numId w:val="27"/>
        </w:numPr>
        <w:ind w:left="714" w:hanging="357"/>
        <w:rPr>
          <w:color w:val="auto"/>
        </w:rPr>
      </w:pPr>
      <w:hyperlink r:id="rId51" w:history="1">
        <w:r w:rsidR="00C477B3" w:rsidRPr="002055A2">
          <w:rPr>
            <w:rStyle w:val="Hyperlink"/>
          </w:rPr>
          <w:t>Conflict of Interest guidance for organisations</w:t>
        </w:r>
      </w:hyperlink>
      <w:r w:rsidR="00C477B3">
        <w:rPr>
          <w:color w:val="auto"/>
        </w:rPr>
        <w:t xml:space="preserve"> issued by the Victorian Public Sector Commission.</w:t>
      </w:r>
    </w:p>
    <w:p w14:paraId="0B49045C" w14:textId="28B1654D" w:rsidR="00C477B3" w:rsidRDefault="0089196B" w:rsidP="007B76F0">
      <w:pPr>
        <w:pStyle w:val="ListBullet"/>
        <w:numPr>
          <w:ilvl w:val="0"/>
          <w:numId w:val="27"/>
        </w:numPr>
        <w:rPr>
          <w:color w:val="auto"/>
        </w:rPr>
      </w:pPr>
      <w:hyperlink r:id="rId52" w:history="1">
        <w:r w:rsidR="00C477B3" w:rsidRPr="006E5925">
          <w:rPr>
            <w:rStyle w:val="Hyperlink"/>
          </w:rPr>
          <w:t>Integrity guid</w:t>
        </w:r>
        <w:r w:rsidR="00E32F40">
          <w:rPr>
            <w:rStyle w:val="Hyperlink"/>
          </w:rPr>
          <w:t>e</w:t>
        </w:r>
        <w:r w:rsidR="00C477B3" w:rsidRPr="006E5925">
          <w:rPr>
            <w:rStyle w:val="Hyperlink"/>
          </w:rPr>
          <w:t xml:space="preserve"> for </w:t>
        </w:r>
        <w:r w:rsidR="00A871A8" w:rsidRPr="006E5925">
          <w:rPr>
            <w:rStyle w:val="Hyperlink"/>
          </w:rPr>
          <w:t xml:space="preserve">new </w:t>
        </w:r>
        <w:r w:rsidR="00C477B3" w:rsidRPr="006E5925">
          <w:rPr>
            <w:rStyle w:val="Hyperlink"/>
          </w:rPr>
          <w:t>board directors</w:t>
        </w:r>
      </w:hyperlink>
      <w:r w:rsidR="00C477B3">
        <w:rPr>
          <w:color w:val="auto"/>
        </w:rPr>
        <w:t xml:space="preserve"> issued by the Victorian Public Sector Commission.</w:t>
      </w:r>
    </w:p>
    <w:p w14:paraId="0B3901FC" w14:textId="207DD488" w:rsidR="00C477B3" w:rsidRPr="00B362E2" w:rsidRDefault="00C477B3" w:rsidP="007B76F0">
      <w:pPr>
        <w:pStyle w:val="ListBullet"/>
        <w:numPr>
          <w:ilvl w:val="0"/>
          <w:numId w:val="27"/>
        </w:numPr>
        <w:rPr>
          <w:color w:val="auto"/>
        </w:rPr>
      </w:pPr>
      <w:r w:rsidRPr="49EB97DC">
        <w:rPr>
          <w:color w:val="auto"/>
        </w:rPr>
        <w:t>DJSIR Conflict of Interest Policy.</w:t>
      </w:r>
    </w:p>
    <w:p w14:paraId="250DDBBE" w14:textId="5A14E74D" w:rsidR="00C477B3" w:rsidRPr="002D07EA" w:rsidRDefault="00C477B3" w:rsidP="007B76F0">
      <w:pPr>
        <w:pStyle w:val="ListBullet"/>
        <w:numPr>
          <w:ilvl w:val="0"/>
          <w:numId w:val="27"/>
        </w:numPr>
        <w:rPr>
          <w:color w:val="auto"/>
        </w:rPr>
      </w:pPr>
      <w:r w:rsidRPr="49EB97DC">
        <w:rPr>
          <w:color w:val="auto"/>
        </w:rPr>
        <w:t xml:space="preserve">Entity-specific legislation, role statements or </w:t>
      </w:r>
      <w:r w:rsidR="000668C8">
        <w:rPr>
          <w:color w:val="auto"/>
        </w:rPr>
        <w:t>m</w:t>
      </w:r>
      <w:r w:rsidRPr="49EB97DC">
        <w:rPr>
          <w:color w:val="auto"/>
        </w:rPr>
        <w:t>inisterial/</w:t>
      </w:r>
      <w:r w:rsidR="000668C8">
        <w:rPr>
          <w:color w:val="auto"/>
        </w:rPr>
        <w:t>d</w:t>
      </w:r>
      <w:r w:rsidRPr="49EB97DC">
        <w:rPr>
          <w:color w:val="auto"/>
        </w:rPr>
        <w:t xml:space="preserve">epartmental </w:t>
      </w:r>
      <w:r w:rsidR="000061C5">
        <w:rPr>
          <w:color w:val="auto"/>
        </w:rPr>
        <w:t>SOEs</w:t>
      </w:r>
      <w:r w:rsidRPr="49EB97DC">
        <w:rPr>
          <w:color w:val="auto"/>
        </w:rPr>
        <w:t>.</w:t>
      </w:r>
    </w:p>
    <w:p w14:paraId="1FB3CE89" w14:textId="77777777" w:rsidR="00C477B3" w:rsidRPr="00B1138E" w:rsidRDefault="00C477B3" w:rsidP="00C477B3">
      <w:pPr>
        <w:pStyle w:val="ListBullet"/>
        <w:numPr>
          <w:ilvl w:val="0"/>
          <w:numId w:val="0"/>
        </w:numPr>
        <w:rPr>
          <w:b/>
          <w:color w:val="000000" w:themeColor="text1"/>
          <w:sz w:val="6"/>
          <w:szCs w:val="6"/>
        </w:rPr>
      </w:pPr>
    </w:p>
    <w:p w14:paraId="50070E53" w14:textId="467F36A1" w:rsidR="00C477B3" w:rsidRPr="008B7AE3" w:rsidRDefault="00C477B3" w:rsidP="004E538E">
      <w:pPr>
        <w:pStyle w:val="Heading3"/>
        <w:rPr>
          <w:b w:val="0"/>
          <w:bCs w:val="0"/>
          <w:color w:val="000000" w:themeColor="text1"/>
        </w:rPr>
      </w:pPr>
      <w:bookmarkStart w:id="94" w:name="_Toc164067878"/>
      <w:r w:rsidRPr="004E538E">
        <w:t>5.</w:t>
      </w:r>
      <w:r w:rsidR="00703AFA">
        <w:t>8</w:t>
      </w:r>
      <w:r w:rsidRPr="004E538E">
        <w:t>.3</w:t>
      </w:r>
      <w:r w:rsidRPr="004E538E">
        <w:tab/>
        <w:t>Fraud and Corruption Mitigation</w:t>
      </w:r>
      <w:bookmarkEnd w:id="94"/>
      <w:r w:rsidRPr="004E538E">
        <w:t xml:space="preserve"> </w:t>
      </w:r>
    </w:p>
    <w:p w14:paraId="2F63789B" w14:textId="164F3356" w:rsidR="00C477B3" w:rsidRDefault="00C477B3" w:rsidP="00C477B3">
      <w:pPr>
        <w:rPr>
          <w:lang w:eastAsia="en-AU"/>
        </w:rPr>
      </w:pPr>
      <w:r w:rsidRPr="6EA2976D">
        <w:rPr>
          <w:lang w:eastAsia="en-AU"/>
        </w:rPr>
        <w:t xml:space="preserve">The </w:t>
      </w:r>
      <w:hyperlink r:id="rId53" w:history="1">
        <w:r w:rsidRPr="00161871">
          <w:rPr>
            <w:rStyle w:val="Hyperlink"/>
            <w:lang w:eastAsia="en-AU"/>
          </w:rPr>
          <w:t>Standing Directions 2018</w:t>
        </w:r>
      </w:hyperlink>
      <w:r w:rsidRPr="6EA2976D">
        <w:rPr>
          <w:lang w:eastAsia="en-AU"/>
        </w:rPr>
        <w:t xml:space="preserve"> issued under the </w:t>
      </w:r>
      <w:hyperlink r:id="rId54" w:history="1">
        <w:r w:rsidRPr="00977221">
          <w:rPr>
            <w:rStyle w:val="Hyperlink"/>
            <w:i/>
            <w:iCs/>
            <w:lang w:eastAsia="en-AU"/>
          </w:rPr>
          <w:t>Financial Management Act 1994</w:t>
        </w:r>
      </w:hyperlink>
      <w:r w:rsidRPr="6EA2976D">
        <w:rPr>
          <w:lang w:eastAsia="en-AU"/>
        </w:rPr>
        <w:t xml:space="preserve"> details the standards for financial management by Victorian Government </w:t>
      </w:r>
      <w:r w:rsidR="00EA66C1">
        <w:rPr>
          <w:lang w:eastAsia="en-AU"/>
        </w:rPr>
        <w:t>e</w:t>
      </w:r>
      <w:r w:rsidR="00AE4A21">
        <w:rPr>
          <w:lang w:eastAsia="en-AU"/>
        </w:rPr>
        <w:t>ntitie</w:t>
      </w:r>
      <w:r w:rsidRPr="6EA2976D">
        <w:rPr>
          <w:lang w:eastAsia="en-AU"/>
        </w:rPr>
        <w:t xml:space="preserve">s. </w:t>
      </w:r>
    </w:p>
    <w:p w14:paraId="161691ED" w14:textId="77711A1E" w:rsidR="00C477B3" w:rsidRPr="005575FC" w:rsidRDefault="00C477B3" w:rsidP="00C477B3">
      <w:pPr>
        <w:rPr>
          <w:color w:val="000000" w:themeColor="text1"/>
          <w:lang w:eastAsia="en-AU"/>
        </w:rPr>
      </w:pPr>
      <w:r w:rsidRPr="005575FC">
        <w:rPr>
          <w:color w:val="000000" w:themeColor="text1"/>
          <w:lang w:eastAsia="en-AU"/>
        </w:rPr>
        <w:t xml:space="preserve">Entities need to be aware of and comply with the requirements of Standing Direction 3.5 Fraud, Corruption and Other Losses. This requires each </w:t>
      </w:r>
      <w:r w:rsidR="00EA66C1">
        <w:rPr>
          <w:color w:val="000000" w:themeColor="text1"/>
          <w:lang w:eastAsia="en-AU"/>
        </w:rPr>
        <w:t>e</w:t>
      </w:r>
      <w:r w:rsidRPr="005575FC">
        <w:rPr>
          <w:color w:val="000000" w:themeColor="text1"/>
          <w:lang w:eastAsia="en-AU"/>
        </w:rPr>
        <w:t>ntity to:</w:t>
      </w:r>
    </w:p>
    <w:p w14:paraId="7AE8ECBD" w14:textId="687A6BE4" w:rsidR="00C477B3" w:rsidRPr="005575FC" w:rsidRDefault="00C477B3" w:rsidP="007B76F0">
      <w:pPr>
        <w:pStyle w:val="ListParagraph"/>
        <w:numPr>
          <w:ilvl w:val="0"/>
          <w:numId w:val="37"/>
        </w:numPr>
        <w:suppressAutoHyphens/>
        <w:autoSpaceDE w:val="0"/>
        <w:autoSpaceDN w:val="0"/>
        <w:adjustRightInd w:val="0"/>
        <w:spacing w:after="160" w:line="220" w:lineRule="atLeast"/>
        <w:textAlignment w:val="center"/>
        <w:rPr>
          <w:rFonts w:ascii="Arial" w:hAnsi="Arial" w:cs="Arial"/>
          <w:color w:val="000000" w:themeColor="text1"/>
          <w:sz w:val="18"/>
          <w:szCs w:val="18"/>
        </w:rPr>
      </w:pPr>
      <w:r w:rsidRPr="005575FC">
        <w:rPr>
          <w:rFonts w:ascii="Arial" w:hAnsi="Arial" w:cs="Arial"/>
          <w:color w:val="000000" w:themeColor="text1"/>
          <w:sz w:val="18"/>
          <w:szCs w:val="18"/>
        </w:rPr>
        <w:t xml:space="preserve">take all reasonable steps to minimise and manage the risk of </w:t>
      </w:r>
      <w:r w:rsidR="000061C5">
        <w:rPr>
          <w:rFonts w:ascii="Arial" w:hAnsi="Arial" w:cs="Arial"/>
          <w:color w:val="000000" w:themeColor="text1"/>
          <w:sz w:val="18"/>
          <w:szCs w:val="18"/>
        </w:rPr>
        <w:t>f</w:t>
      </w:r>
      <w:r w:rsidRPr="005575FC">
        <w:rPr>
          <w:rFonts w:ascii="Arial" w:hAnsi="Arial" w:cs="Arial"/>
          <w:color w:val="000000" w:themeColor="text1"/>
          <w:sz w:val="18"/>
          <w:szCs w:val="18"/>
        </w:rPr>
        <w:t xml:space="preserve">raud, </w:t>
      </w:r>
      <w:r w:rsidR="000061C5">
        <w:rPr>
          <w:rFonts w:ascii="Arial" w:hAnsi="Arial" w:cs="Arial"/>
          <w:color w:val="000000" w:themeColor="text1"/>
          <w:sz w:val="18"/>
          <w:szCs w:val="18"/>
        </w:rPr>
        <w:t>c</w:t>
      </w:r>
      <w:r w:rsidRPr="005575FC">
        <w:rPr>
          <w:rFonts w:ascii="Arial" w:hAnsi="Arial" w:cs="Arial"/>
          <w:color w:val="000000" w:themeColor="text1"/>
          <w:sz w:val="18"/>
          <w:szCs w:val="18"/>
        </w:rPr>
        <w:t xml:space="preserve">orruption and </w:t>
      </w:r>
      <w:r w:rsidR="000061C5">
        <w:rPr>
          <w:rFonts w:ascii="Arial" w:hAnsi="Arial" w:cs="Arial"/>
          <w:color w:val="000000" w:themeColor="text1"/>
          <w:sz w:val="18"/>
          <w:szCs w:val="18"/>
        </w:rPr>
        <w:t>o</w:t>
      </w:r>
      <w:r w:rsidRPr="005575FC">
        <w:rPr>
          <w:rFonts w:ascii="Arial" w:hAnsi="Arial" w:cs="Arial"/>
          <w:color w:val="000000" w:themeColor="text1"/>
          <w:sz w:val="18"/>
          <w:szCs w:val="18"/>
        </w:rPr>
        <w:t xml:space="preserve">ther </w:t>
      </w:r>
      <w:r w:rsidR="000061C5">
        <w:rPr>
          <w:rFonts w:ascii="Arial" w:hAnsi="Arial" w:cs="Arial"/>
          <w:color w:val="000000" w:themeColor="text1"/>
          <w:sz w:val="18"/>
          <w:szCs w:val="18"/>
        </w:rPr>
        <w:t>l</w:t>
      </w:r>
      <w:r w:rsidRPr="005575FC">
        <w:rPr>
          <w:rFonts w:ascii="Arial" w:hAnsi="Arial" w:cs="Arial"/>
          <w:color w:val="000000" w:themeColor="text1"/>
          <w:sz w:val="18"/>
          <w:szCs w:val="18"/>
        </w:rPr>
        <w:t>osses; and</w:t>
      </w:r>
    </w:p>
    <w:p w14:paraId="54CEFEFA" w14:textId="73D9F9F6" w:rsidR="00C477B3" w:rsidRPr="005575FC" w:rsidRDefault="00C477B3" w:rsidP="007B76F0">
      <w:pPr>
        <w:pStyle w:val="ListParagraph"/>
        <w:numPr>
          <w:ilvl w:val="0"/>
          <w:numId w:val="37"/>
        </w:numPr>
        <w:suppressAutoHyphens/>
        <w:autoSpaceDE w:val="0"/>
        <w:autoSpaceDN w:val="0"/>
        <w:adjustRightInd w:val="0"/>
        <w:spacing w:after="160" w:line="220" w:lineRule="atLeast"/>
        <w:textAlignment w:val="center"/>
        <w:rPr>
          <w:rFonts w:ascii="Arial" w:hAnsi="Arial" w:cs="Arial"/>
          <w:color w:val="000000" w:themeColor="text1"/>
          <w:sz w:val="18"/>
          <w:szCs w:val="18"/>
        </w:rPr>
      </w:pPr>
      <w:r w:rsidRPr="005575FC">
        <w:rPr>
          <w:rFonts w:ascii="Arial" w:hAnsi="Arial" w:cs="Arial"/>
          <w:color w:val="000000" w:themeColor="text1"/>
          <w:sz w:val="18"/>
          <w:szCs w:val="18"/>
        </w:rPr>
        <w:t xml:space="preserve">establish a </w:t>
      </w:r>
      <w:r w:rsidR="000061C5">
        <w:rPr>
          <w:rFonts w:ascii="Arial" w:hAnsi="Arial" w:cs="Arial"/>
          <w:color w:val="000000" w:themeColor="text1"/>
          <w:sz w:val="18"/>
          <w:szCs w:val="18"/>
        </w:rPr>
        <w:t>f</w:t>
      </w:r>
      <w:r w:rsidRPr="005575FC">
        <w:rPr>
          <w:rFonts w:ascii="Arial" w:hAnsi="Arial" w:cs="Arial"/>
          <w:color w:val="000000" w:themeColor="text1"/>
          <w:sz w:val="18"/>
          <w:szCs w:val="18"/>
        </w:rPr>
        <w:t xml:space="preserve">raud, </w:t>
      </w:r>
      <w:r w:rsidR="000061C5">
        <w:rPr>
          <w:rFonts w:ascii="Arial" w:hAnsi="Arial" w:cs="Arial"/>
          <w:color w:val="000000" w:themeColor="text1"/>
          <w:sz w:val="18"/>
          <w:szCs w:val="18"/>
        </w:rPr>
        <w:t>c</w:t>
      </w:r>
      <w:r w:rsidRPr="005575FC">
        <w:rPr>
          <w:rFonts w:ascii="Arial" w:hAnsi="Arial" w:cs="Arial"/>
          <w:color w:val="000000" w:themeColor="text1"/>
          <w:sz w:val="18"/>
          <w:szCs w:val="18"/>
        </w:rPr>
        <w:t xml:space="preserve">orruption and </w:t>
      </w:r>
      <w:r w:rsidR="000061C5">
        <w:rPr>
          <w:rFonts w:ascii="Arial" w:hAnsi="Arial" w:cs="Arial"/>
          <w:color w:val="000000" w:themeColor="text1"/>
          <w:sz w:val="18"/>
          <w:szCs w:val="18"/>
        </w:rPr>
        <w:t>o</w:t>
      </w:r>
      <w:r w:rsidRPr="005575FC">
        <w:rPr>
          <w:rFonts w:ascii="Arial" w:hAnsi="Arial" w:cs="Arial"/>
          <w:color w:val="000000" w:themeColor="text1"/>
          <w:sz w:val="18"/>
          <w:szCs w:val="18"/>
        </w:rPr>
        <w:t xml:space="preserve">ther </w:t>
      </w:r>
      <w:r w:rsidR="000061C5">
        <w:rPr>
          <w:rFonts w:ascii="Arial" w:hAnsi="Arial" w:cs="Arial"/>
          <w:color w:val="000000" w:themeColor="text1"/>
          <w:sz w:val="18"/>
          <w:szCs w:val="18"/>
        </w:rPr>
        <w:t>l</w:t>
      </w:r>
      <w:r w:rsidRPr="005575FC">
        <w:rPr>
          <w:rFonts w:ascii="Arial" w:hAnsi="Arial" w:cs="Arial"/>
          <w:color w:val="000000" w:themeColor="text1"/>
          <w:sz w:val="18"/>
          <w:szCs w:val="18"/>
        </w:rPr>
        <w:t xml:space="preserve">osses prevention and management policy that is implemented across the </w:t>
      </w:r>
      <w:r w:rsidR="003377A5">
        <w:rPr>
          <w:rFonts w:ascii="Arial" w:hAnsi="Arial" w:cs="Arial"/>
          <w:color w:val="000000" w:themeColor="text1"/>
          <w:sz w:val="18"/>
          <w:szCs w:val="18"/>
        </w:rPr>
        <w:t>entity</w:t>
      </w:r>
      <w:r w:rsidRPr="005575FC">
        <w:rPr>
          <w:rFonts w:ascii="Arial" w:hAnsi="Arial" w:cs="Arial"/>
          <w:color w:val="000000" w:themeColor="text1"/>
          <w:sz w:val="18"/>
          <w:szCs w:val="18"/>
        </w:rPr>
        <w:t>.</w:t>
      </w:r>
    </w:p>
    <w:p w14:paraId="2418A173" w14:textId="4C0938BB" w:rsidR="00C477B3" w:rsidRPr="005575FC" w:rsidRDefault="00C477B3" w:rsidP="00C477B3">
      <w:pPr>
        <w:rPr>
          <w:color w:val="000000" w:themeColor="text1"/>
          <w:lang w:eastAsia="en-AU"/>
        </w:rPr>
      </w:pPr>
      <w:r w:rsidRPr="005575FC">
        <w:rPr>
          <w:color w:val="000000" w:themeColor="text1"/>
          <w:lang w:eastAsia="en-AU"/>
        </w:rPr>
        <w:t xml:space="preserve">The </w:t>
      </w:r>
      <w:r w:rsidR="000061C5">
        <w:rPr>
          <w:color w:val="000000" w:themeColor="text1"/>
          <w:lang w:eastAsia="en-AU"/>
        </w:rPr>
        <w:t>a</w:t>
      </w:r>
      <w:r w:rsidRPr="005575FC">
        <w:rPr>
          <w:color w:val="000000" w:themeColor="text1"/>
          <w:lang w:eastAsia="en-AU"/>
        </w:rPr>
        <w:t xml:space="preserve">ccountable </w:t>
      </w:r>
      <w:r w:rsidR="000061C5">
        <w:rPr>
          <w:color w:val="000000" w:themeColor="text1"/>
          <w:lang w:eastAsia="en-AU"/>
        </w:rPr>
        <w:t>o</w:t>
      </w:r>
      <w:r w:rsidRPr="005575FC">
        <w:rPr>
          <w:color w:val="000000" w:themeColor="text1"/>
          <w:lang w:eastAsia="en-AU"/>
        </w:rPr>
        <w:t>fficer in the organisation must:</w:t>
      </w:r>
    </w:p>
    <w:p w14:paraId="5FF69071" w14:textId="6275C6B8" w:rsidR="00C477B3" w:rsidRPr="005575FC" w:rsidRDefault="00C477B3" w:rsidP="007B76F0">
      <w:pPr>
        <w:pStyle w:val="ListParagraph"/>
        <w:numPr>
          <w:ilvl w:val="0"/>
          <w:numId w:val="38"/>
        </w:numPr>
        <w:suppressAutoHyphens/>
        <w:autoSpaceDE w:val="0"/>
        <w:autoSpaceDN w:val="0"/>
        <w:adjustRightInd w:val="0"/>
        <w:spacing w:after="160" w:line="220" w:lineRule="atLeast"/>
        <w:textAlignment w:val="center"/>
        <w:rPr>
          <w:rFonts w:ascii="Arial" w:hAnsi="Arial" w:cs="Arial"/>
          <w:color w:val="000000" w:themeColor="text1"/>
          <w:sz w:val="18"/>
          <w:szCs w:val="18"/>
        </w:rPr>
      </w:pPr>
      <w:r w:rsidRPr="005575FC">
        <w:rPr>
          <w:rFonts w:ascii="Arial" w:hAnsi="Arial" w:cs="Arial"/>
          <w:color w:val="000000" w:themeColor="text1"/>
          <w:sz w:val="18"/>
          <w:szCs w:val="18"/>
        </w:rPr>
        <w:t xml:space="preserve">keep records of all actual and suspected </w:t>
      </w:r>
      <w:r w:rsidR="000061C5">
        <w:rPr>
          <w:rFonts w:ascii="Arial" w:hAnsi="Arial" w:cs="Arial"/>
          <w:color w:val="000000" w:themeColor="text1"/>
          <w:sz w:val="18"/>
          <w:szCs w:val="18"/>
        </w:rPr>
        <w:t>f</w:t>
      </w:r>
      <w:r w:rsidR="000061C5" w:rsidRPr="005575FC">
        <w:rPr>
          <w:rFonts w:ascii="Arial" w:hAnsi="Arial" w:cs="Arial"/>
          <w:color w:val="000000" w:themeColor="text1"/>
          <w:sz w:val="18"/>
          <w:szCs w:val="18"/>
        </w:rPr>
        <w:t xml:space="preserve">raud, </w:t>
      </w:r>
      <w:r w:rsidR="000061C5">
        <w:rPr>
          <w:rFonts w:ascii="Arial" w:hAnsi="Arial" w:cs="Arial"/>
          <w:color w:val="000000" w:themeColor="text1"/>
          <w:sz w:val="18"/>
          <w:szCs w:val="18"/>
        </w:rPr>
        <w:t>c</w:t>
      </w:r>
      <w:r w:rsidR="000061C5" w:rsidRPr="005575FC">
        <w:rPr>
          <w:rFonts w:ascii="Arial" w:hAnsi="Arial" w:cs="Arial"/>
          <w:color w:val="000000" w:themeColor="text1"/>
          <w:sz w:val="18"/>
          <w:szCs w:val="18"/>
        </w:rPr>
        <w:t xml:space="preserve">orruption and </w:t>
      </w:r>
      <w:r w:rsidR="000061C5">
        <w:rPr>
          <w:rFonts w:ascii="Arial" w:hAnsi="Arial" w:cs="Arial"/>
          <w:color w:val="000000" w:themeColor="text1"/>
          <w:sz w:val="18"/>
          <w:szCs w:val="18"/>
        </w:rPr>
        <w:t>o</w:t>
      </w:r>
      <w:r w:rsidR="000061C5" w:rsidRPr="005575FC">
        <w:rPr>
          <w:rFonts w:ascii="Arial" w:hAnsi="Arial" w:cs="Arial"/>
          <w:color w:val="000000" w:themeColor="text1"/>
          <w:sz w:val="18"/>
          <w:szCs w:val="18"/>
        </w:rPr>
        <w:t xml:space="preserve">ther </w:t>
      </w:r>
      <w:r w:rsidR="000061C5">
        <w:rPr>
          <w:rFonts w:ascii="Arial" w:hAnsi="Arial" w:cs="Arial"/>
          <w:color w:val="000000" w:themeColor="text1"/>
          <w:sz w:val="18"/>
          <w:szCs w:val="18"/>
        </w:rPr>
        <w:t>l</w:t>
      </w:r>
      <w:r w:rsidR="000061C5" w:rsidRPr="005575FC">
        <w:rPr>
          <w:rFonts w:ascii="Arial" w:hAnsi="Arial" w:cs="Arial"/>
          <w:color w:val="000000" w:themeColor="text1"/>
          <w:sz w:val="18"/>
          <w:szCs w:val="18"/>
        </w:rPr>
        <w:t>osses</w:t>
      </w:r>
      <w:r w:rsidRPr="005575FC">
        <w:rPr>
          <w:rFonts w:ascii="Arial" w:hAnsi="Arial" w:cs="Arial"/>
          <w:color w:val="000000" w:themeColor="text1"/>
          <w:sz w:val="18"/>
          <w:szCs w:val="18"/>
        </w:rPr>
        <w:t>, including remedial actions planned and taken; and</w:t>
      </w:r>
    </w:p>
    <w:p w14:paraId="11102CD3" w14:textId="5963AA6F" w:rsidR="00C477B3" w:rsidRPr="005575FC" w:rsidRDefault="00C477B3" w:rsidP="007B76F0">
      <w:pPr>
        <w:pStyle w:val="ListParagraph"/>
        <w:numPr>
          <w:ilvl w:val="0"/>
          <w:numId w:val="38"/>
        </w:numPr>
        <w:suppressAutoHyphens/>
        <w:autoSpaceDE w:val="0"/>
        <w:autoSpaceDN w:val="0"/>
        <w:adjustRightInd w:val="0"/>
        <w:spacing w:after="160" w:line="220" w:lineRule="atLeast"/>
        <w:textAlignment w:val="center"/>
        <w:rPr>
          <w:rFonts w:ascii="Arial" w:hAnsi="Arial" w:cs="Arial"/>
          <w:color w:val="000000" w:themeColor="text1"/>
          <w:sz w:val="18"/>
          <w:szCs w:val="18"/>
        </w:rPr>
      </w:pPr>
      <w:r w:rsidRPr="005575FC">
        <w:rPr>
          <w:rFonts w:ascii="Arial" w:hAnsi="Arial" w:cs="Arial"/>
          <w:color w:val="000000" w:themeColor="text1"/>
          <w:sz w:val="18"/>
          <w:szCs w:val="18"/>
        </w:rPr>
        <w:t xml:space="preserve">on request, provide their </w:t>
      </w:r>
      <w:r w:rsidR="000061C5">
        <w:rPr>
          <w:rFonts w:ascii="Arial" w:hAnsi="Arial" w:cs="Arial"/>
          <w:color w:val="000000" w:themeColor="text1"/>
          <w:sz w:val="18"/>
          <w:szCs w:val="18"/>
        </w:rPr>
        <w:t>r</w:t>
      </w:r>
      <w:r w:rsidRPr="005575FC">
        <w:rPr>
          <w:rFonts w:ascii="Arial" w:hAnsi="Arial" w:cs="Arial"/>
          <w:color w:val="000000" w:themeColor="text1"/>
          <w:sz w:val="18"/>
          <w:szCs w:val="18"/>
        </w:rPr>
        <w:t xml:space="preserve">esponsible </w:t>
      </w:r>
      <w:r w:rsidR="000061C5">
        <w:rPr>
          <w:rFonts w:ascii="Arial" w:hAnsi="Arial" w:cs="Arial"/>
          <w:color w:val="000000" w:themeColor="text1"/>
          <w:sz w:val="18"/>
          <w:szCs w:val="18"/>
        </w:rPr>
        <w:t>m</w:t>
      </w:r>
      <w:r w:rsidRPr="005575FC">
        <w:rPr>
          <w:rFonts w:ascii="Arial" w:hAnsi="Arial" w:cs="Arial"/>
          <w:color w:val="000000" w:themeColor="text1"/>
          <w:sz w:val="18"/>
          <w:szCs w:val="18"/>
        </w:rPr>
        <w:t xml:space="preserve">inister, </w:t>
      </w:r>
      <w:r w:rsidR="00755B59">
        <w:rPr>
          <w:rFonts w:ascii="Arial" w:hAnsi="Arial" w:cs="Arial"/>
          <w:color w:val="000000" w:themeColor="text1"/>
          <w:sz w:val="18"/>
          <w:szCs w:val="18"/>
        </w:rPr>
        <w:t>p</w:t>
      </w:r>
      <w:r w:rsidRPr="005575FC">
        <w:rPr>
          <w:rFonts w:ascii="Arial" w:hAnsi="Arial" w:cs="Arial"/>
          <w:color w:val="000000" w:themeColor="text1"/>
          <w:sz w:val="18"/>
          <w:szCs w:val="18"/>
        </w:rPr>
        <w:t xml:space="preserve">ortfolio </w:t>
      </w:r>
      <w:r w:rsidR="00755B59">
        <w:rPr>
          <w:rFonts w:ascii="Arial" w:hAnsi="Arial" w:cs="Arial"/>
          <w:color w:val="000000" w:themeColor="text1"/>
          <w:sz w:val="18"/>
          <w:szCs w:val="18"/>
        </w:rPr>
        <w:t>d</w:t>
      </w:r>
      <w:r w:rsidRPr="005575FC">
        <w:rPr>
          <w:rFonts w:ascii="Arial" w:hAnsi="Arial" w:cs="Arial"/>
          <w:color w:val="000000" w:themeColor="text1"/>
          <w:sz w:val="18"/>
          <w:szCs w:val="18"/>
        </w:rPr>
        <w:t xml:space="preserve">epartment or </w:t>
      </w:r>
      <w:r w:rsidR="00755B59">
        <w:rPr>
          <w:rFonts w:ascii="Arial" w:hAnsi="Arial" w:cs="Arial"/>
          <w:color w:val="000000" w:themeColor="text1"/>
          <w:sz w:val="18"/>
          <w:szCs w:val="18"/>
        </w:rPr>
        <w:t>a</w:t>
      </w:r>
      <w:r w:rsidRPr="005575FC">
        <w:rPr>
          <w:rFonts w:ascii="Arial" w:hAnsi="Arial" w:cs="Arial"/>
          <w:color w:val="000000" w:themeColor="text1"/>
          <w:sz w:val="18"/>
          <w:szCs w:val="18"/>
        </w:rPr>
        <w:t xml:space="preserve">udit </w:t>
      </w:r>
      <w:r w:rsidR="00755B59">
        <w:rPr>
          <w:rFonts w:ascii="Arial" w:hAnsi="Arial" w:cs="Arial"/>
          <w:color w:val="000000" w:themeColor="text1"/>
          <w:sz w:val="18"/>
          <w:szCs w:val="18"/>
        </w:rPr>
        <w:t>c</w:t>
      </w:r>
      <w:r w:rsidRPr="005575FC">
        <w:rPr>
          <w:rFonts w:ascii="Arial" w:hAnsi="Arial" w:cs="Arial"/>
          <w:color w:val="000000" w:themeColor="text1"/>
          <w:sz w:val="18"/>
          <w:szCs w:val="18"/>
        </w:rPr>
        <w:t>ommittee with a copy of records kept under Direction 3.5.2(a).</w:t>
      </w:r>
    </w:p>
    <w:p w14:paraId="3494521A" w14:textId="384CEAC7" w:rsidR="00C477B3" w:rsidRPr="005575FC" w:rsidRDefault="00C477B3" w:rsidP="00C477B3">
      <w:pPr>
        <w:rPr>
          <w:color w:val="000000" w:themeColor="text1"/>
          <w:lang w:eastAsia="en-AU"/>
        </w:rPr>
      </w:pPr>
      <w:r w:rsidRPr="005575FC">
        <w:rPr>
          <w:color w:val="000000" w:themeColor="text1"/>
          <w:lang w:eastAsia="en-AU"/>
        </w:rPr>
        <w:lastRenderedPageBreak/>
        <w:t xml:space="preserve">Where an </w:t>
      </w:r>
      <w:r w:rsidR="00EA66C1">
        <w:rPr>
          <w:color w:val="000000" w:themeColor="text1"/>
          <w:lang w:eastAsia="en-AU"/>
        </w:rPr>
        <w:t>e</w:t>
      </w:r>
      <w:r w:rsidRPr="005575FC">
        <w:rPr>
          <w:color w:val="000000" w:themeColor="text1"/>
          <w:lang w:eastAsia="en-AU"/>
        </w:rPr>
        <w:t xml:space="preserve">ntity is made aware of an actual or suspected </w:t>
      </w:r>
      <w:r w:rsidR="00755B59">
        <w:rPr>
          <w:color w:val="000000" w:themeColor="text1"/>
          <w:lang w:eastAsia="en-AU"/>
        </w:rPr>
        <w:t>s</w:t>
      </w:r>
      <w:r w:rsidRPr="005575FC">
        <w:rPr>
          <w:color w:val="000000" w:themeColor="text1"/>
          <w:lang w:eastAsia="en-AU"/>
        </w:rPr>
        <w:t xml:space="preserve">ignificant or </w:t>
      </w:r>
      <w:r w:rsidR="00755B59">
        <w:rPr>
          <w:color w:val="000000" w:themeColor="text1"/>
          <w:lang w:eastAsia="en-AU"/>
        </w:rPr>
        <w:t>s</w:t>
      </w:r>
      <w:r w:rsidRPr="005575FC">
        <w:rPr>
          <w:color w:val="000000" w:themeColor="text1"/>
          <w:lang w:eastAsia="en-AU"/>
        </w:rPr>
        <w:t xml:space="preserve">ystemic </w:t>
      </w:r>
      <w:r w:rsidR="00755B59">
        <w:rPr>
          <w:color w:val="000000" w:themeColor="text1"/>
        </w:rPr>
        <w:t>f</w:t>
      </w:r>
      <w:r w:rsidR="00755B59" w:rsidRPr="005575FC">
        <w:rPr>
          <w:color w:val="000000" w:themeColor="text1"/>
        </w:rPr>
        <w:t xml:space="preserve">raud, </w:t>
      </w:r>
      <w:r w:rsidR="00755B59">
        <w:rPr>
          <w:color w:val="000000" w:themeColor="text1"/>
        </w:rPr>
        <w:t>c</w:t>
      </w:r>
      <w:r w:rsidR="00755B59" w:rsidRPr="005575FC">
        <w:rPr>
          <w:color w:val="000000" w:themeColor="text1"/>
        </w:rPr>
        <w:t xml:space="preserve">orruption and </w:t>
      </w:r>
      <w:r w:rsidR="00755B59">
        <w:rPr>
          <w:color w:val="000000" w:themeColor="text1"/>
        </w:rPr>
        <w:t>o</w:t>
      </w:r>
      <w:r w:rsidR="00755B59" w:rsidRPr="005575FC">
        <w:rPr>
          <w:color w:val="000000" w:themeColor="text1"/>
        </w:rPr>
        <w:t xml:space="preserve">ther </w:t>
      </w:r>
      <w:r w:rsidR="00755B59">
        <w:rPr>
          <w:color w:val="000000" w:themeColor="text1"/>
        </w:rPr>
        <w:t>l</w:t>
      </w:r>
      <w:r w:rsidR="00755B59" w:rsidRPr="005575FC">
        <w:rPr>
          <w:color w:val="000000" w:themeColor="text1"/>
        </w:rPr>
        <w:t>oss</w:t>
      </w:r>
      <w:r w:rsidR="00755B59" w:rsidRPr="005575FC">
        <w:rPr>
          <w:color w:val="000000" w:themeColor="text1"/>
          <w:lang w:eastAsia="en-AU"/>
        </w:rPr>
        <w:t xml:space="preserve"> </w:t>
      </w:r>
      <w:r w:rsidRPr="005575FC">
        <w:rPr>
          <w:color w:val="000000" w:themeColor="text1"/>
          <w:lang w:eastAsia="en-AU"/>
        </w:rPr>
        <w:t xml:space="preserve">the </w:t>
      </w:r>
      <w:r w:rsidR="00755B59">
        <w:rPr>
          <w:color w:val="000000" w:themeColor="text1"/>
          <w:lang w:eastAsia="en-AU"/>
        </w:rPr>
        <w:t>a</w:t>
      </w:r>
      <w:r w:rsidRPr="005575FC">
        <w:rPr>
          <w:color w:val="000000" w:themeColor="text1"/>
          <w:lang w:eastAsia="en-AU"/>
        </w:rPr>
        <w:t xml:space="preserve">ccountable </w:t>
      </w:r>
      <w:r w:rsidR="00755B59">
        <w:rPr>
          <w:color w:val="000000" w:themeColor="text1"/>
          <w:lang w:eastAsia="en-AU"/>
        </w:rPr>
        <w:t>o</w:t>
      </w:r>
      <w:r w:rsidRPr="005575FC">
        <w:rPr>
          <w:color w:val="000000" w:themeColor="text1"/>
          <w:lang w:eastAsia="en-AU"/>
        </w:rPr>
        <w:t>fficer must:</w:t>
      </w:r>
    </w:p>
    <w:p w14:paraId="391E72CE" w14:textId="3EA0C219" w:rsidR="00C477B3" w:rsidRPr="005575FC" w:rsidRDefault="00C477B3" w:rsidP="007B76F0">
      <w:pPr>
        <w:pStyle w:val="ListParagraph"/>
        <w:numPr>
          <w:ilvl w:val="0"/>
          <w:numId w:val="39"/>
        </w:numPr>
        <w:suppressAutoHyphens/>
        <w:autoSpaceDE w:val="0"/>
        <w:autoSpaceDN w:val="0"/>
        <w:adjustRightInd w:val="0"/>
        <w:spacing w:after="160" w:line="220" w:lineRule="atLeast"/>
        <w:textAlignment w:val="center"/>
        <w:rPr>
          <w:rFonts w:ascii="Arial" w:hAnsi="Arial" w:cs="Arial"/>
          <w:color w:val="000000" w:themeColor="text1"/>
          <w:sz w:val="18"/>
          <w:szCs w:val="18"/>
        </w:rPr>
      </w:pPr>
      <w:r w:rsidRPr="005575FC">
        <w:rPr>
          <w:rFonts w:ascii="Arial" w:hAnsi="Arial" w:cs="Arial"/>
          <w:color w:val="000000" w:themeColor="text1"/>
          <w:sz w:val="18"/>
          <w:szCs w:val="18"/>
        </w:rPr>
        <w:t xml:space="preserve">notify, as soon as is practicable, the </w:t>
      </w:r>
      <w:r w:rsidR="00755B59">
        <w:rPr>
          <w:rFonts w:ascii="Arial" w:hAnsi="Arial" w:cs="Arial"/>
          <w:color w:val="000000" w:themeColor="text1"/>
          <w:sz w:val="18"/>
          <w:szCs w:val="18"/>
        </w:rPr>
        <w:t>r</w:t>
      </w:r>
      <w:r w:rsidRPr="005575FC">
        <w:rPr>
          <w:rFonts w:ascii="Arial" w:hAnsi="Arial" w:cs="Arial"/>
          <w:color w:val="000000" w:themeColor="text1"/>
          <w:sz w:val="18"/>
          <w:szCs w:val="18"/>
        </w:rPr>
        <w:t xml:space="preserve">esponsible </w:t>
      </w:r>
      <w:r w:rsidR="00755B59">
        <w:rPr>
          <w:rFonts w:ascii="Arial" w:hAnsi="Arial" w:cs="Arial"/>
          <w:color w:val="000000" w:themeColor="text1"/>
          <w:sz w:val="18"/>
          <w:szCs w:val="18"/>
        </w:rPr>
        <w:t>m</w:t>
      </w:r>
      <w:r w:rsidRPr="005575FC">
        <w:rPr>
          <w:rFonts w:ascii="Arial" w:hAnsi="Arial" w:cs="Arial"/>
          <w:color w:val="000000" w:themeColor="text1"/>
          <w:sz w:val="18"/>
          <w:szCs w:val="18"/>
        </w:rPr>
        <w:t xml:space="preserve">inister, </w:t>
      </w:r>
      <w:r w:rsidR="00755B59">
        <w:rPr>
          <w:rFonts w:ascii="Arial" w:hAnsi="Arial" w:cs="Arial"/>
          <w:color w:val="000000" w:themeColor="text1"/>
          <w:sz w:val="18"/>
          <w:szCs w:val="18"/>
        </w:rPr>
        <w:t>a</w:t>
      </w:r>
      <w:r w:rsidRPr="005575FC">
        <w:rPr>
          <w:rFonts w:ascii="Arial" w:hAnsi="Arial" w:cs="Arial"/>
          <w:color w:val="000000" w:themeColor="text1"/>
          <w:sz w:val="18"/>
          <w:szCs w:val="18"/>
        </w:rPr>
        <w:t xml:space="preserve">udit </w:t>
      </w:r>
      <w:r w:rsidR="00755B59">
        <w:rPr>
          <w:rFonts w:ascii="Arial" w:hAnsi="Arial" w:cs="Arial"/>
          <w:color w:val="000000" w:themeColor="text1"/>
          <w:sz w:val="18"/>
          <w:szCs w:val="18"/>
        </w:rPr>
        <w:t>c</w:t>
      </w:r>
      <w:r w:rsidRPr="005575FC">
        <w:rPr>
          <w:rFonts w:ascii="Arial" w:hAnsi="Arial" w:cs="Arial"/>
          <w:color w:val="000000" w:themeColor="text1"/>
          <w:sz w:val="18"/>
          <w:szCs w:val="18"/>
        </w:rPr>
        <w:t xml:space="preserve">ommittee, </w:t>
      </w:r>
      <w:r w:rsidR="00755B59">
        <w:rPr>
          <w:rFonts w:ascii="Arial" w:hAnsi="Arial" w:cs="Arial"/>
          <w:color w:val="000000" w:themeColor="text1"/>
          <w:sz w:val="18"/>
          <w:szCs w:val="18"/>
        </w:rPr>
        <w:t>p</w:t>
      </w:r>
      <w:r w:rsidRPr="005575FC">
        <w:rPr>
          <w:rFonts w:ascii="Arial" w:hAnsi="Arial" w:cs="Arial"/>
          <w:color w:val="000000" w:themeColor="text1"/>
          <w:sz w:val="18"/>
          <w:szCs w:val="18"/>
        </w:rPr>
        <w:t xml:space="preserve">ortfolio </w:t>
      </w:r>
      <w:r w:rsidR="00755B59">
        <w:rPr>
          <w:rFonts w:ascii="Arial" w:hAnsi="Arial" w:cs="Arial"/>
          <w:color w:val="000000" w:themeColor="text1"/>
          <w:sz w:val="18"/>
          <w:szCs w:val="18"/>
        </w:rPr>
        <w:t>d</w:t>
      </w:r>
      <w:r w:rsidRPr="005575FC">
        <w:rPr>
          <w:rFonts w:ascii="Arial" w:hAnsi="Arial" w:cs="Arial"/>
          <w:color w:val="000000" w:themeColor="text1"/>
          <w:sz w:val="18"/>
          <w:szCs w:val="18"/>
        </w:rPr>
        <w:t xml:space="preserve">epartment and </w:t>
      </w:r>
      <w:r w:rsidR="00755B59">
        <w:rPr>
          <w:rFonts w:ascii="Arial" w:hAnsi="Arial" w:cs="Arial"/>
          <w:color w:val="000000" w:themeColor="text1"/>
          <w:sz w:val="18"/>
          <w:szCs w:val="18"/>
        </w:rPr>
        <w:t>a</w:t>
      </w:r>
      <w:r w:rsidRPr="005575FC">
        <w:rPr>
          <w:rFonts w:ascii="Arial" w:hAnsi="Arial" w:cs="Arial"/>
          <w:color w:val="000000" w:themeColor="text1"/>
          <w:sz w:val="18"/>
          <w:szCs w:val="18"/>
        </w:rPr>
        <w:t>uditor-</w:t>
      </w:r>
      <w:r w:rsidR="00755B59">
        <w:rPr>
          <w:rFonts w:ascii="Arial" w:hAnsi="Arial" w:cs="Arial"/>
          <w:color w:val="000000" w:themeColor="text1"/>
          <w:sz w:val="18"/>
          <w:szCs w:val="18"/>
        </w:rPr>
        <w:t>g</w:t>
      </w:r>
      <w:r w:rsidRPr="005575FC">
        <w:rPr>
          <w:rFonts w:ascii="Arial" w:hAnsi="Arial" w:cs="Arial"/>
          <w:color w:val="000000" w:themeColor="text1"/>
          <w:sz w:val="18"/>
          <w:szCs w:val="18"/>
        </w:rPr>
        <w:t>eneral of the incident and remedial action to be taken;</w:t>
      </w:r>
    </w:p>
    <w:p w14:paraId="60272DFD" w14:textId="77777777" w:rsidR="00C477B3" w:rsidRPr="005575FC" w:rsidRDefault="00C477B3" w:rsidP="007B76F0">
      <w:pPr>
        <w:pStyle w:val="ListParagraph"/>
        <w:numPr>
          <w:ilvl w:val="0"/>
          <w:numId w:val="39"/>
        </w:numPr>
        <w:suppressAutoHyphens/>
        <w:autoSpaceDE w:val="0"/>
        <w:autoSpaceDN w:val="0"/>
        <w:adjustRightInd w:val="0"/>
        <w:spacing w:after="160" w:line="220" w:lineRule="atLeast"/>
        <w:textAlignment w:val="center"/>
        <w:rPr>
          <w:rFonts w:ascii="Arial" w:hAnsi="Arial" w:cs="Arial"/>
          <w:color w:val="000000" w:themeColor="text1"/>
          <w:sz w:val="18"/>
          <w:szCs w:val="18"/>
        </w:rPr>
      </w:pPr>
      <w:r w:rsidRPr="005575FC">
        <w:rPr>
          <w:rFonts w:ascii="Arial" w:hAnsi="Arial" w:cs="Arial"/>
          <w:color w:val="000000" w:themeColor="text1"/>
          <w:sz w:val="18"/>
          <w:szCs w:val="18"/>
        </w:rPr>
        <w:t>ensure that the persons notified under Direction 3.5.3(a) are kept informed about the incident, including the outcome of investigations; and</w:t>
      </w:r>
    </w:p>
    <w:p w14:paraId="5A1C24FD" w14:textId="434ADC32" w:rsidR="00C477B3" w:rsidRPr="005575FC" w:rsidRDefault="00C477B3" w:rsidP="007B76F0">
      <w:pPr>
        <w:pStyle w:val="ListParagraph"/>
        <w:numPr>
          <w:ilvl w:val="0"/>
          <w:numId w:val="39"/>
        </w:numPr>
        <w:suppressAutoHyphens/>
        <w:autoSpaceDE w:val="0"/>
        <w:autoSpaceDN w:val="0"/>
        <w:adjustRightInd w:val="0"/>
        <w:spacing w:after="160" w:line="220" w:lineRule="atLeast"/>
        <w:textAlignment w:val="center"/>
        <w:rPr>
          <w:rFonts w:ascii="Arial" w:hAnsi="Arial" w:cs="Arial"/>
          <w:color w:val="000000" w:themeColor="text1"/>
          <w:sz w:val="18"/>
          <w:szCs w:val="18"/>
        </w:rPr>
      </w:pPr>
      <w:r w:rsidRPr="005575FC">
        <w:rPr>
          <w:rFonts w:ascii="Arial" w:hAnsi="Arial" w:cs="Arial"/>
          <w:color w:val="000000" w:themeColor="text1"/>
          <w:sz w:val="18"/>
          <w:szCs w:val="18"/>
        </w:rPr>
        <w:t xml:space="preserve">ensure that the </w:t>
      </w:r>
      <w:r w:rsidR="00EA66C1">
        <w:rPr>
          <w:rFonts w:ascii="Arial" w:hAnsi="Arial" w:cs="Arial"/>
          <w:color w:val="000000" w:themeColor="text1"/>
          <w:sz w:val="18"/>
          <w:szCs w:val="18"/>
        </w:rPr>
        <w:t>e</w:t>
      </w:r>
      <w:r w:rsidRPr="005575FC">
        <w:rPr>
          <w:rFonts w:ascii="Arial" w:hAnsi="Arial" w:cs="Arial"/>
          <w:color w:val="000000" w:themeColor="text1"/>
          <w:sz w:val="18"/>
          <w:szCs w:val="18"/>
        </w:rPr>
        <w:t xml:space="preserve">ntity takes appropriate action to mitigate against future </w:t>
      </w:r>
      <w:r w:rsidR="00755B59">
        <w:rPr>
          <w:rFonts w:ascii="Arial" w:hAnsi="Arial" w:cs="Arial"/>
          <w:color w:val="000000" w:themeColor="text1"/>
          <w:sz w:val="18"/>
          <w:szCs w:val="18"/>
        </w:rPr>
        <w:t>f</w:t>
      </w:r>
      <w:r w:rsidR="00755B59" w:rsidRPr="005575FC">
        <w:rPr>
          <w:rFonts w:ascii="Arial" w:hAnsi="Arial" w:cs="Arial"/>
          <w:color w:val="000000" w:themeColor="text1"/>
          <w:sz w:val="18"/>
          <w:szCs w:val="18"/>
        </w:rPr>
        <w:t xml:space="preserve">raud, </w:t>
      </w:r>
      <w:r w:rsidR="00755B59">
        <w:rPr>
          <w:rFonts w:ascii="Arial" w:hAnsi="Arial" w:cs="Arial"/>
          <w:color w:val="000000" w:themeColor="text1"/>
          <w:sz w:val="18"/>
          <w:szCs w:val="18"/>
        </w:rPr>
        <w:t>c</w:t>
      </w:r>
      <w:r w:rsidR="00755B59" w:rsidRPr="005575FC">
        <w:rPr>
          <w:rFonts w:ascii="Arial" w:hAnsi="Arial" w:cs="Arial"/>
          <w:color w:val="000000" w:themeColor="text1"/>
          <w:sz w:val="18"/>
          <w:szCs w:val="18"/>
        </w:rPr>
        <w:t xml:space="preserve">orruption and </w:t>
      </w:r>
      <w:r w:rsidR="00755B59">
        <w:rPr>
          <w:rFonts w:ascii="Arial" w:hAnsi="Arial" w:cs="Arial"/>
          <w:color w:val="000000" w:themeColor="text1"/>
          <w:sz w:val="18"/>
          <w:szCs w:val="18"/>
        </w:rPr>
        <w:t>o</w:t>
      </w:r>
      <w:r w:rsidR="00755B59" w:rsidRPr="005575FC">
        <w:rPr>
          <w:rFonts w:ascii="Arial" w:hAnsi="Arial" w:cs="Arial"/>
          <w:color w:val="000000" w:themeColor="text1"/>
          <w:sz w:val="18"/>
          <w:szCs w:val="18"/>
        </w:rPr>
        <w:t xml:space="preserve">ther </w:t>
      </w:r>
      <w:r w:rsidR="00755B59">
        <w:rPr>
          <w:rFonts w:ascii="Arial" w:hAnsi="Arial" w:cs="Arial"/>
          <w:color w:val="000000" w:themeColor="text1"/>
          <w:sz w:val="18"/>
          <w:szCs w:val="18"/>
        </w:rPr>
        <w:t>l</w:t>
      </w:r>
      <w:r w:rsidR="00755B59" w:rsidRPr="005575FC">
        <w:rPr>
          <w:rFonts w:ascii="Arial" w:hAnsi="Arial" w:cs="Arial"/>
          <w:color w:val="000000" w:themeColor="text1"/>
          <w:sz w:val="18"/>
          <w:szCs w:val="18"/>
        </w:rPr>
        <w:t>osses</w:t>
      </w:r>
      <w:r w:rsidRPr="005575FC">
        <w:rPr>
          <w:rFonts w:ascii="Arial" w:hAnsi="Arial" w:cs="Arial"/>
          <w:color w:val="000000" w:themeColor="text1"/>
          <w:sz w:val="18"/>
          <w:szCs w:val="18"/>
        </w:rPr>
        <w:t>.</w:t>
      </w:r>
    </w:p>
    <w:p w14:paraId="04C3F533" w14:textId="214AE03E" w:rsidR="00C477B3" w:rsidRPr="005575FC" w:rsidRDefault="00C477B3" w:rsidP="00C477B3">
      <w:pPr>
        <w:rPr>
          <w:color w:val="000000" w:themeColor="text1"/>
        </w:rPr>
      </w:pPr>
      <w:r w:rsidRPr="005575FC">
        <w:rPr>
          <w:color w:val="000000" w:themeColor="text1"/>
        </w:rPr>
        <w:t xml:space="preserve">Further information in relation to </w:t>
      </w:r>
      <w:r w:rsidR="00755B59">
        <w:rPr>
          <w:color w:val="000000" w:themeColor="text1"/>
        </w:rPr>
        <w:t>f</w:t>
      </w:r>
      <w:r w:rsidRPr="005575FC">
        <w:rPr>
          <w:color w:val="000000" w:themeColor="text1"/>
        </w:rPr>
        <w:t xml:space="preserve">raud and </w:t>
      </w:r>
      <w:r w:rsidR="00755B59">
        <w:rPr>
          <w:color w:val="000000" w:themeColor="text1"/>
        </w:rPr>
        <w:t>c</w:t>
      </w:r>
      <w:r w:rsidRPr="005575FC">
        <w:rPr>
          <w:color w:val="000000" w:themeColor="text1"/>
        </w:rPr>
        <w:t>orruption mitigation is available, including:</w:t>
      </w:r>
    </w:p>
    <w:p w14:paraId="6CA25F98" w14:textId="712AE940" w:rsidR="00C477B3" w:rsidRPr="005575FC" w:rsidRDefault="0089196B" w:rsidP="007B76F0">
      <w:pPr>
        <w:pStyle w:val="ListParagraph"/>
        <w:numPr>
          <w:ilvl w:val="0"/>
          <w:numId w:val="40"/>
        </w:numPr>
        <w:suppressAutoHyphens/>
        <w:autoSpaceDE w:val="0"/>
        <w:autoSpaceDN w:val="0"/>
        <w:adjustRightInd w:val="0"/>
        <w:spacing w:after="160" w:line="220" w:lineRule="atLeast"/>
        <w:textAlignment w:val="center"/>
        <w:rPr>
          <w:rFonts w:ascii="Arial" w:hAnsi="Arial" w:cs="Arial"/>
          <w:color w:val="000000" w:themeColor="text1"/>
          <w:sz w:val="18"/>
          <w:szCs w:val="18"/>
        </w:rPr>
      </w:pPr>
      <w:hyperlink r:id="rId55" w:history="1">
        <w:r w:rsidR="00C477B3" w:rsidRPr="00B209AE">
          <w:rPr>
            <w:rStyle w:val="Hyperlink"/>
            <w:rFonts w:ascii="Arial" w:hAnsi="Arial" w:cs="Arial"/>
            <w:sz w:val="18"/>
            <w:szCs w:val="18"/>
          </w:rPr>
          <w:t>Standing Dire</w:t>
        </w:r>
        <w:bookmarkStart w:id="95" w:name="_Hlt154045515"/>
        <w:bookmarkStart w:id="96" w:name="_Hlt154045516"/>
        <w:r w:rsidR="00C477B3" w:rsidRPr="00B209AE">
          <w:rPr>
            <w:rStyle w:val="Hyperlink"/>
            <w:rFonts w:ascii="Arial" w:hAnsi="Arial" w:cs="Arial"/>
            <w:sz w:val="18"/>
            <w:szCs w:val="18"/>
          </w:rPr>
          <w:t>c</w:t>
        </w:r>
        <w:bookmarkEnd w:id="95"/>
        <w:bookmarkEnd w:id="96"/>
        <w:r w:rsidR="00C477B3" w:rsidRPr="00B209AE">
          <w:rPr>
            <w:rStyle w:val="Hyperlink"/>
            <w:rFonts w:ascii="Arial" w:hAnsi="Arial" w:cs="Arial"/>
            <w:sz w:val="18"/>
            <w:szCs w:val="18"/>
          </w:rPr>
          <w:t>tions 2018</w:t>
        </w:r>
      </w:hyperlink>
      <w:r w:rsidR="00C477B3" w:rsidRPr="005575FC">
        <w:rPr>
          <w:rFonts w:ascii="Arial" w:hAnsi="Arial" w:cs="Arial"/>
          <w:color w:val="000000" w:themeColor="text1"/>
          <w:sz w:val="18"/>
          <w:szCs w:val="18"/>
        </w:rPr>
        <w:t xml:space="preserve">, under the </w:t>
      </w:r>
      <w:hyperlink r:id="rId56" w:history="1">
        <w:r w:rsidR="00C477B3" w:rsidRPr="00B209AE">
          <w:rPr>
            <w:rStyle w:val="Hyperlink"/>
            <w:rFonts w:ascii="Arial" w:hAnsi="Arial" w:cs="Arial"/>
            <w:i/>
            <w:iCs/>
            <w:sz w:val="18"/>
            <w:szCs w:val="18"/>
          </w:rPr>
          <w:t>Financial Management Act 1994</w:t>
        </w:r>
      </w:hyperlink>
      <w:r w:rsidR="00C477B3" w:rsidRPr="005575FC">
        <w:rPr>
          <w:rFonts w:ascii="Arial" w:hAnsi="Arial" w:cs="Arial"/>
          <w:i/>
          <w:iCs/>
          <w:color w:val="000000" w:themeColor="text1"/>
          <w:sz w:val="18"/>
          <w:szCs w:val="18"/>
        </w:rPr>
        <w:t>.</w:t>
      </w:r>
    </w:p>
    <w:p w14:paraId="3D25EB97" w14:textId="12413A58" w:rsidR="00FE07BC" w:rsidRPr="005575FC" w:rsidRDefault="0089196B" w:rsidP="007B76F0">
      <w:pPr>
        <w:pStyle w:val="ListParagraph"/>
        <w:numPr>
          <w:ilvl w:val="0"/>
          <w:numId w:val="40"/>
        </w:numPr>
        <w:suppressAutoHyphens/>
        <w:autoSpaceDE w:val="0"/>
        <w:autoSpaceDN w:val="0"/>
        <w:adjustRightInd w:val="0"/>
        <w:spacing w:after="160" w:line="220" w:lineRule="atLeast"/>
        <w:textAlignment w:val="center"/>
        <w:rPr>
          <w:rFonts w:ascii="Arial" w:hAnsi="Arial" w:cs="Arial"/>
          <w:color w:val="000000" w:themeColor="text1"/>
          <w:sz w:val="18"/>
          <w:szCs w:val="18"/>
        </w:rPr>
      </w:pPr>
      <w:hyperlink r:id="rId57" w:history="1">
        <w:r w:rsidR="00D93A6A" w:rsidRPr="007E399C">
          <w:rPr>
            <w:rStyle w:val="Hyperlink"/>
            <w:rFonts w:ascii="Arial" w:hAnsi="Arial" w:cs="Arial"/>
            <w:sz w:val="18"/>
            <w:szCs w:val="18"/>
          </w:rPr>
          <w:t>Instructions</w:t>
        </w:r>
      </w:hyperlink>
      <w:r w:rsidR="00FE07BC" w:rsidRPr="005575FC">
        <w:rPr>
          <w:rFonts w:ascii="Arial" w:hAnsi="Arial" w:cs="Arial"/>
          <w:color w:val="000000" w:themeColor="text1"/>
          <w:sz w:val="18"/>
          <w:szCs w:val="18"/>
        </w:rPr>
        <w:t xml:space="preserve"> supporting the </w:t>
      </w:r>
      <w:hyperlink r:id="rId58" w:history="1">
        <w:r w:rsidR="00FE07BC" w:rsidRPr="00FE07BC">
          <w:rPr>
            <w:rStyle w:val="Hyperlink"/>
            <w:rFonts w:ascii="Arial" w:hAnsi="Arial" w:cs="Arial"/>
            <w:sz w:val="18"/>
            <w:szCs w:val="18"/>
          </w:rPr>
          <w:t>Standin</w:t>
        </w:r>
        <w:bookmarkStart w:id="97" w:name="_Hlt154045894"/>
        <w:bookmarkStart w:id="98" w:name="_Hlt154045895"/>
        <w:r w:rsidR="00FE07BC" w:rsidRPr="00FE07BC">
          <w:rPr>
            <w:rStyle w:val="Hyperlink"/>
            <w:rFonts w:ascii="Arial" w:hAnsi="Arial" w:cs="Arial"/>
            <w:sz w:val="18"/>
            <w:szCs w:val="18"/>
          </w:rPr>
          <w:t>g</w:t>
        </w:r>
        <w:bookmarkEnd w:id="97"/>
        <w:bookmarkEnd w:id="98"/>
        <w:r w:rsidR="00FE07BC" w:rsidRPr="00FE07BC">
          <w:rPr>
            <w:rStyle w:val="Hyperlink"/>
            <w:rFonts w:ascii="Arial" w:hAnsi="Arial" w:cs="Arial"/>
            <w:sz w:val="18"/>
            <w:szCs w:val="18"/>
          </w:rPr>
          <w:t xml:space="preserve"> Directions 20</w:t>
        </w:r>
        <w:bookmarkStart w:id="99" w:name="_Hlt154045924"/>
        <w:bookmarkStart w:id="100" w:name="_Hlt154045925"/>
        <w:r w:rsidR="00FE07BC" w:rsidRPr="00FE07BC">
          <w:rPr>
            <w:rStyle w:val="Hyperlink"/>
            <w:rFonts w:ascii="Arial" w:hAnsi="Arial" w:cs="Arial"/>
            <w:sz w:val="18"/>
            <w:szCs w:val="18"/>
          </w:rPr>
          <w:t>1</w:t>
        </w:r>
        <w:bookmarkEnd w:id="99"/>
        <w:bookmarkEnd w:id="100"/>
        <w:r w:rsidR="00FE07BC" w:rsidRPr="00FE07BC">
          <w:rPr>
            <w:rStyle w:val="Hyperlink"/>
            <w:rFonts w:ascii="Arial" w:hAnsi="Arial" w:cs="Arial"/>
            <w:sz w:val="18"/>
            <w:szCs w:val="18"/>
          </w:rPr>
          <w:t>8</w:t>
        </w:r>
      </w:hyperlink>
      <w:r w:rsidR="00FE07BC" w:rsidRPr="005575FC">
        <w:rPr>
          <w:rFonts w:ascii="Arial" w:hAnsi="Arial" w:cs="Arial"/>
          <w:color w:val="000000" w:themeColor="text1"/>
          <w:sz w:val="18"/>
          <w:szCs w:val="18"/>
        </w:rPr>
        <w:t xml:space="preserve"> under the </w:t>
      </w:r>
      <w:hyperlink r:id="rId59" w:history="1">
        <w:r w:rsidR="00FE07BC" w:rsidRPr="003744AA">
          <w:rPr>
            <w:rStyle w:val="Hyperlink"/>
            <w:rFonts w:ascii="Arial" w:hAnsi="Arial" w:cs="Arial"/>
            <w:i/>
            <w:iCs/>
            <w:sz w:val="18"/>
            <w:szCs w:val="18"/>
          </w:rPr>
          <w:t>Financial Management Act 1994</w:t>
        </w:r>
      </w:hyperlink>
      <w:r w:rsidR="00FE07BC" w:rsidRPr="005575FC">
        <w:rPr>
          <w:rFonts w:ascii="Arial" w:hAnsi="Arial" w:cs="Arial"/>
          <w:color w:val="000000" w:themeColor="text1"/>
          <w:sz w:val="18"/>
          <w:szCs w:val="18"/>
        </w:rPr>
        <w:t>.</w:t>
      </w:r>
    </w:p>
    <w:p w14:paraId="51F59230" w14:textId="36213FB6" w:rsidR="00C477B3" w:rsidRPr="005575FC" w:rsidRDefault="00A20DB5" w:rsidP="007B76F0">
      <w:pPr>
        <w:pStyle w:val="ListParagraph"/>
        <w:numPr>
          <w:ilvl w:val="0"/>
          <w:numId w:val="40"/>
        </w:numPr>
        <w:suppressAutoHyphens/>
        <w:autoSpaceDE w:val="0"/>
        <w:autoSpaceDN w:val="0"/>
        <w:adjustRightInd w:val="0"/>
        <w:spacing w:after="160" w:line="220" w:lineRule="atLeast"/>
        <w:textAlignment w:val="center"/>
        <w:rPr>
          <w:rFonts w:ascii="Arial" w:hAnsi="Arial" w:cs="Arial"/>
          <w:color w:val="000000" w:themeColor="text1"/>
          <w:sz w:val="18"/>
          <w:szCs w:val="18"/>
        </w:rPr>
      </w:pPr>
      <w:r>
        <w:rPr>
          <w:rFonts w:ascii="Arial" w:hAnsi="Arial" w:cs="Arial"/>
          <w:color w:val="000000" w:themeColor="text1"/>
          <w:sz w:val="18"/>
          <w:szCs w:val="18"/>
        </w:rPr>
        <w:t xml:space="preserve">DJSIR </w:t>
      </w:r>
      <w:r w:rsidR="00C477B3" w:rsidRPr="005575FC">
        <w:rPr>
          <w:rFonts w:ascii="Arial" w:hAnsi="Arial" w:cs="Arial"/>
          <w:color w:val="000000" w:themeColor="text1"/>
          <w:sz w:val="18"/>
          <w:szCs w:val="18"/>
        </w:rPr>
        <w:t>Fraud and Corruption Control Policy.</w:t>
      </w:r>
    </w:p>
    <w:p w14:paraId="54F61234" w14:textId="77777777" w:rsidR="00C477B3" w:rsidRPr="005575FC" w:rsidRDefault="00C477B3" w:rsidP="007B76F0">
      <w:pPr>
        <w:pStyle w:val="ListParagraph"/>
        <w:numPr>
          <w:ilvl w:val="0"/>
          <w:numId w:val="40"/>
        </w:numPr>
        <w:suppressAutoHyphens/>
        <w:autoSpaceDE w:val="0"/>
        <w:autoSpaceDN w:val="0"/>
        <w:adjustRightInd w:val="0"/>
        <w:spacing w:after="160" w:line="220" w:lineRule="atLeast"/>
        <w:textAlignment w:val="center"/>
        <w:rPr>
          <w:rFonts w:ascii="Arial" w:hAnsi="Arial" w:cs="Arial"/>
          <w:color w:val="000000" w:themeColor="text1"/>
          <w:sz w:val="18"/>
          <w:szCs w:val="18"/>
        </w:rPr>
      </w:pPr>
      <w:r w:rsidRPr="005575FC">
        <w:rPr>
          <w:rFonts w:ascii="Arial" w:hAnsi="Arial" w:cs="Arial"/>
          <w:color w:val="000000" w:themeColor="text1"/>
          <w:sz w:val="18"/>
          <w:szCs w:val="18"/>
        </w:rPr>
        <w:t>DJSIR Fraud and Corruption Control Plan and Procedures.</w:t>
      </w:r>
    </w:p>
    <w:p w14:paraId="7F253BC3" w14:textId="2AB45B94" w:rsidR="00C477B3" w:rsidRPr="005575FC" w:rsidRDefault="00C477B3" w:rsidP="007B76F0">
      <w:pPr>
        <w:pStyle w:val="ListParagraph"/>
        <w:numPr>
          <w:ilvl w:val="1"/>
          <w:numId w:val="45"/>
        </w:numPr>
        <w:suppressAutoHyphens/>
        <w:autoSpaceDE w:val="0"/>
        <w:autoSpaceDN w:val="0"/>
        <w:adjustRightInd w:val="0"/>
        <w:spacing w:after="160" w:line="220" w:lineRule="atLeast"/>
        <w:textAlignment w:val="center"/>
        <w:rPr>
          <w:rFonts w:ascii="Arial" w:hAnsi="Arial" w:cs="Arial"/>
          <w:color w:val="000000" w:themeColor="text1"/>
          <w:sz w:val="18"/>
          <w:szCs w:val="18"/>
        </w:rPr>
      </w:pPr>
      <w:r w:rsidRPr="005575FC">
        <w:rPr>
          <w:rFonts w:ascii="Arial" w:hAnsi="Arial" w:cs="Arial"/>
          <w:color w:val="000000" w:themeColor="text1"/>
          <w:sz w:val="18"/>
          <w:szCs w:val="18"/>
        </w:rPr>
        <w:t>DJSIR Thefts and Losses Policy</w:t>
      </w:r>
      <w:r w:rsidR="00C0135B">
        <w:rPr>
          <w:rFonts w:ascii="Arial" w:hAnsi="Arial" w:cs="Arial"/>
          <w:color w:val="000000" w:themeColor="text1"/>
          <w:sz w:val="18"/>
          <w:szCs w:val="18"/>
        </w:rPr>
        <w:t>.</w:t>
      </w:r>
      <w:r w:rsidRPr="005575FC" w:rsidDel="00C6408F">
        <w:rPr>
          <w:rFonts w:ascii="Arial" w:hAnsi="Arial" w:cs="Arial"/>
          <w:color w:val="000000" w:themeColor="text1"/>
          <w:sz w:val="18"/>
          <w:szCs w:val="18"/>
        </w:rPr>
        <w:fldChar w:fldCharType="begin"/>
      </w:r>
      <w:r w:rsidR="0089196B">
        <w:rPr>
          <w:rFonts w:ascii="Arial" w:hAnsi="Arial" w:cs="Arial"/>
          <w:color w:val="000000" w:themeColor="text1"/>
          <w:sz w:val="18"/>
          <w:szCs w:val="18"/>
        </w:rPr>
        <w:fldChar w:fldCharType="separate"/>
      </w:r>
      <w:r w:rsidRPr="005575FC" w:rsidDel="00C6408F">
        <w:rPr>
          <w:rFonts w:ascii="Arial" w:hAnsi="Arial" w:cs="Arial"/>
          <w:color w:val="000000" w:themeColor="text1"/>
          <w:sz w:val="18"/>
          <w:szCs w:val="18"/>
        </w:rPr>
        <w:fldChar w:fldCharType="end"/>
      </w:r>
      <w:r w:rsidRPr="005575FC" w:rsidDel="00C6408F">
        <w:rPr>
          <w:rFonts w:ascii="Arial" w:hAnsi="Arial" w:cs="Arial"/>
          <w:color w:val="000000" w:themeColor="text1"/>
          <w:sz w:val="18"/>
          <w:szCs w:val="18"/>
        </w:rPr>
        <w:fldChar w:fldCharType="begin"/>
      </w:r>
      <w:r w:rsidR="0089196B">
        <w:rPr>
          <w:rFonts w:ascii="Arial" w:hAnsi="Arial" w:cs="Arial"/>
          <w:color w:val="000000" w:themeColor="text1"/>
          <w:sz w:val="18"/>
          <w:szCs w:val="18"/>
        </w:rPr>
        <w:fldChar w:fldCharType="separate"/>
      </w:r>
      <w:r w:rsidRPr="005575FC" w:rsidDel="00C6408F">
        <w:rPr>
          <w:rFonts w:ascii="Arial" w:hAnsi="Arial" w:cs="Arial"/>
          <w:color w:val="000000" w:themeColor="text1"/>
          <w:sz w:val="18"/>
          <w:szCs w:val="18"/>
        </w:rPr>
        <w:fldChar w:fldCharType="end"/>
      </w:r>
    </w:p>
    <w:p w14:paraId="5272B71A" w14:textId="195FA285" w:rsidR="00C477B3" w:rsidRPr="006D69AB" w:rsidRDefault="00C477B3" w:rsidP="00C477B3">
      <w:pPr>
        <w:pStyle w:val="Heading3"/>
      </w:pPr>
      <w:bookmarkStart w:id="101" w:name="_Toc164067879"/>
      <w:r>
        <w:t>5.</w:t>
      </w:r>
      <w:r w:rsidR="00703AFA">
        <w:t>8</w:t>
      </w:r>
      <w:r>
        <w:t>.4</w:t>
      </w:r>
      <w:r>
        <w:tab/>
      </w:r>
      <w:r w:rsidRPr="006D69AB">
        <w:t>Gifts, Benefits and Hospitality</w:t>
      </w:r>
      <w:bookmarkEnd w:id="101"/>
      <w:r w:rsidRPr="006D69AB">
        <w:t xml:space="preserve"> </w:t>
      </w:r>
    </w:p>
    <w:p w14:paraId="15E745AD" w14:textId="5A1E9C9F" w:rsidR="00C477B3" w:rsidRDefault="00C477B3" w:rsidP="00C477B3">
      <w:r>
        <w:t xml:space="preserve">The </w:t>
      </w:r>
      <w:hyperlink r:id="rId60" w:history="1">
        <w:r w:rsidRPr="002F01F6">
          <w:rPr>
            <w:rStyle w:val="Hyperlink"/>
          </w:rPr>
          <w:t>minimum accountabilities</w:t>
        </w:r>
      </w:hyperlink>
      <w:r>
        <w:t xml:space="preserve"> for </w:t>
      </w:r>
      <w:r w:rsidR="00755B59">
        <w:t>g</w:t>
      </w:r>
      <w:r>
        <w:t xml:space="preserve">ifts, </w:t>
      </w:r>
      <w:r w:rsidR="00755B59">
        <w:t>b</w:t>
      </w:r>
      <w:r>
        <w:t xml:space="preserve">enefits and </w:t>
      </w:r>
      <w:r w:rsidR="00755B59">
        <w:t>h</w:t>
      </w:r>
      <w:r>
        <w:t xml:space="preserve">ospitality (GBH) are binding under the </w:t>
      </w:r>
      <w:hyperlink r:id="rId61" w:history="1">
        <w:r w:rsidRPr="00BF66A8">
          <w:rPr>
            <w:rStyle w:val="Hyperlink"/>
          </w:rPr>
          <w:t>Instructions</w:t>
        </w:r>
      </w:hyperlink>
      <w:r>
        <w:t xml:space="preserve"> supporting the </w:t>
      </w:r>
      <w:hyperlink r:id="rId62" w:history="1">
        <w:r w:rsidRPr="00BF66A8">
          <w:rPr>
            <w:rStyle w:val="Hyperlink"/>
          </w:rPr>
          <w:t>Standing Directions</w:t>
        </w:r>
      </w:hyperlink>
      <w:r>
        <w:t xml:space="preserve"> 2018. Instruction 11 states that </w:t>
      </w:r>
      <w:r w:rsidR="00755B59">
        <w:t>e</w:t>
      </w:r>
      <w:r>
        <w:t xml:space="preserve">ntities must develop policies and procedures that apply the </w:t>
      </w:r>
      <w:hyperlink r:id="rId63" w:history="1">
        <w:r w:rsidRPr="00A93967">
          <w:rPr>
            <w:rStyle w:val="Hyperlink"/>
          </w:rPr>
          <w:t>minimum accountabilities</w:t>
        </w:r>
      </w:hyperlink>
      <w:r>
        <w:t xml:space="preserve"> set out in the VPSC </w:t>
      </w:r>
      <w:hyperlink r:id="rId64" w:history="1">
        <w:r w:rsidRPr="00644209">
          <w:rPr>
            <w:rStyle w:val="Hyperlink"/>
          </w:rPr>
          <w:t xml:space="preserve">GBH policy </w:t>
        </w:r>
        <w:r w:rsidR="00211580" w:rsidRPr="00644209">
          <w:rPr>
            <w:rStyle w:val="Hyperlink"/>
          </w:rPr>
          <w:t>guide</w:t>
        </w:r>
      </w:hyperlink>
      <w:r>
        <w:t xml:space="preserve">. These are minimum requirements and </w:t>
      </w:r>
      <w:r w:rsidR="00755B59">
        <w:t>e</w:t>
      </w:r>
      <w:r>
        <w:t>ntities</w:t>
      </w:r>
      <w:r w:rsidR="00644209">
        <w:t xml:space="preserve"> </w:t>
      </w:r>
      <w:r>
        <w:t xml:space="preserve">may choose to adopt higher standards or processes that take into account the </w:t>
      </w:r>
      <w:r w:rsidR="00EA66C1">
        <w:t>e</w:t>
      </w:r>
      <w:r>
        <w:t>ntity’s role and functions.</w:t>
      </w:r>
    </w:p>
    <w:p w14:paraId="6468C088" w14:textId="64F202BA" w:rsidR="00C477B3" w:rsidRDefault="00C477B3" w:rsidP="00C477B3">
      <w:r w:rsidRPr="00D03E27">
        <w:t>It is important that staff</w:t>
      </w:r>
      <w:r>
        <w:t xml:space="preserve"> (including contractors and board members)</w:t>
      </w:r>
      <w:r w:rsidRPr="00D03E27">
        <w:t xml:space="preserve"> are aware of the standard</w:t>
      </w:r>
      <w:r>
        <w:t>s</w:t>
      </w:r>
      <w:r w:rsidRPr="00D03E27">
        <w:t xml:space="preserve"> expected of them</w:t>
      </w:r>
      <w:r>
        <w:t xml:space="preserve"> when offered GBH</w:t>
      </w:r>
      <w:r w:rsidRPr="00D03E27">
        <w:t xml:space="preserve"> and that they act in a way that meets</w:t>
      </w:r>
      <w:r>
        <w:t xml:space="preserve"> community</w:t>
      </w:r>
      <w:r w:rsidRPr="00D03E27">
        <w:t xml:space="preserve"> expectations</w:t>
      </w:r>
      <w:r>
        <w:t xml:space="preserve">. This includes </w:t>
      </w:r>
      <w:r w:rsidR="00391707">
        <w:t xml:space="preserve">ensuring </w:t>
      </w:r>
      <w:r w:rsidRPr="00D03E27">
        <w:t xml:space="preserve">that public sector employees are performing public duties without favoritism, bias, or for personal gain. </w:t>
      </w:r>
      <w:r>
        <w:t>When</w:t>
      </w:r>
      <w:r w:rsidRPr="00D03E27">
        <w:t xml:space="preserve"> hospitality is provided </w:t>
      </w:r>
      <w:r w:rsidRPr="009006C2">
        <w:t>by</w:t>
      </w:r>
      <w:r w:rsidRPr="00D03E27">
        <w:t xml:space="preserve"> public sector </w:t>
      </w:r>
      <w:r w:rsidDel="00E20488">
        <w:t>bodies</w:t>
      </w:r>
      <w:r>
        <w:t xml:space="preserve">, they must ensure that </w:t>
      </w:r>
      <w:r w:rsidRPr="00D03E27">
        <w:t>public resources are being used responsibly.</w:t>
      </w:r>
    </w:p>
    <w:p w14:paraId="21AF1493" w14:textId="04EA9A11" w:rsidR="00C477B3" w:rsidRPr="00E20488" w:rsidRDefault="00C477B3" w:rsidP="00464B1E">
      <w:pPr>
        <w:pStyle w:val="Heading4"/>
      </w:pPr>
      <w:bookmarkStart w:id="102" w:name="_Toc164067880"/>
      <w:r w:rsidRPr="14667A63">
        <w:t>5.</w:t>
      </w:r>
      <w:r w:rsidR="00703AFA">
        <w:t>8</w:t>
      </w:r>
      <w:r w:rsidRPr="14667A63">
        <w:t>.4.</w:t>
      </w:r>
      <w:r w:rsidR="000A0FA2">
        <w:t>1</w:t>
      </w:r>
      <w:r>
        <w:tab/>
      </w:r>
      <w:r w:rsidRPr="000603F0">
        <w:t>GBH reporting obligations</w:t>
      </w:r>
      <w:bookmarkEnd w:id="102"/>
    </w:p>
    <w:p w14:paraId="54B505D8" w14:textId="315830A2" w:rsidR="00C477B3" w:rsidRPr="00D03E27" w:rsidRDefault="00C477B3" w:rsidP="00C477B3">
      <w:r>
        <w:t xml:space="preserve">The </w:t>
      </w:r>
      <w:hyperlink r:id="rId65" w:history="1">
        <w:r w:rsidRPr="00101013">
          <w:rPr>
            <w:rStyle w:val="Hyperlink"/>
          </w:rPr>
          <w:t>minimum accountabilities</w:t>
        </w:r>
      </w:hyperlink>
      <w:r w:rsidRPr="0011053A">
        <w:t xml:space="preserve"> </w:t>
      </w:r>
      <w:r>
        <w:t xml:space="preserve">require </w:t>
      </w:r>
      <w:r w:rsidR="00755B59">
        <w:t>e</w:t>
      </w:r>
      <w:r>
        <w:t>ntities</w:t>
      </w:r>
      <w:r w:rsidRPr="00D03E27">
        <w:t xml:space="preserve"> to report at least annually to </w:t>
      </w:r>
      <w:r>
        <w:t>their</w:t>
      </w:r>
      <w:r w:rsidRPr="00D03E27">
        <w:t xml:space="preserve"> </w:t>
      </w:r>
      <w:r w:rsidR="00755B59">
        <w:t>a</w:t>
      </w:r>
      <w:r>
        <w:t xml:space="preserve">udit </w:t>
      </w:r>
      <w:r w:rsidR="00755B59">
        <w:t>c</w:t>
      </w:r>
      <w:r>
        <w:t>ommittee</w:t>
      </w:r>
      <w:r w:rsidRPr="00D03E27">
        <w:t xml:space="preserve"> on the administration and quality control of </w:t>
      </w:r>
      <w:r>
        <w:t>their</w:t>
      </w:r>
      <w:r w:rsidRPr="00D03E27">
        <w:t xml:space="preserve"> GBH policy, processes and register. This must include analysis of the organisation’s GBH risks (including multiple offers from the same source and offers from business associates), risk mitigation measures and any proposed improvements.</w:t>
      </w:r>
    </w:p>
    <w:p w14:paraId="3FAE2362" w14:textId="56B445E0" w:rsidR="00C477B3" w:rsidRDefault="00C477B3" w:rsidP="00C477B3">
      <w:r w:rsidRPr="00D03E27">
        <w:t xml:space="preserve">The GBH register is a record of declarable offers of gifts, benefits and hospitality. Each </w:t>
      </w:r>
      <w:r w:rsidR="00EA66C1">
        <w:t>e</w:t>
      </w:r>
      <w:r>
        <w:t>ntity</w:t>
      </w:r>
      <w:r w:rsidRPr="00D03E27">
        <w:t xml:space="preserve"> should have a designated person responsible for maintaining the register and ensuring it is regularly updated</w:t>
      </w:r>
      <w:r>
        <w:t xml:space="preserve"> </w:t>
      </w:r>
      <w:r w:rsidRPr="00D03E27">
        <w:t>and published</w:t>
      </w:r>
      <w:r>
        <w:t xml:space="preserve"> at least annually</w:t>
      </w:r>
      <w:r w:rsidRPr="00D03E27">
        <w:t xml:space="preserve"> on the organisation’s website (taking into consideration the relevant privacy legislation)</w:t>
      </w:r>
      <w:r>
        <w:t xml:space="preserve">. </w:t>
      </w:r>
      <w:r w:rsidRPr="00D03E27">
        <w:t xml:space="preserve">The register forms the basis of risk-based monitoring and reporting and should record sufficient information for identifying trends and key risks. It also forms the basis for reporting to the organisation’s </w:t>
      </w:r>
      <w:r w:rsidR="00755B59">
        <w:t>a</w:t>
      </w:r>
      <w:r>
        <w:t xml:space="preserve">udit </w:t>
      </w:r>
      <w:r w:rsidR="00755B59">
        <w:t>c</w:t>
      </w:r>
      <w:r>
        <w:t>ommittee.</w:t>
      </w:r>
    </w:p>
    <w:p w14:paraId="1690405E" w14:textId="77777777" w:rsidR="00C477B3" w:rsidRDefault="00C477B3" w:rsidP="00C477B3">
      <w:r>
        <w:t xml:space="preserve">Further information </w:t>
      </w:r>
      <w:r w:rsidRPr="00D03E27">
        <w:t xml:space="preserve">in relation to </w:t>
      </w:r>
      <w:r>
        <w:t xml:space="preserve">GBH is available, </w:t>
      </w:r>
      <w:r w:rsidRPr="00D03E27">
        <w:t>including:</w:t>
      </w:r>
    </w:p>
    <w:p w14:paraId="370220DA" w14:textId="25F373DD" w:rsidR="00C477B3" w:rsidRPr="005575FC" w:rsidRDefault="0089196B" w:rsidP="007B76F0">
      <w:pPr>
        <w:pStyle w:val="ListParagraph"/>
        <w:numPr>
          <w:ilvl w:val="0"/>
          <w:numId w:val="40"/>
        </w:numPr>
        <w:suppressAutoHyphens/>
        <w:autoSpaceDE w:val="0"/>
        <w:autoSpaceDN w:val="0"/>
        <w:adjustRightInd w:val="0"/>
        <w:spacing w:after="160" w:line="220" w:lineRule="atLeast"/>
        <w:textAlignment w:val="center"/>
        <w:rPr>
          <w:rFonts w:ascii="Arial" w:hAnsi="Arial" w:cs="Arial"/>
          <w:color w:val="000000" w:themeColor="text1"/>
          <w:sz w:val="18"/>
          <w:szCs w:val="18"/>
        </w:rPr>
      </w:pPr>
      <w:hyperlink r:id="rId66" w:history="1">
        <w:r w:rsidR="00C477B3" w:rsidRPr="007314B5">
          <w:rPr>
            <w:rStyle w:val="Hyperlink"/>
            <w:rFonts w:ascii="Arial" w:hAnsi="Arial" w:cs="Arial"/>
            <w:sz w:val="18"/>
            <w:szCs w:val="18"/>
          </w:rPr>
          <w:t>Standing Directions 2018</w:t>
        </w:r>
      </w:hyperlink>
      <w:r w:rsidR="00C477B3" w:rsidRPr="005575FC">
        <w:rPr>
          <w:rFonts w:ascii="Arial" w:hAnsi="Arial" w:cs="Arial"/>
          <w:color w:val="000000" w:themeColor="text1"/>
          <w:sz w:val="18"/>
          <w:szCs w:val="18"/>
        </w:rPr>
        <w:t xml:space="preserve">, under the </w:t>
      </w:r>
      <w:hyperlink r:id="rId67" w:history="1">
        <w:r w:rsidR="00C477B3" w:rsidRPr="009C064F">
          <w:rPr>
            <w:rStyle w:val="Hyperlink"/>
            <w:rFonts w:ascii="Arial" w:hAnsi="Arial" w:cs="Arial"/>
            <w:i/>
            <w:iCs/>
            <w:sz w:val="18"/>
            <w:szCs w:val="18"/>
          </w:rPr>
          <w:t>Financial Management Act 1994</w:t>
        </w:r>
      </w:hyperlink>
      <w:r w:rsidR="00C477B3" w:rsidRPr="005575FC">
        <w:rPr>
          <w:rFonts w:ascii="Arial" w:hAnsi="Arial" w:cs="Arial"/>
          <w:i/>
          <w:iCs/>
          <w:color w:val="000000" w:themeColor="text1"/>
          <w:sz w:val="18"/>
          <w:szCs w:val="18"/>
        </w:rPr>
        <w:t>.</w:t>
      </w:r>
    </w:p>
    <w:p w14:paraId="67B328B4" w14:textId="1B88C4A7" w:rsidR="00C477B3" w:rsidRPr="005575FC" w:rsidRDefault="0089196B" w:rsidP="007B76F0">
      <w:pPr>
        <w:pStyle w:val="ListParagraph"/>
        <w:numPr>
          <w:ilvl w:val="0"/>
          <w:numId w:val="40"/>
        </w:numPr>
        <w:suppressAutoHyphens/>
        <w:autoSpaceDE w:val="0"/>
        <w:autoSpaceDN w:val="0"/>
        <w:adjustRightInd w:val="0"/>
        <w:spacing w:after="160" w:line="220" w:lineRule="atLeast"/>
        <w:textAlignment w:val="center"/>
        <w:rPr>
          <w:rFonts w:ascii="Arial" w:hAnsi="Arial" w:cs="Arial"/>
          <w:color w:val="000000" w:themeColor="text1"/>
          <w:sz w:val="18"/>
          <w:szCs w:val="18"/>
        </w:rPr>
      </w:pPr>
      <w:hyperlink r:id="rId68" w:history="1">
        <w:r w:rsidR="00C477B3" w:rsidRPr="009C064F">
          <w:rPr>
            <w:rStyle w:val="Hyperlink"/>
            <w:rFonts w:ascii="Arial" w:hAnsi="Arial" w:cs="Arial"/>
            <w:sz w:val="18"/>
            <w:szCs w:val="18"/>
          </w:rPr>
          <w:t>Gifts, Benefits and Hospitality policy guide</w:t>
        </w:r>
      </w:hyperlink>
      <w:r w:rsidR="00C477B3" w:rsidRPr="005575FC">
        <w:rPr>
          <w:rFonts w:ascii="Arial" w:hAnsi="Arial" w:cs="Arial"/>
          <w:color w:val="000000" w:themeColor="text1"/>
          <w:sz w:val="18"/>
          <w:szCs w:val="18"/>
        </w:rPr>
        <w:t xml:space="preserve"> issued by the Victorian Public Sector Commission.</w:t>
      </w:r>
    </w:p>
    <w:p w14:paraId="5F2D759A" w14:textId="7EF81F27" w:rsidR="00C477B3" w:rsidRPr="00530788" w:rsidRDefault="0089196B" w:rsidP="007B76F0">
      <w:pPr>
        <w:pStyle w:val="ListParagraph"/>
        <w:numPr>
          <w:ilvl w:val="0"/>
          <w:numId w:val="40"/>
        </w:numPr>
        <w:suppressAutoHyphens/>
        <w:autoSpaceDE w:val="0"/>
        <w:autoSpaceDN w:val="0"/>
        <w:adjustRightInd w:val="0"/>
        <w:spacing w:after="160" w:line="220" w:lineRule="atLeast"/>
        <w:textAlignment w:val="center"/>
        <w:rPr>
          <w:rFonts w:asciiTheme="minorHAnsi" w:hAnsiTheme="minorHAnsi" w:cstheme="minorHAnsi"/>
          <w:color w:val="000000" w:themeColor="text1"/>
          <w:sz w:val="18"/>
          <w:szCs w:val="18"/>
        </w:rPr>
      </w:pPr>
      <w:hyperlink r:id="rId69" w:history="1">
        <w:r w:rsidR="00A172E7" w:rsidRPr="00530788">
          <w:rPr>
            <w:rStyle w:val="Hyperlink"/>
            <w:rFonts w:asciiTheme="minorHAnsi" w:hAnsiTheme="minorHAnsi" w:cstheme="minorHAnsi"/>
            <w:sz w:val="18"/>
            <w:szCs w:val="18"/>
          </w:rPr>
          <w:t>DJSIR Gifts, Benefits and Hospitality Policy</w:t>
        </w:r>
      </w:hyperlink>
      <w:r w:rsidR="00C477B3" w:rsidRPr="00530788">
        <w:rPr>
          <w:rFonts w:asciiTheme="minorHAnsi" w:hAnsiTheme="minorHAnsi" w:cstheme="minorHAnsi"/>
          <w:color w:val="000000" w:themeColor="text1"/>
          <w:sz w:val="18"/>
          <w:szCs w:val="18"/>
        </w:rPr>
        <w:t>.</w:t>
      </w:r>
    </w:p>
    <w:p w14:paraId="6E058A95" w14:textId="3725382C" w:rsidR="00C477B3" w:rsidRPr="00020390" w:rsidRDefault="00C477B3" w:rsidP="00C477B3">
      <w:pPr>
        <w:pStyle w:val="Heading3"/>
      </w:pPr>
      <w:bookmarkStart w:id="103" w:name="_Toc164067881"/>
      <w:r>
        <w:t>5.</w:t>
      </w:r>
      <w:r w:rsidR="00703AFA">
        <w:t>8</w:t>
      </w:r>
      <w:r>
        <w:t>.5</w:t>
      </w:r>
      <w:r>
        <w:tab/>
        <w:t>Public Interest Disclosures</w:t>
      </w:r>
      <w:bookmarkEnd w:id="103"/>
    </w:p>
    <w:p w14:paraId="65A256B6" w14:textId="143D6276" w:rsidR="00C477B3" w:rsidRDefault="00C477B3" w:rsidP="00C477B3">
      <w:pPr>
        <w:keepNext/>
      </w:pPr>
      <w:r>
        <w:t xml:space="preserve">The </w:t>
      </w:r>
      <w:hyperlink r:id="rId70" w:history="1">
        <w:r w:rsidRPr="008D5E86">
          <w:rPr>
            <w:rStyle w:val="Hyperlink"/>
            <w:i/>
            <w:iCs/>
          </w:rPr>
          <w:t>Public Interest Disclosures Act 2012</w:t>
        </w:r>
      </w:hyperlink>
      <w:r>
        <w:rPr>
          <w:i/>
          <w:iCs/>
        </w:rPr>
        <w:t xml:space="preserve"> (Vic)</w:t>
      </w:r>
      <w:r>
        <w:t xml:space="preserve"> outlines the legislative framework which ensures that people who report improper conduct and corruption in the Victorian public sector (whistleblowers) can do so with the knowledge they will be protected.</w:t>
      </w:r>
    </w:p>
    <w:p w14:paraId="1FE56334" w14:textId="77777777" w:rsidR="00C477B3" w:rsidRDefault="00C477B3" w:rsidP="00C477B3">
      <w:pPr>
        <w:keepNext/>
      </w:pPr>
      <w:r>
        <w:t>A Public Interest Disclosure (PID) is a report about:</w:t>
      </w:r>
    </w:p>
    <w:p w14:paraId="3E1B88A0" w14:textId="77777777" w:rsidR="00C477B3" w:rsidRPr="005575FC" w:rsidRDefault="00C477B3" w:rsidP="007B76F0">
      <w:pPr>
        <w:pStyle w:val="ListParagraph"/>
        <w:keepNext/>
        <w:numPr>
          <w:ilvl w:val="0"/>
          <w:numId w:val="42"/>
        </w:numPr>
        <w:suppressAutoHyphens/>
        <w:autoSpaceDE w:val="0"/>
        <w:autoSpaceDN w:val="0"/>
        <w:adjustRightInd w:val="0"/>
        <w:spacing w:after="160" w:line="220" w:lineRule="atLeast"/>
        <w:ind w:left="714" w:hanging="357"/>
        <w:textAlignment w:val="center"/>
        <w:rPr>
          <w:rFonts w:asciiTheme="minorHAnsi" w:hAnsiTheme="minorHAnsi" w:cstheme="minorHAnsi"/>
          <w:color w:val="000000" w:themeColor="text1"/>
          <w:sz w:val="18"/>
          <w:szCs w:val="18"/>
        </w:rPr>
      </w:pPr>
      <w:r w:rsidRPr="005575FC">
        <w:rPr>
          <w:rFonts w:asciiTheme="minorHAnsi" w:hAnsiTheme="minorHAnsi" w:cstheme="minorHAnsi"/>
          <w:color w:val="000000" w:themeColor="text1"/>
          <w:sz w:val="18"/>
          <w:szCs w:val="18"/>
        </w:rPr>
        <w:t>improper conduct of a public body or public officer</w:t>
      </w:r>
    </w:p>
    <w:p w14:paraId="41552795" w14:textId="77777777" w:rsidR="00C477B3" w:rsidRPr="005575FC" w:rsidRDefault="00C477B3" w:rsidP="007B76F0">
      <w:pPr>
        <w:pStyle w:val="ListParagraph"/>
        <w:keepNext/>
        <w:numPr>
          <w:ilvl w:val="0"/>
          <w:numId w:val="42"/>
        </w:numPr>
        <w:suppressAutoHyphens/>
        <w:autoSpaceDE w:val="0"/>
        <w:autoSpaceDN w:val="0"/>
        <w:adjustRightInd w:val="0"/>
        <w:spacing w:after="160" w:line="220" w:lineRule="atLeast"/>
        <w:ind w:left="714" w:hanging="357"/>
        <w:textAlignment w:val="center"/>
        <w:rPr>
          <w:rFonts w:asciiTheme="minorHAnsi" w:hAnsiTheme="minorHAnsi" w:cstheme="minorHAnsi"/>
          <w:color w:val="000000" w:themeColor="text1"/>
          <w:sz w:val="18"/>
          <w:szCs w:val="18"/>
        </w:rPr>
      </w:pPr>
      <w:r w:rsidRPr="005575FC">
        <w:rPr>
          <w:rFonts w:asciiTheme="minorHAnsi" w:hAnsiTheme="minorHAnsi" w:cstheme="minorHAnsi"/>
          <w:color w:val="000000" w:themeColor="text1"/>
          <w:sz w:val="18"/>
          <w:szCs w:val="18"/>
        </w:rPr>
        <w:t>detrimental action taken by a public body or public officer against a person in reprisal for them having made a PID or cooperated with the investigation of a PID.</w:t>
      </w:r>
    </w:p>
    <w:p w14:paraId="7ADC6793" w14:textId="77777777" w:rsidR="00C477B3" w:rsidRDefault="00C477B3" w:rsidP="00C477B3">
      <w:r>
        <w:t>Improper conduct is broadly defined and varies in its nature and seriousness. It can include corrupt conduct and criminal offending, as well as dishonest or other serious professional misconduct, such as failing to declare a conflict of interest or misusing a corporate credit card.</w:t>
      </w:r>
    </w:p>
    <w:p w14:paraId="747E7A8B" w14:textId="77777777" w:rsidR="00C477B3" w:rsidRDefault="00C477B3" w:rsidP="00C477B3">
      <w:r>
        <w:lastRenderedPageBreak/>
        <w:t>Detrimental action is any action taken against a person for making a PID, such as intimidation, harassment</w:t>
      </w:r>
      <w:r w:rsidDel="004C3C56">
        <w:t>,</w:t>
      </w:r>
      <w:r>
        <w:t xml:space="preserve"> or adverse treatment in relation to the person’s employment.</w:t>
      </w:r>
    </w:p>
    <w:p w14:paraId="33302859" w14:textId="77777777" w:rsidR="00C477B3" w:rsidRDefault="00C477B3" w:rsidP="00C477B3">
      <w:r>
        <w:t>PIDs can be made by anyone, including public sector employees and members of the public, and can be made verbally (in-person and via telephone or online), in writing (physically and electronically), and anonymously.</w:t>
      </w:r>
    </w:p>
    <w:p w14:paraId="5988AFED" w14:textId="77777777" w:rsidR="00C477B3" w:rsidRDefault="00C477B3" w:rsidP="00C477B3">
      <w:r>
        <w:t xml:space="preserve">People who make PIDs receive various protections, including against detrimental action and any civil or criminal liability for making the disclosure. It is also an offence to reveal a discloser’s identity or information that may reveal their identity, as well as information about the content of their disclosure. </w:t>
      </w:r>
    </w:p>
    <w:p w14:paraId="6BD20FE1" w14:textId="7C75A9ED" w:rsidR="00C477B3" w:rsidRPr="00E00AA4" w:rsidRDefault="00C477B3" w:rsidP="00C477B3">
      <w:pPr>
        <w:pStyle w:val="bodycopy"/>
        <w:rPr>
          <w:color w:val="000000" w:themeColor="text1"/>
          <w:sz w:val="18"/>
          <w:szCs w:val="18"/>
        </w:rPr>
      </w:pPr>
      <w:r w:rsidRPr="14667A63">
        <w:rPr>
          <w:color w:val="000000" w:themeColor="text1"/>
          <w:sz w:val="18"/>
          <w:szCs w:val="18"/>
        </w:rPr>
        <w:t xml:space="preserve">The department and its administrative offices are public bodies able to receive PIDs. All other </w:t>
      </w:r>
      <w:r w:rsidR="00B764DF">
        <w:rPr>
          <w:color w:val="000000" w:themeColor="text1"/>
          <w:sz w:val="18"/>
          <w:szCs w:val="18"/>
        </w:rPr>
        <w:t>e</w:t>
      </w:r>
      <w:r w:rsidRPr="14667A63">
        <w:rPr>
          <w:color w:val="000000" w:themeColor="text1"/>
          <w:sz w:val="18"/>
          <w:szCs w:val="18"/>
        </w:rPr>
        <w:t xml:space="preserve">ntities are unable to receive PIDs and must direct anyone seeking to make a PID to the </w:t>
      </w:r>
      <w:hyperlink r:id="rId71" w:history="1">
        <w:r w:rsidRPr="00E72F6A">
          <w:rPr>
            <w:rStyle w:val="Hyperlink"/>
            <w:sz w:val="18"/>
            <w:szCs w:val="18"/>
          </w:rPr>
          <w:t>Independent Broad-based Anti-Corruption Commission</w:t>
        </w:r>
      </w:hyperlink>
      <w:r w:rsidRPr="14667A63">
        <w:rPr>
          <w:color w:val="000000" w:themeColor="text1"/>
          <w:sz w:val="18"/>
          <w:szCs w:val="18"/>
        </w:rPr>
        <w:t xml:space="preserve"> (IBAC).</w:t>
      </w:r>
    </w:p>
    <w:p w14:paraId="74B82372" w14:textId="29E8BA17" w:rsidR="00C477B3" w:rsidRPr="00FA6155" w:rsidRDefault="00C477B3" w:rsidP="00C477B3">
      <w:pPr>
        <w:pStyle w:val="Heading4"/>
        <w:rPr>
          <w:i w:val="0"/>
          <w:iCs w:val="0"/>
        </w:rPr>
      </w:pPr>
      <w:bookmarkStart w:id="104" w:name="_Toc164067882"/>
      <w:r>
        <w:rPr>
          <w:i w:val="0"/>
          <w:iCs w:val="0"/>
        </w:rPr>
        <w:t>5.</w:t>
      </w:r>
      <w:r w:rsidR="00703AFA">
        <w:rPr>
          <w:i w:val="0"/>
          <w:iCs w:val="0"/>
        </w:rPr>
        <w:t>8</w:t>
      </w:r>
      <w:r>
        <w:rPr>
          <w:i w:val="0"/>
          <w:iCs w:val="0"/>
        </w:rPr>
        <w:t>.5.1</w:t>
      </w:r>
      <w:r>
        <w:tab/>
      </w:r>
      <w:r w:rsidRPr="0078453B">
        <w:t>Entity requirements</w:t>
      </w:r>
      <w:bookmarkEnd w:id="104"/>
    </w:p>
    <w:p w14:paraId="5734BE3B" w14:textId="6EBC9E12" w:rsidR="00C477B3" w:rsidRDefault="00C477B3" w:rsidP="00C477B3">
      <w:r>
        <w:t xml:space="preserve">Most entities cannot receive PIDs with the exception being those entities established as </w:t>
      </w:r>
      <w:r w:rsidR="00B764DF">
        <w:t>a</w:t>
      </w:r>
      <w:r>
        <w:t xml:space="preserve">dministrative </w:t>
      </w:r>
      <w:r w:rsidR="00B764DF">
        <w:t>o</w:t>
      </w:r>
      <w:r>
        <w:t xml:space="preserve">ffices. Administrative </w:t>
      </w:r>
      <w:r w:rsidR="00B764DF">
        <w:t>o</w:t>
      </w:r>
      <w:r>
        <w:t xml:space="preserve">ffices must develop internal procedures </w:t>
      </w:r>
      <w:r w:rsidDel="00240E9B">
        <w:t>for</w:t>
      </w:r>
      <w:r>
        <w:t>:</w:t>
      </w:r>
    </w:p>
    <w:p w14:paraId="1D72B3FA" w14:textId="77777777" w:rsidR="00C477B3" w:rsidRDefault="00C477B3" w:rsidP="007B76F0">
      <w:pPr>
        <w:pStyle w:val="ListBullet"/>
        <w:numPr>
          <w:ilvl w:val="0"/>
          <w:numId w:val="28"/>
        </w:numPr>
        <w:rPr>
          <w:color w:val="auto"/>
        </w:rPr>
      </w:pPr>
      <w:r>
        <w:rPr>
          <w:color w:val="auto"/>
        </w:rPr>
        <w:t>securely receiving and storing disclosures, and ensuring the discloser’s identity and the contents of the disclosure remain confidential</w:t>
      </w:r>
    </w:p>
    <w:p w14:paraId="546F4FCA" w14:textId="77777777" w:rsidR="00C477B3" w:rsidRDefault="00C477B3" w:rsidP="007B76F0">
      <w:pPr>
        <w:pStyle w:val="ListBullet"/>
        <w:numPr>
          <w:ilvl w:val="0"/>
          <w:numId w:val="28"/>
        </w:numPr>
        <w:rPr>
          <w:color w:val="auto"/>
        </w:rPr>
      </w:pPr>
      <w:r>
        <w:rPr>
          <w:color w:val="auto"/>
        </w:rPr>
        <w:t xml:space="preserve">identifying who at the organisation </w:t>
      </w:r>
      <w:r w:rsidRPr="14667A63">
        <w:rPr>
          <w:color w:val="auto"/>
        </w:rPr>
        <w:t>may</w:t>
      </w:r>
      <w:r>
        <w:rPr>
          <w:color w:val="auto"/>
        </w:rPr>
        <w:t xml:space="preserve"> receive disclosures (known as the PID Coordinator)</w:t>
      </w:r>
    </w:p>
    <w:p w14:paraId="4D54EDA5" w14:textId="77777777" w:rsidR="00C477B3" w:rsidRDefault="00C477B3" w:rsidP="007B76F0">
      <w:pPr>
        <w:pStyle w:val="ListBullet"/>
        <w:numPr>
          <w:ilvl w:val="0"/>
          <w:numId w:val="28"/>
        </w:numPr>
        <w:rPr>
          <w:color w:val="auto"/>
        </w:rPr>
      </w:pPr>
      <w:r>
        <w:rPr>
          <w:color w:val="auto"/>
        </w:rPr>
        <w:t xml:space="preserve">securely notifying IBAC of PIDs </w:t>
      </w:r>
    </w:p>
    <w:p w14:paraId="4E2DB70C" w14:textId="77777777" w:rsidR="00C477B3" w:rsidRPr="00061D7E" w:rsidRDefault="00C477B3" w:rsidP="007B76F0">
      <w:pPr>
        <w:pStyle w:val="ListBullet"/>
        <w:numPr>
          <w:ilvl w:val="0"/>
          <w:numId w:val="28"/>
        </w:numPr>
        <w:rPr>
          <w:color w:val="auto"/>
        </w:rPr>
      </w:pPr>
      <w:r w:rsidRPr="49EB97DC">
        <w:rPr>
          <w:color w:val="auto"/>
        </w:rPr>
        <w:t>managing the welfare of disclosers, including protecting them from detrimental action</w:t>
      </w:r>
    </w:p>
    <w:p w14:paraId="4AD4149C" w14:textId="77777777" w:rsidR="00C477B3" w:rsidRPr="00061D7E" w:rsidRDefault="00C477B3" w:rsidP="007B76F0">
      <w:pPr>
        <w:pStyle w:val="ListBullet"/>
        <w:numPr>
          <w:ilvl w:val="0"/>
          <w:numId w:val="28"/>
        </w:numPr>
        <w:rPr>
          <w:color w:val="auto"/>
        </w:rPr>
      </w:pPr>
      <w:r w:rsidRPr="49EB97DC">
        <w:rPr>
          <w:color w:val="auto"/>
        </w:rPr>
        <w:t xml:space="preserve">providing education and training to select staff in the receipt, handling, assessment and notification of PIDs, and managing the welfare of </w:t>
      </w:r>
      <w:r w:rsidRPr="14667A63">
        <w:rPr>
          <w:color w:val="auto"/>
        </w:rPr>
        <w:t>disclosers</w:t>
      </w:r>
    </w:p>
    <w:p w14:paraId="452788ED" w14:textId="77777777" w:rsidR="00C477B3" w:rsidRPr="00061D7E" w:rsidRDefault="00C477B3" w:rsidP="007B76F0">
      <w:pPr>
        <w:pStyle w:val="ListBullet"/>
        <w:numPr>
          <w:ilvl w:val="0"/>
          <w:numId w:val="28"/>
        </w:numPr>
        <w:rPr>
          <w:color w:val="auto"/>
        </w:rPr>
      </w:pPr>
      <w:r w:rsidRPr="49EB97DC">
        <w:rPr>
          <w:color w:val="auto"/>
        </w:rPr>
        <w:t xml:space="preserve">evaluation and review of the organisation’s </w:t>
      </w:r>
      <w:r w:rsidRPr="14667A63">
        <w:rPr>
          <w:color w:val="auto"/>
        </w:rPr>
        <w:t>PID</w:t>
      </w:r>
      <w:r w:rsidRPr="49EB97DC">
        <w:rPr>
          <w:color w:val="auto"/>
        </w:rPr>
        <w:t xml:space="preserve"> framework, including a way to collect statistics on PIDs for annual reporting purposes. </w:t>
      </w:r>
    </w:p>
    <w:p w14:paraId="18BCC74A" w14:textId="77777777" w:rsidR="00C477B3" w:rsidRDefault="00C477B3" w:rsidP="00C477B3">
      <w:pPr>
        <w:pStyle w:val="ListBullet"/>
        <w:numPr>
          <w:ilvl w:val="0"/>
          <w:numId w:val="0"/>
        </w:numPr>
        <w:ind w:left="720"/>
      </w:pPr>
    </w:p>
    <w:p w14:paraId="1D361789" w14:textId="77777777" w:rsidR="00C477B3" w:rsidRPr="00061D7E" w:rsidRDefault="00C477B3" w:rsidP="00511C14">
      <w:pPr>
        <w:pStyle w:val="ListBullet"/>
        <w:numPr>
          <w:ilvl w:val="0"/>
          <w:numId w:val="0"/>
        </w:numPr>
        <w:rPr>
          <w:color w:val="auto"/>
        </w:rPr>
      </w:pPr>
      <w:r w:rsidRPr="592E51DC">
        <w:rPr>
          <w:color w:val="auto"/>
        </w:rPr>
        <w:t>All other entities</w:t>
      </w:r>
      <w:r w:rsidRPr="00061D7E">
        <w:rPr>
          <w:color w:val="auto"/>
        </w:rPr>
        <w:t xml:space="preserve"> cannot receive </w:t>
      </w:r>
      <w:r w:rsidRPr="14667A63">
        <w:rPr>
          <w:color w:val="auto"/>
        </w:rPr>
        <w:t>PIDs</w:t>
      </w:r>
      <w:r w:rsidRPr="592E51DC">
        <w:rPr>
          <w:color w:val="auto"/>
        </w:rPr>
        <w:t>. Those entities</w:t>
      </w:r>
      <w:r w:rsidRPr="00061D7E">
        <w:rPr>
          <w:color w:val="auto"/>
        </w:rPr>
        <w:t xml:space="preserve"> should develop a brief </w:t>
      </w:r>
      <w:r w:rsidRPr="14667A63">
        <w:rPr>
          <w:color w:val="auto"/>
        </w:rPr>
        <w:t>PID procedure</w:t>
      </w:r>
      <w:r w:rsidRPr="00061D7E">
        <w:rPr>
          <w:color w:val="auto"/>
        </w:rPr>
        <w:t xml:space="preserve"> </w:t>
      </w:r>
      <w:r>
        <w:rPr>
          <w:color w:val="auto"/>
        </w:rPr>
        <w:t xml:space="preserve">which should </w:t>
      </w:r>
      <w:r w:rsidRPr="00061D7E" w:rsidDel="00B65100">
        <w:rPr>
          <w:color w:val="auto"/>
        </w:rPr>
        <w:t>be</w:t>
      </w:r>
      <w:r w:rsidRPr="00061D7E">
        <w:rPr>
          <w:color w:val="auto"/>
        </w:rPr>
        <w:t xml:space="preserve"> posted to </w:t>
      </w:r>
      <w:r w:rsidRPr="592E51DC">
        <w:rPr>
          <w:color w:val="auto"/>
        </w:rPr>
        <w:t>their</w:t>
      </w:r>
      <w:r w:rsidRPr="00061D7E">
        <w:rPr>
          <w:color w:val="auto"/>
        </w:rPr>
        <w:t xml:space="preserve"> external website to advise their stakeholders of the need to direct any </w:t>
      </w:r>
      <w:r w:rsidRPr="14667A63">
        <w:rPr>
          <w:color w:val="auto"/>
        </w:rPr>
        <w:t>PID</w:t>
      </w:r>
      <w:r w:rsidRPr="00061D7E">
        <w:rPr>
          <w:color w:val="auto"/>
        </w:rPr>
        <w:t xml:space="preserve"> to IBAC.</w:t>
      </w:r>
    </w:p>
    <w:p w14:paraId="3F319858" w14:textId="685AF9BC" w:rsidR="00C477B3" w:rsidRDefault="00C477B3" w:rsidP="00511C14">
      <w:r w:rsidRPr="00F92120">
        <w:t xml:space="preserve">Within </w:t>
      </w:r>
      <w:r w:rsidR="00B764DF">
        <w:t>the department</w:t>
      </w:r>
      <w:r>
        <w:t>,</w:t>
      </w:r>
      <w:r w:rsidRPr="00F92120">
        <w:t xml:space="preserve"> </w:t>
      </w:r>
      <w:r>
        <w:t>John Lombard</w:t>
      </w:r>
      <w:r w:rsidRPr="00F92120">
        <w:t xml:space="preserve"> is the</w:t>
      </w:r>
      <w:r w:rsidRPr="00DA4757">
        <w:rPr>
          <w:color w:val="auto"/>
        </w:rPr>
        <w:t xml:space="preserve"> </w:t>
      </w:r>
      <w:r>
        <w:t>Public Interest</w:t>
      </w:r>
      <w:r w:rsidRPr="00DA4757">
        <w:t xml:space="preserve"> Disclosure Coordinator, </w:t>
      </w:r>
      <w:r>
        <w:t>0412 205 128</w:t>
      </w:r>
      <w:r w:rsidRPr="00DA4757">
        <w:t xml:space="preserve"> or </w:t>
      </w:r>
      <w:r w:rsidDel="003C1EC8">
        <w:fldChar w:fldCharType="begin"/>
      </w:r>
      <w:r w:rsidR="0089196B">
        <w:fldChar w:fldCharType="separate"/>
      </w:r>
      <w:r w:rsidDel="003C1EC8">
        <w:rPr>
          <w:rStyle w:val="Hyperlink"/>
        </w:rPr>
        <w:fldChar w:fldCharType="end"/>
      </w:r>
      <w:hyperlink r:id="rId72" w:history="1">
        <w:r w:rsidR="00205887" w:rsidRPr="00323649">
          <w:rPr>
            <w:rStyle w:val="Hyperlink"/>
          </w:rPr>
          <w:t>john.lombard@ecodev.vic.gov.au</w:t>
        </w:r>
      </w:hyperlink>
      <w:r w:rsidR="00B764DF">
        <w:rPr>
          <w:rStyle w:val="Hyperlink"/>
        </w:rPr>
        <w:t>.</w:t>
      </w:r>
      <w:r w:rsidR="00205887">
        <w:t xml:space="preserve"> </w:t>
      </w:r>
      <w:r>
        <w:t xml:space="preserve">Each </w:t>
      </w:r>
      <w:r w:rsidR="00EA66C1">
        <w:t>e</w:t>
      </w:r>
      <w:r w:rsidDel="00C06A22">
        <w:t>ntity</w:t>
      </w:r>
      <w:r>
        <w:t xml:space="preserve"> that can receive PIDs</w:t>
      </w:r>
      <w:r w:rsidDel="00DA4BD1">
        <w:t xml:space="preserve"> </w:t>
      </w:r>
      <w:r w:rsidRPr="00DA4757">
        <w:t xml:space="preserve">has </w:t>
      </w:r>
      <w:r>
        <w:t>its</w:t>
      </w:r>
      <w:r w:rsidRPr="00DA4757">
        <w:t xml:space="preserve"> own </w:t>
      </w:r>
      <w:r>
        <w:t>PID</w:t>
      </w:r>
      <w:r w:rsidRPr="00DA4757">
        <w:t xml:space="preserve"> </w:t>
      </w:r>
      <w:r w:rsidR="00B764DF">
        <w:t>c</w:t>
      </w:r>
      <w:r w:rsidRPr="00DA4757">
        <w:t>oordinator. These details are on their respective public websites.</w:t>
      </w:r>
    </w:p>
    <w:p w14:paraId="6CAE3CEF" w14:textId="77777777" w:rsidR="00C477B3" w:rsidRDefault="00C477B3" w:rsidP="00C477B3">
      <w:pPr>
        <w:spacing w:after="0"/>
        <w:rPr>
          <w:color w:val="000000" w:themeColor="text1"/>
        </w:rPr>
      </w:pPr>
      <w:r w:rsidRPr="00DC781E">
        <w:rPr>
          <w:color w:val="000000" w:themeColor="text1"/>
        </w:rPr>
        <w:t xml:space="preserve">Further information in relation to </w:t>
      </w:r>
      <w:r w:rsidRPr="14667A63">
        <w:rPr>
          <w:color w:val="000000" w:themeColor="text1"/>
        </w:rPr>
        <w:t>PIDs</w:t>
      </w:r>
      <w:r w:rsidRPr="00DC781E">
        <w:rPr>
          <w:color w:val="000000" w:themeColor="text1"/>
        </w:rPr>
        <w:t xml:space="preserve"> is available, including:</w:t>
      </w:r>
    </w:p>
    <w:p w14:paraId="73649C46" w14:textId="4134D189" w:rsidR="00C477B3" w:rsidRPr="00464B1E" w:rsidRDefault="0089196B" w:rsidP="007B76F0">
      <w:pPr>
        <w:numPr>
          <w:ilvl w:val="0"/>
          <w:numId w:val="44"/>
        </w:numPr>
        <w:suppressAutoHyphens w:val="0"/>
        <w:autoSpaceDE/>
        <w:autoSpaceDN/>
        <w:adjustRightInd/>
        <w:spacing w:before="100" w:beforeAutospacing="1" w:after="0" w:line="240" w:lineRule="auto"/>
        <w:textAlignment w:val="auto"/>
        <w:rPr>
          <w:rFonts w:asciiTheme="minorHAnsi" w:hAnsiTheme="minorHAnsi" w:cstheme="minorHAnsi"/>
          <w:i/>
          <w:color w:val="000000" w:themeColor="text1"/>
          <w:lang w:val="en-AU"/>
        </w:rPr>
      </w:pPr>
      <w:hyperlink r:id="rId73" w:history="1">
        <w:r w:rsidR="00C477B3" w:rsidRPr="00464B1E">
          <w:rPr>
            <w:rStyle w:val="Hyperlink"/>
            <w:rFonts w:asciiTheme="minorHAnsi" w:hAnsiTheme="minorHAnsi" w:cstheme="minorHAnsi"/>
            <w:i/>
          </w:rPr>
          <w:t>Public Interest Disclosures Act 2012</w:t>
        </w:r>
      </w:hyperlink>
      <w:r w:rsidR="00C477B3" w:rsidRPr="00464B1E">
        <w:rPr>
          <w:rStyle w:val="Emphasis"/>
          <w:rFonts w:asciiTheme="minorHAnsi" w:hAnsiTheme="minorHAnsi" w:cstheme="minorHAnsi"/>
          <w:i w:val="0"/>
          <w:iCs w:val="0"/>
          <w:color w:val="000000" w:themeColor="text1"/>
        </w:rPr>
        <w:t xml:space="preserve"> (Vic).</w:t>
      </w:r>
    </w:p>
    <w:p w14:paraId="75CC2894" w14:textId="3A51FB68" w:rsidR="00C477B3" w:rsidRPr="005575FC" w:rsidRDefault="0089196B" w:rsidP="007B76F0">
      <w:pPr>
        <w:numPr>
          <w:ilvl w:val="0"/>
          <w:numId w:val="44"/>
        </w:numPr>
        <w:suppressAutoHyphens w:val="0"/>
        <w:autoSpaceDE/>
        <w:autoSpaceDN/>
        <w:adjustRightInd/>
        <w:spacing w:before="100" w:beforeAutospacing="1" w:after="0" w:line="240" w:lineRule="auto"/>
        <w:textAlignment w:val="auto"/>
        <w:rPr>
          <w:rFonts w:asciiTheme="minorHAnsi" w:hAnsiTheme="minorHAnsi" w:cstheme="minorHAnsi"/>
          <w:color w:val="000000" w:themeColor="text1"/>
        </w:rPr>
      </w:pPr>
      <w:hyperlink r:id="rId74" w:history="1">
        <w:r w:rsidR="00C477B3" w:rsidRPr="00464B1E">
          <w:rPr>
            <w:rStyle w:val="Hyperlink"/>
            <w:rFonts w:asciiTheme="minorHAnsi" w:hAnsiTheme="minorHAnsi" w:cstheme="minorHAnsi"/>
            <w:i/>
          </w:rPr>
          <w:t>Independent Broad-based Anti-corruption Commission Act 2011</w:t>
        </w:r>
      </w:hyperlink>
      <w:r w:rsidR="00C477B3" w:rsidRPr="005575FC">
        <w:rPr>
          <w:rStyle w:val="Emphasis"/>
          <w:rFonts w:asciiTheme="minorHAnsi" w:hAnsiTheme="minorHAnsi" w:cstheme="minorHAnsi"/>
          <w:color w:val="000000" w:themeColor="text1"/>
        </w:rPr>
        <w:t xml:space="preserve"> (Vic).</w:t>
      </w:r>
    </w:p>
    <w:p w14:paraId="343DBF69" w14:textId="560A515E" w:rsidR="00C477B3" w:rsidRPr="005575FC" w:rsidRDefault="00C477B3" w:rsidP="007B76F0">
      <w:pPr>
        <w:numPr>
          <w:ilvl w:val="0"/>
          <w:numId w:val="44"/>
        </w:numPr>
        <w:suppressAutoHyphens w:val="0"/>
        <w:autoSpaceDE/>
        <w:autoSpaceDN/>
        <w:adjustRightInd/>
        <w:spacing w:before="100" w:beforeAutospacing="1" w:after="0" w:line="240" w:lineRule="auto"/>
        <w:textAlignment w:val="auto"/>
        <w:rPr>
          <w:rFonts w:asciiTheme="minorHAnsi" w:hAnsiTheme="minorHAnsi" w:cstheme="minorHAnsi"/>
          <w:color w:val="000000" w:themeColor="text1"/>
        </w:rPr>
      </w:pPr>
      <w:r w:rsidRPr="005575FC">
        <w:rPr>
          <w:rFonts w:asciiTheme="minorHAnsi" w:hAnsiTheme="minorHAnsi" w:cstheme="minorHAnsi"/>
          <w:color w:val="000000" w:themeColor="text1"/>
        </w:rPr>
        <w:t>IBAC, </w:t>
      </w:r>
      <w:hyperlink r:id="rId75" w:history="1">
        <w:r w:rsidRPr="00A341B5">
          <w:rPr>
            <w:rStyle w:val="Hyperlink"/>
            <w:rFonts w:asciiTheme="minorHAnsi" w:hAnsiTheme="minorHAnsi" w:cstheme="minorHAnsi"/>
          </w:rPr>
          <w:t>Guidelines for handling public interest disclosures</w:t>
        </w:r>
      </w:hyperlink>
      <w:r w:rsidRPr="005575FC">
        <w:rPr>
          <w:rFonts w:asciiTheme="minorHAnsi" w:hAnsiTheme="minorHAnsi" w:cstheme="minorHAnsi"/>
          <w:color w:val="000000" w:themeColor="text1"/>
        </w:rPr>
        <w:t>.</w:t>
      </w:r>
    </w:p>
    <w:p w14:paraId="3FE4EC8C" w14:textId="7B0F7307" w:rsidR="00C477B3" w:rsidRPr="005575FC" w:rsidRDefault="00D9798F" w:rsidP="007B76F0">
      <w:pPr>
        <w:numPr>
          <w:ilvl w:val="0"/>
          <w:numId w:val="44"/>
        </w:numPr>
        <w:suppressAutoHyphens w:val="0"/>
        <w:autoSpaceDE/>
        <w:autoSpaceDN/>
        <w:adjustRightInd/>
        <w:spacing w:before="100" w:beforeAutospacing="1" w:after="0" w:line="240" w:lineRule="auto"/>
        <w:textAlignment w:val="auto"/>
        <w:rPr>
          <w:rFonts w:asciiTheme="minorHAnsi" w:hAnsiTheme="minorHAnsi" w:cstheme="minorHAnsi"/>
          <w:color w:val="000000" w:themeColor="text1"/>
        </w:rPr>
      </w:pPr>
      <w:r w:rsidRPr="00530788">
        <w:rPr>
          <w:color w:val="000000" w:themeColor="text1"/>
        </w:rPr>
        <w:t xml:space="preserve">IBAC, </w:t>
      </w:r>
      <w:hyperlink r:id="rId76" w:history="1">
        <w:r w:rsidR="00C477B3" w:rsidRPr="00035F72">
          <w:rPr>
            <w:rStyle w:val="Hyperlink"/>
            <w:rFonts w:asciiTheme="minorHAnsi" w:hAnsiTheme="minorHAnsi" w:cstheme="minorHAnsi"/>
          </w:rPr>
          <w:t>Guidelines for public interest disclosure welfare management</w:t>
        </w:r>
      </w:hyperlink>
      <w:r w:rsidR="00C477B3" w:rsidRPr="005575FC">
        <w:rPr>
          <w:rFonts w:asciiTheme="minorHAnsi" w:hAnsiTheme="minorHAnsi" w:cstheme="minorHAnsi"/>
          <w:color w:val="000000" w:themeColor="text1"/>
        </w:rPr>
        <w:t>.</w:t>
      </w:r>
    </w:p>
    <w:p w14:paraId="4C5382B0" w14:textId="373F366F" w:rsidR="00C477B3" w:rsidRPr="005575FC" w:rsidRDefault="00C477B3" w:rsidP="007B76F0">
      <w:pPr>
        <w:pStyle w:val="ListParagraph"/>
        <w:numPr>
          <w:ilvl w:val="0"/>
          <w:numId w:val="44"/>
        </w:numPr>
        <w:suppressAutoHyphens/>
        <w:autoSpaceDE w:val="0"/>
        <w:autoSpaceDN w:val="0"/>
        <w:adjustRightInd w:val="0"/>
        <w:spacing w:line="220" w:lineRule="atLeast"/>
        <w:textAlignment w:val="center"/>
        <w:rPr>
          <w:rFonts w:asciiTheme="minorHAnsi" w:hAnsiTheme="minorHAnsi" w:cstheme="minorHAnsi"/>
          <w:color w:val="000000" w:themeColor="text1"/>
          <w:sz w:val="18"/>
          <w:szCs w:val="18"/>
        </w:rPr>
      </w:pPr>
      <w:r w:rsidRPr="005575FC">
        <w:rPr>
          <w:rFonts w:asciiTheme="minorHAnsi" w:hAnsiTheme="minorHAnsi" w:cstheme="minorHAnsi"/>
          <w:color w:val="000000" w:themeColor="text1"/>
          <w:sz w:val="18"/>
          <w:szCs w:val="18"/>
        </w:rPr>
        <w:t>DJSIR</w:t>
      </w:r>
      <w:r w:rsidR="00D1759D">
        <w:rPr>
          <w:rFonts w:asciiTheme="minorHAnsi" w:hAnsiTheme="minorHAnsi" w:cstheme="minorHAnsi"/>
          <w:color w:val="000000" w:themeColor="text1"/>
          <w:sz w:val="18"/>
          <w:szCs w:val="18"/>
        </w:rPr>
        <w:t>,</w:t>
      </w:r>
      <w:r w:rsidRPr="005575FC">
        <w:rPr>
          <w:rFonts w:asciiTheme="minorHAnsi" w:hAnsiTheme="minorHAnsi" w:cstheme="minorHAnsi"/>
          <w:color w:val="000000" w:themeColor="text1"/>
          <w:sz w:val="18"/>
          <w:szCs w:val="18"/>
        </w:rPr>
        <w:t xml:space="preserve"> Public Interest Disclosure Procedure.</w:t>
      </w:r>
    </w:p>
    <w:p w14:paraId="3AC96CE2" w14:textId="77777777" w:rsidR="00C477B3" w:rsidRPr="00B1138E" w:rsidRDefault="00C477B3" w:rsidP="00C477B3">
      <w:pPr>
        <w:spacing w:after="120" w:line="240" w:lineRule="auto"/>
        <w:rPr>
          <w:rFonts w:asciiTheme="minorHAnsi" w:hAnsiTheme="minorHAnsi" w:cstheme="minorBidi"/>
          <w:b/>
          <w:color w:val="000000" w:themeColor="text1"/>
          <w:sz w:val="4"/>
          <w:szCs w:val="4"/>
        </w:rPr>
      </w:pPr>
    </w:p>
    <w:p w14:paraId="180388EE" w14:textId="6037D07B" w:rsidR="00D37608" w:rsidRPr="00511C14" w:rsidRDefault="00D37608" w:rsidP="00D37608">
      <w:pPr>
        <w:pStyle w:val="Heading3"/>
        <w:rPr>
          <w:color w:val="auto"/>
        </w:rPr>
      </w:pPr>
      <w:bookmarkStart w:id="105" w:name="_Toc164067883"/>
      <w:r w:rsidRPr="00511C14">
        <w:rPr>
          <w:color w:val="auto"/>
        </w:rPr>
        <w:t>5.</w:t>
      </w:r>
      <w:r w:rsidR="00703AFA">
        <w:rPr>
          <w:color w:val="auto"/>
        </w:rPr>
        <w:t>8</w:t>
      </w:r>
      <w:r w:rsidRPr="00511C14">
        <w:rPr>
          <w:color w:val="auto"/>
        </w:rPr>
        <w:t xml:space="preserve">.6 Foreign </w:t>
      </w:r>
      <w:r w:rsidR="00D6435B" w:rsidRPr="00511C14">
        <w:rPr>
          <w:color w:val="auto"/>
        </w:rPr>
        <w:t>interference</w:t>
      </w:r>
      <w:bookmarkEnd w:id="105"/>
    </w:p>
    <w:p w14:paraId="7CE5F154" w14:textId="701DA003" w:rsidR="00050B32" w:rsidRPr="00511C14" w:rsidRDefault="00050B32" w:rsidP="00511C14">
      <w:pPr>
        <w:pStyle w:val="ListBullet"/>
        <w:numPr>
          <w:ilvl w:val="0"/>
          <w:numId w:val="0"/>
        </w:numPr>
        <w:rPr>
          <w:color w:val="auto"/>
        </w:rPr>
      </w:pPr>
      <w:r w:rsidRPr="00511C14">
        <w:rPr>
          <w:color w:val="auto"/>
        </w:rPr>
        <w:t xml:space="preserve">Foreign interference consists of activities carried out by, or on behalf of, a foreign actor, which are coercive, clandestine, deceptive or corrupting and are contrary to Australia’s sovereignty, values and national interest. It is distinct from foreign influence, which, if it is open and transparent, is a normal and welcome aspect of international relations and </w:t>
      </w:r>
      <w:r w:rsidR="006F5432" w:rsidRPr="00511C14">
        <w:rPr>
          <w:color w:val="auto"/>
        </w:rPr>
        <w:t>diplomacy.</w:t>
      </w:r>
    </w:p>
    <w:p w14:paraId="63872CF5" w14:textId="1FDBB4C3" w:rsidR="00F63184" w:rsidRPr="00511C14" w:rsidRDefault="00050B32" w:rsidP="00511C14">
      <w:pPr>
        <w:pStyle w:val="ListBullet"/>
        <w:numPr>
          <w:ilvl w:val="0"/>
          <w:numId w:val="0"/>
        </w:numPr>
        <w:rPr>
          <w:color w:val="auto"/>
        </w:rPr>
      </w:pPr>
      <w:r w:rsidRPr="00511C14">
        <w:rPr>
          <w:color w:val="auto"/>
        </w:rPr>
        <w:t xml:space="preserve">It is vital that we are aware of the risks to Victoria and engage with them in a mature manner to continue to maximise the benefits of being a globally connected, multicultural state. Thus, it is important to ensure that Victoria’s response to foreign interference is reasonable, balanced and informed by an understanding of the broader risk context. </w:t>
      </w:r>
    </w:p>
    <w:p w14:paraId="1C68193B" w14:textId="5F8A9BC8" w:rsidR="00050B32" w:rsidRPr="00511C14" w:rsidRDefault="00050B32" w:rsidP="00511C14">
      <w:pPr>
        <w:pStyle w:val="ListBullet"/>
        <w:numPr>
          <w:ilvl w:val="0"/>
          <w:numId w:val="0"/>
        </w:numPr>
        <w:rPr>
          <w:color w:val="auto"/>
        </w:rPr>
      </w:pPr>
      <w:r w:rsidRPr="00511C14">
        <w:rPr>
          <w:color w:val="auto"/>
        </w:rPr>
        <w:t>As the subject matter experts in understanding their broader business risk, it is the responsibility of Victorian Government departments and portfolio entities to determine how to incorporate consideration of foreign interference risks in their decision-making processes.</w:t>
      </w:r>
    </w:p>
    <w:p w14:paraId="3E738C55" w14:textId="0C5BE58C" w:rsidR="00A35065" w:rsidRPr="00224DAB" w:rsidRDefault="00050B32" w:rsidP="00511C14">
      <w:pPr>
        <w:pStyle w:val="ListBullet"/>
        <w:numPr>
          <w:ilvl w:val="0"/>
          <w:numId w:val="0"/>
        </w:numPr>
      </w:pPr>
      <w:r w:rsidRPr="00511C14">
        <w:rPr>
          <w:color w:val="auto"/>
        </w:rPr>
        <w:t xml:space="preserve">The </w:t>
      </w:r>
      <w:r w:rsidR="00B764DF">
        <w:rPr>
          <w:color w:val="auto"/>
        </w:rPr>
        <w:t>D</w:t>
      </w:r>
      <w:r w:rsidRPr="00511C14">
        <w:rPr>
          <w:color w:val="auto"/>
        </w:rPr>
        <w:t xml:space="preserve">epartment of Premier and Cabinet has produced </w:t>
      </w:r>
      <w:r w:rsidR="00B764DF">
        <w:rPr>
          <w:color w:val="auto"/>
        </w:rPr>
        <w:t>g</w:t>
      </w:r>
      <w:r w:rsidRPr="00511C14">
        <w:rPr>
          <w:color w:val="auto"/>
        </w:rPr>
        <w:t xml:space="preserve">uidance for assessing foreign interference risks to </w:t>
      </w:r>
      <w:r w:rsidRPr="006E1BD6">
        <w:rPr>
          <w:color w:val="auto"/>
        </w:rPr>
        <w:t xml:space="preserve">Victoria for use by all department and entities. Please </w:t>
      </w:r>
      <w:r w:rsidR="001638B9" w:rsidRPr="006E1BD6">
        <w:rPr>
          <w:color w:val="auto"/>
        </w:rPr>
        <w:t xml:space="preserve">contact </w:t>
      </w:r>
      <w:r w:rsidR="00496375" w:rsidRPr="006E1BD6">
        <w:rPr>
          <w:color w:val="auto"/>
        </w:rPr>
        <w:t xml:space="preserve">integrity services </w:t>
      </w:r>
      <w:r w:rsidR="00290F62" w:rsidRPr="006E1BD6">
        <w:rPr>
          <w:color w:val="auto"/>
        </w:rPr>
        <w:t xml:space="preserve">at </w:t>
      </w:r>
      <w:hyperlink r:id="rId77" w:history="1">
        <w:r w:rsidR="0083575D" w:rsidRPr="0075055D">
          <w:rPr>
            <w:rStyle w:val="Hyperlink"/>
          </w:rPr>
          <w:t>integrity@ecodev.vic.gov.au</w:t>
        </w:r>
      </w:hyperlink>
      <w:r w:rsidR="0083575D">
        <w:t xml:space="preserve"> </w:t>
      </w:r>
      <w:r w:rsidR="0083575D" w:rsidRPr="006E1BD6">
        <w:rPr>
          <w:color w:val="auto"/>
        </w:rPr>
        <w:t xml:space="preserve">for a copy of the guidance or further advice. </w:t>
      </w:r>
    </w:p>
    <w:p w14:paraId="5C62F6DD" w14:textId="5845ED80" w:rsidR="00C477B3" w:rsidRPr="00AA78CE" w:rsidRDefault="00C477B3" w:rsidP="00464B1E">
      <w:pPr>
        <w:pStyle w:val="Heading3"/>
        <w:rPr>
          <w:color w:val="000000" w:themeColor="text1"/>
        </w:rPr>
      </w:pPr>
      <w:bookmarkStart w:id="106" w:name="_Toc164067884"/>
      <w:r w:rsidRPr="00AA78CE">
        <w:rPr>
          <w:color w:val="000000" w:themeColor="text1"/>
        </w:rPr>
        <w:lastRenderedPageBreak/>
        <w:t>5.</w:t>
      </w:r>
      <w:r w:rsidR="00703AFA">
        <w:rPr>
          <w:color w:val="000000" w:themeColor="text1"/>
        </w:rPr>
        <w:t>8</w:t>
      </w:r>
      <w:r w:rsidRPr="00AA78CE">
        <w:rPr>
          <w:color w:val="000000" w:themeColor="text1"/>
        </w:rPr>
        <w:t>.</w:t>
      </w:r>
      <w:r w:rsidR="003E4478">
        <w:rPr>
          <w:color w:val="000000" w:themeColor="text1"/>
        </w:rPr>
        <w:t>7</w:t>
      </w:r>
      <w:r w:rsidRPr="00AA78CE">
        <w:rPr>
          <w:color w:val="000000" w:themeColor="text1"/>
        </w:rPr>
        <w:t xml:space="preserve"> Child Safety</w:t>
      </w:r>
      <w:bookmarkEnd w:id="106"/>
    </w:p>
    <w:p w14:paraId="5BA5512D" w14:textId="1C4D9958" w:rsidR="00C477B3" w:rsidRDefault="00C477B3" w:rsidP="00C477B3">
      <w:pPr>
        <w:pStyle w:val="Tabletext"/>
        <w:spacing w:before="0" w:after="120"/>
        <w:rPr>
          <w:color w:val="000000" w:themeColor="text1"/>
        </w:rPr>
      </w:pPr>
      <w:r>
        <w:rPr>
          <w:color w:val="000000" w:themeColor="text1"/>
        </w:rPr>
        <w:t>Entit</w:t>
      </w:r>
      <w:r w:rsidR="004A5FD3">
        <w:rPr>
          <w:color w:val="000000" w:themeColor="text1"/>
        </w:rPr>
        <w:t>ies</w:t>
      </w:r>
      <w:r>
        <w:rPr>
          <w:color w:val="000000" w:themeColor="text1"/>
        </w:rPr>
        <w:t xml:space="preserve"> </w:t>
      </w:r>
      <w:r w:rsidRPr="6EA2976D">
        <w:rPr>
          <w:color w:val="000000" w:themeColor="text1"/>
        </w:rPr>
        <w:t>must</w:t>
      </w:r>
      <w:r>
        <w:rPr>
          <w:color w:val="000000" w:themeColor="text1"/>
        </w:rPr>
        <w:t xml:space="preserve"> be aware of and comply with the following mandatory </w:t>
      </w:r>
      <w:r w:rsidRPr="6EA2976D">
        <w:rPr>
          <w:color w:val="000000" w:themeColor="text1"/>
        </w:rPr>
        <w:t>child safety</w:t>
      </w:r>
      <w:r>
        <w:rPr>
          <w:color w:val="000000" w:themeColor="text1"/>
        </w:rPr>
        <w:t xml:space="preserve"> obligations: </w:t>
      </w:r>
    </w:p>
    <w:p w14:paraId="702823D4" w14:textId="5E200CB7" w:rsidR="00C477B3" w:rsidRDefault="00391707" w:rsidP="007B76F0">
      <w:pPr>
        <w:pStyle w:val="Tabletext"/>
        <w:numPr>
          <w:ilvl w:val="0"/>
          <w:numId w:val="47"/>
        </w:numPr>
        <w:spacing w:before="0" w:after="120"/>
        <w:rPr>
          <w:color w:val="000000" w:themeColor="text1"/>
        </w:rPr>
      </w:pPr>
      <w:r>
        <w:rPr>
          <w:color w:val="000000" w:themeColor="text1"/>
        </w:rPr>
        <w:t>T</w:t>
      </w:r>
      <w:r w:rsidR="00C477B3">
        <w:rPr>
          <w:color w:val="000000" w:themeColor="text1"/>
        </w:rPr>
        <w:t xml:space="preserve">he </w:t>
      </w:r>
      <w:hyperlink r:id="rId78" w:history="1">
        <w:r w:rsidR="00C477B3" w:rsidRPr="00AE7D22">
          <w:rPr>
            <w:rStyle w:val="Hyperlink"/>
          </w:rPr>
          <w:t>Child Safe Standards</w:t>
        </w:r>
      </w:hyperlink>
      <w:r w:rsidR="00C477B3">
        <w:rPr>
          <w:color w:val="000000" w:themeColor="text1"/>
        </w:rPr>
        <w:t xml:space="preserve"> and the </w:t>
      </w:r>
      <w:hyperlink r:id="rId79" w:history="1">
        <w:r w:rsidR="00C477B3" w:rsidRPr="009A3AB0">
          <w:rPr>
            <w:rStyle w:val="Hyperlink"/>
          </w:rPr>
          <w:t>Reportable Conduct Scheme</w:t>
        </w:r>
      </w:hyperlink>
      <w:r w:rsidR="00C477B3">
        <w:rPr>
          <w:color w:val="000000" w:themeColor="text1"/>
        </w:rPr>
        <w:t xml:space="preserve"> made </w:t>
      </w:r>
      <w:r w:rsidR="00C477B3" w:rsidRPr="00152B5B">
        <w:rPr>
          <w:color w:val="000000" w:themeColor="text1"/>
        </w:rPr>
        <w:t xml:space="preserve">under </w:t>
      </w:r>
      <w:hyperlink r:id="rId80" w:history="1">
        <w:r w:rsidR="00C477B3" w:rsidRPr="00A61776">
          <w:rPr>
            <w:rStyle w:val="Hyperlink"/>
          </w:rPr>
          <w:t>the</w:t>
        </w:r>
        <w:r w:rsidR="00C477B3" w:rsidRPr="00A61776">
          <w:rPr>
            <w:rStyle w:val="Hyperlink"/>
            <w:i/>
            <w:iCs/>
          </w:rPr>
          <w:t xml:space="preserve"> Child Wellbeing and Safety Act 2005 (Vic)</w:t>
        </w:r>
      </w:hyperlink>
      <w:r w:rsidR="00C477B3">
        <w:rPr>
          <w:color w:val="000000" w:themeColor="text1"/>
        </w:rPr>
        <w:t xml:space="preserve"> and </w:t>
      </w:r>
      <w:hyperlink r:id="rId81" w:history="1">
        <w:r w:rsidR="00C477B3" w:rsidRPr="008E0E7D">
          <w:rPr>
            <w:rStyle w:val="Hyperlink"/>
            <w:i/>
            <w:iCs/>
          </w:rPr>
          <w:t>Children Legislation Amendment (Reportable Conduct) Act 2017 (Vic)</w:t>
        </w:r>
      </w:hyperlink>
      <w:r w:rsidR="00C477B3">
        <w:rPr>
          <w:color w:val="000000" w:themeColor="text1"/>
        </w:rPr>
        <w:t xml:space="preserve"> (the overarching legislative framework and standards made under this </w:t>
      </w:r>
      <w:r w:rsidR="00AA7330">
        <w:rPr>
          <w:color w:val="000000" w:themeColor="text1"/>
        </w:rPr>
        <w:t>legislation</w:t>
      </w:r>
      <w:r w:rsidR="00C477B3">
        <w:rPr>
          <w:color w:val="000000" w:themeColor="text1"/>
        </w:rPr>
        <w:t>).</w:t>
      </w:r>
    </w:p>
    <w:p w14:paraId="4EF37F37" w14:textId="0E949F53" w:rsidR="00C477B3" w:rsidRDefault="00391707" w:rsidP="007B76F0">
      <w:pPr>
        <w:pStyle w:val="Tabletext"/>
        <w:numPr>
          <w:ilvl w:val="0"/>
          <w:numId w:val="46"/>
        </w:numPr>
        <w:spacing w:before="0" w:after="120"/>
        <w:rPr>
          <w:color w:val="000000" w:themeColor="text1"/>
        </w:rPr>
      </w:pPr>
      <w:r>
        <w:rPr>
          <w:color w:val="000000" w:themeColor="text1"/>
        </w:rPr>
        <w:t>T</w:t>
      </w:r>
      <w:r w:rsidR="00C477B3">
        <w:rPr>
          <w:color w:val="000000" w:themeColor="text1"/>
        </w:rPr>
        <w:t xml:space="preserve">he </w:t>
      </w:r>
      <w:hyperlink r:id="rId82" w:history="1">
        <w:r w:rsidR="00C477B3" w:rsidRPr="00C244EF">
          <w:rPr>
            <w:rStyle w:val="Hyperlink"/>
          </w:rPr>
          <w:t>National Redress Scheme (NRS)</w:t>
        </w:r>
      </w:hyperlink>
      <w:r w:rsidR="00C477B3">
        <w:rPr>
          <w:color w:val="000000" w:themeColor="text1"/>
        </w:rPr>
        <w:t xml:space="preserve"> created under the </w:t>
      </w:r>
      <w:hyperlink r:id="rId83" w:history="1">
        <w:r w:rsidR="00C477B3" w:rsidRPr="000437D8">
          <w:rPr>
            <w:rStyle w:val="Hyperlink"/>
            <w:i/>
            <w:iCs/>
          </w:rPr>
          <w:t>National Redress Scheme for Institutional Child Sexual Abuse Act 2018</w:t>
        </w:r>
      </w:hyperlink>
      <w:r w:rsidR="00C477B3">
        <w:rPr>
          <w:color w:val="000000" w:themeColor="text1"/>
        </w:rPr>
        <w:t>. The NRS offers acknowledgement and support to people who have experienced child sexual abuse.</w:t>
      </w:r>
    </w:p>
    <w:p w14:paraId="6E643CEA" w14:textId="76B0FAA2" w:rsidR="00C477B3" w:rsidRPr="000C7563" w:rsidRDefault="00391707" w:rsidP="007B76F0">
      <w:pPr>
        <w:pStyle w:val="Tabletext"/>
        <w:numPr>
          <w:ilvl w:val="0"/>
          <w:numId w:val="46"/>
        </w:numPr>
        <w:spacing w:before="0" w:after="120"/>
        <w:rPr>
          <w:color w:val="000000" w:themeColor="text1"/>
        </w:rPr>
      </w:pPr>
      <w:r>
        <w:rPr>
          <w:color w:val="000000" w:themeColor="text1"/>
        </w:rPr>
        <w:t>T</w:t>
      </w:r>
      <w:r w:rsidR="00C477B3" w:rsidRPr="00825531">
        <w:rPr>
          <w:color w:val="000000" w:themeColor="text1"/>
        </w:rPr>
        <w:t xml:space="preserve">he requirements for non-government entities funded by Victorian government departments, Court Services Victoria and Family Safety Victoria to be incorporated as separate legal entities and </w:t>
      </w:r>
      <w:r w:rsidR="00C477B3" w:rsidRPr="6EA2976D">
        <w:rPr>
          <w:color w:val="000000" w:themeColor="text1"/>
        </w:rPr>
        <w:t xml:space="preserve">be </w:t>
      </w:r>
      <w:r w:rsidR="00C477B3" w:rsidRPr="00825531">
        <w:rPr>
          <w:color w:val="000000" w:themeColor="text1"/>
        </w:rPr>
        <w:t xml:space="preserve">appropriately insured against child abuse under the </w:t>
      </w:r>
      <w:hyperlink r:id="rId84" w:history="1">
        <w:r w:rsidR="00C477B3" w:rsidRPr="00D93285">
          <w:rPr>
            <w:rStyle w:val="Hyperlink"/>
          </w:rPr>
          <w:t>Victorian Funding Guideline for Services to Children</w:t>
        </w:r>
      </w:hyperlink>
      <w:r w:rsidR="00C477B3" w:rsidRPr="00825531">
        <w:rPr>
          <w:color w:val="000000" w:themeColor="text1"/>
        </w:rPr>
        <w:t>.</w:t>
      </w:r>
    </w:p>
    <w:p w14:paraId="1681D858" w14:textId="1AF6C550" w:rsidR="00C477B3" w:rsidRDefault="00C477B3" w:rsidP="00C477B3">
      <w:pPr>
        <w:pStyle w:val="Tabletext"/>
        <w:spacing w:before="0" w:after="120"/>
        <w:rPr>
          <w:color w:val="000000" w:themeColor="text1"/>
        </w:rPr>
      </w:pPr>
      <w:r>
        <w:rPr>
          <w:color w:val="000000" w:themeColor="text1"/>
        </w:rPr>
        <w:t>All Victorian organisations (including public sector entities) that provide services or facilities to children need to have policies, procedures and process</w:t>
      </w:r>
      <w:r w:rsidR="007A0E65">
        <w:rPr>
          <w:color w:val="000000" w:themeColor="text1"/>
        </w:rPr>
        <w:t>es</w:t>
      </w:r>
      <w:r>
        <w:rPr>
          <w:color w:val="000000" w:themeColor="text1"/>
        </w:rPr>
        <w:t xml:space="preserve"> in place to prevent and respond to child abuse.</w:t>
      </w:r>
    </w:p>
    <w:p w14:paraId="0E555AD9" w14:textId="7CE63DCF" w:rsidR="00C477B3" w:rsidRPr="00CC07ED" w:rsidRDefault="00C477B3" w:rsidP="00C477B3">
      <w:pPr>
        <w:pStyle w:val="Tabletext"/>
        <w:spacing w:before="0" w:after="120"/>
        <w:rPr>
          <w:color w:val="000000" w:themeColor="text1"/>
        </w:rPr>
      </w:pPr>
      <w:r>
        <w:rPr>
          <w:rStyle w:val="normaltextrun"/>
          <w:color w:val="000000" w:themeColor="text1"/>
        </w:rPr>
        <w:t xml:space="preserve">It is important that </w:t>
      </w:r>
      <w:r w:rsidR="00B764DF">
        <w:rPr>
          <w:rStyle w:val="normaltextrun"/>
          <w:color w:val="000000" w:themeColor="text1"/>
        </w:rPr>
        <w:t>e</w:t>
      </w:r>
      <w:r>
        <w:rPr>
          <w:rStyle w:val="normaltextrun"/>
          <w:color w:val="000000" w:themeColor="text1"/>
        </w:rPr>
        <w:t>ntities are</w:t>
      </w:r>
      <w:r w:rsidRPr="00CC07ED">
        <w:rPr>
          <w:rStyle w:val="normaltextrun"/>
          <w:color w:val="000000" w:themeColor="text1"/>
        </w:rPr>
        <w:t xml:space="preserve"> aware of </w:t>
      </w:r>
      <w:r>
        <w:rPr>
          <w:rStyle w:val="normaltextrun"/>
          <w:color w:val="000000" w:themeColor="text1"/>
        </w:rPr>
        <w:t>the</w:t>
      </w:r>
      <w:r w:rsidRPr="00CC07ED">
        <w:rPr>
          <w:rStyle w:val="normaltextrun"/>
          <w:color w:val="000000" w:themeColor="text1"/>
        </w:rPr>
        <w:t xml:space="preserve"> </w:t>
      </w:r>
      <w:r>
        <w:rPr>
          <w:rStyle w:val="normaltextrun"/>
          <w:color w:val="000000" w:themeColor="text1"/>
        </w:rPr>
        <w:t>three</w:t>
      </w:r>
      <w:r w:rsidRPr="00CC07ED">
        <w:rPr>
          <w:rStyle w:val="normaltextrun"/>
          <w:color w:val="000000" w:themeColor="text1"/>
        </w:rPr>
        <w:t xml:space="preserve"> overarching </w:t>
      </w:r>
      <w:r w:rsidR="00B764DF">
        <w:rPr>
          <w:rStyle w:val="normaltextrun"/>
          <w:color w:val="000000" w:themeColor="text1"/>
        </w:rPr>
        <w:t>c</w:t>
      </w:r>
      <w:r w:rsidRPr="00CC07ED">
        <w:rPr>
          <w:rStyle w:val="normaltextrun"/>
          <w:color w:val="000000" w:themeColor="text1"/>
        </w:rPr>
        <w:t xml:space="preserve">hild </w:t>
      </w:r>
      <w:r w:rsidR="00B764DF">
        <w:rPr>
          <w:rStyle w:val="normaltextrun"/>
          <w:color w:val="000000" w:themeColor="text1"/>
        </w:rPr>
        <w:t>s</w:t>
      </w:r>
      <w:r w:rsidRPr="00CC07ED">
        <w:rPr>
          <w:rStyle w:val="normaltextrun"/>
          <w:color w:val="000000" w:themeColor="text1"/>
        </w:rPr>
        <w:t xml:space="preserve">afety </w:t>
      </w:r>
      <w:r w:rsidRPr="00CC07ED">
        <w:rPr>
          <w:color w:val="000000" w:themeColor="text1"/>
        </w:rPr>
        <w:t>responsibilities</w:t>
      </w:r>
      <w:r>
        <w:rPr>
          <w:color w:val="000000" w:themeColor="text1"/>
        </w:rPr>
        <w:t xml:space="preserve"> pursuant to the child safety obligations listed above and how they apply to their organisation. These are</w:t>
      </w:r>
      <w:r w:rsidRPr="00CC07ED">
        <w:rPr>
          <w:color w:val="000000" w:themeColor="text1"/>
        </w:rPr>
        <w:t xml:space="preserve">: </w:t>
      </w:r>
    </w:p>
    <w:p w14:paraId="7B8AF71E" w14:textId="6F1D0AD4" w:rsidR="00C477B3" w:rsidRPr="005575FC" w:rsidRDefault="007A0E65" w:rsidP="007B76F0">
      <w:pPr>
        <w:pStyle w:val="ListParagraph"/>
        <w:numPr>
          <w:ilvl w:val="0"/>
          <w:numId w:val="41"/>
        </w:numPr>
        <w:spacing w:after="12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w:t>
      </w:r>
      <w:r w:rsidR="00C477B3" w:rsidRPr="005575FC">
        <w:rPr>
          <w:rFonts w:asciiTheme="minorHAnsi" w:hAnsiTheme="minorHAnsi" w:cstheme="minorHAnsi"/>
          <w:color w:val="000000" w:themeColor="text1"/>
          <w:sz w:val="18"/>
          <w:szCs w:val="18"/>
        </w:rPr>
        <w:t xml:space="preserve">f your </w:t>
      </w:r>
      <w:r w:rsidR="00EA66C1">
        <w:rPr>
          <w:rFonts w:asciiTheme="minorHAnsi" w:hAnsiTheme="minorHAnsi" w:cstheme="minorHAnsi"/>
          <w:color w:val="000000" w:themeColor="text1"/>
          <w:sz w:val="18"/>
          <w:szCs w:val="18"/>
        </w:rPr>
        <w:t>e</w:t>
      </w:r>
      <w:r w:rsidR="00C477B3" w:rsidRPr="005575FC">
        <w:rPr>
          <w:rFonts w:asciiTheme="minorHAnsi" w:hAnsiTheme="minorHAnsi" w:cstheme="minorHAnsi"/>
          <w:color w:val="000000" w:themeColor="text1"/>
          <w:sz w:val="18"/>
          <w:szCs w:val="18"/>
        </w:rPr>
        <w:t xml:space="preserve">ntity works with, employs or provides direct services to children or young people, be aware of the requirements under the </w:t>
      </w:r>
      <w:r w:rsidR="00C477B3" w:rsidRPr="005575FC">
        <w:rPr>
          <w:rFonts w:asciiTheme="minorHAnsi" w:hAnsiTheme="minorHAnsi" w:cstheme="minorHAnsi"/>
          <w:sz w:val="18"/>
          <w:szCs w:val="18"/>
        </w:rPr>
        <w:t>Child Safe Standards</w:t>
      </w:r>
      <w:r w:rsidR="00C477B3" w:rsidRPr="005575FC">
        <w:rPr>
          <w:rFonts w:asciiTheme="minorHAnsi" w:hAnsiTheme="minorHAnsi" w:cstheme="minorHAnsi"/>
          <w:color w:val="000000" w:themeColor="text1"/>
          <w:sz w:val="18"/>
          <w:szCs w:val="18"/>
        </w:rPr>
        <w:t xml:space="preserve"> and the Reportable Conduct Scheme.</w:t>
      </w:r>
    </w:p>
    <w:p w14:paraId="1D373442" w14:textId="5F7F3C5B" w:rsidR="00C477B3" w:rsidRPr="005575FC" w:rsidRDefault="007A0E65" w:rsidP="007B76F0">
      <w:pPr>
        <w:pStyle w:val="ListParagraph"/>
        <w:numPr>
          <w:ilvl w:val="0"/>
          <w:numId w:val="41"/>
        </w:numPr>
        <w:spacing w:after="12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w:t>
      </w:r>
      <w:r w:rsidR="00C477B3" w:rsidRPr="005575FC">
        <w:rPr>
          <w:rFonts w:asciiTheme="minorHAnsi" w:hAnsiTheme="minorHAnsi" w:cstheme="minorHAnsi"/>
          <w:color w:val="000000" w:themeColor="text1"/>
          <w:sz w:val="18"/>
          <w:szCs w:val="18"/>
        </w:rPr>
        <w:t xml:space="preserve">f you </w:t>
      </w:r>
      <w:r w:rsidR="00EA66C1">
        <w:rPr>
          <w:rFonts w:asciiTheme="minorHAnsi" w:hAnsiTheme="minorHAnsi" w:cstheme="minorHAnsi"/>
          <w:color w:val="000000" w:themeColor="text1"/>
          <w:sz w:val="18"/>
          <w:szCs w:val="18"/>
        </w:rPr>
        <w:t>e</w:t>
      </w:r>
      <w:r w:rsidR="00C477B3" w:rsidRPr="005575FC">
        <w:rPr>
          <w:rFonts w:asciiTheme="minorHAnsi" w:hAnsiTheme="minorHAnsi" w:cstheme="minorHAnsi"/>
          <w:color w:val="000000" w:themeColor="text1"/>
          <w:sz w:val="18"/>
          <w:szCs w:val="18"/>
        </w:rPr>
        <w:t xml:space="preserve">ntity is a funding provider, be familiar with the requirements contained within the </w:t>
      </w:r>
      <w:hyperlink r:id="rId85" w:history="1">
        <w:r w:rsidR="00C477B3" w:rsidRPr="00D93285">
          <w:rPr>
            <w:rStyle w:val="Hyperlink"/>
            <w:rFonts w:asciiTheme="minorHAnsi" w:hAnsiTheme="minorHAnsi" w:cstheme="minorHAnsi"/>
            <w:sz w:val="18"/>
            <w:szCs w:val="18"/>
          </w:rPr>
          <w:t>Victorian Funding Guideline for Services to Children</w:t>
        </w:r>
      </w:hyperlink>
      <w:r w:rsidR="00C477B3" w:rsidRPr="005575FC">
        <w:rPr>
          <w:rFonts w:asciiTheme="minorHAnsi" w:hAnsiTheme="minorHAnsi" w:cstheme="minorHAnsi"/>
          <w:color w:val="000000" w:themeColor="text1"/>
          <w:sz w:val="18"/>
          <w:szCs w:val="18"/>
        </w:rPr>
        <w:t xml:space="preserve"> which include but </w:t>
      </w:r>
      <w:r w:rsidR="00D93285">
        <w:rPr>
          <w:rFonts w:asciiTheme="minorHAnsi" w:hAnsiTheme="minorHAnsi" w:cstheme="minorHAnsi"/>
          <w:color w:val="000000" w:themeColor="text1"/>
          <w:sz w:val="18"/>
          <w:szCs w:val="18"/>
        </w:rPr>
        <w:t>are</w:t>
      </w:r>
      <w:r w:rsidR="00C477B3" w:rsidRPr="005575FC">
        <w:rPr>
          <w:rFonts w:asciiTheme="minorHAnsi" w:hAnsiTheme="minorHAnsi" w:cstheme="minorHAnsi"/>
          <w:color w:val="000000" w:themeColor="text1"/>
          <w:sz w:val="18"/>
          <w:szCs w:val="18"/>
        </w:rPr>
        <w:t xml:space="preserve"> not limited to:</w:t>
      </w:r>
    </w:p>
    <w:p w14:paraId="69DC9347" w14:textId="2F3B56C3" w:rsidR="00C477B3" w:rsidRPr="004E5C8C" w:rsidRDefault="00C477B3" w:rsidP="007B76F0">
      <w:pPr>
        <w:pStyle w:val="Tabletext"/>
        <w:numPr>
          <w:ilvl w:val="1"/>
          <w:numId w:val="41"/>
        </w:numPr>
        <w:spacing w:before="0" w:after="0"/>
        <w:rPr>
          <w:color w:val="000000" w:themeColor="text1"/>
        </w:rPr>
      </w:pPr>
      <w:r w:rsidRPr="49EB97DC">
        <w:rPr>
          <w:color w:val="000000" w:themeColor="text1"/>
        </w:rPr>
        <w:t>that all staff or contractors working with children undergo appropriate screening and recruitment practices</w:t>
      </w:r>
    </w:p>
    <w:p w14:paraId="4E0AF9B0" w14:textId="4FC00697" w:rsidR="00C477B3" w:rsidRPr="005575FC" w:rsidRDefault="00C477B3" w:rsidP="007B76F0">
      <w:pPr>
        <w:pStyle w:val="Tabletext"/>
        <w:numPr>
          <w:ilvl w:val="1"/>
          <w:numId w:val="41"/>
        </w:numPr>
        <w:spacing w:before="0" w:after="0"/>
        <w:rPr>
          <w:rFonts w:asciiTheme="minorHAnsi" w:hAnsiTheme="minorHAnsi" w:cstheme="minorHAnsi"/>
          <w:color w:val="000000" w:themeColor="text1"/>
        </w:rPr>
      </w:pPr>
      <w:r>
        <w:rPr>
          <w:color w:val="000000" w:themeColor="text1"/>
        </w:rPr>
        <w:t>t</w:t>
      </w:r>
      <w:r w:rsidRPr="004E5C8C">
        <w:rPr>
          <w:color w:val="000000" w:themeColor="text1"/>
        </w:rPr>
        <w:t xml:space="preserve">hat </w:t>
      </w:r>
      <w:r>
        <w:rPr>
          <w:color w:val="000000" w:themeColor="text1"/>
        </w:rPr>
        <w:t>fu</w:t>
      </w:r>
      <w:r w:rsidRPr="004E5C8C">
        <w:rPr>
          <w:color w:val="000000" w:themeColor="text1"/>
        </w:rPr>
        <w:t xml:space="preserve">nded </w:t>
      </w:r>
      <w:r>
        <w:rPr>
          <w:color w:val="000000" w:themeColor="text1"/>
        </w:rPr>
        <w:t>o</w:t>
      </w:r>
      <w:r w:rsidRPr="004E5C8C">
        <w:rPr>
          <w:color w:val="000000" w:themeColor="text1"/>
        </w:rPr>
        <w:t>rganisations</w:t>
      </w:r>
      <w:r>
        <w:rPr>
          <w:color w:val="000000" w:themeColor="text1"/>
        </w:rPr>
        <w:t xml:space="preserve"> (</w:t>
      </w:r>
      <w:r w:rsidRPr="14667A63">
        <w:rPr>
          <w:color w:val="000000" w:themeColor="text1"/>
        </w:rPr>
        <w:t>non</w:t>
      </w:r>
      <w:r>
        <w:rPr>
          <w:color w:val="000000" w:themeColor="text1"/>
        </w:rPr>
        <w:t xml:space="preserve">-government organisations receiving funding directly from your </w:t>
      </w:r>
      <w:r w:rsidR="00EA66C1">
        <w:rPr>
          <w:color w:val="000000" w:themeColor="text1"/>
        </w:rPr>
        <w:t>e</w:t>
      </w:r>
      <w:r w:rsidRPr="14667A63">
        <w:rPr>
          <w:color w:val="000000" w:themeColor="text1"/>
        </w:rPr>
        <w:t>ntity</w:t>
      </w:r>
      <w:r>
        <w:rPr>
          <w:color w:val="000000" w:themeColor="text1"/>
        </w:rPr>
        <w:t xml:space="preserve"> </w:t>
      </w:r>
      <w:r w:rsidRPr="005575FC">
        <w:rPr>
          <w:rFonts w:asciiTheme="minorHAnsi" w:hAnsiTheme="minorHAnsi" w:cstheme="minorHAnsi"/>
          <w:color w:val="000000" w:themeColor="text1"/>
        </w:rPr>
        <w:t xml:space="preserve">for direct delivery of services to children) comply with all relevant </w:t>
      </w:r>
      <w:r w:rsidR="00B764DF">
        <w:rPr>
          <w:rFonts w:asciiTheme="minorHAnsi" w:hAnsiTheme="minorHAnsi" w:cstheme="minorHAnsi"/>
          <w:color w:val="000000" w:themeColor="text1"/>
        </w:rPr>
        <w:t>c</w:t>
      </w:r>
      <w:r w:rsidRPr="005575FC">
        <w:rPr>
          <w:rFonts w:asciiTheme="minorHAnsi" w:hAnsiTheme="minorHAnsi" w:cstheme="minorHAnsi"/>
          <w:color w:val="000000" w:themeColor="text1"/>
        </w:rPr>
        <w:t xml:space="preserve">hild </w:t>
      </w:r>
      <w:r w:rsidR="00B764DF">
        <w:rPr>
          <w:rFonts w:asciiTheme="minorHAnsi" w:hAnsiTheme="minorHAnsi" w:cstheme="minorHAnsi"/>
          <w:color w:val="000000" w:themeColor="text1"/>
        </w:rPr>
        <w:t>s</w:t>
      </w:r>
      <w:r w:rsidRPr="005575FC">
        <w:rPr>
          <w:rFonts w:asciiTheme="minorHAnsi" w:hAnsiTheme="minorHAnsi" w:cstheme="minorHAnsi"/>
          <w:color w:val="000000" w:themeColor="text1"/>
        </w:rPr>
        <w:t xml:space="preserve">afety </w:t>
      </w:r>
      <w:r w:rsidR="00B764DF">
        <w:rPr>
          <w:rFonts w:asciiTheme="minorHAnsi" w:hAnsiTheme="minorHAnsi" w:cstheme="minorHAnsi"/>
          <w:color w:val="000000" w:themeColor="text1"/>
        </w:rPr>
        <w:t>l</w:t>
      </w:r>
      <w:r w:rsidRPr="005575FC">
        <w:rPr>
          <w:rFonts w:asciiTheme="minorHAnsi" w:hAnsiTheme="minorHAnsi" w:cstheme="minorHAnsi"/>
          <w:color w:val="000000" w:themeColor="text1"/>
        </w:rPr>
        <w:t>aws</w:t>
      </w:r>
    </w:p>
    <w:p w14:paraId="1619A830" w14:textId="77777777" w:rsidR="00C477B3" w:rsidRDefault="00C477B3" w:rsidP="007B76F0">
      <w:pPr>
        <w:pStyle w:val="Tabletext"/>
        <w:numPr>
          <w:ilvl w:val="1"/>
          <w:numId w:val="41"/>
        </w:numPr>
        <w:spacing w:before="0" w:after="0" w:line="220" w:lineRule="atLeast"/>
        <w:ind w:left="1208" w:hanging="357"/>
        <w:rPr>
          <w:rFonts w:asciiTheme="minorHAnsi" w:hAnsiTheme="minorHAnsi" w:cstheme="minorHAnsi"/>
          <w:color w:val="000000" w:themeColor="text1"/>
        </w:rPr>
      </w:pPr>
      <w:r w:rsidRPr="005575FC">
        <w:rPr>
          <w:rFonts w:asciiTheme="minorHAnsi" w:hAnsiTheme="minorHAnsi" w:cstheme="minorHAnsi"/>
          <w:color w:val="000000" w:themeColor="text1"/>
        </w:rPr>
        <w:t>any third party’s obligations relating to child safety are replicated in sub-contracts where relevant.</w:t>
      </w:r>
    </w:p>
    <w:p w14:paraId="0FB36D7D" w14:textId="77777777" w:rsidR="00547CC7" w:rsidRPr="005575FC" w:rsidRDefault="00547CC7" w:rsidP="00464B1E">
      <w:pPr>
        <w:pStyle w:val="Tabletext"/>
        <w:spacing w:before="0" w:after="0" w:line="220" w:lineRule="atLeast"/>
        <w:ind w:left="1208"/>
        <w:rPr>
          <w:rFonts w:asciiTheme="minorHAnsi" w:hAnsiTheme="minorHAnsi" w:cstheme="minorHAnsi"/>
          <w:color w:val="000000" w:themeColor="text1"/>
        </w:rPr>
      </w:pPr>
    </w:p>
    <w:p w14:paraId="7155E558" w14:textId="599FDE66" w:rsidR="00C477B3" w:rsidRPr="005575FC" w:rsidRDefault="00C477B3" w:rsidP="007B76F0">
      <w:pPr>
        <w:pStyle w:val="ListParagraph"/>
        <w:numPr>
          <w:ilvl w:val="0"/>
          <w:numId w:val="41"/>
        </w:numPr>
        <w:rPr>
          <w:rFonts w:asciiTheme="minorHAnsi" w:hAnsiTheme="minorHAnsi" w:cstheme="minorHAnsi"/>
          <w:color w:val="000000" w:themeColor="text1"/>
          <w:sz w:val="18"/>
          <w:szCs w:val="18"/>
        </w:rPr>
      </w:pPr>
      <w:r w:rsidRPr="005575FC">
        <w:rPr>
          <w:rFonts w:asciiTheme="minorHAnsi" w:hAnsiTheme="minorHAnsi" w:cstheme="minorHAnsi"/>
          <w:color w:val="000000" w:themeColor="text1"/>
          <w:sz w:val="18"/>
          <w:szCs w:val="18"/>
        </w:rPr>
        <w:t xml:space="preserve">Entities will need to consider and respond to requests for information from the </w:t>
      </w:r>
      <w:hyperlink r:id="rId86" w:history="1">
        <w:r w:rsidRPr="00096A99">
          <w:rPr>
            <w:rStyle w:val="Hyperlink"/>
            <w:rFonts w:asciiTheme="minorHAnsi" w:hAnsiTheme="minorHAnsi" w:cstheme="minorHAnsi"/>
            <w:sz w:val="18"/>
            <w:szCs w:val="18"/>
          </w:rPr>
          <w:t>National Redress Scheme</w:t>
        </w:r>
      </w:hyperlink>
      <w:r w:rsidRPr="005575FC">
        <w:rPr>
          <w:rFonts w:asciiTheme="minorHAnsi" w:hAnsiTheme="minorHAnsi" w:cstheme="minorHAnsi"/>
          <w:color w:val="000000" w:themeColor="text1"/>
          <w:sz w:val="18"/>
          <w:szCs w:val="18"/>
        </w:rPr>
        <w:t>. The scheme was set up to provide support to people who experienced child sexual abuse.</w:t>
      </w:r>
    </w:p>
    <w:p w14:paraId="074C4BBF" w14:textId="77777777" w:rsidR="00C477B3" w:rsidRPr="000F1021" w:rsidRDefault="00C477B3" w:rsidP="00C477B3">
      <w:pPr>
        <w:pStyle w:val="ListParagraph"/>
        <w:rPr>
          <w:color w:val="000000" w:themeColor="text1"/>
        </w:rPr>
      </w:pPr>
    </w:p>
    <w:p w14:paraId="15028BB9" w14:textId="0A219D3C" w:rsidR="00C477B3" w:rsidRPr="000F1021" w:rsidRDefault="00C477B3" w:rsidP="00C477B3">
      <w:pPr>
        <w:rPr>
          <w:color w:val="000000" w:themeColor="text1"/>
        </w:rPr>
      </w:pPr>
      <w:r w:rsidRPr="14667A63">
        <w:rPr>
          <w:color w:val="000000" w:themeColor="text1"/>
        </w:rPr>
        <w:t xml:space="preserve">Further information in relation to </w:t>
      </w:r>
      <w:r w:rsidR="00B764DF">
        <w:rPr>
          <w:color w:val="000000" w:themeColor="text1"/>
        </w:rPr>
        <w:t>c</w:t>
      </w:r>
      <w:r w:rsidRPr="14667A63">
        <w:rPr>
          <w:color w:val="000000" w:themeColor="text1"/>
        </w:rPr>
        <w:t xml:space="preserve">hild </w:t>
      </w:r>
      <w:r w:rsidR="00B764DF">
        <w:rPr>
          <w:color w:val="000000" w:themeColor="text1"/>
        </w:rPr>
        <w:t>s</w:t>
      </w:r>
      <w:r w:rsidRPr="14667A63">
        <w:rPr>
          <w:color w:val="000000" w:themeColor="text1"/>
        </w:rPr>
        <w:t>afety is available, including:</w:t>
      </w:r>
    </w:p>
    <w:p w14:paraId="1DB6E790" w14:textId="3ABFFF6D" w:rsidR="00C477B3" w:rsidRPr="007A0E65" w:rsidRDefault="0089196B" w:rsidP="007B76F0">
      <w:pPr>
        <w:pStyle w:val="ListParagraph"/>
        <w:numPr>
          <w:ilvl w:val="0"/>
          <w:numId w:val="43"/>
        </w:numPr>
        <w:rPr>
          <w:rStyle w:val="Emphasis"/>
          <w:rFonts w:asciiTheme="minorHAnsi" w:hAnsiTheme="minorHAnsi" w:cstheme="minorHAnsi"/>
          <w:i w:val="0"/>
          <w:iCs w:val="0"/>
          <w:color w:val="000000" w:themeColor="text1"/>
          <w:sz w:val="18"/>
          <w:szCs w:val="18"/>
        </w:rPr>
      </w:pPr>
      <w:hyperlink r:id="rId87" w:history="1">
        <w:r w:rsidR="00C477B3" w:rsidRPr="00464B1E">
          <w:rPr>
            <w:rStyle w:val="Hyperlink"/>
            <w:rFonts w:asciiTheme="minorHAnsi" w:hAnsiTheme="minorHAnsi" w:cstheme="minorHAnsi"/>
            <w:i/>
            <w:sz w:val="18"/>
            <w:szCs w:val="18"/>
          </w:rPr>
          <w:t>Child Wellbeing and Safety Act 2005 (Vic).</w:t>
        </w:r>
      </w:hyperlink>
    </w:p>
    <w:p w14:paraId="0CDE515D" w14:textId="53014D9A" w:rsidR="00C477B3" w:rsidRPr="005575FC" w:rsidRDefault="0089196B" w:rsidP="007B76F0">
      <w:pPr>
        <w:numPr>
          <w:ilvl w:val="0"/>
          <w:numId w:val="43"/>
        </w:numPr>
        <w:suppressAutoHyphens w:val="0"/>
        <w:autoSpaceDE/>
        <w:autoSpaceDN/>
        <w:adjustRightInd/>
        <w:spacing w:before="100" w:beforeAutospacing="1" w:after="0" w:line="240" w:lineRule="auto"/>
        <w:textAlignment w:val="auto"/>
        <w:rPr>
          <w:rFonts w:asciiTheme="minorHAnsi" w:eastAsia="Times New Roman" w:hAnsiTheme="minorHAnsi" w:cstheme="minorHAnsi"/>
          <w:color w:val="000000" w:themeColor="text1"/>
          <w:lang w:val="en-AU" w:eastAsia="en-AU"/>
        </w:rPr>
      </w:pPr>
      <w:hyperlink r:id="rId88" w:history="1">
        <w:r w:rsidR="009A4312" w:rsidRPr="00F22408">
          <w:rPr>
            <w:rStyle w:val="Hyperlink"/>
            <w:rFonts w:asciiTheme="minorHAnsi" w:eastAsia="Times New Roman" w:hAnsiTheme="minorHAnsi" w:cstheme="minorHAnsi"/>
            <w:i/>
            <w:lang w:val="en-AU" w:eastAsia="en-AU"/>
          </w:rPr>
          <w:t>Worker Screening Act 2020</w:t>
        </w:r>
      </w:hyperlink>
    </w:p>
    <w:p w14:paraId="47E40C4A" w14:textId="078BE516" w:rsidR="00C477B3" w:rsidRPr="005575FC" w:rsidRDefault="0089196B" w:rsidP="007B76F0">
      <w:pPr>
        <w:numPr>
          <w:ilvl w:val="0"/>
          <w:numId w:val="43"/>
        </w:numPr>
        <w:suppressAutoHyphens w:val="0"/>
        <w:autoSpaceDE/>
        <w:autoSpaceDN/>
        <w:adjustRightInd/>
        <w:spacing w:before="100" w:beforeAutospacing="1" w:after="0" w:line="240" w:lineRule="auto"/>
        <w:textAlignment w:val="auto"/>
        <w:rPr>
          <w:rFonts w:asciiTheme="minorHAnsi" w:eastAsia="Times New Roman" w:hAnsiTheme="minorHAnsi" w:cstheme="minorHAnsi"/>
          <w:color w:val="000000" w:themeColor="text1"/>
          <w:lang w:val="en-AU" w:eastAsia="en-AU"/>
        </w:rPr>
      </w:pPr>
      <w:hyperlink r:id="rId89" w:history="1">
        <w:r w:rsidR="00C477B3" w:rsidRPr="009E1CCD">
          <w:rPr>
            <w:rStyle w:val="Hyperlink"/>
            <w:rFonts w:asciiTheme="minorHAnsi" w:eastAsia="Times New Roman" w:hAnsiTheme="minorHAnsi" w:cstheme="minorHAnsi"/>
            <w:lang w:val="en-AU" w:eastAsia="en-AU"/>
          </w:rPr>
          <w:t>National Principles for Child Safe Organisations.</w:t>
        </w:r>
      </w:hyperlink>
    </w:p>
    <w:p w14:paraId="12B852DE" w14:textId="48A1FFEF" w:rsidR="00C477B3" w:rsidRPr="005575FC" w:rsidRDefault="0089196B" w:rsidP="007B76F0">
      <w:pPr>
        <w:pStyle w:val="NormalWeb"/>
        <w:numPr>
          <w:ilvl w:val="0"/>
          <w:numId w:val="43"/>
        </w:numPr>
        <w:rPr>
          <w:rFonts w:asciiTheme="minorHAnsi" w:hAnsiTheme="minorHAnsi" w:cstheme="minorHAnsi"/>
          <w:color w:val="000000" w:themeColor="text1"/>
          <w:sz w:val="18"/>
          <w:szCs w:val="18"/>
        </w:rPr>
      </w:pPr>
      <w:hyperlink r:id="rId90" w:history="1">
        <w:r w:rsidR="00C477B3" w:rsidRPr="00EB6AC8">
          <w:rPr>
            <w:rStyle w:val="Hyperlink"/>
            <w:rFonts w:asciiTheme="minorHAnsi" w:hAnsiTheme="minorHAnsi" w:cstheme="minorHAnsi"/>
            <w:sz w:val="18"/>
            <w:szCs w:val="18"/>
          </w:rPr>
          <w:t>Commission for Children and Young People website.</w:t>
        </w:r>
      </w:hyperlink>
    </w:p>
    <w:p w14:paraId="444FDC46" w14:textId="7541E2A9" w:rsidR="00C477B3" w:rsidRPr="005575FC" w:rsidRDefault="0089196B" w:rsidP="007B76F0">
      <w:pPr>
        <w:pStyle w:val="NormalWeb"/>
        <w:numPr>
          <w:ilvl w:val="0"/>
          <w:numId w:val="43"/>
        </w:numPr>
        <w:rPr>
          <w:rFonts w:asciiTheme="minorHAnsi" w:hAnsiTheme="minorHAnsi" w:cstheme="minorHAnsi"/>
          <w:color w:val="000000" w:themeColor="text1"/>
          <w:sz w:val="18"/>
          <w:szCs w:val="18"/>
        </w:rPr>
      </w:pPr>
      <w:hyperlink r:id="rId91" w:history="1">
        <w:r w:rsidR="00C477B3" w:rsidRPr="00B63957">
          <w:rPr>
            <w:rStyle w:val="Hyperlink"/>
            <w:rFonts w:asciiTheme="minorHAnsi" w:hAnsiTheme="minorHAnsi" w:cstheme="minorHAnsi"/>
            <w:sz w:val="18"/>
            <w:szCs w:val="18"/>
          </w:rPr>
          <w:t>National Redress Scheme.</w:t>
        </w:r>
      </w:hyperlink>
    </w:p>
    <w:p w14:paraId="46C24A29" w14:textId="245D7F87" w:rsidR="00C477B3" w:rsidRPr="005575FC" w:rsidRDefault="0089196B" w:rsidP="007B76F0">
      <w:pPr>
        <w:pStyle w:val="NormalWeb"/>
        <w:numPr>
          <w:ilvl w:val="0"/>
          <w:numId w:val="43"/>
        </w:numPr>
        <w:rPr>
          <w:rFonts w:asciiTheme="minorHAnsi" w:hAnsiTheme="minorHAnsi" w:cstheme="minorHAnsi"/>
          <w:color w:val="000000" w:themeColor="text1"/>
          <w:sz w:val="18"/>
          <w:szCs w:val="18"/>
        </w:rPr>
      </w:pPr>
      <w:hyperlink r:id="rId92" w:history="1">
        <w:r w:rsidR="00C477B3" w:rsidRPr="009135FC">
          <w:rPr>
            <w:rStyle w:val="Hyperlink"/>
            <w:rFonts w:asciiTheme="minorHAnsi" w:hAnsiTheme="minorHAnsi" w:cstheme="minorHAnsi"/>
            <w:sz w:val="18"/>
            <w:szCs w:val="18"/>
          </w:rPr>
          <w:t>Victorian Funding Guideline for Services to Children.</w:t>
        </w:r>
      </w:hyperlink>
    </w:p>
    <w:p w14:paraId="26A3F3D8" w14:textId="740AFFBC" w:rsidR="00C477B3" w:rsidRPr="005575FC" w:rsidRDefault="0089196B" w:rsidP="007B76F0">
      <w:pPr>
        <w:pStyle w:val="ListParagraph"/>
        <w:numPr>
          <w:ilvl w:val="0"/>
          <w:numId w:val="43"/>
        </w:numPr>
        <w:rPr>
          <w:rFonts w:asciiTheme="minorHAnsi" w:hAnsiTheme="minorHAnsi" w:cstheme="minorHAnsi"/>
          <w:color w:val="000000" w:themeColor="text1"/>
          <w:sz w:val="18"/>
          <w:szCs w:val="18"/>
        </w:rPr>
      </w:pPr>
      <w:hyperlink r:id="rId93" w:anchor="child-safe-standards" w:history="1">
        <w:r w:rsidR="00C53E33" w:rsidRPr="00C53E33">
          <w:rPr>
            <w:rStyle w:val="Hyperlink"/>
            <w:rFonts w:asciiTheme="minorHAnsi" w:hAnsiTheme="minorHAnsi" w:cstheme="minorHAnsi"/>
            <w:sz w:val="18"/>
            <w:szCs w:val="18"/>
          </w:rPr>
          <w:t>Child Safety at DJSIR</w:t>
        </w:r>
      </w:hyperlink>
    </w:p>
    <w:p w14:paraId="7ACE5CFD" w14:textId="77777777" w:rsidR="00C477B3" w:rsidRPr="00440D30" w:rsidRDefault="00C477B3" w:rsidP="00C477B3">
      <w:pPr>
        <w:suppressAutoHyphens w:val="0"/>
        <w:autoSpaceDE/>
        <w:autoSpaceDN/>
        <w:adjustRightInd/>
        <w:spacing w:after="0" w:line="240" w:lineRule="auto"/>
        <w:ind w:left="360"/>
        <w:textAlignment w:val="auto"/>
        <w:rPr>
          <w:color w:val="000000" w:themeColor="text1"/>
        </w:rPr>
      </w:pPr>
    </w:p>
    <w:p w14:paraId="59D2469A" w14:textId="7C844D78" w:rsidR="00C477B3" w:rsidRPr="007C3FAD" w:rsidRDefault="00C477B3" w:rsidP="00C477B3">
      <w:pPr>
        <w:pStyle w:val="Heading3"/>
        <w:spacing w:before="0"/>
      </w:pPr>
      <w:r w:rsidRPr="005A3CA4" w:rsidDel="00947860">
        <w:fldChar w:fldCharType="begin"/>
      </w:r>
      <w:r w:rsidR="0089196B">
        <w:fldChar w:fldCharType="separate"/>
      </w:r>
      <w:r w:rsidRPr="005A3CA4" w:rsidDel="00947860">
        <w:rPr>
          <w:rStyle w:val="Hyperlink"/>
          <w:lang w:val="en-AU"/>
        </w:rPr>
        <w:fldChar w:fldCharType="end"/>
      </w:r>
      <w:r w:rsidRPr="005A3CA4" w:rsidDel="00947860">
        <w:fldChar w:fldCharType="begin"/>
      </w:r>
      <w:r w:rsidR="0089196B">
        <w:fldChar w:fldCharType="separate"/>
      </w:r>
      <w:r w:rsidRPr="005A3CA4" w:rsidDel="00947860">
        <w:rPr>
          <w:rStyle w:val="Hyperlink"/>
          <w:lang w:val="en-AU"/>
        </w:rPr>
        <w:fldChar w:fldCharType="end"/>
      </w:r>
      <w:bookmarkStart w:id="107" w:name="_Toc164067885"/>
      <w:r w:rsidRPr="14667A63">
        <w:rPr>
          <w:sz w:val="18"/>
          <w:szCs w:val="18"/>
        </w:rPr>
        <w:t>5.</w:t>
      </w:r>
      <w:r w:rsidR="00703AFA">
        <w:rPr>
          <w:sz w:val="18"/>
          <w:szCs w:val="18"/>
        </w:rPr>
        <w:t>8</w:t>
      </w:r>
      <w:r w:rsidRPr="14667A63">
        <w:rPr>
          <w:sz w:val="18"/>
          <w:szCs w:val="18"/>
        </w:rPr>
        <w:t>.</w:t>
      </w:r>
      <w:r w:rsidR="00703AFA">
        <w:rPr>
          <w:sz w:val="18"/>
          <w:szCs w:val="18"/>
        </w:rPr>
        <w:t>8</w:t>
      </w:r>
      <w:r>
        <w:tab/>
      </w:r>
      <w:r w:rsidRPr="00703AFA">
        <w:t xml:space="preserve">Further </w:t>
      </w:r>
      <w:r w:rsidR="00B764DF" w:rsidRPr="00703AFA">
        <w:t>i</w:t>
      </w:r>
      <w:r w:rsidRPr="00703AFA">
        <w:t>nformation and guidance</w:t>
      </w:r>
      <w:r w:rsidR="0037268E" w:rsidRPr="00703AFA">
        <w:t xml:space="preserve"> on </w:t>
      </w:r>
      <w:r w:rsidR="0093021D" w:rsidRPr="00703AFA">
        <w:t>integrity</w:t>
      </w:r>
      <w:bookmarkEnd w:id="107"/>
    </w:p>
    <w:p w14:paraId="72EB62FA" w14:textId="6F238D6A" w:rsidR="00C477B3" w:rsidRPr="00011BB3" w:rsidRDefault="00C477B3" w:rsidP="00464B1E">
      <w:pPr>
        <w:pStyle w:val="Heading4"/>
      </w:pPr>
      <w:bookmarkStart w:id="108" w:name="_Toc164067886"/>
      <w:r w:rsidRPr="002651F5">
        <w:t>5.</w:t>
      </w:r>
      <w:r w:rsidR="00703AFA">
        <w:t>8</w:t>
      </w:r>
      <w:r w:rsidRPr="002651F5">
        <w:t>.</w:t>
      </w:r>
      <w:r w:rsidR="00703AFA">
        <w:t>8</w:t>
      </w:r>
      <w:r w:rsidRPr="002651F5">
        <w:t>.1</w:t>
      </w:r>
      <w:r>
        <w:t xml:space="preserve"> Further information – DJSIR</w:t>
      </w:r>
      <w:bookmarkEnd w:id="108"/>
    </w:p>
    <w:p w14:paraId="4B40F347" w14:textId="4768879A" w:rsidR="00C477B3" w:rsidRDefault="00C477B3" w:rsidP="00C477B3">
      <w:r w:rsidRPr="00D03E27">
        <w:t xml:space="preserve">Further information on </w:t>
      </w:r>
      <w:r>
        <w:t>DJSIR’s</w:t>
      </w:r>
      <w:r w:rsidRPr="00D03E27">
        <w:t xml:space="preserve"> policies and procedures related to managing conflicts of interes</w:t>
      </w:r>
      <w:r>
        <w:t>t,</w:t>
      </w:r>
      <w:r w:rsidRPr="00D03E27">
        <w:t xml:space="preserve"> </w:t>
      </w:r>
      <w:hyperlink r:id="rId94">
        <w:r>
          <w:t>fraud and corruption control,</w:t>
        </w:r>
      </w:hyperlink>
      <w:r w:rsidRPr="00D03E27">
        <w:t xml:space="preserve"> </w:t>
      </w:r>
      <w:r>
        <w:t xml:space="preserve">gifts, benefits and hospitality, child safety or </w:t>
      </w:r>
      <w:r w:rsidR="00CA7949">
        <w:t>p</w:t>
      </w:r>
      <w:r>
        <w:t xml:space="preserve">ublic </w:t>
      </w:r>
      <w:r w:rsidR="00CA7949">
        <w:t>i</w:t>
      </w:r>
      <w:r>
        <w:t>nterest</w:t>
      </w:r>
      <w:r w:rsidR="00CA7949">
        <w:t xml:space="preserve"> d</w:t>
      </w:r>
      <w:r>
        <w:t>isclosures</w:t>
      </w:r>
      <w:r w:rsidRPr="00D03E27">
        <w:t xml:space="preserve"> can be obtained from the </w:t>
      </w:r>
      <w:r>
        <w:t>department’s</w:t>
      </w:r>
      <w:r w:rsidRPr="00D03E27">
        <w:t xml:space="preserve"> </w:t>
      </w:r>
      <w:r w:rsidRPr="00DA4757">
        <w:t xml:space="preserve">Integrity Services </w:t>
      </w:r>
      <w:r>
        <w:t>Unit</w:t>
      </w:r>
      <w:r w:rsidRPr="00DA4757">
        <w:t xml:space="preserve"> (</w:t>
      </w:r>
      <w:r w:rsidDel="00971350">
        <w:fldChar w:fldCharType="begin"/>
      </w:r>
      <w:r w:rsidR="0089196B">
        <w:fldChar w:fldCharType="separate"/>
      </w:r>
      <w:r w:rsidDel="00971350">
        <w:fldChar w:fldCharType="end"/>
      </w:r>
      <w:r>
        <w:t>integrity@ecodev.vic.gov.au).</w:t>
      </w:r>
    </w:p>
    <w:p w14:paraId="15C1B859" w14:textId="6EE51886" w:rsidR="00C477B3" w:rsidRPr="00574EA6" w:rsidRDefault="00C477B3" w:rsidP="00464B1E">
      <w:pPr>
        <w:pStyle w:val="Heading4"/>
      </w:pPr>
      <w:bookmarkStart w:id="109" w:name="_Toc164067887"/>
      <w:r>
        <w:t>5.</w:t>
      </w:r>
      <w:r w:rsidR="00703AFA">
        <w:t>8</w:t>
      </w:r>
      <w:r>
        <w:t>.</w:t>
      </w:r>
      <w:r w:rsidR="00703AFA">
        <w:t>8</w:t>
      </w:r>
      <w:r>
        <w:t>.2 Further information – External Organisations</w:t>
      </w:r>
      <w:bookmarkEnd w:id="109"/>
    </w:p>
    <w:p w14:paraId="43C9E1BC" w14:textId="7562FF77" w:rsidR="00C477B3" w:rsidRPr="00882336" w:rsidRDefault="00C477B3" w:rsidP="00C477B3">
      <w:r w:rsidRPr="00882336">
        <w:t xml:space="preserve">Further information on </w:t>
      </w:r>
      <w:r w:rsidR="00FE71F2">
        <w:t>p</w:t>
      </w:r>
      <w:r w:rsidRPr="00882336">
        <w:t xml:space="preserve">ublic </w:t>
      </w:r>
      <w:r w:rsidR="00FE71F2">
        <w:t>i</w:t>
      </w:r>
      <w:r w:rsidRPr="00882336">
        <w:t xml:space="preserve">nterest </w:t>
      </w:r>
      <w:r w:rsidR="00FE71F2">
        <w:t>d</w:t>
      </w:r>
      <w:r w:rsidRPr="00882336">
        <w:t xml:space="preserve">isclosures can be obtained from the </w:t>
      </w:r>
      <w:r w:rsidRPr="00882336" w:rsidDel="00FA11BA">
        <w:t>IBAC</w:t>
      </w:r>
      <w:r w:rsidRPr="00882336">
        <w:t xml:space="preserve"> on 1300 735 135, or www.ibac.vic.gov.au</w:t>
      </w:r>
      <w:r>
        <w:t xml:space="preserve">. </w:t>
      </w:r>
      <w:r w:rsidRPr="00882336">
        <w:t xml:space="preserve"> </w:t>
      </w:r>
    </w:p>
    <w:p w14:paraId="32E5B400" w14:textId="2AE2F392" w:rsidR="00C477B3" w:rsidRPr="00882336" w:rsidRDefault="00C477B3" w:rsidP="00C477B3">
      <w:r>
        <w:t xml:space="preserve">Further information on </w:t>
      </w:r>
      <w:r w:rsidR="00FE71F2">
        <w:t>c</w:t>
      </w:r>
      <w:r>
        <w:t xml:space="preserve">hild </w:t>
      </w:r>
      <w:r w:rsidR="00FE71F2">
        <w:t>s</w:t>
      </w:r>
      <w:r>
        <w:t>afety can be obtained from the Commission for Children and Young People on Commission on 1300 78 29 78, or www.ccyp.vic.gov.au.</w:t>
      </w:r>
    </w:p>
    <w:p w14:paraId="31374183" w14:textId="7AE29D8D" w:rsidR="00C477B3" w:rsidRDefault="00C477B3" w:rsidP="00C477B3">
      <w:r>
        <w:t xml:space="preserve">Further information on </w:t>
      </w:r>
      <w:r w:rsidR="00FE71F2">
        <w:t>g</w:t>
      </w:r>
      <w:r>
        <w:t xml:space="preserve">ifts, </w:t>
      </w:r>
      <w:r w:rsidR="00FE71F2">
        <w:t>b</w:t>
      </w:r>
      <w:r>
        <w:t xml:space="preserve">enefits and </w:t>
      </w:r>
      <w:r w:rsidR="00FE71F2">
        <w:t>h</w:t>
      </w:r>
      <w:r>
        <w:t xml:space="preserve">ospitality and </w:t>
      </w:r>
      <w:r w:rsidR="00FE71F2">
        <w:t>c</w:t>
      </w:r>
      <w:r>
        <w:t xml:space="preserve">onflicts of </w:t>
      </w:r>
      <w:r w:rsidR="00FE71F2">
        <w:t>i</w:t>
      </w:r>
      <w:r>
        <w:t xml:space="preserve">nterest can be obtained from the Victorian Public Sector Commission at </w:t>
      </w:r>
      <w:hyperlink r:id="rId95" w:history="1">
        <w:r>
          <w:t>info@vpsc.vic.gov.au</w:t>
        </w:r>
      </w:hyperlink>
      <w:r>
        <w:t>.</w:t>
      </w:r>
    </w:p>
    <w:p w14:paraId="00B1CF1B" w14:textId="513BB9C9" w:rsidR="00C06636" w:rsidRDefault="00C06636">
      <w:pPr>
        <w:suppressAutoHyphens w:val="0"/>
        <w:autoSpaceDE/>
        <w:autoSpaceDN/>
        <w:adjustRightInd/>
        <w:spacing w:after="0" w:line="240" w:lineRule="auto"/>
        <w:textAlignment w:val="auto"/>
        <w:rPr>
          <w:color w:val="004C97" w:themeColor="accent1"/>
          <w:sz w:val="28"/>
          <w:szCs w:val="28"/>
        </w:rPr>
      </w:pPr>
      <w:r>
        <w:br w:type="page"/>
      </w:r>
    </w:p>
    <w:p w14:paraId="671C5090" w14:textId="7969C37E" w:rsidR="00EC08A5" w:rsidRPr="00830F4C" w:rsidRDefault="00EC08A5" w:rsidP="00EC08A5">
      <w:pPr>
        <w:pStyle w:val="Heading1"/>
        <w:ind w:left="431" w:hanging="431"/>
      </w:pPr>
      <w:bookmarkStart w:id="110" w:name="_Toc15650742"/>
      <w:bookmarkStart w:id="111" w:name="_Toc15651066"/>
      <w:bookmarkStart w:id="112" w:name="_Toc5780015"/>
      <w:bookmarkStart w:id="113" w:name="_Toc5780016"/>
      <w:bookmarkStart w:id="114" w:name="_Toc5780017"/>
      <w:bookmarkStart w:id="115" w:name="_Toc5780018"/>
      <w:bookmarkStart w:id="116" w:name="_Toc5780019"/>
      <w:bookmarkStart w:id="117" w:name="_Toc5780020"/>
      <w:bookmarkStart w:id="118" w:name="_Toc5780021"/>
      <w:bookmarkStart w:id="119" w:name="_Toc15650744"/>
      <w:bookmarkStart w:id="120" w:name="_Toc15651068"/>
      <w:bookmarkStart w:id="121" w:name="_Toc15650745"/>
      <w:bookmarkStart w:id="122" w:name="_Toc15651069"/>
      <w:bookmarkStart w:id="123" w:name="_Toc15650746"/>
      <w:bookmarkStart w:id="124" w:name="_Toc15651070"/>
      <w:bookmarkStart w:id="125" w:name="_Toc15650747"/>
      <w:bookmarkStart w:id="126" w:name="_Toc15651071"/>
      <w:bookmarkStart w:id="127" w:name="_Toc15650748"/>
      <w:bookmarkStart w:id="128" w:name="_Toc15651072"/>
      <w:bookmarkStart w:id="129" w:name="_Toc15650749"/>
      <w:bookmarkStart w:id="130" w:name="_Toc15651073"/>
      <w:bookmarkStart w:id="131" w:name="_Toc15650750"/>
      <w:bookmarkStart w:id="132" w:name="_Toc15651074"/>
      <w:bookmarkStart w:id="133" w:name="_Toc15650751"/>
      <w:bookmarkStart w:id="134" w:name="_Toc15651075"/>
      <w:bookmarkStart w:id="135" w:name="_Toc15650752"/>
      <w:bookmarkStart w:id="136" w:name="_Toc15651076"/>
      <w:bookmarkStart w:id="137" w:name="_Toc15650753"/>
      <w:bookmarkStart w:id="138" w:name="_Toc15651077"/>
      <w:bookmarkStart w:id="139" w:name="_Toc15650754"/>
      <w:bookmarkStart w:id="140" w:name="_Toc15651078"/>
      <w:bookmarkStart w:id="141" w:name="_Toc15650755"/>
      <w:bookmarkStart w:id="142" w:name="_Toc15651079"/>
      <w:bookmarkStart w:id="143" w:name="_Toc15650782"/>
      <w:bookmarkStart w:id="144" w:name="_Toc15651106"/>
      <w:bookmarkStart w:id="145" w:name="_Toc15650784"/>
      <w:bookmarkStart w:id="146" w:name="_Toc15651108"/>
      <w:bookmarkStart w:id="147" w:name="_Toc15650785"/>
      <w:bookmarkStart w:id="148" w:name="_Toc15651109"/>
      <w:bookmarkStart w:id="149" w:name="_Toc15650786"/>
      <w:bookmarkStart w:id="150" w:name="_Toc15651110"/>
      <w:bookmarkStart w:id="151" w:name="_Toc456088171"/>
      <w:bookmarkStart w:id="152" w:name="_Toc520212435"/>
      <w:bookmarkStart w:id="153" w:name="_Toc39481548"/>
      <w:bookmarkStart w:id="154" w:name="_Toc164067888"/>
      <w:bookmarkEnd w:id="8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lastRenderedPageBreak/>
        <w:t xml:space="preserve">APPENDIX A: </w:t>
      </w:r>
      <w:r w:rsidRPr="00830F4C">
        <w:t>Legislation</w:t>
      </w:r>
      <w:bookmarkEnd w:id="151"/>
      <w:bookmarkEnd w:id="152"/>
      <w:bookmarkEnd w:id="153"/>
      <w:bookmarkEnd w:id="154"/>
      <w:r w:rsidR="00F65142">
        <w:t xml:space="preserve"> </w:t>
      </w:r>
    </w:p>
    <w:p w14:paraId="444B93E1" w14:textId="7D583CE4" w:rsidR="00EC08A5" w:rsidRPr="00C86CB8" w:rsidRDefault="00C81471" w:rsidP="00EC08A5">
      <w:pPr>
        <w:pStyle w:val="bodycopy"/>
      </w:pPr>
      <w:r>
        <w:t>Entities</w:t>
      </w:r>
      <w:r w:rsidR="00EC08A5" w:rsidRPr="00C86CB8">
        <w:t xml:space="preserve"> need to ensure compliance with all relevant legislation, including, but not limited to:</w:t>
      </w:r>
    </w:p>
    <w:p w14:paraId="22750A56" w14:textId="3C46B416" w:rsidR="00EC08A5" w:rsidRPr="00C86CB8" w:rsidRDefault="0089196B" w:rsidP="00EC08A5">
      <w:pPr>
        <w:pStyle w:val="ListBullet"/>
        <w:rPr>
          <w:i/>
        </w:rPr>
      </w:pPr>
      <w:hyperlink r:id="rId96" w:history="1">
        <w:r w:rsidR="00EC08A5" w:rsidRPr="00690763">
          <w:rPr>
            <w:rStyle w:val="Hyperlink"/>
            <w:i/>
          </w:rPr>
          <w:t>Audit Act 1994</w:t>
        </w:r>
      </w:hyperlink>
    </w:p>
    <w:p w14:paraId="7F1A58C9" w14:textId="70C482F0" w:rsidR="00EC08A5" w:rsidRDefault="0089196B" w:rsidP="00EC08A5">
      <w:pPr>
        <w:pStyle w:val="ListBullet"/>
        <w:rPr>
          <w:i/>
        </w:rPr>
      </w:pPr>
      <w:hyperlink r:id="rId97" w:history="1">
        <w:r w:rsidR="00EC08A5" w:rsidRPr="0038235F">
          <w:rPr>
            <w:rStyle w:val="Hyperlink"/>
            <w:i/>
          </w:rPr>
          <w:t>Charter of Human Rights and Responsibilities Act 2006</w:t>
        </w:r>
      </w:hyperlink>
    </w:p>
    <w:p w14:paraId="2E7790D7" w14:textId="77777777" w:rsidR="001E4802" w:rsidRDefault="0089196B" w:rsidP="001E4802">
      <w:pPr>
        <w:pStyle w:val="ListBullet"/>
      </w:pPr>
      <w:hyperlink r:id="rId98" w:history="1">
        <w:r w:rsidR="001E4802" w:rsidRPr="00A61776">
          <w:rPr>
            <w:rStyle w:val="Hyperlink"/>
            <w:i/>
            <w:iCs/>
          </w:rPr>
          <w:t>Child Wellbeing and Safety Act 2005 (Vic)</w:t>
        </w:r>
      </w:hyperlink>
      <w:r w:rsidR="001E4802">
        <w:t xml:space="preserve"> </w:t>
      </w:r>
    </w:p>
    <w:p w14:paraId="30CD052A" w14:textId="10FC485E" w:rsidR="00EC08A5" w:rsidRPr="00C86CB8" w:rsidRDefault="0089196B" w:rsidP="00EC08A5">
      <w:pPr>
        <w:pStyle w:val="ListBullet"/>
        <w:rPr>
          <w:i/>
        </w:rPr>
      </w:pPr>
      <w:hyperlink r:id="rId99" w:history="1">
        <w:r w:rsidR="001E4802" w:rsidRPr="008E0E7D">
          <w:rPr>
            <w:rStyle w:val="Hyperlink"/>
            <w:i/>
            <w:iCs/>
          </w:rPr>
          <w:t>Children Legislation Amendment (Reportable Conduct) Act 2017 (Vic)</w:t>
        </w:r>
      </w:hyperlink>
      <w:hyperlink r:id="rId100" w:history="1">
        <w:r w:rsidR="00EC08A5" w:rsidRPr="002438EF">
          <w:rPr>
            <w:rStyle w:val="Hyperlink"/>
            <w:i/>
          </w:rPr>
          <w:t>Corporations Act 2001(Cth)</w:t>
        </w:r>
      </w:hyperlink>
    </w:p>
    <w:p w14:paraId="444BF6B2" w14:textId="76B2EE75" w:rsidR="00EC08A5" w:rsidRPr="00C86CB8" w:rsidRDefault="0089196B" w:rsidP="00EC08A5">
      <w:pPr>
        <w:pStyle w:val="ListBullet"/>
        <w:rPr>
          <w:i/>
        </w:rPr>
      </w:pPr>
      <w:hyperlink r:id="rId101" w:history="1">
        <w:r w:rsidR="00EC08A5" w:rsidRPr="00461B45">
          <w:rPr>
            <w:rStyle w:val="Hyperlink"/>
            <w:i/>
          </w:rPr>
          <w:t>Disability Act 2006</w:t>
        </w:r>
      </w:hyperlink>
    </w:p>
    <w:p w14:paraId="3143EDB8" w14:textId="13997076" w:rsidR="00EC08A5" w:rsidRPr="00C86CB8" w:rsidRDefault="0089196B" w:rsidP="00EC08A5">
      <w:pPr>
        <w:pStyle w:val="ListBullet"/>
        <w:rPr>
          <w:i/>
        </w:rPr>
      </w:pPr>
      <w:hyperlink r:id="rId102" w:history="1">
        <w:r w:rsidR="00EC08A5" w:rsidRPr="00B14A2B">
          <w:rPr>
            <w:rStyle w:val="Hyperlink"/>
            <w:i/>
          </w:rPr>
          <w:t>Financial Management Act 1994</w:t>
        </w:r>
      </w:hyperlink>
    </w:p>
    <w:p w14:paraId="16038AA2" w14:textId="089369AC" w:rsidR="00EC08A5" w:rsidRPr="00C86CB8" w:rsidRDefault="0089196B" w:rsidP="00EC08A5">
      <w:pPr>
        <w:pStyle w:val="ListBullet"/>
        <w:rPr>
          <w:i/>
        </w:rPr>
      </w:pPr>
      <w:hyperlink r:id="rId103" w:history="1">
        <w:r w:rsidR="00EC08A5" w:rsidRPr="00555B12">
          <w:rPr>
            <w:rStyle w:val="Hyperlink"/>
            <w:i/>
          </w:rPr>
          <w:t>Freedom of Information Act 1982</w:t>
        </w:r>
      </w:hyperlink>
    </w:p>
    <w:p w14:paraId="20EA13B6" w14:textId="45F7BCE2" w:rsidR="00EC08A5" w:rsidRPr="00C86CB8" w:rsidRDefault="0089196B" w:rsidP="00EC08A5">
      <w:pPr>
        <w:pStyle w:val="ListBullet"/>
        <w:rPr>
          <w:i/>
        </w:rPr>
      </w:pPr>
      <w:hyperlink r:id="rId104" w:history="1">
        <w:r w:rsidR="00EC08A5" w:rsidRPr="005C4817">
          <w:rPr>
            <w:rStyle w:val="Hyperlink"/>
            <w:i/>
          </w:rPr>
          <w:t>Independent Broad-based Anti-corruption Commission Act 2011</w:t>
        </w:r>
      </w:hyperlink>
    </w:p>
    <w:p w14:paraId="4F03030F" w14:textId="15DBDB68" w:rsidR="00EC08A5" w:rsidRDefault="0089196B" w:rsidP="00EC08A5">
      <w:pPr>
        <w:pStyle w:val="ListBullet"/>
        <w:rPr>
          <w:i/>
        </w:rPr>
      </w:pPr>
      <w:hyperlink r:id="rId105" w:history="1">
        <w:r w:rsidR="00EC08A5" w:rsidRPr="002014E1">
          <w:rPr>
            <w:rStyle w:val="Hyperlink"/>
            <w:i/>
          </w:rPr>
          <w:t>Information Privacy Act 2000</w:t>
        </w:r>
      </w:hyperlink>
    </w:p>
    <w:p w14:paraId="0490510F" w14:textId="09AB8EFA" w:rsidR="009D2375" w:rsidRPr="001F2DAB" w:rsidRDefault="0089196B" w:rsidP="00530788">
      <w:pPr>
        <w:pStyle w:val="ListBullet"/>
      </w:pPr>
      <w:hyperlink r:id="rId106" w:history="1">
        <w:r w:rsidR="009D2375" w:rsidRPr="000437D8">
          <w:rPr>
            <w:rStyle w:val="Hyperlink"/>
            <w:i/>
            <w:iCs/>
          </w:rPr>
          <w:t>National Redress Scheme for Institutional Child Sexual Abuse Act 2018</w:t>
        </w:r>
      </w:hyperlink>
    </w:p>
    <w:p w14:paraId="41993D67" w14:textId="23671C2B" w:rsidR="00EC08A5" w:rsidRPr="00C86CB8" w:rsidRDefault="0089196B" w:rsidP="00EC08A5">
      <w:pPr>
        <w:pStyle w:val="ListBullet"/>
        <w:rPr>
          <w:i/>
        </w:rPr>
      </w:pPr>
      <w:hyperlink r:id="rId107" w:history="1">
        <w:r w:rsidR="00EC08A5" w:rsidRPr="00E9355E">
          <w:rPr>
            <w:rStyle w:val="Hyperlink"/>
            <w:i/>
          </w:rPr>
          <w:t>Ombudsman Act 1973</w:t>
        </w:r>
      </w:hyperlink>
    </w:p>
    <w:p w14:paraId="2ED561ED" w14:textId="6249B4CF" w:rsidR="00EC08A5" w:rsidRPr="00C86CB8" w:rsidRDefault="0089196B" w:rsidP="00EC08A5">
      <w:pPr>
        <w:pStyle w:val="ListBullet"/>
        <w:rPr>
          <w:i/>
        </w:rPr>
      </w:pPr>
      <w:hyperlink r:id="rId108" w:history="1">
        <w:r w:rsidR="00EC08A5" w:rsidRPr="00D45F48">
          <w:rPr>
            <w:rStyle w:val="Hyperlink"/>
            <w:i/>
          </w:rPr>
          <w:t>Protected Disclosures Act 2012</w:t>
        </w:r>
      </w:hyperlink>
    </w:p>
    <w:p w14:paraId="4B1A7BD7" w14:textId="39710375" w:rsidR="00EC08A5" w:rsidRPr="00C86CB8" w:rsidRDefault="0089196B" w:rsidP="00EC08A5">
      <w:pPr>
        <w:pStyle w:val="ListBullet"/>
        <w:rPr>
          <w:i/>
        </w:rPr>
      </w:pPr>
      <w:hyperlink r:id="rId109" w:history="1">
        <w:r w:rsidR="00EC08A5" w:rsidRPr="00FA23FD">
          <w:rPr>
            <w:rStyle w:val="Hyperlink"/>
            <w:i/>
          </w:rPr>
          <w:t>Project Development and Construction Management Act 1994</w:t>
        </w:r>
      </w:hyperlink>
    </w:p>
    <w:p w14:paraId="520DD087" w14:textId="1BD6DD9E" w:rsidR="00EC08A5" w:rsidRDefault="0089196B" w:rsidP="00EC08A5">
      <w:pPr>
        <w:pStyle w:val="ListBullet"/>
        <w:rPr>
          <w:i/>
        </w:rPr>
      </w:pPr>
      <w:hyperlink r:id="rId110" w:history="1">
        <w:r w:rsidR="00EC08A5" w:rsidRPr="000A572D">
          <w:rPr>
            <w:rStyle w:val="Hyperlink"/>
            <w:i/>
          </w:rPr>
          <w:t>Public Administration Act 2004</w:t>
        </w:r>
      </w:hyperlink>
    </w:p>
    <w:p w14:paraId="08685909" w14:textId="0CED06EE" w:rsidR="00DD0FD8" w:rsidRPr="00C86CB8" w:rsidRDefault="0089196B" w:rsidP="00EC08A5">
      <w:pPr>
        <w:pStyle w:val="ListBullet"/>
        <w:rPr>
          <w:i/>
        </w:rPr>
      </w:pPr>
      <w:hyperlink r:id="rId111" w:history="1">
        <w:r w:rsidR="00DD0FD8" w:rsidRPr="008D5E86">
          <w:rPr>
            <w:rStyle w:val="Hyperlink"/>
            <w:i/>
            <w:iCs/>
          </w:rPr>
          <w:t>Public Interest Disclosures Act 2012</w:t>
        </w:r>
      </w:hyperlink>
      <w:r w:rsidR="00DD0FD8">
        <w:rPr>
          <w:i/>
          <w:iCs/>
        </w:rPr>
        <w:t xml:space="preserve"> (Vic)</w:t>
      </w:r>
    </w:p>
    <w:p w14:paraId="7705BAAF" w14:textId="72707775" w:rsidR="00EC08A5" w:rsidRPr="00C86CB8" w:rsidRDefault="0089196B" w:rsidP="00EC08A5">
      <w:pPr>
        <w:pStyle w:val="ListBullet"/>
        <w:rPr>
          <w:i/>
        </w:rPr>
      </w:pPr>
      <w:hyperlink r:id="rId112" w:history="1">
        <w:r w:rsidR="00EC08A5" w:rsidRPr="008E236E">
          <w:rPr>
            <w:rStyle w:val="Hyperlink"/>
            <w:i/>
          </w:rPr>
          <w:t>Public Records Act 1973</w:t>
        </w:r>
      </w:hyperlink>
    </w:p>
    <w:p w14:paraId="31D7BE24" w14:textId="53805033" w:rsidR="00EC08A5" w:rsidRDefault="0089196B" w:rsidP="00EC08A5">
      <w:pPr>
        <w:pStyle w:val="ListBullet"/>
        <w:rPr>
          <w:i/>
        </w:rPr>
      </w:pPr>
      <w:hyperlink r:id="rId113" w:history="1">
        <w:r w:rsidR="00EC08A5" w:rsidRPr="00D9362B">
          <w:rPr>
            <w:rStyle w:val="Hyperlink"/>
            <w:i/>
          </w:rPr>
          <w:t>State Owned Enterprises Act 1992</w:t>
        </w:r>
      </w:hyperlink>
    </w:p>
    <w:p w14:paraId="45D1E9F9" w14:textId="7FD796CC" w:rsidR="00B14A2B" w:rsidRDefault="0089196B" w:rsidP="00EC08A5">
      <w:pPr>
        <w:pStyle w:val="ListBullet"/>
        <w:rPr>
          <w:i/>
        </w:rPr>
      </w:pPr>
      <w:hyperlink r:id="rId114" w:history="1">
        <w:r w:rsidR="00B14A2B" w:rsidRPr="00150E13">
          <w:rPr>
            <w:rStyle w:val="Hyperlink"/>
            <w:i/>
          </w:rPr>
          <w:t>Standing Directions 2018</w:t>
        </w:r>
      </w:hyperlink>
    </w:p>
    <w:p w14:paraId="60505EE6" w14:textId="77777777" w:rsidR="00CD0836" w:rsidRDefault="00CD0836" w:rsidP="00CD0836">
      <w:pPr>
        <w:pStyle w:val="ListBullet"/>
        <w:numPr>
          <w:ilvl w:val="0"/>
          <w:numId w:val="0"/>
        </w:numPr>
        <w:ind w:left="720"/>
        <w:rPr>
          <w:i/>
        </w:rPr>
      </w:pPr>
    </w:p>
    <w:p w14:paraId="379802AB" w14:textId="77777777" w:rsidR="00160D97" w:rsidRDefault="00160D97" w:rsidP="00160D97"/>
    <w:p w14:paraId="114C4692" w14:textId="77777777" w:rsidR="004A2591" w:rsidRDefault="004A2591" w:rsidP="00160D97"/>
    <w:p w14:paraId="5BF2C018" w14:textId="77777777" w:rsidR="004A2591" w:rsidRDefault="004A2591" w:rsidP="00160D97"/>
    <w:p w14:paraId="190FD178" w14:textId="77777777" w:rsidR="004A2591" w:rsidRDefault="004A2591" w:rsidP="00160D97"/>
    <w:p w14:paraId="1E8CAB71" w14:textId="77777777" w:rsidR="004A2591" w:rsidRDefault="004A2591" w:rsidP="00160D97"/>
    <w:p w14:paraId="0B5D3417" w14:textId="77777777" w:rsidR="004A2591" w:rsidRDefault="004A2591" w:rsidP="00160D97"/>
    <w:p w14:paraId="5E9B03E9" w14:textId="77777777" w:rsidR="004A2591" w:rsidRDefault="004A2591" w:rsidP="00160D97"/>
    <w:p w14:paraId="17DA0E75" w14:textId="77777777" w:rsidR="004A2591" w:rsidRDefault="004A2591" w:rsidP="00160D97"/>
    <w:p w14:paraId="07835848" w14:textId="77777777" w:rsidR="004A2591" w:rsidRDefault="004A2591" w:rsidP="00160D97"/>
    <w:p w14:paraId="2D03D682" w14:textId="77777777" w:rsidR="004A2591" w:rsidRDefault="004A2591" w:rsidP="00160D97"/>
    <w:p w14:paraId="41C436D9" w14:textId="77777777" w:rsidR="004A2591" w:rsidRDefault="004A2591" w:rsidP="00160D97"/>
    <w:p w14:paraId="67844465" w14:textId="77777777" w:rsidR="004A2591" w:rsidRDefault="004A2591" w:rsidP="00160D97"/>
    <w:p w14:paraId="17099862" w14:textId="77777777" w:rsidR="004A2591" w:rsidRDefault="004A2591" w:rsidP="00160D97"/>
    <w:p w14:paraId="7D562D14" w14:textId="77777777" w:rsidR="004A2591" w:rsidRDefault="004A2591" w:rsidP="00160D97"/>
    <w:p w14:paraId="084688B2" w14:textId="069EB76E" w:rsidR="00DF0893" w:rsidRPr="00DF0893" w:rsidRDefault="00DF0893" w:rsidP="0099608B"/>
    <w:p w14:paraId="24E3F015" w14:textId="77777777" w:rsidR="0000440C" w:rsidRDefault="0000440C" w:rsidP="00123BB4"/>
    <w:p w14:paraId="6601F2DC" w14:textId="77777777" w:rsidR="004A2591" w:rsidRDefault="004A2591" w:rsidP="00123BB4"/>
    <w:p w14:paraId="3B4DDE85" w14:textId="77777777" w:rsidR="004A2591" w:rsidRDefault="004A2591" w:rsidP="00123BB4"/>
    <w:p w14:paraId="4EF4AF12" w14:textId="4B59490E" w:rsidR="005C005B" w:rsidRDefault="003E57FF" w:rsidP="003E57FF">
      <w:pPr>
        <w:pStyle w:val="Heading1"/>
        <w:ind w:left="431" w:hanging="431"/>
      </w:pPr>
      <w:bookmarkStart w:id="155" w:name="_Toc464206095"/>
      <w:bookmarkStart w:id="156" w:name="_Toc164067889"/>
      <w:bookmarkStart w:id="157" w:name="_Toc456088172"/>
      <w:bookmarkStart w:id="158" w:name="_Toc520212436"/>
      <w:bookmarkStart w:id="159" w:name="_Toc39481549"/>
      <w:r>
        <w:lastRenderedPageBreak/>
        <w:t xml:space="preserve">APPENDIX </w:t>
      </w:r>
      <w:bookmarkEnd w:id="155"/>
      <w:r>
        <w:t xml:space="preserve">B: </w:t>
      </w:r>
      <w:r w:rsidR="00303643">
        <w:t xml:space="preserve">Diversity </w:t>
      </w:r>
      <w:r w:rsidR="00BB14D2">
        <w:t xml:space="preserve">cohorts </w:t>
      </w:r>
      <w:r w:rsidR="00303643">
        <w:t xml:space="preserve">on </w:t>
      </w:r>
      <w:r w:rsidR="00CB10A6">
        <w:t>Victorian Government Boards</w:t>
      </w:r>
      <w:bookmarkEnd w:id="156"/>
    </w:p>
    <w:p w14:paraId="29F7A6BD" w14:textId="23D019BF" w:rsidR="00203693" w:rsidRPr="00203693" w:rsidRDefault="00BB14D2" w:rsidP="0086246B">
      <w:r w:rsidRPr="00B37C6F">
        <w:t>This section provides advice on specific cohort considerations</w:t>
      </w:r>
      <w:r w:rsidR="00D36E95" w:rsidRPr="00B37C6F">
        <w:t xml:space="preserve"> in the </w:t>
      </w:r>
      <w:r w:rsidR="00C71032" w:rsidRPr="00B37C6F">
        <w:t>recruitment and selection board appointment process</w:t>
      </w:r>
      <w:r w:rsidR="00832838" w:rsidRPr="00B37C6F">
        <w:t xml:space="preserve">es </w:t>
      </w:r>
      <w:r w:rsidR="00F3776D" w:rsidRPr="00B37C6F">
        <w:t>from a</w:t>
      </w:r>
      <w:r w:rsidR="00832838" w:rsidRPr="00B37C6F">
        <w:t xml:space="preserve"> diversity</w:t>
      </w:r>
      <w:r w:rsidR="00F3776D" w:rsidRPr="00B37C6F">
        <w:t xml:space="preserve"> perspective</w:t>
      </w:r>
      <w:r w:rsidR="00832838" w:rsidRPr="00B37C6F">
        <w:t xml:space="preserve"> and </w:t>
      </w:r>
      <w:r w:rsidR="00F3776D" w:rsidRPr="00B37C6F">
        <w:t>recognises</w:t>
      </w:r>
      <w:r w:rsidR="00832838" w:rsidRPr="00B37C6F">
        <w:t xml:space="preserve"> that an individual </w:t>
      </w:r>
      <w:r w:rsidR="00176552" w:rsidRPr="00B37C6F">
        <w:t xml:space="preserve">may be part of more than one of the key cohorts listed in this </w:t>
      </w:r>
      <w:r w:rsidR="00A235B0" w:rsidRPr="00B37C6F">
        <w:t>appendix</w:t>
      </w:r>
      <w:r w:rsidR="00273AA6" w:rsidRPr="00B37C6F">
        <w:t>.</w:t>
      </w:r>
    </w:p>
    <w:p w14:paraId="296550A0" w14:textId="77777777" w:rsidR="00203693" w:rsidRPr="00300FCD" w:rsidRDefault="00203693" w:rsidP="007B76F0">
      <w:pPr>
        <w:pStyle w:val="ListParagraph"/>
        <w:numPr>
          <w:ilvl w:val="0"/>
          <w:numId w:val="29"/>
        </w:numPr>
        <w:spacing w:after="120"/>
        <w:ind w:left="357" w:hanging="357"/>
        <w:rPr>
          <w:rFonts w:asciiTheme="minorHAnsi" w:hAnsiTheme="minorHAnsi" w:cstheme="minorHAnsi"/>
          <w:color w:val="auto"/>
          <w:sz w:val="18"/>
          <w:szCs w:val="18"/>
        </w:rPr>
      </w:pPr>
      <w:r w:rsidRPr="00300FCD">
        <w:rPr>
          <w:rFonts w:asciiTheme="minorHAnsi" w:hAnsiTheme="minorHAnsi" w:cstheme="minorHAnsi"/>
          <w:b/>
          <w:bCs/>
          <w:color w:val="auto"/>
          <w:sz w:val="18"/>
          <w:szCs w:val="18"/>
        </w:rPr>
        <w:t>Women on Boards</w:t>
      </w:r>
      <w:r w:rsidRPr="00300FCD">
        <w:rPr>
          <w:rFonts w:asciiTheme="minorHAnsi" w:hAnsiTheme="minorHAnsi" w:cstheme="minorHAnsi"/>
          <w:color w:val="auto"/>
          <w:sz w:val="18"/>
          <w:szCs w:val="18"/>
        </w:rPr>
        <w:t xml:space="preserve"> – The </w:t>
      </w:r>
      <w:hyperlink r:id="rId115" w:history="1">
        <w:r w:rsidRPr="002F59A8">
          <w:rPr>
            <w:rStyle w:val="Hyperlink"/>
            <w:rFonts w:asciiTheme="minorHAnsi" w:hAnsiTheme="minorHAnsi" w:cstheme="minorHAnsi"/>
            <w:sz w:val="18"/>
            <w:szCs w:val="18"/>
          </w:rPr>
          <w:t>Victorian Government’s Women on Boards commitment</w:t>
        </w:r>
      </w:hyperlink>
      <w:r w:rsidRPr="00300FCD">
        <w:rPr>
          <w:rFonts w:asciiTheme="minorHAnsi" w:hAnsiTheme="minorHAnsi" w:cstheme="minorHAnsi"/>
          <w:color w:val="auto"/>
          <w:sz w:val="18"/>
          <w:szCs w:val="18"/>
        </w:rPr>
        <w:t xml:space="preserve"> was first introduced in March 2015, with its scope subsequently expanded in 2018. The commitment was refreshed in 2021 and currently requires that:</w:t>
      </w:r>
    </w:p>
    <w:p w14:paraId="2ED2E324" w14:textId="77777777" w:rsidR="00203693" w:rsidRPr="00300FCD" w:rsidRDefault="00203693" w:rsidP="007B76F0">
      <w:pPr>
        <w:pStyle w:val="ListParagraph"/>
        <w:numPr>
          <w:ilvl w:val="0"/>
          <w:numId w:val="31"/>
        </w:numPr>
        <w:spacing w:after="120"/>
        <w:ind w:left="714" w:hanging="357"/>
        <w:contextualSpacing w:val="0"/>
        <w:rPr>
          <w:rFonts w:asciiTheme="minorHAnsi" w:hAnsiTheme="minorHAnsi" w:cstheme="minorHAnsi"/>
          <w:color w:val="auto"/>
          <w:sz w:val="18"/>
          <w:szCs w:val="18"/>
        </w:rPr>
      </w:pPr>
      <w:r w:rsidRPr="00300FCD">
        <w:rPr>
          <w:rFonts w:asciiTheme="minorHAnsi" w:hAnsiTheme="minorHAnsi" w:cstheme="minorHAnsi"/>
          <w:color w:val="auto"/>
          <w:sz w:val="18"/>
          <w:szCs w:val="18"/>
        </w:rPr>
        <w:t>50 per cent of new appointments be women for boards that do not have at least 50 per cent women. Once a board has reached 50 per cent women, this balance is to be maintained.</w:t>
      </w:r>
    </w:p>
    <w:p w14:paraId="6B60ADD3" w14:textId="77777777" w:rsidR="00203693" w:rsidRPr="00300FCD" w:rsidRDefault="00203693" w:rsidP="007B76F0">
      <w:pPr>
        <w:pStyle w:val="ListParagraph"/>
        <w:numPr>
          <w:ilvl w:val="0"/>
          <w:numId w:val="31"/>
        </w:numPr>
        <w:spacing w:after="120"/>
        <w:ind w:left="714" w:hanging="357"/>
        <w:contextualSpacing w:val="0"/>
        <w:rPr>
          <w:rFonts w:asciiTheme="minorHAnsi" w:hAnsiTheme="minorHAnsi" w:cstheme="minorHAnsi"/>
          <w:color w:val="auto"/>
          <w:sz w:val="18"/>
          <w:szCs w:val="18"/>
        </w:rPr>
      </w:pPr>
      <w:r w:rsidRPr="00300FCD">
        <w:rPr>
          <w:rFonts w:asciiTheme="minorHAnsi" w:hAnsiTheme="minorHAnsi" w:cstheme="minorHAnsi"/>
          <w:color w:val="auto"/>
          <w:sz w:val="18"/>
          <w:szCs w:val="18"/>
        </w:rPr>
        <w:t xml:space="preserve">Within a portfolio, 50 per cent of new </w:t>
      </w:r>
      <w:r>
        <w:rPr>
          <w:rFonts w:asciiTheme="minorHAnsi" w:hAnsiTheme="minorHAnsi" w:cstheme="minorHAnsi"/>
          <w:color w:val="auto"/>
          <w:sz w:val="18"/>
          <w:szCs w:val="18"/>
        </w:rPr>
        <w:t>c</w:t>
      </w:r>
      <w:r w:rsidRPr="00300FCD">
        <w:rPr>
          <w:rFonts w:asciiTheme="minorHAnsi" w:hAnsiTheme="minorHAnsi" w:cstheme="minorHAnsi"/>
          <w:color w:val="auto"/>
          <w:sz w:val="18"/>
          <w:szCs w:val="18"/>
        </w:rPr>
        <w:t>hair appointments should be women. Once a portfolio has reached 50 per cent women, this balance is to be maintained.</w:t>
      </w:r>
    </w:p>
    <w:p w14:paraId="76F95802" w14:textId="77777777" w:rsidR="00203693" w:rsidRDefault="00203693" w:rsidP="00203693">
      <w:pPr>
        <w:pStyle w:val="bullet1"/>
        <w:numPr>
          <w:ilvl w:val="0"/>
          <w:numId w:val="0"/>
        </w:numPr>
        <w:spacing w:after="120" w:line="240" w:lineRule="auto"/>
        <w:ind w:left="360"/>
        <w:contextualSpacing w:val="0"/>
        <w:rPr>
          <w:rFonts w:asciiTheme="minorHAnsi" w:hAnsiTheme="minorHAnsi" w:cstheme="minorHAnsi"/>
        </w:rPr>
      </w:pPr>
      <w:r w:rsidRPr="003054BC">
        <w:rPr>
          <w:rFonts w:asciiTheme="minorHAnsi" w:hAnsiTheme="minorHAnsi" w:cstheme="minorHAnsi"/>
        </w:rPr>
        <w:t xml:space="preserve">The refreshed Women on Boards commitment applies to Victorian courts and all boards, except for the following: </w:t>
      </w:r>
      <w:r>
        <w:rPr>
          <w:rFonts w:asciiTheme="minorHAnsi" w:hAnsiTheme="minorHAnsi" w:cstheme="minorHAnsi"/>
        </w:rPr>
        <w:t xml:space="preserve">  </w:t>
      </w:r>
    </w:p>
    <w:p w14:paraId="56B23558" w14:textId="77777777" w:rsidR="00203693" w:rsidRDefault="00203693" w:rsidP="007B76F0">
      <w:pPr>
        <w:pStyle w:val="bullet1"/>
        <w:numPr>
          <w:ilvl w:val="0"/>
          <w:numId w:val="30"/>
        </w:numPr>
        <w:spacing w:after="120" w:line="240" w:lineRule="auto"/>
        <w:contextualSpacing w:val="0"/>
        <w:rPr>
          <w:rFonts w:asciiTheme="minorHAnsi" w:hAnsiTheme="minorHAnsi" w:cstheme="minorHAnsi"/>
        </w:rPr>
      </w:pPr>
      <w:r w:rsidRPr="003054BC">
        <w:rPr>
          <w:rFonts w:asciiTheme="minorHAnsi" w:hAnsiTheme="minorHAnsi" w:cstheme="minorHAnsi"/>
        </w:rPr>
        <w:t>statutory offices or officers</w:t>
      </w:r>
    </w:p>
    <w:p w14:paraId="0DB54B1C" w14:textId="77777777" w:rsidR="00203693" w:rsidRDefault="00203693" w:rsidP="007B76F0">
      <w:pPr>
        <w:pStyle w:val="bullet1"/>
        <w:numPr>
          <w:ilvl w:val="0"/>
          <w:numId w:val="30"/>
        </w:numPr>
        <w:spacing w:after="120" w:line="240" w:lineRule="auto"/>
        <w:contextualSpacing w:val="0"/>
        <w:rPr>
          <w:rFonts w:asciiTheme="minorHAnsi" w:hAnsiTheme="minorHAnsi" w:cstheme="minorHAnsi"/>
        </w:rPr>
      </w:pPr>
      <w:r w:rsidRPr="003054BC">
        <w:rPr>
          <w:rFonts w:asciiTheme="minorHAnsi" w:hAnsiTheme="minorHAnsi" w:cstheme="minorHAnsi"/>
        </w:rPr>
        <w:t>small Crown land committees of management</w:t>
      </w:r>
    </w:p>
    <w:p w14:paraId="7F0F385A" w14:textId="77777777" w:rsidR="00203693" w:rsidRDefault="00203693" w:rsidP="007B76F0">
      <w:pPr>
        <w:pStyle w:val="bullet1"/>
        <w:numPr>
          <w:ilvl w:val="0"/>
          <w:numId w:val="30"/>
        </w:numPr>
        <w:spacing w:after="120" w:line="240" w:lineRule="auto"/>
        <w:contextualSpacing w:val="0"/>
        <w:rPr>
          <w:rFonts w:asciiTheme="minorHAnsi" w:hAnsiTheme="minorHAnsi" w:cstheme="minorHAnsi"/>
        </w:rPr>
      </w:pPr>
      <w:r>
        <w:rPr>
          <w:rFonts w:asciiTheme="minorHAnsi" w:hAnsiTheme="minorHAnsi" w:cstheme="minorHAnsi"/>
        </w:rPr>
        <w:t xml:space="preserve">small </w:t>
      </w:r>
      <w:r w:rsidRPr="003054BC">
        <w:rPr>
          <w:rFonts w:asciiTheme="minorHAnsi" w:hAnsiTheme="minorHAnsi" w:cstheme="minorHAnsi"/>
        </w:rPr>
        <w:t xml:space="preserve">cemetery trusts; and </w:t>
      </w:r>
    </w:p>
    <w:p w14:paraId="05F1C3F8" w14:textId="77777777" w:rsidR="00203693" w:rsidRDefault="00203693" w:rsidP="007B76F0">
      <w:pPr>
        <w:pStyle w:val="bullet1"/>
        <w:numPr>
          <w:ilvl w:val="0"/>
          <w:numId w:val="30"/>
        </w:numPr>
        <w:spacing w:after="120" w:line="240" w:lineRule="auto"/>
        <w:contextualSpacing w:val="0"/>
        <w:rPr>
          <w:rFonts w:asciiTheme="minorHAnsi" w:hAnsiTheme="minorHAnsi" w:cstheme="minorHAnsi"/>
        </w:rPr>
      </w:pPr>
      <w:r w:rsidRPr="003054BC">
        <w:rPr>
          <w:rFonts w:asciiTheme="minorHAnsi" w:hAnsiTheme="minorHAnsi" w:cstheme="minorHAnsi"/>
        </w:rPr>
        <w:t xml:space="preserve">school councils. </w:t>
      </w:r>
    </w:p>
    <w:p w14:paraId="26F7AA88" w14:textId="77777777" w:rsidR="00203693" w:rsidRDefault="00203693" w:rsidP="00203693">
      <w:pPr>
        <w:pStyle w:val="bullet1"/>
        <w:numPr>
          <w:ilvl w:val="0"/>
          <w:numId w:val="0"/>
        </w:numPr>
        <w:spacing w:after="120" w:line="240" w:lineRule="auto"/>
        <w:ind w:left="360"/>
        <w:contextualSpacing w:val="0"/>
      </w:pPr>
      <w:r w:rsidRPr="003054BC">
        <w:t xml:space="preserve">DJSIR </w:t>
      </w:r>
      <w:r>
        <w:t xml:space="preserve">portfolio entities </w:t>
      </w:r>
      <w:r w:rsidRPr="003054BC">
        <w:t xml:space="preserve">must </w:t>
      </w:r>
      <w:r>
        <w:t xml:space="preserve">aim to </w:t>
      </w:r>
      <w:r w:rsidRPr="003054BC">
        <w:t xml:space="preserve">achieve or maintain the target of </w:t>
      </w:r>
      <w:r w:rsidRPr="004A52EB">
        <w:rPr>
          <w:b/>
          <w:bCs/>
        </w:rPr>
        <w:t>5</w:t>
      </w:r>
      <w:r>
        <w:rPr>
          <w:b/>
          <w:bCs/>
        </w:rPr>
        <w:t>0 per cent</w:t>
      </w:r>
      <w:r w:rsidRPr="004A52EB">
        <w:rPr>
          <w:b/>
          <w:bCs/>
        </w:rPr>
        <w:t xml:space="preserve"> of women on boards</w:t>
      </w:r>
      <w:r>
        <w:t>, subject to the following considerations:</w:t>
      </w:r>
    </w:p>
    <w:p w14:paraId="0655E80B" w14:textId="77777777" w:rsidR="00203693" w:rsidRDefault="00203693" w:rsidP="007B76F0">
      <w:pPr>
        <w:pStyle w:val="bullet1"/>
        <w:numPr>
          <w:ilvl w:val="0"/>
          <w:numId w:val="32"/>
        </w:numPr>
        <w:spacing w:after="120" w:line="240" w:lineRule="auto"/>
        <w:contextualSpacing w:val="0"/>
        <w:rPr>
          <w:rFonts w:asciiTheme="minorHAnsi" w:hAnsiTheme="minorHAnsi" w:cstheme="minorHAnsi"/>
        </w:rPr>
      </w:pPr>
      <w:r w:rsidRPr="00CF4FDF">
        <w:rPr>
          <w:rFonts w:asciiTheme="minorHAnsi" w:hAnsiTheme="minorHAnsi" w:cstheme="minorHAnsi"/>
        </w:rPr>
        <w:t>boards that have less than 50 per cent women solely due to an uneven number of board members</w:t>
      </w:r>
    </w:p>
    <w:p w14:paraId="28B3B029" w14:textId="77777777" w:rsidR="00203693" w:rsidRDefault="00203693" w:rsidP="007B76F0">
      <w:pPr>
        <w:pStyle w:val="bullet1"/>
        <w:numPr>
          <w:ilvl w:val="0"/>
          <w:numId w:val="32"/>
        </w:numPr>
        <w:spacing w:after="120" w:line="240" w:lineRule="auto"/>
        <w:contextualSpacing w:val="0"/>
        <w:rPr>
          <w:rFonts w:asciiTheme="minorHAnsi" w:hAnsiTheme="minorHAnsi" w:cstheme="minorHAnsi"/>
        </w:rPr>
      </w:pPr>
      <w:r w:rsidRPr="00CF4FDF">
        <w:rPr>
          <w:rFonts w:asciiTheme="minorHAnsi" w:hAnsiTheme="minorHAnsi" w:cstheme="minorHAnsi"/>
        </w:rPr>
        <w:t xml:space="preserve">boards with a small number of members, where each person represents a large proportion of members and can significantly skew the gender balance </w:t>
      </w:r>
    </w:p>
    <w:p w14:paraId="1079D749" w14:textId="77777777" w:rsidR="00203693" w:rsidRDefault="00203693" w:rsidP="007B76F0">
      <w:pPr>
        <w:pStyle w:val="bullet1"/>
        <w:numPr>
          <w:ilvl w:val="0"/>
          <w:numId w:val="32"/>
        </w:numPr>
        <w:spacing w:after="120" w:line="240" w:lineRule="auto"/>
        <w:contextualSpacing w:val="0"/>
        <w:rPr>
          <w:rFonts w:asciiTheme="minorHAnsi" w:hAnsiTheme="minorHAnsi" w:cstheme="minorHAnsi"/>
        </w:rPr>
      </w:pPr>
      <w:r w:rsidRPr="00CF4FDF">
        <w:rPr>
          <w:rFonts w:asciiTheme="minorHAnsi" w:hAnsiTheme="minorHAnsi" w:cstheme="minorHAnsi"/>
        </w:rPr>
        <w:t>circumstances in which enforcing the commitment would prevent appointments of gender diverse and non</w:t>
      </w:r>
      <w:r w:rsidRPr="00CF4FDF">
        <w:rPr>
          <w:rFonts w:ascii="Cambria Math" w:hAnsi="Cambria Math" w:cs="Cambria Math"/>
        </w:rPr>
        <w:t>‐</w:t>
      </w:r>
      <w:r w:rsidRPr="00CF4FDF">
        <w:rPr>
          <w:rFonts w:asciiTheme="minorHAnsi" w:hAnsiTheme="minorHAnsi" w:cstheme="minorHAnsi"/>
        </w:rPr>
        <w:t>binary people to public boards, particularly boards that have direct bearing or clear impacts on LGBTIQ+ Victorians</w:t>
      </w:r>
    </w:p>
    <w:p w14:paraId="2D44BC73" w14:textId="77777777" w:rsidR="00203693" w:rsidRPr="00CF4FDF" w:rsidRDefault="00203693" w:rsidP="007B76F0">
      <w:pPr>
        <w:pStyle w:val="bullet1"/>
        <w:numPr>
          <w:ilvl w:val="0"/>
          <w:numId w:val="32"/>
        </w:numPr>
        <w:spacing w:after="120" w:line="240" w:lineRule="auto"/>
        <w:contextualSpacing w:val="0"/>
        <w:rPr>
          <w:rFonts w:asciiTheme="minorHAnsi" w:hAnsiTheme="minorHAnsi" w:cstheme="minorHAnsi"/>
        </w:rPr>
      </w:pPr>
      <w:r w:rsidRPr="00CF4FDF">
        <w:rPr>
          <w:rFonts w:asciiTheme="minorHAnsi" w:hAnsiTheme="minorHAnsi" w:cstheme="minorHAnsi"/>
        </w:rPr>
        <w:t>circumstances in which enforcing the commitment would prevent appointments of Aboriginal people to public boards or undermine self</w:t>
      </w:r>
      <w:r w:rsidRPr="00CF4FDF">
        <w:rPr>
          <w:rFonts w:ascii="Cambria Math" w:hAnsi="Cambria Math" w:cs="Cambria Math"/>
        </w:rPr>
        <w:t>‐</w:t>
      </w:r>
      <w:r w:rsidRPr="00CF4FDF">
        <w:rPr>
          <w:rFonts w:asciiTheme="minorHAnsi" w:hAnsiTheme="minorHAnsi" w:cstheme="minorHAnsi"/>
        </w:rPr>
        <w:t>determination principles, particularly boards that have direct bearing or clear impacts on Aboriginal Victorians.</w:t>
      </w:r>
    </w:p>
    <w:p w14:paraId="40FE52B5" w14:textId="77777777" w:rsidR="00203693" w:rsidRDefault="00203693" w:rsidP="00203693">
      <w:pPr>
        <w:pStyle w:val="ListParagraph"/>
        <w:ind w:left="360"/>
        <w:rPr>
          <w:rFonts w:asciiTheme="minorHAnsi" w:hAnsiTheme="minorHAnsi" w:cstheme="minorHAnsi"/>
          <w:b/>
          <w:bCs/>
          <w:color w:val="auto"/>
          <w:sz w:val="18"/>
          <w:szCs w:val="18"/>
        </w:rPr>
      </w:pPr>
      <w:r w:rsidRPr="00174CC4">
        <w:rPr>
          <w:rFonts w:asciiTheme="minorHAnsi" w:hAnsiTheme="minorHAnsi" w:cstheme="minorHAnsi"/>
          <w:b/>
          <w:bCs/>
          <w:color w:val="auto"/>
          <w:sz w:val="18"/>
          <w:szCs w:val="18"/>
        </w:rPr>
        <w:t>Key considerations</w:t>
      </w:r>
    </w:p>
    <w:p w14:paraId="77B7B5CE" w14:textId="77777777" w:rsidR="00203693" w:rsidRPr="00174CC4" w:rsidRDefault="00203693" w:rsidP="00203693">
      <w:pPr>
        <w:pStyle w:val="ListParagraph"/>
        <w:ind w:left="360"/>
        <w:rPr>
          <w:rFonts w:asciiTheme="minorHAnsi" w:hAnsiTheme="minorHAnsi" w:cstheme="minorHAnsi"/>
          <w:b/>
          <w:bCs/>
          <w:color w:val="auto"/>
          <w:sz w:val="18"/>
          <w:szCs w:val="18"/>
        </w:rPr>
      </w:pPr>
    </w:p>
    <w:p w14:paraId="5DC687AF" w14:textId="77777777" w:rsidR="00203693" w:rsidRPr="00174CC4" w:rsidRDefault="00203693" w:rsidP="007B76F0">
      <w:pPr>
        <w:pStyle w:val="ListParagraph"/>
        <w:numPr>
          <w:ilvl w:val="0"/>
          <w:numId w:val="33"/>
        </w:numPr>
        <w:spacing w:after="120"/>
        <w:ind w:left="714" w:hanging="357"/>
        <w:contextualSpacing w:val="0"/>
        <w:rPr>
          <w:rFonts w:asciiTheme="minorHAnsi" w:hAnsiTheme="minorHAnsi" w:cstheme="minorHAnsi"/>
          <w:color w:val="auto"/>
          <w:sz w:val="18"/>
          <w:szCs w:val="18"/>
        </w:rPr>
      </w:pPr>
      <w:r w:rsidRPr="00174CC4">
        <w:rPr>
          <w:rFonts w:asciiTheme="minorHAnsi" w:hAnsiTheme="minorHAnsi" w:cstheme="minorHAnsi"/>
          <w:color w:val="auto"/>
          <w:sz w:val="18"/>
          <w:szCs w:val="18"/>
        </w:rPr>
        <w:t>Review the gender composition of the board</w:t>
      </w:r>
      <w:r>
        <w:rPr>
          <w:rFonts w:asciiTheme="minorHAnsi" w:hAnsiTheme="minorHAnsi" w:cstheme="minorHAnsi"/>
          <w:color w:val="auto"/>
          <w:sz w:val="18"/>
          <w:szCs w:val="18"/>
        </w:rPr>
        <w:t>.</w:t>
      </w:r>
    </w:p>
    <w:p w14:paraId="24503B7D" w14:textId="77777777" w:rsidR="00203693" w:rsidRPr="00174CC4" w:rsidRDefault="00203693" w:rsidP="007B76F0">
      <w:pPr>
        <w:pStyle w:val="ListParagraph"/>
        <w:numPr>
          <w:ilvl w:val="0"/>
          <w:numId w:val="33"/>
        </w:numPr>
        <w:spacing w:after="120"/>
        <w:ind w:left="714" w:hanging="357"/>
        <w:contextualSpacing w:val="0"/>
        <w:rPr>
          <w:rFonts w:asciiTheme="minorHAnsi" w:hAnsiTheme="minorHAnsi" w:cstheme="minorHAnsi"/>
          <w:color w:val="auto"/>
          <w:sz w:val="18"/>
          <w:szCs w:val="18"/>
        </w:rPr>
      </w:pPr>
      <w:r w:rsidRPr="00174CC4">
        <w:rPr>
          <w:rFonts w:asciiTheme="minorHAnsi" w:hAnsiTheme="minorHAnsi" w:cstheme="minorHAnsi"/>
          <w:color w:val="auto"/>
          <w:sz w:val="18"/>
          <w:szCs w:val="18"/>
        </w:rPr>
        <w:t xml:space="preserve">Include gender diversity </w:t>
      </w:r>
      <w:r>
        <w:rPr>
          <w:rFonts w:asciiTheme="minorHAnsi" w:hAnsiTheme="minorHAnsi" w:cstheme="minorHAnsi"/>
          <w:color w:val="auto"/>
          <w:sz w:val="18"/>
          <w:szCs w:val="18"/>
        </w:rPr>
        <w:t>i</w:t>
      </w:r>
      <w:r w:rsidRPr="00174CC4">
        <w:rPr>
          <w:rFonts w:asciiTheme="minorHAnsi" w:hAnsiTheme="minorHAnsi" w:cstheme="minorHAnsi"/>
          <w:color w:val="auto"/>
          <w:sz w:val="18"/>
          <w:szCs w:val="18"/>
        </w:rPr>
        <w:t>n your board’s skills matrix</w:t>
      </w:r>
      <w:r>
        <w:rPr>
          <w:rFonts w:asciiTheme="minorHAnsi" w:hAnsiTheme="minorHAnsi" w:cstheme="minorHAnsi"/>
          <w:color w:val="auto"/>
          <w:sz w:val="18"/>
          <w:szCs w:val="18"/>
        </w:rPr>
        <w:t>.</w:t>
      </w:r>
    </w:p>
    <w:p w14:paraId="3506E801" w14:textId="77777777" w:rsidR="00203693" w:rsidRPr="00174CC4" w:rsidRDefault="00203693" w:rsidP="007B76F0">
      <w:pPr>
        <w:pStyle w:val="ListParagraph"/>
        <w:numPr>
          <w:ilvl w:val="0"/>
          <w:numId w:val="33"/>
        </w:numPr>
        <w:spacing w:after="120"/>
        <w:ind w:left="714" w:hanging="357"/>
        <w:contextualSpacing w:val="0"/>
        <w:rPr>
          <w:rFonts w:asciiTheme="minorHAnsi" w:hAnsiTheme="minorHAnsi" w:cstheme="minorHAnsi"/>
          <w:color w:val="auto"/>
          <w:sz w:val="18"/>
          <w:szCs w:val="18"/>
        </w:rPr>
      </w:pPr>
      <w:r w:rsidRPr="00174CC4">
        <w:rPr>
          <w:rFonts w:asciiTheme="minorHAnsi" w:hAnsiTheme="minorHAnsi" w:cstheme="minorHAnsi"/>
          <w:color w:val="auto"/>
          <w:sz w:val="18"/>
          <w:szCs w:val="18"/>
        </w:rPr>
        <w:t>Use open and competitive recruitment whenever possible</w:t>
      </w:r>
      <w:r>
        <w:rPr>
          <w:rFonts w:asciiTheme="minorHAnsi" w:hAnsiTheme="minorHAnsi" w:cstheme="minorHAnsi"/>
          <w:color w:val="auto"/>
          <w:sz w:val="18"/>
          <w:szCs w:val="18"/>
        </w:rPr>
        <w:t>.</w:t>
      </w:r>
    </w:p>
    <w:p w14:paraId="64FF2DAD" w14:textId="77777777" w:rsidR="00203693" w:rsidRPr="00174CC4" w:rsidRDefault="00203693" w:rsidP="007B76F0">
      <w:pPr>
        <w:pStyle w:val="ListParagraph"/>
        <w:numPr>
          <w:ilvl w:val="0"/>
          <w:numId w:val="33"/>
        </w:numPr>
        <w:spacing w:after="120"/>
        <w:ind w:left="714" w:hanging="357"/>
        <w:contextualSpacing w:val="0"/>
        <w:rPr>
          <w:rFonts w:asciiTheme="minorHAnsi" w:hAnsiTheme="minorHAnsi" w:cstheme="minorHAnsi"/>
          <w:color w:val="auto"/>
          <w:sz w:val="18"/>
          <w:szCs w:val="18"/>
        </w:rPr>
      </w:pPr>
      <w:r w:rsidRPr="00174CC4">
        <w:rPr>
          <w:rFonts w:asciiTheme="minorHAnsi" w:hAnsiTheme="minorHAnsi" w:cstheme="minorHAnsi"/>
          <w:color w:val="auto"/>
          <w:sz w:val="18"/>
          <w:szCs w:val="18"/>
        </w:rPr>
        <w:t>Provide flexible working arrangements to encourage women to apply for the role</w:t>
      </w:r>
      <w:r>
        <w:rPr>
          <w:rFonts w:asciiTheme="minorHAnsi" w:hAnsiTheme="minorHAnsi" w:cstheme="minorHAnsi"/>
          <w:color w:val="auto"/>
          <w:sz w:val="18"/>
          <w:szCs w:val="18"/>
        </w:rPr>
        <w:t>.</w:t>
      </w:r>
    </w:p>
    <w:p w14:paraId="2C883258" w14:textId="77777777" w:rsidR="00203693" w:rsidRPr="00174CC4" w:rsidRDefault="00203693" w:rsidP="007B76F0">
      <w:pPr>
        <w:pStyle w:val="ListParagraph"/>
        <w:numPr>
          <w:ilvl w:val="0"/>
          <w:numId w:val="33"/>
        </w:numPr>
        <w:spacing w:after="120"/>
        <w:ind w:left="714" w:hanging="357"/>
        <w:contextualSpacing w:val="0"/>
        <w:rPr>
          <w:rFonts w:asciiTheme="minorHAnsi" w:hAnsiTheme="minorHAnsi" w:cstheme="minorHAnsi"/>
          <w:color w:val="auto"/>
          <w:sz w:val="18"/>
          <w:szCs w:val="18"/>
        </w:rPr>
      </w:pPr>
      <w:r w:rsidRPr="00174CC4">
        <w:rPr>
          <w:rFonts w:asciiTheme="minorHAnsi" w:hAnsiTheme="minorHAnsi" w:cstheme="minorHAnsi"/>
          <w:color w:val="auto"/>
          <w:sz w:val="18"/>
          <w:szCs w:val="18"/>
        </w:rPr>
        <w:t>Engage a gender diverse assessment and interview panel</w:t>
      </w:r>
      <w:r>
        <w:rPr>
          <w:rFonts w:asciiTheme="minorHAnsi" w:hAnsiTheme="minorHAnsi" w:cstheme="minorHAnsi"/>
          <w:color w:val="auto"/>
          <w:sz w:val="18"/>
          <w:szCs w:val="18"/>
        </w:rPr>
        <w:t>.</w:t>
      </w:r>
    </w:p>
    <w:p w14:paraId="00003469" w14:textId="77777777" w:rsidR="00203693" w:rsidRDefault="00203693" w:rsidP="00203693">
      <w:pPr>
        <w:pStyle w:val="ListParagraph"/>
        <w:ind w:left="360"/>
        <w:rPr>
          <w:rFonts w:asciiTheme="minorHAnsi" w:hAnsiTheme="minorHAnsi" w:cstheme="minorHAnsi"/>
          <w:sz w:val="18"/>
          <w:szCs w:val="18"/>
        </w:rPr>
      </w:pPr>
    </w:p>
    <w:p w14:paraId="22E75CD7" w14:textId="77777777" w:rsidR="00203693" w:rsidRDefault="00203693" w:rsidP="00203693">
      <w:pPr>
        <w:pStyle w:val="ListParagraph"/>
        <w:ind w:left="360"/>
        <w:rPr>
          <w:rFonts w:asciiTheme="minorHAnsi" w:hAnsiTheme="minorHAnsi" w:cstheme="minorHAnsi"/>
          <w:sz w:val="18"/>
          <w:szCs w:val="18"/>
        </w:rPr>
      </w:pPr>
      <w:r w:rsidRPr="008161BE">
        <w:rPr>
          <w:rFonts w:asciiTheme="minorHAnsi" w:hAnsiTheme="minorHAnsi" w:cstheme="minorHAnsi"/>
          <w:color w:val="auto"/>
          <w:sz w:val="18"/>
          <w:szCs w:val="18"/>
        </w:rPr>
        <w:t xml:space="preserve">For questions </w:t>
      </w:r>
      <w:r>
        <w:rPr>
          <w:rFonts w:asciiTheme="minorHAnsi" w:hAnsiTheme="minorHAnsi" w:cstheme="minorHAnsi"/>
          <w:color w:val="auto"/>
          <w:sz w:val="18"/>
          <w:szCs w:val="18"/>
        </w:rPr>
        <w:t>related</w:t>
      </w:r>
      <w:r w:rsidRPr="008161BE">
        <w:rPr>
          <w:rFonts w:asciiTheme="minorHAnsi" w:hAnsiTheme="minorHAnsi" w:cstheme="minorHAnsi"/>
          <w:color w:val="auto"/>
          <w:sz w:val="18"/>
          <w:szCs w:val="18"/>
        </w:rPr>
        <w:t xml:space="preserve"> to the Women on Boards commitment, contact DFFH at </w:t>
      </w:r>
      <w:hyperlink r:id="rId116" w:history="1">
        <w:r w:rsidRPr="00053B12">
          <w:rPr>
            <w:rStyle w:val="Hyperlink"/>
            <w:rFonts w:asciiTheme="minorHAnsi" w:hAnsiTheme="minorHAnsi" w:cstheme="minorHAnsi"/>
            <w:sz w:val="18"/>
            <w:szCs w:val="18"/>
          </w:rPr>
          <w:t>diversityonboards@dffh.vic.gov.au</w:t>
        </w:r>
      </w:hyperlink>
    </w:p>
    <w:p w14:paraId="20E15C88" w14:textId="77777777" w:rsidR="00203693" w:rsidRPr="00C32301" w:rsidRDefault="00203693" w:rsidP="00203693">
      <w:pPr>
        <w:pStyle w:val="ListParagraph"/>
        <w:ind w:left="360"/>
        <w:rPr>
          <w:rFonts w:asciiTheme="minorHAnsi" w:hAnsiTheme="minorHAnsi" w:cstheme="minorHAnsi"/>
          <w:sz w:val="18"/>
          <w:szCs w:val="18"/>
        </w:rPr>
      </w:pPr>
    </w:p>
    <w:p w14:paraId="00A7860E" w14:textId="77777777" w:rsidR="00203693" w:rsidRPr="008161BE" w:rsidRDefault="00203693" w:rsidP="007B76F0">
      <w:pPr>
        <w:pStyle w:val="ListParagraph"/>
        <w:numPr>
          <w:ilvl w:val="0"/>
          <w:numId w:val="29"/>
        </w:numPr>
        <w:rPr>
          <w:rFonts w:asciiTheme="minorHAnsi" w:hAnsiTheme="minorHAnsi" w:cstheme="minorHAnsi"/>
          <w:color w:val="auto"/>
          <w:sz w:val="18"/>
          <w:szCs w:val="18"/>
        </w:rPr>
      </w:pPr>
      <w:r w:rsidRPr="008161BE">
        <w:rPr>
          <w:rFonts w:asciiTheme="minorHAnsi" w:hAnsiTheme="minorHAnsi" w:cstheme="minorHAnsi"/>
          <w:b/>
          <w:bCs/>
          <w:color w:val="auto"/>
          <w:sz w:val="18"/>
          <w:szCs w:val="18"/>
        </w:rPr>
        <w:t>Aboriginal people</w:t>
      </w:r>
      <w:r w:rsidRPr="008161BE">
        <w:rPr>
          <w:rFonts w:asciiTheme="minorHAnsi" w:hAnsiTheme="minorHAnsi" w:cstheme="minorHAnsi"/>
          <w:color w:val="auto"/>
          <w:sz w:val="18"/>
          <w:szCs w:val="18"/>
        </w:rPr>
        <w:t xml:space="preserve"> – Around one percent of people on Victorian Government boards identify as Aboriginal. </w:t>
      </w:r>
    </w:p>
    <w:p w14:paraId="35CE86DA" w14:textId="77777777" w:rsidR="00203693" w:rsidRPr="008161BE" w:rsidRDefault="00203693" w:rsidP="00203693">
      <w:pPr>
        <w:pStyle w:val="ListParagraph"/>
        <w:ind w:left="360"/>
        <w:rPr>
          <w:rFonts w:asciiTheme="minorHAnsi" w:hAnsiTheme="minorHAnsi" w:cstheme="minorHAnsi"/>
          <w:b/>
          <w:bCs/>
          <w:color w:val="auto"/>
          <w:sz w:val="18"/>
          <w:szCs w:val="18"/>
        </w:rPr>
      </w:pPr>
    </w:p>
    <w:p w14:paraId="4F1822C7" w14:textId="77777777" w:rsidR="00203693" w:rsidRPr="008161BE" w:rsidRDefault="00203693" w:rsidP="00203693">
      <w:pPr>
        <w:pStyle w:val="ListParagraph"/>
        <w:ind w:left="360"/>
        <w:rPr>
          <w:rFonts w:asciiTheme="minorHAnsi" w:hAnsiTheme="minorHAnsi" w:cstheme="minorHAnsi"/>
          <w:color w:val="auto"/>
          <w:sz w:val="18"/>
          <w:szCs w:val="18"/>
        </w:rPr>
      </w:pPr>
      <w:r w:rsidRPr="008161BE">
        <w:rPr>
          <w:rFonts w:asciiTheme="minorHAnsi" w:hAnsiTheme="minorHAnsi" w:cstheme="minorHAnsi"/>
          <w:color w:val="auto"/>
          <w:sz w:val="18"/>
          <w:szCs w:val="18"/>
        </w:rPr>
        <w:t>The Victorian Government is committed to self-determination as a guiding principle in Aboriginal affairs, which should reflect in</w:t>
      </w:r>
      <w:r>
        <w:rPr>
          <w:rFonts w:asciiTheme="minorHAnsi" w:hAnsiTheme="minorHAnsi" w:cstheme="minorHAnsi"/>
          <w:color w:val="auto"/>
          <w:sz w:val="18"/>
          <w:szCs w:val="18"/>
        </w:rPr>
        <w:t xml:space="preserve"> the</w:t>
      </w:r>
      <w:r w:rsidRPr="008161BE">
        <w:rPr>
          <w:rFonts w:asciiTheme="minorHAnsi" w:hAnsiTheme="minorHAnsi" w:cstheme="minorHAnsi"/>
          <w:color w:val="auto"/>
          <w:sz w:val="18"/>
          <w:szCs w:val="18"/>
        </w:rPr>
        <w:t xml:space="preserve"> representation of Aboriginal people on government boards. Entities should ensure that Aboriginal people </w:t>
      </w:r>
      <w:r>
        <w:rPr>
          <w:rFonts w:asciiTheme="minorHAnsi" w:hAnsiTheme="minorHAnsi" w:cstheme="minorHAnsi"/>
          <w:color w:val="auto"/>
          <w:sz w:val="18"/>
          <w:szCs w:val="18"/>
        </w:rPr>
        <w:t>are</w:t>
      </w:r>
      <w:r w:rsidRPr="008161BE">
        <w:rPr>
          <w:rFonts w:asciiTheme="minorHAnsi" w:hAnsiTheme="minorHAnsi" w:cstheme="minorHAnsi"/>
          <w:color w:val="auto"/>
          <w:sz w:val="18"/>
          <w:szCs w:val="18"/>
        </w:rPr>
        <w:t xml:space="preserve"> represented on both ‘mainstream boards’ and those with specific mandates for Aboriginal affairs. This is because all areas of policy impact Aboriginal Victorians. </w:t>
      </w:r>
    </w:p>
    <w:p w14:paraId="6BFAF977" w14:textId="77777777" w:rsidR="00203693" w:rsidRPr="008161BE" w:rsidRDefault="00203693" w:rsidP="00203693">
      <w:pPr>
        <w:pStyle w:val="ListParagraph"/>
        <w:ind w:left="360"/>
        <w:rPr>
          <w:rFonts w:asciiTheme="minorHAnsi" w:hAnsiTheme="minorHAnsi" w:cstheme="minorHAnsi"/>
          <w:color w:val="auto"/>
          <w:sz w:val="18"/>
          <w:szCs w:val="18"/>
        </w:rPr>
      </w:pPr>
    </w:p>
    <w:p w14:paraId="16414DE2" w14:textId="77777777" w:rsidR="00203693" w:rsidRPr="008161BE" w:rsidRDefault="00203693" w:rsidP="00203693">
      <w:pPr>
        <w:pStyle w:val="ListParagraph"/>
        <w:ind w:left="360"/>
        <w:rPr>
          <w:rFonts w:asciiTheme="minorHAnsi" w:hAnsiTheme="minorHAnsi" w:cstheme="minorHAnsi"/>
          <w:color w:val="auto"/>
          <w:sz w:val="18"/>
          <w:szCs w:val="18"/>
        </w:rPr>
      </w:pPr>
      <w:r w:rsidRPr="008161BE">
        <w:rPr>
          <w:rFonts w:asciiTheme="minorHAnsi" w:hAnsiTheme="minorHAnsi" w:cstheme="minorHAnsi"/>
          <w:color w:val="auto"/>
          <w:sz w:val="18"/>
          <w:szCs w:val="18"/>
        </w:rPr>
        <w:t xml:space="preserve">DJSIR must </w:t>
      </w:r>
      <w:r>
        <w:rPr>
          <w:rFonts w:asciiTheme="minorHAnsi" w:hAnsiTheme="minorHAnsi" w:cstheme="minorHAnsi"/>
          <w:color w:val="auto"/>
          <w:sz w:val="18"/>
          <w:szCs w:val="18"/>
        </w:rPr>
        <w:t xml:space="preserve">aim </w:t>
      </w:r>
      <w:r w:rsidRPr="008161BE">
        <w:rPr>
          <w:rFonts w:asciiTheme="minorHAnsi" w:hAnsiTheme="minorHAnsi" w:cstheme="minorHAnsi"/>
          <w:color w:val="auto"/>
          <w:sz w:val="18"/>
          <w:szCs w:val="18"/>
        </w:rPr>
        <w:t>to maintain or exceed its</w:t>
      </w:r>
      <w:r>
        <w:rPr>
          <w:rFonts w:asciiTheme="minorHAnsi" w:hAnsiTheme="minorHAnsi" w:cstheme="minorHAnsi"/>
          <w:color w:val="auto"/>
          <w:sz w:val="18"/>
          <w:szCs w:val="18"/>
        </w:rPr>
        <w:t xml:space="preserve"> WoVG</w:t>
      </w:r>
      <w:r w:rsidRPr="008161BE">
        <w:rPr>
          <w:rFonts w:asciiTheme="minorHAnsi" w:hAnsiTheme="minorHAnsi" w:cstheme="minorHAnsi"/>
          <w:color w:val="auto"/>
          <w:sz w:val="18"/>
          <w:szCs w:val="18"/>
        </w:rPr>
        <w:t xml:space="preserve"> targets </w:t>
      </w:r>
      <w:r>
        <w:rPr>
          <w:rFonts w:asciiTheme="minorHAnsi" w:hAnsiTheme="minorHAnsi" w:cstheme="minorHAnsi"/>
          <w:color w:val="auto"/>
          <w:sz w:val="18"/>
          <w:szCs w:val="18"/>
        </w:rPr>
        <w:t>for</w:t>
      </w:r>
      <w:r w:rsidRPr="008161BE">
        <w:rPr>
          <w:rFonts w:asciiTheme="minorHAnsi" w:hAnsiTheme="minorHAnsi" w:cstheme="minorHAnsi"/>
          <w:color w:val="auto"/>
          <w:sz w:val="18"/>
          <w:szCs w:val="18"/>
        </w:rPr>
        <w:t xml:space="preserve"> Aboriginal representation through board</w:t>
      </w:r>
      <w:r>
        <w:rPr>
          <w:rFonts w:asciiTheme="minorHAnsi" w:hAnsiTheme="minorHAnsi" w:cstheme="minorHAnsi"/>
          <w:color w:val="auto"/>
          <w:sz w:val="18"/>
          <w:szCs w:val="18"/>
        </w:rPr>
        <w:t xml:space="preserve"> recruitment</w:t>
      </w:r>
      <w:r w:rsidRPr="008161BE">
        <w:rPr>
          <w:rFonts w:asciiTheme="minorHAnsi" w:hAnsiTheme="minorHAnsi" w:cstheme="minorHAnsi"/>
          <w:color w:val="auto"/>
          <w:sz w:val="18"/>
          <w:szCs w:val="18"/>
        </w:rPr>
        <w:t>. This can be achieved</w:t>
      </w:r>
      <w:r>
        <w:rPr>
          <w:rFonts w:asciiTheme="minorHAnsi" w:hAnsiTheme="minorHAnsi" w:cstheme="minorHAnsi"/>
          <w:color w:val="auto"/>
          <w:sz w:val="18"/>
          <w:szCs w:val="18"/>
        </w:rPr>
        <w:t xml:space="preserve"> in the</w:t>
      </w:r>
      <w:r w:rsidRPr="008161BE">
        <w:rPr>
          <w:rFonts w:asciiTheme="minorHAnsi" w:hAnsiTheme="minorHAnsi" w:cstheme="minorHAnsi"/>
          <w:color w:val="auto"/>
          <w:sz w:val="18"/>
          <w:szCs w:val="18"/>
        </w:rPr>
        <w:t xml:space="preserve"> appropriate strategic board recruitment goal</w:t>
      </w:r>
      <w:r>
        <w:rPr>
          <w:rFonts w:asciiTheme="minorHAnsi" w:hAnsiTheme="minorHAnsi" w:cstheme="minorHAnsi"/>
          <w:color w:val="auto"/>
          <w:sz w:val="18"/>
          <w:szCs w:val="18"/>
        </w:rPr>
        <w:t>-</w:t>
      </w:r>
      <w:r w:rsidRPr="008161BE">
        <w:rPr>
          <w:rFonts w:asciiTheme="minorHAnsi" w:hAnsiTheme="minorHAnsi" w:cstheme="minorHAnsi"/>
          <w:color w:val="auto"/>
          <w:sz w:val="18"/>
          <w:szCs w:val="18"/>
        </w:rPr>
        <w:t xml:space="preserve">setting </w:t>
      </w:r>
      <w:r>
        <w:rPr>
          <w:rFonts w:asciiTheme="minorHAnsi" w:hAnsiTheme="minorHAnsi" w:cstheme="minorHAnsi"/>
          <w:color w:val="auto"/>
          <w:sz w:val="18"/>
          <w:szCs w:val="18"/>
        </w:rPr>
        <w:t xml:space="preserve">phase </w:t>
      </w:r>
      <w:r w:rsidRPr="008161BE">
        <w:rPr>
          <w:rFonts w:asciiTheme="minorHAnsi" w:hAnsiTheme="minorHAnsi" w:cstheme="minorHAnsi"/>
          <w:color w:val="auto"/>
          <w:sz w:val="18"/>
          <w:szCs w:val="18"/>
        </w:rPr>
        <w:t xml:space="preserve">between </w:t>
      </w:r>
      <w:r w:rsidRPr="008161BE">
        <w:rPr>
          <w:rFonts w:asciiTheme="minorHAnsi" w:hAnsiTheme="minorHAnsi" w:cstheme="minorHAnsi"/>
          <w:color w:val="auto"/>
          <w:sz w:val="18"/>
          <w:szCs w:val="18"/>
        </w:rPr>
        <w:lastRenderedPageBreak/>
        <w:t xml:space="preserve">departmental relationship managers and their board chairpersons, and in consultation with the responsible minister. </w:t>
      </w:r>
    </w:p>
    <w:p w14:paraId="6255901F" w14:textId="77777777" w:rsidR="00203693" w:rsidRPr="008161BE" w:rsidRDefault="00203693" w:rsidP="00203693">
      <w:pPr>
        <w:pStyle w:val="ListParagraph"/>
        <w:ind w:left="360"/>
        <w:rPr>
          <w:rFonts w:asciiTheme="minorHAnsi" w:hAnsiTheme="minorHAnsi" w:cstheme="minorHAnsi"/>
          <w:color w:val="auto"/>
          <w:sz w:val="18"/>
          <w:szCs w:val="18"/>
        </w:rPr>
      </w:pPr>
    </w:p>
    <w:p w14:paraId="0786D7DF" w14:textId="77777777" w:rsidR="00203693" w:rsidRDefault="00203693" w:rsidP="00203693">
      <w:pPr>
        <w:pStyle w:val="ListParagraph"/>
        <w:ind w:left="360"/>
        <w:rPr>
          <w:rFonts w:asciiTheme="minorHAnsi" w:hAnsiTheme="minorHAnsi" w:cstheme="minorHAnsi"/>
          <w:b/>
          <w:bCs/>
          <w:color w:val="auto"/>
          <w:sz w:val="18"/>
          <w:szCs w:val="18"/>
        </w:rPr>
      </w:pPr>
      <w:r>
        <w:rPr>
          <w:rFonts w:asciiTheme="minorHAnsi" w:hAnsiTheme="minorHAnsi" w:cstheme="minorHAnsi"/>
          <w:b/>
          <w:bCs/>
          <w:color w:val="auto"/>
          <w:sz w:val="18"/>
          <w:szCs w:val="18"/>
        </w:rPr>
        <w:t>Key considerations</w:t>
      </w:r>
    </w:p>
    <w:p w14:paraId="5B143AFC" w14:textId="77777777" w:rsidR="00203693" w:rsidRDefault="00203693" w:rsidP="00203693">
      <w:pPr>
        <w:pStyle w:val="ListParagraph"/>
        <w:ind w:left="360"/>
        <w:rPr>
          <w:rFonts w:asciiTheme="minorHAnsi" w:hAnsiTheme="minorHAnsi" w:cstheme="minorHAnsi"/>
          <w:b/>
          <w:bCs/>
          <w:color w:val="auto"/>
          <w:sz w:val="18"/>
          <w:szCs w:val="18"/>
        </w:rPr>
      </w:pPr>
    </w:p>
    <w:p w14:paraId="3227BF7F" w14:textId="77777777" w:rsidR="00203693" w:rsidRPr="00BD7563" w:rsidRDefault="00203693" w:rsidP="007B76F0">
      <w:pPr>
        <w:pStyle w:val="ListParagraph"/>
        <w:numPr>
          <w:ilvl w:val="0"/>
          <w:numId w:val="34"/>
        </w:numPr>
        <w:spacing w:after="120"/>
        <w:ind w:left="714" w:hanging="357"/>
        <w:contextualSpacing w:val="0"/>
        <w:rPr>
          <w:rFonts w:asciiTheme="minorHAnsi" w:hAnsiTheme="minorHAnsi" w:cstheme="minorHAnsi"/>
          <w:color w:val="auto"/>
          <w:sz w:val="18"/>
          <w:szCs w:val="18"/>
        </w:rPr>
      </w:pPr>
      <w:r w:rsidRPr="00BD7563">
        <w:rPr>
          <w:rFonts w:asciiTheme="minorHAnsi" w:hAnsiTheme="minorHAnsi" w:cstheme="minorHAnsi"/>
          <w:color w:val="auto"/>
          <w:sz w:val="18"/>
          <w:szCs w:val="18"/>
        </w:rPr>
        <w:t xml:space="preserve">Avoid considering </w:t>
      </w:r>
      <w:r>
        <w:rPr>
          <w:rFonts w:asciiTheme="minorHAnsi" w:hAnsiTheme="minorHAnsi" w:cstheme="minorHAnsi"/>
          <w:color w:val="auto"/>
          <w:sz w:val="18"/>
          <w:szCs w:val="18"/>
        </w:rPr>
        <w:t xml:space="preserve">just </w:t>
      </w:r>
      <w:r w:rsidRPr="00BD7563">
        <w:rPr>
          <w:rFonts w:asciiTheme="minorHAnsi" w:hAnsiTheme="minorHAnsi" w:cstheme="minorHAnsi"/>
          <w:color w:val="auto"/>
          <w:sz w:val="18"/>
          <w:szCs w:val="18"/>
        </w:rPr>
        <w:t>Aboriginal people for Aboriginal specific boards</w:t>
      </w:r>
      <w:r>
        <w:rPr>
          <w:rFonts w:asciiTheme="minorHAnsi" w:hAnsiTheme="minorHAnsi" w:cstheme="minorHAnsi"/>
          <w:color w:val="auto"/>
          <w:sz w:val="18"/>
          <w:szCs w:val="18"/>
        </w:rPr>
        <w:t>.</w:t>
      </w:r>
    </w:p>
    <w:p w14:paraId="39EA3ED5" w14:textId="77777777" w:rsidR="00203693" w:rsidRPr="00451DED" w:rsidRDefault="00203693" w:rsidP="007B76F0">
      <w:pPr>
        <w:pStyle w:val="ListParagraph"/>
        <w:numPr>
          <w:ilvl w:val="0"/>
          <w:numId w:val="34"/>
        </w:numPr>
        <w:spacing w:after="120"/>
        <w:ind w:left="714" w:hanging="357"/>
        <w:contextualSpacing w:val="0"/>
        <w:rPr>
          <w:rFonts w:asciiTheme="minorHAnsi" w:hAnsiTheme="minorHAnsi" w:cstheme="minorHAnsi"/>
          <w:color w:val="auto"/>
          <w:sz w:val="18"/>
          <w:szCs w:val="18"/>
        </w:rPr>
      </w:pPr>
      <w:r w:rsidRPr="00451DED">
        <w:rPr>
          <w:rFonts w:asciiTheme="minorHAnsi" w:hAnsiTheme="minorHAnsi" w:cstheme="minorHAnsi"/>
          <w:color w:val="auto"/>
          <w:sz w:val="18"/>
          <w:szCs w:val="18"/>
        </w:rPr>
        <w:t xml:space="preserve">Ensure that your board is culturally safe and </w:t>
      </w:r>
      <w:r w:rsidRPr="00973269">
        <w:rPr>
          <w:rFonts w:asciiTheme="minorHAnsi" w:hAnsiTheme="minorHAnsi" w:cstheme="minorHAnsi"/>
          <w:color w:val="auto"/>
          <w:sz w:val="18"/>
          <w:szCs w:val="18"/>
        </w:rPr>
        <w:t>can</w:t>
      </w:r>
      <w:r w:rsidRPr="00451DED">
        <w:rPr>
          <w:rFonts w:asciiTheme="minorHAnsi" w:hAnsiTheme="minorHAnsi" w:cstheme="minorHAnsi"/>
          <w:color w:val="auto"/>
          <w:sz w:val="18"/>
          <w:szCs w:val="18"/>
        </w:rPr>
        <w:t xml:space="preserve"> support Aboriginal members</w:t>
      </w:r>
      <w:r>
        <w:rPr>
          <w:rFonts w:asciiTheme="minorHAnsi" w:hAnsiTheme="minorHAnsi" w:cstheme="minorHAnsi"/>
          <w:color w:val="auto"/>
          <w:sz w:val="18"/>
          <w:szCs w:val="18"/>
        </w:rPr>
        <w:t>.</w:t>
      </w:r>
    </w:p>
    <w:p w14:paraId="6A794718" w14:textId="77777777" w:rsidR="00203693" w:rsidRDefault="00203693" w:rsidP="007B76F0">
      <w:pPr>
        <w:pStyle w:val="ListParagraph"/>
        <w:numPr>
          <w:ilvl w:val="0"/>
          <w:numId w:val="34"/>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Include lived experience or professional experience and practical knowledge, whenever possible, rather than formal qualifications.</w:t>
      </w:r>
    </w:p>
    <w:p w14:paraId="49A95C21" w14:textId="77777777" w:rsidR="00203693" w:rsidRDefault="00203693" w:rsidP="007B76F0">
      <w:pPr>
        <w:pStyle w:val="ListParagraph"/>
        <w:numPr>
          <w:ilvl w:val="0"/>
          <w:numId w:val="34"/>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Be flexible and do not rely solely on formal interview approaches.</w:t>
      </w:r>
    </w:p>
    <w:p w14:paraId="014033DC" w14:textId="77777777" w:rsidR="00203693" w:rsidRDefault="00203693" w:rsidP="007B76F0">
      <w:pPr>
        <w:pStyle w:val="ListParagraph"/>
        <w:numPr>
          <w:ilvl w:val="0"/>
          <w:numId w:val="34"/>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Provide support to applicants before the interview.</w:t>
      </w:r>
    </w:p>
    <w:p w14:paraId="1712388B" w14:textId="77777777" w:rsidR="00203693" w:rsidRDefault="00203693" w:rsidP="007B76F0">
      <w:pPr>
        <w:pStyle w:val="ListParagraph"/>
        <w:numPr>
          <w:ilvl w:val="0"/>
          <w:numId w:val="34"/>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Include an Aboriginal person on the selection panel.</w:t>
      </w:r>
    </w:p>
    <w:p w14:paraId="310FFA20" w14:textId="77777777" w:rsidR="00203693" w:rsidRPr="00451DED" w:rsidRDefault="00203693" w:rsidP="007B76F0">
      <w:pPr>
        <w:pStyle w:val="ListParagraph"/>
        <w:numPr>
          <w:ilvl w:val="0"/>
          <w:numId w:val="34"/>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Appreciate that Aboriginal cultural protocols may differ between individuals, communities, and regions.</w:t>
      </w:r>
    </w:p>
    <w:p w14:paraId="4CFB637F" w14:textId="77777777" w:rsidR="00203693" w:rsidRDefault="00203693" w:rsidP="00203693">
      <w:pPr>
        <w:pStyle w:val="ListParagraph"/>
        <w:ind w:left="360"/>
        <w:rPr>
          <w:rFonts w:asciiTheme="minorHAnsi" w:hAnsiTheme="minorHAnsi" w:cstheme="minorHAnsi"/>
          <w:b/>
          <w:bCs/>
          <w:color w:val="auto"/>
          <w:sz w:val="18"/>
          <w:szCs w:val="18"/>
        </w:rPr>
      </w:pPr>
    </w:p>
    <w:p w14:paraId="6324D45E" w14:textId="77777777" w:rsidR="00203693" w:rsidRPr="008161BE" w:rsidRDefault="00203693" w:rsidP="00203693">
      <w:pPr>
        <w:pStyle w:val="ListParagraph"/>
        <w:ind w:left="360"/>
        <w:rPr>
          <w:rFonts w:asciiTheme="minorHAnsi" w:hAnsiTheme="minorHAnsi" w:cstheme="minorHAnsi"/>
          <w:b/>
          <w:bCs/>
          <w:color w:val="auto"/>
          <w:sz w:val="18"/>
          <w:szCs w:val="18"/>
        </w:rPr>
      </w:pPr>
      <w:r w:rsidRPr="008161BE">
        <w:rPr>
          <w:rFonts w:asciiTheme="minorHAnsi" w:hAnsiTheme="minorHAnsi" w:cstheme="minorHAnsi"/>
          <w:b/>
          <w:bCs/>
          <w:color w:val="auto"/>
          <w:sz w:val="18"/>
          <w:szCs w:val="18"/>
        </w:rPr>
        <w:t>Additional information and useful links:</w:t>
      </w:r>
    </w:p>
    <w:p w14:paraId="16F3F869" w14:textId="77777777" w:rsidR="00203693" w:rsidRPr="008161BE" w:rsidRDefault="00203693" w:rsidP="00203693">
      <w:pPr>
        <w:pStyle w:val="ListParagraph"/>
        <w:ind w:left="360"/>
        <w:rPr>
          <w:rFonts w:asciiTheme="minorHAnsi" w:hAnsiTheme="minorHAnsi" w:cstheme="minorHAnsi"/>
          <w:color w:val="auto"/>
          <w:sz w:val="18"/>
          <w:szCs w:val="18"/>
        </w:rPr>
      </w:pPr>
    </w:p>
    <w:p w14:paraId="288D9AF4" w14:textId="77777777" w:rsidR="00203693" w:rsidRPr="005F2DB8" w:rsidRDefault="00203693" w:rsidP="00203693">
      <w:pPr>
        <w:pStyle w:val="ListParagraph"/>
        <w:ind w:left="360"/>
        <w:rPr>
          <w:rFonts w:asciiTheme="minorHAnsi" w:hAnsiTheme="minorHAnsi" w:cstheme="minorHAnsi"/>
          <w:sz w:val="18"/>
          <w:szCs w:val="18"/>
        </w:rPr>
      </w:pPr>
      <w:r w:rsidRPr="008161BE">
        <w:rPr>
          <w:rFonts w:asciiTheme="minorHAnsi" w:hAnsiTheme="minorHAnsi" w:cstheme="minorHAnsi"/>
          <w:color w:val="auto"/>
          <w:sz w:val="18"/>
          <w:szCs w:val="18"/>
        </w:rPr>
        <w:t xml:space="preserve">Aboriginal Cultural Capability Toolkit by the Victorian Public Sector Commission at </w:t>
      </w:r>
      <w:hyperlink r:id="rId117" w:history="1">
        <w:r w:rsidRPr="005F2DB8">
          <w:rPr>
            <w:rStyle w:val="Hyperlink"/>
            <w:rFonts w:asciiTheme="minorHAnsi" w:hAnsiTheme="minorHAnsi" w:cstheme="minorHAnsi"/>
            <w:sz w:val="18"/>
            <w:szCs w:val="18"/>
          </w:rPr>
          <w:t>https://vpsc.vic.gov.au/html-resources/aboriginal-cultural-capability-toolkit/</w:t>
        </w:r>
      </w:hyperlink>
      <w:r w:rsidRPr="005F2DB8">
        <w:rPr>
          <w:rFonts w:asciiTheme="minorHAnsi" w:hAnsiTheme="minorHAnsi" w:cstheme="minorHAnsi"/>
          <w:sz w:val="18"/>
          <w:szCs w:val="18"/>
        </w:rPr>
        <w:t>.</w:t>
      </w:r>
    </w:p>
    <w:p w14:paraId="5B7E4F11" w14:textId="77777777" w:rsidR="00203693" w:rsidRPr="005F2DB8" w:rsidRDefault="00203693" w:rsidP="00203693">
      <w:pPr>
        <w:pStyle w:val="ListParagraph"/>
        <w:ind w:left="360"/>
        <w:rPr>
          <w:rFonts w:asciiTheme="minorHAnsi" w:hAnsiTheme="minorHAnsi" w:cstheme="minorHAnsi"/>
          <w:sz w:val="18"/>
          <w:szCs w:val="18"/>
        </w:rPr>
      </w:pPr>
    </w:p>
    <w:p w14:paraId="17AC2382" w14:textId="77777777" w:rsidR="00203693" w:rsidRPr="005F2DB8" w:rsidRDefault="00203693" w:rsidP="00203693">
      <w:pPr>
        <w:pStyle w:val="ListParagraph"/>
        <w:ind w:left="360"/>
        <w:rPr>
          <w:rFonts w:asciiTheme="minorHAnsi" w:hAnsiTheme="minorHAnsi" w:cstheme="minorHAnsi"/>
          <w:sz w:val="18"/>
          <w:szCs w:val="18"/>
        </w:rPr>
      </w:pPr>
      <w:r w:rsidRPr="008161BE">
        <w:rPr>
          <w:rFonts w:asciiTheme="minorHAnsi" w:hAnsiTheme="minorHAnsi" w:cstheme="minorHAnsi"/>
          <w:color w:val="auto"/>
          <w:sz w:val="18"/>
          <w:szCs w:val="18"/>
        </w:rPr>
        <w:t xml:space="preserve">The Victorian Government’s approach to Aboriginal affairs is guided by the Victorian Aboriginal Affairs Framework 2018-2023. </w:t>
      </w:r>
      <w:hyperlink r:id="rId118" w:history="1">
        <w:r w:rsidRPr="005F2DB8">
          <w:rPr>
            <w:rStyle w:val="Hyperlink"/>
            <w:rFonts w:asciiTheme="minorHAnsi" w:hAnsiTheme="minorHAnsi" w:cstheme="minorHAnsi"/>
            <w:sz w:val="18"/>
            <w:szCs w:val="18"/>
          </w:rPr>
          <w:t>https://www.firstpeoplesrelations.vic.gov.au/how-governments-working-close-gap-aboriginal-affairs-framework</w:t>
        </w:r>
      </w:hyperlink>
    </w:p>
    <w:p w14:paraId="41DAEE05" w14:textId="77777777" w:rsidR="00203693" w:rsidRPr="005F2DB8" w:rsidRDefault="00203693" w:rsidP="00203693">
      <w:pPr>
        <w:pStyle w:val="ListParagraph"/>
        <w:ind w:left="360"/>
        <w:rPr>
          <w:rFonts w:asciiTheme="minorHAnsi" w:hAnsiTheme="minorHAnsi" w:cstheme="minorHAnsi"/>
          <w:sz w:val="18"/>
          <w:szCs w:val="18"/>
        </w:rPr>
      </w:pPr>
    </w:p>
    <w:p w14:paraId="06EA0DB6" w14:textId="77777777" w:rsidR="00203693" w:rsidRDefault="00203693" w:rsidP="00203693">
      <w:pPr>
        <w:pStyle w:val="ListParagraph"/>
        <w:ind w:left="360"/>
        <w:rPr>
          <w:rFonts w:asciiTheme="minorHAnsi" w:hAnsiTheme="minorHAnsi" w:cstheme="minorHAnsi"/>
          <w:sz w:val="18"/>
          <w:szCs w:val="18"/>
        </w:rPr>
      </w:pPr>
      <w:r w:rsidRPr="008161BE">
        <w:rPr>
          <w:rFonts w:asciiTheme="minorHAnsi" w:hAnsiTheme="minorHAnsi" w:cstheme="minorHAnsi"/>
          <w:color w:val="auto"/>
          <w:sz w:val="18"/>
          <w:szCs w:val="18"/>
        </w:rPr>
        <w:t xml:space="preserve">The Yoorrook Justice Commission is the first formal truth-telling process into injustices experienced by First Peoples in Victoria. </w:t>
      </w:r>
      <w:hyperlink r:id="rId119" w:history="1">
        <w:r w:rsidRPr="005F2DB8">
          <w:rPr>
            <w:rStyle w:val="Hyperlink"/>
            <w:rFonts w:asciiTheme="minorHAnsi" w:hAnsiTheme="minorHAnsi" w:cstheme="minorHAnsi"/>
            <w:sz w:val="18"/>
            <w:szCs w:val="18"/>
          </w:rPr>
          <w:t>https://yoorrookjusticecommission.org.au/</w:t>
        </w:r>
      </w:hyperlink>
    </w:p>
    <w:p w14:paraId="5C1CB510" w14:textId="77777777" w:rsidR="00203693" w:rsidRDefault="00203693" w:rsidP="00203693">
      <w:pPr>
        <w:pStyle w:val="ListParagraph"/>
        <w:ind w:left="360"/>
        <w:rPr>
          <w:rFonts w:asciiTheme="minorHAnsi" w:hAnsiTheme="minorHAnsi" w:cstheme="minorHAnsi"/>
          <w:sz w:val="18"/>
          <w:szCs w:val="18"/>
        </w:rPr>
      </w:pPr>
    </w:p>
    <w:p w14:paraId="545B1E9F" w14:textId="77777777" w:rsidR="00203693" w:rsidRPr="008161BE" w:rsidRDefault="00203693" w:rsidP="00203693">
      <w:pPr>
        <w:pStyle w:val="ListParagraph"/>
        <w:ind w:left="360"/>
        <w:rPr>
          <w:rFonts w:asciiTheme="minorHAnsi" w:hAnsiTheme="minorHAnsi" w:cstheme="minorHAnsi"/>
          <w:sz w:val="18"/>
          <w:szCs w:val="18"/>
        </w:rPr>
      </w:pPr>
    </w:p>
    <w:p w14:paraId="46B2A49C" w14:textId="77777777" w:rsidR="00203693" w:rsidRDefault="00203693" w:rsidP="007B76F0">
      <w:pPr>
        <w:pStyle w:val="ListParagraph"/>
        <w:numPr>
          <w:ilvl w:val="0"/>
          <w:numId w:val="29"/>
        </w:numPr>
        <w:rPr>
          <w:rFonts w:asciiTheme="minorHAnsi" w:hAnsiTheme="minorHAnsi" w:cstheme="minorHAnsi"/>
          <w:color w:val="auto"/>
          <w:sz w:val="18"/>
          <w:szCs w:val="18"/>
        </w:rPr>
      </w:pPr>
      <w:r w:rsidRPr="008161BE">
        <w:rPr>
          <w:rFonts w:asciiTheme="minorHAnsi" w:hAnsiTheme="minorHAnsi" w:cstheme="minorHAnsi"/>
          <w:b/>
          <w:bCs/>
          <w:color w:val="auto"/>
          <w:sz w:val="18"/>
          <w:szCs w:val="18"/>
        </w:rPr>
        <w:t>Rural and regional communities</w:t>
      </w:r>
      <w:r w:rsidRPr="008161BE">
        <w:rPr>
          <w:rFonts w:asciiTheme="minorHAnsi" w:hAnsiTheme="minorHAnsi" w:cstheme="minorHAnsi"/>
          <w:color w:val="auto"/>
          <w:sz w:val="18"/>
          <w:szCs w:val="18"/>
        </w:rPr>
        <w:t xml:space="preserve"> – </w:t>
      </w:r>
      <w:r>
        <w:rPr>
          <w:rFonts w:asciiTheme="minorHAnsi" w:hAnsiTheme="minorHAnsi" w:cstheme="minorHAnsi"/>
          <w:color w:val="auto"/>
          <w:sz w:val="18"/>
          <w:szCs w:val="18"/>
        </w:rPr>
        <w:t xml:space="preserve">Government decisions can affect rural and regional Victorians in unexpected ways, and it is important to ensure that these decisions and impacts do not unfairly disadvantage these communities, noting that nearly 1.6 million Victorians live in rural and regional communities. </w:t>
      </w:r>
    </w:p>
    <w:p w14:paraId="4E61CF42" w14:textId="77777777" w:rsidR="00203693" w:rsidRDefault="00203693" w:rsidP="00203693">
      <w:pPr>
        <w:pStyle w:val="ListParagraph"/>
        <w:ind w:left="360"/>
        <w:rPr>
          <w:rFonts w:asciiTheme="minorHAnsi" w:hAnsiTheme="minorHAnsi" w:cstheme="minorHAnsi"/>
          <w:b/>
          <w:bCs/>
          <w:color w:val="auto"/>
          <w:sz w:val="18"/>
          <w:szCs w:val="18"/>
        </w:rPr>
      </w:pPr>
    </w:p>
    <w:p w14:paraId="195907F9" w14:textId="77777777" w:rsidR="00203693" w:rsidRDefault="00203693" w:rsidP="00203693">
      <w:pPr>
        <w:pStyle w:val="ListParagraph"/>
        <w:ind w:left="360"/>
        <w:rPr>
          <w:rFonts w:asciiTheme="minorHAnsi" w:hAnsiTheme="minorHAnsi" w:cstheme="minorHAnsi"/>
          <w:color w:val="auto"/>
          <w:sz w:val="18"/>
          <w:szCs w:val="18"/>
        </w:rPr>
      </w:pPr>
      <w:r>
        <w:rPr>
          <w:rFonts w:asciiTheme="minorHAnsi" w:hAnsiTheme="minorHAnsi" w:cstheme="minorHAnsi"/>
          <w:color w:val="auto"/>
          <w:sz w:val="18"/>
          <w:szCs w:val="18"/>
        </w:rPr>
        <w:t xml:space="preserve">According to the </w:t>
      </w:r>
      <w:hyperlink r:id="rId120" w:history="1">
        <w:r w:rsidRPr="002E7C9E">
          <w:rPr>
            <w:rStyle w:val="Hyperlink"/>
            <w:rFonts w:asciiTheme="minorHAnsi" w:hAnsiTheme="minorHAnsi" w:cstheme="minorHAnsi"/>
            <w:sz w:val="18"/>
            <w:szCs w:val="18"/>
          </w:rPr>
          <w:t>Diversity on Victorian Government Boards Guidelines</w:t>
        </w:r>
      </w:hyperlink>
      <w:r>
        <w:rPr>
          <w:rFonts w:asciiTheme="minorHAnsi" w:hAnsiTheme="minorHAnsi" w:cstheme="minorHAnsi"/>
          <w:color w:val="auto"/>
          <w:sz w:val="18"/>
          <w:szCs w:val="18"/>
        </w:rPr>
        <w:t>, e</w:t>
      </w:r>
      <w:r w:rsidRPr="00BD7563">
        <w:rPr>
          <w:rFonts w:asciiTheme="minorHAnsi" w:hAnsiTheme="minorHAnsi" w:cstheme="minorHAnsi"/>
          <w:color w:val="auto"/>
          <w:sz w:val="18"/>
          <w:szCs w:val="18"/>
        </w:rPr>
        <w:t xml:space="preserve">ntities with board members </w:t>
      </w:r>
      <w:r>
        <w:rPr>
          <w:rFonts w:asciiTheme="minorHAnsi" w:hAnsiTheme="minorHAnsi" w:cstheme="minorHAnsi"/>
          <w:color w:val="auto"/>
          <w:sz w:val="18"/>
          <w:szCs w:val="18"/>
        </w:rPr>
        <w:t>living</w:t>
      </w:r>
      <w:r w:rsidRPr="00BD7563">
        <w:rPr>
          <w:rFonts w:asciiTheme="minorHAnsi" w:hAnsiTheme="minorHAnsi" w:cstheme="minorHAnsi"/>
          <w:color w:val="auto"/>
          <w:sz w:val="18"/>
          <w:szCs w:val="18"/>
        </w:rPr>
        <w:t xml:space="preserve"> in rural and regional Victoria are resourceful and can often call on extensive local networks to achieve tangible outcomes for their communities. </w:t>
      </w:r>
    </w:p>
    <w:p w14:paraId="07938BA4" w14:textId="77777777" w:rsidR="00203693" w:rsidRDefault="00203693" w:rsidP="00203693">
      <w:pPr>
        <w:pStyle w:val="ListParagraph"/>
        <w:ind w:left="360"/>
        <w:rPr>
          <w:rFonts w:asciiTheme="minorHAnsi" w:hAnsiTheme="minorHAnsi" w:cstheme="minorHAnsi"/>
          <w:color w:val="auto"/>
          <w:sz w:val="18"/>
          <w:szCs w:val="18"/>
        </w:rPr>
      </w:pPr>
    </w:p>
    <w:p w14:paraId="4260BE30" w14:textId="77777777" w:rsidR="00203693" w:rsidRDefault="00203693" w:rsidP="00203693">
      <w:pPr>
        <w:pStyle w:val="ListParagraph"/>
        <w:ind w:left="360"/>
        <w:rPr>
          <w:rFonts w:asciiTheme="minorHAnsi" w:hAnsiTheme="minorHAnsi" w:cstheme="minorHAnsi"/>
          <w:color w:val="auto"/>
          <w:sz w:val="18"/>
          <w:szCs w:val="18"/>
        </w:rPr>
      </w:pPr>
      <w:r w:rsidRPr="008161BE">
        <w:rPr>
          <w:rFonts w:asciiTheme="minorHAnsi" w:hAnsiTheme="minorHAnsi" w:cstheme="minorHAnsi"/>
          <w:color w:val="auto"/>
          <w:sz w:val="18"/>
          <w:szCs w:val="18"/>
        </w:rPr>
        <w:t xml:space="preserve">DJSIR must </w:t>
      </w:r>
      <w:r>
        <w:rPr>
          <w:rFonts w:asciiTheme="minorHAnsi" w:hAnsiTheme="minorHAnsi" w:cstheme="minorHAnsi"/>
          <w:color w:val="auto"/>
          <w:sz w:val="18"/>
          <w:szCs w:val="18"/>
        </w:rPr>
        <w:t xml:space="preserve">aim </w:t>
      </w:r>
      <w:r w:rsidRPr="008161BE">
        <w:rPr>
          <w:rFonts w:asciiTheme="minorHAnsi" w:hAnsiTheme="minorHAnsi" w:cstheme="minorHAnsi"/>
          <w:color w:val="auto"/>
          <w:sz w:val="18"/>
          <w:szCs w:val="18"/>
        </w:rPr>
        <w:t>to maintain or exceed its</w:t>
      </w:r>
      <w:r>
        <w:rPr>
          <w:rFonts w:asciiTheme="minorHAnsi" w:hAnsiTheme="minorHAnsi" w:cstheme="minorHAnsi"/>
          <w:color w:val="auto"/>
          <w:sz w:val="18"/>
          <w:szCs w:val="18"/>
        </w:rPr>
        <w:t xml:space="preserve"> WoVG</w:t>
      </w:r>
      <w:r w:rsidRPr="008161BE">
        <w:rPr>
          <w:rFonts w:asciiTheme="minorHAnsi" w:hAnsiTheme="minorHAnsi" w:cstheme="minorHAnsi"/>
          <w:color w:val="auto"/>
          <w:sz w:val="18"/>
          <w:szCs w:val="18"/>
        </w:rPr>
        <w:t xml:space="preserve"> targets</w:t>
      </w:r>
      <w:r w:rsidRPr="008161BE" w:rsidDel="004143EB">
        <w:rPr>
          <w:rFonts w:asciiTheme="minorHAnsi" w:hAnsiTheme="minorHAnsi" w:cstheme="minorHAnsi"/>
          <w:color w:val="auto"/>
          <w:sz w:val="18"/>
          <w:szCs w:val="18"/>
        </w:rPr>
        <w:t xml:space="preserve"> </w:t>
      </w:r>
      <w:r w:rsidRPr="008161BE">
        <w:rPr>
          <w:rFonts w:asciiTheme="minorHAnsi" w:hAnsiTheme="minorHAnsi" w:cstheme="minorHAnsi"/>
          <w:color w:val="auto"/>
          <w:sz w:val="18"/>
          <w:szCs w:val="18"/>
        </w:rPr>
        <w:t xml:space="preserve">of </w:t>
      </w:r>
      <w:r>
        <w:rPr>
          <w:rFonts w:asciiTheme="minorHAnsi" w:hAnsiTheme="minorHAnsi" w:cstheme="minorHAnsi"/>
          <w:color w:val="auto"/>
          <w:sz w:val="18"/>
          <w:szCs w:val="18"/>
        </w:rPr>
        <w:t>rural and regional</w:t>
      </w:r>
      <w:r w:rsidRPr="008161BE">
        <w:rPr>
          <w:rFonts w:asciiTheme="minorHAnsi" w:hAnsiTheme="minorHAnsi" w:cstheme="minorHAnsi"/>
          <w:color w:val="auto"/>
          <w:sz w:val="18"/>
          <w:szCs w:val="18"/>
        </w:rPr>
        <w:t xml:space="preserve"> representation through all board</w:t>
      </w:r>
      <w:r>
        <w:rPr>
          <w:rFonts w:asciiTheme="minorHAnsi" w:hAnsiTheme="minorHAnsi" w:cstheme="minorHAnsi"/>
          <w:color w:val="auto"/>
          <w:sz w:val="18"/>
          <w:szCs w:val="18"/>
        </w:rPr>
        <w:t xml:space="preserve"> recruitment</w:t>
      </w:r>
      <w:r w:rsidRPr="008161BE">
        <w:rPr>
          <w:rFonts w:asciiTheme="minorHAnsi" w:hAnsiTheme="minorHAnsi" w:cstheme="minorHAnsi"/>
          <w:color w:val="auto"/>
          <w:sz w:val="18"/>
          <w:szCs w:val="18"/>
        </w:rPr>
        <w:t>.</w:t>
      </w:r>
    </w:p>
    <w:p w14:paraId="146D0657" w14:textId="77777777" w:rsidR="00203693" w:rsidRDefault="00203693" w:rsidP="00203693">
      <w:pPr>
        <w:pStyle w:val="ListParagraph"/>
        <w:ind w:left="360"/>
        <w:rPr>
          <w:rFonts w:asciiTheme="minorHAnsi" w:hAnsiTheme="minorHAnsi" w:cstheme="minorHAnsi"/>
          <w:color w:val="auto"/>
          <w:sz w:val="18"/>
          <w:szCs w:val="18"/>
        </w:rPr>
      </w:pPr>
    </w:p>
    <w:p w14:paraId="3598F559" w14:textId="77777777" w:rsidR="00203693" w:rsidRDefault="00203693" w:rsidP="00203693">
      <w:pPr>
        <w:pStyle w:val="ListParagraph"/>
        <w:ind w:left="360"/>
        <w:rPr>
          <w:rFonts w:asciiTheme="minorHAnsi" w:hAnsiTheme="minorHAnsi" w:cstheme="minorHAnsi"/>
          <w:b/>
          <w:bCs/>
          <w:color w:val="auto"/>
          <w:sz w:val="18"/>
          <w:szCs w:val="18"/>
        </w:rPr>
      </w:pPr>
      <w:r>
        <w:rPr>
          <w:rFonts w:asciiTheme="minorHAnsi" w:hAnsiTheme="minorHAnsi" w:cstheme="minorHAnsi"/>
          <w:b/>
          <w:bCs/>
          <w:color w:val="auto"/>
          <w:sz w:val="18"/>
          <w:szCs w:val="18"/>
        </w:rPr>
        <w:t>Key considerations</w:t>
      </w:r>
    </w:p>
    <w:p w14:paraId="48092495" w14:textId="77777777" w:rsidR="00203693" w:rsidRDefault="00203693" w:rsidP="00203693">
      <w:pPr>
        <w:pStyle w:val="ListParagraph"/>
        <w:ind w:left="360"/>
        <w:rPr>
          <w:rFonts w:asciiTheme="minorHAnsi" w:hAnsiTheme="minorHAnsi" w:cstheme="minorHAnsi"/>
          <w:b/>
          <w:bCs/>
          <w:color w:val="auto"/>
          <w:sz w:val="18"/>
          <w:szCs w:val="18"/>
        </w:rPr>
      </w:pPr>
    </w:p>
    <w:p w14:paraId="21CD4C63" w14:textId="77777777" w:rsidR="00203693" w:rsidRDefault="00203693" w:rsidP="007B76F0">
      <w:pPr>
        <w:pStyle w:val="ListParagraph"/>
        <w:numPr>
          <w:ilvl w:val="0"/>
          <w:numId w:val="34"/>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 xml:space="preserve">Rural and regional communities are not homogenous, some communities experience poorer social, educational and health outcomes. </w:t>
      </w:r>
    </w:p>
    <w:p w14:paraId="5BF826CA" w14:textId="77777777" w:rsidR="00203693" w:rsidRDefault="00203693" w:rsidP="007B76F0">
      <w:pPr>
        <w:pStyle w:val="ListParagraph"/>
        <w:numPr>
          <w:ilvl w:val="0"/>
          <w:numId w:val="34"/>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Issues that affect cohorts can be intensified when geographical isolation is a factor.</w:t>
      </w:r>
    </w:p>
    <w:p w14:paraId="59F4EF65" w14:textId="77777777" w:rsidR="00203693" w:rsidRDefault="00203693" w:rsidP="007B76F0">
      <w:pPr>
        <w:pStyle w:val="ListParagraph"/>
        <w:numPr>
          <w:ilvl w:val="0"/>
          <w:numId w:val="34"/>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Word-of-mouth plays a key part in advertising and recruitment for opportunities in rural and regional Victoria.</w:t>
      </w:r>
    </w:p>
    <w:p w14:paraId="2490D1A1" w14:textId="77777777" w:rsidR="00203693" w:rsidRDefault="00203693" w:rsidP="007B76F0">
      <w:pPr>
        <w:pStyle w:val="ListParagraph"/>
        <w:numPr>
          <w:ilvl w:val="0"/>
          <w:numId w:val="34"/>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Reasonable adjustments, i.e., facilitating contact through virtual platforms, may be needed to accommodate regionally based candidates and members.</w:t>
      </w:r>
    </w:p>
    <w:p w14:paraId="62C6E275" w14:textId="77777777" w:rsidR="00203693" w:rsidRPr="00240812" w:rsidRDefault="00203693" w:rsidP="00203693">
      <w:pPr>
        <w:pStyle w:val="ListParagraph"/>
        <w:spacing w:after="120"/>
        <w:ind w:left="714"/>
        <w:contextualSpacing w:val="0"/>
        <w:rPr>
          <w:rFonts w:asciiTheme="minorHAnsi" w:hAnsiTheme="minorHAnsi" w:cstheme="minorHAnsi"/>
          <w:color w:val="auto"/>
          <w:sz w:val="18"/>
          <w:szCs w:val="18"/>
        </w:rPr>
      </w:pPr>
    </w:p>
    <w:p w14:paraId="02EA7B99" w14:textId="77777777" w:rsidR="00203693" w:rsidRDefault="00203693" w:rsidP="007B76F0">
      <w:pPr>
        <w:pStyle w:val="ListParagraph"/>
        <w:numPr>
          <w:ilvl w:val="0"/>
          <w:numId w:val="29"/>
        </w:numPr>
        <w:rPr>
          <w:rFonts w:asciiTheme="minorHAnsi" w:hAnsiTheme="minorHAnsi" w:cstheme="minorHAnsi"/>
          <w:color w:val="auto"/>
          <w:sz w:val="18"/>
          <w:szCs w:val="18"/>
        </w:rPr>
      </w:pPr>
      <w:r w:rsidRPr="008161BE">
        <w:rPr>
          <w:rFonts w:asciiTheme="minorHAnsi" w:hAnsiTheme="minorHAnsi" w:cstheme="minorHAnsi"/>
          <w:b/>
          <w:bCs/>
          <w:color w:val="auto"/>
          <w:sz w:val="18"/>
          <w:szCs w:val="18"/>
        </w:rPr>
        <w:t>Disability</w:t>
      </w:r>
      <w:r w:rsidRPr="008161BE">
        <w:rPr>
          <w:rFonts w:asciiTheme="minorHAnsi" w:hAnsiTheme="minorHAnsi" w:cstheme="minorHAnsi"/>
          <w:color w:val="auto"/>
          <w:sz w:val="18"/>
          <w:szCs w:val="18"/>
        </w:rPr>
        <w:t xml:space="preserve"> </w:t>
      </w:r>
      <w:r>
        <w:rPr>
          <w:rFonts w:asciiTheme="minorHAnsi" w:hAnsiTheme="minorHAnsi" w:cstheme="minorHAnsi"/>
          <w:color w:val="auto"/>
          <w:sz w:val="18"/>
          <w:szCs w:val="18"/>
        </w:rPr>
        <w:t>–</w:t>
      </w:r>
      <w:r w:rsidRPr="008161BE">
        <w:rPr>
          <w:rFonts w:asciiTheme="minorHAnsi" w:hAnsiTheme="minorHAnsi" w:cstheme="minorHAnsi"/>
          <w:color w:val="auto"/>
          <w:sz w:val="18"/>
          <w:szCs w:val="18"/>
        </w:rPr>
        <w:t xml:space="preserve"> </w:t>
      </w:r>
      <w:r>
        <w:rPr>
          <w:rFonts w:asciiTheme="minorHAnsi" w:hAnsiTheme="minorHAnsi" w:cstheme="minorHAnsi"/>
          <w:color w:val="auto"/>
          <w:sz w:val="18"/>
          <w:szCs w:val="18"/>
        </w:rPr>
        <w:t xml:space="preserve">With over a million people with disabilities living in Victoria, around 20% of Victorians identify as having a disability. </w:t>
      </w:r>
    </w:p>
    <w:p w14:paraId="78944EEE" w14:textId="77777777" w:rsidR="00203693" w:rsidRDefault="00203693" w:rsidP="00203693">
      <w:pPr>
        <w:spacing w:after="0"/>
        <w:ind w:left="357"/>
        <w:rPr>
          <w:rFonts w:asciiTheme="minorHAnsi" w:hAnsiTheme="minorHAnsi" w:cstheme="minorHAnsi"/>
          <w:color w:val="auto"/>
        </w:rPr>
      </w:pPr>
    </w:p>
    <w:p w14:paraId="6CA50310" w14:textId="77777777" w:rsidR="00203693" w:rsidRDefault="00203693" w:rsidP="00203693">
      <w:pPr>
        <w:spacing w:after="0"/>
        <w:ind w:left="357"/>
        <w:rPr>
          <w:rFonts w:asciiTheme="minorHAnsi" w:hAnsiTheme="minorHAnsi" w:cstheme="minorHAnsi"/>
          <w:color w:val="auto"/>
        </w:rPr>
      </w:pPr>
      <w:r>
        <w:rPr>
          <w:rFonts w:asciiTheme="minorHAnsi" w:hAnsiTheme="minorHAnsi" w:cstheme="minorHAnsi"/>
          <w:color w:val="auto"/>
        </w:rPr>
        <w:t>DJSIR will contribute towards the WoVG targets for people within the disability cohort. Although highly recommended, there is no expectation that each ministerial portfolio must adopt these targets.</w:t>
      </w:r>
    </w:p>
    <w:p w14:paraId="11735E4C" w14:textId="77777777" w:rsidR="00203693" w:rsidRDefault="00203693" w:rsidP="00203693">
      <w:pPr>
        <w:spacing w:after="0"/>
        <w:ind w:left="357"/>
        <w:rPr>
          <w:rFonts w:asciiTheme="minorHAnsi" w:hAnsiTheme="minorHAnsi" w:cstheme="minorHAnsi"/>
          <w:color w:val="auto"/>
        </w:rPr>
      </w:pPr>
    </w:p>
    <w:p w14:paraId="11F5493A" w14:textId="77777777" w:rsidR="00203693" w:rsidRDefault="00203693" w:rsidP="00203693">
      <w:pPr>
        <w:pStyle w:val="ListParagraph"/>
        <w:ind w:left="360"/>
        <w:rPr>
          <w:rFonts w:asciiTheme="minorHAnsi" w:hAnsiTheme="minorHAnsi" w:cstheme="minorHAnsi"/>
          <w:b/>
          <w:bCs/>
          <w:color w:val="auto"/>
          <w:sz w:val="18"/>
          <w:szCs w:val="18"/>
        </w:rPr>
      </w:pPr>
      <w:r>
        <w:rPr>
          <w:rFonts w:asciiTheme="minorHAnsi" w:hAnsiTheme="minorHAnsi" w:cstheme="minorHAnsi"/>
          <w:b/>
          <w:bCs/>
          <w:color w:val="auto"/>
          <w:sz w:val="18"/>
          <w:szCs w:val="18"/>
        </w:rPr>
        <w:lastRenderedPageBreak/>
        <w:t>Key considerations</w:t>
      </w:r>
    </w:p>
    <w:p w14:paraId="0A06F1B8" w14:textId="77777777" w:rsidR="00203693" w:rsidRDefault="00203693" w:rsidP="00203693">
      <w:pPr>
        <w:pStyle w:val="ListParagraph"/>
        <w:ind w:left="360"/>
        <w:rPr>
          <w:rFonts w:asciiTheme="minorHAnsi" w:hAnsiTheme="minorHAnsi" w:cstheme="minorHAnsi"/>
          <w:b/>
          <w:bCs/>
          <w:color w:val="auto"/>
          <w:sz w:val="18"/>
          <w:szCs w:val="18"/>
        </w:rPr>
      </w:pPr>
    </w:p>
    <w:p w14:paraId="4773C36F"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sidRPr="00240812">
        <w:rPr>
          <w:rFonts w:asciiTheme="minorHAnsi" w:hAnsiTheme="minorHAnsi" w:cstheme="minorHAnsi"/>
          <w:color w:val="auto"/>
          <w:sz w:val="18"/>
          <w:szCs w:val="18"/>
        </w:rPr>
        <w:t xml:space="preserve">Candidates are not required to </w:t>
      </w:r>
      <w:r>
        <w:rPr>
          <w:rFonts w:asciiTheme="minorHAnsi" w:hAnsiTheme="minorHAnsi" w:cstheme="minorHAnsi"/>
          <w:color w:val="auto"/>
          <w:sz w:val="18"/>
          <w:szCs w:val="18"/>
        </w:rPr>
        <w:t>disclose</w:t>
      </w:r>
      <w:r w:rsidRPr="00240812">
        <w:rPr>
          <w:rFonts w:asciiTheme="minorHAnsi" w:hAnsiTheme="minorHAnsi" w:cstheme="minorHAnsi"/>
          <w:color w:val="auto"/>
          <w:sz w:val="18"/>
          <w:szCs w:val="18"/>
        </w:rPr>
        <w:t xml:space="preserve"> their disability unless it is relevant to their ability to complete the inherent requirements of the role</w:t>
      </w:r>
      <w:r>
        <w:rPr>
          <w:rFonts w:asciiTheme="minorHAnsi" w:hAnsiTheme="minorHAnsi" w:cstheme="minorHAnsi"/>
          <w:color w:val="auto"/>
          <w:sz w:val="18"/>
          <w:szCs w:val="18"/>
        </w:rPr>
        <w:t>.</w:t>
      </w:r>
    </w:p>
    <w:p w14:paraId="3F1D5DE1"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Do not make assumptions. Always ask what supports and adjustments people with disabilities need to perform at their best throughout the process, noting that most people will not require any supports or adjustments.</w:t>
      </w:r>
    </w:p>
    <w:p w14:paraId="64A7516F"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Ensure all recruitment materials are available in an accessible format.</w:t>
      </w:r>
    </w:p>
    <w:p w14:paraId="01EC0138"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Ensure interviews are conducted in accessible venues.</w:t>
      </w:r>
    </w:p>
    <w:p w14:paraId="55F7786A" w14:textId="77777777" w:rsidR="00203693" w:rsidRDefault="00203693" w:rsidP="007B76F0">
      <w:pPr>
        <w:pStyle w:val="ListParagraph"/>
        <w:numPr>
          <w:ilvl w:val="0"/>
          <w:numId w:val="35"/>
        </w:numPr>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Ensure that discussions are accessible, i.e., consider the language, speed and order of conversation to ensure that the candidate can fully participate.</w:t>
      </w:r>
    </w:p>
    <w:p w14:paraId="11D367C2" w14:textId="77777777" w:rsidR="00203693" w:rsidRDefault="00203693" w:rsidP="00203693">
      <w:pPr>
        <w:pStyle w:val="ListParagraph"/>
        <w:ind w:left="714"/>
        <w:contextualSpacing w:val="0"/>
        <w:rPr>
          <w:rFonts w:asciiTheme="minorHAnsi" w:hAnsiTheme="minorHAnsi" w:cstheme="minorHAnsi"/>
          <w:color w:val="auto"/>
          <w:sz w:val="18"/>
          <w:szCs w:val="18"/>
        </w:rPr>
      </w:pPr>
    </w:p>
    <w:p w14:paraId="76404182" w14:textId="77777777" w:rsidR="00203693" w:rsidRDefault="00203693" w:rsidP="00203693">
      <w:pPr>
        <w:pStyle w:val="ListParagraph"/>
        <w:ind w:left="360"/>
        <w:rPr>
          <w:rFonts w:asciiTheme="minorHAnsi" w:hAnsiTheme="minorHAnsi" w:cstheme="minorHAnsi"/>
          <w:b/>
          <w:bCs/>
          <w:color w:val="auto"/>
          <w:sz w:val="18"/>
          <w:szCs w:val="18"/>
        </w:rPr>
      </w:pPr>
      <w:r w:rsidRPr="00705A1E">
        <w:rPr>
          <w:rFonts w:asciiTheme="minorHAnsi" w:hAnsiTheme="minorHAnsi" w:cstheme="minorHAnsi"/>
          <w:b/>
          <w:bCs/>
          <w:color w:val="auto"/>
          <w:sz w:val="18"/>
          <w:szCs w:val="18"/>
        </w:rPr>
        <w:t>Additional information and useful links:</w:t>
      </w:r>
    </w:p>
    <w:p w14:paraId="1A1E15BC" w14:textId="77777777" w:rsidR="00203693" w:rsidRPr="00705A1E" w:rsidRDefault="00203693" w:rsidP="00203693">
      <w:pPr>
        <w:pStyle w:val="ListParagraph"/>
        <w:ind w:left="360"/>
        <w:rPr>
          <w:rFonts w:asciiTheme="minorHAnsi" w:hAnsiTheme="minorHAnsi" w:cstheme="minorHAnsi"/>
          <w:b/>
          <w:bCs/>
          <w:color w:val="auto"/>
          <w:sz w:val="18"/>
          <w:szCs w:val="18"/>
        </w:rPr>
      </w:pPr>
    </w:p>
    <w:p w14:paraId="0F348A5E" w14:textId="77777777" w:rsidR="00203693" w:rsidRDefault="00203693" w:rsidP="00203693">
      <w:pPr>
        <w:spacing w:after="0"/>
        <w:ind w:left="357"/>
        <w:rPr>
          <w:rFonts w:asciiTheme="minorHAnsi" w:hAnsiTheme="minorHAnsi" w:cstheme="minorHAnsi"/>
          <w:color w:val="auto"/>
        </w:rPr>
      </w:pPr>
      <w:r w:rsidRPr="00705A1E">
        <w:rPr>
          <w:rFonts w:asciiTheme="minorHAnsi" w:hAnsiTheme="minorHAnsi" w:cstheme="minorHAnsi"/>
          <w:color w:val="auto"/>
        </w:rPr>
        <w:t xml:space="preserve">The VPSC Disability Employment Toolkit provides advice to public servants employing people with a disability, which can be applied to boards: </w:t>
      </w:r>
      <w:hyperlink r:id="rId121" w:history="1">
        <w:r w:rsidRPr="00705A1E">
          <w:rPr>
            <w:rStyle w:val="Hyperlink"/>
            <w:rFonts w:asciiTheme="minorHAnsi" w:hAnsiTheme="minorHAnsi" w:cstheme="minorHAnsi"/>
          </w:rPr>
          <w:t>https://vpsc.vic.gov.au/workforce-programs/disability-employment/</w:t>
        </w:r>
      </w:hyperlink>
    </w:p>
    <w:p w14:paraId="6DACED0C" w14:textId="77777777" w:rsidR="00203693" w:rsidRDefault="00203693" w:rsidP="00203693">
      <w:pPr>
        <w:spacing w:after="0"/>
        <w:ind w:left="357"/>
        <w:rPr>
          <w:rFonts w:asciiTheme="minorHAnsi" w:hAnsiTheme="minorHAnsi" w:cstheme="minorHAnsi"/>
          <w:color w:val="auto"/>
        </w:rPr>
      </w:pPr>
    </w:p>
    <w:p w14:paraId="1E0EC858" w14:textId="77777777" w:rsidR="00203693" w:rsidRPr="003B4359" w:rsidRDefault="00203693" w:rsidP="00203693">
      <w:pPr>
        <w:spacing w:after="0"/>
        <w:ind w:left="357"/>
        <w:rPr>
          <w:rFonts w:asciiTheme="minorHAnsi" w:hAnsiTheme="minorHAnsi" w:cstheme="minorHAnsi"/>
          <w:color w:val="auto"/>
        </w:rPr>
      </w:pPr>
    </w:p>
    <w:p w14:paraId="3828897F" w14:textId="77777777" w:rsidR="00203693" w:rsidRDefault="00203693" w:rsidP="007B76F0">
      <w:pPr>
        <w:pStyle w:val="ListParagraph"/>
        <w:numPr>
          <w:ilvl w:val="0"/>
          <w:numId w:val="29"/>
        </w:numPr>
        <w:spacing w:line="220" w:lineRule="atLeast"/>
        <w:ind w:left="357"/>
        <w:rPr>
          <w:rFonts w:asciiTheme="minorHAnsi" w:hAnsiTheme="minorHAnsi" w:cstheme="minorHAnsi"/>
          <w:color w:val="auto"/>
          <w:sz w:val="18"/>
          <w:szCs w:val="18"/>
        </w:rPr>
      </w:pPr>
      <w:r w:rsidRPr="008161BE">
        <w:rPr>
          <w:rFonts w:asciiTheme="minorHAnsi" w:hAnsiTheme="minorHAnsi" w:cstheme="minorHAnsi"/>
          <w:b/>
          <w:bCs/>
          <w:color w:val="auto"/>
          <w:sz w:val="18"/>
          <w:szCs w:val="18"/>
        </w:rPr>
        <w:t>Youth</w:t>
      </w:r>
      <w:r w:rsidRPr="008161BE">
        <w:rPr>
          <w:rFonts w:asciiTheme="minorHAnsi" w:hAnsiTheme="minorHAnsi" w:cstheme="minorHAnsi"/>
          <w:color w:val="auto"/>
          <w:sz w:val="18"/>
          <w:szCs w:val="18"/>
        </w:rPr>
        <w:t xml:space="preserve"> </w:t>
      </w:r>
      <w:r>
        <w:rPr>
          <w:rFonts w:asciiTheme="minorHAnsi" w:hAnsiTheme="minorHAnsi" w:cstheme="minorHAnsi"/>
          <w:color w:val="auto"/>
          <w:sz w:val="18"/>
          <w:szCs w:val="18"/>
        </w:rPr>
        <w:t>–</w:t>
      </w:r>
      <w:r w:rsidRPr="008161BE">
        <w:rPr>
          <w:rFonts w:asciiTheme="minorHAnsi" w:hAnsiTheme="minorHAnsi" w:cstheme="minorHAnsi"/>
          <w:color w:val="auto"/>
          <w:sz w:val="18"/>
          <w:szCs w:val="18"/>
        </w:rPr>
        <w:t xml:space="preserve"> </w:t>
      </w:r>
      <w:r>
        <w:rPr>
          <w:rFonts w:asciiTheme="minorHAnsi" w:hAnsiTheme="minorHAnsi" w:cstheme="minorHAnsi"/>
          <w:color w:val="auto"/>
          <w:sz w:val="18"/>
          <w:szCs w:val="18"/>
        </w:rPr>
        <w:t>The government makes decisions that affect young people, and young people can bring valuable and fresh perspectives to improve decision making</w:t>
      </w:r>
      <w:r w:rsidRPr="001F5663">
        <w:rPr>
          <w:rFonts w:asciiTheme="minorHAnsi" w:hAnsiTheme="minorHAnsi" w:cstheme="minorHAnsi"/>
          <w:color w:val="auto"/>
          <w:sz w:val="18"/>
          <w:szCs w:val="18"/>
        </w:rPr>
        <w:t xml:space="preserve">. According to </w:t>
      </w:r>
      <w:r w:rsidRPr="00C21816">
        <w:rPr>
          <w:rFonts w:asciiTheme="minorHAnsi" w:hAnsiTheme="minorHAnsi" w:cstheme="minorHAnsi"/>
          <w:color w:val="auto"/>
          <w:sz w:val="18"/>
          <w:szCs w:val="18"/>
        </w:rPr>
        <w:t xml:space="preserve">the </w:t>
      </w:r>
      <w:hyperlink r:id="rId122" w:history="1">
        <w:r w:rsidRPr="00530788">
          <w:rPr>
            <w:rFonts w:asciiTheme="minorHAnsi" w:hAnsiTheme="minorHAnsi" w:cstheme="minorHAnsi"/>
            <w:color w:val="auto"/>
            <w:sz w:val="18"/>
            <w:szCs w:val="18"/>
          </w:rPr>
          <w:t>Diversity on Victorian Governments Board</w:t>
        </w:r>
      </w:hyperlink>
      <w:r w:rsidRPr="00530788">
        <w:rPr>
          <w:rFonts w:asciiTheme="minorHAnsi" w:hAnsiTheme="minorHAnsi" w:cstheme="minorHAnsi"/>
          <w:color w:val="auto"/>
          <w:sz w:val="18"/>
          <w:szCs w:val="18"/>
        </w:rPr>
        <w:t xml:space="preserve"> </w:t>
      </w:r>
      <w:r w:rsidRPr="001F5663">
        <w:rPr>
          <w:rFonts w:asciiTheme="minorHAnsi" w:hAnsiTheme="minorHAnsi" w:cstheme="minorHAnsi"/>
          <w:color w:val="auto"/>
          <w:sz w:val="18"/>
          <w:szCs w:val="18"/>
        </w:rPr>
        <w:t>Guidelines</w:t>
      </w:r>
      <w:r>
        <w:rPr>
          <w:rFonts w:asciiTheme="minorHAnsi" w:hAnsiTheme="minorHAnsi" w:cstheme="minorHAnsi"/>
          <w:color w:val="auto"/>
          <w:sz w:val="18"/>
          <w:szCs w:val="18"/>
        </w:rPr>
        <w:t xml:space="preserve">, young people aged 12-25 make up approximately 18 percent of the Victorian population. </w:t>
      </w:r>
    </w:p>
    <w:p w14:paraId="062FA974" w14:textId="77777777" w:rsidR="00203693" w:rsidRDefault="00203693" w:rsidP="00203693">
      <w:pPr>
        <w:pStyle w:val="ListParagraph"/>
        <w:spacing w:line="220" w:lineRule="atLeast"/>
        <w:ind w:left="357"/>
        <w:rPr>
          <w:rFonts w:asciiTheme="minorHAnsi" w:hAnsiTheme="minorHAnsi" w:cstheme="minorHAnsi"/>
          <w:color w:val="auto"/>
          <w:sz w:val="18"/>
          <w:szCs w:val="18"/>
        </w:rPr>
      </w:pPr>
    </w:p>
    <w:p w14:paraId="6D847239" w14:textId="77777777" w:rsidR="00203693" w:rsidRDefault="00203693" w:rsidP="00203693">
      <w:pPr>
        <w:ind w:left="357"/>
        <w:rPr>
          <w:rFonts w:asciiTheme="minorHAnsi" w:hAnsiTheme="minorHAnsi" w:cstheme="minorHAnsi"/>
          <w:color w:val="auto"/>
        </w:rPr>
      </w:pPr>
      <w:r>
        <w:rPr>
          <w:rFonts w:asciiTheme="minorHAnsi" w:hAnsiTheme="minorHAnsi" w:cstheme="minorHAnsi"/>
          <w:color w:val="auto"/>
        </w:rPr>
        <w:t xml:space="preserve">DJSIR will ensure that any relevant legal requirements (e.g., minimum working age, child safety requirements) are complied with prior to proposing the appointment of a person under the age of 18. For entities established under the </w:t>
      </w:r>
      <w:r w:rsidRPr="000E2318">
        <w:rPr>
          <w:rFonts w:asciiTheme="minorHAnsi" w:hAnsiTheme="minorHAnsi" w:cstheme="minorHAnsi"/>
          <w:i/>
          <w:color w:val="auto"/>
        </w:rPr>
        <w:t>Corporations Act 2001</w:t>
      </w:r>
      <w:r>
        <w:rPr>
          <w:rFonts w:asciiTheme="minorHAnsi" w:hAnsiTheme="minorHAnsi" w:cstheme="minorHAnsi"/>
          <w:color w:val="auto"/>
        </w:rPr>
        <w:t xml:space="preserve"> (Cth), board members </w:t>
      </w:r>
      <w:r w:rsidRPr="000E2318">
        <w:rPr>
          <w:rFonts w:asciiTheme="minorHAnsi" w:hAnsiTheme="minorHAnsi" w:cstheme="minorHAnsi"/>
          <w:b/>
          <w:color w:val="auto"/>
        </w:rPr>
        <w:t xml:space="preserve">must </w:t>
      </w:r>
      <w:r w:rsidRPr="000E2318">
        <w:rPr>
          <w:rFonts w:asciiTheme="minorHAnsi" w:hAnsiTheme="minorHAnsi" w:cstheme="minorHAnsi"/>
          <w:color w:val="auto"/>
        </w:rPr>
        <w:t>b</w:t>
      </w:r>
      <w:r>
        <w:rPr>
          <w:rFonts w:asciiTheme="minorHAnsi" w:hAnsiTheme="minorHAnsi" w:cstheme="minorHAnsi"/>
          <w:color w:val="auto"/>
        </w:rPr>
        <w:t xml:space="preserve">e at least the age of 18 years. </w:t>
      </w:r>
    </w:p>
    <w:p w14:paraId="0D1EDF8F" w14:textId="77777777" w:rsidR="00203693" w:rsidRDefault="00203693" w:rsidP="00203693">
      <w:pPr>
        <w:ind w:left="360"/>
        <w:rPr>
          <w:rFonts w:asciiTheme="minorHAnsi" w:hAnsiTheme="minorHAnsi" w:cstheme="minorHAnsi"/>
          <w:color w:val="auto"/>
        </w:rPr>
      </w:pPr>
      <w:r>
        <w:rPr>
          <w:rFonts w:asciiTheme="minorHAnsi" w:hAnsiTheme="minorHAnsi" w:cstheme="minorHAnsi"/>
          <w:color w:val="auto"/>
        </w:rPr>
        <w:t>Where legal requirements for board membership result in a barrier to appointing young candidates, the board and its committee can consider the Observership Program, or alternative mechanisms to ensure the youth perspective is heard and captured, e.g., youth sub committees, guest speakers or consultations.</w:t>
      </w:r>
    </w:p>
    <w:p w14:paraId="74732552" w14:textId="0DBFB3F4" w:rsidR="00203693" w:rsidRDefault="00203693" w:rsidP="00203693">
      <w:pPr>
        <w:spacing w:after="0"/>
        <w:ind w:left="357"/>
        <w:rPr>
          <w:rFonts w:asciiTheme="minorHAnsi" w:hAnsiTheme="minorHAnsi" w:cstheme="minorHAnsi"/>
          <w:color w:val="auto"/>
        </w:rPr>
      </w:pPr>
      <w:r>
        <w:rPr>
          <w:rFonts w:asciiTheme="minorHAnsi" w:hAnsiTheme="minorHAnsi" w:cstheme="minorHAnsi"/>
          <w:color w:val="auto"/>
        </w:rPr>
        <w:t>DJSIR will contribute towards the WoVG targets for the youth cohort. Although highly recommended, there is no expectation that each ministerial portfolio must adopt these targets.</w:t>
      </w:r>
    </w:p>
    <w:p w14:paraId="006BB9B9" w14:textId="77777777" w:rsidR="00203693" w:rsidRDefault="00203693" w:rsidP="00203693">
      <w:pPr>
        <w:pStyle w:val="ListParagraph"/>
        <w:ind w:left="360"/>
        <w:rPr>
          <w:rFonts w:asciiTheme="minorHAnsi" w:hAnsiTheme="minorHAnsi" w:cstheme="minorHAnsi"/>
          <w:color w:val="auto"/>
          <w:sz w:val="18"/>
          <w:szCs w:val="18"/>
        </w:rPr>
      </w:pPr>
    </w:p>
    <w:p w14:paraId="3FC0964B" w14:textId="77777777" w:rsidR="00203693" w:rsidRDefault="00203693" w:rsidP="00203693">
      <w:pPr>
        <w:pStyle w:val="ListParagraph"/>
        <w:ind w:left="360"/>
        <w:rPr>
          <w:rFonts w:asciiTheme="minorHAnsi" w:hAnsiTheme="minorHAnsi" w:cstheme="minorHAnsi"/>
          <w:b/>
          <w:bCs/>
          <w:color w:val="auto"/>
          <w:sz w:val="18"/>
          <w:szCs w:val="18"/>
        </w:rPr>
      </w:pPr>
      <w:r>
        <w:rPr>
          <w:rFonts w:asciiTheme="minorHAnsi" w:hAnsiTheme="minorHAnsi" w:cstheme="minorHAnsi"/>
          <w:b/>
          <w:bCs/>
          <w:color w:val="auto"/>
          <w:sz w:val="18"/>
          <w:szCs w:val="18"/>
        </w:rPr>
        <w:t>Key considerations</w:t>
      </w:r>
    </w:p>
    <w:p w14:paraId="5A529BE7" w14:textId="77777777" w:rsidR="00203693" w:rsidRDefault="00203693" w:rsidP="00203693">
      <w:pPr>
        <w:pStyle w:val="ListParagraph"/>
        <w:ind w:left="360"/>
        <w:rPr>
          <w:rFonts w:asciiTheme="minorHAnsi" w:hAnsiTheme="minorHAnsi" w:cstheme="minorHAnsi"/>
          <w:b/>
          <w:bCs/>
          <w:color w:val="auto"/>
          <w:sz w:val="18"/>
          <w:szCs w:val="18"/>
        </w:rPr>
      </w:pPr>
    </w:p>
    <w:p w14:paraId="2E33DE5C"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Consider lived experience and practical knowledge as well as professional experience, and where possible, avoid mandatory qualifications.</w:t>
      </w:r>
    </w:p>
    <w:p w14:paraId="16E6496A"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Consider inviting a third-party observer of similar age to participate in interviewing young candidates.</w:t>
      </w:r>
    </w:p>
    <w:p w14:paraId="1B9B20C1"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Acknowledge the learning and development that may be required by older members of the board, in particular the chairperson, to support a young person’s participation.</w:t>
      </w:r>
    </w:p>
    <w:p w14:paraId="29445D43"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Create a vision or mission statement for the young person to understand the purpose and direction of the board, outlining the board’s core values and goals.</w:t>
      </w:r>
    </w:p>
    <w:p w14:paraId="3EBAA251"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Consider adjustments that need to be made to accommodate a young board member.</w:t>
      </w:r>
    </w:p>
    <w:p w14:paraId="18F1C223"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Consider offering the young person purposeful engagement opportunities, where they have real and valued roles that influence outcomes.</w:t>
      </w:r>
    </w:p>
    <w:p w14:paraId="0DB181D9" w14:textId="57271A18"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 xml:space="preserve">If a young person </w:t>
      </w:r>
      <w:r w:rsidR="007C4C1C">
        <w:rPr>
          <w:rFonts w:asciiTheme="minorHAnsi" w:hAnsiTheme="minorHAnsi" w:cstheme="minorHAnsi"/>
          <w:color w:val="auto"/>
          <w:sz w:val="18"/>
          <w:szCs w:val="18"/>
        </w:rPr>
        <w:t>is under</w:t>
      </w:r>
      <w:r>
        <w:rPr>
          <w:rFonts w:asciiTheme="minorHAnsi" w:hAnsiTheme="minorHAnsi" w:cstheme="minorHAnsi"/>
          <w:color w:val="auto"/>
          <w:sz w:val="18"/>
          <w:szCs w:val="18"/>
        </w:rPr>
        <w:t xml:space="preserve"> 18, ensure child safety standards and legislation has been considered.</w:t>
      </w:r>
    </w:p>
    <w:p w14:paraId="6DCF2018" w14:textId="77777777" w:rsidR="00203693" w:rsidRDefault="00203693" w:rsidP="007B76F0">
      <w:pPr>
        <w:pStyle w:val="ListParagraph"/>
        <w:numPr>
          <w:ilvl w:val="0"/>
          <w:numId w:val="29"/>
        </w:numPr>
        <w:rPr>
          <w:rFonts w:asciiTheme="minorHAnsi" w:hAnsiTheme="minorHAnsi" w:cstheme="minorHAnsi"/>
          <w:color w:val="auto"/>
          <w:sz w:val="18"/>
          <w:szCs w:val="18"/>
        </w:rPr>
      </w:pPr>
      <w:r w:rsidRPr="008161BE">
        <w:rPr>
          <w:rFonts w:asciiTheme="minorHAnsi" w:hAnsiTheme="minorHAnsi" w:cstheme="minorHAnsi"/>
          <w:b/>
          <w:bCs/>
          <w:color w:val="auto"/>
          <w:sz w:val="18"/>
          <w:szCs w:val="18"/>
        </w:rPr>
        <w:t>Culturally and linguistically diverse backgrounds (CALD)</w:t>
      </w:r>
      <w:r w:rsidRPr="008161BE">
        <w:rPr>
          <w:rFonts w:asciiTheme="minorHAnsi" w:hAnsiTheme="minorHAnsi" w:cstheme="minorHAnsi"/>
          <w:color w:val="auto"/>
          <w:sz w:val="18"/>
          <w:szCs w:val="18"/>
        </w:rPr>
        <w:t xml:space="preserve"> </w:t>
      </w:r>
      <w:r>
        <w:rPr>
          <w:rFonts w:asciiTheme="minorHAnsi" w:hAnsiTheme="minorHAnsi" w:cstheme="minorHAnsi"/>
          <w:color w:val="auto"/>
          <w:sz w:val="18"/>
          <w:szCs w:val="18"/>
        </w:rPr>
        <w:t>–</w:t>
      </w:r>
      <w:r w:rsidRPr="008161BE">
        <w:rPr>
          <w:rFonts w:asciiTheme="minorHAnsi" w:hAnsiTheme="minorHAnsi" w:cstheme="minorHAnsi"/>
          <w:color w:val="auto"/>
          <w:sz w:val="18"/>
          <w:szCs w:val="18"/>
        </w:rPr>
        <w:t xml:space="preserve"> </w:t>
      </w:r>
      <w:r>
        <w:rPr>
          <w:rFonts w:asciiTheme="minorHAnsi" w:hAnsiTheme="minorHAnsi" w:cstheme="minorHAnsi"/>
          <w:color w:val="auto"/>
          <w:sz w:val="18"/>
          <w:szCs w:val="18"/>
        </w:rPr>
        <w:t xml:space="preserve">Cultural and linguistic diversity is broadly understood as a person who identifies with a culture or religion that is not predominantly represented in Australian society or speaks a language other than English at home. </w:t>
      </w:r>
      <w:r w:rsidRPr="00DA27FF">
        <w:rPr>
          <w:rFonts w:asciiTheme="minorHAnsi" w:hAnsiTheme="minorHAnsi" w:cstheme="minorHAnsi"/>
          <w:color w:val="auto"/>
          <w:sz w:val="18"/>
          <w:szCs w:val="18"/>
        </w:rPr>
        <w:t xml:space="preserve">Currently, just under 50% of Victorians were born overseas or have at least one parent who was born overseas, and around 26% of Victorians speak a language other than English at home.  </w:t>
      </w:r>
    </w:p>
    <w:p w14:paraId="3E0F36C0" w14:textId="77777777" w:rsidR="00203693" w:rsidRPr="00DA27FF" w:rsidRDefault="00203693" w:rsidP="00203693">
      <w:pPr>
        <w:pStyle w:val="ListParagraph"/>
        <w:ind w:left="360"/>
        <w:rPr>
          <w:rFonts w:asciiTheme="minorHAnsi" w:hAnsiTheme="minorHAnsi" w:cstheme="minorHAnsi"/>
          <w:color w:val="auto"/>
          <w:sz w:val="18"/>
          <w:szCs w:val="18"/>
        </w:rPr>
      </w:pPr>
    </w:p>
    <w:p w14:paraId="68B42B4E" w14:textId="77777777" w:rsidR="00203693" w:rsidRPr="00F6551C" w:rsidRDefault="00203693" w:rsidP="00203693">
      <w:pPr>
        <w:pStyle w:val="ListParagraph"/>
        <w:ind w:left="360"/>
        <w:rPr>
          <w:rFonts w:asciiTheme="minorHAnsi" w:hAnsiTheme="minorHAnsi" w:cstheme="minorHAnsi"/>
          <w:color w:val="auto"/>
          <w:sz w:val="18"/>
          <w:szCs w:val="18"/>
        </w:rPr>
      </w:pPr>
      <w:r>
        <w:rPr>
          <w:rFonts w:asciiTheme="minorHAnsi" w:hAnsiTheme="minorHAnsi" w:cstheme="minorHAnsi"/>
          <w:color w:val="auto"/>
          <w:sz w:val="18"/>
          <w:szCs w:val="18"/>
        </w:rPr>
        <w:t xml:space="preserve">DJSIR boards have a strong representation of members who speak a language other than English at home. DJSIR is above the WoVG target, which may be due to the strong multicultural cohort characteristics of </w:t>
      </w:r>
      <w:r>
        <w:rPr>
          <w:rFonts w:asciiTheme="minorHAnsi" w:hAnsiTheme="minorHAnsi" w:cstheme="minorHAnsi"/>
          <w:color w:val="auto"/>
          <w:sz w:val="18"/>
          <w:szCs w:val="18"/>
        </w:rPr>
        <w:lastRenderedPageBreak/>
        <w:t>Victorian boards in metropolitan areas, outer suburban communities and rural and regional Victorian communities.</w:t>
      </w:r>
    </w:p>
    <w:p w14:paraId="62EE3B15" w14:textId="77777777" w:rsidR="00203693" w:rsidRDefault="00203693" w:rsidP="00203693">
      <w:pPr>
        <w:pStyle w:val="ListParagraph"/>
        <w:ind w:left="360"/>
        <w:rPr>
          <w:rFonts w:asciiTheme="minorHAnsi" w:hAnsiTheme="minorHAnsi" w:cstheme="minorHAnsi"/>
          <w:color w:val="auto"/>
          <w:sz w:val="18"/>
          <w:szCs w:val="18"/>
        </w:rPr>
      </w:pPr>
    </w:p>
    <w:p w14:paraId="685D761C" w14:textId="77777777" w:rsidR="00203693" w:rsidRDefault="00203693" w:rsidP="00203693">
      <w:pPr>
        <w:pStyle w:val="ListParagraph"/>
        <w:ind w:left="360"/>
        <w:rPr>
          <w:rFonts w:asciiTheme="minorHAnsi" w:hAnsiTheme="minorHAnsi" w:cstheme="minorHAnsi"/>
          <w:b/>
          <w:bCs/>
          <w:color w:val="auto"/>
          <w:sz w:val="18"/>
          <w:szCs w:val="18"/>
        </w:rPr>
      </w:pPr>
      <w:r>
        <w:rPr>
          <w:rFonts w:asciiTheme="minorHAnsi" w:hAnsiTheme="minorHAnsi" w:cstheme="minorHAnsi"/>
          <w:b/>
          <w:bCs/>
          <w:color w:val="auto"/>
          <w:sz w:val="18"/>
          <w:szCs w:val="18"/>
        </w:rPr>
        <w:t>Key considerations</w:t>
      </w:r>
    </w:p>
    <w:p w14:paraId="6488F613" w14:textId="77777777" w:rsidR="00203693" w:rsidRDefault="00203693" w:rsidP="00203693">
      <w:pPr>
        <w:pStyle w:val="ListParagraph"/>
        <w:ind w:left="360"/>
        <w:rPr>
          <w:rFonts w:asciiTheme="minorHAnsi" w:hAnsiTheme="minorHAnsi" w:cstheme="minorHAnsi"/>
          <w:b/>
          <w:bCs/>
          <w:color w:val="auto"/>
          <w:sz w:val="18"/>
          <w:szCs w:val="18"/>
        </w:rPr>
      </w:pPr>
    </w:p>
    <w:p w14:paraId="755511F0"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Be aware of bias and barriers to participation, e.g., lack of familiarity with formal interview processes can impact recruitment outcomes.</w:t>
      </w:r>
    </w:p>
    <w:p w14:paraId="5B9E18A0"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Understand cultural protocols and their impact on behaviour and action.</w:t>
      </w:r>
    </w:p>
    <w:p w14:paraId="5B239674"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Non-verbal communications can vary significantly across cultures and may sometimes even have the opposite meaning. There are several cultural differences relating to physical proximity, physical contact, postures and gestures.</w:t>
      </w:r>
    </w:p>
    <w:p w14:paraId="7F4FC24B"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Certain terminology or language can be misinterpreted or misrepresented.</w:t>
      </w:r>
    </w:p>
    <w:p w14:paraId="31DDB580"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Avoid making assumptions about cultures, religions and ethnic groups and recognise that cultural communities are not homogenous.</w:t>
      </w:r>
    </w:p>
    <w:p w14:paraId="2188CBE4"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Consider lived experience and practical knowledge as well as professional experience, and where possible, avoid mandatory qualifications.</w:t>
      </w:r>
    </w:p>
    <w:p w14:paraId="18029BE2"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 xml:space="preserve">Consider providing recruitment and other materials in a variety of languages and/or offering a plain English explanation or verbal overview. </w:t>
      </w:r>
    </w:p>
    <w:p w14:paraId="3722ED77" w14:textId="77777777" w:rsidR="00203693" w:rsidRDefault="00203693" w:rsidP="00203693">
      <w:pPr>
        <w:pStyle w:val="ListParagraph"/>
        <w:ind w:left="360"/>
        <w:rPr>
          <w:rFonts w:asciiTheme="minorHAnsi" w:hAnsiTheme="minorHAnsi" w:cstheme="minorHAnsi"/>
          <w:b/>
          <w:bCs/>
          <w:color w:val="auto"/>
          <w:sz w:val="18"/>
          <w:szCs w:val="18"/>
        </w:rPr>
      </w:pPr>
    </w:p>
    <w:p w14:paraId="51FCC931" w14:textId="77777777" w:rsidR="00203693" w:rsidRDefault="00203693" w:rsidP="00203693">
      <w:pPr>
        <w:pStyle w:val="ListParagraph"/>
        <w:ind w:left="360"/>
        <w:rPr>
          <w:rFonts w:asciiTheme="minorHAnsi" w:hAnsiTheme="minorHAnsi" w:cstheme="minorHAnsi"/>
          <w:b/>
          <w:bCs/>
          <w:color w:val="auto"/>
          <w:sz w:val="18"/>
          <w:szCs w:val="18"/>
        </w:rPr>
      </w:pPr>
      <w:r w:rsidRPr="008161BE">
        <w:rPr>
          <w:rFonts w:asciiTheme="minorHAnsi" w:hAnsiTheme="minorHAnsi" w:cstheme="minorHAnsi"/>
          <w:b/>
          <w:bCs/>
          <w:color w:val="auto"/>
          <w:sz w:val="18"/>
          <w:szCs w:val="18"/>
        </w:rPr>
        <w:t>Additional information and useful links:</w:t>
      </w:r>
    </w:p>
    <w:p w14:paraId="69BF4A45" w14:textId="77777777" w:rsidR="00203693" w:rsidRDefault="00203693" w:rsidP="00203693">
      <w:pPr>
        <w:pStyle w:val="ListParagraph"/>
        <w:ind w:left="360"/>
        <w:rPr>
          <w:rFonts w:asciiTheme="minorHAnsi" w:hAnsiTheme="minorHAnsi" w:cstheme="minorHAnsi"/>
          <w:color w:val="auto"/>
          <w:sz w:val="18"/>
          <w:szCs w:val="18"/>
        </w:rPr>
      </w:pPr>
    </w:p>
    <w:p w14:paraId="6A91215D" w14:textId="77777777" w:rsidR="00203693" w:rsidRDefault="00203693" w:rsidP="00203693">
      <w:pPr>
        <w:pStyle w:val="ListParagraph"/>
        <w:ind w:left="360"/>
        <w:rPr>
          <w:rFonts w:asciiTheme="minorHAnsi" w:hAnsiTheme="minorHAnsi" w:cstheme="minorHAnsi"/>
          <w:sz w:val="18"/>
          <w:szCs w:val="18"/>
        </w:rPr>
      </w:pPr>
      <w:r w:rsidRPr="00F33BBA">
        <w:rPr>
          <w:rFonts w:asciiTheme="minorHAnsi" w:hAnsiTheme="minorHAnsi" w:cstheme="minorHAnsi"/>
          <w:color w:val="auto"/>
          <w:sz w:val="18"/>
          <w:szCs w:val="18"/>
        </w:rPr>
        <w:t>Designing for Diversity</w:t>
      </w:r>
      <w:r>
        <w:rPr>
          <w:rFonts w:asciiTheme="minorHAnsi" w:hAnsiTheme="minorHAnsi" w:cstheme="minorHAnsi"/>
          <w:color w:val="auto"/>
          <w:sz w:val="18"/>
          <w:szCs w:val="18"/>
        </w:rPr>
        <w:t xml:space="preserve">, a blueprint for embedding responsiveness to diversity at the outset, at: </w:t>
      </w:r>
      <w:r w:rsidRPr="00F33BBA">
        <w:rPr>
          <w:rFonts w:asciiTheme="minorHAnsi" w:hAnsiTheme="minorHAnsi" w:cstheme="minorHAnsi"/>
          <w:color w:val="auto"/>
          <w:sz w:val="18"/>
          <w:szCs w:val="18"/>
        </w:rPr>
        <w:t xml:space="preserve"> </w:t>
      </w:r>
      <w:hyperlink r:id="rId123" w:history="1">
        <w:r w:rsidRPr="00F33BBA">
          <w:rPr>
            <w:rStyle w:val="Hyperlink"/>
            <w:rFonts w:asciiTheme="minorHAnsi" w:hAnsiTheme="minorHAnsi" w:cstheme="minorHAnsi"/>
            <w:sz w:val="18"/>
            <w:szCs w:val="18"/>
          </w:rPr>
          <w:t>https://www2.health.vic.gov.au/about/populations/designing-for-diversity</w:t>
        </w:r>
      </w:hyperlink>
    </w:p>
    <w:p w14:paraId="5CB9E6FE" w14:textId="77777777" w:rsidR="00203693" w:rsidRDefault="00203693" w:rsidP="00203693">
      <w:pPr>
        <w:pStyle w:val="ListParagraph"/>
        <w:ind w:left="360"/>
        <w:rPr>
          <w:rFonts w:asciiTheme="minorHAnsi" w:hAnsiTheme="minorHAnsi" w:cstheme="minorHAnsi"/>
          <w:sz w:val="18"/>
          <w:szCs w:val="18"/>
        </w:rPr>
      </w:pPr>
    </w:p>
    <w:p w14:paraId="62DF81ED" w14:textId="199C940B" w:rsidR="00203693" w:rsidRPr="00E50077" w:rsidRDefault="00203693" w:rsidP="00203693">
      <w:pPr>
        <w:pStyle w:val="ListParagraph"/>
        <w:ind w:left="360"/>
        <w:rPr>
          <w:rFonts w:asciiTheme="minorHAnsi" w:hAnsiTheme="minorHAnsi" w:cstheme="minorHAnsi"/>
          <w:color w:val="auto"/>
          <w:sz w:val="18"/>
          <w:szCs w:val="18"/>
        </w:rPr>
      </w:pPr>
      <w:r w:rsidRPr="00F33BBA">
        <w:rPr>
          <w:rFonts w:asciiTheme="minorHAnsi" w:hAnsiTheme="minorHAnsi" w:cstheme="minorHAnsi"/>
          <w:color w:val="auto"/>
          <w:sz w:val="18"/>
          <w:szCs w:val="18"/>
        </w:rPr>
        <w:t xml:space="preserve">Language services </w:t>
      </w:r>
      <w:r>
        <w:rPr>
          <w:rFonts w:asciiTheme="minorHAnsi" w:hAnsiTheme="minorHAnsi" w:cstheme="minorHAnsi"/>
          <w:color w:val="auto"/>
          <w:sz w:val="18"/>
          <w:szCs w:val="18"/>
        </w:rPr>
        <w:t>policy and guidelines, a support for departmental staff and funded organisations in the planning and provision of language services including how to work with interpreting and translation services, at:</w:t>
      </w:r>
      <w:r w:rsidRPr="00D21F1C">
        <w:t xml:space="preserve"> </w:t>
      </w:r>
      <w:hyperlink r:id="rId124" w:history="1">
        <w:r w:rsidR="007317B7" w:rsidRPr="00E24248">
          <w:rPr>
            <w:rStyle w:val="Hyperlink"/>
            <w:rFonts w:asciiTheme="minorHAnsi" w:hAnsiTheme="minorHAnsi" w:cstheme="minorHAnsi"/>
            <w:sz w:val="18"/>
            <w:szCs w:val="18"/>
          </w:rPr>
          <w:t>https://www.health.vic.gov.au/publications/language-services-policy</w:t>
        </w:r>
      </w:hyperlink>
      <w:r w:rsidR="007317B7">
        <w:rPr>
          <w:rFonts w:asciiTheme="minorHAnsi" w:hAnsiTheme="minorHAnsi" w:cstheme="minorHAnsi"/>
          <w:sz w:val="18"/>
          <w:szCs w:val="18"/>
        </w:rPr>
        <w:t xml:space="preserve"> </w:t>
      </w:r>
    </w:p>
    <w:p w14:paraId="33885144" w14:textId="77777777" w:rsidR="00203693" w:rsidRDefault="00203693" w:rsidP="00203693">
      <w:pPr>
        <w:pStyle w:val="ListParagraph"/>
        <w:ind w:left="360"/>
        <w:rPr>
          <w:rFonts w:asciiTheme="minorHAnsi" w:hAnsiTheme="minorHAnsi" w:cstheme="minorHAnsi"/>
          <w:color w:val="auto"/>
          <w:sz w:val="18"/>
          <w:szCs w:val="18"/>
        </w:rPr>
      </w:pPr>
    </w:p>
    <w:p w14:paraId="0FA27453" w14:textId="77777777" w:rsidR="00203693" w:rsidRPr="008161BE" w:rsidRDefault="00203693" w:rsidP="00203693">
      <w:pPr>
        <w:pStyle w:val="ListParagraph"/>
        <w:ind w:left="360"/>
        <w:rPr>
          <w:rFonts w:asciiTheme="minorHAnsi" w:hAnsiTheme="minorHAnsi" w:cstheme="minorHAnsi"/>
          <w:color w:val="auto"/>
          <w:sz w:val="18"/>
          <w:szCs w:val="18"/>
        </w:rPr>
      </w:pPr>
    </w:p>
    <w:p w14:paraId="665546BA" w14:textId="77777777" w:rsidR="00203693" w:rsidRDefault="00203693" w:rsidP="007B76F0">
      <w:pPr>
        <w:pStyle w:val="ListParagraph"/>
        <w:numPr>
          <w:ilvl w:val="0"/>
          <w:numId w:val="29"/>
        </w:numPr>
        <w:rPr>
          <w:rFonts w:asciiTheme="minorHAnsi" w:hAnsiTheme="minorHAnsi" w:cstheme="minorHAnsi"/>
          <w:color w:val="auto"/>
          <w:sz w:val="18"/>
          <w:szCs w:val="18"/>
        </w:rPr>
      </w:pPr>
      <w:r w:rsidRPr="00934C02">
        <w:rPr>
          <w:rFonts w:asciiTheme="minorHAnsi" w:hAnsiTheme="minorHAnsi" w:cstheme="minorHAnsi"/>
          <w:b/>
          <w:bCs/>
          <w:color w:val="auto"/>
          <w:sz w:val="18"/>
          <w:szCs w:val="18"/>
        </w:rPr>
        <w:t xml:space="preserve">Lesbian, Gay, Bisexual, Transgender, Intersex, Queer </w:t>
      </w:r>
      <w:r>
        <w:rPr>
          <w:rFonts w:asciiTheme="minorHAnsi" w:hAnsiTheme="minorHAnsi" w:cstheme="minorHAnsi"/>
          <w:b/>
          <w:bCs/>
          <w:color w:val="auto"/>
          <w:sz w:val="18"/>
          <w:szCs w:val="18"/>
        </w:rPr>
        <w:t>a</w:t>
      </w:r>
      <w:r w:rsidRPr="00934C02">
        <w:rPr>
          <w:rFonts w:asciiTheme="minorHAnsi" w:hAnsiTheme="minorHAnsi" w:cstheme="minorHAnsi"/>
          <w:b/>
          <w:bCs/>
          <w:color w:val="auto"/>
          <w:sz w:val="18"/>
          <w:szCs w:val="18"/>
        </w:rPr>
        <w:t xml:space="preserve">nd Other Sexually </w:t>
      </w:r>
      <w:r>
        <w:rPr>
          <w:rFonts w:asciiTheme="minorHAnsi" w:hAnsiTheme="minorHAnsi" w:cstheme="minorHAnsi"/>
          <w:b/>
          <w:bCs/>
          <w:color w:val="auto"/>
          <w:sz w:val="18"/>
          <w:szCs w:val="18"/>
        </w:rPr>
        <w:t>o</w:t>
      </w:r>
      <w:r w:rsidRPr="00934C02">
        <w:rPr>
          <w:rFonts w:asciiTheme="minorHAnsi" w:hAnsiTheme="minorHAnsi" w:cstheme="minorHAnsi"/>
          <w:b/>
          <w:bCs/>
          <w:color w:val="auto"/>
          <w:sz w:val="18"/>
          <w:szCs w:val="18"/>
        </w:rPr>
        <w:t xml:space="preserve">r Gender Diverse </w:t>
      </w:r>
      <w:r>
        <w:rPr>
          <w:rFonts w:asciiTheme="minorHAnsi" w:hAnsiTheme="minorHAnsi" w:cstheme="minorHAnsi"/>
          <w:b/>
          <w:bCs/>
          <w:color w:val="auto"/>
          <w:sz w:val="18"/>
          <w:szCs w:val="18"/>
        </w:rPr>
        <w:t>(</w:t>
      </w:r>
      <w:r w:rsidRPr="008161BE">
        <w:rPr>
          <w:rFonts w:asciiTheme="minorHAnsi" w:hAnsiTheme="minorHAnsi" w:cstheme="minorHAnsi"/>
          <w:b/>
          <w:bCs/>
          <w:color w:val="auto"/>
          <w:sz w:val="18"/>
          <w:szCs w:val="18"/>
        </w:rPr>
        <w:t>LGBTIQ+</w:t>
      </w:r>
      <w:r>
        <w:rPr>
          <w:rFonts w:asciiTheme="minorHAnsi" w:hAnsiTheme="minorHAnsi" w:cstheme="minorHAnsi"/>
          <w:b/>
          <w:bCs/>
          <w:color w:val="auto"/>
          <w:sz w:val="18"/>
          <w:szCs w:val="18"/>
        </w:rPr>
        <w:t>)</w:t>
      </w:r>
      <w:r w:rsidRPr="008161BE">
        <w:rPr>
          <w:rFonts w:asciiTheme="minorHAnsi" w:hAnsiTheme="minorHAnsi" w:cstheme="minorHAnsi"/>
          <w:color w:val="auto"/>
          <w:sz w:val="18"/>
          <w:szCs w:val="18"/>
        </w:rPr>
        <w:t xml:space="preserve"> </w:t>
      </w:r>
    </w:p>
    <w:p w14:paraId="70873EB6" w14:textId="77777777" w:rsidR="00203693" w:rsidRDefault="00203693" w:rsidP="00203693">
      <w:pPr>
        <w:pStyle w:val="ListParagraph"/>
        <w:ind w:left="360"/>
        <w:rPr>
          <w:rFonts w:asciiTheme="minorHAnsi" w:hAnsiTheme="minorHAnsi" w:cstheme="minorBidi"/>
          <w:color w:val="auto"/>
          <w:sz w:val="18"/>
          <w:szCs w:val="18"/>
        </w:rPr>
      </w:pPr>
    </w:p>
    <w:p w14:paraId="0F7DB099" w14:textId="77777777" w:rsidR="00203693" w:rsidRDefault="00203693" w:rsidP="00203693">
      <w:pPr>
        <w:ind w:left="360"/>
        <w:rPr>
          <w:rFonts w:asciiTheme="minorHAnsi" w:hAnsiTheme="minorHAnsi" w:cstheme="minorHAnsi"/>
          <w:color w:val="auto"/>
        </w:rPr>
      </w:pPr>
      <w:r w:rsidRPr="00E72FD9">
        <w:rPr>
          <w:rFonts w:asciiTheme="minorHAnsi" w:hAnsiTheme="minorHAnsi" w:cstheme="minorHAnsi"/>
          <w:color w:val="auto"/>
        </w:rPr>
        <w:t>According to the Diversity on Victorian Government Boards Guidelines</w:t>
      </w:r>
      <w:r>
        <w:rPr>
          <w:rFonts w:asciiTheme="minorHAnsi" w:hAnsiTheme="minorHAnsi" w:cstheme="minorBidi"/>
          <w:color w:val="auto"/>
        </w:rPr>
        <w:t>, d</w:t>
      </w:r>
      <w:r w:rsidRPr="3C9369FD">
        <w:rPr>
          <w:rFonts w:asciiTheme="minorHAnsi" w:hAnsiTheme="minorHAnsi" w:cstheme="minorBidi"/>
          <w:color w:val="auto"/>
        </w:rPr>
        <w:t xml:space="preserve">ata regarding LGBTIQ+ status is scarce as members may not feel comfortable identifying as such for </w:t>
      </w:r>
      <w:r>
        <w:rPr>
          <w:rFonts w:asciiTheme="minorHAnsi" w:hAnsiTheme="minorHAnsi" w:cstheme="minorBidi"/>
          <w:color w:val="auto"/>
        </w:rPr>
        <w:t xml:space="preserve">various </w:t>
      </w:r>
      <w:r w:rsidRPr="3C9369FD">
        <w:rPr>
          <w:rFonts w:asciiTheme="minorHAnsi" w:hAnsiTheme="minorHAnsi" w:cstheme="minorBidi"/>
          <w:color w:val="auto"/>
        </w:rPr>
        <w:t>reasons</w:t>
      </w:r>
      <w:r>
        <w:rPr>
          <w:rFonts w:asciiTheme="minorHAnsi" w:hAnsiTheme="minorHAnsi" w:cstheme="minorBidi"/>
          <w:color w:val="auto"/>
        </w:rPr>
        <w:t>,</w:t>
      </w:r>
      <w:r w:rsidRPr="3C9369FD">
        <w:rPr>
          <w:rFonts w:asciiTheme="minorHAnsi" w:hAnsiTheme="minorHAnsi" w:cstheme="minorBidi"/>
          <w:color w:val="auto"/>
        </w:rPr>
        <w:t xml:space="preserve"> including privacy, confidentiality, and safety. The government has recommended amend</w:t>
      </w:r>
      <w:r>
        <w:rPr>
          <w:rFonts w:asciiTheme="minorHAnsi" w:hAnsiTheme="minorHAnsi" w:cstheme="minorBidi"/>
          <w:color w:val="auto"/>
        </w:rPr>
        <w:t>ing</w:t>
      </w:r>
      <w:r w:rsidRPr="3C9369FD">
        <w:rPr>
          <w:rFonts w:asciiTheme="minorHAnsi" w:hAnsiTheme="minorHAnsi" w:cstheme="minorBidi"/>
          <w:color w:val="auto"/>
        </w:rPr>
        <w:t xml:space="preserve"> the DPC </w:t>
      </w:r>
      <w:r w:rsidRPr="00703B1A">
        <w:rPr>
          <w:rFonts w:asciiTheme="minorHAnsi" w:hAnsiTheme="minorHAnsi" w:cstheme="minorBidi"/>
          <w:color w:val="auto"/>
        </w:rPr>
        <w:t>Administrative Guidelines</w:t>
      </w:r>
      <w:r w:rsidRPr="3C9369FD">
        <w:rPr>
          <w:rFonts w:asciiTheme="minorHAnsi" w:hAnsiTheme="minorHAnsi" w:cstheme="minorBidi"/>
          <w:color w:val="auto"/>
        </w:rPr>
        <w:t xml:space="preserve"> to include LGBTIQ+ status as a mandatory data field, noting that preferred candidates can always elect to state “prefer not to say”.</w:t>
      </w:r>
    </w:p>
    <w:p w14:paraId="63ECA762" w14:textId="77777777" w:rsidR="00203693" w:rsidRPr="002B77AD" w:rsidRDefault="00203693" w:rsidP="00203693">
      <w:pPr>
        <w:ind w:left="360"/>
        <w:rPr>
          <w:rFonts w:asciiTheme="minorHAnsi" w:hAnsiTheme="minorHAnsi" w:cstheme="minorHAnsi"/>
          <w:color w:val="auto"/>
        </w:rPr>
      </w:pPr>
      <w:r>
        <w:rPr>
          <w:rFonts w:asciiTheme="minorHAnsi" w:hAnsiTheme="minorHAnsi" w:cstheme="minorHAnsi"/>
          <w:color w:val="auto"/>
        </w:rPr>
        <w:t>DJSIR will contribute towards the WoVG targets of the LGBTIQ+ target. While there is no mandatory requirements for each ministerial portfolio to adopt these targets, it is highly recommended.</w:t>
      </w:r>
    </w:p>
    <w:p w14:paraId="08DE5796" w14:textId="77777777" w:rsidR="00203693" w:rsidRDefault="00203693" w:rsidP="00203693">
      <w:pPr>
        <w:pStyle w:val="ListParagraph"/>
        <w:ind w:left="360"/>
        <w:rPr>
          <w:rFonts w:asciiTheme="minorHAnsi" w:hAnsiTheme="minorHAnsi" w:cstheme="minorHAnsi"/>
          <w:b/>
          <w:bCs/>
          <w:color w:val="auto"/>
          <w:sz w:val="18"/>
          <w:szCs w:val="18"/>
        </w:rPr>
      </w:pPr>
      <w:r>
        <w:rPr>
          <w:rFonts w:asciiTheme="minorHAnsi" w:hAnsiTheme="minorHAnsi" w:cstheme="minorHAnsi"/>
          <w:b/>
          <w:bCs/>
          <w:color w:val="auto"/>
          <w:sz w:val="18"/>
          <w:szCs w:val="18"/>
        </w:rPr>
        <w:t>Key considerations</w:t>
      </w:r>
    </w:p>
    <w:p w14:paraId="54D2C811" w14:textId="77777777" w:rsidR="00203693" w:rsidRDefault="00203693" w:rsidP="00203693">
      <w:pPr>
        <w:pStyle w:val="ListParagraph"/>
        <w:ind w:left="360"/>
        <w:rPr>
          <w:rFonts w:asciiTheme="minorHAnsi" w:hAnsiTheme="minorHAnsi" w:cstheme="minorHAnsi"/>
          <w:b/>
          <w:bCs/>
          <w:color w:val="auto"/>
          <w:sz w:val="18"/>
          <w:szCs w:val="18"/>
        </w:rPr>
      </w:pPr>
    </w:p>
    <w:p w14:paraId="35522552"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LGBTIQ+ people still face discrimination and stigma.</w:t>
      </w:r>
    </w:p>
    <w:p w14:paraId="2B6E78E8"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Do not assume heterosexuality or gender. Recognise that gender, sex and sexuality are different concepts.</w:t>
      </w:r>
    </w:p>
    <w:p w14:paraId="48212603" w14:textId="77777777" w:rsidR="00203693" w:rsidRDefault="00203693" w:rsidP="007B76F0">
      <w:pPr>
        <w:pStyle w:val="ListParagraph"/>
        <w:numPr>
          <w:ilvl w:val="0"/>
          <w:numId w:val="35"/>
        </w:numPr>
        <w:spacing w:after="120"/>
        <w:ind w:left="714" w:hanging="357"/>
        <w:contextualSpacing w:val="0"/>
        <w:rPr>
          <w:rFonts w:asciiTheme="minorHAnsi" w:hAnsiTheme="minorHAnsi" w:cstheme="minorHAnsi"/>
          <w:color w:val="auto"/>
          <w:sz w:val="18"/>
          <w:szCs w:val="18"/>
        </w:rPr>
      </w:pPr>
      <w:r>
        <w:rPr>
          <w:rFonts w:asciiTheme="minorHAnsi" w:hAnsiTheme="minorHAnsi" w:cstheme="minorHAnsi"/>
          <w:color w:val="auto"/>
          <w:sz w:val="18"/>
          <w:szCs w:val="18"/>
        </w:rPr>
        <w:t>Provide practical examples of your board’s commitment to diversity and inclusion.</w:t>
      </w:r>
    </w:p>
    <w:p w14:paraId="3ABC10BD" w14:textId="77777777" w:rsidR="00203693" w:rsidRPr="007B7F94" w:rsidRDefault="00203693" w:rsidP="007B76F0">
      <w:pPr>
        <w:pStyle w:val="ListParagraph"/>
        <w:numPr>
          <w:ilvl w:val="0"/>
          <w:numId w:val="35"/>
        </w:numPr>
        <w:spacing w:after="120"/>
        <w:ind w:left="714" w:hanging="357"/>
        <w:rPr>
          <w:rFonts w:asciiTheme="minorHAnsi" w:hAnsiTheme="minorHAnsi" w:cstheme="minorHAnsi"/>
          <w:color w:val="auto"/>
          <w:sz w:val="18"/>
          <w:szCs w:val="18"/>
        </w:rPr>
      </w:pPr>
      <w:r>
        <w:rPr>
          <w:rFonts w:asciiTheme="minorHAnsi" w:hAnsiTheme="minorHAnsi" w:cstheme="minorHAnsi"/>
          <w:color w:val="auto"/>
          <w:sz w:val="18"/>
          <w:szCs w:val="18"/>
        </w:rPr>
        <w:t xml:space="preserve">Ensure that staff involved with the recruitment and appointment processes are trained in and demonstrate, </w:t>
      </w:r>
      <w:r w:rsidRPr="00534E67">
        <w:rPr>
          <w:rFonts w:asciiTheme="minorHAnsi" w:hAnsiTheme="minorHAnsi" w:cstheme="minorHAnsi"/>
          <w:color w:val="auto"/>
          <w:sz w:val="18"/>
          <w:szCs w:val="18"/>
        </w:rPr>
        <w:t>inclusive practices</w:t>
      </w:r>
      <w:r>
        <w:rPr>
          <w:rFonts w:asciiTheme="minorHAnsi" w:hAnsiTheme="minorHAnsi" w:cstheme="minorHAnsi"/>
          <w:color w:val="auto"/>
          <w:sz w:val="18"/>
          <w:szCs w:val="18"/>
        </w:rPr>
        <w:t>.</w:t>
      </w:r>
    </w:p>
    <w:p w14:paraId="5BDAFFB8" w14:textId="77777777" w:rsidR="00203693" w:rsidRPr="007B7F94" w:rsidRDefault="00203693" w:rsidP="007B76F0">
      <w:pPr>
        <w:numPr>
          <w:ilvl w:val="0"/>
          <w:numId w:val="35"/>
        </w:numPr>
        <w:suppressAutoHyphens w:val="0"/>
        <w:spacing w:after="120" w:line="240" w:lineRule="auto"/>
        <w:ind w:left="714" w:hanging="357"/>
        <w:textAlignment w:val="auto"/>
        <w:rPr>
          <w:rFonts w:asciiTheme="minorHAnsi" w:hAnsiTheme="minorHAnsi" w:cstheme="minorHAnsi"/>
          <w:lang w:val="en-AU"/>
        </w:rPr>
      </w:pPr>
      <w:r w:rsidRPr="007B7F94">
        <w:rPr>
          <w:rFonts w:asciiTheme="minorHAnsi" w:hAnsiTheme="minorHAnsi" w:cstheme="minorHAnsi"/>
          <w:lang w:val="en-AU"/>
        </w:rPr>
        <w:t xml:space="preserve">Demonstrate zero tolerance </w:t>
      </w:r>
      <w:r>
        <w:rPr>
          <w:rFonts w:asciiTheme="minorHAnsi" w:hAnsiTheme="minorHAnsi" w:cstheme="minorHAnsi"/>
          <w:lang w:val="en-AU"/>
        </w:rPr>
        <w:t>for</w:t>
      </w:r>
      <w:r w:rsidRPr="007B7F94">
        <w:rPr>
          <w:rFonts w:asciiTheme="minorHAnsi" w:hAnsiTheme="minorHAnsi" w:cstheme="minorHAnsi"/>
          <w:lang w:val="en-AU"/>
        </w:rPr>
        <w:t xml:space="preserve"> homophobia, transphobia, biphobia and discrimination against people with an intersex variation. </w:t>
      </w:r>
    </w:p>
    <w:p w14:paraId="7B91269C" w14:textId="77777777" w:rsidR="00203693" w:rsidRPr="007B7F94" w:rsidRDefault="00203693" w:rsidP="007B76F0">
      <w:pPr>
        <w:numPr>
          <w:ilvl w:val="0"/>
          <w:numId w:val="35"/>
        </w:numPr>
        <w:suppressAutoHyphens w:val="0"/>
        <w:spacing w:after="120" w:line="240" w:lineRule="auto"/>
        <w:ind w:left="714" w:hanging="357"/>
        <w:textAlignment w:val="auto"/>
        <w:rPr>
          <w:rFonts w:asciiTheme="minorHAnsi" w:hAnsiTheme="minorHAnsi" w:cstheme="minorHAnsi"/>
          <w:lang w:val="en-AU"/>
        </w:rPr>
      </w:pPr>
      <w:r w:rsidRPr="007B7F94">
        <w:rPr>
          <w:rFonts w:asciiTheme="minorHAnsi" w:hAnsiTheme="minorHAnsi" w:cstheme="minorHAnsi"/>
          <w:lang w:val="en-AU"/>
        </w:rPr>
        <w:t xml:space="preserve">Be sensitive about disclosure. </w:t>
      </w:r>
    </w:p>
    <w:p w14:paraId="0A8316AD" w14:textId="77777777" w:rsidR="00203693" w:rsidRPr="007B7F94" w:rsidRDefault="00203693" w:rsidP="007B76F0">
      <w:pPr>
        <w:numPr>
          <w:ilvl w:val="0"/>
          <w:numId w:val="35"/>
        </w:numPr>
        <w:suppressAutoHyphens w:val="0"/>
        <w:spacing w:after="120" w:line="240" w:lineRule="auto"/>
        <w:contextualSpacing/>
        <w:textAlignment w:val="auto"/>
        <w:rPr>
          <w:rFonts w:asciiTheme="minorHAnsi" w:hAnsiTheme="minorHAnsi" w:cstheme="minorHAnsi"/>
          <w:lang w:val="en-AU"/>
        </w:rPr>
      </w:pPr>
      <w:r w:rsidRPr="007B7F94">
        <w:rPr>
          <w:rFonts w:asciiTheme="minorHAnsi" w:hAnsiTheme="minorHAnsi" w:cstheme="minorHAnsi"/>
          <w:lang w:val="en-AU"/>
        </w:rPr>
        <w:t xml:space="preserve">There is a significant level of diversity within and between LGBTIQ+ communities. </w:t>
      </w:r>
    </w:p>
    <w:p w14:paraId="728081EB" w14:textId="77777777" w:rsidR="005C005B" w:rsidRDefault="005C005B">
      <w:pPr>
        <w:suppressAutoHyphens w:val="0"/>
        <w:autoSpaceDE/>
        <w:autoSpaceDN/>
        <w:adjustRightInd/>
        <w:spacing w:after="0" w:line="240" w:lineRule="auto"/>
        <w:textAlignment w:val="auto"/>
        <w:rPr>
          <w:color w:val="004C97" w:themeColor="accent1"/>
          <w:sz w:val="28"/>
          <w:szCs w:val="28"/>
        </w:rPr>
      </w:pPr>
      <w:r>
        <w:br w:type="page"/>
      </w:r>
    </w:p>
    <w:p w14:paraId="738022B8" w14:textId="0B09F610" w:rsidR="003E57FF" w:rsidRPr="00830F4C" w:rsidRDefault="005C005B" w:rsidP="003E57FF">
      <w:pPr>
        <w:pStyle w:val="Heading1"/>
        <w:ind w:left="431" w:hanging="431"/>
      </w:pPr>
      <w:bookmarkStart w:id="160" w:name="_Toc164067890"/>
      <w:r>
        <w:lastRenderedPageBreak/>
        <w:t xml:space="preserve">APPENDIX C: </w:t>
      </w:r>
      <w:r w:rsidR="003E57FF">
        <w:t>S</w:t>
      </w:r>
      <w:r w:rsidR="003E57FF" w:rsidRPr="00830F4C">
        <w:t>upport and resources</w:t>
      </w:r>
      <w:bookmarkEnd w:id="157"/>
      <w:bookmarkEnd w:id="158"/>
      <w:bookmarkEnd w:id="159"/>
      <w:bookmarkEnd w:id="160"/>
    </w:p>
    <w:p w14:paraId="15C0F4EB" w14:textId="216DFC81" w:rsidR="003E57FF" w:rsidRPr="00D52C3C" w:rsidRDefault="003E57FF" w:rsidP="003E57FF">
      <w:pPr>
        <w:pStyle w:val="bodycopy"/>
      </w:pPr>
      <w:r w:rsidRPr="00D52C3C">
        <w:t>An indicative outline of</w:t>
      </w:r>
      <w:r>
        <w:t xml:space="preserve"> support and resources provided by </w:t>
      </w:r>
      <w:r w:rsidR="008E250C">
        <w:t>DJSIR</w:t>
      </w:r>
      <w:r>
        <w:t xml:space="preserve">, other departments and integrity-related bodies is provided below. </w:t>
      </w:r>
    </w:p>
    <w:tbl>
      <w:tblPr>
        <w:tblW w:w="9356" w:type="dxa"/>
        <w:tblInd w:w="108"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4A0" w:firstRow="1" w:lastRow="0" w:firstColumn="1" w:lastColumn="0" w:noHBand="0" w:noVBand="1"/>
      </w:tblPr>
      <w:tblGrid>
        <w:gridCol w:w="2410"/>
        <w:gridCol w:w="6946"/>
      </w:tblGrid>
      <w:tr w:rsidR="003E57FF" w:rsidRPr="005F45DE" w14:paraId="47542220" w14:textId="77777777" w:rsidTr="004033A2">
        <w:trPr>
          <w:cantSplit/>
          <w:tblHeader/>
        </w:trPr>
        <w:tc>
          <w:tcPr>
            <w:tcW w:w="2410" w:type="dxa"/>
            <w:shd w:val="clear" w:color="auto" w:fill="000000" w:themeFill="text1"/>
          </w:tcPr>
          <w:p w14:paraId="26808974" w14:textId="77777777" w:rsidR="003E57FF" w:rsidRPr="00827AFE" w:rsidRDefault="003E57FF" w:rsidP="004033A2">
            <w:pPr>
              <w:pStyle w:val="bodycopy"/>
              <w:rPr>
                <w:b/>
                <w:color w:val="FFFFFF" w:themeColor="background1"/>
              </w:rPr>
            </w:pPr>
            <w:r w:rsidRPr="00827AFE">
              <w:rPr>
                <w:b/>
                <w:color w:val="FFFFFF" w:themeColor="background1"/>
              </w:rPr>
              <w:t>Governance Element</w:t>
            </w:r>
          </w:p>
        </w:tc>
        <w:tc>
          <w:tcPr>
            <w:tcW w:w="6946" w:type="dxa"/>
            <w:shd w:val="clear" w:color="auto" w:fill="000000" w:themeFill="text1"/>
          </w:tcPr>
          <w:p w14:paraId="2C25F5D1" w14:textId="77777777" w:rsidR="003E57FF" w:rsidRPr="00827AFE" w:rsidRDefault="003E57FF" w:rsidP="004033A2">
            <w:pPr>
              <w:pStyle w:val="bodycopy"/>
              <w:rPr>
                <w:b/>
                <w:color w:val="FFFFFF" w:themeColor="background1"/>
              </w:rPr>
            </w:pPr>
            <w:r w:rsidRPr="00827AFE">
              <w:rPr>
                <w:b/>
                <w:color w:val="FFFFFF" w:themeColor="background1"/>
              </w:rPr>
              <w:t>Support and Resources</w:t>
            </w:r>
          </w:p>
        </w:tc>
      </w:tr>
      <w:tr w:rsidR="003E57FF" w:rsidRPr="00CE0A4D" w14:paraId="4824F14C" w14:textId="77777777" w:rsidTr="004033A2">
        <w:trPr>
          <w:cantSplit/>
        </w:trPr>
        <w:tc>
          <w:tcPr>
            <w:tcW w:w="2410" w:type="dxa"/>
            <w:shd w:val="clear" w:color="auto" w:fill="auto"/>
          </w:tcPr>
          <w:p w14:paraId="01ADFF3E" w14:textId="77777777" w:rsidR="003E57FF" w:rsidRPr="00CE0A4D" w:rsidRDefault="003E57FF" w:rsidP="004033A2">
            <w:pPr>
              <w:pStyle w:val="bodycopy"/>
            </w:pPr>
            <w:r w:rsidRPr="00CE0A4D">
              <w:t>Planning</w:t>
            </w:r>
          </w:p>
        </w:tc>
        <w:tc>
          <w:tcPr>
            <w:tcW w:w="6946" w:type="dxa"/>
            <w:shd w:val="clear" w:color="auto" w:fill="auto"/>
          </w:tcPr>
          <w:p w14:paraId="2E19A8A2" w14:textId="55163D49" w:rsidR="00BE0E70" w:rsidRPr="00EC42A9" w:rsidRDefault="0089196B" w:rsidP="00BE0E70">
            <w:pPr>
              <w:pStyle w:val="ListBullet"/>
            </w:pPr>
            <w:hyperlink r:id="rId125" w:history="1">
              <w:r w:rsidR="00BE0E70" w:rsidRPr="00ED349D">
                <w:rPr>
                  <w:rStyle w:val="Hyperlink"/>
                  <w:i/>
                </w:rPr>
                <w:t>Resource Management Framework for Victorian Government Departments</w:t>
              </w:r>
            </w:hyperlink>
            <w:r w:rsidR="00BE0E70" w:rsidRPr="00EC42A9">
              <w:rPr>
                <w:i/>
              </w:rPr>
              <w:t>,</w:t>
            </w:r>
            <w:r w:rsidR="00BE0E70">
              <w:rPr>
                <w:i/>
              </w:rPr>
              <w:t xml:space="preserve"> </w:t>
            </w:r>
            <w:r w:rsidR="00BE0E70" w:rsidRPr="00EC42A9">
              <w:t xml:space="preserve">Department of Treasury and Finance, </w:t>
            </w:r>
            <w:hyperlink r:id="rId126">
              <w:r w:rsidR="00BE0E70" w:rsidRPr="3C9369FD">
                <w:rPr>
                  <w:rStyle w:val="Hyperlink"/>
                  <w:color w:val="1F4E79"/>
                </w:rPr>
                <w:t>www.dtf.vic.gov.au</w:t>
              </w:r>
            </w:hyperlink>
          </w:p>
          <w:p w14:paraId="7EEBC3D6" w14:textId="77777777" w:rsidR="00BE0E70" w:rsidRPr="00C3221B" w:rsidRDefault="00BE0E70" w:rsidP="00BE0E70">
            <w:pPr>
              <w:pStyle w:val="ListBullet"/>
            </w:pPr>
            <w:r w:rsidRPr="00C3221B">
              <w:t>D</w:t>
            </w:r>
            <w:r>
              <w:t>JSIR</w:t>
            </w:r>
            <w:r w:rsidRPr="00C3221B">
              <w:t xml:space="preserve"> </w:t>
            </w:r>
            <w:r>
              <w:t xml:space="preserve">Portfolio Entity </w:t>
            </w:r>
            <w:r w:rsidRPr="00C3221B">
              <w:t>Corporate Planning Guidelines and template</w:t>
            </w:r>
            <w:r>
              <w:t xml:space="preserve">, </w:t>
            </w:r>
            <w:hyperlink r:id="rId127" w:history="1">
              <w:r w:rsidRPr="00875965">
                <w:rPr>
                  <w:rStyle w:val="Hyperlink"/>
                </w:rPr>
                <w:t>Portfolio Governance Framework</w:t>
              </w:r>
            </w:hyperlink>
            <w:r>
              <w:t xml:space="preserve">. </w:t>
            </w:r>
          </w:p>
          <w:p w14:paraId="5B0F970A" w14:textId="6DD4E65D" w:rsidR="00BE0E70" w:rsidRPr="009006C2" w:rsidRDefault="0089196B" w:rsidP="007B76F0">
            <w:pPr>
              <w:pStyle w:val="ListBullet"/>
              <w:numPr>
                <w:ilvl w:val="0"/>
                <w:numId w:val="50"/>
              </w:numPr>
            </w:pPr>
            <w:hyperlink r:id="rId128" w:history="1">
              <w:r w:rsidR="00BE0E70" w:rsidRPr="003D743E">
                <w:rPr>
                  <w:rStyle w:val="Hyperlink"/>
                  <w:i/>
                </w:rPr>
                <w:t>Corporate planning and performance reporting requirements</w:t>
              </w:r>
            </w:hyperlink>
            <w:r w:rsidR="00BE0E70" w:rsidRPr="00C3221B">
              <w:rPr>
                <w:i/>
              </w:rPr>
              <w:t>,</w:t>
            </w:r>
            <w:r w:rsidR="00BE0E70" w:rsidRPr="00C3221B">
              <w:t xml:space="preserve"> Department of Treasury and Finance</w:t>
            </w:r>
          </w:p>
          <w:p w14:paraId="3F02BEA3" w14:textId="1198B3F7" w:rsidR="003E57FF" w:rsidRPr="009006C2" w:rsidRDefault="0089196B" w:rsidP="007B76F0">
            <w:pPr>
              <w:pStyle w:val="ListBullet"/>
              <w:numPr>
                <w:ilvl w:val="0"/>
                <w:numId w:val="51"/>
              </w:numPr>
              <w:spacing w:after="0"/>
            </w:pPr>
            <w:hyperlink r:id="rId129" w:history="1">
              <w:r w:rsidR="003E57FF" w:rsidRPr="001B1613">
                <w:rPr>
                  <w:rStyle w:val="Hyperlink"/>
                  <w:i/>
                </w:rPr>
                <w:t>Statement of Expectations Framework for Regulators</w:t>
              </w:r>
            </w:hyperlink>
            <w:r w:rsidR="003E57FF" w:rsidRPr="00C3221B">
              <w:rPr>
                <w:i/>
              </w:rPr>
              <w:t xml:space="preserve">, </w:t>
            </w:r>
            <w:r w:rsidR="003E57FF" w:rsidRPr="00C3221B">
              <w:t>Department of Treasury and Finance</w:t>
            </w:r>
            <w:r w:rsidR="001B1613" w:rsidDel="001B1613">
              <w:t xml:space="preserve"> </w:t>
            </w:r>
          </w:p>
          <w:p w14:paraId="64632CB2" w14:textId="77777777" w:rsidR="003E57FF" w:rsidRPr="009006C2" w:rsidRDefault="003E57FF" w:rsidP="007B76F0">
            <w:pPr>
              <w:pStyle w:val="ListBullet"/>
              <w:numPr>
                <w:ilvl w:val="0"/>
                <w:numId w:val="51"/>
              </w:numPr>
              <w:spacing w:after="0"/>
            </w:pPr>
            <w:r w:rsidRPr="00C3221B">
              <w:rPr>
                <w:i/>
              </w:rPr>
              <w:t xml:space="preserve">Stage Two Regulator SOE Guidelines, </w:t>
            </w:r>
            <w:r w:rsidRPr="00C3221B">
              <w:t>Department of Treasury and Finance</w:t>
            </w:r>
            <w:r>
              <w:t xml:space="preserve">, </w:t>
            </w:r>
            <w:hyperlink r:id="rId130">
              <w:r w:rsidRPr="3C9369FD">
                <w:rPr>
                  <w:rStyle w:val="Hyperlink"/>
                  <w:color w:val="1F4E79"/>
                </w:rPr>
                <w:t>www.dtf.vic.gov.au</w:t>
              </w:r>
            </w:hyperlink>
            <w:r w:rsidRPr="00C3221B">
              <w:t xml:space="preserve"> </w:t>
            </w:r>
          </w:p>
          <w:p w14:paraId="45E5D2AA" w14:textId="46B9AF0A" w:rsidR="003E57FF" w:rsidRPr="00D82EC0" w:rsidRDefault="006E550A" w:rsidP="007B76F0">
            <w:pPr>
              <w:pStyle w:val="ListBullet"/>
              <w:numPr>
                <w:ilvl w:val="0"/>
                <w:numId w:val="51"/>
              </w:numPr>
              <w:rPr>
                <w:rStyle w:val="Hyperlink"/>
                <w:rFonts w:eastAsiaTheme="minorHAnsi" w:cs="Arial"/>
                <w:i/>
                <w:color w:val="1F4E79"/>
                <w:sz w:val="22"/>
                <w:szCs w:val="18"/>
                <w:lang w:val="en-US"/>
              </w:rPr>
            </w:pPr>
            <w:r>
              <w:rPr>
                <w:i/>
              </w:rPr>
              <w:t>Practitioner</w:t>
            </w:r>
            <w:r w:rsidR="002174FA">
              <w:rPr>
                <w:i/>
              </w:rPr>
              <w:t xml:space="preserve">s </w:t>
            </w:r>
            <w:r w:rsidR="003E57FF" w:rsidRPr="00D82EC0">
              <w:rPr>
                <w:i/>
              </w:rPr>
              <w:t xml:space="preserve">Professionals Toolkit, </w:t>
            </w:r>
            <w:r w:rsidR="003E57FF" w:rsidRPr="00D82EC0">
              <w:t xml:space="preserve">Department of Treasury and Finance, </w:t>
            </w:r>
            <w:hyperlink r:id="rId131">
              <w:r w:rsidR="003E57FF" w:rsidRPr="3C9369FD">
                <w:rPr>
                  <w:rStyle w:val="Hyperlink"/>
                  <w:color w:val="1F4E79"/>
                </w:rPr>
                <w:t>www.dtf.vic.gov.au</w:t>
              </w:r>
            </w:hyperlink>
            <w:r w:rsidR="003E57FF" w:rsidRPr="00D82EC0">
              <w:t xml:space="preserve"> </w:t>
            </w:r>
          </w:p>
          <w:p w14:paraId="1CCF9E59" w14:textId="44203789" w:rsidR="003E57FF" w:rsidRPr="00C3221B" w:rsidRDefault="0089196B" w:rsidP="004033A2">
            <w:pPr>
              <w:pStyle w:val="ListBullet"/>
              <w:rPr>
                <w:rStyle w:val="Hyperlink"/>
                <w:i/>
                <w:color w:val="1F4E79"/>
                <w:sz w:val="22"/>
              </w:rPr>
            </w:pPr>
            <w:hyperlink r:id="rId132" w:history="1">
              <w:r w:rsidR="003E57FF" w:rsidRPr="00ED349D">
                <w:rPr>
                  <w:rStyle w:val="Hyperlink"/>
                  <w:i/>
                </w:rPr>
                <w:t>Investment Lifecycle and High Value High Risk (HVHR) Guidelines</w:t>
              </w:r>
            </w:hyperlink>
            <w:r w:rsidR="003E57FF" w:rsidRPr="00C3221B">
              <w:t xml:space="preserve">, Department of Treasury and Finance, </w:t>
            </w:r>
            <w:hyperlink r:id="rId133">
              <w:r w:rsidR="003E57FF" w:rsidRPr="3C9369FD">
                <w:rPr>
                  <w:rStyle w:val="Hyperlink"/>
                  <w:color w:val="1F4E79"/>
                </w:rPr>
                <w:t>www.dtf.vic.gov.au</w:t>
              </w:r>
            </w:hyperlink>
            <w:r w:rsidR="003E57FF">
              <w:t xml:space="preserve"> </w:t>
            </w:r>
          </w:p>
          <w:p w14:paraId="63FA86F5" w14:textId="5C7CFB62" w:rsidR="003E57FF" w:rsidRPr="00C3221B" w:rsidRDefault="003E57FF" w:rsidP="004033A2">
            <w:pPr>
              <w:pStyle w:val="ListBullet"/>
              <w:rPr>
                <w:u w:val="single"/>
              </w:rPr>
            </w:pPr>
            <w:r w:rsidRPr="00C3221B">
              <w:rPr>
                <w:i/>
              </w:rPr>
              <w:t xml:space="preserve">‘Is your </w:t>
            </w:r>
            <w:r w:rsidR="009D2779">
              <w:rPr>
                <w:i/>
              </w:rPr>
              <w:t>entity</w:t>
            </w:r>
            <w:r w:rsidR="009D2779" w:rsidRPr="00C3221B">
              <w:rPr>
                <w:i/>
              </w:rPr>
              <w:t xml:space="preserve"> </w:t>
            </w:r>
            <w:r w:rsidRPr="00C3221B">
              <w:rPr>
                <w:i/>
              </w:rPr>
              <w:t>subject to the Standing Directions of the Minister for Finance?</w:t>
            </w:r>
            <w:r w:rsidRPr="00C3221B">
              <w:t xml:space="preserve">’ Department of Treasury and Finance, </w:t>
            </w:r>
            <w:hyperlink r:id="rId134">
              <w:r w:rsidRPr="3C9369FD">
                <w:rPr>
                  <w:rStyle w:val="Hyperlink"/>
                  <w:color w:val="1F4E79"/>
                </w:rPr>
                <w:t>www.dtf.vic.gov.au</w:t>
              </w:r>
            </w:hyperlink>
          </w:p>
          <w:p w14:paraId="4B70F99E" w14:textId="4D69364A" w:rsidR="003E57FF" w:rsidRPr="00C3221B" w:rsidRDefault="0089196B" w:rsidP="004033A2">
            <w:pPr>
              <w:pStyle w:val="ListBullet"/>
              <w:rPr>
                <w:u w:val="single"/>
              </w:rPr>
            </w:pPr>
            <w:hyperlink r:id="rId135" w:history="1">
              <w:r w:rsidR="003E57FF" w:rsidRPr="00ED349D">
                <w:rPr>
                  <w:rStyle w:val="Hyperlink"/>
                </w:rPr>
                <w:t>Victorian Government Purchasing Board policies, guides and tools</w:t>
              </w:r>
            </w:hyperlink>
            <w:r w:rsidR="003E57FF" w:rsidRPr="00C3221B">
              <w:t xml:space="preserve">, </w:t>
            </w:r>
            <w:hyperlink r:id="rId136">
              <w:r w:rsidR="003E57FF" w:rsidRPr="3C9369FD">
                <w:rPr>
                  <w:rStyle w:val="Hyperlink"/>
                </w:rPr>
                <w:t>www.procurement.vic.gov.au</w:t>
              </w:r>
            </w:hyperlink>
          </w:p>
        </w:tc>
      </w:tr>
      <w:tr w:rsidR="003E57FF" w:rsidRPr="00CE0A4D" w14:paraId="3A3CA3A7" w14:textId="77777777" w:rsidTr="004033A2">
        <w:trPr>
          <w:cantSplit/>
        </w:trPr>
        <w:tc>
          <w:tcPr>
            <w:tcW w:w="2410" w:type="dxa"/>
            <w:shd w:val="clear" w:color="auto" w:fill="auto"/>
          </w:tcPr>
          <w:p w14:paraId="4C49D4B7" w14:textId="77777777" w:rsidR="003E57FF" w:rsidRPr="00827AFE" w:rsidRDefault="003E57FF" w:rsidP="004033A2">
            <w:pPr>
              <w:pStyle w:val="bodycopy"/>
            </w:pPr>
            <w:r w:rsidRPr="00827AFE">
              <w:t>Analyse and Monitor</w:t>
            </w:r>
          </w:p>
        </w:tc>
        <w:tc>
          <w:tcPr>
            <w:tcW w:w="6946" w:type="dxa"/>
            <w:shd w:val="clear" w:color="auto" w:fill="auto"/>
          </w:tcPr>
          <w:p w14:paraId="47723DBB" w14:textId="25F478D4" w:rsidR="003E57FF" w:rsidRPr="00827AFE" w:rsidRDefault="0089196B" w:rsidP="004033A2">
            <w:pPr>
              <w:pStyle w:val="ListBullet"/>
            </w:pPr>
            <w:hyperlink r:id="rId137" w:history="1">
              <w:r w:rsidR="003E57FF" w:rsidRPr="00676B94">
                <w:rPr>
                  <w:rStyle w:val="Hyperlink"/>
                </w:rPr>
                <w:t>Premier’s Circular No. 2013/2</w:t>
              </w:r>
            </w:hyperlink>
            <w:r w:rsidR="003E57FF" w:rsidRPr="00827AFE">
              <w:t>, Creation and Review of Non-departmental Entities</w:t>
            </w:r>
          </w:p>
          <w:p w14:paraId="7E67F39F" w14:textId="6B3D15E3" w:rsidR="003E57FF" w:rsidRPr="00827AFE" w:rsidRDefault="009A5748" w:rsidP="004033A2">
            <w:pPr>
              <w:pStyle w:val="ListBullet"/>
            </w:pPr>
            <w:r>
              <w:t>DJSIR</w:t>
            </w:r>
            <w:r w:rsidR="003E57FF">
              <w:t xml:space="preserve"> </w:t>
            </w:r>
            <w:r w:rsidR="003E57FF" w:rsidRPr="00827AFE">
              <w:t>Monitoring and Evaluation Policy and standards</w:t>
            </w:r>
          </w:p>
          <w:p w14:paraId="74FA1D22" w14:textId="75D7D0E8" w:rsidR="003E57FF" w:rsidRPr="00827AFE" w:rsidRDefault="0089196B" w:rsidP="004033A2">
            <w:pPr>
              <w:pStyle w:val="ListBullet"/>
            </w:pPr>
            <w:hyperlink r:id="rId138" w:history="1">
              <w:r w:rsidR="003E57FF" w:rsidRPr="00ED349D">
                <w:rPr>
                  <w:rStyle w:val="Hyperlink"/>
                  <w:i/>
                </w:rPr>
                <w:t>Resource Management Framework for Victorian Government Departments</w:t>
              </w:r>
            </w:hyperlink>
            <w:r w:rsidR="003E57FF" w:rsidRPr="00EC42A9">
              <w:rPr>
                <w:i/>
              </w:rPr>
              <w:t xml:space="preserve">, </w:t>
            </w:r>
            <w:r w:rsidR="003E57FF" w:rsidRPr="00EC42A9">
              <w:t xml:space="preserve">Department of Treasury and Finance, </w:t>
            </w:r>
            <w:hyperlink r:id="rId139">
              <w:r w:rsidR="003E57FF" w:rsidRPr="3C9369FD">
                <w:rPr>
                  <w:rStyle w:val="Hyperlink"/>
                  <w:color w:val="1F4E79"/>
                </w:rPr>
                <w:t>www.dtf.vic.gov.au</w:t>
              </w:r>
            </w:hyperlink>
          </w:p>
        </w:tc>
      </w:tr>
      <w:tr w:rsidR="003E57FF" w:rsidRPr="00CE0A4D" w14:paraId="1C75F638" w14:textId="77777777" w:rsidTr="004033A2">
        <w:trPr>
          <w:cantSplit/>
        </w:trPr>
        <w:tc>
          <w:tcPr>
            <w:tcW w:w="2410" w:type="dxa"/>
            <w:shd w:val="clear" w:color="auto" w:fill="auto"/>
          </w:tcPr>
          <w:p w14:paraId="435F12B6" w14:textId="77777777" w:rsidR="003E57FF" w:rsidRPr="00827AFE" w:rsidRDefault="003E57FF" w:rsidP="004033A2">
            <w:pPr>
              <w:pStyle w:val="bodycopy"/>
            </w:pPr>
            <w:r w:rsidRPr="00827AFE">
              <w:t>Reporting</w:t>
            </w:r>
          </w:p>
        </w:tc>
        <w:tc>
          <w:tcPr>
            <w:tcW w:w="6946" w:type="dxa"/>
            <w:shd w:val="clear" w:color="auto" w:fill="auto"/>
          </w:tcPr>
          <w:p w14:paraId="434467C2" w14:textId="276757C5" w:rsidR="00D260AA" w:rsidRDefault="0089196B" w:rsidP="004033A2">
            <w:pPr>
              <w:pStyle w:val="ListBullet"/>
            </w:pPr>
            <w:hyperlink r:id="rId140" w:history="1">
              <w:r w:rsidR="00D260AA" w:rsidRPr="00ED349D">
                <w:rPr>
                  <w:rStyle w:val="Hyperlink"/>
                </w:rPr>
                <w:t xml:space="preserve">Standing Directions 2018 under the </w:t>
              </w:r>
              <w:r w:rsidR="00D260AA" w:rsidRPr="00ED349D">
                <w:rPr>
                  <w:rStyle w:val="Hyperlink"/>
                  <w:i/>
                  <w:iCs/>
                </w:rPr>
                <w:t>Financial Management Act 1994</w:t>
              </w:r>
            </w:hyperlink>
            <w:r w:rsidR="00D260AA" w:rsidRPr="00827AFE">
              <w:t xml:space="preserve">, </w:t>
            </w:r>
            <w:hyperlink r:id="rId141">
              <w:r w:rsidR="00D260AA" w:rsidRPr="3C9369FD">
                <w:rPr>
                  <w:rStyle w:val="Hyperlink"/>
                  <w:color w:val="1F4E79"/>
                </w:rPr>
                <w:t>www.dtf.vic.gov.au</w:t>
              </w:r>
            </w:hyperlink>
          </w:p>
          <w:p w14:paraId="315DB02D" w14:textId="1AAEABB6" w:rsidR="003E57FF" w:rsidRPr="00827AFE" w:rsidRDefault="0089196B" w:rsidP="004033A2">
            <w:pPr>
              <w:pStyle w:val="ListBullet"/>
            </w:pPr>
            <w:hyperlink r:id="rId142" w:history="1">
              <w:r w:rsidR="003E57FF" w:rsidRPr="00ED349D">
                <w:rPr>
                  <w:rStyle w:val="Hyperlink"/>
                </w:rPr>
                <w:t>Asset Management and Accountability Framework</w:t>
              </w:r>
            </w:hyperlink>
            <w:r w:rsidR="003E57FF" w:rsidRPr="00827AFE">
              <w:t>, Department of Treasury and Finance,</w:t>
            </w:r>
            <w:r w:rsidR="003E57FF" w:rsidRPr="00827AFE">
              <w:rPr>
                <w:rStyle w:val="Hyperlink"/>
                <w:color w:val="1F4E79"/>
              </w:rPr>
              <w:t xml:space="preserve"> </w:t>
            </w:r>
            <w:hyperlink r:id="rId143">
              <w:r w:rsidR="003E57FF" w:rsidRPr="3C9369FD">
                <w:rPr>
                  <w:rStyle w:val="Hyperlink"/>
                  <w:color w:val="1F4E79"/>
                </w:rPr>
                <w:t>www.dtf.vic.gov.au</w:t>
              </w:r>
            </w:hyperlink>
          </w:p>
          <w:p w14:paraId="1678342A" w14:textId="2AC8F5E4" w:rsidR="003E57FF" w:rsidRPr="00827AFE" w:rsidRDefault="0089196B" w:rsidP="005D48FB">
            <w:pPr>
              <w:pStyle w:val="ListBullet"/>
            </w:pPr>
            <w:hyperlink r:id="rId144" w:history="1">
              <w:r w:rsidR="003E57FF" w:rsidRPr="00ED349D">
                <w:rPr>
                  <w:rStyle w:val="Hyperlink"/>
                </w:rPr>
                <w:t>Model Report</w:t>
              </w:r>
            </w:hyperlink>
            <w:r w:rsidR="003E57FF" w:rsidRPr="00827AFE">
              <w:t xml:space="preserve">, Department of Treasury and Finance, </w:t>
            </w:r>
            <w:hyperlink r:id="rId145">
              <w:r w:rsidR="003E57FF" w:rsidRPr="3C9369FD">
                <w:rPr>
                  <w:rStyle w:val="Hyperlink"/>
                  <w:color w:val="1F4E79"/>
                </w:rPr>
                <w:t>www.dtf.vic.gov.au</w:t>
              </w:r>
            </w:hyperlink>
          </w:p>
        </w:tc>
      </w:tr>
      <w:tr w:rsidR="003E57FF" w:rsidRPr="00CE0A4D" w14:paraId="0812FE12" w14:textId="77777777" w:rsidTr="004033A2">
        <w:trPr>
          <w:cantSplit/>
        </w:trPr>
        <w:tc>
          <w:tcPr>
            <w:tcW w:w="2410" w:type="dxa"/>
            <w:shd w:val="clear" w:color="auto" w:fill="auto"/>
          </w:tcPr>
          <w:p w14:paraId="74737657" w14:textId="77777777" w:rsidR="003E57FF" w:rsidRPr="00827AFE" w:rsidRDefault="003E57FF" w:rsidP="004033A2">
            <w:pPr>
              <w:pStyle w:val="bodycopy"/>
            </w:pPr>
            <w:r w:rsidRPr="00827AFE">
              <w:t>Risk</w:t>
            </w:r>
          </w:p>
        </w:tc>
        <w:tc>
          <w:tcPr>
            <w:tcW w:w="6946" w:type="dxa"/>
            <w:shd w:val="clear" w:color="auto" w:fill="auto"/>
          </w:tcPr>
          <w:p w14:paraId="0C8FEA0F" w14:textId="2EDD91E7" w:rsidR="003E57FF" w:rsidRPr="00827AFE" w:rsidRDefault="0089196B" w:rsidP="004033A2">
            <w:pPr>
              <w:pStyle w:val="ListBullet"/>
            </w:pPr>
            <w:hyperlink r:id="rId146" w:history="1">
              <w:r w:rsidR="003E57FF" w:rsidRPr="008A1D2B">
                <w:rPr>
                  <w:rStyle w:val="Hyperlink"/>
                </w:rPr>
                <w:t>Victorian Risk Management Framework</w:t>
              </w:r>
              <w:r w:rsidR="00292B92" w:rsidRPr="008A1D2B">
                <w:rPr>
                  <w:rStyle w:val="Hyperlink"/>
                </w:rPr>
                <w:t xml:space="preserve"> and Insurance Management Policy</w:t>
              </w:r>
            </w:hyperlink>
            <w:r w:rsidR="003E57FF" w:rsidRPr="00827AFE">
              <w:t>, Department of Treasury and Finance</w:t>
            </w:r>
          </w:p>
        </w:tc>
      </w:tr>
      <w:tr w:rsidR="003E57FF" w:rsidRPr="00CE0A4D" w14:paraId="4D204234" w14:textId="77777777" w:rsidTr="005D48FB">
        <w:trPr>
          <w:cantSplit/>
          <w:trHeight w:val="1208"/>
        </w:trPr>
        <w:tc>
          <w:tcPr>
            <w:tcW w:w="2410" w:type="dxa"/>
            <w:shd w:val="clear" w:color="auto" w:fill="auto"/>
          </w:tcPr>
          <w:p w14:paraId="5BA9A9FE" w14:textId="77777777" w:rsidR="003E57FF" w:rsidRPr="00827AFE" w:rsidRDefault="003E57FF" w:rsidP="004033A2">
            <w:pPr>
              <w:pStyle w:val="bodycopy"/>
            </w:pPr>
            <w:r w:rsidRPr="00827AFE">
              <w:t>Communication and Engagement</w:t>
            </w:r>
          </w:p>
        </w:tc>
        <w:tc>
          <w:tcPr>
            <w:tcW w:w="6946" w:type="dxa"/>
            <w:shd w:val="clear" w:color="auto" w:fill="auto"/>
          </w:tcPr>
          <w:p w14:paraId="75117751" w14:textId="0CADFA7D" w:rsidR="00FA0534" w:rsidRDefault="0089196B" w:rsidP="004033A2">
            <w:pPr>
              <w:pStyle w:val="ListBullet"/>
            </w:pPr>
            <w:hyperlink r:id="rId147" w:history="1">
              <w:r w:rsidR="00FA0534" w:rsidRPr="00ED349D">
                <w:rPr>
                  <w:rStyle w:val="Hyperlink"/>
                </w:rPr>
                <w:t xml:space="preserve">Establishing portfolio </w:t>
              </w:r>
              <w:r w:rsidR="00ED349D" w:rsidRPr="00ED349D">
                <w:rPr>
                  <w:rStyle w:val="Hyperlink"/>
                </w:rPr>
                <w:t>governance</w:t>
              </w:r>
              <w:r w:rsidR="00FA0534" w:rsidRPr="00ED349D">
                <w:rPr>
                  <w:rStyle w:val="Hyperlink"/>
                </w:rPr>
                <w:t xml:space="preserve"> arrangements</w:t>
              </w:r>
            </w:hyperlink>
            <w:r w:rsidR="00FA0534">
              <w:t>, Victorian Public Sector Commission</w:t>
            </w:r>
            <w:r w:rsidR="00293A39">
              <w:t xml:space="preserve">, </w:t>
            </w:r>
            <w:hyperlink r:id="rId148" w:history="1">
              <w:r w:rsidR="00293A39" w:rsidRPr="00660B9E">
                <w:rPr>
                  <w:rStyle w:val="Hyperlink"/>
                </w:rPr>
                <w:t>www.vpsc.vic.gov.au</w:t>
              </w:r>
            </w:hyperlink>
          </w:p>
          <w:p w14:paraId="16EB4A9F" w14:textId="4287F6BD" w:rsidR="003E57FF" w:rsidRPr="00827AFE" w:rsidRDefault="003E57FF" w:rsidP="004033A2">
            <w:pPr>
              <w:pStyle w:val="ListBullet"/>
            </w:pPr>
            <w:r w:rsidRPr="00827AFE">
              <w:t>Ministerial Briefing Template</w:t>
            </w:r>
          </w:p>
          <w:p w14:paraId="5B9A64F7" w14:textId="77777777" w:rsidR="003E57FF" w:rsidRPr="00827AFE" w:rsidRDefault="003E57FF" w:rsidP="004033A2">
            <w:pPr>
              <w:pStyle w:val="ListBullet"/>
            </w:pPr>
            <w:r w:rsidRPr="00827AFE">
              <w:t>Ministerial Correspondence Template</w:t>
            </w:r>
          </w:p>
        </w:tc>
      </w:tr>
      <w:tr w:rsidR="003E57FF" w:rsidRPr="00CE0A4D" w14:paraId="311721CB" w14:textId="77777777" w:rsidTr="004033A2">
        <w:trPr>
          <w:cantSplit/>
        </w:trPr>
        <w:tc>
          <w:tcPr>
            <w:tcW w:w="2410" w:type="dxa"/>
            <w:shd w:val="clear" w:color="auto" w:fill="auto"/>
          </w:tcPr>
          <w:p w14:paraId="6998A300" w14:textId="77777777" w:rsidR="003E57FF" w:rsidRPr="00827AFE" w:rsidRDefault="003E57FF" w:rsidP="004033A2">
            <w:pPr>
              <w:pStyle w:val="bodycopy"/>
            </w:pPr>
            <w:r w:rsidRPr="00827AFE">
              <w:lastRenderedPageBreak/>
              <w:t>Board appointments and meetings</w:t>
            </w:r>
          </w:p>
        </w:tc>
        <w:tc>
          <w:tcPr>
            <w:tcW w:w="6946" w:type="dxa"/>
            <w:shd w:val="clear" w:color="auto" w:fill="auto"/>
          </w:tcPr>
          <w:p w14:paraId="171566E7" w14:textId="2EE78E80" w:rsidR="00686E58" w:rsidRDefault="0089196B" w:rsidP="004033A2">
            <w:pPr>
              <w:pStyle w:val="ListBullet"/>
            </w:pPr>
            <w:hyperlink r:id="rId149" w:history="1">
              <w:r w:rsidR="00686E58" w:rsidRPr="004B6295">
                <w:rPr>
                  <w:rStyle w:val="Hyperlink"/>
                </w:rPr>
                <w:t>Premier’s Circular No. 2015/2</w:t>
              </w:r>
            </w:hyperlink>
            <w:r w:rsidR="00686E58" w:rsidRPr="00827AFE">
              <w:t>, Good Board Governance</w:t>
            </w:r>
          </w:p>
          <w:p w14:paraId="03EBD26D" w14:textId="4F9F1598" w:rsidR="005C7F73" w:rsidRPr="00827AFE" w:rsidRDefault="0089196B" w:rsidP="005C7F73">
            <w:pPr>
              <w:pStyle w:val="ListBullet"/>
            </w:pPr>
            <w:hyperlink r:id="rId150" w:history="1">
              <w:r w:rsidR="005C7F73" w:rsidRPr="00ED349D">
                <w:rPr>
                  <w:rStyle w:val="Hyperlink"/>
                </w:rPr>
                <w:t>Recruitment and Appointment to the Board: A Governance Officer’s Toolkit</w:t>
              </w:r>
            </w:hyperlink>
            <w:r w:rsidR="005C7F73" w:rsidRPr="00827AFE">
              <w:t xml:space="preserve">, Victorian Public Sector Commission, </w:t>
            </w:r>
            <w:hyperlink r:id="rId151">
              <w:r w:rsidR="005C7F73" w:rsidRPr="3C9369FD">
                <w:rPr>
                  <w:rStyle w:val="Hyperlink"/>
                </w:rPr>
                <w:t>www.vpsc.vic.gov.au</w:t>
              </w:r>
            </w:hyperlink>
          </w:p>
          <w:p w14:paraId="70064F68" w14:textId="780BFE69" w:rsidR="005C7F73" w:rsidRDefault="0089196B" w:rsidP="005C7F73">
            <w:pPr>
              <w:pStyle w:val="ListBullet"/>
            </w:pPr>
            <w:hyperlink r:id="rId152" w:history="1">
              <w:r w:rsidR="005C7F73" w:rsidRPr="00ED349D">
                <w:rPr>
                  <w:rStyle w:val="Hyperlink"/>
                </w:rPr>
                <w:t>Appointment and Remuneration Guidelines</w:t>
              </w:r>
            </w:hyperlink>
            <w:r w:rsidR="005C7F73" w:rsidRPr="00827AFE">
              <w:t xml:space="preserve">, Department of Premier and Cabinet (DPC), </w:t>
            </w:r>
            <w:hyperlink r:id="rId153" w:history="1">
              <w:r w:rsidR="005C7F73" w:rsidRPr="000A7CB1">
                <w:rPr>
                  <w:rStyle w:val="Hyperlink"/>
                </w:rPr>
                <w:t>www.dpc.vic.gov.au</w:t>
              </w:r>
            </w:hyperlink>
            <w:r w:rsidR="005C7F73">
              <w:t xml:space="preserve"> </w:t>
            </w:r>
          </w:p>
          <w:p w14:paraId="4B4A3BE4" w14:textId="62ECA9E9" w:rsidR="00E87F86" w:rsidRDefault="0089196B" w:rsidP="005C7F73">
            <w:pPr>
              <w:pStyle w:val="ListBullet"/>
            </w:pPr>
            <w:hyperlink r:id="rId154" w:anchor="who-assesses-board-performance" w:history="1">
              <w:r w:rsidR="00E87F86" w:rsidRPr="00E87F86">
                <w:rPr>
                  <w:rStyle w:val="Hyperlink"/>
                </w:rPr>
                <w:t>Assessing public board performance</w:t>
              </w:r>
            </w:hyperlink>
            <w:r w:rsidR="00E87F86">
              <w:t xml:space="preserve">, Victorian Public Sector Commission, </w:t>
            </w:r>
            <w:hyperlink r:id="rId155" w:history="1">
              <w:r w:rsidR="00E87F86" w:rsidRPr="007E4837">
                <w:rPr>
                  <w:rStyle w:val="Hyperlink"/>
                </w:rPr>
                <w:t>www.vpsc.vic.gov.au</w:t>
              </w:r>
            </w:hyperlink>
          </w:p>
          <w:p w14:paraId="4721E944" w14:textId="1F9DEF38" w:rsidR="006B3494" w:rsidRDefault="005F7E6D" w:rsidP="004033A2">
            <w:pPr>
              <w:pStyle w:val="ListBullet"/>
            </w:pPr>
            <w:r>
              <w:t xml:space="preserve">Women – </w:t>
            </w:r>
            <w:hyperlink r:id="rId156" w:history="1">
              <w:r w:rsidRPr="006B602E">
                <w:rPr>
                  <w:rStyle w:val="Hyperlink"/>
                </w:rPr>
                <w:t>Diversity on Victorian Government Bo</w:t>
              </w:r>
              <w:r w:rsidR="00542C90" w:rsidRPr="006B602E">
                <w:rPr>
                  <w:rStyle w:val="Hyperlink"/>
                </w:rPr>
                <w:t>ards Guid</w:t>
              </w:r>
              <w:r w:rsidR="00AE55FB" w:rsidRPr="006B602E">
                <w:rPr>
                  <w:rStyle w:val="Hyperlink"/>
                </w:rPr>
                <w:t>elines</w:t>
              </w:r>
            </w:hyperlink>
            <w:r w:rsidR="00C0179D">
              <w:t xml:space="preserve">, </w:t>
            </w:r>
            <w:r w:rsidR="00B248BE">
              <w:t>Dep</w:t>
            </w:r>
            <w:r w:rsidR="006B602E">
              <w:t>artment of Premier and Cabinet (DPC)</w:t>
            </w:r>
          </w:p>
          <w:p w14:paraId="635CFF08" w14:textId="73E8C0E1" w:rsidR="006229A6" w:rsidRPr="005D48FB" w:rsidRDefault="0089196B" w:rsidP="004033A2">
            <w:pPr>
              <w:pStyle w:val="ListBullet"/>
              <w:rPr>
                <w:rStyle w:val="Hyperlink"/>
                <w:color w:val="53565A"/>
                <w:u w:val="none"/>
              </w:rPr>
            </w:pPr>
            <w:hyperlink r:id="rId157" w:history="1">
              <w:r w:rsidR="006229A6" w:rsidRPr="00ED349D">
                <w:rPr>
                  <w:rStyle w:val="Hyperlink"/>
                </w:rPr>
                <w:t>Aboriginal Cultural Capability Tookit</w:t>
              </w:r>
            </w:hyperlink>
            <w:r w:rsidR="00DE2E74">
              <w:t>,</w:t>
            </w:r>
            <w:r w:rsidR="00EB4409">
              <w:t xml:space="preserve"> </w:t>
            </w:r>
            <w:r w:rsidR="00FA1645" w:rsidRPr="00827AFE">
              <w:t xml:space="preserve">Victorian Public Sector Commission, </w:t>
            </w:r>
            <w:hyperlink r:id="rId158">
              <w:r w:rsidR="00FA1645" w:rsidRPr="3C9369FD">
                <w:rPr>
                  <w:rStyle w:val="Hyperlink"/>
                </w:rPr>
                <w:t>www.vpsc.vic.gov.au</w:t>
              </w:r>
            </w:hyperlink>
          </w:p>
          <w:p w14:paraId="6F871B71" w14:textId="71D457BD" w:rsidR="00FA1645" w:rsidRDefault="0089196B" w:rsidP="004033A2">
            <w:pPr>
              <w:pStyle w:val="ListBullet"/>
            </w:pPr>
            <w:hyperlink r:id="rId159" w:history="1">
              <w:r w:rsidR="00FA1645" w:rsidRPr="00ED349D">
                <w:rPr>
                  <w:rStyle w:val="Hyperlink"/>
                </w:rPr>
                <w:t>Victorian Aboriginal Affairs Framework 2018-2023</w:t>
              </w:r>
            </w:hyperlink>
            <w:r w:rsidR="00846C17">
              <w:t xml:space="preserve">, First Peoples State Relations, </w:t>
            </w:r>
            <w:hyperlink r:id="rId160" w:history="1">
              <w:r w:rsidR="00846C17" w:rsidRPr="005D48FB">
                <w:rPr>
                  <w:rStyle w:val="Hyperlink"/>
                </w:rPr>
                <w:t>www.firstpeoples</w:t>
              </w:r>
              <w:r w:rsidR="00846C17" w:rsidRPr="00660B9E">
                <w:rPr>
                  <w:rStyle w:val="Hyperlink"/>
                </w:rPr>
                <w:t>relations.vic.gov.au</w:t>
              </w:r>
            </w:hyperlink>
          </w:p>
          <w:p w14:paraId="16A46633" w14:textId="3DF51835" w:rsidR="00846C17" w:rsidRDefault="0089196B" w:rsidP="004033A2">
            <w:pPr>
              <w:pStyle w:val="ListBullet"/>
            </w:pPr>
            <w:hyperlink r:id="rId161" w:history="1">
              <w:r w:rsidR="00EF79CD" w:rsidRPr="00ED349D">
                <w:rPr>
                  <w:rStyle w:val="Hyperlink"/>
                </w:rPr>
                <w:t xml:space="preserve">Yoorrook </w:t>
              </w:r>
              <w:r w:rsidR="00ED349D" w:rsidRPr="00ED349D">
                <w:rPr>
                  <w:rStyle w:val="Hyperlink"/>
                </w:rPr>
                <w:t>Justice</w:t>
              </w:r>
              <w:r w:rsidR="001344BF" w:rsidRPr="00ED349D">
                <w:rPr>
                  <w:rStyle w:val="Hyperlink"/>
                </w:rPr>
                <w:t xml:space="preserve"> Com</w:t>
              </w:r>
              <w:r w:rsidR="002165FB" w:rsidRPr="00ED349D">
                <w:rPr>
                  <w:rStyle w:val="Hyperlink"/>
                </w:rPr>
                <w:t>mission</w:t>
              </w:r>
            </w:hyperlink>
            <w:r w:rsidR="00D35F09">
              <w:t>, First P</w:t>
            </w:r>
            <w:r w:rsidR="002A03EA">
              <w:t xml:space="preserve">eople, </w:t>
            </w:r>
            <w:hyperlink r:id="rId162" w:history="1">
              <w:r w:rsidR="002A03EA" w:rsidRPr="00660B9E">
                <w:rPr>
                  <w:rStyle w:val="Hyperlink"/>
                </w:rPr>
                <w:t>www.yoorrookjusticecommission.org.au</w:t>
              </w:r>
            </w:hyperlink>
          </w:p>
          <w:p w14:paraId="4A949B75" w14:textId="582FE776" w:rsidR="002A03EA" w:rsidRPr="005D48FB" w:rsidRDefault="0089196B" w:rsidP="002A03EA">
            <w:pPr>
              <w:pStyle w:val="ListBullet"/>
              <w:rPr>
                <w:rStyle w:val="Hyperlink"/>
                <w:color w:val="53565A"/>
                <w:u w:val="none"/>
              </w:rPr>
            </w:pPr>
            <w:hyperlink r:id="rId163" w:history="1">
              <w:r w:rsidR="002A03EA" w:rsidRPr="00ED349D">
                <w:rPr>
                  <w:rStyle w:val="Hyperlink"/>
                </w:rPr>
                <w:t>VPSC Disability Employment Toolkit</w:t>
              </w:r>
            </w:hyperlink>
            <w:r w:rsidR="002A03EA">
              <w:t xml:space="preserve">, </w:t>
            </w:r>
            <w:r w:rsidR="002A03EA" w:rsidRPr="00827AFE">
              <w:t xml:space="preserve">Victorian Public Sector Commission, </w:t>
            </w:r>
            <w:hyperlink r:id="rId164">
              <w:r w:rsidR="002A03EA" w:rsidRPr="3C9369FD">
                <w:rPr>
                  <w:rStyle w:val="Hyperlink"/>
                </w:rPr>
                <w:t>www.vpsc.vic.gov.au</w:t>
              </w:r>
            </w:hyperlink>
          </w:p>
          <w:p w14:paraId="751DFF75" w14:textId="73398050" w:rsidR="005D2153" w:rsidRPr="00827AFE" w:rsidRDefault="0089196B" w:rsidP="005D2153">
            <w:pPr>
              <w:pStyle w:val="ListBullet"/>
            </w:pPr>
            <w:hyperlink r:id="rId165" w:history="1">
              <w:r w:rsidR="005D2153" w:rsidRPr="00ED349D">
                <w:rPr>
                  <w:rStyle w:val="Hyperlink"/>
                </w:rPr>
                <w:t>Diversity on Victorian Government Boards Guidelines</w:t>
              </w:r>
            </w:hyperlink>
            <w:r w:rsidR="005D2153">
              <w:t xml:space="preserve">, Department of Premier and Cabinet (DPC), </w:t>
            </w:r>
            <w:hyperlink r:id="rId166" w:history="1">
              <w:r w:rsidR="005D2153" w:rsidRPr="000A7CB1">
                <w:rPr>
                  <w:rStyle w:val="Hyperlink"/>
                </w:rPr>
                <w:t>www.dpc.vic.gov.au</w:t>
              </w:r>
            </w:hyperlink>
          </w:p>
          <w:p w14:paraId="359032FA" w14:textId="462DBB03" w:rsidR="002A03EA" w:rsidRDefault="0089196B" w:rsidP="004033A2">
            <w:pPr>
              <w:pStyle w:val="ListBullet"/>
            </w:pPr>
            <w:hyperlink r:id="rId167" w:history="1">
              <w:r w:rsidR="002A03EA" w:rsidRPr="00ED349D">
                <w:rPr>
                  <w:rStyle w:val="Hyperlink"/>
                </w:rPr>
                <w:t>Designing for Diversity</w:t>
              </w:r>
            </w:hyperlink>
            <w:r w:rsidR="002A03EA">
              <w:t xml:space="preserve">, Department of Health, </w:t>
            </w:r>
            <w:hyperlink r:id="rId168" w:history="1">
              <w:r w:rsidR="0052155E" w:rsidRPr="00660B9E">
                <w:rPr>
                  <w:rStyle w:val="Hyperlink"/>
                </w:rPr>
                <w:t>www.health.vic.gov.au</w:t>
              </w:r>
            </w:hyperlink>
          </w:p>
          <w:p w14:paraId="1D08588E" w14:textId="70021518" w:rsidR="007B31E2" w:rsidRDefault="0089196B" w:rsidP="007B31E2">
            <w:pPr>
              <w:pStyle w:val="ListBullet"/>
            </w:pPr>
            <w:hyperlink r:id="rId169" w:history="1">
              <w:r w:rsidR="009620DA" w:rsidRPr="00ED349D">
                <w:rPr>
                  <w:rStyle w:val="Hyperlink"/>
                </w:rPr>
                <w:t>Language services policy and gui</w:t>
              </w:r>
              <w:r w:rsidR="0099634D" w:rsidRPr="00ED349D">
                <w:rPr>
                  <w:rStyle w:val="Hyperlink"/>
                </w:rPr>
                <w:t>delines</w:t>
              </w:r>
            </w:hyperlink>
            <w:r w:rsidR="00CE2054">
              <w:t xml:space="preserve">, </w:t>
            </w:r>
            <w:r w:rsidR="007B31E2">
              <w:t xml:space="preserve">Department of Health, </w:t>
            </w:r>
            <w:hyperlink r:id="rId170" w:history="1">
              <w:r w:rsidR="007B31E2" w:rsidRPr="00660B9E">
                <w:rPr>
                  <w:rStyle w:val="Hyperlink"/>
                </w:rPr>
                <w:t>www.health.vic.gov.au</w:t>
              </w:r>
            </w:hyperlink>
          </w:p>
          <w:p w14:paraId="3B96B34A" w14:textId="262EFA69" w:rsidR="0052155E" w:rsidRDefault="0089196B" w:rsidP="004033A2">
            <w:pPr>
              <w:pStyle w:val="ListBullet"/>
            </w:pPr>
            <w:hyperlink r:id="rId171" w:history="1">
              <w:r w:rsidR="005D2153" w:rsidRPr="003247DC">
                <w:rPr>
                  <w:rStyle w:val="Hyperlink"/>
                </w:rPr>
                <w:t>Administrative Guideline</w:t>
              </w:r>
            </w:hyperlink>
            <w:r w:rsidR="005D2153">
              <w:t xml:space="preserve">, </w:t>
            </w:r>
            <w:r w:rsidR="005D2153" w:rsidRPr="00827AFE">
              <w:t xml:space="preserve">Department of Premier and Cabinet (DPC), </w:t>
            </w:r>
            <w:hyperlink r:id="rId172" w:history="1">
              <w:r w:rsidR="005D2153" w:rsidRPr="000A7CB1">
                <w:rPr>
                  <w:rStyle w:val="Hyperlink"/>
                </w:rPr>
                <w:t>www.dpc.vic.gov.au</w:t>
              </w:r>
            </w:hyperlink>
          </w:p>
          <w:p w14:paraId="1FB2163C" w14:textId="46FDF10D" w:rsidR="003E57FF" w:rsidRPr="00827AFE" w:rsidRDefault="003E57FF" w:rsidP="004033A2">
            <w:pPr>
              <w:pStyle w:val="ListBullet"/>
            </w:pPr>
            <w:r w:rsidRPr="00827AFE">
              <w:t xml:space="preserve">Welcome to the Board: Director’s Guide to Public Entity Governance, Victorian Public Sector Commission, </w:t>
            </w:r>
            <w:hyperlink r:id="rId173">
              <w:r w:rsidRPr="3C9369FD">
                <w:rPr>
                  <w:rStyle w:val="Hyperlink"/>
                </w:rPr>
                <w:t>www.vpsc.vic.gov.au</w:t>
              </w:r>
            </w:hyperlink>
          </w:p>
          <w:p w14:paraId="1C3C16DC" w14:textId="5816F37D" w:rsidR="005D2153" w:rsidRPr="00334B59" w:rsidRDefault="0089196B" w:rsidP="005D2153">
            <w:pPr>
              <w:pStyle w:val="ListBullet"/>
              <w:rPr>
                <w:rStyle w:val="Hyperlink"/>
                <w:color w:val="53565A"/>
                <w:u w:val="none"/>
              </w:rPr>
            </w:pPr>
            <w:hyperlink r:id="rId174" w:history="1">
              <w:r w:rsidR="005D2153" w:rsidRPr="00FC2615">
                <w:rPr>
                  <w:rStyle w:val="Hyperlink"/>
                </w:rPr>
                <w:t>Code of Conduct for Director of Victorian Public Entities</w:t>
              </w:r>
            </w:hyperlink>
            <w:r w:rsidR="005D2153">
              <w:t xml:space="preserve">, </w:t>
            </w:r>
            <w:r w:rsidR="005D2153" w:rsidRPr="00827AFE">
              <w:t xml:space="preserve">Victorian Public Sector Commission, </w:t>
            </w:r>
            <w:hyperlink r:id="rId175">
              <w:r w:rsidR="005D2153" w:rsidRPr="3C9369FD">
                <w:rPr>
                  <w:rStyle w:val="Hyperlink"/>
                </w:rPr>
                <w:t>www.vpsc.vic.gov.au</w:t>
              </w:r>
            </w:hyperlink>
          </w:p>
          <w:p w14:paraId="6BE2C16F" w14:textId="531FE5FB" w:rsidR="007755BF" w:rsidRPr="00334B59" w:rsidRDefault="0089196B" w:rsidP="007755BF">
            <w:pPr>
              <w:pStyle w:val="ListBullet"/>
              <w:rPr>
                <w:rStyle w:val="Hyperlink"/>
                <w:color w:val="53565A"/>
                <w:u w:val="none"/>
              </w:rPr>
            </w:pPr>
            <w:hyperlink r:id="rId176" w:history="1">
              <w:r w:rsidR="007755BF" w:rsidRPr="00FC2615">
                <w:rPr>
                  <w:rStyle w:val="Hyperlink"/>
                </w:rPr>
                <w:t>Conflict of Interest and Duty Guidance for Directors</w:t>
              </w:r>
            </w:hyperlink>
            <w:r w:rsidR="007755BF">
              <w:t xml:space="preserve">, </w:t>
            </w:r>
            <w:r w:rsidR="007755BF" w:rsidRPr="00827AFE">
              <w:t xml:space="preserve">Victorian Public Sector Commission, </w:t>
            </w:r>
            <w:hyperlink r:id="rId177">
              <w:r w:rsidR="007755BF" w:rsidRPr="3C9369FD">
                <w:rPr>
                  <w:rStyle w:val="Hyperlink"/>
                </w:rPr>
                <w:t>www.vpsc.vic.gov.au</w:t>
              </w:r>
            </w:hyperlink>
          </w:p>
          <w:p w14:paraId="747B1665" w14:textId="7CB8B16A" w:rsidR="003E57FF" w:rsidRPr="00827AFE" w:rsidRDefault="003E57FF" w:rsidP="005D48FB">
            <w:pPr>
              <w:pStyle w:val="ListBullet"/>
              <w:numPr>
                <w:ilvl w:val="0"/>
                <w:numId w:val="0"/>
              </w:numPr>
              <w:ind w:left="360"/>
            </w:pPr>
          </w:p>
        </w:tc>
      </w:tr>
      <w:tr w:rsidR="003E57FF" w:rsidRPr="00CE0A4D" w14:paraId="3B32D7FF" w14:textId="77777777" w:rsidTr="004033A2">
        <w:trPr>
          <w:cantSplit/>
        </w:trPr>
        <w:tc>
          <w:tcPr>
            <w:tcW w:w="2410" w:type="dxa"/>
            <w:shd w:val="clear" w:color="auto" w:fill="auto"/>
          </w:tcPr>
          <w:p w14:paraId="5F784162" w14:textId="77777777" w:rsidR="003E57FF" w:rsidRPr="00827AFE" w:rsidRDefault="003E57FF" w:rsidP="004033A2">
            <w:pPr>
              <w:pStyle w:val="bodycopy"/>
            </w:pPr>
            <w:r w:rsidRPr="00827AFE">
              <w:lastRenderedPageBreak/>
              <w:t xml:space="preserve">Integrity </w:t>
            </w:r>
          </w:p>
          <w:p w14:paraId="2371483C" w14:textId="77777777" w:rsidR="003E57FF" w:rsidRPr="00827AFE" w:rsidRDefault="003E57FF" w:rsidP="004033A2">
            <w:pPr>
              <w:pStyle w:val="bodycopy"/>
            </w:pPr>
          </w:p>
        </w:tc>
        <w:tc>
          <w:tcPr>
            <w:tcW w:w="6946" w:type="dxa"/>
            <w:shd w:val="clear" w:color="auto" w:fill="auto"/>
          </w:tcPr>
          <w:p w14:paraId="54290201" w14:textId="1DD6F4E7" w:rsidR="000108BA" w:rsidRDefault="0089196B" w:rsidP="004033A2">
            <w:pPr>
              <w:pStyle w:val="ListBullet"/>
            </w:pPr>
            <w:hyperlink r:id="rId178" w:history="1">
              <w:r w:rsidR="000108BA" w:rsidRPr="00155D7B">
                <w:rPr>
                  <w:rStyle w:val="Hyperlink"/>
                </w:rPr>
                <w:t>Supplier Code of Conduct</w:t>
              </w:r>
              <w:r w:rsidR="00FA1696" w:rsidRPr="00155D7B">
                <w:rPr>
                  <w:rStyle w:val="Hyperlink"/>
                </w:rPr>
                <w:t>,</w:t>
              </w:r>
            </w:hyperlink>
            <w:r w:rsidR="00FA1696">
              <w:t xml:space="preserve"> </w:t>
            </w:r>
            <w:r w:rsidR="008352B4">
              <w:t xml:space="preserve">Buying for Victoria, </w:t>
            </w:r>
            <w:hyperlink r:id="rId179" w:history="1">
              <w:r w:rsidR="0037514E" w:rsidRPr="005D48FB">
                <w:rPr>
                  <w:rStyle w:val="Hyperlink"/>
                </w:rPr>
                <w:t>www.buying</w:t>
              </w:r>
              <w:r w:rsidR="0037514E" w:rsidRPr="00660B9E">
                <w:rPr>
                  <w:rStyle w:val="Hyperlink"/>
                </w:rPr>
                <w:t>for.vic.gov.au</w:t>
              </w:r>
            </w:hyperlink>
          </w:p>
          <w:p w14:paraId="4BECF465" w14:textId="529B26D6" w:rsidR="003E57FF" w:rsidRPr="00827AFE" w:rsidRDefault="0089196B" w:rsidP="004033A2">
            <w:pPr>
              <w:pStyle w:val="ListBullet"/>
            </w:pPr>
            <w:hyperlink r:id="rId180" w:history="1">
              <w:r w:rsidR="003E57FF" w:rsidRPr="00E128F4">
                <w:rPr>
                  <w:rStyle w:val="Hyperlink"/>
                </w:rPr>
                <w:t>Code of Conduct for Victorian Public Sector Employees</w:t>
              </w:r>
            </w:hyperlink>
            <w:r w:rsidR="003E57FF" w:rsidRPr="00827AFE">
              <w:t xml:space="preserve">, Victorian Public Sector Commission, </w:t>
            </w:r>
            <w:hyperlink r:id="rId181">
              <w:r w:rsidR="003E57FF" w:rsidRPr="3C9369FD">
                <w:rPr>
                  <w:rStyle w:val="Hyperlink"/>
                </w:rPr>
                <w:t>www.vpsc.vic.gov.au</w:t>
              </w:r>
            </w:hyperlink>
          </w:p>
          <w:p w14:paraId="3C4E0FFF" w14:textId="455827BB" w:rsidR="00230824" w:rsidRPr="00827AFE" w:rsidRDefault="0089196B" w:rsidP="00530788">
            <w:pPr>
              <w:pStyle w:val="ListBullet"/>
              <w:numPr>
                <w:ilvl w:val="0"/>
                <w:numId w:val="0"/>
              </w:numPr>
              <w:ind w:left="720"/>
              <w:rPr>
                <w:rStyle w:val="Hyperlink"/>
                <w:rFonts w:eastAsiaTheme="minorHAnsi" w:cs="Arial"/>
                <w:szCs w:val="18"/>
                <w:lang w:val="en-US"/>
              </w:rPr>
            </w:pPr>
            <w:hyperlink r:id="rId182" w:history="1">
              <w:r w:rsidR="003E57FF" w:rsidRPr="00171DB1">
                <w:rPr>
                  <w:rStyle w:val="Hyperlink"/>
                </w:rPr>
                <w:t>Code of Conduct for Directors of Victorian Public Entities</w:t>
              </w:r>
            </w:hyperlink>
            <w:r w:rsidR="003E57FF" w:rsidRPr="00827AFE">
              <w:t xml:space="preserve">, Victorian Public Sector Commission, </w:t>
            </w:r>
            <w:hyperlink r:id="rId183">
              <w:r w:rsidR="003E57FF" w:rsidRPr="3C9369FD">
                <w:rPr>
                  <w:rStyle w:val="Hyperlink"/>
                </w:rPr>
                <w:t>www.vpsc.vic.gov.au</w:t>
              </w:r>
            </w:hyperlink>
          </w:p>
          <w:p w14:paraId="7940A5A4" w14:textId="7ACE2FB2" w:rsidR="00C9442A" w:rsidRPr="00530788" w:rsidRDefault="0089196B" w:rsidP="00530788">
            <w:pPr>
              <w:pStyle w:val="ListBullet"/>
              <w:numPr>
                <w:ilvl w:val="0"/>
                <w:numId w:val="0"/>
              </w:numPr>
              <w:ind w:left="720"/>
              <w:rPr>
                <w:rStyle w:val="Hyperlink"/>
              </w:rPr>
            </w:pPr>
            <w:hyperlink r:id="rId184" w:history="1">
              <w:r w:rsidR="00230824" w:rsidRPr="00ED1C65">
                <w:rPr>
                  <w:rStyle w:val="Hyperlink"/>
                </w:rPr>
                <w:t>Conflict of interest guidance for organisations</w:t>
              </w:r>
            </w:hyperlink>
            <w:r w:rsidR="00ED1C65">
              <w:t>,</w:t>
            </w:r>
            <w:r w:rsidR="003E57FF" w:rsidRPr="00827AFE">
              <w:t xml:space="preserve"> Victorian Public Sector Commission, </w:t>
            </w:r>
            <w:hyperlink r:id="rId185">
              <w:r w:rsidR="003E57FF" w:rsidRPr="3C9369FD">
                <w:rPr>
                  <w:rStyle w:val="Hyperlink"/>
                </w:rPr>
                <w:t>www.vpsc.vic.gov.au</w:t>
              </w:r>
            </w:hyperlink>
          </w:p>
          <w:p w14:paraId="178D2EA2" w14:textId="5308C257" w:rsidR="0033635B" w:rsidRDefault="00451644" w:rsidP="0033635B">
            <w:pPr>
              <w:pStyle w:val="ListBullet"/>
            </w:pPr>
            <w:r>
              <w:t>Conflict of Interest Policy</w:t>
            </w:r>
            <w:r w:rsidR="00052C42">
              <w:t xml:space="preserve">, </w:t>
            </w:r>
            <w:r w:rsidR="0033635B">
              <w:t xml:space="preserve">Department of Jobs, Skills, Industry and Regions, </w:t>
            </w:r>
            <w:hyperlink r:id="rId186" w:history="1">
              <w:r w:rsidR="0033635B" w:rsidRPr="00455F31">
                <w:rPr>
                  <w:rStyle w:val="Hyperlink"/>
                </w:rPr>
                <w:t>www.djsir.vic.gov.au</w:t>
              </w:r>
            </w:hyperlink>
            <w:r w:rsidR="0033635B">
              <w:t xml:space="preserve"> </w:t>
            </w:r>
          </w:p>
          <w:p w14:paraId="492AE795" w14:textId="456F3D71" w:rsidR="00C9442A" w:rsidRPr="00334B59" w:rsidRDefault="0089196B" w:rsidP="00C9442A">
            <w:pPr>
              <w:pStyle w:val="ListBullet"/>
              <w:rPr>
                <w:rStyle w:val="Hyperlink"/>
                <w:color w:val="53565A"/>
                <w:u w:val="none"/>
              </w:rPr>
            </w:pPr>
            <w:hyperlink r:id="rId187" w:history="1">
              <w:r w:rsidR="00C9442A" w:rsidRPr="00DE7CCD">
                <w:rPr>
                  <w:rStyle w:val="Hyperlink"/>
                </w:rPr>
                <w:t xml:space="preserve">Integrity </w:t>
              </w:r>
              <w:r w:rsidR="00D07FEC" w:rsidRPr="00DE7CCD">
                <w:rPr>
                  <w:rStyle w:val="Hyperlink"/>
                </w:rPr>
                <w:t>g</w:t>
              </w:r>
              <w:r w:rsidR="00C9442A" w:rsidRPr="00DE7CCD">
                <w:rPr>
                  <w:rStyle w:val="Hyperlink"/>
                </w:rPr>
                <w:t>uid</w:t>
              </w:r>
              <w:r w:rsidR="00D07FEC" w:rsidRPr="00DE7CCD">
                <w:rPr>
                  <w:rStyle w:val="Hyperlink"/>
                </w:rPr>
                <w:t>e</w:t>
              </w:r>
              <w:r w:rsidR="00C9442A" w:rsidRPr="00DE7CCD">
                <w:rPr>
                  <w:rStyle w:val="Hyperlink"/>
                </w:rPr>
                <w:t xml:space="preserve"> for </w:t>
              </w:r>
              <w:r w:rsidR="00D07FEC" w:rsidRPr="00DE7CCD">
                <w:rPr>
                  <w:rStyle w:val="Hyperlink"/>
                </w:rPr>
                <w:t>n</w:t>
              </w:r>
              <w:r w:rsidR="00C9442A" w:rsidRPr="00DE7CCD">
                <w:rPr>
                  <w:rStyle w:val="Hyperlink"/>
                </w:rPr>
                <w:t xml:space="preserve">ew </w:t>
              </w:r>
              <w:r w:rsidR="00D07FEC" w:rsidRPr="00DE7CCD">
                <w:rPr>
                  <w:rStyle w:val="Hyperlink"/>
                </w:rPr>
                <w:t>b</w:t>
              </w:r>
              <w:r w:rsidR="00C9442A" w:rsidRPr="00DE7CCD">
                <w:rPr>
                  <w:rStyle w:val="Hyperlink"/>
                </w:rPr>
                <w:t xml:space="preserve">oard </w:t>
              </w:r>
              <w:r w:rsidR="00D07FEC" w:rsidRPr="00DE7CCD">
                <w:rPr>
                  <w:rStyle w:val="Hyperlink"/>
                </w:rPr>
                <w:t>d</w:t>
              </w:r>
              <w:r w:rsidR="00C9442A" w:rsidRPr="00DE7CCD">
                <w:rPr>
                  <w:rStyle w:val="Hyperlink"/>
                </w:rPr>
                <w:t>irectors</w:t>
              </w:r>
            </w:hyperlink>
            <w:r w:rsidR="00C9442A">
              <w:t xml:space="preserve">, </w:t>
            </w:r>
            <w:r w:rsidR="00C9442A" w:rsidRPr="00827AFE">
              <w:t xml:space="preserve">Victorian Public Sector Commission, </w:t>
            </w:r>
            <w:hyperlink r:id="rId188">
              <w:r w:rsidR="00C9442A" w:rsidRPr="3C9369FD">
                <w:rPr>
                  <w:rStyle w:val="Hyperlink"/>
                </w:rPr>
                <w:t>www.vpsc.vic.gov.au</w:t>
              </w:r>
            </w:hyperlink>
          </w:p>
          <w:p w14:paraId="1FCB33EF" w14:textId="2C5F742F" w:rsidR="0033635B" w:rsidRDefault="003E57FF" w:rsidP="004033A2">
            <w:pPr>
              <w:pStyle w:val="ListBullet"/>
            </w:pPr>
            <w:r w:rsidRPr="00827AFE">
              <w:t xml:space="preserve">Fraud and Corruption </w:t>
            </w:r>
            <w:r w:rsidR="00451644">
              <w:t xml:space="preserve">Control </w:t>
            </w:r>
            <w:r w:rsidRPr="00827AFE">
              <w:t>Policy</w:t>
            </w:r>
            <w:r w:rsidR="00052C42">
              <w:t xml:space="preserve">, </w:t>
            </w:r>
            <w:r w:rsidR="0033635B">
              <w:t xml:space="preserve">Department of Jobs, Skills, Industry and Regions, </w:t>
            </w:r>
            <w:hyperlink r:id="rId189" w:history="1">
              <w:r w:rsidR="0033635B" w:rsidRPr="00455F31">
                <w:rPr>
                  <w:rStyle w:val="Hyperlink"/>
                </w:rPr>
                <w:t>www.djsir.vic.gov.au</w:t>
              </w:r>
            </w:hyperlink>
          </w:p>
          <w:p w14:paraId="6227935E" w14:textId="15A40CC1" w:rsidR="003E57FF" w:rsidRDefault="003E57FF" w:rsidP="004033A2">
            <w:pPr>
              <w:pStyle w:val="ListBullet"/>
            </w:pPr>
            <w:r w:rsidRPr="00827AFE">
              <w:t xml:space="preserve">Fraud and Corruption </w:t>
            </w:r>
            <w:r w:rsidR="00451644">
              <w:t>Control</w:t>
            </w:r>
            <w:r w:rsidRPr="00827AFE">
              <w:t xml:space="preserve"> Plan</w:t>
            </w:r>
            <w:r w:rsidR="00537034">
              <w:t xml:space="preserve"> and Procedures</w:t>
            </w:r>
            <w:r w:rsidR="00052C42">
              <w:t xml:space="preserve">, </w:t>
            </w:r>
            <w:r w:rsidR="0033635B">
              <w:t xml:space="preserve">Department of Jobs, Skills, Industry and Regions, </w:t>
            </w:r>
            <w:hyperlink r:id="rId190" w:history="1">
              <w:r w:rsidR="0033635B" w:rsidRPr="00455F31">
                <w:rPr>
                  <w:rStyle w:val="Hyperlink"/>
                </w:rPr>
                <w:t>www.djsir.vic.gov.au</w:t>
              </w:r>
            </w:hyperlink>
          </w:p>
          <w:p w14:paraId="73BB910D" w14:textId="518A10B8" w:rsidR="00C9442A" w:rsidRPr="00827AFE" w:rsidRDefault="00C9442A" w:rsidP="004033A2">
            <w:pPr>
              <w:pStyle w:val="ListBullet"/>
            </w:pPr>
            <w:r>
              <w:t>Thefts and Losses Policy</w:t>
            </w:r>
            <w:r w:rsidR="00052C42">
              <w:t>,</w:t>
            </w:r>
            <w:r w:rsidR="0033635B">
              <w:t xml:space="preserve"> Department of Jobs, Skills, Industry and Regions, </w:t>
            </w:r>
            <w:hyperlink r:id="rId191" w:history="1">
              <w:r w:rsidR="0033635B" w:rsidRPr="00455F31">
                <w:rPr>
                  <w:rStyle w:val="Hyperlink"/>
                </w:rPr>
                <w:t>www.djsir.vic.gov.au</w:t>
              </w:r>
            </w:hyperlink>
          </w:p>
          <w:p w14:paraId="1F3A98C8" w14:textId="29AE1613" w:rsidR="001744E9" w:rsidRPr="00334B59" w:rsidRDefault="0089196B" w:rsidP="001744E9">
            <w:pPr>
              <w:pStyle w:val="ListBullet"/>
              <w:rPr>
                <w:rStyle w:val="Hyperlink"/>
                <w:color w:val="53565A"/>
                <w:u w:val="none"/>
              </w:rPr>
            </w:pPr>
            <w:hyperlink r:id="rId192" w:history="1">
              <w:r w:rsidR="001744E9" w:rsidRPr="00801517">
                <w:rPr>
                  <w:rStyle w:val="Hyperlink"/>
                </w:rPr>
                <w:t>G</w:t>
              </w:r>
              <w:r w:rsidR="002E79E7" w:rsidRPr="00801517">
                <w:rPr>
                  <w:rStyle w:val="Hyperlink"/>
                </w:rPr>
                <w:t>i</w:t>
              </w:r>
              <w:r w:rsidR="001744E9" w:rsidRPr="00801517">
                <w:rPr>
                  <w:rStyle w:val="Hyperlink"/>
                </w:rPr>
                <w:t>fts, Benefits and Hospitality Policy Guide,</w:t>
              </w:r>
            </w:hyperlink>
            <w:r w:rsidR="001744E9">
              <w:t xml:space="preserve"> </w:t>
            </w:r>
            <w:r w:rsidR="001744E9" w:rsidRPr="00827AFE">
              <w:t xml:space="preserve">Victorian Public Sector Commission, </w:t>
            </w:r>
            <w:hyperlink r:id="rId193">
              <w:r w:rsidR="001744E9" w:rsidRPr="3C9369FD">
                <w:rPr>
                  <w:rStyle w:val="Hyperlink"/>
                </w:rPr>
                <w:t>www.vpsc.vic.gov.au</w:t>
              </w:r>
            </w:hyperlink>
          </w:p>
          <w:p w14:paraId="060FF512" w14:textId="5D05F58C" w:rsidR="001744E9" w:rsidRPr="00827AFE" w:rsidRDefault="0089196B" w:rsidP="007B76F0">
            <w:pPr>
              <w:pStyle w:val="ListBullet"/>
              <w:numPr>
                <w:ilvl w:val="0"/>
                <w:numId w:val="52"/>
              </w:numPr>
            </w:pPr>
            <w:hyperlink r:id="rId194" w:history="1">
              <w:r w:rsidR="00FC3D1F" w:rsidRPr="00DA7B39">
                <w:rPr>
                  <w:rStyle w:val="Hyperlink"/>
                </w:rPr>
                <w:t>Gifts, Benefits and Hospitality Policy</w:t>
              </w:r>
            </w:hyperlink>
            <w:r w:rsidR="00DA7B39">
              <w:t>, Department of Jobs, Skills, Industry and Regions</w:t>
            </w:r>
            <w:r w:rsidR="00891B38">
              <w:t xml:space="preserve">, </w:t>
            </w:r>
            <w:hyperlink r:id="rId195" w:history="1">
              <w:r w:rsidR="00891B38" w:rsidRPr="00455F31">
                <w:rPr>
                  <w:rStyle w:val="Hyperlink"/>
                </w:rPr>
                <w:t>www.djsir.vic.gov.au</w:t>
              </w:r>
            </w:hyperlink>
          </w:p>
          <w:p w14:paraId="4362C6E3" w14:textId="4B6F08A5" w:rsidR="003E57FF" w:rsidRDefault="0089196B" w:rsidP="004033A2">
            <w:pPr>
              <w:pStyle w:val="ListBullet"/>
            </w:pPr>
            <w:hyperlink r:id="rId196" w:history="1">
              <w:r w:rsidR="003E57FF" w:rsidRPr="009436B9">
                <w:rPr>
                  <w:rStyle w:val="Hyperlink"/>
                </w:rPr>
                <w:t xml:space="preserve">Guidelines for </w:t>
              </w:r>
              <w:r w:rsidR="003F00E1" w:rsidRPr="009436B9">
                <w:rPr>
                  <w:rStyle w:val="Hyperlink"/>
                </w:rPr>
                <w:t>H</w:t>
              </w:r>
              <w:r w:rsidR="003E57FF" w:rsidRPr="009436B9">
                <w:rPr>
                  <w:rStyle w:val="Hyperlink"/>
                </w:rPr>
                <w:t xml:space="preserve">andling </w:t>
              </w:r>
              <w:r w:rsidR="003F00E1" w:rsidRPr="009436B9">
                <w:rPr>
                  <w:rStyle w:val="Hyperlink"/>
                </w:rPr>
                <w:t>Public Interest Disclosures</w:t>
              </w:r>
            </w:hyperlink>
            <w:r w:rsidR="003F00E1">
              <w:t>, In</w:t>
            </w:r>
            <w:r w:rsidR="003E57FF" w:rsidRPr="00827AFE">
              <w:t>dependent Broad-Based Anti-Corruption Commission,</w:t>
            </w:r>
            <w:r w:rsidR="003E57FF">
              <w:t xml:space="preserve"> </w:t>
            </w:r>
            <w:hyperlink r:id="rId197" w:history="1">
              <w:r w:rsidR="003F00E1" w:rsidRPr="00660B9E">
                <w:rPr>
                  <w:rStyle w:val="Hyperlink"/>
                </w:rPr>
                <w:t>www.ibac.vic.gov.au</w:t>
              </w:r>
            </w:hyperlink>
          </w:p>
          <w:p w14:paraId="212DE9F3" w14:textId="16A55C23" w:rsidR="00377BEF" w:rsidRDefault="0089196B" w:rsidP="00377BEF">
            <w:pPr>
              <w:pStyle w:val="ListBullet"/>
            </w:pPr>
            <w:hyperlink r:id="rId198" w:history="1">
              <w:r w:rsidR="003E62BE" w:rsidRPr="00452F61">
                <w:rPr>
                  <w:rStyle w:val="Hyperlink"/>
                </w:rPr>
                <w:t>Guidelines for Public Interest Disclosure Welfare Management</w:t>
              </w:r>
            </w:hyperlink>
            <w:r w:rsidR="00377BEF">
              <w:t xml:space="preserve">. Independent Broad- Based Anti-Corruption Commission, </w:t>
            </w:r>
            <w:hyperlink r:id="rId199" w:history="1">
              <w:r w:rsidR="00377BEF" w:rsidRPr="00455F31">
                <w:rPr>
                  <w:rStyle w:val="Hyperlink"/>
                </w:rPr>
                <w:t>www.ibac.vic.gov.au</w:t>
              </w:r>
            </w:hyperlink>
            <w:r w:rsidR="00377BEF">
              <w:t xml:space="preserve"> </w:t>
            </w:r>
          </w:p>
          <w:p w14:paraId="4B078914" w14:textId="760F41FA" w:rsidR="000D6DE1" w:rsidRDefault="000D6DE1" w:rsidP="003F00E1">
            <w:pPr>
              <w:pStyle w:val="ListBullet"/>
            </w:pPr>
            <w:r>
              <w:t>Public Interest Disclosure Procedure</w:t>
            </w:r>
            <w:r w:rsidR="00377BEF">
              <w:t xml:space="preserve">, Department of Jobs, Skills, Industry and Regions, </w:t>
            </w:r>
            <w:hyperlink r:id="rId200" w:history="1">
              <w:r w:rsidR="00377BEF" w:rsidRPr="00455F31">
                <w:rPr>
                  <w:rStyle w:val="Hyperlink"/>
                </w:rPr>
                <w:t>www.djsir.vic.gov.au</w:t>
              </w:r>
            </w:hyperlink>
            <w:r w:rsidR="00377BEF">
              <w:t xml:space="preserve"> </w:t>
            </w:r>
          </w:p>
          <w:p w14:paraId="00566C38" w14:textId="073C19C7" w:rsidR="003F00E1" w:rsidRDefault="0089196B" w:rsidP="004033A2">
            <w:pPr>
              <w:pStyle w:val="ListBullet"/>
            </w:pPr>
            <w:hyperlink r:id="rId201" w:history="1">
              <w:r w:rsidR="00787A70" w:rsidRPr="0009341C">
                <w:rPr>
                  <w:rStyle w:val="Hyperlink"/>
                </w:rPr>
                <w:t>Child Safe Standards</w:t>
              </w:r>
            </w:hyperlink>
            <w:r w:rsidR="00787A70">
              <w:t xml:space="preserve">, </w:t>
            </w:r>
            <w:r w:rsidR="00F77F5A">
              <w:t xml:space="preserve">Commission for Children and Young People, </w:t>
            </w:r>
            <w:hyperlink r:id="rId202" w:history="1">
              <w:r w:rsidR="00F739C9" w:rsidRPr="00660B9E">
                <w:rPr>
                  <w:rStyle w:val="Hyperlink"/>
                </w:rPr>
                <w:t>www.ccyp.vic.gov.au</w:t>
              </w:r>
            </w:hyperlink>
          </w:p>
          <w:p w14:paraId="0AB7A619" w14:textId="0274BDE3" w:rsidR="003204FF" w:rsidRDefault="0089196B" w:rsidP="003204FF">
            <w:pPr>
              <w:pStyle w:val="ListBullet"/>
            </w:pPr>
            <w:hyperlink r:id="rId203" w:history="1">
              <w:r w:rsidR="003204FF" w:rsidRPr="00557AF5">
                <w:rPr>
                  <w:rStyle w:val="Hyperlink"/>
                </w:rPr>
                <w:t>Reportable Conduct Scheme</w:t>
              </w:r>
            </w:hyperlink>
            <w:r w:rsidR="003204FF">
              <w:t xml:space="preserve">, Commission for Children and Young People, </w:t>
            </w:r>
            <w:hyperlink r:id="rId204" w:history="1">
              <w:r w:rsidR="003204FF" w:rsidRPr="00660B9E">
                <w:rPr>
                  <w:rStyle w:val="Hyperlink"/>
                </w:rPr>
                <w:t>www.ccyp.vic.gov.au</w:t>
              </w:r>
            </w:hyperlink>
          </w:p>
          <w:p w14:paraId="01106DEF" w14:textId="783707EF" w:rsidR="00F739C9" w:rsidRDefault="0089196B" w:rsidP="004033A2">
            <w:pPr>
              <w:pStyle w:val="ListBullet"/>
            </w:pPr>
            <w:hyperlink r:id="rId205" w:history="1">
              <w:r w:rsidR="00342137" w:rsidRPr="00C22403">
                <w:rPr>
                  <w:rStyle w:val="Hyperlink"/>
                </w:rPr>
                <w:t>National Redress Scheme</w:t>
              </w:r>
            </w:hyperlink>
            <w:r w:rsidR="00342137">
              <w:t xml:space="preserve">, </w:t>
            </w:r>
            <w:hyperlink r:id="rId206" w:history="1">
              <w:r w:rsidR="00342137" w:rsidRPr="00660B9E">
                <w:rPr>
                  <w:rStyle w:val="Hyperlink"/>
                </w:rPr>
                <w:t>www.nationalredress.gov.au</w:t>
              </w:r>
            </w:hyperlink>
          </w:p>
          <w:p w14:paraId="58ED2762" w14:textId="2F1643C4" w:rsidR="00342137" w:rsidRDefault="0089196B" w:rsidP="004033A2">
            <w:pPr>
              <w:pStyle w:val="ListBullet"/>
            </w:pPr>
            <w:hyperlink r:id="rId207" w:history="1">
              <w:r w:rsidR="004204FE" w:rsidRPr="00147EA0">
                <w:rPr>
                  <w:rStyle w:val="Hyperlink"/>
                </w:rPr>
                <w:t>Victorian Funding Guideline for Services to Children</w:t>
              </w:r>
            </w:hyperlink>
            <w:r w:rsidR="004204FE">
              <w:t xml:space="preserve">, </w:t>
            </w:r>
            <w:r w:rsidR="001936A0">
              <w:t xml:space="preserve">Department of Justice and Community Safety, </w:t>
            </w:r>
            <w:hyperlink r:id="rId208" w:history="1">
              <w:r w:rsidR="00176322" w:rsidRPr="00660B9E">
                <w:rPr>
                  <w:rStyle w:val="Hyperlink"/>
                </w:rPr>
                <w:t>www.justice.vic.gov.au</w:t>
              </w:r>
            </w:hyperlink>
          </w:p>
          <w:p w14:paraId="6B5F1EF0" w14:textId="496DBA4F" w:rsidR="00D82F8D" w:rsidRPr="00827AFE" w:rsidRDefault="0089196B" w:rsidP="00C86E12">
            <w:pPr>
              <w:pStyle w:val="ListBullet"/>
            </w:pPr>
            <w:hyperlink r:id="rId209" w:anchor="child-safe-standards" w:history="1">
              <w:r w:rsidR="001923F6" w:rsidRPr="00C36A80">
                <w:rPr>
                  <w:rStyle w:val="Hyperlink"/>
                </w:rPr>
                <w:t>Child</w:t>
              </w:r>
              <w:r w:rsidR="00F21506" w:rsidRPr="00C36A80">
                <w:rPr>
                  <w:rStyle w:val="Hyperlink"/>
                </w:rPr>
                <w:t xml:space="preserve"> Safe</w:t>
              </w:r>
              <w:r w:rsidR="00EA445A" w:rsidRPr="00C36A80">
                <w:rPr>
                  <w:rStyle w:val="Hyperlink"/>
                </w:rPr>
                <w:t>ty at DJSIR</w:t>
              </w:r>
            </w:hyperlink>
            <w:r w:rsidR="00C22403">
              <w:t xml:space="preserve">, Department of Jobs, Skills, Industry and Regions, </w:t>
            </w:r>
            <w:hyperlink r:id="rId210" w:history="1">
              <w:r w:rsidR="00C22403" w:rsidRPr="00455F31">
                <w:rPr>
                  <w:rStyle w:val="Hyperlink"/>
                </w:rPr>
                <w:t>www.djsir.vic.gov.au</w:t>
              </w:r>
            </w:hyperlink>
            <w:r w:rsidR="00C22403">
              <w:t xml:space="preserve"> </w:t>
            </w:r>
          </w:p>
        </w:tc>
      </w:tr>
    </w:tbl>
    <w:p w14:paraId="28952063" w14:textId="77777777" w:rsidR="003E57FF" w:rsidRPr="00175CAC" w:rsidRDefault="003E57FF" w:rsidP="003E57FF">
      <w:pPr>
        <w:pStyle w:val="Heading1"/>
      </w:pPr>
      <w:r>
        <w:rPr>
          <w:color w:val="535659" w:themeColor="text2"/>
          <w:szCs w:val="36"/>
        </w:rPr>
        <w:br w:type="page"/>
      </w:r>
    </w:p>
    <w:p w14:paraId="49BECC3C" w14:textId="119151D4" w:rsidR="00155AC5" w:rsidRDefault="00155AC5" w:rsidP="00155AC5">
      <w:pPr>
        <w:pStyle w:val="Heading1"/>
      </w:pPr>
      <w:bookmarkStart w:id="161" w:name="_Toc520212437"/>
      <w:bookmarkStart w:id="162" w:name="_Toc39481550"/>
      <w:bookmarkStart w:id="163" w:name="_Toc164067891"/>
      <w:r w:rsidRPr="00D12327">
        <w:lastRenderedPageBreak/>
        <w:t xml:space="preserve">APPENDIX </w:t>
      </w:r>
      <w:r w:rsidR="00303643">
        <w:t>D</w:t>
      </w:r>
      <w:r w:rsidRPr="00D12327">
        <w:t>: Glossary</w:t>
      </w:r>
      <w:bookmarkEnd w:id="161"/>
      <w:bookmarkEnd w:id="162"/>
      <w:bookmarkEnd w:id="163"/>
    </w:p>
    <w:tbl>
      <w:tblPr>
        <w:tblStyle w:val="LightList"/>
        <w:tblW w:w="9478" w:type="dxa"/>
        <w:tblLook w:val="04A0" w:firstRow="1" w:lastRow="0" w:firstColumn="1" w:lastColumn="0" w:noHBand="0" w:noVBand="1"/>
      </w:tblPr>
      <w:tblGrid>
        <w:gridCol w:w="3085"/>
        <w:gridCol w:w="6393"/>
      </w:tblGrid>
      <w:tr w:rsidR="00155AC5" w:rsidRPr="001072B7" w14:paraId="0B021C2E" w14:textId="77777777" w:rsidTr="004033A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37AE05EB" w14:textId="77777777" w:rsidR="00155AC5" w:rsidRPr="00CE186D" w:rsidRDefault="00155AC5" w:rsidP="004033A2">
            <w:pPr>
              <w:pStyle w:val="bodycopy"/>
              <w:rPr>
                <w:color w:val="FFFFFF" w:themeColor="background1"/>
              </w:rPr>
            </w:pPr>
          </w:p>
        </w:tc>
        <w:tc>
          <w:tcPr>
            <w:tcW w:w="6393" w:type="dxa"/>
          </w:tcPr>
          <w:p w14:paraId="2A25E655" w14:textId="77777777" w:rsidR="00155AC5" w:rsidRPr="00CE186D" w:rsidRDefault="00155AC5" w:rsidP="004033A2">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155AC5" w:rsidRPr="00C3221B" w14:paraId="7F1E91C6"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6AFFC742" w14:textId="77777777" w:rsidR="00155AC5" w:rsidRPr="00CF176F" w:rsidRDefault="00155AC5" w:rsidP="004033A2">
            <w:pPr>
              <w:pStyle w:val="bodycopy"/>
              <w:rPr>
                <w:b w:val="0"/>
                <w:color w:val="auto"/>
              </w:rPr>
            </w:pPr>
            <w:r w:rsidRPr="00CF176F">
              <w:rPr>
                <w:color w:val="auto"/>
              </w:rPr>
              <w:t>Accountable officer</w:t>
            </w:r>
          </w:p>
        </w:tc>
        <w:tc>
          <w:tcPr>
            <w:tcW w:w="6393" w:type="dxa"/>
          </w:tcPr>
          <w:p w14:paraId="718C11CE" w14:textId="388B2D17"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The </w:t>
            </w:r>
            <w:r w:rsidR="00EF111E">
              <w:rPr>
                <w:color w:val="auto"/>
                <w:sz w:val="18"/>
              </w:rPr>
              <w:t>a</w:t>
            </w:r>
            <w:r w:rsidRPr="00CF176F">
              <w:rPr>
                <w:color w:val="auto"/>
                <w:sz w:val="18"/>
              </w:rPr>
              <w:t xml:space="preserve">ccountable </w:t>
            </w:r>
            <w:r w:rsidR="00EF111E">
              <w:rPr>
                <w:color w:val="auto"/>
                <w:sz w:val="18"/>
              </w:rPr>
              <w:t>o</w:t>
            </w:r>
            <w:r w:rsidRPr="00CF176F">
              <w:rPr>
                <w:color w:val="auto"/>
                <w:sz w:val="18"/>
              </w:rPr>
              <w:t xml:space="preserve">fficer is the head of the </w:t>
            </w:r>
            <w:r w:rsidR="00C81471">
              <w:rPr>
                <w:color w:val="auto"/>
                <w:sz w:val="18"/>
              </w:rPr>
              <w:t>entity</w:t>
            </w:r>
            <w:r w:rsidRPr="00CF176F">
              <w:rPr>
                <w:color w:val="auto"/>
                <w:sz w:val="18"/>
              </w:rPr>
              <w:t xml:space="preserve">. </w:t>
            </w:r>
          </w:p>
          <w:p w14:paraId="2593FC28" w14:textId="13F92F5A"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For most of the department’s </w:t>
            </w:r>
            <w:r w:rsidR="00C81471">
              <w:rPr>
                <w:color w:val="auto"/>
                <w:sz w:val="18"/>
              </w:rPr>
              <w:t>entities</w:t>
            </w:r>
            <w:r w:rsidRPr="00CF176F">
              <w:rPr>
                <w:color w:val="auto"/>
                <w:sz w:val="18"/>
              </w:rPr>
              <w:t xml:space="preserve"> it is usually the chief executive officer. </w:t>
            </w:r>
          </w:p>
          <w:p w14:paraId="393D48CC" w14:textId="77777777"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As per definition in the </w:t>
            </w:r>
            <w:r w:rsidRPr="00CF176F">
              <w:rPr>
                <w:i/>
                <w:color w:val="auto"/>
                <w:sz w:val="18"/>
              </w:rPr>
              <w:t>Financial Management Act 1994</w:t>
            </w:r>
            <w:r w:rsidRPr="00CF176F">
              <w:rPr>
                <w:color w:val="auto"/>
                <w:sz w:val="18"/>
              </w:rPr>
              <w:t xml:space="preserve"> (Vic) s 3.</w:t>
            </w:r>
          </w:p>
        </w:tc>
      </w:tr>
      <w:tr w:rsidR="00155AC5" w:rsidRPr="00C3221B" w14:paraId="048AFDDF" w14:textId="77777777" w:rsidTr="004033A2">
        <w:trPr>
          <w:cantSplit/>
          <w:trHeight w:val="2241"/>
        </w:trPr>
        <w:tc>
          <w:tcPr>
            <w:cnfStyle w:val="001000000000" w:firstRow="0" w:lastRow="0" w:firstColumn="1" w:lastColumn="0" w:oddVBand="0" w:evenVBand="0" w:oddHBand="0" w:evenHBand="0" w:firstRowFirstColumn="0" w:firstRowLastColumn="0" w:lastRowFirstColumn="0" w:lastRowLastColumn="0"/>
            <w:tcW w:w="3085" w:type="dxa"/>
          </w:tcPr>
          <w:p w14:paraId="52CB46B3" w14:textId="77777777" w:rsidR="00155AC5" w:rsidRPr="00CF176F" w:rsidRDefault="00155AC5" w:rsidP="004033A2">
            <w:pPr>
              <w:pStyle w:val="bodycopy"/>
              <w:rPr>
                <w:color w:val="auto"/>
              </w:rPr>
            </w:pPr>
            <w:r w:rsidRPr="00CF176F">
              <w:rPr>
                <w:color w:val="auto"/>
              </w:rPr>
              <w:t>Administrative office</w:t>
            </w:r>
          </w:p>
        </w:tc>
        <w:tc>
          <w:tcPr>
            <w:tcW w:w="6393" w:type="dxa"/>
          </w:tcPr>
          <w:p w14:paraId="5B641EE9"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Administrative offices are a Victorian public service organisational form created under section 11 of the </w:t>
            </w:r>
            <w:r w:rsidRPr="00CF176F">
              <w:rPr>
                <w:i/>
                <w:color w:val="auto"/>
                <w:sz w:val="18"/>
              </w:rPr>
              <w:t>Public Administration Act 2004</w:t>
            </w:r>
            <w:r w:rsidRPr="00CF176F">
              <w:rPr>
                <w:color w:val="auto"/>
                <w:sz w:val="18"/>
              </w:rPr>
              <w:t xml:space="preserve">. They are typically established to undertake specific tasks and are formally related to a department and are part of the public service.  </w:t>
            </w:r>
          </w:p>
          <w:p w14:paraId="2B02C157"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Administrative offices have a degree of autonomy from their parent department.</w:t>
            </w:r>
          </w:p>
          <w:p w14:paraId="23BFE147" w14:textId="7FF006BB"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The </w:t>
            </w:r>
            <w:r w:rsidR="009F5FFF">
              <w:rPr>
                <w:color w:val="auto"/>
                <w:sz w:val="18"/>
              </w:rPr>
              <w:t>p</w:t>
            </w:r>
            <w:r w:rsidRPr="00CF176F">
              <w:rPr>
                <w:color w:val="auto"/>
                <w:sz w:val="18"/>
              </w:rPr>
              <w:t xml:space="preserve">remier employs the </w:t>
            </w:r>
            <w:r w:rsidR="00EF111E">
              <w:rPr>
                <w:color w:val="auto"/>
                <w:sz w:val="18"/>
              </w:rPr>
              <w:t>h</w:t>
            </w:r>
            <w:r w:rsidRPr="00CF176F">
              <w:rPr>
                <w:color w:val="auto"/>
                <w:sz w:val="18"/>
              </w:rPr>
              <w:t>ead of an administrative office.</w:t>
            </w:r>
          </w:p>
          <w:p w14:paraId="13321CE3"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An example is the </w:t>
            </w:r>
            <w:r w:rsidRPr="00530788">
              <w:rPr>
                <w:color w:val="auto"/>
                <w:sz w:val="18"/>
              </w:rPr>
              <w:t>Latrobe Valley Authority</w:t>
            </w:r>
            <w:r w:rsidRPr="00CF176F">
              <w:rPr>
                <w:color w:val="auto"/>
                <w:sz w:val="18"/>
              </w:rPr>
              <w:t xml:space="preserve">. </w:t>
            </w:r>
          </w:p>
        </w:tc>
      </w:tr>
      <w:tr w:rsidR="00155AC5" w:rsidRPr="00C3221B" w14:paraId="0FBF5D78"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6339F979" w14:textId="599A5B5F" w:rsidR="00155AC5" w:rsidRPr="00CF176F" w:rsidRDefault="00C81471" w:rsidP="004033A2">
            <w:pPr>
              <w:pStyle w:val="bodycopy"/>
              <w:rPr>
                <w:b w:val="0"/>
                <w:color w:val="auto"/>
              </w:rPr>
            </w:pPr>
            <w:r>
              <w:rPr>
                <w:color w:val="auto"/>
              </w:rPr>
              <w:t>Entity</w:t>
            </w:r>
          </w:p>
        </w:tc>
        <w:tc>
          <w:tcPr>
            <w:tcW w:w="6393" w:type="dxa"/>
          </w:tcPr>
          <w:p w14:paraId="42249044" w14:textId="37EEEAD5"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General term for the department’s portfolio entities. Most </w:t>
            </w:r>
            <w:r w:rsidR="00C81471">
              <w:rPr>
                <w:color w:val="auto"/>
                <w:sz w:val="18"/>
              </w:rPr>
              <w:t>entities</w:t>
            </w:r>
            <w:r w:rsidRPr="00CF176F">
              <w:rPr>
                <w:color w:val="auto"/>
                <w:sz w:val="18"/>
              </w:rPr>
              <w:t xml:space="preserve"> operate at ‘arm’s length’ from the department depending on their form and function. Has oversight by the same responsible </w:t>
            </w:r>
            <w:r w:rsidR="009F5FFF">
              <w:rPr>
                <w:color w:val="auto"/>
                <w:sz w:val="18"/>
              </w:rPr>
              <w:t>m</w:t>
            </w:r>
            <w:r w:rsidRPr="00CF176F">
              <w:rPr>
                <w:color w:val="auto"/>
                <w:sz w:val="18"/>
              </w:rPr>
              <w:t>inister as a portfolio within the department.</w:t>
            </w:r>
          </w:p>
        </w:tc>
      </w:tr>
      <w:tr w:rsidR="00155AC5" w:rsidRPr="00C3221B" w14:paraId="48D7D039"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3B717320" w14:textId="77777777" w:rsidR="00155AC5" w:rsidRPr="00CF176F" w:rsidRDefault="00155AC5" w:rsidP="004033A2">
            <w:pPr>
              <w:pStyle w:val="bodycopy"/>
              <w:rPr>
                <w:color w:val="auto"/>
              </w:rPr>
            </w:pPr>
            <w:r w:rsidRPr="00CF176F">
              <w:rPr>
                <w:color w:val="auto"/>
              </w:rPr>
              <w:t>Annual report</w:t>
            </w:r>
          </w:p>
        </w:tc>
        <w:tc>
          <w:tcPr>
            <w:tcW w:w="6393" w:type="dxa"/>
          </w:tcPr>
          <w:p w14:paraId="0A5A64C0" w14:textId="3036611B"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A report of an </w:t>
            </w:r>
            <w:r w:rsidR="00C81471">
              <w:rPr>
                <w:color w:val="auto"/>
                <w:sz w:val="18"/>
              </w:rPr>
              <w:t>entity</w:t>
            </w:r>
            <w:r w:rsidRPr="00CF176F">
              <w:rPr>
                <w:color w:val="auto"/>
                <w:sz w:val="18"/>
              </w:rPr>
              <w:t xml:space="preserve">’s operations and financial statements, as per the </w:t>
            </w:r>
            <w:r w:rsidRPr="00CF176F">
              <w:rPr>
                <w:i/>
                <w:color w:val="auto"/>
                <w:sz w:val="18"/>
              </w:rPr>
              <w:t>Financial Management Act</w:t>
            </w:r>
            <w:r w:rsidRPr="00CF176F">
              <w:rPr>
                <w:color w:val="auto"/>
                <w:sz w:val="18"/>
              </w:rPr>
              <w:t xml:space="preserve"> </w:t>
            </w:r>
            <w:r w:rsidRPr="00CF176F">
              <w:rPr>
                <w:i/>
                <w:color w:val="auto"/>
                <w:sz w:val="18"/>
              </w:rPr>
              <w:t xml:space="preserve">1994 </w:t>
            </w:r>
            <w:r w:rsidRPr="00CF176F">
              <w:rPr>
                <w:color w:val="auto"/>
                <w:sz w:val="18"/>
              </w:rPr>
              <w:t>(Vic)</w:t>
            </w:r>
            <w:r w:rsidRPr="00CF176F">
              <w:rPr>
                <w:i/>
                <w:color w:val="auto"/>
                <w:sz w:val="18"/>
              </w:rPr>
              <w:t xml:space="preserve"> </w:t>
            </w:r>
            <w:r w:rsidRPr="00CF176F">
              <w:rPr>
                <w:color w:val="auto"/>
                <w:sz w:val="18"/>
              </w:rPr>
              <w:t>s 45, Corporations Act or establishing legislation.</w:t>
            </w:r>
          </w:p>
        </w:tc>
      </w:tr>
      <w:tr w:rsidR="00155AC5" w:rsidRPr="00C3221B" w14:paraId="3D7415D8"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1A5BF692" w14:textId="77777777" w:rsidR="00155AC5" w:rsidRPr="00CF176F" w:rsidRDefault="00155AC5" w:rsidP="004033A2">
            <w:pPr>
              <w:pStyle w:val="bodycopy"/>
              <w:rPr>
                <w:color w:val="auto"/>
              </w:rPr>
            </w:pPr>
            <w:r w:rsidRPr="00CF176F">
              <w:rPr>
                <w:color w:val="auto"/>
              </w:rPr>
              <w:t xml:space="preserve">Board </w:t>
            </w:r>
          </w:p>
        </w:tc>
        <w:tc>
          <w:tcPr>
            <w:tcW w:w="6393" w:type="dxa"/>
          </w:tcPr>
          <w:p w14:paraId="550F0D0A" w14:textId="04E37960"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The board is a governing body of a portfolio </w:t>
            </w:r>
            <w:r w:rsidR="00C81471">
              <w:rPr>
                <w:color w:val="auto"/>
                <w:sz w:val="18"/>
              </w:rPr>
              <w:t>entity</w:t>
            </w:r>
            <w:r w:rsidRPr="00CF176F">
              <w:rPr>
                <w:color w:val="auto"/>
                <w:sz w:val="18"/>
              </w:rPr>
              <w:t>. The role of the board is one of governance and strategy.</w:t>
            </w:r>
            <w:r w:rsidRPr="00CF176F">
              <w:rPr>
                <w:color w:val="auto"/>
                <w:sz w:val="18"/>
                <w:szCs w:val="23"/>
              </w:rPr>
              <w:t xml:space="preserve"> </w:t>
            </w:r>
            <w:r w:rsidRPr="00CF176F">
              <w:rPr>
                <w:color w:val="auto"/>
                <w:sz w:val="18"/>
              </w:rPr>
              <w:t xml:space="preserve">The board is accountable to the </w:t>
            </w:r>
            <w:r w:rsidR="009F5FFF">
              <w:rPr>
                <w:color w:val="auto"/>
                <w:sz w:val="18"/>
              </w:rPr>
              <w:t>m</w:t>
            </w:r>
            <w:r w:rsidRPr="00CF176F">
              <w:rPr>
                <w:color w:val="auto"/>
                <w:sz w:val="18"/>
              </w:rPr>
              <w:t xml:space="preserve">inister responsible for the </w:t>
            </w:r>
            <w:r w:rsidR="00C81471">
              <w:rPr>
                <w:color w:val="auto"/>
                <w:sz w:val="18"/>
              </w:rPr>
              <w:t>entity</w:t>
            </w:r>
            <w:r w:rsidRPr="00CF176F">
              <w:rPr>
                <w:color w:val="auto"/>
                <w:sz w:val="18"/>
              </w:rPr>
              <w:t xml:space="preserve"> for the exercise of its functions.</w:t>
            </w:r>
          </w:p>
        </w:tc>
      </w:tr>
      <w:tr w:rsidR="00155AC5" w:rsidRPr="00C3221B" w14:paraId="32053917"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2976D7D0" w14:textId="77777777" w:rsidR="00155AC5" w:rsidRPr="00CF176F" w:rsidRDefault="00155AC5" w:rsidP="004033A2">
            <w:pPr>
              <w:pStyle w:val="bodycopy"/>
              <w:rPr>
                <w:color w:val="auto"/>
              </w:rPr>
            </w:pPr>
            <w:r w:rsidRPr="00CF176F">
              <w:rPr>
                <w:color w:val="auto"/>
              </w:rPr>
              <w:t>Business plan</w:t>
            </w:r>
          </w:p>
        </w:tc>
        <w:tc>
          <w:tcPr>
            <w:tcW w:w="6393" w:type="dxa"/>
          </w:tcPr>
          <w:p w14:paraId="4F41FFF5" w14:textId="0381C970"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An annual document that sets out achievable and measurable targets to ensure the </w:t>
            </w:r>
            <w:r w:rsidR="00C81471">
              <w:rPr>
                <w:color w:val="auto"/>
                <w:sz w:val="18"/>
              </w:rPr>
              <w:t>entity</w:t>
            </w:r>
            <w:r w:rsidRPr="00CF176F">
              <w:rPr>
                <w:color w:val="auto"/>
                <w:sz w:val="18"/>
              </w:rPr>
              <w:t xml:space="preserve"> is on track to deliver the medium-term strategy as described in the </w:t>
            </w:r>
            <w:r w:rsidR="00C81471">
              <w:rPr>
                <w:color w:val="auto"/>
                <w:sz w:val="18"/>
              </w:rPr>
              <w:t>entity</w:t>
            </w:r>
            <w:r w:rsidRPr="00CF176F">
              <w:rPr>
                <w:color w:val="auto"/>
                <w:sz w:val="18"/>
              </w:rPr>
              <w:t>’s corporate plan.</w:t>
            </w:r>
          </w:p>
        </w:tc>
      </w:tr>
      <w:tr w:rsidR="00155AC5" w:rsidRPr="00C3221B" w14:paraId="22ADED04"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0D6BEE17" w14:textId="77777777" w:rsidR="00155AC5" w:rsidRPr="00CF176F" w:rsidRDefault="00155AC5" w:rsidP="004033A2">
            <w:pPr>
              <w:pStyle w:val="bodycopy"/>
              <w:rPr>
                <w:color w:val="auto"/>
              </w:rPr>
            </w:pPr>
            <w:r w:rsidRPr="00CF176F">
              <w:rPr>
                <w:color w:val="auto"/>
              </w:rPr>
              <w:t>Corporate plan</w:t>
            </w:r>
          </w:p>
        </w:tc>
        <w:tc>
          <w:tcPr>
            <w:tcW w:w="6393" w:type="dxa"/>
          </w:tcPr>
          <w:p w14:paraId="0099ADD1" w14:textId="77777777"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A document which outlines and formalises an organisation’s method for achieving and measuring its strategic objectives over the medium term. </w:t>
            </w:r>
          </w:p>
        </w:tc>
      </w:tr>
      <w:tr w:rsidR="00155AC5" w:rsidRPr="00C3221B" w14:paraId="01125F4E"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056A6DE0" w14:textId="77777777" w:rsidR="00155AC5" w:rsidRPr="00CF176F" w:rsidRDefault="00155AC5" w:rsidP="004033A2">
            <w:pPr>
              <w:pStyle w:val="bodycopy"/>
              <w:rPr>
                <w:color w:val="auto"/>
              </w:rPr>
            </w:pPr>
            <w:r w:rsidRPr="00CF176F">
              <w:rPr>
                <w:color w:val="auto"/>
              </w:rPr>
              <w:t>Corporate Services Group</w:t>
            </w:r>
          </w:p>
        </w:tc>
        <w:tc>
          <w:tcPr>
            <w:tcW w:w="6393" w:type="dxa"/>
          </w:tcPr>
          <w:p w14:paraId="5F05EAED" w14:textId="2519722E"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A department group that provides strategic cross-portfolio advice and services to drive the performance of the department and portfolio </w:t>
            </w:r>
            <w:r w:rsidR="00C81471">
              <w:rPr>
                <w:color w:val="auto"/>
                <w:sz w:val="18"/>
              </w:rPr>
              <w:t>entities</w:t>
            </w:r>
            <w:r w:rsidRPr="00CF176F">
              <w:rPr>
                <w:color w:val="auto"/>
                <w:sz w:val="18"/>
              </w:rPr>
              <w:t>.</w:t>
            </w:r>
          </w:p>
        </w:tc>
      </w:tr>
      <w:tr w:rsidR="00155AC5" w:rsidRPr="00C3221B" w14:paraId="646731F9"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38DEDCFF" w14:textId="77777777" w:rsidR="00155AC5" w:rsidRPr="00CF176F" w:rsidRDefault="00155AC5" w:rsidP="004033A2">
            <w:pPr>
              <w:pStyle w:val="bodycopy"/>
              <w:rPr>
                <w:color w:val="auto"/>
              </w:rPr>
            </w:pPr>
            <w:r w:rsidRPr="00CF176F">
              <w:rPr>
                <w:color w:val="auto"/>
              </w:rPr>
              <w:t>Department</w:t>
            </w:r>
          </w:p>
        </w:tc>
        <w:tc>
          <w:tcPr>
            <w:tcW w:w="6393" w:type="dxa"/>
          </w:tcPr>
          <w:p w14:paraId="58D0FC2D" w14:textId="51981EB5"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Refers to the Department of Jobs, </w:t>
            </w:r>
            <w:r w:rsidR="00A15490">
              <w:rPr>
                <w:color w:val="auto"/>
                <w:sz w:val="18"/>
              </w:rPr>
              <w:t>S</w:t>
            </w:r>
            <w:r w:rsidR="002C7044">
              <w:rPr>
                <w:color w:val="auto"/>
                <w:sz w:val="18"/>
              </w:rPr>
              <w:t>kills, Industry</w:t>
            </w:r>
            <w:r w:rsidR="00A15490" w:rsidRPr="00CF176F">
              <w:rPr>
                <w:color w:val="auto"/>
                <w:sz w:val="18"/>
              </w:rPr>
              <w:t xml:space="preserve"> </w:t>
            </w:r>
            <w:r w:rsidRPr="00CF176F">
              <w:rPr>
                <w:color w:val="auto"/>
                <w:sz w:val="18"/>
              </w:rPr>
              <w:t>and Regions (</w:t>
            </w:r>
            <w:r w:rsidR="00A15490">
              <w:rPr>
                <w:color w:val="auto"/>
                <w:sz w:val="18"/>
              </w:rPr>
              <w:t>DJSIR</w:t>
            </w:r>
            <w:r w:rsidRPr="00CF176F">
              <w:rPr>
                <w:color w:val="auto"/>
                <w:sz w:val="18"/>
              </w:rPr>
              <w:t>).</w:t>
            </w:r>
          </w:p>
        </w:tc>
      </w:tr>
      <w:tr w:rsidR="00155AC5" w:rsidRPr="00C3221B" w14:paraId="52E015D9"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65F4FF50" w14:textId="77777777" w:rsidR="00155AC5" w:rsidRPr="00CF176F" w:rsidRDefault="00155AC5" w:rsidP="004033A2">
            <w:pPr>
              <w:pStyle w:val="bodycopy"/>
              <w:rPr>
                <w:color w:val="auto"/>
              </w:rPr>
            </w:pPr>
            <w:r w:rsidRPr="00CF176F">
              <w:rPr>
                <w:color w:val="auto"/>
              </w:rPr>
              <w:t>DTF</w:t>
            </w:r>
          </w:p>
        </w:tc>
        <w:tc>
          <w:tcPr>
            <w:tcW w:w="6393" w:type="dxa"/>
          </w:tcPr>
          <w:p w14:paraId="02F38273"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Department of Treasury and Finance</w:t>
            </w:r>
          </w:p>
        </w:tc>
      </w:tr>
      <w:tr w:rsidR="00155AC5" w:rsidRPr="00C3221B" w14:paraId="4E9925B9"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79B2F5C8" w14:textId="77777777" w:rsidR="00155AC5" w:rsidRPr="00CF176F" w:rsidRDefault="00155AC5" w:rsidP="004033A2">
            <w:pPr>
              <w:pStyle w:val="bodycopy"/>
              <w:rPr>
                <w:color w:val="auto"/>
              </w:rPr>
            </w:pPr>
            <w:r w:rsidRPr="00CF176F">
              <w:rPr>
                <w:color w:val="auto"/>
              </w:rPr>
              <w:t>EBITDA</w:t>
            </w:r>
          </w:p>
        </w:tc>
        <w:tc>
          <w:tcPr>
            <w:tcW w:w="6393" w:type="dxa"/>
          </w:tcPr>
          <w:p w14:paraId="618BE33A" w14:textId="77777777"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Earnings before interest, tax, depreciation and amortisation</w:t>
            </w:r>
          </w:p>
        </w:tc>
      </w:tr>
      <w:tr w:rsidR="00155AC5" w:rsidRPr="00C3221B" w14:paraId="249B9493"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64491B7F" w14:textId="77777777" w:rsidR="00155AC5" w:rsidRPr="00CF176F" w:rsidRDefault="00155AC5" w:rsidP="004033A2">
            <w:pPr>
              <w:pStyle w:val="bodycopy"/>
              <w:rPr>
                <w:color w:val="auto"/>
              </w:rPr>
            </w:pPr>
            <w:r w:rsidRPr="00CF176F">
              <w:rPr>
                <w:color w:val="auto"/>
              </w:rPr>
              <w:t>End of year report</w:t>
            </w:r>
          </w:p>
        </w:tc>
        <w:tc>
          <w:tcPr>
            <w:tcW w:w="6393" w:type="dxa"/>
          </w:tcPr>
          <w:p w14:paraId="63B0C98D" w14:textId="5C3E13CB"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A financial report by the </w:t>
            </w:r>
            <w:r w:rsidR="00C81471">
              <w:rPr>
                <w:color w:val="auto"/>
                <w:sz w:val="18"/>
              </w:rPr>
              <w:t>entity</w:t>
            </w:r>
            <w:r w:rsidRPr="00CF176F">
              <w:rPr>
                <w:color w:val="auto"/>
                <w:sz w:val="18"/>
              </w:rPr>
              <w:t xml:space="preserve"> to the department which comprises of:</w:t>
            </w:r>
          </w:p>
          <w:p w14:paraId="10310E14" w14:textId="77777777" w:rsidR="00155AC5" w:rsidRPr="00CF176F" w:rsidRDefault="00155AC5" w:rsidP="004033A2">
            <w:pPr>
              <w:pStyle w:val="ListBullet"/>
              <w:cnfStyle w:val="000000000000" w:firstRow="0" w:lastRow="0" w:firstColumn="0" w:lastColumn="0" w:oddVBand="0" w:evenVBand="0" w:oddHBand="0" w:evenHBand="0" w:firstRowFirstColumn="0" w:firstRowLastColumn="0" w:lastRowFirstColumn="0" w:lastRowLastColumn="0"/>
              <w:rPr>
                <w:color w:val="auto"/>
              </w:rPr>
            </w:pPr>
            <w:r w:rsidRPr="00CF176F">
              <w:rPr>
                <w:color w:val="auto"/>
              </w:rPr>
              <w:t>periodic financial reporting during the year</w:t>
            </w:r>
          </w:p>
          <w:p w14:paraId="44F5BF4D" w14:textId="548A3EB8" w:rsidR="00155AC5" w:rsidRPr="00CF176F" w:rsidRDefault="00C81471" w:rsidP="004033A2">
            <w:pPr>
              <w:pStyle w:val="ListBullet"/>
              <w:cnfStyle w:val="000000000000" w:firstRow="0" w:lastRow="0" w:firstColumn="0" w:lastColumn="0" w:oddVBand="0" w:evenVBand="0" w:oddHBand="0" w:evenHBand="0" w:firstRowFirstColumn="0" w:firstRowLastColumn="0" w:lastRowFirstColumn="0" w:lastRowLastColumn="0"/>
              <w:rPr>
                <w:color w:val="auto"/>
              </w:rPr>
            </w:pPr>
            <w:r>
              <w:rPr>
                <w:color w:val="auto"/>
              </w:rPr>
              <w:t>entity</w:t>
            </w:r>
            <w:r w:rsidR="00155AC5" w:rsidRPr="00CF176F">
              <w:rPr>
                <w:color w:val="auto"/>
              </w:rPr>
              <w:t>’s achievements against budget and the previous year</w:t>
            </w:r>
          </w:p>
          <w:p w14:paraId="22B8C2FE" w14:textId="77777777" w:rsidR="00155AC5" w:rsidRPr="00CF176F" w:rsidRDefault="00155AC5" w:rsidP="004033A2">
            <w:pPr>
              <w:pStyle w:val="ListBullet"/>
              <w:cnfStyle w:val="000000000000" w:firstRow="0" w:lastRow="0" w:firstColumn="0" w:lastColumn="0" w:oddVBand="0" w:evenVBand="0" w:oddHBand="0" w:evenHBand="0" w:firstRowFirstColumn="0" w:firstRowLastColumn="0" w:lastRowFirstColumn="0" w:lastRowLastColumn="0"/>
              <w:rPr>
                <w:color w:val="auto"/>
              </w:rPr>
            </w:pPr>
            <w:r w:rsidRPr="00CF176F">
              <w:rPr>
                <w:color w:val="auto"/>
              </w:rPr>
              <w:t>the calculation of the following five metrics:</w:t>
            </w:r>
          </w:p>
          <w:p w14:paraId="251D51D5" w14:textId="77777777" w:rsidR="00155AC5" w:rsidRPr="00CF176F" w:rsidRDefault="00155AC5" w:rsidP="004033A2">
            <w:pPr>
              <w:pStyle w:val="ListBullet"/>
              <w:cnfStyle w:val="000000000000" w:firstRow="0" w:lastRow="0" w:firstColumn="0" w:lastColumn="0" w:oddVBand="0" w:evenVBand="0" w:oddHBand="0" w:evenHBand="0" w:firstRowFirstColumn="0" w:firstRowLastColumn="0" w:lastRowFirstColumn="0" w:lastRowLastColumn="0"/>
              <w:rPr>
                <w:color w:val="auto"/>
              </w:rPr>
            </w:pPr>
            <w:r w:rsidRPr="00CF176F">
              <w:rPr>
                <w:color w:val="auto"/>
              </w:rPr>
              <w:t>liquidity</w:t>
            </w:r>
          </w:p>
          <w:p w14:paraId="70D91DC3" w14:textId="77777777" w:rsidR="00155AC5" w:rsidRPr="00CF176F" w:rsidRDefault="00155AC5" w:rsidP="004033A2">
            <w:pPr>
              <w:pStyle w:val="ListBullet"/>
              <w:cnfStyle w:val="000000000000" w:firstRow="0" w:lastRow="0" w:firstColumn="0" w:lastColumn="0" w:oddVBand="0" w:evenVBand="0" w:oddHBand="0" w:evenHBand="0" w:firstRowFirstColumn="0" w:firstRowLastColumn="0" w:lastRowFirstColumn="0" w:lastRowLastColumn="0"/>
              <w:rPr>
                <w:color w:val="auto"/>
              </w:rPr>
            </w:pPr>
            <w:r w:rsidRPr="00CF176F">
              <w:rPr>
                <w:color w:val="auto"/>
              </w:rPr>
              <w:t>working capital</w:t>
            </w:r>
          </w:p>
          <w:p w14:paraId="5457A352" w14:textId="77777777" w:rsidR="00155AC5" w:rsidRPr="00CF176F" w:rsidRDefault="00155AC5" w:rsidP="004033A2">
            <w:pPr>
              <w:pStyle w:val="ListBullet"/>
              <w:cnfStyle w:val="000000000000" w:firstRow="0" w:lastRow="0" w:firstColumn="0" w:lastColumn="0" w:oddVBand="0" w:evenVBand="0" w:oddHBand="0" w:evenHBand="0" w:firstRowFirstColumn="0" w:firstRowLastColumn="0" w:lastRowFirstColumn="0" w:lastRowLastColumn="0"/>
              <w:rPr>
                <w:color w:val="auto"/>
              </w:rPr>
            </w:pPr>
            <w:r w:rsidRPr="00CF176F">
              <w:rPr>
                <w:color w:val="auto"/>
              </w:rPr>
              <w:t>capex replacement</w:t>
            </w:r>
          </w:p>
          <w:p w14:paraId="412166C4" w14:textId="77777777" w:rsidR="00155AC5" w:rsidRPr="00CF176F" w:rsidRDefault="00155AC5" w:rsidP="004033A2">
            <w:pPr>
              <w:pStyle w:val="ListBullet"/>
              <w:cnfStyle w:val="000000000000" w:firstRow="0" w:lastRow="0" w:firstColumn="0" w:lastColumn="0" w:oddVBand="0" w:evenVBand="0" w:oddHBand="0" w:evenHBand="0" w:firstRowFirstColumn="0" w:firstRowLastColumn="0" w:lastRowFirstColumn="0" w:lastRowLastColumn="0"/>
              <w:rPr>
                <w:color w:val="auto"/>
              </w:rPr>
            </w:pPr>
            <w:r w:rsidRPr="00CF176F">
              <w:rPr>
                <w:color w:val="auto"/>
              </w:rPr>
              <w:t>revenue growth</w:t>
            </w:r>
          </w:p>
          <w:p w14:paraId="39704F36" w14:textId="77777777" w:rsidR="00155AC5" w:rsidRPr="00CF176F" w:rsidRDefault="00155AC5" w:rsidP="004033A2">
            <w:pPr>
              <w:pStyle w:val="ListBullet"/>
              <w:cnfStyle w:val="000000000000" w:firstRow="0" w:lastRow="0" w:firstColumn="0" w:lastColumn="0" w:oddVBand="0" w:evenVBand="0" w:oddHBand="0" w:evenHBand="0" w:firstRowFirstColumn="0" w:firstRowLastColumn="0" w:lastRowFirstColumn="0" w:lastRowLastColumn="0"/>
              <w:rPr>
                <w:color w:val="auto"/>
              </w:rPr>
            </w:pPr>
            <w:r w:rsidRPr="00CF176F">
              <w:rPr>
                <w:color w:val="auto"/>
              </w:rPr>
              <w:t>labour growth.</w:t>
            </w:r>
          </w:p>
        </w:tc>
      </w:tr>
      <w:tr w:rsidR="00155AC5" w:rsidRPr="00C3221B" w14:paraId="72EF6EF9"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7F9F8997" w14:textId="77777777" w:rsidR="00155AC5" w:rsidRPr="00CF176F" w:rsidRDefault="00155AC5" w:rsidP="004033A2">
            <w:pPr>
              <w:pStyle w:val="bodycopy"/>
              <w:rPr>
                <w:b w:val="0"/>
                <w:color w:val="auto"/>
              </w:rPr>
            </w:pPr>
            <w:r w:rsidRPr="00CF176F">
              <w:rPr>
                <w:color w:val="auto"/>
              </w:rPr>
              <w:lastRenderedPageBreak/>
              <w:t>Executive Board dashboard report</w:t>
            </w:r>
          </w:p>
        </w:tc>
        <w:tc>
          <w:tcPr>
            <w:tcW w:w="6393" w:type="dxa"/>
          </w:tcPr>
          <w:p w14:paraId="266E5CEB" w14:textId="2821D955"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A tool for the Executive Board to monitor and assess portfolio performance. The dashboard provides a system-wide view of performance and reporting against outcomes, outputs, inputs and emerging risks and issues. It also contains progress reports against treatment plans established for any </w:t>
            </w:r>
            <w:r w:rsidR="00C81471">
              <w:rPr>
                <w:color w:val="auto"/>
                <w:sz w:val="18"/>
              </w:rPr>
              <w:t>entities</w:t>
            </w:r>
            <w:r w:rsidRPr="00CF176F">
              <w:rPr>
                <w:color w:val="auto"/>
                <w:sz w:val="18"/>
              </w:rPr>
              <w:t xml:space="preserve"> that received ‘high’ ratings.</w:t>
            </w:r>
          </w:p>
        </w:tc>
      </w:tr>
      <w:tr w:rsidR="00155AC5" w:rsidRPr="00C3221B" w14:paraId="778B5720"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66812ADC" w14:textId="77777777" w:rsidR="00155AC5" w:rsidRPr="00CF176F" w:rsidRDefault="00155AC5" w:rsidP="004033A2">
            <w:pPr>
              <w:pStyle w:val="bodycopy"/>
              <w:rPr>
                <w:color w:val="auto"/>
              </w:rPr>
            </w:pPr>
            <w:r w:rsidRPr="00CF176F">
              <w:rPr>
                <w:color w:val="auto"/>
              </w:rPr>
              <w:t>General government (GG)</w:t>
            </w:r>
          </w:p>
        </w:tc>
        <w:tc>
          <w:tcPr>
            <w:tcW w:w="6393" w:type="dxa"/>
          </w:tcPr>
          <w:p w14:paraId="0456230D"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Includes all government departments, offices and other bodies engaged in providing services free of charge or at prices significantly below their cost of production. They typically provide products and services that are non-market in nature and/or are for the collective consumption of the community, and those which involve the transfer or redistribution of income which is financed mainly through taxes and other compulsory levies.</w:t>
            </w:r>
          </w:p>
        </w:tc>
      </w:tr>
      <w:tr w:rsidR="00155AC5" w:rsidRPr="00C3221B" w14:paraId="369C650B"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379A69AD" w14:textId="77777777" w:rsidR="00155AC5" w:rsidRPr="00CF176F" w:rsidRDefault="00155AC5" w:rsidP="004033A2">
            <w:pPr>
              <w:pStyle w:val="bodycopy"/>
              <w:rPr>
                <w:color w:val="auto"/>
              </w:rPr>
            </w:pPr>
            <w:r w:rsidRPr="00CF176F">
              <w:rPr>
                <w:color w:val="auto"/>
              </w:rPr>
              <w:t>Governance</w:t>
            </w:r>
          </w:p>
        </w:tc>
        <w:tc>
          <w:tcPr>
            <w:tcW w:w="6393" w:type="dxa"/>
          </w:tcPr>
          <w:p w14:paraId="39D4DFD9" w14:textId="77777777"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The processes and structures by which public entities are directed, controlled and held into account, to enable it to achieve its strategic goals and objectives.  </w:t>
            </w:r>
          </w:p>
        </w:tc>
      </w:tr>
      <w:tr w:rsidR="00155AC5" w:rsidRPr="00C3221B" w14:paraId="38B79D16"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28DD2F57" w14:textId="77777777" w:rsidR="00155AC5" w:rsidRPr="00CF176F" w:rsidRDefault="00155AC5" w:rsidP="004033A2">
            <w:pPr>
              <w:pStyle w:val="bodycopy"/>
              <w:rPr>
                <w:color w:val="auto"/>
              </w:rPr>
            </w:pPr>
            <w:r w:rsidRPr="00CF176F">
              <w:rPr>
                <w:color w:val="auto"/>
              </w:rPr>
              <w:t>Governance Framework</w:t>
            </w:r>
          </w:p>
        </w:tc>
        <w:tc>
          <w:tcPr>
            <w:tcW w:w="6393" w:type="dxa"/>
          </w:tcPr>
          <w:p w14:paraId="486DD600" w14:textId="34611CAC"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Abbreviated term for </w:t>
            </w:r>
            <w:r w:rsidR="000603F0">
              <w:rPr>
                <w:color w:val="auto"/>
                <w:sz w:val="18"/>
              </w:rPr>
              <w:t>DJSIR</w:t>
            </w:r>
            <w:r w:rsidRPr="00CF176F">
              <w:rPr>
                <w:color w:val="auto"/>
                <w:sz w:val="18"/>
              </w:rPr>
              <w:t>’s Governance Framework for Portfolio Performance, which comprises a range of tools and processes (</w:t>
            </w:r>
            <w:r w:rsidR="007C4C1C" w:rsidRPr="00CF176F">
              <w:rPr>
                <w:color w:val="auto"/>
                <w:sz w:val="18"/>
              </w:rPr>
              <w:t>e.g.,</w:t>
            </w:r>
            <w:r w:rsidRPr="00CF176F">
              <w:rPr>
                <w:color w:val="auto"/>
                <w:sz w:val="18"/>
              </w:rPr>
              <w:t xml:space="preserve"> guide, health assessment and the Executive Board Dashboard) across a broad range of areas relating to planning and performance, financial sustainability and accountability applicable to the department and </w:t>
            </w:r>
            <w:r w:rsidR="00C81471">
              <w:rPr>
                <w:color w:val="auto"/>
                <w:sz w:val="18"/>
              </w:rPr>
              <w:t>entities</w:t>
            </w:r>
            <w:r w:rsidRPr="00CF176F">
              <w:rPr>
                <w:color w:val="auto"/>
                <w:sz w:val="18"/>
              </w:rPr>
              <w:t>.</w:t>
            </w:r>
          </w:p>
        </w:tc>
      </w:tr>
      <w:tr w:rsidR="00155AC5" w:rsidRPr="00C3221B" w14:paraId="01761912"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77121BB9" w14:textId="77777777" w:rsidR="00155AC5" w:rsidRPr="00CF176F" w:rsidRDefault="00155AC5" w:rsidP="004033A2">
            <w:pPr>
              <w:pStyle w:val="bodycopy"/>
              <w:rPr>
                <w:color w:val="auto"/>
              </w:rPr>
            </w:pPr>
            <w:r w:rsidRPr="00CF176F">
              <w:rPr>
                <w:color w:val="auto"/>
              </w:rPr>
              <w:t>Guide to Good Governance and Portfolio Performance (the Guide)</w:t>
            </w:r>
          </w:p>
        </w:tc>
        <w:tc>
          <w:tcPr>
            <w:tcW w:w="6393" w:type="dxa"/>
          </w:tcPr>
          <w:p w14:paraId="0CBE7408" w14:textId="51753ADD"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A document outlining governance and performance requirements and expectations for all </w:t>
            </w:r>
            <w:r w:rsidR="00C81471">
              <w:rPr>
                <w:color w:val="auto"/>
                <w:sz w:val="18"/>
              </w:rPr>
              <w:t>entities</w:t>
            </w:r>
            <w:r w:rsidRPr="00CF176F">
              <w:rPr>
                <w:color w:val="auto"/>
                <w:sz w:val="18"/>
              </w:rPr>
              <w:t xml:space="preserve">. The Guide contains a set of requirements that apply to all </w:t>
            </w:r>
            <w:r w:rsidR="00C81471">
              <w:rPr>
                <w:color w:val="auto"/>
                <w:sz w:val="18"/>
              </w:rPr>
              <w:t>entities</w:t>
            </w:r>
            <w:r w:rsidRPr="00CF176F">
              <w:rPr>
                <w:color w:val="auto"/>
                <w:sz w:val="18"/>
              </w:rPr>
              <w:t xml:space="preserve">, and requirements that apply to specific </w:t>
            </w:r>
            <w:r w:rsidR="00C81471">
              <w:rPr>
                <w:color w:val="auto"/>
                <w:sz w:val="18"/>
              </w:rPr>
              <w:t>entities</w:t>
            </w:r>
            <w:r w:rsidRPr="00CF176F">
              <w:rPr>
                <w:color w:val="auto"/>
                <w:sz w:val="18"/>
              </w:rPr>
              <w:t xml:space="preserve">. </w:t>
            </w:r>
          </w:p>
        </w:tc>
      </w:tr>
      <w:tr w:rsidR="00155AC5" w:rsidRPr="00C3221B" w14:paraId="42CB72C2"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2AAC89ED" w14:textId="77777777" w:rsidR="00155AC5" w:rsidRPr="00CF176F" w:rsidRDefault="00155AC5" w:rsidP="004033A2">
            <w:pPr>
              <w:pStyle w:val="bodycopy"/>
              <w:rPr>
                <w:color w:val="auto"/>
              </w:rPr>
            </w:pPr>
            <w:r w:rsidRPr="00CF176F">
              <w:rPr>
                <w:color w:val="auto"/>
              </w:rPr>
              <w:t>Health assessment</w:t>
            </w:r>
          </w:p>
        </w:tc>
        <w:tc>
          <w:tcPr>
            <w:tcW w:w="6393" w:type="dxa"/>
          </w:tcPr>
          <w:p w14:paraId="38342064" w14:textId="17C13926"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An assessment of each </w:t>
            </w:r>
            <w:r w:rsidR="00C81471">
              <w:rPr>
                <w:color w:val="auto"/>
                <w:sz w:val="18"/>
              </w:rPr>
              <w:t>entity</w:t>
            </w:r>
            <w:r w:rsidRPr="00CF176F">
              <w:rPr>
                <w:color w:val="auto"/>
                <w:sz w:val="18"/>
              </w:rPr>
              <w:t xml:space="preserve">, which assesses a number of factors and metrics </w:t>
            </w:r>
            <w:r w:rsidRPr="00383BE4">
              <w:rPr>
                <w:color w:val="auto"/>
                <w:sz w:val="18"/>
              </w:rPr>
              <w:t xml:space="preserve">to identify, </w:t>
            </w:r>
            <w:r w:rsidRPr="00CF176F">
              <w:rPr>
                <w:color w:val="auto"/>
                <w:sz w:val="18"/>
              </w:rPr>
              <w:t xml:space="preserve">through an evidence-based process, where to target the department’s oversight and support of </w:t>
            </w:r>
            <w:r w:rsidR="00C81471">
              <w:rPr>
                <w:color w:val="auto"/>
                <w:sz w:val="18"/>
              </w:rPr>
              <w:t>entities</w:t>
            </w:r>
            <w:r w:rsidRPr="00CF176F">
              <w:rPr>
                <w:color w:val="auto"/>
                <w:sz w:val="18"/>
              </w:rPr>
              <w:t>.</w:t>
            </w:r>
          </w:p>
        </w:tc>
      </w:tr>
      <w:tr w:rsidR="00155AC5" w:rsidRPr="00C3221B" w14:paraId="25AB19E9"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11FE5725" w14:textId="77777777" w:rsidR="00155AC5" w:rsidRPr="00CF176F" w:rsidRDefault="00155AC5" w:rsidP="004033A2">
            <w:pPr>
              <w:pStyle w:val="bodycopy"/>
              <w:rPr>
                <w:color w:val="auto"/>
              </w:rPr>
            </w:pPr>
            <w:r w:rsidRPr="00CF176F">
              <w:rPr>
                <w:color w:val="auto"/>
              </w:rPr>
              <w:t>Independent Broad-based Anti-Corruption Commission (IBAC)</w:t>
            </w:r>
          </w:p>
        </w:tc>
        <w:tc>
          <w:tcPr>
            <w:tcW w:w="6393" w:type="dxa"/>
          </w:tcPr>
          <w:p w14:paraId="6561D1AC" w14:textId="6ABA25BE"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As Victoria’s anti-corruption </w:t>
            </w:r>
            <w:r w:rsidR="00C81471">
              <w:rPr>
                <w:color w:val="auto"/>
                <w:sz w:val="18"/>
              </w:rPr>
              <w:t>entity</w:t>
            </w:r>
            <w:r w:rsidRPr="00CF176F">
              <w:rPr>
                <w:color w:val="auto"/>
                <w:sz w:val="18"/>
              </w:rPr>
              <w:t>, IBAC:</w:t>
            </w:r>
          </w:p>
          <w:p w14:paraId="74B5AC44" w14:textId="77777777" w:rsidR="00155AC5" w:rsidRPr="00CF176F" w:rsidRDefault="00155AC5" w:rsidP="004033A2">
            <w:pPr>
              <w:pStyle w:val="ListBullet"/>
              <w:cnfStyle w:val="000000100000" w:firstRow="0" w:lastRow="0" w:firstColumn="0" w:lastColumn="0" w:oddVBand="0" w:evenVBand="0" w:oddHBand="1" w:evenHBand="0" w:firstRowFirstColumn="0" w:firstRowLastColumn="0" w:lastRowFirstColumn="0" w:lastRowLastColumn="0"/>
              <w:rPr>
                <w:color w:val="auto"/>
              </w:rPr>
            </w:pPr>
            <w:r w:rsidRPr="3C9369FD">
              <w:rPr>
                <w:color w:val="auto"/>
              </w:rPr>
              <w:t>receives complaints and notifications of </w:t>
            </w:r>
            <w:hyperlink r:id="rId211">
              <w:r w:rsidRPr="3C9369FD">
                <w:rPr>
                  <w:color w:val="auto"/>
                </w:rPr>
                <w:t>public sector corruption</w:t>
              </w:r>
            </w:hyperlink>
            <w:r w:rsidRPr="3C9369FD">
              <w:rPr>
                <w:color w:val="auto"/>
              </w:rPr>
              <w:t xml:space="preserve"> and </w:t>
            </w:r>
            <w:hyperlink r:id="rId212">
              <w:r w:rsidRPr="3C9369FD">
                <w:rPr>
                  <w:color w:val="auto"/>
                </w:rPr>
                <w:t xml:space="preserve">police misconduct </w:t>
              </w:r>
            </w:hyperlink>
          </w:p>
          <w:p w14:paraId="789EA569" w14:textId="77777777" w:rsidR="00155AC5" w:rsidRPr="00CF176F" w:rsidRDefault="0089196B" w:rsidP="004033A2">
            <w:pPr>
              <w:pStyle w:val="ListBullet"/>
              <w:cnfStyle w:val="000000100000" w:firstRow="0" w:lastRow="0" w:firstColumn="0" w:lastColumn="0" w:oddVBand="0" w:evenVBand="0" w:oddHBand="1" w:evenHBand="0" w:firstRowFirstColumn="0" w:firstRowLastColumn="0" w:lastRowFirstColumn="0" w:lastRowLastColumn="0"/>
              <w:rPr>
                <w:color w:val="auto"/>
              </w:rPr>
            </w:pPr>
            <w:hyperlink r:id="rId213">
              <w:r w:rsidR="00155AC5" w:rsidRPr="3C9369FD">
                <w:rPr>
                  <w:color w:val="auto"/>
                </w:rPr>
                <w:t xml:space="preserve">investigates </w:t>
              </w:r>
            </w:hyperlink>
            <w:r w:rsidR="00155AC5" w:rsidRPr="3C9369FD">
              <w:rPr>
                <w:color w:val="auto"/>
              </w:rPr>
              <w:t>and exposes corruption and police misconduct</w:t>
            </w:r>
          </w:p>
          <w:p w14:paraId="793C9EF5" w14:textId="77777777" w:rsidR="00155AC5" w:rsidRPr="00CF176F" w:rsidRDefault="00155AC5" w:rsidP="004033A2">
            <w:pPr>
              <w:pStyle w:val="ListBullet"/>
              <w:cnfStyle w:val="000000100000" w:firstRow="0" w:lastRow="0" w:firstColumn="0" w:lastColumn="0" w:oddVBand="0" w:evenVBand="0" w:oddHBand="1" w:evenHBand="0" w:firstRowFirstColumn="0" w:firstRowLastColumn="0" w:lastRowFirstColumn="0" w:lastRowLastColumn="0"/>
              <w:rPr>
                <w:color w:val="auto"/>
              </w:rPr>
            </w:pPr>
            <w:r w:rsidRPr="00CF176F">
              <w:rPr>
                <w:color w:val="auto"/>
              </w:rPr>
              <w:t xml:space="preserve">informs the public sector and community about the </w:t>
            </w:r>
            <w:hyperlink r:id="rId214">
              <w:r w:rsidRPr="3C9369FD">
                <w:rPr>
                  <w:color w:val="auto"/>
                </w:rPr>
                <w:t>risks and impacts of corruption and police misconduct</w:t>
              </w:r>
            </w:hyperlink>
            <w:r w:rsidRPr="00CF176F">
              <w:rPr>
                <w:color w:val="auto"/>
              </w:rPr>
              <w:t>, and ways it can be prevented.</w:t>
            </w:r>
          </w:p>
        </w:tc>
      </w:tr>
      <w:tr w:rsidR="00155AC5" w:rsidRPr="00C3221B" w14:paraId="4A4C428E"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300DD1B1" w14:textId="77777777" w:rsidR="00155AC5" w:rsidRPr="00CF176F" w:rsidRDefault="00155AC5" w:rsidP="004033A2">
            <w:pPr>
              <w:pStyle w:val="bodycopy"/>
              <w:rPr>
                <w:color w:val="auto"/>
              </w:rPr>
            </w:pPr>
            <w:r w:rsidRPr="00CF176F">
              <w:rPr>
                <w:color w:val="auto"/>
              </w:rPr>
              <w:t>Industry Development Committee</w:t>
            </w:r>
          </w:p>
        </w:tc>
        <w:tc>
          <w:tcPr>
            <w:tcW w:w="6393" w:type="dxa"/>
          </w:tcPr>
          <w:p w14:paraId="1D32492C"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Refers to a form of a committee whose purpose is to promote the best interests of the industry it represents, improve competitiveness of the industry and to provide services where appropriate. </w:t>
            </w:r>
          </w:p>
          <w:p w14:paraId="2D2DD69B"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Examples include the Murray Valley Wine Grape Industry Development Committee and the Victorian Strawberry Industry Development Committee. </w:t>
            </w:r>
          </w:p>
          <w:p w14:paraId="528EC5EF"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As per the definition in the </w:t>
            </w:r>
            <w:r w:rsidRPr="00CF176F">
              <w:rPr>
                <w:i/>
                <w:color w:val="auto"/>
                <w:sz w:val="18"/>
              </w:rPr>
              <w:t>Agricultural Industry Development Act 1990</w:t>
            </w:r>
            <w:r w:rsidRPr="00CF176F">
              <w:rPr>
                <w:color w:val="auto"/>
                <w:sz w:val="18"/>
              </w:rPr>
              <w:t xml:space="preserve"> (Vic) s 3.</w:t>
            </w:r>
          </w:p>
        </w:tc>
      </w:tr>
      <w:tr w:rsidR="00155AC5" w:rsidRPr="00C3221B" w14:paraId="2CD20894"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6AA22E88" w14:textId="0246DA0C" w:rsidR="00155AC5" w:rsidRPr="00CF176F" w:rsidRDefault="00155AC5" w:rsidP="004033A2">
            <w:pPr>
              <w:pStyle w:val="bodycopy"/>
              <w:rPr>
                <w:color w:val="auto"/>
              </w:rPr>
            </w:pPr>
            <w:r w:rsidRPr="00CF176F">
              <w:rPr>
                <w:color w:val="auto"/>
              </w:rPr>
              <w:t>Inter-</w:t>
            </w:r>
            <w:r w:rsidR="00C81471">
              <w:rPr>
                <w:color w:val="auto"/>
              </w:rPr>
              <w:t>entity</w:t>
            </w:r>
            <w:r w:rsidRPr="00CF176F">
              <w:rPr>
                <w:color w:val="auto"/>
              </w:rPr>
              <w:t xml:space="preserve"> risk</w:t>
            </w:r>
          </w:p>
        </w:tc>
        <w:tc>
          <w:tcPr>
            <w:tcW w:w="6393" w:type="dxa"/>
          </w:tcPr>
          <w:p w14:paraId="6ADFF54A" w14:textId="2299ED58"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Risks shared by two or more </w:t>
            </w:r>
            <w:r w:rsidR="00C81471">
              <w:rPr>
                <w:color w:val="auto"/>
                <w:sz w:val="18"/>
              </w:rPr>
              <w:t>entities</w:t>
            </w:r>
            <w:r w:rsidRPr="00CF176F">
              <w:rPr>
                <w:color w:val="auto"/>
                <w:sz w:val="18"/>
              </w:rPr>
              <w:t xml:space="preserve"> that require coordinated management by more than one </w:t>
            </w:r>
            <w:r w:rsidR="00C81471">
              <w:rPr>
                <w:color w:val="auto"/>
                <w:sz w:val="18"/>
              </w:rPr>
              <w:t>entity</w:t>
            </w:r>
            <w:r w:rsidRPr="00CF176F">
              <w:rPr>
                <w:color w:val="auto"/>
                <w:sz w:val="18"/>
              </w:rPr>
              <w:t xml:space="preserve"> and may include systemic risks. The responsibility for managing and inter-</w:t>
            </w:r>
            <w:r w:rsidR="00C81471">
              <w:rPr>
                <w:color w:val="auto"/>
                <w:sz w:val="18"/>
              </w:rPr>
              <w:t>entity</w:t>
            </w:r>
            <w:r w:rsidRPr="00CF176F">
              <w:rPr>
                <w:color w:val="auto"/>
                <w:sz w:val="18"/>
              </w:rPr>
              <w:t xml:space="preserve"> risk is shared by all the relevant </w:t>
            </w:r>
            <w:r w:rsidR="00C81471">
              <w:rPr>
                <w:color w:val="auto"/>
                <w:sz w:val="18"/>
              </w:rPr>
              <w:t>entities</w:t>
            </w:r>
            <w:r w:rsidRPr="00CF176F">
              <w:rPr>
                <w:color w:val="auto"/>
                <w:sz w:val="18"/>
              </w:rPr>
              <w:t xml:space="preserve"> and will benefit from a coordinated response where one </w:t>
            </w:r>
            <w:r w:rsidR="00C81471">
              <w:rPr>
                <w:color w:val="auto"/>
                <w:sz w:val="18"/>
              </w:rPr>
              <w:t>entity</w:t>
            </w:r>
            <w:r w:rsidRPr="00CF176F">
              <w:rPr>
                <w:color w:val="auto"/>
                <w:sz w:val="18"/>
              </w:rPr>
              <w:t xml:space="preserve"> takes a lead role.</w:t>
            </w:r>
          </w:p>
        </w:tc>
      </w:tr>
      <w:tr w:rsidR="00155AC5" w:rsidRPr="00C3221B" w14:paraId="10860A0F"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109FD070" w14:textId="77777777" w:rsidR="00155AC5" w:rsidRPr="00CF176F" w:rsidRDefault="00155AC5" w:rsidP="004033A2">
            <w:pPr>
              <w:pStyle w:val="bodycopy"/>
              <w:rPr>
                <w:color w:val="auto"/>
              </w:rPr>
            </w:pPr>
            <w:r w:rsidRPr="00CF176F">
              <w:rPr>
                <w:color w:val="auto"/>
              </w:rPr>
              <w:t>Issue</w:t>
            </w:r>
          </w:p>
        </w:tc>
        <w:tc>
          <w:tcPr>
            <w:tcW w:w="6393" w:type="dxa"/>
          </w:tcPr>
          <w:p w14:paraId="5E0C14C7"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Refers to an immediate problem that needs to be solved or addressed. </w:t>
            </w:r>
          </w:p>
        </w:tc>
      </w:tr>
      <w:tr w:rsidR="00155AC5" w:rsidRPr="00C3221B" w14:paraId="458FE26C"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013CAD48" w14:textId="77777777" w:rsidR="00155AC5" w:rsidRPr="00CF176F" w:rsidRDefault="00155AC5" w:rsidP="004033A2">
            <w:pPr>
              <w:pStyle w:val="bodycopy"/>
              <w:rPr>
                <w:color w:val="auto"/>
                <w:highlight w:val="yellow"/>
              </w:rPr>
            </w:pPr>
            <w:r w:rsidRPr="00CF176F">
              <w:rPr>
                <w:color w:val="auto"/>
              </w:rPr>
              <w:t>Head / Deputy Secretary</w:t>
            </w:r>
          </w:p>
        </w:tc>
        <w:tc>
          <w:tcPr>
            <w:tcW w:w="6393" w:type="dxa"/>
          </w:tcPr>
          <w:p w14:paraId="0FD04FBE" w14:textId="56703F51"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The most senior executive of the portfolio group. In the context of the governance framework</w:t>
            </w:r>
            <w:r w:rsidR="0016654A" w:rsidRPr="00CF176F">
              <w:rPr>
                <w:color w:val="auto"/>
                <w:sz w:val="18"/>
              </w:rPr>
              <w:t>,</w:t>
            </w:r>
            <w:r w:rsidRPr="00CF176F">
              <w:rPr>
                <w:color w:val="auto"/>
                <w:sz w:val="18"/>
              </w:rPr>
              <w:t xml:space="preserve"> they approve the health assessment and treatment plan on behalf of a portfolio group. </w:t>
            </w:r>
          </w:p>
        </w:tc>
      </w:tr>
      <w:tr w:rsidR="00155AC5" w:rsidRPr="00C3221B" w14:paraId="6EF2BF28"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3BEE29A1" w14:textId="77777777" w:rsidR="00155AC5" w:rsidRPr="00CF176F" w:rsidRDefault="00155AC5" w:rsidP="004033A2">
            <w:pPr>
              <w:pStyle w:val="bodycopy"/>
              <w:rPr>
                <w:color w:val="auto"/>
              </w:rPr>
            </w:pPr>
            <w:r w:rsidRPr="00CF176F">
              <w:rPr>
                <w:color w:val="auto"/>
              </w:rPr>
              <w:t>MOU</w:t>
            </w:r>
          </w:p>
        </w:tc>
        <w:tc>
          <w:tcPr>
            <w:tcW w:w="6393" w:type="dxa"/>
          </w:tcPr>
          <w:p w14:paraId="3ABFE64C"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Memorandum of Understanding</w:t>
            </w:r>
          </w:p>
        </w:tc>
      </w:tr>
      <w:tr w:rsidR="00155AC5" w:rsidRPr="00C3221B" w14:paraId="71CD67B8"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719C61A8" w14:textId="77777777" w:rsidR="00155AC5" w:rsidRPr="00CF176F" w:rsidRDefault="00155AC5" w:rsidP="004033A2">
            <w:pPr>
              <w:pStyle w:val="bodycopy"/>
              <w:rPr>
                <w:color w:val="auto"/>
                <w:highlight w:val="yellow"/>
              </w:rPr>
            </w:pPr>
            <w:r w:rsidRPr="00CF176F">
              <w:rPr>
                <w:color w:val="auto"/>
              </w:rPr>
              <w:lastRenderedPageBreak/>
              <w:t>Minister</w:t>
            </w:r>
          </w:p>
        </w:tc>
        <w:tc>
          <w:tcPr>
            <w:tcW w:w="6393" w:type="dxa"/>
          </w:tcPr>
          <w:p w14:paraId="175B5B40" w14:textId="339D0C63"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The person appointed by the </w:t>
            </w:r>
            <w:r w:rsidR="00D43DC6">
              <w:rPr>
                <w:color w:val="auto"/>
                <w:sz w:val="18"/>
              </w:rPr>
              <w:t>p</w:t>
            </w:r>
            <w:r w:rsidRPr="00CF176F">
              <w:rPr>
                <w:color w:val="auto"/>
                <w:sz w:val="18"/>
              </w:rPr>
              <w:t xml:space="preserve">remier as the government official responsible for a particular portfolio, including oversight of </w:t>
            </w:r>
            <w:r w:rsidR="00C81471">
              <w:rPr>
                <w:color w:val="auto"/>
                <w:sz w:val="18"/>
              </w:rPr>
              <w:t>entities</w:t>
            </w:r>
            <w:r w:rsidRPr="00CF176F">
              <w:rPr>
                <w:color w:val="auto"/>
                <w:sz w:val="18"/>
              </w:rPr>
              <w:t xml:space="preserve"> under that portfolio. Primary functions of a minister in respect to an </w:t>
            </w:r>
            <w:r w:rsidR="00C81471">
              <w:rPr>
                <w:color w:val="auto"/>
                <w:sz w:val="18"/>
              </w:rPr>
              <w:t>entity</w:t>
            </w:r>
            <w:r w:rsidRPr="00CF176F">
              <w:rPr>
                <w:color w:val="auto"/>
                <w:sz w:val="18"/>
              </w:rPr>
              <w:t xml:space="preserve"> includes directing an </w:t>
            </w:r>
            <w:r w:rsidR="00C81471">
              <w:rPr>
                <w:color w:val="auto"/>
                <w:sz w:val="18"/>
              </w:rPr>
              <w:t>entity</w:t>
            </w:r>
            <w:r w:rsidRPr="00CF176F">
              <w:rPr>
                <w:color w:val="auto"/>
                <w:sz w:val="18"/>
              </w:rPr>
              <w:t xml:space="preserve">, appointing directors to the board, controlling or effecting its operations, and initiating a review of the </w:t>
            </w:r>
            <w:r w:rsidR="00C81471">
              <w:rPr>
                <w:color w:val="auto"/>
                <w:sz w:val="18"/>
              </w:rPr>
              <w:t>entity</w:t>
            </w:r>
            <w:r w:rsidRPr="00CF176F">
              <w:rPr>
                <w:color w:val="auto"/>
                <w:sz w:val="18"/>
              </w:rPr>
              <w:t xml:space="preserve">’s management systems, structures and processes. </w:t>
            </w:r>
          </w:p>
          <w:p w14:paraId="26C86B69" w14:textId="77777777"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p>
        </w:tc>
      </w:tr>
      <w:tr w:rsidR="00155AC5" w:rsidRPr="00C3221B" w14:paraId="0688D095"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7010F01B" w14:textId="77777777" w:rsidR="00155AC5" w:rsidRPr="00CF176F" w:rsidRDefault="00155AC5" w:rsidP="004033A2">
            <w:pPr>
              <w:pStyle w:val="bodycopy"/>
              <w:rPr>
                <w:color w:val="auto"/>
              </w:rPr>
            </w:pPr>
            <w:r w:rsidRPr="00CF176F">
              <w:rPr>
                <w:color w:val="auto"/>
              </w:rPr>
              <w:t xml:space="preserve">Portfolio </w:t>
            </w:r>
          </w:p>
        </w:tc>
        <w:tc>
          <w:tcPr>
            <w:tcW w:w="6393" w:type="dxa"/>
          </w:tcPr>
          <w:p w14:paraId="54D83C29" w14:textId="5AA505B0"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Refers to a </w:t>
            </w:r>
            <w:r w:rsidR="00D43DC6">
              <w:rPr>
                <w:color w:val="auto"/>
                <w:sz w:val="18"/>
              </w:rPr>
              <w:t>m</w:t>
            </w:r>
            <w:r w:rsidRPr="00CF176F">
              <w:rPr>
                <w:color w:val="auto"/>
                <w:sz w:val="18"/>
              </w:rPr>
              <w:t xml:space="preserve">inister’s area of responsibility and includes the </w:t>
            </w:r>
            <w:r w:rsidR="00D43DC6">
              <w:rPr>
                <w:color w:val="auto"/>
                <w:sz w:val="18"/>
              </w:rPr>
              <w:t>a</w:t>
            </w:r>
            <w:r w:rsidRPr="00CF176F">
              <w:rPr>
                <w:color w:val="auto"/>
                <w:sz w:val="18"/>
              </w:rPr>
              <w:t xml:space="preserve">cts that the </w:t>
            </w:r>
            <w:r w:rsidR="00D43DC6">
              <w:rPr>
                <w:color w:val="auto"/>
                <w:sz w:val="18"/>
              </w:rPr>
              <w:t>m</w:t>
            </w:r>
            <w:r w:rsidRPr="00CF176F">
              <w:rPr>
                <w:color w:val="auto"/>
                <w:sz w:val="18"/>
              </w:rPr>
              <w:t>inister administrat</w:t>
            </w:r>
            <w:r w:rsidR="00D43DC6">
              <w:rPr>
                <w:color w:val="auto"/>
                <w:sz w:val="18"/>
              </w:rPr>
              <w:t>e</w:t>
            </w:r>
            <w:r w:rsidRPr="00CF176F">
              <w:rPr>
                <w:color w:val="auto"/>
                <w:sz w:val="18"/>
              </w:rPr>
              <w:t xml:space="preserve">s and the relevant </w:t>
            </w:r>
            <w:r w:rsidR="00C81471">
              <w:rPr>
                <w:color w:val="auto"/>
                <w:sz w:val="18"/>
              </w:rPr>
              <w:t>entities</w:t>
            </w:r>
            <w:r w:rsidRPr="00CF176F">
              <w:rPr>
                <w:color w:val="auto"/>
                <w:sz w:val="18"/>
              </w:rPr>
              <w:t xml:space="preserve"> in the portfolio such as the department and portfolio </w:t>
            </w:r>
            <w:r w:rsidR="00C81471">
              <w:rPr>
                <w:color w:val="auto"/>
                <w:sz w:val="18"/>
              </w:rPr>
              <w:t>entities</w:t>
            </w:r>
            <w:r w:rsidRPr="00CF176F">
              <w:rPr>
                <w:color w:val="auto"/>
                <w:sz w:val="18"/>
              </w:rPr>
              <w:t>.</w:t>
            </w:r>
          </w:p>
        </w:tc>
      </w:tr>
      <w:tr w:rsidR="00155AC5" w:rsidRPr="00C3221B" w14:paraId="3F708117"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49B695E2" w14:textId="77777777" w:rsidR="00155AC5" w:rsidRPr="00CF176F" w:rsidRDefault="00155AC5" w:rsidP="004033A2">
            <w:pPr>
              <w:pStyle w:val="bodycopy"/>
              <w:rPr>
                <w:color w:val="auto"/>
              </w:rPr>
            </w:pPr>
            <w:r w:rsidRPr="00CF176F">
              <w:rPr>
                <w:color w:val="auto"/>
              </w:rPr>
              <w:t>Procurement</w:t>
            </w:r>
          </w:p>
        </w:tc>
        <w:tc>
          <w:tcPr>
            <w:tcW w:w="6393" w:type="dxa"/>
          </w:tcPr>
          <w:p w14:paraId="7CA0C9F4" w14:textId="77777777"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The acquisition, whether under formal contract or otherwise, of goods and/or services from third parties</w:t>
            </w:r>
          </w:p>
        </w:tc>
      </w:tr>
      <w:tr w:rsidR="00155AC5" w:rsidRPr="00C3221B" w14:paraId="7472F46E"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5A15151D" w14:textId="77777777" w:rsidR="00155AC5" w:rsidRPr="00CF176F" w:rsidRDefault="00155AC5" w:rsidP="004033A2">
            <w:pPr>
              <w:pStyle w:val="bodycopy"/>
              <w:rPr>
                <w:color w:val="auto"/>
              </w:rPr>
            </w:pPr>
            <w:r w:rsidRPr="00CF176F">
              <w:rPr>
                <w:color w:val="auto"/>
              </w:rPr>
              <w:t>Program evaluation</w:t>
            </w:r>
          </w:p>
        </w:tc>
        <w:tc>
          <w:tcPr>
            <w:tcW w:w="6393" w:type="dxa"/>
          </w:tcPr>
          <w:p w14:paraId="75D7D77E"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A means by which a program is judged to determine its effectiveness, appropriateness and efficiency.</w:t>
            </w:r>
          </w:p>
        </w:tc>
      </w:tr>
      <w:tr w:rsidR="00155AC5" w:rsidRPr="00C3221B" w14:paraId="4790FB7F"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7918234F" w14:textId="77777777" w:rsidR="00155AC5" w:rsidRPr="00CF176F" w:rsidRDefault="00155AC5" w:rsidP="004033A2">
            <w:pPr>
              <w:pStyle w:val="bodycopy"/>
              <w:rPr>
                <w:color w:val="auto"/>
              </w:rPr>
            </w:pPr>
            <w:r w:rsidRPr="00CF176F">
              <w:rPr>
                <w:color w:val="auto"/>
              </w:rPr>
              <w:t>Public Financial Corporation (PFC)</w:t>
            </w:r>
          </w:p>
        </w:tc>
        <w:tc>
          <w:tcPr>
            <w:tcW w:w="6393" w:type="dxa"/>
          </w:tcPr>
          <w:p w14:paraId="2E0F7793" w14:textId="77777777"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The PFC sector comprises entities engaged primarily in providing financial intermediation services or auxiliary financial services and which have one or more of the following characteristics:</w:t>
            </w:r>
          </w:p>
          <w:p w14:paraId="226B0F35" w14:textId="77777777" w:rsidR="00155AC5" w:rsidRPr="00CF176F" w:rsidRDefault="00155AC5" w:rsidP="004033A2">
            <w:pPr>
              <w:pStyle w:val="ListBullet"/>
              <w:cnfStyle w:val="000000100000" w:firstRow="0" w:lastRow="0" w:firstColumn="0" w:lastColumn="0" w:oddVBand="0" w:evenVBand="0" w:oddHBand="1" w:evenHBand="0" w:firstRowFirstColumn="0" w:firstRowLastColumn="0" w:lastRowFirstColumn="0" w:lastRowLastColumn="0"/>
              <w:rPr>
                <w:color w:val="auto"/>
              </w:rPr>
            </w:pPr>
            <w:r w:rsidRPr="00CF176F">
              <w:rPr>
                <w:color w:val="auto"/>
              </w:rPr>
              <w:t>they perform a central borrowing function;</w:t>
            </w:r>
          </w:p>
          <w:p w14:paraId="00331EB4" w14:textId="77777777" w:rsidR="00155AC5" w:rsidRPr="00CF176F" w:rsidRDefault="00155AC5" w:rsidP="004033A2">
            <w:pPr>
              <w:pStyle w:val="ListBullet"/>
              <w:cnfStyle w:val="000000100000" w:firstRow="0" w:lastRow="0" w:firstColumn="0" w:lastColumn="0" w:oddVBand="0" w:evenVBand="0" w:oddHBand="1" w:evenHBand="0" w:firstRowFirstColumn="0" w:firstRowLastColumn="0" w:lastRowFirstColumn="0" w:lastRowLastColumn="0"/>
              <w:rPr>
                <w:color w:val="auto"/>
              </w:rPr>
            </w:pPr>
            <w:r w:rsidRPr="00CF176F">
              <w:rPr>
                <w:color w:val="auto"/>
              </w:rPr>
              <w:t>they provide insurance services;</w:t>
            </w:r>
          </w:p>
          <w:p w14:paraId="442D8694" w14:textId="77777777" w:rsidR="00155AC5" w:rsidRPr="00CF176F" w:rsidRDefault="00155AC5" w:rsidP="004033A2">
            <w:pPr>
              <w:pStyle w:val="ListBullet"/>
              <w:cnfStyle w:val="000000100000" w:firstRow="0" w:lastRow="0" w:firstColumn="0" w:lastColumn="0" w:oddVBand="0" w:evenVBand="0" w:oddHBand="1" w:evenHBand="0" w:firstRowFirstColumn="0" w:firstRowLastColumn="0" w:lastRowFirstColumn="0" w:lastRowLastColumn="0"/>
              <w:rPr>
                <w:color w:val="auto"/>
              </w:rPr>
            </w:pPr>
            <w:r w:rsidRPr="00CF176F">
              <w:rPr>
                <w:color w:val="auto"/>
              </w:rPr>
              <w:t>they accept call, term or savings deposits; or</w:t>
            </w:r>
          </w:p>
          <w:p w14:paraId="2190B589" w14:textId="77777777" w:rsidR="00155AC5" w:rsidRPr="00CF176F" w:rsidRDefault="00155AC5" w:rsidP="004033A2">
            <w:pPr>
              <w:pStyle w:val="ListBullet"/>
              <w:cnfStyle w:val="000000100000" w:firstRow="0" w:lastRow="0" w:firstColumn="0" w:lastColumn="0" w:oddVBand="0" w:evenVBand="0" w:oddHBand="1" w:evenHBand="0" w:firstRowFirstColumn="0" w:firstRowLastColumn="0" w:lastRowFirstColumn="0" w:lastRowLastColumn="0"/>
              <w:rPr>
                <w:color w:val="auto"/>
              </w:rPr>
            </w:pPr>
            <w:r w:rsidRPr="00CF176F">
              <w:rPr>
                <w:color w:val="auto"/>
              </w:rPr>
              <w:t>they have the ability to incur liabilities and acquire financial assets in the market on their own account.</w:t>
            </w:r>
          </w:p>
        </w:tc>
      </w:tr>
      <w:tr w:rsidR="00155AC5" w:rsidRPr="00C3221B" w14:paraId="3C053ECE"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200D0FDB" w14:textId="77777777" w:rsidR="00155AC5" w:rsidRPr="00CF176F" w:rsidRDefault="00155AC5" w:rsidP="004033A2">
            <w:pPr>
              <w:pStyle w:val="bodycopy"/>
              <w:rPr>
                <w:color w:val="auto"/>
                <w:lang w:val="fr-FR"/>
              </w:rPr>
            </w:pPr>
            <w:r w:rsidRPr="00CF176F">
              <w:rPr>
                <w:color w:val="auto"/>
                <w:lang w:val="fr-FR"/>
              </w:rPr>
              <w:t>Public Non-Financial Corporation (PNFC)</w:t>
            </w:r>
          </w:p>
        </w:tc>
        <w:tc>
          <w:tcPr>
            <w:tcW w:w="6393" w:type="dxa"/>
          </w:tcPr>
          <w:p w14:paraId="3025FA6F"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The primary function of entities in the PNFC sector is to provide goods and services in a competitive market that is non-regulatory and non-financial in nature. Such entities are financed mainly through sales to the consumer of these goods and services.</w:t>
            </w:r>
          </w:p>
        </w:tc>
      </w:tr>
      <w:tr w:rsidR="00155AC5" w:rsidRPr="00C3221B" w14:paraId="67DA58DA"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30472D71" w14:textId="77777777" w:rsidR="00155AC5" w:rsidRPr="00CF176F" w:rsidRDefault="00155AC5" w:rsidP="004033A2">
            <w:pPr>
              <w:pStyle w:val="bodycopy"/>
              <w:rPr>
                <w:color w:val="auto"/>
              </w:rPr>
            </w:pPr>
            <w:r w:rsidRPr="00CF176F">
              <w:rPr>
                <w:color w:val="auto"/>
              </w:rPr>
              <w:t>Relationship managers</w:t>
            </w:r>
          </w:p>
        </w:tc>
        <w:tc>
          <w:tcPr>
            <w:tcW w:w="6393" w:type="dxa"/>
          </w:tcPr>
          <w:p w14:paraId="35A72244" w14:textId="6B2E4780"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Refers to the individuals from the department and </w:t>
            </w:r>
            <w:r w:rsidR="00C81471">
              <w:rPr>
                <w:color w:val="auto"/>
                <w:sz w:val="18"/>
              </w:rPr>
              <w:t>entities</w:t>
            </w:r>
            <w:r w:rsidRPr="00CF176F">
              <w:rPr>
                <w:color w:val="auto"/>
                <w:sz w:val="18"/>
              </w:rPr>
              <w:t xml:space="preserve"> who act as the key point of contact between the portfolio group and the relevant </w:t>
            </w:r>
            <w:r w:rsidR="00C81471">
              <w:rPr>
                <w:color w:val="auto"/>
                <w:sz w:val="18"/>
              </w:rPr>
              <w:t>entity</w:t>
            </w:r>
            <w:r w:rsidRPr="00CF176F">
              <w:rPr>
                <w:color w:val="auto"/>
                <w:sz w:val="18"/>
              </w:rPr>
              <w:t>.</w:t>
            </w:r>
          </w:p>
        </w:tc>
      </w:tr>
      <w:tr w:rsidR="00155AC5" w:rsidRPr="00C3221B" w14:paraId="1CF1139E"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3E8F8E58" w14:textId="77777777" w:rsidR="00155AC5" w:rsidRPr="00CF176F" w:rsidRDefault="00155AC5" w:rsidP="004033A2">
            <w:pPr>
              <w:pStyle w:val="bodycopy"/>
              <w:rPr>
                <w:color w:val="auto"/>
              </w:rPr>
            </w:pPr>
            <w:r w:rsidRPr="00CF176F">
              <w:rPr>
                <w:color w:val="auto"/>
              </w:rPr>
              <w:t>Responsible body</w:t>
            </w:r>
          </w:p>
        </w:tc>
        <w:tc>
          <w:tcPr>
            <w:tcW w:w="6393" w:type="dxa"/>
          </w:tcPr>
          <w:p w14:paraId="24549612" w14:textId="6979FA4D"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In relation to an </w:t>
            </w:r>
            <w:r w:rsidR="00C81471">
              <w:rPr>
                <w:color w:val="auto"/>
                <w:sz w:val="18"/>
              </w:rPr>
              <w:t>entity</w:t>
            </w:r>
            <w:r w:rsidRPr="00CF176F">
              <w:rPr>
                <w:color w:val="auto"/>
                <w:sz w:val="18"/>
              </w:rPr>
              <w:t xml:space="preserve"> with a statutory board or equivalent governing body established by or under statute, that board or governing body; and</w:t>
            </w:r>
          </w:p>
          <w:p w14:paraId="5C0DEAAF" w14:textId="563ECC34"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in relation to an </w:t>
            </w:r>
            <w:r w:rsidR="00C81471">
              <w:rPr>
                <w:color w:val="auto"/>
                <w:sz w:val="18"/>
              </w:rPr>
              <w:t>entity</w:t>
            </w:r>
            <w:r w:rsidRPr="00CF176F">
              <w:rPr>
                <w:color w:val="auto"/>
                <w:sz w:val="18"/>
              </w:rPr>
              <w:t xml:space="preserve"> without a statutory board or equivalent governing body established by or under statute, that </w:t>
            </w:r>
            <w:r w:rsidR="00C81471">
              <w:rPr>
                <w:color w:val="auto"/>
                <w:sz w:val="18"/>
              </w:rPr>
              <w:t>entity</w:t>
            </w:r>
            <w:r w:rsidRPr="00CF176F">
              <w:rPr>
                <w:color w:val="auto"/>
                <w:sz w:val="18"/>
              </w:rPr>
              <w:t xml:space="preserve">’s </w:t>
            </w:r>
            <w:r w:rsidR="00D43DC6">
              <w:rPr>
                <w:color w:val="auto"/>
                <w:sz w:val="18"/>
              </w:rPr>
              <w:t>a</w:t>
            </w:r>
            <w:r w:rsidRPr="00CF176F">
              <w:rPr>
                <w:color w:val="auto"/>
                <w:sz w:val="18"/>
              </w:rPr>
              <w:t xml:space="preserve">ccountable </w:t>
            </w:r>
            <w:r w:rsidR="00D43DC6">
              <w:rPr>
                <w:color w:val="auto"/>
                <w:sz w:val="18"/>
              </w:rPr>
              <w:t>o</w:t>
            </w:r>
            <w:r w:rsidRPr="00CF176F">
              <w:rPr>
                <w:color w:val="auto"/>
                <w:sz w:val="18"/>
              </w:rPr>
              <w:t>fficer.</w:t>
            </w:r>
          </w:p>
        </w:tc>
      </w:tr>
      <w:tr w:rsidR="00155AC5" w:rsidRPr="00C3221B" w14:paraId="0ED3F1CF"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678A5848" w14:textId="77777777" w:rsidR="00155AC5" w:rsidRPr="00CF176F" w:rsidRDefault="00155AC5" w:rsidP="004033A2">
            <w:pPr>
              <w:pStyle w:val="bodycopy"/>
              <w:rPr>
                <w:color w:val="auto"/>
              </w:rPr>
            </w:pPr>
            <w:r w:rsidRPr="00CF176F">
              <w:rPr>
                <w:color w:val="auto"/>
              </w:rPr>
              <w:t>Risk</w:t>
            </w:r>
          </w:p>
        </w:tc>
        <w:tc>
          <w:tcPr>
            <w:tcW w:w="6393" w:type="dxa"/>
          </w:tcPr>
          <w:p w14:paraId="4169B1BA" w14:textId="77777777"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Effect of uncertainty on objectives. An effect may be positive or negative. Objectives may be related to aspects such as financial, health and safety or environmental and may apply at strategic, operational project or process related levels.</w:t>
            </w:r>
          </w:p>
        </w:tc>
      </w:tr>
      <w:tr w:rsidR="00155AC5" w:rsidRPr="00C3221B" w14:paraId="6EE43C0A"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73F03F61" w14:textId="77777777" w:rsidR="00155AC5" w:rsidRPr="00CF176F" w:rsidRDefault="00155AC5" w:rsidP="004033A2">
            <w:pPr>
              <w:pStyle w:val="bodycopy"/>
              <w:rPr>
                <w:b w:val="0"/>
                <w:color w:val="auto"/>
              </w:rPr>
            </w:pPr>
            <w:r w:rsidRPr="00CF176F">
              <w:rPr>
                <w:color w:val="auto"/>
              </w:rPr>
              <w:t>Risk Management</w:t>
            </w:r>
          </w:p>
        </w:tc>
        <w:tc>
          <w:tcPr>
            <w:tcW w:w="6393" w:type="dxa"/>
          </w:tcPr>
          <w:p w14:paraId="62BC5A62"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The combination of organisational systems, processes and culture which facilitate the identification, assessment, evaluation and treatment of risk to achieve an appropriate balance between realising opportunities while minimising losses in the pursuit of strategic objectives.</w:t>
            </w:r>
          </w:p>
        </w:tc>
      </w:tr>
      <w:tr w:rsidR="00155AC5" w:rsidRPr="00C3221B" w14:paraId="339DEE2C"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44E02EB0" w14:textId="77777777" w:rsidR="00155AC5" w:rsidRPr="00CF176F" w:rsidRDefault="00155AC5" w:rsidP="004033A2">
            <w:pPr>
              <w:pStyle w:val="bodycopy"/>
              <w:rPr>
                <w:color w:val="auto"/>
              </w:rPr>
            </w:pPr>
            <w:r w:rsidRPr="00CF176F">
              <w:rPr>
                <w:color w:val="auto"/>
              </w:rPr>
              <w:t xml:space="preserve">Risk Management Framework  </w:t>
            </w:r>
          </w:p>
        </w:tc>
        <w:tc>
          <w:tcPr>
            <w:tcW w:w="6393" w:type="dxa"/>
          </w:tcPr>
          <w:p w14:paraId="676BF4DF" w14:textId="77777777"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Set of components that provide the foundations and organisational arrangements for designing, implementing, monitoring, reviewing and continually improving risk management throughout the organisation. </w:t>
            </w:r>
          </w:p>
        </w:tc>
      </w:tr>
      <w:tr w:rsidR="00155AC5" w:rsidRPr="00C3221B" w14:paraId="1BCAD9E0"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4CC6DBAF" w14:textId="77777777" w:rsidR="00155AC5" w:rsidRPr="00CF176F" w:rsidRDefault="00155AC5" w:rsidP="004033A2">
            <w:pPr>
              <w:pStyle w:val="bodycopy"/>
              <w:rPr>
                <w:color w:val="auto"/>
              </w:rPr>
            </w:pPr>
            <w:r w:rsidRPr="00CF176F">
              <w:rPr>
                <w:color w:val="auto"/>
              </w:rPr>
              <w:lastRenderedPageBreak/>
              <w:t>Secretary</w:t>
            </w:r>
          </w:p>
        </w:tc>
        <w:tc>
          <w:tcPr>
            <w:tcW w:w="6393" w:type="dxa"/>
          </w:tcPr>
          <w:p w14:paraId="03E6B047" w14:textId="6E3AFD39"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The head of a department is responsible to their </w:t>
            </w:r>
            <w:r w:rsidR="00D43DC6">
              <w:rPr>
                <w:color w:val="auto"/>
                <w:sz w:val="18"/>
              </w:rPr>
              <w:t>m</w:t>
            </w:r>
            <w:r w:rsidRPr="00CF176F">
              <w:rPr>
                <w:color w:val="auto"/>
                <w:sz w:val="18"/>
              </w:rPr>
              <w:t xml:space="preserve">inisters for the general conduct and the effective, efficient and economical management of the functions and activities of the department and administrative offices in relation to the department. </w:t>
            </w:r>
          </w:p>
          <w:p w14:paraId="44055641" w14:textId="7B5B2B2B"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Secretaries are the principal portfolio advisers to the </w:t>
            </w:r>
            <w:r w:rsidR="00D43DC6">
              <w:rPr>
                <w:color w:val="auto"/>
                <w:sz w:val="18"/>
              </w:rPr>
              <w:t>g</w:t>
            </w:r>
            <w:r w:rsidRPr="00CF176F">
              <w:rPr>
                <w:color w:val="auto"/>
                <w:sz w:val="18"/>
              </w:rPr>
              <w:t xml:space="preserve">overnment. They provide advice on policy matters and assist ministers to maintain an awareness of operations within their portfolios, often acting as the interface between ministers, public entities, administrative offices and stakeholders. See ‘public service body head’ as per definition in the </w:t>
            </w:r>
            <w:r w:rsidRPr="00CF176F">
              <w:rPr>
                <w:i/>
                <w:color w:val="auto"/>
                <w:sz w:val="18"/>
              </w:rPr>
              <w:t>Public Administration Act 2004</w:t>
            </w:r>
            <w:r w:rsidRPr="00CF176F">
              <w:rPr>
                <w:color w:val="auto"/>
                <w:sz w:val="18"/>
              </w:rPr>
              <w:t xml:space="preserve"> (Vic) s 4 and s 13.</w:t>
            </w:r>
          </w:p>
        </w:tc>
      </w:tr>
      <w:tr w:rsidR="00155AC5" w:rsidRPr="00C3221B" w14:paraId="791882D3"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50152D2E" w14:textId="77777777" w:rsidR="00155AC5" w:rsidRPr="00CF176F" w:rsidRDefault="00155AC5" w:rsidP="004033A2">
            <w:pPr>
              <w:pStyle w:val="bodycopy"/>
              <w:rPr>
                <w:color w:val="auto"/>
              </w:rPr>
            </w:pPr>
            <w:r w:rsidRPr="00CF176F">
              <w:rPr>
                <w:color w:val="auto"/>
              </w:rPr>
              <w:t>Service Agreement (SA)</w:t>
            </w:r>
          </w:p>
        </w:tc>
        <w:tc>
          <w:tcPr>
            <w:tcW w:w="6393" w:type="dxa"/>
          </w:tcPr>
          <w:p w14:paraId="57733080" w14:textId="536DA478"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Agreements (including Portfolio Service Agreements) between </w:t>
            </w:r>
            <w:r w:rsidR="000603F0">
              <w:rPr>
                <w:color w:val="auto"/>
                <w:sz w:val="18"/>
              </w:rPr>
              <w:t>DJSIR</w:t>
            </w:r>
            <w:r w:rsidRPr="00CF176F">
              <w:rPr>
                <w:color w:val="auto"/>
                <w:sz w:val="18"/>
              </w:rPr>
              <w:t xml:space="preserve"> and portfolio </w:t>
            </w:r>
            <w:r w:rsidR="00C81471">
              <w:rPr>
                <w:color w:val="auto"/>
                <w:sz w:val="18"/>
              </w:rPr>
              <w:t>entities</w:t>
            </w:r>
            <w:r w:rsidRPr="00CF176F">
              <w:rPr>
                <w:color w:val="auto"/>
                <w:sz w:val="18"/>
              </w:rPr>
              <w:t xml:space="preserve">, or the relevant </w:t>
            </w:r>
            <w:r w:rsidR="00D43DC6">
              <w:rPr>
                <w:color w:val="auto"/>
                <w:sz w:val="18"/>
              </w:rPr>
              <w:t>m</w:t>
            </w:r>
            <w:r w:rsidRPr="00CF176F">
              <w:rPr>
                <w:color w:val="auto"/>
                <w:sz w:val="18"/>
              </w:rPr>
              <w:t xml:space="preserve">inister and portfolio </w:t>
            </w:r>
            <w:r w:rsidR="00C81471">
              <w:rPr>
                <w:color w:val="auto"/>
                <w:sz w:val="18"/>
              </w:rPr>
              <w:t>entity</w:t>
            </w:r>
            <w:r w:rsidRPr="00CF176F">
              <w:rPr>
                <w:color w:val="auto"/>
                <w:sz w:val="18"/>
              </w:rPr>
              <w:t>/board that formalises the expectations on governance, planning and reporting</w:t>
            </w:r>
          </w:p>
        </w:tc>
      </w:tr>
      <w:tr w:rsidR="00155AC5" w:rsidRPr="00C3221B" w14:paraId="6322296D"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3C5FE12C" w14:textId="77777777" w:rsidR="00155AC5" w:rsidRPr="00CF176F" w:rsidRDefault="00155AC5" w:rsidP="004033A2">
            <w:pPr>
              <w:pStyle w:val="bodycopy"/>
              <w:rPr>
                <w:color w:val="auto"/>
              </w:rPr>
            </w:pPr>
            <w:r w:rsidRPr="00CF176F">
              <w:rPr>
                <w:color w:val="auto"/>
              </w:rPr>
              <w:t>Service level agreement (SLA)</w:t>
            </w:r>
          </w:p>
        </w:tc>
        <w:tc>
          <w:tcPr>
            <w:tcW w:w="6393" w:type="dxa"/>
          </w:tcPr>
          <w:p w14:paraId="454E2D06" w14:textId="0F416C19"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bookmarkStart w:id="164" w:name="_Hlk514223906"/>
            <w:r w:rsidRPr="00CF176F">
              <w:rPr>
                <w:color w:val="auto"/>
                <w:sz w:val="18"/>
              </w:rPr>
              <w:t xml:space="preserve">A document that formalises an agreement between the department and an </w:t>
            </w:r>
            <w:r w:rsidR="00C81471">
              <w:rPr>
                <w:color w:val="auto"/>
                <w:sz w:val="18"/>
              </w:rPr>
              <w:t>entity</w:t>
            </w:r>
            <w:r w:rsidRPr="00CF176F">
              <w:rPr>
                <w:color w:val="auto"/>
                <w:sz w:val="18"/>
              </w:rPr>
              <w:t xml:space="preserve"> which defines the scope and governs the provision of services (such as information technology, legal services, human resources, etc.).</w:t>
            </w:r>
            <w:bookmarkEnd w:id="164"/>
          </w:p>
        </w:tc>
      </w:tr>
      <w:tr w:rsidR="00155AC5" w:rsidRPr="00C3221B" w14:paraId="16CB3D1B"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309C2A2B" w14:textId="77777777" w:rsidR="00155AC5" w:rsidRPr="00CF176F" w:rsidRDefault="00155AC5" w:rsidP="004033A2">
            <w:pPr>
              <w:pStyle w:val="bodycopy"/>
              <w:rPr>
                <w:color w:val="auto"/>
              </w:rPr>
            </w:pPr>
            <w:r w:rsidRPr="00CF176F">
              <w:rPr>
                <w:color w:val="auto"/>
              </w:rPr>
              <w:t>Standing Directions</w:t>
            </w:r>
          </w:p>
        </w:tc>
        <w:tc>
          <w:tcPr>
            <w:tcW w:w="6393" w:type="dxa"/>
          </w:tcPr>
          <w:p w14:paraId="720A78DA" w14:textId="1293FBF9"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Refers to the </w:t>
            </w:r>
            <w:r w:rsidRPr="00CF176F">
              <w:rPr>
                <w:i/>
                <w:color w:val="auto"/>
                <w:sz w:val="18"/>
              </w:rPr>
              <w:t xml:space="preserve">Standing Directions under the Financial Management Act 1994 </w:t>
            </w:r>
            <w:r w:rsidRPr="00CF176F">
              <w:rPr>
                <w:color w:val="auto"/>
                <w:sz w:val="18"/>
              </w:rPr>
              <w:t xml:space="preserve">issued under section 8 of the </w:t>
            </w:r>
            <w:r w:rsidRPr="00CF176F">
              <w:rPr>
                <w:i/>
                <w:color w:val="auto"/>
                <w:sz w:val="18"/>
              </w:rPr>
              <w:t xml:space="preserve">Financial Management Act 1994 (FMA), </w:t>
            </w:r>
            <w:r w:rsidRPr="00CF176F">
              <w:rPr>
                <w:color w:val="auto"/>
                <w:sz w:val="18"/>
              </w:rPr>
              <w:t xml:space="preserve">which sets the standard for financial management by Victorian Government </w:t>
            </w:r>
            <w:r w:rsidR="00C81471">
              <w:rPr>
                <w:color w:val="auto"/>
                <w:sz w:val="18"/>
              </w:rPr>
              <w:t>entities</w:t>
            </w:r>
            <w:r w:rsidRPr="00CF176F">
              <w:rPr>
                <w:color w:val="auto"/>
                <w:sz w:val="18"/>
              </w:rPr>
              <w:t xml:space="preserve">. </w:t>
            </w:r>
          </w:p>
        </w:tc>
      </w:tr>
      <w:tr w:rsidR="00155AC5" w:rsidRPr="00C3221B" w14:paraId="55593163"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0DF3FCAB" w14:textId="77777777" w:rsidR="00155AC5" w:rsidRPr="00CF176F" w:rsidRDefault="00155AC5" w:rsidP="004033A2">
            <w:pPr>
              <w:pStyle w:val="bodycopy"/>
              <w:rPr>
                <w:color w:val="auto"/>
              </w:rPr>
            </w:pPr>
            <w:r w:rsidRPr="00CF176F">
              <w:rPr>
                <w:color w:val="auto"/>
              </w:rPr>
              <w:t>State owned enterprise</w:t>
            </w:r>
          </w:p>
        </w:tc>
        <w:tc>
          <w:tcPr>
            <w:tcW w:w="6393" w:type="dxa"/>
          </w:tcPr>
          <w:p w14:paraId="6430E703"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State owned enterprises are a public sector form of entity. They are established under the </w:t>
            </w:r>
            <w:r w:rsidRPr="00CF176F">
              <w:rPr>
                <w:i/>
                <w:color w:val="auto"/>
                <w:sz w:val="18"/>
              </w:rPr>
              <w:t>State Owned Enterprises Act 1992</w:t>
            </w:r>
            <w:r w:rsidRPr="00CF176F">
              <w:rPr>
                <w:color w:val="auto"/>
                <w:sz w:val="18"/>
              </w:rPr>
              <w:t xml:space="preserve">. There are four types: </w:t>
            </w:r>
          </w:p>
          <w:p w14:paraId="431B5573" w14:textId="4BE3B13E" w:rsidR="00155AC5" w:rsidRPr="00CF176F" w:rsidRDefault="00155AC5" w:rsidP="004033A2">
            <w:pPr>
              <w:pStyle w:val="ListBullet"/>
              <w:cnfStyle w:val="000000000000" w:firstRow="0" w:lastRow="0" w:firstColumn="0" w:lastColumn="0" w:oddVBand="0" w:evenVBand="0" w:oddHBand="0" w:evenHBand="0" w:firstRowFirstColumn="0" w:firstRowLastColumn="0" w:lastRowFirstColumn="0" w:lastRowLastColumn="0"/>
              <w:rPr>
                <w:color w:val="auto"/>
                <w:sz w:val="20"/>
              </w:rPr>
            </w:pPr>
            <w:r w:rsidRPr="00CF176F">
              <w:rPr>
                <w:b/>
                <w:color w:val="auto"/>
              </w:rPr>
              <w:t>State body:</w:t>
            </w:r>
            <w:r w:rsidRPr="00CF176F">
              <w:rPr>
                <w:color w:val="auto"/>
              </w:rPr>
              <w:t xml:space="preserve"> a general form of entity that does not have a specific purpose: rather the purpose, functions and powers of a </w:t>
            </w:r>
            <w:r w:rsidR="00D43DC6">
              <w:rPr>
                <w:color w:val="auto"/>
              </w:rPr>
              <w:t>s</w:t>
            </w:r>
            <w:r w:rsidRPr="00CF176F">
              <w:rPr>
                <w:color w:val="auto"/>
              </w:rPr>
              <w:t>tate body are described in the Order which establishes the body</w:t>
            </w:r>
          </w:p>
          <w:p w14:paraId="0AAA042F" w14:textId="77777777" w:rsidR="00155AC5" w:rsidRPr="00CF176F" w:rsidRDefault="00155AC5" w:rsidP="004033A2">
            <w:pPr>
              <w:pStyle w:val="ListBullet"/>
              <w:cnfStyle w:val="000000000000" w:firstRow="0" w:lastRow="0" w:firstColumn="0" w:lastColumn="0" w:oddVBand="0" w:evenVBand="0" w:oddHBand="0" w:evenHBand="0" w:firstRowFirstColumn="0" w:firstRowLastColumn="0" w:lastRowFirstColumn="0" w:lastRowLastColumn="0"/>
              <w:rPr>
                <w:color w:val="auto"/>
                <w:sz w:val="20"/>
              </w:rPr>
            </w:pPr>
            <w:r w:rsidRPr="00CF176F">
              <w:rPr>
                <w:b/>
                <w:color w:val="auto"/>
              </w:rPr>
              <w:t>State business corporation:</w:t>
            </w:r>
            <w:r w:rsidRPr="00CF176F">
              <w:rPr>
                <w:color w:val="auto"/>
              </w:rPr>
              <w:t xml:space="preserve">  an entity that in general has a commercial focus and has a skills-based board that operates its business as efficiently as possible.</w:t>
            </w:r>
          </w:p>
          <w:p w14:paraId="376F25AA" w14:textId="501F6BEE" w:rsidR="00155AC5" w:rsidRPr="00CF176F" w:rsidRDefault="00155AC5" w:rsidP="004033A2">
            <w:pPr>
              <w:pStyle w:val="ListBullet"/>
              <w:cnfStyle w:val="000000000000" w:firstRow="0" w:lastRow="0" w:firstColumn="0" w:lastColumn="0" w:oddVBand="0" w:evenVBand="0" w:oddHBand="0" w:evenHBand="0" w:firstRowFirstColumn="0" w:firstRowLastColumn="0" w:lastRowFirstColumn="0" w:lastRowLastColumn="0"/>
              <w:rPr>
                <w:color w:val="auto"/>
                <w:sz w:val="20"/>
              </w:rPr>
            </w:pPr>
            <w:r w:rsidRPr="00CF176F">
              <w:rPr>
                <w:b/>
                <w:color w:val="auto"/>
              </w:rPr>
              <w:t>State owned company:</w:t>
            </w:r>
            <w:r w:rsidRPr="00CF176F">
              <w:rPr>
                <w:color w:val="auto"/>
              </w:rPr>
              <w:t xml:space="preserve">  a </w:t>
            </w:r>
            <w:r w:rsidRPr="00CF176F">
              <w:rPr>
                <w:i/>
                <w:color w:val="auto"/>
              </w:rPr>
              <w:t>Corporations Act</w:t>
            </w:r>
            <w:r w:rsidRPr="00CF176F">
              <w:rPr>
                <w:color w:val="auto"/>
              </w:rPr>
              <w:t xml:space="preserve"> company declared as a </w:t>
            </w:r>
            <w:r w:rsidR="00D43DC6">
              <w:rPr>
                <w:color w:val="auto"/>
              </w:rPr>
              <w:t>s</w:t>
            </w:r>
            <w:r w:rsidRPr="00CF176F">
              <w:rPr>
                <w:color w:val="auto"/>
              </w:rPr>
              <w:t>tate owned company under the State Owned Enterprises Act. This is the most commercial structure available under the Act.</w:t>
            </w:r>
          </w:p>
          <w:p w14:paraId="3E04B324" w14:textId="77A34C7F" w:rsidR="00155AC5" w:rsidRPr="00CF176F" w:rsidRDefault="00155AC5" w:rsidP="004033A2">
            <w:pPr>
              <w:pStyle w:val="ListBullet"/>
              <w:cnfStyle w:val="000000000000" w:firstRow="0" w:lastRow="0" w:firstColumn="0" w:lastColumn="0" w:oddVBand="0" w:evenVBand="0" w:oddHBand="0" w:evenHBand="0" w:firstRowFirstColumn="0" w:firstRowLastColumn="0" w:lastRowFirstColumn="0" w:lastRowLastColumn="0"/>
              <w:rPr>
                <w:color w:val="auto"/>
                <w:sz w:val="20"/>
              </w:rPr>
            </w:pPr>
            <w:r w:rsidRPr="00CF176F">
              <w:rPr>
                <w:b/>
                <w:color w:val="auto"/>
              </w:rPr>
              <w:t>Reorganising body:</w:t>
            </w:r>
            <w:r w:rsidRPr="00CF176F">
              <w:rPr>
                <w:color w:val="auto"/>
              </w:rPr>
              <w:t xml:space="preserve"> a public entity can be declared to be a reorganising body in order to conduct or to facilitate a reorganisation of the entity. This type of </w:t>
            </w:r>
            <w:r w:rsidR="00D43DC6">
              <w:rPr>
                <w:color w:val="auto"/>
              </w:rPr>
              <w:t>s</w:t>
            </w:r>
            <w:r w:rsidRPr="00CF176F">
              <w:rPr>
                <w:color w:val="auto"/>
              </w:rPr>
              <w:t xml:space="preserve">tate owned enterprise allows the </w:t>
            </w:r>
            <w:r w:rsidR="00D43DC6">
              <w:rPr>
                <w:color w:val="auto"/>
              </w:rPr>
              <w:t>g</w:t>
            </w:r>
            <w:r w:rsidRPr="00CF176F">
              <w:rPr>
                <w:color w:val="auto"/>
              </w:rPr>
              <w:t xml:space="preserve">overnor in </w:t>
            </w:r>
            <w:r w:rsidR="00D43DC6">
              <w:rPr>
                <w:color w:val="auto"/>
              </w:rPr>
              <w:t>c</w:t>
            </w:r>
            <w:r w:rsidRPr="00CF176F">
              <w:rPr>
                <w:color w:val="auto"/>
              </w:rPr>
              <w:t>ouncil to make changes to its constitution, governance arrangements and capital structure.</w:t>
            </w:r>
          </w:p>
        </w:tc>
      </w:tr>
      <w:tr w:rsidR="00155AC5" w:rsidRPr="00C3221B" w14:paraId="5C8E59A1"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59C87D7A" w14:textId="77777777" w:rsidR="00155AC5" w:rsidRPr="00CF176F" w:rsidRDefault="00155AC5" w:rsidP="004033A2">
            <w:pPr>
              <w:pStyle w:val="bodycopy"/>
              <w:rPr>
                <w:color w:val="auto"/>
              </w:rPr>
            </w:pPr>
            <w:r w:rsidRPr="00CF176F">
              <w:rPr>
                <w:color w:val="auto"/>
              </w:rPr>
              <w:t>Statement of Expectations (SOE)</w:t>
            </w:r>
          </w:p>
        </w:tc>
        <w:tc>
          <w:tcPr>
            <w:tcW w:w="6393" w:type="dxa"/>
          </w:tcPr>
          <w:p w14:paraId="7B829B57" w14:textId="04B167F9"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A governing document setting out a minister’s expectations of an </w:t>
            </w:r>
            <w:r w:rsidR="00C81471">
              <w:rPr>
                <w:color w:val="auto"/>
                <w:sz w:val="18"/>
              </w:rPr>
              <w:t>entity</w:t>
            </w:r>
            <w:r w:rsidRPr="00CF176F">
              <w:rPr>
                <w:color w:val="auto"/>
                <w:sz w:val="18"/>
              </w:rPr>
              <w:t>, in areas such as relevant government objectives and performance targets.</w:t>
            </w:r>
          </w:p>
        </w:tc>
      </w:tr>
      <w:tr w:rsidR="00155AC5" w:rsidRPr="00C3221B" w14:paraId="2F27FA29"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5C116D99" w14:textId="77777777" w:rsidR="00155AC5" w:rsidRPr="00CF176F" w:rsidRDefault="00155AC5" w:rsidP="004033A2">
            <w:pPr>
              <w:pStyle w:val="bodycopy"/>
              <w:rPr>
                <w:color w:val="auto"/>
              </w:rPr>
            </w:pPr>
            <w:r w:rsidRPr="00CF176F">
              <w:rPr>
                <w:color w:val="auto"/>
              </w:rPr>
              <w:t>Statutory Office</w:t>
            </w:r>
          </w:p>
        </w:tc>
        <w:tc>
          <w:tcPr>
            <w:tcW w:w="6393" w:type="dxa"/>
          </w:tcPr>
          <w:p w14:paraId="23A666F1" w14:textId="18F67C39"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Statutory </w:t>
            </w:r>
            <w:r w:rsidR="00D43DC6">
              <w:rPr>
                <w:color w:val="auto"/>
                <w:sz w:val="18"/>
              </w:rPr>
              <w:t>o</w:t>
            </w:r>
            <w:r w:rsidRPr="00CF176F">
              <w:rPr>
                <w:color w:val="auto"/>
                <w:sz w:val="18"/>
              </w:rPr>
              <w:t xml:space="preserve">ffices are a Victorian public sector organisational form. They are established under enabling legislation to carry out a set of functions with some autonomy from </w:t>
            </w:r>
            <w:r w:rsidR="00D43DC6">
              <w:rPr>
                <w:color w:val="auto"/>
                <w:sz w:val="18"/>
              </w:rPr>
              <w:t>m</w:t>
            </w:r>
            <w:r w:rsidRPr="00CF176F">
              <w:rPr>
                <w:color w:val="auto"/>
                <w:sz w:val="18"/>
              </w:rPr>
              <w:t xml:space="preserve">inisters and the department. </w:t>
            </w:r>
          </w:p>
          <w:p w14:paraId="41C7F5A8"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p>
        </w:tc>
      </w:tr>
      <w:tr w:rsidR="00155AC5" w:rsidRPr="00C3221B" w14:paraId="1D5B45DA"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2BB4BF5A" w14:textId="77777777" w:rsidR="00155AC5" w:rsidRPr="00CF176F" w:rsidRDefault="00155AC5" w:rsidP="004033A2">
            <w:pPr>
              <w:pStyle w:val="bodycopy"/>
              <w:rPr>
                <w:color w:val="auto"/>
              </w:rPr>
            </w:pPr>
            <w:r w:rsidRPr="00CF176F">
              <w:rPr>
                <w:color w:val="auto"/>
              </w:rPr>
              <w:t>Strategic plan</w:t>
            </w:r>
          </w:p>
        </w:tc>
        <w:tc>
          <w:tcPr>
            <w:tcW w:w="6393" w:type="dxa"/>
          </w:tcPr>
          <w:p w14:paraId="501DABF9" w14:textId="24EE77B4"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A strategic plan is a document that sets out the </w:t>
            </w:r>
            <w:r w:rsidR="00C81471">
              <w:rPr>
                <w:color w:val="auto"/>
                <w:sz w:val="18"/>
              </w:rPr>
              <w:t>entity</w:t>
            </w:r>
            <w:r w:rsidRPr="00CF176F">
              <w:rPr>
                <w:color w:val="auto"/>
                <w:sz w:val="18"/>
              </w:rPr>
              <w:t xml:space="preserve">’s objectives, desired outcomes and strategic priorities. </w:t>
            </w:r>
          </w:p>
        </w:tc>
      </w:tr>
      <w:tr w:rsidR="00155AC5" w:rsidRPr="00C3221B" w14:paraId="1C26A0C3"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5193803B" w14:textId="77777777" w:rsidR="00155AC5" w:rsidRPr="00CF176F" w:rsidRDefault="00155AC5" w:rsidP="004033A2">
            <w:pPr>
              <w:pStyle w:val="bodycopy"/>
              <w:rPr>
                <w:b w:val="0"/>
                <w:color w:val="auto"/>
              </w:rPr>
            </w:pPr>
            <w:r w:rsidRPr="00CF176F">
              <w:rPr>
                <w:color w:val="auto"/>
              </w:rPr>
              <w:t>Treatment plan</w:t>
            </w:r>
          </w:p>
        </w:tc>
        <w:tc>
          <w:tcPr>
            <w:tcW w:w="6393" w:type="dxa"/>
          </w:tcPr>
          <w:p w14:paraId="22AB2E94"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The treatment plan articulates the means and mechanisms to address issues and risks raised in the health assessment.</w:t>
            </w:r>
          </w:p>
        </w:tc>
      </w:tr>
      <w:tr w:rsidR="00155AC5" w:rsidRPr="00C3221B" w14:paraId="3C0C6990"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10F206C6" w14:textId="77777777" w:rsidR="00155AC5" w:rsidRPr="00CF176F" w:rsidRDefault="00155AC5" w:rsidP="004033A2">
            <w:pPr>
              <w:pStyle w:val="bodycopy"/>
              <w:rPr>
                <w:color w:val="auto"/>
              </w:rPr>
            </w:pPr>
            <w:r w:rsidRPr="00CF176F">
              <w:rPr>
                <w:color w:val="auto"/>
              </w:rPr>
              <w:t>Treatment rating</w:t>
            </w:r>
          </w:p>
        </w:tc>
        <w:tc>
          <w:tcPr>
            <w:tcW w:w="6393" w:type="dxa"/>
          </w:tcPr>
          <w:p w14:paraId="2FFA9AAB" w14:textId="77777777"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 xml:space="preserve">The type of action to be taken in response to a health assessment rating. There are three types of actions: ‘Accept’, ‘Monitor’ or ‘Escalate’. </w:t>
            </w:r>
          </w:p>
        </w:tc>
      </w:tr>
      <w:tr w:rsidR="00155AC5" w:rsidRPr="00C3221B" w14:paraId="50FB80EA"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433A922D" w14:textId="77777777" w:rsidR="00155AC5" w:rsidRPr="00CF176F" w:rsidRDefault="00155AC5" w:rsidP="004033A2">
            <w:pPr>
              <w:pStyle w:val="bodycopy"/>
              <w:rPr>
                <w:color w:val="auto"/>
              </w:rPr>
            </w:pPr>
            <w:r w:rsidRPr="00CF176F">
              <w:rPr>
                <w:color w:val="auto"/>
              </w:rPr>
              <w:lastRenderedPageBreak/>
              <w:t>Unincorporated Joint Venture</w:t>
            </w:r>
          </w:p>
        </w:tc>
        <w:tc>
          <w:tcPr>
            <w:tcW w:w="6393" w:type="dxa"/>
          </w:tcPr>
          <w:p w14:paraId="3906B286" w14:textId="310B7B8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 xml:space="preserve">An unincorporated joint venture is a joint arrangement whereby the parties that have joint control of the arrangement have rights to the net assets of the arrangement. They are established between two or more organisations usually for a specific project.  </w:t>
            </w:r>
            <w:r w:rsidRPr="00CF176F">
              <w:rPr>
                <w:i/>
                <w:color w:val="auto"/>
                <w:sz w:val="18"/>
              </w:rPr>
              <w:t xml:space="preserve"> </w:t>
            </w:r>
          </w:p>
        </w:tc>
      </w:tr>
      <w:tr w:rsidR="00155AC5" w:rsidRPr="00C3221B" w14:paraId="5CF76E53" w14:textId="77777777" w:rsidTr="004033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14:paraId="5B8D80B9" w14:textId="77777777" w:rsidR="00155AC5" w:rsidRPr="00CF176F" w:rsidRDefault="00155AC5" w:rsidP="004033A2">
            <w:pPr>
              <w:pStyle w:val="bodycopy"/>
              <w:rPr>
                <w:color w:val="auto"/>
              </w:rPr>
            </w:pPr>
            <w:r w:rsidRPr="00CF176F">
              <w:rPr>
                <w:color w:val="auto"/>
              </w:rPr>
              <w:t>Victorian Managed Insurance Authority (VMIA)</w:t>
            </w:r>
          </w:p>
        </w:tc>
        <w:tc>
          <w:tcPr>
            <w:tcW w:w="6393" w:type="dxa"/>
          </w:tcPr>
          <w:p w14:paraId="5E9032BD" w14:textId="114CD37F" w:rsidR="00155AC5" w:rsidRPr="00CF176F" w:rsidRDefault="00155AC5" w:rsidP="004033A2">
            <w:pPr>
              <w:pStyle w:val="bodycopy"/>
              <w:cnfStyle w:val="000000100000" w:firstRow="0" w:lastRow="0" w:firstColumn="0" w:lastColumn="0" w:oddVBand="0" w:evenVBand="0" w:oddHBand="1" w:evenHBand="0" w:firstRowFirstColumn="0" w:firstRowLastColumn="0" w:lastRowFirstColumn="0" w:lastRowLastColumn="0"/>
              <w:rPr>
                <w:color w:val="auto"/>
                <w:sz w:val="18"/>
              </w:rPr>
            </w:pPr>
            <w:r w:rsidRPr="00CF176F">
              <w:rPr>
                <w:color w:val="auto"/>
                <w:sz w:val="18"/>
              </w:rPr>
              <w:t>Provides insurance and risk advice to the State Government of Victoria</w:t>
            </w:r>
            <w:r w:rsidR="00BB48FF">
              <w:rPr>
                <w:color w:val="auto"/>
                <w:sz w:val="18"/>
              </w:rPr>
              <w:t>.</w:t>
            </w:r>
          </w:p>
        </w:tc>
      </w:tr>
      <w:tr w:rsidR="00155AC5" w:rsidRPr="00C3221B" w14:paraId="6715FFA4" w14:textId="77777777" w:rsidTr="004033A2">
        <w:trPr>
          <w:cantSplit/>
        </w:trPr>
        <w:tc>
          <w:tcPr>
            <w:cnfStyle w:val="001000000000" w:firstRow="0" w:lastRow="0" w:firstColumn="1" w:lastColumn="0" w:oddVBand="0" w:evenVBand="0" w:oddHBand="0" w:evenHBand="0" w:firstRowFirstColumn="0" w:firstRowLastColumn="0" w:lastRowFirstColumn="0" w:lastRowLastColumn="0"/>
            <w:tcW w:w="3085" w:type="dxa"/>
          </w:tcPr>
          <w:p w14:paraId="1B50550C" w14:textId="77777777" w:rsidR="00155AC5" w:rsidRPr="00CF176F" w:rsidRDefault="00155AC5" w:rsidP="004033A2">
            <w:pPr>
              <w:pStyle w:val="bodycopy"/>
              <w:rPr>
                <w:color w:val="auto"/>
              </w:rPr>
            </w:pPr>
            <w:r w:rsidRPr="00CF176F">
              <w:rPr>
                <w:color w:val="auto"/>
              </w:rPr>
              <w:t>Victorian Public Sector Commission (VPSC)</w:t>
            </w:r>
          </w:p>
        </w:tc>
        <w:tc>
          <w:tcPr>
            <w:tcW w:w="6393" w:type="dxa"/>
          </w:tcPr>
          <w:p w14:paraId="73DB809A" w14:textId="5BA70BFD"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Responsible for enhancing the performance of the public sector by fostering the development of an efficient, integrated</w:t>
            </w:r>
            <w:r w:rsidR="00CF176F" w:rsidRPr="00CF176F">
              <w:rPr>
                <w:color w:val="auto"/>
                <w:sz w:val="18"/>
              </w:rPr>
              <w:t>,</w:t>
            </w:r>
            <w:r w:rsidRPr="00CF176F">
              <w:rPr>
                <w:color w:val="auto"/>
                <w:sz w:val="18"/>
              </w:rPr>
              <w:t xml:space="preserve"> and responsive public sector which is highly ethical, accountable and professional in the ways it delivers services to the Victorian community.</w:t>
            </w:r>
          </w:p>
          <w:p w14:paraId="46E18C94" w14:textId="77777777" w:rsidR="00155AC5" w:rsidRPr="00CF176F" w:rsidRDefault="00155AC5" w:rsidP="004033A2">
            <w:pPr>
              <w:pStyle w:val="bodycopy"/>
              <w:cnfStyle w:val="000000000000" w:firstRow="0" w:lastRow="0" w:firstColumn="0" w:lastColumn="0" w:oddVBand="0" w:evenVBand="0" w:oddHBand="0" w:evenHBand="0" w:firstRowFirstColumn="0" w:firstRowLastColumn="0" w:lastRowFirstColumn="0" w:lastRowLastColumn="0"/>
              <w:rPr>
                <w:color w:val="auto"/>
                <w:sz w:val="18"/>
              </w:rPr>
            </w:pPr>
            <w:r w:rsidRPr="00CF176F">
              <w:rPr>
                <w:color w:val="auto"/>
                <w:sz w:val="18"/>
              </w:rPr>
              <w:t>The key functions of the VPSC are to:</w:t>
            </w:r>
          </w:p>
          <w:p w14:paraId="55DAF4B0" w14:textId="72FDEF1C" w:rsidR="00155AC5" w:rsidRPr="00CF176F" w:rsidRDefault="00155AC5" w:rsidP="004033A2">
            <w:pPr>
              <w:pStyle w:val="ListBullet"/>
              <w:cnfStyle w:val="000000000000" w:firstRow="0" w:lastRow="0" w:firstColumn="0" w:lastColumn="0" w:oddVBand="0" w:evenVBand="0" w:oddHBand="0" w:evenHBand="0" w:firstRowFirstColumn="0" w:firstRowLastColumn="0" w:lastRowFirstColumn="0" w:lastRowLastColumn="0"/>
              <w:rPr>
                <w:color w:val="auto"/>
              </w:rPr>
            </w:pPr>
            <w:r w:rsidRPr="00CF176F">
              <w:rPr>
                <w:color w:val="auto"/>
              </w:rPr>
              <w:t>strengthen the efficiency, effectiveness</w:t>
            </w:r>
            <w:r w:rsidR="00CF176F" w:rsidRPr="00CF176F">
              <w:rPr>
                <w:color w:val="auto"/>
              </w:rPr>
              <w:t>,</w:t>
            </w:r>
            <w:r w:rsidRPr="00CF176F">
              <w:rPr>
                <w:color w:val="auto"/>
              </w:rPr>
              <w:t xml:space="preserve"> and capability of the public sector in order to meet existing and emerging needs and deliver high quality services; and</w:t>
            </w:r>
          </w:p>
          <w:p w14:paraId="4BE9E57E" w14:textId="77777777" w:rsidR="00155AC5" w:rsidRPr="00CF176F" w:rsidRDefault="00155AC5" w:rsidP="004033A2">
            <w:pPr>
              <w:pStyle w:val="ListBullet"/>
              <w:cnfStyle w:val="000000000000" w:firstRow="0" w:lastRow="0" w:firstColumn="0" w:lastColumn="0" w:oddVBand="0" w:evenVBand="0" w:oddHBand="0" w:evenHBand="0" w:firstRowFirstColumn="0" w:firstRowLastColumn="0" w:lastRowFirstColumn="0" w:lastRowLastColumn="0"/>
              <w:rPr>
                <w:color w:val="auto"/>
              </w:rPr>
            </w:pPr>
            <w:r w:rsidRPr="00CF176F">
              <w:rPr>
                <w:color w:val="auto"/>
              </w:rPr>
              <w:t>maintain and advocate for public sector professionalism and integrity.</w:t>
            </w:r>
          </w:p>
        </w:tc>
      </w:tr>
    </w:tbl>
    <w:p w14:paraId="51FD33DC" w14:textId="77777777" w:rsidR="00155AC5" w:rsidRDefault="00155AC5" w:rsidP="00155AC5">
      <w:pPr>
        <w:rPr>
          <w:rStyle w:val="FooterChar"/>
          <w:color w:val="1F4E79"/>
        </w:rPr>
      </w:pPr>
    </w:p>
    <w:p w14:paraId="4D3C3E5F" w14:textId="6742B1E4" w:rsidR="00F51413" w:rsidRDefault="00F51413" w:rsidP="00F51413">
      <w:pPr>
        <w:pStyle w:val="Heading1"/>
      </w:pPr>
    </w:p>
    <w:p w14:paraId="646045EE" w14:textId="575868D6" w:rsidR="0020678C" w:rsidRDefault="0020678C" w:rsidP="009F2C7A"/>
    <w:p w14:paraId="1F1FFCD5" w14:textId="77777777" w:rsidR="0020678C" w:rsidRDefault="0020678C" w:rsidP="009F2C7A"/>
    <w:p w14:paraId="6DB042BA" w14:textId="77777777" w:rsidR="0020678C" w:rsidRDefault="0020678C" w:rsidP="009F2C7A"/>
    <w:p w14:paraId="371A322D" w14:textId="77777777" w:rsidR="0020678C" w:rsidRDefault="0020678C" w:rsidP="009F2C7A"/>
    <w:p w14:paraId="5AE1186E" w14:textId="77777777" w:rsidR="0020678C" w:rsidRDefault="0020678C" w:rsidP="009F2C7A"/>
    <w:p w14:paraId="12E4B804" w14:textId="77777777" w:rsidR="0020678C" w:rsidRDefault="0020678C" w:rsidP="009F2C7A"/>
    <w:p w14:paraId="60C40F1F" w14:textId="77777777" w:rsidR="0020678C" w:rsidRDefault="0020678C" w:rsidP="009F2C7A"/>
    <w:p w14:paraId="0D860941" w14:textId="77777777" w:rsidR="0020678C" w:rsidRDefault="0020678C" w:rsidP="009F2C7A"/>
    <w:p w14:paraId="0BCE3075" w14:textId="77777777" w:rsidR="0020678C" w:rsidRDefault="0020678C" w:rsidP="009F2C7A"/>
    <w:p w14:paraId="1E3BB563" w14:textId="77777777" w:rsidR="0020678C" w:rsidRDefault="0020678C" w:rsidP="009F2C7A"/>
    <w:p w14:paraId="6664DD94" w14:textId="77777777" w:rsidR="0020678C" w:rsidRDefault="0020678C" w:rsidP="009F2C7A"/>
    <w:p w14:paraId="474637BB" w14:textId="77777777" w:rsidR="0020678C" w:rsidRDefault="0020678C" w:rsidP="009F2C7A"/>
    <w:p w14:paraId="620BE367" w14:textId="77777777" w:rsidR="0020678C" w:rsidRDefault="0020678C" w:rsidP="009F2C7A"/>
    <w:p w14:paraId="364831ED" w14:textId="77777777" w:rsidR="0020678C" w:rsidRDefault="0020678C" w:rsidP="009F2C7A"/>
    <w:p w14:paraId="24BE04F1" w14:textId="77777777" w:rsidR="0020678C" w:rsidRDefault="0020678C" w:rsidP="009F2C7A"/>
    <w:p w14:paraId="11E3A93A" w14:textId="77777777" w:rsidR="0020678C" w:rsidRDefault="0020678C" w:rsidP="009F2C7A"/>
    <w:p w14:paraId="13CA85CB" w14:textId="77777777" w:rsidR="0020678C" w:rsidRDefault="0020678C" w:rsidP="009F2C7A"/>
    <w:p w14:paraId="34EE1429" w14:textId="77777777" w:rsidR="0020678C" w:rsidRDefault="0020678C" w:rsidP="009F2C7A"/>
    <w:p w14:paraId="11C96B15" w14:textId="77777777" w:rsidR="0020678C" w:rsidRDefault="0020678C" w:rsidP="009F2C7A"/>
    <w:p w14:paraId="54911A20" w14:textId="493594A1" w:rsidR="004F0384" w:rsidRDefault="009F2C7A" w:rsidP="000603F0">
      <w:r w:rsidRPr="00E02831">
        <w:t xml:space="preserve">Copyright State of Victoria, </w:t>
      </w:r>
      <w:r w:rsidRPr="00E02831">
        <w:br/>
        <w:t xml:space="preserve">Department of Jobs, </w:t>
      </w:r>
      <w:r w:rsidR="0091326E">
        <w:t>Skills, Industry</w:t>
      </w:r>
      <w:r w:rsidR="0091326E" w:rsidRPr="005E284D">
        <w:t xml:space="preserve"> </w:t>
      </w:r>
      <w:r w:rsidRPr="005E284D">
        <w:t>and Regions</w:t>
      </w:r>
      <w:r w:rsidRPr="00E02831">
        <w:t xml:space="preserve"> </w:t>
      </w:r>
      <w:r w:rsidR="0091326E">
        <w:t>2024</w:t>
      </w:r>
    </w:p>
    <w:sectPr w:rsidR="004F0384" w:rsidSect="004F0384">
      <w:headerReference w:type="even" r:id="rId215"/>
      <w:headerReference w:type="default" r:id="rId216"/>
      <w:footerReference w:type="default" r:id="rId217"/>
      <w:headerReference w:type="first" r:id="rId218"/>
      <w:pgSz w:w="11906" w:h="16838" w:code="9"/>
      <w:pgMar w:top="2268" w:right="1361" w:bottom="1701" w:left="1361" w:header="28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0395" w14:textId="77777777" w:rsidR="00836A89" w:rsidRDefault="00836A89" w:rsidP="00123BB4">
      <w:r>
        <w:separator/>
      </w:r>
    </w:p>
  </w:endnote>
  <w:endnote w:type="continuationSeparator" w:id="0">
    <w:p w14:paraId="64A0BA4C" w14:textId="77777777" w:rsidR="00836A89" w:rsidRDefault="00836A89" w:rsidP="00123BB4">
      <w:r>
        <w:continuationSeparator/>
      </w:r>
    </w:p>
  </w:endnote>
  <w:endnote w:type="continuationNotice" w:id="1">
    <w:p w14:paraId="01807249" w14:textId="77777777" w:rsidR="00836A89" w:rsidRDefault="00836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012044"/>
      <w:docPartObj>
        <w:docPartGallery w:val="Page Numbers (Bottom of Page)"/>
        <w:docPartUnique/>
      </w:docPartObj>
    </w:sdtPr>
    <w:sdtEndPr>
      <w:rPr>
        <w:rStyle w:val="PageNumber"/>
      </w:rPr>
    </w:sdtEndPr>
    <w:sdtContent>
      <w:p w14:paraId="07262AD0" w14:textId="77777777" w:rsidR="00A976CE" w:rsidRDefault="00A976C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452263" w14:textId="77777777" w:rsidR="00A976CE" w:rsidRDefault="00A976CE" w:rsidP="00123BB4">
    <w:pPr>
      <w:pStyle w:val="Footer"/>
    </w:pPr>
    <w:r>
      <w:rPr>
        <w:noProof/>
      </w:rPr>
      <mc:AlternateContent>
        <mc:Choice Requires="wps">
          <w:drawing>
            <wp:inline distT="0" distB="0" distL="0" distR="0" wp14:anchorId="381532F5" wp14:editId="49FD3916">
              <wp:extent cx="443865" cy="443865"/>
              <wp:effectExtent l="0" t="0" r="18415" b="0"/>
              <wp:docPr id="57" name="Text Box 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780D72"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381532F5" id="_x0000_t202" coordsize="21600,21600" o:spt="202" path="m,l,21600r21600,l21600,xe">
              <v:stroke joinstyle="miter"/>
              <v:path gradientshapeok="t" o:connecttype="rect"/>
            </v:shapetype>
            <v:shape id="Text Box 57" o:spid="_x0000_s1032"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6780D72" w14:textId="77777777" w:rsidR="00A976CE" w:rsidRPr="00E6749C" w:rsidRDefault="00A976CE"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51C1" w14:textId="18982996" w:rsidR="00A976CE" w:rsidRDefault="00126477" w:rsidP="00123BB4">
    <w:pPr>
      <w:pStyle w:val="Footer"/>
    </w:pPr>
    <w:r>
      <w:rPr>
        <w:noProof/>
      </w:rPr>
      <mc:AlternateContent>
        <mc:Choice Requires="wps">
          <w:drawing>
            <wp:anchor distT="0" distB="0" distL="114300" distR="114300" simplePos="1" relativeHeight="251659307" behindDoc="0" locked="0" layoutInCell="0" allowOverlap="1" wp14:anchorId="20802FBE" wp14:editId="6615F55C">
              <wp:simplePos x="0" y="10249218"/>
              <wp:positionH relativeFrom="page">
                <wp:posOffset>0</wp:posOffset>
              </wp:positionH>
              <wp:positionV relativeFrom="page">
                <wp:posOffset>10248900</wp:posOffset>
              </wp:positionV>
              <wp:extent cx="7560310" cy="252095"/>
              <wp:effectExtent l="0" t="0" r="0" b="14605"/>
              <wp:wrapNone/>
              <wp:docPr id="31" name="MSIPCMf35d43ef932e4c1b27a0d6c8"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5A4E7C" w14:textId="490B80E9" w:rsidR="00126477" w:rsidRPr="00126477" w:rsidRDefault="00126477" w:rsidP="00126477">
                          <w:pPr>
                            <w:spacing w:after="0"/>
                            <w:jc w:val="center"/>
                            <w:rPr>
                              <w:sz w:val="24"/>
                            </w:rPr>
                          </w:pPr>
                          <w:r w:rsidRPr="0012647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802FBE" id="_x0000_t202" coordsize="21600,21600" o:spt="202" path="m,l,21600r21600,l21600,xe">
              <v:stroke joinstyle="miter"/>
              <v:path gradientshapeok="t" o:connecttype="rect"/>
            </v:shapetype>
            <v:shape id="MSIPCMf35d43ef932e4c1b27a0d6c8" o:spid="_x0000_s1033"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30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0B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HkBzQEXAgAAKwQAAA4AAAAAAAAAAAAAAAAALgIAAGRycy9lMm9Eb2MueG1sUEsBAi0AFAAG&#10;AAgAAAAhAF6iDg7fAAAACwEAAA8AAAAAAAAAAAAAAAAAcQQAAGRycy9kb3ducmV2LnhtbFBLBQYA&#10;AAAABAAEAPMAAAB9BQAAAAA=&#10;" o:allowincell="f" filled="f" stroked="f" strokeweight=".5pt">
              <v:textbox inset=",0,,0">
                <w:txbxContent>
                  <w:p w14:paraId="1F5A4E7C" w14:textId="490B80E9" w:rsidR="00126477" w:rsidRPr="00126477" w:rsidRDefault="00126477" w:rsidP="00126477">
                    <w:pPr>
                      <w:spacing w:after="0"/>
                      <w:jc w:val="center"/>
                      <w:rPr>
                        <w:sz w:val="24"/>
                      </w:rPr>
                    </w:pPr>
                    <w:r w:rsidRPr="00126477">
                      <w:rPr>
                        <w:sz w:val="24"/>
                      </w:rPr>
                      <w:t>OFFICIAL</w:t>
                    </w:r>
                  </w:p>
                </w:txbxContent>
              </v:textbox>
              <w10:wrap anchorx="page" anchory="page"/>
            </v:shape>
          </w:pict>
        </mc:Fallback>
      </mc:AlternateContent>
    </w:r>
    <w:r w:rsidR="0075202B">
      <w:rPr>
        <w:noProof/>
      </w:rPr>
      <mc:AlternateContent>
        <mc:Choice Requires="wps">
          <w:drawing>
            <wp:anchor distT="0" distB="0" distL="114300" distR="114300" simplePos="1" relativeHeight="251658274" behindDoc="0" locked="0" layoutInCell="0" allowOverlap="1" wp14:anchorId="1C47A157" wp14:editId="2349A801">
              <wp:simplePos x="0" y="10249218"/>
              <wp:positionH relativeFrom="page">
                <wp:posOffset>0</wp:posOffset>
              </wp:positionH>
              <wp:positionV relativeFrom="page">
                <wp:posOffset>10248900</wp:posOffset>
              </wp:positionV>
              <wp:extent cx="7560310" cy="252095"/>
              <wp:effectExtent l="0" t="0" r="0" b="14605"/>
              <wp:wrapNone/>
              <wp:docPr id="1" name="Text Box 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52FE4" w14:textId="237893A1" w:rsidR="0075202B" w:rsidRPr="0075202B" w:rsidRDefault="0075202B" w:rsidP="0075202B">
                          <w:pPr>
                            <w:spacing w:after="0"/>
                            <w:jc w:val="center"/>
                            <w:rPr>
                              <w:sz w:val="24"/>
                            </w:rPr>
                          </w:pPr>
                          <w:r w:rsidRPr="0075202B">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C47A157" id="Text Box 1" o:spid="_x0000_s1034"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GTGAIAACs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iqpDfDHluojrieg555b/lK4Qxr&#10;5sMzc0g1jo3yDU94SA3YC04WJTW4X3/zx3xkAKOUtCidkvqfe+YEJfqHQW5ux9fXUWvpgoZ7790O&#10;XrNv7gFVOcYHYnkyY27QgykdNG+o7mXshiFmOPYs6XYw70MvZHwdXCyXKQlVZVlYm43lsXREMyL7&#10;0r0xZ0/wByTuEQZxseIDC31uz8NyH0CqRFHEt0fzBDsqMpF8ej1R8u/vKevyxhe/A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tyIGTGAIAACsEAAAOAAAAAAAAAAAAAAAAAC4CAABkcnMvZTJvRG9jLnhtbFBLAQItABQA&#10;BgAIAAAAIQBeog4O3wAAAAsBAAAPAAAAAAAAAAAAAAAAAHIEAABkcnMvZG93bnJldi54bWxQSwUG&#10;AAAAAAQABADzAAAAfgUAAAAA&#10;" o:allowincell="f" filled="f" stroked="f" strokeweight=".5pt">
              <v:textbox inset=",0,,0">
                <w:txbxContent>
                  <w:p w14:paraId="03C52FE4" w14:textId="237893A1" w:rsidR="0075202B" w:rsidRPr="0075202B" w:rsidRDefault="0075202B" w:rsidP="0075202B">
                    <w:pPr>
                      <w:spacing w:after="0"/>
                      <w:jc w:val="center"/>
                      <w:rPr>
                        <w:sz w:val="24"/>
                      </w:rPr>
                    </w:pPr>
                    <w:r w:rsidRPr="0075202B">
                      <w:rPr>
                        <w:sz w:val="24"/>
                      </w:rPr>
                      <w:t>OFFICIAL</w:t>
                    </w:r>
                  </w:p>
                </w:txbxContent>
              </v:textbox>
              <w10:wrap anchorx="page" anchory="page"/>
            </v:shape>
          </w:pict>
        </mc:Fallback>
      </mc:AlternateContent>
    </w:r>
    <w:r w:rsidR="00496F0D">
      <w:rPr>
        <w:noProof/>
      </w:rPr>
      <mc:AlternateContent>
        <mc:Choice Requires="wps">
          <w:drawing>
            <wp:anchor distT="0" distB="0" distL="114300" distR="114300" simplePos="1" relativeHeight="251658272" behindDoc="0" locked="0" layoutInCell="0" allowOverlap="1" wp14:anchorId="41D4062E" wp14:editId="2C9E37C6">
              <wp:simplePos x="0" y="10249218"/>
              <wp:positionH relativeFrom="page">
                <wp:posOffset>0</wp:posOffset>
              </wp:positionH>
              <wp:positionV relativeFrom="page">
                <wp:posOffset>10248900</wp:posOffset>
              </wp:positionV>
              <wp:extent cx="7560310" cy="252095"/>
              <wp:effectExtent l="0" t="0" r="0" b="14605"/>
              <wp:wrapNone/>
              <wp:docPr id="29" name="Text Box 2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AB29F" w14:textId="225A1DD3" w:rsidR="00496F0D" w:rsidRPr="00496F0D" w:rsidRDefault="00496F0D" w:rsidP="00496F0D">
                          <w:pPr>
                            <w:spacing w:after="0"/>
                            <w:jc w:val="center"/>
                            <w:rPr>
                              <w:sz w:val="24"/>
                            </w:rPr>
                          </w:pPr>
                          <w:r w:rsidRPr="00496F0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1D4062E" id="Text Box 29" o:spid="_x0000_s1035"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AbGA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dRwAbGAIAACsEAAAOAAAAAAAAAAAAAAAAAC4CAABkcnMvZTJvRG9jLnhtbFBLAQItABQA&#10;BgAIAAAAIQBeog4O3wAAAAsBAAAPAAAAAAAAAAAAAAAAAHIEAABkcnMvZG93bnJldi54bWxQSwUG&#10;AAAAAAQABADzAAAAfgUAAAAA&#10;" o:allowincell="f" filled="f" stroked="f" strokeweight=".5pt">
              <v:textbox inset=",0,,0">
                <w:txbxContent>
                  <w:p w14:paraId="209AB29F" w14:textId="225A1DD3" w:rsidR="00496F0D" w:rsidRPr="00496F0D" w:rsidRDefault="00496F0D" w:rsidP="00496F0D">
                    <w:pPr>
                      <w:spacing w:after="0"/>
                      <w:jc w:val="center"/>
                      <w:rPr>
                        <w:sz w:val="24"/>
                      </w:rPr>
                    </w:pPr>
                    <w:r w:rsidRPr="00496F0D">
                      <w:rPr>
                        <w:sz w:val="24"/>
                      </w:rPr>
                      <w:t>OFFICIAL</w:t>
                    </w:r>
                  </w:p>
                </w:txbxContent>
              </v:textbox>
              <w10:wrap anchorx="page" anchory="page"/>
            </v:shape>
          </w:pict>
        </mc:Fallback>
      </mc:AlternateContent>
    </w:r>
    <w:r w:rsidR="00604C38">
      <w:rPr>
        <w:noProof/>
      </w:rPr>
      <mc:AlternateContent>
        <mc:Choice Requires="wps">
          <w:drawing>
            <wp:anchor distT="0" distB="0" distL="114300" distR="114300" simplePos="0" relativeHeight="251658263" behindDoc="0" locked="0" layoutInCell="0" allowOverlap="1" wp14:anchorId="4E197437" wp14:editId="2C949005">
              <wp:simplePos x="0" y="0"/>
              <wp:positionH relativeFrom="page">
                <wp:posOffset>0</wp:posOffset>
              </wp:positionH>
              <wp:positionV relativeFrom="page">
                <wp:posOffset>10249218</wp:posOffset>
              </wp:positionV>
              <wp:extent cx="7560310" cy="252095"/>
              <wp:effectExtent l="0" t="0" r="0" b="14605"/>
              <wp:wrapNone/>
              <wp:docPr id="4" name="Text Box 4"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48572" w14:textId="24125031" w:rsidR="00604C38" w:rsidRPr="00604C38" w:rsidRDefault="00604C38" w:rsidP="00604C38">
                          <w:pPr>
                            <w:spacing w:after="0"/>
                            <w:jc w:val="center"/>
                            <w:rPr>
                              <w:sz w:val="24"/>
                            </w:rPr>
                          </w:pPr>
                          <w:r w:rsidRPr="00604C38">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197437" id="Text Box 4" o:spid="_x0000_s1036" type="#_x0000_t202" alt="{&quot;HashCode&quot;:376260202,&quot;Height&quot;:841.0,&quot;Width&quot;:595.0,&quot;Placement&quot;:&quot;Footer&quot;,&quot;Index&quot;:&quot;Primary&quot;,&quot;Section&quot;:1,&quot;Top&quot;:0.0,&quot;Left&quot;:0.0}" style="position:absolute;left:0;text-align:left;margin-left:0;margin-top:807.05pt;width:595.3pt;height:19.8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2U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" o:allowincell="f" filled="f" stroked="f" strokeweight=".5pt">
              <v:textbox inset=",0,,0">
                <w:txbxContent>
                  <w:p w14:paraId="3C148572" w14:textId="24125031" w:rsidR="00604C38" w:rsidRPr="00604C38" w:rsidRDefault="00604C38" w:rsidP="00604C38">
                    <w:pPr>
                      <w:spacing w:after="0"/>
                      <w:jc w:val="center"/>
                      <w:rPr>
                        <w:sz w:val="24"/>
                      </w:rPr>
                    </w:pPr>
                    <w:r w:rsidRPr="00604C38">
                      <w:rPr>
                        <w:sz w:val="24"/>
                      </w:rPr>
                      <w:t>OFFICIAL</w:t>
                    </w:r>
                  </w:p>
                </w:txbxContent>
              </v:textbox>
              <w10:wrap anchorx="page" anchory="page"/>
            </v:shape>
          </w:pict>
        </mc:Fallback>
      </mc:AlternateContent>
    </w:r>
    <w:r w:rsidR="00915952">
      <w:rPr>
        <w:noProof/>
      </w:rPr>
      <mc:AlternateContent>
        <mc:Choice Requires="wps">
          <w:drawing>
            <wp:anchor distT="0" distB="0" distL="114300" distR="114300" simplePos="0" relativeHeight="251658245" behindDoc="0" locked="0" layoutInCell="0" allowOverlap="1" wp14:anchorId="070AD48B" wp14:editId="2C53B309">
              <wp:simplePos x="0" y="0"/>
              <wp:positionH relativeFrom="page">
                <wp:posOffset>0</wp:posOffset>
              </wp:positionH>
              <wp:positionV relativeFrom="page">
                <wp:posOffset>10249218</wp:posOffset>
              </wp:positionV>
              <wp:extent cx="7560310" cy="252095"/>
              <wp:effectExtent l="0" t="0" r="0" b="14605"/>
              <wp:wrapNone/>
              <wp:docPr id="2" name="Text Box 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68578" w14:textId="36D060C3" w:rsidR="00915952" w:rsidRPr="00915952" w:rsidRDefault="00915952" w:rsidP="00915952">
                          <w:pPr>
                            <w:spacing w:after="0"/>
                            <w:jc w:val="center"/>
                            <w:rPr>
                              <w:sz w:val="24"/>
                            </w:rPr>
                          </w:pPr>
                          <w:r w:rsidRPr="0091595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70AD48B" id="Text Box 2" o:spid="_x0000_s1037" type="#_x0000_t202" alt="{&quot;HashCode&quot;:376260202,&quot;Height&quot;:841.0,&quot;Width&quot;:595.0,&quot;Placement&quot;:&quot;Footer&quot;,&quot;Index&quot;:&quot;Primary&quot;,&quot;Section&quot;:1,&quot;Top&quot;:0.0,&quot;Left&quot;:0.0}" style="position:absolute;left:0;text-align:left;margin-left:0;margin-top:807.05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wc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" o:allowincell="f" filled="f" stroked="f" strokeweight=".5pt">
              <v:textbox inset=",0,,0">
                <w:txbxContent>
                  <w:p w14:paraId="09B68578" w14:textId="36D060C3" w:rsidR="00915952" w:rsidRPr="00915952" w:rsidRDefault="00915952" w:rsidP="00915952">
                    <w:pPr>
                      <w:spacing w:after="0"/>
                      <w:jc w:val="center"/>
                      <w:rPr>
                        <w:sz w:val="24"/>
                      </w:rPr>
                    </w:pPr>
                    <w:r w:rsidRPr="00915952">
                      <w:rPr>
                        <w:sz w:val="24"/>
                      </w:rPr>
                      <w:t>OFFICIAL</w:t>
                    </w:r>
                  </w:p>
                </w:txbxContent>
              </v:textbox>
              <w10:wrap anchorx="page" anchory="page"/>
            </v:shape>
          </w:pict>
        </mc:Fallback>
      </mc:AlternateContent>
    </w:r>
    <w:r w:rsidR="00A976CE">
      <w:rPr>
        <w:noProof/>
      </w:rPr>
      <mc:AlternateContent>
        <mc:Choice Requires="wps">
          <w:drawing>
            <wp:inline distT="0" distB="0" distL="0" distR="0" wp14:anchorId="522B7883" wp14:editId="1C55670F">
              <wp:extent cx="443865" cy="443865"/>
              <wp:effectExtent l="0" t="0" r="18415" b="0"/>
              <wp:docPr id="58" name="Text Box 5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A8C64C"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 w14:anchorId="522B7883" id="Text Box 58" o:spid="_x0000_s103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76A8C64C" w14:textId="77777777" w:rsidR="00A976CE" w:rsidRPr="00E6749C" w:rsidRDefault="00A976CE" w:rsidP="00123BB4">
                    <w:pPr>
                      <w:rPr>
                        <w:noProof/>
                      </w:rPr>
                    </w:pPr>
                    <w:r w:rsidRPr="00E6749C">
                      <w:rPr>
                        <w:noProof/>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8210" w14:textId="3AFA9351" w:rsidR="00A976CE" w:rsidRDefault="00126477" w:rsidP="00A976CE">
    <w:pPr>
      <w:pStyle w:val="Footer"/>
      <w:jc w:val="left"/>
    </w:pPr>
    <w:r>
      <w:rPr>
        <w:noProof/>
      </w:rPr>
      <mc:AlternateContent>
        <mc:Choice Requires="wps">
          <w:drawing>
            <wp:anchor distT="0" distB="0" distL="114300" distR="114300" simplePos="0" relativeHeight="251660331" behindDoc="0" locked="0" layoutInCell="0" allowOverlap="1" wp14:anchorId="39F25248" wp14:editId="5A3FB244">
              <wp:simplePos x="0" y="0"/>
              <wp:positionH relativeFrom="page">
                <wp:posOffset>0</wp:posOffset>
              </wp:positionH>
              <wp:positionV relativeFrom="page">
                <wp:posOffset>10248900</wp:posOffset>
              </wp:positionV>
              <wp:extent cx="7560310" cy="252095"/>
              <wp:effectExtent l="0" t="0" r="0" b="14605"/>
              <wp:wrapNone/>
              <wp:docPr id="33" name="MSIPCM8bc44f2f8fcf24d7cb0c570e"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0FF5C1" w14:textId="5F8714FA" w:rsidR="00126477" w:rsidRPr="00126477" w:rsidRDefault="00126477" w:rsidP="00126477">
                          <w:pPr>
                            <w:spacing w:after="0"/>
                            <w:jc w:val="center"/>
                            <w:rPr>
                              <w:sz w:val="24"/>
                            </w:rPr>
                          </w:pPr>
                          <w:r w:rsidRPr="0012647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F25248" id="_x0000_t202" coordsize="21600,21600" o:spt="202" path="m,l,21600r21600,l21600,xe">
              <v:stroke joinstyle="miter"/>
              <v:path gradientshapeok="t" o:connecttype="rect"/>
            </v:shapetype>
            <v:shape id="MSIPCM8bc44f2f8fcf24d7cb0c570e" o:spid="_x0000_s1043" type="#_x0000_t202" alt="{&quot;HashCode&quot;:376260202,&quot;Height&quot;:841.0,&quot;Width&quot;:595.0,&quot;Placement&quot;:&quot;Footer&quot;,&quot;Index&quot;:&quot;FirstPage&quot;,&quot;Section&quot;:1,&quot;Top&quot;:0.0,&quot;Left&quot;:0.0}" style="position:absolute;margin-left:0;margin-top:807pt;width:595.3pt;height:19.85pt;z-index:25166033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CBGauZGAIAACwEAAAOAAAAAAAAAAAAAAAAAC4CAABkcnMvZTJvRG9jLnhtbFBLAQItABQA&#10;BgAIAAAAIQBeog4O3wAAAAsBAAAPAAAAAAAAAAAAAAAAAHIEAABkcnMvZG93bnJldi54bWxQSwUG&#10;AAAAAAQABADzAAAAfgUAAAAA&#10;" o:allowincell="f" filled="f" stroked="f" strokeweight=".5pt">
              <v:textbox inset=",0,,0">
                <w:txbxContent>
                  <w:p w14:paraId="2F0FF5C1" w14:textId="5F8714FA" w:rsidR="00126477" w:rsidRPr="00126477" w:rsidRDefault="00126477" w:rsidP="00126477">
                    <w:pPr>
                      <w:spacing w:after="0"/>
                      <w:jc w:val="center"/>
                      <w:rPr>
                        <w:sz w:val="24"/>
                      </w:rPr>
                    </w:pPr>
                    <w:r w:rsidRPr="00126477">
                      <w:rPr>
                        <w:sz w:val="24"/>
                      </w:rPr>
                      <w:t>OFFICIAL</w:t>
                    </w:r>
                  </w:p>
                </w:txbxContent>
              </v:textbox>
              <w10:wrap anchorx="page" anchory="page"/>
            </v:shape>
          </w:pict>
        </mc:Fallback>
      </mc:AlternateContent>
    </w:r>
    <w:r w:rsidR="0075202B">
      <w:rPr>
        <w:noProof/>
      </w:rPr>
      <mc:AlternateContent>
        <mc:Choice Requires="wps">
          <w:drawing>
            <wp:anchor distT="0" distB="0" distL="114300" distR="114300" simplePos="0" relativeHeight="251658275" behindDoc="0" locked="0" layoutInCell="0" allowOverlap="1" wp14:anchorId="579CCD76" wp14:editId="17CAFF68">
              <wp:simplePos x="0" y="0"/>
              <wp:positionH relativeFrom="page">
                <wp:posOffset>0</wp:posOffset>
              </wp:positionH>
              <wp:positionV relativeFrom="page">
                <wp:posOffset>10248900</wp:posOffset>
              </wp:positionV>
              <wp:extent cx="7560310" cy="252095"/>
              <wp:effectExtent l="0" t="0" r="0" b="14605"/>
              <wp:wrapNone/>
              <wp:docPr id="3" name="Text Box 3"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61BFB7" w14:textId="77567C2B" w:rsidR="0075202B" w:rsidRPr="0075202B" w:rsidRDefault="0075202B" w:rsidP="0075202B">
                          <w:pPr>
                            <w:spacing w:after="0"/>
                            <w:jc w:val="center"/>
                            <w:rPr>
                              <w:sz w:val="24"/>
                            </w:rPr>
                          </w:pPr>
                          <w:r w:rsidRPr="0075202B">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79CCD76" id="Text Box 3" o:spid="_x0000_s1044" type="#_x0000_t202" alt="{&quot;HashCode&quot;:376260202,&quot;Height&quot;:841.0,&quot;Width&quot;:595.0,&quot;Placement&quot;:&quot;Footer&quot;,&quot;Index&quot;:&quot;FirstPage&quot;,&quot;Section&quot;:1,&quot;Top&quot;:0.0,&quot;Left&quot;:0.0}" style="position:absolute;margin-left:0;margin-top:807pt;width:595.3pt;height:19.8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cLGAIAACw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gK97gZFtlCdcT9HPTUe8tXCodY&#10;Mx+emUOucW7Ub3jCQ2rAZnCyKKnB/fqbP+YjBRilpEXtlNT/3DMnKNE/DJJzO76+jmJLFzTce+92&#10;8Jp9cw8oyzG+EMuTGXODHkzpoHlDeS9jNwwxw7FnSbeDeR96JePz4GK5TEkoK8vC2mwsj6UjnBHa&#10;l+6NOXvCPyBzjzCoixUfaOhzeyKW+wBSJY4iwD2aJ9xRkonl0/OJmn9/T1mXR774D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V0OcLGAIAACwEAAAOAAAAAAAAAAAAAAAAAC4CAABkcnMvZTJvRG9jLnhtbFBLAQItABQA&#10;BgAIAAAAIQBeog4O3wAAAAsBAAAPAAAAAAAAAAAAAAAAAHIEAABkcnMvZG93bnJldi54bWxQSwUG&#10;AAAAAAQABADzAAAAfgUAAAAA&#10;" o:allowincell="f" filled="f" stroked="f" strokeweight=".5pt">
              <v:textbox inset=",0,,0">
                <w:txbxContent>
                  <w:p w14:paraId="6261BFB7" w14:textId="77567C2B" w:rsidR="0075202B" w:rsidRPr="0075202B" w:rsidRDefault="0075202B" w:rsidP="0075202B">
                    <w:pPr>
                      <w:spacing w:after="0"/>
                      <w:jc w:val="center"/>
                      <w:rPr>
                        <w:sz w:val="24"/>
                      </w:rPr>
                    </w:pPr>
                    <w:r w:rsidRPr="0075202B">
                      <w:rPr>
                        <w:sz w:val="24"/>
                      </w:rPr>
                      <w:t>OFFICIAL</w:t>
                    </w:r>
                  </w:p>
                </w:txbxContent>
              </v:textbox>
              <w10:wrap anchorx="page" anchory="page"/>
            </v:shape>
          </w:pict>
        </mc:Fallback>
      </mc:AlternateContent>
    </w:r>
    <w:r w:rsidR="00496F0D">
      <w:rPr>
        <w:noProof/>
      </w:rPr>
      <mc:AlternateContent>
        <mc:Choice Requires="wps">
          <w:drawing>
            <wp:anchor distT="0" distB="0" distL="114300" distR="114300" simplePos="0" relativeHeight="251658273" behindDoc="0" locked="0" layoutInCell="0" allowOverlap="1" wp14:anchorId="0FEA33EB" wp14:editId="4FFC089D">
              <wp:simplePos x="0" y="0"/>
              <wp:positionH relativeFrom="page">
                <wp:posOffset>0</wp:posOffset>
              </wp:positionH>
              <wp:positionV relativeFrom="page">
                <wp:posOffset>10248900</wp:posOffset>
              </wp:positionV>
              <wp:extent cx="7560310" cy="252095"/>
              <wp:effectExtent l="0" t="0" r="0" b="14605"/>
              <wp:wrapNone/>
              <wp:docPr id="30" name="Text Box 30"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499FE8" w14:textId="5B9C5E28" w:rsidR="00496F0D" w:rsidRPr="00496F0D" w:rsidRDefault="00496F0D" w:rsidP="00496F0D">
                          <w:pPr>
                            <w:spacing w:after="0"/>
                            <w:jc w:val="center"/>
                            <w:rPr>
                              <w:sz w:val="24"/>
                            </w:rPr>
                          </w:pPr>
                          <w:r w:rsidRPr="00496F0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FEA33EB" id="Text Box 30" o:spid="_x0000_s1045" type="#_x0000_t202" alt="{&quot;HashCode&quot;:376260202,&quot;Height&quot;:841.0,&quot;Width&quot;:595.0,&quot;Placement&quot;:&quot;Footer&quot;,&quot;Index&quot;:&quot;FirstPage&quot;,&quot;Section&quot;:1,&quot;Top&quot;:0.0,&quot;Left&quot;:0.0}" style="position:absolute;margin-left:0;margin-top:807pt;width:595.3pt;height:19.85pt;z-index:251658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aD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oK95gPi+ygOuF+DnrqveXrBofY&#10;MB+emUOucW7Ub3jCQyrAZnC2KKnB/fqbP+YjBRilpEXtlNT/PDAnKFHfDZIzH9/e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lX2aDGAIAACwEAAAOAAAAAAAAAAAAAAAAAC4CAABkcnMvZTJvRG9jLnhtbFBLAQItABQA&#10;BgAIAAAAIQBeog4O3wAAAAsBAAAPAAAAAAAAAAAAAAAAAHIEAABkcnMvZG93bnJldi54bWxQSwUG&#10;AAAAAAQABADzAAAAfgUAAAAA&#10;" o:allowincell="f" filled="f" stroked="f" strokeweight=".5pt">
              <v:textbox inset=",0,,0">
                <w:txbxContent>
                  <w:p w14:paraId="6E499FE8" w14:textId="5B9C5E28" w:rsidR="00496F0D" w:rsidRPr="00496F0D" w:rsidRDefault="00496F0D" w:rsidP="00496F0D">
                    <w:pPr>
                      <w:spacing w:after="0"/>
                      <w:jc w:val="center"/>
                      <w:rPr>
                        <w:sz w:val="24"/>
                      </w:rPr>
                    </w:pPr>
                    <w:r w:rsidRPr="00496F0D">
                      <w:rPr>
                        <w:sz w:val="24"/>
                      </w:rPr>
                      <w:t>OFFICIAL</w:t>
                    </w:r>
                  </w:p>
                </w:txbxContent>
              </v:textbox>
              <w10:wrap anchorx="page" anchory="page"/>
            </v:shape>
          </w:pict>
        </mc:Fallback>
      </mc:AlternateContent>
    </w:r>
    <w:r w:rsidR="00604C38">
      <w:rPr>
        <w:noProof/>
      </w:rPr>
      <mc:AlternateContent>
        <mc:Choice Requires="wps">
          <w:drawing>
            <wp:anchor distT="0" distB="0" distL="114300" distR="114300" simplePos="0" relativeHeight="251658264" behindDoc="0" locked="0" layoutInCell="0" allowOverlap="1" wp14:anchorId="243B97CE" wp14:editId="3EDF4549">
              <wp:simplePos x="0" y="0"/>
              <wp:positionH relativeFrom="page">
                <wp:posOffset>0</wp:posOffset>
              </wp:positionH>
              <wp:positionV relativeFrom="page">
                <wp:posOffset>10248900</wp:posOffset>
              </wp:positionV>
              <wp:extent cx="7560310" cy="252095"/>
              <wp:effectExtent l="0" t="0" r="0" b="14605"/>
              <wp:wrapNone/>
              <wp:docPr id="10" name="Text Box 10"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6A71CE" w14:textId="7C77C38A" w:rsidR="00604C38" w:rsidRPr="00604C38" w:rsidRDefault="00604C38" w:rsidP="00604C38">
                          <w:pPr>
                            <w:spacing w:after="0"/>
                            <w:jc w:val="center"/>
                            <w:rPr>
                              <w:sz w:val="24"/>
                            </w:rPr>
                          </w:pPr>
                          <w:r w:rsidRPr="00604C38">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43B97CE" id="Text Box 10" o:spid="_x0000_s1046" type="#_x0000_t202" alt="{&quot;HashCode&quot;:376260202,&quot;Height&quot;:841.0,&quot;Width&quot;:595.0,&quot;Placement&quot;:&quot;Footer&quot;,&quot;Index&quot;:&quot;FirstPage&quot;,&quot;Section&quot;:1,&quot;Top&quot;:0.0,&quot;Left&quot;:0.0}" style="position:absolute;margin-left:0;margin-top:807pt;width:595.3pt;height:19.85pt;z-index:251658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OI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qcIjOb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co44gXAgAALAQAAA4AAAAAAAAAAAAAAAAALgIAAGRycy9lMm9Eb2MueG1sUEsBAi0AFAAG&#10;AAgAAAAhAF6iDg7fAAAACwEAAA8AAAAAAAAAAAAAAAAAcQQAAGRycy9kb3ducmV2LnhtbFBLBQYA&#10;AAAABAAEAPMAAAB9BQAAAAA=&#10;" o:allowincell="f" filled="f" stroked="f" strokeweight=".5pt">
              <v:textbox inset=",0,,0">
                <w:txbxContent>
                  <w:p w14:paraId="0E6A71CE" w14:textId="7C77C38A" w:rsidR="00604C38" w:rsidRPr="00604C38" w:rsidRDefault="00604C38" w:rsidP="00604C38">
                    <w:pPr>
                      <w:spacing w:after="0"/>
                      <w:jc w:val="center"/>
                      <w:rPr>
                        <w:sz w:val="24"/>
                      </w:rPr>
                    </w:pPr>
                    <w:r w:rsidRPr="00604C38">
                      <w:rPr>
                        <w:sz w:val="24"/>
                      </w:rPr>
                      <w:t>OFFICIAL</w:t>
                    </w:r>
                  </w:p>
                </w:txbxContent>
              </v:textbox>
              <w10:wrap anchorx="page" anchory="page"/>
            </v:shape>
          </w:pict>
        </mc:Fallback>
      </mc:AlternateContent>
    </w:r>
    <w:r w:rsidR="00915952">
      <w:rPr>
        <w:noProof/>
      </w:rPr>
      <mc:AlternateContent>
        <mc:Choice Requires="wps">
          <w:drawing>
            <wp:anchor distT="0" distB="0" distL="114300" distR="114300" simplePos="0" relativeHeight="251658251" behindDoc="0" locked="0" layoutInCell="0" allowOverlap="1" wp14:anchorId="48DF542C" wp14:editId="4E3ABEA8">
              <wp:simplePos x="0" y="0"/>
              <wp:positionH relativeFrom="page">
                <wp:posOffset>0</wp:posOffset>
              </wp:positionH>
              <wp:positionV relativeFrom="page">
                <wp:posOffset>10248900</wp:posOffset>
              </wp:positionV>
              <wp:extent cx="7560310" cy="252095"/>
              <wp:effectExtent l="0" t="0" r="0" b="14605"/>
              <wp:wrapNone/>
              <wp:docPr id="11" name="Text Box 11"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188B7A" w14:textId="74C59ABA" w:rsidR="00915952" w:rsidRPr="00915952" w:rsidRDefault="00915952" w:rsidP="00915952">
                          <w:pPr>
                            <w:spacing w:after="0"/>
                            <w:jc w:val="center"/>
                            <w:rPr>
                              <w:sz w:val="24"/>
                            </w:rPr>
                          </w:pPr>
                          <w:r w:rsidRPr="0091595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8DF542C" id="Text Box 11" o:spid="_x0000_s1047" type="#_x0000_t202" alt="{&quot;HashCode&quot;:376260202,&quot;Height&quot;:841.0,&quot;Width&quot;:595.0,&quot;Placement&quot;:&quot;Footer&quot;,&quot;Index&quot;:&quot;FirstPage&quot;,&quot;Section&quot;:1,&quot;Top&quot;:0.0,&quot;Left&quot;:0.0}" style="position:absolute;margin-left:0;margin-top:807pt;width:595.3pt;height:19.8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IA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qc4rzIBpoD7udhoD44vlI4xAML&#10;8Zl55BrnRv3GJzykBmwGR4uSFvyvv/lTPlKAUUo61E5Nw88d84IS/d0iOTfj6+sktnxBw7/1bk5e&#10;uzN3gLIc4wtxPJspN+qTKT2YV5T3MnXDELMce9Z0czLv4qBkfB5cLJc5CWXlWHywa8dT6QRngval&#10;f2XeHfGPyNwjnNTFqnc0DLkDEctdBKkyRwngAc0j7ijJzPLx+STNv73nrMsjX/wG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NenYgAXAgAALAQAAA4AAAAAAAAAAAAAAAAALgIAAGRycy9lMm9Eb2MueG1sUEsBAi0AFAAG&#10;AAgAAAAhAF6iDg7fAAAACwEAAA8AAAAAAAAAAAAAAAAAcQQAAGRycy9kb3ducmV2LnhtbFBLBQYA&#10;AAAABAAEAPMAAAB9BQAAAAA=&#10;" o:allowincell="f" filled="f" stroked="f" strokeweight=".5pt">
              <v:textbox inset=",0,,0">
                <w:txbxContent>
                  <w:p w14:paraId="39188B7A" w14:textId="74C59ABA" w:rsidR="00915952" w:rsidRPr="00915952" w:rsidRDefault="00915952" w:rsidP="00915952">
                    <w:pPr>
                      <w:spacing w:after="0"/>
                      <w:jc w:val="center"/>
                      <w:rPr>
                        <w:sz w:val="24"/>
                      </w:rPr>
                    </w:pPr>
                    <w:r w:rsidRPr="00915952">
                      <w:rPr>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1331" w14:textId="265FDFF0" w:rsidR="00DA23A2" w:rsidRDefault="00126477" w:rsidP="00123BB4">
    <w:pPr>
      <w:pStyle w:val="Footer"/>
    </w:pPr>
    <w:r>
      <w:rPr>
        <w:noProof/>
      </w:rPr>
      <mc:AlternateContent>
        <mc:Choice Requires="wps">
          <w:drawing>
            <wp:anchor distT="0" distB="0" distL="114300" distR="114300" simplePos="0" relativeHeight="251661355" behindDoc="0" locked="0" layoutInCell="0" allowOverlap="1" wp14:anchorId="471EAE90" wp14:editId="1BB0B2DC">
              <wp:simplePos x="0" y="0"/>
              <wp:positionH relativeFrom="page">
                <wp:posOffset>0</wp:posOffset>
              </wp:positionH>
              <wp:positionV relativeFrom="page">
                <wp:posOffset>10248900</wp:posOffset>
              </wp:positionV>
              <wp:extent cx="7560310" cy="252095"/>
              <wp:effectExtent l="0" t="0" r="0" b="14605"/>
              <wp:wrapNone/>
              <wp:docPr id="38" name="MSIPCMb6e74697bd9141f38ad31740"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1CEC13" w14:textId="0FDA367B" w:rsidR="00126477" w:rsidRPr="00126477" w:rsidRDefault="00126477" w:rsidP="00126477">
                          <w:pPr>
                            <w:spacing w:after="0"/>
                            <w:jc w:val="center"/>
                            <w:rPr>
                              <w:sz w:val="24"/>
                            </w:rPr>
                          </w:pPr>
                          <w:r w:rsidRPr="0012647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1EAE90" id="_x0000_t202" coordsize="21600,21600" o:spt="202" path="m,l,21600r21600,l21600,xe">
              <v:stroke joinstyle="miter"/>
              <v:path gradientshapeok="t" o:connecttype="rect"/>
            </v:shapetype>
            <v:shape id="MSIPCMb6e74697bd9141f38ad31740" o:spid="_x0000_s1052"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613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CFBAQNGAIAACwEAAAOAAAAAAAAAAAAAAAAAC4CAABkcnMvZTJvRG9jLnhtbFBLAQItABQA&#10;BgAIAAAAIQBeog4O3wAAAAsBAAAPAAAAAAAAAAAAAAAAAHIEAABkcnMvZG93bnJldi54bWxQSwUG&#10;AAAAAAQABADzAAAAfgUAAAAA&#10;" o:allowincell="f" filled="f" stroked="f" strokeweight=".5pt">
              <v:textbox inset=",0,,0">
                <w:txbxContent>
                  <w:p w14:paraId="651CEC13" w14:textId="0FDA367B" w:rsidR="00126477" w:rsidRPr="00126477" w:rsidRDefault="00126477" w:rsidP="00126477">
                    <w:pPr>
                      <w:spacing w:after="0"/>
                      <w:jc w:val="center"/>
                      <w:rPr>
                        <w:sz w:val="24"/>
                      </w:rPr>
                    </w:pPr>
                    <w:r w:rsidRPr="00126477">
                      <w:rPr>
                        <w:sz w:val="24"/>
                      </w:rPr>
                      <w:t>OFFICIAL</w:t>
                    </w:r>
                  </w:p>
                </w:txbxContent>
              </v:textbox>
              <w10:wrap anchorx="page" anchory="page"/>
            </v:shape>
          </w:pict>
        </mc:Fallback>
      </mc:AlternateContent>
    </w:r>
    <w:r w:rsidR="0075202B">
      <w:rPr>
        <w:noProof/>
      </w:rPr>
      <mc:AlternateContent>
        <mc:Choice Requires="wps">
          <w:drawing>
            <wp:anchor distT="0" distB="0" distL="114300" distR="114300" simplePos="0" relativeHeight="251658276" behindDoc="0" locked="0" layoutInCell="0" allowOverlap="1" wp14:anchorId="2AB6804A" wp14:editId="63100DE8">
              <wp:simplePos x="0" y="0"/>
              <wp:positionH relativeFrom="page">
                <wp:posOffset>0</wp:posOffset>
              </wp:positionH>
              <wp:positionV relativeFrom="page">
                <wp:posOffset>10248900</wp:posOffset>
              </wp:positionV>
              <wp:extent cx="7560310" cy="252095"/>
              <wp:effectExtent l="0" t="0" r="0" b="14605"/>
              <wp:wrapNone/>
              <wp:docPr id="24" name="Text Box 24"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C978EE" w14:textId="7FE7F9AB" w:rsidR="0075202B" w:rsidRPr="0075202B" w:rsidRDefault="0075202B" w:rsidP="0075202B">
                          <w:pPr>
                            <w:spacing w:after="0"/>
                            <w:jc w:val="center"/>
                            <w:rPr>
                              <w:sz w:val="24"/>
                            </w:rPr>
                          </w:pPr>
                          <w:r w:rsidRPr="0075202B">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AB6804A" id="Text Box 24" o:spid="_x0000_s1053"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1i4WFGAIAACwEAAAOAAAAAAAAAAAAAAAAAC4CAABkcnMvZTJvRG9jLnhtbFBLAQItABQA&#10;BgAIAAAAIQBeog4O3wAAAAsBAAAPAAAAAAAAAAAAAAAAAHIEAABkcnMvZG93bnJldi54bWxQSwUG&#10;AAAAAAQABADzAAAAfgUAAAAA&#10;" o:allowincell="f" filled="f" stroked="f" strokeweight=".5pt">
              <v:textbox inset=",0,,0">
                <w:txbxContent>
                  <w:p w14:paraId="35C978EE" w14:textId="7FE7F9AB" w:rsidR="0075202B" w:rsidRPr="0075202B" w:rsidRDefault="0075202B" w:rsidP="0075202B">
                    <w:pPr>
                      <w:spacing w:after="0"/>
                      <w:jc w:val="center"/>
                      <w:rPr>
                        <w:sz w:val="24"/>
                      </w:rPr>
                    </w:pPr>
                    <w:r w:rsidRPr="0075202B">
                      <w:rPr>
                        <w:sz w:val="24"/>
                      </w:rPr>
                      <w:t>OFFICIAL</w:t>
                    </w:r>
                  </w:p>
                </w:txbxContent>
              </v:textbox>
              <w10:wrap anchorx="page" anchory="page"/>
            </v:shape>
          </w:pict>
        </mc:Fallback>
      </mc:AlternateContent>
    </w:r>
    <w:r w:rsidR="00604C38">
      <w:rPr>
        <w:noProof/>
      </w:rPr>
      <mc:AlternateContent>
        <mc:Choice Requires="wps">
          <w:drawing>
            <wp:anchor distT="0" distB="0" distL="114300" distR="114300" simplePos="0" relativeHeight="251658265" behindDoc="0" locked="0" layoutInCell="0" allowOverlap="1" wp14:anchorId="49AE0D13" wp14:editId="26F4E5E0">
              <wp:simplePos x="0" y="0"/>
              <wp:positionH relativeFrom="page">
                <wp:posOffset>0</wp:posOffset>
              </wp:positionH>
              <wp:positionV relativeFrom="page">
                <wp:posOffset>10248900</wp:posOffset>
              </wp:positionV>
              <wp:extent cx="7560310" cy="252095"/>
              <wp:effectExtent l="0" t="0" r="0" b="14605"/>
              <wp:wrapNone/>
              <wp:docPr id="13" name="Text Box 13"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A08C29" w14:textId="0BFA774C" w:rsidR="00604C38" w:rsidRPr="00604C38" w:rsidRDefault="00604C38" w:rsidP="00604C38">
                          <w:pPr>
                            <w:spacing w:after="0"/>
                            <w:jc w:val="center"/>
                            <w:rPr>
                              <w:sz w:val="24"/>
                            </w:rPr>
                          </w:pPr>
                          <w:r w:rsidRPr="00604C38">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9AE0D13" id="Text Box 13" o:spid="_x0000_s1054"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kXGAIAACw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gKp7gZFtlCdcT9HPTUe8tXCodY&#10;Mx+emUOucW7Ub3jCQ2rAZnCyKKnB/fqbP+YjBRilpEXtlNT/3DMnKNE/DJJzO76+jmJLFzTce+92&#10;8Jp9cw8oyzG+EMuTGXODHkzpoHlDeS9jNwwxw7FnSbeDeR96JePz4GK5TEkoK8vC2mwsj6UjnBHa&#10;l+6NOXvCPyBzjzCoixUfaOhzeyKW+wBSJY4iwD2aJ9xRkonl0/OJmn9/T1mXR774D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hQskXGAIAACwEAAAOAAAAAAAAAAAAAAAAAC4CAABkcnMvZTJvRG9jLnhtbFBLAQItABQA&#10;BgAIAAAAIQBeog4O3wAAAAsBAAAPAAAAAAAAAAAAAAAAAHIEAABkcnMvZG93bnJldi54bWxQSwUG&#10;AAAAAAQABADzAAAAfgUAAAAA&#10;" o:allowincell="f" filled="f" stroked="f" strokeweight=".5pt">
              <v:textbox inset=",0,,0">
                <w:txbxContent>
                  <w:p w14:paraId="3AA08C29" w14:textId="0BFA774C" w:rsidR="00604C38" w:rsidRPr="00604C38" w:rsidRDefault="00604C38" w:rsidP="00604C38">
                    <w:pPr>
                      <w:spacing w:after="0"/>
                      <w:jc w:val="center"/>
                      <w:rPr>
                        <w:sz w:val="24"/>
                      </w:rPr>
                    </w:pPr>
                    <w:r w:rsidRPr="00604C38">
                      <w:rPr>
                        <w:sz w:val="24"/>
                      </w:rPr>
                      <w:t>OFFICIAL</w:t>
                    </w:r>
                  </w:p>
                </w:txbxContent>
              </v:textbox>
              <w10:wrap anchorx="page" anchory="page"/>
            </v:shape>
          </w:pict>
        </mc:Fallback>
      </mc:AlternateContent>
    </w:r>
    <w:r w:rsidR="00915952">
      <w:rPr>
        <w:noProof/>
      </w:rPr>
      <mc:AlternateContent>
        <mc:Choice Requires="wps">
          <w:drawing>
            <wp:anchor distT="0" distB="0" distL="114300" distR="114300" simplePos="0" relativeHeight="251658252" behindDoc="0" locked="0" layoutInCell="0" allowOverlap="1" wp14:anchorId="17F4694A" wp14:editId="645ED14D">
              <wp:simplePos x="0" y="0"/>
              <wp:positionH relativeFrom="page">
                <wp:posOffset>0</wp:posOffset>
              </wp:positionH>
              <wp:positionV relativeFrom="page">
                <wp:posOffset>10248900</wp:posOffset>
              </wp:positionV>
              <wp:extent cx="7560310" cy="252095"/>
              <wp:effectExtent l="0" t="0" r="0" b="14605"/>
              <wp:wrapNone/>
              <wp:docPr id="12" name="Text Box 12"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BC31F6" w14:textId="6CEE23E5" w:rsidR="00915952" w:rsidRPr="00915952" w:rsidRDefault="00915952" w:rsidP="00915952">
                          <w:pPr>
                            <w:spacing w:after="0"/>
                            <w:jc w:val="center"/>
                            <w:rPr>
                              <w:sz w:val="24"/>
                            </w:rPr>
                          </w:pPr>
                          <w:r w:rsidRPr="0091595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F4694A" id="Text Box 12" o:spid="_x0000_s1055"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if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oKp5gPi+ygOuF+DnrqveXrBofY&#10;MB+emUOucW7Ub3jCQyrAZnC2KKnB/fqbP+YjBRilpEXtlNT/PDAnKFHfDZIzH9/e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RzUifGAIAACwEAAAOAAAAAAAAAAAAAAAAAC4CAABkcnMvZTJvRG9jLnhtbFBLAQItABQA&#10;BgAIAAAAIQBeog4O3wAAAAsBAAAPAAAAAAAAAAAAAAAAAHIEAABkcnMvZG93bnJldi54bWxQSwUG&#10;AAAAAAQABADzAAAAfgUAAAAA&#10;" o:allowincell="f" filled="f" stroked="f" strokeweight=".5pt">
              <v:textbox inset=",0,,0">
                <w:txbxContent>
                  <w:p w14:paraId="70BC31F6" w14:textId="6CEE23E5" w:rsidR="00915952" w:rsidRPr="00915952" w:rsidRDefault="00915952" w:rsidP="00915952">
                    <w:pPr>
                      <w:spacing w:after="0"/>
                      <w:jc w:val="center"/>
                      <w:rPr>
                        <w:sz w:val="24"/>
                      </w:rPr>
                    </w:pPr>
                    <w:r w:rsidRPr="00915952">
                      <w:rPr>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A93A" w14:textId="359B0708" w:rsidR="00ED56B2" w:rsidRDefault="007D1F4A" w:rsidP="00477880">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2379" behindDoc="0" locked="0" layoutInCell="0" allowOverlap="1" wp14:anchorId="176999EC" wp14:editId="61D925E4">
              <wp:simplePos x="0" y="0"/>
              <wp:positionH relativeFrom="page">
                <wp:posOffset>0</wp:posOffset>
              </wp:positionH>
              <wp:positionV relativeFrom="page">
                <wp:posOffset>10248900</wp:posOffset>
              </wp:positionV>
              <wp:extent cx="7560310" cy="252095"/>
              <wp:effectExtent l="0" t="0" r="0" b="14605"/>
              <wp:wrapNone/>
              <wp:docPr id="17" name="MSIPCM0cad4a85b6aceb6d56a5b644"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615A33" w14:textId="1DABE6B7" w:rsidR="007D1F4A" w:rsidRPr="007D1F4A" w:rsidRDefault="007D1F4A" w:rsidP="007D1F4A">
                          <w:pPr>
                            <w:spacing w:after="0"/>
                            <w:jc w:val="center"/>
                            <w:rPr>
                              <w:sz w:val="24"/>
                            </w:rPr>
                          </w:pPr>
                          <w:r w:rsidRPr="007D1F4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6999EC" id="_x0000_t202" coordsize="21600,21600" o:spt="202" path="m,l,21600r21600,l21600,xe">
              <v:stroke joinstyle="miter"/>
              <v:path gradientshapeok="t" o:connecttype="rect"/>
            </v:shapetype>
            <v:shape id="MSIPCM0cad4a85b6aceb6d56a5b644" o:spid="_x0000_s1062"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623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GwGQ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" o:allowincell="f" filled="f" stroked="f" strokeweight=".5pt">
              <v:textbox inset=",0,,0">
                <w:txbxContent>
                  <w:p w14:paraId="58615A33" w14:textId="1DABE6B7" w:rsidR="007D1F4A" w:rsidRPr="007D1F4A" w:rsidRDefault="007D1F4A" w:rsidP="007D1F4A">
                    <w:pPr>
                      <w:spacing w:after="0"/>
                      <w:jc w:val="center"/>
                      <w:rPr>
                        <w:sz w:val="24"/>
                      </w:rPr>
                    </w:pPr>
                    <w:r w:rsidRPr="007D1F4A">
                      <w:rPr>
                        <w:sz w:val="24"/>
                      </w:rPr>
                      <w:t>OFFICIAL</w:t>
                    </w:r>
                  </w:p>
                </w:txbxContent>
              </v:textbox>
              <w10:wrap anchorx="page" anchory="page"/>
            </v:shape>
          </w:pict>
        </mc:Fallback>
      </mc:AlternateContent>
    </w:r>
    <w:r w:rsidR="0075202B">
      <w:rPr>
        <w:noProof/>
      </w:rPr>
      <mc:AlternateContent>
        <mc:Choice Requires="wps">
          <w:drawing>
            <wp:anchor distT="0" distB="0" distL="114300" distR="114300" simplePos="0" relativeHeight="251658277" behindDoc="0" locked="0" layoutInCell="0" allowOverlap="1" wp14:anchorId="3172526F" wp14:editId="387B8B93">
              <wp:simplePos x="0" y="0"/>
              <wp:positionH relativeFrom="page">
                <wp:posOffset>0</wp:posOffset>
              </wp:positionH>
              <wp:positionV relativeFrom="page">
                <wp:posOffset>10248900</wp:posOffset>
              </wp:positionV>
              <wp:extent cx="7560310" cy="252095"/>
              <wp:effectExtent l="0" t="0" r="0" b="14605"/>
              <wp:wrapNone/>
              <wp:docPr id="25" name="Text Box 25"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AFCEC9" w14:textId="24EAB973" w:rsidR="0075202B" w:rsidRPr="0075202B" w:rsidRDefault="0075202B" w:rsidP="0075202B">
                          <w:pPr>
                            <w:spacing w:after="0"/>
                            <w:jc w:val="center"/>
                            <w:rPr>
                              <w:sz w:val="24"/>
                            </w:rPr>
                          </w:pPr>
                          <w:r w:rsidRPr="0075202B">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172526F" id="Text Box 25" o:spid="_x0000_s1063"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" o:allowincell="f" filled="f" stroked="f" strokeweight=".5pt">
              <v:textbox inset=",0,,0">
                <w:txbxContent>
                  <w:p w14:paraId="7DAFCEC9" w14:textId="24EAB973" w:rsidR="0075202B" w:rsidRPr="0075202B" w:rsidRDefault="0075202B" w:rsidP="0075202B">
                    <w:pPr>
                      <w:spacing w:after="0"/>
                      <w:jc w:val="center"/>
                      <w:rPr>
                        <w:sz w:val="24"/>
                      </w:rPr>
                    </w:pPr>
                    <w:r w:rsidRPr="0075202B">
                      <w:rPr>
                        <w:sz w:val="24"/>
                      </w:rPr>
                      <w:t>OFFICIAL</w:t>
                    </w:r>
                  </w:p>
                </w:txbxContent>
              </v:textbox>
              <w10:wrap anchorx="page" anchory="page"/>
            </v:shape>
          </w:pict>
        </mc:Fallback>
      </mc:AlternateContent>
    </w:r>
    <w:r w:rsidR="00530788">
      <w:rPr>
        <w:noProof/>
      </w:rPr>
      <mc:AlternateContent>
        <mc:Choice Requires="wps">
          <w:drawing>
            <wp:anchor distT="0" distB="0" distL="114300" distR="114300" simplePos="0" relativeHeight="251658266" behindDoc="0" locked="0" layoutInCell="0" allowOverlap="1" wp14:anchorId="5F574828" wp14:editId="6D51CA6A">
              <wp:simplePos x="0" y="0"/>
              <wp:positionH relativeFrom="page">
                <wp:posOffset>0</wp:posOffset>
              </wp:positionH>
              <wp:positionV relativeFrom="page">
                <wp:posOffset>10248900</wp:posOffset>
              </wp:positionV>
              <wp:extent cx="7560310" cy="252095"/>
              <wp:effectExtent l="0" t="0" r="0" b="14605"/>
              <wp:wrapNone/>
              <wp:docPr id="14" name="Text Box 14"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13A9A9" w14:textId="3BD93B40" w:rsidR="00530788" w:rsidRPr="00530788" w:rsidRDefault="00530788" w:rsidP="00530788">
                          <w:pPr>
                            <w:spacing w:after="0"/>
                            <w:jc w:val="center"/>
                            <w:rPr>
                              <w:sz w:val="24"/>
                            </w:rPr>
                          </w:pPr>
                          <w:r w:rsidRPr="00530788">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F574828" id="Text Box 14" o:spid="_x0000_s1064"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" o:allowincell="f" filled="f" stroked="f" strokeweight=".5pt">
              <v:textbox inset=",0,,0">
                <w:txbxContent>
                  <w:p w14:paraId="5313A9A9" w14:textId="3BD93B40" w:rsidR="00530788" w:rsidRPr="00530788" w:rsidRDefault="00530788" w:rsidP="00530788">
                    <w:pPr>
                      <w:spacing w:after="0"/>
                      <w:jc w:val="center"/>
                      <w:rPr>
                        <w:sz w:val="24"/>
                      </w:rPr>
                    </w:pPr>
                    <w:r w:rsidRPr="00530788">
                      <w:rPr>
                        <w:sz w:val="24"/>
                      </w:rPr>
                      <w:t>OFFICIAL</w:t>
                    </w:r>
                  </w:p>
                </w:txbxContent>
              </v:textbox>
              <w10:wrap anchorx="page" anchory="page"/>
            </v:shape>
          </w:pict>
        </mc:Fallback>
      </mc:AlternateContent>
    </w:r>
    <w:r w:rsidR="00915952">
      <w:rPr>
        <w:noProof/>
      </w:rPr>
      <mc:AlternateContent>
        <mc:Choice Requires="wps">
          <w:drawing>
            <wp:anchor distT="0" distB="0" distL="114300" distR="114300" simplePos="0" relativeHeight="251658246" behindDoc="0" locked="0" layoutInCell="0" allowOverlap="1" wp14:anchorId="0D13B34C" wp14:editId="7DB18C6E">
              <wp:simplePos x="0" y="0"/>
              <wp:positionH relativeFrom="page">
                <wp:posOffset>0</wp:posOffset>
              </wp:positionH>
              <wp:positionV relativeFrom="page">
                <wp:posOffset>10248900</wp:posOffset>
              </wp:positionV>
              <wp:extent cx="7560310" cy="252095"/>
              <wp:effectExtent l="0" t="0" r="0" b="14605"/>
              <wp:wrapNone/>
              <wp:docPr id="5" name="Text Box 5"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F8B74" w14:textId="2273731A" w:rsidR="00915952" w:rsidRPr="00915952" w:rsidRDefault="00915952" w:rsidP="00915952">
                          <w:pPr>
                            <w:spacing w:after="0"/>
                            <w:jc w:val="center"/>
                            <w:rPr>
                              <w:sz w:val="24"/>
                            </w:rPr>
                          </w:pPr>
                          <w:r w:rsidRPr="0091595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D13B34C" id="Text Box 5" o:spid="_x0000_s1065"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" o:allowincell="f" filled="f" stroked="f" strokeweight=".5pt">
              <v:textbox inset=",0,,0">
                <w:txbxContent>
                  <w:p w14:paraId="3A7F8B74" w14:textId="2273731A" w:rsidR="00915952" w:rsidRPr="00915952" w:rsidRDefault="00915952" w:rsidP="00915952">
                    <w:pPr>
                      <w:spacing w:after="0"/>
                      <w:jc w:val="center"/>
                      <w:rPr>
                        <w:sz w:val="24"/>
                      </w:rPr>
                    </w:pPr>
                    <w:r w:rsidRPr="00915952">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ED56B2" w:rsidRPr="00FB0DEA" w14:paraId="7F58F08A" w14:textId="77777777" w:rsidTr="004033A2">
              <w:tc>
                <w:tcPr>
                  <w:tcW w:w="3402" w:type="dxa"/>
                  <w:vAlign w:val="center"/>
                </w:tcPr>
                <w:p w14:paraId="1CF102F2" w14:textId="0C010CA1" w:rsidR="00ED56B2" w:rsidRPr="005723C8" w:rsidRDefault="0089196B" w:rsidP="00ED56B2">
                  <w:pPr>
                    <w:pStyle w:val="Footer"/>
                    <w:spacing w:after="0"/>
                    <w:jc w:val="left"/>
                  </w:pPr>
                  <w:r>
                    <w:fldChar w:fldCharType="begin"/>
                  </w:r>
                  <w:r>
                    <w:instrText>STYLEREF  Title  \* MERGEFORMAT</w:instrText>
                  </w:r>
                  <w:r>
                    <w:fldChar w:fldCharType="separate"/>
                  </w:r>
                  <w:r>
                    <w:rPr>
                      <w:noProof/>
                    </w:rPr>
                    <w:t>Guide to Good Governance and Portfolio performance</w:t>
                  </w:r>
                  <w:r>
                    <w:rPr>
                      <w:noProof/>
                    </w:rPr>
                    <w:fldChar w:fldCharType="end"/>
                  </w:r>
                </w:p>
              </w:tc>
              <w:tc>
                <w:tcPr>
                  <w:tcW w:w="2410" w:type="dxa"/>
                  <w:vAlign w:val="center"/>
                </w:tcPr>
                <w:p w14:paraId="650AAE8A" w14:textId="1559C991" w:rsidR="00ED56B2" w:rsidRPr="005723C8" w:rsidRDefault="00ED56B2" w:rsidP="00ED56B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89196B">
                    <w:rPr>
                      <w:rStyle w:val="PageNumber"/>
                      <w:noProof/>
                    </w:rPr>
                    <w:t>34</w:t>
                  </w:r>
                  <w:r>
                    <w:rPr>
                      <w:rStyle w:val="PageNumber"/>
                    </w:rPr>
                    <w:fldChar w:fldCharType="end"/>
                  </w:r>
                </w:p>
              </w:tc>
              <w:tc>
                <w:tcPr>
                  <w:tcW w:w="4211" w:type="dxa"/>
                </w:tcPr>
                <w:p w14:paraId="65D6DFEA" w14:textId="77777777" w:rsidR="00ED56B2" w:rsidRPr="00FB0DEA" w:rsidRDefault="00ED56B2" w:rsidP="00ED56B2">
                  <w:pPr>
                    <w:pStyle w:val="Footer"/>
                    <w:spacing w:after="0"/>
                    <w:jc w:val="right"/>
                  </w:pPr>
                  <w:r w:rsidRPr="00EE5398">
                    <w:rPr>
                      <w:noProof/>
                      <w:lang w:val="en-GB" w:eastAsia="en-GB"/>
                    </w:rPr>
                    <w:drawing>
                      <wp:inline distT="0" distB="0" distL="0" distR="0" wp14:anchorId="2E0E6578" wp14:editId="3D1D6AF5">
                        <wp:extent cx="1335600" cy="402043"/>
                        <wp:effectExtent l="0" t="0" r="0" b="0"/>
                        <wp:docPr id="23" name="Picture 23"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1210EADA" w14:textId="77777777" w:rsidR="00ED56B2" w:rsidRPr="005723C8" w:rsidRDefault="00ED56B2" w:rsidP="00ED56B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6455" w14:textId="77777777" w:rsidR="00836A89" w:rsidRDefault="00836A89" w:rsidP="00123BB4">
      <w:r>
        <w:separator/>
      </w:r>
    </w:p>
  </w:footnote>
  <w:footnote w:type="continuationSeparator" w:id="0">
    <w:p w14:paraId="6E180115" w14:textId="77777777" w:rsidR="00836A89" w:rsidRDefault="00836A89" w:rsidP="00123BB4">
      <w:r>
        <w:continuationSeparator/>
      </w:r>
    </w:p>
  </w:footnote>
  <w:footnote w:type="continuationNotice" w:id="1">
    <w:p w14:paraId="3E37D5E3" w14:textId="77777777" w:rsidR="00836A89" w:rsidRDefault="00836A89">
      <w:pPr>
        <w:spacing w:after="0" w:line="240" w:lineRule="auto"/>
      </w:pPr>
    </w:p>
  </w:footnote>
  <w:footnote w:id="2">
    <w:p w14:paraId="5371E33E" w14:textId="77777777" w:rsidR="00FB199D" w:rsidRDefault="00FB199D" w:rsidP="00FB199D">
      <w:pPr>
        <w:pStyle w:val="FootnoteText"/>
      </w:pPr>
      <w:r>
        <w:rPr>
          <w:rStyle w:val="FootnoteReference"/>
        </w:rPr>
        <w:footnoteRef/>
      </w:r>
      <w:r>
        <w:t xml:space="preserve"> S</w:t>
      </w:r>
      <w:r w:rsidRPr="008B5155">
        <w:t>ection</w:t>
      </w:r>
      <w:r>
        <w:t>s</w:t>
      </w:r>
      <w:r w:rsidRPr="008B5155">
        <w:t xml:space="preserve"> 23C</w:t>
      </w:r>
      <w:r>
        <w:t xml:space="preserve"> and 23D</w:t>
      </w:r>
      <w:r w:rsidRPr="008B5155">
        <w:t xml:space="preserve"> of the FMA</w:t>
      </w:r>
      <w:r>
        <w:t xml:space="preserve"> set out principles of sound financial management.</w:t>
      </w:r>
    </w:p>
  </w:footnote>
  <w:footnote w:id="3">
    <w:p w14:paraId="544DE14F" w14:textId="4D182BB9" w:rsidR="00F91460" w:rsidRPr="00D51766" w:rsidRDefault="00F91460" w:rsidP="00F91460">
      <w:pPr>
        <w:spacing w:after="120"/>
        <w:ind w:left="284" w:hanging="284"/>
        <w:rPr>
          <w:sz w:val="16"/>
        </w:rPr>
      </w:pPr>
      <w:r w:rsidRPr="00D51766">
        <w:rPr>
          <w:rStyle w:val="FootnoteReference"/>
          <w:sz w:val="16"/>
        </w:rPr>
        <w:footnoteRef/>
      </w:r>
      <w:r w:rsidRPr="00D51766">
        <w:rPr>
          <w:sz w:val="16"/>
        </w:rPr>
        <w:t xml:space="preserve"> </w:t>
      </w:r>
      <w:r w:rsidRPr="00D51766">
        <w:rPr>
          <w:i/>
          <w:sz w:val="16"/>
        </w:rPr>
        <w:t xml:space="preserve">‘Is your </w:t>
      </w:r>
      <w:r w:rsidR="00C81471">
        <w:rPr>
          <w:i/>
          <w:sz w:val="16"/>
        </w:rPr>
        <w:t>entity</w:t>
      </w:r>
      <w:r w:rsidRPr="00D51766">
        <w:rPr>
          <w:i/>
          <w:sz w:val="16"/>
        </w:rPr>
        <w:t xml:space="preserve"> subject to the Standing Directions under the Financial Management Act?</w:t>
      </w:r>
      <w:r w:rsidRPr="00D51766">
        <w:rPr>
          <w:sz w:val="16"/>
        </w:rPr>
        <w:t xml:space="preserve">’ Department of Treasury and Finance, </w:t>
      </w:r>
      <w:hyperlink r:id="rId1" w:history="1">
        <w:r w:rsidRPr="00D51766">
          <w:rPr>
            <w:rStyle w:val="Hyperlink"/>
            <w:color w:val="53565A"/>
            <w:sz w:val="16"/>
          </w:rPr>
          <w:t>www.dtf.vic.gov.au</w:t>
        </w:r>
      </w:hyperlink>
    </w:p>
  </w:footnote>
  <w:footnote w:id="4">
    <w:p w14:paraId="1345D58A" w14:textId="77777777" w:rsidR="00C154A3" w:rsidRPr="009A51D2" w:rsidRDefault="00C154A3" w:rsidP="00C154A3">
      <w:pPr>
        <w:pStyle w:val="bodycopy"/>
        <w:rPr>
          <w:sz w:val="16"/>
          <w:szCs w:val="16"/>
        </w:rPr>
      </w:pPr>
      <w:r w:rsidRPr="00D51766">
        <w:rPr>
          <w:rStyle w:val="FootnoteReference"/>
          <w:sz w:val="16"/>
          <w:szCs w:val="16"/>
        </w:rPr>
        <w:footnoteRef/>
      </w:r>
      <w:r w:rsidRPr="00D51766">
        <w:rPr>
          <w:sz w:val="16"/>
          <w:szCs w:val="16"/>
        </w:rPr>
        <w:t xml:space="preserve"> Public Non-Financial Corporations are required to report against their approved Corporate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CE0D" w14:textId="43576DE0" w:rsidR="00A976CE" w:rsidRDefault="00A976CE" w:rsidP="00123BB4">
    <w:pPr>
      <w:pStyle w:val="Header"/>
    </w:pPr>
    <w:r>
      <w:rPr>
        <w:noProof/>
      </w:rPr>
      <mc:AlternateContent>
        <mc:Choice Requires="wps">
          <w:drawing>
            <wp:anchor distT="0" distB="0" distL="0" distR="0" simplePos="0" relativeHeight="251658242" behindDoc="0" locked="0" layoutInCell="1" allowOverlap="1" wp14:anchorId="398B573A" wp14:editId="408EFC09">
              <wp:simplePos x="635" y="635"/>
              <wp:positionH relativeFrom="page">
                <wp:align>center</wp:align>
              </wp:positionH>
              <wp:positionV relativeFrom="page">
                <wp:align>top</wp:align>
              </wp:positionV>
              <wp:extent cx="443865" cy="443865"/>
              <wp:effectExtent l="0" t="0" r="12065" b="2540"/>
              <wp:wrapNone/>
              <wp:docPr id="55" name="Text Box 5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D999CE"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8B573A" id="_x0000_t202" coordsize="21600,21600" o:spt="202" path="m,l,21600r21600,l21600,xe">
              <v:stroke joinstyle="miter"/>
              <v:path gradientshapeok="t" o:connecttype="rect"/>
            </v:shapetype>
            <v:shape id="Text Box 55" o:spid="_x0000_s1026"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CD999CE" w14:textId="77777777" w:rsidR="00A976CE" w:rsidRPr="00E6749C" w:rsidRDefault="00A976CE" w:rsidP="00123BB4">
                    <w:pPr>
                      <w:rPr>
                        <w:noProof/>
                      </w:rPr>
                    </w:pPr>
                    <w:r w:rsidRPr="00E6749C">
                      <w:rPr>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2DD" w14:textId="0C1EFF1F" w:rsidR="00A976CE" w:rsidRDefault="007D1F4A" w:rsidP="00123BB4">
    <w:pPr>
      <w:pStyle w:val="Header"/>
    </w:pPr>
    <w:r>
      <w:rPr>
        <w:noProof/>
      </w:rPr>
      <mc:AlternateContent>
        <mc:Choice Requires="wps">
          <w:drawing>
            <wp:anchor distT="0" distB="0" distL="114300" distR="114300" simplePos="1" relativeHeight="251663403" behindDoc="0" locked="0" layoutInCell="0" allowOverlap="1" wp14:anchorId="110DAE5B" wp14:editId="5AA0AD1E">
              <wp:simplePos x="0" y="190500"/>
              <wp:positionH relativeFrom="page">
                <wp:posOffset>0</wp:posOffset>
              </wp:positionH>
              <wp:positionV relativeFrom="page">
                <wp:posOffset>190500</wp:posOffset>
              </wp:positionV>
              <wp:extent cx="7560310" cy="252095"/>
              <wp:effectExtent l="0" t="0" r="0" b="14605"/>
              <wp:wrapNone/>
              <wp:docPr id="39" name="MSIPCM49534542968371a102e8333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B01A3" w14:textId="5A63245E" w:rsidR="007D1F4A" w:rsidRPr="007D1F4A" w:rsidRDefault="007D1F4A" w:rsidP="007D1F4A">
                          <w:pPr>
                            <w:spacing w:after="0"/>
                            <w:jc w:val="center"/>
                            <w:rPr>
                              <w:sz w:val="24"/>
                            </w:rPr>
                          </w:pPr>
                          <w:r w:rsidRPr="007D1F4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0DAE5B" id="_x0000_t202" coordsize="21600,21600" o:spt="202" path="m,l,21600r21600,l21600,xe">
              <v:stroke joinstyle="miter"/>
              <v:path gradientshapeok="t" o:connecttype="rect"/>
            </v:shapetype>
            <v:shape id="MSIPCM49534542968371a102e83330"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340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79B01A3" w14:textId="5A63245E" w:rsidR="007D1F4A" w:rsidRPr="007D1F4A" w:rsidRDefault="007D1F4A" w:rsidP="007D1F4A">
                    <w:pPr>
                      <w:spacing w:after="0"/>
                      <w:jc w:val="center"/>
                      <w:rPr>
                        <w:sz w:val="24"/>
                      </w:rPr>
                    </w:pPr>
                    <w:r w:rsidRPr="007D1F4A">
                      <w:rPr>
                        <w:sz w:val="24"/>
                      </w:rPr>
                      <w:t>OFFICIAL</w:t>
                    </w:r>
                  </w:p>
                </w:txbxContent>
              </v:textbox>
              <w10:wrap anchorx="page" anchory="page"/>
            </v:shape>
          </w:pict>
        </mc:Fallback>
      </mc:AlternateContent>
    </w:r>
    <w:r w:rsidR="006D768E">
      <w:rPr>
        <w:noProof/>
      </w:rPr>
      <mc:AlternateContent>
        <mc:Choice Requires="wps">
          <w:drawing>
            <wp:anchor distT="0" distB="0" distL="114300" distR="114300" simplePos="1" relativeHeight="251658278" behindDoc="0" locked="0" layoutInCell="0" allowOverlap="1" wp14:anchorId="0836E34F" wp14:editId="317C5797">
              <wp:simplePos x="0" y="190500"/>
              <wp:positionH relativeFrom="page">
                <wp:posOffset>0</wp:posOffset>
              </wp:positionH>
              <wp:positionV relativeFrom="page">
                <wp:posOffset>190500</wp:posOffset>
              </wp:positionV>
              <wp:extent cx="7560310" cy="252095"/>
              <wp:effectExtent l="0" t="0" r="0" b="14605"/>
              <wp:wrapNone/>
              <wp:docPr id="26" name="Text Box 2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04AB6" w14:textId="7AFB92C4" w:rsidR="006D768E" w:rsidRPr="006D768E" w:rsidRDefault="006D768E" w:rsidP="006D768E">
                          <w:pPr>
                            <w:spacing w:after="0"/>
                            <w:jc w:val="center"/>
                            <w:rPr>
                              <w:sz w:val="24"/>
                            </w:rPr>
                          </w:pPr>
                          <w:r w:rsidRPr="006D768E">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836E34F" id="Text Box 26" o:spid="_x0000_s1028" type="#_x0000_t202" alt="{&quot;HashCode&quot;:352122633,&quot;Height&quot;:841.0,&quot;Width&quot;:595.0,&quot;Placement&quot;:&quot;Header&quot;,&quot;Index&quot;:&quot;Primary&quot;,&quot;Section&quot;:1,&quot;Top&quot;:0.0,&quot;Left&quot;:0.0}" style="position:absolute;margin-left:0;margin-top:15pt;width:595.3pt;height:19.85pt;z-index:2516582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20F04AB6" w14:textId="7AFB92C4" w:rsidR="006D768E" w:rsidRPr="006D768E" w:rsidRDefault="006D768E" w:rsidP="006D768E">
                    <w:pPr>
                      <w:spacing w:after="0"/>
                      <w:jc w:val="center"/>
                      <w:rPr>
                        <w:sz w:val="24"/>
                      </w:rPr>
                    </w:pPr>
                    <w:r w:rsidRPr="006D768E">
                      <w:rPr>
                        <w:sz w:val="24"/>
                      </w:rPr>
                      <w:t>OFFICIAL</w:t>
                    </w:r>
                  </w:p>
                </w:txbxContent>
              </v:textbox>
              <w10:wrap anchorx="page" anchory="page"/>
            </v:shape>
          </w:pict>
        </mc:Fallback>
      </mc:AlternateContent>
    </w:r>
    <w:r w:rsidR="00530788">
      <w:rPr>
        <w:noProof/>
      </w:rPr>
      <mc:AlternateContent>
        <mc:Choice Requires="wps">
          <w:drawing>
            <wp:anchor distT="0" distB="0" distL="114300" distR="114300" simplePos="0" relativeHeight="251658267" behindDoc="0" locked="0" layoutInCell="0" allowOverlap="1" wp14:anchorId="71F17746" wp14:editId="65AF14A1">
              <wp:simplePos x="0" y="0"/>
              <wp:positionH relativeFrom="page">
                <wp:posOffset>0</wp:posOffset>
              </wp:positionH>
              <wp:positionV relativeFrom="page">
                <wp:posOffset>190500</wp:posOffset>
              </wp:positionV>
              <wp:extent cx="7560310" cy="252095"/>
              <wp:effectExtent l="0" t="0" r="0" b="14605"/>
              <wp:wrapNone/>
              <wp:docPr id="18" name="Text Box 1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CB36B1" w14:textId="769508A5" w:rsidR="00530788" w:rsidRPr="00530788" w:rsidRDefault="00530788" w:rsidP="00530788">
                          <w:pPr>
                            <w:spacing w:after="0"/>
                            <w:jc w:val="center"/>
                            <w:rPr>
                              <w:sz w:val="24"/>
                            </w:rPr>
                          </w:pPr>
                          <w:r w:rsidRPr="00530788">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1F17746" id="Text Box 18" o:spid="_x0000_s1029" type="#_x0000_t202" alt="{&quot;HashCode&quot;:352122633,&quot;Height&quot;:841.0,&quot;Width&quot;:595.0,&quot;Placement&quot;:&quot;Header&quot;,&quot;Index&quot;:&quot;Primary&quot;,&quot;Section&quot;:1,&quot;Top&quot;:0.0,&quot;Left&quot;:0.0}" style="position:absolute;margin-left:0;margin-top:15pt;width:595.3pt;height:19.85pt;z-index:251658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4ACB36B1" w14:textId="769508A5" w:rsidR="00530788" w:rsidRPr="00530788" w:rsidRDefault="00530788" w:rsidP="00530788">
                    <w:pPr>
                      <w:spacing w:after="0"/>
                      <w:jc w:val="center"/>
                      <w:rPr>
                        <w:sz w:val="24"/>
                      </w:rPr>
                    </w:pPr>
                    <w:r w:rsidRPr="00530788">
                      <w:rPr>
                        <w:sz w:val="24"/>
                      </w:rPr>
                      <w:t>OFFICIAL</w:t>
                    </w:r>
                  </w:p>
                </w:txbxContent>
              </v:textbox>
              <w10:wrap anchorx="page" anchory="page"/>
            </v:shape>
          </w:pict>
        </mc:Fallback>
      </mc:AlternateContent>
    </w:r>
    <w:r w:rsidR="00915952">
      <w:rPr>
        <w:noProof/>
      </w:rPr>
      <mc:AlternateContent>
        <mc:Choice Requires="wps">
          <w:drawing>
            <wp:anchor distT="0" distB="0" distL="114300" distR="114300" simplePos="0" relativeHeight="251658247" behindDoc="0" locked="0" layoutInCell="0" allowOverlap="1" wp14:anchorId="59C261B3" wp14:editId="0DA35294">
              <wp:simplePos x="0" y="0"/>
              <wp:positionH relativeFrom="page">
                <wp:posOffset>0</wp:posOffset>
              </wp:positionH>
              <wp:positionV relativeFrom="page">
                <wp:posOffset>190500</wp:posOffset>
              </wp:positionV>
              <wp:extent cx="7560310" cy="252095"/>
              <wp:effectExtent l="0" t="0" r="0" b="14605"/>
              <wp:wrapNone/>
              <wp:docPr id="6" name="Text Box 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5623AB" w14:textId="5DC79A8A" w:rsidR="00915952" w:rsidRPr="00915952" w:rsidRDefault="00915952" w:rsidP="00915952">
                          <w:pPr>
                            <w:spacing w:after="0"/>
                            <w:jc w:val="center"/>
                            <w:rPr>
                              <w:sz w:val="24"/>
                            </w:rPr>
                          </w:pPr>
                          <w:r w:rsidRPr="0091595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9C261B3" id="Text Box 6" o:spid="_x0000_s1030" type="#_x0000_t202" alt="{&quot;HashCode&quot;:352122633,&quot;Height&quot;:841.0,&quot;Width&quot;:595.0,&quot;Placement&quot;:&quot;Header&quot;,&quot;Index&quot;:&quot;Primary&quot;,&quot;Section&quot;:1,&quot;Top&quot;:0.0,&quot;Left&quot;:0.0}" style="position:absolute;margin-left:0;margin-top:15pt;width:595.3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textbox inset=",0,,0">
                <w:txbxContent>
                  <w:p w14:paraId="3F5623AB" w14:textId="5DC79A8A" w:rsidR="00915952" w:rsidRPr="00915952" w:rsidRDefault="00915952" w:rsidP="00915952">
                    <w:pPr>
                      <w:spacing w:after="0"/>
                      <w:jc w:val="center"/>
                      <w:rPr>
                        <w:sz w:val="24"/>
                      </w:rPr>
                    </w:pPr>
                    <w:r w:rsidRPr="00915952">
                      <w:rPr>
                        <w:sz w:val="24"/>
                      </w:rPr>
                      <w:t>OFFICIAL</w:t>
                    </w:r>
                  </w:p>
                </w:txbxContent>
              </v:textbox>
              <w10:wrap anchorx="page" anchory="page"/>
            </v:shape>
          </w:pict>
        </mc:Fallback>
      </mc:AlternateContent>
    </w:r>
    <w:r w:rsidR="00A976CE">
      <w:rPr>
        <w:noProof/>
      </w:rPr>
      <mc:AlternateContent>
        <mc:Choice Requires="wps">
          <w:drawing>
            <wp:anchor distT="0" distB="0" distL="0" distR="0" simplePos="0" relativeHeight="251658243" behindDoc="0" locked="0" layoutInCell="1" allowOverlap="1" wp14:anchorId="18F0A68A" wp14:editId="4867B60B">
              <wp:simplePos x="0" y="0"/>
              <wp:positionH relativeFrom="page">
                <wp:align>center</wp:align>
              </wp:positionH>
              <wp:positionV relativeFrom="page">
                <wp:align>top</wp:align>
              </wp:positionV>
              <wp:extent cx="443865" cy="443865"/>
              <wp:effectExtent l="0" t="0" r="12065" b="2540"/>
              <wp:wrapNone/>
              <wp:docPr id="56" name="Text Box 5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EE2E6E"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18F0A68A" id="Text Box 56" o:spid="_x0000_s1031"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32EE2E6E" w14:textId="77777777" w:rsidR="00A976CE" w:rsidRPr="00E6749C" w:rsidRDefault="00A976CE" w:rsidP="00123BB4">
                    <w:pPr>
                      <w:rPr>
                        <w:noProof/>
                      </w:rPr>
                    </w:pPr>
                    <w:r w:rsidRPr="00E6749C">
                      <w:rPr>
                        <w:noProof/>
                      </w:rPr>
                      <w:t>OFFICIAL</w:t>
                    </w:r>
                  </w:p>
                </w:txbxContent>
              </v:textbox>
              <w10:wrap anchorx="page" anchory="page"/>
            </v:shape>
          </w:pict>
        </mc:Fallback>
      </mc:AlternateContent>
    </w:r>
    <w:r w:rsidR="00A976CE">
      <w:rPr>
        <w:noProof/>
      </w:rPr>
      <w:drawing>
        <wp:anchor distT="0" distB="0" distL="114300" distR="114300" simplePos="0" relativeHeight="251658241" behindDoc="1" locked="1" layoutInCell="1" allowOverlap="1" wp14:anchorId="03CBE99E" wp14:editId="11D9246B">
          <wp:simplePos x="0" y="0"/>
          <wp:positionH relativeFrom="page">
            <wp:align>left</wp:align>
          </wp:positionH>
          <wp:positionV relativeFrom="page">
            <wp:align>top</wp:align>
          </wp:positionV>
          <wp:extent cx="7553325" cy="10684510"/>
          <wp:effectExtent l="0" t="0" r="9525" b="254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677"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72A7" w14:textId="76A216F3" w:rsidR="00A976CE" w:rsidRDefault="007D1F4A" w:rsidP="00123BB4">
    <w:pPr>
      <w:pStyle w:val="Header"/>
    </w:pPr>
    <w:r>
      <w:rPr>
        <w:noProof/>
      </w:rPr>
      <mc:AlternateContent>
        <mc:Choice Requires="wps">
          <w:drawing>
            <wp:anchor distT="0" distB="0" distL="114300" distR="114300" simplePos="0" relativeHeight="251664427" behindDoc="0" locked="0" layoutInCell="0" allowOverlap="1" wp14:anchorId="6DAF71CE" wp14:editId="4CF80E07">
              <wp:simplePos x="0" y="0"/>
              <wp:positionH relativeFrom="page">
                <wp:posOffset>0</wp:posOffset>
              </wp:positionH>
              <wp:positionV relativeFrom="page">
                <wp:posOffset>190500</wp:posOffset>
              </wp:positionV>
              <wp:extent cx="7560310" cy="252095"/>
              <wp:effectExtent l="0" t="0" r="0" b="14605"/>
              <wp:wrapNone/>
              <wp:docPr id="40" name="MSIPCMce894916bc9bd3c21757fdfb"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CED070" w14:textId="7B3D307A" w:rsidR="007D1F4A" w:rsidRPr="007D1F4A" w:rsidRDefault="007D1F4A" w:rsidP="007D1F4A">
                          <w:pPr>
                            <w:spacing w:after="0"/>
                            <w:jc w:val="center"/>
                            <w:rPr>
                              <w:sz w:val="24"/>
                            </w:rPr>
                          </w:pPr>
                          <w:r w:rsidRPr="007D1F4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AF71CE" id="_x0000_t202" coordsize="21600,21600" o:spt="202" path="m,l,21600r21600,l21600,xe">
              <v:stroke joinstyle="miter"/>
              <v:path gradientshapeok="t" o:connecttype="rect"/>
            </v:shapetype>
            <v:shape id="MSIPCMce894916bc9bd3c21757fdfb" o:spid="_x0000_s1039" type="#_x0000_t202" alt="{&quot;HashCode&quot;:352122633,&quot;Height&quot;:841.0,&quot;Width&quot;:595.0,&quot;Placement&quot;:&quot;Header&quot;,&quot;Index&quot;:&quot;FirstPage&quot;,&quot;Section&quot;:1,&quot;Top&quot;:0.0,&quot;Left&quot;:0.0}" style="position:absolute;margin-left:0;margin-top:15pt;width:595.3pt;height:19.85pt;z-index:2516644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qv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e0yHRXZQnXA/Bz313vJ1g0Ns&#10;mA/PzCHXODfqNzzhIRVgMzhblNTgfv3NH/ORAoxS0qJ2Sup/HpgTlKjvBsm5Hd/cRL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L3BqvGAIAACwEAAAOAAAAAAAAAAAAAAAAAC4CAABkcnMvZTJvRG9jLnhtbFBLAQItABQABgAI&#10;AAAAIQCgivhk3AAAAAcBAAAPAAAAAAAAAAAAAAAAAHIEAABkcnMvZG93bnJldi54bWxQSwUGAAAA&#10;AAQABADzAAAAewUAAAAA&#10;" o:allowincell="f" filled="f" stroked="f" strokeweight=".5pt">
              <v:textbox inset=",0,,0">
                <w:txbxContent>
                  <w:p w14:paraId="60CED070" w14:textId="7B3D307A" w:rsidR="007D1F4A" w:rsidRPr="007D1F4A" w:rsidRDefault="007D1F4A" w:rsidP="007D1F4A">
                    <w:pPr>
                      <w:spacing w:after="0"/>
                      <w:jc w:val="center"/>
                      <w:rPr>
                        <w:sz w:val="24"/>
                      </w:rPr>
                    </w:pPr>
                    <w:r w:rsidRPr="007D1F4A">
                      <w:rPr>
                        <w:sz w:val="24"/>
                      </w:rPr>
                      <w:t>OFFICIAL</w:t>
                    </w:r>
                  </w:p>
                </w:txbxContent>
              </v:textbox>
              <w10:wrap anchorx="page" anchory="page"/>
            </v:shape>
          </w:pict>
        </mc:Fallback>
      </mc:AlternateContent>
    </w:r>
    <w:r w:rsidR="006D768E">
      <w:rPr>
        <w:noProof/>
      </w:rPr>
      <mc:AlternateContent>
        <mc:Choice Requires="wps">
          <w:drawing>
            <wp:anchor distT="0" distB="0" distL="114300" distR="114300" simplePos="0" relativeHeight="251658279" behindDoc="0" locked="0" layoutInCell="0" allowOverlap="1" wp14:anchorId="334DBE7E" wp14:editId="58A9A637">
              <wp:simplePos x="0" y="0"/>
              <wp:positionH relativeFrom="page">
                <wp:posOffset>0</wp:posOffset>
              </wp:positionH>
              <wp:positionV relativeFrom="page">
                <wp:posOffset>190500</wp:posOffset>
              </wp:positionV>
              <wp:extent cx="7560310" cy="252095"/>
              <wp:effectExtent l="0" t="0" r="0" b="14605"/>
              <wp:wrapNone/>
              <wp:docPr id="27" name="Text Box 27"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C9529F" w14:textId="0975BBD1" w:rsidR="006D768E" w:rsidRPr="006D768E" w:rsidRDefault="006D768E" w:rsidP="006D768E">
                          <w:pPr>
                            <w:spacing w:after="0"/>
                            <w:jc w:val="center"/>
                            <w:rPr>
                              <w:sz w:val="24"/>
                            </w:rPr>
                          </w:pPr>
                          <w:r w:rsidRPr="006D768E">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34DBE7E" id="Text Box 27" o:spid="_x0000_s1040" type="#_x0000_t202" alt="{&quot;HashCode&quot;:352122633,&quot;Height&quot;:841.0,&quot;Width&quot;:595.0,&quot;Placement&quot;:&quot;Header&quot;,&quot;Index&quot;:&quot;FirstPage&quot;,&quot;Section&quot;:1,&quot;Top&quot;:0.0,&quot;Left&quot;:0.0}" style="position:absolute;margin-left:0;margin-top:15pt;width:595.3pt;height:19.85pt;z-index:25165827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yi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7jEdFtlBdcL9HPTUe8vXDQ6x&#10;YT48M4dc49yo3/CEh1SAzeBsUVKD+/U3f8xHCjBKSYvaKan/eWBOUKK+GyTndjydRr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CZf3yiGAIAACwEAAAOAAAAAAAAAAAAAAAAAC4CAABkcnMvZTJvRG9jLnhtbFBLAQItABQABgAI&#10;AAAAIQCgivhk3AAAAAcBAAAPAAAAAAAAAAAAAAAAAHIEAABkcnMvZG93bnJldi54bWxQSwUGAAAA&#10;AAQABADzAAAAewUAAAAA&#10;" o:allowincell="f" filled="f" stroked="f" strokeweight=".5pt">
              <v:textbox inset=",0,,0">
                <w:txbxContent>
                  <w:p w14:paraId="35C9529F" w14:textId="0975BBD1" w:rsidR="006D768E" w:rsidRPr="006D768E" w:rsidRDefault="006D768E" w:rsidP="006D768E">
                    <w:pPr>
                      <w:spacing w:after="0"/>
                      <w:jc w:val="center"/>
                      <w:rPr>
                        <w:sz w:val="24"/>
                      </w:rPr>
                    </w:pPr>
                    <w:r w:rsidRPr="006D768E">
                      <w:rPr>
                        <w:sz w:val="24"/>
                      </w:rPr>
                      <w:t>OFFICIAL</w:t>
                    </w:r>
                  </w:p>
                </w:txbxContent>
              </v:textbox>
              <w10:wrap anchorx="page" anchory="page"/>
            </v:shape>
          </w:pict>
        </mc:Fallback>
      </mc:AlternateContent>
    </w:r>
    <w:r w:rsidR="00530788">
      <w:rPr>
        <w:noProof/>
      </w:rPr>
      <mc:AlternateContent>
        <mc:Choice Requires="wps">
          <w:drawing>
            <wp:anchor distT="0" distB="0" distL="114300" distR="114300" simplePos="0" relativeHeight="251658268" behindDoc="0" locked="0" layoutInCell="0" allowOverlap="1" wp14:anchorId="4579E9D2" wp14:editId="5D6CE2C6">
              <wp:simplePos x="0" y="0"/>
              <wp:positionH relativeFrom="page">
                <wp:posOffset>0</wp:posOffset>
              </wp:positionH>
              <wp:positionV relativeFrom="page">
                <wp:posOffset>190500</wp:posOffset>
              </wp:positionV>
              <wp:extent cx="7560310" cy="252095"/>
              <wp:effectExtent l="0" t="0" r="0" b="14605"/>
              <wp:wrapNone/>
              <wp:docPr id="19" name="Text Box 1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D167A5" w14:textId="5BFF70F9" w:rsidR="00530788" w:rsidRPr="00530788" w:rsidRDefault="00530788" w:rsidP="00530788">
                          <w:pPr>
                            <w:spacing w:after="0"/>
                            <w:jc w:val="center"/>
                            <w:rPr>
                              <w:sz w:val="24"/>
                            </w:rPr>
                          </w:pPr>
                          <w:r w:rsidRPr="00530788">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579E9D2" id="Text Box 19" o:spid="_x0000_s1041" type="#_x0000_t202" alt="{&quot;HashCode&quot;:352122633,&quot;Height&quot;:841.0,&quot;Width&quot;:595.0,&quot;Placement&quot;:&quot;Header&quot;,&quot;Index&quot;:&quot;FirstPage&quot;,&quot;Section&quot;:1,&quot;Top&quot;:0.0,&quot;Left&quot;:0.0}" style="position:absolute;margin-left:0;margin-top:15pt;width:595.3pt;height:19.85pt;z-index:2516582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0qFg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0+QXBtoDrifh4H64PhK4RAP&#10;LMRn5pFrnBv1G5/wkBqwGRwtSlrwv/7mT/lIAUYp6VA7NQ0/d8wLSvR3i+TcjK+vk9jyBQ3/1rs5&#10;ee3O3AHKcowvxPFsptyoT6b0YF5R3svUDUPMcuxZ03gy7+KgZHweXCyXOQll5Vh8sGvHU+kEZ4L2&#10;pX9l3h3xj8jcI5zUxap3NAy5AxHLXQSpMkcXNI+4oyQzy8fnkzT/9p6zLo988Rs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afD9KhYCAAAsBAAADgAAAAAAAAAAAAAAAAAuAgAAZHJzL2Uyb0RvYy54bWxQSwECLQAUAAYACAAA&#10;ACEAoIr4ZNwAAAAHAQAADwAAAAAAAAAAAAAAAABwBAAAZHJzL2Rvd25yZXYueG1sUEsFBgAAAAAE&#10;AAQA8wAAAHkFAAAAAA==&#10;" o:allowincell="f" filled="f" stroked="f" strokeweight=".5pt">
              <v:textbox inset=",0,,0">
                <w:txbxContent>
                  <w:p w14:paraId="6DD167A5" w14:textId="5BFF70F9" w:rsidR="00530788" w:rsidRPr="00530788" w:rsidRDefault="00530788" w:rsidP="00530788">
                    <w:pPr>
                      <w:spacing w:after="0"/>
                      <w:jc w:val="center"/>
                      <w:rPr>
                        <w:sz w:val="24"/>
                      </w:rPr>
                    </w:pPr>
                    <w:r w:rsidRPr="00530788">
                      <w:rPr>
                        <w:sz w:val="24"/>
                      </w:rPr>
                      <w:t>OFFICIAL</w:t>
                    </w:r>
                  </w:p>
                </w:txbxContent>
              </v:textbox>
              <w10:wrap anchorx="page" anchory="page"/>
            </v:shape>
          </w:pict>
        </mc:Fallback>
      </mc:AlternateContent>
    </w:r>
    <w:r w:rsidR="00915952">
      <w:rPr>
        <w:noProof/>
      </w:rPr>
      <mc:AlternateContent>
        <mc:Choice Requires="wps">
          <w:drawing>
            <wp:anchor distT="0" distB="0" distL="114300" distR="114300" simplePos="0" relativeHeight="251658248" behindDoc="0" locked="0" layoutInCell="0" allowOverlap="1" wp14:anchorId="7812AE35" wp14:editId="734B859B">
              <wp:simplePos x="0" y="0"/>
              <wp:positionH relativeFrom="page">
                <wp:posOffset>0</wp:posOffset>
              </wp:positionH>
              <wp:positionV relativeFrom="page">
                <wp:posOffset>190500</wp:posOffset>
              </wp:positionV>
              <wp:extent cx="7560310" cy="252095"/>
              <wp:effectExtent l="0" t="0" r="0" b="14605"/>
              <wp:wrapNone/>
              <wp:docPr id="7" name="Text Box 7"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7DD60" w14:textId="2F706F10" w:rsidR="00915952" w:rsidRPr="00915952" w:rsidRDefault="00915952" w:rsidP="00915952">
                          <w:pPr>
                            <w:spacing w:after="0"/>
                            <w:jc w:val="center"/>
                            <w:rPr>
                              <w:sz w:val="24"/>
                            </w:rPr>
                          </w:pPr>
                          <w:r w:rsidRPr="0091595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812AE35" id="Text Box 7" o:spid="_x0000_s1042" type="#_x0000_t202" alt="{&quot;HashCode&quot;:352122633,&quot;Height&quot;:841.0,&quot;Width&quot;:595.0,&quot;Placement&quot;:&quot;Header&quot;,&quot;Index&quot;:&quot;FirstPage&quot;,&quot;Section&quot;:1,&quot;Top&quot;:0.0,&quot;Left&quot;:0.0}" style="position:absolute;margin-left:0;margin-top:15pt;width:595.3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5o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95gN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4Zg5oGAIAACwEAAAOAAAAAAAAAAAAAAAAAC4CAABkcnMvZTJvRG9jLnhtbFBLAQItABQABgAI&#10;AAAAIQCgivhk3AAAAAcBAAAPAAAAAAAAAAAAAAAAAHIEAABkcnMvZG93bnJldi54bWxQSwUGAAAA&#10;AAQABADzAAAAewUAAAAA&#10;" o:allowincell="f" filled="f" stroked="f" strokeweight=".5pt">
              <v:textbox inset=",0,,0">
                <w:txbxContent>
                  <w:p w14:paraId="20F7DD60" w14:textId="2F706F10" w:rsidR="00915952" w:rsidRPr="00915952" w:rsidRDefault="00915952" w:rsidP="00915952">
                    <w:pPr>
                      <w:spacing w:after="0"/>
                      <w:jc w:val="center"/>
                      <w:rPr>
                        <w:sz w:val="24"/>
                      </w:rPr>
                    </w:pPr>
                    <w:r w:rsidRPr="00915952">
                      <w:rPr>
                        <w:sz w:val="24"/>
                      </w:rPr>
                      <w:t>OFFICIAL</w:t>
                    </w:r>
                  </w:p>
                </w:txbxContent>
              </v:textbox>
              <w10:wrap anchorx="page" anchory="page"/>
            </v:shape>
          </w:pict>
        </mc:Fallback>
      </mc:AlternateContent>
    </w:r>
    <w:r w:rsidR="009406AA">
      <w:rPr>
        <w:noProof/>
      </w:rPr>
      <w:drawing>
        <wp:anchor distT="0" distB="0" distL="114300" distR="114300" simplePos="0" relativeHeight="251658244" behindDoc="1" locked="1" layoutInCell="1" allowOverlap="1" wp14:anchorId="4F379844" wp14:editId="78D47722">
          <wp:simplePos x="0" y="0"/>
          <wp:positionH relativeFrom="page">
            <wp:align>left</wp:align>
          </wp:positionH>
          <wp:positionV relativeFrom="page">
            <wp:align>top</wp:align>
          </wp:positionV>
          <wp:extent cx="7553325" cy="10683875"/>
          <wp:effectExtent l="0" t="0" r="0" b="317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4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E038" w14:textId="2DA0567E" w:rsidR="000603F0" w:rsidRDefault="000603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A876" w14:textId="7B22FAE2" w:rsidR="00DA23A2" w:rsidRDefault="007D1F4A" w:rsidP="00123BB4">
    <w:pPr>
      <w:pStyle w:val="Header"/>
    </w:pPr>
    <w:r>
      <w:rPr>
        <w:noProof/>
      </w:rPr>
      <mc:AlternateContent>
        <mc:Choice Requires="wps">
          <w:drawing>
            <wp:anchor distT="0" distB="0" distL="114300" distR="114300" simplePos="0" relativeHeight="251665451" behindDoc="0" locked="0" layoutInCell="0" allowOverlap="1" wp14:anchorId="20BB1CA5" wp14:editId="483909C6">
              <wp:simplePos x="0" y="0"/>
              <wp:positionH relativeFrom="page">
                <wp:posOffset>0</wp:posOffset>
              </wp:positionH>
              <wp:positionV relativeFrom="page">
                <wp:posOffset>190500</wp:posOffset>
              </wp:positionV>
              <wp:extent cx="7560310" cy="252095"/>
              <wp:effectExtent l="0" t="0" r="0" b="14605"/>
              <wp:wrapNone/>
              <wp:docPr id="41" name="MSIPCM4b6949b880196080f25d6409"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B538F4" w14:textId="406EE37D" w:rsidR="007D1F4A" w:rsidRPr="007D1F4A" w:rsidRDefault="007D1F4A" w:rsidP="007D1F4A">
                          <w:pPr>
                            <w:spacing w:after="0"/>
                            <w:jc w:val="center"/>
                            <w:rPr>
                              <w:sz w:val="24"/>
                            </w:rPr>
                          </w:pPr>
                          <w:r w:rsidRPr="007D1F4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BB1CA5" id="_x0000_t202" coordsize="21600,21600" o:spt="202" path="m,l,21600r21600,l21600,xe">
              <v:stroke joinstyle="miter"/>
              <v:path gradientshapeok="t" o:connecttype="rect"/>
            </v:shapetype>
            <v:shape id="MSIPCM4b6949b880196080f25d6409" o:spid="_x0000_s1048" type="#_x0000_t202" alt="{&quot;HashCode&quot;:352122633,&quot;Height&quot;:841.0,&quot;Width&quot;:595.0,&quot;Placement&quot;:&quot;Header&quot;,&quot;Index&quot;:&quot;Primary&quot;,&quot;Section&quot;:2,&quot;Top&quot;:0.0,&quot;Left&quot;:0.0}" style="position:absolute;margin-left:0;margin-top:15pt;width:595.3pt;height:19.85pt;z-index:2516654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U7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5gM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PwbU7GAIAACwEAAAOAAAAAAAAAAAAAAAAAC4CAABkcnMvZTJvRG9jLnhtbFBLAQItABQABgAI&#10;AAAAIQCgivhk3AAAAAcBAAAPAAAAAAAAAAAAAAAAAHIEAABkcnMvZG93bnJldi54bWxQSwUGAAAA&#10;AAQABADzAAAAewUAAAAA&#10;" o:allowincell="f" filled="f" stroked="f" strokeweight=".5pt">
              <v:textbox inset=",0,,0">
                <w:txbxContent>
                  <w:p w14:paraId="07B538F4" w14:textId="406EE37D" w:rsidR="007D1F4A" w:rsidRPr="007D1F4A" w:rsidRDefault="007D1F4A" w:rsidP="007D1F4A">
                    <w:pPr>
                      <w:spacing w:after="0"/>
                      <w:jc w:val="center"/>
                      <w:rPr>
                        <w:sz w:val="24"/>
                      </w:rPr>
                    </w:pPr>
                    <w:r w:rsidRPr="007D1F4A">
                      <w:rPr>
                        <w:sz w:val="24"/>
                      </w:rPr>
                      <w:t>OFFICIAL</w:t>
                    </w:r>
                  </w:p>
                </w:txbxContent>
              </v:textbox>
              <w10:wrap anchorx="page" anchory="page"/>
            </v:shape>
          </w:pict>
        </mc:Fallback>
      </mc:AlternateContent>
    </w:r>
    <w:r w:rsidR="002B636D">
      <w:rPr>
        <w:noProof/>
      </w:rPr>
      <mc:AlternateContent>
        <mc:Choice Requires="wps">
          <w:drawing>
            <wp:anchor distT="0" distB="0" distL="114300" distR="114300" simplePos="0" relativeHeight="251658282" behindDoc="0" locked="0" layoutInCell="0" allowOverlap="1" wp14:anchorId="0D5E37EE" wp14:editId="1F132ED5">
              <wp:simplePos x="0" y="0"/>
              <wp:positionH relativeFrom="page">
                <wp:posOffset>0</wp:posOffset>
              </wp:positionH>
              <wp:positionV relativeFrom="page">
                <wp:posOffset>190500</wp:posOffset>
              </wp:positionV>
              <wp:extent cx="7560310" cy="252095"/>
              <wp:effectExtent l="0" t="0" r="0" b="14605"/>
              <wp:wrapNone/>
              <wp:docPr id="36" name="Text Box 36"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9CF9BB" w14:textId="7A97A33D" w:rsidR="002B636D" w:rsidRPr="002B636D" w:rsidRDefault="002B636D" w:rsidP="002B636D">
                          <w:pPr>
                            <w:spacing w:after="0"/>
                            <w:jc w:val="center"/>
                            <w:rPr>
                              <w:sz w:val="24"/>
                            </w:rPr>
                          </w:pPr>
                          <w:r w:rsidRPr="002B636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D5E37EE" id="Text Box 36" o:spid="_x0000_s1049" type="#_x0000_t202" alt="{&quot;HashCode&quot;:352122633,&quot;Height&quot;:841.0,&quot;Width&quot;:595.0,&quot;Placement&quot;:&quot;Header&quot;,&quot;Index&quot;:&quot;Primary&quot;,&quot;Section&quot;:2,&quot;Top&quot;:0.0,&quot;Left&quot;:0.0}" style="position:absolute;margin-left:0;margin-top:15pt;width:595.3pt;height:19.85pt;z-index:25165828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z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U0yHRXZQnXA/Bz313vJ1g0Ns&#10;mA/PzCHXODfqNzzhIRVgMzhblNTgfv3NH/ORAoxS0qJ2Sup/HpgTlKjvBsm5Hd/cRL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TjSzGAIAACwEAAAOAAAAAAAAAAAAAAAAAC4CAABkcnMvZTJvRG9jLnhtbFBLAQItABQABgAI&#10;AAAAIQCgivhk3AAAAAcBAAAPAAAAAAAAAAAAAAAAAHIEAABkcnMvZG93bnJldi54bWxQSwUGAAAA&#10;AAQABADzAAAAewUAAAAA&#10;" o:allowincell="f" filled="f" stroked="f" strokeweight=".5pt">
              <v:textbox inset=",0,,0">
                <w:txbxContent>
                  <w:p w14:paraId="2A9CF9BB" w14:textId="7A97A33D" w:rsidR="002B636D" w:rsidRPr="002B636D" w:rsidRDefault="002B636D" w:rsidP="002B636D">
                    <w:pPr>
                      <w:spacing w:after="0"/>
                      <w:jc w:val="center"/>
                      <w:rPr>
                        <w:sz w:val="24"/>
                      </w:rPr>
                    </w:pPr>
                    <w:r w:rsidRPr="002B636D">
                      <w:rPr>
                        <w:sz w:val="24"/>
                      </w:rPr>
                      <w:t>OFFICIAL</w:t>
                    </w:r>
                  </w:p>
                </w:txbxContent>
              </v:textbox>
              <w10:wrap anchorx="page" anchory="page"/>
            </v:shape>
          </w:pict>
        </mc:Fallback>
      </mc:AlternateContent>
    </w:r>
    <w:r w:rsidR="00530788">
      <w:rPr>
        <w:noProof/>
      </w:rPr>
      <mc:AlternateContent>
        <mc:Choice Requires="wps">
          <w:drawing>
            <wp:anchor distT="0" distB="0" distL="114300" distR="114300" simplePos="0" relativeHeight="251658269" behindDoc="0" locked="0" layoutInCell="0" allowOverlap="1" wp14:anchorId="014C921F" wp14:editId="2A429077">
              <wp:simplePos x="0" y="0"/>
              <wp:positionH relativeFrom="page">
                <wp:posOffset>0</wp:posOffset>
              </wp:positionH>
              <wp:positionV relativeFrom="page">
                <wp:posOffset>190500</wp:posOffset>
              </wp:positionV>
              <wp:extent cx="7560310" cy="252095"/>
              <wp:effectExtent l="0" t="0" r="0" b="14605"/>
              <wp:wrapNone/>
              <wp:docPr id="20" name="Text Box 20"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20C76A" w14:textId="5AEE8E5E" w:rsidR="00530788" w:rsidRPr="00530788" w:rsidRDefault="00530788" w:rsidP="00530788">
                          <w:pPr>
                            <w:spacing w:after="0"/>
                            <w:jc w:val="center"/>
                            <w:rPr>
                              <w:sz w:val="24"/>
                            </w:rPr>
                          </w:pPr>
                          <w:r w:rsidRPr="00530788">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14C921F" id="Text Box 20" o:spid="_x0000_s1050" type="#_x0000_t202" alt="{&quot;HashCode&quot;:352122633,&quot;Height&quot;:841.0,&quot;Width&quot;:595.0,&quot;Placement&quot;:&quot;Header&quot;,&quot;Index&quot;:&quot;Primary&quot;,&quot;Section&quot;:2,&quot;Top&quot;:0.0,&quot;Left&quot;:0.0}" style="position:absolute;margin-left:0;margin-top:15pt;width:595.3pt;height:19.85pt;z-index:2516582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K+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TjEdFtlBdcL9HPTUe8vXDQ6x&#10;YT48M4dc49yo3/CEh1SAzeBsUVKD+/U3f8xHCjBKSYvaKan/eWBOUKK+GyTndjydRr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t7VK+GAIAACwEAAAOAAAAAAAAAAAAAAAAAC4CAABkcnMvZTJvRG9jLnhtbFBLAQItABQABgAI&#10;AAAAIQCgivhk3AAAAAcBAAAPAAAAAAAAAAAAAAAAAHIEAABkcnMvZG93bnJldi54bWxQSwUGAAAA&#10;AAQABADzAAAAewUAAAAA&#10;" o:allowincell="f" filled="f" stroked="f" strokeweight=".5pt">
              <v:textbox inset=",0,,0">
                <w:txbxContent>
                  <w:p w14:paraId="0520C76A" w14:textId="5AEE8E5E" w:rsidR="00530788" w:rsidRPr="00530788" w:rsidRDefault="00530788" w:rsidP="00530788">
                    <w:pPr>
                      <w:spacing w:after="0"/>
                      <w:jc w:val="center"/>
                      <w:rPr>
                        <w:sz w:val="24"/>
                      </w:rPr>
                    </w:pPr>
                    <w:r w:rsidRPr="00530788">
                      <w:rPr>
                        <w:sz w:val="24"/>
                      </w:rPr>
                      <w:t>OFFICIAL</w:t>
                    </w:r>
                  </w:p>
                </w:txbxContent>
              </v:textbox>
              <w10:wrap anchorx="page" anchory="page"/>
            </v:shape>
          </w:pict>
        </mc:Fallback>
      </mc:AlternateContent>
    </w:r>
    <w:r w:rsidR="00915952">
      <w:rPr>
        <w:noProof/>
      </w:rPr>
      <mc:AlternateContent>
        <mc:Choice Requires="wps">
          <w:drawing>
            <wp:anchor distT="0" distB="0" distL="114300" distR="114300" simplePos="0" relativeHeight="251658249" behindDoc="0" locked="0" layoutInCell="0" allowOverlap="1" wp14:anchorId="3C94960D" wp14:editId="07F91620">
              <wp:simplePos x="0" y="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DEF96A" w14:textId="1D88E6DA" w:rsidR="00915952" w:rsidRPr="00915952" w:rsidRDefault="00915952" w:rsidP="00915952">
                          <w:pPr>
                            <w:spacing w:after="0"/>
                            <w:jc w:val="center"/>
                            <w:rPr>
                              <w:sz w:val="24"/>
                            </w:rPr>
                          </w:pPr>
                          <w:r w:rsidRPr="0091595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C94960D" id="Text Box 8" o:spid="_x0000_s1051" type="#_x0000_t202" alt="{&quot;HashCode&quot;:352122633,&quot;Height&quot;:841.0,&quot;Width&quot;:595.0,&quot;Placement&quot;:&quot;Header&quot;,&quot;Index&quot;:&quot;Primary&quot;,&quot;Section&quot;:2,&quot;Top&quot;:0.0,&quot;Left&quot;:0.0}" style="position:absolute;margin-left:0;margin-top:15pt;width:595.3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M2Fw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qTjEssoXqiPs56Kn3lq8aHGLN&#10;fHhhDrnGuVG/4RkPqQCbwcmipAb362/+mI8UYJSSFrVTUv9zz5ygRH03SM7t+OYmii1d0HDvvdvB&#10;a/b6AVCWY3whlicz5gY1mNKBfkN5L2M3DDHDsWdJw2A+hF7J+Dy4WC5TEsrKsrA2G8tj6QhnhPa1&#10;e2POnvAPyNwTDOpixQca+tyeiOU+gGwSRxHgHs0T7ijJxPLp+UTNv7+nrMsjX/wG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J1i0zYXAgAALAQAAA4AAAAAAAAAAAAAAAAALgIAAGRycy9lMm9Eb2MueG1sUEsBAi0AFAAGAAgA&#10;AAAhAKCK+GTcAAAABwEAAA8AAAAAAAAAAAAAAAAAcQQAAGRycy9kb3ducmV2LnhtbFBLBQYAAAAA&#10;BAAEAPMAAAB6BQAAAAA=&#10;" o:allowincell="f" filled="f" stroked="f" strokeweight=".5pt">
              <v:textbox inset=",0,,0">
                <w:txbxContent>
                  <w:p w14:paraId="47DEF96A" w14:textId="1D88E6DA" w:rsidR="00915952" w:rsidRPr="00915952" w:rsidRDefault="00915952" w:rsidP="00915952">
                    <w:pPr>
                      <w:spacing w:after="0"/>
                      <w:jc w:val="center"/>
                      <w:rPr>
                        <w:sz w:val="24"/>
                      </w:rPr>
                    </w:pPr>
                    <w:r w:rsidRPr="00915952">
                      <w:rPr>
                        <w:sz w:val="24"/>
                      </w:rPr>
                      <w:t>OFFICIAL</w:t>
                    </w:r>
                  </w:p>
                </w:txbxContent>
              </v:textbox>
              <w10:wrap anchorx="page" anchory="page"/>
            </v:shape>
          </w:pict>
        </mc:Fallback>
      </mc:AlternateContent>
    </w:r>
    <w:r w:rsidR="00DA23A2">
      <w:rPr>
        <w:noProof/>
      </w:rPr>
      <w:drawing>
        <wp:anchor distT="0" distB="0" distL="114300" distR="114300" simplePos="0" relativeHeight="251658240" behindDoc="1" locked="1" layoutInCell="1" allowOverlap="1" wp14:anchorId="122F1099" wp14:editId="6EC4A668">
          <wp:simplePos x="0" y="0"/>
          <wp:positionH relativeFrom="page">
            <wp:align>left</wp:align>
          </wp:positionH>
          <wp:positionV relativeFrom="page">
            <wp:align>top</wp:align>
          </wp:positionV>
          <wp:extent cx="7560000" cy="10684800"/>
          <wp:effectExtent l="0" t="0" r="0" b="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885B" w14:textId="1C2E0C73" w:rsidR="000603F0" w:rsidRDefault="007D1F4A">
    <w:pPr>
      <w:pStyle w:val="Header"/>
    </w:pPr>
    <w:r>
      <w:rPr>
        <w:noProof/>
      </w:rPr>
      <mc:AlternateContent>
        <mc:Choice Requires="wps">
          <w:drawing>
            <wp:anchor distT="0" distB="0" distL="114300" distR="114300" simplePos="1" relativeHeight="251666475" behindDoc="0" locked="0" layoutInCell="0" allowOverlap="1" wp14:anchorId="5DE06F8D" wp14:editId="6171F74E">
              <wp:simplePos x="0" y="190500"/>
              <wp:positionH relativeFrom="page">
                <wp:posOffset>0</wp:posOffset>
              </wp:positionH>
              <wp:positionV relativeFrom="page">
                <wp:posOffset>190500</wp:posOffset>
              </wp:positionV>
              <wp:extent cx="7560310" cy="252095"/>
              <wp:effectExtent l="0" t="0" r="0" b="14605"/>
              <wp:wrapNone/>
              <wp:docPr id="42" name="MSIPCMf98b4cd4ab7d6c339c4a1866"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E0B70A" w14:textId="21DBB9FA" w:rsidR="007D1F4A" w:rsidRPr="007D1F4A" w:rsidRDefault="007D1F4A" w:rsidP="007D1F4A">
                          <w:pPr>
                            <w:spacing w:after="0"/>
                            <w:jc w:val="center"/>
                            <w:rPr>
                              <w:sz w:val="24"/>
                            </w:rPr>
                          </w:pPr>
                          <w:r w:rsidRPr="007D1F4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E06F8D" id="_x0000_t202" coordsize="21600,21600" o:spt="202" path="m,l,21600r21600,l21600,xe">
              <v:stroke joinstyle="miter"/>
              <v:path gradientshapeok="t" o:connecttype="rect"/>
            </v:shapetype>
            <v:shape id="MSIPCMf98b4cd4ab7d6c339c4a1866" o:spid="_x0000_s1056" type="#_x0000_t202" alt="{&quot;HashCode&quot;:352122633,&quot;Height&quot;:841.0,&quot;Width&quot;:595.0,&quot;Placement&quot;:&quot;Header&quot;,&quot;Index&quot;:&quot;FirstPage&quot;,&quot;Section&quot;:2,&quot;Top&quot;:0.0,&quot;Left&quot;:0.0}" style="position:absolute;margin-left:0;margin-top:15pt;width:595.3pt;height:19.85pt;z-index:2516664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MFwIAACwEAAAOAAAAZHJzL2Uyb0RvYy54bWysU99v2jAQfp+0/8Hy+0iAwt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T4dY4hjbDKb5LezWCa7/m2dD98EaBKNkjqkJaHF&#10;jhsf+tRzSmxmYN0olahRhrQlnU9nefrhEsHiymCP66zRCt2uI01V0mliNrp2UJ1wPwc99d7ydYND&#10;bJgPz8wh1zg36jc84SEVYDMYLEpqcL/+5o/5SAFGKWlROyX1Pw/MCUrUd4Pk3I5vbqLY0gUN99a7&#10;O3vNQd8DynKML8TyZMbcoM6mdKBfUd6r2A1DzHDsWdJwNu9Dr2R8HlysVikJZWVZ2Jit5bF0hDNC&#10;+9K9MmcH/AMy9whndbHiHQ19bk/E6hBANomjK5oD7ijJxPLwfKLm395T1vWRL38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P2r8kwXAgAALAQAAA4AAAAAAAAAAAAAAAAALgIAAGRycy9lMm9Eb2MueG1sUEsBAi0AFAAGAAgA&#10;AAAhAKCK+GTcAAAABwEAAA8AAAAAAAAAAAAAAAAAcQQAAGRycy9kb3ducmV2LnhtbFBLBQYAAAAA&#10;BAAEAPMAAAB6BQAAAAA=&#10;" o:allowincell="f" filled="f" stroked="f" strokeweight=".5pt">
              <v:textbox inset=",0,,0">
                <w:txbxContent>
                  <w:p w14:paraId="47E0B70A" w14:textId="21DBB9FA" w:rsidR="007D1F4A" w:rsidRPr="007D1F4A" w:rsidRDefault="007D1F4A" w:rsidP="007D1F4A">
                    <w:pPr>
                      <w:spacing w:after="0"/>
                      <w:jc w:val="center"/>
                      <w:rPr>
                        <w:sz w:val="24"/>
                      </w:rPr>
                    </w:pPr>
                    <w:r w:rsidRPr="007D1F4A">
                      <w:rPr>
                        <w:sz w:val="24"/>
                      </w:rPr>
                      <w:t>OFFICIAL</w:t>
                    </w:r>
                  </w:p>
                </w:txbxContent>
              </v:textbox>
              <w10:wrap anchorx="page" anchory="page"/>
            </v:shape>
          </w:pict>
        </mc:Fallback>
      </mc:AlternateContent>
    </w:r>
    <w:r w:rsidR="006D768E">
      <w:rPr>
        <w:noProof/>
      </w:rPr>
      <mc:AlternateContent>
        <mc:Choice Requires="wps">
          <w:drawing>
            <wp:anchor distT="0" distB="0" distL="114300" distR="114300" simplePos="1" relativeHeight="251658280" behindDoc="0" locked="0" layoutInCell="0" allowOverlap="1" wp14:anchorId="5EA0D462" wp14:editId="66E1C8BF">
              <wp:simplePos x="0" y="190500"/>
              <wp:positionH relativeFrom="page">
                <wp:posOffset>0</wp:posOffset>
              </wp:positionH>
              <wp:positionV relativeFrom="page">
                <wp:posOffset>190500</wp:posOffset>
              </wp:positionV>
              <wp:extent cx="7560310" cy="252095"/>
              <wp:effectExtent l="0" t="0" r="0" b="14605"/>
              <wp:wrapNone/>
              <wp:docPr id="32" name="Text Box 32"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CA4EB" w14:textId="045EBB09" w:rsidR="006D768E" w:rsidRPr="006D768E" w:rsidRDefault="006D768E" w:rsidP="006D768E">
                          <w:pPr>
                            <w:spacing w:after="0"/>
                            <w:jc w:val="center"/>
                            <w:rPr>
                              <w:sz w:val="24"/>
                            </w:rPr>
                          </w:pPr>
                          <w:r w:rsidRPr="006D768E">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EA0D462" id="Text Box 32" o:spid="_x0000_s1057" type="#_x0000_t202" alt="{&quot;HashCode&quot;:352122633,&quot;Height&quot;:841.0,&quot;Width&quot;:595.0,&quot;Placement&quot;:&quot;Header&quot;,&quot;Index&quot;:&quot;FirstPage&quot;,&quot;Section&quot;:2,&quot;Top&quot;:0.0,&quot;Left&quot;:0.0}" style="position:absolute;margin-left:0;margin-top:15pt;width:595.3pt;height:19.85pt;z-index:251658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PEGAIAACwEAAAOAAAAZHJzL2Uyb0RvYy54bWysU99v2jAQfp+0/8Hy+0iAwt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T4dY4hjbDKb5LezWCa7/m2dD98EaBKNkjqkJaHF&#10;jhsf+tRzSmxmYN0olahRhrQlnU9nefrhEsHiymCP66zRCt2uI01V0ullkR1UJ9zPQU+9t3zd4BAb&#10;5sMzc8g1zo36DU94SAXYDAaLkhrcr7/5Yz5SgFFKWtROSf3PA3OCEvXdIDm345ubKLZ0QcO99e7O&#10;XnPQ94CyHOMLsTyZMTeosykd6FeU9yp2wxAzHHuWNJzN+9ArGZ8HF6tVSkJZWRY2Zmt5LB3hjNC+&#10;dK/M2QH/gMw9wlldrHhHQ5/bE7E6BJBN4igC3KM54I6STCwPzydq/u09ZV0f+fI3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NJHPEGAIAACwEAAAOAAAAAAAAAAAAAAAAAC4CAABkcnMvZTJvRG9jLnhtbFBLAQItABQABgAI&#10;AAAAIQCgivhk3AAAAAcBAAAPAAAAAAAAAAAAAAAAAHIEAABkcnMvZG93bnJldi54bWxQSwUGAAAA&#10;AAQABADzAAAAewUAAAAA&#10;" o:allowincell="f" filled="f" stroked="f" strokeweight=".5pt">
              <v:textbox inset=",0,,0">
                <w:txbxContent>
                  <w:p w14:paraId="247CA4EB" w14:textId="045EBB09" w:rsidR="006D768E" w:rsidRPr="006D768E" w:rsidRDefault="006D768E" w:rsidP="006D768E">
                    <w:pPr>
                      <w:spacing w:after="0"/>
                      <w:jc w:val="center"/>
                      <w:rPr>
                        <w:sz w:val="24"/>
                      </w:rPr>
                    </w:pPr>
                    <w:r w:rsidRPr="006D768E">
                      <w:rPr>
                        <w:sz w:val="24"/>
                      </w:rPr>
                      <w:t>OFFICIAL</w:t>
                    </w:r>
                  </w:p>
                </w:txbxContent>
              </v:textbox>
              <w10:wrap anchorx="page" anchory="page"/>
            </v:shape>
          </w:pict>
        </mc:Fallback>
      </mc:AlternateContent>
    </w:r>
    <w:r w:rsidR="00530788">
      <w:rPr>
        <w:noProof/>
      </w:rPr>
      <mc:AlternateContent>
        <mc:Choice Requires="wps">
          <w:drawing>
            <wp:anchor distT="0" distB="0" distL="114300" distR="114300" simplePos="1" relativeHeight="251658270" behindDoc="0" locked="0" layoutInCell="0" allowOverlap="1" wp14:anchorId="6840ED71" wp14:editId="4FF5BE4E">
              <wp:simplePos x="0" y="190500"/>
              <wp:positionH relativeFrom="page">
                <wp:posOffset>0</wp:posOffset>
              </wp:positionH>
              <wp:positionV relativeFrom="page">
                <wp:posOffset>190500</wp:posOffset>
              </wp:positionV>
              <wp:extent cx="7560310" cy="252095"/>
              <wp:effectExtent l="0" t="0" r="0" b="14605"/>
              <wp:wrapNone/>
              <wp:docPr id="21" name="Text Box 21"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600221" w14:textId="53390B8D" w:rsidR="00530788" w:rsidRPr="00530788" w:rsidRDefault="00530788" w:rsidP="00530788">
                          <w:pPr>
                            <w:spacing w:after="0"/>
                            <w:jc w:val="center"/>
                            <w:rPr>
                              <w:sz w:val="24"/>
                            </w:rPr>
                          </w:pPr>
                          <w:r w:rsidRPr="00530788">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840ED71" id="Text Box 21" o:spid="_x0000_s1058" type="#_x0000_t202" alt="{&quot;HashCode&quot;:352122633,&quot;Height&quot;:841.0,&quot;Width&quot;:595.0,&quot;Placement&quot;:&quot;Header&quot;,&quot;Index&quot;:&quot;FirstPage&quot;,&quot;Section&quot;:2,&quot;Top&quot;:0.0,&quot;Left&quot;:0.0}" style="position:absolute;margin-left:0;margin-top:15pt;width:595.3pt;height:19.85pt;z-index:2516582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CG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lkWGQH1Qn3c9BT7y1fNzjE&#10;hvnwzBxyjXOjfsMTHlIBNoOzRUkN7tff/DEfKcAoJS1qp6T+54E5QYn6bpCc2/HNTRRbuqDh3np3&#10;g9cc9D2gLMf4QixPZswNajClA/2K8l7FbhhihmPPkobBvA+9kvF5cLFapSSUlWVhY7aWx9IRzgjt&#10;S/fKnD3jH5C5RxjUxYp3NPS5PRGrQwDZJI4iwD2aZ9xRkonl8/OJmn97T1nXR778D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csoCGGAIAACwEAAAOAAAAAAAAAAAAAAAAAC4CAABkcnMvZTJvRG9jLnhtbFBLAQItABQABgAI&#10;AAAAIQCgivhk3AAAAAcBAAAPAAAAAAAAAAAAAAAAAHIEAABkcnMvZG93bnJldi54bWxQSwUGAAAA&#10;AAQABADzAAAAewUAAAAA&#10;" o:allowincell="f" filled="f" stroked="f" strokeweight=".5pt">
              <v:textbox inset=",0,,0">
                <w:txbxContent>
                  <w:p w14:paraId="1D600221" w14:textId="53390B8D" w:rsidR="00530788" w:rsidRPr="00530788" w:rsidRDefault="00530788" w:rsidP="00530788">
                    <w:pPr>
                      <w:spacing w:after="0"/>
                      <w:jc w:val="center"/>
                      <w:rPr>
                        <w:sz w:val="24"/>
                      </w:rPr>
                    </w:pPr>
                    <w:r w:rsidRPr="00530788">
                      <w:rPr>
                        <w:sz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6E7A" w14:textId="76637A5B" w:rsidR="000603F0" w:rsidRDefault="000603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34C1" w14:textId="6159F6FC" w:rsidR="00B60FED" w:rsidRDefault="007D1F4A" w:rsidP="00123BB4">
    <w:pPr>
      <w:pStyle w:val="Header"/>
    </w:pPr>
    <w:r>
      <w:rPr>
        <w:noProof/>
      </w:rPr>
      <mc:AlternateContent>
        <mc:Choice Requires="wps">
          <w:drawing>
            <wp:anchor distT="0" distB="0" distL="114300" distR="114300" simplePos="0" relativeHeight="251667499" behindDoc="0" locked="0" layoutInCell="0" allowOverlap="1" wp14:anchorId="111BB4B1" wp14:editId="63A79BC8">
              <wp:simplePos x="0" y="0"/>
              <wp:positionH relativeFrom="page">
                <wp:posOffset>0</wp:posOffset>
              </wp:positionH>
              <wp:positionV relativeFrom="page">
                <wp:posOffset>190500</wp:posOffset>
              </wp:positionV>
              <wp:extent cx="7560310" cy="252095"/>
              <wp:effectExtent l="0" t="0" r="0" b="14605"/>
              <wp:wrapNone/>
              <wp:docPr id="44" name="MSIPCMbe4d4071b768ee1d379d2a87"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8B4024" w14:textId="0A1A46A5" w:rsidR="007D1F4A" w:rsidRPr="007D1F4A" w:rsidRDefault="007D1F4A" w:rsidP="007D1F4A">
                          <w:pPr>
                            <w:spacing w:after="0"/>
                            <w:jc w:val="center"/>
                            <w:rPr>
                              <w:sz w:val="24"/>
                            </w:rPr>
                          </w:pPr>
                          <w:r w:rsidRPr="007D1F4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1BB4B1" id="_x0000_t202" coordsize="21600,21600" o:spt="202" path="m,l,21600r21600,l21600,xe">
              <v:stroke joinstyle="miter"/>
              <v:path gradientshapeok="t" o:connecttype="rect"/>
            </v:shapetype>
            <v:shape id="MSIPCMbe4d4071b768ee1d379d2a87" o:spid="_x0000_s1059" type="#_x0000_t202" alt="{&quot;HashCode&quot;:352122633,&quot;Height&quot;:841.0,&quot;Width&quot;:595.0,&quot;Placement&quot;:&quot;Header&quot;,&quot;Index&quot;:&quot;Primary&quot;,&quot;Section&quot;:3,&quot;Top&quot;:0.0,&quot;Left&quot;:0.0}" style="position:absolute;margin-left:0;margin-top:15pt;width:595.3pt;height:19.85pt;z-index:2516674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EO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l0WGQH1Qn3c9BT7y1fNzjE&#10;hvnwzBxyjXOjfsMTHlIBNoOzRUkN7tff/DEfKcAoJS1qp6T+54E5QYn6bpCc2/HNTRRbuqDh3np3&#10;g9cc9D2gLMf4QixPZswNajClA/2K8l7FbhhihmPPkobBvA+9kvF5cLFapSSUlWVhY7aWx9IRzgjt&#10;S/fKnD3jH5C5RxjUxYp3NPS5PRGrQwDZJI4iwD2aZ9xRkonl8/OJmn97T1nXR778D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CsPQEOGAIAACwEAAAOAAAAAAAAAAAAAAAAAC4CAABkcnMvZTJvRG9jLnhtbFBLAQItABQABgAI&#10;AAAAIQCgivhk3AAAAAcBAAAPAAAAAAAAAAAAAAAAAHIEAABkcnMvZG93bnJldi54bWxQSwUGAAAA&#10;AAQABADzAAAAewUAAAAA&#10;" o:allowincell="f" filled="f" stroked="f" strokeweight=".5pt">
              <v:textbox inset=",0,,0">
                <w:txbxContent>
                  <w:p w14:paraId="708B4024" w14:textId="0A1A46A5" w:rsidR="007D1F4A" w:rsidRPr="007D1F4A" w:rsidRDefault="007D1F4A" w:rsidP="007D1F4A">
                    <w:pPr>
                      <w:spacing w:after="0"/>
                      <w:jc w:val="center"/>
                      <w:rPr>
                        <w:sz w:val="24"/>
                      </w:rPr>
                    </w:pPr>
                    <w:r w:rsidRPr="007D1F4A">
                      <w:rPr>
                        <w:sz w:val="24"/>
                      </w:rPr>
                      <w:t>OFFICIAL</w:t>
                    </w:r>
                  </w:p>
                </w:txbxContent>
              </v:textbox>
              <w10:wrap anchorx="page" anchory="page"/>
            </v:shape>
          </w:pict>
        </mc:Fallback>
      </mc:AlternateContent>
    </w:r>
    <w:r w:rsidR="002B636D">
      <w:rPr>
        <w:noProof/>
      </w:rPr>
      <mc:AlternateContent>
        <mc:Choice Requires="wps">
          <w:drawing>
            <wp:anchor distT="0" distB="0" distL="114300" distR="114300" simplePos="0" relativeHeight="251658283" behindDoc="0" locked="0" layoutInCell="0" allowOverlap="1" wp14:anchorId="1901E4BC" wp14:editId="4D757A69">
              <wp:simplePos x="0" y="0"/>
              <wp:positionH relativeFrom="page">
                <wp:posOffset>0</wp:posOffset>
              </wp:positionH>
              <wp:positionV relativeFrom="page">
                <wp:posOffset>190500</wp:posOffset>
              </wp:positionV>
              <wp:extent cx="7560310" cy="252095"/>
              <wp:effectExtent l="0" t="0" r="0" b="14605"/>
              <wp:wrapNone/>
              <wp:docPr id="37" name="Text Box 37"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B480F2" w14:textId="20B35302" w:rsidR="002B636D" w:rsidRPr="002B636D" w:rsidRDefault="002B636D" w:rsidP="002B636D">
                          <w:pPr>
                            <w:spacing w:after="0"/>
                            <w:jc w:val="center"/>
                            <w:rPr>
                              <w:sz w:val="24"/>
                            </w:rPr>
                          </w:pPr>
                          <w:r w:rsidRPr="002B636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901E4BC" id="Text Box 37" o:spid="_x0000_s1060" type="#_x0000_t202" alt="{&quot;HashCode&quot;:352122633,&quot;Height&quot;:841.0,&quot;Width&quot;:595.0,&quot;Placement&quot;:&quot;Header&quot;,&quot;Index&quot;:&quot;Primary&quot;,&quot;Section&quot;:3,&quot;Top&quot;:0.0,&quot;Left&quot;:0.0}" style="position:absolute;margin-left:0;margin-top:15pt;width:595.3pt;height:19.85pt;z-index:25165828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nmcDGAIAACwEAAAOAAAAAAAAAAAAAAAAAC4CAABkcnMvZTJvRG9jLnhtbFBLAQItABQABgAI&#10;AAAAIQCgivhk3AAAAAcBAAAPAAAAAAAAAAAAAAAAAHIEAABkcnMvZG93bnJldi54bWxQSwUGAAAA&#10;AAQABADzAAAAewUAAAAA&#10;" o:allowincell="f" filled="f" stroked="f" strokeweight=".5pt">
              <v:textbox inset=",0,,0">
                <w:txbxContent>
                  <w:p w14:paraId="4AB480F2" w14:textId="20B35302" w:rsidR="002B636D" w:rsidRPr="002B636D" w:rsidRDefault="002B636D" w:rsidP="002B636D">
                    <w:pPr>
                      <w:spacing w:after="0"/>
                      <w:jc w:val="center"/>
                      <w:rPr>
                        <w:sz w:val="24"/>
                      </w:rPr>
                    </w:pPr>
                    <w:r w:rsidRPr="002B636D">
                      <w:rPr>
                        <w:sz w:val="24"/>
                      </w:rPr>
                      <w:t>OFFICIAL</w:t>
                    </w:r>
                  </w:p>
                </w:txbxContent>
              </v:textbox>
              <w10:wrap anchorx="page" anchory="page"/>
            </v:shape>
          </w:pict>
        </mc:Fallback>
      </mc:AlternateContent>
    </w:r>
    <w:r w:rsidR="00915952">
      <w:rPr>
        <w:noProof/>
      </w:rPr>
      <mc:AlternateContent>
        <mc:Choice Requires="wps">
          <w:drawing>
            <wp:anchor distT="0" distB="0" distL="114300" distR="114300" simplePos="0" relativeHeight="251658250" behindDoc="0" locked="0" layoutInCell="0" allowOverlap="1" wp14:anchorId="1F8182FA" wp14:editId="4F75FB48">
              <wp:simplePos x="0" y="0"/>
              <wp:positionH relativeFrom="page">
                <wp:align>center</wp:align>
              </wp:positionH>
              <wp:positionV relativeFrom="page">
                <wp:posOffset>228600</wp:posOffset>
              </wp:positionV>
              <wp:extent cx="10248900" cy="361950"/>
              <wp:effectExtent l="0" t="0" r="0" b="0"/>
              <wp:wrapNone/>
              <wp:docPr id="9" name="Text Box 9"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248900" cy="3619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63166A" w14:textId="391F5D54" w:rsidR="00915952" w:rsidRPr="00915952" w:rsidRDefault="00915952" w:rsidP="009F2C7A">
                          <w:pPr>
                            <w:spacing w:after="0"/>
                            <w:jc w:val="center"/>
                            <w:rPr>
                              <w:sz w:val="24"/>
                            </w:rPr>
                          </w:pPr>
                          <w:r w:rsidRPr="0091595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182FA" id="Text Box 9" o:spid="_x0000_s1061" type="#_x0000_t202" alt="{&quot;HashCode&quot;:352122633,&quot;Height&quot;:841.0,&quot;Width&quot;:595.0,&quot;Placement&quot;:&quot;Header&quot;,&quot;Index&quot;:&quot;Primary&quot;,&quot;Section&quot;:3,&quot;Top&quot;:0.0,&quot;Left&quot;:0.0}" style="position:absolute;margin-left:0;margin-top:18pt;width:807pt;height:28.5pt;z-index:25165825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" o:allowincell="f" filled="f" stroked="f" strokeweight=".5pt">
              <v:textbox inset=",0,,0">
                <w:txbxContent>
                  <w:p w14:paraId="1A63166A" w14:textId="391F5D54" w:rsidR="00915952" w:rsidRPr="00915952" w:rsidRDefault="00915952" w:rsidP="009F2C7A">
                    <w:pPr>
                      <w:spacing w:after="0"/>
                      <w:jc w:val="center"/>
                      <w:rPr>
                        <w:sz w:val="24"/>
                      </w:rPr>
                    </w:pPr>
                    <w:r w:rsidRPr="00915952">
                      <w:rPr>
                        <w:sz w:val="24"/>
                      </w:rPr>
                      <w:t>OFFICIAL</w:t>
                    </w:r>
                  </w:p>
                </w:txbxContent>
              </v:textbox>
              <w10:wrap anchorx="page" anchory="page"/>
            </v:shape>
          </w:pict>
        </mc:Fallback>
      </mc:AlternateContent>
    </w:r>
    <w:r w:rsidR="00B60FED">
      <w:rPr>
        <w:noProof/>
      </w:rPr>
      <w:drawing>
        <wp:anchor distT="0" distB="0" distL="114300" distR="114300" simplePos="0" relativeHeight="251658253" behindDoc="1" locked="1" layoutInCell="1" allowOverlap="1" wp14:anchorId="590FC227" wp14:editId="577B9805">
          <wp:simplePos x="0" y="0"/>
          <wp:positionH relativeFrom="page">
            <wp:align>left</wp:align>
          </wp:positionH>
          <wp:positionV relativeFrom="page">
            <wp:align>top</wp:align>
          </wp:positionV>
          <wp:extent cx="10287000" cy="956945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34"/>
                  <a:stretch/>
                </pic:blipFill>
                <pic:spPr bwMode="auto">
                  <a:xfrm>
                    <a:off x="0" y="0"/>
                    <a:ext cx="10287512" cy="95699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5DA6" w14:textId="07FFAB83" w:rsidR="000603F0" w:rsidRDefault="007D1F4A">
    <w:pPr>
      <w:pStyle w:val="Header"/>
    </w:pPr>
    <w:r>
      <w:rPr>
        <w:noProof/>
      </w:rPr>
      <mc:AlternateContent>
        <mc:Choice Requires="wps">
          <w:drawing>
            <wp:anchor distT="0" distB="0" distL="114300" distR="114300" simplePos="1" relativeHeight="251668523" behindDoc="0" locked="0" layoutInCell="0" allowOverlap="1" wp14:anchorId="43EEA980" wp14:editId="54573960">
              <wp:simplePos x="0" y="190500"/>
              <wp:positionH relativeFrom="page">
                <wp:posOffset>0</wp:posOffset>
              </wp:positionH>
              <wp:positionV relativeFrom="page">
                <wp:posOffset>190500</wp:posOffset>
              </wp:positionV>
              <wp:extent cx="7560310" cy="252095"/>
              <wp:effectExtent l="0" t="0" r="0" b="14605"/>
              <wp:wrapNone/>
              <wp:docPr id="45" name="MSIPCMe6f244949b7798ffef1e6325" descr="{&quot;HashCode&quot;:352122633,&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CF45EE" w14:textId="6FFD2877" w:rsidR="007D1F4A" w:rsidRPr="007D1F4A" w:rsidRDefault="007D1F4A" w:rsidP="007D1F4A">
                          <w:pPr>
                            <w:spacing w:after="0"/>
                            <w:jc w:val="center"/>
                            <w:rPr>
                              <w:sz w:val="24"/>
                            </w:rPr>
                          </w:pPr>
                          <w:r w:rsidRPr="007D1F4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EEA980" id="_x0000_t202" coordsize="21600,21600" o:spt="202" path="m,l,21600r21600,l21600,xe">
              <v:stroke joinstyle="miter"/>
              <v:path gradientshapeok="t" o:connecttype="rect"/>
            </v:shapetype>
            <v:shape id="MSIPCMe6f244949b7798ffef1e6325" o:spid="_x0000_s1066" type="#_x0000_t202" alt="{&quot;HashCode&quot;:352122633,&quot;Height&quot;:841.0,&quot;Width&quot;:595.0,&quot;Placement&quot;:&quot;Header&quot;,&quot;Index&quot;:&quot;FirstPage&quot;,&quot;Section&quot;:3,&quot;Top&quot;:0.0,&quot;Left&quot;:0.0}" style="position:absolute;margin-left:0;margin-top:15pt;width:595.3pt;height:19.85pt;z-index:2516685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Ib9mskXAgAALAQAAA4AAAAAAAAAAAAAAAAALgIAAGRycy9lMm9Eb2MueG1sUEsBAi0AFAAGAAgA&#10;AAAhAKCK+GTcAAAABwEAAA8AAAAAAAAAAAAAAAAAcQQAAGRycy9kb3ducmV2LnhtbFBLBQYAAAAA&#10;BAAEAPMAAAB6BQAAAAA=&#10;" o:allowincell="f" filled="f" stroked="f" strokeweight=".5pt">
              <v:textbox inset=",0,,0">
                <w:txbxContent>
                  <w:p w14:paraId="25CF45EE" w14:textId="6FFD2877" w:rsidR="007D1F4A" w:rsidRPr="007D1F4A" w:rsidRDefault="007D1F4A" w:rsidP="007D1F4A">
                    <w:pPr>
                      <w:spacing w:after="0"/>
                      <w:jc w:val="center"/>
                      <w:rPr>
                        <w:sz w:val="24"/>
                      </w:rPr>
                    </w:pPr>
                    <w:r w:rsidRPr="007D1F4A">
                      <w:rPr>
                        <w:sz w:val="24"/>
                      </w:rPr>
                      <w:t>OFFICIAL</w:t>
                    </w:r>
                  </w:p>
                </w:txbxContent>
              </v:textbox>
              <w10:wrap anchorx="page" anchory="page"/>
            </v:shape>
          </w:pict>
        </mc:Fallback>
      </mc:AlternateContent>
    </w:r>
    <w:r w:rsidR="006D768E">
      <w:rPr>
        <w:noProof/>
      </w:rPr>
      <mc:AlternateContent>
        <mc:Choice Requires="wps">
          <w:drawing>
            <wp:anchor distT="0" distB="0" distL="114300" distR="114300" simplePos="1" relativeHeight="251658281" behindDoc="0" locked="0" layoutInCell="0" allowOverlap="1" wp14:anchorId="439A74CD" wp14:editId="2F9142CF">
              <wp:simplePos x="0" y="190500"/>
              <wp:positionH relativeFrom="page">
                <wp:posOffset>0</wp:posOffset>
              </wp:positionH>
              <wp:positionV relativeFrom="page">
                <wp:posOffset>190500</wp:posOffset>
              </wp:positionV>
              <wp:extent cx="7560310" cy="252095"/>
              <wp:effectExtent l="0" t="0" r="0" b="14605"/>
              <wp:wrapNone/>
              <wp:docPr id="35" name="Text Box 35" descr="{&quot;HashCode&quot;:352122633,&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3F25C" w14:textId="14E39497" w:rsidR="006D768E" w:rsidRPr="006D768E" w:rsidRDefault="006D768E" w:rsidP="006D768E">
                          <w:pPr>
                            <w:spacing w:after="0"/>
                            <w:jc w:val="center"/>
                            <w:rPr>
                              <w:sz w:val="24"/>
                            </w:rPr>
                          </w:pPr>
                          <w:r w:rsidRPr="006D768E">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39A74CD" id="Text Box 35" o:spid="_x0000_s1067" type="#_x0000_t202" alt="{&quot;HashCode&quot;:352122633,&quot;Height&quot;:841.0,&quot;Width&quot;:595.0,&quot;Placement&quot;:&quot;Header&quot;,&quot;Index&quot;:&quot;FirstPage&quot;,&quot;Section&quot;:3,&quot;Top&quot;:0.0,&quot;Left&quot;:0.0}" style="position:absolute;margin-left:0;margin-top:15pt;width:595.3pt;height:19.85pt;z-index:25165828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tBGA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RVSaeXRXZQnXA/Bz313vJ1g0Ns&#10;mA/PzCHXODfqNzzhIRVgMxgsSmpwv/7mj/lIAUYpaVE7JfU/D8wJStR3g+TcjqfTKLZ0QcO99e7O&#10;XnPQ94CyHOMLsTyZMTeosykd6FeU9yp2wxAzHHuWNJzN+9ArGZ8HF6tVSkJZWRY2Zmt5LB3hjNC+&#10;dK/M2QH/gMw9wlldrHhHQ5/bE7E6BJBN4igC3KM54I6STCwPzydq/u09ZV0f+fI3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2chtBGAIAACwEAAAOAAAAAAAAAAAAAAAAAC4CAABkcnMvZTJvRG9jLnhtbFBLAQItABQABgAI&#10;AAAAIQCgivhk3AAAAAcBAAAPAAAAAAAAAAAAAAAAAHIEAABkcnMvZG93bnJldi54bWxQSwUGAAAA&#10;AAQABADzAAAAewUAAAAA&#10;" o:allowincell="f" filled="f" stroked="f" strokeweight=".5pt">
              <v:textbox inset=",0,,0">
                <w:txbxContent>
                  <w:p w14:paraId="7D43F25C" w14:textId="14E39497" w:rsidR="006D768E" w:rsidRPr="006D768E" w:rsidRDefault="006D768E" w:rsidP="006D768E">
                    <w:pPr>
                      <w:spacing w:after="0"/>
                      <w:jc w:val="center"/>
                      <w:rPr>
                        <w:sz w:val="24"/>
                      </w:rPr>
                    </w:pPr>
                    <w:r w:rsidRPr="006D768E">
                      <w:rPr>
                        <w:sz w:val="24"/>
                      </w:rPr>
                      <w:t>OFFICIAL</w:t>
                    </w:r>
                  </w:p>
                </w:txbxContent>
              </v:textbox>
              <w10:wrap anchorx="page" anchory="page"/>
            </v:shape>
          </w:pict>
        </mc:Fallback>
      </mc:AlternateContent>
    </w:r>
    <w:r w:rsidR="00530788">
      <w:rPr>
        <w:noProof/>
      </w:rPr>
      <mc:AlternateContent>
        <mc:Choice Requires="wps">
          <w:drawing>
            <wp:anchor distT="0" distB="0" distL="114300" distR="114300" simplePos="1" relativeHeight="251658271" behindDoc="0" locked="0" layoutInCell="0" allowOverlap="1" wp14:anchorId="7507B3E4" wp14:editId="4A021C84">
              <wp:simplePos x="0" y="190500"/>
              <wp:positionH relativeFrom="page">
                <wp:posOffset>0</wp:posOffset>
              </wp:positionH>
              <wp:positionV relativeFrom="page">
                <wp:posOffset>190500</wp:posOffset>
              </wp:positionV>
              <wp:extent cx="7560310" cy="252095"/>
              <wp:effectExtent l="0" t="0" r="0" b="14605"/>
              <wp:wrapNone/>
              <wp:docPr id="28" name="Text Box 28" descr="{&quot;HashCode&quot;:352122633,&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1375F1" w14:textId="0884C0FA" w:rsidR="00530788" w:rsidRPr="00530788" w:rsidRDefault="00530788" w:rsidP="00530788">
                          <w:pPr>
                            <w:spacing w:after="0"/>
                            <w:jc w:val="center"/>
                            <w:rPr>
                              <w:sz w:val="24"/>
                            </w:rPr>
                          </w:pPr>
                          <w:r w:rsidRPr="00530788">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507B3E4" id="Text Box 28" o:spid="_x0000_s1068" type="#_x0000_t202" alt="{&quot;HashCode&quot;:352122633,&quot;Height&quot;:841.0,&quot;Width&quot;:595.0,&quot;Placement&quot;:&quot;Header&quot;,&quot;Index&quot;:&quot;FirstPage&quot;,&quot;Section&quot;:3,&quot;Top&quot;:0.0,&quot;Left&quot;:0.0}" style="position:absolute;margin-left:0;margin-top:15pt;width:595.3pt;height:19.85pt;z-index:2516582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gD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eTYZEdVCfcz0FPvbd83eAQ&#10;G+bDM3PINc6N+g1PeEgF2AzOFiU1uF9/88d8pACjlLSonZL6nwfmBCXqu0FybsfTaRRbuqDh3np3&#10;g9cc9D2gLMf4QixPZswNajClA/2K8l7FbhhihmPPkobBvA+9kvF5cLFapSSUlWVhY7aWx9IRzgjt&#10;S/fKnD3jH5C5RxjUxYp3NPS5PRGrQwDZJI4iwD2aZ9xRkonl8/OJmn97T1nXR778D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n5OgDGAIAACwEAAAOAAAAAAAAAAAAAAAAAC4CAABkcnMvZTJvRG9jLnhtbFBLAQItABQABgAI&#10;AAAAIQCgivhk3AAAAAcBAAAPAAAAAAAAAAAAAAAAAHIEAABkcnMvZG93bnJldi54bWxQSwUGAAAA&#10;AAQABADzAAAAewUAAAAA&#10;" o:allowincell="f" filled="f" stroked="f" strokeweight=".5pt">
              <v:textbox inset=",0,,0">
                <w:txbxContent>
                  <w:p w14:paraId="681375F1" w14:textId="0884C0FA" w:rsidR="00530788" w:rsidRPr="00530788" w:rsidRDefault="00530788" w:rsidP="00530788">
                    <w:pPr>
                      <w:spacing w:after="0"/>
                      <w:jc w:val="center"/>
                      <w:rPr>
                        <w:sz w:val="24"/>
                      </w:rPr>
                    </w:pPr>
                    <w:r w:rsidRPr="00530788">
                      <w:rPr>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585"/>
    <w:multiLevelType w:val="hybridMultilevel"/>
    <w:tmpl w:val="2CCA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F0C02"/>
    <w:multiLevelType w:val="hybridMultilevel"/>
    <w:tmpl w:val="9B8EF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C7AC0"/>
    <w:multiLevelType w:val="hybridMultilevel"/>
    <w:tmpl w:val="E3DE6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017A65"/>
    <w:multiLevelType w:val="hybridMultilevel"/>
    <w:tmpl w:val="956863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B06BBF"/>
    <w:multiLevelType w:val="hybridMultilevel"/>
    <w:tmpl w:val="9752A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B38A9"/>
    <w:multiLevelType w:val="hybridMultilevel"/>
    <w:tmpl w:val="B6DA6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896C93"/>
    <w:multiLevelType w:val="hybridMultilevel"/>
    <w:tmpl w:val="011CC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F47B0"/>
    <w:multiLevelType w:val="hybridMultilevel"/>
    <w:tmpl w:val="CE286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CB62C0"/>
    <w:multiLevelType w:val="hybridMultilevel"/>
    <w:tmpl w:val="A6B62864"/>
    <w:lvl w:ilvl="0" w:tplc="068808E4">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A04C4"/>
    <w:multiLevelType w:val="hybridMultilevel"/>
    <w:tmpl w:val="0FA20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D52944"/>
    <w:multiLevelType w:val="hybridMultilevel"/>
    <w:tmpl w:val="7F9CF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67EF3"/>
    <w:multiLevelType w:val="hybridMultilevel"/>
    <w:tmpl w:val="0A7A4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060C72"/>
    <w:multiLevelType w:val="hybridMultilevel"/>
    <w:tmpl w:val="3418C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6C2B65"/>
    <w:multiLevelType w:val="hybridMultilevel"/>
    <w:tmpl w:val="F1783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95AF3"/>
    <w:multiLevelType w:val="hybridMultilevel"/>
    <w:tmpl w:val="F350003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E83E7E"/>
    <w:multiLevelType w:val="hybridMultilevel"/>
    <w:tmpl w:val="394A1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663322"/>
    <w:multiLevelType w:val="hybridMultilevel"/>
    <w:tmpl w:val="B8F2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955ACD"/>
    <w:multiLevelType w:val="hybridMultilevel"/>
    <w:tmpl w:val="669A8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745B2"/>
    <w:multiLevelType w:val="hybridMultilevel"/>
    <w:tmpl w:val="5B1A6178"/>
    <w:lvl w:ilvl="0" w:tplc="0C090001">
      <w:start w:val="1"/>
      <w:numFmt w:val="bullet"/>
      <w:lvlText w:val=""/>
      <w:lvlJc w:val="left"/>
      <w:pPr>
        <w:ind w:left="720" w:hanging="360"/>
      </w:pPr>
      <w:rPr>
        <w:rFonts w:ascii="Symbol" w:hAnsi="Symbol" w:hint="default"/>
        <w:color w:val="626464"/>
        <w:sz w:val="1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B684702"/>
    <w:multiLevelType w:val="hybridMultilevel"/>
    <w:tmpl w:val="9ABEF07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4E4008"/>
    <w:multiLevelType w:val="hybridMultilevel"/>
    <w:tmpl w:val="886C0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B83717"/>
    <w:multiLevelType w:val="hybridMultilevel"/>
    <w:tmpl w:val="EDDEE0CE"/>
    <w:lvl w:ilvl="0" w:tplc="D07E1FAE">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27004"/>
    <w:multiLevelType w:val="hybridMultilevel"/>
    <w:tmpl w:val="12C8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596B9B"/>
    <w:multiLevelType w:val="hybridMultilevel"/>
    <w:tmpl w:val="7FBE0064"/>
    <w:lvl w:ilvl="0" w:tplc="5BD2FDA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566087"/>
    <w:multiLevelType w:val="hybridMultilevel"/>
    <w:tmpl w:val="4BAA3F9A"/>
    <w:lvl w:ilvl="0" w:tplc="8682BA84">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C4ED5"/>
    <w:multiLevelType w:val="hybridMultilevel"/>
    <w:tmpl w:val="BB484362"/>
    <w:lvl w:ilvl="0" w:tplc="7B0AAD12">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8105C"/>
    <w:multiLevelType w:val="hybridMultilevel"/>
    <w:tmpl w:val="8794D1E0"/>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211"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C80E3D"/>
    <w:multiLevelType w:val="hybridMultilevel"/>
    <w:tmpl w:val="B4908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2F84DE5"/>
    <w:multiLevelType w:val="hybridMultilevel"/>
    <w:tmpl w:val="2236E1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3443180"/>
    <w:multiLevelType w:val="hybridMultilevel"/>
    <w:tmpl w:val="ABF086CE"/>
    <w:lvl w:ilvl="0" w:tplc="036EFF4E">
      <w:start w:val="1"/>
      <w:numFmt w:val="decimal"/>
      <w:lvlText w:val="%1."/>
      <w:lvlJc w:val="left"/>
      <w:pPr>
        <w:ind w:left="360" w:hanging="360"/>
      </w:pPr>
      <w:rPr>
        <w:color w:val="auto"/>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4004FC9"/>
    <w:multiLevelType w:val="hybridMultilevel"/>
    <w:tmpl w:val="38C8E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56673F"/>
    <w:multiLevelType w:val="hybridMultilevel"/>
    <w:tmpl w:val="436AA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8B607F"/>
    <w:multiLevelType w:val="hybridMultilevel"/>
    <w:tmpl w:val="56929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A668FF"/>
    <w:multiLevelType w:val="hybridMultilevel"/>
    <w:tmpl w:val="8FA2BFCE"/>
    <w:lvl w:ilvl="0" w:tplc="64E4D47A">
      <w:start w:val="1"/>
      <w:numFmt w:val="bullet"/>
      <w:pStyle w:val="ListBullet"/>
      <w:lvlText w:val=""/>
      <w:lvlJc w:val="left"/>
      <w:pPr>
        <w:ind w:left="720" w:hanging="360"/>
      </w:pPr>
      <w:rPr>
        <w:rFonts w:ascii="Symbol" w:hAnsi="Symbol" w:hint="default"/>
        <w:color w:val="626464"/>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BB71B9"/>
    <w:multiLevelType w:val="hybridMultilevel"/>
    <w:tmpl w:val="34225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9E6F22"/>
    <w:multiLevelType w:val="hybridMultilevel"/>
    <w:tmpl w:val="55B0A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030259"/>
    <w:multiLevelType w:val="hybridMultilevel"/>
    <w:tmpl w:val="7212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13034"/>
    <w:multiLevelType w:val="hybridMultilevel"/>
    <w:tmpl w:val="CBE25412"/>
    <w:lvl w:ilvl="0" w:tplc="5BD2FDA0">
      <w:start w:val="1"/>
      <w:numFmt w:val="bullet"/>
      <w:lvlText w:val=""/>
      <w:lvlJc w:val="left"/>
      <w:pPr>
        <w:ind w:left="720" w:hanging="360"/>
      </w:pPr>
      <w:rPr>
        <w:rFonts w:ascii="Symbol" w:hAnsi="Symbol" w:hint="default"/>
        <w:color w:val="535659" w:themeColor="text2"/>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741981"/>
    <w:multiLevelType w:val="hybridMultilevel"/>
    <w:tmpl w:val="510A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D339E6"/>
    <w:multiLevelType w:val="hybridMultilevel"/>
    <w:tmpl w:val="CA2EE650"/>
    <w:lvl w:ilvl="0" w:tplc="5BD2FDA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C75004"/>
    <w:multiLevelType w:val="hybridMultilevel"/>
    <w:tmpl w:val="D2B85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2F5AFE"/>
    <w:multiLevelType w:val="hybridMultilevel"/>
    <w:tmpl w:val="F910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E77F67"/>
    <w:multiLevelType w:val="hybridMultilevel"/>
    <w:tmpl w:val="A8624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4F28BA"/>
    <w:multiLevelType w:val="hybridMultilevel"/>
    <w:tmpl w:val="661A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3F2B9C"/>
    <w:multiLevelType w:val="hybridMultilevel"/>
    <w:tmpl w:val="5554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561D34"/>
    <w:multiLevelType w:val="hybridMultilevel"/>
    <w:tmpl w:val="F7564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B0003B"/>
    <w:multiLevelType w:val="hybridMultilevel"/>
    <w:tmpl w:val="5CA24532"/>
    <w:lvl w:ilvl="0" w:tplc="15EA02BA">
      <w:start w:val="1"/>
      <w:numFmt w:val="bullet"/>
      <w:lvlText w:val=""/>
      <w:lvlJc w:val="left"/>
      <w:pPr>
        <w:ind w:left="720" w:hanging="360"/>
      </w:pPr>
      <w:rPr>
        <w:rFonts w:ascii="Symbol" w:hAnsi="Symbol" w:hint="default"/>
      </w:rPr>
    </w:lvl>
    <w:lvl w:ilvl="1" w:tplc="D49CF3D0">
      <w:start w:val="1"/>
      <w:numFmt w:val="bullet"/>
      <w:lvlText w:val=""/>
      <w:lvlJc w:val="left"/>
      <w:pPr>
        <w:ind w:left="720" w:hanging="360"/>
      </w:pPr>
      <w:rPr>
        <w:rFonts w:ascii="Symbol" w:hAnsi="Symbol" w:hint="default"/>
      </w:rPr>
    </w:lvl>
    <w:lvl w:ilvl="2" w:tplc="F7BC9702">
      <w:start w:val="1"/>
      <w:numFmt w:val="bullet"/>
      <w:lvlText w:val=""/>
      <w:lvlJc w:val="left"/>
      <w:pPr>
        <w:ind w:left="2160" w:hanging="360"/>
      </w:pPr>
      <w:rPr>
        <w:rFonts w:ascii="Wingdings" w:hAnsi="Wingdings" w:hint="default"/>
      </w:rPr>
    </w:lvl>
    <w:lvl w:ilvl="3" w:tplc="A6FA5130">
      <w:start w:val="1"/>
      <w:numFmt w:val="bullet"/>
      <w:lvlText w:val=""/>
      <w:lvlJc w:val="left"/>
      <w:pPr>
        <w:ind w:left="2880" w:hanging="360"/>
      </w:pPr>
      <w:rPr>
        <w:rFonts w:ascii="Symbol" w:hAnsi="Symbol" w:hint="default"/>
      </w:rPr>
    </w:lvl>
    <w:lvl w:ilvl="4" w:tplc="0890BC2C">
      <w:start w:val="1"/>
      <w:numFmt w:val="bullet"/>
      <w:lvlText w:val="o"/>
      <w:lvlJc w:val="left"/>
      <w:pPr>
        <w:ind w:left="3600" w:hanging="360"/>
      </w:pPr>
      <w:rPr>
        <w:rFonts w:ascii="Courier New" w:hAnsi="Courier New" w:hint="default"/>
      </w:rPr>
    </w:lvl>
    <w:lvl w:ilvl="5" w:tplc="7940EEC2">
      <w:start w:val="1"/>
      <w:numFmt w:val="bullet"/>
      <w:lvlText w:val=""/>
      <w:lvlJc w:val="left"/>
      <w:pPr>
        <w:ind w:left="4320" w:hanging="360"/>
      </w:pPr>
      <w:rPr>
        <w:rFonts w:ascii="Wingdings" w:hAnsi="Wingdings" w:hint="default"/>
      </w:rPr>
    </w:lvl>
    <w:lvl w:ilvl="6" w:tplc="1F9E4CAA">
      <w:start w:val="1"/>
      <w:numFmt w:val="bullet"/>
      <w:lvlText w:val=""/>
      <w:lvlJc w:val="left"/>
      <w:pPr>
        <w:ind w:left="5040" w:hanging="360"/>
      </w:pPr>
      <w:rPr>
        <w:rFonts w:ascii="Symbol" w:hAnsi="Symbol" w:hint="default"/>
      </w:rPr>
    </w:lvl>
    <w:lvl w:ilvl="7" w:tplc="9230AE6C">
      <w:start w:val="1"/>
      <w:numFmt w:val="bullet"/>
      <w:lvlText w:val="o"/>
      <w:lvlJc w:val="left"/>
      <w:pPr>
        <w:ind w:left="5760" w:hanging="360"/>
      </w:pPr>
      <w:rPr>
        <w:rFonts w:ascii="Courier New" w:hAnsi="Courier New" w:hint="default"/>
      </w:rPr>
    </w:lvl>
    <w:lvl w:ilvl="8" w:tplc="D1AC6CB0">
      <w:start w:val="1"/>
      <w:numFmt w:val="bullet"/>
      <w:lvlText w:val=""/>
      <w:lvlJc w:val="left"/>
      <w:pPr>
        <w:ind w:left="6480" w:hanging="360"/>
      </w:pPr>
      <w:rPr>
        <w:rFonts w:ascii="Wingdings" w:hAnsi="Wingdings" w:hint="default"/>
      </w:rPr>
    </w:lvl>
  </w:abstractNum>
  <w:abstractNum w:abstractNumId="49" w15:restartNumberingAfterBreak="0">
    <w:nsid w:val="751C06A9"/>
    <w:multiLevelType w:val="hybridMultilevel"/>
    <w:tmpl w:val="8780C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2139DC"/>
    <w:multiLevelType w:val="hybridMultilevel"/>
    <w:tmpl w:val="F65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9C95CCA"/>
    <w:multiLevelType w:val="hybridMultilevel"/>
    <w:tmpl w:val="E9D88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9FF78EC"/>
    <w:multiLevelType w:val="hybridMultilevel"/>
    <w:tmpl w:val="8974A82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A195CC3"/>
    <w:multiLevelType w:val="hybridMultilevel"/>
    <w:tmpl w:val="B4D864C2"/>
    <w:lvl w:ilvl="0" w:tplc="0C090001">
      <w:start w:val="1"/>
      <w:numFmt w:val="bullet"/>
      <w:lvlText w:val=""/>
      <w:lvlJc w:val="left"/>
      <w:pPr>
        <w:ind w:left="360" w:hanging="360"/>
      </w:pPr>
      <w:rPr>
        <w:rFonts w:ascii="Symbol" w:hAnsi="Symbol" w:hint="default"/>
      </w:rPr>
    </w:lvl>
    <w:lvl w:ilvl="1" w:tplc="FCC003D8">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C32697B"/>
    <w:multiLevelType w:val="hybridMultilevel"/>
    <w:tmpl w:val="DD2C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5923188">
    <w:abstractNumId w:val="8"/>
  </w:num>
  <w:num w:numId="2" w16cid:durableId="558827950">
    <w:abstractNumId w:val="25"/>
  </w:num>
  <w:num w:numId="3" w16cid:durableId="1952666511">
    <w:abstractNumId w:val="24"/>
  </w:num>
  <w:num w:numId="4" w16cid:durableId="896740552">
    <w:abstractNumId w:val="42"/>
  </w:num>
  <w:num w:numId="5" w16cid:durableId="672416796">
    <w:abstractNumId w:val="21"/>
  </w:num>
  <w:num w:numId="6" w16cid:durableId="1791511743">
    <w:abstractNumId w:val="27"/>
  </w:num>
  <w:num w:numId="7" w16cid:durableId="974916247">
    <w:abstractNumId w:val="34"/>
  </w:num>
  <w:num w:numId="8" w16cid:durableId="538131857">
    <w:abstractNumId w:val="13"/>
  </w:num>
  <w:num w:numId="9" w16cid:durableId="896016835">
    <w:abstractNumId w:val="33"/>
  </w:num>
  <w:num w:numId="10" w16cid:durableId="2144732672">
    <w:abstractNumId w:val="35"/>
  </w:num>
  <w:num w:numId="11" w16cid:durableId="1330019882">
    <w:abstractNumId w:val="18"/>
  </w:num>
  <w:num w:numId="12" w16cid:durableId="1594052888">
    <w:abstractNumId w:val="10"/>
  </w:num>
  <w:num w:numId="13" w16cid:durableId="1557862513">
    <w:abstractNumId w:val="31"/>
  </w:num>
  <w:num w:numId="14" w16cid:durableId="1659843031">
    <w:abstractNumId w:val="22"/>
  </w:num>
  <w:num w:numId="15" w16cid:durableId="1034430724">
    <w:abstractNumId w:val="47"/>
  </w:num>
  <w:num w:numId="16" w16cid:durableId="1489899098">
    <w:abstractNumId w:val="6"/>
  </w:num>
  <w:num w:numId="17" w16cid:durableId="361706678">
    <w:abstractNumId w:val="54"/>
  </w:num>
  <w:num w:numId="18" w16cid:durableId="2027753218">
    <w:abstractNumId w:val="4"/>
  </w:num>
  <w:num w:numId="19" w16cid:durableId="1935550430">
    <w:abstractNumId w:val="15"/>
  </w:num>
  <w:num w:numId="20" w16cid:durableId="551238014">
    <w:abstractNumId w:val="16"/>
  </w:num>
  <w:num w:numId="21" w16cid:durableId="1317300572">
    <w:abstractNumId w:val="9"/>
  </w:num>
  <w:num w:numId="22" w16cid:durableId="1286155207">
    <w:abstractNumId w:val="51"/>
  </w:num>
  <w:num w:numId="23" w16cid:durableId="1079256657">
    <w:abstractNumId w:val="53"/>
  </w:num>
  <w:num w:numId="24" w16cid:durableId="672419488">
    <w:abstractNumId w:val="7"/>
  </w:num>
  <w:num w:numId="25" w16cid:durableId="607197289">
    <w:abstractNumId w:val="43"/>
  </w:num>
  <w:num w:numId="26" w16cid:durableId="860512342">
    <w:abstractNumId w:val="41"/>
  </w:num>
  <w:num w:numId="27" w16cid:durableId="440801987">
    <w:abstractNumId w:val="0"/>
  </w:num>
  <w:num w:numId="28" w16cid:durableId="1798181630">
    <w:abstractNumId w:val="20"/>
  </w:num>
  <w:num w:numId="29" w16cid:durableId="99565720">
    <w:abstractNumId w:val="30"/>
  </w:num>
  <w:num w:numId="30" w16cid:durableId="149056682">
    <w:abstractNumId w:val="49"/>
  </w:num>
  <w:num w:numId="31" w16cid:durableId="570122937">
    <w:abstractNumId w:val="12"/>
  </w:num>
  <w:num w:numId="32" w16cid:durableId="1066607289">
    <w:abstractNumId w:val="37"/>
  </w:num>
  <w:num w:numId="33" w16cid:durableId="854617515">
    <w:abstractNumId w:val="50"/>
  </w:num>
  <w:num w:numId="34" w16cid:durableId="165632294">
    <w:abstractNumId w:val="36"/>
  </w:num>
  <w:num w:numId="35" w16cid:durableId="1601913376">
    <w:abstractNumId w:val="1"/>
  </w:num>
  <w:num w:numId="36" w16cid:durableId="556086122">
    <w:abstractNumId w:val="11"/>
  </w:num>
  <w:num w:numId="37" w16cid:durableId="561017521">
    <w:abstractNumId w:val="3"/>
  </w:num>
  <w:num w:numId="38" w16cid:durableId="800654853">
    <w:abstractNumId w:val="52"/>
  </w:num>
  <w:num w:numId="39" w16cid:durableId="542668849">
    <w:abstractNumId w:val="19"/>
  </w:num>
  <w:num w:numId="40" w16cid:durableId="1091583780">
    <w:abstractNumId w:val="44"/>
  </w:num>
  <w:num w:numId="41" w16cid:durableId="241332347">
    <w:abstractNumId w:val="26"/>
  </w:num>
  <w:num w:numId="42" w16cid:durableId="1663313849">
    <w:abstractNumId w:val="29"/>
  </w:num>
  <w:num w:numId="43" w16cid:durableId="470949234">
    <w:abstractNumId w:val="17"/>
  </w:num>
  <w:num w:numId="44" w16cid:durableId="1403720447">
    <w:abstractNumId w:val="23"/>
  </w:num>
  <w:num w:numId="45" w16cid:durableId="2062438587">
    <w:abstractNumId w:val="48"/>
  </w:num>
  <w:num w:numId="46" w16cid:durableId="1241988517">
    <w:abstractNumId w:val="32"/>
  </w:num>
  <w:num w:numId="47" w16cid:durableId="394283287">
    <w:abstractNumId w:val="5"/>
  </w:num>
  <w:num w:numId="48" w16cid:durableId="2096633037">
    <w:abstractNumId w:val="45"/>
  </w:num>
  <w:num w:numId="49" w16cid:durableId="1529490110">
    <w:abstractNumId w:val="14"/>
  </w:num>
  <w:num w:numId="50" w16cid:durableId="1608467792">
    <w:abstractNumId w:val="46"/>
  </w:num>
  <w:num w:numId="51" w16cid:durableId="1558318268">
    <w:abstractNumId w:val="38"/>
  </w:num>
  <w:num w:numId="52" w16cid:durableId="381369009">
    <w:abstractNumId w:val="40"/>
  </w:num>
  <w:num w:numId="53" w16cid:durableId="1314946319">
    <w:abstractNumId w:val="34"/>
  </w:num>
  <w:num w:numId="54" w16cid:durableId="576325186">
    <w:abstractNumId w:val="20"/>
  </w:num>
  <w:num w:numId="55" w16cid:durableId="1971393782">
    <w:abstractNumId w:val="28"/>
  </w:num>
  <w:num w:numId="56" w16cid:durableId="245116682">
    <w:abstractNumId w:val="2"/>
  </w:num>
  <w:num w:numId="57" w16cid:durableId="1725985685">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DJSIR"/>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3D"/>
    <w:rsid w:val="000005E0"/>
    <w:rsid w:val="00001254"/>
    <w:rsid w:val="00003402"/>
    <w:rsid w:val="00003594"/>
    <w:rsid w:val="0000440C"/>
    <w:rsid w:val="00004C4B"/>
    <w:rsid w:val="00004D45"/>
    <w:rsid w:val="00004FDB"/>
    <w:rsid w:val="000050C2"/>
    <w:rsid w:val="000061C5"/>
    <w:rsid w:val="000064F6"/>
    <w:rsid w:val="00007535"/>
    <w:rsid w:val="00007D68"/>
    <w:rsid w:val="000107A2"/>
    <w:rsid w:val="000108BA"/>
    <w:rsid w:val="000114C6"/>
    <w:rsid w:val="0001177C"/>
    <w:rsid w:val="000126B8"/>
    <w:rsid w:val="00012C25"/>
    <w:rsid w:val="00012FC7"/>
    <w:rsid w:val="0001375D"/>
    <w:rsid w:val="00013F85"/>
    <w:rsid w:val="00014B3B"/>
    <w:rsid w:val="00015416"/>
    <w:rsid w:val="00015573"/>
    <w:rsid w:val="000158E8"/>
    <w:rsid w:val="00017F86"/>
    <w:rsid w:val="00020492"/>
    <w:rsid w:val="00020600"/>
    <w:rsid w:val="000213D3"/>
    <w:rsid w:val="00021934"/>
    <w:rsid w:val="00021C23"/>
    <w:rsid w:val="0002249D"/>
    <w:rsid w:val="000224A0"/>
    <w:rsid w:val="000225CD"/>
    <w:rsid w:val="00022C67"/>
    <w:rsid w:val="0002416B"/>
    <w:rsid w:val="000243B2"/>
    <w:rsid w:val="00024464"/>
    <w:rsid w:val="00024741"/>
    <w:rsid w:val="000250A3"/>
    <w:rsid w:val="00025515"/>
    <w:rsid w:val="000255C7"/>
    <w:rsid w:val="00025796"/>
    <w:rsid w:val="00025AC3"/>
    <w:rsid w:val="00027336"/>
    <w:rsid w:val="000308E5"/>
    <w:rsid w:val="00031647"/>
    <w:rsid w:val="000333EA"/>
    <w:rsid w:val="00033BAB"/>
    <w:rsid w:val="0003416E"/>
    <w:rsid w:val="000350BF"/>
    <w:rsid w:val="00035C55"/>
    <w:rsid w:val="00035F72"/>
    <w:rsid w:val="00036A7A"/>
    <w:rsid w:val="00036C1E"/>
    <w:rsid w:val="00040257"/>
    <w:rsid w:val="00040724"/>
    <w:rsid w:val="000408D1"/>
    <w:rsid w:val="000410AA"/>
    <w:rsid w:val="00041660"/>
    <w:rsid w:val="000437D8"/>
    <w:rsid w:val="00044226"/>
    <w:rsid w:val="000458D8"/>
    <w:rsid w:val="0004668E"/>
    <w:rsid w:val="0004738C"/>
    <w:rsid w:val="000502B2"/>
    <w:rsid w:val="00050B32"/>
    <w:rsid w:val="0005125E"/>
    <w:rsid w:val="00051FB7"/>
    <w:rsid w:val="00052C42"/>
    <w:rsid w:val="00052E3C"/>
    <w:rsid w:val="00053470"/>
    <w:rsid w:val="0005523F"/>
    <w:rsid w:val="00055583"/>
    <w:rsid w:val="00055818"/>
    <w:rsid w:val="00055D5F"/>
    <w:rsid w:val="00056193"/>
    <w:rsid w:val="00056A88"/>
    <w:rsid w:val="00056E72"/>
    <w:rsid w:val="0005766A"/>
    <w:rsid w:val="00057BF3"/>
    <w:rsid w:val="000603F0"/>
    <w:rsid w:val="0006041C"/>
    <w:rsid w:val="00060D3F"/>
    <w:rsid w:val="00061D7E"/>
    <w:rsid w:val="00062CD1"/>
    <w:rsid w:val="00062F88"/>
    <w:rsid w:val="000631B4"/>
    <w:rsid w:val="00063296"/>
    <w:rsid w:val="00063C37"/>
    <w:rsid w:val="000668C8"/>
    <w:rsid w:val="00066ADC"/>
    <w:rsid w:val="00066C15"/>
    <w:rsid w:val="000673ED"/>
    <w:rsid w:val="00070BFB"/>
    <w:rsid w:val="00071243"/>
    <w:rsid w:val="00073127"/>
    <w:rsid w:val="00073F6D"/>
    <w:rsid w:val="00074930"/>
    <w:rsid w:val="00074C4F"/>
    <w:rsid w:val="00075942"/>
    <w:rsid w:val="0007648E"/>
    <w:rsid w:val="000764EE"/>
    <w:rsid w:val="00081250"/>
    <w:rsid w:val="00081493"/>
    <w:rsid w:val="00081E66"/>
    <w:rsid w:val="0008229F"/>
    <w:rsid w:val="000830B7"/>
    <w:rsid w:val="0008424F"/>
    <w:rsid w:val="00084DB0"/>
    <w:rsid w:val="00085328"/>
    <w:rsid w:val="0008646A"/>
    <w:rsid w:val="000865C3"/>
    <w:rsid w:val="0009221B"/>
    <w:rsid w:val="0009254F"/>
    <w:rsid w:val="00093021"/>
    <w:rsid w:val="000930BA"/>
    <w:rsid w:val="00093383"/>
    <w:rsid w:val="0009341C"/>
    <w:rsid w:val="00094154"/>
    <w:rsid w:val="00094202"/>
    <w:rsid w:val="00094842"/>
    <w:rsid w:val="00094C5A"/>
    <w:rsid w:val="00094FFC"/>
    <w:rsid w:val="00095119"/>
    <w:rsid w:val="00096667"/>
    <w:rsid w:val="00096A99"/>
    <w:rsid w:val="00097743"/>
    <w:rsid w:val="00097D4F"/>
    <w:rsid w:val="000A0261"/>
    <w:rsid w:val="000A0779"/>
    <w:rsid w:val="000A0FA2"/>
    <w:rsid w:val="000A17A4"/>
    <w:rsid w:val="000A21D9"/>
    <w:rsid w:val="000A35E1"/>
    <w:rsid w:val="000A38B1"/>
    <w:rsid w:val="000A3AA4"/>
    <w:rsid w:val="000A3B81"/>
    <w:rsid w:val="000A438D"/>
    <w:rsid w:val="000A45A2"/>
    <w:rsid w:val="000A512E"/>
    <w:rsid w:val="000A572D"/>
    <w:rsid w:val="000A609D"/>
    <w:rsid w:val="000A6997"/>
    <w:rsid w:val="000B2BC0"/>
    <w:rsid w:val="000B2E19"/>
    <w:rsid w:val="000B3D5A"/>
    <w:rsid w:val="000B40B4"/>
    <w:rsid w:val="000B4607"/>
    <w:rsid w:val="000B46A5"/>
    <w:rsid w:val="000B4779"/>
    <w:rsid w:val="000B51E7"/>
    <w:rsid w:val="000B6403"/>
    <w:rsid w:val="000B70C2"/>
    <w:rsid w:val="000B791E"/>
    <w:rsid w:val="000B7B5A"/>
    <w:rsid w:val="000B7B68"/>
    <w:rsid w:val="000B7DFB"/>
    <w:rsid w:val="000B7E9F"/>
    <w:rsid w:val="000C08CF"/>
    <w:rsid w:val="000C0B84"/>
    <w:rsid w:val="000C124E"/>
    <w:rsid w:val="000C1A87"/>
    <w:rsid w:val="000C22EE"/>
    <w:rsid w:val="000C305F"/>
    <w:rsid w:val="000C3965"/>
    <w:rsid w:val="000C533B"/>
    <w:rsid w:val="000C5FBB"/>
    <w:rsid w:val="000C629F"/>
    <w:rsid w:val="000C7786"/>
    <w:rsid w:val="000D2491"/>
    <w:rsid w:val="000D482F"/>
    <w:rsid w:val="000D4CDC"/>
    <w:rsid w:val="000D541D"/>
    <w:rsid w:val="000D6DE1"/>
    <w:rsid w:val="000D72E4"/>
    <w:rsid w:val="000E13EF"/>
    <w:rsid w:val="000E1736"/>
    <w:rsid w:val="000E2318"/>
    <w:rsid w:val="000E45E8"/>
    <w:rsid w:val="000E4800"/>
    <w:rsid w:val="000E4D4F"/>
    <w:rsid w:val="000E5835"/>
    <w:rsid w:val="000E5D2D"/>
    <w:rsid w:val="000E6593"/>
    <w:rsid w:val="000E7A9A"/>
    <w:rsid w:val="000F0426"/>
    <w:rsid w:val="000F075F"/>
    <w:rsid w:val="000F100E"/>
    <w:rsid w:val="000F1137"/>
    <w:rsid w:val="000F1791"/>
    <w:rsid w:val="000F1D4C"/>
    <w:rsid w:val="000F250A"/>
    <w:rsid w:val="000F2B3F"/>
    <w:rsid w:val="000F40F9"/>
    <w:rsid w:val="000F446B"/>
    <w:rsid w:val="000F4F2C"/>
    <w:rsid w:val="000F4FB1"/>
    <w:rsid w:val="000F5E67"/>
    <w:rsid w:val="000F5F81"/>
    <w:rsid w:val="000F6C93"/>
    <w:rsid w:val="000F79C5"/>
    <w:rsid w:val="00101013"/>
    <w:rsid w:val="001012EB"/>
    <w:rsid w:val="001013FE"/>
    <w:rsid w:val="00102797"/>
    <w:rsid w:val="00102D71"/>
    <w:rsid w:val="00103153"/>
    <w:rsid w:val="00103E11"/>
    <w:rsid w:val="00104F5C"/>
    <w:rsid w:val="0010670A"/>
    <w:rsid w:val="00106F8D"/>
    <w:rsid w:val="001078DC"/>
    <w:rsid w:val="00107A07"/>
    <w:rsid w:val="001100BD"/>
    <w:rsid w:val="001108F4"/>
    <w:rsid w:val="00110D18"/>
    <w:rsid w:val="00111171"/>
    <w:rsid w:val="001112C6"/>
    <w:rsid w:val="00112332"/>
    <w:rsid w:val="0011297A"/>
    <w:rsid w:val="00113E9F"/>
    <w:rsid w:val="00114034"/>
    <w:rsid w:val="001160BA"/>
    <w:rsid w:val="001161BD"/>
    <w:rsid w:val="0011777E"/>
    <w:rsid w:val="00117A99"/>
    <w:rsid w:val="00121AB2"/>
    <w:rsid w:val="00121C26"/>
    <w:rsid w:val="001227ED"/>
    <w:rsid w:val="0012316E"/>
    <w:rsid w:val="0012342E"/>
    <w:rsid w:val="001239F3"/>
    <w:rsid w:val="00123BB4"/>
    <w:rsid w:val="00124D35"/>
    <w:rsid w:val="0012560B"/>
    <w:rsid w:val="00126038"/>
    <w:rsid w:val="001263DE"/>
    <w:rsid w:val="00126477"/>
    <w:rsid w:val="00126598"/>
    <w:rsid w:val="00127310"/>
    <w:rsid w:val="001300A1"/>
    <w:rsid w:val="00130416"/>
    <w:rsid w:val="00130469"/>
    <w:rsid w:val="00131275"/>
    <w:rsid w:val="00132A12"/>
    <w:rsid w:val="00133D2E"/>
    <w:rsid w:val="001344BF"/>
    <w:rsid w:val="00136D3B"/>
    <w:rsid w:val="00137762"/>
    <w:rsid w:val="001377F6"/>
    <w:rsid w:val="001410FC"/>
    <w:rsid w:val="00143F41"/>
    <w:rsid w:val="001447ED"/>
    <w:rsid w:val="001449ED"/>
    <w:rsid w:val="001457D7"/>
    <w:rsid w:val="0014647E"/>
    <w:rsid w:val="001469B1"/>
    <w:rsid w:val="00146CD7"/>
    <w:rsid w:val="0014779F"/>
    <w:rsid w:val="001477BA"/>
    <w:rsid w:val="00147EA0"/>
    <w:rsid w:val="00150533"/>
    <w:rsid w:val="00150E13"/>
    <w:rsid w:val="00150E27"/>
    <w:rsid w:val="00152308"/>
    <w:rsid w:val="001527C8"/>
    <w:rsid w:val="001535FA"/>
    <w:rsid w:val="00153758"/>
    <w:rsid w:val="0015385E"/>
    <w:rsid w:val="00154B0C"/>
    <w:rsid w:val="00155698"/>
    <w:rsid w:val="00155802"/>
    <w:rsid w:val="00155AC5"/>
    <w:rsid w:val="00155D7B"/>
    <w:rsid w:val="00155F31"/>
    <w:rsid w:val="00155FCE"/>
    <w:rsid w:val="0015609B"/>
    <w:rsid w:val="00156CD0"/>
    <w:rsid w:val="00157A66"/>
    <w:rsid w:val="001602BB"/>
    <w:rsid w:val="00160845"/>
    <w:rsid w:val="0016096C"/>
    <w:rsid w:val="00160D97"/>
    <w:rsid w:val="001610D7"/>
    <w:rsid w:val="00161114"/>
    <w:rsid w:val="00161871"/>
    <w:rsid w:val="00162391"/>
    <w:rsid w:val="001638B9"/>
    <w:rsid w:val="00165331"/>
    <w:rsid w:val="00165EA8"/>
    <w:rsid w:val="0016654A"/>
    <w:rsid w:val="001668AD"/>
    <w:rsid w:val="00167E0D"/>
    <w:rsid w:val="00170889"/>
    <w:rsid w:val="00170D4B"/>
    <w:rsid w:val="00171DB1"/>
    <w:rsid w:val="001720E6"/>
    <w:rsid w:val="001727BD"/>
    <w:rsid w:val="001732D8"/>
    <w:rsid w:val="001744E9"/>
    <w:rsid w:val="001749A1"/>
    <w:rsid w:val="00174CC4"/>
    <w:rsid w:val="00174DAE"/>
    <w:rsid w:val="00176322"/>
    <w:rsid w:val="00176552"/>
    <w:rsid w:val="001767E2"/>
    <w:rsid w:val="0017681C"/>
    <w:rsid w:val="0017685E"/>
    <w:rsid w:val="00177270"/>
    <w:rsid w:val="00180CF8"/>
    <w:rsid w:val="00180E4F"/>
    <w:rsid w:val="001812DC"/>
    <w:rsid w:val="00182659"/>
    <w:rsid w:val="001831BB"/>
    <w:rsid w:val="001861F9"/>
    <w:rsid w:val="00186242"/>
    <w:rsid w:val="00186ABE"/>
    <w:rsid w:val="00186CDA"/>
    <w:rsid w:val="00187B13"/>
    <w:rsid w:val="001904B3"/>
    <w:rsid w:val="001905C5"/>
    <w:rsid w:val="00191C63"/>
    <w:rsid w:val="0019234C"/>
    <w:rsid w:val="001923F6"/>
    <w:rsid w:val="0019284A"/>
    <w:rsid w:val="00192B3B"/>
    <w:rsid w:val="001936A0"/>
    <w:rsid w:val="00193AD9"/>
    <w:rsid w:val="001949F0"/>
    <w:rsid w:val="00194B59"/>
    <w:rsid w:val="00195F81"/>
    <w:rsid w:val="00196861"/>
    <w:rsid w:val="001A085F"/>
    <w:rsid w:val="001A128B"/>
    <w:rsid w:val="001A2549"/>
    <w:rsid w:val="001A3681"/>
    <w:rsid w:val="001A38AF"/>
    <w:rsid w:val="001A5E1F"/>
    <w:rsid w:val="001A60E2"/>
    <w:rsid w:val="001A617A"/>
    <w:rsid w:val="001B1613"/>
    <w:rsid w:val="001B1A72"/>
    <w:rsid w:val="001B1BE3"/>
    <w:rsid w:val="001B2568"/>
    <w:rsid w:val="001B2884"/>
    <w:rsid w:val="001B2C70"/>
    <w:rsid w:val="001B3A08"/>
    <w:rsid w:val="001B401B"/>
    <w:rsid w:val="001B4B38"/>
    <w:rsid w:val="001B5295"/>
    <w:rsid w:val="001B65CE"/>
    <w:rsid w:val="001B6CFC"/>
    <w:rsid w:val="001C08E5"/>
    <w:rsid w:val="001C0D8A"/>
    <w:rsid w:val="001C102B"/>
    <w:rsid w:val="001C1407"/>
    <w:rsid w:val="001C18B5"/>
    <w:rsid w:val="001C1DD6"/>
    <w:rsid w:val="001C355C"/>
    <w:rsid w:val="001C3B4D"/>
    <w:rsid w:val="001C400A"/>
    <w:rsid w:val="001C44EE"/>
    <w:rsid w:val="001C57AA"/>
    <w:rsid w:val="001C6C26"/>
    <w:rsid w:val="001C7344"/>
    <w:rsid w:val="001C7676"/>
    <w:rsid w:val="001C7C57"/>
    <w:rsid w:val="001D0012"/>
    <w:rsid w:val="001D05B2"/>
    <w:rsid w:val="001D05BA"/>
    <w:rsid w:val="001D0671"/>
    <w:rsid w:val="001D0C36"/>
    <w:rsid w:val="001D2BF6"/>
    <w:rsid w:val="001D3179"/>
    <w:rsid w:val="001D4FED"/>
    <w:rsid w:val="001D591D"/>
    <w:rsid w:val="001D7270"/>
    <w:rsid w:val="001D7C55"/>
    <w:rsid w:val="001E0B20"/>
    <w:rsid w:val="001E0C1D"/>
    <w:rsid w:val="001E19C4"/>
    <w:rsid w:val="001E3537"/>
    <w:rsid w:val="001E4802"/>
    <w:rsid w:val="001E4AD0"/>
    <w:rsid w:val="001E50C0"/>
    <w:rsid w:val="001E5B7E"/>
    <w:rsid w:val="001E5E5C"/>
    <w:rsid w:val="001E5F24"/>
    <w:rsid w:val="001E6071"/>
    <w:rsid w:val="001E6173"/>
    <w:rsid w:val="001E64F8"/>
    <w:rsid w:val="001E6AB1"/>
    <w:rsid w:val="001E6CBE"/>
    <w:rsid w:val="001E7ABE"/>
    <w:rsid w:val="001F1792"/>
    <w:rsid w:val="001F2878"/>
    <w:rsid w:val="001F2DAB"/>
    <w:rsid w:val="001F481C"/>
    <w:rsid w:val="001F4F65"/>
    <w:rsid w:val="001F5663"/>
    <w:rsid w:val="001F5FF2"/>
    <w:rsid w:val="001F746B"/>
    <w:rsid w:val="001F78A8"/>
    <w:rsid w:val="002014E1"/>
    <w:rsid w:val="002027E2"/>
    <w:rsid w:val="00203281"/>
    <w:rsid w:val="00203693"/>
    <w:rsid w:val="002055A2"/>
    <w:rsid w:val="00205887"/>
    <w:rsid w:val="002058F4"/>
    <w:rsid w:val="0020639E"/>
    <w:rsid w:val="0020678C"/>
    <w:rsid w:val="002111C9"/>
    <w:rsid w:val="00211303"/>
    <w:rsid w:val="00211580"/>
    <w:rsid w:val="002121A7"/>
    <w:rsid w:val="002129FD"/>
    <w:rsid w:val="002133BE"/>
    <w:rsid w:val="00213CDB"/>
    <w:rsid w:val="00213ECC"/>
    <w:rsid w:val="00215602"/>
    <w:rsid w:val="00216235"/>
    <w:rsid w:val="00216250"/>
    <w:rsid w:val="002165FB"/>
    <w:rsid w:val="00216CEF"/>
    <w:rsid w:val="00217323"/>
    <w:rsid w:val="002174FA"/>
    <w:rsid w:val="00217E54"/>
    <w:rsid w:val="002204DB"/>
    <w:rsid w:val="002212E8"/>
    <w:rsid w:val="00224656"/>
    <w:rsid w:val="00224CCE"/>
    <w:rsid w:val="00224D70"/>
    <w:rsid w:val="00224DAB"/>
    <w:rsid w:val="00224DC4"/>
    <w:rsid w:val="00225518"/>
    <w:rsid w:val="002257B4"/>
    <w:rsid w:val="00225A26"/>
    <w:rsid w:val="002271A1"/>
    <w:rsid w:val="002271E4"/>
    <w:rsid w:val="00227716"/>
    <w:rsid w:val="00227E62"/>
    <w:rsid w:val="00230601"/>
    <w:rsid w:val="0023075C"/>
    <w:rsid w:val="00230824"/>
    <w:rsid w:val="00231F61"/>
    <w:rsid w:val="0023271C"/>
    <w:rsid w:val="00232798"/>
    <w:rsid w:val="00234747"/>
    <w:rsid w:val="002363EB"/>
    <w:rsid w:val="00236BB1"/>
    <w:rsid w:val="0023727D"/>
    <w:rsid w:val="002378EE"/>
    <w:rsid w:val="00240812"/>
    <w:rsid w:val="00240B0C"/>
    <w:rsid w:val="002413C8"/>
    <w:rsid w:val="002426F2"/>
    <w:rsid w:val="002429A0"/>
    <w:rsid w:val="002431C1"/>
    <w:rsid w:val="002437F0"/>
    <w:rsid w:val="002438EF"/>
    <w:rsid w:val="0024479A"/>
    <w:rsid w:val="00245CAB"/>
    <w:rsid w:val="002470B9"/>
    <w:rsid w:val="002474AD"/>
    <w:rsid w:val="00247C08"/>
    <w:rsid w:val="00247DF4"/>
    <w:rsid w:val="0025018F"/>
    <w:rsid w:val="002507BF"/>
    <w:rsid w:val="00251DE0"/>
    <w:rsid w:val="0025270F"/>
    <w:rsid w:val="0025278D"/>
    <w:rsid w:val="00252C49"/>
    <w:rsid w:val="00254061"/>
    <w:rsid w:val="00254C3E"/>
    <w:rsid w:val="00254F26"/>
    <w:rsid w:val="00256648"/>
    <w:rsid w:val="0025738B"/>
    <w:rsid w:val="00260844"/>
    <w:rsid w:val="00260F19"/>
    <w:rsid w:val="00262F2E"/>
    <w:rsid w:val="00264026"/>
    <w:rsid w:val="002652E1"/>
    <w:rsid w:val="00265B01"/>
    <w:rsid w:val="00265DE1"/>
    <w:rsid w:val="00266B17"/>
    <w:rsid w:val="0026749B"/>
    <w:rsid w:val="002679A1"/>
    <w:rsid w:val="002708A1"/>
    <w:rsid w:val="0027090B"/>
    <w:rsid w:val="002724F9"/>
    <w:rsid w:val="00272936"/>
    <w:rsid w:val="0027303A"/>
    <w:rsid w:val="00273AA6"/>
    <w:rsid w:val="00274F1A"/>
    <w:rsid w:val="00275913"/>
    <w:rsid w:val="00275F28"/>
    <w:rsid w:val="00277A4C"/>
    <w:rsid w:val="00280741"/>
    <w:rsid w:val="00280B46"/>
    <w:rsid w:val="0028107B"/>
    <w:rsid w:val="00281DDD"/>
    <w:rsid w:val="002820A9"/>
    <w:rsid w:val="00282709"/>
    <w:rsid w:val="002829B6"/>
    <w:rsid w:val="00282B82"/>
    <w:rsid w:val="0028331E"/>
    <w:rsid w:val="0028342A"/>
    <w:rsid w:val="00283DAB"/>
    <w:rsid w:val="00286CF6"/>
    <w:rsid w:val="002873DA"/>
    <w:rsid w:val="00287E45"/>
    <w:rsid w:val="002904CE"/>
    <w:rsid w:val="00290F62"/>
    <w:rsid w:val="002917B3"/>
    <w:rsid w:val="0029253F"/>
    <w:rsid w:val="00292B92"/>
    <w:rsid w:val="0029370D"/>
    <w:rsid w:val="00293A39"/>
    <w:rsid w:val="0029579B"/>
    <w:rsid w:val="00295BB2"/>
    <w:rsid w:val="00295C0D"/>
    <w:rsid w:val="00296340"/>
    <w:rsid w:val="002965C5"/>
    <w:rsid w:val="00296638"/>
    <w:rsid w:val="00296A23"/>
    <w:rsid w:val="00296D5B"/>
    <w:rsid w:val="002A03EA"/>
    <w:rsid w:val="002A2272"/>
    <w:rsid w:val="002A2D39"/>
    <w:rsid w:val="002A3BE5"/>
    <w:rsid w:val="002A444C"/>
    <w:rsid w:val="002A4551"/>
    <w:rsid w:val="002A47DD"/>
    <w:rsid w:val="002A4F97"/>
    <w:rsid w:val="002A4FE0"/>
    <w:rsid w:val="002A5B0F"/>
    <w:rsid w:val="002A5B7A"/>
    <w:rsid w:val="002A5EB2"/>
    <w:rsid w:val="002A5FEE"/>
    <w:rsid w:val="002A64CD"/>
    <w:rsid w:val="002B0231"/>
    <w:rsid w:val="002B0B71"/>
    <w:rsid w:val="002B14AE"/>
    <w:rsid w:val="002B1C1F"/>
    <w:rsid w:val="002B22A7"/>
    <w:rsid w:val="002B23A7"/>
    <w:rsid w:val="002B3026"/>
    <w:rsid w:val="002B396D"/>
    <w:rsid w:val="002B3BF0"/>
    <w:rsid w:val="002B411C"/>
    <w:rsid w:val="002B4645"/>
    <w:rsid w:val="002B4A43"/>
    <w:rsid w:val="002B4BF2"/>
    <w:rsid w:val="002B4C36"/>
    <w:rsid w:val="002B636D"/>
    <w:rsid w:val="002B66DA"/>
    <w:rsid w:val="002B6952"/>
    <w:rsid w:val="002B750E"/>
    <w:rsid w:val="002B77AD"/>
    <w:rsid w:val="002B7D50"/>
    <w:rsid w:val="002B7DAA"/>
    <w:rsid w:val="002C0D0A"/>
    <w:rsid w:val="002C0FDE"/>
    <w:rsid w:val="002C3255"/>
    <w:rsid w:val="002C339C"/>
    <w:rsid w:val="002C3C53"/>
    <w:rsid w:val="002C5174"/>
    <w:rsid w:val="002C6472"/>
    <w:rsid w:val="002C6BD2"/>
    <w:rsid w:val="002C7044"/>
    <w:rsid w:val="002C70F8"/>
    <w:rsid w:val="002C73EF"/>
    <w:rsid w:val="002D002F"/>
    <w:rsid w:val="002D07EA"/>
    <w:rsid w:val="002D0AE2"/>
    <w:rsid w:val="002D117A"/>
    <w:rsid w:val="002D1CA8"/>
    <w:rsid w:val="002D22BC"/>
    <w:rsid w:val="002D26D8"/>
    <w:rsid w:val="002D2FFC"/>
    <w:rsid w:val="002D3150"/>
    <w:rsid w:val="002D42F5"/>
    <w:rsid w:val="002D4303"/>
    <w:rsid w:val="002D627D"/>
    <w:rsid w:val="002D6AF4"/>
    <w:rsid w:val="002D7FD3"/>
    <w:rsid w:val="002E1D4A"/>
    <w:rsid w:val="002E20E2"/>
    <w:rsid w:val="002E3EB0"/>
    <w:rsid w:val="002E4AB3"/>
    <w:rsid w:val="002E4C19"/>
    <w:rsid w:val="002E5057"/>
    <w:rsid w:val="002E5406"/>
    <w:rsid w:val="002E554B"/>
    <w:rsid w:val="002E5AB6"/>
    <w:rsid w:val="002E79E7"/>
    <w:rsid w:val="002E7C9E"/>
    <w:rsid w:val="002E7D13"/>
    <w:rsid w:val="002F01F6"/>
    <w:rsid w:val="002F0952"/>
    <w:rsid w:val="002F18AE"/>
    <w:rsid w:val="002F2FBA"/>
    <w:rsid w:val="002F3424"/>
    <w:rsid w:val="002F485D"/>
    <w:rsid w:val="002F52DB"/>
    <w:rsid w:val="002F55CF"/>
    <w:rsid w:val="002F59A8"/>
    <w:rsid w:val="002F5F83"/>
    <w:rsid w:val="002F6398"/>
    <w:rsid w:val="002F6B93"/>
    <w:rsid w:val="002F70D1"/>
    <w:rsid w:val="002F763D"/>
    <w:rsid w:val="002F7C7F"/>
    <w:rsid w:val="00300401"/>
    <w:rsid w:val="00300FCD"/>
    <w:rsid w:val="0030219E"/>
    <w:rsid w:val="00303643"/>
    <w:rsid w:val="00303B90"/>
    <w:rsid w:val="0030418C"/>
    <w:rsid w:val="00304F00"/>
    <w:rsid w:val="00305253"/>
    <w:rsid w:val="003054BC"/>
    <w:rsid w:val="0030576B"/>
    <w:rsid w:val="0030662F"/>
    <w:rsid w:val="003068D4"/>
    <w:rsid w:val="00306953"/>
    <w:rsid w:val="00306ABB"/>
    <w:rsid w:val="00306DF1"/>
    <w:rsid w:val="00310319"/>
    <w:rsid w:val="0031092B"/>
    <w:rsid w:val="003119B3"/>
    <w:rsid w:val="0031249A"/>
    <w:rsid w:val="00313C45"/>
    <w:rsid w:val="003148B1"/>
    <w:rsid w:val="00315E07"/>
    <w:rsid w:val="0031739B"/>
    <w:rsid w:val="003204FF"/>
    <w:rsid w:val="00320EC8"/>
    <w:rsid w:val="003210D5"/>
    <w:rsid w:val="00322B6B"/>
    <w:rsid w:val="00322B84"/>
    <w:rsid w:val="00323C4F"/>
    <w:rsid w:val="0032415B"/>
    <w:rsid w:val="003246F6"/>
    <w:rsid w:val="00324725"/>
    <w:rsid w:val="003247DC"/>
    <w:rsid w:val="00324F92"/>
    <w:rsid w:val="00325AF9"/>
    <w:rsid w:val="003311FE"/>
    <w:rsid w:val="003315F3"/>
    <w:rsid w:val="0033378C"/>
    <w:rsid w:val="00333DB0"/>
    <w:rsid w:val="0033586D"/>
    <w:rsid w:val="0033635B"/>
    <w:rsid w:val="00336C65"/>
    <w:rsid w:val="003375FD"/>
    <w:rsid w:val="00337735"/>
    <w:rsid w:val="003377A5"/>
    <w:rsid w:val="00337E11"/>
    <w:rsid w:val="00340E12"/>
    <w:rsid w:val="0034199A"/>
    <w:rsid w:val="00341DAC"/>
    <w:rsid w:val="00341F09"/>
    <w:rsid w:val="0034201F"/>
    <w:rsid w:val="00342137"/>
    <w:rsid w:val="00342732"/>
    <w:rsid w:val="0034380E"/>
    <w:rsid w:val="00343CD7"/>
    <w:rsid w:val="003441B9"/>
    <w:rsid w:val="003447CF"/>
    <w:rsid w:val="0034489F"/>
    <w:rsid w:val="003452DC"/>
    <w:rsid w:val="003456AF"/>
    <w:rsid w:val="003464B8"/>
    <w:rsid w:val="003465CD"/>
    <w:rsid w:val="00346B44"/>
    <w:rsid w:val="00347419"/>
    <w:rsid w:val="0035026C"/>
    <w:rsid w:val="003542EB"/>
    <w:rsid w:val="0035521C"/>
    <w:rsid w:val="00355232"/>
    <w:rsid w:val="0035523D"/>
    <w:rsid w:val="003553B3"/>
    <w:rsid w:val="003568E8"/>
    <w:rsid w:val="003578CA"/>
    <w:rsid w:val="00357964"/>
    <w:rsid w:val="00360E05"/>
    <w:rsid w:val="00361243"/>
    <w:rsid w:val="003614B2"/>
    <w:rsid w:val="00361BEF"/>
    <w:rsid w:val="0036268C"/>
    <w:rsid w:val="003653CF"/>
    <w:rsid w:val="00365A86"/>
    <w:rsid w:val="003717AE"/>
    <w:rsid w:val="003719D8"/>
    <w:rsid w:val="00371E63"/>
    <w:rsid w:val="0037268E"/>
    <w:rsid w:val="0037289D"/>
    <w:rsid w:val="00372CB3"/>
    <w:rsid w:val="00373236"/>
    <w:rsid w:val="003744AA"/>
    <w:rsid w:val="0037514E"/>
    <w:rsid w:val="003754A5"/>
    <w:rsid w:val="00375F63"/>
    <w:rsid w:val="00376434"/>
    <w:rsid w:val="003770A4"/>
    <w:rsid w:val="00377BEF"/>
    <w:rsid w:val="00381D32"/>
    <w:rsid w:val="0038235F"/>
    <w:rsid w:val="00382D55"/>
    <w:rsid w:val="003857C3"/>
    <w:rsid w:val="00387288"/>
    <w:rsid w:val="00387633"/>
    <w:rsid w:val="00387651"/>
    <w:rsid w:val="00387C13"/>
    <w:rsid w:val="0039071F"/>
    <w:rsid w:val="00390C62"/>
    <w:rsid w:val="00390D35"/>
    <w:rsid w:val="0039117E"/>
    <w:rsid w:val="003916EC"/>
    <w:rsid w:val="00391707"/>
    <w:rsid w:val="003926E9"/>
    <w:rsid w:val="00393BFA"/>
    <w:rsid w:val="00393E03"/>
    <w:rsid w:val="003940D2"/>
    <w:rsid w:val="00394B28"/>
    <w:rsid w:val="00397440"/>
    <w:rsid w:val="0039783B"/>
    <w:rsid w:val="00397A24"/>
    <w:rsid w:val="00397A2E"/>
    <w:rsid w:val="003A0444"/>
    <w:rsid w:val="003A0EC1"/>
    <w:rsid w:val="003A1331"/>
    <w:rsid w:val="003A134D"/>
    <w:rsid w:val="003A23C0"/>
    <w:rsid w:val="003A4140"/>
    <w:rsid w:val="003A4265"/>
    <w:rsid w:val="003A4807"/>
    <w:rsid w:val="003A54D2"/>
    <w:rsid w:val="003A5F45"/>
    <w:rsid w:val="003A60AE"/>
    <w:rsid w:val="003A65C3"/>
    <w:rsid w:val="003A66FE"/>
    <w:rsid w:val="003A69FD"/>
    <w:rsid w:val="003A6AEC"/>
    <w:rsid w:val="003B02F5"/>
    <w:rsid w:val="003B14E3"/>
    <w:rsid w:val="003B2B5E"/>
    <w:rsid w:val="003B3333"/>
    <w:rsid w:val="003B3736"/>
    <w:rsid w:val="003B39B7"/>
    <w:rsid w:val="003B4359"/>
    <w:rsid w:val="003B6086"/>
    <w:rsid w:val="003B65F2"/>
    <w:rsid w:val="003B6D5A"/>
    <w:rsid w:val="003B6F9D"/>
    <w:rsid w:val="003B7248"/>
    <w:rsid w:val="003B7379"/>
    <w:rsid w:val="003B7CE0"/>
    <w:rsid w:val="003B7E1A"/>
    <w:rsid w:val="003C0034"/>
    <w:rsid w:val="003C1B3F"/>
    <w:rsid w:val="003C1DB0"/>
    <w:rsid w:val="003C1DF7"/>
    <w:rsid w:val="003C2433"/>
    <w:rsid w:val="003C2933"/>
    <w:rsid w:val="003C2D51"/>
    <w:rsid w:val="003C35B4"/>
    <w:rsid w:val="003C3B76"/>
    <w:rsid w:val="003C3F46"/>
    <w:rsid w:val="003C40F5"/>
    <w:rsid w:val="003C6860"/>
    <w:rsid w:val="003C6CFF"/>
    <w:rsid w:val="003C78EB"/>
    <w:rsid w:val="003C7933"/>
    <w:rsid w:val="003D1E34"/>
    <w:rsid w:val="003D1EBF"/>
    <w:rsid w:val="003D336C"/>
    <w:rsid w:val="003D33FC"/>
    <w:rsid w:val="003D3CB5"/>
    <w:rsid w:val="003D5797"/>
    <w:rsid w:val="003D6FB6"/>
    <w:rsid w:val="003D743E"/>
    <w:rsid w:val="003E2BCF"/>
    <w:rsid w:val="003E31AE"/>
    <w:rsid w:val="003E3EF3"/>
    <w:rsid w:val="003E40CE"/>
    <w:rsid w:val="003E433F"/>
    <w:rsid w:val="003E4478"/>
    <w:rsid w:val="003E483D"/>
    <w:rsid w:val="003E4AB1"/>
    <w:rsid w:val="003E57C3"/>
    <w:rsid w:val="003E57FF"/>
    <w:rsid w:val="003E589D"/>
    <w:rsid w:val="003E617C"/>
    <w:rsid w:val="003E62BE"/>
    <w:rsid w:val="003E6D73"/>
    <w:rsid w:val="003E6FF7"/>
    <w:rsid w:val="003E71BB"/>
    <w:rsid w:val="003E7794"/>
    <w:rsid w:val="003F00E1"/>
    <w:rsid w:val="003F024D"/>
    <w:rsid w:val="003F152E"/>
    <w:rsid w:val="003F2283"/>
    <w:rsid w:val="003F22F9"/>
    <w:rsid w:val="003F2B67"/>
    <w:rsid w:val="003F2FA1"/>
    <w:rsid w:val="003F5152"/>
    <w:rsid w:val="003F5369"/>
    <w:rsid w:val="003F5885"/>
    <w:rsid w:val="003F62B7"/>
    <w:rsid w:val="003F63C8"/>
    <w:rsid w:val="003F6727"/>
    <w:rsid w:val="003F68C1"/>
    <w:rsid w:val="003F7B09"/>
    <w:rsid w:val="00401BD1"/>
    <w:rsid w:val="00402483"/>
    <w:rsid w:val="00402778"/>
    <w:rsid w:val="00402BDC"/>
    <w:rsid w:val="00403274"/>
    <w:rsid w:val="004033A2"/>
    <w:rsid w:val="00403A31"/>
    <w:rsid w:val="004044E7"/>
    <w:rsid w:val="004059B7"/>
    <w:rsid w:val="004068CD"/>
    <w:rsid w:val="00407907"/>
    <w:rsid w:val="00407BD8"/>
    <w:rsid w:val="00410311"/>
    <w:rsid w:val="0041037E"/>
    <w:rsid w:val="00410BE8"/>
    <w:rsid w:val="00411788"/>
    <w:rsid w:val="00412A16"/>
    <w:rsid w:val="00414289"/>
    <w:rsid w:val="004143EB"/>
    <w:rsid w:val="00414893"/>
    <w:rsid w:val="0041512A"/>
    <w:rsid w:val="004156D1"/>
    <w:rsid w:val="00415FAA"/>
    <w:rsid w:val="00416413"/>
    <w:rsid w:val="00416750"/>
    <w:rsid w:val="00417E85"/>
    <w:rsid w:val="00420085"/>
    <w:rsid w:val="004204FE"/>
    <w:rsid w:val="00420811"/>
    <w:rsid w:val="00420C40"/>
    <w:rsid w:val="00421A02"/>
    <w:rsid w:val="00422DD0"/>
    <w:rsid w:val="004230EC"/>
    <w:rsid w:val="00423B25"/>
    <w:rsid w:val="00423CA0"/>
    <w:rsid w:val="0042479E"/>
    <w:rsid w:val="004307EC"/>
    <w:rsid w:val="004318E7"/>
    <w:rsid w:val="0043202F"/>
    <w:rsid w:val="00433088"/>
    <w:rsid w:val="0043408D"/>
    <w:rsid w:val="004342DD"/>
    <w:rsid w:val="004345AD"/>
    <w:rsid w:val="00435107"/>
    <w:rsid w:val="00436E6E"/>
    <w:rsid w:val="00437194"/>
    <w:rsid w:val="00437D25"/>
    <w:rsid w:val="004410DC"/>
    <w:rsid w:val="0044271A"/>
    <w:rsid w:val="00442D3A"/>
    <w:rsid w:val="00442F54"/>
    <w:rsid w:val="004433BF"/>
    <w:rsid w:val="00443C5E"/>
    <w:rsid w:val="0044465C"/>
    <w:rsid w:val="00444DC5"/>
    <w:rsid w:val="00445EFA"/>
    <w:rsid w:val="00446F08"/>
    <w:rsid w:val="004476D3"/>
    <w:rsid w:val="00447FA0"/>
    <w:rsid w:val="00451644"/>
    <w:rsid w:val="00451DED"/>
    <w:rsid w:val="00451EF9"/>
    <w:rsid w:val="00452F61"/>
    <w:rsid w:val="0045366B"/>
    <w:rsid w:val="00454FBC"/>
    <w:rsid w:val="0045510E"/>
    <w:rsid w:val="0045536B"/>
    <w:rsid w:val="0045623F"/>
    <w:rsid w:val="004571DB"/>
    <w:rsid w:val="004575D3"/>
    <w:rsid w:val="00461673"/>
    <w:rsid w:val="00461B45"/>
    <w:rsid w:val="00462539"/>
    <w:rsid w:val="00464B1E"/>
    <w:rsid w:val="00465832"/>
    <w:rsid w:val="00465C85"/>
    <w:rsid w:val="00465DDD"/>
    <w:rsid w:val="004674D9"/>
    <w:rsid w:val="004700C2"/>
    <w:rsid w:val="00472520"/>
    <w:rsid w:val="0047268C"/>
    <w:rsid w:val="0047378C"/>
    <w:rsid w:val="00473F1A"/>
    <w:rsid w:val="00474232"/>
    <w:rsid w:val="00474E21"/>
    <w:rsid w:val="00474FBC"/>
    <w:rsid w:val="0047522D"/>
    <w:rsid w:val="004758AF"/>
    <w:rsid w:val="00475D80"/>
    <w:rsid w:val="004776B5"/>
    <w:rsid w:val="00477880"/>
    <w:rsid w:val="00477C47"/>
    <w:rsid w:val="00480EB2"/>
    <w:rsid w:val="00482925"/>
    <w:rsid w:val="00483018"/>
    <w:rsid w:val="004833D7"/>
    <w:rsid w:val="00483A23"/>
    <w:rsid w:val="00483A8A"/>
    <w:rsid w:val="00484ADA"/>
    <w:rsid w:val="00485EF0"/>
    <w:rsid w:val="004860EB"/>
    <w:rsid w:val="0048790B"/>
    <w:rsid w:val="004905DD"/>
    <w:rsid w:val="00493637"/>
    <w:rsid w:val="004948A9"/>
    <w:rsid w:val="00494B00"/>
    <w:rsid w:val="00496299"/>
    <w:rsid w:val="00496375"/>
    <w:rsid w:val="00496F0D"/>
    <w:rsid w:val="00497480"/>
    <w:rsid w:val="004976BD"/>
    <w:rsid w:val="004A034A"/>
    <w:rsid w:val="004A04EA"/>
    <w:rsid w:val="004A0549"/>
    <w:rsid w:val="004A0577"/>
    <w:rsid w:val="004A05A1"/>
    <w:rsid w:val="004A13F9"/>
    <w:rsid w:val="004A173C"/>
    <w:rsid w:val="004A1E45"/>
    <w:rsid w:val="004A1EC4"/>
    <w:rsid w:val="004A2591"/>
    <w:rsid w:val="004A2855"/>
    <w:rsid w:val="004A2B66"/>
    <w:rsid w:val="004A3A36"/>
    <w:rsid w:val="004A40DF"/>
    <w:rsid w:val="004A4B40"/>
    <w:rsid w:val="004A52EB"/>
    <w:rsid w:val="004A54B0"/>
    <w:rsid w:val="004A5F16"/>
    <w:rsid w:val="004A5FD3"/>
    <w:rsid w:val="004A605A"/>
    <w:rsid w:val="004A7EA3"/>
    <w:rsid w:val="004B0223"/>
    <w:rsid w:val="004B18D4"/>
    <w:rsid w:val="004B2A2C"/>
    <w:rsid w:val="004B3A95"/>
    <w:rsid w:val="004B6295"/>
    <w:rsid w:val="004B661B"/>
    <w:rsid w:val="004B73A5"/>
    <w:rsid w:val="004C08A5"/>
    <w:rsid w:val="004C08D2"/>
    <w:rsid w:val="004C0A73"/>
    <w:rsid w:val="004C16D9"/>
    <w:rsid w:val="004C17F7"/>
    <w:rsid w:val="004C1993"/>
    <w:rsid w:val="004C19F8"/>
    <w:rsid w:val="004C1A2E"/>
    <w:rsid w:val="004C1E6C"/>
    <w:rsid w:val="004C209A"/>
    <w:rsid w:val="004C28A9"/>
    <w:rsid w:val="004C3C78"/>
    <w:rsid w:val="004C4289"/>
    <w:rsid w:val="004C5B59"/>
    <w:rsid w:val="004C6F0D"/>
    <w:rsid w:val="004C7196"/>
    <w:rsid w:val="004C7233"/>
    <w:rsid w:val="004C777E"/>
    <w:rsid w:val="004C7FCF"/>
    <w:rsid w:val="004D15EE"/>
    <w:rsid w:val="004D3325"/>
    <w:rsid w:val="004D3344"/>
    <w:rsid w:val="004D4924"/>
    <w:rsid w:val="004D5B4A"/>
    <w:rsid w:val="004D6AEF"/>
    <w:rsid w:val="004D6FE6"/>
    <w:rsid w:val="004D74FE"/>
    <w:rsid w:val="004E059E"/>
    <w:rsid w:val="004E07E3"/>
    <w:rsid w:val="004E2A6D"/>
    <w:rsid w:val="004E4543"/>
    <w:rsid w:val="004E538E"/>
    <w:rsid w:val="004E5BD4"/>
    <w:rsid w:val="004E66BA"/>
    <w:rsid w:val="004E6A5A"/>
    <w:rsid w:val="004E6E2E"/>
    <w:rsid w:val="004F0042"/>
    <w:rsid w:val="004F0384"/>
    <w:rsid w:val="004F0627"/>
    <w:rsid w:val="004F0A0A"/>
    <w:rsid w:val="004F0F29"/>
    <w:rsid w:val="004F1A57"/>
    <w:rsid w:val="004F1F5C"/>
    <w:rsid w:val="004F2996"/>
    <w:rsid w:val="004F3283"/>
    <w:rsid w:val="004F3999"/>
    <w:rsid w:val="004F4897"/>
    <w:rsid w:val="004F4A6A"/>
    <w:rsid w:val="004F4D52"/>
    <w:rsid w:val="004F520B"/>
    <w:rsid w:val="004F5673"/>
    <w:rsid w:val="004F5E89"/>
    <w:rsid w:val="004F6257"/>
    <w:rsid w:val="004F73DA"/>
    <w:rsid w:val="004F7F07"/>
    <w:rsid w:val="00501200"/>
    <w:rsid w:val="005014DE"/>
    <w:rsid w:val="00502978"/>
    <w:rsid w:val="005031FB"/>
    <w:rsid w:val="005055D8"/>
    <w:rsid w:val="005057AE"/>
    <w:rsid w:val="00505846"/>
    <w:rsid w:val="0050690B"/>
    <w:rsid w:val="00507646"/>
    <w:rsid w:val="00507EE1"/>
    <w:rsid w:val="005108E3"/>
    <w:rsid w:val="005119CF"/>
    <w:rsid w:val="00511C14"/>
    <w:rsid w:val="00512001"/>
    <w:rsid w:val="0051341F"/>
    <w:rsid w:val="00513781"/>
    <w:rsid w:val="00513813"/>
    <w:rsid w:val="0051476C"/>
    <w:rsid w:val="005148EA"/>
    <w:rsid w:val="005165D7"/>
    <w:rsid w:val="00520311"/>
    <w:rsid w:val="00520BC0"/>
    <w:rsid w:val="0052155E"/>
    <w:rsid w:val="00521A4E"/>
    <w:rsid w:val="00521CAF"/>
    <w:rsid w:val="00523159"/>
    <w:rsid w:val="005235B3"/>
    <w:rsid w:val="0052362E"/>
    <w:rsid w:val="005237F7"/>
    <w:rsid w:val="00523977"/>
    <w:rsid w:val="0052477E"/>
    <w:rsid w:val="00524F3A"/>
    <w:rsid w:val="00527F34"/>
    <w:rsid w:val="00530077"/>
    <w:rsid w:val="00530788"/>
    <w:rsid w:val="00530D7F"/>
    <w:rsid w:val="0053232B"/>
    <w:rsid w:val="00532D22"/>
    <w:rsid w:val="00532D86"/>
    <w:rsid w:val="0053402D"/>
    <w:rsid w:val="005345D0"/>
    <w:rsid w:val="005349B5"/>
    <w:rsid w:val="00534E67"/>
    <w:rsid w:val="005364FF"/>
    <w:rsid w:val="00536CA8"/>
    <w:rsid w:val="00537034"/>
    <w:rsid w:val="00541109"/>
    <w:rsid w:val="00541973"/>
    <w:rsid w:val="0054234F"/>
    <w:rsid w:val="00542C90"/>
    <w:rsid w:val="00542EB2"/>
    <w:rsid w:val="00543A15"/>
    <w:rsid w:val="00544C23"/>
    <w:rsid w:val="005463C2"/>
    <w:rsid w:val="00547A01"/>
    <w:rsid w:val="00547CC7"/>
    <w:rsid w:val="00550E13"/>
    <w:rsid w:val="00551B75"/>
    <w:rsid w:val="0055275A"/>
    <w:rsid w:val="00552F20"/>
    <w:rsid w:val="005532B1"/>
    <w:rsid w:val="00553722"/>
    <w:rsid w:val="00553A18"/>
    <w:rsid w:val="00553DA6"/>
    <w:rsid w:val="0055431E"/>
    <w:rsid w:val="0055455E"/>
    <w:rsid w:val="00554DED"/>
    <w:rsid w:val="00555B12"/>
    <w:rsid w:val="00556A25"/>
    <w:rsid w:val="00556F12"/>
    <w:rsid w:val="005575FC"/>
    <w:rsid w:val="00557AF5"/>
    <w:rsid w:val="00557D97"/>
    <w:rsid w:val="00562B6F"/>
    <w:rsid w:val="00563904"/>
    <w:rsid w:val="00563AB0"/>
    <w:rsid w:val="00563DC6"/>
    <w:rsid w:val="0056670F"/>
    <w:rsid w:val="00566CEF"/>
    <w:rsid w:val="00566F90"/>
    <w:rsid w:val="00571E2C"/>
    <w:rsid w:val="00571F88"/>
    <w:rsid w:val="005736B7"/>
    <w:rsid w:val="005747C5"/>
    <w:rsid w:val="0057491E"/>
    <w:rsid w:val="00575322"/>
    <w:rsid w:val="00575329"/>
    <w:rsid w:val="00575417"/>
    <w:rsid w:val="005754BF"/>
    <w:rsid w:val="00576F1C"/>
    <w:rsid w:val="00580384"/>
    <w:rsid w:val="00580ED5"/>
    <w:rsid w:val="005814C2"/>
    <w:rsid w:val="005815C8"/>
    <w:rsid w:val="005817AA"/>
    <w:rsid w:val="00582586"/>
    <w:rsid w:val="005825D9"/>
    <w:rsid w:val="00585BEB"/>
    <w:rsid w:val="0058648A"/>
    <w:rsid w:val="005864FE"/>
    <w:rsid w:val="005868C4"/>
    <w:rsid w:val="00587F3B"/>
    <w:rsid w:val="005913D8"/>
    <w:rsid w:val="0059490A"/>
    <w:rsid w:val="00596E3D"/>
    <w:rsid w:val="00597C3E"/>
    <w:rsid w:val="00597C5C"/>
    <w:rsid w:val="005A0104"/>
    <w:rsid w:val="005A06FF"/>
    <w:rsid w:val="005A0BED"/>
    <w:rsid w:val="005A1BB4"/>
    <w:rsid w:val="005A2730"/>
    <w:rsid w:val="005A2FEF"/>
    <w:rsid w:val="005A44C5"/>
    <w:rsid w:val="005A4ED6"/>
    <w:rsid w:val="005A562C"/>
    <w:rsid w:val="005A5712"/>
    <w:rsid w:val="005A5B5C"/>
    <w:rsid w:val="005A681A"/>
    <w:rsid w:val="005A7AE1"/>
    <w:rsid w:val="005A7E08"/>
    <w:rsid w:val="005B13B2"/>
    <w:rsid w:val="005B1A23"/>
    <w:rsid w:val="005B3257"/>
    <w:rsid w:val="005B3A1F"/>
    <w:rsid w:val="005B3FCA"/>
    <w:rsid w:val="005B4738"/>
    <w:rsid w:val="005B62A9"/>
    <w:rsid w:val="005B62ED"/>
    <w:rsid w:val="005B677E"/>
    <w:rsid w:val="005B7ACC"/>
    <w:rsid w:val="005B7ED2"/>
    <w:rsid w:val="005C005B"/>
    <w:rsid w:val="005C1B28"/>
    <w:rsid w:val="005C2704"/>
    <w:rsid w:val="005C2D7B"/>
    <w:rsid w:val="005C3F53"/>
    <w:rsid w:val="005C443B"/>
    <w:rsid w:val="005C4817"/>
    <w:rsid w:val="005C566F"/>
    <w:rsid w:val="005C63C1"/>
    <w:rsid w:val="005C63D6"/>
    <w:rsid w:val="005C6C48"/>
    <w:rsid w:val="005C7B16"/>
    <w:rsid w:val="005C7D88"/>
    <w:rsid w:val="005C7EF5"/>
    <w:rsid w:val="005C7F73"/>
    <w:rsid w:val="005D033D"/>
    <w:rsid w:val="005D0CC7"/>
    <w:rsid w:val="005D1035"/>
    <w:rsid w:val="005D2153"/>
    <w:rsid w:val="005D2C88"/>
    <w:rsid w:val="005D335F"/>
    <w:rsid w:val="005D3563"/>
    <w:rsid w:val="005D41DD"/>
    <w:rsid w:val="005D4261"/>
    <w:rsid w:val="005D4470"/>
    <w:rsid w:val="005D48FB"/>
    <w:rsid w:val="005D63D3"/>
    <w:rsid w:val="005D64A6"/>
    <w:rsid w:val="005D7B40"/>
    <w:rsid w:val="005D7D0C"/>
    <w:rsid w:val="005E06A4"/>
    <w:rsid w:val="005E16EE"/>
    <w:rsid w:val="005E26F3"/>
    <w:rsid w:val="005E2FE6"/>
    <w:rsid w:val="005E458A"/>
    <w:rsid w:val="005E461B"/>
    <w:rsid w:val="005E52A3"/>
    <w:rsid w:val="005E590B"/>
    <w:rsid w:val="005E5CE2"/>
    <w:rsid w:val="005E645A"/>
    <w:rsid w:val="005E7BB5"/>
    <w:rsid w:val="005E7F9D"/>
    <w:rsid w:val="005F1C3D"/>
    <w:rsid w:val="005F1CB1"/>
    <w:rsid w:val="005F254F"/>
    <w:rsid w:val="005F2C66"/>
    <w:rsid w:val="005F2DB8"/>
    <w:rsid w:val="005F48A1"/>
    <w:rsid w:val="005F4A82"/>
    <w:rsid w:val="005F4BDF"/>
    <w:rsid w:val="005F4DCB"/>
    <w:rsid w:val="005F5912"/>
    <w:rsid w:val="005F61E3"/>
    <w:rsid w:val="005F64FE"/>
    <w:rsid w:val="005F6E38"/>
    <w:rsid w:val="005F7E6D"/>
    <w:rsid w:val="0060055D"/>
    <w:rsid w:val="00601738"/>
    <w:rsid w:val="00601A93"/>
    <w:rsid w:val="00602581"/>
    <w:rsid w:val="00602FA2"/>
    <w:rsid w:val="00604A22"/>
    <w:rsid w:val="00604C38"/>
    <w:rsid w:val="006050A6"/>
    <w:rsid w:val="00605E8A"/>
    <w:rsid w:val="0060600B"/>
    <w:rsid w:val="006066A3"/>
    <w:rsid w:val="00606CFA"/>
    <w:rsid w:val="00607432"/>
    <w:rsid w:val="00607AE0"/>
    <w:rsid w:val="00610DE5"/>
    <w:rsid w:val="006114E5"/>
    <w:rsid w:val="006127D9"/>
    <w:rsid w:val="00613CB0"/>
    <w:rsid w:val="00614CD0"/>
    <w:rsid w:val="00615A48"/>
    <w:rsid w:val="00617829"/>
    <w:rsid w:val="00620C9A"/>
    <w:rsid w:val="006216C1"/>
    <w:rsid w:val="00621D1B"/>
    <w:rsid w:val="00622023"/>
    <w:rsid w:val="006229A6"/>
    <w:rsid w:val="00622BBE"/>
    <w:rsid w:val="00622D22"/>
    <w:rsid w:val="00623A5E"/>
    <w:rsid w:val="00623C91"/>
    <w:rsid w:val="00623E4B"/>
    <w:rsid w:val="006244DC"/>
    <w:rsid w:val="00624AD7"/>
    <w:rsid w:val="00624B3C"/>
    <w:rsid w:val="00624E50"/>
    <w:rsid w:val="0062524C"/>
    <w:rsid w:val="0062607E"/>
    <w:rsid w:val="00626881"/>
    <w:rsid w:val="00626B35"/>
    <w:rsid w:val="00626D4B"/>
    <w:rsid w:val="00626E61"/>
    <w:rsid w:val="006307DA"/>
    <w:rsid w:val="00632A9D"/>
    <w:rsid w:val="00632FBA"/>
    <w:rsid w:val="00633AC8"/>
    <w:rsid w:val="00636547"/>
    <w:rsid w:val="00636BC6"/>
    <w:rsid w:val="00636E2A"/>
    <w:rsid w:val="006374DF"/>
    <w:rsid w:val="00637ABF"/>
    <w:rsid w:val="00637CF1"/>
    <w:rsid w:val="00637D38"/>
    <w:rsid w:val="006415F9"/>
    <w:rsid w:val="00642411"/>
    <w:rsid w:val="00642B63"/>
    <w:rsid w:val="006430BA"/>
    <w:rsid w:val="0064341B"/>
    <w:rsid w:val="00644209"/>
    <w:rsid w:val="00644720"/>
    <w:rsid w:val="00644BC8"/>
    <w:rsid w:val="00645B4F"/>
    <w:rsid w:val="00646340"/>
    <w:rsid w:val="00647BBE"/>
    <w:rsid w:val="00647DB5"/>
    <w:rsid w:val="00650C12"/>
    <w:rsid w:val="00652755"/>
    <w:rsid w:val="006539EB"/>
    <w:rsid w:val="00653FD7"/>
    <w:rsid w:val="006606F2"/>
    <w:rsid w:val="00660A61"/>
    <w:rsid w:val="0066178F"/>
    <w:rsid w:val="00662811"/>
    <w:rsid w:val="0066446F"/>
    <w:rsid w:val="0066475D"/>
    <w:rsid w:val="00664EA5"/>
    <w:rsid w:val="0066581D"/>
    <w:rsid w:val="0066598D"/>
    <w:rsid w:val="00666A7B"/>
    <w:rsid w:val="00667347"/>
    <w:rsid w:val="00667B8C"/>
    <w:rsid w:val="006713BE"/>
    <w:rsid w:val="006713EC"/>
    <w:rsid w:val="00672495"/>
    <w:rsid w:val="0067288B"/>
    <w:rsid w:val="00672A6B"/>
    <w:rsid w:val="0067397F"/>
    <w:rsid w:val="00674CFF"/>
    <w:rsid w:val="0067582E"/>
    <w:rsid w:val="006763D9"/>
    <w:rsid w:val="00676B94"/>
    <w:rsid w:val="00677571"/>
    <w:rsid w:val="00677E2C"/>
    <w:rsid w:val="006805BA"/>
    <w:rsid w:val="00681DD2"/>
    <w:rsid w:val="0068235D"/>
    <w:rsid w:val="00682C99"/>
    <w:rsid w:val="006830A3"/>
    <w:rsid w:val="00684A7F"/>
    <w:rsid w:val="00684ADA"/>
    <w:rsid w:val="00684E32"/>
    <w:rsid w:val="00684E3B"/>
    <w:rsid w:val="00685453"/>
    <w:rsid w:val="006861B7"/>
    <w:rsid w:val="00686E58"/>
    <w:rsid w:val="0068773D"/>
    <w:rsid w:val="00687E4B"/>
    <w:rsid w:val="006901FE"/>
    <w:rsid w:val="00690763"/>
    <w:rsid w:val="00691ADB"/>
    <w:rsid w:val="00692A46"/>
    <w:rsid w:val="00696512"/>
    <w:rsid w:val="0069788C"/>
    <w:rsid w:val="00697D3F"/>
    <w:rsid w:val="00697FC8"/>
    <w:rsid w:val="006A0A69"/>
    <w:rsid w:val="006A1A04"/>
    <w:rsid w:val="006A3215"/>
    <w:rsid w:val="006A3950"/>
    <w:rsid w:val="006A4B91"/>
    <w:rsid w:val="006A5FEB"/>
    <w:rsid w:val="006A6401"/>
    <w:rsid w:val="006A71B3"/>
    <w:rsid w:val="006B078B"/>
    <w:rsid w:val="006B12B8"/>
    <w:rsid w:val="006B1F1B"/>
    <w:rsid w:val="006B2446"/>
    <w:rsid w:val="006B24A5"/>
    <w:rsid w:val="006B3494"/>
    <w:rsid w:val="006B3FC3"/>
    <w:rsid w:val="006B3FD6"/>
    <w:rsid w:val="006B493E"/>
    <w:rsid w:val="006B4C1D"/>
    <w:rsid w:val="006B4E96"/>
    <w:rsid w:val="006B5464"/>
    <w:rsid w:val="006B5ECA"/>
    <w:rsid w:val="006B5ED5"/>
    <w:rsid w:val="006B602E"/>
    <w:rsid w:val="006B6451"/>
    <w:rsid w:val="006C046A"/>
    <w:rsid w:val="006C0875"/>
    <w:rsid w:val="006C0D44"/>
    <w:rsid w:val="006C3960"/>
    <w:rsid w:val="006C3AF6"/>
    <w:rsid w:val="006C3D08"/>
    <w:rsid w:val="006C4740"/>
    <w:rsid w:val="006C5982"/>
    <w:rsid w:val="006C5B95"/>
    <w:rsid w:val="006C61FF"/>
    <w:rsid w:val="006C67AF"/>
    <w:rsid w:val="006C6873"/>
    <w:rsid w:val="006C6C16"/>
    <w:rsid w:val="006C6E4D"/>
    <w:rsid w:val="006C6E6D"/>
    <w:rsid w:val="006C712F"/>
    <w:rsid w:val="006C7D46"/>
    <w:rsid w:val="006D1649"/>
    <w:rsid w:val="006D1780"/>
    <w:rsid w:val="006D1781"/>
    <w:rsid w:val="006D3669"/>
    <w:rsid w:val="006D3E5D"/>
    <w:rsid w:val="006D4AF2"/>
    <w:rsid w:val="006D5A96"/>
    <w:rsid w:val="006D5C34"/>
    <w:rsid w:val="006D6D68"/>
    <w:rsid w:val="006D6E84"/>
    <w:rsid w:val="006D702B"/>
    <w:rsid w:val="006D7041"/>
    <w:rsid w:val="006D768E"/>
    <w:rsid w:val="006E1BD6"/>
    <w:rsid w:val="006E2809"/>
    <w:rsid w:val="006E4564"/>
    <w:rsid w:val="006E508A"/>
    <w:rsid w:val="006E550A"/>
    <w:rsid w:val="006E5925"/>
    <w:rsid w:val="006E6056"/>
    <w:rsid w:val="006E60B5"/>
    <w:rsid w:val="006E6C26"/>
    <w:rsid w:val="006E6F90"/>
    <w:rsid w:val="006F0EED"/>
    <w:rsid w:val="006F1B18"/>
    <w:rsid w:val="006F206F"/>
    <w:rsid w:val="006F29FB"/>
    <w:rsid w:val="006F3B89"/>
    <w:rsid w:val="006F5278"/>
    <w:rsid w:val="006F5432"/>
    <w:rsid w:val="006F5C15"/>
    <w:rsid w:val="006F626F"/>
    <w:rsid w:val="006F6330"/>
    <w:rsid w:val="006F6864"/>
    <w:rsid w:val="006F6D9A"/>
    <w:rsid w:val="006F7145"/>
    <w:rsid w:val="006F7ACD"/>
    <w:rsid w:val="0070088C"/>
    <w:rsid w:val="00701B5F"/>
    <w:rsid w:val="0070260B"/>
    <w:rsid w:val="00703840"/>
    <w:rsid w:val="00703AFA"/>
    <w:rsid w:val="00703B1A"/>
    <w:rsid w:val="00703E40"/>
    <w:rsid w:val="007046B3"/>
    <w:rsid w:val="007046E2"/>
    <w:rsid w:val="0070529B"/>
    <w:rsid w:val="007054F1"/>
    <w:rsid w:val="00705A1E"/>
    <w:rsid w:val="00705C3D"/>
    <w:rsid w:val="00705C6F"/>
    <w:rsid w:val="00705C9C"/>
    <w:rsid w:val="007063B9"/>
    <w:rsid w:val="00706AD1"/>
    <w:rsid w:val="00706DCF"/>
    <w:rsid w:val="00710F41"/>
    <w:rsid w:val="00711570"/>
    <w:rsid w:val="00711BC0"/>
    <w:rsid w:val="00712356"/>
    <w:rsid w:val="0071326C"/>
    <w:rsid w:val="007136A0"/>
    <w:rsid w:val="0071421B"/>
    <w:rsid w:val="007149B7"/>
    <w:rsid w:val="00714EFA"/>
    <w:rsid w:val="00715D65"/>
    <w:rsid w:val="007167CE"/>
    <w:rsid w:val="00716932"/>
    <w:rsid w:val="00717088"/>
    <w:rsid w:val="007171D4"/>
    <w:rsid w:val="00721084"/>
    <w:rsid w:val="00722A79"/>
    <w:rsid w:val="00723165"/>
    <w:rsid w:val="007235B7"/>
    <w:rsid w:val="007249E6"/>
    <w:rsid w:val="00725F6B"/>
    <w:rsid w:val="00726A38"/>
    <w:rsid w:val="007279EA"/>
    <w:rsid w:val="007304C2"/>
    <w:rsid w:val="007314B5"/>
    <w:rsid w:val="007317B7"/>
    <w:rsid w:val="0073216C"/>
    <w:rsid w:val="00732D94"/>
    <w:rsid w:val="00733223"/>
    <w:rsid w:val="00734250"/>
    <w:rsid w:val="00736640"/>
    <w:rsid w:val="00736892"/>
    <w:rsid w:val="00737891"/>
    <w:rsid w:val="007403EE"/>
    <w:rsid w:val="007406C4"/>
    <w:rsid w:val="00740F29"/>
    <w:rsid w:val="00741155"/>
    <w:rsid w:val="00741197"/>
    <w:rsid w:val="00741B6F"/>
    <w:rsid w:val="00741B77"/>
    <w:rsid w:val="00741C9A"/>
    <w:rsid w:val="00741DC7"/>
    <w:rsid w:val="00742839"/>
    <w:rsid w:val="0074423A"/>
    <w:rsid w:val="007446BF"/>
    <w:rsid w:val="007500C5"/>
    <w:rsid w:val="0075155C"/>
    <w:rsid w:val="007518C1"/>
    <w:rsid w:val="0075202B"/>
    <w:rsid w:val="007525D5"/>
    <w:rsid w:val="007526FB"/>
    <w:rsid w:val="00753CF6"/>
    <w:rsid w:val="00753E33"/>
    <w:rsid w:val="007541B1"/>
    <w:rsid w:val="0075453A"/>
    <w:rsid w:val="007558D8"/>
    <w:rsid w:val="00755B59"/>
    <w:rsid w:val="00755D2C"/>
    <w:rsid w:val="007569DC"/>
    <w:rsid w:val="00760C5C"/>
    <w:rsid w:val="00761B11"/>
    <w:rsid w:val="00763075"/>
    <w:rsid w:val="007631C0"/>
    <w:rsid w:val="0076348E"/>
    <w:rsid w:val="00763BF2"/>
    <w:rsid w:val="00764034"/>
    <w:rsid w:val="0076551D"/>
    <w:rsid w:val="00766E59"/>
    <w:rsid w:val="00770A42"/>
    <w:rsid w:val="00771182"/>
    <w:rsid w:val="0077119F"/>
    <w:rsid w:val="00771807"/>
    <w:rsid w:val="00771B28"/>
    <w:rsid w:val="007739CC"/>
    <w:rsid w:val="007755BF"/>
    <w:rsid w:val="007756A5"/>
    <w:rsid w:val="00776089"/>
    <w:rsid w:val="00776B02"/>
    <w:rsid w:val="00780C91"/>
    <w:rsid w:val="0078126D"/>
    <w:rsid w:val="0078258C"/>
    <w:rsid w:val="00783662"/>
    <w:rsid w:val="007836F5"/>
    <w:rsid w:val="00783D61"/>
    <w:rsid w:val="00783F9B"/>
    <w:rsid w:val="007845D5"/>
    <w:rsid w:val="00784706"/>
    <w:rsid w:val="0078552A"/>
    <w:rsid w:val="00785DE9"/>
    <w:rsid w:val="007862DA"/>
    <w:rsid w:val="00787216"/>
    <w:rsid w:val="00787A70"/>
    <w:rsid w:val="00791570"/>
    <w:rsid w:val="0079223D"/>
    <w:rsid w:val="007927CE"/>
    <w:rsid w:val="00792F91"/>
    <w:rsid w:val="0079302E"/>
    <w:rsid w:val="0079344B"/>
    <w:rsid w:val="007934C4"/>
    <w:rsid w:val="00793962"/>
    <w:rsid w:val="00793FB7"/>
    <w:rsid w:val="00794316"/>
    <w:rsid w:val="0079515C"/>
    <w:rsid w:val="00795D42"/>
    <w:rsid w:val="00796D5E"/>
    <w:rsid w:val="007A0AC3"/>
    <w:rsid w:val="007A0E65"/>
    <w:rsid w:val="007A1490"/>
    <w:rsid w:val="007A1B82"/>
    <w:rsid w:val="007A2C1F"/>
    <w:rsid w:val="007A4D06"/>
    <w:rsid w:val="007A531D"/>
    <w:rsid w:val="007A68D2"/>
    <w:rsid w:val="007A6C28"/>
    <w:rsid w:val="007A707B"/>
    <w:rsid w:val="007A78AD"/>
    <w:rsid w:val="007B0816"/>
    <w:rsid w:val="007B1A72"/>
    <w:rsid w:val="007B212C"/>
    <w:rsid w:val="007B29E1"/>
    <w:rsid w:val="007B2FDD"/>
    <w:rsid w:val="007B31E2"/>
    <w:rsid w:val="007B3C74"/>
    <w:rsid w:val="007B3D1C"/>
    <w:rsid w:val="007B48AB"/>
    <w:rsid w:val="007B4A00"/>
    <w:rsid w:val="007B4F1B"/>
    <w:rsid w:val="007B58B7"/>
    <w:rsid w:val="007B5A95"/>
    <w:rsid w:val="007B5FD9"/>
    <w:rsid w:val="007B61F2"/>
    <w:rsid w:val="007B6850"/>
    <w:rsid w:val="007B7345"/>
    <w:rsid w:val="007B76F0"/>
    <w:rsid w:val="007B7778"/>
    <w:rsid w:val="007B7F94"/>
    <w:rsid w:val="007C09DC"/>
    <w:rsid w:val="007C0ADD"/>
    <w:rsid w:val="007C0DB9"/>
    <w:rsid w:val="007C180C"/>
    <w:rsid w:val="007C19D1"/>
    <w:rsid w:val="007C450A"/>
    <w:rsid w:val="007C4AF9"/>
    <w:rsid w:val="007C4C1C"/>
    <w:rsid w:val="007C529B"/>
    <w:rsid w:val="007C5B6F"/>
    <w:rsid w:val="007C6C37"/>
    <w:rsid w:val="007C6FA7"/>
    <w:rsid w:val="007C7544"/>
    <w:rsid w:val="007C77B2"/>
    <w:rsid w:val="007D03FD"/>
    <w:rsid w:val="007D1F4A"/>
    <w:rsid w:val="007D260F"/>
    <w:rsid w:val="007D30D8"/>
    <w:rsid w:val="007D3AC9"/>
    <w:rsid w:val="007D4AB0"/>
    <w:rsid w:val="007D506F"/>
    <w:rsid w:val="007D6A0B"/>
    <w:rsid w:val="007D7245"/>
    <w:rsid w:val="007E0020"/>
    <w:rsid w:val="007E26B1"/>
    <w:rsid w:val="007E2709"/>
    <w:rsid w:val="007E2861"/>
    <w:rsid w:val="007E399C"/>
    <w:rsid w:val="007E491D"/>
    <w:rsid w:val="007E4F2B"/>
    <w:rsid w:val="007E5AA3"/>
    <w:rsid w:val="007E5C24"/>
    <w:rsid w:val="007E6132"/>
    <w:rsid w:val="007E63A5"/>
    <w:rsid w:val="007E70DA"/>
    <w:rsid w:val="007E754D"/>
    <w:rsid w:val="007E75B9"/>
    <w:rsid w:val="007E7D08"/>
    <w:rsid w:val="007F1EF7"/>
    <w:rsid w:val="007F262A"/>
    <w:rsid w:val="007F2D69"/>
    <w:rsid w:val="007F33BF"/>
    <w:rsid w:val="007F3CC0"/>
    <w:rsid w:val="007F4579"/>
    <w:rsid w:val="007F490C"/>
    <w:rsid w:val="007F502D"/>
    <w:rsid w:val="007F5B87"/>
    <w:rsid w:val="007F61E6"/>
    <w:rsid w:val="007F7331"/>
    <w:rsid w:val="0080043B"/>
    <w:rsid w:val="00801517"/>
    <w:rsid w:val="00802CEF"/>
    <w:rsid w:val="00803493"/>
    <w:rsid w:val="00803BE2"/>
    <w:rsid w:val="00804052"/>
    <w:rsid w:val="008046C0"/>
    <w:rsid w:val="00805134"/>
    <w:rsid w:val="00805379"/>
    <w:rsid w:val="0080591B"/>
    <w:rsid w:val="0080620D"/>
    <w:rsid w:val="00807209"/>
    <w:rsid w:val="00807B40"/>
    <w:rsid w:val="008106F0"/>
    <w:rsid w:val="00810758"/>
    <w:rsid w:val="008108AB"/>
    <w:rsid w:val="00812167"/>
    <w:rsid w:val="00812B2D"/>
    <w:rsid w:val="00815EC2"/>
    <w:rsid w:val="008161BE"/>
    <w:rsid w:val="00816B78"/>
    <w:rsid w:val="00816C73"/>
    <w:rsid w:val="00816FA0"/>
    <w:rsid w:val="00817382"/>
    <w:rsid w:val="00817A81"/>
    <w:rsid w:val="0082109A"/>
    <w:rsid w:val="00822532"/>
    <w:rsid w:val="00822F50"/>
    <w:rsid w:val="0082344E"/>
    <w:rsid w:val="00823D42"/>
    <w:rsid w:val="0082531F"/>
    <w:rsid w:val="008257EA"/>
    <w:rsid w:val="00825F1A"/>
    <w:rsid w:val="008277FE"/>
    <w:rsid w:val="00831589"/>
    <w:rsid w:val="008323D5"/>
    <w:rsid w:val="00832838"/>
    <w:rsid w:val="00833026"/>
    <w:rsid w:val="00833317"/>
    <w:rsid w:val="00834261"/>
    <w:rsid w:val="00834EDE"/>
    <w:rsid w:val="008352B4"/>
    <w:rsid w:val="0083575D"/>
    <w:rsid w:val="00836A89"/>
    <w:rsid w:val="00837D9A"/>
    <w:rsid w:val="00840439"/>
    <w:rsid w:val="00841AEC"/>
    <w:rsid w:val="00841FE9"/>
    <w:rsid w:val="00842111"/>
    <w:rsid w:val="00842254"/>
    <w:rsid w:val="008431D2"/>
    <w:rsid w:val="008441BB"/>
    <w:rsid w:val="00844CF7"/>
    <w:rsid w:val="00845EAF"/>
    <w:rsid w:val="00845FAB"/>
    <w:rsid w:val="008460B4"/>
    <w:rsid w:val="00846C17"/>
    <w:rsid w:val="00847401"/>
    <w:rsid w:val="00850CBB"/>
    <w:rsid w:val="00851748"/>
    <w:rsid w:val="00852B01"/>
    <w:rsid w:val="00852BCA"/>
    <w:rsid w:val="00855D83"/>
    <w:rsid w:val="008569E7"/>
    <w:rsid w:val="0085722A"/>
    <w:rsid w:val="008573D2"/>
    <w:rsid w:val="0085772D"/>
    <w:rsid w:val="00857E66"/>
    <w:rsid w:val="008606C2"/>
    <w:rsid w:val="00860E1B"/>
    <w:rsid w:val="00860FE8"/>
    <w:rsid w:val="0086246B"/>
    <w:rsid w:val="00863F81"/>
    <w:rsid w:val="008651FE"/>
    <w:rsid w:val="00865AFC"/>
    <w:rsid w:val="0086752A"/>
    <w:rsid w:val="00867C85"/>
    <w:rsid w:val="00870350"/>
    <w:rsid w:val="00871244"/>
    <w:rsid w:val="0087134B"/>
    <w:rsid w:val="00871774"/>
    <w:rsid w:val="00871C2F"/>
    <w:rsid w:val="00871D5F"/>
    <w:rsid w:val="00872E91"/>
    <w:rsid w:val="00873B5D"/>
    <w:rsid w:val="00873C2E"/>
    <w:rsid w:val="00875965"/>
    <w:rsid w:val="0087615C"/>
    <w:rsid w:val="008764B1"/>
    <w:rsid w:val="00877137"/>
    <w:rsid w:val="0088077B"/>
    <w:rsid w:val="008812DB"/>
    <w:rsid w:val="008818C5"/>
    <w:rsid w:val="00881B51"/>
    <w:rsid w:val="00882FBC"/>
    <w:rsid w:val="00883220"/>
    <w:rsid w:val="008853BB"/>
    <w:rsid w:val="00885833"/>
    <w:rsid w:val="00885F3F"/>
    <w:rsid w:val="00886C96"/>
    <w:rsid w:val="00887068"/>
    <w:rsid w:val="008873EA"/>
    <w:rsid w:val="00887D7F"/>
    <w:rsid w:val="00891622"/>
    <w:rsid w:val="00891813"/>
    <w:rsid w:val="0089196B"/>
    <w:rsid w:val="00891B38"/>
    <w:rsid w:val="0089233A"/>
    <w:rsid w:val="008925B8"/>
    <w:rsid w:val="008936E1"/>
    <w:rsid w:val="008943B9"/>
    <w:rsid w:val="0089604E"/>
    <w:rsid w:val="0089612F"/>
    <w:rsid w:val="00896E85"/>
    <w:rsid w:val="00897F02"/>
    <w:rsid w:val="008A0FE0"/>
    <w:rsid w:val="008A12B9"/>
    <w:rsid w:val="008A1D2B"/>
    <w:rsid w:val="008A255A"/>
    <w:rsid w:val="008A2C2C"/>
    <w:rsid w:val="008A3D9A"/>
    <w:rsid w:val="008A4152"/>
    <w:rsid w:val="008A45F0"/>
    <w:rsid w:val="008A5CA5"/>
    <w:rsid w:val="008A63FC"/>
    <w:rsid w:val="008A66A2"/>
    <w:rsid w:val="008A71A6"/>
    <w:rsid w:val="008A762B"/>
    <w:rsid w:val="008A7812"/>
    <w:rsid w:val="008B116D"/>
    <w:rsid w:val="008B53EA"/>
    <w:rsid w:val="008B5A37"/>
    <w:rsid w:val="008B5C82"/>
    <w:rsid w:val="008B5FB1"/>
    <w:rsid w:val="008B704D"/>
    <w:rsid w:val="008B77DB"/>
    <w:rsid w:val="008C0860"/>
    <w:rsid w:val="008C11EB"/>
    <w:rsid w:val="008C1321"/>
    <w:rsid w:val="008C13DC"/>
    <w:rsid w:val="008C1B6D"/>
    <w:rsid w:val="008C22EF"/>
    <w:rsid w:val="008C2367"/>
    <w:rsid w:val="008C2D87"/>
    <w:rsid w:val="008C3381"/>
    <w:rsid w:val="008C393F"/>
    <w:rsid w:val="008C3F0D"/>
    <w:rsid w:val="008C46BA"/>
    <w:rsid w:val="008C5763"/>
    <w:rsid w:val="008C5A1D"/>
    <w:rsid w:val="008C63EA"/>
    <w:rsid w:val="008C6D6B"/>
    <w:rsid w:val="008C6E6B"/>
    <w:rsid w:val="008C7D0C"/>
    <w:rsid w:val="008D0BFE"/>
    <w:rsid w:val="008D1F68"/>
    <w:rsid w:val="008D2179"/>
    <w:rsid w:val="008D2460"/>
    <w:rsid w:val="008D3431"/>
    <w:rsid w:val="008D3B43"/>
    <w:rsid w:val="008D3B61"/>
    <w:rsid w:val="008D5788"/>
    <w:rsid w:val="008D5E86"/>
    <w:rsid w:val="008D7020"/>
    <w:rsid w:val="008D7A8D"/>
    <w:rsid w:val="008E016A"/>
    <w:rsid w:val="008E0367"/>
    <w:rsid w:val="008E064F"/>
    <w:rsid w:val="008E0E7D"/>
    <w:rsid w:val="008E236E"/>
    <w:rsid w:val="008E250C"/>
    <w:rsid w:val="008E2DB4"/>
    <w:rsid w:val="008E2DC8"/>
    <w:rsid w:val="008E34D3"/>
    <w:rsid w:val="008E36DC"/>
    <w:rsid w:val="008E547F"/>
    <w:rsid w:val="008E5CE3"/>
    <w:rsid w:val="008E6D55"/>
    <w:rsid w:val="008E7AF1"/>
    <w:rsid w:val="008E7E29"/>
    <w:rsid w:val="008E7F30"/>
    <w:rsid w:val="008E7F60"/>
    <w:rsid w:val="008F0B72"/>
    <w:rsid w:val="008F0DAE"/>
    <w:rsid w:val="008F2231"/>
    <w:rsid w:val="008F25FF"/>
    <w:rsid w:val="008F3998"/>
    <w:rsid w:val="008F46C1"/>
    <w:rsid w:val="008F4990"/>
    <w:rsid w:val="008F5772"/>
    <w:rsid w:val="008F64A4"/>
    <w:rsid w:val="008F661F"/>
    <w:rsid w:val="008F7776"/>
    <w:rsid w:val="0090011B"/>
    <w:rsid w:val="0090099C"/>
    <w:rsid w:val="00901D23"/>
    <w:rsid w:val="0090340B"/>
    <w:rsid w:val="009035EF"/>
    <w:rsid w:val="0090360A"/>
    <w:rsid w:val="0090393C"/>
    <w:rsid w:val="0090468B"/>
    <w:rsid w:val="00905060"/>
    <w:rsid w:val="00905A23"/>
    <w:rsid w:val="00906477"/>
    <w:rsid w:val="00907E58"/>
    <w:rsid w:val="00910247"/>
    <w:rsid w:val="00910543"/>
    <w:rsid w:val="00910D98"/>
    <w:rsid w:val="00910FB1"/>
    <w:rsid w:val="009114D5"/>
    <w:rsid w:val="009116D1"/>
    <w:rsid w:val="00912EB6"/>
    <w:rsid w:val="0091326E"/>
    <w:rsid w:val="0091352E"/>
    <w:rsid w:val="009135FC"/>
    <w:rsid w:val="0091361D"/>
    <w:rsid w:val="00913639"/>
    <w:rsid w:val="00913A41"/>
    <w:rsid w:val="00914E8F"/>
    <w:rsid w:val="00915952"/>
    <w:rsid w:val="00915D2E"/>
    <w:rsid w:val="0091640F"/>
    <w:rsid w:val="00916802"/>
    <w:rsid w:val="00916B76"/>
    <w:rsid w:val="00916B7A"/>
    <w:rsid w:val="00917A65"/>
    <w:rsid w:val="00917C7A"/>
    <w:rsid w:val="00920C1F"/>
    <w:rsid w:val="00921E70"/>
    <w:rsid w:val="00922CC9"/>
    <w:rsid w:val="00922F3F"/>
    <w:rsid w:val="009231D3"/>
    <w:rsid w:val="009232B6"/>
    <w:rsid w:val="009242CF"/>
    <w:rsid w:val="009242F2"/>
    <w:rsid w:val="00924360"/>
    <w:rsid w:val="00924E85"/>
    <w:rsid w:val="00925498"/>
    <w:rsid w:val="00925C07"/>
    <w:rsid w:val="00925E0F"/>
    <w:rsid w:val="00925FC8"/>
    <w:rsid w:val="0093021D"/>
    <w:rsid w:val="0093101A"/>
    <w:rsid w:val="009317E3"/>
    <w:rsid w:val="00931B38"/>
    <w:rsid w:val="00931E62"/>
    <w:rsid w:val="00931F7E"/>
    <w:rsid w:val="00932CA7"/>
    <w:rsid w:val="009331D9"/>
    <w:rsid w:val="009338CF"/>
    <w:rsid w:val="00933B48"/>
    <w:rsid w:val="009341B0"/>
    <w:rsid w:val="00934442"/>
    <w:rsid w:val="0093448A"/>
    <w:rsid w:val="00934569"/>
    <w:rsid w:val="00934A40"/>
    <w:rsid w:val="00934BE8"/>
    <w:rsid w:val="00934C02"/>
    <w:rsid w:val="009350A0"/>
    <w:rsid w:val="0093622B"/>
    <w:rsid w:val="009400AA"/>
    <w:rsid w:val="009406AA"/>
    <w:rsid w:val="00941F80"/>
    <w:rsid w:val="00942E43"/>
    <w:rsid w:val="009436B9"/>
    <w:rsid w:val="0094381B"/>
    <w:rsid w:val="00943BC1"/>
    <w:rsid w:val="00943FE2"/>
    <w:rsid w:val="009449BC"/>
    <w:rsid w:val="00944B80"/>
    <w:rsid w:val="0094510E"/>
    <w:rsid w:val="009456DC"/>
    <w:rsid w:val="009461D2"/>
    <w:rsid w:val="00946EB5"/>
    <w:rsid w:val="00946F3E"/>
    <w:rsid w:val="00947427"/>
    <w:rsid w:val="00947815"/>
    <w:rsid w:val="009507D4"/>
    <w:rsid w:val="00950EFE"/>
    <w:rsid w:val="00950F00"/>
    <w:rsid w:val="0095259C"/>
    <w:rsid w:val="009537ED"/>
    <w:rsid w:val="009540DA"/>
    <w:rsid w:val="0095473A"/>
    <w:rsid w:val="00956EA5"/>
    <w:rsid w:val="009570FD"/>
    <w:rsid w:val="0096042A"/>
    <w:rsid w:val="00960FD2"/>
    <w:rsid w:val="009610D1"/>
    <w:rsid w:val="009620DA"/>
    <w:rsid w:val="0096506C"/>
    <w:rsid w:val="0096539F"/>
    <w:rsid w:val="0096613F"/>
    <w:rsid w:val="0096640D"/>
    <w:rsid w:val="009672A2"/>
    <w:rsid w:val="00967388"/>
    <w:rsid w:val="00967E21"/>
    <w:rsid w:val="00970F7D"/>
    <w:rsid w:val="00971F04"/>
    <w:rsid w:val="00971FE6"/>
    <w:rsid w:val="009720A6"/>
    <w:rsid w:val="0097291B"/>
    <w:rsid w:val="00972DF7"/>
    <w:rsid w:val="00973269"/>
    <w:rsid w:val="00974916"/>
    <w:rsid w:val="00974A5F"/>
    <w:rsid w:val="00975327"/>
    <w:rsid w:val="00977221"/>
    <w:rsid w:val="00977D11"/>
    <w:rsid w:val="00977EAB"/>
    <w:rsid w:val="00980257"/>
    <w:rsid w:val="00983171"/>
    <w:rsid w:val="009844BC"/>
    <w:rsid w:val="009878F3"/>
    <w:rsid w:val="00987DF3"/>
    <w:rsid w:val="0099029C"/>
    <w:rsid w:val="0099133E"/>
    <w:rsid w:val="0099160C"/>
    <w:rsid w:val="0099175B"/>
    <w:rsid w:val="00992B60"/>
    <w:rsid w:val="00993318"/>
    <w:rsid w:val="00993E51"/>
    <w:rsid w:val="0099608B"/>
    <w:rsid w:val="009962CD"/>
    <w:rsid w:val="0099634D"/>
    <w:rsid w:val="00996623"/>
    <w:rsid w:val="00997FB5"/>
    <w:rsid w:val="009A171E"/>
    <w:rsid w:val="009A27B9"/>
    <w:rsid w:val="009A28AC"/>
    <w:rsid w:val="009A29CB"/>
    <w:rsid w:val="009A33D5"/>
    <w:rsid w:val="009A3455"/>
    <w:rsid w:val="009A3AB0"/>
    <w:rsid w:val="009A3AC4"/>
    <w:rsid w:val="009A4312"/>
    <w:rsid w:val="009A45C7"/>
    <w:rsid w:val="009A508E"/>
    <w:rsid w:val="009A52F7"/>
    <w:rsid w:val="009A53AF"/>
    <w:rsid w:val="009A5551"/>
    <w:rsid w:val="009A5565"/>
    <w:rsid w:val="009A5748"/>
    <w:rsid w:val="009A5870"/>
    <w:rsid w:val="009A5D6C"/>
    <w:rsid w:val="009A60E3"/>
    <w:rsid w:val="009A64FE"/>
    <w:rsid w:val="009A68F3"/>
    <w:rsid w:val="009A6CA3"/>
    <w:rsid w:val="009A7917"/>
    <w:rsid w:val="009A7D0E"/>
    <w:rsid w:val="009B11C6"/>
    <w:rsid w:val="009B15D6"/>
    <w:rsid w:val="009B2C8D"/>
    <w:rsid w:val="009B33F6"/>
    <w:rsid w:val="009B3509"/>
    <w:rsid w:val="009B5266"/>
    <w:rsid w:val="009B5502"/>
    <w:rsid w:val="009B55F0"/>
    <w:rsid w:val="009B6A4C"/>
    <w:rsid w:val="009C064F"/>
    <w:rsid w:val="009C0AE2"/>
    <w:rsid w:val="009C0D39"/>
    <w:rsid w:val="009C1564"/>
    <w:rsid w:val="009C23A4"/>
    <w:rsid w:val="009C28F3"/>
    <w:rsid w:val="009C2D25"/>
    <w:rsid w:val="009C31EF"/>
    <w:rsid w:val="009C37E5"/>
    <w:rsid w:val="009C3C88"/>
    <w:rsid w:val="009C414B"/>
    <w:rsid w:val="009C5272"/>
    <w:rsid w:val="009C65B2"/>
    <w:rsid w:val="009C69B2"/>
    <w:rsid w:val="009C6E39"/>
    <w:rsid w:val="009C7625"/>
    <w:rsid w:val="009C7641"/>
    <w:rsid w:val="009C7BCD"/>
    <w:rsid w:val="009D2375"/>
    <w:rsid w:val="009D2779"/>
    <w:rsid w:val="009D3C35"/>
    <w:rsid w:val="009D4805"/>
    <w:rsid w:val="009D7819"/>
    <w:rsid w:val="009D79FC"/>
    <w:rsid w:val="009D7EAD"/>
    <w:rsid w:val="009E0EE2"/>
    <w:rsid w:val="009E1CCD"/>
    <w:rsid w:val="009E1E43"/>
    <w:rsid w:val="009E25E0"/>
    <w:rsid w:val="009E274A"/>
    <w:rsid w:val="009E276B"/>
    <w:rsid w:val="009E5696"/>
    <w:rsid w:val="009E5BCA"/>
    <w:rsid w:val="009E693A"/>
    <w:rsid w:val="009E6F76"/>
    <w:rsid w:val="009E7601"/>
    <w:rsid w:val="009F00DC"/>
    <w:rsid w:val="009F1BDE"/>
    <w:rsid w:val="009F2BA6"/>
    <w:rsid w:val="009F2C7A"/>
    <w:rsid w:val="009F3D8D"/>
    <w:rsid w:val="009F42BA"/>
    <w:rsid w:val="009F42CB"/>
    <w:rsid w:val="009F4ACF"/>
    <w:rsid w:val="009F51A4"/>
    <w:rsid w:val="009F5FFF"/>
    <w:rsid w:val="009F627E"/>
    <w:rsid w:val="00A05F85"/>
    <w:rsid w:val="00A063CB"/>
    <w:rsid w:val="00A0640F"/>
    <w:rsid w:val="00A06B66"/>
    <w:rsid w:val="00A06F95"/>
    <w:rsid w:val="00A071DF"/>
    <w:rsid w:val="00A07FB5"/>
    <w:rsid w:val="00A1078C"/>
    <w:rsid w:val="00A129DA"/>
    <w:rsid w:val="00A132EB"/>
    <w:rsid w:val="00A14A6B"/>
    <w:rsid w:val="00A15490"/>
    <w:rsid w:val="00A15E07"/>
    <w:rsid w:val="00A16390"/>
    <w:rsid w:val="00A172E7"/>
    <w:rsid w:val="00A17388"/>
    <w:rsid w:val="00A17505"/>
    <w:rsid w:val="00A17775"/>
    <w:rsid w:val="00A17DCA"/>
    <w:rsid w:val="00A17F2B"/>
    <w:rsid w:val="00A202C0"/>
    <w:rsid w:val="00A20646"/>
    <w:rsid w:val="00A20DB5"/>
    <w:rsid w:val="00A210CE"/>
    <w:rsid w:val="00A21A75"/>
    <w:rsid w:val="00A22DAA"/>
    <w:rsid w:val="00A235B0"/>
    <w:rsid w:val="00A23CA5"/>
    <w:rsid w:val="00A23E1A"/>
    <w:rsid w:val="00A24A6E"/>
    <w:rsid w:val="00A25923"/>
    <w:rsid w:val="00A27E6D"/>
    <w:rsid w:val="00A30130"/>
    <w:rsid w:val="00A30BA1"/>
    <w:rsid w:val="00A31232"/>
    <w:rsid w:val="00A313DE"/>
    <w:rsid w:val="00A313E1"/>
    <w:rsid w:val="00A31845"/>
    <w:rsid w:val="00A3344C"/>
    <w:rsid w:val="00A338B0"/>
    <w:rsid w:val="00A33E9D"/>
    <w:rsid w:val="00A341B5"/>
    <w:rsid w:val="00A34AA7"/>
    <w:rsid w:val="00A34CD3"/>
    <w:rsid w:val="00A35065"/>
    <w:rsid w:val="00A36A74"/>
    <w:rsid w:val="00A3742F"/>
    <w:rsid w:val="00A405DD"/>
    <w:rsid w:val="00A408F3"/>
    <w:rsid w:val="00A40ABE"/>
    <w:rsid w:val="00A41773"/>
    <w:rsid w:val="00A4384B"/>
    <w:rsid w:val="00A456EA"/>
    <w:rsid w:val="00A46FB0"/>
    <w:rsid w:val="00A47BBE"/>
    <w:rsid w:val="00A47E17"/>
    <w:rsid w:val="00A50A33"/>
    <w:rsid w:val="00A5213E"/>
    <w:rsid w:val="00A52526"/>
    <w:rsid w:val="00A52A7F"/>
    <w:rsid w:val="00A53115"/>
    <w:rsid w:val="00A547DA"/>
    <w:rsid w:val="00A54AD5"/>
    <w:rsid w:val="00A54F79"/>
    <w:rsid w:val="00A55233"/>
    <w:rsid w:val="00A5629E"/>
    <w:rsid w:val="00A5721B"/>
    <w:rsid w:val="00A603AE"/>
    <w:rsid w:val="00A607E6"/>
    <w:rsid w:val="00A60AD3"/>
    <w:rsid w:val="00A60CB5"/>
    <w:rsid w:val="00A60D8D"/>
    <w:rsid w:val="00A61776"/>
    <w:rsid w:val="00A62444"/>
    <w:rsid w:val="00A6306A"/>
    <w:rsid w:val="00A63079"/>
    <w:rsid w:val="00A6369E"/>
    <w:rsid w:val="00A63932"/>
    <w:rsid w:val="00A64608"/>
    <w:rsid w:val="00A66064"/>
    <w:rsid w:val="00A660F7"/>
    <w:rsid w:val="00A6697B"/>
    <w:rsid w:val="00A66CED"/>
    <w:rsid w:val="00A6778E"/>
    <w:rsid w:val="00A67BF3"/>
    <w:rsid w:val="00A700BE"/>
    <w:rsid w:val="00A708DA"/>
    <w:rsid w:val="00A70BE8"/>
    <w:rsid w:val="00A70E84"/>
    <w:rsid w:val="00A7172D"/>
    <w:rsid w:val="00A72E42"/>
    <w:rsid w:val="00A73D6C"/>
    <w:rsid w:val="00A74D2F"/>
    <w:rsid w:val="00A7588B"/>
    <w:rsid w:val="00A7592C"/>
    <w:rsid w:val="00A76224"/>
    <w:rsid w:val="00A76D04"/>
    <w:rsid w:val="00A774E5"/>
    <w:rsid w:val="00A77734"/>
    <w:rsid w:val="00A804B6"/>
    <w:rsid w:val="00A80FA3"/>
    <w:rsid w:val="00A82CA9"/>
    <w:rsid w:val="00A84959"/>
    <w:rsid w:val="00A85503"/>
    <w:rsid w:val="00A85918"/>
    <w:rsid w:val="00A85E9B"/>
    <w:rsid w:val="00A86293"/>
    <w:rsid w:val="00A86359"/>
    <w:rsid w:val="00A86A8E"/>
    <w:rsid w:val="00A86E42"/>
    <w:rsid w:val="00A871A8"/>
    <w:rsid w:val="00A87AA8"/>
    <w:rsid w:val="00A87CE5"/>
    <w:rsid w:val="00A90AE7"/>
    <w:rsid w:val="00A93967"/>
    <w:rsid w:val="00A93DCA"/>
    <w:rsid w:val="00A94934"/>
    <w:rsid w:val="00A96792"/>
    <w:rsid w:val="00A96FEB"/>
    <w:rsid w:val="00A976CE"/>
    <w:rsid w:val="00AA0C02"/>
    <w:rsid w:val="00AA0D81"/>
    <w:rsid w:val="00AA17FC"/>
    <w:rsid w:val="00AA1A4E"/>
    <w:rsid w:val="00AA2DC8"/>
    <w:rsid w:val="00AA46F9"/>
    <w:rsid w:val="00AA487A"/>
    <w:rsid w:val="00AA4EEC"/>
    <w:rsid w:val="00AA51B7"/>
    <w:rsid w:val="00AA58FB"/>
    <w:rsid w:val="00AA6822"/>
    <w:rsid w:val="00AA7330"/>
    <w:rsid w:val="00AA7779"/>
    <w:rsid w:val="00AA7796"/>
    <w:rsid w:val="00AA78CE"/>
    <w:rsid w:val="00AA791D"/>
    <w:rsid w:val="00AB107B"/>
    <w:rsid w:val="00AB297B"/>
    <w:rsid w:val="00AB2ACF"/>
    <w:rsid w:val="00AB33EB"/>
    <w:rsid w:val="00AB3483"/>
    <w:rsid w:val="00AB37E5"/>
    <w:rsid w:val="00AB444F"/>
    <w:rsid w:val="00AB5625"/>
    <w:rsid w:val="00AB679A"/>
    <w:rsid w:val="00AB7C54"/>
    <w:rsid w:val="00AC0C79"/>
    <w:rsid w:val="00AC1C17"/>
    <w:rsid w:val="00AC2C75"/>
    <w:rsid w:val="00AC487A"/>
    <w:rsid w:val="00AC5079"/>
    <w:rsid w:val="00AC564B"/>
    <w:rsid w:val="00AC64CC"/>
    <w:rsid w:val="00AC682B"/>
    <w:rsid w:val="00AC7296"/>
    <w:rsid w:val="00AD0BC4"/>
    <w:rsid w:val="00AD0FD1"/>
    <w:rsid w:val="00AD1577"/>
    <w:rsid w:val="00AD3984"/>
    <w:rsid w:val="00AD4160"/>
    <w:rsid w:val="00AD4A0B"/>
    <w:rsid w:val="00AD5D10"/>
    <w:rsid w:val="00AD6799"/>
    <w:rsid w:val="00AD6A2D"/>
    <w:rsid w:val="00AD7EAB"/>
    <w:rsid w:val="00AE0097"/>
    <w:rsid w:val="00AE03F7"/>
    <w:rsid w:val="00AE24BF"/>
    <w:rsid w:val="00AE26C8"/>
    <w:rsid w:val="00AE3342"/>
    <w:rsid w:val="00AE3B60"/>
    <w:rsid w:val="00AE4308"/>
    <w:rsid w:val="00AE4460"/>
    <w:rsid w:val="00AE4A21"/>
    <w:rsid w:val="00AE4C83"/>
    <w:rsid w:val="00AE54DE"/>
    <w:rsid w:val="00AE55FB"/>
    <w:rsid w:val="00AE706F"/>
    <w:rsid w:val="00AE7C51"/>
    <w:rsid w:val="00AE7D22"/>
    <w:rsid w:val="00AE7D55"/>
    <w:rsid w:val="00AE7D96"/>
    <w:rsid w:val="00AF04FC"/>
    <w:rsid w:val="00AF17C1"/>
    <w:rsid w:val="00AF1F15"/>
    <w:rsid w:val="00AF2264"/>
    <w:rsid w:val="00AF2732"/>
    <w:rsid w:val="00AF3CEF"/>
    <w:rsid w:val="00AF3DDA"/>
    <w:rsid w:val="00AF4068"/>
    <w:rsid w:val="00AF414E"/>
    <w:rsid w:val="00AF4651"/>
    <w:rsid w:val="00AF5244"/>
    <w:rsid w:val="00AF529B"/>
    <w:rsid w:val="00AF5F9C"/>
    <w:rsid w:val="00AF62BE"/>
    <w:rsid w:val="00AF6421"/>
    <w:rsid w:val="00AF6CF8"/>
    <w:rsid w:val="00AF7ECC"/>
    <w:rsid w:val="00B00E8C"/>
    <w:rsid w:val="00B01885"/>
    <w:rsid w:val="00B01FB0"/>
    <w:rsid w:val="00B0312B"/>
    <w:rsid w:val="00B03767"/>
    <w:rsid w:val="00B03A1D"/>
    <w:rsid w:val="00B042F8"/>
    <w:rsid w:val="00B051BC"/>
    <w:rsid w:val="00B0534A"/>
    <w:rsid w:val="00B05CBE"/>
    <w:rsid w:val="00B06E1F"/>
    <w:rsid w:val="00B0707D"/>
    <w:rsid w:val="00B1138E"/>
    <w:rsid w:val="00B11661"/>
    <w:rsid w:val="00B1187A"/>
    <w:rsid w:val="00B11CCD"/>
    <w:rsid w:val="00B144FE"/>
    <w:rsid w:val="00B147E3"/>
    <w:rsid w:val="00B14A2B"/>
    <w:rsid w:val="00B153D1"/>
    <w:rsid w:val="00B158F0"/>
    <w:rsid w:val="00B16315"/>
    <w:rsid w:val="00B1753E"/>
    <w:rsid w:val="00B20911"/>
    <w:rsid w:val="00B209AE"/>
    <w:rsid w:val="00B20C75"/>
    <w:rsid w:val="00B20D24"/>
    <w:rsid w:val="00B21869"/>
    <w:rsid w:val="00B22919"/>
    <w:rsid w:val="00B2381C"/>
    <w:rsid w:val="00B2395D"/>
    <w:rsid w:val="00B23C3B"/>
    <w:rsid w:val="00B2475E"/>
    <w:rsid w:val="00B248BE"/>
    <w:rsid w:val="00B251A8"/>
    <w:rsid w:val="00B25770"/>
    <w:rsid w:val="00B25B4A"/>
    <w:rsid w:val="00B26F7C"/>
    <w:rsid w:val="00B26FDD"/>
    <w:rsid w:val="00B271A8"/>
    <w:rsid w:val="00B2768C"/>
    <w:rsid w:val="00B3002A"/>
    <w:rsid w:val="00B3127E"/>
    <w:rsid w:val="00B3281A"/>
    <w:rsid w:val="00B3392E"/>
    <w:rsid w:val="00B34815"/>
    <w:rsid w:val="00B34C91"/>
    <w:rsid w:val="00B35446"/>
    <w:rsid w:val="00B36DC5"/>
    <w:rsid w:val="00B37C6F"/>
    <w:rsid w:val="00B402E6"/>
    <w:rsid w:val="00B4061E"/>
    <w:rsid w:val="00B409BA"/>
    <w:rsid w:val="00B41922"/>
    <w:rsid w:val="00B42E4F"/>
    <w:rsid w:val="00B44D6E"/>
    <w:rsid w:val="00B45112"/>
    <w:rsid w:val="00B4523A"/>
    <w:rsid w:val="00B47343"/>
    <w:rsid w:val="00B50595"/>
    <w:rsid w:val="00B50A09"/>
    <w:rsid w:val="00B51CFB"/>
    <w:rsid w:val="00B53528"/>
    <w:rsid w:val="00B53585"/>
    <w:rsid w:val="00B53E53"/>
    <w:rsid w:val="00B54D82"/>
    <w:rsid w:val="00B54EBD"/>
    <w:rsid w:val="00B55CE4"/>
    <w:rsid w:val="00B55F16"/>
    <w:rsid w:val="00B567EE"/>
    <w:rsid w:val="00B56BDA"/>
    <w:rsid w:val="00B56C88"/>
    <w:rsid w:val="00B56DCF"/>
    <w:rsid w:val="00B57B80"/>
    <w:rsid w:val="00B60075"/>
    <w:rsid w:val="00B60743"/>
    <w:rsid w:val="00B60FED"/>
    <w:rsid w:val="00B61C46"/>
    <w:rsid w:val="00B62592"/>
    <w:rsid w:val="00B63957"/>
    <w:rsid w:val="00B63E39"/>
    <w:rsid w:val="00B6447B"/>
    <w:rsid w:val="00B661DF"/>
    <w:rsid w:val="00B66269"/>
    <w:rsid w:val="00B67363"/>
    <w:rsid w:val="00B6737C"/>
    <w:rsid w:val="00B705FB"/>
    <w:rsid w:val="00B71CF7"/>
    <w:rsid w:val="00B72639"/>
    <w:rsid w:val="00B73C78"/>
    <w:rsid w:val="00B73D96"/>
    <w:rsid w:val="00B7435B"/>
    <w:rsid w:val="00B74C62"/>
    <w:rsid w:val="00B755C0"/>
    <w:rsid w:val="00B757C7"/>
    <w:rsid w:val="00B764DF"/>
    <w:rsid w:val="00B76642"/>
    <w:rsid w:val="00B80150"/>
    <w:rsid w:val="00B804DB"/>
    <w:rsid w:val="00B80544"/>
    <w:rsid w:val="00B80CA1"/>
    <w:rsid w:val="00B813E6"/>
    <w:rsid w:val="00B814BA"/>
    <w:rsid w:val="00B8156C"/>
    <w:rsid w:val="00B822D8"/>
    <w:rsid w:val="00B825BF"/>
    <w:rsid w:val="00B82F0C"/>
    <w:rsid w:val="00B83A4A"/>
    <w:rsid w:val="00B84252"/>
    <w:rsid w:val="00B84615"/>
    <w:rsid w:val="00B8472E"/>
    <w:rsid w:val="00B8472F"/>
    <w:rsid w:val="00B86C41"/>
    <w:rsid w:val="00B87782"/>
    <w:rsid w:val="00B87801"/>
    <w:rsid w:val="00B87D8E"/>
    <w:rsid w:val="00B90295"/>
    <w:rsid w:val="00B9114E"/>
    <w:rsid w:val="00B9218A"/>
    <w:rsid w:val="00B923CE"/>
    <w:rsid w:val="00B92B9C"/>
    <w:rsid w:val="00B9366D"/>
    <w:rsid w:val="00B95362"/>
    <w:rsid w:val="00B961D7"/>
    <w:rsid w:val="00B964F8"/>
    <w:rsid w:val="00B97155"/>
    <w:rsid w:val="00B97E10"/>
    <w:rsid w:val="00BA050C"/>
    <w:rsid w:val="00BA0711"/>
    <w:rsid w:val="00BA095A"/>
    <w:rsid w:val="00BA29E4"/>
    <w:rsid w:val="00BA2A0F"/>
    <w:rsid w:val="00BA2C9F"/>
    <w:rsid w:val="00BA4066"/>
    <w:rsid w:val="00BA4FA0"/>
    <w:rsid w:val="00BA4FC7"/>
    <w:rsid w:val="00BA5420"/>
    <w:rsid w:val="00BA5D92"/>
    <w:rsid w:val="00BA5FE2"/>
    <w:rsid w:val="00BA6B6D"/>
    <w:rsid w:val="00BA6CC8"/>
    <w:rsid w:val="00BA6D49"/>
    <w:rsid w:val="00BB0744"/>
    <w:rsid w:val="00BB1267"/>
    <w:rsid w:val="00BB14D2"/>
    <w:rsid w:val="00BB1AAC"/>
    <w:rsid w:val="00BB3EF0"/>
    <w:rsid w:val="00BB3F39"/>
    <w:rsid w:val="00BB4282"/>
    <w:rsid w:val="00BB43F6"/>
    <w:rsid w:val="00BB4600"/>
    <w:rsid w:val="00BB48FF"/>
    <w:rsid w:val="00BB6A8D"/>
    <w:rsid w:val="00BB75B4"/>
    <w:rsid w:val="00BB7656"/>
    <w:rsid w:val="00BB7B43"/>
    <w:rsid w:val="00BB7C96"/>
    <w:rsid w:val="00BB7E06"/>
    <w:rsid w:val="00BC1C86"/>
    <w:rsid w:val="00BC2132"/>
    <w:rsid w:val="00BC278D"/>
    <w:rsid w:val="00BC2A09"/>
    <w:rsid w:val="00BC345F"/>
    <w:rsid w:val="00BC3658"/>
    <w:rsid w:val="00BC3B92"/>
    <w:rsid w:val="00BC3EC6"/>
    <w:rsid w:val="00BC3FA5"/>
    <w:rsid w:val="00BC3FAC"/>
    <w:rsid w:val="00BC4007"/>
    <w:rsid w:val="00BC4169"/>
    <w:rsid w:val="00BC427F"/>
    <w:rsid w:val="00BC429A"/>
    <w:rsid w:val="00BC42A3"/>
    <w:rsid w:val="00BC50F1"/>
    <w:rsid w:val="00BC7B51"/>
    <w:rsid w:val="00BD0277"/>
    <w:rsid w:val="00BD0902"/>
    <w:rsid w:val="00BD1A77"/>
    <w:rsid w:val="00BD25F0"/>
    <w:rsid w:val="00BD2677"/>
    <w:rsid w:val="00BD2855"/>
    <w:rsid w:val="00BD3043"/>
    <w:rsid w:val="00BD306C"/>
    <w:rsid w:val="00BD3730"/>
    <w:rsid w:val="00BD3C20"/>
    <w:rsid w:val="00BD3CDD"/>
    <w:rsid w:val="00BD4551"/>
    <w:rsid w:val="00BD474E"/>
    <w:rsid w:val="00BD4963"/>
    <w:rsid w:val="00BD7563"/>
    <w:rsid w:val="00BE0DF9"/>
    <w:rsid w:val="00BE0E70"/>
    <w:rsid w:val="00BE1877"/>
    <w:rsid w:val="00BE49ED"/>
    <w:rsid w:val="00BE519B"/>
    <w:rsid w:val="00BE5C1E"/>
    <w:rsid w:val="00BE6A17"/>
    <w:rsid w:val="00BE70F6"/>
    <w:rsid w:val="00BE72BD"/>
    <w:rsid w:val="00BE7AC3"/>
    <w:rsid w:val="00BE7BE2"/>
    <w:rsid w:val="00BF0B10"/>
    <w:rsid w:val="00BF0DD6"/>
    <w:rsid w:val="00BF1302"/>
    <w:rsid w:val="00BF1D1B"/>
    <w:rsid w:val="00BF2C0C"/>
    <w:rsid w:val="00BF3966"/>
    <w:rsid w:val="00BF4355"/>
    <w:rsid w:val="00BF4B02"/>
    <w:rsid w:val="00BF66A8"/>
    <w:rsid w:val="00BF7854"/>
    <w:rsid w:val="00C0135B"/>
    <w:rsid w:val="00C0179D"/>
    <w:rsid w:val="00C02745"/>
    <w:rsid w:val="00C02BC9"/>
    <w:rsid w:val="00C04C69"/>
    <w:rsid w:val="00C06636"/>
    <w:rsid w:val="00C06929"/>
    <w:rsid w:val="00C06D98"/>
    <w:rsid w:val="00C0747A"/>
    <w:rsid w:val="00C0783B"/>
    <w:rsid w:val="00C07AC5"/>
    <w:rsid w:val="00C1057E"/>
    <w:rsid w:val="00C10F18"/>
    <w:rsid w:val="00C113BC"/>
    <w:rsid w:val="00C12217"/>
    <w:rsid w:val="00C122FC"/>
    <w:rsid w:val="00C12EE7"/>
    <w:rsid w:val="00C139AC"/>
    <w:rsid w:val="00C13C38"/>
    <w:rsid w:val="00C148B6"/>
    <w:rsid w:val="00C154A3"/>
    <w:rsid w:val="00C16269"/>
    <w:rsid w:val="00C1699D"/>
    <w:rsid w:val="00C1710E"/>
    <w:rsid w:val="00C20D67"/>
    <w:rsid w:val="00C21816"/>
    <w:rsid w:val="00C223B3"/>
    <w:rsid w:val="00C22403"/>
    <w:rsid w:val="00C226A7"/>
    <w:rsid w:val="00C2276D"/>
    <w:rsid w:val="00C23725"/>
    <w:rsid w:val="00C23E53"/>
    <w:rsid w:val="00C244EF"/>
    <w:rsid w:val="00C24CF8"/>
    <w:rsid w:val="00C2520E"/>
    <w:rsid w:val="00C25CEA"/>
    <w:rsid w:val="00C2636A"/>
    <w:rsid w:val="00C27219"/>
    <w:rsid w:val="00C275F5"/>
    <w:rsid w:val="00C27998"/>
    <w:rsid w:val="00C30551"/>
    <w:rsid w:val="00C31BE3"/>
    <w:rsid w:val="00C31C60"/>
    <w:rsid w:val="00C31D2F"/>
    <w:rsid w:val="00C32301"/>
    <w:rsid w:val="00C32EDD"/>
    <w:rsid w:val="00C331A4"/>
    <w:rsid w:val="00C33677"/>
    <w:rsid w:val="00C34505"/>
    <w:rsid w:val="00C34528"/>
    <w:rsid w:val="00C34E55"/>
    <w:rsid w:val="00C35448"/>
    <w:rsid w:val="00C35805"/>
    <w:rsid w:val="00C35EC9"/>
    <w:rsid w:val="00C364A5"/>
    <w:rsid w:val="00C36A80"/>
    <w:rsid w:val="00C36FB7"/>
    <w:rsid w:val="00C371B2"/>
    <w:rsid w:val="00C37407"/>
    <w:rsid w:val="00C37D3C"/>
    <w:rsid w:val="00C42181"/>
    <w:rsid w:val="00C42781"/>
    <w:rsid w:val="00C437AA"/>
    <w:rsid w:val="00C43AE2"/>
    <w:rsid w:val="00C43B2A"/>
    <w:rsid w:val="00C4416D"/>
    <w:rsid w:val="00C44ED3"/>
    <w:rsid w:val="00C45707"/>
    <w:rsid w:val="00C457D0"/>
    <w:rsid w:val="00C4684A"/>
    <w:rsid w:val="00C46A01"/>
    <w:rsid w:val="00C46E3D"/>
    <w:rsid w:val="00C46ECF"/>
    <w:rsid w:val="00C4735B"/>
    <w:rsid w:val="00C477B3"/>
    <w:rsid w:val="00C47F1B"/>
    <w:rsid w:val="00C502E5"/>
    <w:rsid w:val="00C52351"/>
    <w:rsid w:val="00C52B3B"/>
    <w:rsid w:val="00C53E33"/>
    <w:rsid w:val="00C5473D"/>
    <w:rsid w:val="00C54784"/>
    <w:rsid w:val="00C5506D"/>
    <w:rsid w:val="00C55372"/>
    <w:rsid w:val="00C554EB"/>
    <w:rsid w:val="00C5647A"/>
    <w:rsid w:val="00C60562"/>
    <w:rsid w:val="00C62398"/>
    <w:rsid w:val="00C627B9"/>
    <w:rsid w:val="00C64569"/>
    <w:rsid w:val="00C6470C"/>
    <w:rsid w:val="00C657BD"/>
    <w:rsid w:val="00C65DBA"/>
    <w:rsid w:val="00C661A1"/>
    <w:rsid w:val="00C706D5"/>
    <w:rsid w:val="00C71032"/>
    <w:rsid w:val="00C711BA"/>
    <w:rsid w:val="00C71E9E"/>
    <w:rsid w:val="00C724B1"/>
    <w:rsid w:val="00C73704"/>
    <w:rsid w:val="00C74865"/>
    <w:rsid w:val="00C753C4"/>
    <w:rsid w:val="00C75407"/>
    <w:rsid w:val="00C77FC0"/>
    <w:rsid w:val="00C81419"/>
    <w:rsid w:val="00C81471"/>
    <w:rsid w:val="00C81A2F"/>
    <w:rsid w:val="00C82FDC"/>
    <w:rsid w:val="00C85CD1"/>
    <w:rsid w:val="00C866BD"/>
    <w:rsid w:val="00C86E12"/>
    <w:rsid w:val="00C9160D"/>
    <w:rsid w:val="00C91D7A"/>
    <w:rsid w:val="00C92091"/>
    <w:rsid w:val="00C920FA"/>
    <w:rsid w:val="00C9263E"/>
    <w:rsid w:val="00C92DB3"/>
    <w:rsid w:val="00C92EE4"/>
    <w:rsid w:val="00C93DAE"/>
    <w:rsid w:val="00C943D8"/>
    <w:rsid w:val="00C9442A"/>
    <w:rsid w:val="00C945B1"/>
    <w:rsid w:val="00C950BB"/>
    <w:rsid w:val="00C95A41"/>
    <w:rsid w:val="00C97ABC"/>
    <w:rsid w:val="00C97FEC"/>
    <w:rsid w:val="00CA0F17"/>
    <w:rsid w:val="00CA1930"/>
    <w:rsid w:val="00CA3CA5"/>
    <w:rsid w:val="00CA60A6"/>
    <w:rsid w:val="00CA7542"/>
    <w:rsid w:val="00CA7949"/>
    <w:rsid w:val="00CA7BF0"/>
    <w:rsid w:val="00CA7EC6"/>
    <w:rsid w:val="00CB009D"/>
    <w:rsid w:val="00CB0208"/>
    <w:rsid w:val="00CB10A6"/>
    <w:rsid w:val="00CB1263"/>
    <w:rsid w:val="00CB165E"/>
    <w:rsid w:val="00CB294D"/>
    <w:rsid w:val="00CB2B8E"/>
    <w:rsid w:val="00CB3526"/>
    <w:rsid w:val="00CB3D3A"/>
    <w:rsid w:val="00CB4890"/>
    <w:rsid w:val="00CB6B44"/>
    <w:rsid w:val="00CB6E92"/>
    <w:rsid w:val="00CB7A7C"/>
    <w:rsid w:val="00CC18CA"/>
    <w:rsid w:val="00CC2172"/>
    <w:rsid w:val="00CC23AF"/>
    <w:rsid w:val="00CC2521"/>
    <w:rsid w:val="00CC2B30"/>
    <w:rsid w:val="00CC3B91"/>
    <w:rsid w:val="00CC42E1"/>
    <w:rsid w:val="00CC44F5"/>
    <w:rsid w:val="00CC5EA5"/>
    <w:rsid w:val="00CC6E4A"/>
    <w:rsid w:val="00CC78C7"/>
    <w:rsid w:val="00CC7AFE"/>
    <w:rsid w:val="00CD0836"/>
    <w:rsid w:val="00CD0BD6"/>
    <w:rsid w:val="00CD1B75"/>
    <w:rsid w:val="00CD1D71"/>
    <w:rsid w:val="00CD30B7"/>
    <w:rsid w:val="00CD321C"/>
    <w:rsid w:val="00CD3628"/>
    <w:rsid w:val="00CD4B8E"/>
    <w:rsid w:val="00CD52FA"/>
    <w:rsid w:val="00CD591F"/>
    <w:rsid w:val="00CD5CC0"/>
    <w:rsid w:val="00CD5D77"/>
    <w:rsid w:val="00CD633E"/>
    <w:rsid w:val="00CD63D8"/>
    <w:rsid w:val="00CD7501"/>
    <w:rsid w:val="00CD7859"/>
    <w:rsid w:val="00CD7F95"/>
    <w:rsid w:val="00CE081D"/>
    <w:rsid w:val="00CE11E4"/>
    <w:rsid w:val="00CE16CF"/>
    <w:rsid w:val="00CE1DB4"/>
    <w:rsid w:val="00CE1F89"/>
    <w:rsid w:val="00CE2054"/>
    <w:rsid w:val="00CE2908"/>
    <w:rsid w:val="00CE3BF2"/>
    <w:rsid w:val="00CE4982"/>
    <w:rsid w:val="00CE7028"/>
    <w:rsid w:val="00CF039C"/>
    <w:rsid w:val="00CF10ED"/>
    <w:rsid w:val="00CF176F"/>
    <w:rsid w:val="00CF2EDE"/>
    <w:rsid w:val="00CF308A"/>
    <w:rsid w:val="00CF4D49"/>
    <w:rsid w:val="00CF4FDF"/>
    <w:rsid w:val="00CF52C1"/>
    <w:rsid w:val="00CF60B1"/>
    <w:rsid w:val="00CF631C"/>
    <w:rsid w:val="00CF633C"/>
    <w:rsid w:val="00CF68C0"/>
    <w:rsid w:val="00CF6F91"/>
    <w:rsid w:val="00CF745D"/>
    <w:rsid w:val="00D0104C"/>
    <w:rsid w:val="00D01249"/>
    <w:rsid w:val="00D017D2"/>
    <w:rsid w:val="00D02299"/>
    <w:rsid w:val="00D02FEF"/>
    <w:rsid w:val="00D0310F"/>
    <w:rsid w:val="00D04555"/>
    <w:rsid w:val="00D065A6"/>
    <w:rsid w:val="00D07949"/>
    <w:rsid w:val="00D07D5F"/>
    <w:rsid w:val="00D07FEC"/>
    <w:rsid w:val="00D11913"/>
    <w:rsid w:val="00D12192"/>
    <w:rsid w:val="00D139BB"/>
    <w:rsid w:val="00D145E4"/>
    <w:rsid w:val="00D14692"/>
    <w:rsid w:val="00D14840"/>
    <w:rsid w:val="00D14E05"/>
    <w:rsid w:val="00D15144"/>
    <w:rsid w:val="00D1759D"/>
    <w:rsid w:val="00D213DF"/>
    <w:rsid w:val="00D21F1C"/>
    <w:rsid w:val="00D22264"/>
    <w:rsid w:val="00D22F63"/>
    <w:rsid w:val="00D24B4B"/>
    <w:rsid w:val="00D257BF"/>
    <w:rsid w:val="00D25D1E"/>
    <w:rsid w:val="00D25E9C"/>
    <w:rsid w:val="00D260AA"/>
    <w:rsid w:val="00D26A40"/>
    <w:rsid w:val="00D26ECC"/>
    <w:rsid w:val="00D30E9B"/>
    <w:rsid w:val="00D31F63"/>
    <w:rsid w:val="00D3301F"/>
    <w:rsid w:val="00D334CA"/>
    <w:rsid w:val="00D33BA1"/>
    <w:rsid w:val="00D35308"/>
    <w:rsid w:val="00D35940"/>
    <w:rsid w:val="00D35F09"/>
    <w:rsid w:val="00D3671A"/>
    <w:rsid w:val="00D36E95"/>
    <w:rsid w:val="00D37608"/>
    <w:rsid w:val="00D40580"/>
    <w:rsid w:val="00D40780"/>
    <w:rsid w:val="00D409BE"/>
    <w:rsid w:val="00D40CB7"/>
    <w:rsid w:val="00D41EC2"/>
    <w:rsid w:val="00D43B7D"/>
    <w:rsid w:val="00D43DC6"/>
    <w:rsid w:val="00D444B0"/>
    <w:rsid w:val="00D45110"/>
    <w:rsid w:val="00D45582"/>
    <w:rsid w:val="00D45914"/>
    <w:rsid w:val="00D45F48"/>
    <w:rsid w:val="00D50238"/>
    <w:rsid w:val="00D50360"/>
    <w:rsid w:val="00D50B4A"/>
    <w:rsid w:val="00D52BF9"/>
    <w:rsid w:val="00D54486"/>
    <w:rsid w:val="00D54E65"/>
    <w:rsid w:val="00D54FB3"/>
    <w:rsid w:val="00D556AE"/>
    <w:rsid w:val="00D571C4"/>
    <w:rsid w:val="00D57566"/>
    <w:rsid w:val="00D62871"/>
    <w:rsid w:val="00D62CD7"/>
    <w:rsid w:val="00D63267"/>
    <w:rsid w:val="00D63338"/>
    <w:rsid w:val="00D635D3"/>
    <w:rsid w:val="00D6435B"/>
    <w:rsid w:val="00D6562B"/>
    <w:rsid w:val="00D657E6"/>
    <w:rsid w:val="00D65B89"/>
    <w:rsid w:val="00D66504"/>
    <w:rsid w:val="00D66B5B"/>
    <w:rsid w:val="00D6748F"/>
    <w:rsid w:val="00D7048E"/>
    <w:rsid w:val="00D7075D"/>
    <w:rsid w:val="00D70C9A"/>
    <w:rsid w:val="00D70D72"/>
    <w:rsid w:val="00D71048"/>
    <w:rsid w:val="00D71862"/>
    <w:rsid w:val="00D722DC"/>
    <w:rsid w:val="00D73459"/>
    <w:rsid w:val="00D73E31"/>
    <w:rsid w:val="00D741B0"/>
    <w:rsid w:val="00D742E2"/>
    <w:rsid w:val="00D7494C"/>
    <w:rsid w:val="00D74A0E"/>
    <w:rsid w:val="00D76FBC"/>
    <w:rsid w:val="00D80E63"/>
    <w:rsid w:val="00D82F8D"/>
    <w:rsid w:val="00D83E60"/>
    <w:rsid w:val="00D84DDF"/>
    <w:rsid w:val="00D853DB"/>
    <w:rsid w:val="00D853FE"/>
    <w:rsid w:val="00D86DAC"/>
    <w:rsid w:val="00D87478"/>
    <w:rsid w:val="00D877B4"/>
    <w:rsid w:val="00D90212"/>
    <w:rsid w:val="00D91524"/>
    <w:rsid w:val="00D9159B"/>
    <w:rsid w:val="00D918AD"/>
    <w:rsid w:val="00D93285"/>
    <w:rsid w:val="00D9362B"/>
    <w:rsid w:val="00D938BF"/>
    <w:rsid w:val="00D93A6A"/>
    <w:rsid w:val="00D94F88"/>
    <w:rsid w:val="00D95340"/>
    <w:rsid w:val="00D957CA"/>
    <w:rsid w:val="00D96AEB"/>
    <w:rsid w:val="00D9798F"/>
    <w:rsid w:val="00D97C62"/>
    <w:rsid w:val="00DA07F8"/>
    <w:rsid w:val="00DA0857"/>
    <w:rsid w:val="00DA1442"/>
    <w:rsid w:val="00DA1816"/>
    <w:rsid w:val="00DA23A2"/>
    <w:rsid w:val="00DA246B"/>
    <w:rsid w:val="00DA27FF"/>
    <w:rsid w:val="00DA2D5A"/>
    <w:rsid w:val="00DA3420"/>
    <w:rsid w:val="00DA4F39"/>
    <w:rsid w:val="00DA6001"/>
    <w:rsid w:val="00DA66B1"/>
    <w:rsid w:val="00DA6B96"/>
    <w:rsid w:val="00DA7027"/>
    <w:rsid w:val="00DA7B08"/>
    <w:rsid w:val="00DA7B39"/>
    <w:rsid w:val="00DA7B3E"/>
    <w:rsid w:val="00DB019F"/>
    <w:rsid w:val="00DB0F18"/>
    <w:rsid w:val="00DB197B"/>
    <w:rsid w:val="00DB1A99"/>
    <w:rsid w:val="00DB1DA4"/>
    <w:rsid w:val="00DB1DB6"/>
    <w:rsid w:val="00DB2321"/>
    <w:rsid w:val="00DB3BBF"/>
    <w:rsid w:val="00DB51CC"/>
    <w:rsid w:val="00DB52AA"/>
    <w:rsid w:val="00DB58D8"/>
    <w:rsid w:val="00DB598C"/>
    <w:rsid w:val="00DB65F4"/>
    <w:rsid w:val="00DB6D33"/>
    <w:rsid w:val="00DB7632"/>
    <w:rsid w:val="00DB79D9"/>
    <w:rsid w:val="00DC07A2"/>
    <w:rsid w:val="00DC0E5F"/>
    <w:rsid w:val="00DC1239"/>
    <w:rsid w:val="00DC18EB"/>
    <w:rsid w:val="00DC3BC7"/>
    <w:rsid w:val="00DC4D7B"/>
    <w:rsid w:val="00DC5D17"/>
    <w:rsid w:val="00DD0361"/>
    <w:rsid w:val="00DD0CE3"/>
    <w:rsid w:val="00DD0FD8"/>
    <w:rsid w:val="00DD133B"/>
    <w:rsid w:val="00DD16B6"/>
    <w:rsid w:val="00DD2465"/>
    <w:rsid w:val="00DD2972"/>
    <w:rsid w:val="00DD2C14"/>
    <w:rsid w:val="00DD3A10"/>
    <w:rsid w:val="00DD621C"/>
    <w:rsid w:val="00DD7E76"/>
    <w:rsid w:val="00DE0601"/>
    <w:rsid w:val="00DE1E4C"/>
    <w:rsid w:val="00DE2A89"/>
    <w:rsid w:val="00DE2E74"/>
    <w:rsid w:val="00DE31D8"/>
    <w:rsid w:val="00DE3536"/>
    <w:rsid w:val="00DE3672"/>
    <w:rsid w:val="00DE373A"/>
    <w:rsid w:val="00DE4141"/>
    <w:rsid w:val="00DE432E"/>
    <w:rsid w:val="00DE46D0"/>
    <w:rsid w:val="00DE6B0D"/>
    <w:rsid w:val="00DE6E48"/>
    <w:rsid w:val="00DE78C1"/>
    <w:rsid w:val="00DE7CCD"/>
    <w:rsid w:val="00DF0195"/>
    <w:rsid w:val="00DF0893"/>
    <w:rsid w:val="00DF0B82"/>
    <w:rsid w:val="00DF3BFD"/>
    <w:rsid w:val="00DF5DB8"/>
    <w:rsid w:val="00DF6918"/>
    <w:rsid w:val="00DF6962"/>
    <w:rsid w:val="00DF730D"/>
    <w:rsid w:val="00DF7CD5"/>
    <w:rsid w:val="00DF7F40"/>
    <w:rsid w:val="00E01849"/>
    <w:rsid w:val="00E019ED"/>
    <w:rsid w:val="00E01B3B"/>
    <w:rsid w:val="00E034FB"/>
    <w:rsid w:val="00E0417D"/>
    <w:rsid w:val="00E07268"/>
    <w:rsid w:val="00E07564"/>
    <w:rsid w:val="00E102F3"/>
    <w:rsid w:val="00E115C5"/>
    <w:rsid w:val="00E115E5"/>
    <w:rsid w:val="00E11721"/>
    <w:rsid w:val="00E117B6"/>
    <w:rsid w:val="00E11D7E"/>
    <w:rsid w:val="00E121E6"/>
    <w:rsid w:val="00E128F4"/>
    <w:rsid w:val="00E14322"/>
    <w:rsid w:val="00E14647"/>
    <w:rsid w:val="00E155EA"/>
    <w:rsid w:val="00E156B7"/>
    <w:rsid w:val="00E156E7"/>
    <w:rsid w:val="00E16618"/>
    <w:rsid w:val="00E175E4"/>
    <w:rsid w:val="00E17DB5"/>
    <w:rsid w:val="00E17FF0"/>
    <w:rsid w:val="00E205B8"/>
    <w:rsid w:val="00E20D0A"/>
    <w:rsid w:val="00E21715"/>
    <w:rsid w:val="00E21A25"/>
    <w:rsid w:val="00E2245C"/>
    <w:rsid w:val="00E23A85"/>
    <w:rsid w:val="00E2527D"/>
    <w:rsid w:val="00E25B72"/>
    <w:rsid w:val="00E26016"/>
    <w:rsid w:val="00E261F7"/>
    <w:rsid w:val="00E2668D"/>
    <w:rsid w:val="00E26778"/>
    <w:rsid w:val="00E267E6"/>
    <w:rsid w:val="00E26F25"/>
    <w:rsid w:val="00E27A2A"/>
    <w:rsid w:val="00E27AF8"/>
    <w:rsid w:val="00E27B4E"/>
    <w:rsid w:val="00E319C6"/>
    <w:rsid w:val="00E31E84"/>
    <w:rsid w:val="00E325BC"/>
    <w:rsid w:val="00E329BE"/>
    <w:rsid w:val="00E32C06"/>
    <w:rsid w:val="00E32F40"/>
    <w:rsid w:val="00E34C87"/>
    <w:rsid w:val="00E34F7E"/>
    <w:rsid w:val="00E3514B"/>
    <w:rsid w:val="00E36343"/>
    <w:rsid w:val="00E372CE"/>
    <w:rsid w:val="00E37353"/>
    <w:rsid w:val="00E4094D"/>
    <w:rsid w:val="00E40E2A"/>
    <w:rsid w:val="00E41A57"/>
    <w:rsid w:val="00E41B7B"/>
    <w:rsid w:val="00E41C84"/>
    <w:rsid w:val="00E42B54"/>
    <w:rsid w:val="00E43F6A"/>
    <w:rsid w:val="00E441D9"/>
    <w:rsid w:val="00E441F4"/>
    <w:rsid w:val="00E45C70"/>
    <w:rsid w:val="00E461D6"/>
    <w:rsid w:val="00E46702"/>
    <w:rsid w:val="00E46734"/>
    <w:rsid w:val="00E46DC8"/>
    <w:rsid w:val="00E47E60"/>
    <w:rsid w:val="00E50077"/>
    <w:rsid w:val="00E51B7E"/>
    <w:rsid w:val="00E51CAE"/>
    <w:rsid w:val="00E51F60"/>
    <w:rsid w:val="00E51FDE"/>
    <w:rsid w:val="00E52137"/>
    <w:rsid w:val="00E5237B"/>
    <w:rsid w:val="00E52AE5"/>
    <w:rsid w:val="00E5328C"/>
    <w:rsid w:val="00E53A47"/>
    <w:rsid w:val="00E540BB"/>
    <w:rsid w:val="00E54E6E"/>
    <w:rsid w:val="00E5652C"/>
    <w:rsid w:val="00E56924"/>
    <w:rsid w:val="00E576CC"/>
    <w:rsid w:val="00E60C04"/>
    <w:rsid w:val="00E6108F"/>
    <w:rsid w:val="00E61C14"/>
    <w:rsid w:val="00E6253D"/>
    <w:rsid w:val="00E62C2F"/>
    <w:rsid w:val="00E637AA"/>
    <w:rsid w:val="00E63E88"/>
    <w:rsid w:val="00E6457E"/>
    <w:rsid w:val="00E651AE"/>
    <w:rsid w:val="00E65623"/>
    <w:rsid w:val="00E6567D"/>
    <w:rsid w:val="00E670BF"/>
    <w:rsid w:val="00E6716A"/>
    <w:rsid w:val="00E6749C"/>
    <w:rsid w:val="00E67A37"/>
    <w:rsid w:val="00E70425"/>
    <w:rsid w:val="00E7093C"/>
    <w:rsid w:val="00E70969"/>
    <w:rsid w:val="00E70BDB"/>
    <w:rsid w:val="00E71B4B"/>
    <w:rsid w:val="00E72987"/>
    <w:rsid w:val="00E72F6A"/>
    <w:rsid w:val="00E72FD9"/>
    <w:rsid w:val="00E73DCE"/>
    <w:rsid w:val="00E74A28"/>
    <w:rsid w:val="00E74A53"/>
    <w:rsid w:val="00E75680"/>
    <w:rsid w:val="00E758DE"/>
    <w:rsid w:val="00E76EE1"/>
    <w:rsid w:val="00E77025"/>
    <w:rsid w:val="00E774E9"/>
    <w:rsid w:val="00E779AF"/>
    <w:rsid w:val="00E77EB2"/>
    <w:rsid w:val="00E8114D"/>
    <w:rsid w:val="00E81732"/>
    <w:rsid w:val="00E826C9"/>
    <w:rsid w:val="00E8276A"/>
    <w:rsid w:val="00E83BC0"/>
    <w:rsid w:val="00E84142"/>
    <w:rsid w:val="00E84BDA"/>
    <w:rsid w:val="00E86460"/>
    <w:rsid w:val="00E87267"/>
    <w:rsid w:val="00E87F86"/>
    <w:rsid w:val="00E9037A"/>
    <w:rsid w:val="00E90EBE"/>
    <w:rsid w:val="00E9112A"/>
    <w:rsid w:val="00E91A80"/>
    <w:rsid w:val="00E91D5C"/>
    <w:rsid w:val="00E9209C"/>
    <w:rsid w:val="00E9278E"/>
    <w:rsid w:val="00E92DB0"/>
    <w:rsid w:val="00E9309E"/>
    <w:rsid w:val="00E9355E"/>
    <w:rsid w:val="00E938AC"/>
    <w:rsid w:val="00E95FE6"/>
    <w:rsid w:val="00E962AB"/>
    <w:rsid w:val="00E9679A"/>
    <w:rsid w:val="00EA0DD7"/>
    <w:rsid w:val="00EA24A8"/>
    <w:rsid w:val="00EA25AC"/>
    <w:rsid w:val="00EA2CB4"/>
    <w:rsid w:val="00EA3A42"/>
    <w:rsid w:val="00EA4210"/>
    <w:rsid w:val="00EA43C7"/>
    <w:rsid w:val="00EA445A"/>
    <w:rsid w:val="00EA48AF"/>
    <w:rsid w:val="00EA542A"/>
    <w:rsid w:val="00EA5622"/>
    <w:rsid w:val="00EA5803"/>
    <w:rsid w:val="00EA61A7"/>
    <w:rsid w:val="00EA66C1"/>
    <w:rsid w:val="00EA70BC"/>
    <w:rsid w:val="00EB0899"/>
    <w:rsid w:val="00EB0CA0"/>
    <w:rsid w:val="00EB1902"/>
    <w:rsid w:val="00EB29F3"/>
    <w:rsid w:val="00EB30B8"/>
    <w:rsid w:val="00EB38EE"/>
    <w:rsid w:val="00EB4409"/>
    <w:rsid w:val="00EB4EA2"/>
    <w:rsid w:val="00EB53F7"/>
    <w:rsid w:val="00EB6969"/>
    <w:rsid w:val="00EB6AC8"/>
    <w:rsid w:val="00EB7A98"/>
    <w:rsid w:val="00EB7D1A"/>
    <w:rsid w:val="00EB7EB1"/>
    <w:rsid w:val="00EC0880"/>
    <w:rsid w:val="00EC08A5"/>
    <w:rsid w:val="00EC1D83"/>
    <w:rsid w:val="00EC24D2"/>
    <w:rsid w:val="00EC33D5"/>
    <w:rsid w:val="00EC3FD6"/>
    <w:rsid w:val="00EC4124"/>
    <w:rsid w:val="00EC58F7"/>
    <w:rsid w:val="00EC5F55"/>
    <w:rsid w:val="00EC7F6F"/>
    <w:rsid w:val="00ED014F"/>
    <w:rsid w:val="00ED02B8"/>
    <w:rsid w:val="00ED139C"/>
    <w:rsid w:val="00ED1C03"/>
    <w:rsid w:val="00ED1C65"/>
    <w:rsid w:val="00ED326F"/>
    <w:rsid w:val="00ED349D"/>
    <w:rsid w:val="00ED3AEE"/>
    <w:rsid w:val="00ED3FF6"/>
    <w:rsid w:val="00ED4933"/>
    <w:rsid w:val="00ED4F86"/>
    <w:rsid w:val="00ED56B2"/>
    <w:rsid w:val="00ED597E"/>
    <w:rsid w:val="00ED6BAC"/>
    <w:rsid w:val="00EE093A"/>
    <w:rsid w:val="00EE11C3"/>
    <w:rsid w:val="00EE2E30"/>
    <w:rsid w:val="00EE35FC"/>
    <w:rsid w:val="00EE3632"/>
    <w:rsid w:val="00EE4271"/>
    <w:rsid w:val="00EE4A90"/>
    <w:rsid w:val="00EE586D"/>
    <w:rsid w:val="00EE5B8C"/>
    <w:rsid w:val="00EE5D5F"/>
    <w:rsid w:val="00EE641A"/>
    <w:rsid w:val="00EE6D31"/>
    <w:rsid w:val="00EE6E30"/>
    <w:rsid w:val="00EF00A4"/>
    <w:rsid w:val="00EF111E"/>
    <w:rsid w:val="00EF318B"/>
    <w:rsid w:val="00EF3D87"/>
    <w:rsid w:val="00EF42F3"/>
    <w:rsid w:val="00EF440C"/>
    <w:rsid w:val="00EF4AC8"/>
    <w:rsid w:val="00EF4B1E"/>
    <w:rsid w:val="00EF4C9F"/>
    <w:rsid w:val="00EF50A5"/>
    <w:rsid w:val="00EF59A8"/>
    <w:rsid w:val="00EF5B85"/>
    <w:rsid w:val="00EF5F99"/>
    <w:rsid w:val="00EF6E5F"/>
    <w:rsid w:val="00EF79CD"/>
    <w:rsid w:val="00EF7ACB"/>
    <w:rsid w:val="00F0125C"/>
    <w:rsid w:val="00F0165B"/>
    <w:rsid w:val="00F01C14"/>
    <w:rsid w:val="00F025FE"/>
    <w:rsid w:val="00F03700"/>
    <w:rsid w:val="00F03B13"/>
    <w:rsid w:val="00F03B7E"/>
    <w:rsid w:val="00F05200"/>
    <w:rsid w:val="00F056AA"/>
    <w:rsid w:val="00F0582E"/>
    <w:rsid w:val="00F05E49"/>
    <w:rsid w:val="00F07B52"/>
    <w:rsid w:val="00F10E8F"/>
    <w:rsid w:val="00F1120B"/>
    <w:rsid w:val="00F118D6"/>
    <w:rsid w:val="00F118DB"/>
    <w:rsid w:val="00F123E0"/>
    <w:rsid w:val="00F1384E"/>
    <w:rsid w:val="00F13E70"/>
    <w:rsid w:val="00F14B1D"/>
    <w:rsid w:val="00F15471"/>
    <w:rsid w:val="00F16089"/>
    <w:rsid w:val="00F17F7F"/>
    <w:rsid w:val="00F211F0"/>
    <w:rsid w:val="00F21506"/>
    <w:rsid w:val="00F21732"/>
    <w:rsid w:val="00F21E3D"/>
    <w:rsid w:val="00F22408"/>
    <w:rsid w:val="00F22BF4"/>
    <w:rsid w:val="00F2331D"/>
    <w:rsid w:val="00F2363B"/>
    <w:rsid w:val="00F2388F"/>
    <w:rsid w:val="00F23BC9"/>
    <w:rsid w:val="00F254CC"/>
    <w:rsid w:val="00F265B0"/>
    <w:rsid w:val="00F27277"/>
    <w:rsid w:val="00F27CFB"/>
    <w:rsid w:val="00F30726"/>
    <w:rsid w:val="00F30FE5"/>
    <w:rsid w:val="00F3100D"/>
    <w:rsid w:val="00F311CB"/>
    <w:rsid w:val="00F32BFA"/>
    <w:rsid w:val="00F33863"/>
    <w:rsid w:val="00F33BBA"/>
    <w:rsid w:val="00F34E43"/>
    <w:rsid w:val="00F36D29"/>
    <w:rsid w:val="00F3776D"/>
    <w:rsid w:val="00F377BB"/>
    <w:rsid w:val="00F3788A"/>
    <w:rsid w:val="00F37A5A"/>
    <w:rsid w:val="00F37F6B"/>
    <w:rsid w:val="00F400F9"/>
    <w:rsid w:val="00F407DD"/>
    <w:rsid w:val="00F41BE4"/>
    <w:rsid w:val="00F42EE6"/>
    <w:rsid w:val="00F43E2D"/>
    <w:rsid w:val="00F44136"/>
    <w:rsid w:val="00F4433C"/>
    <w:rsid w:val="00F44731"/>
    <w:rsid w:val="00F44B14"/>
    <w:rsid w:val="00F46E24"/>
    <w:rsid w:val="00F503E7"/>
    <w:rsid w:val="00F5050A"/>
    <w:rsid w:val="00F51413"/>
    <w:rsid w:val="00F51687"/>
    <w:rsid w:val="00F51A35"/>
    <w:rsid w:val="00F5204D"/>
    <w:rsid w:val="00F52298"/>
    <w:rsid w:val="00F52742"/>
    <w:rsid w:val="00F52EC4"/>
    <w:rsid w:val="00F54DA5"/>
    <w:rsid w:val="00F55929"/>
    <w:rsid w:val="00F55EBC"/>
    <w:rsid w:val="00F565C6"/>
    <w:rsid w:val="00F565ED"/>
    <w:rsid w:val="00F56AFC"/>
    <w:rsid w:val="00F57261"/>
    <w:rsid w:val="00F5741A"/>
    <w:rsid w:val="00F603EC"/>
    <w:rsid w:val="00F607DD"/>
    <w:rsid w:val="00F60C14"/>
    <w:rsid w:val="00F60E68"/>
    <w:rsid w:val="00F61C0A"/>
    <w:rsid w:val="00F61C5C"/>
    <w:rsid w:val="00F61DB9"/>
    <w:rsid w:val="00F62312"/>
    <w:rsid w:val="00F623C7"/>
    <w:rsid w:val="00F62EC6"/>
    <w:rsid w:val="00F62F32"/>
    <w:rsid w:val="00F63184"/>
    <w:rsid w:val="00F63F34"/>
    <w:rsid w:val="00F6412B"/>
    <w:rsid w:val="00F6436A"/>
    <w:rsid w:val="00F65142"/>
    <w:rsid w:val="00F6549C"/>
    <w:rsid w:val="00F6551A"/>
    <w:rsid w:val="00F6551C"/>
    <w:rsid w:val="00F666B1"/>
    <w:rsid w:val="00F6788C"/>
    <w:rsid w:val="00F7085A"/>
    <w:rsid w:val="00F709E7"/>
    <w:rsid w:val="00F70B2F"/>
    <w:rsid w:val="00F70BCD"/>
    <w:rsid w:val="00F72859"/>
    <w:rsid w:val="00F72F65"/>
    <w:rsid w:val="00F73555"/>
    <w:rsid w:val="00F739C9"/>
    <w:rsid w:val="00F747D1"/>
    <w:rsid w:val="00F75C3A"/>
    <w:rsid w:val="00F76114"/>
    <w:rsid w:val="00F76167"/>
    <w:rsid w:val="00F76D36"/>
    <w:rsid w:val="00F76DBC"/>
    <w:rsid w:val="00F77F5A"/>
    <w:rsid w:val="00F8096F"/>
    <w:rsid w:val="00F829F0"/>
    <w:rsid w:val="00F82CCE"/>
    <w:rsid w:val="00F835F8"/>
    <w:rsid w:val="00F83954"/>
    <w:rsid w:val="00F842CC"/>
    <w:rsid w:val="00F84690"/>
    <w:rsid w:val="00F84791"/>
    <w:rsid w:val="00F84CEC"/>
    <w:rsid w:val="00F85963"/>
    <w:rsid w:val="00F86F40"/>
    <w:rsid w:val="00F91460"/>
    <w:rsid w:val="00F91BBF"/>
    <w:rsid w:val="00F91C39"/>
    <w:rsid w:val="00F93116"/>
    <w:rsid w:val="00F9337B"/>
    <w:rsid w:val="00F93ACB"/>
    <w:rsid w:val="00F94749"/>
    <w:rsid w:val="00F94797"/>
    <w:rsid w:val="00F94AAF"/>
    <w:rsid w:val="00F94D35"/>
    <w:rsid w:val="00F95C1B"/>
    <w:rsid w:val="00F971F8"/>
    <w:rsid w:val="00FA0534"/>
    <w:rsid w:val="00FA1645"/>
    <w:rsid w:val="00FA1696"/>
    <w:rsid w:val="00FA1AE7"/>
    <w:rsid w:val="00FA23FD"/>
    <w:rsid w:val="00FA2A81"/>
    <w:rsid w:val="00FA39E1"/>
    <w:rsid w:val="00FA4167"/>
    <w:rsid w:val="00FA4374"/>
    <w:rsid w:val="00FA4B41"/>
    <w:rsid w:val="00FA4BA2"/>
    <w:rsid w:val="00FA4E29"/>
    <w:rsid w:val="00FA5357"/>
    <w:rsid w:val="00FA6155"/>
    <w:rsid w:val="00FB0042"/>
    <w:rsid w:val="00FB199D"/>
    <w:rsid w:val="00FB1A5B"/>
    <w:rsid w:val="00FB1D07"/>
    <w:rsid w:val="00FB1FDA"/>
    <w:rsid w:val="00FB2362"/>
    <w:rsid w:val="00FB2569"/>
    <w:rsid w:val="00FB26F6"/>
    <w:rsid w:val="00FB2DB2"/>
    <w:rsid w:val="00FB408A"/>
    <w:rsid w:val="00FB4CB7"/>
    <w:rsid w:val="00FB5019"/>
    <w:rsid w:val="00FB57E7"/>
    <w:rsid w:val="00FB5AAE"/>
    <w:rsid w:val="00FB6084"/>
    <w:rsid w:val="00FB68BD"/>
    <w:rsid w:val="00FB6B3D"/>
    <w:rsid w:val="00FC0108"/>
    <w:rsid w:val="00FC0587"/>
    <w:rsid w:val="00FC115B"/>
    <w:rsid w:val="00FC1722"/>
    <w:rsid w:val="00FC1F50"/>
    <w:rsid w:val="00FC23A9"/>
    <w:rsid w:val="00FC2615"/>
    <w:rsid w:val="00FC2ED2"/>
    <w:rsid w:val="00FC3423"/>
    <w:rsid w:val="00FC3D1F"/>
    <w:rsid w:val="00FC4749"/>
    <w:rsid w:val="00FC4DE8"/>
    <w:rsid w:val="00FC5181"/>
    <w:rsid w:val="00FC5667"/>
    <w:rsid w:val="00FC5F70"/>
    <w:rsid w:val="00FC63CA"/>
    <w:rsid w:val="00FC67DC"/>
    <w:rsid w:val="00FC6D99"/>
    <w:rsid w:val="00FC7A3E"/>
    <w:rsid w:val="00FC7C45"/>
    <w:rsid w:val="00FD19E5"/>
    <w:rsid w:val="00FD1AB7"/>
    <w:rsid w:val="00FD235C"/>
    <w:rsid w:val="00FD2A0A"/>
    <w:rsid w:val="00FD359D"/>
    <w:rsid w:val="00FD3812"/>
    <w:rsid w:val="00FD388E"/>
    <w:rsid w:val="00FD6B40"/>
    <w:rsid w:val="00FD75EF"/>
    <w:rsid w:val="00FE0261"/>
    <w:rsid w:val="00FE07BC"/>
    <w:rsid w:val="00FE0BE7"/>
    <w:rsid w:val="00FE244D"/>
    <w:rsid w:val="00FE2F83"/>
    <w:rsid w:val="00FE3106"/>
    <w:rsid w:val="00FE3565"/>
    <w:rsid w:val="00FE4FE6"/>
    <w:rsid w:val="00FE54BC"/>
    <w:rsid w:val="00FE68B9"/>
    <w:rsid w:val="00FE71F2"/>
    <w:rsid w:val="00FE7926"/>
    <w:rsid w:val="00FE7ADE"/>
    <w:rsid w:val="00FF062C"/>
    <w:rsid w:val="00FF087F"/>
    <w:rsid w:val="00FF0C8A"/>
    <w:rsid w:val="00FF1295"/>
    <w:rsid w:val="00FF13F6"/>
    <w:rsid w:val="00FF14D5"/>
    <w:rsid w:val="00FF1D72"/>
    <w:rsid w:val="00FF2C92"/>
    <w:rsid w:val="00FF31D6"/>
    <w:rsid w:val="00FF3767"/>
    <w:rsid w:val="00FF3EC0"/>
    <w:rsid w:val="00FF4EE8"/>
    <w:rsid w:val="04B73BB4"/>
    <w:rsid w:val="0773705A"/>
    <w:rsid w:val="1ACE344E"/>
    <w:rsid w:val="277E1C98"/>
    <w:rsid w:val="2B1F90AE"/>
    <w:rsid w:val="2BEDAD1D"/>
    <w:rsid w:val="2CDC5B8C"/>
    <w:rsid w:val="2E0B32D2"/>
    <w:rsid w:val="34C2FE28"/>
    <w:rsid w:val="3C9369FD"/>
    <w:rsid w:val="3F5CA954"/>
    <w:rsid w:val="4269C06F"/>
    <w:rsid w:val="4DBB7C38"/>
    <w:rsid w:val="54ADE65E"/>
    <w:rsid w:val="5E47090F"/>
    <w:rsid w:val="6148BA09"/>
    <w:rsid w:val="6189386C"/>
    <w:rsid w:val="6449AABE"/>
    <w:rsid w:val="6B563C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266CA"/>
  <w15:chartTrackingRefBased/>
  <w15:docId w15:val="{6CC402B5-AA3E-4F95-8AF8-B5C5F626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536CA8"/>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5E2FE6"/>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5E2FE6"/>
    <w:pPr>
      <w:keepNext/>
      <w:spacing w:before="240" w:after="120" w:line="240" w:lineRule="atLeast"/>
      <w:outlineLvl w:val="2"/>
    </w:pPr>
    <w:rPr>
      <w:b/>
      <w:bCs/>
      <w:sz w:val="20"/>
      <w:szCs w:val="20"/>
    </w:rPr>
  </w:style>
  <w:style w:type="paragraph" w:styleId="Heading4">
    <w:name w:val="heading 4"/>
    <w:basedOn w:val="Normal"/>
    <w:next w:val="Normal"/>
    <w:link w:val="Heading4Char"/>
    <w:uiPriority w:val="9"/>
    <w:unhideWhenUsed/>
    <w:qFormat/>
    <w:rsid w:val="00A63079"/>
    <w:pPr>
      <w:keepNext/>
      <w:keepLines/>
      <w:spacing w:before="40" w:after="0"/>
      <w:outlineLvl w:val="3"/>
    </w:pPr>
    <w:rPr>
      <w:rFonts w:asciiTheme="majorHAnsi" w:eastAsiaTheme="majorEastAsia" w:hAnsiTheme="majorHAnsi" w:cstheme="majorBidi"/>
      <w:i/>
      <w:iCs/>
      <w:color w:val="003871" w:themeColor="accent1" w:themeShade="BF"/>
    </w:rPr>
  </w:style>
  <w:style w:type="paragraph" w:styleId="Heading5">
    <w:name w:val="heading 5"/>
    <w:basedOn w:val="Normal"/>
    <w:next w:val="Normal"/>
    <w:link w:val="Heading5Char"/>
    <w:uiPriority w:val="9"/>
    <w:unhideWhenUsed/>
    <w:qFormat/>
    <w:rsid w:val="00AE7D96"/>
    <w:pPr>
      <w:keepNext/>
      <w:keepLines/>
      <w:spacing w:before="40" w:after="0"/>
      <w:outlineLvl w:val="4"/>
    </w:pPr>
    <w:rPr>
      <w:rFonts w:asciiTheme="majorHAnsi" w:eastAsiaTheme="majorEastAsia" w:hAnsiTheme="majorHAnsi" w:cstheme="majorBidi"/>
      <w:color w:val="003871" w:themeColor="accent1" w:themeShade="BF"/>
    </w:rPr>
  </w:style>
  <w:style w:type="paragraph" w:styleId="Heading6">
    <w:name w:val="heading 6"/>
    <w:basedOn w:val="Normal"/>
    <w:next w:val="Normal"/>
    <w:link w:val="Heading6Char"/>
    <w:uiPriority w:val="9"/>
    <w:unhideWhenUsed/>
    <w:qFormat/>
    <w:rsid w:val="00AE7D96"/>
    <w:pPr>
      <w:keepNext/>
      <w:keepLines/>
      <w:spacing w:before="40" w:after="0"/>
      <w:outlineLvl w:val="5"/>
    </w:pPr>
    <w:rPr>
      <w:rFonts w:asciiTheme="majorHAnsi" w:eastAsiaTheme="majorEastAsia" w:hAnsiTheme="majorHAnsi" w:cstheme="majorBidi"/>
      <w:color w:val="00254B" w:themeColor="accent1" w:themeShade="7F"/>
    </w:rPr>
  </w:style>
  <w:style w:type="paragraph" w:styleId="Heading7">
    <w:name w:val="heading 7"/>
    <w:basedOn w:val="Normal"/>
    <w:next w:val="Normal"/>
    <w:link w:val="Heading7Char"/>
    <w:uiPriority w:val="9"/>
    <w:unhideWhenUsed/>
    <w:qFormat/>
    <w:rsid w:val="00AE7D96"/>
    <w:pPr>
      <w:keepNext/>
      <w:keepLines/>
      <w:spacing w:before="40" w:after="0"/>
      <w:outlineLvl w:val="6"/>
    </w:pPr>
    <w:rPr>
      <w:rFonts w:asciiTheme="majorHAnsi" w:eastAsiaTheme="majorEastAsia" w:hAnsiTheme="majorHAnsi" w:cstheme="majorBidi"/>
      <w:i/>
      <w:iCs/>
      <w:color w:val="0025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DB2321"/>
    <w:pPr>
      <w:spacing w:after="227"/>
    </w:pPr>
    <w:rPr>
      <w:color w:val="53565A"/>
      <w:sz w:val="22"/>
      <w:szCs w:val="22"/>
    </w:rPr>
  </w:style>
  <w:style w:type="paragraph" w:styleId="Title">
    <w:name w:val="Title"/>
    <w:basedOn w:val="Normal"/>
    <w:next w:val="Normal"/>
    <w:link w:val="TitleChar"/>
    <w:uiPriority w:val="10"/>
    <w:qFormat/>
    <w:rsid w:val="00845FAB"/>
    <w:pPr>
      <w:spacing w:before="4800" w:after="227" w:line="240" w:lineRule="auto"/>
      <w:ind w:left="5103"/>
      <w:jc w:val="right"/>
    </w:pPr>
    <w:rPr>
      <w:caps/>
      <w:color w:val="auto"/>
      <w:spacing w:val="-5"/>
      <w:sz w:val="36"/>
      <w:szCs w:val="36"/>
      <w:lang w:val="en-GB"/>
    </w:rPr>
  </w:style>
  <w:style w:type="character" w:customStyle="1" w:styleId="TitleChar">
    <w:name w:val="Title Char"/>
    <w:basedOn w:val="DefaultParagraphFont"/>
    <w:link w:val="Title"/>
    <w:uiPriority w:val="10"/>
    <w:rsid w:val="00845FAB"/>
    <w:rPr>
      <w:rFonts w:ascii="Arial" w:hAnsi="Arial" w:cs="Arial"/>
      <w:caps/>
      <w:spacing w:val="-5"/>
      <w:sz w:val="36"/>
      <w:szCs w:val="36"/>
      <w:lang w:val="en-GB"/>
    </w:rPr>
  </w:style>
  <w:style w:type="paragraph" w:styleId="Subtitle">
    <w:name w:val="Subtitle"/>
    <w:basedOn w:val="Normal"/>
    <w:next w:val="Normal"/>
    <w:link w:val="SubtitleChar"/>
    <w:uiPriority w:val="11"/>
    <w:qFormat/>
    <w:rsid w:val="00845FAB"/>
    <w:pPr>
      <w:spacing w:before="480" w:after="800" w:line="240" w:lineRule="auto"/>
      <w:ind w:left="5103"/>
      <w:jc w:val="right"/>
    </w:pPr>
    <w:rPr>
      <w:caps/>
      <w:noProof/>
      <w:color w:val="auto"/>
      <w:spacing w:val="-4"/>
      <w:sz w:val="28"/>
      <w:lang w:val="en-GB"/>
    </w:rPr>
  </w:style>
  <w:style w:type="character" w:customStyle="1" w:styleId="SubtitleChar">
    <w:name w:val="Subtitle Char"/>
    <w:basedOn w:val="DefaultParagraphFont"/>
    <w:link w:val="Subtitle"/>
    <w:uiPriority w:val="11"/>
    <w:rsid w:val="00845FAB"/>
    <w:rPr>
      <w:rFonts w:ascii="Arial" w:hAnsi="Arial" w:cs="Arial"/>
      <w:caps/>
      <w:noProof/>
      <w:spacing w:val="-4"/>
      <w:sz w:val="28"/>
      <w:szCs w:val="18"/>
      <w:lang w:val="en-GB"/>
    </w:rPr>
  </w:style>
  <w:style w:type="character" w:customStyle="1" w:styleId="Heading1Char">
    <w:name w:val="Heading 1 Char"/>
    <w:basedOn w:val="DefaultParagraphFont"/>
    <w:link w:val="Heading1"/>
    <w:uiPriority w:val="9"/>
    <w:rsid w:val="00536CA8"/>
    <w:rPr>
      <w:rFonts w:ascii="Arial" w:hAnsi="Arial" w:cs="Arial"/>
      <w:color w:val="004C97" w:themeColor="accent1"/>
      <w:sz w:val="28"/>
      <w:szCs w:val="28"/>
      <w:lang w:val="en-US"/>
    </w:rPr>
  </w:style>
  <w:style w:type="paragraph" w:customStyle="1" w:styleId="bullet1">
    <w:name w:val="bullet 1"/>
    <w:basedOn w:val="Normal"/>
    <w:uiPriority w:val="99"/>
    <w:rsid w:val="00480EB2"/>
    <w:pPr>
      <w:numPr>
        <w:numId w:val="1"/>
      </w:numPr>
      <w:tabs>
        <w:tab w:val="clear" w:pos="284"/>
        <w:tab w:val="left" w:pos="283"/>
      </w:tabs>
      <w:spacing w:line="240" w:lineRule="atLeast"/>
      <w:contextualSpacing/>
    </w:pPr>
  </w:style>
  <w:style w:type="paragraph" w:customStyle="1" w:styleId="bullet2">
    <w:name w:val="bullet 2"/>
    <w:basedOn w:val="Normal"/>
    <w:uiPriority w:val="99"/>
    <w:rsid w:val="00480EB2"/>
    <w:pPr>
      <w:numPr>
        <w:numId w:val="2"/>
      </w:numPr>
      <w:tabs>
        <w:tab w:val="left" w:pos="567"/>
      </w:tabs>
      <w:spacing w:line="240" w:lineRule="atLeast"/>
      <w:ind w:left="568" w:hanging="284"/>
      <w:contextualSpacing/>
    </w:pPr>
  </w:style>
  <w:style w:type="paragraph" w:customStyle="1" w:styleId="bullet3">
    <w:name w:val="bullet 3"/>
    <w:basedOn w:val="Normal"/>
    <w:uiPriority w:val="99"/>
    <w:rsid w:val="00480EB2"/>
    <w:pPr>
      <w:numPr>
        <w:numId w:val="3"/>
      </w:numPr>
      <w:tabs>
        <w:tab w:val="clear" w:pos="851"/>
        <w:tab w:val="left" w:pos="850"/>
      </w:tabs>
      <w:spacing w:line="240" w:lineRule="atLeast"/>
      <w:contextualSpacing/>
    </w:pPr>
  </w:style>
  <w:style w:type="paragraph" w:customStyle="1" w:styleId="bullet4">
    <w:name w:val="bullet 4"/>
    <w:basedOn w:val="Normal"/>
    <w:uiPriority w:val="99"/>
    <w:rsid w:val="00480EB2"/>
    <w:pPr>
      <w:numPr>
        <w:numId w:val="5"/>
      </w:numPr>
      <w:tabs>
        <w:tab w:val="left" w:pos="1134"/>
      </w:tabs>
      <w:spacing w:line="240" w:lineRule="atLeast"/>
      <w:ind w:left="1135" w:hanging="284"/>
      <w:contextualSpacing/>
    </w:pPr>
  </w:style>
  <w:style w:type="character" w:customStyle="1" w:styleId="Heading2Char">
    <w:name w:val="Heading 2 Char"/>
    <w:basedOn w:val="DefaultParagraphFont"/>
    <w:link w:val="Heading2"/>
    <w:uiPriority w:val="3"/>
    <w:rsid w:val="005E2FE6"/>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5E2FE6"/>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DA23A2"/>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E2FE6"/>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76434"/>
    <w:pPr>
      <w:spacing w:after="0" w:line="200" w:lineRule="atLeast"/>
    </w:pPr>
    <w:rPr>
      <w:sz w:val="16"/>
      <w:szCs w:val="16"/>
    </w:rPr>
  </w:style>
  <w:style w:type="table" w:customStyle="1" w:styleId="DJSIR">
    <w:name w:val="DJSIR"/>
    <w:basedOn w:val="TableNormal"/>
    <w:uiPriority w:val="99"/>
    <w:rsid w:val="00D853FE"/>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8F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D635D3"/>
    <w:pPr>
      <w:keepNext/>
    </w:pPr>
    <w:rPr>
      <w:b/>
      <w:color w:val="FFFFFF" w:themeColor="background1"/>
    </w:rPr>
  </w:style>
  <w:style w:type="paragraph" w:styleId="TOC1">
    <w:name w:val="toc 1"/>
    <w:basedOn w:val="Normal"/>
    <w:next w:val="Normal"/>
    <w:autoRedefine/>
    <w:uiPriority w:val="39"/>
    <w:unhideWhenUsed/>
    <w:rsid w:val="000B791E"/>
    <w:pPr>
      <w:tabs>
        <w:tab w:val="left" w:pos="360"/>
        <w:tab w:val="right" w:leader="dot" w:pos="9174"/>
      </w:tabs>
      <w:spacing w:before="240" w:after="100"/>
    </w:pPr>
  </w:style>
  <w:style w:type="paragraph" w:styleId="TOC2">
    <w:name w:val="toc 2"/>
    <w:basedOn w:val="Normal"/>
    <w:next w:val="Normal"/>
    <w:autoRedefine/>
    <w:uiPriority w:val="39"/>
    <w:unhideWhenUsed/>
    <w:rsid w:val="00143F41"/>
    <w:pPr>
      <w:tabs>
        <w:tab w:val="left" w:pos="660"/>
        <w:tab w:val="right" w:leader="dot" w:pos="9174"/>
      </w:tabs>
      <w:spacing w:after="100"/>
      <w:ind w:left="180"/>
    </w:pPr>
  </w:style>
  <w:style w:type="character" w:styleId="Hyperlink">
    <w:name w:val="Hyperlink"/>
    <w:basedOn w:val="DefaultParagraphFont"/>
    <w:uiPriority w:val="99"/>
    <w:unhideWhenUsed/>
    <w:rsid w:val="0047378C"/>
    <w:rPr>
      <w:color w:val="006864" w:themeColor="hyperlink"/>
      <w:u w:val="single"/>
    </w:rPr>
  </w:style>
  <w:style w:type="table" w:styleId="TableGridLight">
    <w:name w:val="Grid Table Light"/>
    <w:basedOn w:val="TableNormal"/>
    <w:uiPriority w:val="40"/>
    <w:rsid w:val="00CF0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nhideWhenUsed/>
    <w:qFormat/>
    <w:rsid w:val="00870350"/>
    <w:pPr>
      <w:numPr>
        <w:numId w:val="7"/>
      </w:numPr>
      <w:suppressAutoHyphens w:val="0"/>
      <w:autoSpaceDE/>
      <w:autoSpaceDN/>
      <w:adjustRightInd/>
      <w:spacing w:after="60" w:line="240" w:lineRule="auto"/>
      <w:textAlignment w:val="auto"/>
    </w:pPr>
    <w:rPr>
      <w:rFonts w:eastAsia="Times New Roman" w:cs="Times New Roman"/>
      <w:color w:val="53565A"/>
      <w:szCs w:val="20"/>
      <w:lang w:val="en-AU"/>
    </w:rPr>
  </w:style>
  <w:style w:type="paragraph" w:styleId="FootnoteText">
    <w:name w:val="footnote text"/>
    <w:basedOn w:val="Footer"/>
    <w:link w:val="FootnoteTextChar"/>
    <w:unhideWhenUsed/>
    <w:rsid w:val="00FB199D"/>
    <w:pPr>
      <w:tabs>
        <w:tab w:val="clear" w:pos="4513"/>
        <w:tab w:val="clear" w:pos="9026"/>
        <w:tab w:val="center" w:pos="4320"/>
        <w:tab w:val="right" w:pos="8640"/>
      </w:tabs>
      <w:suppressAutoHyphens w:val="0"/>
      <w:autoSpaceDE/>
      <w:autoSpaceDN/>
      <w:adjustRightInd/>
      <w:spacing w:before="120" w:after="200" w:line="240" w:lineRule="auto"/>
      <w:jc w:val="left"/>
      <w:textAlignment w:val="auto"/>
    </w:pPr>
    <w:rPr>
      <w:rFonts w:eastAsia="Times New Roman" w:cs="Times New Roman"/>
      <w:color w:val="53565A"/>
      <w:sz w:val="16"/>
      <w:szCs w:val="16"/>
      <w:lang w:val="en-AU"/>
    </w:rPr>
  </w:style>
  <w:style w:type="character" w:customStyle="1" w:styleId="FootnoteTextChar">
    <w:name w:val="Footnote Text Char"/>
    <w:basedOn w:val="DefaultParagraphFont"/>
    <w:link w:val="FootnoteText"/>
    <w:rsid w:val="00FB199D"/>
    <w:rPr>
      <w:rFonts w:ascii="Arial" w:eastAsia="Times New Roman" w:hAnsi="Arial" w:cs="Times New Roman"/>
      <w:color w:val="53565A"/>
      <w:sz w:val="16"/>
      <w:szCs w:val="16"/>
    </w:rPr>
  </w:style>
  <w:style w:type="character" w:styleId="FootnoteReference">
    <w:name w:val="footnote reference"/>
    <w:unhideWhenUsed/>
    <w:rsid w:val="00FB199D"/>
    <w:rPr>
      <w:vertAlign w:val="superscript"/>
    </w:rPr>
  </w:style>
  <w:style w:type="paragraph" w:styleId="ListParagraph">
    <w:name w:val="List Paragraph"/>
    <w:aliases w:val="DdeM List Paragraph"/>
    <w:basedOn w:val="Normal"/>
    <w:link w:val="ListParagraphChar"/>
    <w:uiPriority w:val="34"/>
    <w:qFormat/>
    <w:rsid w:val="00E325BC"/>
    <w:pPr>
      <w:suppressAutoHyphens w:val="0"/>
      <w:autoSpaceDE/>
      <w:autoSpaceDN/>
      <w:adjustRightInd/>
      <w:spacing w:after="0" w:line="240" w:lineRule="auto"/>
      <w:ind w:left="720"/>
      <w:contextualSpacing/>
      <w:textAlignment w:val="auto"/>
    </w:pPr>
    <w:rPr>
      <w:rFonts w:ascii="Times New Roman" w:eastAsia="Times New Roman" w:hAnsi="Times New Roman" w:cs="Times New Roman"/>
      <w:color w:val="53565A"/>
      <w:sz w:val="24"/>
      <w:szCs w:val="24"/>
      <w:lang w:val="en-AU" w:eastAsia="en-AU"/>
    </w:rPr>
  </w:style>
  <w:style w:type="paragraph" w:customStyle="1" w:styleId="bodycopy">
    <w:name w:val="# body copy"/>
    <w:basedOn w:val="Normal"/>
    <w:qFormat/>
    <w:rsid w:val="00EF50A5"/>
    <w:pPr>
      <w:suppressAutoHyphens w:val="0"/>
      <w:autoSpaceDE/>
      <w:autoSpaceDN/>
      <w:adjustRightInd/>
      <w:spacing w:after="120" w:line="240" w:lineRule="auto"/>
      <w:textAlignment w:val="auto"/>
    </w:pPr>
    <w:rPr>
      <w:rFonts w:eastAsia="Times New Roman"/>
      <w:color w:val="53565A"/>
      <w:sz w:val="20"/>
      <w:szCs w:val="20"/>
      <w:lang w:val="en-AU" w:eastAsia="en-AU"/>
    </w:rPr>
  </w:style>
  <w:style w:type="character" w:customStyle="1" w:styleId="Heading4Char">
    <w:name w:val="Heading 4 Char"/>
    <w:basedOn w:val="DefaultParagraphFont"/>
    <w:link w:val="Heading4"/>
    <w:uiPriority w:val="9"/>
    <w:rsid w:val="00A63079"/>
    <w:rPr>
      <w:rFonts w:asciiTheme="majorHAnsi" w:eastAsiaTheme="majorEastAsia" w:hAnsiTheme="majorHAnsi" w:cstheme="majorBidi"/>
      <w:i/>
      <w:iCs/>
      <w:color w:val="003871" w:themeColor="accent1" w:themeShade="BF"/>
      <w:sz w:val="18"/>
      <w:szCs w:val="18"/>
      <w:lang w:val="en-US"/>
    </w:rPr>
  </w:style>
  <w:style w:type="table" w:styleId="LightList">
    <w:name w:val="Light List"/>
    <w:basedOn w:val="TableNormal"/>
    <w:uiPriority w:val="61"/>
    <w:rsid w:val="00155AC5"/>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unhideWhenUsed/>
    <w:qFormat/>
    <w:rsid w:val="00E47E60"/>
    <w:pPr>
      <w:keepLines/>
      <w:suppressAutoHyphens w:val="0"/>
      <w:autoSpaceDE/>
      <w:autoSpaceDN/>
      <w:adjustRightInd/>
      <w:spacing w:after="0" w:line="259" w:lineRule="auto"/>
      <w:textAlignment w:val="auto"/>
      <w:outlineLvl w:val="9"/>
    </w:pPr>
    <w:rPr>
      <w:rFonts w:asciiTheme="majorHAnsi" w:eastAsiaTheme="majorEastAsia" w:hAnsiTheme="majorHAnsi" w:cstheme="majorBidi"/>
      <w:color w:val="003871" w:themeColor="accent1" w:themeShade="BF"/>
      <w:sz w:val="32"/>
      <w:szCs w:val="32"/>
    </w:rPr>
  </w:style>
  <w:style w:type="paragraph" w:styleId="TOC3">
    <w:name w:val="toc 3"/>
    <w:basedOn w:val="Normal"/>
    <w:next w:val="Normal"/>
    <w:autoRedefine/>
    <w:uiPriority w:val="39"/>
    <w:unhideWhenUsed/>
    <w:rsid w:val="00337735"/>
    <w:pPr>
      <w:tabs>
        <w:tab w:val="left" w:pos="1100"/>
        <w:tab w:val="right" w:leader="dot" w:pos="9174"/>
      </w:tabs>
      <w:spacing w:after="100"/>
      <w:ind w:left="1134" w:hanging="774"/>
    </w:pPr>
  </w:style>
  <w:style w:type="paragraph" w:customStyle="1" w:styleId="Default">
    <w:name w:val="Default"/>
    <w:rsid w:val="00D74A0E"/>
    <w:pPr>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unhideWhenUsed/>
    <w:rsid w:val="001D0C36"/>
    <w:rPr>
      <w:sz w:val="16"/>
      <w:szCs w:val="16"/>
    </w:rPr>
  </w:style>
  <w:style w:type="paragraph" w:styleId="CommentText">
    <w:name w:val="annotation text"/>
    <w:basedOn w:val="Normal"/>
    <w:link w:val="CommentTextChar"/>
    <w:uiPriority w:val="99"/>
    <w:unhideWhenUsed/>
    <w:rsid w:val="001D0C36"/>
    <w:pPr>
      <w:spacing w:line="240" w:lineRule="auto"/>
    </w:pPr>
    <w:rPr>
      <w:sz w:val="20"/>
      <w:szCs w:val="20"/>
    </w:rPr>
  </w:style>
  <w:style w:type="character" w:customStyle="1" w:styleId="CommentTextChar">
    <w:name w:val="Comment Text Char"/>
    <w:basedOn w:val="DefaultParagraphFont"/>
    <w:link w:val="CommentText"/>
    <w:uiPriority w:val="99"/>
    <w:rsid w:val="001D0C36"/>
    <w:rPr>
      <w:rFonts w:ascii="Arial"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D0C36"/>
    <w:rPr>
      <w:b/>
      <w:bCs/>
    </w:rPr>
  </w:style>
  <w:style w:type="character" w:customStyle="1" w:styleId="CommentSubjectChar">
    <w:name w:val="Comment Subject Char"/>
    <w:basedOn w:val="CommentTextChar"/>
    <w:link w:val="CommentSubject"/>
    <w:uiPriority w:val="99"/>
    <w:semiHidden/>
    <w:rsid w:val="001D0C36"/>
    <w:rPr>
      <w:rFonts w:ascii="Arial" w:hAnsi="Arial" w:cs="Arial"/>
      <w:b/>
      <w:bCs/>
      <w:color w:val="000000"/>
      <w:sz w:val="20"/>
      <w:szCs w:val="20"/>
      <w:lang w:val="en-US"/>
    </w:rPr>
  </w:style>
  <w:style w:type="paragraph" w:styleId="Revision">
    <w:name w:val="Revision"/>
    <w:hidden/>
    <w:uiPriority w:val="99"/>
    <w:semiHidden/>
    <w:rsid w:val="00E65623"/>
    <w:rPr>
      <w:rFonts w:ascii="Arial" w:hAnsi="Arial" w:cs="Arial"/>
      <w:color w:val="000000"/>
      <w:sz w:val="18"/>
      <w:szCs w:val="18"/>
      <w:lang w:val="en-US"/>
    </w:rPr>
  </w:style>
  <w:style w:type="character" w:styleId="UnresolvedMention">
    <w:name w:val="Unresolved Mention"/>
    <w:basedOn w:val="DefaultParagraphFont"/>
    <w:uiPriority w:val="99"/>
    <w:semiHidden/>
    <w:unhideWhenUsed/>
    <w:rsid w:val="00780C91"/>
    <w:rPr>
      <w:color w:val="605E5C"/>
      <w:shd w:val="clear" w:color="auto" w:fill="E1DFDD"/>
    </w:rPr>
  </w:style>
  <w:style w:type="character" w:styleId="FollowedHyperlink">
    <w:name w:val="FollowedHyperlink"/>
    <w:basedOn w:val="DefaultParagraphFont"/>
    <w:uiPriority w:val="99"/>
    <w:semiHidden/>
    <w:unhideWhenUsed/>
    <w:rsid w:val="00DF6918"/>
    <w:rPr>
      <w:color w:val="073041" w:themeColor="followedHyperlink"/>
      <w:u w:val="single"/>
    </w:rPr>
  </w:style>
  <w:style w:type="character" w:styleId="Mention">
    <w:name w:val="Mention"/>
    <w:basedOn w:val="DefaultParagraphFont"/>
    <w:uiPriority w:val="99"/>
    <w:unhideWhenUsed/>
    <w:rsid w:val="002B77AD"/>
    <w:rPr>
      <w:color w:val="2B579A"/>
      <w:shd w:val="clear" w:color="auto" w:fill="E1DFDD"/>
    </w:rPr>
  </w:style>
  <w:style w:type="character" w:customStyle="1" w:styleId="Heading5Char">
    <w:name w:val="Heading 5 Char"/>
    <w:basedOn w:val="DefaultParagraphFont"/>
    <w:link w:val="Heading5"/>
    <w:uiPriority w:val="9"/>
    <w:rsid w:val="00AE7D96"/>
    <w:rPr>
      <w:rFonts w:asciiTheme="majorHAnsi" w:eastAsiaTheme="majorEastAsia" w:hAnsiTheme="majorHAnsi" w:cstheme="majorBidi"/>
      <w:color w:val="003871" w:themeColor="accent1" w:themeShade="BF"/>
      <w:sz w:val="18"/>
      <w:szCs w:val="18"/>
      <w:lang w:val="en-US"/>
    </w:rPr>
  </w:style>
  <w:style w:type="character" w:customStyle="1" w:styleId="Heading6Char">
    <w:name w:val="Heading 6 Char"/>
    <w:basedOn w:val="DefaultParagraphFont"/>
    <w:link w:val="Heading6"/>
    <w:uiPriority w:val="9"/>
    <w:rsid w:val="00AE7D96"/>
    <w:rPr>
      <w:rFonts w:asciiTheme="majorHAnsi" w:eastAsiaTheme="majorEastAsia" w:hAnsiTheme="majorHAnsi" w:cstheme="majorBidi"/>
      <w:color w:val="00254B" w:themeColor="accent1" w:themeShade="7F"/>
      <w:sz w:val="18"/>
      <w:szCs w:val="18"/>
      <w:lang w:val="en-US"/>
    </w:rPr>
  </w:style>
  <w:style w:type="character" w:customStyle="1" w:styleId="Heading7Char">
    <w:name w:val="Heading 7 Char"/>
    <w:basedOn w:val="DefaultParagraphFont"/>
    <w:link w:val="Heading7"/>
    <w:uiPriority w:val="9"/>
    <w:rsid w:val="00AE7D96"/>
    <w:rPr>
      <w:rFonts w:asciiTheme="majorHAnsi" w:eastAsiaTheme="majorEastAsia" w:hAnsiTheme="majorHAnsi" w:cstheme="majorBidi"/>
      <w:i/>
      <w:iCs/>
      <w:color w:val="00254B" w:themeColor="accent1" w:themeShade="7F"/>
      <w:sz w:val="18"/>
      <w:szCs w:val="18"/>
      <w:lang w:val="en-US"/>
    </w:rPr>
  </w:style>
  <w:style w:type="character" w:customStyle="1" w:styleId="normaltextrun">
    <w:name w:val="normaltextrun"/>
    <w:basedOn w:val="DefaultParagraphFont"/>
    <w:rsid w:val="00AE7D96"/>
  </w:style>
  <w:style w:type="character" w:styleId="Emphasis">
    <w:name w:val="Emphasis"/>
    <w:basedOn w:val="DefaultParagraphFont"/>
    <w:uiPriority w:val="20"/>
    <w:qFormat/>
    <w:rsid w:val="00AE7D96"/>
    <w:rPr>
      <w:i/>
      <w:iCs/>
    </w:rPr>
  </w:style>
  <w:style w:type="paragraph" w:styleId="NormalWeb">
    <w:name w:val="Normal (Web)"/>
    <w:basedOn w:val="Normal"/>
    <w:uiPriority w:val="99"/>
    <w:unhideWhenUsed/>
    <w:rsid w:val="00AE7D96"/>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paragraph" w:styleId="TOC4">
    <w:name w:val="toc 4"/>
    <w:basedOn w:val="Normal"/>
    <w:next w:val="Normal"/>
    <w:autoRedefine/>
    <w:uiPriority w:val="39"/>
    <w:unhideWhenUsed/>
    <w:rsid w:val="00ED02B8"/>
    <w:pPr>
      <w:tabs>
        <w:tab w:val="left" w:pos="1320"/>
        <w:tab w:val="right" w:leader="dot" w:pos="9174"/>
      </w:tabs>
      <w:spacing w:after="100"/>
      <w:ind w:left="540"/>
    </w:pPr>
  </w:style>
  <w:style w:type="character" w:customStyle="1" w:styleId="ListParagraphChar">
    <w:name w:val="List Paragraph Char"/>
    <w:aliases w:val="DdeM List Paragraph Char"/>
    <w:basedOn w:val="DefaultParagraphFont"/>
    <w:link w:val="ListParagraph"/>
    <w:uiPriority w:val="34"/>
    <w:locked/>
    <w:rsid w:val="00703AFA"/>
    <w:rPr>
      <w:rFonts w:ascii="Times New Roman" w:eastAsia="Times New Roman" w:hAnsi="Times New Roman" w:cs="Times New Roman"/>
      <w:color w:val="53565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34688">
      <w:bodyDiv w:val="1"/>
      <w:marLeft w:val="0"/>
      <w:marRight w:val="0"/>
      <w:marTop w:val="0"/>
      <w:marBottom w:val="0"/>
      <w:divBdr>
        <w:top w:val="none" w:sz="0" w:space="0" w:color="auto"/>
        <w:left w:val="none" w:sz="0" w:space="0" w:color="auto"/>
        <w:bottom w:val="none" w:sz="0" w:space="0" w:color="auto"/>
        <w:right w:val="none" w:sz="0" w:space="0" w:color="auto"/>
      </w:divBdr>
    </w:div>
    <w:div w:id="17951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psc.vic.gov.au/html-resources/aboriginal-cultural-capability-toolkit/" TargetMode="External"/><Relationship Id="rId21" Type="http://schemas.openxmlformats.org/officeDocument/2006/relationships/image" Target="media/image4.jpeg"/><Relationship Id="rId42" Type="http://schemas.openxmlformats.org/officeDocument/2006/relationships/hyperlink" Target="https://vpsc.vic.gov.au/resources/code-of-conduct-for-directors/" TargetMode="External"/><Relationship Id="rId63" Type="http://schemas.openxmlformats.org/officeDocument/2006/relationships/hyperlink" Target="https://vpsc.vic.gov.au/ethics-behaviours-culture/gifts-benefits-hospitality/minimum-accountabilities/" TargetMode="External"/><Relationship Id="rId84" Type="http://schemas.openxmlformats.org/officeDocument/2006/relationships/hyperlink" Target="https://www.justice.vic.gov.au/safer-communities/protecting-children-and-families/organisations-providing-services-to-children-new" TargetMode="External"/><Relationship Id="rId138" Type="http://schemas.openxmlformats.org/officeDocument/2006/relationships/hyperlink" Target="https://www.dtf.vic.gov.au/planning-budgeting-and-financial-reporting-frameworks/resource-management-framework" TargetMode="External"/><Relationship Id="rId159" Type="http://schemas.openxmlformats.org/officeDocument/2006/relationships/hyperlink" Target="https://www.firstpeoplesrelations.vic.gov.au/victorian-aboriginal-affairs-framework-2018-2023" TargetMode="External"/><Relationship Id="rId170" Type="http://schemas.openxmlformats.org/officeDocument/2006/relationships/hyperlink" Target="http://www.health.vic.gov.au" TargetMode="External"/><Relationship Id="rId191" Type="http://schemas.openxmlformats.org/officeDocument/2006/relationships/hyperlink" Target="http://www.djsir.vic.gov.au" TargetMode="External"/><Relationship Id="rId205" Type="http://schemas.openxmlformats.org/officeDocument/2006/relationships/hyperlink" Target="https://www.nationalredress.gov.au/?gclid=EAIaIQobChMI7_Dty-7RgwMVi6VmAh1Z4QTlEAAYASAAEgJ_RvD_BwE&amp;gclsrc=aw.ds" TargetMode="External"/><Relationship Id="rId107" Type="http://schemas.openxmlformats.org/officeDocument/2006/relationships/hyperlink" Target="https://www.legislation.vic.gov.au/in-force/acts/ombudsman-act-1973/117" TargetMode="External"/><Relationship Id="rId11" Type="http://schemas.openxmlformats.org/officeDocument/2006/relationships/header" Target="header1.xml"/><Relationship Id="rId32" Type="http://schemas.openxmlformats.org/officeDocument/2006/relationships/hyperlink" Target="https://intranet.djsir.vic.gov.au/policies-forms-and-templates/monitoring-and-evaluation-policy" TargetMode="External"/><Relationship Id="rId53" Type="http://schemas.openxmlformats.org/officeDocument/2006/relationships/hyperlink" Target="https://www.dtf.vic.gov.au/financial-management-government/standing-directions-2018-under-financial-management-act-1994" TargetMode="External"/><Relationship Id="rId74" Type="http://schemas.openxmlformats.org/officeDocument/2006/relationships/hyperlink" Target="https://www.legislation.vic.gov.au/in-force/acts/independent-broad-based-anti-corruption-commission-act-2011/041" TargetMode="External"/><Relationship Id="rId128" Type="http://schemas.openxmlformats.org/officeDocument/2006/relationships/hyperlink" Target="https://www.dtf.vic.gov.au/planning-budgeting-and-financial-reporting-frameworks/corporate-planning-and-performance-reporting-requirements" TargetMode="External"/><Relationship Id="rId149" Type="http://schemas.openxmlformats.org/officeDocument/2006/relationships/hyperlink" Target="https://vicgov.sharepoint.com/:b:/r/sites/VG000604/Documents/Key%20Resources%20for%20RMs/Guidelines%20and%20Templates/Premier%27s%20Circular/Premier%27s%20Circular%202015-2%20Good%20Board%20Governance.PDF?csf=1&amp;web=1&amp;e=iHJEvP" TargetMode="External"/><Relationship Id="rId5" Type="http://schemas.openxmlformats.org/officeDocument/2006/relationships/numbering" Target="numbering.xml"/><Relationship Id="rId90" Type="http://schemas.openxmlformats.org/officeDocument/2006/relationships/hyperlink" Target="https://ccyp.vic.gov.au/" TargetMode="External"/><Relationship Id="rId95" Type="http://schemas.openxmlformats.org/officeDocument/2006/relationships/hyperlink" Target="mailto:info@vpsc.vic.gov.au" TargetMode="External"/><Relationship Id="rId160" Type="http://schemas.openxmlformats.org/officeDocument/2006/relationships/hyperlink" Target="http://www.firstpeoplesrelations.vic.gov.au" TargetMode="External"/><Relationship Id="rId165" Type="http://schemas.openxmlformats.org/officeDocument/2006/relationships/hyperlink" Target="https://www.vic.gov.au/diversity-victorian-government-board-guidelines" TargetMode="External"/><Relationship Id="rId181" Type="http://schemas.openxmlformats.org/officeDocument/2006/relationships/hyperlink" Target="http://www.vpsc.vic.gov.au" TargetMode="External"/><Relationship Id="rId186" Type="http://schemas.openxmlformats.org/officeDocument/2006/relationships/hyperlink" Target="http://www.djsir.vic.gov.au" TargetMode="External"/><Relationship Id="rId216" Type="http://schemas.openxmlformats.org/officeDocument/2006/relationships/header" Target="header8.xml"/><Relationship Id="rId211" Type="http://schemas.openxmlformats.org/officeDocument/2006/relationships/hyperlink" Target="http://www.ibac.vic.gov.au/reporting-corruption/what-can-you-complain-about/what-is-corruption" TargetMode="External"/><Relationship Id="rId22" Type="http://schemas.openxmlformats.org/officeDocument/2006/relationships/hyperlink" Target="https://www.dtf.vic.gov.au/planning-budgeting-and-financial-reporting-frameworks/corporate-planning-and-performance-reporting-requirements" TargetMode="External"/><Relationship Id="rId27" Type="http://schemas.openxmlformats.org/officeDocument/2006/relationships/hyperlink" Target="https://www.dtf.vic.gov.au/reducing-regulatory-burden/statement-expectations-regulators" TargetMode="External"/><Relationship Id="rId43" Type="http://schemas.openxmlformats.org/officeDocument/2006/relationships/hyperlink" Target="https://vpsc.vic.gov.au/resources/conflict-of-interest-and-duty-guidance-for-directors/" TargetMode="External"/><Relationship Id="rId48" Type="http://schemas.openxmlformats.org/officeDocument/2006/relationships/hyperlink" Target="https://www.buyingfor.vic.gov.au/supplier-code-conduct" TargetMode="External"/><Relationship Id="rId64" Type="http://schemas.openxmlformats.org/officeDocument/2006/relationships/hyperlink" Target="https://vpsc.vic.gov.au/ethics-behaviours-culture/gifts-benefits-hospitality/minimum-accountabilities/" TargetMode="External"/><Relationship Id="rId69" Type="http://schemas.openxmlformats.org/officeDocument/2006/relationships/hyperlink" Target="https://djsir.vic.gov.au/about-us/overview/policy-framework/gifts,-benefits-and-hospitality-policy" TargetMode="External"/><Relationship Id="rId113" Type="http://schemas.openxmlformats.org/officeDocument/2006/relationships/hyperlink" Target="https://www.legislation.vic.gov.au/in-force/acts/state-owned-enterprises-act-1992/040" TargetMode="External"/><Relationship Id="rId118" Type="http://schemas.openxmlformats.org/officeDocument/2006/relationships/hyperlink" Target="https://www.firstpeoplesrelations.vic.gov.au/how-governments-working-close-gap-aboriginal-affairs-framework" TargetMode="External"/><Relationship Id="rId134" Type="http://schemas.openxmlformats.org/officeDocument/2006/relationships/hyperlink" Target="http://www.dtf.vic.gov.au" TargetMode="External"/><Relationship Id="rId139" Type="http://schemas.openxmlformats.org/officeDocument/2006/relationships/hyperlink" Target="http://www.dtf.vic.gov.au" TargetMode="External"/><Relationship Id="rId80" Type="http://schemas.openxmlformats.org/officeDocument/2006/relationships/hyperlink" Target="https://www.legislation.vic.gov.au/in-force/acts/child-wellbeing-and-safety-act-2005/041" TargetMode="External"/><Relationship Id="rId85" Type="http://schemas.openxmlformats.org/officeDocument/2006/relationships/hyperlink" Target="https://www.justice.vic.gov.au/safer-communities/protecting-children-and-families/organisations-providing-services-to-children-new" TargetMode="External"/><Relationship Id="rId150" Type="http://schemas.openxmlformats.org/officeDocument/2006/relationships/hyperlink" Target="https://vpsc.vic.gov.au/governance/recruitment-and-appointment-to-the-board-a-governance-officers-toolkit/" TargetMode="External"/><Relationship Id="rId155" Type="http://schemas.openxmlformats.org/officeDocument/2006/relationships/hyperlink" Target="http://www.vpsc.vic.gov.au" TargetMode="External"/><Relationship Id="rId171" Type="http://schemas.openxmlformats.org/officeDocument/2006/relationships/hyperlink" Target="https://content.vic.gov.au/sites/default/files/2018-12/Ensuring%20Good%20Governance%20and%20Transparency%20Through%20Integrity%20of%20Data%20on%20Victorian%20Government%20Appointments%20and%20Public%20Entities.PDF" TargetMode="External"/><Relationship Id="rId176" Type="http://schemas.openxmlformats.org/officeDocument/2006/relationships/hyperlink" Target="https://www.boards.vic.gov.au/conflicts-interest-and-duty-board-director" TargetMode="External"/><Relationship Id="rId192" Type="http://schemas.openxmlformats.org/officeDocument/2006/relationships/hyperlink" Target="https://vpsc.vic.gov.au/ethics-behaviours-culture/gifts-benefits-hospitality/gifts-benefits-and-hospitality-policy-guide/" TargetMode="External"/><Relationship Id="rId197" Type="http://schemas.openxmlformats.org/officeDocument/2006/relationships/hyperlink" Target="http://www.ibac.vic.gov.au" TargetMode="External"/><Relationship Id="rId206" Type="http://schemas.openxmlformats.org/officeDocument/2006/relationships/hyperlink" Target="http://www.nationalredress.gov.au" TargetMode="External"/><Relationship Id="rId201" Type="http://schemas.openxmlformats.org/officeDocument/2006/relationships/hyperlink" Target="https://ccyp.vic.gov.au/child-safe-standards/" TargetMode="Externa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yperlink" Target="https://www.dtf.vic.gov.au/planning-budgeting-and-financial-reporting-frameworks/resource-management-framework" TargetMode="External"/><Relationship Id="rId38" Type="http://schemas.openxmlformats.org/officeDocument/2006/relationships/hyperlink" Target="https://vicgov.sharepoint.com/:b:/r/sites/VG000604/Documents/Key%20Resources%20for%20RMs/Guidelines%20and%20Templates/Premier%27s%20Circular%202013/Premier%27s%20Circular%202015-02%20Good%20Board%20Governance.PDF?csf=1&amp;web=1&amp;e=a2B6xp" TargetMode="External"/><Relationship Id="rId59" Type="http://schemas.openxmlformats.org/officeDocument/2006/relationships/hyperlink" Target="https://www.legislation.vic.gov.au/in-force/acts/financial-management-act-1994/066" TargetMode="External"/><Relationship Id="rId103" Type="http://schemas.openxmlformats.org/officeDocument/2006/relationships/hyperlink" Target="https://www.legislation.vic.gov.au/in-force/acts/freedom-information-act-1982/111" TargetMode="External"/><Relationship Id="rId108" Type="http://schemas.openxmlformats.org/officeDocument/2006/relationships/hyperlink" Target="https://www.legislation.vic.gov.au/as-made/acts/protected-disclosure-act-2012" TargetMode="External"/><Relationship Id="rId124" Type="http://schemas.openxmlformats.org/officeDocument/2006/relationships/hyperlink" Target="https://www.health.vic.gov.au/publications/language-services-policy" TargetMode="External"/><Relationship Id="rId129" Type="http://schemas.openxmlformats.org/officeDocument/2006/relationships/hyperlink" Target="https://www.dtf.vic.gov.au/reducing-regulatory-burden/statement-expectations-regulators" TargetMode="External"/><Relationship Id="rId54" Type="http://schemas.openxmlformats.org/officeDocument/2006/relationships/hyperlink" Target="https://www.legislation.vic.gov.au/in-force/acts/financial-management-act-1994/066" TargetMode="External"/><Relationship Id="rId70" Type="http://schemas.openxmlformats.org/officeDocument/2006/relationships/hyperlink" Target="https://www.legislation.vic.gov.au/in-force/acts/public-interest-disclosures-act-2012/026" TargetMode="External"/><Relationship Id="rId75" Type="http://schemas.openxmlformats.org/officeDocument/2006/relationships/hyperlink" Target="https://www.ibac.vic.gov.au/publications-and-resources/article/guidelines-for-making-and-handling-protected-disclosures" TargetMode="External"/><Relationship Id="rId91" Type="http://schemas.openxmlformats.org/officeDocument/2006/relationships/hyperlink" Target="https://www.nationalredress.gov.au/" TargetMode="External"/><Relationship Id="rId96" Type="http://schemas.openxmlformats.org/officeDocument/2006/relationships/hyperlink" Target="https://www.legislation.vic.gov.au/in-force/acts/audit-act-1994/067" TargetMode="External"/><Relationship Id="rId140" Type="http://schemas.openxmlformats.org/officeDocument/2006/relationships/hyperlink" Target="https://www.dtf.vic.gov.au/financial-management-government/standing-directions-2018-under-financial-management-act-1994" TargetMode="External"/><Relationship Id="rId145" Type="http://schemas.openxmlformats.org/officeDocument/2006/relationships/hyperlink" Target="http://www.dtf.vic.gov.au" TargetMode="External"/><Relationship Id="rId161" Type="http://schemas.openxmlformats.org/officeDocument/2006/relationships/hyperlink" Target="https://yoorrookjusticecommission.org.au/" TargetMode="External"/><Relationship Id="rId166" Type="http://schemas.openxmlformats.org/officeDocument/2006/relationships/hyperlink" Target="http://www.dpc.vic.gov.au" TargetMode="External"/><Relationship Id="rId182" Type="http://schemas.openxmlformats.org/officeDocument/2006/relationships/hyperlink" Target="https://vpsc.vic.gov.au/wp-content/uploads/2016/03/VPSC_Code_Directors_2016_Booklet.pdf" TargetMode="External"/><Relationship Id="rId187" Type="http://schemas.openxmlformats.org/officeDocument/2006/relationships/hyperlink" Target="https://vpsc.vic.gov.au/about-vpsc/updates-from-the-commissioner/integrity-guide-for-new-board-directors/" TargetMode="External"/><Relationship Id="rId217"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ibac.vic.gov.au/reporting-corruption/what-can-you-complain-about/what-is-police-misconduct" TargetMode="External"/><Relationship Id="rId23" Type="http://schemas.openxmlformats.org/officeDocument/2006/relationships/hyperlink" Target="https://www.dtf.vic.gov.au/sites/default/files/document/Resource%20Management%20Framework%202023-2024.pdf" TargetMode="External"/><Relationship Id="rId28" Type="http://schemas.openxmlformats.org/officeDocument/2006/relationships/hyperlink" Target="https://www.dtf.vic.gov.au/sites/default/files/2018-02/Guidelines%20for%20preparing%20Ministerial%20Statements%20of%20Expectations%20under%20the%20SOE%20Framework%20May%202017.docx" TargetMode="External"/><Relationship Id="rId49" Type="http://schemas.openxmlformats.org/officeDocument/2006/relationships/hyperlink" Target="https://vpsc.vic.gov.au/ethics-behaviours-culture/codes-of-conduct/" TargetMode="External"/><Relationship Id="rId114" Type="http://schemas.openxmlformats.org/officeDocument/2006/relationships/hyperlink" Target="https://www.dtf.vic.gov.au/financial-management-government/standing-directions-2018-under-financial-management-act-1994" TargetMode="External"/><Relationship Id="rId119" Type="http://schemas.openxmlformats.org/officeDocument/2006/relationships/hyperlink" Target="https://yoorrookjusticecommission.org.au/" TargetMode="External"/><Relationship Id="rId44" Type="http://schemas.openxmlformats.org/officeDocument/2006/relationships/hyperlink" Target="https://www.legislation.vic.gov.au/in-force/acts/occupational-health-and-safety-act-2004/043" TargetMode="External"/><Relationship Id="rId60" Type="http://schemas.openxmlformats.org/officeDocument/2006/relationships/hyperlink" Target="https://vpsc.vic.gov.au/ethics-behaviours-culture/gifts-benefits-hospitality/minimum-accountabilities/" TargetMode="External"/><Relationship Id="rId65" Type="http://schemas.openxmlformats.org/officeDocument/2006/relationships/hyperlink" Target="https://vpsc.vic.gov.au/ethics-behaviours-culture/gifts-benefits-hospitality/minimum-accountabilities/" TargetMode="External"/><Relationship Id="rId81" Type="http://schemas.openxmlformats.org/officeDocument/2006/relationships/hyperlink" Target="https://www.legislation.vic.gov.au/as-made/acts/children-legislation-amendment-reportable-conduct-act-2017" TargetMode="External"/><Relationship Id="rId86" Type="http://schemas.openxmlformats.org/officeDocument/2006/relationships/hyperlink" Target="https://www.nationalredress.gov.au/" TargetMode="External"/><Relationship Id="rId130" Type="http://schemas.openxmlformats.org/officeDocument/2006/relationships/hyperlink" Target="http://www.dtf.vic.gov.au" TargetMode="External"/><Relationship Id="rId135" Type="http://schemas.openxmlformats.org/officeDocument/2006/relationships/hyperlink" Target="https://www.buyingfor.vic.gov.au/victorian-government-purchasing-board-vgpb" TargetMode="External"/><Relationship Id="rId151" Type="http://schemas.openxmlformats.org/officeDocument/2006/relationships/hyperlink" Target="http://www.vpsc.vic.gov.au" TargetMode="External"/><Relationship Id="rId156" Type="http://schemas.openxmlformats.org/officeDocument/2006/relationships/hyperlink" Target="https://www.vic.gov.au/diversity-victorian-government-board-guidelines" TargetMode="External"/><Relationship Id="rId177" Type="http://schemas.openxmlformats.org/officeDocument/2006/relationships/hyperlink" Target="http://www.vpsc.vic.gov.au" TargetMode="External"/><Relationship Id="rId198" Type="http://schemas.openxmlformats.org/officeDocument/2006/relationships/hyperlink" Target="https://www.ibac.vic.gov.au/publications-and-resources/article/guidelines-for-protected-disclosure-welfare-management" TargetMode="External"/><Relationship Id="rId172" Type="http://schemas.openxmlformats.org/officeDocument/2006/relationships/hyperlink" Target="http://www.dpc.vic.gov.au" TargetMode="External"/><Relationship Id="rId193" Type="http://schemas.openxmlformats.org/officeDocument/2006/relationships/hyperlink" Target="http://www.vpsc.vic.gov.au" TargetMode="External"/><Relationship Id="rId202" Type="http://schemas.openxmlformats.org/officeDocument/2006/relationships/hyperlink" Target="http://www.ccyp.vic.gov.au" TargetMode="External"/><Relationship Id="rId207" Type="http://schemas.openxmlformats.org/officeDocument/2006/relationships/hyperlink" Target="https://www.justice.vic.gov.au/safer-communities/protecting-children-and-families/organisations-providing-services-to-children-new" TargetMode="Externa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vpsc.vic.gov.au/html-resources/recruitment-and-appointment-to-the-board-a-governance-officers-toolkit/" TargetMode="External"/><Relationship Id="rId109" Type="http://schemas.openxmlformats.org/officeDocument/2006/relationships/hyperlink" Target="https://www.legislation.vic.gov.au/in-force/acts/project-development-and-construction-management-act-1994/046" TargetMode="External"/><Relationship Id="rId34" Type="http://schemas.openxmlformats.org/officeDocument/2006/relationships/hyperlink" Target="https://www.dtf.vic.gov.au/financial-management-government/standing-directions-2018-under-financial-management-act-1994" TargetMode="External"/><Relationship Id="rId50" Type="http://schemas.openxmlformats.org/officeDocument/2006/relationships/hyperlink" Target="https://www.vic.gov.au/guidelines-appointment-remuneration" TargetMode="External"/><Relationship Id="rId55" Type="http://schemas.openxmlformats.org/officeDocument/2006/relationships/hyperlink" Target="https://www.dtf.vic.gov.au/financial-management-government/standing-directions-2018-under-financial-management-act-1994" TargetMode="External"/><Relationship Id="rId76" Type="http://schemas.openxmlformats.org/officeDocument/2006/relationships/hyperlink" Target="https://www.ibac.vic.gov.au/publications-and-resources/article/guidelines-for-protected-disclosure-welfare-management" TargetMode="External"/><Relationship Id="rId97" Type="http://schemas.openxmlformats.org/officeDocument/2006/relationships/hyperlink" Target="https://www.legislation.vic.gov.au/in-force/acts/charter-human-rights-and-responsibilities-act-2006/014" TargetMode="External"/><Relationship Id="rId104" Type="http://schemas.openxmlformats.org/officeDocument/2006/relationships/hyperlink" Target="https://www.legislation.vic.gov.au/in-force/acts/independent-broad-based-anti-corruption-commission-act-2011/041" TargetMode="External"/><Relationship Id="rId120" Type="http://schemas.openxmlformats.org/officeDocument/2006/relationships/hyperlink" Target="https://content.vic.gov.au/sites/default/files/2022-03/Diversity-on-Victorian-Government-Board-Guidelines_0.pdf" TargetMode="External"/><Relationship Id="rId125" Type="http://schemas.openxmlformats.org/officeDocument/2006/relationships/hyperlink" Target="https://www.dtf.vic.gov.au/planning-budgeting-and-financial-reporting-frameworks/resource-management-framework" TargetMode="External"/><Relationship Id="rId141" Type="http://schemas.openxmlformats.org/officeDocument/2006/relationships/hyperlink" Target="http://www.dtf.vic.gov.au" TargetMode="External"/><Relationship Id="rId146" Type="http://schemas.openxmlformats.org/officeDocument/2006/relationships/hyperlink" Target="https://www.dtf.vic.gov.au/planning-budgeting-and-financial-reporting-frameworks/victorian-risk-management-framework-and-insurance-management-policy" TargetMode="External"/><Relationship Id="rId167" Type="http://schemas.openxmlformats.org/officeDocument/2006/relationships/hyperlink" Target="https://www.health.vic.gov.au/populations/designing-for-diversity" TargetMode="External"/><Relationship Id="rId188" Type="http://schemas.openxmlformats.org/officeDocument/2006/relationships/hyperlink" Target="http://www.vpsc.vic.gov.au" TargetMode="External"/><Relationship Id="rId7" Type="http://schemas.openxmlformats.org/officeDocument/2006/relationships/settings" Target="settings.xml"/><Relationship Id="rId71" Type="http://schemas.openxmlformats.org/officeDocument/2006/relationships/hyperlink" Target="https://www.ibac.vic.gov.au/publications-and-resources/article/fact-sheet-what-is-a-public-interest-disclosure" TargetMode="External"/><Relationship Id="rId92" Type="http://schemas.openxmlformats.org/officeDocument/2006/relationships/hyperlink" Target="https://www.justice.vic.gov.au/safer-communities/protecting-children-and-families/organisations-providing-services-to-children-new" TargetMode="External"/><Relationship Id="rId162" Type="http://schemas.openxmlformats.org/officeDocument/2006/relationships/hyperlink" Target="http://www.yoorrookjusticecommission.org.au" TargetMode="External"/><Relationship Id="rId183" Type="http://schemas.openxmlformats.org/officeDocument/2006/relationships/hyperlink" Target="http://www.vpsc.vic.gov.au" TargetMode="External"/><Relationship Id="rId213" Type="http://schemas.openxmlformats.org/officeDocument/2006/relationships/hyperlink" Target="http://www.ibac.vic.gov.au/investigating-corruption" TargetMode="External"/><Relationship Id="rId218" Type="http://schemas.openxmlformats.org/officeDocument/2006/relationships/header" Target="header9.xml"/><Relationship Id="rId2" Type="http://schemas.openxmlformats.org/officeDocument/2006/relationships/customXml" Target="../customXml/item2.xml"/><Relationship Id="rId29" Type="http://schemas.openxmlformats.org/officeDocument/2006/relationships/hyperlink" Target="https://www.vic.gov.au/towards-best-practice-guide-regulators" TargetMode="External"/><Relationship Id="rId24" Type="http://schemas.openxmlformats.org/officeDocument/2006/relationships/hyperlink" Target="https://www.dtf.vic.gov.au/sites/default/files/document/Resource%20Management%20Framework%202023-2024.pdf" TargetMode="External"/><Relationship Id="rId40" Type="http://schemas.openxmlformats.org/officeDocument/2006/relationships/hyperlink" Target="https://www.vic.gov.au/guidelines-appointment-remuneration" TargetMode="External"/><Relationship Id="rId45" Type="http://schemas.openxmlformats.org/officeDocument/2006/relationships/hyperlink" Target="https://www.worksafe.vic.gov.au/" TargetMode="External"/><Relationship Id="rId66" Type="http://schemas.openxmlformats.org/officeDocument/2006/relationships/hyperlink" Target="https://www.dtf.vic.gov.au/financial-management-government/standing-directions-2018-under-financial-management-act-1994" TargetMode="External"/><Relationship Id="rId87" Type="http://schemas.openxmlformats.org/officeDocument/2006/relationships/hyperlink" Target="https://www.legislation.vic.gov.au/in-force/acts/child-wellbeing-and-safety-act-2005/041" TargetMode="External"/><Relationship Id="rId110" Type="http://schemas.openxmlformats.org/officeDocument/2006/relationships/hyperlink" Target="https://www.legislation.vic.gov.au/in-force/acts/public-administration-act-2004/084" TargetMode="External"/><Relationship Id="rId115" Type="http://schemas.openxmlformats.org/officeDocument/2006/relationships/hyperlink" Target="https://www.vic.gov.au/node/24095" TargetMode="External"/><Relationship Id="rId131" Type="http://schemas.openxmlformats.org/officeDocument/2006/relationships/hyperlink" Target="http://www.dtf.vic.gov.au" TargetMode="External"/><Relationship Id="rId136" Type="http://schemas.openxmlformats.org/officeDocument/2006/relationships/hyperlink" Target="http://www.procurement.vic.gov.au" TargetMode="External"/><Relationship Id="rId157" Type="http://schemas.openxmlformats.org/officeDocument/2006/relationships/hyperlink" Target="https://vpsc.vic.gov.au/workforce-programs/aboriginal-cultural-capability-toolkit/" TargetMode="External"/><Relationship Id="rId178" Type="http://schemas.openxmlformats.org/officeDocument/2006/relationships/hyperlink" Target="https://www.buyingfor.vic.gov.au/supplier-code-conduct" TargetMode="External"/><Relationship Id="rId61" Type="http://schemas.openxmlformats.org/officeDocument/2006/relationships/hyperlink" Target="https://www.dtf.vic.gov.au/sites/default/files/document/Standing-Directions-2018-Instructions.pdf" TargetMode="External"/><Relationship Id="rId82" Type="http://schemas.openxmlformats.org/officeDocument/2006/relationships/hyperlink" Target="https://www.nationalredress.gov.au/" TargetMode="External"/><Relationship Id="rId152" Type="http://schemas.openxmlformats.org/officeDocument/2006/relationships/hyperlink" Target="https://www.vic.gov.au/guidelines-appointment-remuneration" TargetMode="External"/><Relationship Id="rId173" Type="http://schemas.openxmlformats.org/officeDocument/2006/relationships/hyperlink" Target="http://www.vpsc.vic.gov.au" TargetMode="External"/><Relationship Id="rId194" Type="http://schemas.openxmlformats.org/officeDocument/2006/relationships/hyperlink" Target="https://djsir.vic.gov.au/about-us/overview/policy-framework/gifts,-benefits-and-hospitality-policy" TargetMode="External"/><Relationship Id="rId199" Type="http://schemas.openxmlformats.org/officeDocument/2006/relationships/hyperlink" Target="http://www.ibac.vic.gov.au" TargetMode="External"/><Relationship Id="rId203" Type="http://schemas.openxmlformats.org/officeDocument/2006/relationships/hyperlink" Target="https://ccyp.vic.gov.au/reportable-conduct-scheme/" TargetMode="External"/><Relationship Id="rId208" Type="http://schemas.openxmlformats.org/officeDocument/2006/relationships/hyperlink" Target="http://www.justice.vic.gov.au" TargetMode="Externa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yperlink" Target="https://www.dtf.vic.gov.au/sites/default/files/2018-02/Stage%20Two%20Regulator%20SOE%20Guidelines.docx" TargetMode="External"/><Relationship Id="rId35" Type="http://schemas.openxmlformats.org/officeDocument/2006/relationships/hyperlink" Target="https://www.dtf.vic.gov.au/infrastructure-investment/asset-management-accountability-framework" TargetMode="External"/><Relationship Id="rId56" Type="http://schemas.openxmlformats.org/officeDocument/2006/relationships/hyperlink" Target="https://www.legislation.vic.gov.au/in-force/acts/financial-management-act-1994/066" TargetMode="External"/><Relationship Id="rId77" Type="http://schemas.openxmlformats.org/officeDocument/2006/relationships/hyperlink" Target="mailto:integrity@ecodev.vic.gov.au" TargetMode="External"/><Relationship Id="rId100" Type="http://schemas.openxmlformats.org/officeDocument/2006/relationships/hyperlink" Target="http://www6.austlii.edu.au/cgi-bin/viewdb/au/legis/cth/consol_act/ca2001172/" TargetMode="External"/><Relationship Id="rId105" Type="http://schemas.openxmlformats.org/officeDocument/2006/relationships/hyperlink" Target="https://www.legislation.vic.gov.au/as-made/acts/information-privacy-act-2000" TargetMode="External"/><Relationship Id="rId126" Type="http://schemas.openxmlformats.org/officeDocument/2006/relationships/hyperlink" Target="http://www.dtf.vic.gov.au" TargetMode="External"/><Relationship Id="rId147" Type="http://schemas.openxmlformats.org/officeDocument/2006/relationships/hyperlink" Target="https://vpsc.vic.gov.au/governance/portfolio-governance-arrangements/establishing-portfolio-governance-guide/" TargetMode="External"/><Relationship Id="rId168" Type="http://schemas.openxmlformats.org/officeDocument/2006/relationships/hyperlink" Target="http://www.health.vic.gov.au" TargetMode="External"/><Relationship Id="rId8" Type="http://schemas.openxmlformats.org/officeDocument/2006/relationships/webSettings" Target="webSettings.xml"/><Relationship Id="rId51" Type="http://schemas.openxmlformats.org/officeDocument/2006/relationships/hyperlink" Target="https://vpsc.vic.gov.au/ethics-behaviours-culture/conflict-of-interest/conflict-of-interest-guidance-for-organisations/" TargetMode="External"/><Relationship Id="rId72" Type="http://schemas.openxmlformats.org/officeDocument/2006/relationships/hyperlink" Target="mailto:john.lombard@ecodev.vic.gov.au" TargetMode="External"/><Relationship Id="rId93" Type="http://schemas.openxmlformats.org/officeDocument/2006/relationships/hyperlink" Target="https://djsir.vic.gov.au/about-us/overview/policy-framework/child-safety-at-djsir" TargetMode="External"/><Relationship Id="rId98" Type="http://schemas.openxmlformats.org/officeDocument/2006/relationships/hyperlink" Target="https://www.legislation.vic.gov.au/in-force/acts/child-wellbeing-and-safety-act-2005/041" TargetMode="External"/><Relationship Id="rId121" Type="http://schemas.openxmlformats.org/officeDocument/2006/relationships/hyperlink" Target="https://vpsc.vic.gov.au/workforce-programs/disability-employment/" TargetMode="External"/><Relationship Id="rId142" Type="http://schemas.openxmlformats.org/officeDocument/2006/relationships/hyperlink" Target="https://www.dtf.vic.gov.au/infrastructure-investment/asset-management-accountability-framework" TargetMode="External"/><Relationship Id="rId163" Type="http://schemas.openxmlformats.org/officeDocument/2006/relationships/hyperlink" Target="https://vpsc.vic.gov.au/toolkits/wellbeing/employees-with-disability/" TargetMode="External"/><Relationship Id="rId184" Type="http://schemas.openxmlformats.org/officeDocument/2006/relationships/hyperlink" Target="https://vpsc.vic.gov.au/ethics-behaviours-culture/conflict-of-interest/conflict-of-interest-guidance-for-organisations/" TargetMode="External"/><Relationship Id="rId189" Type="http://schemas.openxmlformats.org/officeDocument/2006/relationships/hyperlink" Target="http://www.djsir.vic.gov.au"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www.ibac.vic.gov.au/preventing-corruption" TargetMode="External"/><Relationship Id="rId25" Type="http://schemas.openxmlformats.org/officeDocument/2006/relationships/hyperlink" Target="https://www.dtf.vic.gov.au/financial-management-government/standing-directions-2018-under-financial-management-act-1994" TargetMode="External"/><Relationship Id="rId46" Type="http://schemas.openxmlformats.org/officeDocument/2006/relationships/hyperlink" Target="https://www.worksafe.vic.gov.au/workwell-toolkit" TargetMode="External"/><Relationship Id="rId67" Type="http://schemas.openxmlformats.org/officeDocument/2006/relationships/hyperlink" Target="https://www.legislation.vic.gov.au/in-force/acts/financial-management-act-1994/066" TargetMode="External"/><Relationship Id="rId116" Type="http://schemas.openxmlformats.org/officeDocument/2006/relationships/hyperlink" Target="mailto:diversityonboards@dffh.vic.gov.au" TargetMode="External"/><Relationship Id="rId137" Type="http://schemas.openxmlformats.org/officeDocument/2006/relationships/hyperlink" Target="https://vicgov.sharepoint.com/:b:/r/sites/VG000604/Documents/Key%20Resources%20for%20RMs/Guidelines%20and%20Templates/Premier%27s%20Circular/Premier%27s%20Circular%202013-2%20-%20Creation%20and%20Review%20of%20Non-Departmental%20Entities.pdf?csf=1&amp;web=1&amp;e=gTxnL2" TargetMode="External"/><Relationship Id="rId158" Type="http://schemas.openxmlformats.org/officeDocument/2006/relationships/hyperlink" Target="http://www.vpsc.vic.gov.au" TargetMode="External"/><Relationship Id="rId20" Type="http://schemas.openxmlformats.org/officeDocument/2006/relationships/header" Target="header6.xml"/><Relationship Id="rId41" Type="http://schemas.openxmlformats.org/officeDocument/2006/relationships/hyperlink" Target="https://vpsc.vic.gov.au/html-resources/welcome-to-the-board/" TargetMode="External"/><Relationship Id="rId62" Type="http://schemas.openxmlformats.org/officeDocument/2006/relationships/hyperlink" Target="https://www.dtf.vic.gov.au/financial-management-government/standing-directions-2018-under-financial-management-act-1994" TargetMode="External"/><Relationship Id="rId83" Type="http://schemas.openxmlformats.org/officeDocument/2006/relationships/hyperlink" Target="https://www.legislation.gov.au/Details/C2021C00567" TargetMode="External"/><Relationship Id="rId88" Type="http://schemas.openxmlformats.org/officeDocument/2006/relationships/hyperlink" Target="https://www.legislation.vic.gov.au/in-force/acts/worker-screening-act-2020/001" TargetMode="External"/><Relationship Id="rId111" Type="http://schemas.openxmlformats.org/officeDocument/2006/relationships/hyperlink" Target="https://www.legislation.vic.gov.au/in-force/acts/public-interest-disclosures-act-2012/026" TargetMode="External"/><Relationship Id="rId132" Type="http://schemas.openxmlformats.org/officeDocument/2006/relationships/hyperlink" Target="https://www.dtf.vic.gov.au/infrastructure-investment/investment-lifecycle-and-high-value-and-high-risk-guidelines" TargetMode="External"/><Relationship Id="rId153" Type="http://schemas.openxmlformats.org/officeDocument/2006/relationships/hyperlink" Target="http://www.dpc.vic.gov.au" TargetMode="External"/><Relationship Id="rId174" Type="http://schemas.openxmlformats.org/officeDocument/2006/relationships/hyperlink" Target="https://www.boards.vic.gov.au/code-conduct-directors-victorian-public-entities" TargetMode="External"/><Relationship Id="rId179" Type="http://schemas.openxmlformats.org/officeDocument/2006/relationships/hyperlink" Target="http://www.buyingfor.vic.gov.au" TargetMode="External"/><Relationship Id="rId195" Type="http://schemas.openxmlformats.org/officeDocument/2006/relationships/hyperlink" Target="http://www.djsir.vic.gov.au" TargetMode="External"/><Relationship Id="rId209" Type="http://schemas.openxmlformats.org/officeDocument/2006/relationships/hyperlink" Target="https://djsir.vic.gov.au/about-us/overview/policy-framework/child-safety-at-djsir" TargetMode="External"/><Relationship Id="rId190" Type="http://schemas.openxmlformats.org/officeDocument/2006/relationships/hyperlink" Target="http://www.djsir.vic.gov.au" TargetMode="External"/><Relationship Id="rId204" Type="http://schemas.openxmlformats.org/officeDocument/2006/relationships/hyperlink" Target="http://www.ccyp.vic.gov.au" TargetMode="External"/><Relationship Id="rId220" Type="http://schemas.openxmlformats.org/officeDocument/2006/relationships/glossaryDocument" Target="glossary/document.xml"/><Relationship Id="rId15" Type="http://schemas.openxmlformats.org/officeDocument/2006/relationships/header" Target="header3.xml"/><Relationship Id="rId36" Type="http://schemas.openxmlformats.org/officeDocument/2006/relationships/hyperlink" Target="https://www.dtf.vic.gov.au/planning-budgeting-and-financial-reporting-frameworks/victorian-risk-management-framework-and-insurance-management-policy" TargetMode="External"/><Relationship Id="rId57" Type="http://schemas.openxmlformats.org/officeDocument/2006/relationships/hyperlink" Target="https://www.dtf.vic.gov.au/sites/default/files/document/Standing-Directions-2018-Instructions.pdf" TargetMode="External"/><Relationship Id="rId106" Type="http://schemas.openxmlformats.org/officeDocument/2006/relationships/hyperlink" Target="https://www.legislation.gov.au/Details/C2021C00567" TargetMode="External"/><Relationship Id="rId127" Type="http://schemas.openxmlformats.org/officeDocument/2006/relationships/hyperlink" Target="https://vicgov.sharepoint.com/sites/VG000604/SitePages/Portfolio-Governance-Framework.aspx" TargetMode="External"/><Relationship Id="rId10" Type="http://schemas.openxmlformats.org/officeDocument/2006/relationships/endnotes" Target="endnotes.xml"/><Relationship Id="rId31" Type="http://schemas.openxmlformats.org/officeDocument/2006/relationships/hyperlink" Target="https://vgls.sdp.sirsidynix.net.au/client/search/asset/1294784" TargetMode="External"/><Relationship Id="rId52" Type="http://schemas.openxmlformats.org/officeDocument/2006/relationships/hyperlink" Target="https://vpsc.vic.gov.au/about-vpsc/updates-from-the-commissioner/integrity-guide-for-new-board-directors/" TargetMode="External"/><Relationship Id="rId73" Type="http://schemas.openxmlformats.org/officeDocument/2006/relationships/hyperlink" Target="https://www.legislation.vic.gov.au/in-force/acts/public-interest-disclosures-act-2012/026" TargetMode="External"/><Relationship Id="rId78" Type="http://schemas.openxmlformats.org/officeDocument/2006/relationships/hyperlink" Target="https://ccyp.vic.gov.au/child-safe-standards/the-11-child-safe-standards/" TargetMode="External"/><Relationship Id="rId94" Type="http://schemas.openxmlformats.org/officeDocument/2006/relationships/hyperlink" Target="https://intranet.economicdevelopment.vic.gov.au/policies-forms-and-templates/fraud-and-corruption-control-policy" TargetMode="External"/><Relationship Id="rId99" Type="http://schemas.openxmlformats.org/officeDocument/2006/relationships/hyperlink" Target="https://www.legislation.vic.gov.au/as-made/acts/children-legislation-amendment-reportable-conduct-act-2017" TargetMode="External"/><Relationship Id="rId101" Type="http://schemas.openxmlformats.org/officeDocument/2006/relationships/hyperlink" Target="https://www.legislation.vic.gov.au/in-force/acts/disability-act-2006/048" TargetMode="External"/><Relationship Id="rId122" Type="http://schemas.openxmlformats.org/officeDocument/2006/relationships/hyperlink" Target="https://content.vic.gov.au/sites/default/files/2022-03/Diversity-on-Victorian-Government-Board-Guidelines_0.pdf" TargetMode="External"/><Relationship Id="rId143" Type="http://schemas.openxmlformats.org/officeDocument/2006/relationships/hyperlink" Target="http://www.dtf.vic.gov.au" TargetMode="External"/><Relationship Id="rId148" Type="http://schemas.openxmlformats.org/officeDocument/2006/relationships/hyperlink" Target="http://www.vpsc.vic.gov.au" TargetMode="External"/><Relationship Id="rId164" Type="http://schemas.openxmlformats.org/officeDocument/2006/relationships/hyperlink" Target="http://www.vpsc.vic.gov.au" TargetMode="External"/><Relationship Id="rId169" Type="http://schemas.openxmlformats.org/officeDocument/2006/relationships/hyperlink" Target="https://www.health.vic.gov.au/publications/language-services-policy" TargetMode="External"/><Relationship Id="rId185" Type="http://schemas.openxmlformats.org/officeDocument/2006/relationships/hyperlink" Target="http://www.vpsc.vic.gov.au"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vpsc.vic.gov.au/wp-content/uploads/2015/03/VPSC_Code_VPSE_WEB.pdf" TargetMode="External"/><Relationship Id="rId210" Type="http://schemas.openxmlformats.org/officeDocument/2006/relationships/hyperlink" Target="http://www.djsir.vic.gov.au" TargetMode="External"/><Relationship Id="rId215" Type="http://schemas.openxmlformats.org/officeDocument/2006/relationships/header" Target="header7.xml"/><Relationship Id="rId26" Type="http://schemas.openxmlformats.org/officeDocument/2006/relationships/hyperlink" Target="https://www.dtf.vic.gov.au/infrastructure-investment/high-value-high-risk-framework" TargetMode="External"/><Relationship Id="rId47" Type="http://schemas.openxmlformats.org/officeDocument/2006/relationships/hyperlink" Target="https://www.legislation.vic.gov.au/in-force/acts/public-administration-act-2004/085" TargetMode="External"/><Relationship Id="rId68" Type="http://schemas.openxmlformats.org/officeDocument/2006/relationships/hyperlink" Target="https://vpsc.vic.gov.au/ethics-behaviours-culture/gifts-benefits-hospitality/minimum-accountabilities/" TargetMode="External"/><Relationship Id="rId89" Type="http://schemas.openxmlformats.org/officeDocument/2006/relationships/hyperlink" Target="https://childsafe.humanrights.gov.au/sites/default/files/2019-02/National_Principles_for_Child_Safe_Organisations2019.pdf" TargetMode="External"/><Relationship Id="rId112" Type="http://schemas.openxmlformats.org/officeDocument/2006/relationships/hyperlink" Target="https://www.legislation.vic.gov.au/in-force/acts/public-records-act-1973/041" TargetMode="External"/><Relationship Id="rId133" Type="http://schemas.openxmlformats.org/officeDocument/2006/relationships/hyperlink" Target="http://www.dtf.vic.gov.au" TargetMode="External"/><Relationship Id="rId154" Type="http://schemas.openxmlformats.org/officeDocument/2006/relationships/hyperlink" Target="https://www.boards.vic.gov.au/assessing-public-board-performance" TargetMode="External"/><Relationship Id="rId175" Type="http://schemas.openxmlformats.org/officeDocument/2006/relationships/hyperlink" Target="http://www.vpsc.vic.gov.au" TargetMode="External"/><Relationship Id="rId196" Type="http://schemas.openxmlformats.org/officeDocument/2006/relationships/hyperlink" Target="https://www.ibac.vic.gov.au/publications-and-resources/article/guidelines-for-making-and-handling-protected-disclosures" TargetMode="External"/><Relationship Id="rId200" Type="http://schemas.openxmlformats.org/officeDocument/2006/relationships/hyperlink" Target="http://www.djsir.vic.gov.au" TargetMode="External"/><Relationship Id="rId16" Type="http://schemas.openxmlformats.org/officeDocument/2006/relationships/footer" Target="footer3.xml"/><Relationship Id="rId221" Type="http://schemas.openxmlformats.org/officeDocument/2006/relationships/theme" Target="theme/theme1.xml"/><Relationship Id="rId37" Type="http://schemas.openxmlformats.org/officeDocument/2006/relationships/hyperlink" Target="https://vpsc.vic.gov.au/governance/portfolio-governance-arrangements?utm_campaign=portfolio-governance-arrangements&amp;utm_content=edm1&amp;utm_medium=email&amp;utm_source=salesforce" TargetMode="External"/><Relationship Id="rId58" Type="http://schemas.openxmlformats.org/officeDocument/2006/relationships/hyperlink" Target="https://www.dtf.vic.gov.au/financial-management-government/standing-directions-2018-under-financial-management-act-1994" TargetMode="External"/><Relationship Id="rId79" Type="http://schemas.openxmlformats.org/officeDocument/2006/relationships/hyperlink" Target="https://ccyp.vic.gov.au/reportable-conduct-scheme/" TargetMode="External"/><Relationship Id="rId102" Type="http://schemas.openxmlformats.org/officeDocument/2006/relationships/hyperlink" Target="https://www.legislation.vic.gov.au/in-force/acts/financial-management-act-1994/065" TargetMode="External"/><Relationship Id="rId123" Type="http://schemas.openxmlformats.org/officeDocument/2006/relationships/hyperlink" Target="https://www2.health.vic.gov.au/about/populations/designing-for-diversity" TargetMode="External"/><Relationship Id="rId144" Type="http://schemas.openxmlformats.org/officeDocument/2006/relationships/hyperlink" Target="https://www.dtf.vic.gov.au/financial-reporting-policy/model-report"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DBBF8F781040DEAFFF60D0D10ED56F"/>
        <w:category>
          <w:name w:val="General"/>
          <w:gallery w:val="placeholder"/>
        </w:category>
        <w:types>
          <w:type w:val="bbPlcHdr"/>
        </w:types>
        <w:behaviors>
          <w:behavior w:val="content"/>
        </w:behaviors>
        <w:guid w:val="{C23AD009-D394-48FA-B7F8-7C1D1E4E5F6C}"/>
      </w:docPartPr>
      <w:docPartBody>
        <w:p w:rsidR="00B415E0" w:rsidRDefault="003447CF" w:rsidP="003447CF">
          <w:pPr>
            <w:pStyle w:val="DDDBBF8F781040DEAFFF60D0D10ED56F1"/>
          </w:pPr>
          <w:r w:rsidRPr="00C06936">
            <w:rPr>
              <w:rStyle w:val="PlaceholderText"/>
            </w:rPr>
            <w:t xml:space="preserve">Click or tap here to enter </w:t>
          </w:r>
          <w:r>
            <w:rPr>
              <w:rStyle w:val="PlaceholderText"/>
            </w:rPr>
            <w:t xml:space="preserve">title </w:t>
          </w:r>
          <w:r w:rsidRPr="00C06936">
            <w:rPr>
              <w:rStyle w:val="PlaceholderText"/>
            </w:rPr>
            <w:t>text.</w:t>
          </w:r>
        </w:p>
      </w:docPartBody>
    </w:docPart>
    <w:docPart>
      <w:docPartPr>
        <w:name w:val="90967D32E33A42B9ACC15D43E55D27C7"/>
        <w:category>
          <w:name w:val="General"/>
          <w:gallery w:val="placeholder"/>
        </w:category>
        <w:types>
          <w:type w:val="bbPlcHdr"/>
        </w:types>
        <w:behaviors>
          <w:behavior w:val="content"/>
        </w:behaviors>
        <w:guid w:val="{518D39CC-4E61-49CE-B1B6-4D648E15483C}"/>
      </w:docPartPr>
      <w:docPartBody>
        <w:p w:rsidR="00B415E0" w:rsidRDefault="003447CF" w:rsidP="003447CF">
          <w:pPr>
            <w:pStyle w:val="90967D32E33A42B9ACC15D43E55D27C7"/>
          </w:pPr>
          <w:r w:rsidRPr="00C06936">
            <w:rPr>
              <w:rStyle w:val="PlaceholderText"/>
            </w:rPr>
            <w:t xml:space="preserve">Click or tap here to enter </w:t>
          </w:r>
          <w:r>
            <w:rPr>
              <w:rStyle w:val="PlaceholderText"/>
            </w:rPr>
            <w:t xml:space="preserve">SUBTITLE </w:t>
          </w:r>
          <w:r w:rsidRPr="00C06936">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2E"/>
    <w:rsid w:val="0002441E"/>
    <w:rsid w:val="000669C6"/>
    <w:rsid w:val="0008754F"/>
    <w:rsid w:val="000B50C3"/>
    <w:rsid w:val="000D2654"/>
    <w:rsid w:val="000E3338"/>
    <w:rsid w:val="000F211B"/>
    <w:rsid w:val="000F3D97"/>
    <w:rsid w:val="00163704"/>
    <w:rsid w:val="0019580A"/>
    <w:rsid w:val="001D5B2C"/>
    <w:rsid w:val="00205342"/>
    <w:rsid w:val="00232287"/>
    <w:rsid w:val="0027603A"/>
    <w:rsid w:val="00291BA7"/>
    <w:rsid w:val="002D2DCF"/>
    <w:rsid w:val="002E3C1E"/>
    <w:rsid w:val="00333046"/>
    <w:rsid w:val="003447CF"/>
    <w:rsid w:val="003550FA"/>
    <w:rsid w:val="00357D0A"/>
    <w:rsid w:val="00377385"/>
    <w:rsid w:val="003773D7"/>
    <w:rsid w:val="00393D41"/>
    <w:rsid w:val="003D622A"/>
    <w:rsid w:val="003F1EF0"/>
    <w:rsid w:val="003F7E1A"/>
    <w:rsid w:val="00472C78"/>
    <w:rsid w:val="004B5906"/>
    <w:rsid w:val="004C3A31"/>
    <w:rsid w:val="005072B7"/>
    <w:rsid w:val="00516D3D"/>
    <w:rsid w:val="00554DF5"/>
    <w:rsid w:val="005631B8"/>
    <w:rsid w:val="00573535"/>
    <w:rsid w:val="005903A3"/>
    <w:rsid w:val="005917D5"/>
    <w:rsid w:val="005C0EE0"/>
    <w:rsid w:val="005D540C"/>
    <w:rsid w:val="00683C3C"/>
    <w:rsid w:val="00696A28"/>
    <w:rsid w:val="006B70DE"/>
    <w:rsid w:val="00720793"/>
    <w:rsid w:val="007625A6"/>
    <w:rsid w:val="007B65F7"/>
    <w:rsid w:val="007C20F8"/>
    <w:rsid w:val="00820CF7"/>
    <w:rsid w:val="00830D81"/>
    <w:rsid w:val="00856779"/>
    <w:rsid w:val="008745C6"/>
    <w:rsid w:val="0087723B"/>
    <w:rsid w:val="0089124E"/>
    <w:rsid w:val="008B192E"/>
    <w:rsid w:val="008B22BD"/>
    <w:rsid w:val="008C57C4"/>
    <w:rsid w:val="0092360B"/>
    <w:rsid w:val="0097561E"/>
    <w:rsid w:val="0097628A"/>
    <w:rsid w:val="00996F95"/>
    <w:rsid w:val="009A44EA"/>
    <w:rsid w:val="009A78D6"/>
    <w:rsid w:val="009E0583"/>
    <w:rsid w:val="009E6002"/>
    <w:rsid w:val="00A165DD"/>
    <w:rsid w:val="00A62DDB"/>
    <w:rsid w:val="00A72216"/>
    <w:rsid w:val="00A96F69"/>
    <w:rsid w:val="00AB4622"/>
    <w:rsid w:val="00AD7C30"/>
    <w:rsid w:val="00AF107D"/>
    <w:rsid w:val="00B179C7"/>
    <w:rsid w:val="00B415E0"/>
    <w:rsid w:val="00B72DAE"/>
    <w:rsid w:val="00B81A05"/>
    <w:rsid w:val="00BA029E"/>
    <w:rsid w:val="00BA4466"/>
    <w:rsid w:val="00BD4833"/>
    <w:rsid w:val="00BE5FD7"/>
    <w:rsid w:val="00C24CDD"/>
    <w:rsid w:val="00C52F84"/>
    <w:rsid w:val="00C54AA1"/>
    <w:rsid w:val="00C83D9F"/>
    <w:rsid w:val="00C972DF"/>
    <w:rsid w:val="00CD574D"/>
    <w:rsid w:val="00D65308"/>
    <w:rsid w:val="00D76477"/>
    <w:rsid w:val="00D97052"/>
    <w:rsid w:val="00DE2A3C"/>
    <w:rsid w:val="00E37B84"/>
    <w:rsid w:val="00EE73A3"/>
    <w:rsid w:val="00F24B6B"/>
    <w:rsid w:val="00F25ACA"/>
    <w:rsid w:val="00F35FB0"/>
    <w:rsid w:val="00F562C8"/>
    <w:rsid w:val="00F845BB"/>
    <w:rsid w:val="00FA094A"/>
    <w:rsid w:val="00FB0479"/>
    <w:rsid w:val="00FB3217"/>
    <w:rsid w:val="00FE18AD"/>
    <w:rsid w:val="00FE1DBE"/>
    <w:rsid w:val="00FE306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92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287"/>
    <w:rPr>
      <w:color w:val="808080"/>
    </w:rPr>
  </w:style>
  <w:style w:type="paragraph" w:customStyle="1" w:styleId="DDDBBF8F781040DEAFFF60D0D10ED56F1">
    <w:name w:val="DDDBBF8F781040DEAFFF60D0D10ED56F1"/>
    <w:rsid w:val="003447CF"/>
    <w:pPr>
      <w:suppressAutoHyphens/>
      <w:autoSpaceDE w:val="0"/>
      <w:autoSpaceDN w:val="0"/>
      <w:adjustRightInd w:val="0"/>
      <w:spacing w:before="4800" w:after="227" w:line="240" w:lineRule="auto"/>
      <w:ind w:left="5103"/>
      <w:jc w:val="right"/>
      <w:textAlignment w:val="center"/>
    </w:pPr>
    <w:rPr>
      <w:rFonts w:ascii="Arial" w:eastAsiaTheme="minorHAnsi" w:hAnsi="Arial" w:cs="Arial"/>
      <w:caps/>
      <w:color w:val="404040" w:themeColor="text1" w:themeTint="BF"/>
      <w:sz w:val="36"/>
      <w:szCs w:val="36"/>
      <w:lang w:val="en-GB" w:eastAsia="en-US"/>
    </w:rPr>
  </w:style>
  <w:style w:type="paragraph" w:customStyle="1" w:styleId="90967D32E33A42B9ACC15D43E55D27C7">
    <w:name w:val="90967D32E33A42B9ACC15D43E55D27C7"/>
    <w:rsid w:val="003447CF"/>
    <w:pPr>
      <w:suppressAutoHyphens/>
      <w:autoSpaceDE w:val="0"/>
      <w:autoSpaceDN w:val="0"/>
      <w:adjustRightInd w:val="0"/>
      <w:spacing w:before="480" w:after="800" w:line="240" w:lineRule="auto"/>
      <w:ind w:left="5103"/>
      <w:jc w:val="right"/>
      <w:textAlignment w:val="center"/>
    </w:pPr>
    <w:rPr>
      <w:rFonts w:ascii="Arial" w:eastAsiaTheme="minorHAnsi" w:hAnsi="Arial" w:cs="Arial"/>
      <w:caps/>
      <w:noProof/>
      <w:color w:val="404040" w:themeColor="text1" w:themeTint="BF"/>
      <w:sz w:val="28"/>
      <w:szCs w:val="18"/>
      <w:lang w:val="en-GB" w:eastAsia="en-US"/>
    </w:rPr>
  </w:style>
  <w:style w:type="paragraph" w:styleId="Header">
    <w:name w:val="header"/>
    <w:basedOn w:val="Normal"/>
    <w:link w:val="HeaderChar"/>
    <w:uiPriority w:val="99"/>
    <w:unhideWhenUsed/>
    <w:rsid w:val="003447CF"/>
    <w:pPr>
      <w:tabs>
        <w:tab w:val="center" w:pos="4513"/>
        <w:tab w:val="right" w:pos="9026"/>
      </w:tabs>
      <w:suppressAutoHyphens/>
      <w:autoSpaceDE w:val="0"/>
      <w:autoSpaceDN w:val="0"/>
      <w:adjustRightInd w:val="0"/>
      <w:spacing w:line="220" w:lineRule="atLeast"/>
      <w:textAlignment w:val="center"/>
    </w:pPr>
    <w:rPr>
      <w:rFonts w:ascii="Arial" w:eastAsiaTheme="minorHAnsi" w:hAnsi="Arial" w:cs="Arial"/>
      <w:color w:val="000000"/>
      <w:sz w:val="18"/>
      <w:szCs w:val="18"/>
      <w:lang w:val="en-US" w:eastAsia="en-US"/>
    </w:rPr>
  </w:style>
  <w:style w:type="character" w:customStyle="1" w:styleId="HeaderChar">
    <w:name w:val="Header Char"/>
    <w:basedOn w:val="DefaultParagraphFont"/>
    <w:link w:val="Header"/>
    <w:uiPriority w:val="99"/>
    <w:rsid w:val="003447CF"/>
    <w:rPr>
      <w:rFonts w:ascii="Arial" w:eastAsiaTheme="minorHAnsi" w:hAnsi="Arial" w:cs="Arial"/>
      <w:color w:val="000000"/>
      <w:sz w:val="18"/>
      <w:szCs w:val="18"/>
      <w:lang w:val="en-US" w:eastAsia="en-US"/>
    </w:rPr>
  </w:style>
  <w:style w:type="paragraph" w:styleId="Footer">
    <w:name w:val="footer"/>
    <w:basedOn w:val="Normal"/>
    <w:link w:val="FooterChar"/>
    <w:uiPriority w:val="99"/>
    <w:unhideWhenUsed/>
    <w:rsid w:val="003447CF"/>
    <w:pPr>
      <w:tabs>
        <w:tab w:val="center" w:pos="4513"/>
        <w:tab w:val="right" w:pos="9026"/>
      </w:tabs>
      <w:suppressAutoHyphens/>
      <w:autoSpaceDE w:val="0"/>
      <w:autoSpaceDN w:val="0"/>
      <w:adjustRightInd w:val="0"/>
      <w:spacing w:line="220" w:lineRule="atLeast"/>
      <w:jc w:val="center"/>
      <w:textAlignment w:val="center"/>
    </w:pPr>
    <w:rPr>
      <w:rFonts w:ascii="Arial" w:eastAsiaTheme="minorHAnsi" w:hAnsi="Arial" w:cs="Arial"/>
      <w:color w:val="000000"/>
      <w:sz w:val="18"/>
      <w:szCs w:val="18"/>
      <w:lang w:val="en-US" w:eastAsia="en-US"/>
    </w:rPr>
  </w:style>
  <w:style w:type="character" w:customStyle="1" w:styleId="FooterChar">
    <w:name w:val="Footer Char"/>
    <w:basedOn w:val="DefaultParagraphFont"/>
    <w:link w:val="Footer"/>
    <w:uiPriority w:val="99"/>
    <w:rsid w:val="003447CF"/>
    <w:rPr>
      <w:rFonts w:ascii="Arial" w:eastAsiaTheme="minorHAnsi" w:hAnsi="Arial" w:cs="Arial"/>
      <w:color w:val="000000"/>
      <w:sz w:val="18"/>
      <w:szCs w:val="18"/>
      <w:lang w:val="en-US" w:eastAsia="en-US"/>
    </w:rPr>
  </w:style>
  <w:style w:type="paragraph" w:styleId="Title">
    <w:name w:val="Title"/>
    <w:basedOn w:val="Normal"/>
    <w:next w:val="Normal"/>
    <w:link w:val="TitleChar"/>
    <w:uiPriority w:val="10"/>
    <w:qFormat/>
    <w:rsid w:val="003447CF"/>
    <w:pPr>
      <w:suppressAutoHyphens/>
      <w:autoSpaceDE w:val="0"/>
      <w:autoSpaceDN w:val="0"/>
      <w:adjustRightInd w:val="0"/>
      <w:spacing w:before="4800" w:after="227" w:line="240" w:lineRule="auto"/>
      <w:ind w:left="5103"/>
      <w:jc w:val="right"/>
      <w:textAlignment w:val="center"/>
    </w:pPr>
    <w:rPr>
      <w:rFonts w:ascii="Arial" w:eastAsiaTheme="minorHAnsi" w:hAnsi="Arial" w:cs="Arial"/>
      <w:caps/>
      <w:color w:val="404040" w:themeColor="text1" w:themeTint="BF"/>
      <w:sz w:val="36"/>
      <w:szCs w:val="36"/>
      <w:lang w:val="en-GB" w:eastAsia="en-US"/>
    </w:rPr>
  </w:style>
  <w:style w:type="character" w:customStyle="1" w:styleId="TitleChar">
    <w:name w:val="Title Char"/>
    <w:basedOn w:val="DefaultParagraphFont"/>
    <w:link w:val="Title"/>
    <w:uiPriority w:val="10"/>
    <w:rsid w:val="003447CF"/>
    <w:rPr>
      <w:rFonts w:ascii="Arial" w:eastAsiaTheme="minorHAnsi" w:hAnsi="Arial" w:cs="Arial"/>
      <w:caps/>
      <w:color w:val="404040" w:themeColor="text1" w:themeTint="BF"/>
      <w:sz w:val="36"/>
      <w:szCs w:val="36"/>
      <w:lang w:val="en-GB" w:eastAsia="en-US"/>
    </w:rPr>
  </w:style>
  <w:style w:type="paragraph" w:styleId="Subtitle">
    <w:name w:val="Subtitle"/>
    <w:basedOn w:val="Normal"/>
    <w:next w:val="Normal"/>
    <w:link w:val="SubtitleChar"/>
    <w:uiPriority w:val="11"/>
    <w:qFormat/>
    <w:rsid w:val="003447CF"/>
    <w:pPr>
      <w:suppressAutoHyphens/>
      <w:autoSpaceDE w:val="0"/>
      <w:autoSpaceDN w:val="0"/>
      <w:adjustRightInd w:val="0"/>
      <w:spacing w:before="480" w:after="800" w:line="240" w:lineRule="auto"/>
      <w:ind w:left="5103"/>
      <w:jc w:val="right"/>
      <w:textAlignment w:val="center"/>
    </w:pPr>
    <w:rPr>
      <w:rFonts w:ascii="Arial" w:eastAsiaTheme="minorHAnsi" w:hAnsi="Arial" w:cs="Arial"/>
      <w:caps/>
      <w:noProof/>
      <w:color w:val="404040" w:themeColor="text1" w:themeTint="BF"/>
      <w:sz w:val="28"/>
      <w:szCs w:val="18"/>
      <w:lang w:val="en-GB" w:eastAsia="en-US"/>
    </w:rPr>
  </w:style>
  <w:style w:type="character" w:customStyle="1" w:styleId="SubtitleChar">
    <w:name w:val="Subtitle Char"/>
    <w:basedOn w:val="DefaultParagraphFont"/>
    <w:link w:val="Subtitle"/>
    <w:uiPriority w:val="11"/>
    <w:rsid w:val="003447CF"/>
    <w:rPr>
      <w:rFonts w:ascii="Arial" w:eastAsiaTheme="minorHAnsi" w:hAnsi="Arial" w:cs="Arial"/>
      <w:caps/>
      <w:noProof/>
      <w:color w:val="404040" w:themeColor="text1" w:themeTint="BF"/>
      <w:sz w:val="28"/>
      <w:szCs w:val="18"/>
      <w:lang w:val="en-GB" w:eastAsia="en-US"/>
    </w:rPr>
  </w:style>
  <w:style w:type="character" w:styleId="PageNumber">
    <w:name w:val="page number"/>
    <w:basedOn w:val="DefaultParagraphFont"/>
    <w:uiPriority w:val="99"/>
    <w:semiHidden/>
    <w:unhideWhenUsed/>
    <w:rsid w:val="00344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100" ma:contentTypeDescription="" ma:contentTypeScope="" ma:versionID="957224f1ad9fa51e7c70ed0d97469c58">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14afccb2e454921b44afe59bb4c5d6bf"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element name="TaxCatchAll" ma:index="97" nillable="true" ma:displayName="Taxonomy Catch All Column" ma:hidden="true" ma:list="{479708b4-ed95-4b3a-98a5-bab17fb599e3}" ma:internalName="TaxCatchAll" ma:showField="CatchAllData" ma:web="1f5b8516-1216-4929-a6bb-f7b72c32bd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element name="lcf76f155ced4ddcb4097134ff3c332f" ma:index="9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98" nillable="true" ma:displayName="MediaLengthInSeconds" ma:hidden="true" ma:internalName="MediaLengthInSeconds" ma:readOnly="true">
      <xsd:simpleType>
        <xsd:restriction base="dms:Unknown"/>
      </xsd:simpleType>
    </xsd:element>
    <xsd:element name="MediaServiceObjectDetectorVersions" ma:index="9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0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aac536-7ea5-4408-b36b-f6d0753895b7">
      <Terms xmlns="http://schemas.microsoft.com/office/infopath/2007/PartnerControls"/>
    </lcf76f155ced4ddcb4097134ff3c332f>
    <TaxCatchAll xmlns="1f5b8516-1216-4929-a6bb-f7b72c32bd97" xsi:nil="true"/>
    <SharedWithUsers xmlns="1f5b8516-1216-4929-a6bb-f7b72c32bd97">
      <UserInfo>
        <DisplayName>Roshani R Benedict (DJSIR)</DisplayName>
        <AccountId>1289</AccountId>
        <AccountType/>
      </UserInfo>
      <UserInfo>
        <DisplayName>Binen B Sharma (DJSIR)</DisplayName>
        <AccountId>178</AccountId>
        <AccountType/>
      </UserInfo>
      <UserInfo>
        <DisplayName>Thilaka Satha (DJSIR)</DisplayName>
        <AccountId>4422</AccountId>
        <AccountType/>
      </UserInfo>
      <UserInfo>
        <DisplayName>Kate Oo (DJSIR)</DisplayName>
        <AccountId>5151</AccountId>
        <AccountType/>
      </UserInfo>
      <UserInfo>
        <DisplayName>Lorna Jeremiah (DJSIR)</DisplayName>
        <AccountId>2830</AccountId>
        <AccountType/>
      </UserInfo>
      <UserInfo>
        <DisplayName>Chris J Harrington (DJSIR)</DisplayName>
        <AccountId>6020</AccountId>
        <AccountType/>
      </UserInfo>
      <UserInfo>
        <DisplayName>John R Lombard (DJSIR)</DisplayName>
        <AccountId>720</AccountId>
        <AccountType/>
      </UserInfo>
      <UserInfo>
        <DisplayName>Eliss M Kong (DJSIR)</DisplayName>
        <AccountId>5036</AccountId>
        <AccountType/>
      </UserInfo>
      <UserInfo>
        <DisplayName>Christopher B Rodgers (DJSIR)</DisplayName>
        <AccountId>4745</AccountId>
        <AccountType/>
      </UserInfo>
      <UserInfo>
        <DisplayName>Jo L Ryan (DJSIR)</DisplayName>
        <AccountId>3791</AccountId>
        <AccountType/>
      </UserInfo>
      <UserInfo>
        <DisplayName>Kym A Weaver (DJSIR)</DisplayName>
        <AccountId>690</AccountId>
        <AccountType/>
      </UserInfo>
      <UserInfo>
        <DisplayName>Xavier P Andriske (DJSIR)</DisplayName>
        <AccountId>90</AccountId>
        <AccountType/>
      </UserInfo>
      <UserInfo>
        <DisplayName>Patrick Ow (DJSIR)</DisplayName>
        <AccountId>5432</AccountId>
        <AccountType/>
      </UserInfo>
      <UserInfo>
        <DisplayName>Kate E Williams (DJSIR)</DisplayName>
        <AccountId>1238</AccountId>
        <AccountType/>
      </UserInfo>
      <UserInfo>
        <DisplayName>Dane G Meiklejohn (DJSIR)</DisplayName>
        <AccountId>2680</AccountId>
        <AccountType/>
      </UserInfo>
      <UserInfo>
        <DisplayName>Jess L Crespo (DJSIR)</DisplayName>
        <AccountId>5157</AccountId>
        <AccountType/>
      </UserInfo>
      <UserInfo>
        <DisplayName>Mardi Solomon (DJSIR)</DisplayName>
        <AccountId>1224</AccountId>
        <AccountType/>
      </UserInfo>
      <UserInfo>
        <DisplayName>Sujata Suntharalingam (DJSIR)</DisplayName>
        <AccountId>1986</AccountId>
        <AccountType/>
      </UserInfo>
      <UserInfo>
        <DisplayName>Ron Mak (DJSIR)</DisplayName>
        <AccountId>5511</AccountId>
        <AccountType/>
      </UserInfo>
      <UserInfo>
        <DisplayName>Nura X Yaacob (DJSIR)</DisplayName>
        <AccountId>5993</AccountId>
        <AccountType/>
      </UserInfo>
      <UserInfo>
        <DisplayName>Stewart A Cameron (DJSIR)</DisplayName>
        <AccountId>5164</AccountId>
        <AccountType/>
      </UserInfo>
      <UserInfo>
        <DisplayName>Ade A Adeniyi (DJSIR)</DisplayName>
        <AccountId>6152</AccountId>
        <AccountType/>
      </UserInfo>
      <UserInfo>
        <DisplayName>Daniel J Rodger (DJSIR)</DisplayName>
        <AccountId>52</AccountId>
        <AccountType/>
      </UserInfo>
      <UserInfo>
        <DisplayName>Karen M Shu (DJSIR)</DisplayName>
        <AccountId>5509</AccountId>
        <AccountType/>
      </UserInfo>
    </SharedWithUsers>
    <Organisation xmlns="1f5b8516-1216-4929-a6bb-f7b72c32bd97">Department of Jobs, Skills, Industry and Regions</Organisation>
    <Recommender1jobtitle xmlns="1f5b8516-1216-4929-a6bb-f7b72c32bd97">Deputy Secretary, Corporate Services</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2024-04-08T14:00:00+00:00</DecisionMakerDueDate>
    <Recommender4date xmlns="1f5b8516-1216-4929-a6bb-f7b72c32bd97" xsi:nil="true"/>
    <DecisionMaker1date xmlns="1f5b8516-1216-4929-a6bb-f7b72c32bd97">16/04/2024 02:58 PM</DecisionMaker1date>
    <RecordSubject xmlns="1f5b8516-1216-4929-a6bb-f7b72c32bd97">Update to DJPR/DJSIR Guide to Good Governance and Portfolio Performance</RecordSubject>
    <Recommender1workphone xmlns="1f5b8516-1216-4929-a6bb-f7b72c32bd97">96519999</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Performance and Governance</OrganisationLevel3>
    <Leadauthorfullname xmlns="1f5b8516-1216-4929-a6bb-f7b72c32bd97">Lorna Jeremiah (DJSIR)</Leadauthorfullname>
    <Recommender1fullname xmlns="1f5b8516-1216-4929-a6bb-f7b72c32bd97">Heather J Ridley (DJSIR)</Recommender1fullname>
    <Recommender4fullname xmlns="1f5b8516-1216-4929-a6bb-f7b72c32bd97" xsi:nil="true"/>
    <Recommender5jobtitle xmlns="1f5b8516-1216-4929-a6bb-f7b72c32bd97" xsi:nil="true"/>
    <DecisionMaker1fullname xmlns="1f5b8516-1216-4929-a6bb-f7b72c32bd97">Tim J Ada (DJSIR)</DecisionMaker1fullname>
    <DecisionMaker3jobtitle xmlns="1f5b8516-1216-4929-a6bb-f7b72c32bd97" xsi:nil="true"/>
    <VersionNumber xmlns="1f5b8516-1216-4929-a6bb-f7b72c32bd97" xsi:nil="true"/>
    <Leadauthordate xmlns="1f5b8516-1216-4929-a6bb-f7b72c32bd97">21/03/2024 04:12 PM</Leadauthordat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Senior Adviser, Planning and Governance</Leadauthorjobtitle>
    <Recommender2jobtitle xmlns="1f5b8516-1216-4929-a6bb-f7b72c32bd97" xsi:nil="true"/>
    <Recommender7fullname xmlns="1f5b8516-1216-4929-a6bb-f7b72c32bd97" xsi:nil="true"/>
    <Recommender8jobtitle xmlns="1f5b8516-1216-4929-a6bb-f7b72c32bd97" xsi:nil="true"/>
    <DecisionMaker2jobtitle xmlns="1f5b8516-1216-4929-a6bb-f7b72c32bd97" xsi:nil="true"/>
    <Notifydecisionfullname xmlns="1f5b8516-1216-4929-a6bb-f7b72c32bd97">Lorna Jeremiah (DJSIR) - Senior Adviser, Planning and Governance;  Thilaka Satha (DJSIR) - Manager Business Planning and Governance;  Natasha M Tissingham (DJSIR) - Director, Performance, Governance and Business Continuity</Notifydecisionfullname>
    <Recommender1date xmlns="1f5b8516-1216-4929-a6bb-f7b72c32bd97">15/04/2024 03:53 PM</Recommender1date>
    <Recommender6date xmlns="1f5b8516-1216-4929-a6bb-f7b72c32bd97" xsi:nil="true"/>
    <Recommender2workphone xmlns="1f5b8516-1216-4929-a6bb-f7b72c32bd97" xsi:nil="true"/>
    <DecisionMaker1workphone xmlns="1f5b8516-1216-4929-a6bb-f7b72c32bd97">96519999</DecisionMaker1workphone>
    <Decisioncategory xmlns="1f5b8516-1216-4929-a6bb-f7b72c32bd97">Secretary - Department of Jobs, Skills, Industry and Regions</Decisioncategory>
    <AccountableOfficerworkphone xmlns="1f5b8516-1216-4929-a6bb-f7b72c32bd97">0383927043</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Lorna Jeremiah (DJSIR) - Senior Adviser, Planning and Governance;  Thilaka Satha (DJSIR) - Manager Business Planning and Governance;  Natasha M Tissingham (DJSIR) - Director, Performance, Governance and Business Continuity</Notifyrecommendationfullname>
    <Leadauthorworkphone xmlns="1f5b8516-1216-4929-a6bb-f7b72c32bd97">96519999</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Corporate Services</OrganisationLevel1>
    <RequestFrom xmlns="1f5b8516-1216-4929-a6bb-f7b72c32bd97">Organisation</RequestFrom>
    <AccountableOfficerdate xmlns="1f5b8516-1216-4929-a6bb-f7b72c32bd97">15/04/2024 10:30 AM</AccountableOfficerdate>
    <Recommender2fullname xmlns="1f5b8516-1216-4929-a6bb-f7b72c32bd97" xsi:nil="true"/>
    <Recommender7jobtitle xmlns="1f5b8516-1216-4929-a6bb-f7b72c32bd97" xsi:nil="true"/>
    <DecisionMaker1jobtitle xmlns="1f5b8516-1216-4929-a6bb-f7b72c32bd97">Secretary</DecisionMaker1jobtitle>
    <DecisionMaker3fullname xmlns="1f5b8516-1216-4929-a6bb-f7b72c32bd97" xsi:nil="true"/>
    <RecommenderDueDate xmlns="1f5b8516-1216-4929-a6bb-f7b72c32bd97">2024-03-26T13:00:00+00:00</RecommenderDueDate>
    <RecordSubtype xmlns="1f5b8516-1216-4929-a6bb-f7b72c32bd97">Secretarial Briefing</RecordSubtype>
    <AccountableOfficerfullname xmlns="1f5b8516-1216-4929-a6bb-f7b72c32bd97">Kim M McGinnes (DJSIR)</AccountableOfficerfullname>
    <AccountableOfficerjobtitle xmlns="1f5b8516-1216-4929-a6bb-f7b72c32bd97">Executive Director Strategy, Performance and Governance</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2024-04-11T14:00:00+00:00</DecisionRequired>
    <DecisionMaker2decision xmlns="1f5b8516-1216-4929-a6bb-f7b72c32bd97" xsi:nil="true"/>
    <OrganisationLevel2 xmlns="1f5b8516-1216-4929-a6bb-f7b72c32bd97">Performance and Governance</OrganisationLevel2>
    <RegistrationNumber xmlns="1f5b8516-1216-4929-a6bb-f7b72c32bd97">BSEC-2-24-37233</RegistrationNumber>
  </documentManagement>
</p:properties>
</file>

<file path=customXml/itemProps1.xml><?xml version="1.0" encoding="utf-8"?>
<ds:datastoreItem xmlns:ds="http://schemas.openxmlformats.org/officeDocument/2006/customXml" ds:itemID="{8B1056CA-2DA1-4AB2-BEF9-3285E6642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3.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4.xml><?xml version="1.0" encoding="utf-8"?>
<ds:datastoreItem xmlns:ds="http://schemas.openxmlformats.org/officeDocument/2006/customXml" ds:itemID="{734B537C-1545-4258-949A-B7DD7339DBFB}">
  <ds:schemaRefs>
    <ds:schemaRef ds:uri="http://purl.org/dc/elements/1.1/"/>
    <ds:schemaRef ds:uri="http://schemas.microsoft.com/office/2006/metadata/properties"/>
    <ds:schemaRef ds:uri="http://purl.org/dc/terms/"/>
    <ds:schemaRef ds:uri="c9aac536-7ea5-4408-b36b-f6d0753895b7"/>
    <ds:schemaRef ds:uri="http://schemas.microsoft.com/office/2006/documentManagement/types"/>
    <ds:schemaRef ds:uri="http://schemas.microsoft.com/office/infopath/2007/PartnerControls"/>
    <ds:schemaRef ds:uri="1f5b8516-1216-4929-a6bb-f7b72c32bd9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19268</Words>
  <Characters>109830</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128841</CharactersWithSpaces>
  <SharedDoc>false</SharedDoc>
  <HLinks>
    <vt:vector size="1548" baseType="variant">
      <vt:variant>
        <vt:i4>5439488</vt:i4>
      </vt:variant>
      <vt:variant>
        <vt:i4>1029</vt:i4>
      </vt:variant>
      <vt:variant>
        <vt:i4>0</vt:i4>
      </vt:variant>
      <vt:variant>
        <vt:i4>5</vt:i4>
      </vt:variant>
      <vt:variant>
        <vt:lpwstr>http://www.ibac.vic.gov.au/preventing-corruption</vt:lpwstr>
      </vt:variant>
      <vt:variant>
        <vt:lpwstr/>
      </vt:variant>
      <vt:variant>
        <vt:i4>7012400</vt:i4>
      </vt:variant>
      <vt:variant>
        <vt:i4>1026</vt:i4>
      </vt:variant>
      <vt:variant>
        <vt:i4>0</vt:i4>
      </vt:variant>
      <vt:variant>
        <vt:i4>5</vt:i4>
      </vt:variant>
      <vt:variant>
        <vt:lpwstr>http://www.ibac.vic.gov.au/investigating-corruption</vt:lpwstr>
      </vt:variant>
      <vt:variant>
        <vt:lpwstr/>
      </vt:variant>
      <vt:variant>
        <vt:i4>1966104</vt:i4>
      </vt:variant>
      <vt:variant>
        <vt:i4>1023</vt:i4>
      </vt:variant>
      <vt:variant>
        <vt:i4>0</vt:i4>
      </vt:variant>
      <vt:variant>
        <vt:i4>5</vt:i4>
      </vt:variant>
      <vt:variant>
        <vt:lpwstr>http://www.ibac.vic.gov.au/reporting-corruption/what-can-you-complain-about/what-is-police-misconduct</vt:lpwstr>
      </vt:variant>
      <vt:variant>
        <vt:lpwstr/>
      </vt:variant>
      <vt:variant>
        <vt:i4>6357028</vt:i4>
      </vt:variant>
      <vt:variant>
        <vt:i4>1020</vt:i4>
      </vt:variant>
      <vt:variant>
        <vt:i4>0</vt:i4>
      </vt:variant>
      <vt:variant>
        <vt:i4>5</vt:i4>
      </vt:variant>
      <vt:variant>
        <vt:lpwstr>http://www.ibac.vic.gov.au/reporting-corruption/what-can-you-complain-about/what-is-corruption</vt:lpwstr>
      </vt:variant>
      <vt:variant>
        <vt:lpwstr/>
      </vt:variant>
      <vt:variant>
        <vt:i4>262158</vt:i4>
      </vt:variant>
      <vt:variant>
        <vt:i4>1017</vt:i4>
      </vt:variant>
      <vt:variant>
        <vt:i4>0</vt:i4>
      </vt:variant>
      <vt:variant>
        <vt:i4>5</vt:i4>
      </vt:variant>
      <vt:variant>
        <vt:lpwstr>http://www.djsir.vic.gov.au/</vt:lpwstr>
      </vt:variant>
      <vt:variant>
        <vt:lpwstr/>
      </vt:variant>
      <vt:variant>
        <vt:i4>5439489</vt:i4>
      </vt:variant>
      <vt:variant>
        <vt:i4>1014</vt:i4>
      </vt:variant>
      <vt:variant>
        <vt:i4>0</vt:i4>
      </vt:variant>
      <vt:variant>
        <vt:i4>5</vt:i4>
      </vt:variant>
      <vt:variant>
        <vt:lpwstr>https://djsir.vic.gov.au/about-us/overview/policy-framework/child-safety-at-djsir</vt:lpwstr>
      </vt:variant>
      <vt:variant>
        <vt:lpwstr>child-safe-standards</vt:lpwstr>
      </vt:variant>
      <vt:variant>
        <vt:i4>7602287</vt:i4>
      </vt:variant>
      <vt:variant>
        <vt:i4>1011</vt:i4>
      </vt:variant>
      <vt:variant>
        <vt:i4>0</vt:i4>
      </vt:variant>
      <vt:variant>
        <vt:i4>5</vt:i4>
      </vt:variant>
      <vt:variant>
        <vt:lpwstr>http://www.justice.vic.gov.au/</vt:lpwstr>
      </vt:variant>
      <vt:variant>
        <vt:lpwstr/>
      </vt:variant>
      <vt:variant>
        <vt:i4>2883697</vt:i4>
      </vt:variant>
      <vt:variant>
        <vt:i4>1008</vt:i4>
      </vt:variant>
      <vt:variant>
        <vt:i4>0</vt:i4>
      </vt:variant>
      <vt:variant>
        <vt:i4>5</vt:i4>
      </vt:variant>
      <vt:variant>
        <vt:lpwstr>https://www.justice.vic.gov.au/safer-communities/protecting-children-and-families/organisations-providing-services-to-children-new</vt:lpwstr>
      </vt:variant>
      <vt:variant>
        <vt:lpwstr/>
      </vt:variant>
      <vt:variant>
        <vt:i4>6291492</vt:i4>
      </vt:variant>
      <vt:variant>
        <vt:i4>1005</vt:i4>
      </vt:variant>
      <vt:variant>
        <vt:i4>0</vt:i4>
      </vt:variant>
      <vt:variant>
        <vt:i4>5</vt:i4>
      </vt:variant>
      <vt:variant>
        <vt:lpwstr>http://www.nationalredress.gov.au/</vt:lpwstr>
      </vt:variant>
      <vt:variant>
        <vt:lpwstr/>
      </vt:variant>
      <vt:variant>
        <vt:i4>131125</vt:i4>
      </vt:variant>
      <vt:variant>
        <vt:i4>1002</vt:i4>
      </vt:variant>
      <vt:variant>
        <vt:i4>0</vt:i4>
      </vt:variant>
      <vt:variant>
        <vt:i4>5</vt:i4>
      </vt:variant>
      <vt:variant>
        <vt:lpwstr>https://www.nationalredress.gov.au/?gclid=EAIaIQobChMI7_Dty-7RgwMVi6VmAh1Z4QTlEAAYASAAEgJ_RvD_BwE&amp;gclsrc=aw.ds</vt:lpwstr>
      </vt:variant>
      <vt:variant>
        <vt:lpwstr/>
      </vt:variant>
      <vt:variant>
        <vt:i4>7077926</vt:i4>
      </vt:variant>
      <vt:variant>
        <vt:i4>999</vt:i4>
      </vt:variant>
      <vt:variant>
        <vt:i4>0</vt:i4>
      </vt:variant>
      <vt:variant>
        <vt:i4>5</vt:i4>
      </vt:variant>
      <vt:variant>
        <vt:lpwstr>http://www.ccyp.vic.gov.au/</vt:lpwstr>
      </vt:variant>
      <vt:variant>
        <vt:lpwstr/>
      </vt:variant>
      <vt:variant>
        <vt:i4>6553713</vt:i4>
      </vt:variant>
      <vt:variant>
        <vt:i4>996</vt:i4>
      </vt:variant>
      <vt:variant>
        <vt:i4>0</vt:i4>
      </vt:variant>
      <vt:variant>
        <vt:i4>5</vt:i4>
      </vt:variant>
      <vt:variant>
        <vt:lpwstr>https://ccyp.vic.gov.au/reportable-conduct-scheme/</vt:lpwstr>
      </vt:variant>
      <vt:variant>
        <vt:lpwstr/>
      </vt:variant>
      <vt:variant>
        <vt:i4>7077926</vt:i4>
      </vt:variant>
      <vt:variant>
        <vt:i4>993</vt:i4>
      </vt:variant>
      <vt:variant>
        <vt:i4>0</vt:i4>
      </vt:variant>
      <vt:variant>
        <vt:i4>5</vt:i4>
      </vt:variant>
      <vt:variant>
        <vt:lpwstr>http://www.ccyp.vic.gov.au/</vt:lpwstr>
      </vt:variant>
      <vt:variant>
        <vt:lpwstr/>
      </vt:variant>
      <vt:variant>
        <vt:i4>1179726</vt:i4>
      </vt:variant>
      <vt:variant>
        <vt:i4>990</vt:i4>
      </vt:variant>
      <vt:variant>
        <vt:i4>0</vt:i4>
      </vt:variant>
      <vt:variant>
        <vt:i4>5</vt:i4>
      </vt:variant>
      <vt:variant>
        <vt:lpwstr>https://ccyp.vic.gov.au/child-safe-standards/</vt:lpwstr>
      </vt:variant>
      <vt:variant>
        <vt:lpwstr/>
      </vt:variant>
      <vt:variant>
        <vt:i4>262158</vt:i4>
      </vt:variant>
      <vt:variant>
        <vt:i4>987</vt:i4>
      </vt:variant>
      <vt:variant>
        <vt:i4>0</vt:i4>
      </vt:variant>
      <vt:variant>
        <vt:i4>5</vt:i4>
      </vt:variant>
      <vt:variant>
        <vt:lpwstr>http://www.djsir.vic.gov.au/</vt:lpwstr>
      </vt:variant>
      <vt:variant>
        <vt:lpwstr/>
      </vt:variant>
      <vt:variant>
        <vt:i4>8257588</vt:i4>
      </vt:variant>
      <vt:variant>
        <vt:i4>978</vt:i4>
      </vt:variant>
      <vt:variant>
        <vt:i4>0</vt:i4>
      </vt:variant>
      <vt:variant>
        <vt:i4>5</vt:i4>
      </vt:variant>
      <vt:variant>
        <vt:lpwstr>http://www.ibac.vic.gov.au/</vt:lpwstr>
      </vt:variant>
      <vt:variant>
        <vt:lpwstr/>
      </vt:variant>
      <vt:variant>
        <vt:i4>4915225</vt:i4>
      </vt:variant>
      <vt:variant>
        <vt:i4>975</vt:i4>
      </vt:variant>
      <vt:variant>
        <vt:i4>0</vt:i4>
      </vt:variant>
      <vt:variant>
        <vt:i4>5</vt:i4>
      </vt:variant>
      <vt:variant>
        <vt:lpwstr>https://www.ibac.vic.gov.au/publications-and-resources/article/guidelines-for-protected-disclosure-welfare-management</vt:lpwstr>
      </vt:variant>
      <vt:variant>
        <vt:lpwstr/>
      </vt:variant>
      <vt:variant>
        <vt:i4>8257588</vt:i4>
      </vt:variant>
      <vt:variant>
        <vt:i4>972</vt:i4>
      </vt:variant>
      <vt:variant>
        <vt:i4>0</vt:i4>
      </vt:variant>
      <vt:variant>
        <vt:i4>5</vt:i4>
      </vt:variant>
      <vt:variant>
        <vt:lpwstr>http://www.ibac.vic.gov.au/</vt:lpwstr>
      </vt:variant>
      <vt:variant>
        <vt:lpwstr/>
      </vt:variant>
      <vt:variant>
        <vt:i4>7340133</vt:i4>
      </vt:variant>
      <vt:variant>
        <vt:i4>969</vt:i4>
      </vt:variant>
      <vt:variant>
        <vt:i4>0</vt:i4>
      </vt:variant>
      <vt:variant>
        <vt:i4>5</vt:i4>
      </vt:variant>
      <vt:variant>
        <vt:lpwstr>https://www.ibac.vic.gov.au/publications-and-resources/article/guidelines-for-making-and-handling-protected-disclosures</vt:lpwstr>
      </vt:variant>
      <vt:variant>
        <vt:lpwstr/>
      </vt:variant>
      <vt:variant>
        <vt:i4>262158</vt:i4>
      </vt:variant>
      <vt:variant>
        <vt:i4>966</vt:i4>
      </vt:variant>
      <vt:variant>
        <vt:i4>0</vt:i4>
      </vt:variant>
      <vt:variant>
        <vt:i4>5</vt:i4>
      </vt:variant>
      <vt:variant>
        <vt:lpwstr>http://www.djsir.vic.gov.au/</vt:lpwstr>
      </vt:variant>
      <vt:variant>
        <vt:lpwstr/>
      </vt:variant>
      <vt:variant>
        <vt:i4>7471157</vt:i4>
      </vt:variant>
      <vt:variant>
        <vt:i4>963</vt:i4>
      </vt:variant>
      <vt:variant>
        <vt:i4>0</vt:i4>
      </vt:variant>
      <vt:variant>
        <vt:i4>5</vt:i4>
      </vt:variant>
      <vt:variant>
        <vt:lpwstr>https://djsir.vic.gov.au/about-us/overview/policy-framework/gifts,-benefits-and-hospitality-policy</vt:lpwstr>
      </vt:variant>
      <vt:variant>
        <vt:lpwstr/>
      </vt:variant>
      <vt:variant>
        <vt:i4>7536678</vt:i4>
      </vt:variant>
      <vt:variant>
        <vt:i4>957</vt:i4>
      </vt:variant>
      <vt:variant>
        <vt:i4>0</vt:i4>
      </vt:variant>
      <vt:variant>
        <vt:i4>5</vt:i4>
      </vt:variant>
      <vt:variant>
        <vt:lpwstr>http://www.vpsc.vic.gov.au/</vt:lpwstr>
      </vt:variant>
      <vt:variant>
        <vt:lpwstr/>
      </vt:variant>
      <vt:variant>
        <vt:i4>5701725</vt:i4>
      </vt:variant>
      <vt:variant>
        <vt:i4>954</vt:i4>
      </vt:variant>
      <vt:variant>
        <vt:i4>0</vt:i4>
      </vt:variant>
      <vt:variant>
        <vt:i4>5</vt:i4>
      </vt:variant>
      <vt:variant>
        <vt:lpwstr>https://vpsc.vic.gov.au/ethics-behaviours-culture/gifts-benefits-hospitality/gifts-benefits-and-hospitality-policy-guide/</vt:lpwstr>
      </vt:variant>
      <vt:variant>
        <vt:lpwstr/>
      </vt:variant>
      <vt:variant>
        <vt:i4>262158</vt:i4>
      </vt:variant>
      <vt:variant>
        <vt:i4>948</vt:i4>
      </vt:variant>
      <vt:variant>
        <vt:i4>0</vt:i4>
      </vt:variant>
      <vt:variant>
        <vt:i4>5</vt:i4>
      </vt:variant>
      <vt:variant>
        <vt:lpwstr>http://www.djsir.vic.gov.au/</vt:lpwstr>
      </vt:variant>
      <vt:variant>
        <vt:lpwstr/>
      </vt:variant>
      <vt:variant>
        <vt:i4>262158</vt:i4>
      </vt:variant>
      <vt:variant>
        <vt:i4>945</vt:i4>
      </vt:variant>
      <vt:variant>
        <vt:i4>0</vt:i4>
      </vt:variant>
      <vt:variant>
        <vt:i4>5</vt:i4>
      </vt:variant>
      <vt:variant>
        <vt:lpwstr>http://www.djsir.vic.gov.au/</vt:lpwstr>
      </vt:variant>
      <vt:variant>
        <vt:lpwstr/>
      </vt:variant>
      <vt:variant>
        <vt:i4>262158</vt:i4>
      </vt:variant>
      <vt:variant>
        <vt:i4>942</vt:i4>
      </vt:variant>
      <vt:variant>
        <vt:i4>0</vt:i4>
      </vt:variant>
      <vt:variant>
        <vt:i4>5</vt:i4>
      </vt:variant>
      <vt:variant>
        <vt:lpwstr>http://www.djsir.vic.gov.au/</vt:lpwstr>
      </vt:variant>
      <vt:variant>
        <vt:lpwstr/>
      </vt:variant>
      <vt:variant>
        <vt:i4>7536678</vt:i4>
      </vt:variant>
      <vt:variant>
        <vt:i4>939</vt:i4>
      </vt:variant>
      <vt:variant>
        <vt:i4>0</vt:i4>
      </vt:variant>
      <vt:variant>
        <vt:i4>5</vt:i4>
      </vt:variant>
      <vt:variant>
        <vt:lpwstr>http://www.vpsc.vic.gov.au/</vt:lpwstr>
      </vt:variant>
      <vt:variant>
        <vt:lpwstr/>
      </vt:variant>
      <vt:variant>
        <vt:i4>1048578</vt:i4>
      </vt:variant>
      <vt:variant>
        <vt:i4>936</vt:i4>
      </vt:variant>
      <vt:variant>
        <vt:i4>0</vt:i4>
      </vt:variant>
      <vt:variant>
        <vt:i4>5</vt:i4>
      </vt:variant>
      <vt:variant>
        <vt:lpwstr>https://vpsc.vic.gov.au/about-vpsc/updates-from-the-commissioner/integrity-guide-for-new-board-directors/</vt:lpwstr>
      </vt:variant>
      <vt:variant>
        <vt:lpwstr/>
      </vt:variant>
      <vt:variant>
        <vt:i4>262158</vt:i4>
      </vt:variant>
      <vt:variant>
        <vt:i4>933</vt:i4>
      </vt:variant>
      <vt:variant>
        <vt:i4>0</vt:i4>
      </vt:variant>
      <vt:variant>
        <vt:i4>5</vt:i4>
      </vt:variant>
      <vt:variant>
        <vt:lpwstr>http://www.djsir.vic.gov.au/</vt:lpwstr>
      </vt:variant>
      <vt:variant>
        <vt:lpwstr/>
      </vt:variant>
      <vt:variant>
        <vt:i4>7536678</vt:i4>
      </vt:variant>
      <vt:variant>
        <vt:i4>927</vt:i4>
      </vt:variant>
      <vt:variant>
        <vt:i4>0</vt:i4>
      </vt:variant>
      <vt:variant>
        <vt:i4>5</vt:i4>
      </vt:variant>
      <vt:variant>
        <vt:lpwstr>http://www.vpsc.vic.gov.au/</vt:lpwstr>
      </vt:variant>
      <vt:variant>
        <vt:lpwstr/>
      </vt:variant>
      <vt:variant>
        <vt:i4>7405670</vt:i4>
      </vt:variant>
      <vt:variant>
        <vt:i4>924</vt:i4>
      </vt:variant>
      <vt:variant>
        <vt:i4>0</vt:i4>
      </vt:variant>
      <vt:variant>
        <vt:i4>5</vt:i4>
      </vt:variant>
      <vt:variant>
        <vt:lpwstr>https://vpsc.vic.gov.au/ethics-behaviours-culture/conflict-of-interest/conflict-of-interest-guidance-for-organisations/</vt:lpwstr>
      </vt:variant>
      <vt:variant>
        <vt:lpwstr/>
      </vt:variant>
      <vt:variant>
        <vt:i4>7536678</vt:i4>
      </vt:variant>
      <vt:variant>
        <vt:i4>921</vt:i4>
      </vt:variant>
      <vt:variant>
        <vt:i4>0</vt:i4>
      </vt:variant>
      <vt:variant>
        <vt:i4>5</vt:i4>
      </vt:variant>
      <vt:variant>
        <vt:lpwstr>http://www.vpsc.vic.gov.au/</vt:lpwstr>
      </vt:variant>
      <vt:variant>
        <vt:lpwstr/>
      </vt:variant>
      <vt:variant>
        <vt:i4>8257576</vt:i4>
      </vt:variant>
      <vt:variant>
        <vt:i4>918</vt:i4>
      </vt:variant>
      <vt:variant>
        <vt:i4>0</vt:i4>
      </vt:variant>
      <vt:variant>
        <vt:i4>5</vt:i4>
      </vt:variant>
      <vt:variant>
        <vt:lpwstr>https://vpsc.vic.gov.au/wp-content/uploads/2016/03/VPSC_Code_Directors_2016_Booklet.pdf</vt:lpwstr>
      </vt:variant>
      <vt:variant>
        <vt:lpwstr/>
      </vt:variant>
      <vt:variant>
        <vt:i4>7536678</vt:i4>
      </vt:variant>
      <vt:variant>
        <vt:i4>915</vt:i4>
      </vt:variant>
      <vt:variant>
        <vt:i4>0</vt:i4>
      </vt:variant>
      <vt:variant>
        <vt:i4>5</vt:i4>
      </vt:variant>
      <vt:variant>
        <vt:lpwstr>http://www.vpsc.vic.gov.au/</vt:lpwstr>
      </vt:variant>
      <vt:variant>
        <vt:lpwstr/>
      </vt:variant>
      <vt:variant>
        <vt:i4>1376365</vt:i4>
      </vt:variant>
      <vt:variant>
        <vt:i4>912</vt:i4>
      </vt:variant>
      <vt:variant>
        <vt:i4>0</vt:i4>
      </vt:variant>
      <vt:variant>
        <vt:i4>5</vt:i4>
      </vt:variant>
      <vt:variant>
        <vt:lpwstr>https://vpsc.vic.gov.au/wp-content/uploads/2015/03/VPSC_Code_VPSE_WEB.pdf</vt:lpwstr>
      </vt:variant>
      <vt:variant>
        <vt:lpwstr/>
      </vt:variant>
      <vt:variant>
        <vt:i4>25</vt:i4>
      </vt:variant>
      <vt:variant>
        <vt:i4>909</vt:i4>
      </vt:variant>
      <vt:variant>
        <vt:i4>0</vt:i4>
      </vt:variant>
      <vt:variant>
        <vt:i4>5</vt:i4>
      </vt:variant>
      <vt:variant>
        <vt:lpwstr>http://www.buyingfor.vic.gov.au/</vt:lpwstr>
      </vt:variant>
      <vt:variant>
        <vt:lpwstr/>
      </vt:variant>
      <vt:variant>
        <vt:i4>2097207</vt:i4>
      </vt:variant>
      <vt:variant>
        <vt:i4>906</vt:i4>
      </vt:variant>
      <vt:variant>
        <vt:i4>0</vt:i4>
      </vt:variant>
      <vt:variant>
        <vt:i4>5</vt:i4>
      </vt:variant>
      <vt:variant>
        <vt:lpwstr>https://www.buyingfor.vic.gov.au/supplier-code-conduct</vt:lpwstr>
      </vt:variant>
      <vt:variant>
        <vt:lpwstr/>
      </vt:variant>
      <vt:variant>
        <vt:i4>7536678</vt:i4>
      </vt:variant>
      <vt:variant>
        <vt:i4>900</vt:i4>
      </vt:variant>
      <vt:variant>
        <vt:i4>0</vt:i4>
      </vt:variant>
      <vt:variant>
        <vt:i4>5</vt:i4>
      </vt:variant>
      <vt:variant>
        <vt:lpwstr>http://www.vpsc.vic.gov.au/</vt:lpwstr>
      </vt:variant>
      <vt:variant>
        <vt:lpwstr/>
      </vt:variant>
      <vt:variant>
        <vt:i4>5046280</vt:i4>
      </vt:variant>
      <vt:variant>
        <vt:i4>897</vt:i4>
      </vt:variant>
      <vt:variant>
        <vt:i4>0</vt:i4>
      </vt:variant>
      <vt:variant>
        <vt:i4>5</vt:i4>
      </vt:variant>
      <vt:variant>
        <vt:lpwstr>https://www.boards.vic.gov.au/conflicts-interest-and-duty-board-director</vt:lpwstr>
      </vt:variant>
      <vt:variant>
        <vt:lpwstr/>
      </vt:variant>
      <vt:variant>
        <vt:i4>7536678</vt:i4>
      </vt:variant>
      <vt:variant>
        <vt:i4>894</vt:i4>
      </vt:variant>
      <vt:variant>
        <vt:i4>0</vt:i4>
      </vt:variant>
      <vt:variant>
        <vt:i4>5</vt:i4>
      </vt:variant>
      <vt:variant>
        <vt:lpwstr>http://www.vpsc.vic.gov.au/</vt:lpwstr>
      </vt:variant>
      <vt:variant>
        <vt:lpwstr/>
      </vt:variant>
      <vt:variant>
        <vt:i4>3473515</vt:i4>
      </vt:variant>
      <vt:variant>
        <vt:i4>888</vt:i4>
      </vt:variant>
      <vt:variant>
        <vt:i4>0</vt:i4>
      </vt:variant>
      <vt:variant>
        <vt:i4>5</vt:i4>
      </vt:variant>
      <vt:variant>
        <vt:lpwstr>https://www.boards.vic.gov.au/code-conduct-directors-victorian-public-entities</vt:lpwstr>
      </vt:variant>
      <vt:variant>
        <vt:lpwstr/>
      </vt:variant>
      <vt:variant>
        <vt:i4>7536678</vt:i4>
      </vt:variant>
      <vt:variant>
        <vt:i4>885</vt:i4>
      </vt:variant>
      <vt:variant>
        <vt:i4>0</vt:i4>
      </vt:variant>
      <vt:variant>
        <vt:i4>5</vt:i4>
      </vt:variant>
      <vt:variant>
        <vt:lpwstr>http://www.vpsc.vic.gov.au/</vt:lpwstr>
      </vt:variant>
      <vt:variant>
        <vt:lpwstr/>
      </vt:variant>
      <vt:variant>
        <vt:i4>6684797</vt:i4>
      </vt:variant>
      <vt:variant>
        <vt:i4>882</vt:i4>
      </vt:variant>
      <vt:variant>
        <vt:i4>0</vt:i4>
      </vt:variant>
      <vt:variant>
        <vt:i4>5</vt:i4>
      </vt:variant>
      <vt:variant>
        <vt:lpwstr>http://www.dpc.vic.gov.au/</vt:lpwstr>
      </vt:variant>
      <vt:variant>
        <vt:lpwstr/>
      </vt:variant>
      <vt:variant>
        <vt:i4>6619243</vt:i4>
      </vt:variant>
      <vt:variant>
        <vt:i4>879</vt:i4>
      </vt:variant>
      <vt:variant>
        <vt:i4>0</vt:i4>
      </vt:variant>
      <vt:variant>
        <vt:i4>5</vt:i4>
      </vt:variant>
      <vt:variant>
        <vt:lpwstr>https://content.vic.gov.au/sites/default/files/2018-12/Ensuring Good Governance and Transparency Through Integrity of Data on Victorian Government Appointments and Public Entities.PDF</vt:lpwstr>
      </vt:variant>
      <vt:variant>
        <vt:lpwstr/>
      </vt:variant>
      <vt:variant>
        <vt:i4>720980</vt:i4>
      </vt:variant>
      <vt:variant>
        <vt:i4>876</vt:i4>
      </vt:variant>
      <vt:variant>
        <vt:i4>0</vt:i4>
      </vt:variant>
      <vt:variant>
        <vt:i4>5</vt:i4>
      </vt:variant>
      <vt:variant>
        <vt:lpwstr>http://www.health.vic.gov.au/</vt:lpwstr>
      </vt:variant>
      <vt:variant>
        <vt:lpwstr/>
      </vt:variant>
      <vt:variant>
        <vt:i4>3145846</vt:i4>
      </vt:variant>
      <vt:variant>
        <vt:i4>873</vt:i4>
      </vt:variant>
      <vt:variant>
        <vt:i4>0</vt:i4>
      </vt:variant>
      <vt:variant>
        <vt:i4>5</vt:i4>
      </vt:variant>
      <vt:variant>
        <vt:lpwstr>https://www.health.vic.gov.au/publications/language-services-policy</vt:lpwstr>
      </vt:variant>
      <vt:variant>
        <vt:lpwstr/>
      </vt:variant>
      <vt:variant>
        <vt:i4>720980</vt:i4>
      </vt:variant>
      <vt:variant>
        <vt:i4>870</vt:i4>
      </vt:variant>
      <vt:variant>
        <vt:i4>0</vt:i4>
      </vt:variant>
      <vt:variant>
        <vt:i4>5</vt:i4>
      </vt:variant>
      <vt:variant>
        <vt:lpwstr>http://www.health.vic.gov.au/</vt:lpwstr>
      </vt:variant>
      <vt:variant>
        <vt:lpwstr/>
      </vt:variant>
      <vt:variant>
        <vt:i4>5767175</vt:i4>
      </vt:variant>
      <vt:variant>
        <vt:i4>867</vt:i4>
      </vt:variant>
      <vt:variant>
        <vt:i4>0</vt:i4>
      </vt:variant>
      <vt:variant>
        <vt:i4>5</vt:i4>
      </vt:variant>
      <vt:variant>
        <vt:lpwstr>https://www.health.vic.gov.au/populations/designing-for-diversity</vt:lpwstr>
      </vt:variant>
      <vt:variant>
        <vt:lpwstr/>
      </vt:variant>
      <vt:variant>
        <vt:i4>6684797</vt:i4>
      </vt:variant>
      <vt:variant>
        <vt:i4>864</vt:i4>
      </vt:variant>
      <vt:variant>
        <vt:i4>0</vt:i4>
      </vt:variant>
      <vt:variant>
        <vt:i4>5</vt:i4>
      </vt:variant>
      <vt:variant>
        <vt:lpwstr>http://www.dpc.vic.gov.au/</vt:lpwstr>
      </vt:variant>
      <vt:variant>
        <vt:lpwstr/>
      </vt:variant>
      <vt:variant>
        <vt:i4>2818170</vt:i4>
      </vt:variant>
      <vt:variant>
        <vt:i4>861</vt:i4>
      </vt:variant>
      <vt:variant>
        <vt:i4>0</vt:i4>
      </vt:variant>
      <vt:variant>
        <vt:i4>5</vt:i4>
      </vt:variant>
      <vt:variant>
        <vt:lpwstr>https://www.vic.gov.au/diversity-victorian-government-board-guidelines</vt:lpwstr>
      </vt:variant>
      <vt:variant>
        <vt:lpwstr/>
      </vt:variant>
      <vt:variant>
        <vt:i4>7536678</vt:i4>
      </vt:variant>
      <vt:variant>
        <vt:i4>858</vt:i4>
      </vt:variant>
      <vt:variant>
        <vt:i4>0</vt:i4>
      </vt:variant>
      <vt:variant>
        <vt:i4>5</vt:i4>
      </vt:variant>
      <vt:variant>
        <vt:lpwstr>http://www.vpsc.vic.gov.au/</vt:lpwstr>
      </vt:variant>
      <vt:variant>
        <vt:lpwstr/>
      </vt:variant>
      <vt:variant>
        <vt:i4>1376322</vt:i4>
      </vt:variant>
      <vt:variant>
        <vt:i4>855</vt:i4>
      </vt:variant>
      <vt:variant>
        <vt:i4>0</vt:i4>
      </vt:variant>
      <vt:variant>
        <vt:i4>5</vt:i4>
      </vt:variant>
      <vt:variant>
        <vt:lpwstr>https://vpsc.vic.gov.au/toolkits/wellbeing/employees-with-disability/</vt:lpwstr>
      </vt:variant>
      <vt:variant>
        <vt:lpwstr/>
      </vt:variant>
      <vt:variant>
        <vt:i4>327767</vt:i4>
      </vt:variant>
      <vt:variant>
        <vt:i4>852</vt:i4>
      </vt:variant>
      <vt:variant>
        <vt:i4>0</vt:i4>
      </vt:variant>
      <vt:variant>
        <vt:i4>5</vt:i4>
      </vt:variant>
      <vt:variant>
        <vt:lpwstr>http://www.yoorrookjusticecommission.org.au/</vt:lpwstr>
      </vt:variant>
      <vt:variant>
        <vt:lpwstr/>
      </vt:variant>
      <vt:variant>
        <vt:i4>1441857</vt:i4>
      </vt:variant>
      <vt:variant>
        <vt:i4>849</vt:i4>
      </vt:variant>
      <vt:variant>
        <vt:i4>0</vt:i4>
      </vt:variant>
      <vt:variant>
        <vt:i4>5</vt:i4>
      </vt:variant>
      <vt:variant>
        <vt:lpwstr>https://yoorrookjusticecommission.org.au/</vt:lpwstr>
      </vt:variant>
      <vt:variant>
        <vt:lpwstr/>
      </vt:variant>
      <vt:variant>
        <vt:i4>458772</vt:i4>
      </vt:variant>
      <vt:variant>
        <vt:i4>846</vt:i4>
      </vt:variant>
      <vt:variant>
        <vt:i4>0</vt:i4>
      </vt:variant>
      <vt:variant>
        <vt:i4>5</vt:i4>
      </vt:variant>
      <vt:variant>
        <vt:lpwstr>http://www.firstpeoplesrelations.vic.gov.au/</vt:lpwstr>
      </vt:variant>
      <vt:variant>
        <vt:lpwstr/>
      </vt:variant>
      <vt:variant>
        <vt:i4>5505119</vt:i4>
      </vt:variant>
      <vt:variant>
        <vt:i4>843</vt:i4>
      </vt:variant>
      <vt:variant>
        <vt:i4>0</vt:i4>
      </vt:variant>
      <vt:variant>
        <vt:i4>5</vt:i4>
      </vt:variant>
      <vt:variant>
        <vt:lpwstr>https://www.firstpeoplesrelations.vic.gov.au/victorian-aboriginal-affairs-framework-2018-2023</vt:lpwstr>
      </vt:variant>
      <vt:variant>
        <vt:lpwstr/>
      </vt:variant>
      <vt:variant>
        <vt:i4>7536678</vt:i4>
      </vt:variant>
      <vt:variant>
        <vt:i4>840</vt:i4>
      </vt:variant>
      <vt:variant>
        <vt:i4>0</vt:i4>
      </vt:variant>
      <vt:variant>
        <vt:i4>5</vt:i4>
      </vt:variant>
      <vt:variant>
        <vt:lpwstr>http://www.vpsc.vic.gov.au/</vt:lpwstr>
      </vt:variant>
      <vt:variant>
        <vt:lpwstr/>
      </vt:variant>
      <vt:variant>
        <vt:i4>3539069</vt:i4>
      </vt:variant>
      <vt:variant>
        <vt:i4>837</vt:i4>
      </vt:variant>
      <vt:variant>
        <vt:i4>0</vt:i4>
      </vt:variant>
      <vt:variant>
        <vt:i4>5</vt:i4>
      </vt:variant>
      <vt:variant>
        <vt:lpwstr>https://vpsc.vic.gov.au/workforce-programs/aboriginal-cultural-capability-toolkit/</vt:lpwstr>
      </vt:variant>
      <vt:variant>
        <vt:lpwstr/>
      </vt:variant>
      <vt:variant>
        <vt:i4>2818170</vt:i4>
      </vt:variant>
      <vt:variant>
        <vt:i4>834</vt:i4>
      </vt:variant>
      <vt:variant>
        <vt:i4>0</vt:i4>
      </vt:variant>
      <vt:variant>
        <vt:i4>5</vt:i4>
      </vt:variant>
      <vt:variant>
        <vt:lpwstr>https://www.vic.gov.au/diversity-victorian-government-board-guidelines</vt:lpwstr>
      </vt:variant>
      <vt:variant>
        <vt:lpwstr/>
      </vt:variant>
      <vt:variant>
        <vt:i4>7536678</vt:i4>
      </vt:variant>
      <vt:variant>
        <vt:i4>831</vt:i4>
      </vt:variant>
      <vt:variant>
        <vt:i4>0</vt:i4>
      </vt:variant>
      <vt:variant>
        <vt:i4>5</vt:i4>
      </vt:variant>
      <vt:variant>
        <vt:lpwstr>http://www.vpsc.vic.gov.au/</vt:lpwstr>
      </vt:variant>
      <vt:variant>
        <vt:lpwstr/>
      </vt:variant>
      <vt:variant>
        <vt:i4>6488178</vt:i4>
      </vt:variant>
      <vt:variant>
        <vt:i4>828</vt:i4>
      </vt:variant>
      <vt:variant>
        <vt:i4>0</vt:i4>
      </vt:variant>
      <vt:variant>
        <vt:i4>5</vt:i4>
      </vt:variant>
      <vt:variant>
        <vt:lpwstr>https://www.boards.vic.gov.au/assessing-public-board-performance</vt:lpwstr>
      </vt:variant>
      <vt:variant>
        <vt:lpwstr>who-assesses-board-performance</vt:lpwstr>
      </vt:variant>
      <vt:variant>
        <vt:i4>6684797</vt:i4>
      </vt:variant>
      <vt:variant>
        <vt:i4>825</vt:i4>
      </vt:variant>
      <vt:variant>
        <vt:i4>0</vt:i4>
      </vt:variant>
      <vt:variant>
        <vt:i4>5</vt:i4>
      </vt:variant>
      <vt:variant>
        <vt:lpwstr>http://www.dpc.vic.gov.au/</vt:lpwstr>
      </vt:variant>
      <vt:variant>
        <vt:lpwstr/>
      </vt:variant>
      <vt:variant>
        <vt:i4>3997807</vt:i4>
      </vt:variant>
      <vt:variant>
        <vt:i4>822</vt:i4>
      </vt:variant>
      <vt:variant>
        <vt:i4>0</vt:i4>
      </vt:variant>
      <vt:variant>
        <vt:i4>5</vt:i4>
      </vt:variant>
      <vt:variant>
        <vt:lpwstr>https://www.vic.gov.au/guidelines-appointment-remuneration</vt:lpwstr>
      </vt:variant>
      <vt:variant>
        <vt:lpwstr/>
      </vt:variant>
      <vt:variant>
        <vt:i4>7536678</vt:i4>
      </vt:variant>
      <vt:variant>
        <vt:i4>819</vt:i4>
      </vt:variant>
      <vt:variant>
        <vt:i4>0</vt:i4>
      </vt:variant>
      <vt:variant>
        <vt:i4>5</vt:i4>
      </vt:variant>
      <vt:variant>
        <vt:lpwstr>http://www.vpsc.vic.gov.au/</vt:lpwstr>
      </vt:variant>
      <vt:variant>
        <vt:lpwstr/>
      </vt:variant>
      <vt:variant>
        <vt:i4>2097203</vt:i4>
      </vt:variant>
      <vt:variant>
        <vt:i4>816</vt:i4>
      </vt:variant>
      <vt:variant>
        <vt:i4>0</vt:i4>
      </vt:variant>
      <vt:variant>
        <vt:i4>5</vt:i4>
      </vt:variant>
      <vt:variant>
        <vt:lpwstr>https://vpsc.vic.gov.au/governance/recruitment-and-appointment-to-the-board-a-governance-officers-toolkit/</vt:lpwstr>
      </vt:variant>
      <vt:variant>
        <vt:lpwstr/>
      </vt:variant>
      <vt:variant>
        <vt:i4>2818093</vt:i4>
      </vt:variant>
      <vt:variant>
        <vt:i4>813</vt:i4>
      </vt:variant>
      <vt:variant>
        <vt:i4>0</vt:i4>
      </vt:variant>
      <vt:variant>
        <vt:i4>5</vt:i4>
      </vt:variant>
      <vt:variant>
        <vt:lpwstr>https://vicgov.sharepoint.com/:b:/r/sites/VG000604/Documents/Key Resources for RMs/Guidelines and Templates/Premier%27s Circular/Premier%27s Circular 2015-2 Good Board Governance.PDF?csf=1&amp;web=1&amp;e=iHJEvP</vt:lpwstr>
      </vt:variant>
      <vt:variant>
        <vt:lpwstr/>
      </vt:variant>
      <vt:variant>
        <vt:i4>7536678</vt:i4>
      </vt:variant>
      <vt:variant>
        <vt:i4>810</vt:i4>
      </vt:variant>
      <vt:variant>
        <vt:i4>0</vt:i4>
      </vt:variant>
      <vt:variant>
        <vt:i4>5</vt:i4>
      </vt:variant>
      <vt:variant>
        <vt:lpwstr>http://www.vpsc.vic.gov.au/</vt:lpwstr>
      </vt:variant>
      <vt:variant>
        <vt:lpwstr/>
      </vt:variant>
      <vt:variant>
        <vt:i4>851990</vt:i4>
      </vt:variant>
      <vt:variant>
        <vt:i4>807</vt:i4>
      </vt:variant>
      <vt:variant>
        <vt:i4>0</vt:i4>
      </vt:variant>
      <vt:variant>
        <vt:i4>5</vt:i4>
      </vt:variant>
      <vt:variant>
        <vt:lpwstr>https://vpsc.vic.gov.au/governance/portfolio-governance-arrangements/establishing-portfolio-governance-guide/</vt:lpwstr>
      </vt:variant>
      <vt:variant>
        <vt:lpwstr/>
      </vt:variant>
      <vt:variant>
        <vt:i4>5767192</vt:i4>
      </vt:variant>
      <vt:variant>
        <vt:i4>801</vt:i4>
      </vt:variant>
      <vt:variant>
        <vt:i4>0</vt:i4>
      </vt:variant>
      <vt:variant>
        <vt:i4>5</vt:i4>
      </vt:variant>
      <vt:variant>
        <vt:lpwstr>https://www.dtf.vic.gov.au/planning-budgeting-and-financial-reporting-frameworks/victorian-risk-management-framework-and-insurance-management-policy</vt:lpwstr>
      </vt:variant>
      <vt:variant>
        <vt:lpwstr/>
      </vt:variant>
      <vt:variant>
        <vt:i4>6488185</vt:i4>
      </vt:variant>
      <vt:variant>
        <vt:i4>798</vt:i4>
      </vt:variant>
      <vt:variant>
        <vt:i4>0</vt:i4>
      </vt:variant>
      <vt:variant>
        <vt:i4>5</vt:i4>
      </vt:variant>
      <vt:variant>
        <vt:lpwstr>http://www.dtf.vic.gov.au/</vt:lpwstr>
      </vt:variant>
      <vt:variant>
        <vt:lpwstr/>
      </vt:variant>
      <vt:variant>
        <vt:i4>7667832</vt:i4>
      </vt:variant>
      <vt:variant>
        <vt:i4>792</vt:i4>
      </vt:variant>
      <vt:variant>
        <vt:i4>0</vt:i4>
      </vt:variant>
      <vt:variant>
        <vt:i4>5</vt:i4>
      </vt:variant>
      <vt:variant>
        <vt:lpwstr>https://www.dtf.vic.gov.au/financial-reporting-policy/model-report</vt:lpwstr>
      </vt:variant>
      <vt:variant>
        <vt:lpwstr/>
      </vt:variant>
      <vt:variant>
        <vt:i4>6488185</vt:i4>
      </vt:variant>
      <vt:variant>
        <vt:i4>789</vt:i4>
      </vt:variant>
      <vt:variant>
        <vt:i4>0</vt:i4>
      </vt:variant>
      <vt:variant>
        <vt:i4>5</vt:i4>
      </vt:variant>
      <vt:variant>
        <vt:lpwstr>http://www.dtf.vic.gov.au/</vt:lpwstr>
      </vt:variant>
      <vt:variant>
        <vt:lpwstr/>
      </vt:variant>
      <vt:variant>
        <vt:i4>8060967</vt:i4>
      </vt:variant>
      <vt:variant>
        <vt:i4>786</vt:i4>
      </vt:variant>
      <vt:variant>
        <vt:i4>0</vt:i4>
      </vt:variant>
      <vt:variant>
        <vt:i4>5</vt:i4>
      </vt:variant>
      <vt:variant>
        <vt:lpwstr>https://www.dtf.vic.gov.au/infrastructure-investment/asset-management-accountability-framework</vt:lpwstr>
      </vt:variant>
      <vt:variant>
        <vt:lpwstr/>
      </vt:variant>
      <vt:variant>
        <vt:i4>6488185</vt:i4>
      </vt:variant>
      <vt:variant>
        <vt:i4>783</vt:i4>
      </vt:variant>
      <vt:variant>
        <vt:i4>0</vt:i4>
      </vt:variant>
      <vt:variant>
        <vt:i4>5</vt:i4>
      </vt:variant>
      <vt:variant>
        <vt:lpwstr>http://www.dtf.vic.gov.au/</vt:lpwstr>
      </vt:variant>
      <vt:variant>
        <vt:lpwstr/>
      </vt:variant>
      <vt:variant>
        <vt:i4>2752618</vt:i4>
      </vt:variant>
      <vt:variant>
        <vt:i4>780</vt:i4>
      </vt:variant>
      <vt:variant>
        <vt:i4>0</vt:i4>
      </vt:variant>
      <vt:variant>
        <vt:i4>5</vt:i4>
      </vt:variant>
      <vt:variant>
        <vt:lpwstr>https://www.dtf.vic.gov.au/financial-management-government/standing-directions-2018-under-financial-management-act-1994</vt:lpwstr>
      </vt:variant>
      <vt:variant>
        <vt:lpwstr/>
      </vt:variant>
      <vt:variant>
        <vt:i4>6488185</vt:i4>
      </vt:variant>
      <vt:variant>
        <vt:i4>777</vt:i4>
      </vt:variant>
      <vt:variant>
        <vt:i4>0</vt:i4>
      </vt:variant>
      <vt:variant>
        <vt:i4>5</vt:i4>
      </vt:variant>
      <vt:variant>
        <vt:lpwstr>http://www.dtf.vic.gov.au/</vt:lpwstr>
      </vt:variant>
      <vt:variant>
        <vt:lpwstr/>
      </vt:variant>
      <vt:variant>
        <vt:i4>6291573</vt:i4>
      </vt:variant>
      <vt:variant>
        <vt:i4>774</vt:i4>
      </vt:variant>
      <vt:variant>
        <vt:i4>0</vt:i4>
      </vt:variant>
      <vt:variant>
        <vt:i4>5</vt:i4>
      </vt:variant>
      <vt:variant>
        <vt:lpwstr>https://www.dtf.vic.gov.au/planning-budgeting-and-financial-reporting-frameworks/resource-management-framework</vt:lpwstr>
      </vt:variant>
      <vt:variant>
        <vt:lpwstr/>
      </vt:variant>
      <vt:variant>
        <vt:i4>1179724</vt:i4>
      </vt:variant>
      <vt:variant>
        <vt:i4>771</vt:i4>
      </vt:variant>
      <vt:variant>
        <vt:i4>0</vt:i4>
      </vt:variant>
      <vt:variant>
        <vt:i4>5</vt:i4>
      </vt:variant>
      <vt:variant>
        <vt:lpwstr>https://vicgov.sharepoint.com/:b:/r/sites/VG000604/Documents/Key Resources for RMs/Guidelines and Templates/Premier%27s Circular/Premier%27s Circular 2013-2 - Creation and Review of Non-Departmental Entities.pdf?csf=1&amp;web=1&amp;e=gTxnL2</vt:lpwstr>
      </vt:variant>
      <vt:variant>
        <vt:lpwstr/>
      </vt:variant>
      <vt:variant>
        <vt:i4>8323181</vt:i4>
      </vt:variant>
      <vt:variant>
        <vt:i4>768</vt:i4>
      </vt:variant>
      <vt:variant>
        <vt:i4>0</vt:i4>
      </vt:variant>
      <vt:variant>
        <vt:i4>5</vt:i4>
      </vt:variant>
      <vt:variant>
        <vt:lpwstr>http://www.procurement.vic.gov.au/</vt:lpwstr>
      </vt:variant>
      <vt:variant>
        <vt:lpwstr/>
      </vt:variant>
      <vt:variant>
        <vt:i4>2687024</vt:i4>
      </vt:variant>
      <vt:variant>
        <vt:i4>765</vt:i4>
      </vt:variant>
      <vt:variant>
        <vt:i4>0</vt:i4>
      </vt:variant>
      <vt:variant>
        <vt:i4>5</vt:i4>
      </vt:variant>
      <vt:variant>
        <vt:lpwstr>https://www.buyingfor.vic.gov.au/victorian-government-purchasing-board-vgpb</vt:lpwstr>
      </vt:variant>
      <vt:variant>
        <vt:lpwstr/>
      </vt:variant>
      <vt:variant>
        <vt:i4>6488185</vt:i4>
      </vt:variant>
      <vt:variant>
        <vt:i4>762</vt:i4>
      </vt:variant>
      <vt:variant>
        <vt:i4>0</vt:i4>
      </vt:variant>
      <vt:variant>
        <vt:i4>5</vt:i4>
      </vt:variant>
      <vt:variant>
        <vt:lpwstr>http://www.dtf.vic.gov.au/</vt:lpwstr>
      </vt:variant>
      <vt:variant>
        <vt:lpwstr/>
      </vt:variant>
      <vt:variant>
        <vt:i4>6488185</vt:i4>
      </vt:variant>
      <vt:variant>
        <vt:i4>759</vt:i4>
      </vt:variant>
      <vt:variant>
        <vt:i4>0</vt:i4>
      </vt:variant>
      <vt:variant>
        <vt:i4>5</vt:i4>
      </vt:variant>
      <vt:variant>
        <vt:lpwstr>http://www.dtf.vic.gov.au/</vt:lpwstr>
      </vt:variant>
      <vt:variant>
        <vt:lpwstr/>
      </vt:variant>
      <vt:variant>
        <vt:i4>4325444</vt:i4>
      </vt:variant>
      <vt:variant>
        <vt:i4>756</vt:i4>
      </vt:variant>
      <vt:variant>
        <vt:i4>0</vt:i4>
      </vt:variant>
      <vt:variant>
        <vt:i4>5</vt:i4>
      </vt:variant>
      <vt:variant>
        <vt:lpwstr>https://www.dtf.vic.gov.au/infrastructure-investment/investment-lifecycle-and-high-value-and-high-risk-guidelines</vt:lpwstr>
      </vt:variant>
      <vt:variant>
        <vt:lpwstr/>
      </vt:variant>
      <vt:variant>
        <vt:i4>6488185</vt:i4>
      </vt:variant>
      <vt:variant>
        <vt:i4>753</vt:i4>
      </vt:variant>
      <vt:variant>
        <vt:i4>0</vt:i4>
      </vt:variant>
      <vt:variant>
        <vt:i4>5</vt:i4>
      </vt:variant>
      <vt:variant>
        <vt:lpwstr>http://www.dtf.vic.gov.au/</vt:lpwstr>
      </vt:variant>
      <vt:variant>
        <vt:lpwstr/>
      </vt:variant>
      <vt:variant>
        <vt:i4>6488185</vt:i4>
      </vt:variant>
      <vt:variant>
        <vt:i4>741</vt:i4>
      </vt:variant>
      <vt:variant>
        <vt:i4>0</vt:i4>
      </vt:variant>
      <vt:variant>
        <vt:i4>5</vt:i4>
      </vt:variant>
      <vt:variant>
        <vt:lpwstr>http://www.dtf.vic.gov.au/</vt:lpwstr>
      </vt:variant>
      <vt:variant>
        <vt:lpwstr/>
      </vt:variant>
      <vt:variant>
        <vt:i4>3801214</vt:i4>
      </vt:variant>
      <vt:variant>
        <vt:i4>738</vt:i4>
      </vt:variant>
      <vt:variant>
        <vt:i4>0</vt:i4>
      </vt:variant>
      <vt:variant>
        <vt:i4>5</vt:i4>
      </vt:variant>
      <vt:variant>
        <vt:lpwstr>https://www.dtf.vic.gov.au/reducing-regulatory-burden/statement-expectations-regulators</vt:lpwstr>
      </vt:variant>
      <vt:variant>
        <vt:lpwstr/>
      </vt:variant>
      <vt:variant>
        <vt:i4>3932270</vt:i4>
      </vt:variant>
      <vt:variant>
        <vt:i4>735</vt:i4>
      </vt:variant>
      <vt:variant>
        <vt:i4>0</vt:i4>
      </vt:variant>
      <vt:variant>
        <vt:i4>5</vt:i4>
      </vt:variant>
      <vt:variant>
        <vt:lpwstr>https://www.dtf.vic.gov.au/planning-budgeting-and-financial-reporting-frameworks/corporate-planning-and-performance-reporting-requirements</vt:lpwstr>
      </vt:variant>
      <vt:variant>
        <vt:lpwstr/>
      </vt:variant>
      <vt:variant>
        <vt:i4>7340159</vt:i4>
      </vt:variant>
      <vt:variant>
        <vt:i4>732</vt:i4>
      </vt:variant>
      <vt:variant>
        <vt:i4>0</vt:i4>
      </vt:variant>
      <vt:variant>
        <vt:i4>5</vt:i4>
      </vt:variant>
      <vt:variant>
        <vt:lpwstr>https://vicgov.sharepoint.com/sites/VG000604/SitePages/Portfolio-Governance-Framework.aspx</vt:lpwstr>
      </vt:variant>
      <vt:variant>
        <vt:lpwstr/>
      </vt:variant>
      <vt:variant>
        <vt:i4>6488185</vt:i4>
      </vt:variant>
      <vt:variant>
        <vt:i4>729</vt:i4>
      </vt:variant>
      <vt:variant>
        <vt:i4>0</vt:i4>
      </vt:variant>
      <vt:variant>
        <vt:i4>5</vt:i4>
      </vt:variant>
      <vt:variant>
        <vt:lpwstr>http://www.dtf.vic.gov.au/</vt:lpwstr>
      </vt:variant>
      <vt:variant>
        <vt:lpwstr/>
      </vt:variant>
      <vt:variant>
        <vt:i4>6291573</vt:i4>
      </vt:variant>
      <vt:variant>
        <vt:i4>726</vt:i4>
      </vt:variant>
      <vt:variant>
        <vt:i4>0</vt:i4>
      </vt:variant>
      <vt:variant>
        <vt:i4>5</vt:i4>
      </vt:variant>
      <vt:variant>
        <vt:lpwstr>https://www.dtf.vic.gov.au/planning-budgeting-and-financial-reporting-frameworks/resource-management-framework</vt:lpwstr>
      </vt:variant>
      <vt:variant>
        <vt:lpwstr/>
      </vt:variant>
      <vt:variant>
        <vt:i4>2752618</vt:i4>
      </vt:variant>
      <vt:variant>
        <vt:i4>723</vt:i4>
      </vt:variant>
      <vt:variant>
        <vt:i4>0</vt:i4>
      </vt:variant>
      <vt:variant>
        <vt:i4>5</vt:i4>
      </vt:variant>
      <vt:variant>
        <vt:lpwstr>https://www.dtf.vic.gov.au/financial-management-government/standing-directions-2018-under-financial-management-act-1994</vt:lpwstr>
      </vt:variant>
      <vt:variant>
        <vt:lpwstr/>
      </vt:variant>
      <vt:variant>
        <vt:i4>1835020</vt:i4>
      </vt:variant>
      <vt:variant>
        <vt:i4>720</vt:i4>
      </vt:variant>
      <vt:variant>
        <vt:i4>0</vt:i4>
      </vt:variant>
      <vt:variant>
        <vt:i4>5</vt:i4>
      </vt:variant>
      <vt:variant>
        <vt:lpwstr>https://www.legislation.vic.gov.au/in-force/acts/state-owned-enterprises-act-1992/040</vt:lpwstr>
      </vt:variant>
      <vt:variant>
        <vt:lpwstr/>
      </vt:variant>
      <vt:variant>
        <vt:i4>4784211</vt:i4>
      </vt:variant>
      <vt:variant>
        <vt:i4>717</vt:i4>
      </vt:variant>
      <vt:variant>
        <vt:i4>0</vt:i4>
      </vt:variant>
      <vt:variant>
        <vt:i4>5</vt:i4>
      </vt:variant>
      <vt:variant>
        <vt:lpwstr>https://www.legislation.vic.gov.au/in-force/acts/public-records-act-1973/041</vt:lpwstr>
      </vt:variant>
      <vt:variant>
        <vt:lpwstr/>
      </vt:variant>
      <vt:variant>
        <vt:i4>5701726</vt:i4>
      </vt:variant>
      <vt:variant>
        <vt:i4>714</vt:i4>
      </vt:variant>
      <vt:variant>
        <vt:i4>0</vt:i4>
      </vt:variant>
      <vt:variant>
        <vt:i4>5</vt:i4>
      </vt:variant>
      <vt:variant>
        <vt:lpwstr>https://www.legislation.vic.gov.au/in-force/acts/public-interest-disclosures-act-2012/026</vt:lpwstr>
      </vt:variant>
      <vt:variant>
        <vt:lpwstr/>
      </vt:variant>
      <vt:variant>
        <vt:i4>3735652</vt:i4>
      </vt:variant>
      <vt:variant>
        <vt:i4>711</vt:i4>
      </vt:variant>
      <vt:variant>
        <vt:i4>0</vt:i4>
      </vt:variant>
      <vt:variant>
        <vt:i4>5</vt:i4>
      </vt:variant>
      <vt:variant>
        <vt:lpwstr>https://www.legislation.vic.gov.au/in-force/acts/public-administration-act-2004/084</vt:lpwstr>
      </vt:variant>
      <vt:variant>
        <vt:lpwstr/>
      </vt:variant>
      <vt:variant>
        <vt:i4>4522070</vt:i4>
      </vt:variant>
      <vt:variant>
        <vt:i4>708</vt:i4>
      </vt:variant>
      <vt:variant>
        <vt:i4>0</vt:i4>
      </vt:variant>
      <vt:variant>
        <vt:i4>5</vt:i4>
      </vt:variant>
      <vt:variant>
        <vt:lpwstr>https://www.legislation.vic.gov.au/in-force/acts/project-development-and-construction-management-act-1994/046</vt:lpwstr>
      </vt:variant>
      <vt:variant>
        <vt:lpwstr/>
      </vt:variant>
      <vt:variant>
        <vt:i4>5373970</vt:i4>
      </vt:variant>
      <vt:variant>
        <vt:i4>705</vt:i4>
      </vt:variant>
      <vt:variant>
        <vt:i4>0</vt:i4>
      </vt:variant>
      <vt:variant>
        <vt:i4>5</vt:i4>
      </vt:variant>
      <vt:variant>
        <vt:lpwstr>https://www.legislation.vic.gov.au/as-made/acts/protected-disclosure-act-2012</vt:lpwstr>
      </vt:variant>
      <vt:variant>
        <vt:lpwstr/>
      </vt:variant>
      <vt:variant>
        <vt:i4>8257635</vt:i4>
      </vt:variant>
      <vt:variant>
        <vt:i4>702</vt:i4>
      </vt:variant>
      <vt:variant>
        <vt:i4>0</vt:i4>
      </vt:variant>
      <vt:variant>
        <vt:i4>5</vt:i4>
      </vt:variant>
      <vt:variant>
        <vt:lpwstr>https://www.legislation.vic.gov.au/in-force/acts/ombudsman-act-1973/117</vt:lpwstr>
      </vt:variant>
      <vt:variant>
        <vt:lpwstr/>
      </vt:variant>
      <vt:variant>
        <vt:i4>7536675</vt:i4>
      </vt:variant>
      <vt:variant>
        <vt:i4>699</vt:i4>
      </vt:variant>
      <vt:variant>
        <vt:i4>0</vt:i4>
      </vt:variant>
      <vt:variant>
        <vt:i4>5</vt:i4>
      </vt:variant>
      <vt:variant>
        <vt:lpwstr>https://www.legislation.gov.au/Details/C2021C00567</vt:lpwstr>
      </vt:variant>
      <vt:variant>
        <vt:lpwstr/>
      </vt:variant>
      <vt:variant>
        <vt:i4>4325468</vt:i4>
      </vt:variant>
      <vt:variant>
        <vt:i4>696</vt:i4>
      </vt:variant>
      <vt:variant>
        <vt:i4>0</vt:i4>
      </vt:variant>
      <vt:variant>
        <vt:i4>5</vt:i4>
      </vt:variant>
      <vt:variant>
        <vt:lpwstr>https://www.legislation.vic.gov.au/as-made/acts/information-privacy-act-2000</vt:lpwstr>
      </vt:variant>
      <vt:variant>
        <vt:lpwstr/>
      </vt:variant>
      <vt:variant>
        <vt:i4>5046337</vt:i4>
      </vt:variant>
      <vt:variant>
        <vt:i4>693</vt:i4>
      </vt:variant>
      <vt:variant>
        <vt:i4>0</vt:i4>
      </vt:variant>
      <vt:variant>
        <vt:i4>5</vt:i4>
      </vt:variant>
      <vt:variant>
        <vt:lpwstr>https://www.legislation.vic.gov.au/in-force/acts/independent-broad-based-anti-corruption-commission-act-2011/041</vt:lpwstr>
      </vt:variant>
      <vt:variant>
        <vt:lpwstr/>
      </vt:variant>
      <vt:variant>
        <vt:i4>655434</vt:i4>
      </vt:variant>
      <vt:variant>
        <vt:i4>690</vt:i4>
      </vt:variant>
      <vt:variant>
        <vt:i4>0</vt:i4>
      </vt:variant>
      <vt:variant>
        <vt:i4>5</vt:i4>
      </vt:variant>
      <vt:variant>
        <vt:lpwstr>https://www.legislation.vic.gov.au/in-force/acts/freedom-information-act-1982/111</vt:lpwstr>
      </vt:variant>
      <vt:variant>
        <vt:lpwstr/>
      </vt:variant>
      <vt:variant>
        <vt:i4>7733350</vt:i4>
      </vt:variant>
      <vt:variant>
        <vt:i4>687</vt:i4>
      </vt:variant>
      <vt:variant>
        <vt:i4>0</vt:i4>
      </vt:variant>
      <vt:variant>
        <vt:i4>5</vt:i4>
      </vt:variant>
      <vt:variant>
        <vt:lpwstr>https://www.legislation.vic.gov.au/in-force/acts/financial-management-act-1994/065</vt:lpwstr>
      </vt:variant>
      <vt:variant>
        <vt:lpwstr/>
      </vt:variant>
      <vt:variant>
        <vt:i4>1638476</vt:i4>
      </vt:variant>
      <vt:variant>
        <vt:i4>684</vt:i4>
      </vt:variant>
      <vt:variant>
        <vt:i4>0</vt:i4>
      </vt:variant>
      <vt:variant>
        <vt:i4>5</vt:i4>
      </vt:variant>
      <vt:variant>
        <vt:lpwstr>https://www.legislation.vic.gov.au/in-force/acts/disability-act-2006/048</vt:lpwstr>
      </vt:variant>
      <vt:variant>
        <vt:lpwstr/>
      </vt:variant>
      <vt:variant>
        <vt:i4>2949184</vt:i4>
      </vt:variant>
      <vt:variant>
        <vt:i4>681</vt:i4>
      </vt:variant>
      <vt:variant>
        <vt:i4>0</vt:i4>
      </vt:variant>
      <vt:variant>
        <vt:i4>5</vt:i4>
      </vt:variant>
      <vt:variant>
        <vt:lpwstr>http://www6.austlii.edu.au/cgi-bin/viewdb/au/legis/cth/consol_act/ca2001172/</vt:lpwstr>
      </vt:variant>
      <vt:variant>
        <vt:lpwstr/>
      </vt:variant>
      <vt:variant>
        <vt:i4>3604591</vt:i4>
      </vt:variant>
      <vt:variant>
        <vt:i4>678</vt:i4>
      </vt:variant>
      <vt:variant>
        <vt:i4>0</vt:i4>
      </vt:variant>
      <vt:variant>
        <vt:i4>5</vt:i4>
      </vt:variant>
      <vt:variant>
        <vt:lpwstr>https://www.legislation.vic.gov.au/as-made/acts/children-legislation-amendment-reportable-conduct-act-2017</vt:lpwstr>
      </vt:variant>
      <vt:variant>
        <vt:lpwstr/>
      </vt:variant>
      <vt:variant>
        <vt:i4>196613</vt:i4>
      </vt:variant>
      <vt:variant>
        <vt:i4>675</vt:i4>
      </vt:variant>
      <vt:variant>
        <vt:i4>0</vt:i4>
      </vt:variant>
      <vt:variant>
        <vt:i4>5</vt:i4>
      </vt:variant>
      <vt:variant>
        <vt:lpwstr>https://www.legislation.vic.gov.au/in-force/acts/child-wellbeing-and-safety-act-2005/041</vt:lpwstr>
      </vt:variant>
      <vt:variant>
        <vt:lpwstr/>
      </vt:variant>
      <vt:variant>
        <vt:i4>7864442</vt:i4>
      </vt:variant>
      <vt:variant>
        <vt:i4>672</vt:i4>
      </vt:variant>
      <vt:variant>
        <vt:i4>0</vt:i4>
      </vt:variant>
      <vt:variant>
        <vt:i4>5</vt:i4>
      </vt:variant>
      <vt:variant>
        <vt:lpwstr>https://www.legislation.vic.gov.au/in-force/acts/charter-human-rights-and-responsibilities-act-2006/014</vt:lpwstr>
      </vt:variant>
      <vt:variant>
        <vt:lpwstr/>
      </vt:variant>
      <vt:variant>
        <vt:i4>7078003</vt:i4>
      </vt:variant>
      <vt:variant>
        <vt:i4>669</vt:i4>
      </vt:variant>
      <vt:variant>
        <vt:i4>0</vt:i4>
      </vt:variant>
      <vt:variant>
        <vt:i4>5</vt:i4>
      </vt:variant>
      <vt:variant>
        <vt:lpwstr>https://www.legislation.vic.gov.au/in-force/acts/audit-act-1994/067</vt:lpwstr>
      </vt:variant>
      <vt:variant>
        <vt:lpwstr/>
      </vt:variant>
      <vt:variant>
        <vt:i4>720980</vt:i4>
      </vt:variant>
      <vt:variant>
        <vt:i4>666</vt:i4>
      </vt:variant>
      <vt:variant>
        <vt:i4>0</vt:i4>
      </vt:variant>
      <vt:variant>
        <vt:i4>5</vt:i4>
      </vt:variant>
      <vt:variant>
        <vt:lpwstr>https://www.worksafe.vic.gov.au/workwell-toolkit</vt:lpwstr>
      </vt:variant>
      <vt:variant>
        <vt:lpwstr/>
      </vt:variant>
      <vt:variant>
        <vt:i4>131085</vt:i4>
      </vt:variant>
      <vt:variant>
        <vt:i4>663</vt:i4>
      </vt:variant>
      <vt:variant>
        <vt:i4>0</vt:i4>
      </vt:variant>
      <vt:variant>
        <vt:i4>5</vt:i4>
      </vt:variant>
      <vt:variant>
        <vt:lpwstr>https://www.worksafe.vic.gov.au/</vt:lpwstr>
      </vt:variant>
      <vt:variant>
        <vt:lpwstr/>
      </vt:variant>
      <vt:variant>
        <vt:i4>5439567</vt:i4>
      </vt:variant>
      <vt:variant>
        <vt:i4>660</vt:i4>
      </vt:variant>
      <vt:variant>
        <vt:i4>0</vt:i4>
      </vt:variant>
      <vt:variant>
        <vt:i4>5</vt:i4>
      </vt:variant>
      <vt:variant>
        <vt:lpwstr>https://www.legislation.vic.gov.au/in-force/acts/occupational-health-and-safety-act-2004/043</vt:lpwstr>
      </vt:variant>
      <vt:variant>
        <vt:lpwstr/>
      </vt:variant>
      <vt:variant>
        <vt:i4>5963878</vt:i4>
      </vt:variant>
      <vt:variant>
        <vt:i4>657</vt:i4>
      </vt:variant>
      <vt:variant>
        <vt:i4>0</vt:i4>
      </vt:variant>
      <vt:variant>
        <vt:i4>5</vt:i4>
      </vt:variant>
      <vt:variant>
        <vt:lpwstr>mailto:info@vpsc.vic.gov.au</vt:lpwstr>
      </vt:variant>
      <vt:variant>
        <vt:lpwstr/>
      </vt:variant>
      <vt:variant>
        <vt:i4>5242959</vt:i4>
      </vt:variant>
      <vt:variant>
        <vt:i4>651</vt:i4>
      </vt:variant>
      <vt:variant>
        <vt:i4>0</vt:i4>
      </vt:variant>
      <vt:variant>
        <vt:i4>5</vt:i4>
      </vt:variant>
      <vt:variant>
        <vt:lpwstr>https://intranet.economicdevelopment.vic.gov.au/policies-forms-and-templates/fraud-and-corruption-control-policy</vt:lpwstr>
      </vt:variant>
      <vt:variant>
        <vt:lpwstr/>
      </vt:variant>
      <vt:variant>
        <vt:i4>5439489</vt:i4>
      </vt:variant>
      <vt:variant>
        <vt:i4>642</vt:i4>
      </vt:variant>
      <vt:variant>
        <vt:i4>0</vt:i4>
      </vt:variant>
      <vt:variant>
        <vt:i4>5</vt:i4>
      </vt:variant>
      <vt:variant>
        <vt:lpwstr>https://djsir.vic.gov.au/about-us/overview/policy-framework/child-safety-at-djsir</vt:lpwstr>
      </vt:variant>
      <vt:variant>
        <vt:lpwstr>child-safe-standards</vt:lpwstr>
      </vt:variant>
      <vt:variant>
        <vt:i4>2883697</vt:i4>
      </vt:variant>
      <vt:variant>
        <vt:i4>639</vt:i4>
      </vt:variant>
      <vt:variant>
        <vt:i4>0</vt:i4>
      </vt:variant>
      <vt:variant>
        <vt:i4>5</vt:i4>
      </vt:variant>
      <vt:variant>
        <vt:lpwstr>https://www.justice.vic.gov.au/safer-communities/protecting-children-and-families/organisations-providing-services-to-children-new</vt:lpwstr>
      </vt:variant>
      <vt:variant>
        <vt:lpwstr/>
      </vt:variant>
      <vt:variant>
        <vt:i4>3932196</vt:i4>
      </vt:variant>
      <vt:variant>
        <vt:i4>636</vt:i4>
      </vt:variant>
      <vt:variant>
        <vt:i4>0</vt:i4>
      </vt:variant>
      <vt:variant>
        <vt:i4>5</vt:i4>
      </vt:variant>
      <vt:variant>
        <vt:lpwstr>https://www.nationalredress.gov.au/</vt:lpwstr>
      </vt:variant>
      <vt:variant>
        <vt:lpwstr/>
      </vt:variant>
      <vt:variant>
        <vt:i4>4718599</vt:i4>
      </vt:variant>
      <vt:variant>
        <vt:i4>633</vt:i4>
      </vt:variant>
      <vt:variant>
        <vt:i4>0</vt:i4>
      </vt:variant>
      <vt:variant>
        <vt:i4>5</vt:i4>
      </vt:variant>
      <vt:variant>
        <vt:lpwstr>https://ccyp.vic.gov.au/</vt:lpwstr>
      </vt:variant>
      <vt:variant>
        <vt:lpwstr/>
      </vt:variant>
      <vt:variant>
        <vt:i4>1507436</vt:i4>
      </vt:variant>
      <vt:variant>
        <vt:i4>630</vt:i4>
      </vt:variant>
      <vt:variant>
        <vt:i4>0</vt:i4>
      </vt:variant>
      <vt:variant>
        <vt:i4>5</vt:i4>
      </vt:variant>
      <vt:variant>
        <vt:lpwstr>https://childsafe.humanrights.gov.au/sites/default/files/2019-02/National_Principles_for_Child_Safe_Organisations2019.pdf</vt:lpwstr>
      </vt:variant>
      <vt:variant>
        <vt:lpwstr/>
      </vt:variant>
      <vt:variant>
        <vt:i4>3145767</vt:i4>
      </vt:variant>
      <vt:variant>
        <vt:i4>627</vt:i4>
      </vt:variant>
      <vt:variant>
        <vt:i4>0</vt:i4>
      </vt:variant>
      <vt:variant>
        <vt:i4>5</vt:i4>
      </vt:variant>
      <vt:variant>
        <vt:lpwstr>https://www.legislation.vic.gov.au/in-force/acts/worker-screening-act-2020/001</vt:lpwstr>
      </vt:variant>
      <vt:variant>
        <vt:lpwstr/>
      </vt:variant>
      <vt:variant>
        <vt:i4>196613</vt:i4>
      </vt:variant>
      <vt:variant>
        <vt:i4>624</vt:i4>
      </vt:variant>
      <vt:variant>
        <vt:i4>0</vt:i4>
      </vt:variant>
      <vt:variant>
        <vt:i4>5</vt:i4>
      </vt:variant>
      <vt:variant>
        <vt:lpwstr>https://www.legislation.vic.gov.au/in-force/acts/child-wellbeing-and-safety-act-2005/041</vt:lpwstr>
      </vt:variant>
      <vt:variant>
        <vt:lpwstr/>
      </vt:variant>
      <vt:variant>
        <vt:i4>3932196</vt:i4>
      </vt:variant>
      <vt:variant>
        <vt:i4>621</vt:i4>
      </vt:variant>
      <vt:variant>
        <vt:i4>0</vt:i4>
      </vt:variant>
      <vt:variant>
        <vt:i4>5</vt:i4>
      </vt:variant>
      <vt:variant>
        <vt:lpwstr>https://www.nationalredress.gov.au/</vt:lpwstr>
      </vt:variant>
      <vt:variant>
        <vt:lpwstr/>
      </vt:variant>
      <vt:variant>
        <vt:i4>2883697</vt:i4>
      </vt:variant>
      <vt:variant>
        <vt:i4>618</vt:i4>
      </vt:variant>
      <vt:variant>
        <vt:i4>0</vt:i4>
      </vt:variant>
      <vt:variant>
        <vt:i4>5</vt:i4>
      </vt:variant>
      <vt:variant>
        <vt:lpwstr>https://www.justice.vic.gov.au/safer-communities/protecting-children-and-families/organisations-providing-services-to-children-new</vt:lpwstr>
      </vt:variant>
      <vt:variant>
        <vt:lpwstr/>
      </vt:variant>
      <vt:variant>
        <vt:i4>2883697</vt:i4>
      </vt:variant>
      <vt:variant>
        <vt:i4>615</vt:i4>
      </vt:variant>
      <vt:variant>
        <vt:i4>0</vt:i4>
      </vt:variant>
      <vt:variant>
        <vt:i4>5</vt:i4>
      </vt:variant>
      <vt:variant>
        <vt:lpwstr>https://www.justice.vic.gov.au/safer-communities/protecting-children-and-families/organisations-providing-services-to-children-new</vt:lpwstr>
      </vt:variant>
      <vt:variant>
        <vt:lpwstr/>
      </vt:variant>
      <vt:variant>
        <vt:i4>7536675</vt:i4>
      </vt:variant>
      <vt:variant>
        <vt:i4>612</vt:i4>
      </vt:variant>
      <vt:variant>
        <vt:i4>0</vt:i4>
      </vt:variant>
      <vt:variant>
        <vt:i4>5</vt:i4>
      </vt:variant>
      <vt:variant>
        <vt:lpwstr>https://www.legislation.gov.au/Details/C2021C00567</vt:lpwstr>
      </vt:variant>
      <vt:variant>
        <vt:lpwstr/>
      </vt:variant>
      <vt:variant>
        <vt:i4>3932196</vt:i4>
      </vt:variant>
      <vt:variant>
        <vt:i4>609</vt:i4>
      </vt:variant>
      <vt:variant>
        <vt:i4>0</vt:i4>
      </vt:variant>
      <vt:variant>
        <vt:i4>5</vt:i4>
      </vt:variant>
      <vt:variant>
        <vt:lpwstr>https://www.nationalredress.gov.au/</vt:lpwstr>
      </vt:variant>
      <vt:variant>
        <vt:lpwstr/>
      </vt:variant>
      <vt:variant>
        <vt:i4>3604591</vt:i4>
      </vt:variant>
      <vt:variant>
        <vt:i4>606</vt:i4>
      </vt:variant>
      <vt:variant>
        <vt:i4>0</vt:i4>
      </vt:variant>
      <vt:variant>
        <vt:i4>5</vt:i4>
      </vt:variant>
      <vt:variant>
        <vt:lpwstr>https://www.legislation.vic.gov.au/as-made/acts/children-legislation-amendment-reportable-conduct-act-2017</vt:lpwstr>
      </vt:variant>
      <vt:variant>
        <vt:lpwstr/>
      </vt:variant>
      <vt:variant>
        <vt:i4>196613</vt:i4>
      </vt:variant>
      <vt:variant>
        <vt:i4>603</vt:i4>
      </vt:variant>
      <vt:variant>
        <vt:i4>0</vt:i4>
      </vt:variant>
      <vt:variant>
        <vt:i4>5</vt:i4>
      </vt:variant>
      <vt:variant>
        <vt:lpwstr>https://www.legislation.vic.gov.au/in-force/acts/child-wellbeing-and-safety-act-2005/041</vt:lpwstr>
      </vt:variant>
      <vt:variant>
        <vt:lpwstr/>
      </vt:variant>
      <vt:variant>
        <vt:i4>6553713</vt:i4>
      </vt:variant>
      <vt:variant>
        <vt:i4>600</vt:i4>
      </vt:variant>
      <vt:variant>
        <vt:i4>0</vt:i4>
      </vt:variant>
      <vt:variant>
        <vt:i4>5</vt:i4>
      </vt:variant>
      <vt:variant>
        <vt:lpwstr>https://ccyp.vic.gov.au/reportable-conduct-scheme/</vt:lpwstr>
      </vt:variant>
      <vt:variant>
        <vt:lpwstr/>
      </vt:variant>
      <vt:variant>
        <vt:i4>4522076</vt:i4>
      </vt:variant>
      <vt:variant>
        <vt:i4>597</vt:i4>
      </vt:variant>
      <vt:variant>
        <vt:i4>0</vt:i4>
      </vt:variant>
      <vt:variant>
        <vt:i4>5</vt:i4>
      </vt:variant>
      <vt:variant>
        <vt:lpwstr>https://ccyp.vic.gov.au/child-safe-standards/the-11-child-safe-standards/</vt:lpwstr>
      </vt:variant>
      <vt:variant>
        <vt:lpwstr/>
      </vt:variant>
      <vt:variant>
        <vt:i4>4915225</vt:i4>
      </vt:variant>
      <vt:variant>
        <vt:i4>594</vt:i4>
      </vt:variant>
      <vt:variant>
        <vt:i4>0</vt:i4>
      </vt:variant>
      <vt:variant>
        <vt:i4>5</vt:i4>
      </vt:variant>
      <vt:variant>
        <vt:lpwstr>https://www.ibac.vic.gov.au/publications-and-resources/article/guidelines-for-protected-disclosure-welfare-management</vt:lpwstr>
      </vt:variant>
      <vt:variant>
        <vt:lpwstr/>
      </vt:variant>
      <vt:variant>
        <vt:i4>7340133</vt:i4>
      </vt:variant>
      <vt:variant>
        <vt:i4>591</vt:i4>
      </vt:variant>
      <vt:variant>
        <vt:i4>0</vt:i4>
      </vt:variant>
      <vt:variant>
        <vt:i4>5</vt:i4>
      </vt:variant>
      <vt:variant>
        <vt:lpwstr>https://www.ibac.vic.gov.au/publications-and-resources/article/guidelines-for-making-and-handling-protected-disclosures</vt:lpwstr>
      </vt:variant>
      <vt:variant>
        <vt:lpwstr/>
      </vt:variant>
      <vt:variant>
        <vt:i4>5046337</vt:i4>
      </vt:variant>
      <vt:variant>
        <vt:i4>588</vt:i4>
      </vt:variant>
      <vt:variant>
        <vt:i4>0</vt:i4>
      </vt:variant>
      <vt:variant>
        <vt:i4>5</vt:i4>
      </vt:variant>
      <vt:variant>
        <vt:lpwstr>https://www.legislation.vic.gov.au/in-force/acts/independent-broad-based-anti-corruption-commission-act-2011/041</vt:lpwstr>
      </vt:variant>
      <vt:variant>
        <vt:lpwstr/>
      </vt:variant>
      <vt:variant>
        <vt:i4>5701726</vt:i4>
      </vt:variant>
      <vt:variant>
        <vt:i4>585</vt:i4>
      </vt:variant>
      <vt:variant>
        <vt:i4>0</vt:i4>
      </vt:variant>
      <vt:variant>
        <vt:i4>5</vt:i4>
      </vt:variant>
      <vt:variant>
        <vt:lpwstr>https://www.legislation.vic.gov.au/in-force/acts/public-interest-disclosures-act-2012/026</vt:lpwstr>
      </vt:variant>
      <vt:variant>
        <vt:lpwstr/>
      </vt:variant>
      <vt:variant>
        <vt:i4>2097252</vt:i4>
      </vt:variant>
      <vt:variant>
        <vt:i4>579</vt:i4>
      </vt:variant>
      <vt:variant>
        <vt:i4>0</vt:i4>
      </vt:variant>
      <vt:variant>
        <vt:i4>5</vt:i4>
      </vt:variant>
      <vt:variant>
        <vt:lpwstr>https://www.ibac.vic.gov.au/publications-and-resources/article/fact-sheet-what-is-a-public-interest-disclosure</vt:lpwstr>
      </vt:variant>
      <vt:variant>
        <vt:lpwstr/>
      </vt:variant>
      <vt:variant>
        <vt:i4>5701726</vt:i4>
      </vt:variant>
      <vt:variant>
        <vt:i4>576</vt:i4>
      </vt:variant>
      <vt:variant>
        <vt:i4>0</vt:i4>
      </vt:variant>
      <vt:variant>
        <vt:i4>5</vt:i4>
      </vt:variant>
      <vt:variant>
        <vt:lpwstr>https://www.legislation.vic.gov.au/in-force/acts/public-interest-disclosures-act-2012/026</vt:lpwstr>
      </vt:variant>
      <vt:variant>
        <vt:lpwstr/>
      </vt:variant>
      <vt:variant>
        <vt:i4>7471157</vt:i4>
      </vt:variant>
      <vt:variant>
        <vt:i4>573</vt:i4>
      </vt:variant>
      <vt:variant>
        <vt:i4>0</vt:i4>
      </vt:variant>
      <vt:variant>
        <vt:i4>5</vt:i4>
      </vt:variant>
      <vt:variant>
        <vt:lpwstr>https://djsir.vic.gov.au/about-us/overview/policy-framework/gifts,-benefits-and-hospitality-policy</vt:lpwstr>
      </vt:variant>
      <vt:variant>
        <vt:lpwstr/>
      </vt:variant>
      <vt:variant>
        <vt:i4>3080307</vt:i4>
      </vt:variant>
      <vt:variant>
        <vt:i4>570</vt:i4>
      </vt:variant>
      <vt:variant>
        <vt:i4>0</vt:i4>
      </vt:variant>
      <vt:variant>
        <vt:i4>5</vt:i4>
      </vt:variant>
      <vt:variant>
        <vt:lpwstr>https://vpsc.vic.gov.au/ethics-behaviours-culture/gifts-benefits-hospitality/minimum-accountabilities/</vt:lpwstr>
      </vt:variant>
      <vt:variant>
        <vt:lpwstr/>
      </vt:variant>
      <vt:variant>
        <vt:i4>7667814</vt:i4>
      </vt:variant>
      <vt:variant>
        <vt:i4>567</vt:i4>
      </vt:variant>
      <vt:variant>
        <vt:i4>0</vt:i4>
      </vt:variant>
      <vt:variant>
        <vt:i4>5</vt:i4>
      </vt:variant>
      <vt:variant>
        <vt:lpwstr>https://www.legislation.vic.gov.au/in-force/acts/financial-management-act-1994/066</vt:lpwstr>
      </vt:variant>
      <vt:variant>
        <vt:lpwstr/>
      </vt:variant>
      <vt:variant>
        <vt:i4>2752618</vt:i4>
      </vt:variant>
      <vt:variant>
        <vt:i4>564</vt:i4>
      </vt:variant>
      <vt:variant>
        <vt:i4>0</vt:i4>
      </vt:variant>
      <vt:variant>
        <vt:i4>5</vt:i4>
      </vt:variant>
      <vt:variant>
        <vt:lpwstr>https://www.dtf.vic.gov.au/financial-management-government/standing-directions-2018-under-financial-management-act-1994</vt:lpwstr>
      </vt:variant>
      <vt:variant>
        <vt:lpwstr/>
      </vt:variant>
      <vt:variant>
        <vt:i4>3080307</vt:i4>
      </vt:variant>
      <vt:variant>
        <vt:i4>561</vt:i4>
      </vt:variant>
      <vt:variant>
        <vt:i4>0</vt:i4>
      </vt:variant>
      <vt:variant>
        <vt:i4>5</vt:i4>
      </vt:variant>
      <vt:variant>
        <vt:lpwstr>https://vpsc.vic.gov.au/ethics-behaviours-culture/gifts-benefits-hospitality/minimum-accountabilities/</vt:lpwstr>
      </vt:variant>
      <vt:variant>
        <vt:lpwstr/>
      </vt:variant>
      <vt:variant>
        <vt:i4>3080307</vt:i4>
      </vt:variant>
      <vt:variant>
        <vt:i4>558</vt:i4>
      </vt:variant>
      <vt:variant>
        <vt:i4>0</vt:i4>
      </vt:variant>
      <vt:variant>
        <vt:i4>5</vt:i4>
      </vt:variant>
      <vt:variant>
        <vt:lpwstr>https://vpsc.vic.gov.au/ethics-behaviours-culture/gifts-benefits-hospitality/minimum-accountabilities/</vt:lpwstr>
      </vt:variant>
      <vt:variant>
        <vt:lpwstr/>
      </vt:variant>
      <vt:variant>
        <vt:i4>3080307</vt:i4>
      </vt:variant>
      <vt:variant>
        <vt:i4>555</vt:i4>
      </vt:variant>
      <vt:variant>
        <vt:i4>0</vt:i4>
      </vt:variant>
      <vt:variant>
        <vt:i4>5</vt:i4>
      </vt:variant>
      <vt:variant>
        <vt:lpwstr>https://vpsc.vic.gov.au/ethics-behaviours-culture/gifts-benefits-hospitality/minimum-accountabilities/</vt:lpwstr>
      </vt:variant>
      <vt:variant>
        <vt:lpwstr/>
      </vt:variant>
      <vt:variant>
        <vt:i4>2752618</vt:i4>
      </vt:variant>
      <vt:variant>
        <vt:i4>552</vt:i4>
      </vt:variant>
      <vt:variant>
        <vt:i4>0</vt:i4>
      </vt:variant>
      <vt:variant>
        <vt:i4>5</vt:i4>
      </vt:variant>
      <vt:variant>
        <vt:lpwstr>https://www.dtf.vic.gov.au/financial-management-government/standing-directions-2018-under-financial-management-act-1994</vt:lpwstr>
      </vt:variant>
      <vt:variant>
        <vt:lpwstr/>
      </vt:variant>
      <vt:variant>
        <vt:i4>4259916</vt:i4>
      </vt:variant>
      <vt:variant>
        <vt:i4>549</vt:i4>
      </vt:variant>
      <vt:variant>
        <vt:i4>0</vt:i4>
      </vt:variant>
      <vt:variant>
        <vt:i4>5</vt:i4>
      </vt:variant>
      <vt:variant>
        <vt:lpwstr>https://www.dtf.vic.gov.au/sites/default/files/document/Standing-Directions-2018-Instructions.pdf</vt:lpwstr>
      </vt:variant>
      <vt:variant>
        <vt:lpwstr/>
      </vt:variant>
      <vt:variant>
        <vt:i4>3080307</vt:i4>
      </vt:variant>
      <vt:variant>
        <vt:i4>546</vt:i4>
      </vt:variant>
      <vt:variant>
        <vt:i4>0</vt:i4>
      </vt:variant>
      <vt:variant>
        <vt:i4>5</vt:i4>
      </vt:variant>
      <vt:variant>
        <vt:lpwstr>https://vpsc.vic.gov.au/ethics-behaviours-culture/gifts-benefits-hospitality/minimum-accountabilities/</vt:lpwstr>
      </vt:variant>
      <vt:variant>
        <vt:lpwstr/>
      </vt:variant>
      <vt:variant>
        <vt:i4>7667814</vt:i4>
      </vt:variant>
      <vt:variant>
        <vt:i4>537</vt:i4>
      </vt:variant>
      <vt:variant>
        <vt:i4>0</vt:i4>
      </vt:variant>
      <vt:variant>
        <vt:i4>5</vt:i4>
      </vt:variant>
      <vt:variant>
        <vt:lpwstr>https://www.legislation.vic.gov.au/in-force/acts/financial-management-act-1994/066</vt:lpwstr>
      </vt:variant>
      <vt:variant>
        <vt:lpwstr/>
      </vt:variant>
      <vt:variant>
        <vt:i4>2752618</vt:i4>
      </vt:variant>
      <vt:variant>
        <vt:i4>534</vt:i4>
      </vt:variant>
      <vt:variant>
        <vt:i4>0</vt:i4>
      </vt:variant>
      <vt:variant>
        <vt:i4>5</vt:i4>
      </vt:variant>
      <vt:variant>
        <vt:lpwstr>https://www.dtf.vic.gov.au/financial-management-government/standing-directions-2018-under-financial-management-act-1994</vt:lpwstr>
      </vt:variant>
      <vt:variant>
        <vt:lpwstr/>
      </vt:variant>
      <vt:variant>
        <vt:i4>4259916</vt:i4>
      </vt:variant>
      <vt:variant>
        <vt:i4>531</vt:i4>
      </vt:variant>
      <vt:variant>
        <vt:i4>0</vt:i4>
      </vt:variant>
      <vt:variant>
        <vt:i4>5</vt:i4>
      </vt:variant>
      <vt:variant>
        <vt:lpwstr>https://www.dtf.vic.gov.au/sites/default/files/document/Standing-Directions-2018-Instructions.pdf</vt:lpwstr>
      </vt:variant>
      <vt:variant>
        <vt:lpwstr/>
      </vt:variant>
      <vt:variant>
        <vt:i4>7667814</vt:i4>
      </vt:variant>
      <vt:variant>
        <vt:i4>528</vt:i4>
      </vt:variant>
      <vt:variant>
        <vt:i4>0</vt:i4>
      </vt:variant>
      <vt:variant>
        <vt:i4>5</vt:i4>
      </vt:variant>
      <vt:variant>
        <vt:lpwstr>https://www.legislation.vic.gov.au/in-force/acts/financial-management-act-1994/066</vt:lpwstr>
      </vt:variant>
      <vt:variant>
        <vt:lpwstr/>
      </vt:variant>
      <vt:variant>
        <vt:i4>2752618</vt:i4>
      </vt:variant>
      <vt:variant>
        <vt:i4>525</vt:i4>
      </vt:variant>
      <vt:variant>
        <vt:i4>0</vt:i4>
      </vt:variant>
      <vt:variant>
        <vt:i4>5</vt:i4>
      </vt:variant>
      <vt:variant>
        <vt:lpwstr>https://www.dtf.vic.gov.au/financial-management-government/standing-directions-2018-under-financial-management-act-1994</vt:lpwstr>
      </vt:variant>
      <vt:variant>
        <vt:lpwstr/>
      </vt:variant>
      <vt:variant>
        <vt:i4>7667814</vt:i4>
      </vt:variant>
      <vt:variant>
        <vt:i4>522</vt:i4>
      </vt:variant>
      <vt:variant>
        <vt:i4>0</vt:i4>
      </vt:variant>
      <vt:variant>
        <vt:i4>5</vt:i4>
      </vt:variant>
      <vt:variant>
        <vt:lpwstr>https://www.legislation.vic.gov.au/in-force/acts/financial-management-act-1994/066</vt:lpwstr>
      </vt:variant>
      <vt:variant>
        <vt:lpwstr/>
      </vt:variant>
      <vt:variant>
        <vt:i4>2752618</vt:i4>
      </vt:variant>
      <vt:variant>
        <vt:i4>519</vt:i4>
      </vt:variant>
      <vt:variant>
        <vt:i4>0</vt:i4>
      </vt:variant>
      <vt:variant>
        <vt:i4>5</vt:i4>
      </vt:variant>
      <vt:variant>
        <vt:lpwstr>https://www.dtf.vic.gov.au/financial-management-government/standing-directions-2018-under-financial-management-act-1994</vt:lpwstr>
      </vt:variant>
      <vt:variant>
        <vt:lpwstr/>
      </vt:variant>
      <vt:variant>
        <vt:i4>1048578</vt:i4>
      </vt:variant>
      <vt:variant>
        <vt:i4>516</vt:i4>
      </vt:variant>
      <vt:variant>
        <vt:i4>0</vt:i4>
      </vt:variant>
      <vt:variant>
        <vt:i4>5</vt:i4>
      </vt:variant>
      <vt:variant>
        <vt:lpwstr>https://vpsc.vic.gov.au/about-vpsc/updates-from-the-commissioner/integrity-guide-for-new-board-directors/</vt:lpwstr>
      </vt:variant>
      <vt:variant>
        <vt:lpwstr/>
      </vt:variant>
      <vt:variant>
        <vt:i4>7405670</vt:i4>
      </vt:variant>
      <vt:variant>
        <vt:i4>513</vt:i4>
      </vt:variant>
      <vt:variant>
        <vt:i4>0</vt:i4>
      </vt:variant>
      <vt:variant>
        <vt:i4>5</vt:i4>
      </vt:variant>
      <vt:variant>
        <vt:lpwstr>https://vpsc.vic.gov.au/ethics-behaviours-culture/conflict-of-interest/conflict-of-interest-guidance-for-organisations/</vt:lpwstr>
      </vt:variant>
      <vt:variant>
        <vt:lpwstr/>
      </vt:variant>
      <vt:variant>
        <vt:i4>3997807</vt:i4>
      </vt:variant>
      <vt:variant>
        <vt:i4>510</vt:i4>
      </vt:variant>
      <vt:variant>
        <vt:i4>0</vt:i4>
      </vt:variant>
      <vt:variant>
        <vt:i4>5</vt:i4>
      </vt:variant>
      <vt:variant>
        <vt:lpwstr>https://www.vic.gov.au/guidelines-appointment-remuneration</vt:lpwstr>
      </vt:variant>
      <vt:variant>
        <vt:lpwstr/>
      </vt:variant>
      <vt:variant>
        <vt:i4>8061041</vt:i4>
      </vt:variant>
      <vt:variant>
        <vt:i4>507</vt:i4>
      </vt:variant>
      <vt:variant>
        <vt:i4>0</vt:i4>
      </vt:variant>
      <vt:variant>
        <vt:i4>5</vt:i4>
      </vt:variant>
      <vt:variant>
        <vt:lpwstr>https://vpsc.vic.gov.au/ethics-behaviours-culture/codes-of-conduct/</vt:lpwstr>
      </vt:variant>
      <vt:variant>
        <vt:lpwstr/>
      </vt:variant>
      <vt:variant>
        <vt:i4>2097207</vt:i4>
      </vt:variant>
      <vt:variant>
        <vt:i4>504</vt:i4>
      </vt:variant>
      <vt:variant>
        <vt:i4>0</vt:i4>
      </vt:variant>
      <vt:variant>
        <vt:i4>5</vt:i4>
      </vt:variant>
      <vt:variant>
        <vt:lpwstr>https://www.buyingfor.vic.gov.au/supplier-code-conduct</vt:lpwstr>
      </vt:variant>
      <vt:variant>
        <vt:lpwstr/>
      </vt:variant>
      <vt:variant>
        <vt:i4>3735652</vt:i4>
      </vt:variant>
      <vt:variant>
        <vt:i4>501</vt:i4>
      </vt:variant>
      <vt:variant>
        <vt:i4>0</vt:i4>
      </vt:variant>
      <vt:variant>
        <vt:i4>5</vt:i4>
      </vt:variant>
      <vt:variant>
        <vt:lpwstr>https://www.legislation.vic.gov.au/in-force/acts/public-administration-act-2004/085</vt:lpwstr>
      </vt:variant>
      <vt:variant>
        <vt:lpwstr/>
      </vt:variant>
      <vt:variant>
        <vt:i4>6881314</vt:i4>
      </vt:variant>
      <vt:variant>
        <vt:i4>498</vt:i4>
      </vt:variant>
      <vt:variant>
        <vt:i4>0</vt:i4>
      </vt:variant>
      <vt:variant>
        <vt:i4>5</vt:i4>
      </vt:variant>
      <vt:variant>
        <vt:lpwstr>https://vpsc.vic.gov.au/resources/conflict-of-interest-and-duty-guidance-for-directors/</vt:lpwstr>
      </vt:variant>
      <vt:variant>
        <vt:lpwstr/>
      </vt:variant>
      <vt:variant>
        <vt:i4>1048641</vt:i4>
      </vt:variant>
      <vt:variant>
        <vt:i4>495</vt:i4>
      </vt:variant>
      <vt:variant>
        <vt:i4>0</vt:i4>
      </vt:variant>
      <vt:variant>
        <vt:i4>5</vt:i4>
      </vt:variant>
      <vt:variant>
        <vt:lpwstr>https://vpsc.vic.gov.au/resources/code-of-conduct-for-directors/</vt:lpwstr>
      </vt:variant>
      <vt:variant>
        <vt:lpwstr/>
      </vt:variant>
      <vt:variant>
        <vt:i4>720989</vt:i4>
      </vt:variant>
      <vt:variant>
        <vt:i4>492</vt:i4>
      </vt:variant>
      <vt:variant>
        <vt:i4>0</vt:i4>
      </vt:variant>
      <vt:variant>
        <vt:i4>5</vt:i4>
      </vt:variant>
      <vt:variant>
        <vt:lpwstr>https://vpsc.vic.gov.au/html-resources/welcome-to-the-board/</vt:lpwstr>
      </vt:variant>
      <vt:variant>
        <vt:lpwstr/>
      </vt:variant>
      <vt:variant>
        <vt:i4>1048646</vt:i4>
      </vt:variant>
      <vt:variant>
        <vt:i4>489</vt:i4>
      </vt:variant>
      <vt:variant>
        <vt:i4>0</vt:i4>
      </vt:variant>
      <vt:variant>
        <vt:i4>5</vt:i4>
      </vt:variant>
      <vt:variant>
        <vt:lpwstr>https://www2.health.vic.gov.au/about/populations/designing-for-diversity</vt:lpwstr>
      </vt:variant>
      <vt:variant>
        <vt:lpwstr/>
      </vt:variant>
      <vt:variant>
        <vt:i4>5767204</vt:i4>
      </vt:variant>
      <vt:variant>
        <vt:i4>486</vt:i4>
      </vt:variant>
      <vt:variant>
        <vt:i4>0</vt:i4>
      </vt:variant>
      <vt:variant>
        <vt:i4>5</vt:i4>
      </vt:variant>
      <vt:variant>
        <vt:lpwstr>https://content.vic.gov.au/sites/default/files/2022-03/Diversity-on-Victorian-Government-Board-Guidelines_0.pdf</vt:lpwstr>
      </vt:variant>
      <vt:variant>
        <vt:lpwstr/>
      </vt:variant>
      <vt:variant>
        <vt:i4>4390987</vt:i4>
      </vt:variant>
      <vt:variant>
        <vt:i4>483</vt:i4>
      </vt:variant>
      <vt:variant>
        <vt:i4>0</vt:i4>
      </vt:variant>
      <vt:variant>
        <vt:i4>5</vt:i4>
      </vt:variant>
      <vt:variant>
        <vt:lpwstr>https://vpsc.vic.gov.au/workforce-programs/disability-employment/</vt:lpwstr>
      </vt:variant>
      <vt:variant>
        <vt:lpwstr/>
      </vt:variant>
      <vt:variant>
        <vt:i4>5767204</vt:i4>
      </vt:variant>
      <vt:variant>
        <vt:i4>480</vt:i4>
      </vt:variant>
      <vt:variant>
        <vt:i4>0</vt:i4>
      </vt:variant>
      <vt:variant>
        <vt:i4>5</vt:i4>
      </vt:variant>
      <vt:variant>
        <vt:lpwstr>https://content.vic.gov.au/sites/default/files/2022-03/Diversity-on-Victorian-Government-Board-Guidelines_0.pdf</vt:lpwstr>
      </vt:variant>
      <vt:variant>
        <vt:lpwstr/>
      </vt:variant>
      <vt:variant>
        <vt:i4>1441857</vt:i4>
      </vt:variant>
      <vt:variant>
        <vt:i4>477</vt:i4>
      </vt:variant>
      <vt:variant>
        <vt:i4>0</vt:i4>
      </vt:variant>
      <vt:variant>
        <vt:i4>5</vt:i4>
      </vt:variant>
      <vt:variant>
        <vt:lpwstr>https://yoorrookjusticecommission.org.au/</vt:lpwstr>
      </vt:variant>
      <vt:variant>
        <vt:lpwstr/>
      </vt:variant>
      <vt:variant>
        <vt:i4>7667754</vt:i4>
      </vt:variant>
      <vt:variant>
        <vt:i4>474</vt:i4>
      </vt:variant>
      <vt:variant>
        <vt:i4>0</vt:i4>
      </vt:variant>
      <vt:variant>
        <vt:i4>5</vt:i4>
      </vt:variant>
      <vt:variant>
        <vt:lpwstr>https://www.firstpeoplesrelations.vic.gov.au/how-governments-working-close-gap-aboriginal-affairs-framework</vt:lpwstr>
      </vt:variant>
      <vt:variant>
        <vt:lpwstr/>
      </vt:variant>
      <vt:variant>
        <vt:i4>6815804</vt:i4>
      </vt:variant>
      <vt:variant>
        <vt:i4>471</vt:i4>
      </vt:variant>
      <vt:variant>
        <vt:i4>0</vt:i4>
      </vt:variant>
      <vt:variant>
        <vt:i4>5</vt:i4>
      </vt:variant>
      <vt:variant>
        <vt:lpwstr>https://vpsc.vic.gov.au/html-resources/aboriginal-cultural-capability-toolkit/</vt:lpwstr>
      </vt:variant>
      <vt:variant>
        <vt:lpwstr/>
      </vt:variant>
      <vt:variant>
        <vt:i4>5046370</vt:i4>
      </vt:variant>
      <vt:variant>
        <vt:i4>468</vt:i4>
      </vt:variant>
      <vt:variant>
        <vt:i4>0</vt:i4>
      </vt:variant>
      <vt:variant>
        <vt:i4>5</vt:i4>
      </vt:variant>
      <vt:variant>
        <vt:lpwstr>mailto:diversityonboards@dffh.vic.gov.au</vt:lpwstr>
      </vt:variant>
      <vt:variant>
        <vt:lpwstr/>
      </vt:variant>
      <vt:variant>
        <vt:i4>1245186</vt:i4>
      </vt:variant>
      <vt:variant>
        <vt:i4>465</vt:i4>
      </vt:variant>
      <vt:variant>
        <vt:i4>0</vt:i4>
      </vt:variant>
      <vt:variant>
        <vt:i4>5</vt:i4>
      </vt:variant>
      <vt:variant>
        <vt:lpwstr>https://www.vic.gov.au/node/24095</vt:lpwstr>
      </vt:variant>
      <vt:variant>
        <vt:lpwstr/>
      </vt:variant>
      <vt:variant>
        <vt:i4>3997807</vt:i4>
      </vt:variant>
      <vt:variant>
        <vt:i4>456</vt:i4>
      </vt:variant>
      <vt:variant>
        <vt:i4>0</vt:i4>
      </vt:variant>
      <vt:variant>
        <vt:i4>5</vt:i4>
      </vt:variant>
      <vt:variant>
        <vt:lpwstr>https://www.vic.gov.au/guidelines-appointment-remuneration</vt:lpwstr>
      </vt:variant>
      <vt:variant>
        <vt:lpwstr/>
      </vt:variant>
      <vt:variant>
        <vt:i4>786436</vt:i4>
      </vt:variant>
      <vt:variant>
        <vt:i4>453</vt:i4>
      </vt:variant>
      <vt:variant>
        <vt:i4>0</vt:i4>
      </vt:variant>
      <vt:variant>
        <vt:i4>5</vt:i4>
      </vt:variant>
      <vt:variant>
        <vt:lpwstr>http://vpsc.vic.gov.au/html-resources/recruitment-and-appointment-to-the-board-a-governance-officers-toolkit/</vt:lpwstr>
      </vt:variant>
      <vt:variant>
        <vt:lpwstr/>
      </vt:variant>
      <vt:variant>
        <vt:i4>1310725</vt:i4>
      </vt:variant>
      <vt:variant>
        <vt:i4>450</vt:i4>
      </vt:variant>
      <vt:variant>
        <vt:i4>0</vt:i4>
      </vt:variant>
      <vt:variant>
        <vt:i4>5</vt:i4>
      </vt:variant>
      <vt:variant>
        <vt:lpwstr>https://vicgov.sharepoint.com/:b:/r/sites/VG000604/Documents/Key Resources for RMs/Guidelines and Templates/Premier%27s Circular 2013/Premier%27s Circular 2015-02 Good Board Governance.PDF?csf=1&amp;web=1&amp;e=a2B6xp</vt:lpwstr>
      </vt:variant>
      <vt:variant>
        <vt:lpwstr/>
      </vt:variant>
      <vt:variant>
        <vt:i4>2818165</vt:i4>
      </vt:variant>
      <vt:variant>
        <vt:i4>447</vt:i4>
      </vt:variant>
      <vt:variant>
        <vt:i4>0</vt:i4>
      </vt:variant>
      <vt:variant>
        <vt:i4>5</vt:i4>
      </vt:variant>
      <vt:variant>
        <vt:lpwstr>https://vpsc.vic.gov.au/governance/portfolio-governance-arrangements?utm_campaign=portfolio-governance-arrangements&amp;utm_content=edm1&amp;utm_medium=email&amp;utm_source=salesforce</vt:lpwstr>
      </vt:variant>
      <vt:variant>
        <vt:lpwstr/>
      </vt:variant>
      <vt:variant>
        <vt:i4>5767192</vt:i4>
      </vt:variant>
      <vt:variant>
        <vt:i4>444</vt:i4>
      </vt:variant>
      <vt:variant>
        <vt:i4>0</vt:i4>
      </vt:variant>
      <vt:variant>
        <vt:i4>5</vt:i4>
      </vt:variant>
      <vt:variant>
        <vt:lpwstr>https://www.dtf.vic.gov.au/planning-budgeting-and-financial-reporting-frameworks/victorian-risk-management-framework-and-insurance-management-policy</vt:lpwstr>
      </vt:variant>
      <vt:variant>
        <vt:lpwstr/>
      </vt:variant>
      <vt:variant>
        <vt:i4>8060967</vt:i4>
      </vt:variant>
      <vt:variant>
        <vt:i4>441</vt:i4>
      </vt:variant>
      <vt:variant>
        <vt:i4>0</vt:i4>
      </vt:variant>
      <vt:variant>
        <vt:i4>5</vt:i4>
      </vt:variant>
      <vt:variant>
        <vt:lpwstr>https://www.dtf.vic.gov.au/infrastructure-investment/asset-management-accountability-framework</vt:lpwstr>
      </vt:variant>
      <vt:variant>
        <vt:lpwstr/>
      </vt:variant>
      <vt:variant>
        <vt:i4>2752618</vt:i4>
      </vt:variant>
      <vt:variant>
        <vt:i4>438</vt:i4>
      </vt:variant>
      <vt:variant>
        <vt:i4>0</vt:i4>
      </vt:variant>
      <vt:variant>
        <vt:i4>5</vt:i4>
      </vt:variant>
      <vt:variant>
        <vt:lpwstr>https://www.dtf.vic.gov.au/financial-management-government/standing-directions-2018-under-financial-management-act-1994</vt:lpwstr>
      </vt:variant>
      <vt:variant>
        <vt:lpwstr/>
      </vt:variant>
      <vt:variant>
        <vt:i4>6291573</vt:i4>
      </vt:variant>
      <vt:variant>
        <vt:i4>435</vt:i4>
      </vt:variant>
      <vt:variant>
        <vt:i4>0</vt:i4>
      </vt:variant>
      <vt:variant>
        <vt:i4>5</vt:i4>
      </vt:variant>
      <vt:variant>
        <vt:lpwstr>https://www.dtf.vic.gov.au/planning-budgeting-and-financial-reporting-frameworks/resource-management-framework</vt:lpwstr>
      </vt:variant>
      <vt:variant>
        <vt:lpwstr/>
      </vt:variant>
      <vt:variant>
        <vt:i4>3276911</vt:i4>
      </vt:variant>
      <vt:variant>
        <vt:i4>432</vt:i4>
      </vt:variant>
      <vt:variant>
        <vt:i4>0</vt:i4>
      </vt:variant>
      <vt:variant>
        <vt:i4>5</vt:i4>
      </vt:variant>
      <vt:variant>
        <vt:lpwstr>https://intranet.djsir.vic.gov.au/policies-forms-and-templates/monitoring-and-evaluation-policy</vt:lpwstr>
      </vt:variant>
      <vt:variant>
        <vt:lpwstr/>
      </vt:variant>
      <vt:variant>
        <vt:i4>3604518</vt:i4>
      </vt:variant>
      <vt:variant>
        <vt:i4>429</vt:i4>
      </vt:variant>
      <vt:variant>
        <vt:i4>0</vt:i4>
      </vt:variant>
      <vt:variant>
        <vt:i4>5</vt:i4>
      </vt:variant>
      <vt:variant>
        <vt:lpwstr>https://vgls.sdp.sirsidynix.net.au/client/search/asset/1294784</vt:lpwstr>
      </vt:variant>
      <vt:variant>
        <vt:lpwstr/>
      </vt:variant>
      <vt:variant>
        <vt:i4>2621482</vt:i4>
      </vt:variant>
      <vt:variant>
        <vt:i4>426</vt:i4>
      </vt:variant>
      <vt:variant>
        <vt:i4>0</vt:i4>
      </vt:variant>
      <vt:variant>
        <vt:i4>5</vt:i4>
      </vt:variant>
      <vt:variant>
        <vt:lpwstr>https://www.dtf.vic.gov.au/sites/default/files/2018-02/Stage Two Regulator SOE Guidelines.docx</vt:lpwstr>
      </vt:variant>
      <vt:variant>
        <vt:lpwstr/>
      </vt:variant>
      <vt:variant>
        <vt:i4>786517</vt:i4>
      </vt:variant>
      <vt:variant>
        <vt:i4>423</vt:i4>
      </vt:variant>
      <vt:variant>
        <vt:i4>0</vt:i4>
      </vt:variant>
      <vt:variant>
        <vt:i4>5</vt:i4>
      </vt:variant>
      <vt:variant>
        <vt:lpwstr>https://www.vic.gov.au/towards-best-practice-guide-regulators</vt:lpwstr>
      </vt:variant>
      <vt:variant>
        <vt:lpwstr/>
      </vt:variant>
      <vt:variant>
        <vt:i4>1048577</vt:i4>
      </vt:variant>
      <vt:variant>
        <vt:i4>420</vt:i4>
      </vt:variant>
      <vt:variant>
        <vt:i4>0</vt:i4>
      </vt:variant>
      <vt:variant>
        <vt:i4>5</vt:i4>
      </vt:variant>
      <vt:variant>
        <vt:lpwstr>https://www.dtf.vic.gov.au/sites/default/files/2018-02/Guidelines for preparing Ministerial Statements of Expectations under the SOE Framework May 2017.docx</vt:lpwstr>
      </vt:variant>
      <vt:variant>
        <vt:lpwstr/>
      </vt:variant>
      <vt:variant>
        <vt:i4>3801214</vt:i4>
      </vt:variant>
      <vt:variant>
        <vt:i4>417</vt:i4>
      </vt:variant>
      <vt:variant>
        <vt:i4>0</vt:i4>
      </vt:variant>
      <vt:variant>
        <vt:i4>5</vt:i4>
      </vt:variant>
      <vt:variant>
        <vt:lpwstr>https://www.dtf.vic.gov.au/reducing-regulatory-burden/statement-expectations-regulators</vt:lpwstr>
      </vt:variant>
      <vt:variant>
        <vt:lpwstr/>
      </vt:variant>
      <vt:variant>
        <vt:i4>6750325</vt:i4>
      </vt:variant>
      <vt:variant>
        <vt:i4>414</vt:i4>
      </vt:variant>
      <vt:variant>
        <vt:i4>0</vt:i4>
      </vt:variant>
      <vt:variant>
        <vt:i4>5</vt:i4>
      </vt:variant>
      <vt:variant>
        <vt:lpwstr>https://www.dtf.vic.gov.au/infrastructure-investment/high-value-high-risk-framework</vt:lpwstr>
      </vt:variant>
      <vt:variant>
        <vt:lpwstr/>
      </vt:variant>
      <vt:variant>
        <vt:i4>2752618</vt:i4>
      </vt:variant>
      <vt:variant>
        <vt:i4>411</vt:i4>
      </vt:variant>
      <vt:variant>
        <vt:i4>0</vt:i4>
      </vt:variant>
      <vt:variant>
        <vt:i4>5</vt:i4>
      </vt:variant>
      <vt:variant>
        <vt:lpwstr>https://www.dtf.vic.gov.au/financial-management-government/standing-directions-2018-under-financial-management-act-1994</vt:lpwstr>
      </vt:variant>
      <vt:variant>
        <vt:lpwstr/>
      </vt:variant>
      <vt:variant>
        <vt:i4>7143480</vt:i4>
      </vt:variant>
      <vt:variant>
        <vt:i4>408</vt:i4>
      </vt:variant>
      <vt:variant>
        <vt:i4>0</vt:i4>
      </vt:variant>
      <vt:variant>
        <vt:i4>5</vt:i4>
      </vt:variant>
      <vt:variant>
        <vt:lpwstr>https://www.dtf.vic.gov.au/sites/default/files/document/Resource Management Framework 2023-2024.pdf</vt:lpwstr>
      </vt:variant>
      <vt:variant>
        <vt:lpwstr/>
      </vt:variant>
      <vt:variant>
        <vt:i4>7143480</vt:i4>
      </vt:variant>
      <vt:variant>
        <vt:i4>405</vt:i4>
      </vt:variant>
      <vt:variant>
        <vt:i4>0</vt:i4>
      </vt:variant>
      <vt:variant>
        <vt:i4>5</vt:i4>
      </vt:variant>
      <vt:variant>
        <vt:lpwstr>https://www.dtf.vic.gov.au/sites/default/files/document/Resource Management Framework 2023-2024.pdf</vt:lpwstr>
      </vt:variant>
      <vt:variant>
        <vt:lpwstr/>
      </vt:variant>
      <vt:variant>
        <vt:i4>3932270</vt:i4>
      </vt:variant>
      <vt:variant>
        <vt:i4>402</vt:i4>
      </vt:variant>
      <vt:variant>
        <vt:i4>0</vt:i4>
      </vt:variant>
      <vt:variant>
        <vt:i4>5</vt:i4>
      </vt:variant>
      <vt:variant>
        <vt:lpwstr>https://www.dtf.vic.gov.au/planning-budgeting-and-financial-reporting-frameworks/corporate-planning-and-performance-reporting-requirements</vt:lpwstr>
      </vt:variant>
      <vt:variant>
        <vt:lpwstr/>
      </vt:variant>
      <vt:variant>
        <vt:i4>3211385</vt:i4>
      </vt:variant>
      <vt:variant>
        <vt:i4>399</vt:i4>
      </vt:variant>
      <vt:variant>
        <vt:i4>0</vt:i4>
      </vt:variant>
      <vt:variant>
        <vt:i4>5</vt:i4>
      </vt:variant>
      <vt:variant>
        <vt:lpwstr>https://intranet.djsir.vic.gov.au/doctools/documents?rootid=661771</vt:lpwstr>
      </vt:variant>
      <vt:variant>
        <vt:lpwstr/>
      </vt:variant>
      <vt:variant>
        <vt:i4>1835056</vt:i4>
      </vt:variant>
      <vt:variant>
        <vt:i4>392</vt:i4>
      </vt:variant>
      <vt:variant>
        <vt:i4>0</vt:i4>
      </vt:variant>
      <vt:variant>
        <vt:i4>5</vt:i4>
      </vt:variant>
      <vt:variant>
        <vt:lpwstr/>
      </vt:variant>
      <vt:variant>
        <vt:lpwstr>_Toc158719806</vt:lpwstr>
      </vt:variant>
      <vt:variant>
        <vt:i4>1835056</vt:i4>
      </vt:variant>
      <vt:variant>
        <vt:i4>386</vt:i4>
      </vt:variant>
      <vt:variant>
        <vt:i4>0</vt:i4>
      </vt:variant>
      <vt:variant>
        <vt:i4>5</vt:i4>
      </vt:variant>
      <vt:variant>
        <vt:lpwstr/>
      </vt:variant>
      <vt:variant>
        <vt:lpwstr>_Toc158719805</vt:lpwstr>
      </vt:variant>
      <vt:variant>
        <vt:i4>1835056</vt:i4>
      </vt:variant>
      <vt:variant>
        <vt:i4>380</vt:i4>
      </vt:variant>
      <vt:variant>
        <vt:i4>0</vt:i4>
      </vt:variant>
      <vt:variant>
        <vt:i4>5</vt:i4>
      </vt:variant>
      <vt:variant>
        <vt:lpwstr/>
      </vt:variant>
      <vt:variant>
        <vt:lpwstr>_Toc158719804</vt:lpwstr>
      </vt:variant>
      <vt:variant>
        <vt:i4>1835056</vt:i4>
      </vt:variant>
      <vt:variant>
        <vt:i4>374</vt:i4>
      </vt:variant>
      <vt:variant>
        <vt:i4>0</vt:i4>
      </vt:variant>
      <vt:variant>
        <vt:i4>5</vt:i4>
      </vt:variant>
      <vt:variant>
        <vt:lpwstr/>
      </vt:variant>
      <vt:variant>
        <vt:lpwstr>_Toc158719803</vt:lpwstr>
      </vt:variant>
      <vt:variant>
        <vt:i4>1835056</vt:i4>
      </vt:variant>
      <vt:variant>
        <vt:i4>368</vt:i4>
      </vt:variant>
      <vt:variant>
        <vt:i4>0</vt:i4>
      </vt:variant>
      <vt:variant>
        <vt:i4>5</vt:i4>
      </vt:variant>
      <vt:variant>
        <vt:lpwstr/>
      </vt:variant>
      <vt:variant>
        <vt:lpwstr>_Toc158719802</vt:lpwstr>
      </vt:variant>
      <vt:variant>
        <vt:i4>1835056</vt:i4>
      </vt:variant>
      <vt:variant>
        <vt:i4>362</vt:i4>
      </vt:variant>
      <vt:variant>
        <vt:i4>0</vt:i4>
      </vt:variant>
      <vt:variant>
        <vt:i4>5</vt:i4>
      </vt:variant>
      <vt:variant>
        <vt:lpwstr/>
      </vt:variant>
      <vt:variant>
        <vt:lpwstr>_Toc158719801</vt:lpwstr>
      </vt:variant>
      <vt:variant>
        <vt:i4>1835056</vt:i4>
      </vt:variant>
      <vt:variant>
        <vt:i4>356</vt:i4>
      </vt:variant>
      <vt:variant>
        <vt:i4>0</vt:i4>
      </vt:variant>
      <vt:variant>
        <vt:i4>5</vt:i4>
      </vt:variant>
      <vt:variant>
        <vt:lpwstr/>
      </vt:variant>
      <vt:variant>
        <vt:lpwstr>_Toc158719800</vt:lpwstr>
      </vt:variant>
      <vt:variant>
        <vt:i4>1376319</vt:i4>
      </vt:variant>
      <vt:variant>
        <vt:i4>350</vt:i4>
      </vt:variant>
      <vt:variant>
        <vt:i4>0</vt:i4>
      </vt:variant>
      <vt:variant>
        <vt:i4>5</vt:i4>
      </vt:variant>
      <vt:variant>
        <vt:lpwstr/>
      </vt:variant>
      <vt:variant>
        <vt:lpwstr>_Toc158719799</vt:lpwstr>
      </vt:variant>
      <vt:variant>
        <vt:i4>1376319</vt:i4>
      </vt:variant>
      <vt:variant>
        <vt:i4>344</vt:i4>
      </vt:variant>
      <vt:variant>
        <vt:i4>0</vt:i4>
      </vt:variant>
      <vt:variant>
        <vt:i4>5</vt:i4>
      </vt:variant>
      <vt:variant>
        <vt:lpwstr/>
      </vt:variant>
      <vt:variant>
        <vt:lpwstr>_Toc158719798</vt:lpwstr>
      </vt:variant>
      <vt:variant>
        <vt:i4>1376319</vt:i4>
      </vt:variant>
      <vt:variant>
        <vt:i4>338</vt:i4>
      </vt:variant>
      <vt:variant>
        <vt:i4>0</vt:i4>
      </vt:variant>
      <vt:variant>
        <vt:i4>5</vt:i4>
      </vt:variant>
      <vt:variant>
        <vt:lpwstr/>
      </vt:variant>
      <vt:variant>
        <vt:lpwstr>_Toc158719797</vt:lpwstr>
      </vt:variant>
      <vt:variant>
        <vt:i4>1376319</vt:i4>
      </vt:variant>
      <vt:variant>
        <vt:i4>332</vt:i4>
      </vt:variant>
      <vt:variant>
        <vt:i4>0</vt:i4>
      </vt:variant>
      <vt:variant>
        <vt:i4>5</vt:i4>
      </vt:variant>
      <vt:variant>
        <vt:lpwstr/>
      </vt:variant>
      <vt:variant>
        <vt:lpwstr>_Toc158719796</vt:lpwstr>
      </vt:variant>
      <vt:variant>
        <vt:i4>1376319</vt:i4>
      </vt:variant>
      <vt:variant>
        <vt:i4>326</vt:i4>
      </vt:variant>
      <vt:variant>
        <vt:i4>0</vt:i4>
      </vt:variant>
      <vt:variant>
        <vt:i4>5</vt:i4>
      </vt:variant>
      <vt:variant>
        <vt:lpwstr/>
      </vt:variant>
      <vt:variant>
        <vt:lpwstr>_Toc158719795</vt:lpwstr>
      </vt:variant>
      <vt:variant>
        <vt:i4>1376319</vt:i4>
      </vt:variant>
      <vt:variant>
        <vt:i4>320</vt:i4>
      </vt:variant>
      <vt:variant>
        <vt:i4>0</vt:i4>
      </vt:variant>
      <vt:variant>
        <vt:i4>5</vt:i4>
      </vt:variant>
      <vt:variant>
        <vt:lpwstr/>
      </vt:variant>
      <vt:variant>
        <vt:lpwstr>_Toc158719794</vt:lpwstr>
      </vt:variant>
      <vt:variant>
        <vt:i4>1376319</vt:i4>
      </vt:variant>
      <vt:variant>
        <vt:i4>314</vt:i4>
      </vt:variant>
      <vt:variant>
        <vt:i4>0</vt:i4>
      </vt:variant>
      <vt:variant>
        <vt:i4>5</vt:i4>
      </vt:variant>
      <vt:variant>
        <vt:lpwstr/>
      </vt:variant>
      <vt:variant>
        <vt:lpwstr>_Toc158719793</vt:lpwstr>
      </vt:variant>
      <vt:variant>
        <vt:i4>1376319</vt:i4>
      </vt:variant>
      <vt:variant>
        <vt:i4>308</vt:i4>
      </vt:variant>
      <vt:variant>
        <vt:i4>0</vt:i4>
      </vt:variant>
      <vt:variant>
        <vt:i4>5</vt:i4>
      </vt:variant>
      <vt:variant>
        <vt:lpwstr/>
      </vt:variant>
      <vt:variant>
        <vt:lpwstr>_Toc158719792</vt:lpwstr>
      </vt:variant>
      <vt:variant>
        <vt:i4>1376319</vt:i4>
      </vt:variant>
      <vt:variant>
        <vt:i4>302</vt:i4>
      </vt:variant>
      <vt:variant>
        <vt:i4>0</vt:i4>
      </vt:variant>
      <vt:variant>
        <vt:i4>5</vt:i4>
      </vt:variant>
      <vt:variant>
        <vt:lpwstr/>
      </vt:variant>
      <vt:variant>
        <vt:lpwstr>_Toc158719791</vt:lpwstr>
      </vt:variant>
      <vt:variant>
        <vt:i4>1376319</vt:i4>
      </vt:variant>
      <vt:variant>
        <vt:i4>296</vt:i4>
      </vt:variant>
      <vt:variant>
        <vt:i4>0</vt:i4>
      </vt:variant>
      <vt:variant>
        <vt:i4>5</vt:i4>
      </vt:variant>
      <vt:variant>
        <vt:lpwstr/>
      </vt:variant>
      <vt:variant>
        <vt:lpwstr>_Toc158719790</vt:lpwstr>
      </vt:variant>
      <vt:variant>
        <vt:i4>1310783</vt:i4>
      </vt:variant>
      <vt:variant>
        <vt:i4>290</vt:i4>
      </vt:variant>
      <vt:variant>
        <vt:i4>0</vt:i4>
      </vt:variant>
      <vt:variant>
        <vt:i4>5</vt:i4>
      </vt:variant>
      <vt:variant>
        <vt:lpwstr/>
      </vt:variant>
      <vt:variant>
        <vt:lpwstr>_Toc158719789</vt:lpwstr>
      </vt:variant>
      <vt:variant>
        <vt:i4>1310783</vt:i4>
      </vt:variant>
      <vt:variant>
        <vt:i4>284</vt:i4>
      </vt:variant>
      <vt:variant>
        <vt:i4>0</vt:i4>
      </vt:variant>
      <vt:variant>
        <vt:i4>5</vt:i4>
      </vt:variant>
      <vt:variant>
        <vt:lpwstr/>
      </vt:variant>
      <vt:variant>
        <vt:lpwstr>_Toc158719788</vt:lpwstr>
      </vt:variant>
      <vt:variant>
        <vt:i4>1310783</vt:i4>
      </vt:variant>
      <vt:variant>
        <vt:i4>278</vt:i4>
      </vt:variant>
      <vt:variant>
        <vt:i4>0</vt:i4>
      </vt:variant>
      <vt:variant>
        <vt:i4>5</vt:i4>
      </vt:variant>
      <vt:variant>
        <vt:lpwstr/>
      </vt:variant>
      <vt:variant>
        <vt:lpwstr>_Toc158719787</vt:lpwstr>
      </vt:variant>
      <vt:variant>
        <vt:i4>1310783</vt:i4>
      </vt:variant>
      <vt:variant>
        <vt:i4>272</vt:i4>
      </vt:variant>
      <vt:variant>
        <vt:i4>0</vt:i4>
      </vt:variant>
      <vt:variant>
        <vt:i4>5</vt:i4>
      </vt:variant>
      <vt:variant>
        <vt:lpwstr/>
      </vt:variant>
      <vt:variant>
        <vt:lpwstr>_Toc158719786</vt:lpwstr>
      </vt:variant>
      <vt:variant>
        <vt:i4>1310783</vt:i4>
      </vt:variant>
      <vt:variant>
        <vt:i4>266</vt:i4>
      </vt:variant>
      <vt:variant>
        <vt:i4>0</vt:i4>
      </vt:variant>
      <vt:variant>
        <vt:i4>5</vt:i4>
      </vt:variant>
      <vt:variant>
        <vt:lpwstr/>
      </vt:variant>
      <vt:variant>
        <vt:lpwstr>_Toc158719785</vt:lpwstr>
      </vt:variant>
      <vt:variant>
        <vt:i4>1310783</vt:i4>
      </vt:variant>
      <vt:variant>
        <vt:i4>260</vt:i4>
      </vt:variant>
      <vt:variant>
        <vt:i4>0</vt:i4>
      </vt:variant>
      <vt:variant>
        <vt:i4>5</vt:i4>
      </vt:variant>
      <vt:variant>
        <vt:lpwstr/>
      </vt:variant>
      <vt:variant>
        <vt:lpwstr>_Toc158719784</vt:lpwstr>
      </vt:variant>
      <vt:variant>
        <vt:i4>1310783</vt:i4>
      </vt:variant>
      <vt:variant>
        <vt:i4>254</vt:i4>
      </vt:variant>
      <vt:variant>
        <vt:i4>0</vt:i4>
      </vt:variant>
      <vt:variant>
        <vt:i4>5</vt:i4>
      </vt:variant>
      <vt:variant>
        <vt:lpwstr/>
      </vt:variant>
      <vt:variant>
        <vt:lpwstr>_Toc158719783</vt:lpwstr>
      </vt:variant>
      <vt:variant>
        <vt:i4>1310783</vt:i4>
      </vt:variant>
      <vt:variant>
        <vt:i4>248</vt:i4>
      </vt:variant>
      <vt:variant>
        <vt:i4>0</vt:i4>
      </vt:variant>
      <vt:variant>
        <vt:i4>5</vt:i4>
      </vt:variant>
      <vt:variant>
        <vt:lpwstr/>
      </vt:variant>
      <vt:variant>
        <vt:lpwstr>_Toc158719782</vt:lpwstr>
      </vt:variant>
      <vt:variant>
        <vt:i4>1310783</vt:i4>
      </vt:variant>
      <vt:variant>
        <vt:i4>242</vt:i4>
      </vt:variant>
      <vt:variant>
        <vt:i4>0</vt:i4>
      </vt:variant>
      <vt:variant>
        <vt:i4>5</vt:i4>
      </vt:variant>
      <vt:variant>
        <vt:lpwstr/>
      </vt:variant>
      <vt:variant>
        <vt:lpwstr>_Toc158719781</vt:lpwstr>
      </vt:variant>
      <vt:variant>
        <vt:i4>1310783</vt:i4>
      </vt:variant>
      <vt:variant>
        <vt:i4>236</vt:i4>
      </vt:variant>
      <vt:variant>
        <vt:i4>0</vt:i4>
      </vt:variant>
      <vt:variant>
        <vt:i4>5</vt:i4>
      </vt:variant>
      <vt:variant>
        <vt:lpwstr/>
      </vt:variant>
      <vt:variant>
        <vt:lpwstr>_Toc158719780</vt:lpwstr>
      </vt:variant>
      <vt:variant>
        <vt:i4>1769535</vt:i4>
      </vt:variant>
      <vt:variant>
        <vt:i4>230</vt:i4>
      </vt:variant>
      <vt:variant>
        <vt:i4>0</vt:i4>
      </vt:variant>
      <vt:variant>
        <vt:i4>5</vt:i4>
      </vt:variant>
      <vt:variant>
        <vt:lpwstr/>
      </vt:variant>
      <vt:variant>
        <vt:lpwstr>_Toc158719779</vt:lpwstr>
      </vt:variant>
      <vt:variant>
        <vt:i4>1769535</vt:i4>
      </vt:variant>
      <vt:variant>
        <vt:i4>224</vt:i4>
      </vt:variant>
      <vt:variant>
        <vt:i4>0</vt:i4>
      </vt:variant>
      <vt:variant>
        <vt:i4>5</vt:i4>
      </vt:variant>
      <vt:variant>
        <vt:lpwstr/>
      </vt:variant>
      <vt:variant>
        <vt:lpwstr>_Toc158719778</vt:lpwstr>
      </vt:variant>
      <vt:variant>
        <vt:i4>1769535</vt:i4>
      </vt:variant>
      <vt:variant>
        <vt:i4>218</vt:i4>
      </vt:variant>
      <vt:variant>
        <vt:i4>0</vt:i4>
      </vt:variant>
      <vt:variant>
        <vt:i4>5</vt:i4>
      </vt:variant>
      <vt:variant>
        <vt:lpwstr/>
      </vt:variant>
      <vt:variant>
        <vt:lpwstr>_Toc158719777</vt:lpwstr>
      </vt:variant>
      <vt:variant>
        <vt:i4>1769535</vt:i4>
      </vt:variant>
      <vt:variant>
        <vt:i4>212</vt:i4>
      </vt:variant>
      <vt:variant>
        <vt:i4>0</vt:i4>
      </vt:variant>
      <vt:variant>
        <vt:i4>5</vt:i4>
      </vt:variant>
      <vt:variant>
        <vt:lpwstr/>
      </vt:variant>
      <vt:variant>
        <vt:lpwstr>_Toc158719776</vt:lpwstr>
      </vt:variant>
      <vt:variant>
        <vt:i4>1769535</vt:i4>
      </vt:variant>
      <vt:variant>
        <vt:i4>206</vt:i4>
      </vt:variant>
      <vt:variant>
        <vt:i4>0</vt:i4>
      </vt:variant>
      <vt:variant>
        <vt:i4>5</vt:i4>
      </vt:variant>
      <vt:variant>
        <vt:lpwstr/>
      </vt:variant>
      <vt:variant>
        <vt:lpwstr>_Toc158719775</vt:lpwstr>
      </vt:variant>
      <vt:variant>
        <vt:i4>1769535</vt:i4>
      </vt:variant>
      <vt:variant>
        <vt:i4>200</vt:i4>
      </vt:variant>
      <vt:variant>
        <vt:i4>0</vt:i4>
      </vt:variant>
      <vt:variant>
        <vt:i4>5</vt:i4>
      </vt:variant>
      <vt:variant>
        <vt:lpwstr/>
      </vt:variant>
      <vt:variant>
        <vt:lpwstr>_Toc158719774</vt:lpwstr>
      </vt:variant>
      <vt:variant>
        <vt:i4>1769535</vt:i4>
      </vt:variant>
      <vt:variant>
        <vt:i4>194</vt:i4>
      </vt:variant>
      <vt:variant>
        <vt:i4>0</vt:i4>
      </vt:variant>
      <vt:variant>
        <vt:i4>5</vt:i4>
      </vt:variant>
      <vt:variant>
        <vt:lpwstr/>
      </vt:variant>
      <vt:variant>
        <vt:lpwstr>_Toc158719773</vt:lpwstr>
      </vt:variant>
      <vt:variant>
        <vt:i4>1769535</vt:i4>
      </vt:variant>
      <vt:variant>
        <vt:i4>188</vt:i4>
      </vt:variant>
      <vt:variant>
        <vt:i4>0</vt:i4>
      </vt:variant>
      <vt:variant>
        <vt:i4>5</vt:i4>
      </vt:variant>
      <vt:variant>
        <vt:lpwstr/>
      </vt:variant>
      <vt:variant>
        <vt:lpwstr>_Toc158719772</vt:lpwstr>
      </vt:variant>
      <vt:variant>
        <vt:i4>1769535</vt:i4>
      </vt:variant>
      <vt:variant>
        <vt:i4>182</vt:i4>
      </vt:variant>
      <vt:variant>
        <vt:i4>0</vt:i4>
      </vt:variant>
      <vt:variant>
        <vt:i4>5</vt:i4>
      </vt:variant>
      <vt:variant>
        <vt:lpwstr/>
      </vt:variant>
      <vt:variant>
        <vt:lpwstr>_Toc158719771</vt:lpwstr>
      </vt:variant>
      <vt:variant>
        <vt:i4>1769535</vt:i4>
      </vt:variant>
      <vt:variant>
        <vt:i4>176</vt:i4>
      </vt:variant>
      <vt:variant>
        <vt:i4>0</vt:i4>
      </vt:variant>
      <vt:variant>
        <vt:i4>5</vt:i4>
      </vt:variant>
      <vt:variant>
        <vt:lpwstr/>
      </vt:variant>
      <vt:variant>
        <vt:lpwstr>_Toc158719770</vt:lpwstr>
      </vt:variant>
      <vt:variant>
        <vt:i4>1703999</vt:i4>
      </vt:variant>
      <vt:variant>
        <vt:i4>170</vt:i4>
      </vt:variant>
      <vt:variant>
        <vt:i4>0</vt:i4>
      </vt:variant>
      <vt:variant>
        <vt:i4>5</vt:i4>
      </vt:variant>
      <vt:variant>
        <vt:lpwstr/>
      </vt:variant>
      <vt:variant>
        <vt:lpwstr>_Toc158719769</vt:lpwstr>
      </vt:variant>
      <vt:variant>
        <vt:i4>1703999</vt:i4>
      </vt:variant>
      <vt:variant>
        <vt:i4>164</vt:i4>
      </vt:variant>
      <vt:variant>
        <vt:i4>0</vt:i4>
      </vt:variant>
      <vt:variant>
        <vt:i4>5</vt:i4>
      </vt:variant>
      <vt:variant>
        <vt:lpwstr/>
      </vt:variant>
      <vt:variant>
        <vt:lpwstr>_Toc158719768</vt:lpwstr>
      </vt:variant>
      <vt:variant>
        <vt:i4>1703999</vt:i4>
      </vt:variant>
      <vt:variant>
        <vt:i4>158</vt:i4>
      </vt:variant>
      <vt:variant>
        <vt:i4>0</vt:i4>
      </vt:variant>
      <vt:variant>
        <vt:i4>5</vt:i4>
      </vt:variant>
      <vt:variant>
        <vt:lpwstr/>
      </vt:variant>
      <vt:variant>
        <vt:lpwstr>_Toc158719767</vt:lpwstr>
      </vt:variant>
      <vt:variant>
        <vt:i4>1703999</vt:i4>
      </vt:variant>
      <vt:variant>
        <vt:i4>152</vt:i4>
      </vt:variant>
      <vt:variant>
        <vt:i4>0</vt:i4>
      </vt:variant>
      <vt:variant>
        <vt:i4>5</vt:i4>
      </vt:variant>
      <vt:variant>
        <vt:lpwstr/>
      </vt:variant>
      <vt:variant>
        <vt:lpwstr>_Toc158719766</vt:lpwstr>
      </vt:variant>
      <vt:variant>
        <vt:i4>1703999</vt:i4>
      </vt:variant>
      <vt:variant>
        <vt:i4>146</vt:i4>
      </vt:variant>
      <vt:variant>
        <vt:i4>0</vt:i4>
      </vt:variant>
      <vt:variant>
        <vt:i4>5</vt:i4>
      </vt:variant>
      <vt:variant>
        <vt:lpwstr/>
      </vt:variant>
      <vt:variant>
        <vt:lpwstr>_Toc158719765</vt:lpwstr>
      </vt:variant>
      <vt:variant>
        <vt:i4>1703999</vt:i4>
      </vt:variant>
      <vt:variant>
        <vt:i4>140</vt:i4>
      </vt:variant>
      <vt:variant>
        <vt:i4>0</vt:i4>
      </vt:variant>
      <vt:variant>
        <vt:i4>5</vt:i4>
      </vt:variant>
      <vt:variant>
        <vt:lpwstr/>
      </vt:variant>
      <vt:variant>
        <vt:lpwstr>_Toc158719764</vt:lpwstr>
      </vt:variant>
      <vt:variant>
        <vt:i4>1703999</vt:i4>
      </vt:variant>
      <vt:variant>
        <vt:i4>134</vt:i4>
      </vt:variant>
      <vt:variant>
        <vt:i4>0</vt:i4>
      </vt:variant>
      <vt:variant>
        <vt:i4>5</vt:i4>
      </vt:variant>
      <vt:variant>
        <vt:lpwstr/>
      </vt:variant>
      <vt:variant>
        <vt:lpwstr>_Toc158719763</vt:lpwstr>
      </vt:variant>
      <vt:variant>
        <vt:i4>1703999</vt:i4>
      </vt:variant>
      <vt:variant>
        <vt:i4>128</vt:i4>
      </vt:variant>
      <vt:variant>
        <vt:i4>0</vt:i4>
      </vt:variant>
      <vt:variant>
        <vt:i4>5</vt:i4>
      </vt:variant>
      <vt:variant>
        <vt:lpwstr/>
      </vt:variant>
      <vt:variant>
        <vt:lpwstr>_Toc158719762</vt:lpwstr>
      </vt:variant>
      <vt:variant>
        <vt:i4>1703999</vt:i4>
      </vt:variant>
      <vt:variant>
        <vt:i4>122</vt:i4>
      </vt:variant>
      <vt:variant>
        <vt:i4>0</vt:i4>
      </vt:variant>
      <vt:variant>
        <vt:i4>5</vt:i4>
      </vt:variant>
      <vt:variant>
        <vt:lpwstr/>
      </vt:variant>
      <vt:variant>
        <vt:lpwstr>_Toc158719760</vt:lpwstr>
      </vt:variant>
      <vt:variant>
        <vt:i4>1638463</vt:i4>
      </vt:variant>
      <vt:variant>
        <vt:i4>116</vt:i4>
      </vt:variant>
      <vt:variant>
        <vt:i4>0</vt:i4>
      </vt:variant>
      <vt:variant>
        <vt:i4>5</vt:i4>
      </vt:variant>
      <vt:variant>
        <vt:lpwstr/>
      </vt:variant>
      <vt:variant>
        <vt:lpwstr>_Toc158719759</vt:lpwstr>
      </vt:variant>
      <vt:variant>
        <vt:i4>1638463</vt:i4>
      </vt:variant>
      <vt:variant>
        <vt:i4>110</vt:i4>
      </vt:variant>
      <vt:variant>
        <vt:i4>0</vt:i4>
      </vt:variant>
      <vt:variant>
        <vt:i4>5</vt:i4>
      </vt:variant>
      <vt:variant>
        <vt:lpwstr/>
      </vt:variant>
      <vt:variant>
        <vt:lpwstr>_Toc158719758</vt:lpwstr>
      </vt:variant>
      <vt:variant>
        <vt:i4>1638463</vt:i4>
      </vt:variant>
      <vt:variant>
        <vt:i4>104</vt:i4>
      </vt:variant>
      <vt:variant>
        <vt:i4>0</vt:i4>
      </vt:variant>
      <vt:variant>
        <vt:i4>5</vt:i4>
      </vt:variant>
      <vt:variant>
        <vt:lpwstr/>
      </vt:variant>
      <vt:variant>
        <vt:lpwstr>_Toc158719757</vt:lpwstr>
      </vt:variant>
      <vt:variant>
        <vt:i4>1638463</vt:i4>
      </vt:variant>
      <vt:variant>
        <vt:i4>98</vt:i4>
      </vt:variant>
      <vt:variant>
        <vt:i4>0</vt:i4>
      </vt:variant>
      <vt:variant>
        <vt:i4>5</vt:i4>
      </vt:variant>
      <vt:variant>
        <vt:lpwstr/>
      </vt:variant>
      <vt:variant>
        <vt:lpwstr>_Toc158719756</vt:lpwstr>
      </vt:variant>
      <vt:variant>
        <vt:i4>1638463</vt:i4>
      </vt:variant>
      <vt:variant>
        <vt:i4>92</vt:i4>
      </vt:variant>
      <vt:variant>
        <vt:i4>0</vt:i4>
      </vt:variant>
      <vt:variant>
        <vt:i4>5</vt:i4>
      </vt:variant>
      <vt:variant>
        <vt:lpwstr/>
      </vt:variant>
      <vt:variant>
        <vt:lpwstr>_Toc158719755</vt:lpwstr>
      </vt:variant>
      <vt:variant>
        <vt:i4>1638463</vt:i4>
      </vt:variant>
      <vt:variant>
        <vt:i4>86</vt:i4>
      </vt:variant>
      <vt:variant>
        <vt:i4>0</vt:i4>
      </vt:variant>
      <vt:variant>
        <vt:i4>5</vt:i4>
      </vt:variant>
      <vt:variant>
        <vt:lpwstr/>
      </vt:variant>
      <vt:variant>
        <vt:lpwstr>_Toc158719754</vt:lpwstr>
      </vt:variant>
      <vt:variant>
        <vt:i4>1638463</vt:i4>
      </vt:variant>
      <vt:variant>
        <vt:i4>80</vt:i4>
      </vt:variant>
      <vt:variant>
        <vt:i4>0</vt:i4>
      </vt:variant>
      <vt:variant>
        <vt:i4>5</vt:i4>
      </vt:variant>
      <vt:variant>
        <vt:lpwstr/>
      </vt:variant>
      <vt:variant>
        <vt:lpwstr>_Toc158719753</vt:lpwstr>
      </vt:variant>
      <vt:variant>
        <vt:i4>1638463</vt:i4>
      </vt:variant>
      <vt:variant>
        <vt:i4>74</vt:i4>
      </vt:variant>
      <vt:variant>
        <vt:i4>0</vt:i4>
      </vt:variant>
      <vt:variant>
        <vt:i4>5</vt:i4>
      </vt:variant>
      <vt:variant>
        <vt:lpwstr/>
      </vt:variant>
      <vt:variant>
        <vt:lpwstr>_Toc158719752</vt:lpwstr>
      </vt:variant>
      <vt:variant>
        <vt:i4>1638463</vt:i4>
      </vt:variant>
      <vt:variant>
        <vt:i4>68</vt:i4>
      </vt:variant>
      <vt:variant>
        <vt:i4>0</vt:i4>
      </vt:variant>
      <vt:variant>
        <vt:i4>5</vt:i4>
      </vt:variant>
      <vt:variant>
        <vt:lpwstr/>
      </vt:variant>
      <vt:variant>
        <vt:lpwstr>_Toc158719751</vt:lpwstr>
      </vt:variant>
      <vt:variant>
        <vt:i4>1638463</vt:i4>
      </vt:variant>
      <vt:variant>
        <vt:i4>62</vt:i4>
      </vt:variant>
      <vt:variant>
        <vt:i4>0</vt:i4>
      </vt:variant>
      <vt:variant>
        <vt:i4>5</vt:i4>
      </vt:variant>
      <vt:variant>
        <vt:lpwstr/>
      </vt:variant>
      <vt:variant>
        <vt:lpwstr>_Toc158719750</vt:lpwstr>
      </vt:variant>
      <vt:variant>
        <vt:i4>1572927</vt:i4>
      </vt:variant>
      <vt:variant>
        <vt:i4>56</vt:i4>
      </vt:variant>
      <vt:variant>
        <vt:i4>0</vt:i4>
      </vt:variant>
      <vt:variant>
        <vt:i4>5</vt:i4>
      </vt:variant>
      <vt:variant>
        <vt:lpwstr/>
      </vt:variant>
      <vt:variant>
        <vt:lpwstr>_Toc158719749</vt:lpwstr>
      </vt:variant>
      <vt:variant>
        <vt:i4>1572927</vt:i4>
      </vt:variant>
      <vt:variant>
        <vt:i4>50</vt:i4>
      </vt:variant>
      <vt:variant>
        <vt:i4>0</vt:i4>
      </vt:variant>
      <vt:variant>
        <vt:i4>5</vt:i4>
      </vt:variant>
      <vt:variant>
        <vt:lpwstr/>
      </vt:variant>
      <vt:variant>
        <vt:lpwstr>_Toc158719748</vt:lpwstr>
      </vt:variant>
      <vt:variant>
        <vt:i4>1572927</vt:i4>
      </vt:variant>
      <vt:variant>
        <vt:i4>44</vt:i4>
      </vt:variant>
      <vt:variant>
        <vt:i4>0</vt:i4>
      </vt:variant>
      <vt:variant>
        <vt:i4>5</vt:i4>
      </vt:variant>
      <vt:variant>
        <vt:lpwstr/>
      </vt:variant>
      <vt:variant>
        <vt:lpwstr>_Toc158719747</vt:lpwstr>
      </vt:variant>
      <vt:variant>
        <vt:i4>1572927</vt:i4>
      </vt:variant>
      <vt:variant>
        <vt:i4>38</vt:i4>
      </vt:variant>
      <vt:variant>
        <vt:i4>0</vt:i4>
      </vt:variant>
      <vt:variant>
        <vt:i4>5</vt:i4>
      </vt:variant>
      <vt:variant>
        <vt:lpwstr/>
      </vt:variant>
      <vt:variant>
        <vt:lpwstr>_Toc158719746</vt:lpwstr>
      </vt:variant>
      <vt:variant>
        <vt:i4>1572927</vt:i4>
      </vt:variant>
      <vt:variant>
        <vt:i4>32</vt:i4>
      </vt:variant>
      <vt:variant>
        <vt:i4>0</vt:i4>
      </vt:variant>
      <vt:variant>
        <vt:i4>5</vt:i4>
      </vt:variant>
      <vt:variant>
        <vt:lpwstr/>
      </vt:variant>
      <vt:variant>
        <vt:lpwstr>_Toc158719745</vt:lpwstr>
      </vt:variant>
      <vt:variant>
        <vt:i4>1572927</vt:i4>
      </vt:variant>
      <vt:variant>
        <vt:i4>26</vt:i4>
      </vt:variant>
      <vt:variant>
        <vt:i4>0</vt:i4>
      </vt:variant>
      <vt:variant>
        <vt:i4>5</vt:i4>
      </vt:variant>
      <vt:variant>
        <vt:lpwstr/>
      </vt:variant>
      <vt:variant>
        <vt:lpwstr>_Toc158719744</vt:lpwstr>
      </vt:variant>
      <vt:variant>
        <vt:i4>1572927</vt:i4>
      </vt:variant>
      <vt:variant>
        <vt:i4>20</vt:i4>
      </vt:variant>
      <vt:variant>
        <vt:i4>0</vt:i4>
      </vt:variant>
      <vt:variant>
        <vt:i4>5</vt:i4>
      </vt:variant>
      <vt:variant>
        <vt:lpwstr/>
      </vt:variant>
      <vt:variant>
        <vt:lpwstr>_Toc158719743</vt:lpwstr>
      </vt:variant>
      <vt:variant>
        <vt:i4>1572927</vt:i4>
      </vt:variant>
      <vt:variant>
        <vt:i4>14</vt:i4>
      </vt:variant>
      <vt:variant>
        <vt:i4>0</vt:i4>
      </vt:variant>
      <vt:variant>
        <vt:i4>5</vt:i4>
      </vt:variant>
      <vt:variant>
        <vt:lpwstr/>
      </vt:variant>
      <vt:variant>
        <vt:lpwstr>_Toc158719742</vt:lpwstr>
      </vt:variant>
      <vt:variant>
        <vt:i4>1572927</vt:i4>
      </vt:variant>
      <vt:variant>
        <vt:i4>8</vt:i4>
      </vt:variant>
      <vt:variant>
        <vt:i4>0</vt:i4>
      </vt:variant>
      <vt:variant>
        <vt:i4>5</vt:i4>
      </vt:variant>
      <vt:variant>
        <vt:lpwstr/>
      </vt:variant>
      <vt:variant>
        <vt:lpwstr>_Toc158719741</vt:lpwstr>
      </vt:variant>
      <vt:variant>
        <vt:i4>1572927</vt:i4>
      </vt:variant>
      <vt:variant>
        <vt:i4>2</vt:i4>
      </vt:variant>
      <vt:variant>
        <vt:i4>0</vt:i4>
      </vt:variant>
      <vt:variant>
        <vt:i4>5</vt:i4>
      </vt:variant>
      <vt:variant>
        <vt:lpwstr/>
      </vt:variant>
      <vt:variant>
        <vt:lpwstr>_Toc158719740</vt:lpwstr>
      </vt:variant>
      <vt:variant>
        <vt:i4>6488185</vt:i4>
      </vt:variant>
      <vt:variant>
        <vt:i4>0</vt:i4>
      </vt:variant>
      <vt:variant>
        <vt:i4>0</vt:i4>
      </vt:variant>
      <vt:variant>
        <vt:i4>5</vt:i4>
      </vt:variant>
      <vt:variant>
        <vt:lpwstr>http://www.dtf.vic.gov.au/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 Designer2 (DJPR)</dc:creator>
  <cp:keywords/>
  <dc:description/>
  <cp:lastModifiedBy>Thilaka Satha (DJSIR)</cp:lastModifiedBy>
  <cp:revision>2</cp:revision>
  <cp:lastPrinted>2024-04-16T04:57:00Z</cp:lastPrinted>
  <dcterms:created xsi:type="dcterms:W3CDTF">2024-04-18T06:32:00Z</dcterms:created>
  <dcterms:modified xsi:type="dcterms:W3CDTF">2024-04-18T06:32:00Z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MediaServiceImageTags">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DEDJTRBranch">
    <vt:lpwstr/>
  </property>
  <property fmtid="{D5CDD505-2E9C-101B-9397-08002B2CF9AE}" pid="9" name="GrammarlyDocumentId">
    <vt:lpwstr>862beaab2134ceb4af6b193f22422a6c69d77f1f6338608952df74f5094408ee</vt:lpwstr>
  </property>
  <property fmtid="{D5CDD505-2E9C-101B-9397-08002B2CF9AE}" pid="10" name="_docset_NoMedatataSyncRequired">
    <vt:lpwstr>True</vt:lpwstr>
  </property>
  <property fmtid="{D5CDD505-2E9C-101B-9397-08002B2CF9AE}" pid="11" name="Replytype">
    <vt:lpwstr/>
  </property>
  <property fmtid="{D5CDD505-2E9C-101B-9397-08002B2CF9AE}" pid="12" name="MSIP_Label_d00a4df9-c942-4b09-b23a-6c1023f6de27_Enabled">
    <vt:lpwstr>true</vt:lpwstr>
  </property>
  <property fmtid="{D5CDD505-2E9C-101B-9397-08002B2CF9AE}" pid="13" name="MSIP_Label_d00a4df9-c942-4b09-b23a-6c1023f6de27_SetDate">
    <vt:lpwstr>2024-04-18T06:32:08Z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67357580-61aa-4c3f-920a-75ab1d15a7ca</vt:lpwstr>
  </property>
  <property fmtid="{D5CDD505-2E9C-101B-9397-08002B2CF9AE}" pid="18" name="MSIP_Label_d00a4df9-c942-4b09-b23a-6c1023f6de27_ContentBits">
    <vt:lpwstr>3</vt:lpwstr>
  </property>
</Properties>
</file>