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1BFA2" w14:textId="2A83A368" w:rsidR="00E37A04" w:rsidRPr="006C7D9D" w:rsidRDefault="00BA111B" w:rsidP="005069C0">
      <w:pPr>
        <w:rPr>
          <w:sz w:val="48"/>
          <w:szCs w:val="48"/>
        </w:rPr>
      </w:pPr>
      <w:bookmarkStart w:id="0" w:name="_Toc195020101"/>
      <w:bookmarkStart w:id="1" w:name="_Toc195020133"/>
      <w:bookmarkStart w:id="2" w:name="_Toc195020259"/>
      <w:bookmarkStart w:id="3" w:name="_Toc195020285"/>
      <w:bookmarkStart w:id="4" w:name="_Toc196836132"/>
      <w:r w:rsidRPr="006C7D9D">
        <w:rPr>
          <w:sz w:val="48"/>
          <w:szCs w:val="48"/>
        </w:rPr>
        <w:t>2022 Formula 1® Australian Grand Prix</w:t>
      </w:r>
      <w:bookmarkEnd w:id="0"/>
      <w:bookmarkEnd w:id="1"/>
      <w:bookmarkEnd w:id="2"/>
      <w:bookmarkEnd w:id="3"/>
      <w:bookmarkEnd w:id="4"/>
    </w:p>
    <w:p w14:paraId="2862227B" w14:textId="7180D7BB" w:rsidR="00BA111B" w:rsidRPr="006C7D9D" w:rsidRDefault="00BA111B" w:rsidP="005069C0">
      <w:pPr>
        <w:rPr>
          <w:sz w:val="40"/>
          <w:szCs w:val="40"/>
        </w:rPr>
      </w:pPr>
      <w:bookmarkStart w:id="5" w:name="_Toc195020102"/>
      <w:bookmarkStart w:id="6" w:name="_Toc195020134"/>
      <w:bookmarkStart w:id="7" w:name="_Toc195020260"/>
      <w:bookmarkStart w:id="8" w:name="_Toc195020286"/>
      <w:bookmarkStart w:id="9" w:name="_Toc196836133"/>
      <w:r w:rsidRPr="006C7D9D">
        <w:rPr>
          <w:sz w:val="40"/>
          <w:szCs w:val="40"/>
        </w:rPr>
        <w:t>Economic Impact Assessment</w:t>
      </w:r>
      <w:bookmarkEnd w:id="5"/>
      <w:bookmarkEnd w:id="6"/>
      <w:bookmarkEnd w:id="7"/>
      <w:bookmarkEnd w:id="8"/>
      <w:bookmarkEnd w:id="9"/>
    </w:p>
    <w:p w14:paraId="29BB4554" w14:textId="7C571E34" w:rsidR="00BA111B" w:rsidRPr="002418B4" w:rsidRDefault="00BA111B" w:rsidP="005069C0">
      <w:pPr>
        <w:rPr>
          <w:sz w:val="28"/>
          <w:szCs w:val="28"/>
        </w:rPr>
      </w:pPr>
      <w:r w:rsidRPr="002418B4">
        <w:rPr>
          <w:sz w:val="28"/>
          <w:szCs w:val="28"/>
        </w:rPr>
        <w:t>December 2022</w:t>
      </w:r>
    </w:p>
    <w:p w14:paraId="3EDB2A89" w14:textId="77777777" w:rsidR="006C1550" w:rsidRDefault="00BA111B" w:rsidP="005069C0">
      <w:r w:rsidRPr="00BA111B">
        <w:t>Reliance Restricted</w:t>
      </w:r>
    </w:p>
    <w:sdt>
      <w:sdtPr>
        <w:id w:val="872433363"/>
        <w:docPartObj>
          <w:docPartGallery w:val="Table of Contents"/>
          <w:docPartUnique/>
        </w:docPartObj>
      </w:sdtPr>
      <w:sdtEndPr>
        <w:rPr>
          <w:b/>
          <w:bCs/>
          <w:noProof/>
        </w:rPr>
      </w:sdtEndPr>
      <w:sdtContent>
        <w:p w14:paraId="16C079DD" w14:textId="0960784C" w:rsidR="00ED30AF" w:rsidRPr="00BF5B95" w:rsidRDefault="00ED30AF" w:rsidP="007E1132">
          <w:pPr>
            <w:rPr>
              <w:sz w:val="28"/>
              <w:szCs w:val="28"/>
            </w:rPr>
          </w:pPr>
          <w:r w:rsidRPr="00BF5B95">
            <w:rPr>
              <w:sz w:val="28"/>
              <w:szCs w:val="28"/>
            </w:rPr>
            <w:t>Table of Contents</w:t>
          </w:r>
        </w:p>
        <w:p w14:paraId="40C902A8" w14:textId="7EABE295" w:rsidR="00BC15B5" w:rsidRDefault="006C1550">
          <w:pPr>
            <w:pStyle w:val="TOC1"/>
            <w:tabs>
              <w:tab w:val="right" w:leader="dot" w:pos="9016"/>
            </w:tabs>
            <w:rPr>
              <w:rFonts w:asciiTheme="minorHAnsi" w:eastAsiaTheme="minorEastAsia" w:hAnsiTheme="minorHAnsi"/>
              <w:noProof/>
              <w:kern w:val="2"/>
              <w:sz w:val="24"/>
              <w:szCs w:val="24"/>
              <w:lang w:eastAsia="en-AU"/>
              <w14:ligatures w14:val="standardContextual"/>
            </w:rPr>
          </w:pPr>
          <w:r>
            <w:fldChar w:fldCharType="begin"/>
          </w:r>
          <w:r>
            <w:instrText xml:space="preserve"> TOC \o "1-3" \h \z \u </w:instrText>
          </w:r>
          <w:r>
            <w:fldChar w:fldCharType="separate"/>
          </w:r>
          <w:hyperlink w:anchor="_Toc199242972" w:history="1">
            <w:r w:rsidR="00BC15B5" w:rsidRPr="00773162">
              <w:rPr>
                <w:rStyle w:val="Hyperlink"/>
                <w:noProof/>
              </w:rPr>
              <w:t>Disclaimer</w:t>
            </w:r>
            <w:r w:rsidR="00BC15B5">
              <w:rPr>
                <w:noProof/>
                <w:webHidden/>
              </w:rPr>
              <w:tab/>
            </w:r>
            <w:r w:rsidR="00BC15B5">
              <w:rPr>
                <w:noProof/>
                <w:webHidden/>
              </w:rPr>
              <w:fldChar w:fldCharType="begin"/>
            </w:r>
            <w:r w:rsidR="00BC15B5">
              <w:rPr>
                <w:noProof/>
                <w:webHidden/>
              </w:rPr>
              <w:instrText xml:space="preserve"> PAGEREF _Toc199242972 \h </w:instrText>
            </w:r>
            <w:r w:rsidR="00BC15B5">
              <w:rPr>
                <w:noProof/>
                <w:webHidden/>
              </w:rPr>
            </w:r>
            <w:r w:rsidR="00BC15B5">
              <w:rPr>
                <w:noProof/>
                <w:webHidden/>
              </w:rPr>
              <w:fldChar w:fldCharType="separate"/>
            </w:r>
            <w:r w:rsidR="00BC15B5">
              <w:rPr>
                <w:noProof/>
                <w:webHidden/>
              </w:rPr>
              <w:t>1</w:t>
            </w:r>
            <w:r w:rsidR="00BC15B5">
              <w:rPr>
                <w:noProof/>
                <w:webHidden/>
              </w:rPr>
              <w:fldChar w:fldCharType="end"/>
            </w:r>
          </w:hyperlink>
        </w:p>
        <w:p w14:paraId="7A77BF72" w14:textId="3908001F" w:rsidR="00BC15B5" w:rsidRDefault="00BC15B5">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99242973" w:history="1">
            <w:r w:rsidRPr="00773162">
              <w:rPr>
                <w:rStyle w:val="Hyperlink"/>
                <w:noProof/>
              </w:rPr>
              <w:t>Limitations of this analysis</w:t>
            </w:r>
            <w:r>
              <w:rPr>
                <w:noProof/>
                <w:webHidden/>
              </w:rPr>
              <w:tab/>
            </w:r>
            <w:r>
              <w:rPr>
                <w:noProof/>
                <w:webHidden/>
              </w:rPr>
              <w:fldChar w:fldCharType="begin"/>
            </w:r>
            <w:r>
              <w:rPr>
                <w:noProof/>
                <w:webHidden/>
              </w:rPr>
              <w:instrText xml:space="preserve"> PAGEREF _Toc199242973 \h </w:instrText>
            </w:r>
            <w:r>
              <w:rPr>
                <w:noProof/>
                <w:webHidden/>
              </w:rPr>
            </w:r>
            <w:r>
              <w:rPr>
                <w:noProof/>
                <w:webHidden/>
              </w:rPr>
              <w:fldChar w:fldCharType="separate"/>
            </w:r>
            <w:r>
              <w:rPr>
                <w:noProof/>
                <w:webHidden/>
              </w:rPr>
              <w:t>2</w:t>
            </w:r>
            <w:r>
              <w:rPr>
                <w:noProof/>
                <w:webHidden/>
              </w:rPr>
              <w:fldChar w:fldCharType="end"/>
            </w:r>
          </w:hyperlink>
        </w:p>
        <w:p w14:paraId="5EF85F24" w14:textId="784C54CF" w:rsidR="00BC15B5" w:rsidRDefault="00BC15B5">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9242974" w:history="1">
            <w:r w:rsidRPr="00773162">
              <w:rPr>
                <w:rStyle w:val="Hyperlink"/>
                <w:noProof/>
              </w:rPr>
              <w:t>Executive Summary</w:t>
            </w:r>
            <w:r>
              <w:rPr>
                <w:noProof/>
                <w:webHidden/>
              </w:rPr>
              <w:tab/>
            </w:r>
            <w:r>
              <w:rPr>
                <w:noProof/>
                <w:webHidden/>
              </w:rPr>
              <w:fldChar w:fldCharType="begin"/>
            </w:r>
            <w:r>
              <w:rPr>
                <w:noProof/>
                <w:webHidden/>
              </w:rPr>
              <w:instrText xml:space="preserve"> PAGEREF _Toc199242974 \h </w:instrText>
            </w:r>
            <w:r>
              <w:rPr>
                <w:noProof/>
                <w:webHidden/>
              </w:rPr>
            </w:r>
            <w:r>
              <w:rPr>
                <w:noProof/>
                <w:webHidden/>
              </w:rPr>
              <w:fldChar w:fldCharType="separate"/>
            </w:r>
            <w:r>
              <w:rPr>
                <w:noProof/>
                <w:webHidden/>
              </w:rPr>
              <w:t>3</w:t>
            </w:r>
            <w:r>
              <w:rPr>
                <w:noProof/>
                <w:webHidden/>
              </w:rPr>
              <w:fldChar w:fldCharType="end"/>
            </w:r>
          </w:hyperlink>
        </w:p>
        <w:p w14:paraId="7966C31D" w14:textId="5183BDA7" w:rsidR="00BC15B5" w:rsidRDefault="00BC15B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2975" w:history="1">
            <w:r w:rsidRPr="00773162">
              <w:rPr>
                <w:rStyle w:val="Hyperlink"/>
                <w:noProof/>
              </w:rPr>
              <w:t>Key findings:</w:t>
            </w:r>
            <w:r>
              <w:rPr>
                <w:noProof/>
                <w:webHidden/>
              </w:rPr>
              <w:tab/>
            </w:r>
            <w:r>
              <w:rPr>
                <w:noProof/>
                <w:webHidden/>
              </w:rPr>
              <w:fldChar w:fldCharType="begin"/>
            </w:r>
            <w:r>
              <w:rPr>
                <w:noProof/>
                <w:webHidden/>
              </w:rPr>
              <w:instrText xml:space="preserve"> PAGEREF _Toc199242975 \h </w:instrText>
            </w:r>
            <w:r>
              <w:rPr>
                <w:noProof/>
                <w:webHidden/>
              </w:rPr>
            </w:r>
            <w:r>
              <w:rPr>
                <w:noProof/>
                <w:webHidden/>
              </w:rPr>
              <w:fldChar w:fldCharType="separate"/>
            </w:r>
            <w:r>
              <w:rPr>
                <w:noProof/>
                <w:webHidden/>
              </w:rPr>
              <w:t>3</w:t>
            </w:r>
            <w:r>
              <w:rPr>
                <w:noProof/>
                <w:webHidden/>
              </w:rPr>
              <w:fldChar w:fldCharType="end"/>
            </w:r>
          </w:hyperlink>
        </w:p>
        <w:p w14:paraId="765823F9" w14:textId="64BDCD11" w:rsidR="00BC15B5" w:rsidRDefault="00BC15B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2976" w:history="1">
            <w:r w:rsidRPr="00773162">
              <w:rPr>
                <w:rStyle w:val="Hyperlink"/>
                <w:noProof/>
              </w:rPr>
              <w:t>Summary:</w:t>
            </w:r>
            <w:r>
              <w:rPr>
                <w:noProof/>
                <w:webHidden/>
              </w:rPr>
              <w:tab/>
            </w:r>
            <w:r>
              <w:rPr>
                <w:noProof/>
                <w:webHidden/>
              </w:rPr>
              <w:fldChar w:fldCharType="begin"/>
            </w:r>
            <w:r>
              <w:rPr>
                <w:noProof/>
                <w:webHidden/>
              </w:rPr>
              <w:instrText xml:space="preserve"> PAGEREF _Toc199242976 \h </w:instrText>
            </w:r>
            <w:r>
              <w:rPr>
                <w:noProof/>
                <w:webHidden/>
              </w:rPr>
            </w:r>
            <w:r>
              <w:rPr>
                <w:noProof/>
                <w:webHidden/>
              </w:rPr>
              <w:fldChar w:fldCharType="separate"/>
            </w:r>
            <w:r>
              <w:rPr>
                <w:noProof/>
                <w:webHidden/>
              </w:rPr>
              <w:t>3</w:t>
            </w:r>
            <w:r>
              <w:rPr>
                <w:noProof/>
                <w:webHidden/>
              </w:rPr>
              <w:fldChar w:fldCharType="end"/>
            </w:r>
          </w:hyperlink>
        </w:p>
        <w:p w14:paraId="2E68EBCA" w14:textId="5E47D19B" w:rsidR="00BC15B5" w:rsidRDefault="00BC15B5">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9242977" w:history="1">
            <w:r w:rsidRPr="00773162">
              <w:rPr>
                <w:rStyle w:val="Hyperlink"/>
                <w:noProof/>
              </w:rPr>
              <w:t>1. Introduction</w:t>
            </w:r>
            <w:r>
              <w:rPr>
                <w:noProof/>
                <w:webHidden/>
              </w:rPr>
              <w:tab/>
            </w:r>
            <w:r>
              <w:rPr>
                <w:noProof/>
                <w:webHidden/>
              </w:rPr>
              <w:fldChar w:fldCharType="begin"/>
            </w:r>
            <w:r>
              <w:rPr>
                <w:noProof/>
                <w:webHidden/>
              </w:rPr>
              <w:instrText xml:space="preserve"> PAGEREF _Toc199242977 \h </w:instrText>
            </w:r>
            <w:r>
              <w:rPr>
                <w:noProof/>
                <w:webHidden/>
              </w:rPr>
            </w:r>
            <w:r>
              <w:rPr>
                <w:noProof/>
                <w:webHidden/>
              </w:rPr>
              <w:fldChar w:fldCharType="separate"/>
            </w:r>
            <w:r>
              <w:rPr>
                <w:noProof/>
                <w:webHidden/>
              </w:rPr>
              <w:t>4</w:t>
            </w:r>
            <w:r>
              <w:rPr>
                <w:noProof/>
                <w:webHidden/>
              </w:rPr>
              <w:fldChar w:fldCharType="end"/>
            </w:r>
          </w:hyperlink>
        </w:p>
        <w:p w14:paraId="0A2A6041" w14:textId="68EF1D90" w:rsidR="00BC15B5" w:rsidRDefault="00BC15B5">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9242978" w:history="1">
            <w:r w:rsidRPr="00773162">
              <w:rPr>
                <w:rStyle w:val="Hyperlink"/>
                <w:noProof/>
              </w:rPr>
              <w:t>2. Approach</w:t>
            </w:r>
            <w:r>
              <w:rPr>
                <w:noProof/>
                <w:webHidden/>
              </w:rPr>
              <w:tab/>
            </w:r>
            <w:r>
              <w:rPr>
                <w:noProof/>
                <w:webHidden/>
              </w:rPr>
              <w:fldChar w:fldCharType="begin"/>
            </w:r>
            <w:r>
              <w:rPr>
                <w:noProof/>
                <w:webHidden/>
              </w:rPr>
              <w:instrText xml:space="preserve"> PAGEREF _Toc199242978 \h </w:instrText>
            </w:r>
            <w:r>
              <w:rPr>
                <w:noProof/>
                <w:webHidden/>
              </w:rPr>
            </w:r>
            <w:r>
              <w:rPr>
                <w:noProof/>
                <w:webHidden/>
              </w:rPr>
              <w:fldChar w:fldCharType="separate"/>
            </w:r>
            <w:r>
              <w:rPr>
                <w:noProof/>
                <w:webHidden/>
              </w:rPr>
              <w:t>6</w:t>
            </w:r>
            <w:r>
              <w:rPr>
                <w:noProof/>
                <w:webHidden/>
              </w:rPr>
              <w:fldChar w:fldCharType="end"/>
            </w:r>
          </w:hyperlink>
        </w:p>
        <w:p w14:paraId="16BB561D" w14:textId="1DA6C3AE" w:rsidR="00BC15B5" w:rsidRDefault="00BC15B5">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99242979" w:history="1">
            <w:r w:rsidRPr="00773162">
              <w:rPr>
                <w:rStyle w:val="Hyperlink"/>
                <w:noProof/>
              </w:rPr>
              <w:t>Economic impact on Victoria</w:t>
            </w:r>
            <w:r>
              <w:rPr>
                <w:noProof/>
                <w:webHidden/>
              </w:rPr>
              <w:tab/>
            </w:r>
            <w:r>
              <w:rPr>
                <w:noProof/>
                <w:webHidden/>
              </w:rPr>
              <w:fldChar w:fldCharType="begin"/>
            </w:r>
            <w:r>
              <w:rPr>
                <w:noProof/>
                <w:webHidden/>
              </w:rPr>
              <w:instrText xml:space="preserve"> PAGEREF _Toc199242979 \h </w:instrText>
            </w:r>
            <w:r>
              <w:rPr>
                <w:noProof/>
                <w:webHidden/>
              </w:rPr>
            </w:r>
            <w:r>
              <w:rPr>
                <w:noProof/>
                <w:webHidden/>
              </w:rPr>
              <w:fldChar w:fldCharType="separate"/>
            </w:r>
            <w:r>
              <w:rPr>
                <w:noProof/>
                <w:webHidden/>
              </w:rPr>
              <w:t>6</w:t>
            </w:r>
            <w:r>
              <w:rPr>
                <w:noProof/>
                <w:webHidden/>
              </w:rPr>
              <w:fldChar w:fldCharType="end"/>
            </w:r>
          </w:hyperlink>
        </w:p>
        <w:p w14:paraId="2BE3485D" w14:textId="6ECA75E2" w:rsidR="00BC15B5" w:rsidRDefault="00BC15B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2980" w:history="1">
            <w:r w:rsidRPr="00773162">
              <w:rPr>
                <w:rStyle w:val="Hyperlink"/>
                <w:noProof/>
              </w:rPr>
              <w:t>Direct impact</w:t>
            </w:r>
            <w:r>
              <w:rPr>
                <w:noProof/>
                <w:webHidden/>
              </w:rPr>
              <w:tab/>
            </w:r>
            <w:r>
              <w:rPr>
                <w:noProof/>
                <w:webHidden/>
              </w:rPr>
              <w:fldChar w:fldCharType="begin"/>
            </w:r>
            <w:r>
              <w:rPr>
                <w:noProof/>
                <w:webHidden/>
              </w:rPr>
              <w:instrText xml:space="preserve"> PAGEREF _Toc199242980 \h </w:instrText>
            </w:r>
            <w:r>
              <w:rPr>
                <w:noProof/>
                <w:webHidden/>
              </w:rPr>
            </w:r>
            <w:r>
              <w:rPr>
                <w:noProof/>
                <w:webHidden/>
              </w:rPr>
              <w:fldChar w:fldCharType="separate"/>
            </w:r>
            <w:r>
              <w:rPr>
                <w:noProof/>
                <w:webHidden/>
              </w:rPr>
              <w:t>6</w:t>
            </w:r>
            <w:r>
              <w:rPr>
                <w:noProof/>
                <w:webHidden/>
              </w:rPr>
              <w:fldChar w:fldCharType="end"/>
            </w:r>
          </w:hyperlink>
        </w:p>
        <w:p w14:paraId="495BE99B" w14:textId="76C4531E" w:rsidR="00BC15B5" w:rsidRDefault="00BC15B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2981" w:history="1">
            <w:r w:rsidRPr="00773162">
              <w:rPr>
                <w:rStyle w:val="Hyperlink"/>
                <w:noProof/>
              </w:rPr>
              <w:t>Economic impact and FTE</w:t>
            </w:r>
            <w:r>
              <w:rPr>
                <w:noProof/>
                <w:webHidden/>
              </w:rPr>
              <w:tab/>
            </w:r>
            <w:r>
              <w:rPr>
                <w:noProof/>
                <w:webHidden/>
              </w:rPr>
              <w:fldChar w:fldCharType="begin"/>
            </w:r>
            <w:r>
              <w:rPr>
                <w:noProof/>
                <w:webHidden/>
              </w:rPr>
              <w:instrText xml:space="preserve"> PAGEREF _Toc199242981 \h </w:instrText>
            </w:r>
            <w:r>
              <w:rPr>
                <w:noProof/>
                <w:webHidden/>
              </w:rPr>
            </w:r>
            <w:r>
              <w:rPr>
                <w:noProof/>
                <w:webHidden/>
              </w:rPr>
              <w:fldChar w:fldCharType="separate"/>
            </w:r>
            <w:r>
              <w:rPr>
                <w:noProof/>
                <w:webHidden/>
              </w:rPr>
              <w:t>6</w:t>
            </w:r>
            <w:r>
              <w:rPr>
                <w:noProof/>
                <w:webHidden/>
              </w:rPr>
              <w:fldChar w:fldCharType="end"/>
            </w:r>
          </w:hyperlink>
        </w:p>
        <w:p w14:paraId="661DC6A2" w14:textId="7FA2102E" w:rsidR="00BC15B5" w:rsidRDefault="00BC15B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2982" w:history="1">
            <w:r w:rsidRPr="00773162">
              <w:rPr>
                <w:rStyle w:val="Hyperlink"/>
                <w:noProof/>
              </w:rPr>
              <w:t>Estimate of attendance</w:t>
            </w:r>
            <w:r>
              <w:rPr>
                <w:noProof/>
                <w:webHidden/>
              </w:rPr>
              <w:tab/>
            </w:r>
            <w:r>
              <w:rPr>
                <w:noProof/>
                <w:webHidden/>
              </w:rPr>
              <w:fldChar w:fldCharType="begin"/>
            </w:r>
            <w:r>
              <w:rPr>
                <w:noProof/>
                <w:webHidden/>
              </w:rPr>
              <w:instrText xml:space="preserve"> PAGEREF _Toc199242982 \h </w:instrText>
            </w:r>
            <w:r>
              <w:rPr>
                <w:noProof/>
                <w:webHidden/>
              </w:rPr>
            </w:r>
            <w:r>
              <w:rPr>
                <w:noProof/>
                <w:webHidden/>
              </w:rPr>
              <w:fldChar w:fldCharType="separate"/>
            </w:r>
            <w:r>
              <w:rPr>
                <w:noProof/>
                <w:webHidden/>
              </w:rPr>
              <w:t>6</w:t>
            </w:r>
            <w:r>
              <w:rPr>
                <w:noProof/>
                <w:webHidden/>
              </w:rPr>
              <w:fldChar w:fldCharType="end"/>
            </w:r>
          </w:hyperlink>
        </w:p>
        <w:p w14:paraId="1F5A2133" w14:textId="50501098" w:rsidR="00BC15B5" w:rsidRDefault="00BC15B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2983" w:history="1">
            <w:r w:rsidRPr="00773162">
              <w:rPr>
                <w:rStyle w:val="Hyperlink"/>
                <w:noProof/>
              </w:rPr>
              <w:t>Simplified economic impact methodology</w:t>
            </w:r>
            <w:r>
              <w:rPr>
                <w:noProof/>
                <w:webHidden/>
              </w:rPr>
              <w:tab/>
            </w:r>
            <w:r>
              <w:rPr>
                <w:noProof/>
                <w:webHidden/>
              </w:rPr>
              <w:fldChar w:fldCharType="begin"/>
            </w:r>
            <w:r>
              <w:rPr>
                <w:noProof/>
                <w:webHidden/>
              </w:rPr>
              <w:instrText xml:space="preserve"> PAGEREF _Toc199242983 \h </w:instrText>
            </w:r>
            <w:r>
              <w:rPr>
                <w:noProof/>
                <w:webHidden/>
              </w:rPr>
            </w:r>
            <w:r>
              <w:rPr>
                <w:noProof/>
                <w:webHidden/>
              </w:rPr>
              <w:fldChar w:fldCharType="separate"/>
            </w:r>
            <w:r>
              <w:rPr>
                <w:noProof/>
                <w:webHidden/>
              </w:rPr>
              <w:t>7</w:t>
            </w:r>
            <w:r>
              <w:rPr>
                <w:noProof/>
                <w:webHidden/>
              </w:rPr>
              <w:fldChar w:fldCharType="end"/>
            </w:r>
          </w:hyperlink>
        </w:p>
        <w:p w14:paraId="5FB86E07" w14:textId="30047E3F" w:rsidR="00BC15B5" w:rsidRDefault="00BC15B5">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9242984" w:history="1">
            <w:r w:rsidRPr="00773162">
              <w:rPr>
                <w:rStyle w:val="Hyperlink"/>
                <w:noProof/>
              </w:rPr>
              <w:t>3. Results</w:t>
            </w:r>
            <w:r>
              <w:rPr>
                <w:noProof/>
                <w:webHidden/>
              </w:rPr>
              <w:tab/>
            </w:r>
            <w:r>
              <w:rPr>
                <w:noProof/>
                <w:webHidden/>
              </w:rPr>
              <w:fldChar w:fldCharType="begin"/>
            </w:r>
            <w:r>
              <w:rPr>
                <w:noProof/>
                <w:webHidden/>
              </w:rPr>
              <w:instrText xml:space="preserve"> PAGEREF _Toc199242984 \h </w:instrText>
            </w:r>
            <w:r>
              <w:rPr>
                <w:noProof/>
                <w:webHidden/>
              </w:rPr>
            </w:r>
            <w:r>
              <w:rPr>
                <w:noProof/>
                <w:webHidden/>
              </w:rPr>
              <w:fldChar w:fldCharType="separate"/>
            </w:r>
            <w:r>
              <w:rPr>
                <w:noProof/>
                <w:webHidden/>
              </w:rPr>
              <w:t>8</w:t>
            </w:r>
            <w:r>
              <w:rPr>
                <w:noProof/>
                <w:webHidden/>
              </w:rPr>
              <w:fldChar w:fldCharType="end"/>
            </w:r>
          </w:hyperlink>
        </w:p>
        <w:p w14:paraId="4161EDD7" w14:textId="5C6C63D5" w:rsidR="00BC15B5" w:rsidRDefault="00BC15B5">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99242985" w:history="1">
            <w:r w:rsidRPr="00773162">
              <w:rPr>
                <w:rStyle w:val="Hyperlink"/>
                <w:noProof/>
              </w:rPr>
              <w:t>Summary</w:t>
            </w:r>
            <w:r>
              <w:rPr>
                <w:noProof/>
                <w:webHidden/>
              </w:rPr>
              <w:tab/>
            </w:r>
            <w:r>
              <w:rPr>
                <w:noProof/>
                <w:webHidden/>
              </w:rPr>
              <w:fldChar w:fldCharType="begin"/>
            </w:r>
            <w:r>
              <w:rPr>
                <w:noProof/>
                <w:webHidden/>
              </w:rPr>
              <w:instrText xml:space="preserve"> PAGEREF _Toc199242985 \h </w:instrText>
            </w:r>
            <w:r>
              <w:rPr>
                <w:noProof/>
                <w:webHidden/>
              </w:rPr>
            </w:r>
            <w:r>
              <w:rPr>
                <w:noProof/>
                <w:webHidden/>
              </w:rPr>
              <w:fldChar w:fldCharType="separate"/>
            </w:r>
            <w:r>
              <w:rPr>
                <w:noProof/>
                <w:webHidden/>
              </w:rPr>
              <w:t>8</w:t>
            </w:r>
            <w:r>
              <w:rPr>
                <w:noProof/>
                <w:webHidden/>
              </w:rPr>
              <w:fldChar w:fldCharType="end"/>
            </w:r>
          </w:hyperlink>
        </w:p>
        <w:p w14:paraId="64EE2F23" w14:textId="67224668" w:rsidR="00BC15B5" w:rsidRDefault="00BC15B5">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9242986" w:history="1">
            <w:r w:rsidRPr="00773162">
              <w:rPr>
                <w:rStyle w:val="Hyperlink"/>
                <w:noProof/>
              </w:rPr>
              <w:t>4. Other metrics</w:t>
            </w:r>
            <w:r>
              <w:rPr>
                <w:noProof/>
                <w:webHidden/>
              </w:rPr>
              <w:tab/>
            </w:r>
            <w:r>
              <w:rPr>
                <w:noProof/>
                <w:webHidden/>
              </w:rPr>
              <w:fldChar w:fldCharType="begin"/>
            </w:r>
            <w:r>
              <w:rPr>
                <w:noProof/>
                <w:webHidden/>
              </w:rPr>
              <w:instrText xml:space="preserve"> PAGEREF _Toc199242986 \h </w:instrText>
            </w:r>
            <w:r>
              <w:rPr>
                <w:noProof/>
                <w:webHidden/>
              </w:rPr>
            </w:r>
            <w:r>
              <w:rPr>
                <w:noProof/>
                <w:webHidden/>
              </w:rPr>
              <w:fldChar w:fldCharType="separate"/>
            </w:r>
            <w:r>
              <w:rPr>
                <w:noProof/>
                <w:webHidden/>
              </w:rPr>
              <w:t>10</w:t>
            </w:r>
            <w:r>
              <w:rPr>
                <w:noProof/>
                <w:webHidden/>
              </w:rPr>
              <w:fldChar w:fldCharType="end"/>
            </w:r>
          </w:hyperlink>
        </w:p>
        <w:p w14:paraId="20935059" w14:textId="0573D481" w:rsidR="00BC15B5" w:rsidRDefault="00BC15B5">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99242987" w:history="1">
            <w:r w:rsidRPr="00773162">
              <w:rPr>
                <w:rStyle w:val="Hyperlink"/>
                <w:noProof/>
              </w:rPr>
              <w:t>Additional Benefits</w:t>
            </w:r>
            <w:r>
              <w:rPr>
                <w:noProof/>
                <w:webHidden/>
              </w:rPr>
              <w:tab/>
            </w:r>
            <w:r>
              <w:rPr>
                <w:noProof/>
                <w:webHidden/>
              </w:rPr>
              <w:fldChar w:fldCharType="begin"/>
            </w:r>
            <w:r>
              <w:rPr>
                <w:noProof/>
                <w:webHidden/>
              </w:rPr>
              <w:instrText xml:space="preserve"> PAGEREF _Toc199242987 \h </w:instrText>
            </w:r>
            <w:r>
              <w:rPr>
                <w:noProof/>
                <w:webHidden/>
              </w:rPr>
            </w:r>
            <w:r>
              <w:rPr>
                <w:noProof/>
                <w:webHidden/>
              </w:rPr>
              <w:fldChar w:fldCharType="separate"/>
            </w:r>
            <w:r>
              <w:rPr>
                <w:noProof/>
                <w:webHidden/>
              </w:rPr>
              <w:t>10</w:t>
            </w:r>
            <w:r>
              <w:rPr>
                <w:noProof/>
                <w:webHidden/>
              </w:rPr>
              <w:fldChar w:fldCharType="end"/>
            </w:r>
          </w:hyperlink>
        </w:p>
        <w:p w14:paraId="4E7E18C2" w14:textId="30ACE0F5" w:rsidR="00BC15B5" w:rsidRDefault="00BC15B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2988" w:history="1">
            <w:r w:rsidRPr="00773162">
              <w:rPr>
                <w:rStyle w:val="Hyperlink"/>
                <w:noProof/>
              </w:rPr>
              <w:t>Significant digital engagement</w:t>
            </w:r>
            <w:r>
              <w:rPr>
                <w:noProof/>
                <w:webHidden/>
              </w:rPr>
              <w:tab/>
            </w:r>
            <w:r>
              <w:rPr>
                <w:noProof/>
                <w:webHidden/>
              </w:rPr>
              <w:fldChar w:fldCharType="begin"/>
            </w:r>
            <w:r>
              <w:rPr>
                <w:noProof/>
                <w:webHidden/>
              </w:rPr>
              <w:instrText xml:space="preserve"> PAGEREF _Toc199242988 \h </w:instrText>
            </w:r>
            <w:r>
              <w:rPr>
                <w:noProof/>
                <w:webHidden/>
              </w:rPr>
            </w:r>
            <w:r>
              <w:rPr>
                <w:noProof/>
                <w:webHidden/>
              </w:rPr>
              <w:fldChar w:fldCharType="separate"/>
            </w:r>
            <w:r>
              <w:rPr>
                <w:noProof/>
                <w:webHidden/>
              </w:rPr>
              <w:t>10</w:t>
            </w:r>
            <w:r>
              <w:rPr>
                <w:noProof/>
                <w:webHidden/>
              </w:rPr>
              <w:fldChar w:fldCharType="end"/>
            </w:r>
          </w:hyperlink>
        </w:p>
        <w:p w14:paraId="5688ADAE" w14:textId="4EEF9D66" w:rsidR="00BC15B5" w:rsidRDefault="00BC15B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2989" w:history="1">
            <w:r w:rsidRPr="00773162">
              <w:rPr>
                <w:rStyle w:val="Hyperlink"/>
                <w:noProof/>
              </w:rPr>
              <w:t>Attraction of additional major events to Victoria</w:t>
            </w:r>
            <w:r>
              <w:rPr>
                <w:noProof/>
                <w:webHidden/>
              </w:rPr>
              <w:tab/>
            </w:r>
            <w:r>
              <w:rPr>
                <w:noProof/>
                <w:webHidden/>
              </w:rPr>
              <w:fldChar w:fldCharType="begin"/>
            </w:r>
            <w:r>
              <w:rPr>
                <w:noProof/>
                <w:webHidden/>
              </w:rPr>
              <w:instrText xml:space="preserve"> PAGEREF _Toc199242989 \h </w:instrText>
            </w:r>
            <w:r>
              <w:rPr>
                <w:noProof/>
                <w:webHidden/>
              </w:rPr>
            </w:r>
            <w:r>
              <w:rPr>
                <w:noProof/>
                <w:webHidden/>
              </w:rPr>
              <w:fldChar w:fldCharType="separate"/>
            </w:r>
            <w:r>
              <w:rPr>
                <w:noProof/>
                <w:webHidden/>
              </w:rPr>
              <w:t>10</w:t>
            </w:r>
            <w:r>
              <w:rPr>
                <w:noProof/>
                <w:webHidden/>
              </w:rPr>
              <w:fldChar w:fldCharType="end"/>
            </w:r>
          </w:hyperlink>
        </w:p>
        <w:p w14:paraId="547BD8EE" w14:textId="6D40B1C1" w:rsidR="00BC15B5" w:rsidRDefault="00BC15B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2990" w:history="1">
            <w:r w:rsidRPr="00773162">
              <w:rPr>
                <w:rStyle w:val="Hyperlink"/>
                <w:noProof/>
              </w:rPr>
              <w:t>Increased participation in sport</w:t>
            </w:r>
            <w:r>
              <w:rPr>
                <w:noProof/>
                <w:webHidden/>
              </w:rPr>
              <w:tab/>
            </w:r>
            <w:r>
              <w:rPr>
                <w:noProof/>
                <w:webHidden/>
              </w:rPr>
              <w:fldChar w:fldCharType="begin"/>
            </w:r>
            <w:r>
              <w:rPr>
                <w:noProof/>
                <w:webHidden/>
              </w:rPr>
              <w:instrText xml:space="preserve"> PAGEREF _Toc199242990 \h </w:instrText>
            </w:r>
            <w:r>
              <w:rPr>
                <w:noProof/>
                <w:webHidden/>
              </w:rPr>
            </w:r>
            <w:r>
              <w:rPr>
                <w:noProof/>
                <w:webHidden/>
              </w:rPr>
              <w:fldChar w:fldCharType="separate"/>
            </w:r>
            <w:r>
              <w:rPr>
                <w:noProof/>
                <w:webHidden/>
              </w:rPr>
              <w:t>11</w:t>
            </w:r>
            <w:r>
              <w:rPr>
                <w:noProof/>
                <w:webHidden/>
              </w:rPr>
              <w:fldChar w:fldCharType="end"/>
            </w:r>
          </w:hyperlink>
        </w:p>
        <w:p w14:paraId="2E3E11CE" w14:textId="2CA166AC" w:rsidR="00BC15B5" w:rsidRDefault="00BC15B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2991" w:history="1">
            <w:r w:rsidRPr="00773162">
              <w:rPr>
                <w:rStyle w:val="Hyperlink"/>
                <w:noProof/>
              </w:rPr>
              <w:t>Increased trade and investment</w:t>
            </w:r>
            <w:r>
              <w:rPr>
                <w:noProof/>
                <w:webHidden/>
              </w:rPr>
              <w:tab/>
            </w:r>
            <w:r>
              <w:rPr>
                <w:noProof/>
                <w:webHidden/>
              </w:rPr>
              <w:fldChar w:fldCharType="begin"/>
            </w:r>
            <w:r>
              <w:rPr>
                <w:noProof/>
                <w:webHidden/>
              </w:rPr>
              <w:instrText xml:space="preserve"> PAGEREF _Toc199242991 \h </w:instrText>
            </w:r>
            <w:r>
              <w:rPr>
                <w:noProof/>
                <w:webHidden/>
              </w:rPr>
            </w:r>
            <w:r>
              <w:rPr>
                <w:noProof/>
                <w:webHidden/>
              </w:rPr>
              <w:fldChar w:fldCharType="separate"/>
            </w:r>
            <w:r>
              <w:rPr>
                <w:noProof/>
                <w:webHidden/>
              </w:rPr>
              <w:t>11</w:t>
            </w:r>
            <w:r>
              <w:rPr>
                <w:noProof/>
                <w:webHidden/>
              </w:rPr>
              <w:fldChar w:fldCharType="end"/>
            </w:r>
          </w:hyperlink>
        </w:p>
        <w:p w14:paraId="1E3DE288" w14:textId="32F7D3B7" w:rsidR="00BC15B5" w:rsidRDefault="00BC15B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2992" w:history="1">
            <w:r w:rsidRPr="00773162">
              <w:rPr>
                <w:rStyle w:val="Hyperlink"/>
                <w:noProof/>
              </w:rPr>
              <w:t>Likelihood of interstate/international visitors recommending Victoria as a holiday destination</w:t>
            </w:r>
            <w:r>
              <w:rPr>
                <w:noProof/>
                <w:webHidden/>
              </w:rPr>
              <w:tab/>
            </w:r>
            <w:r>
              <w:rPr>
                <w:noProof/>
                <w:webHidden/>
              </w:rPr>
              <w:fldChar w:fldCharType="begin"/>
            </w:r>
            <w:r>
              <w:rPr>
                <w:noProof/>
                <w:webHidden/>
              </w:rPr>
              <w:instrText xml:space="preserve"> PAGEREF _Toc199242992 \h </w:instrText>
            </w:r>
            <w:r>
              <w:rPr>
                <w:noProof/>
                <w:webHidden/>
              </w:rPr>
            </w:r>
            <w:r>
              <w:rPr>
                <w:noProof/>
                <w:webHidden/>
              </w:rPr>
              <w:fldChar w:fldCharType="separate"/>
            </w:r>
            <w:r>
              <w:rPr>
                <w:noProof/>
                <w:webHidden/>
              </w:rPr>
              <w:t>12</w:t>
            </w:r>
            <w:r>
              <w:rPr>
                <w:noProof/>
                <w:webHidden/>
              </w:rPr>
              <w:fldChar w:fldCharType="end"/>
            </w:r>
          </w:hyperlink>
        </w:p>
        <w:p w14:paraId="472834F3" w14:textId="1F957C8B" w:rsidR="00BC15B5" w:rsidRDefault="00BC15B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2993" w:history="1">
            <w:r w:rsidRPr="00773162">
              <w:rPr>
                <w:rStyle w:val="Hyperlink"/>
                <w:noProof/>
              </w:rPr>
              <w:t>Likelihood of interstate/international visitors returning to Victoria in the future for a holiday</w:t>
            </w:r>
            <w:r>
              <w:rPr>
                <w:noProof/>
                <w:webHidden/>
              </w:rPr>
              <w:tab/>
            </w:r>
            <w:r>
              <w:rPr>
                <w:noProof/>
                <w:webHidden/>
              </w:rPr>
              <w:fldChar w:fldCharType="begin"/>
            </w:r>
            <w:r>
              <w:rPr>
                <w:noProof/>
                <w:webHidden/>
              </w:rPr>
              <w:instrText xml:space="preserve"> PAGEREF _Toc199242993 \h </w:instrText>
            </w:r>
            <w:r>
              <w:rPr>
                <w:noProof/>
                <w:webHidden/>
              </w:rPr>
            </w:r>
            <w:r>
              <w:rPr>
                <w:noProof/>
                <w:webHidden/>
              </w:rPr>
              <w:fldChar w:fldCharType="separate"/>
            </w:r>
            <w:r>
              <w:rPr>
                <w:noProof/>
                <w:webHidden/>
              </w:rPr>
              <w:t>12</w:t>
            </w:r>
            <w:r>
              <w:rPr>
                <w:noProof/>
                <w:webHidden/>
              </w:rPr>
              <w:fldChar w:fldCharType="end"/>
            </w:r>
          </w:hyperlink>
        </w:p>
        <w:p w14:paraId="6C843B4C" w14:textId="453DC4BD" w:rsidR="00BC15B5" w:rsidRDefault="00BC15B5">
          <w:pPr>
            <w:pStyle w:val="TOC3"/>
            <w:tabs>
              <w:tab w:val="right" w:leader="dot" w:pos="9016"/>
            </w:tabs>
            <w:rPr>
              <w:rFonts w:asciiTheme="minorHAnsi" w:eastAsiaTheme="minorEastAsia" w:hAnsiTheme="minorHAnsi"/>
              <w:noProof/>
              <w:kern w:val="2"/>
              <w:sz w:val="24"/>
              <w:szCs w:val="24"/>
              <w:lang w:eastAsia="en-AU"/>
              <w14:ligatures w14:val="standardContextual"/>
            </w:rPr>
          </w:pPr>
          <w:hyperlink w:anchor="_Toc199242994" w:history="1">
            <w:r w:rsidRPr="00773162">
              <w:rPr>
                <w:rStyle w:val="Hyperlink"/>
                <w:noProof/>
              </w:rPr>
              <w:t>Sentiment towards the F1®Australian Grand Prix</w:t>
            </w:r>
            <w:r>
              <w:rPr>
                <w:noProof/>
                <w:webHidden/>
              </w:rPr>
              <w:tab/>
            </w:r>
            <w:r>
              <w:rPr>
                <w:noProof/>
                <w:webHidden/>
              </w:rPr>
              <w:fldChar w:fldCharType="begin"/>
            </w:r>
            <w:r>
              <w:rPr>
                <w:noProof/>
                <w:webHidden/>
              </w:rPr>
              <w:instrText xml:space="preserve"> PAGEREF _Toc199242994 \h </w:instrText>
            </w:r>
            <w:r>
              <w:rPr>
                <w:noProof/>
                <w:webHidden/>
              </w:rPr>
            </w:r>
            <w:r>
              <w:rPr>
                <w:noProof/>
                <w:webHidden/>
              </w:rPr>
              <w:fldChar w:fldCharType="separate"/>
            </w:r>
            <w:r>
              <w:rPr>
                <w:noProof/>
                <w:webHidden/>
              </w:rPr>
              <w:t>12</w:t>
            </w:r>
            <w:r>
              <w:rPr>
                <w:noProof/>
                <w:webHidden/>
              </w:rPr>
              <w:fldChar w:fldCharType="end"/>
            </w:r>
          </w:hyperlink>
        </w:p>
        <w:p w14:paraId="27E3B777" w14:textId="73D6BA45" w:rsidR="00BC15B5" w:rsidRDefault="00BC15B5">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9242995" w:history="1">
            <w:r w:rsidRPr="00773162">
              <w:rPr>
                <w:rStyle w:val="Hyperlink"/>
                <w:noProof/>
              </w:rPr>
              <w:t>EY</w:t>
            </w:r>
            <w:r w:rsidRPr="00773162">
              <w:rPr>
                <w:rStyle w:val="Hyperlink"/>
                <w:b/>
                <w:bCs/>
                <w:noProof/>
              </w:rPr>
              <w:t xml:space="preserve"> | </w:t>
            </w:r>
            <w:r w:rsidRPr="00773162">
              <w:rPr>
                <w:rStyle w:val="Hyperlink"/>
                <w:noProof/>
              </w:rPr>
              <w:t>Building a better working world</w:t>
            </w:r>
            <w:r>
              <w:rPr>
                <w:noProof/>
                <w:webHidden/>
              </w:rPr>
              <w:tab/>
            </w:r>
            <w:r>
              <w:rPr>
                <w:noProof/>
                <w:webHidden/>
              </w:rPr>
              <w:fldChar w:fldCharType="begin"/>
            </w:r>
            <w:r>
              <w:rPr>
                <w:noProof/>
                <w:webHidden/>
              </w:rPr>
              <w:instrText xml:space="preserve"> PAGEREF _Toc199242995 \h </w:instrText>
            </w:r>
            <w:r>
              <w:rPr>
                <w:noProof/>
                <w:webHidden/>
              </w:rPr>
            </w:r>
            <w:r>
              <w:rPr>
                <w:noProof/>
                <w:webHidden/>
              </w:rPr>
              <w:fldChar w:fldCharType="separate"/>
            </w:r>
            <w:r>
              <w:rPr>
                <w:noProof/>
                <w:webHidden/>
              </w:rPr>
              <w:t>13</w:t>
            </w:r>
            <w:r>
              <w:rPr>
                <w:noProof/>
                <w:webHidden/>
              </w:rPr>
              <w:fldChar w:fldCharType="end"/>
            </w:r>
          </w:hyperlink>
        </w:p>
        <w:p w14:paraId="3B15CF22" w14:textId="66021696" w:rsidR="00180FD7" w:rsidRDefault="006C1550" w:rsidP="003A3EA5">
          <w:pPr>
            <w:rPr>
              <w:b/>
              <w:bCs/>
              <w:noProof/>
            </w:rPr>
          </w:pPr>
          <w:r>
            <w:rPr>
              <w:b/>
              <w:bCs/>
              <w:noProof/>
            </w:rPr>
            <w:fldChar w:fldCharType="end"/>
          </w:r>
        </w:p>
      </w:sdtContent>
    </w:sdt>
    <w:bookmarkStart w:id="10" w:name="_Toc195020136" w:displacedByCustomXml="prev"/>
    <w:bookmarkStart w:id="11" w:name="_Toc195020288" w:displacedByCustomXml="prev"/>
    <w:p w14:paraId="5CA8EEC2" w14:textId="40DA993C" w:rsidR="00580C90" w:rsidRPr="003A3EA5" w:rsidRDefault="00180FD7" w:rsidP="00180FD7">
      <w:pPr>
        <w:spacing w:line="259" w:lineRule="auto"/>
        <w:rPr>
          <w:b/>
          <w:bCs/>
          <w:noProof/>
        </w:rPr>
      </w:pPr>
      <w:r>
        <w:rPr>
          <w:b/>
          <w:bCs/>
          <w:noProof/>
        </w:rPr>
        <w:br w:type="page"/>
      </w:r>
    </w:p>
    <w:p w14:paraId="23C10F04" w14:textId="6DE39AA4" w:rsidR="00BA111B" w:rsidRDefault="00BA111B" w:rsidP="00DA23DB">
      <w:pPr>
        <w:pStyle w:val="Heading1"/>
      </w:pPr>
      <w:bookmarkStart w:id="12" w:name="_Toc199242972"/>
      <w:r w:rsidRPr="00BA111B">
        <w:lastRenderedPageBreak/>
        <w:t>Disclaimer</w:t>
      </w:r>
      <w:bookmarkEnd w:id="12"/>
      <w:bookmarkEnd w:id="11"/>
      <w:bookmarkEnd w:id="10"/>
    </w:p>
    <w:p w14:paraId="2A7467DC" w14:textId="59405BCA" w:rsidR="00BA111B" w:rsidRDefault="00BA111B" w:rsidP="000B1B36">
      <w:r w:rsidRPr="00BA111B">
        <w:t xml:space="preserve">Ernst &amp; Young </w:t>
      </w:r>
      <w:r w:rsidR="00E831E7">
        <w:t xml:space="preserve">(EY) </w:t>
      </w:r>
      <w:r w:rsidRPr="00BA111B">
        <w:t xml:space="preserve">was engaged on the instructions of </w:t>
      </w:r>
      <w:r w:rsidR="00E43848">
        <w:t>the Department of Jobs, Precincts and Regions (D</w:t>
      </w:r>
      <w:r w:rsidRPr="00BA111B">
        <w:t>JPR</w:t>
      </w:r>
      <w:r w:rsidR="008512EE">
        <w:t>)</w:t>
      </w:r>
      <w:r w:rsidRPr="00BA111B">
        <w:t xml:space="preserve"> to </w:t>
      </w:r>
      <w:proofErr w:type="gramStart"/>
      <w:r w:rsidRPr="00BA111B">
        <w:t>provide assistance</w:t>
      </w:r>
      <w:proofErr w:type="gramEnd"/>
      <w:r w:rsidRPr="00BA111B">
        <w:t xml:space="preserve"> with estimating the economic impact of the 2022 Formula 1® Australian Grand Prix (2022 F1® GP), in accordance with the signed contract. </w:t>
      </w:r>
    </w:p>
    <w:p w14:paraId="521C7848" w14:textId="77777777" w:rsidR="00E62C9C" w:rsidRDefault="00BA111B" w:rsidP="000B1B36">
      <w:r w:rsidRPr="00BA111B">
        <w:t xml:space="preserve">The results of EY’s work, including the assumptions and qualifications made in preparing the report, are set out in EY's report dated December 2022 (‘Report’). The Report should be read in its entirety including any applicable limitations. </w:t>
      </w:r>
    </w:p>
    <w:p w14:paraId="7AB98E20" w14:textId="77777777" w:rsidR="00E62C9C" w:rsidRDefault="00BA111B" w:rsidP="000B1B36">
      <w:r w:rsidRPr="00BA111B">
        <w:t xml:space="preserve">Our work commenced on 9 February 2022 and was completed </w:t>
      </w:r>
      <w:proofErr w:type="gramStart"/>
      <w:r w:rsidRPr="00BA111B">
        <w:t>in</w:t>
      </w:r>
      <w:proofErr w:type="gramEnd"/>
      <w:r w:rsidRPr="00BA111B">
        <w:t xml:space="preserve"> 21 June 2022. Therefore, our Report does not take account events or circumstances arising after 21 June 2022. EY has prepared the Report for the benefit of the Client and has considered only the interests of the Client. </w:t>
      </w:r>
    </w:p>
    <w:p w14:paraId="5C9FDDFA" w14:textId="77777777" w:rsidR="00E62C9C" w:rsidRDefault="00BA111B" w:rsidP="000B1B36">
      <w:r w:rsidRPr="00BA111B">
        <w:t xml:space="preserve">EY has not been engaged to act, and has not acted, as advisor to any other party. Accordingly, EY makes no representations as to the appropriateness, accuracy or completeness of the Report for any other party's purposes. </w:t>
      </w:r>
    </w:p>
    <w:p w14:paraId="17A45270" w14:textId="77777777" w:rsidR="00E62C9C" w:rsidRDefault="00BA111B" w:rsidP="000B1B36">
      <w:r w:rsidRPr="00BA111B">
        <w:t xml:space="preserve">No reliance may be placed upon the Report or any of its contents by any party (“Third Parties”) other than the Client. Any Third Party receiving a copy of the Report must make and rely on their own enquiries in relation to the issues to which the Report relates, the contents of the Report and all matters arising from or relating to or in any way connected with the Report or its contents. EY disclaims all responsibility to any Third Parties for any loss or liability that the Third Parties may suffer or incur arising from or relating to or in any way connected with the contents of the Report, the provision of the Report to the Third Parties or the reliance upon the Report by the Third Parties. </w:t>
      </w:r>
    </w:p>
    <w:p w14:paraId="677F9FBC" w14:textId="77777777" w:rsidR="00E62C9C" w:rsidRDefault="00BA111B" w:rsidP="000B1B36">
      <w:r w:rsidRPr="00BA111B">
        <w:t xml:space="preserve">No claim or demand or any actions or proceedings may be brought against EY arising from or connected with the contents of the Report or the provision of the Report to the Third Parties. EY will be released and forever discharged from any such claims, demands, actions or proceedings. </w:t>
      </w:r>
    </w:p>
    <w:p w14:paraId="2D150E25" w14:textId="77777777" w:rsidR="00E62C9C" w:rsidRDefault="00BA111B" w:rsidP="000B1B36">
      <w:r w:rsidRPr="00BA111B">
        <w:t xml:space="preserve">In preparing this Report we have considered and relied upon information from a range of sources believed to be reliable and accurate (including information collected at the event, data provided by DJPR and the Australian Grand Prix Commission and data from previous F1® GPs for teams and officials data). We have not been notified that any information supplied to us, or obtained from public sources, was false or that any material information has been withheld from us. Neither EY nor any member or employee thereof undertakes responsibility in any way whatsoever to any person in respect of errors in this Report arising from incorrect or incomplete information provided by the Participant Survey or other information sources used. </w:t>
      </w:r>
    </w:p>
    <w:p w14:paraId="0E7A0CA4" w14:textId="0AEBF24F" w:rsidR="00E62C9C" w:rsidRDefault="00BA111B" w:rsidP="000B1B36">
      <w:r w:rsidRPr="00BA111B">
        <w:t xml:space="preserve">We do not </w:t>
      </w:r>
      <w:r w:rsidR="00D36A69" w:rsidRPr="00BA111B">
        <w:t>imply,</w:t>
      </w:r>
      <w:r w:rsidRPr="00BA111B">
        <w:t xml:space="preserve"> and it should not be construed that we have verified any of the information provided to us, or that our enquiries could have identified any matter that a more extensive examination might disclose. </w:t>
      </w:r>
    </w:p>
    <w:p w14:paraId="61910DC9" w14:textId="77777777" w:rsidR="00E62C9C" w:rsidRDefault="00BA111B" w:rsidP="000B1B36">
      <w:r w:rsidRPr="00BA111B">
        <w:t>Our conclusions are based, in part, on the assumptions stated and on information</w:t>
      </w:r>
      <w:r w:rsidR="00E62C9C">
        <w:t xml:space="preserve"> </w:t>
      </w:r>
      <w:r w:rsidRPr="00BA111B">
        <w:t xml:space="preserve">provided by the Client and other information sources used </w:t>
      </w:r>
      <w:proofErr w:type="gramStart"/>
      <w:r w:rsidRPr="00BA111B">
        <w:t>during the course of</w:t>
      </w:r>
      <w:proofErr w:type="gramEnd"/>
      <w:r w:rsidRPr="00BA111B">
        <w:t xml:space="preserve"> the engagement. The modelled outcomes are contingent on the collection of information and assumptions as agreed with the Client and no consideration of other market events, announcements or other changing circumstances are reflected in this Report. </w:t>
      </w:r>
    </w:p>
    <w:p w14:paraId="15A9755C" w14:textId="63FB7060" w:rsidR="00E62C9C" w:rsidRDefault="00BA111B" w:rsidP="000B1B36">
      <w:r w:rsidRPr="00BA111B">
        <w:t xml:space="preserve">We highlight that our analysis and Report do not constitute investment advice or a recommendation to you on a future course and is subject to the following limitations. </w:t>
      </w:r>
    </w:p>
    <w:p w14:paraId="38BCD6FB" w14:textId="77777777" w:rsidR="00682613" w:rsidRPr="00682613" w:rsidRDefault="00682613" w:rsidP="00682613">
      <w:pPr>
        <w:jc w:val="right"/>
      </w:pPr>
    </w:p>
    <w:p w14:paraId="41C517AF" w14:textId="63FB7060" w:rsidR="00E62C9C" w:rsidRDefault="00BA111B" w:rsidP="00034C83">
      <w:pPr>
        <w:pStyle w:val="Heading2"/>
      </w:pPr>
      <w:bookmarkStart w:id="13" w:name="_Toc195020105"/>
      <w:bookmarkStart w:id="14" w:name="_Toc195020137"/>
      <w:bookmarkStart w:id="15" w:name="_Toc195020289"/>
      <w:bookmarkStart w:id="16" w:name="_Toc199242973"/>
      <w:r w:rsidRPr="00BA111B">
        <w:lastRenderedPageBreak/>
        <w:t>Limitations of this analysis</w:t>
      </w:r>
      <w:bookmarkEnd w:id="13"/>
      <w:bookmarkEnd w:id="14"/>
      <w:bookmarkEnd w:id="15"/>
      <w:bookmarkEnd w:id="16"/>
      <w:r w:rsidRPr="00BA111B">
        <w:t xml:space="preserve"> </w:t>
      </w:r>
    </w:p>
    <w:p w14:paraId="3AACC00F" w14:textId="77777777" w:rsidR="00E62C9C" w:rsidRDefault="00BA111B" w:rsidP="000B1B36">
      <w:r w:rsidRPr="00BA111B">
        <w:t xml:space="preserve">As with any type of economic analysis, certain limitations apply to our analysis. These limitations are outlined below. </w:t>
      </w:r>
    </w:p>
    <w:p w14:paraId="0553BD09" w14:textId="77777777" w:rsidR="00E62C9C" w:rsidRDefault="00BA111B" w:rsidP="000B1B36">
      <w:r w:rsidRPr="00BA111B">
        <w:t xml:space="preserve">The economic impact analysis utilises an input-output model, which provides estimates of the direct and indirect economic impacts of economic activity. This method treats changes in economic activity like an economic shock and is based on the interdependencies between different sectors or industries within an economy. All types of economic models have their shortfalls, and the limitations of the input-output approach include: </w:t>
      </w:r>
    </w:p>
    <w:p w14:paraId="79A00E62" w14:textId="77777777" w:rsidR="00E62C9C" w:rsidRDefault="00BA111B" w:rsidP="00E62C9C">
      <w:pPr>
        <w:pStyle w:val="ListParagraph"/>
        <w:numPr>
          <w:ilvl w:val="0"/>
          <w:numId w:val="8"/>
        </w:numPr>
      </w:pPr>
      <w:r w:rsidRPr="00BA111B">
        <w:t xml:space="preserve">Input coefficients are assumed to be constant, when </w:t>
      </w:r>
      <w:proofErr w:type="gramStart"/>
      <w:r w:rsidRPr="00BA111B">
        <w:t>in reality these</w:t>
      </w:r>
      <w:proofErr w:type="gramEnd"/>
      <w:r w:rsidRPr="00BA111B">
        <w:t xml:space="preserve"> coefficients would likely change with different economic conditions </w:t>
      </w:r>
    </w:p>
    <w:p w14:paraId="05768CCF" w14:textId="77777777" w:rsidR="00E62C9C" w:rsidRDefault="00BA111B" w:rsidP="00E62C9C">
      <w:pPr>
        <w:pStyle w:val="ListParagraph"/>
        <w:numPr>
          <w:ilvl w:val="0"/>
          <w:numId w:val="8"/>
        </w:numPr>
      </w:pPr>
      <w:r w:rsidRPr="00BA111B">
        <w:t>The model does not account for the possibility of factor substitution between sectors</w:t>
      </w:r>
    </w:p>
    <w:p w14:paraId="7059814D" w14:textId="14536A42" w:rsidR="00E62C9C" w:rsidRDefault="00BA111B" w:rsidP="00E62C9C">
      <w:pPr>
        <w:pStyle w:val="ListParagraph"/>
        <w:numPr>
          <w:ilvl w:val="0"/>
          <w:numId w:val="8"/>
        </w:numPr>
      </w:pPr>
      <w:r w:rsidRPr="00BA111B">
        <w:t xml:space="preserve">The available supply of goods and services within an economy is not considered, meaning that it does not account for the potential for demand of a good or service to outweigh supply. </w:t>
      </w:r>
    </w:p>
    <w:p w14:paraId="7131DE22" w14:textId="77777777" w:rsidR="00E62C9C" w:rsidRDefault="00BA111B" w:rsidP="00E62C9C">
      <w:r w:rsidRPr="00BA111B">
        <w:t xml:space="preserve">EY have consented to the report being published electronically on the Client’s website for informational purposes only. Ernst &amp; Young have not consented to distribution or disclosure beyond this. The material contained in the Report, including the EY logo, is copyright. The copyright in the material contained in the Report itself, excluding EY logo, vests in the Client. The Report, including the EY logo, cannot be altered without prior written permission from EY. </w:t>
      </w:r>
    </w:p>
    <w:p w14:paraId="2BAE45B1" w14:textId="77777777" w:rsidR="00273951" w:rsidRDefault="00BA111B" w:rsidP="000B1B36">
      <w:r w:rsidRPr="00BA111B">
        <w:t xml:space="preserve">Ernst &amp; Young’s liability is limited by a scheme approved under Professional Standards </w:t>
      </w:r>
      <w:r w:rsidR="00C2772C" w:rsidRPr="00BA111B">
        <w:t>Legislation</w:t>
      </w:r>
      <w:r w:rsidR="00256B57">
        <w:t>.</w:t>
      </w:r>
    </w:p>
    <w:p w14:paraId="15DC29D9" w14:textId="2F6702D7" w:rsidR="00013E57" w:rsidRPr="0051491B" w:rsidRDefault="00013E57" w:rsidP="000B1B36">
      <w:pPr>
        <w:rPr>
          <w:sz w:val="18"/>
          <w:szCs w:val="18"/>
        </w:rPr>
        <w:sectPr w:rsidR="00013E57" w:rsidRPr="0051491B" w:rsidSect="00FF473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r w:rsidRPr="0051491B">
        <w:rPr>
          <w:sz w:val="18"/>
          <w:szCs w:val="18"/>
        </w:rPr>
        <w:t>Copyright © 2022 Ernst &amp; Young Australia. All Rights Reserved. Liability limited by a scheme approved under Professional Standards Legislation.</w:t>
      </w:r>
    </w:p>
    <w:p w14:paraId="3A921D88" w14:textId="1B1BF77A" w:rsidR="00BA111B" w:rsidRDefault="00BA111B" w:rsidP="00034C83">
      <w:pPr>
        <w:pStyle w:val="Heading1"/>
      </w:pPr>
      <w:bookmarkStart w:id="17" w:name="_Toc195020138"/>
      <w:bookmarkStart w:id="18" w:name="_Toc195020290"/>
      <w:bookmarkStart w:id="19" w:name="_Toc199242974"/>
      <w:r w:rsidRPr="00BA111B">
        <w:lastRenderedPageBreak/>
        <w:t xml:space="preserve">Executive </w:t>
      </w:r>
      <w:r w:rsidRPr="00E62C9C">
        <w:t>Summary</w:t>
      </w:r>
      <w:bookmarkEnd w:id="17"/>
      <w:bookmarkEnd w:id="18"/>
      <w:bookmarkEnd w:id="19"/>
    </w:p>
    <w:p w14:paraId="3E45A8DF" w14:textId="69E360C7" w:rsidR="00BA111B" w:rsidRDefault="00BA111B" w:rsidP="00BA111B">
      <w:r w:rsidRPr="00BA111B">
        <w:t>The 2022 Formula 1® Australian Grand Prix is estimated to have increased Victoria’s Gross State Product (GSP) by up to $171 million and supported an additional 734 F</w:t>
      </w:r>
      <w:r w:rsidR="00A24CDC">
        <w:t>ull-Time Equivalent (FTE)</w:t>
      </w:r>
      <w:r w:rsidRPr="00BA111B">
        <w:t>.</w:t>
      </w:r>
    </w:p>
    <w:p w14:paraId="2B497CD5" w14:textId="739ADA0F" w:rsidR="00BA111B" w:rsidRDefault="00BA111B" w:rsidP="009024FC">
      <w:pPr>
        <w:pStyle w:val="Heading3"/>
      </w:pPr>
      <w:bookmarkStart w:id="20" w:name="_Toc199242975"/>
      <w:r w:rsidRPr="00BA111B">
        <w:t>Key findings:</w:t>
      </w:r>
      <w:bookmarkEnd w:id="20"/>
    </w:p>
    <w:p w14:paraId="2C660B50" w14:textId="448B2BE7" w:rsidR="00BA111B" w:rsidRDefault="00BA111B" w:rsidP="00BA111B">
      <w:r w:rsidRPr="00BA111B">
        <w:t>Economic Impact of the 2022 F1® GP on Victoria</w:t>
      </w:r>
    </w:p>
    <w:tbl>
      <w:tblPr>
        <w:tblStyle w:val="TableGrid"/>
        <w:tblW w:w="0" w:type="auto"/>
        <w:tblLook w:val="04A0" w:firstRow="1" w:lastRow="0" w:firstColumn="1" w:lastColumn="0" w:noHBand="0" w:noVBand="1"/>
      </w:tblPr>
      <w:tblGrid>
        <w:gridCol w:w="4508"/>
        <w:gridCol w:w="4508"/>
      </w:tblGrid>
      <w:tr w:rsidR="00BA111B" w14:paraId="744000A4" w14:textId="77777777" w:rsidTr="00BA111B">
        <w:tc>
          <w:tcPr>
            <w:tcW w:w="4508" w:type="dxa"/>
          </w:tcPr>
          <w:p w14:paraId="7B31B6AD" w14:textId="19721802" w:rsidR="00BA111B" w:rsidRDefault="00BA111B" w:rsidP="00BA111B">
            <w:r w:rsidRPr="00BA111B">
              <w:t>Direct expenditure</w:t>
            </w:r>
          </w:p>
        </w:tc>
        <w:tc>
          <w:tcPr>
            <w:tcW w:w="4508" w:type="dxa"/>
          </w:tcPr>
          <w:p w14:paraId="3D39FA31" w14:textId="33B07C57" w:rsidR="00BA111B" w:rsidRDefault="00BA111B" w:rsidP="00BA111B">
            <w:r w:rsidRPr="00BA111B">
              <w:t>$92m</w:t>
            </w:r>
          </w:p>
        </w:tc>
      </w:tr>
      <w:tr w:rsidR="00BA111B" w14:paraId="4A8AA56F" w14:textId="77777777" w:rsidTr="00BA111B">
        <w:tc>
          <w:tcPr>
            <w:tcW w:w="4508" w:type="dxa"/>
          </w:tcPr>
          <w:p w14:paraId="5665816C" w14:textId="1BAF2C85" w:rsidR="00BA111B" w:rsidRDefault="00BA111B" w:rsidP="00BA111B">
            <w:r w:rsidRPr="00BA111B">
              <w:t xml:space="preserve">Economic impact </w:t>
            </w:r>
          </w:p>
        </w:tc>
        <w:tc>
          <w:tcPr>
            <w:tcW w:w="4508" w:type="dxa"/>
          </w:tcPr>
          <w:p w14:paraId="0F22F12B" w14:textId="0BF36B83" w:rsidR="00BA111B" w:rsidRDefault="00BA111B" w:rsidP="00BA111B">
            <w:r w:rsidRPr="00BA111B">
              <w:t>$171m</w:t>
            </w:r>
          </w:p>
        </w:tc>
      </w:tr>
      <w:tr w:rsidR="00BA111B" w14:paraId="6F404BD1" w14:textId="77777777" w:rsidTr="00BA111B">
        <w:tc>
          <w:tcPr>
            <w:tcW w:w="4508" w:type="dxa"/>
          </w:tcPr>
          <w:p w14:paraId="43F9709C" w14:textId="636B83F1" w:rsidR="00BA111B" w:rsidRDefault="00BA111B" w:rsidP="00BA111B">
            <w:r w:rsidRPr="00BA111B">
              <w:t>Total annualised FTE employment</w:t>
            </w:r>
          </w:p>
        </w:tc>
        <w:tc>
          <w:tcPr>
            <w:tcW w:w="4508" w:type="dxa"/>
          </w:tcPr>
          <w:p w14:paraId="5361EFFB" w14:textId="6CC624B8" w:rsidR="00BA111B" w:rsidRDefault="00BA111B" w:rsidP="00BA111B">
            <w:r w:rsidRPr="00BA111B">
              <w:t>734 FTE</w:t>
            </w:r>
          </w:p>
        </w:tc>
      </w:tr>
    </w:tbl>
    <w:p w14:paraId="0E979DA1" w14:textId="68B7BC91" w:rsidR="00BA111B" w:rsidRDefault="003C1200" w:rsidP="00BA111B">
      <w:r>
        <w:t xml:space="preserve">Total annualised </w:t>
      </w:r>
      <w:r w:rsidR="00FA4FA8">
        <w:t>FTE employment</w:t>
      </w:r>
      <w:r w:rsidR="00BA111B" w:rsidRPr="00BA111B">
        <w:t xml:space="preserve"> represents the FTE employed over the year</w:t>
      </w:r>
    </w:p>
    <w:p w14:paraId="6507CBE7" w14:textId="244DC821" w:rsidR="00BA111B" w:rsidRDefault="00BA111B" w:rsidP="00BA111B">
      <w:r w:rsidRPr="00BA111B">
        <w:t>Approximately 38% of tickets sold were purchased by females</w:t>
      </w:r>
      <w:r>
        <w:t>.</w:t>
      </w:r>
      <w:r w:rsidRPr="00BA111B">
        <w:t xml:space="preserve"> In previous years, </w:t>
      </w:r>
      <w:r w:rsidR="00E62C9C">
        <w:t>a</w:t>
      </w:r>
      <w:r w:rsidRPr="00BA111B">
        <w:t>pproximately 25% of tickets were purchased by females</w:t>
      </w:r>
      <w:r>
        <w:t>.</w:t>
      </w:r>
    </w:p>
    <w:p w14:paraId="4C135485" w14:textId="5AA86D7C" w:rsidR="00BA111B" w:rsidRDefault="00BA111B" w:rsidP="00BA111B">
      <w:r w:rsidRPr="00BA111B">
        <w:t>The event attracted an estimated 75,520 unique specific and extended (S&amp;E) stay visitors to Victoria from interstate and overseas</w:t>
      </w:r>
      <w:r w:rsidR="00E62C9C">
        <w:t>. I</w:t>
      </w:r>
      <w:r w:rsidRPr="00BA111B">
        <w:t xml:space="preserve">.e. individuals who came specifically to Victoria or extended their stay in Victoria to attend the event </w:t>
      </w:r>
    </w:p>
    <w:p w14:paraId="12F88CE2" w14:textId="77777777" w:rsidR="00660665" w:rsidRDefault="00660665" w:rsidP="00514AB4">
      <w:pPr>
        <w:pStyle w:val="ListParagraph"/>
        <w:numPr>
          <w:ilvl w:val="0"/>
          <w:numId w:val="19"/>
        </w:numPr>
      </w:pPr>
      <w:r w:rsidRPr="00BA111B">
        <w:t xml:space="preserve">419,114 Gross attendance </w:t>
      </w:r>
    </w:p>
    <w:p w14:paraId="6117C0C7" w14:textId="77777777" w:rsidR="00660665" w:rsidRDefault="00660665" w:rsidP="00514AB4">
      <w:pPr>
        <w:pStyle w:val="ListParagraph"/>
        <w:numPr>
          <w:ilvl w:val="0"/>
          <w:numId w:val="19"/>
        </w:numPr>
      </w:pPr>
      <w:r w:rsidRPr="00BA111B">
        <w:t>75,520 Unique S&amp;E visitors to Victoria</w:t>
      </w:r>
    </w:p>
    <w:p w14:paraId="779B1FD9" w14:textId="40AC62B5" w:rsidR="00BA111B" w:rsidRDefault="00BA111B" w:rsidP="00514AB4">
      <w:pPr>
        <w:pStyle w:val="ListParagraph"/>
        <w:numPr>
          <w:ilvl w:val="0"/>
          <w:numId w:val="19"/>
        </w:numPr>
      </w:pPr>
      <w:r w:rsidRPr="00BA111B">
        <w:t xml:space="preserve">6,471 international visitors </w:t>
      </w:r>
    </w:p>
    <w:p w14:paraId="4003716F" w14:textId="64C4C754" w:rsidR="00BA111B" w:rsidRDefault="00BA111B" w:rsidP="00514AB4">
      <w:pPr>
        <w:pStyle w:val="ListParagraph"/>
        <w:numPr>
          <w:ilvl w:val="0"/>
          <w:numId w:val="19"/>
        </w:numPr>
      </w:pPr>
      <w:r w:rsidRPr="00BA111B">
        <w:t xml:space="preserve">69,049 interstate visitors </w:t>
      </w:r>
    </w:p>
    <w:p w14:paraId="6C6383F3" w14:textId="1CBF628C" w:rsidR="00BA111B" w:rsidRDefault="00BA111B" w:rsidP="00BA111B">
      <w:r w:rsidRPr="00BA111B">
        <w:t xml:space="preserve">The event also attracted 17,109 S&amp;E visitors, including 16,096 S&amp;E spectators and accompanying persons, to Greater Melbourne from regional Victoria. </w:t>
      </w:r>
    </w:p>
    <w:p w14:paraId="5CF50CB7" w14:textId="77777777" w:rsidR="00BA111B" w:rsidRDefault="00BA111B" w:rsidP="009024FC">
      <w:pPr>
        <w:pStyle w:val="Heading3"/>
      </w:pPr>
      <w:bookmarkStart w:id="21" w:name="_Toc195020139"/>
      <w:bookmarkStart w:id="22" w:name="_Toc195020291"/>
      <w:bookmarkStart w:id="23" w:name="_Toc196836138"/>
      <w:bookmarkStart w:id="24" w:name="_Toc199242976"/>
      <w:r w:rsidRPr="00BA111B">
        <w:t>Summary:</w:t>
      </w:r>
      <w:bookmarkEnd w:id="21"/>
      <w:bookmarkEnd w:id="22"/>
      <w:bookmarkEnd w:id="23"/>
      <w:bookmarkEnd w:id="24"/>
      <w:r w:rsidRPr="00BA111B">
        <w:t xml:space="preserve"> </w:t>
      </w:r>
    </w:p>
    <w:p w14:paraId="7A2E71EE" w14:textId="37983BE0" w:rsidR="00E62C9C" w:rsidRDefault="00BA111B" w:rsidP="00BA111B">
      <w:r w:rsidRPr="00BA111B">
        <w:t>The 2022 Formula 1® Australian Grand Prix (2022 F1® GP or ‘the event’) marked the return of the event after the COVID-19 pandemic resulted in the cancellation of the 2020 and 2021 events. It drew the largest crowd for any F1® GP held in Melbourne</w:t>
      </w:r>
      <w:r w:rsidR="00F05472">
        <w:t xml:space="preserve"> </w:t>
      </w:r>
      <w:hyperlink w:anchor="ref01" w:history="1">
        <w:r w:rsidR="00F05472" w:rsidRPr="00693ACF">
          <w:rPr>
            <w:rStyle w:val="Hyperlink"/>
          </w:rPr>
          <w:t>[1]</w:t>
        </w:r>
      </w:hyperlink>
      <w:r w:rsidRPr="00BA111B">
        <w:t>, despite COVID-19 restrictions limiting international arrivals in the lead up to the event</w:t>
      </w:r>
      <w:r w:rsidR="00E01661">
        <w:t>.</w:t>
      </w:r>
    </w:p>
    <w:p w14:paraId="39A0C133" w14:textId="77777777" w:rsidR="00E62C9C" w:rsidRDefault="00BA111B" w:rsidP="00BA111B">
      <w:r w:rsidRPr="00BA111B">
        <w:t xml:space="preserve">In February 2022 DJPR engaged EY to independently assess the impact of the 2022 F1® GP to Victoria. The methodology used by EY for this study has been applied by EY in numerous assessments of major sporting and cultural events and is accepted by major event bodies and government departments across Australia. </w:t>
      </w:r>
    </w:p>
    <w:p w14:paraId="422471D0" w14:textId="1349F134" w:rsidR="000D4242" w:rsidRDefault="00BA111B" w:rsidP="00762A6E">
      <w:r w:rsidRPr="00BA111B">
        <w:t xml:space="preserve">A summary of the key findings of the impact of the event on Victoria is provided </w:t>
      </w:r>
      <w:r w:rsidR="00467FD1">
        <w:t>earlier</w:t>
      </w:r>
      <w:r w:rsidRPr="00BA111B">
        <w:t>.</w:t>
      </w:r>
      <w:bookmarkStart w:id="25" w:name="_Toc195020140"/>
      <w:bookmarkStart w:id="26" w:name="_Toc195020292"/>
    </w:p>
    <w:p w14:paraId="647FFD48" w14:textId="3414252F" w:rsidR="002023A1" w:rsidRPr="005B7385" w:rsidRDefault="00901FFB" w:rsidP="002023A1">
      <w:pPr>
        <w:rPr>
          <w:sz w:val="18"/>
          <w:szCs w:val="18"/>
        </w:rPr>
      </w:pPr>
      <w:r w:rsidRPr="005B7385">
        <w:rPr>
          <w:sz w:val="18"/>
          <w:szCs w:val="18"/>
        </w:rPr>
        <w:t xml:space="preserve">List of </w:t>
      </w:r>
      <w:r w:rsidR="002023A1" w:rsidRPr="005B7385">
        <w:rPr>
          <w:sz w:val="18"/>
          <w:szCs w:val="18"/>
        </w:rPr>
        <w:t>Reference</w:t>
      </w:r>
      <w:r w:rsidR="00862DC7" w:rsidRPr="005B7385">
        <w:rPr>
          <w:sz w:val="18"/>
          <w:szCs w:val="18"/>
        </w:rPr>
        <w:t>s</w:t>
      </w:r>
    </w:p>
    <w:p w14:paraId="25EB8561" w14:textId="77777777" w:rsidR="00862DC7" w:rsidRPr="005B7385" w:rsidRDefault="00862DC7" w:rsidP="002023A1">
      <w:pPr>
        <w:rPr>
          <w:sz w:val="18"/>
          <w:szCs w:val="18"/>
        </w:rPr>
      </w:pPr>
      <w:r w:rsidRPr="005B7385">
        <w:rPr>
          <w:sz w:val="18"/>
          <w:szCs w:val="18"/>
        </w:rPr>
        <w:t>[</w:t>
      </w:r>
      <w:bookmarkStart w:id="27" w:name="ref01"/>
      <w:bookmarkEnd w:id="27"/>
      <w:r w:rsidRPr="005B7385">
        <w:rPr>
          <w:sz w:val="18"/>
          <w:szCs w:val="18"/>
        </w:rPr>
        <w:t xml:space="preserve">1] </w:t>
      </w:r>
      <w:r w:rsidR="008116AC" w:rsidRPr="005B7385">
        <w:rPr>
          <w:sz w:val="18"/>
          <w:szCs w:val="18"/>
        </w:rPr>
        <w:t xml:space="preserve">Read article: </w:t>
      </w:r>
      <w:hyperlink r:id="rId17" w:history="1">
        <w:r w:rsidRPr="005B7385">
          <w:rPr>
            <w:rStyle w:val="Hyperlink"/>
            <w:sz w:val="18"/>
            <w:szCs w:val="18"/>
          </w:rPr>
          <w:t>ABC, ‘Australian Grand Prix organisers delighted at record crowd after two years of cancellations’ April 2022.</w:t>
        </w:r>
      </w:hyperlink>
      <w:r w:rsidRPr="005B7385">
        <w:rPr>
          <w:sz w:val="18"/>
          <w:szCs w:val="18"/>
        </w:rPr>
        <w:t xml:space="preserve"> </w:t>
      </w:r>
    </w:p>
    <w:p w14:paraId="79591F7E" w14:textId="001C9CCD" w:rsidR="00476099" w:rsidRPr="002023A1" w:rsidRDefault="00476099" w:rsidP="002023A1">
      <w:pPr>
        <w:sectPr w:rsidR="00476099" w:rsidRPr="002023A1">
          <w:pgSz w:w="11906" w:h="16838"/>
          <w:pgMar w:top="1440" w:right="1440" w:bottom="1440" w:left="1440" w:header="708" w:footer="708" w:gutter="0"/>
          <w:cols w:space="708"/>
          <w:docGrid w:linePitch="360"/>
        </w:sectPr>
      </w:pPr>
    </w:p>
    <w:p w14:paraId="02F88455" w14:textId="4D486A30" w:rsidR="00BA111B" w:rsidRDefault="002F4C82" w:rsidP="00034C83">
      <w:pPr>
        <w:pStyle w:val="Heading1"/>
      </w:pPr>
      <w:bookmarkStart w:id="28" w:name="_Toc199242977"/>
      <w:r w:rsidRPr="002F4C82">
        <w:lastRenderedPageBreak/>
        <w:t>1.</w:t>
      </w:r>
      <w:r>
        <w:t xml:space="preserve"> </w:t>
      </w:r>
      <w:r w:rsidR="00BA111B">
        <w:t>Introduction</w:t>
      </w:r>
      <w:bookmarkEnd w:id="25"/>
      <w:bookmarkEnd w:id="26"/>
      <w:bookmarkEnd w:id="28"/>
    </w:p>
    <w:p w14:paraId="7A9D171A" w14:textId="725942D7" w:rsidR="00BA111B" w:rsidRDefault="00BA111B" w:rsidP="00BA111B">
      <w:r w:rsidRPr="00BA111B">
        <w:t xml:space="preserve">The 2022 F1® GP event attracted a gross attendance of 419,114, surpassing the previous record of 401,000 total attendance set at Melbourne’s first F1® GP event in 1996. </w:t>
      </w:r>
    </w:p>
    <w:p w14:paraId="5A8AF4EE" w14:textId="77777777" w:rsidR="00BA111B" w:rsidRDefault="00BA111B" w:rsidP="00BA111B">
      <w:r w:rsidRPr="00BA111B">
        <w:t xml:space="preserve">In 1996, following 11 seasons of racing in Adelaide and with the support of the Victorian Government, the F1® Australian Grand Prix moved to Victoria. </w:t>
      </w:r>
    </w:p>
    <w:p w14:paraId="6AC9E9E8" w14:textId="77777777" w:rsidR="00BA111B" w:rsidRDefault="00BA111B" w:rsidP="00BA111B">
      <w:r w:rsidRPr="00BA111B">
        <w:t xml:space="preserve">Over the following years, the event continued to be an integral component of Victoria’s events calendar until the COVID-19 pandemic resulted in the cancellation of the 2020 and 2021 events. The 2022 F1® GP marked the return of the event as well as the 25th race with Melbourne as host. </w:t>
      </w:r>
    </w:p>
    <w:p w14:paraId="50E28574" w14:textId="6775326A" w:rsidR="00BA111B" w:rsidRDefault="00BA111B" w:rsidP="00BA111B">
      <w:r w:rsidRPr="00BA111B">
        <w:t>The 2022 F1® GP was held from 7-10 April 2022. Despite the expectation of lower interstate and international visitation for the event due to COVID-19 impacts, interstate specific and extended stay visitation is estimated to have increased by approximately 52% from 2019 (from an estimated ~45,000 in 2019 to ~69,000 in 2022)</w:t>
      </w:r>
      <w:r w:rsidR="00AE6111">
        <w:t xml:space="preserve"> (e</w:t>
      </w:r>
      <w:r w:rsidR="00AE6111" w:rsidRPr="00AE6111">
        <w:t>stimate</w:t>
      </w:r>
      <w:r w:rsidR="00AE6111">
        <w:t xml:space="preserve"> for 2019</w:t>
      </w:r>
      <w:r w:rsidR="00AE6111" w:rsidRPr="00AE6111">
        <w:t xml:space="preserve"> based on EY data from the 2011 study and AGPC data from the 2018 event</w:t>
      </w:r>
      <w:r w:rsidR="00AE6111">
        <w:t>)</w:t>
      </w:r>
      <w:r w:rsidRPr="00BA111B">
        <w:t xml:space="preserve">. Gross attendance reached 419,114 over the four days, with 128,294 people attending race day on the Sunday. </w:t>
      </w:r>
    </w:p>
    <w:p w14:paraId="01B219B8" w14:textId="5CD63980" w:rsidR="00BA111B" w:rsidRDefault="00BA111B" w:rsidP="00BA111B">
      <w:r w:rsidRPr="00BA111B">
        <w:t>Female attendance was also at a record breaking high, with approximately 38% of ticket purchases made by females. Event organisers stated this was partly due to the Netflix series, ‘Drive to Survive’</w:t>
      </w:r>
      <w:r w:rsidR="00E667A8">
        <w:t xml:space="preserve"> </w:t>
      </w:r>
      <w:hyperlink w:anchor="ref001" w:history="1">
        <w:r w:rsidR="00E667A8" w:rsidRPr="00D0492D">
          <w:rPr>
            <w:rStyle w:val="Hyperlink"/>
          </w:rPr>
          <w:t>[1]</w:t>
        </w:r>
      </w:hyperlink>
      <w:r w:rsidR="00D0492D">
        <w:t>.</w:t>
      </w:r>
    </w:p>
    <w:p w14:paraId="1E789899" w14:textId="3F16F37F" w:rsidR="00C4076A" w:rsidRDefault="00BA111B" w:rsidP="00BA111B">
      <w:r w:rsidRPr="00BA111B">
        <w:t>The 2022 F1® GP was the first event on the upgraded Albert Park circuit. The previous circuit, which was last upgraded in 1996, no longer provided optimal conditions for drivers given the continuous upgrades to F1® cars</w:t>
      </w:r>
      <w:r w:rsidR="00D0492D">
        <w:t xml:space="preserve"> </w:t>
      </w:r>
      <w:bookmarkStart w:id="29" w:name="ref002"/>
      <w:r w:rsidR="00D0492D">
        <w:t>[2]</w:t>
      </w:r>
      <w:bookmarkEnd w:id="29"/>
      <w:r w:rsidR="00D0492D">
        <w:t xml:space="preserve">. </w:t>
      </w:r>
      <w:r w:rsidR="00294F30" w:rsidRPr="00BA111B">
        <w:t>The</w:t>
      </w:r>
      <w:r w:rsidRPr="00BA111B">
        <w:t xml:space="preserve"> $20 million upgrade included modifications to seven of the circuit corners and the removal of two corners to enable more overtaking opportunities</w:t>
      </w:r>
      <w:r w:rsidR="00D0492D">
        <w:t xml:space="preserve"> </w:t>
      </w:r>
      <w:bookmarkStart w:id="30" w:name="ref003"/>
      <w:r w:rsidR="00D0492D">
        <w:fldChar w:fldCharType="begin"/>
      </w:r>
      <w:r w:rsidR="00D0492D">
        <w:instrText>HYPERLINK  \l "ref003"</w:instrText>
      </w:r>
      <w:r w:rsidR="00D0492D">
        <w:fldChar w:fldCharType="separate"/>
      </w:r>
      <w:r w:rsidR="00D0492D" w:rsidRPr="00D0492D">
        <w:rPr>
          <w:rStyle w:val="Hyperlink"/>
        </w:rPr>
        <w:t>[3]</w:t>
      </w:r>
      <w:bookmarkEnd w:id="30"/>
      <w:r w:rsidR="00D0492D">
        <w:fldChar w:fldCharType="end"/>
      </w:r>
      <w:r w:rsidR="00D0492D">
        <w:t>.</w:t>
      </w:r>
    </w:p>
    <w:p w14:paraId="3228CDCF" w14:textId="57B590E1" w:rsidR="00C4076A" w:rsidRDefault="00BA111B" w:rsidP="00BA111B">
      <w:r w:rsidRPr="00BA111B">
        <w:t>Other changes to the Albert Park precinct for the event included more locations for corporate suites, grandstands, and general admission fans which provided a greater range for viewing of the circuit</w:t>
      </w:r>
      <w:r w:rsidR="00900845">
        <w:t xml:space="preserve"> </w:t>
      </w:r>
      <w:hyperlink w:anchor="ref003" w:history="1">
        <w:r w:rsidR="00900845" w:rsidRPr="00900845">
          <w:rPr>
            <w:rStyle w:val="Hyperlink"/>
          </w:rPr>
          <w:t>[3]</w:t>
        </w:r>
      </w:hyperlink>
      <w:r w:rsidR="00900845">
        <w:t>.</w:t>
      </w:r>
      <w:r w:rsidRPr="00BA111B">
        <w:t xml:space="preserve"> </w:t>
      </w:r>
    </w:p>
    <w:p w14:paraId="367AB776" w14:textId="77777777" w:rsidR="00C4076A" w:rsidRDefault="00BA111B" w:rsidP="00BA111B">
      <w:r w:rsidRPr="00BA111B">
        <w:t xml:space="preserve">Specifically, the F1® GP event included: </w:t>
      </w:r>
    </w:p>
    <w:p w14:paraId="3913DF5A" w14:textId="77777777" w:rsidR="00C4076A" w:rsidRDefault="00BA111B" w:rsidP="00C4076A">
      <w:pPr>
        <w:pStyle w:val="ListParagraph"/>
        <w:numPr>
          <w:ilvl w:val="0"/>
          <w:numId w:val="2"/>
        </w:numPr>
      </w:pPr>
      <w:r w:rsidRPr="00BA111B">
        <w:t xml:space="preserve">Formula 1 World Championship race </w:t>
      </w:r>
    </w:p>
    <w:p w14:paraId="6F136D11" w14:textId="77777777" w:rsidR="00C4076A" w:rsidRDefault="00BA111B" w:rsidP="00C4076A">
      <w:pPr>
        <w:pStyle w:val="ListParagraph"/>
        <w:numPr>
          <w:ilvl w:val="0"/>
          <w:numId w:val="2"/>
        </w:numPr>
      </w:pPr>
      <w:r w:rsidRPr="00BA111B">
        <w:t xml:space="preserve">The Supercars Championship, S5000, and Porsche Carrera Cup </w:t>
      </w:r>
    </w:p>
    <w:p w14:paraId="07730CC7" w14:textId="77777777" w:rsidR="00C4076A" w:rsidRDefault="00BA111B" w:rsidP="00C4076A">
      <w:pPr>
        <w:pStyle w:val="ListParagraph"/>
        <w:numPr>
          <w:ilvl w:val="0"/>
          <w:numId w:val="2"/>
        </w:numPr>
      </w:pPr>
      <w:r w:rsidRPr="00BA111B">
        <w:t xml:space="preserve">Additional entertainment such as aerial displays by the Royal Australian Air Force and musical performances by local Australian artists </w:t>
      </w:r>
    </w:p>
    <w:p w14:paraId="034C5621" w14:textId="77777777" w:rsidR="00C4076A" w:rsidRDefault="00BA111B" w:rsidP="00C4076A">
      <w:pPr>
        <w:pStyle w:val="ListParagraph"/>
        <w:numPr>
          <w:ilvl w:val="0"/>
          <w:numId w:val="2"/>
        </w:numPr>
      </w:pPr>
      <w:r w:rsidRPr="00BA111B">
        <w:t>Interactive activities for fans including the Fan Forum Stage which hosted drivers and team officials for interviews, live podcast recordings and Q&amp;A sessions.</w:t>
      </w:r>
    </w:p>
    <w:p w14:paraId="2497AF11" w14:textId="77777777" w:rsidR="00644B0D" w:rsidRDefault="00BA111B" w:rsidP="007E1132">
      <w:r w:rsidRPr="00BA111B">
        <w:t>The event was governed by strict COVID-19 protocols in relation to crowd management, communication, cleaning and hygiene. At the time that tickets went on sale for the 2022 event, there were COVID-19 restrictions in place which limited the arrival of international travellers into Victoria. At the time of the event many of these restrictions had eased.</w:t>
      </w:r>
    </w:p>
    <w:p w14:paraId="4E548846" w14:textId="77777777" w:rsidR="00644B0D" w:rsidRDefault="00BA111B" w:rsidP="007E1132">
      <w:r w:rsidRPr="00BA111B">
        <w:t>The main race was won by Ferrari’s Charles Leclerc, with Australian Daniel Riccardo placing 6th.</w:t>
      </w:r>
    </w:p>
    <w:p w14:paraId="5F5E05A0" w14:textId="02493A77" w:rsidR="00644B0D" w:rsidRDefault="00644B0D" w:rsidP="007E1132">
      <w:r>
        <w:t>Melbourne F1® Grand Prix Attendance</w:t>
      </w:r>
    </w:p>
    <w:p w14:paraId="08B9542A" w14:textId="05BC8886" w:rsidR="00644B0D" w:rsidRDefault="00644B0D" w:rsidP="00644B0D">
      <w:r>
        <w:t xml:space="preserve">Total attendance at the Melbourne F1® Grand Prix (1996–2022) was 401,000 in 1996 and 419,114 in 2022. </w:t>
      </w:r>
      <w:r w:rsidR="007C1F68">
        <w:t xml:space="preserve">The event was cancelled in 2020 and 2021 due to COVID-19. </w:t>
      </w:r>
      <w:r>
        <w:t>Data for other years is not provided.</w:t>
      </w:r>
    </w:p>
    <w:p w14:paraId="2D865374" w14:textId="77777777" w:rsidR="00BF0003" w:rsidRDefault="00BF0003">
      <w:pPr>
        <w:spacing w:line="259" w:lineRule="auto"/>
        <w:rPr>
          <w:sz w:val="18"/>
          <w:szCs w:val="18"/>
        </w:rPr>
      </w:pPr>
      <w:r>
        <w:rPr>
          <w:sz w:val="18"/>
          <w:szCs w:val="18"/>
        </w:rPr>
        <w:br w:type="page"/>
      </w:r>
    </w:p>
    <w:p w14:paraId="55096891" w14:textId="15B07507" w:rsidR="0055028B" w:rsidRPr="005B7385" w:rsidRDefault="005B7385" w:rsidP="00644B0D">
      <w:pPr>
        <w:rPr>
          <w:sz w:val="18"/>
          <w:szCs w:val="18"/>
        </w:rPr>
      </w:pPr>
      <w:r w:rsidRPr="005B7385">
        <w:rPr>
          <w:sz w:val="18"/>
          <w:szCs w:val="18"/>
        </w:rPr>
        <w:lastRenderedPageBreak/>
        <w:t xml:space="preserve">List of </w:t>
      </w:r>
      <w:r w:rsidR="0055028B" w:rsidRPr="005B7385">
        <w:rPr>
          <w:sz w:val="18"/>
          <w:szCs w:val="18"/>
        </w:rPr>
        <w:t>Reference</w:t>
      </w:r>
      <w:r w:rsidR="00201610" w:rsidRPr="005B7385">
        <w:rPr>
          <w:sz w:val="18"/>
          <w:szCs w:val="18"/>
        </w:rPr>
        <w:t>s</w:t>
      </w:r>
    </w:p>
    <w:p w14:paraId="5096C9F4" w14:textId="4B443B15" w:rsidR="00AA1687" w:rsidRPr="0022725A" w:rsidRDefault="009E6610" w:rsidP="0022725A">
      <w:pPr>
        <w:ind w:left="60"/>
        <w:rPr>
          <w:sz w:val="18"/>
          <w:szCs w:val="18"/>
        </w:rPr>
      </w:pPr>
      <w:bookmarkStart w:id="31" w:name="ref001"/>
      <w:bookmarkEnd w:id="31"/>
      <w:r w:rsidRPr="005B7385">
        <w:rPr>
          <w:sz w:val="18"/>
          <w:szCs w:val="18"/>
        </w:rPr>
        <w:t>[1] Australian Grand Prix Corporation</w:t>
      </w:r>
      <w:r w:rsidR="00E1427A" w:rsidRPr="005B7385">
        <w:rPr>
          <w:sz w:val="18"/>
          <w:szCs w:val="18"/>
        </w:rPr>
        <w:t xml:space="preserve"> </w:t>
      </w:r>
      <w:r w:rsidRPr="005B7385">
        <w:rPr>
          <w:sz w:val="18"/>
          <w:szCs w:val="18"/>
        </w:rPr>
        <w:t>(2022).</w:t>
      </w:r>
      <w:r w:rsidRPr="005B7385">
        <w:rPr>
          <w:sz w:val="18"/>
          <w:szCs w:val="18"/>
        </w:rPr>
        <w:br/>
        <w:t>[2] F1</w:t>
      </w:r>
      <w:r w:rsidR="0046247C" w:rsidRPr="005B7385">
        <w:rPr>
          <w:sz w:val="18"/>
          <w:szCs w:val="18"/>
        </w:rPr>
        <w:t>,</w:t>
      </w:r>
      <w:r w:rsidRPr="005B7385">
        <w:rPr>
          <w:sz w:val="18"/>
          <w:szCs w:val="18"/>
        </w:rPr>
        <w:t xml:space="preserve"> Australia</w:t>
      </w:r>
      <w:r w:rsidR="0046247C" w:rsidRPr="005B7385">
        <w:rPr>
          <w:sz w:val="18"/>
          <w:szCs w:val="18"/>
        </w:rPr>
        <w:t xml:space="preserve"> </w:t>
      </w:r>
      <w:r w:rsidRPr="005B7385">
        <w:rPr>
          <w:sz w:val="18"/>
          <w:szCs w:val="18"/>
        </w:rPr>
        <w:t>(2022).</w:t>
      </w:r>
      <w:r w:rsidRPr="005B7385">
        <w:rPr>
          <w:sz w:val="18"/>
          <w:szCs w:val="18"/>
        </w:rPr>
        <w:br/>
        <w:t xml:space="preserve">[3] Read article: </w:t>
      </w:r>
      <w:hyperlink r:id="rId18" w:history="1">
        <w:r w:rsidRPr="005B7385">
          <w:rPr>
            <w:rStyle w:val="Hyperlink"/>
            <w:sz w:val="18"/>
            <w:szCs w:val="18"/>
          </w:rPr>
          <w:t>ABC News. (2022). F1 Australian Grand Prix returns to upgraded circuit.</w:t>
        </w:r>
      </w:hyperlink>
      <w:r w:rsidRPr="005B7385">
        <w:rPr>
          <w:sz w:val="18"/>
          <w:szCs w:val="18"/>
        </w:rPr>
        <w:br/>
        <w:t>[4] Estimate based on EY data from the 2011 study and AGPC data from the 2018 event.</w:t>
      </w:r>
      <w:bookmarkStart w:id="32" w:name="_Toc195020141"/>
      <w:bookmarkStart w:id="33" w:name="_Toc195020293"/>
      <w:r w:rsidR="00AA1687">
        <w:br w:type="page"/>
      </w:r>
    </w:p>
    <w:p w14:paraId="6A1C20A6" w14:textId="6A300E05" w:rsidR="00E227CA" w:rsidRDefault="00C4076A" w:rsidP="00E227CA">
      <w:pPr>
        <w:pStyle w:val="Heading1"/>
      </w:pPr>
      <w:bookmarkStart w:id="34" w:name="_Toc199242978"/>
      <w:r w:rsidRPr="00C4076A">
        <w:lastRenderedPageBreak/>
        <w:t>2. Approach</w:t>
      </w:r>
      <w:bookmarkEnd w:id="32"/>
      <w:bookmarkEnd w:id="33"/>
      <w:bookmarkEnd w:id="34"/>
    </w:p>
    <w:p w14:paraId="0EC3524A" w14:textId="77777777" w:rsidR="00E227CA" w:rsidRDefault="00E227CA" w:rsidP="00E227CA">
      <w:r w:rsidRPr="00C4076A">
        <w:t xml:space="preserve">The assessment measures the changes to the economic base of Victoria that can be attributed to the event, that would otherwise not have occurred. </w:t>
      </w:r>
    </w:p>
    <w:p w14:paraId="7638A657" w14:textId="77777777" w:rsidR="00E227CA" w:rsidRDefault="00E227CA" w:rsidP="00E227CA">
      <w:pPr>
        <w:pStyle w:val="Heading2"/>
      </w:pPr>
      <w:bookmarkStart w:id="35" w:name="_Toc199242979"/>
      <w:r w:rsidRPr="00C4076A">
        <w:t>Economic impact on Victoria</w:t>
      </w:r>
      <w:bookmarkEnd w:id="35"/>
      <w:r w:rsidRPr="00C4076A">
        <w:t xml:space="preserve"> </w:t>
      </w:r>
    </w:p>
    <w:p w14:paraId="7652400D" w14:textId="77777777" w:rsidR="00E227CA" w:rsidRDefault="00E227CA" w:rsidP="00E227CA">
      <w:r w:rsidRPr="00C4076A">
        <w:t xml:space="preserve">EY assessed the economic impact of the 2022 F1® GP on the State of Victoria. The assessment measures the changes to the economic base of Victoria, including the longer-term flow on effects, from interstate and international visitation that can be attributed to the event. </w:t>
      </w:r>
    </w:p>
    <w:p w14:paraId="4C703B04" w14:textId="77777777" w:rsidR="00E227CA" w:rsidRDefault="00E227CA" w:rsidP="00E227CA">
      <w:r w:rsidRPr="00C4076A">
        <w:t xml:space="preserve">The 2022 F1® GP economic impact study includes the following measures: </w:t>
      </w:r>
    </w:p>
    <w:p w14:paraId="0894F1E2" w14:textId="77777777" w:rsidR="00E227CA" w:rsidRPr="00134AB9" w:rsidRDefault="00E227CA" w:rsidP="00E227CA">
      <w:pPr>
        <w:pStyle w:val="Heading3"/>
      </w:pPr>
      <w:bookmarkStart w:id="36" w:name="_Toc199242980"/>
      <w:r w:rsidRPr="00134AB9">
        <w:t>Direct impact</w:t>
      </w:r>
      <w:bookmarkEnd w:id="36"/>
      <w:r w:rsidRPr="00134AB9">
        <w:t xml:space="preserve"> </w:t>
      </w:r>
    </w:p>
    <w:p w14:paraId="55100E04" w14:textId="77777777" w:rsidR="00E227CA" w:rsidRDefault="00E227CA" w:rsidP="00E227CA">
      <w:r w:rsidRPr="00C4076A">
        <w:t xml:space="preserve">The direct impact captures the increase in direct spending in Victoria attributable to the event. The direct impact estimate is based on the following: </w:t>
      </w:r>
    </w:p>
    <w:p w14:paraId="63F6A204" w14:textId="77777777" w:rsidR="00E227CA" w:rsidRDefault="00E227CA" w:rsidP="005B6378">
      <w:pPr>
        <w:pStyle w:val="ListParagraph"/>
        <w:numPr>
          <w:ilvl w:val="0"/>
          <w:numId w:val="15"/>
        </w:numPr>
      </w:pPr>
      <w:r w:rsidRPr="00C4076A">
        <w:t xml:space="preserve">Visitor expenditure from specific and extended stay interstate and international visitors (excluding ticket expenditure, which is captured in the event operations – see below). This is comprised of: </w:t>
      </w:r>
    </w:p>
    <w:p w14:paraId="07B2693F" w14:textId="77777777" w:rsidR="00E227CA" w:rsidRDefault="00E227CA" w:rsidP="00541FCB">
      <w:pPr>
        <w:pStyle w:val="ListParagraph"/>
        <w:numPr>
          <w:ilvl w:val="0"/>
          <w:numId w:val="18"/>
        </w:numPr>
      </w:pPr>
      <w:r w:rsidRPr="00C4076A">
        <w:t xml:space="preserve">Total number of interstate and international specific and extended stay visitors including spectators, teams, officials, media and other attendees (e.g. volunteers, event staff) </w:t>
      </w:r>
    </w:p>
    <w:p w14:paraId="627C37AD" w14:textId="77777777" w:rsidR="00E227CA" w:rsidRDefault="00E227CA" w:rsidP="00541FCB">
      <w:pPr>
        <w:pStyle w:val="ListParagraph"/>
        <w:numPr>
          <w:ilvl w:val="0"/>
          <w:numId w:val="18"/>
        </w:numPr>
      </w:pPr>
      <w:r w:rsidRPr="00C4076A">
        <w:t xml:space="preserve">Length of stay of these attendees </w:t>
      </w:r>
    </w:p>
    <w:p w14:paraId="5270E4FA" w14:textId="77777777" w:rsidR="00E227CA" w:rsidRDefault="00E227CA" w:rsidP="00541FCB">
      <w:pPr>
        <w:pStyle w:val="ListParagraph"/>
        <w:numPr>
          <w:ilvl w:val="0"/>
          <w:numId w:val="18"/>
        </w:numPr>
      </w:pPr>
      <w:r w:rsidRPr="00C4076A">
        <w:t>Total expenditure of these attendees attributable to their trip (excluding ticket</w:t>
      </w:r>
      <w:r>
        <w:t xml:space="preserve"> </w:t>
      </w:r>
      <w:r w:rsidRPr="00C4076A">
        <w:t>sales)</w:t>
      </w:r>
    </w:p>
    <w:p w14:paraId="500D31B2" w14:textId="77777777" w:rsidR="00E227CA" w:rsidRDefault="00E227CA" w:rsidP="005B6378">
      <w:pPr>
        <w:pStyle w:val="ListParagraph"/>
        <w:numPr>
          <w:ilvl w:val="0"/>
          <w:numId w:val="15"/>
        </w:numPr>
      </w:pPr>
      <w:r w:rsidRPr="00C4076A">
        <w:t xml:space="preserve">Expenditure from Victorian residents that remains in the State due to Victoria hosting the F1® Australian GP (instead of another state) – referred to as retained expenditure </w:t>
      </w:r>
    </w:p>
    <w:p w14:paraId="25386291" w14:textId="77777777" w:rsidR="00E227CA" w:rsidRDefault="00E227CA" w:rsidP="005B6378">
      <w:pPr>
        <w:pStyle w:val="ListParagraph"/>
        <w:numPr>
          <w:ilvl w:val="0"/>
          <w:numId w:val="15"/>
        </w:numPr>
      </w:pPr>
      <w:r w:rsidRPr="00C4076A">
        <w:t xml:space="preserve">The event operations impact, which is the net impact of AGPC’s incremental operating revenues (including ticket revenue) less the imported component of operations. </w:t>
      </w:r>
    </w:p>
    <w:p w14:paraId="7F2A1389" w14:textId="77777777" w:rsidR="00E227CA" w:rsidRDefault="00E227CA" w:rsidP="00E227CA">
      <w:r w:rsidRPr="00C4076A">
        <w:t xml:space="preserve">This data was sourced from the event intercept surveys, AGPC and previous F1® GP post event assessments (where specific information was not available). </w:t>
      </w:r>
    </w:p>
    <w:p w14:paraId="0C3C7E30" w14:textId="77777777" w:rsidR="00E227CA" w:rsidRDefault="00E227CA" w:rsidP="00E227CA">
      <w:pPr>
        <w:pStyle w:val="Heading3"/>
      </w:pPr>
      <w:bookmarkStart w:id="37" w:name="_Toc199242981"/>
      <w:r w:rsidRPr="00C4076A">
        <w:t>Economic impact and FTE</w:t>
      </w:r>
      <w:bookmarkEnd w:id="37"/>
      <w:r w:rsidRPr="00C4076A">
        <w:t xml:space="preserve"> </w:t>
      </w:r>
    </w:p>
    <w:p w14:paraId="07C19E08" w14:textId="77777777" w:rsidR="00E227CA" w:rsidRDefault="00E227CA" w:rsidP="00E227CA">
      <w:r w:rsidRPr="00C4076A">
        <w:t xml:space="preserve">The multiplier used to assess the economic impact is the General Input-Output Multiplier (GIOM) used by the Victorian State Government. The GIOM utilises the national input-output tables and is based on all industries in the economy. </w:t>
      </w:r>
    </w:p>
    <w:p w14:paraId="29D83AED" w14:textId="77777777" w:rsidR="00E227CA" w:rsidRDefault="00E227CA" w:rsidP="00E227CA">
      <w:r>
        <w:t>EY conducted an Input-Output (IO) multiplier analysis (IO multipliers supplied by REMPLAN) to estimate the employment impact</w:t>
      </w:r>
      <w:r w:rsidRPr="00C4076A">
        <w:t xml:space="preserve">. </w:t>
      </w:r>
    </w:p>
    <w:p w14:paraId="67595B67" w14:textId="77777777" w:rsidR="00E227CA" w:rsidRDefault="00E227CA" w:rsidP="00E227CA">
      <w:pPr>
        <w:pStyle w:val="Heading3"/>
      </w:pPr>
      <w:bookmarkStart w:id="38" w:name="_Toc199242982"/>
      <w:r w:rsidRPr="00C4076A">
        <w:t>Estimate of attendance</w:t>
      </w:r>
      <w:bookmarkEnd w:id="38"/>
      <w:r w:rsidRPr="00C4076A">
        <w:t xml:space="preserve"> </w:t>
      </w:r>
    </w:p>
    <w:p w14:paraId="6A147F4B" w14:textId="77777777" w:rsidR="00E227CA" w:rsidRDefault="00E227CA" w:rsidP="00E227CA">
      <w:r w:rsidRPr="00C4076A">
        <w:t xml:space="preserve">Total ticket attendance was estimated using data from Ticketmaster. </w:t>
      </w:r>
    </w:p>
    <w:p w14:paraId="61FF10D7" w14:textId="57EAB8F0" w:rsidR="00FE070D" w:rsidRDefault="00E227CA" w:rsidP="00FE070D">
      <w:r w:rsidRPr="00C4076A">
        <w:t xml:space="preserve">Ticketmaster data was used to estimate the origin of Victorian, interstate and overseas attendees for General Admission, Grandstand and Corporate Hospitality ticket holders. As the Ticketmaster data did not provide an origin split of Victorian residents between Greater Melbourne and Regional Victorian attendees, intercept survey data (collected through surveys conducted with event attendees) was used to estimate this split for General Admission, Grandstand and Corporate Hospitality ticket holders. </w:t>
      </w:r>
      <w:r w:rsidR="00FE070D">
        <w:br w:type="page"/>
      </w:r>
    </w:p>
    <w:p w14:paraId="358213BB" w14:textId="3F8164A6" w:rsidR="00E227CA" w:rsidRPr="00C4076A" w:rsidRDefault="00E227CA" w:rsidP="00E227CA">
      <w:r w:rsidRPr="00C4076A">
        <w:lastRenderedPageBreak/>
        <w:t>For other attendees such as Media, Motorsport Australia Officials and other accredited persons, the number and origin of these attendees was estimated using a combination of data from AGPC and previous F1® GP economic studies where adequate data was not available.</w:t>
      </w:r>
    </w:p>
    <w:p w14:paraId="5A3BBE87" w14:textId="77777777" w:rsidR="00E227CA" w:rsidRDefault="00E227CA" w:rsidP="00E227CA">
      <w:pPr>
        <w:pStyle w:val="Heading3"/>
      </w:pPr>
      <w:bookmarkStart w:id="39" w:name="_Toc199242983"/>
      <w:r w:rsidRPr="00C4076A">
        <w:t>Simplified economic impact methodology</w:t>
      </w:r>
      <w:bookmarkEnd w:id="39"/>
    </w:p>
    <w:p w14:paraId="72654C8D" w14:textId="012A22CC" w:rsidR="00261C24" w:rsidRPr="004F6B51" w:rsidRDefault="00261C24" w:rsidP="00945FC9">
      <w:pPr>
        <w:pStyle w:val="ListParagraph"/>
        <w:numPr>
          <w:ilvl w:val="0"/>
          <w:numId w:val="22"/>
        </w:numPr>
        <w:spacing w:before="100" w:beforeAutospacing="1" w:after="100" w:afterAutospacing="1"/>
        <w:rPr>
          <w:rFonts w:eastAsia="Times New Roman" w:cs="Arial"/>
          <w:lang w:eastAsia="en-AU"/>
        </w:rPr>
      </w:pPr>
      <w:r w:rsidRPr="004F6B51">
        <w:rPr>
          <w:rFonts w:eastAsia="Times New Roman" w:cs="Arial"/>
          <w:lang w:eastAsia="en-AU"/>
        </w:rPr>
        <w:t>Direct Expenditure in Victoria</w:t>
      </w:r>
      <w:r w:rsidR="00F2229B">
        <w:rPr>
          <w:rFonts w:eastAsia="Times New Roman" w:cs="Arial"/>
          <w:lang w:eastAsia="en-AU"/>
        </w:rPr>
        <w:t xml:space="preserve"> includes</w:t>
      </w:r>
    </w:p>
    <w:p w14:paraId="3336AEBD" w14:textId="77777777" w:rsidR="00261C24" w:rsidRPr="00FE602E" w:rsidRDefault="00261C24" w:rsidP="00945FC9">
      <w:pPr>
        <w:pStyle w:val="ListParagraph"/>
        <w:numPr>
          <w:ilvl w:val="0"/>
          <w:numId w:val="24"/>
        </w:numPr>
        <w:spacing w:before="100" w:beforeAutospacing="1" w:after="100" w:afterAutospacing="1"/>
        <w:rPr>
          <w:rFonts w:eastAsia="Times New Roman" w:cs="Arial"/>
          <w:lang w:eastAsia="en-AU"/>
        </w:rPr>
      </w:pPr>
      <w:r w:rsidRPr="00FE602E">
        <w:rPr>
          <w:rFonts w:eastAsia="Times New Roman" w:cs="Arial"/>
          <w:lang w:eastAsia="en-AU"/>
        </w:rPr>
        <w:t>Spending by interstate and international visitors (both specific and extended stay).</w:t>
      </w:r>
    </w:p>
    <w:p w14:paraId="53DA69B1" w14:textId="77777777" w:rsidR="00261C24" w:rsidRPr="00FE602E" w:rsidRDefault="00261C24" w:rsidP="00945FC9">
      <w:pPr>
        <w:pStyle w:val="ListParagraph"/>
        <w:numPr>
          <w:ilvl w:val="0"/>
          <w:numId w:val="24"/>
        </w:numPr>
        <w:spacing w:before="100" w:beforeAutospacing="1" w:after="100" w:afterAutospacing="1"/>
        <w:rPr>
          <w:rFonts w:eastAsia="Times New Roman" w:cs="Arial"/>
          <w:lang w:eastAsia="en-AU"/>
        </w:rPr>
      </w:pPr>
      <w:r w:rsidRPr="00FE602E">
        <w:rPr>
          <w:rFonts w:eastAsia="Times New Roman" w:cs="Arial"/>
          <w:lang w:eastAsia="en-AU"/>
        </w:rPr>
        <w:t>Spending by Victorian residents who chose to remain in the State due to Victoria hosting the 2022 F1® Australian Grand Prix.</w:t>
      </w:r>
    </w:p>
    <w:p w14:paraId="532717CF" w14:textId="25E46652" w:rsidR="00420FF9" w:rsidRPr="00F472EE" w:rsidRDefault="00261C24" w:rsidP="00F472EE">
      <w:pPr>
        <w:pStyle w:val="ListParagraph"/>
        <w:numPr>
          <w:ilvl w:val="0"/>
          <w:numId w:val="24"/>
        </w:numPr>
        <w:spacing w:before="100" w:beforeAutospacing="1" w:after="100" w:afterAutospacing="1"/>
        <w:rPr>
          <w:rFonts w:eastAsia="Times New Roman" w:cs="Arial"/>
          <w:lang w:eastAsia="en-AU"/>
        </w:rPr>
      </w:pPr>
      <w:r w:rsidRPr="00FE602E">
        <w:rPr>
          <w:rFonts w:eastAsia="Times New Roman" w:cs="Arial"/>
          <w:lang w:eastAsia="en-AU"/>
        </w:rPr>
        <w:t>Operational spending within Victoria that is sourced from outside the region.</w:t>
      </w:r>
    </w:p>
    <w:p w14:paraId="5D49D209" w14:textId="247541B9" w:rsidR="00945FC9" w:rsidRPr="00F472EE" w:rsidRDefault="00261C24" w:rsidP="00F472EE">
      <w:pPr>
        <w:pStyle w:val="ListParagraph"/>
        <w:numPr>
          <w:ilvl w:val="0"/>
          <w:numId w:val="22"/>
        </w:numPr>
        <w:spacing w:before="100" w:beforeAutospacing="1" w:after="100" w:afterAutospacing="1"/>
        <w:rPr>
          <w:rFonts w:eastAsia="Times New Roman" w:cs="Arial"/>
          <w:lang w:eastAsia="en-AU"/>
        </w:rPr>
      </w:pPr>
      <w:r w:rsidRPr="004F6B51">
        <w:rPr>
          <w:rFonts w:eastAsia="Times New Roman" w:cs="Arial"/>
          <w:lang w:eastAsia="en-AU"/>
        </w:rPr>
        <w:t>Total Direct Economic Impact</w:t>
      </w:r>
      <w:r w:rsidRPr="004F6B51">
        <w:rPr>
          <w:rFonts w:eastAsia="Times New Roman" w:cs="Arial"/>
          <w:lang w:eastAsia="en-AU"/>
        </w:rPr>
        <w:br/>
        <w:t>= Sum of the three above components</w:t>
      </w:r>
    </w:p>
    <w:p w14:paraId="02833BA5" w14:textId="5054CC1E" w:rsidR="00261C24" w:rsidRPr="004F6B51" w:rsidRDefault="00261C24" w:rsidP="00945FC9">
      <w:pPr>
        <w:pStyle w:val="ListParagraph"/>
        <w:numPr>
          <w:ilvl w:val="0"/>
          <w:numId w:val="22"/>
        </w:numPr>
        <w:spacing w:before="100" w:beforeAutospacing="1" w:after="100" w:afterAutospacing="1"/>
        <w:rPr>
          <w:rFonts w:eastAsia="Times New Roman" w:cs="Arial"/>
          <w:lang w:eastAsia="en-AU"/>
        </w:rPr>
      </w:pPr>
      <w:r w:rsidRPr="004F6B51">
        <w:rPr>
          <w:rFonts w:eastAsia="Times New Roman" w:cs="Arial"/>
          <w:lang w:eastAsia="en-AU"/>
        </w:rPr>
        <w:t>Apply GIOM Multipliers</w:t>
      </w:r>
    </w:p>
    <w:p w14:paraId="7F93DC7D" w14:textId="77777777" w:rsidR="00261C24" w:rsidRPr="00945FC9" w:rsidRDefault="00261C24" w:rsidP="00945FC9">
      <w:pPr>
        <w:pStyle w:val="ListParagraph"/>
        <w:numPr>
          <w:ilvl w:val="0"/>
          <w:numId w:val="25"/>
        </w:numPr>
        <w:spacing w:before="100" w:beforeAutospacing="1" w:after="100" w:afterAutospacing="1"/>
        <w:rPr>
          <w:rFonts w:eastAsia="Times New Roman" w:cs="Arial"/>
          <w:lang w:eastAsia="en-AU"/>
        </w:rPr>
      </w:pPr>
      <w:r w:rsidRPr="00945FC9">
        <w:rPr>
          <w:rFonts w:eastAsia="Times New Roman" w:cs="Arial"/>
          <w:lang w:eastAsia="en-AU"/>
        </w:rPr>
        <w:t>GIOM (General Input-Output Model) multipliers are applied to the direct economic impact to estimate the flow-on effects in the economy.</w:t>
      </w:r>
    </w:p>
    <w:p w14:paraId="0D541A5C" w14:textId="4D035DB8" w:rsidR="002D3526" w:rsidRPr="0022725A" w:rsidRDefault="00261C24" w:rsidP="0022725A">
      <w:pPr>
        <w:pStyle w:val="ListParagraph"/>
        <w:numPr>
          <w:ilvl w:val="0"/>
          <w:numId w:val="22"/>
        </w:numPr>
        <w:spacing w:before="100" w:beforeAutospacing="1" w:after="100" w:afterAutospacing="1"/>
        <w:rPr>
          <w:rFonts w:eastAsia="Times New Roman" w:cs="Arial"/>
          <w:lang w:eastAsia="en-AU"/>
        </w:rPr>
      </w:pPr>
      <w:r w:rsidRPr="004F6B51">
        <w:rPr>
          <w:rFonts w:eastAsia="Times New Roman" w:cs="Arial"/>
          <w:lang w:eastAsia="en-AU"/>
        </w:rPr>
        <w:t>Result: Total Economic Impact to Victoria</w:t>
      </w:r>
      <w:r w:rsidRPr="004F6B51">
        <w:rPr>
          <w:rFonts w:eastAsia="Times New Roman" w:cs="Arial"/>
          <w:lang w:eastAsia="en-AU"/>
        </w:rPr>
        <w:br/>
        <w:t>= Direct Economic Impact × GIOM multipliers</w:t>
      </w:r>
      <w:r w:rsidR="002D3526">
        <w:br w:type="page"/>
      </w:r>
    </w:p>
    <w:p w14:paraId="0C45B1DC" w14:textId="3114FDA9" w:rsidR="004A575D" w:rsidRDefault="009E30E8" w:rsidP="004A575D">
      <w:pPr>
        <w:pStyle w:val="Heading1"/>
      </w:pPr>
      <w:bookmarkStart w:id="40" w:name="_Toc199242984"/>
      <w:r w:rsidRPr="00D80297">
        <w:lastRenderedPageBreak/>
        <w:t>3. Resul</w:t>
      </w:r>
      <w:bookmarkStart w:id="41" w:name="_Toc195020146"/>
      <w:bookmarkStart w:id="42" w:name="_Toc195020298"/>
      <w:r w:rsidR="004A575D">
        <w:t>ts</w:t>
      </w:r>
      <w:bookmarkEnd w:id="40"/>
    </w:p>
    <w:p w14:paraId="429426FF" w14:textId="77777777" w:rsidR="004A575D" w:rsidRDefault="004A575D" w:rsidP="004A575D">
      <w:r w:rsidRPr="00C4076A">
        <w:t>The 2022 F1® GP is estimated to have increased Victoria’s GSP by up to $171 million and supported an additional 734 FTE.</w:t>
      </w:r>
    </w:p>
    <w:p w14:paraId="48A8DD34" w14:textId="77777777" w:rsidR="004A575D" w:rsidRDefault="004A575D" w:rsidP="000B5C42">
      <w:pPr>
        <w:pStyle w:val="Heading2"/>
      </w:pPr>
      <w:bookmarkStart w:id="43" w:name="_Toc199242985"/>
      <w:r w:rsidRPr="00C4076A">
        <w:t>Summary</w:t>
      </w:r>
      <w:bookmarkEnd w:id="43"/>
      <w:r w:rsidRPr="00C4076A">
        <w:t xml:space="preserve"> </w:t>
      </w:r>
    </w:p>
    <w:p w14:paraId="113AE232" w14:textId="77777777" w:rsidR="004A575D" w:rsidRDefault="004A575D" w:rsidP="004A575D">
      <w:r w:rsidRPr="00C4076A">
        <w:t xml:space="preserve">The 2022 F1® GP generated the following economic impacts to Victoria: </w:t>
      </w:r>
    </w:p>
    <w:p w14:paraId="1B044486" w14:textId="77777777" w:rsidR="004A575D" w:rsidRDefault="004A575D" w:rsidP="004A575D">
      <w:pPr>
        <w:pStyle w:val="ListParagraph"/>
        <w:numPr>
          <w:ilvl w:val="0"/>
          <w:numId w:val="5"/>
        </w:numPr>
      </w:pPr>
      <w:r w:rsidRPr="00C4076A">
        <w:t xml:space="preserve">$92.0m in Direct Expenditure to Victoria </w:t>
      </w:r>
    </w:p>
    <w:p w14:paraId="0DC5908A" w14:textId="77777777" w:rsidR="004A575D" w:rsidRDefault="004A575D" w:rsidP="004A575D">
      <w:pPr>
        <w:pStyle w:val="ListParagraph"/>
        <w:numPr>
          <w:ilvl w:val="0"/>
          <w:numId w:val="5"/>
        </w:numPr>
      </w:pPr>
      <w:r w:rsidRPr="00C4076A">
        <w:t xml:space="preserve">$171m in Total Economic Impact / Total Value Add (including direct and indirect) </w:t>
      </w:r>
    </w:p>
    <w:p w14:paraId="6F46B906" w14:textId="77777777" w:rsidR="004A575D" w:rsidRDefault="004A575D" w:rsidP="004A575D">
      <w:pPr>
        <w:pStyle w:val="ListParagraph"/>
        <w:numPr>
          <w:ilvl w:val="0"/>
          <w:numId w:val="5"/>
        </w:numPr>
      </w:pPr>
      <w:r w:rsidRPr="00C4076A">
        <w:t xml:space="preserve">734 Jobs (FTE), including 387 direct jobs and 337 indirect. </w:t>
      </w:r>
    </w:p>
    <w:p w14:paraId="0735128B" w14:textId="77777777" w:rsidR="004A575D" w:rsidRDefault="004A575D" w:rsidP="004A575D">
      <w:r w:rsidRPr="00C4076A">
        <w:t xml:space="preserve">A breakdown of the results is provided in the table below. A summary of visitor expenditure across visitor type is provided </w:t>
      </w:r>
      <w:r>
        <w:t>below</w:t>
      </w:r>
      <w:r w:rsidRPr="00C4076A">
        <w:t xml:space="preserve">. </w:t>
      </w:r>
    </w:p>
    <w:tbl>
      <w:tblPr>
        <w:tblStyle w:val="GridTable4"/>
        <w:tblW w:w="0" w:type="auto"/>
        <w:tblLook w:val="06A0" w:firstRow="1" w:lastRow="0" w:firstColumn="1" w:lastColumn="0" w:noHBand="1" w:noVBand="1"/>
      </w:tblPr>
      <w:tblGrid>
        <w:gridCol w:w="5382"/>
        <w:gridCol w:w="3634"/>
      </w:tblGrid>
      <w:tr w:rsidR="004A575D" w14:paraId="0A7AC67B" w14:textId="77777777" w:rsidTr="007E1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1A151F9D" w14:textId="77777777" w:rsidR="004A575D" w:rsidRPr="00660665" w:rsidRDefault="004A575D" w:rsidP="000E4D6B">
            <w:pPr>
              <w:rPr>
                <w:color w:val="auto"/>
              </w:rPr>
            </w:pPr>
            <w:r w:rsidRPr="00660665">
              <w:rPr>
                <w:color w:val="auto"/>
              </w:rPr>
              <w:t>Economic impact to Victoria of the 2022 F1® GP</w:t>
            </w:r>
          </w:p>
        </w:tc>
        <w:tc>
          <w:tcPr>
            <w:tcW w:w="3634" w:type="dxa"/>
          </w:tcPr>
          <w:p w14:paraId="376A7798"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color w:val="auto"/>
              </w:rPr>
            </w:pPr>
            <w:r w:rsidRPr="00660665">
              <w:rPr>
                <w:color w:val="auto"/>
              </w:rPr>
              <w:t xml:space="preserve">Total effect ($’000) </w:t>
            </w:r>
          </w:p>
        </w:tc>
      </w:tr>
      <w:tr w:rsidR="004A575D" w14:paraId="6502057F" w14:textId="77777777" w:rsidTr="007E1132">
        <w:tc>
          <w:tcPr>
            <w:cnfStyle w:val="001000000000" w:firstRow="0" w:lastRow="0" w:firstColumn="1" w:lastColumn="0" w:oddVBand="0" w:evenVBand="0" w:oddHBand="0" w:evenHBand="0" w:firstRowFirstColumn="0" w:firstRowLastColumn="0" w:lastRowFirstColumn="0" w:lastRowLastColumn="0"/>
            <w:tcW w:w="5382" w:type="dxa"/>
          </w:tcPr>
          <w:p w14:paraId="231D225E" w14:textId="77777777" w:rsidR="004A575D" w:rsidRPr="005B781A" w:rsidRDefault="004A575D" w:rsidP="000E4D6B">
            <w:pPr>
              <w:rPr>
                <w:b w:val="0"/>
                <w:bCs w:val="0"/>
              </w:rPr>
            </w:pPr>
            <w:r w:rsidRPr="005B781A">
              <w:rPr>
                <w:b w:val="0"/>
                <w:bCs w:val="0"/>
              </w:rPr>
              <w:t>Visitor expenditure from specific and extended stay visitors</w:t>
            </w:r>
          </w:p>
        </w:tc>
        <w:tc>
          <w:tcPr>
            <w:tcW w:w="3634" w:type="dxa"/>
          </w:tcPr>
          <w:p w14:paraId="2FBC4724" w14:textId="77777777" w:rsidR="004A575D" w:rsidRDefault="004A575D" w:rsidP="000E4D6B">
            <w:pPr>
              <w:cnfStyle w:val="000000000000" w:firstRow="0" w:lastRow="0" w:firstColumn="0" w:lastColumn="0" w:oddVBand="0" w:evenVBand="0" w:oddHBand="0" w:evenHBand="0" w:firstRowFirstColumn="0" w:firstRowLastColumn="0" w:lastRowFirstColumn="0" w:lastRowLastColumn="0"/>
            </w:pPr>
            <w:r w:rsidRPr="00C4076A">
              <w:t>$102,134</w:t>
            </w:r>
          </w:p>
        </w:tc>
      </w:tr>
      <w:tr w:rsidR="004A575D" w14:paraId="5511893A" w14:textId="77777777" w:rsidTr="007E1132">
        <w:tc>
          <w:tcPr>
            <w:cnfStyle w:val="001000000000" w:firstRow="0" w:lastRow="0" w:firstColumn="1" w:lastColumn="0" w:oddVBand="0" w:evenVBand="0" w:oddHBand="0" w:evenHBand="0" w:firstRowFirstColumn="0" w:firstRowLastColumn="0" w:lastRowFirstColumn="0" w:lastRowLastColumn="0"/>
            <w:tcW w:w="5382" w:type="dxa"/>
          </w:tcPr>
          <w:p w14:paraId="1999B5AD" w14:textId="77777777" w:rsidR="004A575D" w:rsidRPr="005B781A" w:rsidRDefault="004A575D" w:rsidP="000E4D6B">
            <w:pPr>
              <w:rPr>
                <w:b w:val="0"/>
                <w:bCs w:val="0"/>
              </w:rPr>
            </w:pPr>
            <w:r w:rsidRPr="005B781A">
              <w:rPr>
                <w:b w:val="0"/>
                <w:bCs w:val="0"/>
              </w:rPr>
              <w:t>Expenditure from Victorian residents that remain in the State due to Victoria hosting the F1® Australian GP (instead of another state)</w:t>
            </w:r>
          </w:p>
        </w:tc>
        <w:tc>
          <w:tcPr>
            <w:tcW w:w="3634" w:type="dxa"/>
          </w:tcPr>
          <w:p w14:paraId="38DB6DD6" w14:textId="77777777" w:rsidR="004A575D" w:rsidRDefault="004A575D" w:rsidP="000E4D6B">
            <w:pPr>
              <w:cnfStyle w:val="000000000000" w:firstRow="0" w:lastRow="0" w:firstColumn="0" w:lastColumn="0" w:oddVBand="0" w:evenVBand="0" w:oddHBand="0" w:evenHBand="0" w:firstRowFirstColumn="0" w:firstRowLastColumn="0" w:lastRowFirstColumn="0" w:lastRowLastColumn="0"/>
            </w:pPr>
            <w:r w:rsidRPr="00C4076A">
              <w:t xml:space="preserve">$25,953 </w:t>
            </w:r>
          </w:p>
        </w:tc>
      </w:tr>
      <w:tr w:rsidR="004A575D" w14:paraId="3E63A715" w14:textId="77777777" w:rsidTr="007E1132">
        <w:tc>
          <w:tcPr>
            <w:cnfStyle w:val="001000000000" w:firstRow="0" w:lastRow="0" w:firstColumn="1" w:lastColumn="0" w:oddVBand="0" w:evenVBand="0" w:oddHBand="0" w:evenHBand="0" w:firstRowFirstColumn="0" w:firstRowLastColumn="0" w:lastRowFirstColumn="0" w:lastRowLastColumn="0"/>
            <w:tcW w:w="5382" w:type="dxa"/>
          </w:tcPr>
          <w:p w14:paraId="1CCA51C9" w14:textId="77777777" w:rsidR="004A575D" w:rsidRPr="005B781A" w:rsidRDefault="004A575D" w:rsidP="000E4D6B">
            <w:pPr>
              <w:rPr>
                <w:b w:val="0"/>
                <w:bCs w:val="0"/>
              </w:rPr>
            </w:pPr>
            <w:r w:rsidRPr="005B781A">
              <w:rPr>
                <w:b w:val="0"/>
                <w:bCs w:val="0"/>
              </w:rPr>
              <w:t>The event operations impact</w:t>
            </w:r>
          </w:p>
        </w:tc>
        <w:tc>
          <w:tcPr>
            <w:tcW w:w="3634" w:type="dxa"/>
          </w:tcPr>
          <w:p w14:paraId="18B04C16" w14:textId="77777777" w:rsidR="004A575D" w:rsidRDefault="004A575D" w:rsidP="000E4D6B">
            <w:pPr>
              <w:cnfStyle w:val="000000000000" w:firstRow="0" w:lastRow="0" w:firstColumn="0" w:lastColumn="0" w:oddVBand="0" w:evenVBand="0" w:oddHBand="0" w:evenHBand="0" w:firstRowFirstColumn="0" w:firstRowLastColumn="0" w:lastRowFirstColumn="0" w:lastRowLastColumn="0"/>
            </w:pPr>
            <w:r w:rsidRPr="00C4076A">
              <w:t>-$36,068</w:t>
            </w:r>
          </w:p>
        </w:tc>
      </w:tr>
      <w:tr w:rsidR="004A575D" w14:paraId="22B19460" w14:textId="77777777" w:rsidTr="007E1132">
        <w:tc>
          <w:tcPr>
            <w:cnfStyle w:val="001000000000" w:firstRow="0" w:lastRow="0" w:firstColumn="1" w:lastColumn="0" w:oddVBand="0" w:evenVBand="0" w:oddHBand="0" w:evenHBand="0" w:firstRowFirstColumn="0" w:firstRowLastColumn="0" w:lastRowFirstColumn="0" w:lastRowLastColumn="0"/>
            <w:tcW w:w="5382" w:type="dxa"/>
          </w:tcPr>
          <w:p w14:paraId="100DA839" w14:textId="77777777" w:rsidR="004A575D" w:rsidRPr="005B781A" w:rsidRDefault="004A575D" w:rsidP="000E4D6B">
            <w:pPr>
              <w:rPr>
                <w:b w:val="0"/>
                <w:bCs w:val="0"/>
              </w:rPr>
            </w:pPr>
            <w:r w:rsidRPr="005B781A">
              <w:rPr>
                <w:b w:val="0"/>
                <w:bCs w:val="0"/>
              </w:rPr>
              <w:t xml:space="preserve">Increase in direct expenditure </w:t>
            </w:r>
          </w:p>
        </w:tc>
        <w:tc>
          <w:tcPr>
            <w:tcW w:w="3634" w:type="dxa"/>
          </w:tcPr>
          <w:p w14:paraId="76FB5324" w14:textId="77777777" w:rsidR="004A575D" w:rsidRPr="00C4076A" w:rsidRDefault="004A575D" w:rsidP="000E4D6B">
            <w:pPr>
              <w:cnfStyle w:val="000000000000" w:firstRow="0" w:lastRow="0" w:firstColumn="0" w:lastColumn="0" w:oddVBand="0" w:evenVBand="0" w:oddHBand="0" w:evenHBand="0" w:firstRowFirstColumn="0" w:firstRowLastColumn="0" w:lastRowFirstColumn="0" w:lastRowLastColumn="0"/>
            </w:pPr>
            <w:r w:rsidRPr="00C4076A">
              <w:t>$92,020</w:t>
            </w:r>
          </w:p>
        </w:tc>
      </w:tr>
      <w:tr w:rsidR="004A575D" w14:paraId="0B0D78CD" w14:textId="77777777" w:rsidTr="007E1132">
        <w:tc>
          <w:tcPr>
            <w:cnfStyle w:val="001000000000" w:firstRow="0" w:lastRow="0" w:firstColumn="1" w:lastColumn="0" w:oddVBand="0" w:evenVBand="0" w:oddHBand="0" w:evenHBand="0" w:firstRowFirstColumn="0" w:firstRowLastColumn="0" w:lastRowFirstColumn="0" w:lastRowLastColumn="0"/>
            <w:tcW w:w="5382" w:type="dxa"/>
          </w:tcPr>
          <w:p w14:paraId="1195E9F0" w14:textId="77777777" w:rsidR="004A575D" w:rsidRPr="005B781A" w:rsidRDefault="004A575D" w:rsidP="000E4D6B">
            <w:pPr>
              <w:rPr>
                <w:b w:val="0"/>
                <w:bCs w:val="0"/>
              </w:rPr>
            </w:pPr>
            <w:r w:rsidRPr="005B781A">
              <w:rPr>
                <w:b w:val="0"/>
                <w:bCs w:val="0"/>
              </w:rPr>
              <w:t xml:space="preserve">Value-add / Economic impact </w:t>
            </w:r>
          </w:p>
        </w:tc>
        <w:tc>
          <w:tcPr>
            <w:tcW w:w="3634" w:type="dxa"/>
          </w:tcPr>
          <w:p w14:paraId="3F3C6578" w14:textId="77777777" w:rsidR="004A575D" w:rsidRPr="00C4076A" w:rsidRDefault="004A575D" w:rsidP="000E4D6B">
            <w:pPr>
              <w:cnfStyle w:val="000000000000" w:firstRow="0" w:lastRow="0" w:firstColumn="0" w:lastColumn="0" w:oddVBand="0" w:evenVBand="0" w:oddHBand="0" w:evenHBand="0" w:firstRowFirstColumn="0" w:firstRowLastColumn="0" w:lastRowFirstColumn="0" w:lastRowLastColumn="0"/>
            </w:pPr>
            <w:r w:rsidRPr="00C4076A">
              <w:t>$171,157</w:t>
            </w:r>
          </w:p>
        </w:tc>
      </w:tr>
      <w:tr w:rsidR="004A575D" w14:paraId="47B38EDD" w14:textId="77777777" w:rsidTr="007E1132">
        <w:tc>
          <w:tcPr>
            <w:cnfStyle w:val="001000000000" w:firstRow="0" w:lastRow="0" w:firstColumn="1" w:lastColumn="0" w:oddVBand="0" w:evenVBand="0" w:oddHBand="0" w:evenHBand="0" w:firstRowFirstColumn="0" w:firstRowLastColumn="0" w:lastRowFirstColumn="0" w:lastRowLastColumn="0"/>
            <w:tcW w:w="5382" w:type="dxa"/>
          </w:tcPr>
          <w:p w14:paraId="1EDFF989" w14:textId="77777777" w:rsidR="004A575D" w:rsidRPr="005B781A" w:rsidRDefault="004A575D" w:rsidP="000E4D6B">
            <w:pPr>
              <w:rPr>
                <w:b w:val="0"/>
                <w:bCs w:val="0"/>
              </w:rPr>
            </w:pPr>
            <w:r w:rsidRPr="005B781A">
              <w:rPr>
                <w:b w:val="0"/>
                <w:bCs w:val="0"/>
              </w:rPr>
              <w:t>Jobs (FTE) – i.e. annualised FTE</w:t>
            </w:r>
          </w:p>
        </w:tc>
        <w:tc>
          <w:tcPr>
            <w:tcW w:w="3634" w:type="dxa"/>
          </w:tcPr>
          <w:p w14:paraId="1174C4EE" w14:textId="77777777" w:rsidR="004A575D" w:rsidRPr="00C4076A" w:rsidRDefault="004A575D" w:rsidP="000E4D6B">
            <w:pPr>
              <w:cnfStyle w:val="000000000000" w:firstRow="0" w:lastRow="0" w:firstColumn="0" w:lastColumn="0" w:oddVBand="0" w:evenVBand="0" w:oddHBand="0" w:evenHBand="0" w:firstRowFirstColumn="0" w:firstRowLastColumn="0" w:lastRowFirstColumn="0" w:lastRowLastColumn="0"/>
            </w:pPr>
            <w:r w:rsidRPr="00C4076A">
              <w:t>734</w:t>
            </w:r>
          </w:p>
        </w:tc>
      </w:tr>
    </w:tbl>
    <w:p w14:paraId="4E7C9B29" w14:textId="77777777" w:rsidR="004A575D" w:rsidRDefault="004A575D" w:rsidP="004A575D">
      <w:r>
        <w:t xml:space="preserve">Annualised FTE </w:t>
      </w:r>
      <w:r w:rsidRPr="00C4076A">
        <w:t>represents the FTE employed over the year</w:t>
      </w:r>
    </w:p>
    <w:p w14:paraId="1D595CCC" w14:textId="77777777" w:rsidR="004A575D" w:rsidRPr="00660665" w:rsidRDefault="004A575D" w:rsidP="004A575D">
      <w:pPr>
        <w:pStyle w:val="Heading4"/>
        <w:rPr>
          <w:b w:val="0"/>
          <w:bCs/>
        </w:rPr>
      </w:pPr>
      <w:r w:rsidRPr="00660665">
        <w:rPr>
          <w:b w:val="0"/>
          <w:bCs/>
        </w:rPr>
        <w:t>Visitation summary</w:t>
      </w:r>
      <w:r>
        <w:rPr>
          <w:b w:val="0"/>
          <w:bCs/>
        </w:rPr>
        <w:t>:</w:t>
      </w:r>
      <w:r w:rsidRPr="00660665">
        <w:rPr>
          <w:b w:val="0"/>
          <w:bCs/>
        </w:rPr>
        <w:t xml:space="preserve"> Unique specific and extended visitors</w:t>
      </w:r>
    </w:p>
    <w:p w14:paraId="0849BCFA" w14:textId="77777777" w:rsidR="004A575D" w:rsidRDefault="004A575D" w:rsidP="004A575D">
      <w:pPr>
        <w:pStyle w:val="ListParagraph"/>
        <w:numPr>
          <w:ilvl w:val="0"/>
          <w:numId w:val="6"/>
        </w:numPr>
      </w:pPr>
      <w:r w:rsidRPr="00BA111B">
        <w:t xml:space="preserve">419,114 Gross attendance </w:t>
      </w:r>
    </w:p>
    <w:p w14:paraId="0FE38582" w14:textId="77777777" w:rsidR="004A575D" w:rsidRDefault="004A575D" w:rsidP="004A575D">
      <w:pPr>
        <w:pStyle w:val="ListParagraph"/>
        <w:numPr>
          <w:ilvl w:val="0"/>
          <w:numId w:val="6"/>
        </w:numPr>
      </w:pPr>
      <w:r w:rsidRPr="00BA111B">
        <w:t>75,520 Unique S&amp;E visitors to Victoria</w:t>
      </w:r>
    </w:p>
    <w:p w14:paraId="26859908" w14:textId="77777777" w:rsidR="004A575D" w:rsidRDefault="004A575D" w:rsidP="004A575D">
      <w:pPr>
        <w:pStyle w:val="ListParagraph"/>
        <w:numPr>
          <w:ilvl w:val="0"/>
          <w:numId w:val="6"/>
        </w:numPr>
      </w:pPr>
      <w:r w:rsidRPr="00BA111B">
        <w:t xml:space="preserve">6,471 international visitors </w:t>
      </w:r>
    </w:p>
    <w:p w14:paraId="6E4C8259" w14:textId="77777777" w:rsidR="004A575D" w:rsidRDefault="004A575D" w:rsidP="004A575D">
      <w:pPr>
        <w:pStyle w:val="ListParagraph"/>
        <w:numPr>
          <w:ilvl w:val="0"/>
          <w:numId w:val="6"/>
        </w:numPr>
      </w:pPr>
      <w:r w:rsidRPr="00BA111B">
        <w:t xml:space="preserve">69,049 interstate visitors </w:t>
      </w:r>
      <w:r w:rsidRPr="005B781A">
        <w:t xml:space="preserve"> </w:t>
      </w:r>
    </w:p>
    <w:p w14:paraId="08318440" w14:textId="77777777" w:rsidR="004A575D" w:rsidRDefault="004A575D" w:rsidP="004A575D">
      <w:pPr>
        <w:pStyle w:val="Heading4"/>
      </w:pPr>
      <w:r w:rsidRPr="005B781A">
        <w:t>Specific and extended stay visitor expenditure summary</w:t>
      </w:r>
    </w:p>
    <w:p w14:paraId="6EAB3EB9" w14:textId="77777777" w:rsidR="004A575D" w:rsidRPr="005B781A" w:rsidRDefault="004A575D" w:rsidP="004A575D">
      <w:r w:rsidRPr="005B781A">
        <w:t>Specific and extended stay General Admission and Grandstand and accompanying persons:</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4A575D" w:rsidRPr="00660665" w14:paraId="7966F725" w14:textId="77777777" w:rsidTr="007E11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3" w:type="dxa"/>
            <w:tcBorders>
              <w:bottom w:val="none" w:sz="0" w:space="0" w:color="auto"/>
              <w:right w:val="none" w:sz="0" w:space="0" w:color="auto"/>
            </w:tcBorders>
          </w:tcPr>
          <w:p w14:paraId="3A92373E" w14:textId="77777777" w:rsidR="004A575D" w:rsidRPr="00660665" w:rsidRDefault="004A575D" w:rsidP="000E4D6B">
            <w:pPr>
              <w:rPr>
                <w:b w:val="0"/>
                <w:bCs w:val="0"/>
                <w:color w:val="auto"/>
              </w:rPr>
            </w:pPr>
            <w:r w:rsidRPr="00660665">
              <w:rPr>
                <w:b w:val="0"/>
                <w:bCs w:val="0"/>
                <w:color w:val="auto"/>
              </w:rPr>
              <w:t>Origin</w:t>
            </w:r>
          </w:p>
        </w:tc>
        <w:tc>
          <w:tcPr>
            <w:tcW w:w="1803" w:type="dxa"/>
          </w:tcPr>
          <w:p w14:paraId="165E1F11"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Visitors</w:t>
            </w:r>
          </w:p>
        </w:tc>
        <w:tc>
          <w:tcPr>
            <w:tcW w:w="1803" w:type="dxa"/>
          </w:tcPr>
          <w:p w14:paraId="33DA84FA"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Average length of stay (days)</w:t>
            </w:r>
          </w:p>
        </w:tc>
        <w:tc>
          <w:tcPr>
            <w:tcW w:w="1803" w:type="dxa"/>
          </w:tcPr>
          <w:p w14:paraId="612C2E54"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Average daily expenditure ($)</w:t>
            </w:r>
          </w:p>
        </w:tc>
        <w:tc>
          <w:tcPr>
            <w:tcW w:w="1804" w:type="dxa"/>
          </w:tcPr>
          <w:p w14:paraId="76FA3F9A"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Total direct expenditure $’000)</w:t>
            </w:r>
          </w:p>
        </w:tc>
      </w:tr>
      <w:tr w:rsidR="004A575D" w:rsidRPr="00660665" w14:paraId="30C17570" w14:textId="77777777" w:rsidTr="007E1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Borders>
              <w:top w:val="none" w:sz="0" w:space="0" w:color="auto"/>
              <w:bottom w:val="none" w:sz="0" w:space="0" w:color="auto"/>
              <w:right w:val="none" w:sz="0" w:space="0" w:color="auto"/>
            </w:tcBorders>
          </w:tcPr>
          <w:p w14:paraId="7E243E8C" w14:textId="77777777" w:rsidR="004A575D" w:rsidRPr="00660665" w:rsidRDefault="004A575D" w:rsidP="000E4D6B">
            <w:pPr>
              <w:rPr>
                <w:b w:val="0"/>
                <w:bCs w:val="0"/>
              </w:rPr>
            </w:pPr>
            <w:r w:rsidRPr="00660665">
              <w:rPr>
                <w:b w:val="0"/>
                <w:bCs w:val="0"/>
              </w:rPr>
              <w:t>Interstate</w:t>
            </w:r>
          </w:p>
        </w:tc>
        <w:tc>
          <w:tcPr>
            <w:tcW w:w="1803" w:type="dxa"/>
            <w:tcBorders>
              <w:top w:val="none" w:sz="0" w:space="0" w:color="auto"/>
              <w:bottom w:val="none" w:sz="0" w:space="0" w:color="auto"/>
            </w:tcBorders>
          </w:tcPr>
          <w:p w14:paraId="4F8087A8" w14:textId="77777777" w:rsidR="004A575D" w:rsidRPr="00660665" w:rsidRDefault="004A575D" w:rsidP="000E4D6B">
            <w:pPr>
              <w:cnfStyle w:val="000000100000" w:firstRow="0" w:lastRow="0" w:firstColumn="0" w:lastColumn="0" w:oddVBand="0" w:evenVBand="0" w:oddHBand="1" w:evenHBand="0" w:firstRowFirstColumn="0" w:firstRowLastColumn="0" w:lastRowFirstColumn="0" w:lastRowLastColumn="0"/>
            </w:pPr>
            <w:r w:rsidRPr="00660665">
              <w:t xml:space="preserve">63,343 </w:t>
            </w:r>
          </w:p>
        </w:tc>
        <w:tc>
          <w:tcPr>
            <w:tcW w:w="1803" w:type="dxa"/>
            <w:tcBorders>
              <w:top w:val="none" w:sz="0" w:space="0" w:color="auto"/>
              <w:bottom w:val="none" w:sz="0" w:space="0" w:color="auto"/>
            </w:tcBorders>
          </w:tcPr>
          <w:p w14:paraId="10E1092F" w14:textId="77777777" w:rsidR="004A575D" w:rsidRPr="00660665" w:rsidRDefault="004A575D" w:rsidP="000E4D6B">
            <w:pPr>
              <w:cnfStyle w:val="000000100000" w:firstRow="0" w:lastRow="0" w:firstColumn="0" w:lastColumn="0" w:oddVBand="0" w:evenVBand="0" w:oddHBand="1" w:evenHBand="0" w:firstRowFirstColumn="0" w:firstRowLastColumn="0" w:lastRowFirstColumn="0" w:lastRowLastColumn="0"/>
            </w:pPr>
            <w:r w:rsidRPr="00660665">
              <w:t>4.5</w:t>
            </w:r>
          </w:p>
        </w:tc>
        <w:tc>
          <w:tcPr>
            <w:tcW w:w="1803" w:type="dxa"/>
            <w:tcBorders>
              <w:top w:val="none" w:sz="0" w:space="0" w:color="auto"/>
              <w:bottom w:val="none" w:sz="0" w:space="0" w:color="auto"/>
            </w:tcBorders>
          </w:tcPr>
          <w:p w14:paraId="2429F8B0" w14:textId="77777777" w:rsidR="004A575D" w:rsidRPr="00660665" w:rsidRDefault="004A575D" w:rsidP="000E4D6B">
            <w:pPr>
              <w:cnfStyle w:val="000000100000" w:firstRow="0" w:lastRow="0" w:firstColumn="0" w:lastColumn="0" w:oddVBand="0" w:evenVBand="0" w:oddHBand="1" w:evenHBand="0" w:firstRowFirstColumn="0" w:firstRowLastColumn="0" w:lastRowFirstColumn="0" w:lastRowLastColumn="0"/>
            </w:pPr>
            <w:r w:rsidRPr="00660665">
              <w:t>$289</w:t>
            </w:r>
          </w:p>
        </w:tc>
        <w:tc>
          <w:tcPr>
            <w:tcW w:w="1804" w:type="dxa"/>
            <w:tcBorders>
              <w:top w:val="none" w:sz="0" w:space="0" w:color="auto"/>
              <w:bottom w:val="none" w:sz="0" w:space="0" w:color="auto"/>
            </w:tcBorders>
          </w:tcPr>
          <w:p w14:paraId="79363CA5" w14:textId="77777777" w:rsidR="004A575D" w:rsidRPr="00660665" w:rsidRDefault="004A575D" w:rsidP="000E4D6B">
            <w:pPr>
              <w:cnfStyle w:val="000000100000" w:firstRow="0" w:lastRow="0" w:firstColumn="0" w:lastColumn="0" w:oddVBand="0" w:evenVBand="0" w:oddHBand="1" w:evenHBand="0" w:firstRowFirstColumn="0" w:firstRowLastColumn="0" w:lastRowFirstColumn="0" w:lastRowLastColumn="0"/>
            </w:pPr>
            <w:r w:rsidRPr="00660665">
              <w:t>$81,753</w:t>
            </w:r>
          </w:p>
        </w:tc>
      </w:tr>
      <w:tr w:rsidR="004A575D" w:rsidRPr="00660665" w14:paraId="21DCCF6B" w14:textId="77777777" w:rsidTr="007E1132">
        <w:tc>
          <w:tcPr>
            <w:cnfStyle w:val="001000000000" w:firstRow="0" w:lastRow="0" w:firstColumn="1" w:lastColumn="0" w:oddVBand="0" w:evenVBand="0" w:oddHBand="0" w:evenHBand="0" w:firstRowFirstColumn="0" w:firstRowLastColumn="0" w:lastRowFirstColumn="0" w:lastRowLastColumn="0"/>
            <w:tcW w:w="1803" w:type="dxa"/>
            <w:tcBorders>
              <w:right w:val="none" w:sz="0" w:space="0" w:color="auto"/>
            </w:tcBorders>
          </w:tcPr>
          <w:p w14:paraId="08C307F5" w14:textId="77777777" w:rsidR="004A575D" w:rsidRPr="00660665" w:rsidRDefault="004A575D" w:rsidP="000E4D6B">
            <w:pPr>
              <w:rPr>
                <w:b w:val="0"/>
                <w:bCs w:val="0"/>
              </w:rPr>
            </w:pPr>
            <w:r w:rsidRPr="00660665">
              <w:rPr>
                <w:b w:val="0"/>
                <w:bCs w:val="0"/>
              </w:rPr>
              <w:t>International</w:t>
            </w:r>
          </w:p>
        </w:tc>
        <w:tc>
          <w:tcPr>
            <w:tcW w:w="1803" w:type="dxa"/>
          </w:tcPr>
          <w:p w14:paraId="3D14F34F"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1,259</w:t>
            </w:r>
          </w:p>
        </w:tc>
        <w:tc>
          <w:tcPr>
            <w:tcW w:w="1803" w:type="dxa"/>
          </w:tcPr>
          <w:p w14:paraId="67C6E51B"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 xml:space="preserve">5.3 </w:t>
            </w:r>
          </w:p>
        </w:tc>
        <w:tc>
          <w:tcPr>
            <w:tcW w:w="1803" w:type="dxa"/>
          </w:tcPr>
          <w:p w14:paraId="54501A9E"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 xml:space="preserve">$220 </w:t>
            </w:r>
          </w:p>
        </w:tc>
        <w:tc>
          <w:tcPr>
            <w:tcW w:w="1804" w:type="dxa"/>
          </w:tcPr>
          <w:p w14:paraId="201A0920"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$1,476</w:t>
            </w:r>
          </w:p>
        </w:tc>
      </w:tr>
    </w:tbl>
    <w:p w14:paraId="2F0DF797" w14:textId="77777777" w:rsidR="004A575D" w:rsidRPr="00660665" w:rsidRDefault="004A575D" w:rsidP="004A575D"/>
    <w:p w14:paraId="45E02CC7" w14:textId="77777777" w:rsidR="004A575D" w:rsidRPr="00660665" w:rsidRDefault="004A575D" w:rsidP="004A575D">
      <w:r w:rsidRPr="00660665">
        <w:t xml:space="preserve">Specific and extended </w:t>
      </w:r>
      <w:proofErr w:type="gramStart"/>
      <w:r w:rsidRPr="00660665">
        <w:t>Corporate</w:t>
      </w:r>
      <w:proofErr w:type="gramEnd"/>
      <w:r w:rsidRPr="00660665">
        <w:t xml:space="preserve"> hospitality:</w:t>
      </w:r>
    </w:p>
    <w:tbl>
      <w:tblPr>
        <w:tblStyle w:val="GridTable4"/>
        <w:tblW w:w="0" w:type="auto"/>
        <w:tblLook w:val="06A0" w:firstRow="1" w:lastRow="0" w:firstColumn="1" w:lastColumn="0" w:noHBand="1" w:noVBand="1"/>
      </w:tblPr>
      <w:tblGrid>
        <w:gridCol w:w="1803"/>
        <w:gridCol w:w="1803"/>
        <w:gridCol w:w="1803"/>
        <w:gridCol w:w="1803"/>
        <w:gridCol w:w="1804"/>
      </w:tblGrid>
      <w:tr w:rsidR="004A575D" w:rsidRPr="00660665" w14:paraId="32E84055" w14:textId="77777777" w:rsidTr="007E1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4422AEBA" w14:textId="77777777" w:rsidR="004A575D" w:rsidRPr="00660665" w:rsidRDefault="004A575D" w:rsidP="000E4D6B">
            <w:pPr>
              <w:rPr>
                <w:b w:val="0"/>
                <w:bCs w:val="0"/>
                <w:color w:val="auto"/>
              </w:rPr>
            </w:pPr>
            <w:r w:rsidRPr="00660665">
              <w:rPr>
                <w:b w:val="0"/>
                <w:bCs w:val="0"/>
                <w:color w:val="auto"/>
              </w:rPr>
              <w:t>Origin</w:t>
            </w:r>
          </w:p>
        </w:tc>
        <w:tc>
          <w:tcPr>
            <w:tcW w:w="1803" w:type="dxa"/>
          </w:tcPr>
          <w:p w14:paraId="0195E6A6"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Visitors</w:t>
            </w:r>
          </w:p>
        </w:tc>
        <w:tc>
          <w:tcPr>
            <w:tcW w:w="1803" w:type="dxa"/>
          </w:tcPr>
          <w:p w14:paraId="6EBE0FF2"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Average length of stay (days)</w:t>
            </w:r>
          </w:p>
        </w:tc>
        <w:tc>
          <w:tcPr>
            <w:tcW w:w="1803" w:type="dxa"/>
          </w:tcPr>
          <w:p w14:paraId="0C76A61D"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Average daily expenditure ($)</w:t>
            </w:r>
          </w:p>
        </w:tc>
        <w:tc>
          <w:tcPr>
            <w:tcW w:w="1804" w:type="dxa"/>
          </w:tcPr>
          <w:p w14:paraId="3ECF5477"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Total direct expenditure $’000)</w:t>
            </w:r>
          </w:p>
        </w:tc>
      </w:tr>
      <w:tr w:rsidR="004A575D" w:rsidRPr="00660665" w14:paraId="35FACA1B" w14:textId="77777777" w:rsidTr="007E1132">
        <w:tc>
          <w:tcPr>
            <w:cnfStyle w:val="001000000000" w:firstRow="0" w:lastRow="0" w:firstColumn="1" w:lastColumn="0" w:oddVBand="0" w:evenVBand="0" w:oddHBand="0" w:evenHBand="0" w:firstRowFirstColumn="0" w:firstRowLastColumn="0" w:lastRowFirstColumn="0" w:lastRowLastColumn="0"/>
            <w:tcW w:w="1803" w:type="dxa"/>
          </w:tcPr>
          <w:p w14:paraId="12F8D453" w14:textId="77777777" w:rsidR="004A575D" w:rsidRPr="00660665" w:rsidRDefault="004A575D" w:rsidP="000E4D6B">
            <w:pPr>
              <w:rPr>
                <w:b w:val="0"/>
                <w:bCs w:val="0"/>
              </w:rPr>
            </w:pPr>
            <w:r w:rsidRPr="00660665">
              <w:rPr>
                <w:b w:val="0"/>
                <w:bCs w:val="0"/>
              </w:rPr>
              <w:t>Interstate</w:t>
            </w:r>
          </w:p>
        </w:tc>
        <w:tc>
          <w:tcPr>
            <w:tcW w:w="1803" w:type="dxa"/>
          </w:tcPr>
          <w:p w14:paraId="6EF626A7"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4,049</w:t>
            </w:r>
          </w:p>
        </w:tc>
        <w:tc>
          <w:tcPr>
            <w:tcW w:w="1803" w:type="dxa"/>
          </w:tcPr>
          <w:p w14:paraId="7435BED7"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3.8</w:t>
            </w:r>
          </w:p>
        </w:tc>
        <w:tc>
          <w:tcPr>
            <w:tcW w:w="1803" w:type="dxa"/>
          </w:tcPr>
          <w:p w14:paraId="4CE726C8"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 xml:space="preserve">$364 </w:t>
            </w:r>
          </w:p>
        </w:tc>
        <w:tc>
          <w:tcPr>
            <w:tcW w:w="1804" w:type="dxa"/>
          </w:tcPr>
          <w:p w14:paraId="5AC7970E"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 xml:space="preserve">$5,567 </w:t>
            </w:r>
          </w:p>
        </w:tc>
      </w:tr>
      <w:tr w:rsidR="004A575D" w:rsidRPr="00660665" w14:paraId="123923ED" w14:textId="77777777" w:rsidTr="007E1132">
        <w:tc>
          <w:tcPr>
            <w:cnfStyle w:val="001000000000" w:firstRow="0" w:lastRow="0" w:firstColumn="1" w:lastColumn="0" w:oddVBand="0" w:evenVBand="0" w:oddHBand="0" w:evenHBand="0" w:firstRowFirstColumn="0" w:firstRowLastColumn="0" w:lastRowFirstColumn="0" w:lastRowLastColumn="0"/>
            <w:tcW w:w="1803" w:type="dxa"/>
          </w:tcPr>
          <w:p w14:paraId="7128355D" w14:textId="77777777" w:rsidR="004A575D" w:rsidRPr="00660665" w:rsidRDefault="004A575D" w:rsidP="000E4D6B">
            <w:pPr>
              <w:rPr>
                <w:b w:val="0"/>
                <w:bCs w:val="0"/>
              </w:rPr>
            </w:pPr>
            <w:r w:rsidRPr="00660665">
              <w:rPr>
                <w:b w:val="0"/>
                <w:bCs w:val="0"/>
              </w:rPr>
              <w:t>International</w:t>
            </w:r>
          </w:p>
        </w:tc>
        <w:tc>
          <w:tcPr>
            <w:tcW w:w="1803" w:type="dxa"/>
          </w:tcPr>
          <w:p w14:paraId="2E941C89"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 xml:space="preserve">1,149 </w:t>
            </w:r>
          </w:p>
        </w:tc>
        <w:tc>
          <w:tcPr>
            <w:tcW w:w="1803" w:type="dxa"/>
          </w:tcPr>
          <w:p w14:paraId="03176F0B"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5.0</w:t>
            </w:r>
          </w:p>
        </w:tc>
        <w:tc>
          <w:tcPr>
            <w:tcW w:w="1803" w:type="dxa"/>
          </w:tcPr>
          <w:p w14:paraId="350BA01C"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 xml:space="preserve">$277 </w:t>
            </w:r>
          </w:p>
        </w:tc>
        <w:tc>
          <w:tcPr>
            <w:tcW w:w="1804" w:type="dxa"/>
          </w:tcPr>
          <w:p w14:paraId="1A0A24F9"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$1,589</w:t>
            </w:r>
          </w:p>
        </w:tc>
      </w:tr>
    </w:tbl>
    <w:p w14:paraId="39481D12" w14:textId="77777777" w:rsidR="007238A3" w:rsidRDefault="007238A3" w:rsidP="004A575D"/>
    <w:p w14:paraId="1782C812" w14:textId="77777777" w:rsidR="007238A3" w:rsidRDefault="007238A3">
      <w:pPr>
        <w:spacing w:line="259" w:lineRule="auto"/>
      </w:pPr>
      <w:r>
        <w:br w:type="page"/>
      </w:r>
    </w:p>
    <w:p w14:paraId="3DA6F908" w14:textId="1E900E56" w:rsidR="004A575D" w:rsidRPr="00660665" w:rsidRDefault="004A575D" w:rsidP="004A575D">
      <w:r w:rsidRPr="00660665">
        <w:lastRenderedPageBreak/>
        <w:t>Media:</w:t>
      </w:r>
    </w:p>
    <w:tbl>
      <w:tblPr>
        <w:tblStyle w:val="GridTable4"/>
        <w:tblW w:w="0" w:type="auto"/>
        <w:tblLook w:val="06A0" w:firstRow="1" w:lastRow="0" w:firstColumn="1" w:lastColumn="0" w:noHBand="1" w:noVBand="1"/>
      </w:tblPr>
      <w:tblGrid>
        <w:gridCol w:w="1803"/>
        <w:gridCol w:w="1803"/>
        <w:gridCol w:w="1803"/>
        <w:gridCol w:w="1803"/>
        <w:gridCol w:w="1804"/>
      </w:tblGrid>
      <w:tr w:rsidR="004A575D" w:rsidRPr="00660665" w14:paraId="69D7ED2A" w14:textId="77777777" w:rsidTr="007E1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49AC8BB6" w14:textId="77777777" w:rsidR="004A575D" w:rsidRPr="00660665" w:rsidRDefault="004A575D" w:rsidP="000E4D6B">
            <w:pPr>
              <w:rPr>
                <w:b w:val="0"/>
                <w:bCs w:val="0"/>
                <w:color w:val="auto"/>
              </w:rPr>
            </w:pPr>
            <w:r w:rsidRPr="00660665">
              <w:rPr>
                <w:b w:val="0"/>
                <w:bCs w:val="0"/>
                <w:color w:val="auto"/>
              </w:rPr>
              <w:t>Origin</w:t>
            </w:r>
          </w:p>
        </w:tc>
        <w:tc>
          <w:tcPr>
            <w:tcW w:w="1803" w:type="dxa"/>
          </w:tcPr>
          <w:p w14:paraId="7B789CDB"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Visitors</w:t>
            </w:r>
          </w:p>
        </w:tc>
        <w:tc>
          <w:tcPr>
            <w:tcW w:w="1803" w:type="dxa"/>
          </w:tcPr>
          <w:p w14:paraId="5D26724C"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Average length of stay (days)</w:t>
            </w:r>
          </w:p>
        </w:tc>
        <w:tc>
          <w:tcPr>
            <w:tcW w:w="1803" w:type="dxa"/>
          </w:tcPr>
          <w:p w14:paraId="26FBA773"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Average daily expenditure ($)</w:t>
            </w:r>
          </w:p>
        </w:tc>
        <w:tc>
          <w:tcPr>
            <w:tcW w:w="1804" w:type="dxa"/>
          </w:tcPr>
          <w:p w14:paraId="1F53B874"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Total direct expenditure $’000)</w:t>
            </w:r>
          </w:p>
        </w:tc>
      </w:tr>
      <w:tr w:rsidR="004A575D" w:rsidRPr="00660665" w14:paraId="6B931BBF" w14:textId="77777777" w:rsidTr="007E1132">
        <w:tc>
          <w:tcPr>
            <w:cnfStyle w:val="001000000000" w:firstRow="0" w:lastRow="0" w:firstColumn="1" w:lastColumn="0" w:oddVBand="0" w:evenVBand="0" w:oddHBand="0" w:evenHBand="0" w:firstRowFirstColumn="0" w:firstRowLastColumn="0" w:lastRowFirstColumn="0" w:lastRowLastColumn="0"/>
            <w:tcW w:w="1803" w:type="dxa"/>
          </w:tcPr>
          <w:p w14:paraId="1BB258D9" w14:textId="77777777" w:rsidR="004A575D" w:rsidRPr="00660665" w:rsidRDefault="004A575D" w:rsidP="000E4D6B">
            <w:pPr>
              <w:rPr>
                <w:b w:val="0"/>
                <w:bCs w:val="0"/>
              </w:rPr>
            </w:pPr>
            <w:r w:rsidRPr="00660665">
              <w:rPr>
                <w:b w:val="0"/>
                <w:bCs w:val="0"/>
              </w:rPr>
              <w:t>Interstate</w:t>
            </w:r>
          </w:p>
        </w:tc>
        <w:tc>
          <w:tcPr>
            <w:tcW w:w="1803" w:type="dxa"/>
          </w:tcPr>
          <w:p w14:paraId="24074896"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40</w:t>
            </w:r>
          </w:p>
        </w:tc>
        <w:tc>
          <w:tcPr>
            <w:tcW w:w="1803" w:type="dxa"/>
          </w:tcPr>
          <w:p w14:paraId="46786E78"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3.5</w:t>
            </w:r>
          </w:p>
        </w:tc>
        <w:tc>
          <w:tcPr>
            <w:tcW w:w="1803" w:type="dxa"/>
          </w:tcPr>
          <w:p w14:paraId="1532D27B"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$289</w:t>
            </w:r>
          </w:p>
        </w:tc>
        <w:tc>
          <w:tcPr>
            <w:tcW w:w="1804" w:type="dxa"/>
          </w:tcPr>
          <w:p w14:paraId="59C166D7"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$40</w:t>
            </w:r>
          </w:p>
        </w:tc>
      </w:tr>
      <w:tr w:rsidR="004A575D" w:rsidRPr="00660665" w14:paraId="48976CF7" w14:textId="77777777" w:rsidTr="007E1132">
        <w:tc>
          <w:tcPr>
            <w:cnfStyle w:val="001000000000" w:firstRow="0" w:lastRow="0" w:firstColumn="1" w:lastColumn="0" w:oddVBand="0" w:evenVBand="0" w:oddHBand="0" w:evenHBand="0" w:firstRowFirstColumn="0" w:firstRowLastColumn="0" w:lastRowFirstColumn="0" w:lastRowLastColumn="0"/>
            <w:tcW w:w="1803" w:type="dxa"/>
          </w:tcPr>
          <w:p w14:paraId="059C5FD5" w14:textId="77777777" w:rsidR="004A575D" w:rsidRPr="00660665" w:rsidRDefault="004A575D" w:rsidP="000E4D6B">
            <w:pPr>
              <w:rPr>
                <w:b w:val="0"/>
                <w:bCs w:val="0"/>
              </w:rPr>
            </w:pPr>
            <w:r w:rsidRPr="00660665">
              <w:rPr>
                <w:b w:val="0"/>
                <w:bCs w:val="0"/>
              </w:rPr>
              <w:t>International</w:t>
            </w:r>
          </w:p>
        </w:tc>
        <w:tc>
          <w:tcPr>
            <w:tcW w:w="1803" w:type="dxa"/>
          </w:tcPr>
          <w:p w14:paraId="5B152227"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500</w:t>
            </w:r>
          </w:p>
        </w:tc>
        <w:tc>
          <w:tcPr>
            <w:tcW w:w="1803" w:type="dxa"/>
          </w:tcPr>
          <w:p w14:paraId="54CC1FB6"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6.0</w:t>
            </w:r>
          </w:p>
        </w:tc>
        <w:tc>
          <w:tcPr>
            <w:tcW w:w="1803" w:type="dxa"/>
          </w:tcPr>
          <w:p w14:paraId="35E97863"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$220</w:t>
            </w:r>
          </w:p>
        </w:tc>
        <w:tc>
          <w:tcPr>
            <w:tcW w:w="1804" w:type="dxa"/>
          </w:tcPr>
          <w:p w14:paraId="58BC3DB0"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$659</w:t>
            </w:r>
          </w:p>
        </w:tc>
      </w:tr>
    </w:tbl>
    <w:p w14:paraId="743C2C60" w14:textId="77777777" w:rsidR="004A575D" w:rsidRPr="00660665" w:rsidRDefault="004A575D" w:rsidP="004A575D">
      <w:pPr>
        <w:spacing w:after="0"/>
      </w:pPr>
    </w:p>
    <w:p w14:paraId="437F4740" w14:textId="77777777" w:rsidR="004A575D" w:rsidRPr="00660665" w:rsidRDefault="004A575D" w:rsidP="004A575D">
      <w:pPr>
        <w:spacing w:after="120"/>
      </w:pPr>
      <w:r w:rsidRPr="00660665">
        <w:t>Teams &amp; Officials: Motorsport officials</w:t>
      </w:r>
    </w:p>
    <w:tbl>
      <w:tblPr>
        <w:tblStyle w:val="GridTable4"/>
        <w:tblW w:w="0" w:type="auto"/>
        <w:tblLook w:val="06A0" w:firstRow="1" w:lastRow="0" w:firstColumn="1" w:lastColumn="0" w:noHBand="1" w:noVBand="1"/>
      </w:tblPr>
      <w:tblGrid>
        <w:gridCol w:w="1803"/>
        <w:gridCol w:w="1803"/>
        <w:gridCol w:w="1803"/>
        <w:gridCol w:w="1803"/>
        <w:gridCol w:w="1804"/>
      </w:tblGrid>
      <w:tr w:rsidR="004A575D" w:rsidRPr="00660665" w14:paraId="7A8722FC" w14:textId="77777777" w:rsidTr="007E1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04DD3D24" w14:textId="77777777" w:rsidR="004A575D" w:rsidRPr="00660665" w:rsidRDefault="004A575D" w:rsidP="000E4D6B">
            <w:pPr>
              <w:rPr>
                <w:b w:val="0"/>
                <w:bCs w:val="0"/>
                <w:color w:val="auto"/>
              </w:rPr>
            </w:pPr>
            <w:r w:rsidRPr="00660665">
              <w:rPr>
                <w:b w:val="0"/>
                <w:bCs w:val="0"/>
                <w:color w:val="auto"/>
              </w:rPr>
              <w:t>Origin</w:t>
            </w:r>
          </w:p>
        </w:tc>
        <w:tc>
          <w:tcPr>
            <w:tcW w:w="1803" w:type="dxa"/>
          </w:tcPr>
          <w:p w14:paraId="367F4E38"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Visitors</w:t>
            </w:r>
          </w:p>
        </w:tc>
        <w:tc>
          <w:tcPr>
            <w:tcW w:w="1803" w:type="dxa"/>
          </w:tcPr>
          <w:p w14:paraId="4CE88067"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Average length of stay (days)</w:t>
            </w:r>
          </w:p>
        </w:tc>
        <w:tc>
          <w:tcPr>
            <w:tcW w:w="1803" w:type="dxa"/>
          </w:tcPr>
          <w:p w14:paraId="0E92C2E4"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Average daily expenditure ($)</w:t>
            </w:r>
          </w:p>
        </w:tc>
        <w:tc>
          <w:tcPr>
            <w:tcW w:w="1804" w:type="dxa"/>
          </w:tcPr>
          <w:p w14:paraId="2F4B65A4"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Total direct expenditure $’000)</w:t>
            </w:r>
          </w:p>
        </w:tc>
      </w:tr>
      <w:tr w:rsidR="004A575D" w:rsidRPr="00660665" w14:paraId="57E5917C" w14:textId="77777777" w:rsidTr="007E1132">
        <w:tc>
          <w:tcPr>
            <w:cnfStyle w:val="001000000000" w:firstRow="0" w:lastRow="0" w:firstColumn="1" w:lastColumn="0" w:oddVBand="0" w:evenVBand="0" w:oddHBand="0" w:evenHBand="0" w:firstRowFirstColumn="0" w:firstRowLastColumn="0" w:lastRowFirstColumn="0" w:lastRowLastColumn="0"/>
            <w:tcW w:w="1803" w:type="dxa"/>
          </w:tcPr>
          <w:p w14:paraId="2D5618A8" w14:textId="77777777" w:rsidR="004A575D" w:rsidRPr="00660665" w:rsidRDefault="004A575D" w:rsidP="000E4D6B">
            <w:pPr>
              <w:rPr>
                <w:b w:val="0"/>
                <w:bCs w:val="0"/>
              </w:rPr>
            </w:pPr>
            <w:r w:rsidRPr="00660665">
              <w:rPr>
                <w:b w:val="0"/>
                <w:bCs w:val="0"/>
              </w:rPr>
              <w:t>Interstate</w:t>
            </w:r>
          </w:p>
        </w:tc>
        <w:tc>
          <w:tcPr>
            <w:tcW w:w="1803" w:type="dxa"/>
          </w:tcPr>
          <w:p w14:paraId="5AFCA94A"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223</w:t>
            </w:r>
          </w:p>
        </w:tc>
        <w:tc>
          <w:tcPr>
            <w:tcW w:w="1803" w:type="dxa"/>
          </w:tcPr>
          <w:p w14:paraId="29F767EE"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7.0</w:t>
            </w:r>
          </w:p>
        </w:tc>
        <w:tc>
          <w:tcPr>
            <w:tcW w:w="1803" w:type="dxa"/>
          </w:tcPr>
          <w:p w14:paraId="135AEC75"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$289</w:t>
            </w:r>
          </w:p>
        </w:tc>
        <w:tc>
          <w:tcPr>
            <w:tcW w:w="1804" w:type="dxa"/>
          </w:tcPr>
          <w:p w14:paraId="222DF390"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t>$452</w:t>
            </w:r>
          </w:p>
        </w:tc>
      </w:tr>
      <w:tr w:rsidR="004A575D" w:rsidRPr="00660665" w14:paraId="3B1F1F89" w14:textId="77777777" w:rsidTr="007E1132">
        <w:tc>
          <w:tcPr>
            <w:cnfStyle w:val="001000000000" w:firstRow="0" w:lastRow="0" w:firstColumn="1" w:lastColumn="0" w:oddVBand="0" w:evenVBand="0" w:oddHBand="0" w:evenHBand="0" w:firstRowFirstColumn="0" w:firstRowLastColumn="0" w:lastRowFirstColumn="0" w:lastRowLastColumn="0"/>
            <w:tcW w:w="1803" w:type="dxa"/>
          </w:tcPr>
          <w:p w14:paraId="1D0B2867" w14:textId="77777777" w:rsidR="004A575D" w:rsidRPr="00660665" w:rsidRDefault="004A575D" w:rsidP="000E4D6B">
            <w:pPr>
              <w:rPr>
                <w:b w:val="0"/>
                <w:bCs w:val="0"/>
              </w:rPr>
            </w:pPr>
            <w:r w:rsidRPr="00660665">
              <w:rPr>
                <w:b w:val="0"/>
                <w:bCs w:val="0"/>
              </w:rPr>
              <w:t>International</w:t>
            </w:r>
          </w:p>
        </w:tc>
        <w:tc>
          <w:tcPr>
            <w:tcW w:w="1803" w:type="dxa"/>
          </w:tcPr>
          <w:p w14:paraId="5019AF8A"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0</w:t>
            </w:r>
          </w:p>
        </w:tc>
        <w:tc>
          <w:tcPr>
            <w:tcW w:w="1803" w:type="dxa"/>
          </w:tcPr>
          <w:p w14:paraId="04701CD9"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p>
        </w:tc>
        <w:tc>
          <w:tcPr>
            <w:tcW w:w="1803" w:type="dxa"/>
          </w:tcPr>
          <w:p w14:paraId="5C0F70E5"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p>
        </w:tc>
        <w:tc>
          <w:tcPr>
            <w:tcW w:w="1804" w:type="dxa"/>
          </w:tcPr>
          <w:p w14:paraId="576AE6A5"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p>
        </w:tc>
      </w:tr>
    </w:tbl>
    <w:p w14:paraId="34098B35" w14:textId="77777777" w:rsidR="004A575D" w:rsidRPr="00660665" w:rsidRDefault="004A575D" w:rsidP="004A575D">
      <w:pPr>
        <w:spacing w:after="0"/>
      </w:pPr>
    </w:p>
    <w:p w14:paraId="6D2E522F" w14:textId="77777777" w:rsidR="004A575D" w:rsidRPr="00660665" w:rsidRDefault="004A575D" w:rsidP="004A575D">
      <w:pPr>
        <w:spacing w:after="120"/>
      </w:pPr>
      <w:r w:rsidRPr="00660665">
        <w:t>Teams &amp; Officials: Other accredited persons</w:t>
      </w:r>
    </w:p>
    <w:tbl>
      <w:tblPr>
        <w:tblStyle w:val="GridTable4"/>
        <w:tblW w:w="0" w:type="auto"/>
        <w:tblLook w:val="06A0" w:firstRow="1" w:lastRow="0" w:firstColumn="1" w:lastColumn="0" w:noHBand="1" w:noVBand="1"/>
      </w:tblPr>
      <w:tblGrid>
        <w:gridCol w:w="1803"/>
        <w:gridCol w:w="1803"/>
        <w:gridCol w:w="1803"/>
        <w:gridCol w:w="1803"/>
        <w:gridCol w:w="1804"/>
      </w:tblGrid>
      <w:tr w:rsidR="004A575D" w:rsidRPr="00660665" w14:paraId="0BBE503A" w14:textId="77777777" w:rsidTr="007E1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2513BE6D" w14:textId="77777777" w:rsidR="004A575D" w:rsidRPr="00660665" w:rsidRDefault="004A575D" w:rsidP="000E4D6B">
            <w:pPr>
              <w:rPr>
                <w:b w:val="0"/>
                <w:bCs w:val="0"/>
                <w:color w:val="auto"/>
              </w:rPr>
            </w:pPr>
            <w:r w:rsidRPr="00660665">
              <w:rPr>
                <w:b w:val="0"/>
                <w:bCs w:val="0"/>
                <w:color w:val="auto"/>
              </w:rPr>
              <w:t>Origin</w:t>
            </w:r>
          </w:p>
        </w:tc>
        <w:tc>
          <w:tcPr>
            <w:tcW w:w="1803" w:type="dxa"/>
          </w:tcPr>
          <w:p w14:paraId="017D1E10"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Visitors</w:t>
            </w:r>
          </w:p>
        </w:tc>
        <w:tc>
          <w:tcPr>
            <w:tcW w:w="1803" w:type="dxa"/>
          </w:tcPr>
          <w:p w14:paraId="37F703B6"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Average length of stay (days)</w:t>
            </w:r>
          </w:p>
        </w:tc>
        <w:tc>
          <w:tcPr>
            <w:tcW w:w="1803" w:type="dxa"/>
          </w:tcPr>
          <w:p w14:paraId="1A5623EE"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Average daily expenditure ($)</w:t>
            </w:r>
          </w:p>
        </w:tc>
        <w:tc>
          <w:tcPr>
            <w:tcW w:w="1804" w:type="dxa"/>
          </w:tcPr>
          <w:p w14:paraId="75AD12FC"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Total direct expenditure $’000)</w:t>
            </w:r>
          </w:p>
        </w:tc>
      </w:tr>
      <w:tr w:rsidR="004A575D" w:rsidRPr="00660665" w14:paraId="33016518" w14:textId="77777777" w:rsidTr="007E1132">
        <w:tc>
          <w:tcPr>
            <w:cnfStyle w:val="001000000000" w:firstRow="0" w:lastRow="0" w:firstColumn="1" w:lastColumn="0" w:oddVBand="0" w:evenVBand="0" w:oddHBand="0" w:evenHBand="0" w:firstRowFirstColumn="0" w:firstRowLastColumn="0" w:lastRowFirstColumn="0" w:lastRowLastColumn="0"/>
            <w:tcW w:w="1803" w:type="dxa"/>
          </w:tcPr>
          <w:p w14:paraId="1F186C28" w14:textId="77777777" w:rsidR="004A575D" w:rsidRPr="00660665" w:rsidRDefault="004A575D" w:rsidP="000E4D6B">
            <w:pPr>
              <w:rPr>
                <w:b w:val="0"/>
                <w:bCs w:val="0"/>
              </w:rPr>
            </w:pPr>
            <w:r w:rsidRPr="00660665">
              <w:rPr>
                <w:b w:val="0"/>
                <w:bCs w:val="0"/>
              </w:rPr>
              <w:t>Interstate</w:t>
            </w:r>
          </w:p>
        </w:tc>
        <w:tc>
          <w:tcPr>
            <w:tcW w:w="1803" w:type="dxa"/>
          </w:tcPr>
          <w:p w14:paraId="06F9FF05"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1,013</w:t>
            </w:r>
          </w:p>
        </w:tc>
        <w:tc>
          <w:tcPr>
            <w:tcW w:w="1803" w:type="dxa"/>
          </w:tcPr>
          <w:p w14:paraId="3FB9170B"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7.7</w:t>
            </w:r>
          </w:p>
        </w:tc>
        <w:tc>
          <w:tcPr>
            <w:tcW w:w="1803" w:type="dxa"/>
          </w:tcPr>
          <w:p w14:paraId="3AB5CBA0"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$308</w:t>
            </w:r>
          </w:p>
        </w:tc>
        <w:tc>
          <w:tcPr>
            <w:tcW w:w="1804" w:type="dxa"/>
          </w:tcPr>
          <w:p w14:paraId="6B518FAA"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$2,394</w:t>
            </w:r>
          </w:p>
        </w:tc>
      </w:tr>
      <w:tr w:rsidR="004A575D" w:rsidRPr="00660665" w14:paraId="089641DE" w14:textId="77777777" w:rsidTr="007E1132">
        <w:tc>
          <w:tcPr>
            <w:cnfStyle w:val="001000000000" w:firstRow="0" w:lastRow="0" w:firstColumn="1" w:lastColumn="0" w:oddVBand="0" w:evenVBand="0" w:oddHBand="0" w:evenHBand="0" w:firstRowFirstColumn="0" w:firstRowLastColumn="0" w:lastRowFirstColumn="0" w:lastRowLastColumn="0"/>
            <w:tcW w:w="1803" w:type="dxa"/>
          </w:tcPr>
          <w:p w14:paraId="579018C4" w14:textId="77777777" w:rsidR="004A575D" w:rsidRPr="00660665" w:rsidRDefault="004A575D" w:rsidP="000E4D6B">
            <w:pPr>
              <w:rPr>
                <w:b w:val="0"/>
                <w:bCs w:val="0"/>
              </w:rPr>
            </w:pPr>
            <w:r w:rsidRPr="00660665">
              <w:rPr>
                <w:b w:val="0"/>
                <w:bCs w:val="0"/>
              </w:rPr>
              <w:t>International</w:t>
            </w:r>
          </w:p>
        </w:tc>
        <w:tc>
          <w:tcPr>
            <w:tcW w:w="1803" w:type="dxa"/>
          </w:tcPr>
          <w:p w14:paraId="4E13093E"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1,350</w:t>
            </w:r>
          </w:p>
        </w:tc>
        <w:tc>
          <w:tcPr>
            <w:tcW w:w="1803" w:type="dxa"/>
          </w:tcPr>
          <w:p w14:paraId="4B567AE5"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9.5</w:t>
            </w:r>
          </w:p>
        </w:tc>
        <w:tc>
          <w:tcPr>
            <w:tcW w:w="1803" w:type="dxa"/>
          </w:tcPr>
          <w:p w14:paraId="4FB58832"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$252</w:t>
            </w:r>
          </w:p>
        </w:tc>
        <w:tc>
          <w:tcPr>
            <w:tcW w:w="1804" w:type="dxa"/>
          </w:tcPr>
          <w:p w14:paraId="0236BA50"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$3,229</w:t>
            </w:r>
          </w:p>
        </w:tc>
      </w:tr>
    </w:tbl>
    <w:p w14:paraId="07699AFA" w14:textId="77777777" w:rsidR="004A575D" w:rsidRPr="00660665" w:rsidRDefault="004A575D" w:rsidP="004A575D">
      <w:pPr>
        <w:spacing w:after="0"/>
      </w:pPr>
    </w:p>
    <w:p w14:paraId="796B0B33" w14:textId="77777777" w:rsidR="004A575D" w:rsidRPr="00660665" w:rsidRDefault="004A575D" w:rsidP="004A575D">
      <w:pPr>
        <w:spacing w:after="120"/>
      </w:pPr>
      <w:r w:rsidRPr="00660665">
        <w:t>Teams &amp; Officials: F1®, V8 and support event participants</w:t>
      </w:r>
    </w:p>
    <w:tbl>
      <w:tblPr>
        <w:tblStyle w:val="GridTable4"/>
        <w:tblW w:w="0" w:type="auto"/>
        <w:tblLook w:val="06A0" w:firstRow="1" w:lastRow="0" w:firstColumn="1" w:lastColumn="0" w:noHBand="1" w:noVBand="1"/>
      </w:tblPr>
      <w:tblGrid>
        <w:gridCol w:w="1803"/>
        <w:gridCol w:w="1803"/>
        <w:gridCol w:w="1803"/>
        <w:gridCol w:w="1803"/>
        <w:gridCol w:w="1804"/>
      </w:tblGrid>
      <w:tr w:rsidR="004A575D" w:rsidRPr="00660665" w14:paraId="4B59C2B9" w14:textId="77777777" w:rsidTr="007E1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1A99A2C9" w14:textId="77777777" w:rsidR="004A575D" w:rsidRPr="00660665" w:rsidRDefault="004A575D" w:rsidP="000E4D6B">
            <w:pPr>
              <w:rPr>
                <w:b w:val="0"/>
                <w:bCs w:val="0"/>
                <w:color w:val="auto"/>
              </w:rPr>
            </w:pPr>
            <w:r w:rsidRPr="00660665">
              <w:rPr>
                <w:b w:val="0"/>
                <w:bCs w:val="0"/>
                <w:color w:val="auto"/>
              </w:rPr>
              <w:t>Origin</w:t>
            </w:r>
          </w:p>
        </w:tc>
        <w:tc>
          <w:tcPr>
            <w:tcW w:w="1803" w:type="dxa"/>
          </w:tcPr>
          <w:p w14:paraId="1306C453"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Visitors</w:t>
            </w:r>
          </w:p>
        </w:tc>
        <w:tc>
          <w:tcPr>
            <w:tcW w:w="1803" w:type="dxa"/>
          </w:tcPr>
          <w:p w14:paraId="05A66CB0"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Average length of stay (days)</w:t>
            </w:r>
          </w:p>
        </w:tc>
        <w:tc>
          <w:tcPr>
            <w:tcW w:w="1803" w:type="dxa"/>
          </w:tcPr>
          <w:p w14:paraId="5CA448D1"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Average daily expenditure ($)</w:t>
            </w:r>
          </w:p>
        </w:tc>
        <w:tc>
          <w:tcPr>
            <w:tcW w:w="1804" w:type="dxa"/>
          </w:tcPr>
          <w:p w14:paraId="258A7290"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Total direct expenditure $’000)</w:t>
            </w:r>
          </w:p>
        </w:tc>
      </w:tr>
      <w:tr w:rsidR="004A575D" w:rsidRPr="00660665" w14:paraId="664D27E1" w14:textId="77777777" w:rsidTr="007E1132">
        <w:tc>
          <w:tcPr>
            <w:cnfStyle w:val="001000000000" w:firstRow="0" w:lastRow="0" w:firstColumn="1" w:lastColumn="0" w:oddVBand="0" w:evenVBand="0" w:oddHBand="0" w:evenHBand="0" w:firstRowFirstColumn="0" w:firstRowLastColumn="0" w:lastRowFirstColumn="0" w:lastRowLastColumn="0"/>
            <w:tcW w:w="1803" w:type="dxa"/>
          </w:tcPr>
          <w:p w14:paraId="4D9006D4" w14:textId="77777777" w:rsidR="004A575D" w:rsidRPr="00660665" w:rsidRDefault="004A575D" w:rsidP="000E4D6B">
            <w:pPr>
              <w:rPr>
                <w:b w:val="0"/>
                <w:bCs w:val="0"/>
              </w:rPr>
            </w:pPr>
            <w:r w:rsidRPr="00660665">
              <w:rPr>
                <w:b w:val="0"/>
                <w:bCs w:val="0"/>
              </w:rPr>
              <w:t>Interstate</w:t>
            </w:r>
          </w:p>
        </w:tc>
        <w:tc>
          <w:tcPr>
            <w:tcW w:w="1803" w:type="dxa"/>
          </w:tcPr>
          <w:p w14:paraId="2962C1C4"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381</w:t>
            </w:r>
          </w:p>
        </w:tc>
        <w:tc>
          <w:tcPr>
            <w:tcW w:w="1803" w:type="dxa"/>
          </w:tcPr>
          <w:p w14:paraId="4CB0525F"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6 –6.5</w:t>
            </w:r>
          </w:p>
        </w:tc>
        <w:tc>
          <w:tcPr>
            <w:tcW w:w="1803" w:type="dxa"/>
          </w:tcPr>
          <w:p w14:paraId="2354DC02"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$70 –</w:t>
            </w:r>
            <w:r>
              <w:t xml:space="preserve"> </w:t>
            </w:r>
            <w:r w:rsidRPr="00660665">
              <w:t>$172</w:t>
            </w:r>
          </w:p>
        </w:tc>
        <w:tc>
          <w:tcPr>
            <w:tcW w:w="1804" w:type="dxa"/>
          </w:tcPr>
          <w:p w14:paraId="0988F5DF"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$271</w:t>
            </w:r>
          </w:p>
        </w:tc>
      </w:tr>
      <w:tr w:rsidR="004A575D" w:rsidRPr="00660665" w14:paraId="23F5BCE7" w14:textId="77777777" w:rsidTr="007E1132">
        <w:tc>
          <w:tcPr>
            <w:cnfStyle w:val="001000000000" w:firstRow="0" w:lastRow="0" w:firstColumn="1" w:lastColumn="0" w:oddVBand="0" w:evenVBand="0" w:oddHBand="0" w:evenHBand="0" w:firstRowFirstColumn="0" w:firstRowLastColumn="0" w:lastRowFirstColumn="0" w:lastRowLastColumn="0"/>
            <w:tcW w:w="1803" w:type="dxa"/>
          </w:tcPr>
          <w:p w14:paraId="38FFC199" w14:textId="77777777" w:rsidR="004A575D" w:rsidRPr="00660665" w:rsidRDefault="004A575D" w:rsidP="000E4D6B">
            <w:pPr>
              <w:rPr>
                <w:b w:val="0"/>
                <w:bCs w:val="0"/>
              </w:rPr>
            </w:pPr>
            <w:r w:rsidRPr="00660665">
              <w:rPr>
                <w:b w:val="0"/>
                <w:bCs w:val="0"/>
              </w:rPr>
              <w:t>International</w:t>
            </w:r>
          </w:p>
        </w:tc>
        <w:tc>
          <w:tcPr>
            <w:tcW w:w="1803" w:type="dxa"/>
          </w:tcPr>
          <w:p w14:paraId="46B2E2C6"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2,214</w:t>
            </w:r>
          </w:p>
        </w:tc>
        <w:tc>
          <w:tcPr>
            <w:tcW w:w="1803" w:type="dxa"/>
          </w:tcPr>
          <w:p w14:paraId="57B297C0"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6.5</w:t>
            </w:r>
          </w:p>
        </w:tc>
        <w:tc>
          <w:tcPr>
            <w:tcW w:w="1803" w:type="dxa"/>
          </w:tcPr>
          <w:p w14:paraId="79748813"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 xml:space="preserve">$99 </w:t>
            </w:r>
            <w:r>
              <w:t xml:space="preserve">– </w:t>
            </w:r>
            <w:r w:rsidRPr="00660665">
              <w:t>$161</w:t>
            </w:r>
          </w:p>
        </w:tc>
        <w:tc>
          <w:tcPr>
            <w:tcW w:w="1804" w:type="dxa"/>
          </w:tcPr>
          <w:p w14:paraId="06952D41"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rsidRPr="00660665">
              <w:t>$1,507</w:t>
            </w:r>
          </w:p>
        </w:tc>
      </w:tr>
    </w:tbl>
    <w:p w14:paraId="56E16581" w14:textId="77777777" w:rsidR="006A2316" w:rsidRDefault="006A2316" w:rsidP="004A575D"/>
    <w:p w14:paraId="71C3672C" w14:textId="48871F35" w:rsidR="004A575D" w:rsidRPr="00660665" w:rsidRDefault="004A575D" w:rsidP="00D258DB">
      <w:pPr>
        <w:spacing w:before="120"/>
      </w:pPr>
      <w:r w:rsidRPr="00660665">
        <w:t>Teams &amp; Officials: F1®, V8 and support event teams</w:t>
      </w:r>
      <w:r w:rsidR="00674839" w:rsidRPr="00674839">
        <w:rPr>
          <w:vertAlign w:val="superscript"/>
        </w:rPr>
        <w:t>#</w:t>
      </w:r>
      <w:r w:rsidR="00E2410A">
        <w:rPr>
          <w:vertAlign w:val="superscript"/>
        </w:rPr>
        <w:t>#</w:t>
      </w:r>
    </w:p>
    <w:tbl>
      <w:tblPr>
        <w:tblStyle w:val="GridTable4"/>
        <w:tblW w:w="0" w:type="auto"/>
        <w:tblLook w:val="06A0" w:firstRow="1" w:lastRow="0" w:firstColumn="1" w:lastColumn="0" w:noHBand="1" w:noVBand="1"/>
      </w:tblPr>
      <w:tblGrid>
        <w:gridCol w:w="1803"/>
        <w:gridCol w:w="1803"/>
        <w:gridCol w:w="1803"/>
        <w:gridCol w:w="1803"/>
        <w:gridCol w:w="1804"/>
      </w:tblGrid>
      <w:tr w:rsidR="004A575D" w:rsidRPr="00660665" w14:paraId="3C8F98AD" w14:textId="77777777" w:rsidTr="007E1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705A025C" w14:textId="77777777" w:rsidR="004A575D" w:rsidRPr="00660665" w:rsidRDefault="004A575D" w:rsidP="000E4D6B">
            <w:pPr>
              <w:rPr>
                <w:b w:val="0"/>
                <w:bCs w:val="0"/>
                <w:color w:val="auto"/>
              </w:rPr>
            </w:pPr>
            <w:r w:rsidRPr="00660665">
              <w:rPr>
                <w:b w:val="0"/>
                <w:bCs w:val="0"/>
                <w:color w:val="auto"/>
              </w:rPr>
              <w:t>Origin</w:t>
            </w:r>
          </w:p>
        </w:tc>
        <w:tc>
          <w:tcPr>
            <w:tcW w:w="1803" w:type="dxa"/>
          </w:tcPr>
          <w:p w14:paraId="48197B88"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Visitors</w:t>
            </w:r>
          </w:p>
        </w:tc>
        <w:tc>
          <w:tcPr>
            <w:tcW w:w="1803" w:type="dxa"/>
          </w:tcPr>
          <w:p w14:paraId="14A4F0D8"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Average length of stay (days)</w:t>
            </w:r>
          </w:p>
        </w:tc>
        <w:tc>
          <w:tcPr>
            <w:tcW w:w="1803" w:type="dxa"/>
          </w:tcPr>
          <w:p w14:paraId="16B8392E"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Average daily expenditure ($)</w:t>
            </w:r>
          </w:p>
        </w:tc>
        <w:tc>
          <w:tcPr>
            <w:tcW w:w="1804" w:type="dxa"/>
          </w:tcPr>
          <w:p w14:paraId="347661B8" w14:textId="77777777" w:rsidR="004A575D" w:rsidRPr="00660665" w:rsidRDefault="004A575D" w:rsidP="000E4D6B">
            <w:pPr>
              <w:cnfStyle w:val="100000000000" w:firstRow="1" w:lastRow="0" w:firstColumn="0" w:lastColumn="0" w:oddVBand="0" w:evenVBand="0" w:oddHBand="0" w:evenHBand="0" w:firstRowFirstColumn="0" w:firstRowLastColumn="0" w:lastRowFirstColumn="0" w:lastRowLastColumn="0"/>
              <w:rPr>
                <w:b w:val="0"/>
                <w:bCs w:val="0"/>
                <w:color w:val="auto"/>
              </w:rPr>
            </w:pPr>
            <w:r w:rsidRPr="00660665">
              <w:rPr>
                <w:b w:val="0"/>
                <w:bCs w:val="0"/>
                <w:color w:val="auto"/>
              </w:rPr>
              <w:t>Total direct expenditure $’000)</w:t>
            </w:r>
          </w:p>
        </w:tc>
      </w:tr>
      <w:tr w:rsidR="004A575D" w:rsidRPr="00660665" w14:paraId="4ED607C1" w14:textId="77777777" w:rsidTr="007E1132">
        <w:tc>
          <w:tcPr>
            <w:cnfStyle w:val="001000000000" w:firstRow="0" w:lastRow="0" w:firstColumn="1" w:lastColumn="0" w:oddVBand="0" w:evenVBand="0" w:oddHBand="0" w:evenHBand="0" w:firstRowFirstColumn="0" w:firstRowLastColumn="0" w:lastRowFirstColumn="0" w:lastRowLastColumn="0"/>
            <w:tcW w:w="1803" w:type="dxa"/>
          </w:tcPr>
          <w:p w14:paraId="6BE0ED9A" w14:textId="77777777" w:rsidR="004A575D" w:rsidRPr="00660665" w:rsidRDefault="004A575D" w:rsidP="000E4D6B">
            <w:pPr>
              <w:rPr>
                <w:b w:val="0"/>
                <w:bCs w:val="0"/>
              </w:rPr>
            </w:pPr>
            <w:r w:rsidRPr="00660665">
              <w:rPr>
                <w:b w:val="0"/>
                <w:bCs w:val="0"/>
              </w:rPr>
              <w:t>Interstate</w:t>
            </w:r>
          </w:p>
        </w:tc>
        <w:tc>
          <w:tcPr>
            <w:tcW w:w="1803" w:type="dxa"/>
          </w:tcPr>
          <w:p w14:paraId="2F081519"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p>
        </w:tc>
        <w:tc>
          <w:tcPr>
            <w:tcW w:w="1803" w:type="dxa"/>
          </w:tcPr>
          <w:p w14:paraId="641E2623"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p>
        </w:tc>
        <w:tc>
          <w:tcPr>
            <w:tcW w:w="1803" w:type="dxa"/>
          </w:tcPr>
          <w:p w14:paraId="73AA068C"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p>
        </w:tc>
        <w:tc>
          <w:tcPr>
            <w:tcW w:w="1804" w:type="dxa"/>
          </w:tcPr>
          <w:p w14:paraId="5CCA1009"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t>$241</w:t>
            </w:r>
          </w:p>
        </w:tc>
      </w:tr>
      <w:tr w:rsidR="004A575D" w:rsidRPr="00660665" w14:paraId="7DD29F8E" w14:textId="77777777" w:rsidTr="007E1132">
        <w:tc>
          <w:tcPr>
            <w:cnfStyle w:val="001000000000" w:firstRow="0" w:lastRow="0" w:firstColumn="1" w:lastColumn="0" w:oddVBand="0" w:evenVBand="0" w:oddHBand="0" w:evenHBand="0" w:firstRowFirstColumn="0" w:firstRowLastColumn="0" w:lastRowFirstColumn="0" w:lastRowLastColumn="0"/>
            <w:tcW w:w="1803" w:type="dxa"/>
          </w:tcPr>
          <w:p w14:paraId="03F452D4" w14:textId="77777777" w:rsidR="004A575D" w:rsidRPr="00660665" w:rsidRDefault="004A575D" w:rsidP="000E4D6B">
            <w:pPr>
              <w:rPr>
                <w:b w:val="0"/>
                <w:bCs w:val="0"/>
              </w:rPr>
            </w:pPr>
            <w:r w:rsidRPr="00660665">
              <w:rPr>
                <w:b w:val="0"/>
                <w:bCs w:val="0"/>
              </w:rPr>
              <w:t>International</w:t>
            </w:r>
          </w:p>
        </w:tc>
        <w:tc>
          <w:tcPr>
            <w:tcW w:w="1803" w:type="dxa"/>
          </w:tcPr>
          <w:p w14:paraId="4F1A4F14"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p>
        </w:tc>
        <w:tc>
          <w:tcPr>
            <w:tcW w:w="1803" w:type="dxa"/>
          </w:tcPr>
          <w:p w14:paraId="3F5897B8"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p>
        </w:tc>
        <w:tc>
          <w:tcPr>
            <w:tcW w:w="1803" w:type="dxa"/>
          </w:tcPr>
          <w:p w14:paraId="44C1456F"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p>
        </w:tc>
        <w:tc>
          <w:tcPr>
            <w:tcW w:w="1804" w:type="dxa"/>
          </w:tcPr>
          <w:p w14:paraId="45919A20" w14:textId="77777777" w:rsidR="004A575D" w:rsidRPr="00660665" w:rsidRDefault="004A575D" w:rsidP="000E4D6B">
            <w:pPr>
              <w:cnfStyle w:val="000000000000" w:firstRow="0" w:lastRow="0" w:firstColumn="0" w:lastColumn="0" w:oddVBand="0" w:evenVBand="0" w:oddHBand="0" w:evenHBand="0" w:firstRowFirstColumn="0" w:firstRowLastColumn="0" w:lastRowFirstColumn="0" w:lastRowLastColumn="0"/>
            </w:pPr>
            <w:r>
              <w:t>$2,957</w:t>
            </w:r>
          </w:p>
        </w:tc>
      </w:tr>
    </w:tbl>
    <w:p w14:paraId="143FF3F0" w14:textId="77777777" w:rsidR="004A575D" w:rsidRDefault="004A575D" w:rsidP="004A575D">
      <w:pPr>
        <w:spacing w:before="120"/>
      </w:pPr>
      <w:r w:rsidRPr="00660665">
        <w:t>F1®, V8 and support event teams spend is based on total organisation expenditure and is not calculated based on number of visitors, length of stay or average daily expenditure</w:t>
      </w:r>
    </w:p>
    <w:p w14:paraId="747E00A5" w14:textId="6C24FB8F" w:rsidR="004A575D" w:rsidRDefault="004A575D" w:rsidP="004A575D">
      <w:pPr>
        <w:spacing w:before="120"/>
      </w:pPr>
      <w:r>
        <w:t>Total direct visitor expenditure from specific and extended stay visitors $102,134</w:t>
      </w:r>
    </w:p>
    <w:p w14:paraId="20EBBE91" w14:textId="15AFDD81" w:rsidR="004A575D" w:rsidRDefault="00E2410A" w:rsidP="004A575D">
      <w:pPr>
        <w:spacing w:before="120"/>
      </w:pPr>
      <w:r>
        <w:t>*</w:t>
      </w:r>
      <w:r w:rsidR="004A575D" w:rsidRPr="00C257EB">
        <w:t>Based on IO multipliers supplied by REMPLAN</w:t>
      </w:r>
    </w:p>
    <w:p w14:paraId="497187E8" w14:textId="4A6EBF5B" w:rsidR="00AC7944" w:rsidRDefault="00794E72" w:rsidP="00A64857">
      <w:pPr>
        <w:spacing w:before="120"/>
        <w:rPr>
          <w:rFonts w:ascii="EYInterstate" w:hAnsi="EYInterstate" w:cs="EYInterstate"/>
          <w:color w:val="2D2D38"/>
          <w:sz w:val="14"/>
          <w:szCs w:val="14"/>
        </w:rPr>
      </w:pPr>
      <w:r>
        <w:t>**</w:t>
      </w:r>
      <w:r w:rsidR="004A575D" w:rsidRPr="00C257EB">
        <w:t xml:space="preserve">Results may not add exactly due to </w:t>
      </w:r>
      <w:r w:rsidR="00F6709B" w:rsidRPr="00C257EB">
        <w:t>rounding</w:t>
      </w:r>
      <w:r w:rsidR="00AC7944" w:rsidRPr="00AC7944">
        <w:rPr>
          <w:rFonts w:ascii="EYInterstate" w:hAnsi="EYInterstate" w:cs="EYInterstate"/>
          <w:color w:val="2D2D38"/>
          <w:sz w:val="14"/>
          <w:szCs w:val="14"/>
        </w:rPr>
        <w:t xml:space="preserve"> </w:t>
      </w:r>
    </w:p>
    <w:p w14:paraId="55290DF8" w14:textId="68FAA2D1" w:rsidR="002D3526" w:rsidRPr="00C35654" w:rsidRDefault="00794E72" w:rsidP="00C35654">
      <w:pPr>
        <w:spacing w:before="120"/>
      </w:pPr>
      <w:r w:rsidRPr="00794E72">
        <w:rPr>
          <w:vertAlign w:val="superscript"/>
        </w:rPr>
        <w:t>#</w:t>
      </w:r>
      <w:r w:rsidR="00AC7944" w:rsidRPr="00AC7944">
        <w:t xml:space="preserve">Team </w:t>
      </w:r>
      <w:proofErr w:type="gramStart"/>
      <w:r w:rsidR="00AC7944" w:rsidRPr="00AC7944">
        <w:t>spend</w:t>
      </w:r>
      <w:proofErr w:type="gramEnd"/>
      <w:r w:rsidR="00AC7944" w:rsidRPr="00AC7944">
        <w:t xml:space="preserve"> is based on total organisation expenditure and is not calculated based </w:t>
      </w:r>
      <w:r w:rsidR="00A746F7" w:rsidRPr="00AC7944">
        <w:t>on number</w:t>
      </w:r>
      <w:r w:rsidR="00AC7944" w:rsidRPr="00AC7944">
        <w:t xml:space="preserve"> of visitors, length of stay </w:t>
      </w:r>
      <w:r w:rsidR="00A746F7">
        <w:t xml:space="preserve">or </w:t>
      </w:r>
      <w:r w:rsidR="00A746F7" w:rsidRPr="00AC7944">
        <w:t>average</w:t>
      </w:r>
      <w:r w:rsidR="00AC7944" w:rsidRPr="00AC7944">
        <w:t xml:space="preserve"> daily expenditure</w:t>
      </w:r>
      <w:bookmarkStart w:id="44" w:name="_Toc195020148"/>
      <w:bookmarkStart w:id="45" w:name="_Toc195020300"/>
      <w:bookmarkEnd w:id="41"/>
      <w:bookmarkEnd w:id="42"/>
      <w:r w:rsidR="002D3526">
        <w:br w:type="page"/>
      </w:r>
    </w:p>
    <w:p w14:paraId="1970085A" w14:textId="6E83E65A" w:rsidR="00C257EB" w:rsidRPr="005939E3" w:rsidRDefault="00C257EB" w:rsidP="002F7DCF">
      <w:pPr>
        <w:pStyle w:val="Heading1"/>
      </w:pPr>
      <w:bookmarkStart w:id="46" w:name="_Toc199242986"/>
      <w:r w:rsidRPr="00C257EB">
        <w:lastRenderedPageBreak/>
        <w:t>4.</w:t>
      </w:r>
      <w:r>
        <w:t xml:space="preserve"> </w:t>
      </w:r>
      <w:r w:rsidRPr="00C257EB">
        <w:t>Other metrics</w:t>
      </w:r>
      <w:bookmarkEnd w:id="44"/>
      <w:bookmarkEnd w:id="45"/>
      <w:bookmarkEnd w:id="46"/>
    </w:p>
    <w:p w14:paraId="437FC0BC" w14:textId="46D2610E" w:rsidR="00C257EB" w:rsidRDefault="00C257EB" w:rsidP="00C257EB">
      <w:r w:rsidRPr="00C257EB">
        <w:t>The capability and capacity to host a large global event creates a legacy that continues</w:t>
      </w:r>
      <w:r>
        <w:t xml:space="preserve"> </w:t>
      </w:r>
      <w:r w:rsidRPr="00C257EB">
        <w:t>in the years following an event.</w:t>
      </w:r>
    </w:p>
    <w:p w14:paraId="74F57E11" w14:textId="39B1AD5D" w:rsidR="00C257EB" w:rsidRDefault="00C257EB" w:rsidP="00C257EB">
      <w:r w:rsidRPr="00C257EB">
        <w:t>“It was a remarkable weekend, on and off the track, and our viewers were treated to a world-class event and world-class coverage.” –</w:t>
      </w:r>
      <w:r w:rsidR="005939E3">
        <w:t xml:space="preserve"> </w:t>
      </w:r>
      <w:r w:rsidR="009772F3" w:rsidRPr="009772F3">
        <w:t>Network 10, commenting on the 2022 Formula 1® Australian Grand Prix</w:t>
      </w:r>
    </w:p>
    <w:p w14:paraId="301DAD24" w14:textId="77777777" w:rsidR="00C257EB" w:rsidRPr="00C257EB" w:rsidRDefault="00C257EB" w:rsidP="003F5411">
      <w:pPr>
        <w:pStyle w:val="Heading2"/>
      </w:pPr>
      <w:bookmarkStart w:id="47" w:name="_Toc195020149"/>
      <w:bookmarkStart w:id="48" w:name="_Toc195020301"/>
      <w:bookmarkStart w:id="49" w:name="_Toc199242987"/>
      <w:r w:rsidRPr="005939E3">
        <w:t>Additional</w:t>
      </w:r>
      <w:r w:rsidRPr="00C257EB">
        <w:t xml:space="preserve"> Benefits</w:t>
      </w:r>
      <w:bookmarkEnd w:id="47"/>
      <w:bookmarkEnd w:id="48"/>
      <w:bookmarkEnd w:id="49"/>
    </w:p>
    <w:p w14:paraId="7D880448" w14:textId="77777777" w:rsidR="00C257EB" w:rsidRPr="00C257EB" w:rsidRDefault="00C257EB" w:rsidP="00C257EB">
      <w:r w:rsidRPr="00C257EB">
        <w:t xml:space="preserve">The 2022 F1® GP generated </w:t>
      </w:r>
      <w:proofErr w:type="gramStart"/>
      <w:r w:rsidRPr="00C257EB">
        <w:t>a number of</w:t>
      </w:r>
      <w:proofErr w:type="gramEnd"/>
      <w:r w:rsidRPr="00C257EB">
        <w:t xml:space="preserve"> additional benefits that could not be quantified. </w:t>
      </w:r>
    </w:p>
    <w:p w14:paraId="661945ED" w14:textId="5B038AF0" w:rsidR="00C257EB" w:rsidRPr="00EC358B" w:rsidRDefault="00C257EB" w:rsidP="00EC358B">
      <w:pPr>
        <w:pStyle w:val="Heading3"/>
      </w:pPr>
      <w:bookmarkStart w:id="50" w:name="_Toc195020150"/>
      <w:bookmarkStart w:id="51" w:name="_Toc195020302"/>
      <w:bookmarkStart w:id="52" w:name="_Toc199242988"/>
      <w:r w:rsidRPr="00EC358B">
        <w:t>Significant digital engagement</w:t>
      </w:r>
      <w:bookmarkEnd w:id="50"/>
      <w:bookmarkEnd w:id="51"/>
      <w:bookmarkEnd w:id="52"/>
    </w:p>
    <w:p w14:paraId="729C7407" w14:textId="4FF96B8C" w:rsidR="00C257EB" w:rsidRPr="00C257EB" w:rsidRDefault="00C257EB" w:rsidP="00C257EB">
      <w:r w:rsidRPr="00C257EB">
        <w:t>Interest in F1®</w:t>
      </w:r>
      <w:r w:rsidR="00FD09C7">
        <w:t xml:space="preserve"> </w:t>
      </w:r>
      <w:r w:rsidRPr="00C257EB">
        <w:t>both in Australia and around the world has grown significantly in recent years and the increased popularity has the potential to drive further benefits for host cities in future years. The peak free-to-air national audience for the 2022 race reached 886,000.</w:t>
      </w:r>
    </w:p>
    <w:p w14:paraId="771C3610" w14:textId="77777777" w:rsidR="00C257EB" w:rsidRPr="00C257EB" w:rsidRDefault="00C257EB" w:rsidP="00C257EB">
      <w:r w:rsidRPr="00C257EB">
        <w:t>Across all F1®GP global events in 2021, the cumulative TV audience was 1.55 billion, a 4% increase from 2020. Engagement on social and digital platforms also saw exponential growth in 2021:</w:t>
      </w:r>
    </w:p>
    <w:p w14:paraId="1052F808" w14:textId="41CCC247" w:rsidR="00C257EB" w:rsidRPr="00C257EB" w:rsidRDefault="00C257EB" w:rsidP="00FD09C7">
      <w:pPr>
        <w:pStyle w:val="ListParagraph"/>
        <w:numPr>
          <w:ilvl w:val="0"/>
          <w:numId w:val="9"/>
        </w:numPr>
      </w:pPr>
      <w:r w:rsidRPr="00C257EB">
        <w:t xml:space="preserve">Followers across Facebook, Twitter, Instagram, YouTube, </w:t>
      </w:r>
      <w:proofErr w:type="spellStart"/>
      <w:r w:rsidRPr="00C257EB">
        <w:t>Tiktok</w:t>
      </w:r>
      <w:proofErr w:type="spellEnd"/>
      <w:r w:rsidRPr="00C257EB">
        <w:t>, Snapchat, Twitch and Chinese social platforms were up 40% to 49.1 million</w:t>
      </w:r>
    </w:p>
    <w:p w14:paraId="5A01F3E4" w14:textId="6207EC4F" w:rsidR="00C257EB" w:rsidRPr="00C257EB" w:rsidRDefault="00C257EB" w:rsidP="00FD09C7">
      <w:pPr>
        <w:pStyle w:val="ListParagraph"/>
        <w:numPr>
          <w:ilvl w:val="0"/>
          <w:numId w:val="9"/>
        </w:numPr>
      </w:pPr>
      <w:r w:rsidRPr="00C257EB">
        <w:t>Video views were up 50% to 7 billion</w:t>
      </w:r>
    </w:p>
    <w:p w14:paraId="17F65962" w14:textId="59092D6D" w:rsidR="00C257EB" w:rsidRPr="00B4485E" w:rsidRDefault="00C257EB" w:rsidP="00FD09C7">
      <w:pPr>
        <w:pStyle w:val="ListParagraph"/>
        <w:numPr>
          <w:ilvl w:val="0"/>
          <w:numId w:val="9"/>
        </w:numPr>
      </w:pPr>
      <w:r w:rsidRPr="00B4485E">
        <w:t>Total engagement up 74% to 1.5 billion</w:t>
      </w:r>
      <w:r w:rsidR="00B4485E">
        <w:t xml:space="preserve"> </w:t>
      </w:r>
      <w:hyperlink w:anchor="ref0001" w:history="1">
        <w:r w:rsidR="00B4485E" w:rsidRPr="009E3BA4">
          <w:rPr>
            <w:rStyle w:val="Hyperlink"/>
          </w:rPr>
          <w:t>[1]</w:t>
        </w:r>
      </w:hyperlink>
      <w:r w:rsidR="009E3BA4">
        <w:t>.</w:t>
      </w:r>
    </w:p>
    <w:p w14:paraId="1BFDE721" w14:textId="20071FCB" w:rsidR="00C257EB" w:rsidRDefault="00C257EB" w:rsidP="00C257EB">
      <w:r w:rsidRPr="00C257EB">
        <w:t>The increased popularity in F1®</w:t>
      </w:r>
      <w:r w:rsidR="005939E3">
        <w:t xml:space="preserve"> </w:t>
      </w:r>
      <w:r w:rsidRPr="00C257EB">
        <w:t>has coincided with the release of the popular Netflix show ‘Drive to Survive’, a series that debuted in 2019 and follows F1®</w:t>
      </w:r>
      <w:r w:rsidR="005939E3">
        <w:t xml:space="preserve"> </w:t>
      </w:r>
      <w:r w:rsidRPr="00C257EB">
        <w:t>drivers and teams throughout the season. In the United States for example, average viewers per race in 2021 was 928,000, compared to 547,000 in 2018 (70% increase)</w:t>
      </w:r>
      <w:r w:rsidR="00BF1BFA">
        <w:t xml:space="preserve"> </w:t>
      </w:r>
      <w:hyperlink w:anchor="ref0002" w:history="1">
        <w:r w:rsidR="00BF1BFA" w:rsidRPr="009E3BA4">
          <w:rPr>
            <w:rStyle w:val="Hyperlink"/>
          </w:rPr>
          <w:t>[2]</w:t>
        </w:r>
      </w:hyperlink>
      <w:r w:rsidR="009E3BA4">
        <w:t>.</w:t>
      </w:r>
    </w:p>
    <w:p w14:paraId="2407EDE7" w14:textId="77777777" w:rsidR="002036CB" w:rsidRPr="00C257EB" w:rsidRDefault="002036CB" w:rsidP="00F173D8">
      <w:pPr>
        <w:pStyle w:val="Heading4"/>
      </w:pPr>
      <w:r w:rsidRPr="00B311A5">
        <w:t>2022 F1® Australian Grand Prix - National audience</w:t>
      </w:r>
      <w:r>
        <w:t xml:space="preserve"> </w:t>
      </w:r>
    </w:p>
    <w:tbl>
      <w:tblPr>
        <w:tblStyle w:val="TableGrid"/>
        <w:tblW w:w="8998" w:type="dxa"/>
        <w:tblLook w:val="04A0" w:firstRow="1" w:lastRow="0" w:firstColumn="1" w:lastColumn="0" w:noHBand="0" w:noVBand="1"/>
      </w:tblPr>
      <w:tblGrid>
        <w:gridCol w:w="7650"/>
        <w:gridCol w:w="1348"/>
      </w:tblGrid>
      <w:tr w:rsidR="002036CB" w14:paraId="0BE3DB6E" w14:textId="77777777" w:rsidTr="000E4D6B">
        <w:trPr>
          <w:trHeight w:val="339"/>
          <w:tblHeader/>
        </w:trPr>
        <w:tc>
          <w:tcPr>
            <w:tcW w:w="7650" w:type="dxa"/>
          </w:tcPr>
          <w:p w14:paraId="5F3E8C7C" w14:textId="77777777" w:rsidR="002036CB" w:rsidRPr="00FD09C7" w:rsidRDefault="002036CB" w:rsidP="000E4D6B">
            <w:r w:rsidRPr="00FD09C7">
              <w:t>Total free-to-air national audience for the 2022 F1®GP (Australia only)</w:t>
            </w:r>
          </w:p>
        </w:tc>
        <w:tc>
          <w:tcPr>
            <w:tcW w:w="1348" w:type="dxa"/>
          </w:tcPr>
          <w:p w14:paraId="7DA05B84" w14:textId="77777777" w:rsidR="002036CB" w:rsidRPr="00FD09C7" w:rsidRDefault="002036CB" w:rsidP="000E4D6B">
            <w:r w:rsidRPr="00FD09C7">
              <w:t>3.1</w:t>
            </w:r>
            <w:r>
              <w:t xml:space="preserve"> </w:t>
            </w:r>
            <w:r w:rsidRPr="00FD09C7">
              <w:t>million</w:t>
            </w:r>
          </w:p>
        </w:tc>
      </w:tr>
      <w:tr w:rsidR="002036CB" w14:paraId="03AD8AF1" w14:textId="77777777" w:rsidTr="000E4D6B">
        <w:trPr>
          <w:trHeight w:val="559"/>
          <w:tblHeader/>
        </w:trPr>
        <w:tc>
          <w:tcPr>
            <w:tcW w:w="7650" w:type="dxa"/>
          </w:tcPr>
          <w:p w14:paraId="3F65C3D5" w14:textId="77777777" w:rsidR="002036CB" w:rsidRPr="00FD09C7" w:rsidRDefault="002036CB" w:rsidP="000E4D6B">
            <w:r w:rsidRPr="00FD09C7">
              <w:t>Peak free to air national audience for</w:t>
            </w:r>
            <w:r>
              <w:t xml:space="preserve"> </w:t>
            </w:r>
            <w:r w:rsidRPr="00FD09C7">
              <w:t>the 2022 F1 ® GP race (Australia only)</w:t>
            </w:r>
          </w:p>
        </w:tc>
        <w:tc>
          <w:tcPr>
            <w:tcW w:w="1348" w:type="dxa"/>
          </w:tcPr>
          <w:p w14:paraId="3E16970C" w14:textId="77777777" w:rsidR="002036CB" w:rsidRPr="00FD09C7" w:rsidRDefault="002036CB" w:rsidP="000E4D6B">
            <w:r w:rsidRPr="00FD09C7">
              <w:t xml:space="preserve">886,000 </w:t>
            </w:r>
          </w:p>
        </w:tc>
      </w:tr>
      <w:tr w:rsidR="002036CB" w14:paraId="034A53F6" w14:textId="77777777" w:rsidTr="000E4D6B">
        <w:trPr>
          <w:trHeight w:val="553"/>
          <w:tblHeader/>
        </w:trPr>
        <w:tc>
          <w:tcPr>
            <w:tcW w:w="7650" w:type="dxa"/>
          </w:tcPr>
          <w:p w14:paraId="33B80263" w14:textId="77777777" w:rsidR="002036CB" w:rsidRPr="00FD09C7" w:rsidRDefault="002036CB" w:rsidP="000E4D6B">
            <w:r w:rsidRPr="00FD09C7">
              <w:t>Average Pay TV national audience for the 2022 F1®</w:t>
            </w:r>
            <w:r>
              <w:t xml:space="preserve"> </w:t>
            </w:r>
            <w:r w:rsidRPr="00FD09C7">
              <w:t>GP race (Australia only)</w:t>
            </w:r>
          </w:p>
        </w:tc>
        <w:tc>
          <w:tcPr>
            <w:tcW w:w="1348" w:type="dxa"/>
          </w:tcPr>
          <w:p w14:paraId="35406AB4" w14:textId="77777777" w:rsidR="002036CB" w:rsidRPr="00FD09C7" w:rsidRDefault="002036CB" w:rsidP="000E4D6B">
            <w:r w:rsidRPr="00FD09C7">
              <w:t>611,000</w:t>
            </w:r>
          </w:p>
        </w:tc>
      </w:tr>
    </w:tbl>
    <w:p w14:paraId="5583AC4E" w14:textId="77777777" w:rsidR="002036CB" w:rsidRDefault="002036CB" w:rsidP="002036CB">
      <w:r>
        <w:t xml:space="preserve">Source: </w:t>
      </w:r>
      <w:r w:rsidRPr="004A1755">
        <w:t>Australian Grand Prix Corporation Annual Report 2019</w:t>
      </w:r>
    </w:p>
    <w:p w14:paraId="3775FF0F" w14:textId="77777777" w:rsidR="002036CB" w:rsidRPr="009334E8" w:rsidRDefault="002036CB" w:rsidP="002D2F48">
      <w:pPr>
        <w:pStyle w:val="Heading4"/>
      </w:pPr>
      <w:r w:rsidRPr="009334E8">
        <w:t>2019 F1® Australian Grand Prix - Global audience</w:t>
      </w:r>
    </w:p>
    <w:tbl>
      <w:tblPr>
        <w:tblStyle w:val="TableGrid"/>
        <w:tblW w:w="8998" w:type="dxa"/>
        <w:tblLook w:val="04A0" w:firstRow="1" w:lastRow="0" w:firstColumn="1" w:lastColumn="0" w:noHBand="0" w:noVBand="1"/>
      </w:tblPr>
      <w:tblGrid>
        <w:gridCol w:w="7650"/>
        <w:gridCol w:w="1348"/>
      </w:tblGrid>
      <w:tr w:rsidR="002036CB" w:rsidRPr="00A86030" w14:paraId="5884BBA6" w14:textId="77777777" w:rsidTr="000E4D6B">
        <w:trPr>
          <w:trHeight w:val="301"/>
          <w:tblHeader/>
        </w:trPr>
        <w:tc>
          <w:tcPr>
            <w:tcW w:w="7650" w:type="dxa"/>
          </w:tcPr>
          <w:p w14:paraId="44C6C14F" w14:textId="77777777" w:rsidR="002036CB" w:rsidRPr="00A86030" w:rsidRDefault="002036CB" w:rsidP="000E4D6B">
            <w:pPr>
              <w:spacing w:after="160"/>
            </w:pPr>
            <w:r w:rsidRPr="007D361E">
              <w:t>Global cumulative TV audience for the 2019 F1® GP</w:t>
            </w:r>
          </w:p>
        </w:tc>
        <w:tc>
          <w:tcPr>
            <w:tcW w:w="1348" w:type="dxa"/>
          </w:tcPr>
          <w:p w14:paraId="17F2CBE5" w14:textId="77777777" w:rsidR="002036CB" w:rsidRPr="00A86030" w:rsidRDefault="002036CB" w:rsidP="000E4D6B">
            <w:pPr>
              <w:spacing w:after="160"/>
            </w:pPr>
            <w:r w:rsidRPr="004A3DC6">
              <w:t>80 million</w:t>
            </w:r>
          </w:p>
        </w:tc>
      </w:tr>
      <w:tr w:rsidR="002036CB" w:rsidRPr="00A86030" w14:paraId="32AE2065" w14:textId="77777777" w:rsidTr="000E4D6B">
        <w:trPr>
          <w:trHeight w:val="373"/>
          <w:tblHeader/>
        </w:trPr>
        <w:tc>
          <w:tcPr>
            <w:tcW w:w="7650" w:type="dxa"/>
          </w:tcPr>
          <w:p w14:paraId="771FB6A1" w14:textId="77777777" w:rsidR="002036CB" w:rsidRPr="00A86030" w:rsidRDefault="002036CB" w:rsidP="000E4D6B">
            <w:pPr>
              <w:spacing w:after="160"/>
            </w:pPr>
            <w:r w:rsidRPr="007D361E">
              <w:t>Impressions across all AGPC digital channels and social media platforms</w:t>
            </w:r>
          </w:p>
        </w:tc>
        <w:tc>
          <w:tcPr>
            <w:tcW w:w="1348" w:type="dxa"/>
          </w:tcPr>
          <w:p w14:paraId="16AE2AD6" w14:textId="77777777" w:rsidR="002036CB" w:rsidRPr="00A86030" w:rsidRDefault="002036CB" w:rsidP="000E4D6B">
            <w:pPr>
              <w:spacing w:after="160"/>
            </w:pPr>
            <w:r w:rsidRPr="004A3DC6">
              <w:t xml:space="preserve">95 million </w:t>
            </w:r>
          </w:p>
        </w:tc>
      </w:tr>
      <w:tr w:rsidR="002036CB" w:rsidRPr="00A86030" w14:paraId="308863D3" w14:textId="77777777" w:rsidTr="000E4D6B">
        <w:trPr>
          <w:trHeight w:val="513"/>
          <w:tblHeader/>
        </w:trPr>
        <w:tc>
          <w:tcPr>
            <w:tcW w:w="7650" w:type="dxa"/>
          </w:tcPr>
          <w:p w14:paraId="5D1D9590" w14:textId="77777777" w:rsidR="002036CB" w:rsidRPr="00A86030" w:rsidRDefault="002036CB" w:rsidP="000E4D6B">
            <w:pPr>
              <w:spacing w:after="160"/>
            </w:pPr>
            <w:r w:rsidRPr="007D361E">
              <w:t>Increase in video views on global social media channels year-on-year</w:t>
            </w:r>
          </w:p>
        </w:tc>
        <w:tc>
          <w:tcPr>
            <w:tcW w:w="1348" w:type="dxa"/>
          </w:tcPr>
          <w:p w14:paraId="52FF8B1B" w14:textId="77777777" w:rsidR="002036CB" w:rsidRPr="00A86030" w:rsidRDefault="002036CB" w:rsidP="000E4D6B">
            <w:pPr>
              <w:spacing w:after="160"/>
            </w:pPr>
            <w:r w:rsidRPr="004A3DC6">
              <w:t>+70%</w:t>
            </w:r>
          </w:p>
        </w:tc>
      </w:tr>
    </w:tbl>
    <w:p w14:paraId="7B6A6765" w14:textId="77777777" w:rsidR="002036CB" w:rsidRDefault="002036CB" w:rsidP="002036CB">
      <w:r>
        <w:t xml:space="preserve">Source: </w:t>
      </w:r>
      <w:r w:rsidRPr="004A1755">
        <w:t>Australian Grand Prix Corporation Annual Report 2019</w:t>
      </w:r>
    </w:p>
    <w:p w14:paraId="7698A30B" w14:textId="77777777" w:rsidR="00C257EB" w:rsidRPr="00C257EB" w:rsidRDefault="00C257EB" w:rsidP="00EC358B">
      <w:pPr>
        <w:pStyle w:val="Heading3"/>
      </w:pPr>
      <w:bookmarkStart w:id="53" w:name="_Toc195020151"/>
      <w:bookmarkStart w:id="54" w:name="_Toc195020303"/>
      <w:bookmarkStart w:id="55" w:name="_Toc199242989"/>
      <w:r w:rsidRPr="00C257EB">
        <w:t>Attraction of additional major events to Victoria</w:t>
      </w:r>
      <w:bookmarkEnd w:id="53"/>
      <w:bookmarkEnd w:id="54"/>
      <w:bookmarkEnd w:id="55"/>
    </w:p>
    <w:p w14:paraId="2DE7C019" w14:textId="58B3D6D4" w:rsidR="00C257EB" w:rsidRDefault="00C257EB" w:rsidP="00C257EB">
      <w:r w:rsidRPr="00C257EB">
        <w:t>The capability and capacity to host a large global event creates a legacy that continues in the years following an event. Major tourism events can greatly contribute to the overall marketing of a destination by helping to create an image for the city. A significant component of this legacy is the increased tourism generated from the event.</w:t>
      </w:r>
    </w:p>
    <w:p w14:paraId="5D969F55" w14:textId="77777777" w:rsidR="00C257EB" w:rsidRPr="00C257EB" w:rsidRDefault="00C257EB" w:rsidP="00C257EB">
      <w:r w:rsidRPr="00C257EB">
        <w:lastRenderedPageBreak/>
        <w:t>Continual hosting of the F1®GP contributes to Melbourne’s global standing as the ‘sporting capital of the world’.</w:t>
      </w:r>
    </w:p>
    <w:p w14:paraId="766B62EE" w14:textId="77777777" w:rsidR="00C257EB" w:rsidRPr="00C257EB" w:rsidRDefault="00C257EB" w:rsidP="00EC358B">
      <w:pPr>
        <w:pStyle w:val="Heading3"/>
      </w:pPr>
      <w:bookmarkStart w:id="56" w:name="_Toc195020152"/>
      <w:bookmarkStart w:id="57" w:name="_Toc195020304"/>
      <w:bookmarkStart w:id="58" w:name="_Toc199242990"/>
      <w:r w:rsidRPr="00C257EB">
        <w:t>Increased participation in sport</w:t>
      </w:r>
      <w:bookmarkEnd w:id="56"/>
      <w:bookmarkEnd w:id="57"/>
      <w:bookmarkEnd w:id="58"/>
    </w:p>
    <w:p w14:paraId="10BF499D" w14:textId="10710782" w:rsidR="00C257EB" w:rsidRPr="00C257EB" w:rsidRDefault="00C257EB" w:rsidP="00C257EB">
      <w:r w:rsidRPr="00C257EB">
        <w:t>Hosting major sporting events is expected to increase participation in physical exercise, recreation and sports. Increased participation in motorsports at any level can deliver a variety of health and social benefits. Racing, for example, improves coordination, mental and physical strength, confidence and concentration</w:t>
      </w:r>
      <w:hyperlink w:anchor="ref0003" w:history="1">
        <w:r w:rsidR="007F6C2E" w:rsidRPr="009E3BA4">
          <w:rPr>
            <w:rStyle w:val="Hyperlink"/>
          </w:rPr>
          <w:t xml:space="preserve"> [3]</w:t>
        </w:r>
      </w:hyperlink>
      <w:r w:rsidR="009E3BA4">
        <w:t>.</w:t>
      </w:r>
      <w:r w:rsidR="000F5D78">
        <w:t xml:space="preserve"> </w:t>
      </w:r>
    </w:p>
    <w:p w14:paraId="1577B6F9" w14:textId="77777777" w:rsidR="00C257EB" w:rsidRPr="00C257EB" w:rsidRDefault="00C257EB" w:rsidP="00C257EB">
      <w:r w:rsidRPr="00C257EB">
        <w:t xml:space="preserve">At the more advanced level, motor racing is a physically and mentally challenging sport, not only for racing drivers themselves, but also for the teams that play an integral role in the eventual performance of the car. Increasing physical activity via sport is directly linked with reducing the prevalence and severity of obesity and other health issues. </w:t>
      </w:r>
    </w:p>
    <w:p w14:paraId="2CB32502" w14:textId="77777777" w:rsidR="00C257EB" w:rsidRPr="00C257EB" w:rsidRDefault="00C257EB" w:rsidP="00EC358B">
      <w:pPr>
        <w:pStyle w:val="Heading3"/>
      </w:pPr>
      <w:bookmarkStart w:id="59" w:name="_Toc195020153"/>
      <w:bookmarkStart w:id="60" w:name="_Toc195020305"/>
      <w:bookmarkStart w:id="61" w:name="_Toc199242991"/>
      <w:r w:rsidRPr="00C257EB">
        <w:t>Increased trade and investment</w:t>
      </w:r>
      <w:bookmarkEnd w:id="59"/>
      <w:bookmarkEnd w:id="60"/>
      <w:bookmarkEnd w:id="61"/>
    </w:p>
    <w:p w14:paraId="6F9F7A31" w14:textId="77777777" w:rsidR="00C257EB" w:rsidRPr="00C257EB" w:rsidRDefault="00C257EB" w:rsidP="00C257EB">
      <w:r w:rsidRPr="00C257EB">
        <w:t xml:space="preserve">Increased trade and investment </w:t>
      </w:r>
      <w:proofErr w:type="gramStart"/>
      <w:r w:rsidRPr="00C257EB">
        <w:t>occurs</w:t>
      </w:r>
      <w:proofErr w:type="gramEnd"/>
      <w:r w:rsidRPr="00C257EB">
        <w:t xml:space="preserve"> when an event triggers an increase in exports from the region where the event is taking place. As sport is widely recognised as a universal language that can break down cultural barriers, sporting mega-events act as a form of soft diplomacy that can attract additional trade and investment into a country in the years following an event.</w:t>
      </w:r>
    </w:p>
    <w:p w14:paraId="564F220E" w14:textId="541F9A0B" w:rsidR="00C257EB" w:rsidRDefault="00C257EB" w:rsidP="00C257EB">
      <w:r w:rsidRPr="00C257EB">
        <w:t>Hosting the F1®GP event can be a catalyst for businesses migrating to Victoria. Although business migration to Victoria will be based on conducive economic conditions, this benefit considers the business migration triggered as a direct result of the event. The event induces investment because it provides the platform to showcase the attraction of operating a business in the region.</w:t>
      </w:r>
    </w:p>
    <w:p w14:paraId="6861F948" w14:textId="791F333D" w:rsidR="006056A8" w:rsidRPr="005819B1" w:rsidRDefault="005819B1" w:rsidP="006056A8">
      <w:pPr>
        <w:rPr>
          <w:sz w:val="18"/>
          <w:szCs w:val="18"/>
        </w:rPr>
      </w:pPr>
      <w:r>
        <w:rPr>
          <w:sz w:val="18"/>
          <w:szCs w:val="18"/>
        </w:rPr>
        <w:t xml:space="preserve">List of </w:t>
      </w:r>
      <w:r w:rsidR="006056A8" w:rsidRPr="005819B1">
        <w:rPr>
          <w:sz w:val="18"/>
          <w:szCs w:val="18"/>
        </w:rPr>
        <w:t>References</w:t>
      </w:r>
    </w:p>
    <w:p w14:paraId="11A51C85" w14:textId="77777777" w:rsidR="006056A8" w:rsidRPr="005819B1" w:rsidRDefault="006056A8" w:rsidP="006056A8">
      <w:pPr>
        <w:rPr>
          <w:sz w:val="18"/>
          <w:szCs w:val="18"/>
        </w:rPr>
      </w:pPr>
      <w:bookmarkStart w:id="62" w:name="ref0001"/>
      <w:bookmarkEnd w:id="62"/>
      <w:r w:rsidRPr="005819B1">
        <w:rPr>
          <w:sz w:val="18"/>
          <w:szCs w:val="18"/>
        </w:rPr>
        <w:t>[1] Australian Grand Prix Corporation. (2019). Annual Report.</w:t>
      </w:r>
    </w:p>
    <w:p w14:paraId="0643DA3C" w14:textId="77777777" w:rsidR="006056A8" w:rsidRPr="005819B1" w:rsidRDefault="006056A8" w:rsidP="006056A8">
      <w:pPr>
        <w:rPr>
          <w:sz w:val="18"/>
          <w:szCs w:val="18"/>
        </w:rPr>
      </w:pPr>
      <w:bookmarkStart w:id="63" w:name="ref0002"/>
      <w:bookmarkEnd w:id="63"/>
      <w:r w:rsidRPr="005819B1">
        <w:rPr>
          <w:sz w:val="18"/>
          <w:szCs w:val="18"/>
        </w:rPr>
        <w:t>[2] The New York Times. (2021, July 16). ‘Drive to Survive’ on Netflix has Ignited Formula 1.</w:t>
      </w:r>
    </w:p>
    <w:p w14:paraId="1D9CF079" w14:textId="3A350B4F" w:rsidR="006056A8" w:rsidRPr="005819B1" w:rsidRDefault="006056A8" w:rsidP="006056A8">
      <w:pPr>
        <w:rPr>
          <w:sz w:val="18"/>
          <w:szCs w:val="18"/>
        </w:rPr>
      </w:pPr>
      <w:bookmarkStart w:id="64" w:name="ref0003"/>
      <w:bookmarkEnd w:id="64"/>
      <w:r w:rsidRPr="005819B1">
        <w:rPr>
          <w:sz w:val="18"/>
          <w:szCs w:val="18"/>
        </w:rPr>
        <w:t xml:space="preserve">[3] </w:t>
      </w:r>
      <w:r w:rsidR="007F6C2E" w:rsidRPr="005819B1">
        <w:rPr>
          <w:sz w:val="18"/>
          <w:szCs w:val="18"/>
        </w:rPr>
        <w:t xml:space="preserve">Read article: </w:t>
      </w:r>
      <w:hyperlink r:id="rId19" w:history="1">
        <w:r w:rsidR="007F6C2E" w:rsidRPr="005819B1">
          <w:rPr>
            <w:rStyle w:val="Hyperlink"/>
            <w:sz w:val="18"/>
            <w:szCs w:val="18"/>
          </w:rPr>
          <w:t>Essential Reasons Why Racing Can Be Good For You</w:t>
        </w:r>
      </w:hyperlink>
    </w:p>
    <w:p w14:paraId="69047417" w14:textId="125A1558" w:rsidR="00E6376E" w:rsidRDefault="00E6376E" w:rsidP="00FD09C7">
      <w:proofErr w:type="gramStart"/>
      <w:r w:rsidRPr="00E6376E">
        <w:t>The majority of</w:t>
      </w:r>
      <w:proofErr w:type="gramEnd"/>
      <w:r w:rsidRPr="00E6376E">
        <w:t xml:space="preserve"> Victorians surveyed agreed that they are proud to live in a State that hosts the F1®Australian Prix.</w:t>
      </w:r>
    </w:p>
    <w:p w14:paraId="3177B1A2" w14:textId="77777777" w:rsidR="00E6376E" w:rsidRDefault="00E6376E" w:rsidP="00E6376E">
      <w:r w:rsidRPr="00E6376E">
        <w:t xml:space="preserve">In the intercept surveys conducted during the 2022 F1® GP, attendees were asked </w:t>
      </w:r>
      <w:proofErr w:type="gramStart"/>
      <w:r w:rsidRPr="00E6376E">
        <w:t>a number of</w:t>
      </w:r>
      <w:proofErr w:type="gramEnd"/>
      <w:r w:rsidRPr="00E6376E">
        <w:t xml:space="preserve"> sentiment questions pertaining to Victoria hosting the event. The results indicated that:</w:t>
      </w:r>
    </w:p>
    <w:p w14:paraId="703C468D" w14:textId="77777777" w:rsidR="00E6376E" w:rsidRDefault="00E6376E" w:rsidP="00E6376E">
      <w:pPr>
        <w:pStyle w:val="ListParagraph"/>
        <w:numPr>
          <w:ilvl w:val="0"/>
          <w:numId w:val="10"/>
        </w:numPr>
      </w:pPr>
      <w:r w:rsidRPr="00E6376E">
        <w:t xml:space="preserve">97% of people surveyed agreed or strongly agreed that the event helps put Melbourne on the map internationally </w:t>
      </w:r>
    </w:p>
    <w:p w14:paraId="522EDCD9" w14:textId="6ADB5921" w:rsidR="00E6376E" w:rsidRDefault="00E6376E" w:rsidP="00E6376E">
      <w:pPr>
        <w:pStyle w:val="ListParagraph"/>
        <w:numPr>
          <w:ilvl w:val="0"/>
          <w:numId w:val="10"/>
        </w:numPr>
      </w:pPr>
      <w:r w:rsidRPr="00E6376E">
        <w:t>96% agreed or strongly agreed that they, as a Victorian, value the opportunity to see the event without having to travel interstate</w:t>
      </w:r>
      <w:r>
        <w:t xml:space="preserve"> </w:t>
      </w:r>
      <w:r w:rsidRPr="00E6376E">
        <w:t>or overseas</w:t>
      </w:r>
    </w:p>
    <w:p w14:paraId="01FF462F" w14:textId="77777777" w:rsidR="00E6376E" w:rsidRDefault="00E6376E" w:rsidP="00E6376E">
      <w:pPr>
        <w:pStyle w:val="ListParagraph"/>
        <w:numPr>
          <w:ilvl w:val="0"/>
          <w:numId w:val="10"/>
        </w:numPr>
      </w:pPr>
      <w:r w:rsidRPr="00E6376E">
        <w:t>96% either agreed or strongly agreed that they are proud to live in a state which hosts an F1®Grand Prix</w:t>
      </w:r>
    </w:p>
    <w:p w14:paraId="3BA21154" w14:textId="77777777" w:rsidR="00E6376E" w:rsidRDefault="00E6376E" w:rsidP="00E6376E">
      <w:pPr>
        <w:pStyle w:val="ListParagraph"/>
        <w:numPr>
          <w:ilvl w:val="0"/>
          <w:numId w:val="10"/>
        </w:numPr>
      </w:pPr>
      <w:r w:rsidRPr="00E6376E">
        <w:t>93% of interstate and international attendees surveyed said they would return to Victoria as a future holiday destination</w:t>
      </w:r>
    </w:p>
    <w:p w14:paraId="671281D2" w14:textId="67358951" w:rsidR="007D643A" w:rsidRDefault="00E6376E" w:rsidP="007D643A">
      <w:pPr>
        <w:pStyle w:val="ListParagraph"/>
        <w:numPr>
          <w:ilvl w:val="0"/>
          <w:numId w:val="10"/>
        </w:numPr>
      </w:pPr>
      <w:r w:rsidRPr="00E6376E">
        <w:t>94% of international and interstate attendees would recommend Victoria as a holiday destination.</w:t>
      </w:r>
      <w:bookmarkStart w:id="65" w:name="_Toc195020156"/>
      <w:bookmarkStart w:id="66" w:name="_Toc195020308"/>
      <w:bookmarkStart w:id="67" w:name="_Toc196836156"/>
    </w:p>
    <w:p w14:paraId="52A0779A" w14:textId="77777777" w:rsidR="00817B7D" w:rsidRDefault="00817B7D">
      <w:pPr>
        <w:spacing w:line="259" w:lineRule="auto"/>
        <w:rPr>
          <w:rFonts w:eastAsiaTheme="majorEastAsia" w:cstheme="majorBidi"/>
          <w:color w:val="000000" w:themeColor="text1"/>
          <w:sz w:val="28"/>
          <w:szCs w:val="28"/>
        </w:rPr>
      </w:pPr>
      <w:r>
        <w:br w:type="page"/>
      </w:r>
    </w:p>
    <w:p w14:paraId="5F7AB8B0" w14:textId="458D23BA" w:rsidR="00E6376E" w:rsidRPr="00272F06" w:rsidRDefault="00E6376E" w:rsidP="00272F06">
      <w:pPr>
        <w:pStyle w:val="Heading3"/>
      </w:pPr>
      <w:bookmarkStart w:id="68" w:name="_Toc199242992"/>
      <w:r w:rsidRPr="00272F06">
        <w:lastRenderedPageBreak/>
        <w:t>Likelihood of interstate/international visitors recommending Victoria as a holiday destination</w:t>
      </w:r>
      <w:bookmarkEnd w:id="65"/>
      <w:bookmarkEnd w:id="66"/>
      <w:bookmarkEnd w:id="67"/>
      <w:bookmarkEnd w:id="68"/>
    </w:p>
    <w:tbl>
      <w:tblPr>
        <w:tblStyle w:val="TableGrid"/>
        <w:tblW w:w="0" w:type="auto"/>
        <w:tblLook w:val="04A0" w:firstRow="1" w:lastRow="0" w:firstColumn="1" w:lastColumn="0" w:noHBand="0" w:noVBand="1"/>
      </w:tblPr>
      <w:tblGrid>
        <w:gridCol w:w="4508"/>
        <w:gridCol w:w="4508"/>
      </w:tblGrid>
      <w:tr w:rsidR="0038262A" w14:paraId="4B0B08E8" w14:textId="77777777" w:rsidTr="0038262A">
        <w:tc>
          <w:tcPr>
            <w:tcW w:w="4508" w:type="dxa"/>
          </w:tcPr>
          <w:p w14:paraId="68CA66FB" w14:textId="27CC11E0" w:rsidR="0038262A" w:rsidRDefault="0038262A" w:rsidP="00E6376E">
            <w:r>
              <w:t>Very likely</w:t>
            </w:r>
          </w:p>
        </w:tc>
        <w:tc>
          <w:tcPr>
            <w:tcW w:w="4508" w:type="dxa"/>
          </w:tcPr>
          <w:p w14:paraId="37DD9788" w14:textId="11736998" w:rsidR="0038262A" w:rsidRDefault="0038262A" w:rsidP="00E6376E">
            <w:r>
              <w:t>76.3%</w:t>
            </w:r>
          </w:p>
        </w:tc>
      </w:tr>
      <w:tr w:rsidR="0038262A" w14:paraId="75A31EBD" w14:textId="77777777" w:rsidTr="0038262A">
        <w:tc>
          <w:tcPr>
            <w:tcW w:w="4508" w:type="dxa"/>
          </w:tcPr>
          <w:p w14:paraId="01619795" w14:textId="21BB1B09" w:rsidR="0038262A" w:rsidRDefault="0038262A" w:rsidP="00E6376E">
            <w:r>
              <w:t>Somewhat likely</w:t>
            </w:r>
          </w:p>
        </w:tc>
        <w:tc>
          <w:tcPr>
            <w:tcW w:w="4508" w:type="dxa"/>
          </w:tcPr>
          <w:p w14:paraId="1800E6CE" w14:textId="217AF591" w:rsidR="0038262A" w:rsidRDefault="0038262A" w:rsidP="00E6376E">
            <w:r>
              <w:t>17.4%</w:t>
            </w:r>
          </w:p>
        </w:tc>
      </w:tr>
      <w:tr w:rsidR="0038262A" w14:paraId="4F8596ED" w14:textId="77777777" w:rsidTr="0038262A">
        <w:tc>
          <w:tcPr>
            <w:tcW w:w="4508" w:type="dxa"/>
          </w:tcPr>
          <w:p w14:paraId="0DDF1CF4" w14:textId="3A9E4977" w:rsidR="0038262A" w:rsidRDefault="0038262A" w:rsidP="00E6376E">
            <w:r>
              <w:t>Neither likely nor unlikely, somewhat unlikely, very unlikely</w:t>
            </w:r>
          </w:p>
        </w:tc>
        <w:tc>
          <w:tcPr>
            <w:tcW w:w="4508" w:type="dxa"/>
          </w:tcPr>
          <w:p w14:paraId="4366883E" w14:textId="43125530" w:rsidR="0038262A" w:rsidRDefault="0038262A" w:rsidP="00E6376E">
            <w:r>
              <w:t xml:space="preserve">Residual </w:t>
            </w:r>
          </w:p>
        </w:tc>
      </w:tr>
    </w:tbl>
    <w:p w14:paraId="0C8E77ED" w14:textId="522DF4E0" w:rsidR="00E6376E" w:rsidRDefault="0038262A" w:rsidP="0038262A">
      <w:pPr>
        <w:pStyle w:val="Heading3"/>
      </w:pPr>
      <w:bookmarkStart w:id="69" w:name="_Toc195020157"/>
      <w:bookmarkStart w:id="70" w:name="_Toc195020309"/>
      <w:bookmarkStart w:id="71" w:name="_Toc196836157"/>
      <w:bookmarkStart w:id="72" w:name="_Toc199242993"/>
      <w:r w:rsidRPr="0038262A">
        <w:t>Likelihood of interstate/international visitors returning to Victoria in the future for a holiday</w:t>
      </w:r>
      <w:bookmarkEnd w:id="69"/>
      <w:bookmarkEnd w:id="70"/>
      <w:bookmarkEnd w:id="71"/>
      <w:bookmarkEnd w:id="72"/>
    </w:p>
    <w:tbl>
      <w:tblPr>
        <w:tblStyle w:val="TableGrid"/>
        <w:tblW w:w="9016" w:type="dxa"/>
        <w:tblLook w:val="04A0" w:firstRow="1" w:lastRow="0" w:firstColumn="1" w:lastColumn="0" w:noHBand="0" w:noVBand="1"/>
      </w:tblPr>
      <w:tblGrid>
        <w:gridCol w:w="4508"/>
        <w:gridCol w:w="4508"/>
      </w:tblGrid>
      <w:tr w:rsidR="0038262A" w14:paraId="671E727B" w14:textId="77777777" w:rsidTr="0038262A">
        <w:tc>
          <w:tcPr>
            <w:tcW w:w="4508" w:type="dxa"/>
          </w:tcPr>
          <w:p w14:paraId="694AAADD" w14:textId="3E8E3DF0" w:rsidR="0038262A" w:rsidRDefault="0038262A" w:rsidP="0038262A">
            <w:r>
              <w:t>Very likely</w:t>
            </w:r>
          </w:p>
        </w:tc>
        <w:tc>
          <w:tcPr>
            <w:tcW w:w="4508" w:type="dxa"/>
          </w:tcPr>
          <w:p w14:paraId="3D711FFD" w14:textId="6240F3B3" w:rsidR="0038262A" w:rsidRDefault="0038262A" w:rsidP="0038262A">
            <w:r>
              <w:t>79.5%</w:t>
            </w:r>
          </w:p>
        </w:tc>
      </w:tr>
      <w:tr w:rsidR="0038262A" w14:paraId="0291192F" w14:textId="77777777" w:rsidTr="0038262A">
        <w:tc>
          <w:tcPr>
            <w:tcW w:w="4508" w:type="dxa"/>
          </w:tcPr>
          <w:p w14:paraId="716DCFFF" w14:textId="71EB009E" w:rsidR="0038262A" w:rsidRDefault="0038262A" w:rsidP="0038262A">
            <w:r>
              <w:t>Somewhat likely</w:t>
            </w:r>
          </w:p>
        </w:tc>
        <w:tc>
          <w:tcPr>
            <w:tcW w:w="4508" w:type="dxa"/>
          </w:tcPr>
          <w:p w14:paraId="161AD2AB" w14:textId="14921F62" w:rsidR="0038262A" w:rsidRDefault="0038262A" w:rsidP="0038262A">
            <w:r>
              <w:t>13.4%</w:t>
            </w:r>
          </w:p>
        </w:tc>
      </w:tr>
      <w:tr w:rsidR="0038262A" w14:paraId="1F9FD8ED" w14:textId="77777777" w:rsidTr="0038262A">
        <w:tc>
          <w:tcPr>
            <w:tcW w:w="4508" w:type="dxa"/>
          </w:tcPr>
          <w:p w14:paraId="28CAAF5F" w14:textId="5F83A4D5" w:rsidR="0038262A" w:rsidRDefault="0038262A" w:rsidP="0038262A">
            <w:r>
              <w:t>Neither likely nor unlikely, somewhat unlikely, very unlikely</w:t>
            </w:r>
          </w:p>
        </w:tc>
        <w:tc>
          <w:tcPr>
            <w:tcW w:w="4508" w:type="dxa"/>
          </w:tcPr>
          <w:p w14:paraId="137FCF35" w14:textId="2A04C871" w:rsidR="0038262A" w:rsidRDefault="0038262A" w:rsidP="0038262A">
            <w:r>
              <w:t>Residual</w:t>
            </w:r>
          </w:p>
        </w:tc>
      </w:tr>
    </w:tbl>
    <w:p w14:paraId="27CE5480" w14:textId="29D09DD0" w:rsidR="00D9722C" w:rsidRPr="0015702F" w:rsidRDefault="0038262A" w:rsidP="00D9722C">
      <w:pPr>
        <w:pStyle w:val="Heading3"/>
      </w:pPr>
      <w:bookmarkStart w:id="73" w:name="_Toc195020158"/>
      <w:bookmarkStart w:id="74" w:name="_Toc195020310"/>
      <w:bookmarkStart w:id="75" w:name="_Toc196836158"/>
      <w:bookmarkStart w:id="76" w:name="_Toc199242994"/>
      <w:r w:rsidRPr="0038262A">
        <w:t>Sentiment towards the F1®Australian Grand Prix</w:t>
      </w:r>
      <w:bookmarkEnd w:id="73"/>
      <w:bookmarkEnd w:id="74"/>
      <w:bookmarkEnd w:id="75"/>
      <w:bookmarkEnd w:id="76"/>
    </w:p>
    <w:tbl>
      <w:tblPr>
        <w:tblStyle w:val="GridTable4"/>
        <w:tblW w:w="0" w:type="auto"/>
        <w:tblLook w:val="06A0" w:firstRow="1" w:lastRow="0" w:firstColumn="1" w:lastColumn="0" w:noHBand="1" w:noVBand="1"/>
        <w:tblCaption w:val="F1 Sentiment Survey"/>
        <w:tblDescription w:val="Table showing public sentiment percentages about Melbourne’s hosting of the F1 Grand Prix"/>
      </w:tblPr>
      <w:tblGrid>
        <w:gridCol w:w="2689"/>
        <w:gridCol w:w="2109"/>
        <w:gridCol w:w="2109"/>
        <w:gridCol w:w="2109"/>
      </w:tblGrid>
      <w:tr w:rsidR="0038262A" w14:paraId="5282D1F0" w14:textId="77777777" w:rsidTr="007E1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7FDC8DD" w14:textId="2D58FDC3" w:rsidR="0038262A" w:rsidRDefault="00E6206C" w:rsidP="0038262A">
            <w:r>
              <w:t>Sentiment</w:t>
            </w:r>
            <w:r w:rsidR="004062C3">
              <w:t xml:space="preserve"> Statement</w:t>
            </w:r>
          </w:p>
        </w:tc>
        <w:tc>
          <w:tcPr>
            <w:tcW w:w="2109" w:type="dxa"/>
          </w:tcPr>
          <w:p w14:paraId="7E0F9674" w14:textId="1AAFA9CD" w:rsidR="0038262A" w:rsidRDefault="0038262A" w:rsidP="0038262A">
            <w:pPr>
              <w:cnfStyle w:val="100000000000" w:firstRow="1" w:lastRow="0" w:firstColumn="0" w:lastColumn="0" w:oddVBand="0" w:evenVBand="0" w:oddHBand="0" w:evenHBand="0" w:firstRowFirstColumn="0" w:firstRowLastColumn="0" w:lastRowFirstColumn="0" w:lastRowLastColumn="0"/>
            </w:pPr>
            <w:r>
              <w:t>Strongly agree</w:t>
            </w:r>
          </w:p>
        </w:tc>
        <w:tc>
          <w:tcPr>
            <w:tcW w:w="2109" w:type="dxa"/>
          </w:tcPr>
          <w:p w14:paraId="370BEDFB" w14:textId="5C1A13C6" w:rsidR="0038262A" w:rsidRDefault="0038262A" w:rsidP="0038262A">
            <w:pPr>
              <w:cnfStyle w:val="100000000000" w:firstRow="1" w:lastRow="0" w:firstColumn="0" w:lastColumn="0" w:oddVBand="0" w:evenVBand="0" w:oddHBand="0" w:evenHBand="0" w:firstRowFirstColumn="0" w:firstRowLastColumn="0" w:lastRowFirstColumn="0" w:lastRowLastColumn="0"/>
            </w:pPr>
            <w:r>
              <w:t>Agree</w:t>
            </w:r>
          </w:p>
        </w:tc>
        <w:tc>
          <w:tcPr>
            <w:tcW w:w="2109" w:type="dxa"/>
          </w:tcPr>
          <w:p w14:paraId="5FB58A2D" w14:textId="40C42EDD" w:rsidR="0038262A" w:rsidRDefault="0038262A" w:rsidP="0038262A">
            <w:pPr>
              <w:cnfStyle w:val="100000000000" w:firstRow="1" w:lastRow="0" w:firstColumn="0" w:lastColumn="0" w:oddVBand="0" w:evenVBand="0" w:oddHBand="0" w:evenHBand="0" w:firstRowFirstColumn="0" w:firstRowLastColumn="0" w:lastRowFirstColumn="0" w:lastRowLastColumn="0"/>
            </w:pPr>
            <w:r w:rsidRPr="0038262A">
              <w:t>Neither agree nor disagree</w:t>
            </w:r>
            <w:r>
              <w:t>, disagree</w:t>
            </w:r>
            <w:r w:rsidR="00B03C51">
              <w:t>, strongly disagree</w:t>
            </w:r>
          </w:p>
        </w:tc>
      </w:tr>
      <w:tr w:rsidR="0038262A" w14:paraId="00EB4092" w14:textId="77777777" w:rsidTr="007E1132">
        <w:tc>
          <w:tcPr>
            <w:cnfStyle w:val="001000000000" w:firstRow="0" w:lastRow="0" w:firstColumn="1" w:lastColumn="0" w:oddVBand="0" w:evenVBand="0" w:oddHBand="0" w:evenHBand="0" w:firstRowFirstColumn="0" w:firstRowLastColumn="0" w:lastRowFirstColumn="0" w:lastRowLastColumn="0"/>
            <w:tcW w:w="2689" w:type="dxa"/>
          </w:tcPr>
          <w:p w14:paraId="7FBCCC1C" w14:textId="125C621F" w:rsidR="0038262A" w:rsidRDefault="0038262A" w:rsidP="0038262A">
            <w:r>
              <w:t>I would recommend Melbourne’s F1®GP event to others</w:t>
            </w:r>
          </w:p>
        </w:tc>
        <w:tc>
          <w:tcPr>
            <w:tcW w:w="2109" w:type="dxa"/>
          </w:tcPr>
          <w:p w14:paraId="08EF4BE8" w14:textId="0A848405" w:rsidR="0038262A" w:rsidRDefault="0038262A" w:rsidP="0038262A">
            <w:pPr>
              <w:cnfStyle w:val="000000000000" w:firstRow="0" w:lastRow="0" w:firstColumn="0" w:lastColumn="0" w:oddVBand="0" w:evenVBand="0" w:oddHBand="0" w:evenHBand="0" w:firstRowFirstColumn="0" w:firstRowLastColumn="0" w:lastRowFirstColumn="0" w:lastRowLastColumn="0"/>
            </w:pPr>
            <w:r>
              <w:t>80%</w:t>
            </w:r>
          </w:p>
        </w:tc>
        <w:tc>
          <w:tcPr>
            <w:tcW w:w="2109" w:type="dxa"/>
          </w:tcPr>
          <w:p w14:paraId="5F3FAEF6" w14:textId="2105A1BA" w:rsidR="0038262A" w:rsidRDefault="0038262A" w:rsidP="0038262A">
            <w:pPr>
              <w:cnfStyle w:val="000000000000" w:firstRow="0" w:lastRow="0" w:firstColumn="0" w:lastColumn="0" w:oddVBand="0" w:evenVBand="0" w:oddHBand="0" w:evenHBand="0" w:firstRowFirstColumn="0" w:firstRowLastColumn="0" w:lastRowFirstColumn="0" w:lastRowLastColumn="0"/>
            </w:pPr>
            <w:r>
              <w:t>17%</w:t>
            </w:r>
          </w:p>
        </w:tc>
        <w:tc>
          <w:tcPr>
            <w:tcW w:w="2109" w:type="dxa"/>
          </w:tcPr>
          <w:p w14:paraId="29280F9A" w14:textId="3478DBED" w:rsidR="0038262A" w:rsidRDefault="0038262A" w:rsidP="0038262A">
            <w:pPr>
              <w:cnfStyle w:val="000000000000" w:firstRow="0" w:lastRow="0" w:firstColumn="0" w:lastColumn="0" w:oddVBand="0" w:evenVBand="0" w:oddHBand="0" w:evenHBand="0" w:firstRowFirstColumn="0" w:firstRowLastColumn="0" w:lastRowFirstColumn="0" w:lastRowLastColumn="0"/>
            </w:pPr>
            <w:r>
              <w:t>3%</w:t>
            </w:r>
          </w:p>
        </w:tc>
      </w:tr>
      <w:tr w:rsidR="0038262A" w14:paraId="2D915FD1" w14:textId="77777777" w:rsidTr="007E1132">
        <w:tc>
          <w:tcPr>
            <w:cnfStyle w:val="001000000000" w:firstRow="0" w:lastRow="0" w:firstColumn="1" w:lastColumn="0" w:oddVBand="0" w:evenVBand="0" w:oddHBand="0" w:evenHBand="0" w:firstRowFirstColumn="0" w:firstRowLastColumn="0" w:lastRowFirstColumn="0" w:lastRowLastColumn="0"/>
            <w:tcW w:w="2689" w:type="dxa"/>
          </w:tcPr>
          <w:p w14:paraId="0DD61B20" w14:textId="77777777" w:rsidR="0038262A" w:rsidRDefault="0038262A" w:rsidP="0038262A">
            <w:r>
              <w:t>I’m proud to live in a State which</w:t>
            </w:r>
          </w:p>
          <w:p w14:paraId="1723DEFE" w14:textId="69DB4F72" w:rsidR="0038262A" w:rsidRDefault="0038262A" w:rsidP="0038262A">
            <w:r>
              <w:t>hosts the F1 ® GP</w:t>
            </w:r>
          </w:p>
        </w:tc>
        <w:tc>
          <w:tcPr>
            <w:tcW w:w="2109" w:type="dxa"/>
          </w:tcPr>
          <w:p w14:paraId="562E70F1" w14:textId="3FEEE06D" w:rsidR="0038262A" w:rsidRDefault="0038262A" w:rsidP="0038262A">
            <w:pPr>
              <w:cnfStyle w:val="000000000000" w:firstRow="0" w:lastRow="0" w:firstColumn="0" w:lastColumn="0" w:oddVBand="0" w:evenVBand="0" w:oddHBand="0" w:evenHBand="0" w:firstRowFirstColumn="0" w:firstRowLastColumn="0" w:lastRowFirstColumn="0" w:lastRowLastColumn="0"/>
            </w:pPr>
            <w:r>
              <w:t>77%</w:t>
            </w:r>
          </w:p>
        </w:tc>
        <w:tc>
          <w:tcPr>
            <w:tcW w:w="2109" w:type="dxa"/>
          </w:tcPr>
          <w:p w14:paraId="4EAFB002" w14:textId="3A896CAD" w:rsidR="0038262A" w:rsidRDefault="0038262A" w:rsidP="0038262A">
            <w:pPr>
              <w:cnfStyle w:val="000000000000" w:firstRow="0" w:lastRow="0" w:firstColumn="0" w:lastColumn="0" w:oddVBand="0" w:evenVBand="0" w:oddHBand="0" w:evenHBand="0" w:firstRowFirstColumn="0" w:firstRowLastColumn="0" w:lastRowFirstColumn="0" w:lastRowLastColumn="0"/>
            </w:pPr>
            <w:r>
              <w:t>19%</w:t>
            </w:r>
          </w:p>
        </w:tc>
        <w:tc>
          <w:tcPr>
            <w:tcW w:w="2109" w:type="dxa"/>
          </w:tcPr>
          <w:p w14:paraId="45000A21" w14:textId="368DFF45" w:rsidR="0038262A" w:rsidRDefault="0038262A" w:rsidP="0038262A">
            <w:pPr>
              <w:cnfStyle w:val="000000000000" w:firstRow="0" w:lastRow="0" w:firstColumn="0" w:lastColumn="0" w:oddVBand="0" w:evenVBand="0" w:oddHBand="0" w:evenHBand="0" w:firstRowFirstColumn="0" w:firstRowLastColumn="0" w:lastRowFirstColumn="0" w:lastRowLastColumn="0"/>
            </w:pPr>
            <w:r>
              <w:t>4%</w:t>
            </w:r>
          </w:p>
        </w:tc>
      </w:tr>
      <w:tr w:rsidR="0038262A" w14:paraId="43A6828A" w14:textId="77777777" w:rsidTr="007E1132">
        <w:tc>
          <w:tcPr>
            <w:cnfStyle w:val="001000000000" w:firstRow="0" w:lastRow="0" w:firstColumn="1" w:lastColumn="0" w:oddVBand="0" w:evenVBand="0" w:oddHBand="0" w:evenHBand="0" w:firstRowFirstColumn="0" w:firstRowLastColumn="0" w:lastRowFirstColumn="0" w:lastRowLastColumn="0"/>
            <w:tcW w:w="2689" w:type="dxa"/>
          </w:tcPr>
          <w:p w14:paraId="3C4E132A" w14:textId="1997CEA4" w:rsidR="0038262A" w:rsidRDefault="0038262A" w:rsidP="0038262A">
            <w:r>
              <w:t>I value the opportunity to see the F1®GP without having to travel interstate or overseas</w:t>
            </w:r>
          </w:p>
        </w:tc>
        <w:tc>
          <w:tcPr>
            <w:tcW w:w="2109" w:type="dxa"/>
          </w:tcPr>
          <w:p w14:paraId="1A4212EB" w14:textId="27F6704D" w:rsidR="0038262A" w:rsidRDefault="0038262A" w:rsidP="0038262A">
            <w:pPr>
              <w:cnfStyle w:val="000000000000" w:firstRow="0" w:lastRow="0" w:firstColumn="0" w:lastColumn="0" w:oddVBand="0" w:evenVBand="0" w:oddHBand="0" w:evenHBand="0" w:firstRowFirstColumn="0" w:firstRowLastColumn="0" w:lastRowFirstColumn="0" w:lastRowLastColumn="0"/>
            </w:pPr>
            <w:r>
              <w:t>81%</w:t>
            </w:r>
          </w:p>
        </w:tc>
        <w:tc>
          <w:tcPr>
            <w:tcW w:w="2109" w:type="dxa"/>
          </w:tcPr>
          <w:p w14:paraId="73DC80FB" w14:textId="39C252CE" w:rsidR="0038262A" w:rsidRDefault="0038262A" w:rsidP="0038262A">
            <w:pPr>
              <w:cnfStyle w:val="000000000000" w:firstRow="0" w:lastRow="0" w:firstColumn="0" w:lastColumn="0" w:oddVBand="0" w:evenVBand="0" w:oddHBand="0" w:evenHBand="0" w:firstRowFirstColumn="0" w:firstRowLastColumn="0" w:lastRowFirstColumn="0" w:lastRowLastColumn="0"/>
            </w:pPr>
            <w:r>
              <w:t>15%</w:t>
            </w:r>
          </w:p>
        </w:tc>
        <w:tc>
          <w:tcPr>
            <w:tcW w:w="2109" w:type="dxa"/>
          </w:tcPr>
          <w:p w14:paraId="6D4D258D" w14:textId="731953AD" w:rsidR="0038262A" w:rsidRDefault="0038262A" w:rsidP="0038262A">
            <w:pPr>
              <w:cnfStyle w:val="000000000000" w:firstRow="0" w:lastRow="0" w:firstColumn="0" w:lastColumn="0" w:oddVBand="0" w:evenVBand="0" w:oddHBand="0" w:evenHBand="0" w:firstRowFirstColumn="0" w:firstRowLastColumn="0" w:lastRowFirstColumn="0" w:lastRowLastColumn="0"/>
            </w:pPr>
            <w:r>
              <w:t>4%</w:t>
            </w:r>
          </w:p>
        </w:tc>
      </w:tr>
      <w:tr w:rsidR="0038262A" w14:paraId="18E3FF20" w14:textId="77777777" w:rsidTr="007E1132">
        <w:tc>
          <w:tcPr>
            <w:cnfStyle w:val="001000000000" w:firstRow="0" w:lastRow="0" w:firstColumn="1" w:lastColumn="0" w:oddVBand="0" w:evenVBand="0" w:oddHBand="0" w:evenHBand="0" w:firstRowFirstColumn="0" w:firstRowLastColumn="0" w:lastRowFirstColumn="0" w:lastRowLastColumn="0"/>
            <w:tcW w:w="2689" w:type="dxa"/>
          </w:tcPr>
          <w:p w14:paraId="0E41FDA7" w14:textId="2986D235" w:rsidR="0038262A" w:rsidRDefault="0038262A" w:rsidP="0038262A">
            <w:r>
              <w:t>The F1® GP helps put Melbourne on the map internationally</w:t>
            </w:r>
          </w:p>
        </w:tc>
        <w:tc>
          <w:tcPr>
            <w:tcW w:w="2109" w:type="dxa"/>
          </w:tcPr>
          <w:p w14:paraId="14ACB355" w14:textId="678B0AE8" w:rsidR="0038262A" w:rsidRDefault="0038262A" w:rsidP="0038262A">
            <w:pPr>
              <w:cnfStyle w:val="000000000000" w:firstRow="0" w:lastRow="0" w:firstColumn="0" w:lastColumn="0" w:oddVBand="0" w:evenVBand="0" w:oddHBand="0" w:evenHBand="0" w:firstRowFirstColumn="0" w:firstRowLastColumn="0" w:lastRowFirstColumn="0" w:lastRowLastColumn="0"/>
            </w:pPr>
            <w:r>
              <w:t>79%</w:t>
            </w:r>
          </w:p>
        </w:tc>
        <w:tc>
          <w:tcPr>
            <w:tcW w:w="2109" w:type="dxa"/>
          </w:tcPr>
          <w:p w14:paraId="4068782E" w14:textId="439DDF78" w:rsidR="0038262A" w:rsidRDefault="0038262A" w:rsidP="0038262A">
            <w:pPr>
              <w:cnfStyle w:val="000000000000" w:firstRow="0" w:lastRow="0" w:firstColumn="0" w:lastColumn="0" w:oddVBand="0" w:evenVBand="0" w:oddHBand="0" w:evenHBand="0" w:firstRowFirstColumn="0" w:firstRowLastColumn="0" w:lastRowFirstColumn="0" w:lastRowLastColumn="0"/>
            </w:pPr>
            <w:r>
              <w:t>18%</w:t>
            </w:r>
          </w:p>
        </w:tc>
        <w:tc>
          <w:tcPr>
            <w:tcW w:w="2109" w:type="dxa"/>
          </w:tcPr>
          <w:p w14:paraId="02D74E50" w14:textId="0B894E66" w:rsidR="0038262A" w:rsidRDefault="0038262A" w:rsidP="0038262A">
            <w:pPr>
              <w:cnfStyle w:val="000000000000" w:firstRow="0" w:lastRow="0" w:firstColumn="0" w:lastColumn="0" w:oddVBand="0" w:evenVBand="0" w:oddHBand="0" w:evenHBand="0" w:firstRowFirstColumn="0" w:firstRowLastColumn="0" w:lastRowFirstColumn="0" w:lastRowLastColumn="0"/>
            </w:pPr>
            <w:r>
              <w:t>3%</w:t>
            </w:r>
          </w:p>
        </w:tc>
      </w:tr>
    </w:tbl>
    <w:p w14:paraId="16FFE7B1" w14:textId="77777777" w:rsidR="009924A2" w:rsidRDefault="009924A2">
      <w:pPr>
        <w:spacing w:line="259" w:lineRule="auto"/>
        <w:rPr>
          <w:rFonts w:eastAsiaTheme="majorEastAsia" w:cstheme="majorBidi"/>
          <w:sz w:val="40"/>
          <w:szCs w:val="40"/>
        </w:rPr>
      </w:pPr>
      <w:r>
        <w:br w:type="page"/>
      </w:r>
    </w:p>
    <w:p w14:paraId="43BC0145" w14:textId="279194A3" w:rsidR="0038262A" w:rsidRPr="0038262A" w:rsidRDefault="0038262A" w:rsidP="0012625E">
      <w:pPr>
        <w:pStyle w:val="Heading1"/>
      </w:pPr>
      <w:bookmarkStart w:id="77" w:name="_Toc199242995"/>
      <w:r w:rsidRPr="0038262A">
        <w:lastRenderedPageBreak/>
        <w:t>EY</w:t>
      </w:r>
      <w:r w:rsidRPr="0038262A">
        <w:rPr>
          <w:b/>
          <w:bCs/>
        </w:rPr>
        <w:t xml:space="preserve"> </w:t>
      </w:r>
      <w:r w:rsidR="00153BA1">
        <w:rPr>
          <w:b/>
          <w:bCs/>
        </w:rPr>
        <w:t xml:space="preserve">| </w:t>
      </w:r>
      <w:r w:rsidRPr="0038262A">
        <w:t>Building a better working world</w:t>
      </w:r>
      <w:bookmarkEnd w:id="77"/>
    </w:p>
    <w:p w14:paraId="1E899912" w14:textId="77777777" w:rsidR="0038262A" w:rsidRPr="0038262A" w:rsidRDefault="0038262A" w:rsidP="0038262A">
      <w:r w:rsidRPr="0038262A">
        <w:t xml:space="preserve">EY exists to build a better working world, helping to create long-term value for clients, people and society and build trust in the capital markets. </w:t>
      </w:r>
    </w:p>
    <w:p w14:paraId="1FC21BB0" w14:textId="77777777" w:rsidR="0038262A" w:rsidRPr="0038262A" w:rsidRDefault="0038262A" w:rsidP="0038262A">
      <w:r w:rsidRPr="0038262A">
        <w:t xml:space="preserve">Enabled by data and technology, diverse EY teams in over 150 countries provide trust through assurance and help clients grow, transform and operate. </w:t>
      </w:r>
    </w:p>
    <w:p w14:paraId="20EC9639" w14:textId="107BECE1" w:rsidR="0038262A" w:rsidRDefault="0038262A" w:rsidP="0038262A">
      <w:r w:rsidRPr="0038262A">
        <w:t>Working across assurance, consulting, law, strategy, tax and transactions, EY teams ask better questions to find new answers for the complex issues facing our world today.</w:t>
      </w:r>
    </w:p>
    <w:p w14:paraId="449A6B7B" w14:textId="77777777" w:rsidR="0038262A" w:rsidRDefault="0038262A" w:rsidP="0038262A">
      <w:r w:rsidRPr="0038262A">
        <w:t xml:space="preserve">EY refers to the global organization, and may refer to one or more, of the member firms of Ernst &amp; Young Global Limited, each of which is a separate legal entity. Ernst &amp; Young Global Limited, a UK company limited by guarantee, does not provide services to clients. Information about how EY collects and uses personal </w:t>
      </w:r>
      <w:proofErr w:type="gramStart"/>
      <w:r w:rsidRPr="0038262A">
        <w:t>data</w:t>
      </w:r>
      <w:proofErr w:type="gramEnd"/>
      <w:r w:rsidRPr="0038262A">
        <w:t xml:space="preserve"> and a description of the rights individuals have under data protection legislation are available via ey.com/privacy. EY member firms do not practice law </w:t>
      </w:r>
      <w:proofErr w:type="gramStart"/>
      <w:r w:rsidRPr="0038262A">
        <w:t>where</w:t>
      </w:r>
      <w:proofErr w:type="gramEnd"/>
      <w:r w:rsidRPr="0038262A">
        <w:t xml:space="preserve"> prohibited by local laws. For more information about our organization, please visit ey.com.</w:t>
      </w:r>
    </w:p>
    <w:p w14:paraId="0921374C" w14:textId="77777777" w:rsidR="0038262A" w:rsidRPr="0038262A" w:rsidRDefault="0038262A" w:rsidP="0038262A">
      <w:r w:rsidRPr="0038262A">
        <w:t>Matt Colston</w:t>
      </w:r>
    </w:p>
    <w:p w14:paraId="5A531D66" w14:textId="77777777" w:rsidR="0038262A" w:rsidRPr="0038262A" w:rsidRDefault="0038262A" w:rsidP="0038262A">
      <w:r w:rsidRPr="0038262A">
        <w:t xml:space="preserve">Associate Partner </w:t>
      </w:r>
    </w:p>
    <w:p w14:paraId="640B3BBE" w14:textId="3338E90A" w:rsidR="0038262A" w:rsidRPr="0038262A" w:rsidRDefault="0038262A" w:rsidP="0038262A">
      <w:r w:rsidRPr="0038262A">
        <w:t>Asia Pacific Leader —</w:t>
      </w:r>
      <w:r w:rsidR="00153BA1">
        <w:t xml:space="preserve"> </w:t>
      </w:r>
      <w:r w:rsidRPr="0038262A">
        <w:t>EY Sports, Events and Venues Advisory</w:t>
      </w:r>
    </w:p>
    <w:p w14:paraId="731A1C48" w14:textId="77777777" w:rsidR="0038262A" w:rsidRPr="0038262A" w:rsidRDefault="0038262A" w:rsidP="0038262A">
      <w:r w:rsidRPr="0038262A">
        <w:t xml:space="preserve">© 2022 Ernst &amp; Young, Australia. </w:t>
      </w:r>
    </w:p>
    <w:p w14:paraId="4BBBE4C0" w14:textId="77777777" w:rsidR="0038262A" w:rsidRPr="0038262A" w:rsidRDefault="0038262A" w:rsidP="0038262A">
      <w:r w:rsidRPr="0038262A">
        <w:t>All Rights Reserved.</w:t>
      </w:r>
    </w:p>
    <w:p w14:paraId="0243777D" w14:textId="77777777" w:rsidR="0038262A" w:rsidRPr="0038262A" w:rsidRDefault="0038262A" w:rsidP="0038262A">
      <w:r w:rsidRPr="0038262A">
        <w:t>Liability limited by a scheme approved under Professional Standards Legislation.</w:t>
      </w:r>
    </w:p>
    <w:p w14:paraId="714BB2CD" w14:textId="77777777" w:rsidR="0038262A" w:rsidRPr="0038262A" w:rsidRDefault="0038262A" w:rsidP="0038262A">
      <w:r w:rsidRPr="0038262A">
        <w:t>ED 1222</w:t>
      </w:r>
    </w:p>
    <w:p w14:paraId="00174BC1" w14:textId="77777777" w:rsidR="0038262A" w:rsidRPr="0038262A" w:rsidRDefault="0038262A" w:rsidP="0038262A">
      <w:r w:rsidRPr="0038262A">
        <w:t>In line with EY’s commitment to minimise its impact on the environment, this document has been printed on paper with a high recycled content.</w:t>
      </w:r>
    </w:p>
    <w:p w14:paraId="417F35AC" w14:textId="77777777" w:rsidR="0038262A" w:rsidRDefault="0038262A" w:rsidP="0038262A">
      <w:r w:rsidRPr="0038262A">
        <w:t>This communication provides general information which is current at the time of production. The information contained in this communication does not constitute advice and should not be relied on as such. Professional advice should be sought prior to any action being taken in reliance on any of the information. Ernst &amp; Young disclaims all responsibility and liability (including, without limitation, for any direct or indirect or consequential costs, loss or damage or loss of profits) arising from anything done or omitted to be done by any party in reliance, whether wholly or partially, on any of the information. Any party that relies on the information does so at its own risk.</w:t>
      </w:r>
    </w:p>
    <w:p w14:paraId="0C5EB09F" w14:textId="23F678A6" w:rsidR="0038262A" w:rsidRPr="0038262A" w:rsidRDefault="0038262A" w:rsidP="0038262A">
      <w:r w:rsidRPr="0038262A">
        <w:t>ey.com</w:t>
      </w:r>
    </w:p>
    <w:sectPr w:rsidR="0038262A" w:rsidRPr="003826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00153" w14:textId="77777777" w:rsidR="00A90DA4" w:rsidRDefault="00A90DA4" w:rsidP="00B01B96">
      <w:pPr>
        <w:spacing w:after="0"/>
      </w:pPr>
      <w:r>
        <w:separator/>
      </w:r>
    </w:p>
  </w:endnote>
  <w:endnote w:type="continuationSeparator" w:id="0">
    <w:p w14:paraId="69C8D5A6" w14:textId="77777777" w:rsidR="00A90DA4" w:rsidRDefault="00A90DA4" w:rsidP="00B01B96">
      <w:pPr>
        <w:spacing w:after="0"/>
      </w:pPr>
      <w:r>
        <w:continuationSeparator/>
      </w:r>
    </w:p>
  </w:endnote>
  <w:endnote w:type="continuationNotice" w:id="1">
    <w:p w14:paraId="556F1145" w14:textId="77777777" w:rsidR="00A90DA4" w:rsidRDefault="00A90D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YInterstat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EB77" w14:textId="77777777" w:rsidR="00B01B96" w:rsidRDefault="00B01B96">
    <w:pPr>
      <w:pStyle w:val="Footer"/>
    </w:pPr>
    <w:r>
      <w:rPr>
        <w:noProof/>
      </w:rPr>
      <mc:AlternateContent>
        <mc:Choice Requires="wps">
          <w:drawing>
            <wp:anchor distT="0" distB="0" distL="0" distR="0" simplePos="0" relativeHeight="251658244" behindDoc="0" locked="0" layoutInCell="1" allowOverlap="1" wp14:anchorId="0165A289" wp14:editId="33190ECD">
              <wp:simplePos x="635" y="635"/>
              <wp:positionH relativeFrom="page">
                <wp:align>center</wp:align>
              </wp:positionH>
              <wp:positionV relativeFrom="page">
                <wp:align>bottom</wp:align>
              </wp:positionV>
              <wp:extent cx="686435" cy="365760"/>
              <wp:effectExtent l="0" t="0" r="18415" b="0"/>
              <wp:wrapNone/>
              <wp:docPr id="153550847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B67D214"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65A289" id="_x0000_t202" coordsize="21600,21600" o:spt="202" path="m,l,21600r21600,l21600,xe">
              <v:stroke joinstyle="miter"/>
              <v:path gradientshapeok="t" o:connecttype="rect"/>
            </v:shapetype>
            <v:shape id="Text Box 5" o:spid="_x0000_s1027" type="#_x0000_t202" alt="OFFICIAL" style="position:absolute;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0B67D214"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v:textbox>
              <w10:wrap anchorx="page" anchory="page"/>
            </v:shape>
          </w:pict>
        </mc:Fallback>
      </mc:AlternateContent>
    </w:r>
  </w:p>
  <w:p w14:paraId="5D3CEA7B" w14:textId="77777777" w:rsidR="0038262A" w:rsidRDefault="0038262A"/>
  <w:p w14:paraId="7D55E9BE" w14:textId="77777777" w:rsidR="0038262A" w:rsidRDefault="003826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4B308" w14:textId="4CD1DF37" w:rsidR="003B5CD2" w:rsidRPr="003B5CD2" w:rsidRDefault="003B5CD2">
    <w:pPr>
      <w:pStyle w:val="Footer"/>
      <w:rPr>
        <w:sz w:val="18"/>
        <w:szCs w:val="18"/>
      </w:rPr>
    </w:pPr>
    <w:r w:rsidRPr="003B5CD2">
      <w:rPr>
        <w:sz w:val="18"/>
        <w:szCs w:val="18"/>
      </w:rPr>
      <w:t>December 2022</w:t>
    </w:r>
  </w:p>
  <w:p w14:paraId="090323D7" w14:textId="77777777" w:rsidR="0038262A" w:rsidRDefault="003826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6A00" w14:textId="77777777" w:rsidR="00B01B96" w:rsidRDefault="00B01B96">
    <w:pPr>
      <w:pStyle w:val="Footer"/>
    </w:pPr>
    <w:r>
      <w:rPr>
        <w:noProof/>
      </w:rPr>
      <mc:AlternateContent>
        <mc:Choice Requires="wps">
          <w:drawing>
            <wp:anchor distT="0" distB="0" distL="0" distR="0" simplePos="0" relativeHeight="251658243" behindDoc="0" locked="0" layoutInCell="1" allowOverlap="1" wp14:anchorId="260BCD73" wp14:editId="2DD581A8">
              <wp:simplePos x="635" y="635"/>
              <wp:positionH relativeFrom="page">
                <wp:align>center</wp:align>
              </wp:positionH>
              <wp:positionV relativeFrom="page">
                <wp:align>bottom</wp:align>
              </wp:positionV>
              <wp:extent cx="686435" cy="365760"/>
              <wp:effectExtent l="0" t="0" r="18415" b="0"/>
              <wp:wrapNone/>
              <wp:docPr id="31298144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1118D50"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0BCD73" id="_x0000_t202" coordsize="21600,21600" o:spt="202" path="m,l,21600r21600,l21600,xe">
              <v:stroke joinstyle="miter"/>
              <v:path gradientshapeok="t" o:connecttype="rect"/>
            </v:shapetype>
            <v:shape id="Text Box 4" o:spid="_x0000_s1029"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01118D50"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8EC17" w14:textId="77777777" w:rsidR="00A90DA4" w:rsidRDefault="00A90DA4" w:rsidP="00B01B96">
      <w:pPr>
        <w:spacing w:after="0"/>
      </w:pPr>
      <w:r>
        <w:separator/>
      </w:r>
    </w:p>
  </w:footnote>
  <w:footnote w:type="continuationSeparator" w:id="0">
    <w:p w14:paraId="286E857D" w14:textId="77777777" w:rsidR="00A90DA4" w:rsidRDefault="00A90DA4" w:rsidP="00B01B96">
      <w:pPr>
        <w:spacing w:after="0"/>
      </w:pPr>
      <w:r>
        <w:continuationSeparator/>
      </w:r>
    </w:p>
  </w:footnote>
  <w:footnote w:type="continuationNotice" w:id="1">
    <w:p w14:paraId="371DDD00" w14:textId="77777777" w:rsidR="00A90DA4" w:rsidRDefault="00A90D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6B7B" w14:textId="77777777" w:rsidR="00B01B96" w:rsidRDefault="00B01B96">
    <w:pPr>
      <w:pStyle w:val="Header"/>
    </w:pPr>
    <w:r>
      <w:rPr>
        <w:noProof/>
      </w:rPr>
      <mc:AlternateContent>
        <mc:Choice Requires="wps">
          <w:drawing>
            <wp:anchor distT="0" distB="0" distL="0" distR="0" simplePos="0" relativeHeight="251658241" behindDoc="0" locked="0" layoutInCell="1" allowOverlap="1" wp14:anchorId="560894F8" wp14:editId="2247BECB">
              <wp:simplePos x="635" y="635"/>
              <wp:positionH relativeFrom="page">
                <wp:align>center</wp:align>
              </wp:positionH>
              <wp:positionV relativeFrom="page">
                <wp:align>top</wp:align>
              </wp:positionV>
              <wp:extent cx="686435" cy="365760"/>
              <wp:effectExtent l="0" t="0" r="18415" b="15240"/>
              <wp:wrapNone/>
              <wp:docPr id="12731187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99AE65"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0894F8"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7F99AE65"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v:textbox>
              <w10:wrap anchorx="page" anchory="page"/>
            </v:shape>
          </w:pict>
        </mc:Fallback>
      </mc:AlternateContent>
    </w:r>
  </w:p>
  <w:p w14:paraId="5983834A" w14:textId="77777777" w:rsidR="0038262A" w:rsidRDefault="0038262A"/>
  <w:p w14:paraId="312640BA" w14:textId="77777777" w:rsidR="0038262A" w:rsidRDefault="003826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pacing w:val="60"/>
      </w:rPr>
      <w:id w:val="738139441"/>
      <w:docPartObj>
        <w:docPartGallery w:val="Page Numbers (Top of Page)"/>
        <w:docPartUnique/>
      </w:docPartObj>
    </w:sdtPr>
    <w:sdtEndPr>
      <w:rPr>
        <w:b/>
        <w:bCs/>
        <w:noProof/>
        <w:spacing w:val="0"/>
      </w:rPr>
    </w:sdtEndPr>
    <w:sdtContent>
      <w:p w14:paraId="79F1F509" w14:textId="3AD845EF" w:rsidR="00385E82" w:rsidRDefault="00385E82">
        <w:pPr>
          <w:pStyle w:val="Header"/>
          <w:pBdr>
            <w:bottom w:val="single" w:sz="4" w:space="1" w:color="D9D9D9" w:themeColor="background1" w:themeShade="D9"/>
          </w:pBdr>
          <w:jc w:val="right"/>
          <w:rPr>
            <w:b/>
            <w:bCs/>
          </w:rPr>
        </w:pPr>
        <w:r w:rsidRPr="007E1132">
          <w:rPr>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0206932" w14:textId="77777777" w:rsidR="0038262A" w:rsidRDefault="003826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7EDB" w14:textId="77777777" w:rsidR="00B01B96" w:rsidRDefault="00B01B96">
    <w:pPr>
      <w:pStyle w:val="Header"/>
    </w:pPr>
    <w:r>
      <w:rPr>
        <w:noProof/>
      </w:rPr>
      <mc:AlternateContent>
        <mc:Choice Requires="wps">
          <w:drawing>
            <wp:anchor distT="0" distB="0" distL="0" distR="0" simplePos="0" relativeHeight="251658240" behindDoc="0" locked="0" layoutInCell="1" allowOverlap="1" wp14:anchorId="4B472894" wp14:editId="03EC948E">
              <wp:simplePos x="635" y="635"/>
              <wp:positionH relativeFrom="page">
                <wp:align>center</wp:align>
              </wp:positionH>
              <wp:positionV relativeFrom="page">
                <wp:align>top</wp:align>
              </wp:positionV>
              <wp:extent cx="686435" cy="365760"/>
              <wp:effectExtent l="0" t="0" r="18415" b="15240"/>
              <wp:wrapNone/>
              <wp:docPr id="171582489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81E844"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472894" id="_x0000_t202" coordsize="21600,21600" o:spt="202" path="m,l,21600r21600,l21600,xe">
              <v:stroke joinstyle="miter"/>
              <v:path gradientshapeok="t" o:connecttype="rect"/>
            </v:shapetype>
            <v:shape id="Text Box 1" o:spid="_x0000_s1028" type="#_x0000_t202" alt="OFFICIAL" style="position:absolute;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7F81E844" w14:textId="77777777" w:rsidR="00B01B96" w:rsidRPr="00B01B96" w:rsidRDefault="00B01B96" w:rsidP="00B01B96">
                    <w:pPr>
                      <w:spacing w:after="0"/>
                      <w:rPr>
                        <w:rFonts w:eastAsia="Arial" w:cs="Arial"/>
                        <w:noProof/>
                        <w:color w:val="000000"/>
                        <w:sz w:val="24"/>
                        <w:szCs w:val="24"/>
                      </w:rPr>
                    </w:pPr>
                    <w:r w:rsidRPr="00B01B96">
                      <w:rPr>
                        <w:rFonts w:eastAsia="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E1E64"/>
    <w:multiLevelType w:val="multilevel"/>
    <w:tmpl w:val="2C18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568C5"/>
    <w:multiLevelType w:val="hybridMultilevel"/>
    <w:tmpl w:val="1FAED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CE1828"/>
    <w:multiLevelType w:val="hybridMultilevel"/>
    <w:tmpl w:val="B85644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F24FF1"/>
    <w:multiLevelType w:val="hybridMultilevel"/>
    <w:tmpl w:val="32B2455A"/>
    <w:lvl w:ilvl="0" w:tplc="34E8308C">
      <w:start w:val="1"/>
      <w:numFmt w:val="decimal"/>
      <w:lvlText w:val="%1."/>
      <w:lvlJc w:val="left"/>
      <w:pPr>
        <w:ind w:left="720" w:hanging="360"/>
      </w:pPr>
      <w:rPr>
        <w:rFonts w:ascii="Arial" w:eastAsiaTheme="minorHAnsi" w:hAnsi="Arial" w:cstheme="minorBid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73646E"/>
    <w:multiLevelType w:val="hybridMultilevel"/>
    <w:tmpl w:val="5DD63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E0CA7"/>
    <w:multiLevelType w:val="hybridMultilevel"/>
    <w:tmpl w:val="492ED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F11080"/>
    <w:multiLevelType w:val="hybridMultilevel"/>
    <w:tmpl w:val="ED08DB1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643F67"/>
    <w:multiLevelType w:val="hybridMultilevel"/>
    <w:tmpl w:val="43D6C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762EDD"/>
    <w:multiLevelType w:val="hybridMultilevel"/>
    <w:tmpl w:val="358459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943296B"/>
    <w:multiLevelType w:val="hybridMultilevel"/>
    <w:tmpl w:val="75D63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FC2F62"/>
    <w:multiLevelType w:val="hybridMultilevel"/>
    <w:tmpl w:val="0CAA56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D816189"/>
    <w:multiLevelType w:val="hybridMultilevel"/>
    <w:tmpl w:val="BA7261C4"/>
    <w:lvl w:ilvl="0" w:tplc="FFFFFFFF">
      <w:start w:val="1"/>
      <w:numFmt w:val="decimal"/>
      <w:lvlText w:val="%1."/>
      <w:lvlJc w:val="left"/>
      <w:pPr>
        <w:ind w:left="720" w:hanging="360"/>
      </w:pPr>
      <w:rPr>
        <w:rFonts w:ascii="Arial" w:eastAsiaTheme="minorHAnsi" w:hAnsi="Arial" w:cstheme="minorBidi"/>
      </w:rPr>
    </w:lvl>
    <w:lvl w:ilvl="1" w:tplc="0C090001">
      <w:start w:val="1"/>
      <w:numFmt w:val="bullet"/>
      <w:lvlText w:val=""/>
      <w:lvlJc w:val="left"/>
      <w:pPr>
        <w:ind w:left="78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4F1847"/>
    <w:multiLevelType w:val="hybridMultilevel"/>
    <w:tmpl w:val="1BA63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E03F4E"/>
    <w:multiLevelType w:val="hybridMultilevel"/>
    <w:tmpl w:val="7DBAB50C"/>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E7B48A3"/>
    <w:multiLevelType w:val="hybridMultilevel"/>
    <w:tmpl w:val="AF04D7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1FF1F31"/>
    <w:multiLevelType w:val="hybridMultilevel"/>
    <w:tmpl w:val="B4D62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46022B"/>
    <w:multiLevelType w:val="hybridMultilevel"/>
    <w:tmpl w:val="244E0BC0"/>
    <w:lvl w:ilvl="0" w:tplc="FFFFFFFF">
      <w:start w:val="1"/>
      <w:numFmt w:val="decimal"/>
      <w:lvlText w:val="%1."/>
      <w:lvlJc w:val="left"/>
      <w:pPr>
        <w:ind w:left="720" w:hanging="360"/>
      </w:pPr>
      <w:rPr>
        <w:rFonts w:ascii="Arial" w:eastAsiaTheme="minorHAnsi" w:hAnsi="Arial" w:cstheme="minorBidi"/>
      </w:rPr>
    </w:lvl>
    <w:lvl w:ilvl="1" w:tplc="FFFFFFFF">
      <w:start w:val="1"/>
      <w:numFmt w:val="bullet"/>
      <w:lvlText w:val=""/>
      <w:lvlJc w:val="left"/>
      <w:pPr>
        <w:ind w:left="780" w:hanging="360"/>
      </w:pPr>
      <w:rPr>
        <w:rFonts w:ascii="Symbol" w:hAnsi="Symbol" w:hint="default"/>
      </w:rPr>
    </w:lvl>
    <w:lvl w:ilvl="2" w:tplc="0C090001">
      <w:start w:val="1"/>
      <w:numFmt w:val="bullet"/>
      <w:lvlText w:val=""/>
      <w:lvlJc w:val="left"/>
      <w:pPr>
        <w:ind w:left="78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DB4800"/>
    <w:multiLevelType w:val="hybridMultilevel"/>
    <w:tmpl w:val="D60283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DAC7CEB"/>
    <w:multiLevelType w:val="hybridMultilevel"/>
    <w:tmpl w:val="0A92F4DC"/>
    <w:lvl w:ilvl="0" w:tplc="34E8308C">
      <w:start w:val="1"/>
      <w:numFmt w:val="decimal"/>
      <w:lvlText w:val="%1."/>
      <w:lvlJc w:val="left"/>
      <w:pPr>
        <w:ind w:left="720" w:hanging="360"/>
      </w:pPr>
      <w:rPr>
        <w:rFonts w:ascii="Arial" w:eastAsiaTheme="minorHAnsi" w:hAnsi="Arial"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7B785C"/>
    <w:multiLevelType w:val="hybridMultilevel"/>
    <w:tmpl w:val="EC5C1D8A"/>
    <w:lvl w:ilvl="0" w:tplc="34E8308C">
      <w:start w:val="1"/>
      <w:numFmt w:val="decimal"/>
      <w:lvlText w:val="%1."/>
      <w:lvlJc w:val="left"/>
      <w:pPr>
        <w:ind w:left="720" w:hanging="360"/>
      </w:pPr>
      <w:rPr>
        <w:rFonts w:ascii="Arial" w:eastAsiaTheme="minorHAnsi" w:hAnsi="Arial" w:cstheme="minorBidi"/>
      </w:rPr>
    </w:lvl>
    <w:lvl w:ilvl="1" w:tplc="0C090001">
      <w:start w:val="1"/>
      <w:numFmt w:val="bullet"/>
      <w:lvlText w:val=""/>
      <w:lvlJc w:val="left"/>
      <w:pPr>
        <w:ind w:left="78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742EB1"/>
    <w:multiLevelType w:val="hybridMultilevel"/>
    <w:tmpl w:val="434C2130"/>
    <w:lvl w:ilvl="0" w:tplc="34E8308C">
      <w:start w:val="1"/>
      <w:numFmt w:val="decimal"/>
      <w:lvlText w:val="%1."/>
      <w:lvlJc w:val="left"/>
      <w:pPr>
        <w:ind w:left="720" w:hanging="360"/>
      </w:pPr>
      <w:rPr>
        <w:rFonts w:ascii="Arial" w:eastAsiaTheme="minorHAnsi" w:hAnsi="Arial"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303D26"/>
    <w:multiLevelType w:val="hybridMultilevel"/>
    <w:tmpl w:val="4258AC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39775E6"/>
    <w:multiLevelType w:val="multilevel"/>
    <w:tmpl w:val="AA58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F966D2"/>
    <w:multiLevelType w:val="hybridMultilevel"/>
    <w:tmpl w:val="252ED8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9D1D07"/>
    <w:multiLevelType w:val="hybridMultilevel"/>
    <w:tmpl w:val="9FB437E4"/>
    <w:lvl w:ilvl="0" w:tplc="34E8308C">
      <w:start w:val="1"/>
      <w:numFmt w:val="decimal"/>
      <w:lvlText w:val="%1."/>
      <w:lvlJc w:val="left"/>
      <w:pPr>
        <w:ind w:left="720" w:hanging="360"/>
      </w:pPr>
      <w:rPr>
        <w:rFonts w:ascii="Arial" w:eastAsiaTheme="minorHAnsi" w:hAnsi="Arial"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31340351">
    <w:abstractNumId w:val="5"/>
  </w:num>
  <w:num w:numId="2" w16cid:durableId="1528758298">
    <w:abstractNumId w:val="8"/>
  </w:num>
  <w:num w:numId="3" w16cid:durableId="1025719084">
    <w:abstractNumId w:val="19"/>
  </w:num>
  <w:num w:numId="4" w16cid:durableId="1976524220">
    <w:abstractNumId w:val="13"/>
  </w:num>
  <w:num w:numId="5" w16cid:durableId="1424448796">
    <w:abstractNumId w:val="12"/>
  </w:num>
  <w:num w:numId="6" w16cid:durableId="1170367615">
    <w:abstractNumId w:val="4"/>
  </w:num>
  <w:num w:numId="7" w16cid:durableId="185944118">
    <w:abstractNumId w:val="6"/>
  </w:num>
  <w:num w:numId="8" w16cid:durableId="1181746977">
    <w:abstractNumId w:val="9"/>
  </w:num>
  <w:num w:numId="9" w16cid:durableId="1308390858">
    <w:abstractNumId w:val="1"/>
  </w:num>
  <w:num w:numId="10" w16cid:durableId="769279228">
    <w:abstractNumId w:val="15"/>
  </w:num>
  <w:num w:numId="11" w16cid:durableId="1216282777">
    <w:abstractNumId w:val="23"/>
  </w:num>
  <w:num w:numId="12" w16cid:durableId="707149892">
    <w:abstractNumId w:val="10"/>
  </w:num>
  <w:num w:numId="13" w16cid:durableId="84496364">
    <w:abstractNumId w:val="2"/>
  </w:num>
  <w:num w:numId="14" w16cid:durableId="1712877151">
    <w:abstractNumId w:val="24"/>
  </w:num>
  <w:num w:numId="15" w16cid:durableId="70927347">
    <w:abstractNumId w:val="3"/>
  </w:num>
  <w:num w:numId="16" w16cid:durableId="515923242">
    <w:abstractNumId w:val="11"/>
  </w:num>
  <w:num w:numId="17" w16cid:durableId="1326206187">
    <w:abstractNumId w:val="16"/>
  </w:num>
  <w:num w:numId="18" w16cid:durableId="90660181">
    <w:abstractNumId w:val="14"/>
  </w:num>
  <w:num w:numId="19" w16cid:durableId="735978038">
    <w:abstractNumId w:val="7"/>
  </w:num>
  <w:num w:numId="20" w16cid:durableId="1959138771">
    <w:abstractNumId w:val="0"/>
  </w:num>
  <w:num w:numId="21" w16cid:durableId="2065787620">
    <w:abstractNumId w:val="22"/>
  </w:num>
  <w:num w:numId="22" w16cid:durableId="1221017439">
    <w:abstractNumId w:val="20"/>
  </w:num>
  <w:num w:numId="23" w16cid:durableId="2005426137">
    <w:abstractNumId w:val="18"/>
  </w:num>
  <w:num w:numId="24" w16cid:durableId="1433091778">
    <w:abstractNumId w:val="21"/>
  </w:num>
  <w:num w:numId="25" w16cid:durableId="8171841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1B"/>
    <w:rsid w:val="00007BDC"/>
    <w:rsid w:val="00013CA6"/>
    <w:rsid w:val="00013E57"/>
    <w:rsid w:val="000217EF"/>
    <w:rsid w:val="00034C83"/>
    <w:rsid w:val="00034F66"/>
    <w:rsid w:val="00047F2E"/>
    <w:rsid w:val="00052361"/>
    <w:rsid w:val="00056C8B"/>
    <w:rsid w:val="0008361F"/>
    <w:rsid w:val="00090190"/>
    <w:rsid w:val="000B1B36"/>
    <w:rsid w:val="000B3841"/>
    <w:rsid w:val="000B5C42"/>
    <w:rsid w:val="000C4E3C"/>
    <w:rsid w:val="000D15F7"/>
    <w:rsid w:val="000D4242"/>
    <w:rsid w:val="000E145D"/>
    <w:rsid w:val="000F5D78"/>
    <w:rsid w:val="00115410"/>
    <w:rsid w:val="0012625E"/>
    <w:rsid w:val="00134AB9"/>
    <w:rsid w:val="00151CE6"/>
    <w:rsid w:val="00153BA1"/>
    <w:rsid w:val="0015702F"/>
    <w:rsid w:val="00180FD7"/>
    <w:rsid w:val="00181D76"/>
    <w:rsid w:val="001873C2"/>
    <w:rsid w:val="00192258"/>
    <w:rsid w:val="0019366E"/>
    <w:rsid w:val="001B346C"/>
    <w:rsid w:val="001C65E5"/>
    <w:rsid w:val="001E078A"/>
    <w:rsid w:val="00201610"/>
    <w:rsid w:val="002023A1"/>
    <w:rsid w:val="002036CB"/>
    <w:rsid w:val="002146C2"/>
    <w:rsid w:val="00221693"/>
    <w:rsid w:val="0022725A"/>
    <w:rsid w:val="002418B4"/>
    <w:rsid w:val="00256B57"/>
    <w:rsid w:val="00257473"/>
    <w:rsid w:val="00261C24"/>
    <w:rsid w:val="00272F06"/>
    <w:rsid w:val="00273951"/>
    <w:rsid w:val="002773D2"/>
    <w:rsid w:val="00294F30"/>
    <w:rsid w:val="002A2102"/>
    <w:rsid w:val="002C7418"/>
    <w:rsid w:val="002D2F48"/>
    <w:rsid w:val="002D3526"/>
    <w:rsid w:val="002D4383"/>
    <w:rsid w:val="002E49C3"/>
    <w:rsid w:val="002F4C82"/>
    <w:rsid w:val="002F7DCF"/>
    <w:rsid w:val="00320118"/>
    <w:rsid w:val="00327E0A"/>
    <w:rsid w:val="003630AD"/>
    <w:rsid w:val="003632F4"/>
    <w:rsid w:val="0038262A"/>
    <w:rsid w:val="00383A35"/>
    <w:rsid w:val="00385E82"/>
    <w:rsid w:val="00395B21"/>
    <w:rsid w:val="003A03DA"/>
    <w:rsid w:val="003A3EA5"/>
    <w:rsid w:val="003A73E8"/>
    <w:rsid w:val="003B5CD2"/>
    <w:rsid w:val="003C1200"/>
    <w:rsid w:val="003C75AF"/>
    <w:rsid w:val="003E0AC0"/>
    <w:rsid w:val="003F5411"/>
    <w:rsid w:val="00404AB5"/>
    <w:rsid w:val="004062C3"/>
    <w:rsid w:val="00417F91"/>
    <w:rsid w:val="00420FF9"/>
    <w:rsid w:val="00453754"/>
    <w:rsid w:val="00456A63"/>
    <w:rsid w:val="0046247C"/>
    <w:rsid w:val="00466707"/>
    <w:rsid w:val="00467FD1"/>
    <w:rsid w:val="004719E0"/>
    <w:rsid w:val="00476099"/>
    <w:rsid w:val="00477500"/>
    <w:rsid w:val="004775CA"/>
    <w:rsid w:val="004A00B4"/>
    <w:rsid w:val="004A1755"/>
    <w:rsid w:val="004A575D"/>
    <w:rsid w:val="004B3639"/>
    <w:rsid w:val="004C1DFC"/>
    <w:rsid w:val="004C6681"/>
    <w:rsid w:val="004D6FB4"/>
    <w:rsid w:val="004E47B8"/>
    <w:rsid w:val="004F6B51"/>
    <w:rsid w:val="00504042"/>
    <w:rsid w:val="005069C0"/>
    <w:rsid w:val="0051491B"/>
    <w:rsid w:val="00514AB4"/>
    <w:rsid w:val="005268C2"/>
    <w:rsid w:val="00531666"/>
    <w:rsid w:val="00541FCB"/>
    <w:rsid w:val="0055028B"/>
    <w:rsid w:val="00551524"/>
    <w:rsid w:val="00551A17"/>
    <w:rsid w:val="005526F0"/>
    <w:rsid w:val="0055769E"/>
    <w:rsid w:val="00580C90"/>
    <w:rsid w:val="005819B1"/>
    <w:rsid w:val="00591177"/>
    <w:rsid w:val="00593058"/>
    <w:rsid w:val="005939E3"/>
    <w:rsid w:val="005A1879"/>
    <w:rsid w:val="005A1A9E"/>
    <w:rsid w:val="005A4C3A"/>
    <w:rsid w:val="005B6378"/>
    <w:rsid w:val="005B7385"/>
    <w:rsid w:val="005B781A"/>
    <w:rsid w:val="005C49E3"/>
    <w:rsid w:val="005C4C5F"/>
    <w:rsid w:val="005E6B37"/>
    <w:rsid w:val="005F2587"/>
    <w:rsid w:val="006056A8"/>
    <w:rsid w:val="0061623F"/>
    <w:rsid w:val="00631EB0"/>
    <w:rsid w:val="00644B0D"/>
    <w:rsid w:val="00650DC0"/>
    <w:rsid w:val="00660665"/>
    <w:rsid w:val="006667C6"/>
    <w:rsid w:val="00674839"/>
    <w:rsid w:val="00682613"/>
    <w:rsid w:val="00693ACF"/>
    <w:rsid w:val="00696691"/>
    <w:rsid w:val="006A2316"/>
    <w:rsid w:val="006C1550"/>
    <w:rsid w:val="006C7D9D"/>
    <w:rsid w:val="006D7195"/>
    <w:rsid w:val="006E3980"/>
    <w:rsid w:val="00706300"/>
    <w:rsid w:val="007238A3"/>
    <w:rsid w:val="0074025A"/>
    <w:rsid w:val="007429C3"/>
    <w:rsid w:val="007467A8"/>
    <w:rsid w:val="00762A6E"/>
    <w:rsid w:val="00764469"/>
    <w:rsid w:val="00794A1D"/>
    <w:rsid w:val="00794E72"/>
    <w:rsid w:val="00796112"/>
    <w:rsid w:val="007A16F1"/>
    <w:rsid w:val="007A7CBB"/>
    <w:rsid w:val="007C1F68"/>
    <w:rsid w:val="007D1433"/>
    <w:rsid w:val="007D643A"/>
    <w:rsid w:val="007E1132"/>
    <w:rsid w:val="007E12FC"/>
    <w:rsid w:val="007E5882"/>
    <w:rsid w:val="007F6C2E"/>
    <w:rsid w:val="008116AC"/>
    <w:rsid w:val="00817B7D"/>
    <w:rsid w:val="00832BB4"/>
    <w:rsid w:val="008512EE"/>
    <w:rsid w:val="008533EB"/>
    <w:rsid w:val="00860983"/>
    <w:rsid w:val="00862DC7"/>
    <w:rsid w:val="00865857"/>
    <w:rsid w:val="008950B2"/>
    <w:rsid w:val="00895E5F"/>
    <w:rsid w:val="008A4542"/>
    <w:rsid w:val="008A4CEB"/>
    <w:rsid w:val="008A6B4B"/>
    <w:rsid w:val="008B42DA"/>
    <w:rsid w:val="008E12BA"/>
    <w:rsid w:val="008E578B"/>
    <w:rsid w:val="008F0EDD"/>
    <w:rsid w:val="00900845"/>
    <w:rsid w:val="00901FFB"/>
    <w:rsid w:val="009024FC"/>
    <w:rsid w:val="00912303"/>
    <w:rsid w:val="0091552E"/>
    <w:rsid w:val="009334E8"/>
    <w:rsid w:val="00943B19"/>
    <w:rsid w:val="00945FC9"/>
    <w:rsid w:val="00962159"/>
    <w:rsid w:val="00967243"/>
    <w:rsid w:val="009772F3"/>
    <w:rsid w:val="009779A4"/>
    <w:rsid w:val="00980218"/>
    <w:rsid w:val="009924A2"/>
    <w:rsid w:val="00992948"/>
    <w:rsid w:val="009A73C4"/>
    <w:rsid w:val="009C0CF9"/>
    <w:rsid w:val="009D2F01"/>
    <w:rsid w:val="009E30E8"/>
    <w:rsid w:val="009E3BA4"/>
    <w:rsid w:val="009E6610"/>
    <w:rsid w:val="009F0B6F"/>
    <w:rsid w:val="00A02D30"/>
    <w:rsid w:val="00A24CDC"/>
    <w:rsid w:val="00A36050"/>
    <w:rsid w:val="00A42069"/>
    <w:rsid w:val="00A64857"/>
    <w:rsid w:val="00A746F7"/>
    <w:rsid w:val="00A85CC8"/>
    <w:rsid w:val="00A86030"/>
    <w:rsid w:val="00A90DA4"/>
    <w:rsid w:val="00A96334"/>
    <w:rsid w:val="00A97027"/>
    <w:rsid w:val="00AA1687"/>
    <w:rsid w:val="00AB2F4B"/>
    <w:rsid w:val="00AC7944"/>
    <w:rsid w:val="00AD6BDF"/>
    <w:rsid w:val="00AE5B9A"/>
    <w:rsid w:val="00AE6111"/>
    <w:rsid w:val="00B01B96"/>
    <w:rsid w:val="00B03C51"/>
    <w:rsid w:val="00B165EA"/>
    <w:rsid w:val="00B22303"/>
    <w:rsid w:val="00B311A5"/>
    <w:rsid w:val="00B3415B"/>
    <w:rsid w:val="00B4485E"/>
    <w:rsid w:val="00B8057E"/>
    <w:rsid w:val="00BA111B"/>
    <w:rsid w:val="00BB56AA"/>
    <w:rsid w:val="00BC15B5"/>
    <w:rsid w:val="00BD0D84"/>
    <w:rsid w:val="00BF0003"/>
    <w:rsid w:val="00BF1BFA"/>
    <w:rsid w:val="00BF5B95"/>
    <w:rsid w:val="00C07543"/>
    <w:rsid w:val="00C14BF3"/>
    <w:rsid w:val="00C257EB"/>
    <w:rsid w:val="00C2593C"/>
    <w:rsid w:val="00C2772C"/>
    <w:rsid w:val="00C35654"/>
    <w:rsid w:val="00C3797A"/>
    <w:rsid w:val="00C4076A"/>
    <w:rsid w:val="00C60897"/>
    <w:rsid w:val="00C64179"/>
    <w:rsid w:val="00C7046A"/>
    <w:rsid w:val="00C707DA"/>
    <w:rsid w:val="00C83CEA"/>
    <w:rsid w:val="00C93325"/>
    <w:rsid w:val="00CA4592"/>
    <w:rsid w:val="00CA4959"/>
    <w:rsid w:val="00CA4F12"/>
    <w:rsid w:val="00CD5D55"/>
    <w:rsid w:val="00D03756"/>
    <w:rsid w:val="00D0492D"/>
    <w:rsid w:val="00D05FAB"/>
    <w:rsid w:val="00D258DB"/>
    <w:rsid w:val="00D30B2E"/>
    <w:rsid w:val="00D31C33"/>
    <w:rsid w:val="00D36A69"/>
    <w:rsid w:val="00D4047B"/>
    <w:rsid w:val="00D40CBB"/>
    <w:rsid w:val="00D5157D"/>
    <w:rsid w:val="00D80297"/>
    <w:rsid w:val="00D9722C"/>
    <w:rsid w:val="00DA23DB"/>
    <w:rsid w:val="00DC2142"/>
    <w:rsid w:val="00DC3C1A"/>
    <w:rsid w:val="00DE20F9"/>
    <w:rsid w:val="00DE210C"/>
    <w:rsid w:val="00DF0967"/>
    <w:rsid w:val="00DF18B6"/>
    <w:rsid w:val="00E01661"/>
    <w:rsid w:val="00E1427A"/>
    <w:rsid w:val="00E1428E"/>
    <w:rsid w:val="00E14CF6"/>
    <w:rsid w:val="00E227CA"/>
    <w:rsid w:val="00E2410A"/>
    <w:rsid w:val="00E365E7"/>
    <w:rsid w:val="00E37A04"/>
    <w:rsid w:val="00E43848"/>
    <w:rsid w:val="00E563A4"/>
    <w:rsid w:val="00E56B9B"/>
    <w:rsid w:val="00E6206C"/>
    <w:rsid w:val="00E62C9C"/>
    <w:rsid w:val="00E6376E"/>
    <w:rsid w:val="00E667A8"/>
    <w:rsid w:val="00E74AD9"/>
    <w:rsid w:val="00E8109E"/>
    <w:rsid w:val="00E82C71"/>
    <w:rsid w:val="00E831E7"/>
    <w:rsid w:val="00E83896"/>
    <w:rsid w:val="00E84B1A"/>
    <w:rsid w:val="00E8594B"/>
    <w:rsid w:val="00EB46F7"/>
    <w:rsid w:val="00EB5F76"/>
    <w:rsid w:val="00EC1DD4"/>
    <w:rsid w:val="00EC358B"/>
    <w:rsid w:val="00ED30AF"/>
    <w:rsid w:val="00F047DE"/>
    <w:rsid w:val="00F05472"/>
    <w:rsid w:val="00F173D8"/>
    <w:rsid w:val="00F2229B"/>
    <w:rsid w:val="00F25B59"/>
    <w:rsid w:val="00F3071C"/>
    <w:rsid w:val="00F34A1C"/>
    <w:rsid w:val="00F3741A"/>
    <w:rsid w:val="00F44C2F"/>
    <w:rsid w:val="00F472EE"/>
    <w:rsid w:val="00F533EB"/>
    <w:rsid w:val="00F6709B"/>
    <w:rsid w:val="00FA1C61"/>
    <w:rsid w:val="00FA2F08"/>
    <w:rsid w:val="00FA4FA8"/>
    <w:rsid w:val="00FA7C57"/>
    <w:rsid w:val="00FB060E"/>
    <w:rsid w:val="00FB13B6"/>
    <w:rsid w:val="00FB61FB"/>
    <w:rsid w:val="00FD09C7"/>
    <w:rsid w:val="00FD1987"/>
    <w:rsid w:val="00FE070D"/>
    <w:rsid w:val="00FE602E"/>
    <w:rsid w:val="00FF47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6CE78"/>
  <w15:chartTrackingRefBased/>
  <w15:docId w15:val="{0ED692CE-4E14-4EAA-B0F7-FE9F01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5E5"/>
    <w:pPr>
      <w:spacing w:line="240" w:lineRule="auto"/>
    </w:pPr>
    <w:rPr>
      <w:rFonts w:ascii="Arial" w:hAnsi="Arial"/>
    </w:rPr>
  </w:style>
  <w:style w:type="paragraph" w:styleId="Heading1">
    <w:name w:val="heading 1"/>
    <w:basedOn w:val="Normal"/>
    <w:next w:val="Normal"/>
    <w:link w:val="Heading1Char"/>
    <w:uiPriority w:val="9"/>
    <w:qFormat/>
    <w:rsid w:val="00B01B96"/>
    <w:pPr>
      <w:keepNext/>
      <w:keepLines/>
      <w:spacing w:before="360" w:after="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B01B96"/>
    <w:pPr>
      <w:keepNext/>
      <w:keepLines/>
      <w:spacing w:before="160" w:after="80"/>
      <w:outlineLvl w:val="1"/>
    </w:pPr>
    <w:rPr>
      <w:rFonts w:eastAsiaTheme="majorEastAsia" w:cstheme="majorBidi"/>
      <w:color w:val="000000" w:themeColor="text1"/>
      <w:sz w:val="32"/>
      <w:szCs w:val="32"/>
    </w:rPr>
  </w:style>
  <w:style w:type="paragraph" w:styleId="Heading3">
    <w:name w:val="heading 3"/>
    <w:basedOn w:val="Normal"/>
    <w:next w:val="Normal"/>
    <w:link w:val="Heading3Char"/>
    <w:uiPriority w:val="9"/>
    <w:unhideWhenUsed/>
    <w:qFormat/>
    <w:rsid w:val="005B781A"/>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qFormat/>
    <w:rsid w:val="005B781A"/>
    <w:pPr>
      <w:keepNext/>
      <w:keepLines/>
      <w:spacing w:before="80" w:after="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B01B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B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B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B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B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B96"/>
    <w:rPr>
      <w:rFonts w:ascii="Arial" w:eastAsiaTheme="majorEastAsia" w:hAnsi="Arial" w:cstheme="majorBidi"/>
      <w:sz w:val="40"/>
      <w:szCs w:val="40"/>
    </w:rPr>
  </w:style>
  <w:style w:type="character" w:customStyle="1" w:styleId="Heading2Char">
    <w:name w:val="Heading 2 Char"/>
    <w:basedOn w:val="DefaultParagraphFont"/>
    <w:link w:val="Heading2"/>
    <w:uiPriority w:val="9"/>
    <w:rsid w:val="00B01B96"/>
    <w:rPr>
      <w:rFonts w:ascii="Arial" w:eastAsiaTheme="majorEastAsia" w:hAnsi="Arial" w:cstheme="majorBidi"/>
      <w:color w:val="000000" w:themeColor="text1"/>
      <w:sz w:val="32"/>
      <w:szCs w:val="32"/>
    </w:rPr>
  </w:style>
  <w:style w:type="character" w:customStyle="1" w:styleId="Heading3Char">
    <w:name w:val="Heading 3 Char"/>
    <w:basedOn w:val="DefaultParagraphFont"/>
    <w:link w:val="Heading3"/>
    <w:uiPriority w:val="9"/>
    <w:rsid w:val="005B781A"/>
    <w:rPr>
      <w:rFonts w:ascii="Arial" w:eastAsiaTheme="majorEastAsia" w:hAnsi="Arial" w:cstheme="majorBidi"/>
      <w:color w:val="000000" w:themeColor="text1"/>
      <w:sz w:val="28"/>
      <w:szCs w:val="28"/>
    </w:rPr>
  </w:style>
  <w:style w:type="character" w:customStyle="1" w:styleId="Heading4Char">
    <w:name w:val="Heading 4 Char"/>
    <w:basedOn w:val="DefaultParagraphFont"/>
    <w:link w:val="Heading4"/>
    <w:uiPriority w:val="9"/>
    <w:rsid w:val="005B781A"/>
    <w:rPr>
      <w:rFonts w:ascii="Arial" w:eastAsiaTheme="majorEastAsia" w:hAnsi="Arial" w:cstheme="majorBidi"/>
      <w:b/>
      <w:iCs/>
    </w:rPr>
  </w:style>
  <w:style w:type="character" w:customStyle="1" w:styleId="Heading5Char">
    <w:name w:val="Heading 5 Char"/>
    <w:basedOn w:val="DefaultParagraphFont"/>
    <w:link w:val="Heading5"/>
    <w:uiPriority w:val="9"/>
    <w:semiHidden/>
    <w:rsid w:val="00B01B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B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B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B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B96"/>
    <w:rPr>
      <w:rFonts w:eastAsiaTheme="majorEastAsia" w:cstheme="majorBidi"/>
      <w:color w:val="272727" w:themeColor="text1" w:themeTint="D8"/>
    </w:rPr>
  </w:style>
  <w:style w:type="paragraph" w:styleId="Title">
    <w:name w:val="Title"/>
    <w:basedOn w:val="Normal"/>
    <w:next w:val="Normal"/>
    <w:link w:val="TitleChar"/>
    <w:uiPriority w:val="10"/>
    <w:qFormat/>
    <w:rsid w:val="00B01B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B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B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B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B96"/>
    <w:pPr>
      <w:spacing w:before="160"/>
      <w:jc w:val="center"/>
    </w:pPr>
    <w:rPr>
      <w:i/>
      <w:iCs/>
      <w:color w:val="404040" w:themeColor="text1" w:themeTint="BF"/>
    </w:rPr>
  </w:style>
  <w:style w:type="character" w:customStyle="1" w:styleId="QuoteChar">
    <w:name w:val="Quote Char"/>
    <w:basedOn w:val="DefaultParagraphFont"/>
    <w:link w:val="Quote"/>
    <w:uiPriority w:val="29"/>
    <w:rsid w:val="00B01B96"/>
    <w:rPr>
      <w:i/>
      <w:iCs/>
      <w:color w:val="404040" w:themeColor="text1" w:themeTint="BF"/>
    </w:rPr>
  </w:style>
  <w:style w:type="paragraph" w:styleId="ListParagraph">
    <w:name w:val="List Paragraph"/>
    <w:basedOn w:val="Normal"/>
    <w:uiPriority w:val="34"/>
    <w:qFormat/>
    <w:rsid w:val="00B01B96"/>
    <w:pPr>
      <w:ind w:left="720"/>
      <w:contextualSpacing/>
    </w:pPr>
  </w:style>
  <w:style w:type="character" w:styleId="IntenseEmphasis">
    <w:name w:val="Intense Emphasis"/>
    <w:basedOn w:val="DefaultParagraphFont"/>
    <w:uiPriority w:val="21"/>
    <w:qFormat/>
    <w:rsid w:val="00B01B96"/>
    <w:rPr>
      <w:i/>
      <w:iCs/>
      <w:color w:val="0F4761" w:themeColor="accent1" w:themeShade="BF"/>
    </w:rPr>
  </w:style>
  <w:style w:type="paragraph" w:styleId="IntenseQuote">
    <w:name w:val="Intense Quote"/>
    <w:basedOn w:val="Normal"/>
    <w:next w:val="Normal"/>
    <w:link w:val="IntenseQuoteChar"/>
    <w:uiPriority w:val="30"/>
    <w:qFormat/>
    <w:rsid w:val="00B01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B96"/>
    <w:rPr>
      <w:i/>
      <w:iCs/>
      <w:color w:val="0F4761" w:themeColor="accent1" w:themeShade="BF"/>
    </w:rPr>
  </w:style>
  <w:style w:type="character" w:styleId="IntenseReference">
    <w:name w:val="Intense Reference"/>
    <w:basedOn w:val="DefaultParagraphFont"/>
    <w:uiPriority w:val="32"/>
    <w:qFormat/>
    <w:rsid w:val="00B01B96"/>
    <w:rPr>
      <w:b/>
      <w:bCs/>
      <w:smallCaps/>
      <w:color w:val="0F4761" w:themeColor="accent1" w:themeShade="BF"/>
      <w:spacing w:val="5"/>
    </w:rPr>
  </w:style>
  <w:style w:type="paragraph" w:styleId="Header">
    <w:name w:val="header"/>
    <w:basedOn w:val="Normal"/>
    <w:link w:val="HeaderChar"/>
    <w:uiPriority w:val="99"/>
    <w:unhideWhenUsed/>
    <w:rsid w:val="00B01B96"/>
    <w:pPr>
      <w:tabs>
        <w:tab w:val="center" w:pos="4513"/>
        <w:tab w:val="right" w:pos="9026"/>
      </w:tabs>
      <w:spacing w:after="0"/>
    </w:pPr>
  </w:style>
  <w:style w:type="character" w:customStyle="1" w:styleId="HeaderChar">
    <w:name w:val="Header Char"/>
    <w:basedOn w:val="DefaultParagraphFont"/>
    <w:link w:val="Header"/>
    <w:uiPriority w:val="99"/>
    <w:rsid w:val="00B01B96"/>
    <w:rPr>
      <w:rFonts w:ascii="Arial" w:hAnsi="Arial"/>
    </w:rPr>
  </w:style>
  <w:style w:type="paragraph" w:styleId="Footer">
    <w:name w:val="footer"/>
    <w:basedOn w:val="Normal"/>
    <w:link w:val="FooterChar"/>
    <w:uiPriority w:val="99"/>
    <w:unhideWhenUsed/>
    <w:rsid w:val="00B01B96"/>
    <w:pPr>
      <w:tabs>
        <w:tab w:val="center" w:pos="4513"/>
        <w:tab w:val="right" w:pos="9026"/>
      </w:tabs>
      <w:spacing w:after="0"/>
    </w:pPr>
  </w:style>
  <w:style w:type="character" w:customStyle="1" w:styleId="FooterChar">
    <w:name w:val="Footer Char"/>
    <w:basedOn w:val="DefaultParagraphFont"/>
    <w:link w:val="Footer"/>
    <w:uiPriority w:val="99"/>
    <w:rsid w:val="00B01B96"/>
    <w:rPr>
      <w:rFonts w:ascii="Arial" w:hAnsi="Arial"/>
    </w:rPr>
  </w:style>
  <w:style w:type="character" w:styleId="Hyperlink">
    <w:name w:val="Hyperlink"/>
    <w:basedOn w:val="DefaultParagraphFont"/>
    <w:uiPriority w:val="99"/>
    <w:unhideWhenUsed/>
    <w:rsid w:val="000B1B36"/>
    <w:rPr>
      <w:color w:val="467886" w:themeColor="hyperlink"/>
      <w:u w:val="single"/>
    </w:rPr>
  </w:style>
  <w:style w:type="table" w:styleId="TableGrid">
    <w:name w:val="Table Grid"/>
    <w:basedOn w:val="TableNormal"/>
    <w:uiPriority w:val="39"/>
    <w:rsid w:val="00BA1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4076A"/>
    <w:pPr>
      <w:spacing w:after="100"/>
    </w:pPr>
  </w:style>
  <w:style w:type="paragraph" w:styleId="TOC2">
    <w:name w:val="toc 2"/>
    <w:basedOn w:val="Normal"/>
    <w:next w:val="Normal"/>
    <w:autoRedefine/>
    <w:uiPriority w:val="39"/>
    <w:unhideWhenUsed/>
    <w:rsid w:val="00C4076A"/>
    <w:pPr>
      <w:spacing w:after="100"/>
      <w:ind w:left="220"/>
    </w:pPr>
  </w:style>
  <w:style w:type="table" w:styleId="GridTable4">
    <w:name w:val="Grid Table 4"/>
    <w:basedOn w:val="TableNormal"/>
    <w:uiPriority w:val="49"/>
    <w:rsid w:val="005B78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5B781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3">
    <w:name w:val="toc 3"/>
    <w:basedOn w:val="Normal"/>
    <w:next w:val="Normal"/>
    <w:autoRedefine/>
    <w:uiPriority w:val="39"/>
    <w:unhideWhenUsed/>
    <w:rsid w:val="005B781A"/>
    <w:pPr>
      <w:spacing w:after="100"/>
      <w:ind w:left="440"/>
    </w:pPr>
  </w:style>
  <w:style w:type="character" w:styleId="UnresolvedMention">
    <w:name w:val="Unresolved Mention"/>
    <w:basedOn w:val="DefaultParagraphFont"/>
    <w:uiPriority w:val="99"/>
    <w:semiHidden/>
    <w:unhideWhenUsed/>
    <w:rsid w:val="005E6B37"/>
    <w:rPr>
      <w:color w:val="605E5C"/>
      <w:shd w:val="clear" w:color="auto" w:fill="E1DFDD"/>
    </w:rPr>
  </w:style>
  <w:style w:type="paragraph" w:styleId="TOCHeading">
    <w:name w:val="TOC Heading"/>
    <w:basedOn w:val="Heading1"/>
    <w:next w:val="Normal"/>
    <w:uiPriority w:val="39"/>
    <w:unhideWhenUsed/>
    <w:qFormat/>
    <w:rsid w:val="006C1550"/>
    <w:pPr>
      <w:spacing w:before="240" w:after="0" w:line="259" w:lineRule="auto"/>
      <w:outlineLvl w:val="9"/>
    </w:pPr>
    <w:rPr>
      <w:rFonts w:asciiTheme="majorHAnsi" w:hAnsiTheme="majorHAnsi"/>
      <w:color w:val="0F4761" w:themeColor="accent1" w:themeShade="BF"/>
      <w:sz w:val="32"/>
      <w:szCs w:val="32"/>
      <w:lang w:val="en-US"/>
    </w:rPr>
  </w:style>
  <w:style w:type="character" w:styleId="FollowedHyperlink">
    <w:name w:val="FollowedHyperlink"/>
    <w:basedOn w:val="DefaultParagraphFont"/>
    <w:uiPriority w:val="99"/>
    <w:semiHidden/>
    <w:unhideWhenUsed/>
    <w:rsid w:val="00007BDC"/>
    <w:rPr>
      <w:color w:val="96607D" w:themeColor="followedHyperlink"/>
      <w:u w:val="single"/>
    </w:rPr>
  </w:style>
  <w:style w:type="paragraph" w:styleId="FootnoteText">
    <w:name w:val="footnote text"/>
    <w:basedOn w:val="Normal"/>
    <w:link w:val="FootnoteTextChar"/>
    <w:uiPriority w:val="99"/>
    <w:semiHidden/>
    <w:unhideWhenUsed/>
    <w:rsid w:val="00992948"/>
    <w:pPr>
      <w:spacing w:after="0"/>
    </w:pPr>
    <w:rPr>
      <w:sz w:val="20"/>
      <w:szCs w:val="20"/>
    </w:rPr>
  </w:style>
  <w:style w:type="character" w:customStyle="1" w:styleId="FootnoteTextChar">
    <w:name w:val="Footnote Text Char"/>
    <w:basedOn w:val="DefaultParagraphFont"/>
    <w:link w:val="FootnoteText"/>
    <w:uiPriority w:val="99"/>
    <w:semiHidden/>
    <w:rsid w:val="00992948"/>
    <w:rPr>
      <w:rFonts w:ascii="Arial" w:hAnsi="Arial"/>
      <w:sz w:val="20"/>
      <w:szCs w:val="20"/>
    </w:rPr>
  </w:style>
  <w:style w:type="character" w:styleId="FootnoteReference">
    <w:name w:val="footnote reference"/>
    <w:basedOn w:val="DefaultParagraphFont"/>
    <w:uiPriority w:val="99"/>
    <w:semiHidden/>
    <w:unhideWhenUsed/>
    <w:rsid w:val="00992948"/>
    <w:rPr>
      <w:vertAlign w:val="superscript"/>
    </w:rPr>
  </w:style>
  <w:style w:type="table" w:styleId="GridTable5Dark">
    <w:name w:val="Grid Table 5 Dark"/>
    <w:basedOn w:val="TableNormal"/>
    <w:uiPriority w:val="50"/>
    <w:rsid w:val="007E11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767095">
      <w:bodyDiv w:val="1"/>
      <w:marLeft w:val="0"/>
      <w:marRight w:val="0"/>
      <w:marTop w:val="0"/>
      <w:marBottom w:val="0"/>
      <w:divBdr>
        <w:top w:val="none" w:sz="0" w:space="0" w:color="auto"/>
        <w:left w:val="none" w:sz="0" w:space="0" w:color="auto"/>
        <w:bottom w:val="none" w:sz="0" w:space="0" w:color="auto"/>
        <w:right w:val="none" w:sz="0" w:space="0" w:color="auto"/>
      </w:divBdr>
    </w:div>
    <w:div w:id="531307717">
      <w:bodyDiv w:val="1"/>
      <w:marLeft w:val="0"/>
      <w:marRight w:val="0"/>
      <w:marTop w:val="0"/>
      <w:marBottom w:val="0"/>
      <w:divBdr>
        <w:top w:val="none" w:sz="0" w:space="0" w:color="auto"/>
        <w:left w:val="none" w:sz="0" w:space="0" w:color="auto"/>
        <w:bottom w:val="none" w:sz="0" w:space="0" w:color="auto"/>
        <w:right w:val="none" w:sz="0" w:space="0" w:color="auto"/>
      </w:divBdr>
    </w:div>
    <w:div w:id="863324223">
      <w:bodyDiv w:val="1"/>
      <w:marLeft w:val="0"/>
      <w:marRight w:val="0"/>
      <w:marTop w:val="0"/>
      <w:marBottom w:val="0"/>
      <w:divBdr>
        <w:top w:val="none" w:sz="0" w:space="0" w:color="auto"/>
        <w:left w:val="none" w:sz="0" w:space="0" w:color="auto"/>
        <w:bottom w:val="none" w:sz="0" w:space="0" w:color="auto"/>
        <w:right w:val="none" w:sz="0" w:space="0" w:color="auto"/>
      </w:divBdr>
    </w:div>
    <w:div w:id="1587225855">
      <w:bodyDiv w:val="1"/>
      <w:marLeft w:val="0"/>
      <w:marRight w:val="0"/>
      <w:marTop w:val="0"/>
      <w:marBottom w:val="0"/>
      <w:divBdr>
        <w:top w:val="none" w:sz="0" w:space="0" w:color="auto"/>
        <w:left w:val="none" w:sz="0" w:space="0" w:color="auto"/>
        <w:bottom w:val="none" w:sz="0" w:space="0" w:color="auto"/>
        <w:right w:val="none" w:sz="0" w:space="0" w:color="auto"/>
      </w:divBdr>
    </w:div>
    <w:div w:id="20927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bc.net.au/news/2022-04-08/f1-australian-grand-prix-returns-to-an-upgraded-circuit/10097282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bc.net.au/news/2022-04-11/record-crowd-for-melbourne-grand-prix/10098194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grandprix247.com/2020/12/19/essential-reasons-why-racing-can-be-good-for-yo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Documents\Custom%20Office%20Templates\ACCESSIBLE%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BD6055D1586B48BCF9C79C8C925CA7" ma:contentTypeVersion="17" ma:contentTypeDescription="Create a new document." ma:contentTypeScope="" ma:versionID="921c1008c736f10846c97219ca1fdd34">
  <xsd:schema xmlns:xsd="http://www.w3.org/2001/XMLSchema" xmlns:xs="http://www.w3.org/2001/XMLSchema" xmlns:p="http://schemas.microsoft.com/office/2006/metadata/properties" xmlns:ns3="18f4a4aa-8a41-4c71-a41b-9d8953ffc417" xmlns:ns4="d88dfa5a-fcdd-4741-97a3-05de3e48b444" targetNamespace="http://schemas.microsoft.com/office/2006/metadata/properties" ma:root="true" ma:fieldsID="b27da33baf1c7d5557d1bfe07d43701a" ns3:_="" ns4:_="">
    <xsd:import namespace="18f4a4aa-8a41-4c71-a41b-9d8953ffc417"/>
    <xsd:import namespace="d88dfa5a-fcdd-4741-97a3-05de3e48b4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4a4aa-8a41-4c71-a41b-9d8953ffc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8dfa5a-fcdd-4741-97a3-05de3e48b4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8f4a4aa-8a41-4c71-a41b-9d8953ffc417" xsi:nil="true"/>
  </documentManagement>
</p:properties>
</file>

<file path=customXml/itemProps1.xml><?xml version="1.0" encoding="utf-8"?>
<ds:datastoreItem xmlns:ds="http://schemas.openxmlformats.org/officeDocument/2006/customXml" ds:itemID="{F445C8B2-25BA-4F22-A7C3-9C06D5658C2A}">
  <ds:schemaRefs>
    <ds:schemaRef ds:uri="http://schemas.openxmlformats.org/officeDocument/2006/bibliography"/>
  </ds:schemaRefs>
</ds:datastoreItem>
</file>

<file path=customXml/itemProps2.xml><?xml version="1.0" encoding="utf-8"?>
<ds:datastoreItem xmlns:ds="http://schemas.openxmlformats.org/officeDocument/2006/customXml" ds:itemID="{2AEB0D5F-CAE5-4210-9748-4BD40A320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4a4aa-8a41-4c71-a41b-9d8953ffc417"/>
    <ds:schemaRef ds:uri="d88dfa5a-fcdd-4741-97a3-05de3e48b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B89EF-00CE-4065-AF3A-78D20E667FA8}">
  <ds:schemaRefs>
    <ds:schemaRef ds:uri="http://schemas.microsoft.com/sharepoint/v3/contenttype/forms"/>
  </ds:schemaRefs>
</ds:datastoreItem>
</file>

<file path=customXml/itemProps4.xml><?xml version="1.0" encoding="utf-8"?>
<ds:datastoreItem xmlns:ds="http://schemas.openxmlformats.org/officeDocument/2006/customXml" ds:itemID="{707F31B5-F448-470B-B377-2FF3E3C55CB9}">
  <ds:schemaRefs>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d88dfa5a-fcdd-4741-97a3-05de3e48b444"/>
    <ds:schemaRef ds:uri="18f4a4aa-8a41-4c71-a41b-9d8953ffc417"/>
  </ds:schemaRefs>
</ds:datastoreItem>
</file>

<file path=docProps/app.xml><?xml version="1.0" encoding="utf-8"?>
<Properties xmlns="http://schemas.openxmlformats.org/officeDocument/2006/extended-properties" xmlns:vt="http://schemas.openxmlformats.org/officeDocument/2006/docPropsVTypes">
  <Template>ACCESSIBLE VERSION.dotx</Template>
  <TotalTime>1</TotalTime>
  <Pages>14</Pages>
  <Words>4155</Words>
  <Characters>24621</Characters>
  <DocSecurity>0</DocSecurity>
  <Lines>205</Lines>
  <Paragraphs>57</Paragraphs>
  <ScaleCrop>false</ScaleCrop>
  <HeadingPairs>
    <vt:vector size="2" baseType="variant">
      <vt:variant>
        <vt:lpstr>Title</vt:lpstr>
      </vt:variant>
      <vt:variant>
        <vt:i4>1</vt:i4>
      </vt:variant>
    </vt:vector>
  </HeadingPairs>
  <TitlesOfParts>
    <vt:vector size="1" baseType="lpstr">
      <vt:lpstr>2022 Formula 1® Australian Grand Prix</vt:lpstr>
    </vt:vector>
  </TitlesOfParts>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Formula 1® Australian Grand Prix Economic Impact Assessment</dc:title>
  <dc:subject/>
  <cp:keywords/>
  <dc:description/>
  <dcterms:created xsi:type="dcterms:W3CDTF">2025-05-30T00:33:00Z</dcterms:created>
  <dcterms:modified xsi:type="dcterms:W3CDTF">2025-05-30T00:33:00Z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7799bd9d-75c6-4478-ba40-7ae2ec8b26ee</vt:lpwstr>
  </property>
  <property fmtid="{D5CDD505-2E9C-101B-9397-08002B2CF9AE}" pid="3" name="ClassificationContentMarkingHeaderShapeIds">
    <vt:lpwstr>66456902,4be24003,242c026e</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12a7b7c6,5b85fffd,3a63e85b</vt:lpwstr>
  </property>
  <property fmtid="{D5CDD505-2E9C-101B-9397-08002B2CF9AE}" pid="7" name="ClassificationContentMarkingFooterFontProps">
    <vt:lpwstr>#000000,12,Arial</vt:lpwstr>
  </property>
  <property fmtid="{D5CDD505-2E9C-101B-9397-08002B2CF9AE}" pid="8" name="ClassificationContentMarkingFooterText">
    <vt:lpwstr>OFFICIAL</vt:lpwstr>
  </property>
  <property fmtid="{D5CDD505-2E9C-101B-9397-08002B2CF9AE}" pid="9" name="MSIP_Label_d00a4df9-c942-4b09-b23a-6c1023f6de27_Enabled">
    <vt:lpwstr>true</vt:lpwstr>
  </property>
  <property fmtid="{D5CDD505-2E9C-101B-9397-08002B2CF9AE}" pid="10" name="MSIP_Label_d00a4df9-c942-4b09-b23a-6c1023f6de27_SetDate">
    <vt:lpwstr>2024-07-26T05:03:40Z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ffdd74df-5d29-4033-b03c-1a636f4cdca9</vt:lpwstr>
  </property>
  <property fmtid="{D5CDD505-2E9C-101B-9397-08002B2CF9AE}" pid="15" name="MSIP_Label_d00a4df9-c942-4b09-b23a-6c1023f6de27_ContentBits">
    <vt:lpwstr>3</vt:lpwstr>
  </property>
  <property fmtid="{D5CDD505-2E9C-101B-9397-08002B2CF9AE}" pid="16" name="ContentTypeId">
    <vt:lpwstr>0x01010034BD6055D1586B48BCF9C79C8C925CA7</vt:lpwstr>
  </property>
</Properties>
</file>