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90906142"/>
        <w:docPartObj>
          <w:docPartGallery w:val="Cover Pages"/>
          <w:docPartUnique/>
        </w:docPartObj>
        <w:rPr>
          <w:b w:val="0"/>
          <w:bCs w:val="0"/>
          <w:noProof/>
          <w:spacing w:val="-4"/>
          <w:sz w:val="28"/>
          <w:szCs w:val="28"/>
          <w:lang w:val="en-GB"/>
        </w:rPr>
      </w:sdtPr>
      <w:sdtContent>
        <w:p w:rsidRPr="00092AC5" w:rsidR="00A976CE" w:rsidP="00092AC5" w:rsidRDefault="00000000" w14:paraId="7B2B6415" w14:textId="460BDA9D">
          <w:pPr>
            <w:pStyle w:val="Title"/>
          </w:pPr>
          <w:sdt>
            <w:sdtPr>
              <w:id w:val="-1805535528"/>
              <w:placeholder>
                <w:docPart w:val="13E2FA8D3FF84C65AEB5F874C13A0D3E"/>
              </w:placeholder>
            </w:sdtPr>
            <w:sdtContent>
              <w:r w:rsidR="00D27849">
                <w:t>Professional Boxing and Combat Sports Board</w:t>
              </w:r>
            </w:sdtContent>
          </w:sdt>
        </w:p>
        <w:sdt>
          <w:sdtPr>
            <w:id w:val="-518473900"/>
            <w:placeholder>
              <w:docPart w:val="0225B6F482D14861A1D0B7DD4CF1B6EC"/>
            </w:placeholder>
          </w:sdtPr>
          <w:sdtContent>
            <w:p w:rsidRPr="00B20D0D" w:rsidR="00A976CE" w:rsidP="000E5E94" w:rsidRDefault="00D27849" w14:paraId="4AAB6E97" w14:textId="78AC200A">
              <w:pPr>
                <w:pStyle w:val="Subtitle"/>
                <w:spacing w:after="480"/>
              </w:pPr>
              <w:r>
                <w:t>COMPETITION MANIPULATION AND SPORT WAGERING POLICY</w:t>
              </w:r>
            </w:p>
          </w:sdtContent>
        </w:sdt>
      </w:sdtContent>
      <w:sdtEndPr>
        <w:rPr>
          <w:b w:val="0"/>
          <w:bCs w:val="0"/>
          <w:noProof/>
          <w:sz w:val="28"/>
          <w:szCs w:val="28"/>
          <w:lang w:val="en-GB"/>
        </w:rPr>
      </w:sdtEndPr>
    </w:sdt>
    <w:p w:rsidRPr="006F3ECF" w:rsidR="00D27849" w:rsidP="00D27849" w:rsidRDefault="00D27849" w14:paraId="4399BDBD" w14:textId="77777777">
      <w:pPr>
        <w:pStyle w:val="Heading1"/>
      </w:pPr>
      <w:bookmarkStart w:name="_Toc160459885" w:id="0"/>
      <w:r>
        <w:t>Purpose</w:t>
      </w:r>
    </w:p>
    <w:p w:rsidR="00D27849" w:rsidP="00D27849" w:rsidRDefault="00D27849" w14:paraId="7C10CE01" w14:textId="77777777">
      <w:pPr>
        <w:pStyle w:val="ListParagraph"/>
        <w:numPr>
          <w:ilvl w:val="0"/>
          <w:numId w:val="11"/>
        </w:numPr>
        <w:ind w:left="426" w:hanging="426"/>
      </w:pPr>
      <w:r>
        <w:t>This Policy sets out the position of the Professional Boxing and Combat Sports Board (the Board) on competition manipulation and sport wagering.</w:t>
      </w:r>
    </w:p>
    <w:p w:rsidR="00D27849" w:rsidP="00D27849" w:rsidRDefault="00D27849" w14:paraId="2BBBEE1B" w14:textId="77777777">
      <w:pPr>
        <w:pStyle w:val="ListParagraph"/>
        <w:ind w:left="426"/>
      </w:pPr>
    </w:p>
    <w:p w:rsidR="00D27849" w:rsidP="00D27849" w:rsidRDefault="00D27849" w14:paraId="63AA5175" w14:textId="77777777">
      <w:pPr>
        <w:pStyle w:val="ListParagraph"/>
        <w:numPr>
          <w:ilvl w:val="0"/>
          <w:numId w:val="11"/>
        </w:numPr>
        <w:ind w:left="426" w:hanging="426"/>
      </w:pPr>
      <w:r>
        <w:t xml:space="preserve">The manipulation of sporting competitions and related activities undermines the integrity of sport. </w:t>
      </w:r>
    </w:p>
    <w:p w:rsidR="00D27849" w:rsidP="00D27849" w:rsidRDefault="00D27849" w14:paraId="1803D291" w14:textId="77777777">
      <w:pPr>
        <w:pStyle w:val="ListParagraph"/>
        <w:ind w:left="426"/>
      </w:pPr>
    </w:p>
    <w:p w:rsidR="00D27849" w:rsidP="00D27849" w:rsidRDefault="00D27849" w14:paraId="65B1CF14" w14:textId="77777777">
      <w:pPr>
        <w:pStyle w:val="ListParagraph"/>
        <w:numPr>
          <w:ilvl w:val="0"/>
          <w:numId w:val="11"/>
        </w:numPr>
        <w:ind w:left="426" w:hanging="426"/>
      </w:pPr>
      <w:r>
        <w:t xml:space="preserve">Manipulating sporting competitions can be a crime and punishable by law. </w:t>
      </w:r>
    </w:p>
    <w:p w:rsidR="00D27849" w:rsidP="00D27849" w:rsidRDefault="00D27849" w14:paraId="71621A43" w14:textId="77777777">
      <w:pPr>
        <w:pStyle w:val="ListParagraph"/>
      </w:pPr>
    </w:p>
    <w:p w:rsidR="00D27849" w:rsidP="00D27849" w:rsidRDefault="00D27849" w14:paraId="5B968109" w14:textId="2C50CF37">
      <w:pPr>
        <w:pStyle w:val="ListParagraph"/>
        <w:numPr>
          <w:ilvl w:val="0"/>
          <w:numId w:val="11"/>
        </w:numPr>
        <w:ind w:left="426" w:hanging="426"/>
      </w:pPr>
      <w:r>
        <w:t>The purpose of this Policy is to protect the integrity of boxing and combat sports and to ensure that the core values, good reputation and positive behaviours and attitudes of the Board are maintained.</w:t>
      </w:r>
    </w:p>
    <w:p w:rsidR="00D27849" w:rsidP="00D27849" w:rsidRDefault="00D27849" w14:paraId="37E12A7C" w14:textId="77777777">
      <w:pPr>
        <w:pStyle w:val="Heading1"/>
      </w:pPr>
      <w:r>
        <w:t>Scope</w:t>
      </w:r>
    </w:p>
    <w:p w:rsidR="00D27849" w:rsidP="00D27849" w:rsidRDefault="00D27849" w14:paraId="5427A652" w14:textId="77777777">
      <w:pPr>
        <w:pStyle w:val="ListParagraph"/>
        <w:numPr>
          <w:ilvl w:val="0"/>
          <w:numId w:val="11"/>
        </w:numPr>
        <w:ind w:left="426" w:hanging="426"/>
      </w:pPr>
      <w:r w:rsidRPr="00916D88">
        <w:t>This Policy applies to Relevant Persons (defined below).</w:t>
      </w:r>
    </w:p>
    <w:p w:rsidR="00D27849" w:rsidP="00D27849" w:rsidRDefault="00D27849" w14:paraId="6ECD6B20" w14:textId="5C5E915F">
      <w:pPr>
        <w:pStyle w:val="Heading1"/>
      </w:pPr>
      <w:r>
        <w:t>Definitions</w:t>
      </w:r>
    </w:p>
    <w:p w:rsidR="00D27849" w:rsidP="00D27849" w:rsidRDefault="00D27849" w14:paraId="59939AB7" w14:textId="77777777">
      <w:pPr>
        <w:pStyle w:val="ListParagraph"/>
        <w:numPr>
          <w:ilvl w:val="1"/>
          <w:numId w:val="13"/>
        </w:numPr>
        <w:ind w:left="992" w:hanging="567"/>
      </w:pPr>
      <w:r w:rsidRPr="00C77BDC">
        <w:rPr>
          <w:b/>
          <w:bCs/>
        </w:rPr>
        <w:t>Activity</w:t>
      </w:r>
      <w:r>
        <w:t xml:space="preserve"> means a professional contest as defined in section 5 of the </w:t>
      </w:r>
      <w:r w:rsidRPr="00C77BDC">
        <w:rPr>
          <w:i/>
          <w:iCs/>
        </w:rPr>
        <w:t xml:space="preserve">Professional Boxing and Combat Sports Act 1985 </w:t>
      </w:r>
      <w:r>
        <w:t>(the Act).</w:t>
      </w:r>
    </w:p>
    <w:p w:rsidR="00D27849" w:rsidP="00D27849" w:rsidRDefault="00D27849" w14:paraId="0EA3547F" w14:textId="77777777">
      <w:pPr>
        <w:pStyle w:val="ListParagraph"/>
      </w:pPr>
    </w:p>
    <w:p w:rsidR="00D27849" w:rsidP="00D27849" w:rsidRDefault="00D27849" w14:paraId="2AED42D6" w14:textId="77777777">
      <w:pPr>
        <w:pStyle w:val="ListParagraph"/>
        <w:numPr>
          <w:ilvl w:val="1"/>
          <w:numId w:val="13"/>
        </w:numPr>
        <w:ind w:left="992" w:hanging="567"/>
      </w:pPr>
      <w:r w:rsidRPr="00C77BDC">
        <w:rPr>
          <w:b/>
          <w:bCs/>
        </w:rPr>
        <w:t>Athlete</w:t>
      </w:r>
      <w:r w:rsidRPr="00E02B01">
        <w:t xml:space="preserve"> means</w:t>
      </w:r>
      <w:r>
        <w:t xml:space="preserve"> a person who is registered or entitled to compete in an Activity.</w:t>
      </w:r>
    </w:p>
    <w:p w:rsidR="00D27849" w:rsidP="00D27849" w:rsidRDefault="00D27849" w14:paraId="6B29D625" w14:textId="77777777">
      <w:pPr>
        <w:pStyle w:val="ListParagraph"/>
      </w:pPr>
    </w:p>
    <w:p w:rsidR="00D27849" w:rsidP="00D27849" w:rsidRDefault="00D27849" w14:paraId="3F093171" w14:textId="77777777">
      <w:pPr>
        <w:pStyle w:val="ListParagraph"/>
        <w:numPr>
          <w:ilvl w:val="1"/>
          <w:numId w:val="13"/>
        </w:numPr>
        <w:ind w:left="992" w:hanging="567"/>
      </w:pPr>
      <w:r w:rsidRPr="00C77BDC">
        <w:rPr>
          <w:b/>
          <w:bCs/>
        </w:rPr>
        <w:t>Benefit</w:t>
      </w:r>
      <w:r>
        <w:t xml:space="preserve"> means any advantage and is not limited to property.  </w:t>
      </w:r>
    </w:p>
    <w:p w:rsidR="00D27849" w:rsidP="00D27849" w:rsidRDefault="00D27849" w14:paraId="5EBA9A62" w14:textId="77777777">
      <w:pPr>
        <w:pStyle w:val="ListParagraph"/>
      </w:pPr>
    </w:p>
    <w:p w:rsidR="00D27849" w:rsidP="00D27849" w:rsidRDefault="00D27849" w14:paraId="37C195BE" w14:textId="71486C7A">
      <w:pPr>
        <w:pStyle w:val="ListParagraph"/>
        <w:numPr>
          <w:ilvl w:val="1"/>
          <w:numId w:val="13"/>
        </w:numPr>
        <w:ind w:left="992" w:hanging="567"/>
      </w:pPr>
      <w:r w:rsidRPr="00C77BDC">
        <w:rPr>
          <w:b/>
          <w:bCs/>
        </w:rPr>
        <w:t>Inside Information</w:t>
      </w:r>
      <w:r>
        <w:t xml:space="preserve"> means any information connected to the conduct, management or organisation of a sporting event that is not generally available and if it were generally available, the information, would, or would be likely to, influence a person’s decision to bet on the sporting event or in making any other betting decision. </w:t>
      </w:r>
    </w:p>
    <w:p w:rsidR="00D27849" w:rsidP="00D27849" w:rsidRDefault="00D27849" w14:paraId="189A6255" w14:textId="77777777">
      <w:pPr>
        <w:pStyle w:val="ListParagraph"/>
      </w:pPr>
    </w:p>
    <w:p w:rsidR="00D27849" w:rsidP="00D27849" w:rsidRDefault="00D27849" w14:paraId="75BB1537" w14:textId="77777777">
      <w:pPr>
        <w:pStyle w:val="ListParagraph"/>
        <w:numPr>
          <w:ilvl w:val="1"/>
          <w:numId w:val="13"/>
        </w:numPr>
        <w:ind w:left="992" w:hanging="567"/>
      </w:pPr>
      <w:r w:rsidRPr="00C77BDC">
        <w:rPr>
          <w:b/>
          <w:bCs/>
        </w:rPr>
        <w:t xml:space="preserve">Participant </w:t>
      </w:r>
      <w:r w:rsidRPr="007C746F">
        <w:t>means:</w:t>
      </w:r>
    </w:p>
    <w:p w:rsidRPr="007C746F" w:rsidR="00D27849" w:rsidP="00D27849" w:rsidRDefault="00D27849" w14:paraId="2529E3FB" w14:textId="77777777">
      <w:pPr>
        <w:pStyle w:val="ListParagraph"/>
        <w:ind w:left="924"/>
      </w:pPr>
      <w:r>
        <w:tab/>
      </w:r>
    </w:p>
    <w:p w:rsidRPr="007C746F" w:rsidR="00D27849" w:rsidP="00D27849" w:rsidRDefault="00D27849" w14:paraId="531BD78B" w14:textId="77777777">
      <w:pPr>
        <w:pStyle w:val="ListParagraph"/>
        <w:numPr>
          <w:ilvl w:val="0"/>
          <w:numId w:val="12"/>
        </w:numPr>
        <w:spacing w:after="0" w:line="240" w:lineRule="auto"/>
        <w:ind w:left="709" w:firstLine="272"/>
      </w:pPr>
      <w:proofErr w:type="gramStart"/>
      <w:r w:rsidRPr="007C746F">
        <w:t>Athletes;</w:t>
      </w:r>
      <w:proofErr w:type="gramEnd"/>
    </w:p>
    <w:p w:rsidRPr="007C746F" w:rsidR="00D27849" w:rsidP="00D27849" w:rsidRDefault="00D27849" w14:paraId="6E28D4A6" w14:textId="77777777">
      <w:pPr>
        <w:pStyle w:val="ListParagraph"/>
        <w:spacing w:after="0" w:line="240" w:lineRule="auto"/>
      </w:pPr>
    </w:p>
    <w:p w:rsidR="00D27849" w:rsidP="00D27849" w:rsidRDefault="00D27849" w14:paraId="2F72C663" w14:textId="0E215521">
      <w:pPr>
        <w:pStyle w:val="ListParagraph"/>
        <w:numPr>
          <w:ilvl w:val="0"/>
          <w:numId w:val="12"/>
        </w:numPr>
        <w:spacing w:after="0" w:line="240" w:lineRule="auto"/>
        <w:ind w:left="709" w:firstLine="272"/>
      </w:pPr>
      <w:r w:rsidRPr="007C746F">
        <w:t xml:space="preserve">Board members, employees, contractors, consultants and any individuals or groups undertaking </w:t>
      </w:r>
      <w:r>
        <w:tab/>
      </w:r>
      <w:r>
        <w:tab/>
      </w:r>
      <w:r w:rsidRPr="007C746F">
        <w:t xml:space="preserve">activity for or on behalf of the </w:t>
      </w:r>
      <w:proofErr w:type="gramStart"/>
      <w:r w:rsidRPr="007C746F">
        <w:t>Board</w:t>
      </w:r>
      <w:r>
        <w:t>;</w:t>
      </w:r>
      <w:proofErr w:type="gramEnd"/>
    </w:p>
    <w:p w:rsidR="00D27849" w:rsidP="00D27849" w:rsidRDefault="00D27849" w14:paraId="4DA285C6" w14:textId="77777777">
      <w:pPr>
        <w:pStyle w:val="ListParagraph"/>
      </w:pPr>
    </w:p>
    <w:p w:rsidRPr="001707E4" w:rsidR="00D27849" w:rsidP="001707E4" w:rsidRDefault="00D27849" w14:paraId="52B90A49" w14:textId="76246669">
      <w:pPr>
        <w:pStyle w:val="ListParagraph"/>
        <w:numPr>
          <w:ilvl w:val="0"/>
          <w:numId w:val="12"/>
        </w:numPr>
        <w:spacing w:after="0" w:line="240" w:lineRule="auto"/>
        <w:ind w:left="1418" w:hanging="437"/>
      </w:pPr>
      <w:r w:rsidRPr="001707E4">
        <w:t>persons licensed or entitled to be licensed under the Act, namely promoters, trainers, matchmakers, referees, judges and timekeepers; and</w:t>
      </w:r>
    </w:p>
    <w:p w:rsidRPr="007C746F" w:rsidR="00D27849" w:rsidP="00D27849" w:rsidRDefault="00D27849" w14:paraId="3587BA85" w14:textId="77777777">
      <w:pPr>
        <w:pStyle w:val="ListParagraph"/>
      </w:pPr>
    </w:p>
    <w:p w:rsidRPr="007C746F" w:rsidR="00D27849" w:rsidP="00D27849" w:rsidRDefault="00D27849" w14:paraId="330B48B3" w14:textId="4333F7B4">
      <w:pPr>
        <w:pStyle w:val="ListParagraph"/>
        <w:numPr>
          <w:ilvl w:val="0"/>
          <w:numId w:val="12"/>
        </w:numPr>
        <w:spacing w:after="0" w:line="240" w:lineRule="auto"/>
        <w:ind w:left="709" w:firstLine="272"/>
        <w:rPr>
          <w:b/>
        </w:rPr>
      </w:pPr>
      <w:r>
        <w:t>a</w:t>
      </w:r>
      <w:r w:rsidRPr="007C746F">
        <w:t xml:space="preserve">ny other person who has agreed to be bound by this Policy. </w:t>
      </w:r>
    </w:p>
    <w:p w:rsidRPr="00667B15" w:rsidR="00D27849" w:rsidP="00D27849" w:rsidRDefault="00D27849" w14:paraId="52F0C056" w14:textId="77777777">
      <w:pPr>
        <w:pStyle w:val="ListParagraph"/>
        <w:spacing w:after="0" w:line="240" w:lineRule="auto"/>
        <w:ind w:left="981"/>
      </w:pPr>
    </w:p>
    <w:p w:rsidR="00D27849" w:rsidP="00D27849" w:rsidRDefault="00D27849" w14:paraId="790F7DC1" w14:textId="77777777">
      <w:pPr>
        <w:pStyle w:val="ListParagraph"/>
        <w:numPr>
          <w:ilvl w:val="1"/>
          <w:numId w:val="13"/>
        </w:numPr>
        <w:ind w:left="992" w:hanging="567"/>
      </w:pPr>
      <w:r w:rsidRPr="00E629B2">
        <w:rPr>
          <w:b/>
          <w:bCs/>
        </w:rPr>
        <w:t>Policy</w:t>
      </w:r>
      <w:r>
        <w:t xml:space="preserve"> means this Competition Manipulation and Sport Wagering Policy. </w:t>
      </w:r>
    </w:p>
    <w:p w:rsidR="00D27849" w:rsidP="00D27849" w:rsidRDefault="00D27849" w14:paraId="62583F23" w14:textId="77777777">
      <w:pPr>
        <w:pStyle w:val="ListParagraph"/>
        <w:ind w:left="924"/>
      </w:pPr>
    </w:p>
    <w:p w:rsidR="00D27849" w:rsidP="00D27849" w:rsidRDefault="00D27849" w14:paraId="6E7AFC73" w14:textId="77777777">
      <w:pPr>
        <w:pStyle w:val="ListParagraph"/>
        <w:numPr>
          <w:ilvl w:val="1"/>
          <w:numId w:val="13"/>
        </w:numPr>
        <w:ind w:left="992" w:hanging="567"/>
      </w:pPr>
      <w:r w:rsidRPr="00C77BDC">
        <w:rPr>
          <w:b/>
          <w:bCs/>
        </w:rPr>
        <w:t>Prohibited Conduct</w:t>
      </w:r>
      <w:r>
        <w:t xml:space="preserve"> means conduct proscribed by clause 7 of this Policy. </w:t>
      </w:r>
    </w:p>
    <w:p w:rsidR="00D27849" w:rsidP="00D27849" w:rsidRDefault="00D27849" w14:paraId="7F33C6B4" w14:textId="77777777">
      <w:pPr>
        <w:pStyle w:val="ListParagraph"/>
      </w:pPr>
    </w:p>
    <w:p w:rsidR="00D27849" w:rsidP="00D27849" w:rsidRDefault="00D27849" w14:paraId="005ADC35" w14:textId="77777777">
      <w:pPr>
        <w:pStyle w:val="ListParagraph"/>
        <w:numPr>
          <w:ilvl w:val="1"/>
          <w:numId w:val="13"/>
        </w:numPr>
        <w:ind w:left="992" w:hanging="567"/>
      </w:pPr>
      <w:r w:rsidRPr="00C77BDC">
        <w:rPr>
          <w:b/>
          <w:bCs/>
        </w:rPr>
        <w:t xml:space="preserve">Relevant Person </w:t>
      </w:r>
      <w:r>
        <w:t>means an Athlete or Participant.</w:t>
      </w:r>
    </w:p>
    <w:p w:rsidR="00D27849" w:rsidP="00D27849" w:rsidRDefault="00D27849" w14:paraId="38BE97A0" w14:textId="77777777">
      <w:pPr>
        <w:pStyle w:val="ListParagraph"/>
      </w:pPr>
    </w:p>
    <w:p w:rsidR="00D27849" w:rsidP="00D27849" w:rsidRDefault="00D27849" w14:paraId="02CB9BB7" w14:textId="769096AA">
      <w:pPr>
        <w:pStyle w:val="ListParagraph"/>
        <w:numPr>
          <w:ilvl w:val="1"/>
          <w:numId w:val="13"/>
        </w:numPr>
        <w:ind w:left="992" w:hanging="567"/>
      </w:pPr>
      <w:r w:rsidRPr="00C77BDC">
        <w:rPr>
          <w:b/>
          <w:bCs/>
        </w:rPr>
        <w:t>Wagering Service Provider</w:t>
      </w:r>
      <w:r>
        <w:t xml:space="preserve"> means any company or other undertaking that promotes, brokers, arranges or conducts any form of wagering activity in relation to professional boxing and combat sport in Australia.</w:t>
      </w:r>
    </w:p>
    <w:p w:rsidR="00D27849" w:rsidP="00D27849" w:rsidRDefault="00D27849" w14:paraId="58215B06" w14:textId="416DEBC5">
      <w:pPr>
        <w:pStyle w:val="Heading1"/>
        <w:tabs>
          <w:tab w:val="left" w:pos="709"/>
        </w:tabs>
      </w:pPr>
      <w:r>
        <w:t>Prohibited Conduct</w:t>
      </w:r>
    </w:p>
    <w:p w:rsidR="00D27849" w:rsidP="00D27849" w:rsidRDefault="00D27849" w14:paraId="12ADE115" w14:textId="77777777">
      <w:pPr>
        <w:pStyle w:val="ListParagraph"/>
        <w:numPr>
          <w:ilvl w:val="0"/>
          <w:numId w:val="14"/>
        </w:numPr>
        <w:ind w:left="425" w:hanging="425"/>
      </w:pPr>
      <w:r>
        <w:t xml:space="preserve">A Relevant Person commits a breach of this Policy when they, either alone or in conjunction with another or others, engage in any of the following conduct: </w:t>
      </w:r>
    </w:p>
    <w:p w:rsidR="00D27849" w:rsidP="00D27849" w:rsidRDefault="00D27849" w14:paraId="33A09C53" w14:textId="77777777">
      <w:pPr>
        <w:ind w:left="992" w:hanging="567"/>
      </w:pPr>
      <w:r>
        <w:t>7.1</w:t>
      </w:r>
      <w:r>
        <w:tab/>
      </w:r>
      <w:r>
        <w:t xml:space="preserve">participate (whether by act or omission) in improperly altering the result or the course of an </w:t>
      </w:r>
      <w:r w:rsidRPr="00A50B66">
        <w:t>Activity</w:t>
      </w:r>
      <w:r>
        <w:t xml:space="preserve"> </w:t>
      </w:r>
      <w:proofErr w:type="gramStart"/>
      <w:r>
        <w:t>in order to</w:t>
      </w:r>
      <w:proofErr w:type="gramEnd"/>
      <w:r>
        <w:t xml:space="preserve"> remove all or part of the unpredictable nature of the Activity to obtain a Benefit for themselves or others by:</w:t>
      </w:r>
    </w:p>
    <w:p w:rsidR="00D27849" w:rsidP="001707E4" w:rsidRDefault="00D27849" w14:paraId="3399F0BF" w14:textId="0D246340">
      <w:pPr>
        <w:pStyle w:val="ListParagraph"/>
        <w:numPr>
          <w:ilvl w:val="0"/>
          <w:numId w:val="19"/>
        </w:numPr>
        <w:spacing w:after="0" w:line="240" w:lineRule="auto"/>
        <w:ind w:left="1418" w:hanging="425"/>
      </w:pPr>
      <w:r>
        <w:t xml:space="preserve">the direct, pre-meditated or planned interference with the natural course of an Activity or element </w:t>
      </w:r>
      <w:r w:rsidR="007401E0">
        <w:t>of an</w:t>
      </w:r>
      <w:r>
        <w:t xml:space="preserve"> </w:t>
      </w:r>
      <w:r w:rsidRPr="001707E4">
        <w:t>Activity</w:t>
      </w:r>
      <w:r>
        <w:t>;</w:t>
      </w:r>
      <w:r>
        <w:rPr>
          <w:rStyle w:val="FootnoteReference"/>
        </w:rPr>
        <w:footnoteReference w:id="1"/>
      </w:r>
      <w:r>
        <w:t xml:space="preserve"> </w:t>
      </w:r>
    </w:p>
    <w:p w:rsidR="00D27849" w:rsidP="00D27849" w:rsidRDefault="00D27849" w14:paraId="33B5AC00" w14:textId="77777777">
      <w:pPr>
        <w:pStyle w:val="ListParagraph"/>
        <w:spacing w:after="0" w:line="240" w:lineRule="auto"/>
        <w:ind w:left="952"/>
      </w:pPr>
    </w:p>
    <w:p w:rsidR="00D27849" w:rsidP="001707E4" w:rsidRDefault="00D27849" w14:paraId="5B9442F5" w14:textId="77777777">
      <w:pPr>
        <w:pStyle w:val="ListParagraph"/>
        <w:numPr>
          <w:ilvl w:val="0"/>
          <w:numId w:val="19"/>
        </w:numPr>
        <w:spacing w:after="0" w:line="240" w:lineRule="auto"/>
        <w:ind w:left="1418" w:hanging="425"/>
      </w:pPr>
      <w:r>
        <w:t xml:space="preserve">providing modified or false information related to an Athlete’s identity or personal </w:t>
      </w:r>
      <w:proofErr w:type="gramStart"/>
      <w:r>
        <w:t>information;</w:t>
      </w:r>
      <w:proofErr w:type="gramEnd"/>
      <w:r>
        <w:t xml:space="preserve"> </w:t>
      </w:r>
    </w:p>
    <w:p w:rsidR="00D27849" w:rsidP="00D27849" w:rsidRDefault="00D27849" w14:paraId="61D98B5E" w14:textId="77777777">
      <w:pPr>
        <w:pStyle w:val="ListParagraph"/>
      </w:pPr>
    </w:p>
    <w:p w:rsidR="00D27849" w:rsidP="001707E4" w:rsidRDefault="00D27849" w14:paraId="71C4713C" w14:textId="689DFD67">
      <w:pPr>
        <w:pStyle w:val="ListParagraph"/>
        <w:numPr>
          <w:ilvl w:val="0"/>
          <w:numId w:val="19"/>
        </w:numPr>
        <w:spacing w:after="0" w:line="240" w:lineRule="auto"/>
        <w:ind w:left="1418" w:hanging="425"/>
      </w:pPr>
      <w:r>
        <w:t xml:space="preserve">intentionally modifying contest surfaces, equipment or Athlete’s physiology to improperly </w:t>
      </w:r>
      <w:r w:rsidR="007401E0">
        <w:t>influence the</w:t>
      </w:r>
      <w:r w:rsidR="001707E4">
        <w:t xml:space="preserve"> </w:t>
      </w:r>
      <w:r>
        <w:t xml:space="preserve">natural course of the event; or </w:t>
      </w:r>
    </w:p>
    <w:p w:rsidR="00D27849" w:rsidP="00D27849" w:rsidRDefault="00D27849" w14:paraId="1838EDB4" w14:textId="77777777">
      <w:pPr>
        <w:pStyle w:val="ListParagraph"/>
        <w:spacing w:after="0" w:line="240" w:lineRule="auto"/>
        <w:ind w:left="952"/>
      </w:pPr>
    </w:p>
    <w:p w:rsidR="00D27849" w:rsidP="00D27849" w:rsidRDefault="00D27849" w14:paraId="5B03E33D" w14:textId="4A73BB7B">
      <w:pPr>
        <w:ind w:left="992" w:hanging="567"/>
      </w:pPr>
      <w:r>
        <w:t>7.2</w:t>
      </w:r>
      <w:r>
        <w:tab/>
      </w:r>
      <w:proofErr w:type="gramStart"/>
      <w:r>
        <w:t>bet, or</w:t>
      </w:r>
      <w:proofErr w:type="gramEnd"/>
      <w:r>
        <w:t xml:space="preserve"> enter into any other form of financial speculation on any Activity, or on any incident or occurrence in an Activity, connected with the Board, whether or not they are participating in the Activity. For the avoidance of doubt: </w:t>
      </w:r>
    </w:p>
    <w:p w:rsidRPr="001707E4" w:rsidR="00D27849" w:rsidP="001707E4" w:rsidRDefault="00D27849" w14:paraId="3F3174A0" w14:textId="3AFBEFDF">
      <w:pPr>
        <w:pStyle w:val="ListParagraph"/>
        <w:numPr>
          <w:ilvl w:val="0"/>
          <w:numId w:val="16"/>
        </w:numPr>
        <w:spacing w:after="0" w:line="240" w:lineRule="auto"/>
        <w:ind w:left="1418" w:hanging="437"/>
      </w:pPr>
      <w:r w:rsidRPr="001707E4">
        <w:t xml:space="preserve">any bets placed by a betting syndicate or group, such as a 'punter's club', of which the Relevant Person is a </w:t>
      </w:r>
      <w:proofErr w:type="gramStart"/>
      <w:r w:rsidRPr="001707E4">
        <w:t>member;</w:t>
      </w:r>
      <w:proofErr w:type="gramEnd"/>
      <w:r w:rsidRPr="001707E4">
        <w:t xml:space="preserve"> </w:t>
      </w:r>
    </w:p>
    <w:p w:rsidR="00D27849" w:rsidP="00D27849" w:rsidRDefault="00D27849" w14:paraId="6753F351" w14:textId="77777777">
      <w:pPr>
        <w:pStyle w:val="ListParagraph"/>
        <w:spacing w:after="0" w:line="240" w:lineRule="auto"/>
        <w:ind w:left="896"/>
      </w:pPr>
    </w:p>
    <w:p w:rsidR="00D27849" w:rsidP="00D27849" w:rsidRDefault="00D27849" w14:paraId="1AAA586C" w14:textId="77777777">
      <w:pPr>
        <w:pStyle w:val="ListParagraph"/>
        <w:numPr>
          <w:ilvl w:val="0"/>
          <w:numId w:val="16"/>
        </w:numPr>
        <w:spacing w:after="0" w:line="240" w:lineRule="auto"/>
        <w:ind w:left="709" w:firstLine="272"/>
      </w:pPr>
      <w:r>
        <w:t xml:space="preserve">an interest in any bet, including having someone else place a bet on their behalf; or </w:t>
      </w:r>
    </w:p>
    <w:p w:rsidR="00D27849" w:rsidP="00D27849" w:rsidRDefault="00D27849" w14:paraId="140EF397" w14:textId="77777777">
      <w:pPr>
        <w:pStyle w:val="ListParagraph"/>
      </w:pPr>
    </w:p>
    <w:p w:rsidR="00D27849" w:rsidP="00D27849" w:rsidRDefault="00D27849" w14:paraId="1CA39EDB" w14:textId="77777777">
      <w:pPr>
        <w:pStyle w:val="ListParagraph"/>
        <w:numPr>
          <w:ilvl w:val="0"/>
          <w:numId w:val="16"/>
        </w:numPr>
        <w:spacing w:after="0" w:line="240" w:lineRule="auto"/>
        <w:ind w:left="709" w:firstLine="272"/>
      </w:pPr>
      <w:r>
        <w:t xml:space="preserve">allowing another person to place a bet using a Relevant Person’s account, </w:t>
      </w:r>
    </w:p>
    <w:p w:rsidR="00D27849" w:rsidP="00D27849" w:rsidRDefault="00D27849" w14:paraId="4C11F779" w14:textId="77777777">
      <w:pPr>
        <w:spacing w:after="0"/>
        <w:ind w:left="720"/>
      </w:pPr>
    </w:p>
    <w:p w:rsidR="00D27849" w:rsidP="00D27849" w:rsidRDefault="00D27849" w14:paraId="684FB479" w14:textId="77777777">
      <w:pPr>
        <w:spacing w:after="0"/>
        <w:ind w:left="964"/>
      </w:pPr>
      <w:r>
        <w:t xml:space="preserve">shall be treated as if the bet was placed by the Relevant Person as an </w:t>
      </w:r>
      <w:proofErr w:type="gramStart"/>
      <w:r>
        <w:t>individual;</w:t>
      </w:r>
      <w:proofErr w:type="gramEnd"/>
      <w:r>
        <w:t xml:space="preserve"> </w:t>
      </w:r>
    </w:p>
    <w:p w:rsidR="00D27849" w:rsidP="00D27849" w:rsidRDefault="00D27849" w14:paraId="54CB65CA" w14:textId="77777777">
      <w:pPr>
        <w:spacing w:after="0"/>
        <w:ind w:left="924"/>
      </w:pPr>
    </w:p>
    <w:p w:rsidR="00D27849" w:rsidP="00D27849" w:rsidRDefault="00D27849" w14:paraId="1A0CDC70" w14:textId="77777777">
      <w:pPr>
        <w:ind w:left="992" w:hanging="567"/>
      </w:pPr>
      <w:r>
        <w:t>7.3</w:t>
      </w:r>
      <w:r>
        <w:tab/>
      </w:r>
      <w:r>
        <w:t xml:space="preserve">disclose Inside Information, or use Inside Information, other than as required as part of their official </w:t>
      </w:r>
      <w:proofErr w:type="gramStart"/>
      <w:r>
        <w:t>duties;</w:t>
      </w:r>
      <w:proofErr w:type="gramEnd"/>
    </w:p>
    <w:p w:rsidR="00D27849" w:rsidP="00D27849" w:rsidRDefault="00D27849" w14:paraId="7A71774C" w14:textId="77777777">
      <w:pPr>
        <w:ind w:left="992" w:hanging="567"/>
      </w:pPr>
      <w:r>
        <w:t>7.4</w:t>
      </w:r>
      <w:r>
        <w:tab/>
      </w:r>
      <w:r>
        <w:t xml:space="preserve">accept, request, seek, offer, or provide a Benefit to incite, cause or contribute to any breach of this </w:t>
      </w:r>
      <w:proofErr w:type="gramStart"/>
      <w:r>
        <w:t>Policy;</w:t>
      </w:r>
      <w:proofErr w:type="gramEnd"/>
    </w:p>
    <w:p w:rsidR="00D27849" w:rsidP="00D27849" w:rsidRDefault="00D27849" w14:paraId="6DFA8ACE" w14:textId="77777777">
      <w:pPr>
        <w:ind w:left="992" w:hanging="567"/>
      </w:pPr>
      <w:r>
        <w:t>7.5</w:t>
      </w:r>
      <w:r>
        <w:tab/>
      </w:r>
      <w:r>
        <w:t xml:space="preserve">facilitate, assist, aid, abet, encourage, induce, cover-up or be complicit in any Prohibited </w:t>
      </w:r>
      <w:proofErr w:type="gramStart"/>
      <w:r>
        <w:t>Conduct;</w:t>
      </w:r>
      <w:proofErr w:type="gramEnd"/>
      <w:r>
        <w:t xml:space="preserve"> </w:t>
      </w:r>
    </w:p>
    <w:p w:rsidR="00D27849" w:rsidP="00D27849" w:rsidRDefault="00D27849" w14:paraId="3FABE5C4" w14:textId="77777777">
      <w:pPr>
        <w:ind w:left="992" w:hanging="567"/>
      </w:pPr>
      <w:r>
        <w:t>7.6</w:t>
      </w:r>
      <w:r>
        <w:tab/>
      </w:r>
      <w:r>
        <w:t>agree, conspire, plan or attempt to engage in any conduct which would be Prohibited Conduct if successful; or</w:t>
      </w:r>
    </w:p>
    <w:p w:rsidR="00D27849" w:rsidP="007401E0" w:rsidRDefault="00D27849" w14:paraId="24F75912" w14:textId="409A5D74">
      <w:pPr>
        <w:ind w:left="992" w:hanging="567"/>
      </w:pPr>
      <w:r>
        <w:t>7.7</w:t>
      </w:r>
      <w:r>
        <w:tab/>
      </w:r>
      <w:r>
        <w:t xml:space="preserve">fail to promptly report to the </w:t>
      </w:r>
      <w:r w:rsidRPr="00A85D76">
        <w:t>Board</w:t>
      </w:r>
      <w:r>
        <w:t xml:space="preserve"> or the Combat Sports Unit (CSU) any of the matters referred to in </w:t>
      </w:r>
      <w:r w:rsidRPr="00363754">
        <w:t>clause 8.</w:t>
      </w:r>
    </w:p>
    <w:p w:rsidR="007401E0" w:rsidP="007401E0" w:rsidRDefault="007401E0" w14:paraId="00F0786B" w14:textId="21D6ABE9">
      <w:pPr>
        <w:pStyle w:val="Heading1"/>
      </w:pPr>
      <w:r>
        <w:t>Obligations</w:t>
      </w:r>
    </w:p>
    <w:p w:rsidR="007401E0" w:rsidP="007401E0" w:rsidRDefault="007401E0" w14:paraId="24485998" w14:textId="62BA1ADF">
      <w:pPr>
        <w:pStyle w:val="Heading2"/>
      </w:pPr>
      <w:r>
        <w:t>Reporting</w:t>
      </w:r>
    </w:p>
    <w:p w:rsidR="007401E0" w:rsidP="007401E0" w:rsidRDefault="007401E0" w14:paraId="06A1E2F5" w14:textId="46F03311">
      <w:pPr>
        <w:pStyle w:val="ListParagraph"/>
        <w:numPr>
          <w:ilvl w:val="0"/>
          <w:numId w:val="14"/>
        </w:numPr>
        <w:ind w:left="425" w:hanging="425"/>
      </w:pPr>
      <w:r>
        <w:t>A Relevant Person must, where permitted by law, promptly notify the Board or the CSU if they:</w:t>
      </w:r>
    </w:p>
    <w:p w:rsidR="007401E0" w:rsidP="007401E0" w:rsidRDefault="007401E0" w14:paraId="0B8C7B9B" w14:textId="77777777">
      <w:pPr>
        <w:pStyle w:val="ListParagraph"/>
        <w:spacing w:after="0" w:line="240" w:lineRule="auto"/>
      </w:pPr>
    </w:p>
    <w:p w:rsidR="007401E0" w:rsidP="007401E0" w:rsidRDefault="007401E0" w14:paraId="276E93AF" w14:textId="7C4AEB7C">
      <w:pPr>
        <w:pStyle w:val="ListParagraph"/>
        <w:ind w:left="992" w:hanging="567"/>
      </w:pPr>
      <w:r>
        <w:t>8.1</w:t>
      </w:r>
      <w:r>
        <w:tab/>
      </w:r>
      <w:r>
        <w:t xml:space="preserve">are interviewed as a suspect, charged, or arrested by a law enforcement body in respect of conduct that falls </w:t>
      </w:r>
      <w:r w:rsidRPr="00C520DE">
        <w:t>within</w:t>
      </w:r>
      <w:r>
        <w:t xml:space="preserve"> the definition of Prohibited </w:t>
      </w:r>
      <w:proofErr w:type="gramStart"/>
      <w:r>
        <w:t>Conduct;</w:t>
      </w:r>
      <w:proofErr w:type="gramEnd"/>
    </w:p>
    <w:p w:rsidR="007401E0" w:rsidP="007401E0" w:rsidRDefault="007401E0" w14:paraId="58245C67" w14:textId="77777777">
      <w:pPr>
        <w:pStyle w:val="ListParagraph"/>
        <w:ind w:left="924" w:hanging="567"/>
      </w:pPr>
    </w:p>
    <w:p w:rsidR="007401E0" w:rsidP="007401E0" w:rsidRDefault="007401E0" w14:paraId="05F9C9FB" w14:textId="77777777">
      <w:pPr>
        <w:pStyle w:val="ListParagraph"/>
        <w:ind w:left="992" w:hanging="567"/>
      </w:pPr>
      <w:r>
        <w:t>8.2</w:t>
      </w:r>
      <w:r>
        <w:tab/>
      </w:r>
      <w:r>
        <w:t xml:space="preserve">have been approached by another person to engage in Prohibited </w:t>
      </w:r>
      <w:proofErr w:type="gramStart"/>
      <w:r>
        <w:t>Conduct;</w:t>
      </w:r>
      <w:proofErr w:type="gramEnd"/>
    </w:p>
    <w:p w:rsidR="007401E0" w:rsidP="007401E0" w:rsidRDefault="007401E0" w14:paraId="5AC642DA" w14:textId="77777777">
      <w:pPr>
        <w:pStyle w:val="ListParagraph"/>
        <w:ind w:left="786"/>
      </w:pPr>
    </w:p>
    <w:p w:rsidR="007401E0" w:rsidP="007401E0" w:rsidRDefault="007401E0" w14:paraId="02FF8688" w14:textId="77777777">
      <w:pPr>
        <w:pStyle w:val="ListParagraph"/>
        <w:ind w:left="992" w:hanging="567"/>
      </w:pPr>
      <w:r>
        <w:t>8.3</w:t>
      </w:r>
      <w:r>
        <w:tab/>
      </w:r>
      <w:r>
        <w:t xml:space="preserve">know or reasonably suspect that another person has engaged in Prohibited Conduct, or has been approached to engage in Prohibited Conduct; or </w:t>
      </w:r>
    </w:p>
    <w:p w:rsidR="007401E0" w:rsidP="007401E0" w:rsidRDefault="007401E0" w14:paraId="1FD8C103" w14:textId="77777777">
      <w:pPr>
        <w:pStyle w:val="ListParagraph"/>
      </w:pPr>
    </w:p>
    <w:p w:rsidR="007401E0" w:rsidP="007401E0" w:rsidRDefault="007401E0" w14:paraId="59714D02" w14:textId="77777777">
      <w:pPr>
        <w:pStyle w:val="ListParagraph"/>
        <w:ind w:left="992" w:hanging="567"/>
      </w:pPr>
      <w:r>
        <w:t>8.4</w:t>
      </w:r>
      <w:r>
        <w:tab/>
      </w:r>
      <w:r>
        <w:t xml:space="preserve">have received or is aware or reasonably suspects that another person has received, actual or implied threats of any nature in relation to any past or proposed Prohibited Conduct. </w:t>
      </w:r>
    </w:p>
    <w:p w:rsidR="007401E0" w:rsidP="007401E0" w:rsidRDefault="007401E0" w14:paraId="6AA42A0E" w14:textId="77777777">
      <w:pPr>
        <w:pStyle w:val="ListParagraph"/>
      </w:pPr>
    </w:p>
    <w:p w:rsidR="007401E0" w:rsidP="007401E0" w:rsidRDefault="007401E0" w14:paraId="36EE3D3E" w14:textId="4AC1AAD2">
      <w:pPr>
        <w:pStyle w:val="ListParagraph"/>
        <w:numPr>
          <w:ilvl w:val="0"/>
          <w:numId w:val="14"/>
        </w:numPr>
        <w:ind w:left="425" w:hanging="425"/>
      </w:pPr>
      <w:r>
        <w:t>A Relevant Person has a continuing obligation to report any new knowledge or suspicion regarding any Prohibited Conduct under this Policy, even if the Relevant Person's prior knowledge or suspicion has already been reported.</w:t>
      </w:r>
    </w:p>
    <w:p w:rsidR="007401E0" w:rsidP="007401E0" w:rsidRDefault="007401E0" w14:paraId="6CB04B69" w14:textId="77777777">
      <w:pPr>
        <w:pStyle w:val="ListParagraph"/>
        <w:ind w:left="425"/>
      </w:pPr>
    </w:p>
    <w:p w:rsidR="007401E0" w:rsidP="007401E0" w:rsidRDefault="007401E0" w14:paraId="4249FDD2" w14:textId="77777777">
      <w:pPr>
        <w:pStyle w:val="ListParagraph"/>
        <w:numPr>
          <w:ilvl w:val="0"/>
          <w:numId w:val="14"/>
        </w:numPr>
        <w:ind w:left="425" w:hanging="425"/>
      </w:pPr>
      <w:r>
        <w:t xml:space="preserve">Notification by a Relevant Person under </w:t>
      </w:r>
      <w:r w:rsidRPr="00363754">
        <w:t xml:space="preserve">clause </w:t>
      </w:r>
      <w:r>
        <w:t xml:space="preserve">8 may be made verbally or in writing by the Relevant Person and may be made anonymously if there is a genuine concern of reprisal. A Relevant Person who makes a report anonymously is responsible for keeping a record that will allow them to confirm that they have met their reporting obligations under </w:t>
      </w:r>
      <w:r w:rsidRPr="00363754">
        <w:t>clauses 8</w:t>
      </w:r>
      <w:r>
        <w:t xml:space="preserve"> and 9. </w:t>
      </w:r>
    </w:p>
    <w:p w:rsidR="007401E0" w:rsidP="007401E0" w:rsidRDefault="007401E0" w14:paraId="2FD9015A" w14:textId="77777777">
      <w:pPr>
        <w:pStyle w:val="ListParagraph"/>
      </w:pPr>
    </w:p>
    <w:p w:rsidRPr="00E12982" w:rsidR="0000440C" w:rsidP="007401E0" w:rsidRDefault="007401E0" w14:paraId="01154A63" w14:textId="38D1F6C3">
      <w:pPr>
        <w:pStyle w:val="ListParagraph"/>
        <w:numPr>
          <w:ilvl w:val="0"/>
          <w:numId w:val="14"/>
        </w:numPr>
        <w:ind w:left="425" w:hanging="425"/>
      </w:pPr>
      <w:r w:rsidRPr="000F7AB2">
        <w:t>Relevant Persons</w:t>
      </w:r>
      <w:r>
        <w:t xml:space="preserve"> should be aware of relevant Commonwealth and State legal requirements to report criminal activity in relation to the manipulation of sporting competitions (</w:t>
      </w:r>
      <w:proofErr w:type="spellStart"/>
      <w:r>
        <w:t>matchfixing</w:t>
      </w:r>
      <w:proofErr w:type="spellEnd"/>
      <w:r>
        <w:t xml:space="preserve">) and Inside Information. </w:t>
      </w:r>
      <w:bookmarkEnd w:id="0"/>
    </w:p>
    <w:p w:rsidR="007401E0" w:rsidP="007401E0" w:rsidRDefault="007401E0" w14:paraId="75BEAAD1" w14:textId="77777777">
      <w:pPr>
        <w:pStyle w:val="Heading2"/>
      </w:pPr>
      <w:r>
        <w:t xml:space="preserve">Information sharing </w:t>
      </w:r>
    </w:p>
    <w:p w:rsidR="007401E0" w:rsidP="007401E0" w:rsidRDefault="007401E0" w14:paraId="2EAC08E4" w14:textId="77777777">
      <w:pPr>
        <w:pStyle w:val="ListParagraph"/>
        <w:numPr>
          <w:ilvl w:val="0"/>
          <w:numId w:val="14"/>
        </w:numPr>
        <w:ind w:left="425" w:hanging="425"/>
      </w:pPr>
      <w:r>
        <w:t xml:space="preserve">The Board may share information (including Personal Information as defined in the </w:t>
      </w:r>
      <w:r>
        <w:rPr>
          <w:i/>
          <w:iCs/>
        </w:rPr>
        <w:t>Privacy and Data Protection Act 2014</w:t>
      </w:r>
      <w:r>
        <w:t xml:space="preserve">) at any time relating to Relevant Persons with Wagering Service Providers, law enforcement agencies, government agencies or other sporting organisations to prevent, identify and investigate alleged Prohibited Conduct. </w:t>
      </w:r>
    </w:p>
    <w:p w:rsidR="007401E0" w:rsidP="007401E0" w:rsidRDefault="007401E0" w14:paraId="18DDDB23" w14:textId="77777777">
      <w:pPr>
        <w:pStyle w:val="ListParagraph"/>
        <w:ind w:left="425"/>
      </w:pPr>
    </w:p>
    <w:p w:rsidRPr="00E52740" w:rsidR="007401E0" w:rsidP="007401E0" w:rsidRDefault="007401E0" w14:paraId="122C8C0F" w14:textId="77777777">
      <w:pPr>
        <w:pStyle w:val="ListParagraph"/>
        <w:numPr>
          <w:ilvl w:val="0"/>
          <w:numId w:val="14"/>
        </w:numPr>
        <w:ind w:left="425" w:hanging="425"/>
      </w:pPr>
      <w:r>
        <w:t xml:space="preserve">In sharing information, the Board will remain bound by the applicable legal obligations contained in the </w:t>
      </w:r>
      <w:r w:rsidRPr="00027D8A">
        <w:rPr>
          <w:i/>
          <w:iCs/>
        </w:rPr>
        <w:t>Privacy and Data Protection Act 2014</w:t>
      </w:r>
      <w:r>
        <w:t>.</w:t>
      </w:r>
    </w:p>
    <w:p w:rsidR="007401E0" w:rsidP="007401E0" w:rsidRDefault="007401E0" w14:paraId="5205D3B8" w14:textId="77777777">
      <w:pPr>
        <w:pStyle w:val="Heading2"/>
      </w:pPr>
      <w:r>
        <w:t xml:space="preserve">Monitoring by Wagering Service Providers </w:t>
      </w:r>
    </w:p>
    <w:p w:rsidR="007401E0" w:rsidP="007401E0" w:rsidRDefault="007401E0" w14:paraId="4498237E" w14:textId="77777777">
      <w:pPr>
        <w:pStyle w:val="ListParagraph"/>
        <w:numPr>
          <w:ilvl w:val="0"/>
          <w:numId w:val="14"/>
        </w:numPr>
        <w:ind w:left="425" w:hanging="425"/>
      </w:pPr>
      <w:r>
        <w:t xml:space="preserve">Relevant Persons must disclose information to the Board regarding </w:t>
      </w:r>
      <w:proofErr w:type="gramStart"/>
      <w:r>
        <w:t>all of</w:t>
      </w:r>
      <w:proofErr w:type="gramEnd"/>
      <w:r>
        <w:t xml:space="preserve"> their commercial agreements, interests, and connections with Wagering Service Providers. For the avoidance of doubt, this does not include the disclosure of accounts that Relevant Persons may hold with Wagering Service Providers. </w:t>
      </w:r>
    </w:p>
    <w:p w:rsidR="007401E0" w:rsidP="007401E0" w:rsidRDefault="007401E0" w14:paraId="1B9676F6" w14:textId="77777777">
      <w:pPr>
        <w:pStyle w:val="ListParagraph"/>
        <w:ind w:left="425"/>
      </w:pPr>
    </w:p>
    <w:p w:rsidR="007401E0" w:rsidP="007401E0" w:rsidRDefault="007401E0" w14:paraId="765E7B34" w14:textId="77777777">
      <w:pPr>
        <w:pStyle w:val="ListParagraph"/>
        <w:numPr>
          <w:ilvl w:val="0"/>
          <w:numId w:val="14"/>
        </w:numPr>
        <w:ind w:left="425" w:hanging="425"/>
      </w:pPr>
      <w:r>
        <w:t xml:space="preserve">The Board will work with Wagering Service Providers to ensure the ongoing integrity of Activities under the auspices of the Board. </w:t>
      </w:r>
    </w:p>
    <w:p w:rsidR="007401E0" w:rsidP="007401E0" w:rsidRDefault="007401E0" w14:paraId="21A970CE" w14:textId="77777777">
      <w:pPr>
        <w:pStyle w:val="ListParagraph"/>
      </w:pPr>
    </w:p>
    <w:p w:rsidR="007401E0" w:rsidP="007401E0" w:rsidRDefault="007401E0" w14:paraId="7C594C80" w14:textId="77777777">
      <w:pPr>
        <w:pStyle w:val="ListParagraph"/>
        <w:numPr>
          <w:ilvl w:val="0"/>
          <w:numId w:val="14"/>
        </w:numPr>
        <w:ind w:left="425" w:hanging="425"/>
      </w:pPr>
      <w:r>
        <w:t xml:space="preserve">The Board may request Wagering Service Providers to monitor and conduct regular audits of their databases and records to monitor the incidents of suspicious betting transactions (including single or multiple betting transactions or market fluctuations) that may indicate or tend to indicate that Relevant Persons have engaged in Prohibited Conduct under this Policy. </w:t>
      </w:r>
    </w:p>
    <w:p w:rsidR="007401E0" w:rsidP="007401E0" w:rsidRDefault="007401E0" w14:paraId="08D8B726" w14:textId="77777777">
      <w:pPr>
        <w:pStyle w:val="ListParagraph"/>
      </w:pPr>
    </w:p>
    <w:p w:rsidR="007401E0" w:rsidP="007401E0" w:rsidRDefault="007401E0" w14:paraId="7CF6EEF7" w14:textId="77777777">
      <w:pPr>
        <w:pStyle w:val="ListParagraph"/>
        <w:numPr>
          <w:ilvl w:val="0"/>
          <w:numId w:val="14"/>
        </w:numPr>
        <w:ind w:left="425" w:hanging="425"/>
      </w:pPr>
      <w:r>
        <w:t xml:space="preserve">To enable the Wagering Service Provider to conduct such audits, the Board may, from time to time and subject to any terms and conditions imposed by the Board (including in relation to confidentiality and privacy), provide to Wagering Service Providers details of Relevant Persons who are precluded by this Policy from engaging in Prohibited Conduct. </w:t>
      </w:r>
    </w:p>
    <w:p w:rsidR="007401E0" w:rsidP="007401E0" w:rsidRDefault="007401E0" w14:paraId="283A627B" w14:textId="77777777">
      <w:pPr>
        <w:pStyle w:val="ListParagraph"/>
      </w:pPr>
    </w:p>
    <w:p w:rsidR="007401E0" w:rsidP="007401E0" w:rsidRDefault="007401E0" w14:paraId="62E0E020" w14:textId="77777777">
      <w:pPr>
        <w:pStyle w:val="ListParagraph"/>
        <w:numPr>
          <w:ilvl w:val="0"/>
          <w:numId w:val="14"/>
        </w:numPr>
        <w:ind w:left="425" w:hanging="425"/>
      </w:pPr>
      <w:r>
        <w:t xml:space="preserve">Wagering Service Providers may provide the Board with regular written reports on incidents of suspicious betting transactions (including single or multiple betting transactions or market fluctuations) that may indicate or tend to indicate that Relevant Persons have engaged in Prohibited Conduct. </w:t>
      </w:r>
    </w:p>
    <w:p w:rsidR="007401E0" w:rsidP="007401E0" w:rsidRDefault="007401E0" w14:paraId="3955BE9F" w14:textId="77777777">
      <w:pPr>
        <w:pStyle w:val="ListParagraph"/>
      </w:pPr>
    </w:p>
    <w:p w:rsidR="007401E0" w:rsidP="007401E0" w:rsidRDefault="007401E0" w14:paraId="2E1BFC0D" w14:textId="77777777">
      <w:pPr>
        <w:pStyle w:val="ListParagraph"/>
        <w:numPr>
          <w:ilvl w:val="0"/>
          <w:numId w:val="14"/>
        </w:numPr>
        <w:ind w:left="425" w:hanging="425"/>
      </w:pPr>
      <w:r>
        <w:t>All requests for information or provision of information by the Board or a Wagering Service Provider shall be kept strictly confidential and shall not be divulged to any third party or otherwise made use of, except where required by law or by this Policy, is permitted by the Board or Wagering Service Provider, or where information is already in the public domain other than because of a breach of this Policy.</w:t>
      </w:r>
    </w:p>
    <w:p w:rsidRPr="000F2C5B" w:rsidR="007401E0" w:rsidP="007401E0" w:rsidRDefault="007401E0" w14:paraId="544E043F" w14:textId="4C099A63">
      <w:pPr>
        <w:pStyle w:val="Heading1"/>
        <w:tabs>
          <w:tab w:val="num" w:pos="851"/>
        </w:tabs>
      </w:pPr>
      <w:r>
        <w:t>Sanctions</w:t>
      </w:r>
    </w:p>
    <w:p w:rsidR="007401E0" w:rsidP="007401E0" w:rsidRDefault="007401E0" w14:paraId="5005C10C" w14:textId="77777777">
      <w:pPr>
        <w:pStyle w:val="ListParagraph"/>
        <w:numPr>
          <w:ilvl w:val="0"/>
          <w:numId w:val="14"/>
        </w:numPr>
        <w:ind w:left="425" w:hanging="425"/>
      </w:pPr>
      <w:r>
        <w:t>A Relevant Person who is found to have breached this Policy may face disciplinary action</w:t>
      </w:r>
      <w:r w:rsidRPr="000F2C5B">
        <w:t>.</w:t>
      </w:r>
      <w:r>
        <w:t xml:space="preserve"> Sanctions that may be imposed include:</w:t>
      </w:r>
    </w:p>
    <w:p w:rsidR="007401E0" w:rsidP="007401E0" w:rsidRDefault="007401E0" w14:paraId="07CBD33D" w14:textId="77777777">
      <w:pPr>
        <w:pStyle w:val="ListParagraph"/>
        <w:ind w:left="425"/>
      </w:pPr>
    </w:p>
    <w:p w:rsidR="007401E0" w:rsidP="007401E0" w:rsidRDefault="007401E0" w14:paraId="31737186" w14:textId="56568FEC">
      <w:pPr>
        <w:pStyle w:val="ListParagraph"/>
        <w:ind w:left="992" w:hanging="567"/>
      </w:pPr>
      <w:r w:rsidR="007401E0">
        <w:rPr/>
        <w:t>20.1</w:t>
      </w:r>
      <w:r>
        <w:tab/>
      </w:r>
      <w:r w:rsidR="007401E0">
        <w:rPr/>
        <w:t xml:space="preserve">suspension or cancellation of a contestant’s registration to compete in an </w:t>
      </w:r>
      <w:r w:rsidR="007401E0">
        <w:rPr/>
        <w:t>Activity;</w:t>
      </w:r>
    </w:p>
    <w:p w:rsidR="007401E0" w:rsidP="007401E0" w:rsidRDefault="007401E0" w14:paraId="34D6FB85" w14:textId="77777777">
      <w:pPr>
        <w:pStyle w:val="ListParagraph"/>
        <w:ind w:left="992" w:hanging="567"/>
      </w:pPr>
    </w:p>
    <w:p w:rsidR="007401E0" w:rsidP="007401E0" w:rsidRDefault="007401E0" w14:paraId="367BEEFD" w14:textId="77777777">
      <w:pPr>
        <w:pStyle w:val="ListParagraph"/>
        <w:numPr>
          <w:ilvl w:val="1"/>
          <w:numId w:val="14"/>
        </w:numPr>
        <w:ind w:left="992" w:hanging="567"/>
      </w:pPr>
      <w:r>
        <w:t>suspension or cancellation of a licence issued under section 6 of the Act; or</w:t>
      </w:r>
    </w:p>
    <w:p w:rsidR="007401E0" w:rsidP="007401E0" w:rsidRDefault="007401E0" w14:paraId="4B8C394D" w14:textId="77777777">
      <w:pPr>
        <w:pStyle w:val="ListParagraph"/>
        <w:ind w:left="992"/>
      </w:pPr>
    </w:p>
    <w:p w:rsidR="007401E0" w:rsidP="007401E0" w:rsidRDefault="007401E0" w14:paraId="5D7F0D32" w14:textId="77777777">
      <w:pPr>
        <w:pStyle w:val="ListParagraph"/>
        <w:numPr>
          <w:ilvl w:val="1"/>
          <w:numId w:val="14"/>
        </w:numPr>
        <w:ind w:left="992" w:hanging="567"/>
      </w:pPr>
      <w:r>
        <w:t>termination of a Board member’s appointment.</w:t>
      </w:r>
    </w:p>
    <w:p w:rsidRPr="005A1BFA" w:rsidR="007401E0" w:rsidP="007401E0" w:rsidRDefault="007401E0" w14:paraId="6E2A2947" w14:textId="77777777">
      <w:pPr>
        <w:pStyle w:val="Heading1"/>
      </w:pPr>
      <w:r w:rsidRPr="005A1BFA">
        <w:t xml:space="preserve">Related </w:t>
      </w:r>
      <w:r>
        <w:t>p</w:t>
      </w:r>
      <w:r w:rsidRPr="005A1BFA">
        <w:t xml:space="preserve">olicy, </w:t>
      </w:r>
      <w:r>
        <w:t>l</w:t>
      </w:r>
      <w:r w:rsidRPr="005A1BFA">
        <w:t xml:space="preserve">egislation and </w:t>
      </w:r>
      <w:r>
        <w:t>o</w:t>
      </w:r>
      <w:r w:rsidRPr="005A1BFA">
        <w:t xml:space="preserve">ther </w:t>
      </w:r>
      <w:r>
        <w:t>d</w:t>
      </w:r>
      <w:r w:rsidRPr="005A1BFA">
        <w:t>ocuments</w:t>
      </w:r>
    </w:p>
    <w:p w:rsidR="007401E0" w:rsidP="007401E0" w:rsidRDefault="007401E0" w14:paraId="16B69A0F" w14:textId="13AAF9F6">
      <w:pPr>
        <w:pStyle w:val="ListParagraph"/>
        <w:ind w:left="992" w:hanging="567"/>
        <w:rPr>
          <w:i/>
          <w:iCs/>
        </w:rPr>
      </w:pPr>
      <w:bookmarkStart w:name="_Hlk166056926" w:id="1"/>
      <w:r w:rsidRPr="007A7F33">
        <w:t>21.1</w:t>
      </w:r>
      <w:r>
        <w:rPr>
          <w:i/>
          <w:iCs/>
        </w:rPr>
        <w:tab/>
      </w:r>
      <w:r w:rsidR="00814462">
        <w:rPr>
          <w:i/>
          <w:iCs/>
        </w:rPr>
        <w:t xml:space="preserve">Professional Boxing and Combat Sports Act </w:t>
      </w:r>
      <w:proofErr w:type="gramStart"/>
      <w:r w:rsidR="00814462">
        <w:rPr>
          <w:i/>
          <w:iCs/>
        </w:rPr>
        <w:t>1985;</w:t>
      </w:r>
      <w:proofErr w:type="gramEnd"/>
    </w:p>
    <w:p w:rsidR="00814462" w:rsidP="007401E0" w:rsidRDefault="00814462" w14:paraId="21F07BFE" w14:textId="77777777">
      <w:pPr>
        <w:pStyle w:val="ListParagraph"/>
        <w:ind w:left="992" w:hanging="567"/>
        <w:rPr>
          <w:i/>
          <w:iCs/>
        </w:rPr>
      </w:pPr>
    </w:p>
    <w:p w:rsidRPr="00814462" w:rsidR="00814462" w:rsidP="00814462" w:rsidRDefault="00814462" w14:paraId="3B7DD03F" w14:textId="7A60078C">
      <w:pPr>
        <w:pStyle w:val="ListParagraph"/>
        <w:ind w:left="992" w:hanging="567"/>
      </w:pPr>
      <w:r>
        <w:t>21.2</w:t>
      </w:r>
      <w:r>
        <w:tab/>
      </w:r>
      <w:r w:rsidRPr="00814462">
        <w:rPr>
          <w:i/>
          <w:iCs/>
        </w:rPr>
        <w:t xml:space="preserve">Privacy and Data Protection Act </w:t>
      </w:r>
      <w:proofErr w:type="gramStart"/>
      <w:r w:rsidRPr="00814462">
        <w:rPr>
          <w:i/>
          <w:iCs/>
        </w:rPr>
        <w:t>2014</w:t>
      </w:r>
      <w:r>
        <w:rPr>
          <w:i/>
          <w:iCs/>
        </w:rPr>
        <w:t>;</w:t>
      </w:r>
      <w:proofErr w:type="gramEnd"/>
    </w:p>
    <w:p w:rsidR="007401E0" w:rsidP="007401E0" w:rsidRDefault="007401E0" w14:paraId="7640FED9" w14:textId="77777777">
      <w:pPr>
        <w:pStyle w:val="ListParagraph"/>
        <w:ind w:left="992" w:hanging="567"/>
        <w:rPr>
          <w:i/>
          <w:iCs/>
        </w:rPr>
      </w:pPr>
    </w:p>
    <w:p w:rsidRPr="00814462" w:rsidR="007401E0" w:rsidP="007401E0" w:rsidRDefault="007401E0" w14:paraId="367DBD06" w14:textId="51A45E32">
      <w:pPr>
        <w:pStyle w:val="ListParagraph"/>
        <w:ind w:left="992" w:hanging="567"/>
      </w:pPr>
      <w:r>
        <w:t>21.</w:t>
      </w:r>
      <w:r w:rsidR="00814462">
        <w:t>3</w:t>
      </w:r>
      <w:r>
        <w:tab/>
      </w:r>
      <w:bookmarkEnd w:id="1"/>
      <w:r w:rsidRPr="005A1BFA">
        <w:rPr>
          <w:i/>
          <w:iCs/>
        </w:rPr>
        <w:t>Code of Con</w:t>
      </w:r>
      <w:r>
        <w:rPr>
          <w:i/>
          <w:iCs/>
        </w:rPr>
        <w:t xml:space="preserve">duct for Directors of Victorian Public Entities </w:t>
      </w:r>
      <w:proofErr w:type="gramStart"/>
      <w:r>
        <w:rPr>
          <w:i/>
          <w:iCs/>
        </w:rPr>
        <w:t>2024;</w:t>
      </w:r>
      <w:proofErr w:type="gramEnd"/>
      <w:r w:rsidR="00814462">
        <w:rPr>
          <w:i/>
          <w:iCs/>
        </w:rPr>
        <w:t xml:space="preserve"> </w:t>
      </w:r>
    </w:p>
    <w:p w:rsidR="007401E0" w:rsidP="007401E0" w:rsidRDefault="007401E0" w14:paraId="10C96221" w14:textId="77777777">
      <w:pPr>
        <w:pStyle w:val="ListParagraph"/>
        <w:ind w:left="992" w:hanging="567"/>
      </w:pPr>
    </w:p>
    <w:p w:rsidR="007401E0" w:rsidP="007401E0" w:rsidRDefault="007401E0" w14:paraId="18C64264" w14:textId="4F0DA14A">
      <w:pPr>
        <w:pStyle w:val="ListParagraph"/>
        <w:ind w:left="992" w:hanging="567"/>
        <w:rPr>
          <w:i/>
          <w:iCs/>
        </w:rPr>
      </w:pPr>
      <w:r>
        <w:t>21.</w:t>
      </w:r>
      <w:r w:rsidR="00814462">
        <w:t>4</w:t>
      </w:r>
      <w:r>
        <w:tab/>
      </w:r>
      <w:r>
        <w:rPr>
          <w:i/>
          <w:iCs/>
        </w:rPr>
        <w:t>Code of Conduct for Victorian Public Sector Employees 2015</w:t>
      </w:r>
      <w:r w:rsidR="00814462">
        <w:rPr>
          <w:i/>
          <w:iCs/>
        </w:rPr>
        <w:t>.</w:t>
      </w:r>
    </w:p>
    <w:p w:rsidR="007401E0" w:rsidP="007401E0" w:rsidRDefault="007401E0" w14:paraId="1756A8D6" w14:textId="77777777">
      <w:pPr>
        <w:pStyle w:val="Heading1"/>
      </w:pPr>
      <w:r>
        <w:t>Review</w:t>
      </w:r>
    </w:p>
    <w:p w:rsidRPr="00D35DCC" w:rsidR="007401E0" w:rsidP="007401E0" w:rsidRDefault="007401E0" w14:paraId="7297CF3D" w14:textId="77777777">
      <w:pPr>
        <w:pStyle w:val="ListParagraph"/>
        <w:numPr>
          <w:ilvl w:val="0"/>
          <w:numId w:val="17"/>
        </w:numPr>
        <w:ind w:left="425" w:hanging="425"/>
      </w:pPr>
      <w:r>
        <w:t>This Policy is subject to annual review.</w:t>
      </w:r>
    </w:p>
    <w:p w:rsidR="007401E0" w:rsidP="007401E0" w:rsidRDefault="007401E0" w14:paraId="44F64B86" w14:textId="77777777">
      <w:pPr>
        <w:pStyle w:val="Heading1"/>
      </w:pPr>
      <w:r>
        <w:t>Version history</w:t>
      </w:r>
    </w:p>
    <w:tbl>
      <w:tblPr>
        <w:tblStyle w:val="PBCSBV"/>
        <w:tblW w:w="0" w:type="auto"/>
        <w:tblLayout w:type="fixed"/>
        <w:tblLook w:val="0620" w:firstRow="1" w:lastRow="0" w:firstColumn="0" w:lastColumn="0" w:noHBand="1" w:noVBand="1"/>
      </w:tblPr>
      <w:tblGrid>
        <w:gridCol w:w="1843"/>
        <w:gridCol w:w="1843"/>
        <w:gridCol w:w="1843"/>
        <w:gridCol w:w="3543"/>
      </w:tblGrid>
      <w:tr w:rsidRPr="00E12982" w:rsidR="00724AEE" w:rsidTr="009717B1" w14:paraId="1B62012A" w14:textId="77777777">
        <w:trPr>
          <w:cnfStyle w:val="100000000000" w:firstRow="1" w:lastRow="0" w:firstColumn="0" w:lastColumn="0" w:oddVBand="0" w:evenVBand="0" w:oddHBand="0" w:evenHBand="0" w:firstRowFirstColumn="0" w:firstRowLastColumn="0" w:lastRowFirstColumn="0" w:lastRowLastColumn="0"/>
          <w:trHeight w:val="453" w:hRule="exact"/>
        </w:trPr>
        <w:tc>
          <w:tcPr>
            <w:tcW w:w="1843" w:type="dxa"/>
          </w:tcPr>
          <w:p w:rsidRPr="00933C71" w:rsidR="00724AEE" w:rsidP="009717B1" w:rsidRDefault="00724AEE" w14:paraId="04129A6B" w14:textId="77777777">
            <w:pPr>
              <w:pStyle w:val="Tabletext"/>
              <w:rPr>
                <w:b/>
                <w:bCs/>
                <w:lang w:val="en-AU"/>
              </w:rPr>
            </w:pPr>
            <w:r w:rsidRPr="00933C71">
              <w:rPr>
                <w:b/>
                <w:bCs/>
              </w:rPr>
              <w:t>Version</w:t>
            </w:r>
          </w:p>
        </w:tc>
        <w:tc>
          <w:tcPr>
            <w:tcW w:w="1843" w:type="dxa"/>
          </w:tcPr>
          <w:p w:rsidRPr="00933C71" w:rsidR="00724AEE" w:rsidP="009717B1" w:rsidRDefault="00724AEE" w14:paraId="58BA9EC3" w14:textId="77777777">
            <w:pPr>
              <w:pStyle w:val="Tabletext"/>
              <w:rPr>
                <w:b/>
                <w:bCs/>
                <w:lang w:val="en-AU"/>
              </w:rPr>
            </w:pPr>
            <w:r w:rsidRPr="00933C71">
              <w:rPr>
                <w:b/>
                <w:bCs/>
              </w:rPr>
              <w:t>Date</w:t>
            </w:r>
          </w:p>
        </w:tc>
        <w:tc>
          <w:tcPr>
            <w:tcW w:w="1843" w:type="dxa"/>
          </w:tcPr>
          <w:p w:rsidRPr="00933C71" w:rsidR="00724AEE" w:rsidP="009717B1" w:rsidRDefault="00724AEE" w14:paraId="0A6978E8" w14:textId="77777777">
            <w:pPr>
              <w:pStyle w:val="Tabletext"/>
              <w:rPr>
                <w:b/>
                <w:bCs/>
                <w:lang w:val="en-AU"/>
              </w:rPr>
            </w:pPr>
            <w:r w:rsidRPr="00933C71">
              <w:rPr>
                <w:b/>
                <w:bCs/>
              </w:rPr>
              <w:t>Author</w:t>
            </w:r>
          </w:p>
        </w:tc>
        <w:tc>
          <w:tcPr>
            <w:tcW w:w="3543" w:type="dxa"/>
          </w:tcPr>
          <w:p w:rsidRPr="00933C71" w:rsidR="00724AEE" w:rsidP="009717B1" w:rsidRDefault="00724AEE" w14:paraId="0B501C80" w14:textId="77777777">
            <w:pPr>
              <w:pStyle w:val="Tabletext"/>
              <w:rPr>
                <w:b/>
                <w:bCs/>
                <w:lang w:val="en-AU"/>
              </w:rPr>
            </w:pPr>
            <w:r w:rsidRPr="00933C71">
              <w:rPr>
                <w:b/>
                <w:bCs/>
                <w:lang w:val="en-AU"/>
              </w:rPr>
              <w:t>Summary of change</w:t>
            </w:r>
          </w:p>
        </w:tc>
      </w:tr>
      <w:tr w:rsidRPr="00E12982" w:rsidR="00724AEE" w:rsidTr="009717B1" w14:paraId="5703CC73" w14:textId="77777777">
        <w:trPr>
          <w:trHeight w:val="453" w:hRule="exact"/>
        </w:trPr>
        <w:tc>
          <w:tcPr>
            <w:tcW w:w="1843" w:type="dxa"/>
          </w:tcPr>
          <w:p w:rsidRPr="00E12982" w:rsidR="00724AEE" w:rsidP="009717B1" w:rsidRDefault="00724AEE" w14:paraId="19D3779C" w14:textId="77777777">
            <w:pPr>
              <w:pStyle w:val="Tabletext"/>
              <w:rPr>
                <w:lang w:val="en-AU"/>
              </w:rPr>
            </w:pPr>
            <w:r>
              <w:rPr>
                <w:lang w:val="en-AU"/>
              </w:rPr>
              <w:t>1</w:t>
            </w:r>
          </w:p>
        </w:tc>
        <w:tc>
          <w:tcPr>
            <w:tcW w:w="1843" w:type="dxa"/>
          </w:tcPr>
          <w:p w:rsidRPr="00E12982" w:rsidR="00724AEE" w:rsidP="009717B1" w:rsidRDefault="00724AEE" w14:paraId="60A05CDC" w14:textId="77777777">
            <w:pPr>
              <w:pStyle w:val="Tabletext"/>
              <w:rPr>
                <w:lang w:val="en-AU"/>
              </w:rPr>
            </w:pPr>
            <w:r>
              <w:rPr>
                <w:lang w:val="en-AU"/>
              </w:rPr>
              <w:t>May 2024</w:t>
            </w:r>
          </w:p>
        </w:tc>
        <w:tc>
          <w:tcPr>
            <w:tcW w:w="1843" w:type="dxa"/>
          </w:tcPr>
          <w:p w:rsidRPr="00E12982" w:rsidR="00724AEE" w:rsidP="009717B1" w:rsidRDefault="00724AEE" w14:paraId="03173ED0" w14:textId="77777777">
            <w:pPr>
              <w:pStyle w:val="Tabletext"/>
              <w:rPr>
                <w:lang w:val="en-AU"/>
              </w:rPr>
            </w:pPr>
            <w:r>
              <w:rPr>
                <w:lang w:val="en-AU"/>
              </w:rPr>
              <w:t>B Trevean</w:t>
            </w:r>
          </w:p>
        </w:tc>
        <w:tc>
          <w:tcPr>
            <w:tcW w:w="3543" w:type="dxa"/>
          </w:tcPr>
          <w:p w:rsidRPr="00E12982" w:rsidR="00724AEE" w:rsidP="009717B1" w:rsidRDefault="00724AEE" w14:paraId="2DD171B4" w14:textId="77777777">
            <w:pPr>
              <w:pStyle w:val="Tabletext"/>
              <w:rPr>
                <w:lang w:val="en-AU"/>
              </w:rPr>
            </w:pPr>
            <w:r>
              <w:rPr>
                <w:lang w:val="en-AU"/>
              </w:rPr>
              <w:t>Creation</w:t>
            </w:r>
          </w:p>
        </w:tc>
      </w:tr>
      <w:tr w:rsidRPr="00E12982" w:rsidR="00724AEE" w:rsidTr="009717B1" w14:paraId="712526C1" w14:textId="77777777">
        <w:trPr>
          <w:trHeight w:val="453" w:hRule="exact"/>
        </w:trPr>
        <w:tc>
          <w:tcPr>
            <w:tcW w:w="1843" w:type="dxa"/>
          </w:tcPr>
          <w:p w:rsidRPr="00E12982" w:rsidR="00724AEE" w:rsidP="009717B1" w:rsidRDefault="00724AEE" w14:paraId="47C74240" w14:textId="77777777">
            <w:pPr>
              <w:pStyle w:val="Tabletext"/>
              <w:rPr>
                <w:lang w:val="en-AU"/>
              </w:rPr>
            </w:pPr>
          </w:p>
        </w:tc>
        <w:tc>
          <w:tcPr>
            <w:tcW w:w="1843" w:type="dxa"/>
          </w:tcPr>
          <w:p w:rsidRPr="00E12982" w:rsidR="00724AEE" w:rsidP="009717B1" w:rsidRDefault="00724AEE" w14:paraId="42456F5C" w14:textId="77777777">
            <w:pPr>
              <w:pStyle w:val="Tabletext"/>
              <w:rPr>
                <w:lang w:val="en-AU"/>
              </w:rPr>
            </w:pPr>
          </w:p>
        </w:tc>
        <w:tc>
          <w:tcPr>
            <w:tcW w:w="1843" w:type="dxa"/>
          </w:tcPr>
          <w:p w:rsidRPr="00E12982" w:rsidR="00724AEE" w:rsidP="009717B1" w:rsidRDefault="00724AEE" w14:paraId="7CCDFBA7" w14:textId="77777777">
            <w:pPr>
              <w:pStyle w:val="Tabletext"/>
              <w:rPr>
                <w:lang w:val="en-AU"/>
              </w:rPr>
            </w:pPr>
          </w:p>
        </w:tc>
        <w:tc>
          <w:tcPr>
            <w:tcW w:w="3543" w:type="dxa"/>
          </w:tcPr>
          <w:p w:rsidRPr="00E12982" w:rsidR="00724AEE" w:rsidP="009717B1" w:rsidRDefault="00724AEE" w14:paraId="053C30B4" w14:textId="77777777">
            <w:pPr>
              <w:pStyle w:val="Tabletext"/>
              <w:rPr>
                <w:lang w:val="en-AU"/>
              </w:rPr>
            </w:pPr>
          </w:p>
        </w:tc>
      </w:tr>
      <w:tr w:rsidRPr="00E12982" w:rsidR="00724AEE" w:rsidTr="009717B1" w14:paraId="3621D6A9" w14:textId="77777777">
        <w:trPr>
          <w:trHeight w:val="453" w:hRule="exact"/>
        </w:trPr>
        <w:tc>
          <w:tcPr>
            <w:tcW w:w="1843" w:type="dxa"/>
          </w:tcPr>
          <w:p w:rsidRPr="00E12982" w:rsidR="00724AEE" w:rsidP="009717B1" w:rsidRDefault="00724AEE" w14:paraId="394CB140" w14:textId="77777777">
            <w:pPr>
              <w:pStyle w:val="Tabletext"/>
              <w:rPr>
                <w:lang w:val="en-AU"/>
              </w:rPr>
            </w:pPr>
          </w:p>
        </w:tc>
        <w:tc>
          <w:tcPr>
            <w:tcW w:w="1843" w:type="dxa"/>
          </w:tcPr>
          <w:p w:rsidRPr="00E12982" w:rsidR="00724AEE" w:rsidP="009717B1" w:rsidRDefault="00724AEE" w14:paraId="4E38B6E5" w14:textId="77777777">
            <w:pPr>
              <w:pStyle w:val="Tabletext"/>
              <w:rPr>
                <w:lang w:val="en-AU"/>
              </w:rPr>
            </w:pPr>
          </w:p>
        </w:tc>
        <w:tc>
          <w:tcPr>
            <w:tcW w:w="1843" w:type="dxa"/>
          </w:tcPr>
          <w:p w:rsidRPr="00E12982" w:rsidR="00724AEE" w:rsidP="009717B1" w:rsidRDefault="00724AEE" w14:paraId="70CD5671" w14:textId="77777777">
            <w:pPr>
              <w:pStyle w:val="Tabletext"/>
              <w:rPr>
                <w:lang w:val="en-AU"/>
              </w:rPr>
            </w:pPr>
          </w:p>
        </w:tc>
        <w:tc>
          <w:tcPr>
            <w:tcW w:w="3543" w:type="dxa"/>
          </w:tcPr>
          <w:p w:rsidRPr="00E12982" w:rsidR="00724AEE" w:rsidP="009717B1" w:rsidRDefault="00724AEE" w14:paraId="107A126F" w14:textId="77777777">
            <w:pPr>
              <w:pStyle w:val="Tabletext"/>
              <w:rPr>
                <w:lang w:val="en-AU"/>
              </w:rPr>
            </w:pPr>
          </w:p>
        </w:tc>
      </w:tr>
      <w:tr w:rsidRPr="00E12982" w:rsidR="00724AEE" w:rsidTr="009717B1" w14:paraId="04ACCF35" w14:textId="77777777">
        <w:trPr>
          <w:trHeight w:val="453" w:hRule="exact"/>
        </w:trPr>
        <w:tc>
          <w:tcPr>
            <w:tcW w:w="1843" w:type="dxa"/>
          </w:tcPr>
          <w:p w:rsidRPr="00E12982" w:rsidR="00724AEE" w:rsidP="009717B1" w:rsidRDefault="00724AEE" w14:paraId="4B34DCEC" w14:textId="77777777">
            <w:pPr>
              <w:pStyle w:val="Tabletext"/>
              <w:rPr>
                <w:lang w:val="en-AU"/>
              </w:rPr>
            </w:pPr>
          </w:p>
        </w:tc>
        <w:tc>
          <w:tcPr>
            <w:tcW w:w="1843" w:type="dxa"/>
          </w:tcPr>
          <w:p w:rsidRPr="00E12982" w:rsidR="00724AEE" w:rsidP="009717B1" w:rsidRDefault="00724AEE" w14:paraId="460C272B" w14:textId="77777777">
            <w:pPr>
              <w:pStyle w:val="Tabletext"/>
              <w:rPr>
                <w:lang w:val="en-AU"/>
              </w:rPr>
            </w:pPr>
          </w:p>
        </w:tc>
        <w:tc>
          <w:tcPr>
            <w:tcW w:w="1843" w:type="dxa"/>
          </w:tcPr>
          <w:p w:rsidRPr="00E12982" w:rsidR="00724AEE" w:rsidP="009717B1" w:rsidRDefault="00724AEE" w14:paraId="5B4789DD" w14:textId="77777777">
            <w:pPr>
              <w:pStyle w:val="Tabletext"/>
              <w:rPr>
                <w:lang w:val="en-AU"/>
              </w:rPr>
            </w:pPr>
          </w:p>
        </w:tc>
        <w:tc>
          <w:tcPr>
            <w:tcW w:w="3543" w:type="dxa"/>
          </w:tcPr>
          <w:p w:rsidRPr="00E12982" w:rsidR="00724AEE" w:rsidP="009717B1" w:rsidRDefault="00724AEE" w14:paraId="6280DD0B" w14:textId="77777777">
            <w:pPr>
              <w:pStyle w:val="Tabletext"/>
              <w:rPr>
                <w:lang w:val="en-AU"/>
              </w:rPr>
            </w:pPr>
          </w:p>
        </w:tc>
      </w:tr>
      <w:tr w:rsidRPr="00E12982" w:rsidR="00724AEE" w:rsidTr="009717B1" w14:paraId="52C415F3" w14:textId="77777777">
        <w:trPr>
          <w:trHeight w:val="453" w:hRule="exact"/>
        </w:trPr>
        <w:tc>
          <w:tcPr>
            <w:tcW w:w="1843" w:type="dxa"/>
          </w:tcPr>
          <w:p w:rsidRPr="00E12982" w:rsidR="00724AEE" w:rsidP="009717B1" w:rsidRDefault="00724AEE" w14:paraId="7495E06B" w14:textId="77777777">
            <w:pPr>
              <w:pStyle w:val="Tabletext"/>
              <w:rPr>
                <w:lang w:val="en-AU"/>
              </w:rPr>
            </w:pPr>
          </w:p>
        </w:tc>
        <w:tc>
          <w:tcPr>
            <w:tcW w:w="1843" w:type="dxa"/>
          </w:tcPr>
          <w:p w:rsidRPr="00E12982" w:rsidR="00724AEE" w:rsidP="009717B1" w:rsidRDefault="00724AEE" w14:paraId="34CF639B" w14:textId="77777777">
            <w:pPr>
              <w:pStyle w:val="Tabletext"/>
              <w:rPr>
                <w:lang w:val="en-AU"/>
              </w:rPr>
            </w:pPr>
          </w:p>
        </w:tc>
        <w:tc>
          <w:tcPr>
            <w:tcW w:w="1843" w:type="dxa"/>
          </w:tcPr>
          <w:p w:rsidRPr="00E12982" w:rsidR="00724AEE" w:rsidP="009717B1" w:rsidRDefault="00724AEE" w14:paraId="132CF92B" w14:textId="77777777">
            <w:pPr>
              <w:pStyle w:val="Tabletext"/>
              <w:rPr>
                <w:lang w:val="en-AU"/>
              </w:rPr>
            </w:pPr>
          </w:p>
        </w:tc>
        <w:tc>
          <w:tcPr>
            <w:tcW w:w="3543" w:type="dxa"/>
          </w:tcPr>
          <w:p w:rsidRPr="00E12982" w:rsidR="00724AEE" w:rsidP="009717B1" w:rsidRDefault="00724AEE" w14:paraId="3F5FA184" w14:textId="77777777">
            <w:pPr>
              <w:pStyle w:val="Tabletext"/>
              <w:rPr>
                <w:lang w:val="en-AU"/>
              </w:rPr>
            </w:pPr>
          </w:p>
        </w:tc>
      </w:tr>
    </w:tbl>
    <w:p w:rsidR="007401E0" w:rsidP="00724AEE" w:rsidRDefault="007401E0" w14:paraId="6516EAFF" w14:textId="77777777"/>
    <w:sectPr w:rsidR="007401E0" w:rsidSect="00092AC5">
      <w:headerReference w:type="even" r:id="rId11"/>
      <w:headerReference w:type="default" r:id="rId12"/>
      <w:footerReference w:type="even" r:id="rId13"/>
      <w:footerReference w:type="default" r:id="rId14"/>
      <w:headerReference w:type="first" r:id="rId15"/>
      <w:footerReference w:type="first" r:id="rId16"/>
      <w:type w:val="oddPage"/>
      <w:pgSz w:w="11906" w:h="16838" w:orient="portrait" w:code="9"/>
      <w:pgMar w:top="794" w:right="1361" w:bottom="1701" w:left="1361" w:header="454"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5D04" w:rsidP="00123BB4" w:rsidRDefault="00D95D04" w14:paraId="24BEEFC5" w14:textId="77777777">
      <w:r>
        <w:separator/>
      </w:r>
    </w:p>
  </w:endnote>
  <w:endnote w:type="continuationSeparator" w:id="0">
    <w:p w:rsidR="00D95D04" w:rsidP="00123BB4" w:rsidRDefault="00D95D04" w14:paraId="61543B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Light">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9F5143" w:rsidRDefault="0039708F" w14:paraId="6B77A1EE" w14:textId="77777777">
    <w:pPr>
      <w:pStyle w:val="Footer"/>
    </w:pPr>
    <w:r>
      <w:rPr>
        <w:noProof/>
      </w:rPr>
      <mc:AlternateContent>
        <mc:Choice Requires="wps">
          <w:drawing>
            <wp:anchor distT="0" distB="0" distL="0" distR="0" simplePos="0" relativeHeight="251727872" behindDoc="0" locked="0" layoutInCell="1" allowOverlap="1" wp14:anchorId="5E9ACCB8" wp14:editId="73AC8D8D">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rsidRPr="0039708F" w:rsidR="0039708F" w:rsidP="0039708F" w:rsidRDefault="0039708F" w14:paraId="718DB82A" w14:textId="77777777">
                          <w:pPr>
                            <w:spacing w:after="0"/>
                            <w:rPr>
                              <w:rFonts w:ascii="Arial" w:hAnsi="Arial" w:eastAsia="Arial"/>
                              <w:noProof/>
                              <w:sz w:val="24"/>
                              <w:szCs w:val="24"/>
                            </w:rPr>
                          </w:pPr>
                          <w:r w:rsidRPr="0039708F">
                            <w:rPr>
                              <w:rFonts w:ascii="Arial" w:hAnsi="Arial"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12E2221">
            <v:shapetype id="_x0000_t202" coordsize="21600,21600" o:spt="202" path="m,l,21600r21600,l21600,xe" w14:anchorId="5E9ACCB8">
              <v:stroke joinstyle="miter"/>
              <v:path gradientshapeok="t" o:connecttype="rect"/>
            </v:shapetype>
            <v:shape id="Text Box 24" style="position:absolute;left:0;text-align:left;margin-left:0;margin-top:0;width:54.05pt;height:28.8pt;z-index:251727872;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v:textbox style="mso-fit-shape-to-text:t" inset="0,0,0,15pt">
                <w:txbxContent>
                  <w:p w:rsidRPr="0039708F" w:rsidR="0039708F" w:rsidP="0039708F" w:rsidRDefault="0039708F" w14:paraId="08CE8BEA" w14:textId="77777777">
                    <w:pPr>
                      <w:spacing w:after="0"/>
                      <w:rPr>
                        <w:rFonts w:ascii="Arial" w:hAnsi="Arial" w:eastAsia="Arial"/>
                        <w:noProof/>
                        <w:sz w:val="24"/>
                        <w:szCs w:val="24"/>
                      </w:rPr>
                    </w:pPr>
                    <w:r w:rsidRPr="0039708F">
                      <w:rPr>
                        <w:rFonts w:ascii="Arial" w:hAnsi="Arial" w:eastAsia="Arial"/>
                        <w:noProo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Pr="0039708F" w:rsidR="00556F3C" w:rsidP="0039708F" w:rsidRDefault="0039708F" w14:paraId="0678BAE8" w14:textId="77777777">
    <w:pPr>
      <w:pStyle w:val="Footer"/>
    </w:pPr>
    <w:r>
      <w:rPr>
        <w:noProof/>
      </w:rPr>
      <w:drawing>
        <wp:anchor distT="0" distB="0" distL="114300" distR="114300" simplePos="0" relativeHeight="251729920" behindDoc="0" locked="1" layoutInCell="1" allowOverlap="1" wp14:anchorId="3DBF4AD7" wp14:editId="6EA6F43E">
          <wp:simplePos x="0" y="0"/>
          <wp:positionH relativeFrom="page">
            <wp:posOffset>0</wp:posOffset>
          </wp:positionH>
          <wp:positionV relativeFrom="page">
            <wp:posOffset>9620250</wp:posOffset>
          </wp:positionV>
          <wp:extent cx="7560000" cy="1069200"/>
          <wp:effectExtent l="0" t="0" r="0" b="0"/>
          <wp:wrapNone/>
          <wp:docPr id="276899285"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Pr="0039708F" w:rsidR="00ED5AA6" w:rsidP="00ED5AA6" w:rsidRDefault="00ED5AA6" w14:paraId="2FD579F1" w14:textId="77777777">
    <w:pPr>
      <w:pStyle w:val="Footer"/>
    </w:pPr>
    <w:r>
      <w:rPr>
        <w:noProof/>
      </w:rPr>
      <w:drawing>
        <wp:anchor distT="0" distB="0" distL="114300" distR="114300" simplePos="0" relativeHeight="251740160" behindDoc="0" locked="1" layoutInCell="1" allowOverlap="1" wp14:anchorId="63B20FE1" wp14:editId="411806AD">
          <wp:simplePos x="0" y="0"/>
          <wp:positionH relativeFrom="page">
            <wp:posOffset>0</wp:posOffset>
          </wp:positionH>
          <wp:positionV relativeFrom="page">
            <wp:posOffset>9620250</wp:posOffset>
          </wp:positionV>
          <wp:extent cx="7560000" cy="1069200"/>
          <wp:effectExtent l="0" t="0" r="0" b="0"/>
          <wp:wrapNone/>
          <wp:docPr id="1414011050"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rsidRPr="00ED5AA6" w:rsidR="009F5143" w:rsidP="00ED5AA6" w:rsidRDefault="009F5143" w14:paraId="2BB3DC82" w14:textId="7777777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5D04" w:rsidP="00123BB4" w:rsidRDefault="00D95D04" w14:paraId="20CF1FE8" w14:textId="77777777">
      <w:r>
        <w:separator/>
      </w:r>
    </w:p>
  </w:footnote>
  <w:footnote w:type="continuationSeparator" w:id="0">
    <w:p w:rsidR="00D95D04" w:rsidP="00123BB4" w:rsidRDefault="00D95D04" w14:paraId="547D772F" w14:textId="77777777">
      <w:r>
        <w:continuationSeparator/>
      </w:r>
    </w:p>
  </w:footnote>
  <w:footnote w:id="1">
    <w:p w:rsidRPr="007401E0" w:rsidR="00D27849" w:rsidP="00D27849" w:rsidRDefault="00D27849" w14:paraId="7D000F64" w14:textId="77777777">
      <w:pPr>
        <w:pStyle w:val="FootnoteText"/>
        <w:rPr>
          <w:rFonts w:asciiTheme="minorHAnsi" w:hAnsiTheme="minorHAnsi"/>
          <w:sz w:val="16"/>
          <w:szCs w:val="16"/>
        </w:rPr>
      </w:pPr>
      <w:r w:rsidRPr="007401E0">
        <w:rPr>
          <w:rStyle w:val="FootnoteReference"/>
          <w:rFonts w:asciiTheme="minorHAnsi" w:hAnsiTheme="minorHAnsi"/>
          <w:sz w:val="16"/>
          <w:szCs w:val="16"/>
        </w:rPr>
        <w:footnoteRef/>
      </w:r>
      <w:r w:rsidRPr="007401E0">
        <w:rPr>
          <w:rFonts w:asciiTheme="minorHAnsi" w:hAnsiTheme="minorHAnsi"/>
          <w:sz w:val="16"/>
          <w:szCs w:val="16"/>
        </w:rPr>
        <w:t xml:space="preserve"> Examples may include, but are not limited to, intentionally conceding points, pre-arranging the outcome of a competition, deliberate underperformance (also known as ‘tanking’) in any manner, influencing athlete strategy, or intentional unfair or incorrect officiating.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9F5143" w:rsidRDefault="0039708F" w14:paraId="47BF24A2" w14:textId="77777777">
    <w:pPr>
      <w:pStyle w:val="Header"/>
    </w:pPr>
    <w:r>
      <w:rPr>
        <w:noProof/>
      </w:rPr>
      <mc:AlternateContent>
        <mc:Choice Requires="wps">
          <w:drawing>
            <wp:anchor distT="0" distB="0" distL="0" distR="0" simplePos="0" relativeHeight="251721728" behindDoc="0" locked="0" layoutInCell="1" allowOverlap="1" wp14:anchorId="0C988E92" wp14:editId="53A22E1C">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rsidRPr="0039708F" w:rsidR="0039708F" w:rsidP="0039708F" w:rsidRDefault="0039708F" w14:paraId="51C4EFD1" w14:textId="77777777">
                          <w:pPr>
                            <w:spacing w:after="0"/>
                            <w:rPr>
                              <w:rFonts w:ascii="Arial" w:hAnsi="Arial" w:eastAsia="Arial"/>
                              <w:noProof/>
                              <w:sz w:val="24"/>
                              <w:szCs w:val="24"/>
                            </w:rPr>
                          </w:pPr>
                          <w:r w:rsidRPr="0039708F">
                            <w:rPr>
                              <w:rFonts w:ascii="Arial" w:hAnsi="Arial"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7F32D75E">
            <v:shapetype id="_x0000_t202" coordsize="21600,21600" o:spt="202" path="m,l,21600r21600,l21600,xe" w14:anchorId="0C988E92">
              <v:stroke joinstyle="miter"/>
              <v:path gradientshapeok="t" o:connecttype="rect"/>
            </v:shapetype>
            <v:shape id="Text Box 18" style="position:absolute;margin-left:0;margin-top:0;width:54.05pt;height:28.8pt;z-index:251721728;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v:textbox style="mso-fit-shape-to-text:t" inset="0,15pt,0,0">
                <w:txbxContent>
                  <w:p w:rsidRPr="0039708F" w:rsidR="0039708F" w:rsidP="0039708F" w:rsidRDefault="0039708F" w14:paraId="09E77742" w14:textId="77777777">
                    <w:pPr>
                      <w:spacing w:after="0"/>
                      <w:rPr>
                        <w:rFonts w:ascii="Arial" w:hAnsi="Arial" w:eastAsia="Arial"/>
                        <w:noProof/>
                        <w:sz w:val="24"/>
                        <w:szCs w:val="24"/>
                      </w:rPr>
                    </w:pPr>
                    <w:r w:rsidRPr="0039708F">
                      <w:rPr>
                        <w:rFonts w:ascii="Arial" w:hAnsi="Arial" w:eastAsia="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tbl>
    <w:tblPr>
      <w:tblStyle w:val="TableGrid"/>
      <w:tblW w:w="5863" w:type="pct"/>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Pr="0039708F" w:rsidR="006C2861" w:rsidTr="005225FF" w14:paraId="4428462C" w14:textId="77777777">
              <w:tc>
                <w:tcPr>
                  <w:tcW w:w="4738" w:type="pct"/>
                  <w:vAlign w:val="center"/>
                </w:tcPr>
                <w:p w:rsidRPr="00ED5AA6" w:rsidR="006C2861" w:rsidP="006C2861" w:rsidRDefault="006C2861" w14:paraId="47E3294B" w14:textId="270743DA">
                  <w:pPr>
                    <w:pStyle w:val="Footer"/>
                    <w:spacing w:after="0"/>
                    <w:jc w:val="left"/>
                    <w:rPr>
                      <w:rFonts w:ascii="Aptos" w:hAnsi="Aptos"/>
                      <w:color w:val="343641" w:themeColor="text2"/>
                    </w:rPr>
                  </w:pPr>
                  <w:r w:rsidRPr="00AB58E9">
                    <w:rPr>
                      <w:rStyle w:val="HeaderChar"/>
                    </w:rPr>
                    <w:fldChar w:fldCharType="begin"/>
                  </w:r>
                  <w:r w:rsidRPr="00AB58E9">
                    <w:rPr>
                      <w:rStyle w:val="HeaderChar"/>
                    </w:rPr>
                    <w:instrText xml:space="preserve"> STYLEREF  Title  \* MERGEFORMAT </w:instrText>
                  </w:r>
                  <w:r w:rsidRPr="00AB58E9">
                    <w:rPr>
                      <w:rStyle w:val="HeaderChar"/>
                    </w:rPr>
                    <w:fldChar w:fldCharType="separate"/>
                  </w:r>
                  <w:r w:rsidR="000E5E94">
                    <w:rPr>
                      <w:rStyle w:val="HeaderChar"/>
                      <w:noProof/>
                    </w:rPr>
                    <w:t>Professional Boxing and Combat Sports Board</w:t>
                  </w:r>
                  <w:r w:rsidRPr="00AB58E9">
                    <w:rPr>
                      <w:rStyle w:val="HeaderChar"/>
                    </w:rPr>
                    <w:fldChar w:fldCharType="end"/>
                  </w:r>
                </w:p>
              </w:tc>
              <w:tc>
                <w:tcPr>
                  <w:tcW w:w="262" w:type="pct"/>
                  <w:vAlign w:val="center"/>
                </w:tcPr>
                <w:p w:rsidRPr="0039708F" w:rsidR="006C2861" w:rsidP="006C2861" w:rsidRDefault="006C2861" w14:paraId="70B3FE1B" w14:textId="77777777">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rsidRPr="00092AC5" w:rsidR="00092AC5" w:rsidP="006C2861" w:rsidRDefault="00092AC5" w14:paraId="5818E345" w14:textId="77777777">
    <w:pPr>
      <w:pStyle w:val="Header"/>
      <w:rPr>
        <w:color w:val="FFFFFF" w:themeColor="background1"/>
      </w:rPr>
    </w:pPr>
  </w:p>
  <w:p w:rsidRPr="00092AC5" w:rsidR="00092AC5" w:rsidP="006C2861" w:rsidRDefault="00092AC5" w14:paraId="4DD3AD60" w14:textId="77777777">
    <w:pPr>
      <w:pStyle w:val="Header"/>
      <w:rPr>
        <w:color w:val="FFFFFF" w:themeColor="background1"/>
      </w:rPr>
    </w:pPr>
  </w:p>
  <w:p w:rsidRPr="006C2861" w:rsidR="00216EF4" w:rsidP="006C2861" w:rsidRDefault="006C2861" w14:paraId="4CAF1783" w14:textId="77777777">
    <w:pPr>
      <w:pStyle w:val="Header"/>
    </w:pPr>
    <w:r>
      <w:rPr>
        <w:noProof/>
      </w:rPr>
      <w:drawing>
        <wp:anchor distT="0" distB="0" distL="114300" distR="114300" simplePos="0" relativeHeight="251743232" behindDoc="1" locked="1" layoutInCell="1" allowOverlap="1" wp14:anchorId="0FCFD56C" wp14:editId="333B3D44">
          <wp:simplePos x="0" y="0"/>
          <wp:positionH relativeFrom="page">
            <wp:posOffset>0</wp:posOffset>
          </wp:positionH>
          <wp:positionV relativeFrom="page">
            <wp:posOffset>0</wp:posOffset>
          </wp:positionV>
          <wp:extent cx="7560000" cy="1065600"/>
          <wp:effectExtent l="0" t="0" r="0" b="0"/>
          <wp:wrapNone/>
          <wp:docPr id="2432983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08" behindDoc="1" locked="1" layoutInCell="1" allowOverlap="1" wp14:anchorId="02AA39EA" wp14:editId="577C822D">
          <wp:simplePos x="0" y="0"/>
          <wp:positionH relativeFrom="page">
            <wp:posOffset>-7572375</wp:posOffset>
          </wp:positionH>
          <wp:positionV relativeFrom="page">
            <wp:posOffset>-355600</wp:posOffset>
          </wp:positionV>
          <wp:extent cx="7559675" cy="9876790"/>
          <wp:effectExtent l="0" t="0" r="0" b="3810"/>
          <wp:wrapNone/>
          <wp:docPr id="786428995" name="Picture 786428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0146C" w:rsidR="009F5143" w:rsidP="00B0146C" w:rsidRDefault="00092AC5" w14:paraId="022894EC" w14:textId="77777777">
    <w:pPr>
      <w:pStyle w:val="Header"/>
    </w:pPr>
    <w:r>
      <w:rPr>
        <w:noProof/>
      </w:rPr>
      <w:drawing>
        <wp:anchor distT="0" distB="0" distL="114300" distR="114300" simplePos="0" relativeHeight="251744256" behindDoc="1" locked="0" layoutInCell="1" allowOverlap="1" wp14:anchorId="15F4DC12" wp14:editId="6DAB6797">
          <wp:simplePos x="0" y="0"/>
          <wp:positionH relativeFrom="page">
            <wp:posOffset>1905</wp:posOffset>
          </wp:positionH>
          <wp:positionV relativeFrom="page">
            <wp:posOffset>0</wp:posOffset>
          </wp:positionV>
          <wp:extent cx="7560000" cy="2160000"/>
          <wp:effectExtent l="0" t="0" r="0" b="0"/>
          <wp:wrapNone/>
          <wp:docPr id="587070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70490" name="Picture 587070490"/>
                  <pic:cNvPicPr/>
                </pic:nvPicPr>
                <pic:blipFill>
                  <a:blip r:embed="rId1">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2FEB"/>
    <w:multiLevelType w:val="hybridMultilevel"/>
    <w:tmpl w:val="319C905C"/>
    <w:lvl w:ilvl="0" w:tplc="48A09E98">
      <w:start w:val="1"/>
      <w:numFmt w:val="lowerLetter"/>
      <w:lvlText w:val="(%1)"/>
      <w:lvlJc w:val="left"/>
      <w:pPr>
        <w:ind w:left="920" w:hanging="360"/>
      </w:pPr>
      <w:rPr>
        <w:rFonts w:hint="default" w:asciiTheme="minorHAnsi" w:hAnsiTheme="minorHAnsi" w:eastAsiaTheme="minorHAnsi" w:cstheme="minorHAnsi"/>
        <w:b w:val="0"/>
        <w:bCs/>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534C70"/>
    <w:multiLevelType w:val="hybridMultilevel"/>
    <w:tmpl w:val="1E88A138"/>
    <w:lvl w:ilvl="0" w:tplc="FFFFFFFF">
      <w:start w:val="1"/>
      <w:numFmt w:val="lowerLetter"/>
      <w:lvlText w:val="(%1)"/>
      <w:lvlJc w:val="left"/>
      <w:pPr>
        <w:ind w:left="1778" w:hanging="360"/>
      </w:pPr>
      <w:rPr>
        <w:rFonts w:hint="default" w:asciiTheme="minorHAnsi" w:hAnsiTheme="minorHAnsi" w:eastAsiaTheme="minorHAnsi" w:cstheme="minorHAnsi"/>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333683"/>
    <w:multiLevelType w:val="hybridMultilevel"/>
    <w:tmpl w:val="F7E0F9C4"/>
    <w:lvl w:ilvl="0" w:tplc="91807BD6">
      <w:start w:val="1"/>
      <w:numFmt w:val="lowerLetter"/>
      <w:lvlText w:val="(%1)"/>
      <w:lvlJc w:val="left"/>
      <w:pPr>
        <w:ind w:left="764" w:hanging="360"/>
      </w:pPr>
      <w:rPr>
        <w:rFonts w:hint="default" w:asciiTheme="minorHAnsi" w:hAnsiTheme="minorHAnsi" w:eastAsiaTheme="minorHAnsi" w:cstheme="minorHAnsi"/>
        <w:b w:val="0"/>
        <w:bCs/>
      </w:r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5"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A5D0ADB"/>
    <w:multiLevelType w:val="hybridMultilevel"/>
    <w:tmpl w:val="2ED28FF4"/>
    <w:lvl w:ilvl="0" w:tplc="59ACA0FE">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4DA56622"/>
    <w:multiLevelType w:val="hybridMultilevel"/>
    <w:tmpl w:val="D5D4CCD0"/>
    <w:lvl w:ilvl="0" w:tplc="59ACA0FE">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5531572"/>
    <w:multiLevelType w:val="hybridMultilevel"/>
    <w:tmpl w:val="1E88A138"/>
    <w:lvl w:ilvl="0" w:tplc="FFFFFFFF">
      <w:start w:val="1"/>
      <w:numFmt w:val="lowerLetter"/>
      <w:lvlText w:val="(%1)"/>
      <w:lvlJc w:val="left"/>
      <w:pPr>
        <w:ind w:left="1778" w:hanging="360"/>
      </w:pPr>
      <w:rPr>
        <w:rFonts w:hint="default" w:asciiTheme="minorHAnsi" w:hAnsiTheme="minorHAnsi" w:eastAsiaTheme="minorHAnsi" w:cstheme="minorHAnsi"/>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6464BC"/>
    <w:multiLevelType w:val="multilevel"/>
    <w:tmpl w:val="F38C03D2"/>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61024AB9"/>
    <w:multiLevelType w:val="hybridMultilevel"/>
    <w:tmpl w:val="1E88A138"/>
    <w:lvl w:ilvl="0" w:tplc="638EC17C">
      <w:start w:val="1"/>
      <w:numFmt w:val="lowerLetter"/>
      <w:lvlText w:val="(%1)"/>
      <w:lvlJc w:val="left"/>
      <w:pPr>
        <w:ind w:left="1778" w:hanging="360"/>
      </w:pPr>
      <w:rPr>
        <w:rFonts w:hint="default" w:asciiTheme="minorHAnsi" w:hAnsiTheme="minorHAnsi" w:eastAsiaTheme="minorHAnsi" w:cstheme="minorHAnsi"/>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1D5940"/>
    <w:multiLevelType w:val="multilevel"/>
    <w:tmpl w:val="E200CFB2"/>
    <w:lvl w:ilvl="0">
      <w:start w:val="22"/>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688C1195"/>
    <w:multiLevelType w:val="hybridMultilevel"/>
    <w:tmpl w:val="1E88A138"/>
    <w:lvl w:ilvl="0" w:tplc="FFFFFFFF">
      <w:start w:val="1"/>
      <w:numFmt w:val="lowerLetter"/>
      <w:lvlText w:val="(%1)"/>
      <w:lvlJc w:val="left"/>
      <w:pPr>
        <w:ind w:left="1778" w:hanging="360"/>
      </w:pPr>
      <w:rPr>
        <w:rFonts w:hint="default" w:asciiTheme="minorHAnsi" w:hAnsiTheme="minorHAnsi" w:eastAsiaTheme="minorHAnsi" w:cstheme="minorHAnsi"/>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1F24CD"/>
    <w:multiLevelType w:val="multilevel"/>
    <w:tmpl w:val="B264581C"/>
    <w:lvl w:ilvl="0">
      <w:start w:val="7"/>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8" w15:restartNumberingAfterBreak="0">
    <w:nsid w:val="722717ED"/>
    <w:multiLevelType w:val="hybridMultilevel"/>
    <w:tmpl w:val="68563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4F4741"/>
    <w:multiLevelType w:val="hybridMultilevel"/>
    <w:tmpl w:val="908E3106"/>
    <w:lvl w:ilvl="0" w:tplc="59ACA0FE">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490974158">
    <w:abstractNumId w:val="1"/>
  </w:num>
  <w:num w:numId="2" w16cid:durableId="1730151627">
    <w:abstractNumId w:val="7"/>
  </w:num>
  <w:num w:numId="3" w16cid:durableId="1469977648">
    <w:abstractNumId w:val="6"/>
  </w:num>
  <w:num w:numId="4" w16cid:durableId="333342480">
    <w:abstractNumId w:val="15"/>
  </w:num>
  <w:num w:numId="5" w16cid:durableId="1013268417">
    <w:abstractNumId w:val="5"/>
  </w:num>
  <w:num w:numId="6" w16cid:durableId="1195004484">
    <w:abstractNumId w:val="9"/>
  </w:num>
  <w:num w:numId="7" w16cid:durableId="1053961327">
    <w:abstractNumId w:val="3"/>
  </w:num>
  <w:num w:numId="8" w16cid:durableId="1944603745">
    <w:abstractNumId w:val="8"/>
  </w:num>
  <w:num w:numId="9" w16cid:durableId="82185324">
    <w:abstractNumId w:val="19"/>
  </w:num>
  <w:num w:numId="10" w16cid:durableId="1375693589">
    <w:abstractNumId w:val="10"/>
  </w:num>
  <w:num w:numId="11" w16cid:durableId="932081397">
    <w:abstractNumId w:val="18"/>
  </w:num>
  <w:num w:numId="12" w16cid:durableId="2000039300">
    <w:abstractNumId w:val="13"/>
  </w:num>
  <w:num w:numId="13" w16cid:durableId="2110076228">
    <w:abstractNumId w:val="12"/>
  </w:num>
  <w:num w:numId="14" w16cid:durableId="1605265708">
    <w:abstractNumId w:val="17"/>
  </w:num>
  <w:num w:numId="15" w16cid:durableId="1393775197">
    <w:abstractNumId w:val="0"/>
  </w:num>
  <w:num w:numId="16" w16cid:durableId="849099430">
    <w:abstractNumId w:val="4"/>
  </w:num>
  <w:num w:numId="17" w16cid:durableId="1195456871">
    <w:abstractNumId w:val="14"/>
  </w:num>
  <w:num w:numId="18" w16cid:durableId="532963232">
    <w:abstractNumId w:val="2"/>
  </w:num>
  <w:num w:numId="19" w16cid:durableId="596401612">
    <w:abstractNumId w:val="16"/>
  </w:num>
  <w:num w:numId="20" w16cid:durableId="205056332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49"/>
    <w:rsid w:val="00000000"/>
    <w:rsid w:val="0000440C"/>
    <w:rsid w:val="000458D8"/>
    <w:rsid w:val="000567AA"/>
    <w:rsid w:val="0006110E"/>
    <w:rsid w:val="00067E9F"/>
    <w:rsid w:val="000865C3"/>
    <w:rsid w:val="00092AC5"/>
    <w:rsid w:val="000C04E8"/>
    <w:rsid w:val="000D2ECB"/>
    <w:rsid w:val="000E116A"/>
    <w:rsid w:val="000E39FB"/>
    <w:rsid w:val="000E5E94"/>
    <w:rsid w:val="000F38D1"/>
    <w:rsid w:val="00106515"/>
    <w:rsid w:val="001154DB"/>
    <w:rsid w:val="00123BB4"/>
    <w:rsid w:val="00147A6B"/>
    <w:rsid w:val="00151402"/>
    <w:rsid w:val="00156526"/>
    <w:rsid w:val="00156E83"/>
    <w:rsid w:val="001575B0"/>
    <w:rsid w:val="001707E4"/>
    <w:rsid w:val="00187320"/>
    <w:rsid w:val="001C092F"/>
    <w:rsid w:val="001C7344"/>
    <w:rsid w:val="001D1FCE"/>
    <w:rsid w:val="001E3FA6"/>
    <w:rsid w:val="001F3DF2"/>
    <w:rsid w:val="00216EF4"/>
    <w:rsid w:val="00226BB2"/>
    <w:rsid w:val="00237320"/>
    <w:rsid w:val="00244FF5"/>
    <w:rsid w:val="002476EC"/>
    <w:rsid w:val="002829B6"/>
    <w:rsid w:val="0029317B"/>
    <w:rsid w:val="00296F24"/>
    <w:rsid w:val="002B0B71"/>
    <w:rsid w:val="002E5AB6"/>
    <w:rsid w:val="002F6398"/>
    <w:rsid w:val="00314982"/>
    <w:rsid w:val="00325807"/>
    <w:rsid w:val="00326A87"/>
    <w:rsid w:val="00341424"/>
    <w:rsid w:val="00350970"/>
    <w:rsid w:val="00373C03"/>
    <w:rsid w:val="00374152"/>
    <w:rsid w:val="00376434"/>
    <w:rsid w:val="003771B3"/>
    <w:rsid w:val="00386B72"/>
    <w:rsid w:val="00387A08"/>
    <w:rsid w:val="00393D53"/>
    <w:rsid w:val="0039460F"/>
    <w:rsid w:val="00395794"/>
    <w:rsid w:val="0039708F"/>
    <w:rsid w:val="003A0462"/>
    <w:rsid w:val="003B57CD"/>
    <w:rsid w:val="003B706F"/>
    <w:rsid w:val="003C5E0B"/>
    <w:rsid w:val="003D6A27"/>
    <w:rsid w:val="003E4AB1"/>
    <w:rsid w:val="003F152E"/>
    <w:rsid w:val="003F221C"/>
    <w:rsid w:val="004027D3"/>
    <w:rsid w:val="00411ED4"/>
    <w:rsid w:val="0043293E"/>
    <w:rsid w:val="00437BF0"/>
    <w:rsid w:val="00442F54"/>
    <w:rsid w:val="0044407A"/>
    <w:rsid w:val="00447B2A"/>
    <w:rsid w:val="00451DA2"/>
    <w:rsid w:val="00466FDD"/>
    <w:rsid w:val="0047378C"/>
    <w:rsid w:val="00480EB2"/>
    <w:rsid w:val="00482138"/>
    <w:rsid w:val="004824A7"/>
    <w:rsid w:val="00483D8F"/>
    <w:rsid w:val="00484ADA"/>
    <w:rsid w:val="004A05A1"/>
    <w:rsid w:val="004A7616"/>
    <w:rsid w:val="004B661B"/>
    <w:rsid w:val="004C32FC"/>
    <w:rsid w:val="004C40FE"/>
    <w:rsid w:val="004C6A4C"/>
    <w:rsid w:val="004D0D95"/>
    <w:rsid w:val="004E19DF"/>
    <w:rsid w:val="004E3885"/>
    <w:rsid w:val="00513813"/>
    <w:rsid w:val="005171E2"/>
    <w:rsid w:val="00524174"/>
    <w:rsid w:val="0053232B"/>
    <w:rsid w:val="005333B2"/>
    <w:rsid w:val="00552B84"/>
    <w:rsid w:val="00556F3C"/>
    <w:rsid w:val="00561F0C"/>
    <w:rsid w:val="005730CE"/>
    <w:rsid w:val="005736B7"/>
    <w:rsid w:val="00590459"/>
    <w:rsid w:val="005952E0"/>
    <w:rsid w:val="00596E3D"/>
    <w:rsid w:val="005C2261"/>
    <w:rsid w:val="005E4D11"/>
    <w:rsid w:val="00671625"/>
    <w:rsid w:val="00684342"/>
    <w:rsid w:val="00694234"/>
    <w:rsid w:val="006976DF"/>
    <w:rsid w:val="006B1F1B"/>
    <w:rsid w:val="006B2932"/>
    <w:rsid w:val="006B3D6E"/>
    <w:rsid w:val="006C2861"/>
    <w:rsid w:val="006C61FF"/>
    <w:rsid w:val="006D1E9A"/>
    <w:rsid w:val="006D52D9"/>
    <w:rsid w:val="00724AEE"/>
    <w:rsid w:val="00732709"/>
    <w:rsid w:val="007401E0"/>
    <w:rsid w:val="007642E9"/>
    <w:rsid w:val="007704EF"/>
    <w:rsid w:val="00781DA2"/>
    <w:rsid w:val="00783A1A"/>
    <w:rsid w:val="007A272A"/>
    <w:rsid w:val="007C1D67"/>
    <w:rsid w:val="007C38A1"/>
    <w:rsid w:val="007D260F"/>
    <w:rsid w:val="00800A8A"/>
    <w:rsid w:val="00810770"/>
    <w:rsid w:val="0081353B"/>
    <w:rsid w:val="00814462"/>
    <w:rsid w:val="008151DC"/>
    <w:rsid w:val="00822532"/>
    <w:rsid w:val="00826BAE"/>
    <w:rsid w:val="00845FAB"/>
    <w:rsid w:val="00847B0C"/>
    <w:rsid w:val="00851F82"/>
    <w:rsid w:val="00852640"/>
    <w:rsid w:val="00856D7A"/>
    <w:rsid w:val="00871718"/>
    <w:rsid w:val="008770F3"/>
    <w:rsid w:val="008818C5"/>
    <w:rsid w:val="00881AFB"/>
    <w:rsid w:val="00886C96"/>
    <w:rsid w:val="00897F02"/>
    <w:rsid w:val="008A63BC"/>
    <w:rsid w:val="008D3020"/>
    <w:rsid w:val="008E3142"/>
    <w:rsid w:val="008E3E6F"/>
    <w:rsid w:val="008E7193"/>
    <w:rsid w:val="008F2231"/>
    <w:rsid w:val="00906E0F"/>
    <w:rsid w:val="0090768D"/>
    <w:rsid w:val="00915FC7"/>
    <w:rsid w:val="00937D60"/>
    <w:rsid w:val="009406AA"/>
    <w:rsid w:val="00944B80"/>
    <w:rsid w:val="0094555A"/>
    <w:rsid w:val="00956EA5"/>
    <w:rsid w:val="0096488D"/>
    <w:rsid w:val="00972D9C"/>
    <w:rsid w:val="0099252E"/>
    <w:rsid w:val="009A693D"/>
    <w:rsid w:val="009C232C"/>
    <w:rsid w:val="009D7819"/>
    <w:rsid w:val="009F09B7"/>
    <w:rsid w:val="009F1203"/>
    <w:rsid w:val="009F5143"/>
    <w:rsid w:val="009F624B"/>
    <w:rsid w:val="00A27E6D"/>
    <w:rsid w:val="00A31A84"/>
    <w:rsid w:val="00A4038E"/>
    <w:rsid w:val="00A40ABE"/>
    <w:rsid w:val="00A51963"/>
    <w:rsid w:val="00A6306A"/>
    <w:rsid w:val="00A721E0"/>
    <w:rsid w:val="00A76BEB"/>
    <w:rsid w:val="00A976CE"/>
    <w:rsid w:val="00AB58E9"/>
    <w:rsid w:val="00B0146C"/>
    <w:rsid w:val="00B02A5B"/>
    <w:rsid w:val="00B16565"/>
    <w:rsid w:val="00B16C98"/>
    <w:rsid w:val="00B20D0D"/>
    <w:rsid w:val="00B33F3C"/>
    <w:rsid w:val="00B57C8B"/>
    <w:rsid w:val="00B604A2"/>
    <w:rsid w:val="00B60FED"/>
    <w:rsid w:val="00B75D74"/>
    <w:rsid w:val="00BA5862"/>
    <w:rsid w:val="00BC051D"/>
    <w:rsid w:val="00BC5903"/>
    <w:rsid w:val="00BD5A9B"/>
    <w:rsid w:val="00BE233D"/>
    <w:rsid w:val="00BF3966"/>
    <w:rsid w:val="00C31C8D"/>
    <w:rsid w:val="00C43EC1"/>
    <w:rsid w:val="00C520DE"/>
    <w:rsid w:val="00C523B7"/>
    <w:rsid w:val="00C568BF"/>
    <w:rsid w:val="00C6591E"/>
    <w:rsid w:val="00C73704"/>
    <w:rsid w:val="00C7528D"/>
    <w:rsid w:val="00C764A4"/>
    <w:rsid w:val="00C873E6"/>
    <w:rsid w:val="00C907FC"/>
    <w:rsid w:val="00CA5B20"/>
    <w:rsid w:val="00CA683D"/>
    <w:rsid w:val="00CB1960"/>
    <w:rsid w:val="00CB3327"/>
    <w:rsid w:val="00CD2FEB"/>
    <w:rsid w:val="00D0417E"/>
    <w:rsid w:val="00D145E4"/>
    <w:rsid w:val="00D27849"/>
    <w:rsid w:val="00D44A4F"/>
    <w:rsid w:val="00D647AB"/>
    <w:rsid w:val="00D72E2A"/>
    <w:rsid w:val="00D95D04"/>
    <w:rsid w:val="00DA23A2"/>
    <w:rsid w:val="00DB2321"/>
    <w:rsid w:val="00DB38FC"/>
    <w:rsid w:val="00DC45BB"/>
    <w:rsid w:val="00DD2AAC"/>
    <w:rsid w:val="00DF4C98"/>
    <w:rsid w:val="00E019ED"/>
    <w:rsid w:val="00E12982"/>
    <w:rsid w:val="00E46734"/>
    <w:rsid w:val="00E6749C"/>
    <w:rsid w:val="00EA7FD5"/>
    <w:rsid w:val="00EB0BA5"/>
    <w:rsid w:val="00EC482E"/>
    <w:rsid w:val="00ED5AA6"/>
    <w:rsid w:val="00EF55F8"/>
    <w:rsid w:val="00F06039"/>
    <w:rsid w:val="00F15000"/>
    <w:rsid w:val="00F16089"/>
    <w:rsid w:val="00F2506D"/>
    <w:rsid w:val="00F5616B"/>
    <w:rsid w:val="00F865F4"/>
    <w:rsid w:val="00FB68BD"/>
    <w:rsid w:val="00FD0B13"/>
    <w:rsid w:val="00FD7B1D"/>
    <w:rsid w:val="00FF679E"/>
    <w:rsid w:val="090DC5FC"/>
    <w:rsid w:val="1475A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D49"/>
  <w15:chartTrackingRefBased/>
  <w15:docId w15:val="{628BB8AC-3836-4937-947B-7091F66981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5AA6"/>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styleId="HeaderChar" w:customStyle="1">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styleId="FooterChar" w:customStyle="1">
    <w:name w:val="Footer Char"/>
    <w:basedOn w:val="DefaultParagraphFont"/>
    <w:link w:val="Footer"/>
    <w:uiPriority w:val="99"/>
    <w:rsid w:val="00DB2321"/>
    <w:rPr>
      <w:rFonts w:ascii="Arial" w:hAnsi="Arial" w:cs="Arial"/>
      <w:color w:val="000000"/>
      <w:sz w:val="18"/>
      <w:szCs w:val="18"/>
      <w:lang w:val="en-US"/>
    </w:rPr>
  </w:style>
  <w:style w:type="paragraph" w:styleId="IntroParagraph" w:customStyle="1">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AB58E9"/>
    <w:pPr>
      <w:spacing w:after="346" w:line="240" w:lineRule="auto"/>
      <w:ind w:right="2835"/>
    </w:pPr>
    <w:rPr>
      <w:rFonts w:ascii="Aptos" w:hAnsi="Aptos"/>
      <w:b/>
      <w:color w:val="FFFFFF" w:themeColor="background1"/>
      <w:spacing w:val="-5"/>
      <w:sz w:val="48"/>
    </w:rPr>
  </w:style>
  <w:style w:type="character" w:styleId="TitleChar" w:customStyle="1">
    <w:name w:val="Title Char"/>
    <w:basedOn w:val="DefaultParagraphFont"/>
    <w:link w:val="Title"/>
    <w:uiPriority w:val="10"/>
    <w:rsid w:val="00AB58E9"/>
    <w:rPr>
      <w:rFonts w:ascii="Aptos" w:hAnsi="Aptos" w:cs="Arial"/>
      <w:b/>
      <w:color w:val="FFFFFF" w:themeColor="background1"/>
      <w:spacing w:val="-5"/>
      <w:sz w:val="48"/>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styleId="SubtitleChar" w:customStyle="1">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styleId="Heading1Char" w:customStyle="1">
    <w:name w:val="Heading 1 Char"/>
    <w:basedOn w:val="DefaultParagraphFont"/>
    <w:link w:val="Heading1"/>
    <w:uiPriority w:val="9"/>
    <w:rsid w:val="00ED5AA6"/>
    <w:rPr>
      <w:rFonts w:ascii="Aptos" w:hAnsi="Aptos" w:cs="Arial"/>
      <w:b/>
      <w:color w:val="174857" w:themeColor="accent2"/>
      <w:sz w:val="36"/>
      <w:szCs w:val="28"/>
    </w:rPr>
  </w:style>
  <w:style w:type="paragraph" w:styleId="bullet1" w:customStyle="1">
    <w:name w:val="bullet 1"/>
    <w:basedOn w:val="Normal"/>
    <w:uiPriority w:val="99"/>
    <w:rsid w:val="00480EB2"/>
    <w:pPr>
      <w:numPr>
        <w:numId w:val="1"/>
      </w:numPr>
      <w:tabs>
        <w:tab w:val="clear" w:pos="284"/>
        <w:tab w:val="left" w:pos="283"/>
      </w:tabs>
      <w:spacing w:line="240" w:lineRule="atLeast"/>
      <w:contextualSpacing/>
    </w:pPr>
  </w:style>
  <w:style w:type="paragraph" w:styleId="bullet2" w:customStyle="1">
    <w:name w:val="bullet 2"/>
    <w:basedOn w:val="Normal"/>
    <w:uiPriority w:val="99"/>
    <w:rsid w:val="00480EB2"/>
    <w:pPr>
      <w:numPr>
        <w:numId w:val="2"/>
      </w:numPr>
      <w:tabs>
        <w:tab w:val="left" w:pos="567"/>
      </w:tabs>
      <w:spacing w:line="240" w:lineRule="atLeast"/>
      <w:ind w:left="568" w:hanging="284"/>
      <w:contextualSpacing/>
    </w:pPr>
  </w:style>
  <w:style w:type="paragraph" w:styleId="bullet3" w:customStyle="1">
    <w:name w:val="bullet 3"/>
    <w:basedOn w:val="Normal"/>
    <w:uiPriority w:val="99"/>
    <w:rsid w:val="00480EB2"/>
    <w:pPr>
      <w:numPr>
        <w:numId w:val="3"/>
      </w:numPr>
      <w:tabs>
        <w:tab w:val="clear" w:pos="851"/>
        <w:tab w:val="left" w:pos="850"/>
      </w:tabs>
      <w:spacing w:line="240" w:lineRule="atLeast"/>
      <w:contextualSpacing/>
    </w:pPr>
  </w:style>
  <w:style w:type="paragraph" w:styleId="bullet4" w:customStyle="1">
    <w:name w:val="bullet 4"/>
    <w:basedOn w:val="Normal"/>
    <w:uiPriority w:val="99"/>
    <w:rsid w:val="00480EB2"/>
    <w:pPr>
      <w:numPr>
        <w:numId w:val="5"/>
      </w:numPr>
      <w:tabs>
        <w:tab w:val="left" w:pos="1134"/>
      </w:tabs>
      <w:spacing w:line="240" w:lineRule="atLeast"/>
      <w:ind w:left="1135" w:hanging="284"/>
      <w:contextualSpacing/>
    </w:pPr>
  </w:style>
  <w:style w:type="character" w:styleId="Heading2Char" w:customStyle="1">
    <w:name w:val="Heading 2 Char"/>
    <w:basedOn w:val="DefaultParagraphFont"/>
    <w:link w:val="Heading2"/>
    <w:uiPriority w:val="9"/>
    <w:rsid w:val="00ED5AA6"/>
    <w:rPr>
      <w:rFonts w:ascii="Aptos" w:hAnsi="Aptos" w:cs="Arial"/>
      <w:b/>
      <w:color w:val="174857" w:themeColor="accent2"/>
      <w:sz w:val="28"/>
    </w:rPr>
  </w:style>
  <w:style w:type="character" w:styleId="Heading3Char" w:customStyle="1">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styleId="CurrentList1" w:customStyle="1">
    <w:name w:val="Current List1"/>
    <w:uiPriority w:val="99"/>
    <w:rsid w:val="00822532"/>
    <w:pPr>
      <w:numPr>
        <w:numId w:val="4"/>
      </w:numPr>
    </w:pPr>
  </w:style>
  <w:style w:type="numbering" w:styleId="CurrentList2" w:customStyle="1">
    <w:name w:val="Current List2"/>
    <w:uiPriority w:val="99"/>
    <w:rsid w:val="00822532"/>
    <w:pPr>
      <w:numPr>
        <w:numId w:val="6"/>
      </w:numPr>
    </w:pPr>
  </w:style>
  <w:style w:type="paragraph" w:styleId="Quotation" w:customStyle="1">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styleId="Titlewithborder" w:customStyle="1">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styleId="Normalwithborder" w:customStyle="1">
    <w:name w:val="Normal with border"/>
    <w:basedOn w:val="Normal"/>
    <w:qFormat/>
    <w:rsid w:val="005736B7"/>
  </w:style>
  <w:style w:type="paragraph" w:styleId="NoParagraphStyle" w:customStyle="1">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styleId="Tabletext" w:customStyle="1">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styleId="Authorisationtext" w:customStyle="1">
    <w:name w:val="Authorisation text"/>
    <w:basedOn w:val="Normal"/>
    <w:qFormat/>
    <w:rsid w:val="00376434"/>
    <w:pPr>
      <w:spacing w:after="0" w:line="200" w:lineRule="atLeast"/>
    </w:pPr>
    <w:rPr>
      <w:sz w:val="16"/>
      <w:szCs w:val="16"/>
    </w:rPr>
  </w:style>
  <w:style w:type="table" w:styleId="PBCSBV" w:customStyle="1">
    <w:name w:val="PBCSBV"/>
    <w:basedOn w:val="TableNormal"/>
    <w:uiPriority w:val="99"/>
    <w:rsid w:val="001F3DF2"/>
    <w:pPr>
      <w:spacing w:before="60" w:after="60"/>
    </w:pPr>
    <w:rPr>
      <w:sz w:val="18"/>
    </w:rPr>
    <w:tblPr>
      <w:tblBorders>
        <w:top w:val="single" w:color="auto" w:sz="4" w:space="0"/>
        <w:bottom w:val="single" w:color="auto" w:sz="4" w:space="0"/>
        <w:insideH w:val="single" w:color="auto" w:sz="4" w:space="0"/>
      </w:tblBorders>
      <w:tblCellMar>
        <w:top w:w="57" w:type="dxa"/>
        <w:left w:w="57" w:type="dxa"/>
        <w:bottom w:w="57" w:type="dxa"/>
        <w:right w:w="57" w:type="dxa"/>
      </w:tblCellMar>
    </w:tblPr>
    <w:trPr>
      <w:cantSplit/>
    </w:trPr>
    <w:tblStylePr w:type="firstRow">
      <w:pPr>
        <w:wordWrap/>
        <w:spacing w:before="60" w:beforeLines="0" w:beforeAutospacing="0" w:after="60" w:afterLines="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FB68BD"/>
    <w:rPr>
      <w:color w:val="808080"/>
    </w:rPr>
  </w:style>
  <w:style w:type="paragraph" w:styleId="Tablecolumnheadings" w:customStyle="1">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styleId="Sectionheading" w:customStyle="1">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styleId="Sectionsubtitle" w:customStyle="1">
    <w:name w:val="Section subtitle"/>
    <w:qFormat/>
    <w:rsid w:val="0039460F"/>
    <w:pPr>
      <w:spacing w:before="480" w:after="800"/>
      <w:ind w:left="5103"/>
      <w:jc w:val="right"/>
    </w:pPr>
    <w:rPr>
      <w:rFonts w:ascii="Arial" w:hAnsi="Arial" w:cs="Arial"/>
      <w:caps/>
      <w:noProof/>
      <w:spacing w:val="-4"/>
      <w:sz w:val="28"/>
      <w:szCs w:val="18"/>
      <w:lang w:val="en-GB"/>
    </w:rPr>
  </w:style>
  <w:style w:type="paragraph" w:styleId="iinstructions" w:customStyle="1">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styleId="iinstructionsChar" w:customStyle="1">
    <w:name w:val="# iinstructions Char"/>
    <w:basedOn w:val="DefaultParagraphFont"/>
    <w:link w:val="iinstructions"/>
    <w:rsid w:val="00556F3C"/>
    <w:rPr>
      <w:rFonts w:ascii="Arial" w:hAnsi="Arial" w:eastAsia="Times New Roman" w:cs="Times New Roman"/>
      <w:sz w:val="18"/>
      <w:szCs w:val="20"/>
    </w:rPr>
  </w:style>
  <w:style w:type="table" w:styleId="TableGridLight">
    <w:name w:val="Grid Table Light"/>
    <w:basedOn w:val="TableNormal"/>
    <w:uiPriority w:val="40"/>
    <w:rsid w:val="003F221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aseStudyNumber" w:customStyle="1">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styleId="CaseStudyHeading" w:customStyle="1">
    <w:name w:val="Case Study Heading"/>
    <w:basedOn w:val="Normal"/>
    <w:qFormat/>
    <w:rsid w:val="00ED5AA6"/>
    <w:rPr>
      <w:rFonts w:ascii="Aptos" w:hAnsi="Aptos"/>
      <w:b/>
      <w:bCs/>
      <w:caps/>
      <w:color w:val="174857" w:themeColor="accent2"/>
      <w:spacing w:val="14"/>
      <w:sz w:val="20"/>
      <w:szCs w:val="20"/>
    </w:rPr>
  </w:style>
  <w:style w:type="table" w:styleId="CaseStudy" w:customStyle="1">
    <w:name w:val="Case Study"/>
    <w:basedOn w:val="PlainTable1"/>
    <w:uiPriority w:val="99"/>
    <w:rsid w:val="0099252E"/>
    <w:tblPr>
      <w:tblBorders>
        <w:top w:val="none" w:color="auto" w:sz="0" w:space="0"/>
        <w:left w:val="single" w:color="174857" w:themeColor="accent2" w:sz="36" w:space="0"/>
        <w:bottom w:val="none" w:color="auto" w:sz="0" w:space="0"/>
        <w:right w:val="none" w:color="auto" w:sz="0" w:space="0"/>
        <w:insideH w:val="none" w:color="auto" w:sz="0" w:space="0"/>
        <w:insideV w:val="none" w:color="auto" w:sz="0" w:space="0"/>
      </w:tblBorders>
      <w:tblCellMar>
        <w:top w:w="170" w:type="dxa"/>
        <w:left w:w="397" w:type="dxa"/>
        <w:bottom w:w="170" w:type="dxa"/>
        <w:right w:w="170" w:type="dxa"/>
      </w:tblCellMar>
    </w:tblPr>
    <w:tcPr>
      <w:shd w:val="clear" w:color="auto" w:fill="F2F2F2" w:themeFill="background1" w:themeFillShade="F2"/>
    </w:tcPr>
    <w:tblStylePr w:type="firstRow">
      <w:pPr>
        <w:wordWrap/>
        <w:spacing w:before="60" w:beforeLines="0" w:beforeAutospacing="0" w:after="60" w:afterLines="0" w:afterAutospacing="0" w:line="240" w:lineRule="auto"/>
        <w:jc w:val="left"/>
      </w:pPr>
      <w:rPr>
        <w:rFonts w:ascii="Arial" w:hAnsi="Arial"/>
        <w:b w:val="0"/>
        <w:bCs/>
        <w:color w:val="FFFFFF" w:themeColor="background1"/>
        <w:sz w:val="18"/>
      </w:rPr>
    </w:tblStylePr>
    <w:tblStylePr w:type="lastRow">
      <w:rPr>
        <w:b/>
        <w:bCs/>
      </w:rPr>
      <w:tblPr/>
      <w:tcPr>
        <w:tcBorders>
          <w:top w:val="double" w:color="BFBFBF" w:themeColor="background1" w:themeShade="BF" w:sz="4" w:space="0"/>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ecommendations" w:customStyle="1">
    <w:name w:val="Recommendations"/>
    <w:basedOn w:val="TableGridLight"/>
    <w:uiPriority w:val="99"/>
    <w:rsid w:val="006C2861"/>
    <w:tblPr>
      <w:tblBorders>
        <w:top w:val="single" w:color="55C09F" w:themeColor="accent1" w:sz="18" w:space="0"/>
        <w:left w:val="none" w:color="auto" w:sz="0" w:space="0"/>
        <w:bottom w:val="single" w:color="55C09F" w:themeColor="accent1" w:sz="18" w:space="0"/>
        <w:right w:val="none" w:color="auto" w:sz="0" w:space="0"/>
        <w:insideH w:val="single" w:color="55C09F" w:themeColor="accent1" w:sz="18" w:space="0"/>
        <w:insideV w:val="none" w:color="auto" w:sz="0" w:space="0"/>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styleId="FootnoteText">
    <w:name w:val="footnote text"/>
    <w:basedOn w:val="Normal"/>
    <w:link w:val="FootnoteTextChar"/>
    <w:uiPriority w:val="99"/>
    <w:semiHidden/>
    <w:unhideWhenUsed/>
    <w:rsid w:val="00D27849"/>
    <w:pPr>
      <w:spacing w:after="0" w:line="240" w:lineRule="auto"/>
    </w:pPr>
    <w:rPr>
      <w:rFonts w:ascii="Arial" w:hAnsi="Arial"/>
      <w:sz w:val="20"/>
      <w:szCs w:val="20"/>
      <w:lang w:val="en-US"/>
    </w:rPr>
  </w:style>
  <w:style w:type="character" w:styleId="FootnoteTextChar" w:customStyle="1">
    <w:name w:val="Footnote Text Char"/>
    <w:basedOn w:val="DefaultParagraphFont"/>
    <w:link w:val="FootnoteText"/>
    <w:uiPriority w:val="99"/>
    <w:semiHidden/>
    <w:rsid w:val="00D27849"/>
    <w:rPr>
      <w:rFonts w:ascii="Arial" w:hAnsi="Arial" w:cs="Arial"/>
      <w:color w:val="000000"/>
      <w:sz w:val="20"/>
      <w:szCs w:val="20"/>
      <w:lang w:val="en-US"/>
    </w:rPr>
  </w:style>
  <w:style w:type="character" w:styleId="FootnoteReference">
    <w:name w:val="footnote reference"/>
    <w:basedOn w:val="DefaultParagraphFont"/>
    <w:uiPriority w:val="99"/>
    <w:semiHidden/>
    <w:unhideWhenUsed/>
    <w:rsid w:val="00D27849"/>
    <w:rPr>
      <w:vertAlign w:val="superscript"/>
    </w:rPr>
  </w:style>
  <w:style w:type="table" w:styleId="DJSIR" w:customStyle="1">
    <w:name w:val="DJSIR"/>
    <w:basedOn w:val="TableNormal"/>
    <w:uiPriority w:val="99"/>
    <w:rsid w:val="007401E0"/>
    <w:pPr>
      <w:spacing w:before="60" w:after="60"/>
    </w:pPr>
    <w:rPr>
      <w:sz w:val="18"/>
    </w:rPr>
    <w:tblPr>
      <w:tblBorders>
        <w:top w:val="single" w:color="auto" w:sz="4" w:space="0"/>
        <w:bottom w:val="single" w:color="auto" w:sz="4" w:space="0"/>
        <w:insideH w:val="single" w:color="auto" w:sz="4" w:space="0"/>
      </w:tblBorders>
      <w:tblCellMar>
        <w:top w:w="57" w:type="dxa"/>
        <w:left w:w="57" w:type="dxa"/>
        <w:bottom w:w="57" w:type="dxa"/>
        <w:right w:w="57" w:type="dxa"/>
      </w:tblCellMar>
    </w:tblPr>
    <w:trPr>
      <w:cantSplit/>
    </w:trPr>
    <w:tblStylePr w:type="firstRow">
      <w:pPr>
        <w:wordWrap/>
        <w:spacing w:before="60" w:beforeLines="0" w:beforeAutospacing="0" w:after="60" w:afterLines="0" w:afterAutospacing="0"/>
      </w:pPr>
      <w:rPr>
        <w:rFonts w:ascii="Arial" w:hAnsi="Arial"/>
        <w:color w:val="FFFFFF" w:themeColor="background1"/>
        <w:sz w:val="18"/>
      </w:rPr>
      <w:tblPr/>
      <w:tcPr>
        <w:shd w:val="clear" w:color="auto" w:fill="55C09F"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E2FA8D3FF84C65AEB5F874C13A0D3E"/>
        <w:category>
          <w:name w:val="General"/>
          <w:gallery w:val="placeholder"/>
        </w:category>
        <w:types>
          <w:type w:val="bbPlcHdr"/>
        </w:types>
        <w:behaviors>
          <w:behavior w:val="content"/>
        </w:behaviors>
        <w:guid w:val="{A0B97D3C-7852-4D63-9415-11BF8FFF8E9D}"/>
      </w:docPartPr>
      <w:docPartBody>
        <w:p xmlns:wp14="http://schemas.microsoft.com/office/word/2010/wordml" w:rsidR="00451DA2" w:rsidRDefault="00451DA2" w14:paraId="4BCD1F05" wp14:textId="77777777">
          <w:pPr>
            <w:pStyle w:val="13E2FA8D3FF84C65AEB5F874C13A0D3E"/>
          </w:pPr>
          <w:r w:rsidRPr="00881AFB">
            <w:rPr>
              <w:rStyle w:val="PlaceholderText"/>
            </w:rPr>
            <w:t>Click or tap here to enter title text.</w:t>
          </w:r>
        </w:p>
      </w:docPartBody>
    </w:docPart>
    <w:docPart>
      <w:docPartPr>
        <w:name w:val="0225B6F482D14861A1D0B7DD4CF1B6EC"/>
        <w:category>
          <w:name w:val="General"/>
          <w:gallery w:val="placeholder"/>
        </w:category>
        <w:types>
          <w:type w:val="bbPlcHdr"/>
        </w:types>
        <w:behaviors>
          <w:behavior w:val="content"/>
        </w:behaviors>
        <w:guid w:val="{7EA497BF-1722-4526-8E65-D6A0D1ECF3B4}"/>
      </w:docPartPr>
      <w:docPartBody>
        <w:p xmlns:wp14="http://schemas.microsoft.com/office/word/2010/wordml" w:rsidR="00451DA2" w:rsidRDefault="00451DA2" w14:paraId="1B918B7A" wp14:textId="77777777">
          <w:pPr>
            <w:pStyle w:val="0225B6F482D14861A1D0B7DD4CF1B6EC"/>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Light">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A2"/>
    <w:rsid w:val="00151402"/>
    <w:rsid w:val="00156526"/>
    <w:rsid w:val="003B706F"/>
    <w:rsid w:val="00451DA2"/>
    <w:rsid w:val="00BF5A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DA2"/>
    <w:rPr>
      <w:color w:val="808080"/>
    </w:rPr>
  </w:style>
  <w:style w:type="paragraph" w:customStyle="1" w:styleId="13E2FA8D3FF84C65AEB5F874C13A0D3E">
    <w:name w:val="13E2FA8D3FF84C65AEB5F874C13A0D3E"/>
  </w:style>
  <w:style w:type="paragraph" w:customStyle="1" w:styleId="0225B6F482D14861A1D0B7DD4CF1B6EC">
    <w:name w:val="0225B6F482D14861A1D0B7DD4CF1B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B1F477C-1E02-41E9-9B29-FCB44B7AE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44839-9B37-4B6D-9569-4DEB0588C49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Belinda Trevean (DJSIR)</dc:creator>
  <keywords/>
  <dc:description/>
  <lastModifiedBy>Tess M McLachlan (DJSIR)</lastModifiedBy>
  <revision>9</revision>
  <lastPrinted>2024-01-30T06:05:00.0000000Z</lastPrinted>
  <dcterms:created xsi:type="dcterms:W3CDTF">2024-11-21T06:16:00.0000000Z</dcterms:created>
  <dcterms:modified xsi:type="dcterms:W3CDTF">2024-11-25T23:59:57.7704068Z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ies>
</file>