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bCs/>
          <w:noProof/>
          <w:spacing w:val="-4"/>
          <w:sz w:val="28"/>
          <w:lang w:val="en-GB"/>
        </w:rPr>
        <w:id w:val="-1190906142"/>
        <w:docPartObj>
          <w:docPartGallery w:val="Cover Pages"/>
          <w:docPartUnique/>
        </w:docPartObj>
      </w:sdtPr>
      <w:sdtEndPr/>
      <w:sdtContent>
        <w:p w14:paraId="51BEC4CF" w14:textId="539B2F7E" w:rsidR="00A976CE" w:rsidRPr="00092AC5" w:rsidRDefault="003C1455" w:rsidP="00092AC5">
          <w:pPr>
            <w:pStyle w:val="Title"/>
          </w:pPr>
          <w:sdt>
            <w:sdtPr>
              <w:id w:val="-1805535528"/>
              <w:placeholder>
                <w:docPart w:val="496772469BA443A99E103E88CF1696FE"/>
              </w:placeholder>
            </w:sdtPr>
            <w:sdtEndPr/>
            <w:sdtContent>
              <w:r w:rsidR="00957DA2">
                <w:t>Professional Boxing and Combat Sports Board</w:t>
              </w:r>
            </w:sdtContent>
          </w:sdt>
        </w:p>
        <w:sdt>
          <w:sdtPr>
            <w:id w:val="-518473900"/>
            <w:placeholder>
              <w:docPart w:val="27E8728105114D2EB4190DC88572E6CF"/>
            </w:placeholder>
          </w:sdtPr>
          <w:sdtEndPr/>
          <w:sdtContent>
            <w:p w14:paraId="1E912BC4" w14:textId="63899EAC" w:rsidR="00A976CE" w:rsidRPr="00B20D0D" w:rsidRDefault="00957DA2" w:rsidP="00B20D0D">
              <w:pPr>
                <w:pStyle w:val="Subtitle"/>
              </w:pPr>
              <w:r>
                <w:t>RESPECT IN THE WORKPLACE POLICY</w:t>
              </w:r>
            </w:p>
          </w:sdtContent>
        </w:sdt>
      </w:sdtContent>
    </w:sdt>
    <w:p w14:paraId="66B3D6B9" w14:textId="15B56582" w:rsidR="00957DA2" w:rsidRPr="006F3ECF" w:rsidRDefault="00957DA2" w:rsidP="00957DA2">
      <w:pPr>
        <w:pStyle w:val="Heading1"/>
      </w:pPr>
      <w:bookmarkStart w:id="0" w:name="_Toc160459885"/>
      <w:r>
        <w:t>Summary</w:t>
      </w:r>
    </w:p>
    <w:p w14:paraId="1C4156E5" w14:textId="77777777" w:rsidR="00957DA2" w:rsidRDefault="00957DA2" w:rsidP="00594D67">
      <w:pPr>
        <w:pStyle w:val="ListParagraph"/>
        <w:numPr>
          <w:ilvl w:val="0"/>
          <w:numId w:val="20"/>
        </w:numPr>
        <w:ind w:left="426" w:hanging="426"/>
      </w:pPr>
      <w:r>
        <w:t xml:space="preserve">This Policy sets out the position of the Professional Boxing and Combat Sports Board (the Board) on bullying, harassment (including sexual harassment), discrimination, victimisation and vilification. </w:t>
      </w:r>
    </w:p>
    <w:p w14:paraId="1F0AB642" w14:textId="77777777" w:rsidR="00594D67" w:rsidRDefault="00594D67" w:rsidP="00594D67">
      <w:pPr>
        <w:pStyle w:val="ListParagraph"/>
        <w:ind w:left="426"/>
      </w:pPr>
    </w:p>
    <w:p w14:paraId="11AF40F2" w14:textId="77777777" w:rsidR="00957DA2" w:rsidRDefault="00957DA2" w:rsidP="00594D67">
      <w:pPr>
        <w:pStyle w:val="ListParagraph"/>
        <w:numPr>
          <w:ilvl w:val="0"/>
          <w:numId w:val="20"/>
        </w:numPr>
        <w:ind w:left="426" w:hanging="426"/>
      </w:pPr>
      <w:r>
        <w:t xml:space="preserve">The Board is committed to ensuring that boxing and combat sports are conducted in safe, inclusive and respectful workplaces. As part of this commitment bullying, harassment, discrimination, victimisation and vilification will not be tolerated. </w:t>
      </w:r>
    </w:p>
    <w:p w14:paraId="64B18636" w14:textId="77777777" w:rsidR="00594D67" w:rsidRDefault="00594D67" w:rsidP="00594D67">
      <w:pPr>
        <w:pStyle w:val="ListParagraph"/>
      </w:pPr>
    </w:p>
    <w:p w14:paraId="0B5B4EC5" w14:textId="77777777" w:rsidR="00957DA2" w:rsidRDefault="00957DA2" w:rsidP="00594D67">
      <w:pPr>
        <w:pStyle w:val="ListParagraph"/>
        <w:numPr>
          <w:ilvl w:val="0"/>
          <w:numId w:val="20"/>
        </w:numPr>
        <w:ind w:left="426" w:hanging="426"/>
      </w:pPr>
      <w:r>
        <w:t>All participants in the boxing and combat sports industry are required to treat others with dignity, courtesy and respect.</w:t>
      </w:r>
    </w:p>
    <w:p w14:paraId="6C10C9C6" w14:textId="77777777" w:rsidR="00594D67" w:rsidRDefault="00594D67" w:rsidP="00594D67">
      <w:pPr>
        <w:pStyle w:val="ListParagraph"/>
      </w:pPr>
    </w:p>
    <w:p w14:paraId="48E9A0A6" w14:textId="77777777" w:rsidR="00957DA2" w:rsidRPr="00280FB6" w:rsidRDefault="00957DA2" w:rsidP="00594D67">
      <w:pPr>
        <w:pStyle w:val="ListParagraph"/>
        <w:numPr>
          <w:ilvl w:val="0"/>
          <w:numId w:val="20"/>
        </w:numPr>
        <w:ind w:left="426" w:hanging="426"/>
      </w:pPr>
      <w:r>
        <w:t>The purpose of this Policy is to prevent bullying, harassment, discrimination, victimisation and vilification.</w:t>
      </w:r>
    </w:p>
    <w:p w14:paraId="45C4EC47" w14:textId="4260F55B" w:rsidR="00957DA2" w:rsidRDefault="00957DA2" w:rsidP="00957DA2">
      <w:pPr>
        <w:pStyle w:val="Heading1"/>
      </w:pPr>
      <w:r>
        <w:t>Scope</w:t>
      </w:r>
    </w:p>
    <w:p w14:paraId="2EA92FD1" w14:textId="77777777" w:rsidR="00957DA2" w:rsidRPr="000D4F00" w:rsidRDefault="00957DA2" w:rsidP="00594D67">
      <w:pPr>
        <w:pStyle w:val="ListParagraph"/>
        <w:numPr>
          <w:ilvl w:val="0"/>
          <w:numId w:val="20"/>
        </w:numPr>
        <w:ind w:left="426" w:hanging="426"/>
      </w:pPr>
      <w:r w:rsidRPr="00A9439F">
        <w:t xml:space="preserve">This Policy </w:t>
      </w:r>
      <w:r>
        <w:t>applies to all participants in the boxing and combat sports industry, including Board members, registered contestants, licence holders and spectators</w:t>
      </w:r>
      <w:r w:rsidRPr="002F29EE">
        <w:t>.</w:t>
      </w:r>
    </w:p>
    <w:p w14:paraId="45F26387" w14:textId="31BA3C07" w:rsidR="00957DA2" w:rsidRDefault="00957DA2" w:rsidP="00957DA2">
      <w:pPr>
        <w:pStyle w:val="Heading1"/>
      </w:pPr>
      <w:r>
        <w:t>Guiding principles</w:t>
      </w:r>
    </w:p>
    <w:p w14:paraId="6D7A8205" w14:textId="77777777" w:rsidR="00594D67" w:rsidRDefault="00957DA2" w:rsidP="00957DA2">
      <w:pPr>
        <w:pStyle w:val="ListParagraph"/>
        <w:numPr>
          <w:ilvl w:val="0"/>
          <w:numId w:val="20"/>
        </w:numPr>
        <w:ind w:left="426" w:hanging="426"/>
      </w:pPr>
      <w:r>
        <w:t>Everyone in the workplace has a role to play in creating and sustaining a safe, inclusive and respectful workplace.</w:t>
      </w:r>
    </w:p>
    <w:p w14:paraId="67F70EA9" w14:textId="77777777" w:rsidR="00594D67" w:rsidRDefault="00594D67" w:rsidP="00594D67">
      <w:pPr>
        <w:pStyle w:val="ListParagraph"/>
        <w:ind w:left="426"/>
      </w:pPr>
    </w:p>
    <w:p w14:paraId="1797A37C" w14:textId="43213EFF" w:rsidR="00957DA2" w:rsidRDefault="00957DA2" w:rsidP="00957DA2">
      <w:pPr>
        <w:pStyle w:val="ListParagraph"/>
        <w:numPr>
          <w:ilvl w:val="0"/>
          <w:numId w:val="20"/>
        </w:numPr>
        <w:ind w:left="426" w:hanging="426"/>
      </w:pPr>
      <w:r>
        <w:t>A positive workplace is one where everyone works well together and contributes to a productive and respectful work environment. These work environments are characterised by:</w:t>
      </w:r>
    </w:p>
    <w:p w14:paraId="62A0EC28" w14:textId="77777777" w:rsidR="00594D67" w:rsidRDefault="00594D67" w:rsidP="00594D67">
      <w:pPr>
        <w:pStyle w:val="ListParagraph"/>
      </w:pPr>
    </w:p>
    <w:p w14:paraId="2F678D03" w14:textId="6FCA3314" w:rsidR="00957DA2" w:rsidRDefault="00D5113E" w:rsidP="00594D67">
      <w:pPr>
        <w:pStyle w:val="ListParagraph"/>
        <w:numPr>
          <w:ilvl w:val="0"/>
          <w:numId w:val="11"/>
        </w:numPr>
        <w:ind w:hanging="294"/>
      </w:pPr>
      <w:r>
        <w:t>a</w:t>
      </w:r>
      <w:r w:rsidR="00957DA2">
        <w:t xml:space="preserve">pplicable codes of conduct being </w:t>
      </w:r>
      <w:proofErr w:type="gramStart"/>
      <w:r w:rsidR="00957DA2">
        <w:t>followed;</w:t>
      </w:r>
      <w:proofErr w:type="gramEnd"/>
    </w:p>
    <w:p w14:paraId="32997213" w14:textId="12E31DB2" w:rsidR="00957DA2" w:rsidRPr="00AE027D" w:rsidRDefault="00D5113E" w:rsidP="00594D67">
      <w:pPr>
        <w:pStyle w:val="ListParagraph"/>
        <w:numPr>
          <w:ilvl w:val="0"/>
          <w:numId w:val="11"/>
        </w:numPr>
        <w:ind w:hanging="294"/>
      </w:pPr>
      <w:r>
        <w:t>l</w:t>
      </w:r>
      <w:r w:rsidR="00957DA2" w:rsidRPr="00AE027D">
        <w:t>eadership and management</w:t>
      </w:r>
      <w:r w:rsidR="00957DA2">
        <w:t xml:space="preserve"> modelling appropriate standards of </w:t>
      </w:r>
      <w:proofErr w:type="gramStart"/>
      <w:r w:rsidR="00957DA2">
        <w:t>behaviour;</w:t>
      </w:r>
      <w:proofErr w:type="gramEnd"/>
    </w:p>
    <w:p w14:paraId="43BA0F67" w14:textId="36AF6296" w:rsidR="00957DA2" w:rsidRDefault="00D5113E" w:rsidP="00594D67">
      <w:pPr>
        <w:pStyle w:val="ListParagraph"/>
        <w:numPr>
          <w:ilvl w:val="0"/>
          <w:numId w:val="11"/>
        </w:numPr>
        <w:ind w:hanging="294"/>
      </w:pPr>
      <w:r>
        <w:t>e</w:t>
      </w:r>
      <w:r w:rsidR="00957DA2">
        <w:t xml:space="preserve">veryone being treated with dignity, courtesy and </w:t>
      </w:r>
      <w:proofErr w:type="gramStart"/>
      <w:r w:rsidR="00957DA2">
        <w:t>respect;</w:t>
      </w:r>
      <w:proofErr w:type="gramEnd"/>
    </w:p>
    <w:p w14:paraId="53EDCDB7" w14:textId="1DBE8E26" w:rsidR="00957DA2" w:rsidRDefault="00D5113E" w:rsidP="00594D67">
      <w:pPr>
        <w:pStyle w:val="ListParagraph"/>
        <w:numPr>
          <w:ilvl w:val="0"/>
          <w:numId w:val="11"/>
        </w:numPr>
        <w:ind w:hanging="294"/>
      </w:pPr>
      <w:r>
        <w:t>h</w:t>
      </w:r>
      <w:r w:rsidR="00957DA2">
        <w:t xml:space="preserve">armonious and productive work </w:t>
      </w:r>
      <w:proofErr w:type="gramStart"/>
      <w:r w:rsidR="00957DA2">
        <w:t>relationships;</w:t>
      </w:r>
      <w:proofErr w:type="gramEnd"/>
    </w:p>
    <w:p w14:paraId="64F9C383" w14:textId="4521363D" w:rsidR="00957DA2" w:rsidRPr="00AE027D" w:rsidRDefault="00D5113E" w:rsidP="00594D67">
      <w:pPr>
        <w:pStyle w:val="ListParagraph"/>
        <w:numPr>
          <w:ilvl w:val="0"/>
          <w:numId w:val="11"/>
        </w:numPr>
        <w:ind w:hanging="294"/>
      </w:pPr>
      <w:r>
        <w:t>o</w:t>
      </w:r>
      <w:r w:rsidR="00957DA2">
        <w:t xml:space="preserve">pen discussion that leads to timely resolution of any </w:t>
      </w:r>
      <w:proofErr w:type="gramStart"/>
      <w:r w:rsidR="00957DA2">
        <w:t>conflict;</w:t>
      </w:r>
      <w:proofErr w:type="gramEnd"/>
      <w:r w:rsidR="00957DA2" w:rsidRPr="00AF384F">
        <w:t xml:space="preserve"> </w:t>
      </w:r>
    </w:p>
    <w:p w14:paraId="5CCE7738" w14:textId="45904246" w:rsidR="00957DA2" w:rsidRDefault="00D5113E" w:rsidP="00594D67">
      <w:pPr>
        <w:pStyle w:val="ListParagraph"/>
        <w:numPr>
          <w:ilvl w:val="0"/>
          <w:numId w:val="11"/>
        </w:numPr>
        <w:ind w:hanging="294"/>
      </w:pPr>
      <w:r>
        <w:t>r</w:t>
      </w:r>
      <w:r w:rsidR="00957DA2" w:rsidRPr="00AE027D">
        <w:t>isks being well managed</w:t>
      </w:r>
      <w:r w:rsidR="00957DA2">
        <w:t>; and</w:t>
      </w:r>
    </w:p>
    <w:p w14:paraId="77C07821" w14:textId="2CA9ABAA" w:rsidR="00957DA2" w:rsidRDefault="00D5113E" w:rsidP="00594D67">
      <w:pPr>
        <w:pStyle w:val="ListParagraph"/>
        <w:numPr>
          <w:ilvl w:val="0"/>
          <w:numId w:val="11"/>
        </w:numPr>
        <w:ind w:hanging="294"/>
      </w:pPr>
      <w:r>
        <w:t>s</w:t>
      </w:r>
      <w:r w:rsidR="00957DA2">
        <w:t>upport offered to those who experience bullying, harassment, discrimination and victimisation.</w:t>
      </w:r>
    </w:p>
    <w:p w14:paraId="62C365FD" w14:textId="77777777" w:rsidR="00594D67" w:rsidRDefault="00594D67" w:rsidP="00594D67">
      <w:pPr>
        <w:pStyle w:val="ListParagraph"/>
      </w:pPr>
    </w:p>
    <w:p w14:paraId="2DCD938F" w14:textId="77777777" w:rsidR="00957DA2" w:rsidRDefault="00957DA2" w:rsidP="00594D67">
      <w:pPr>
        <w:pStyle w:val="ListParagraph"/>
        <w:numPr>
          <w:ilvl w:val="0"/>
          <w:numId w:val="20"/>
        </w:numPr>
        <w:ind w:left="426" w:hanging="426"/>
      </w:pPr>
      <w:r>
        <w:t>Codes of conduct applicable to the boxing and combat sports industry are:</w:t>
      </w:r>
    </w:p>
    <w:p w14:paraId="0AB359D8" w14:textId="77777777" w:rsidR="00594D67" w:rsidRDefault="00594D67" w:rsidP="00594D67">
      <w:pPr>
        <w:pStyle w:val="ListParagraph"/>
        <w:ind w:left="426"/>
      </w:pPr>
    </w:p>
    <w:p w14:paraId="42A29B4F" w14:textId="77777777" w:rsidR="00957DA2" w:rsidRPr="005B1C46" w:rsidRDefault="00957DA2" w:rsidP="00594D67">
      <w:pPr>
        <w:pStyle w:val="ListParagraph"/>
        <w:numPr>
          <w:ilvl w:val="0"/>
          <w:numId w:val="11"/>
        </w:numPr>
        <w:ind w:hanging="294"/>
      </w:pPr>
      <w:r w:rsidRPr="00594D67">
        <w:rPr>
          <w:i/>
          <w:iCs/>
        </w:rPr>
        <w:t>Code of Conduct for Directors of Victorian Public Entities 2024</w:t>
      </w:r>
      <w:r w:rsidRPr="00594D67">
        <w:t xml:space="preserve"> </w:t>
      </w:r>
      <w:r w:rsidRPr="00594D67">
        <w:softHyphen/>
      </w:r>
      <w:r>
        <w:t xml:space="preserve">– applies to Board </w:t>
      </w:r>
      <w:proofErr w:type="gramStart"/>
      <w:r>
        <w:t>members</w:t>
      </w:r>
      <w:r w:rsidRPr="00594D67">
        <w:t>;</w:t>
      </w:r>
      <w:proofErr w:type="gramEnd"/>
    </w:p>
    <w:p w14:paraId="732CEEAD" w14:textId="278297D4" w:rsidR="00957DA2" w:rsidRPr="005B1C46" w:rsidRDefault="00957DA2" w:rsidP="00594D67">
      <w:pPr>
        <w:pStyle w:val="ListParagraph"/>
        <w:numPr>
          <w:ilvl w:val="0"/>
          <w:numId w:val="11"/>
        </w:numPr>
        <w:ind w:hanging="294"/>
      </w:pPr>
      <w:r w:rsidRPr="00594D67">
        <w:rPr>
          <w:i/>
          <w:iCs/>
        </w:rPr>
        <w:t>Code of Conduct for Victorian Public Sector Employees 2015</w:t>
      </w:r>
      <w:r w:rsidRPr="00594D67">
        <w:t xml:space="preserve"> </w:t>
      </w:r>
      <w:r>
        <w:t xml:space="preserve">– applies to employees, including contractors, of the Department of Jobs, Precincts, Industry and Regions </w:t>
      </w:r>
      <w:proofErr w:type="spellStart"/>
      <w:r>
        <w:t>eg</w:t>
      </w:r>
      <w:proofErr w:type="spellEnd"/>
      <w:r>
        <w:t xml:space="preserve"> Combat Sports Unit</w:t>
      </w:r>
      <w:r w:rsidR="00487735">
        <w:t xml:space="preserve"> (CSU)</w:t>
      </w:r>
      <w:r>
        <w:t xml:space="preserve"> staff</w:t>
      </w:r>
      <w:r w:rsidRPr="00594D67">
        <w:t xml:space="preserve">; </w:t>
      </w:r>
      <w:r w:rsidRPr="00A47B71">
        <w:t>and</w:t>
      </w:r>
    </w:p>
    <w:p w14:paraId="1DCD5FE8" w14:textId="1D9A8240" w:rsidR="00957DA2" w:rsidRDefault="00D5113E" w:rsidP="00594D67">
      <w:pPr>
        <w:pStyle w:val="ListParagraph"/>
        <w:numPr>
          <w:ilvl w:val="0"/>
          <w:numId w:val="11"/>
        </w:numPr>
        <w:ind w:hanging="294"/>
      </w:pPr>
      <w:r>
        <w:t>t</w:t>
      </w:r>
      <w:r w:rsidR="00594D67">
        <w:t xml:space="preserve">he Board’s </w:t>
      </w:r>
      <w:r w:rsidR="00957DA2">
        <w:t xml:space="preserve">Code of </w:t>
      </w:r>
      <w:r w:rsidR="00594D67">
        <w:t>C</w:t>
      </w:r>
      <w:r w:rsidR="00957DA2">
        <w:t xml:space="preserve">onduct </w:t>
      </w:r>
      <w:r w:rsidR="00594D67">
        <w:t xml:space="preserve">- applies to </w:t>
      </w:r>
      <w:r w:rsidR="00594D67">
        <w:t>registered contestants and licensed officials</w:t>
      </w:r>
      <w:r w:rsidR="00957DA2">
        <w:t>.</w:t>
      </w:r>
    </w:p>
    <w:p w14:paraId="11A48B66" w14:textId="77777777" w:rsidR="00594D67" w:rsidRDefault="00594D67" w:rsidP="00594D67">
      <w:pPr>
        <w:pStyle w:val="ListParagraph"/>
      </w:pPr>
    </w:p>
    <w:p w14:paraId="6AE500E6" w14:textId="77777777" w:rsidR="00957DA2" w:rsidRPr="008C7B9C" w:rsidRDefault="00957DA2" w:rsidP="00594D67">
      <w:pPr>
        <w:pStyle w:val="ListParagraph"/>
        <w:numPr>
          <w:ilvl w:val="0"/>
          <w:numId w:val="20"/>
        </w:numPr>
        <w:ind w:left="426" w:hanging="426"/>
      </w:pPr>
      <w:r>
        <w:t xml:space="preserve">Under the Victorian </w:t>
      </w:r>
      <w:r>
        <w:rPr>
          <w:i/>
          <w:iCs/>
        </w:rPr>
        <w:t>Equal Opportunity Act 2010</w:t>
      </w:r>
      <w:r>
        <w:t xml:space="preserve">, organisations (including employers, clubs and sporting organisations) have a positive duty to eliminate discrimination, sexual harassment and victimisation as far as possible. This means that positive action should be taken to prevent these behaviours, regardless of whether someone has made a complaint. </w:t>
      </w:r>
    </w:p>
    <w:p w14:paraId="3B42BD48" w14:textId="6FD44068" w:rsidR="00957DA2" w:rsidRDefault="00957DA2" w:rsidP="00957DA2">
      <w:pPr>
        <w:pStyle w:val="Heading1"/>
      </w:pPr>
      <w:r w:rsidRPr="001E614D">
        <w:lastRenderedPageBreak/>
        <w:t>What is</w:t>
      </w:r>
      <w:r>
        <w:t xml:space="preserve"> workplace bullying</w:t>
      </w:r>
      <w:r w:rsidRPr="001E614D">
        <w:t>?</w:t>
      </w:r>
    </w:p>
    <w:p w14:paraId="0A644F66" w14:textId="77777777" w:rsidR="00957DA2" w:rsidRDefault="00957DA2" w:rsidP="00D5113E">
      <w:pPr>
        <w:pStyle w:val="ListParagraph"/>
        <w:numPr>
          <w:ilvl w:val="0"/>
          <w:numId w:val="20"/>
        </w:numPr>
        <w:ind w:left="426" w:hanging="426"/>
      </w:pPr>
      <w:r w:rsidRPr="00225067">
        <w:t>WorkSafe Victoria defines workplace bullying as repeated, unreasonable behaviour directed at an employee or group of employees that creates a risk to health and safety.</w:t>
      </w:r>
    </w:p>
    <w:p w14:paraId="78321273" w14:textId="77777777" w:rsidR="00D5113E" w:rsidRDefault="00D5113E" w:rsidP="00D5113E">
      <w:pPr>
        <w:pStyle w:val="ListParagraph"/>
        <w:ind w:left="426"/>
      </w:pPr>
    </w:p>
    <w:p w14:paraId="4546A02C" w14:textId="77777777" w:rsidR="00957DA2" w:rsidRDefault="00957DA2" w:rsidP="00D5113E">
      <w:pPr>
        <w:pStyle w:val="ListParagraph"/>
        <w:numPr>
          <w:ilvl w:val="0"/>
          <w:numId w:val="20"/>
        </w:numPr>
        <w:ind w:left="426" w:hanging="426"/>
      </w:pPr>
      <w:r w:rsidRPr="00225067">
        <w:t>Behaviours which are repeated or part of a pattern of behaviour may include:</w:t>
      </w:r>
    </w:p>
    <w:p w14:paraId="3FBF2089" w14:textId="77777777" w:rsidR="00D5113E" w:rsidRDefault="00D5113E" w:rsidP="00D5113E">
      <w:pPr>
        <w:pStyle w:val="ListParagraph"/>
      </w:pPr>
    </w:p>
    <w:p w14:paraId="3A00FB12" w14:textId="77777777" w:rsidR="00957DA2" w:rsidRPr="00225067" w:rsidRDefault="00957DA2" w:rsidP="00D5113E">
      <w:pPr>
        <w:pStyle w:val="ListParagraph"/>
        <w:numPr>
          <w:ilvl w:val="0"/>
          <w:numId w:val="11"/>
        </w:numPr>
        <w:ind w:hanging="294"/>
      </w:pPr>
      <w:r w:rsidRPr="00225067">
        <w:t xml:space="preserve">making threats towards another </w:t>
      </w:r>
      <w:proofErr w:type="gramStart"/>
      <w:r w:rsidRPr="00225067">
        <w:t>employee;</w:t>
      </w:r>
      <w:proofErr w:type="gramEnd"/>
    </w:p>
    <w:p w14:paraId="52ACAFB0" w14:textId="77777777" w:rsidR="00957DA2" w:rsidRPr="00225067" w:rsidRDefault="00957DA2" w:rsidP="00D5113E">
      <w:pPr>
        <w:pStyle w:val="ListParagraph"/>
        <w:numPr>
          <w:ilvl w:val="0"/>
          <w:numId w:val="11"/>
        </w:numPr>
        <w:ind w:hanging="294"/>
      </w:pPr>
      <w:r w:rsidRPr="00225067">
        <w:t xml:space="preserve">using abusive or offensive words in the presence of another </w:t>
      </w:r>
      <w:proofErr w:type="gramStart"/>
      <w:r w:rsidRPr="00225067">
        <w:t>employee;</w:t>
      </w:r>
      <w:proofErr w:type="gramEnd"/>
    </w:p>
    <w:p w14:paraId="45DCDE16" w14:textId="77777777" w:rsidR="00957DA2" w:rsidRPr="00225067" w:rsidRDefault="00957DA2" w:rsidP="00D5113E">
      <w:pPr>
        <w:pStyle w:val="ListParagraph"/>
        <w:numPr>
          <w:ilvl w:val="0"/>
          <w:numId w:val="11"/>
        </w:numPr>
        <w:ind w:hanging="294"/>
      </w:pPr>
      <w:r w:rsidRPr="00225067">
        <w:t xml:space="preserve">performing abusive or offensive acts in the presence of another </w:t>
      </w:r>
      <w:proofErr w:type="gramStart"/>
      <w:r w:rsidRPr="00225067">
        <w:t>employee;</w:t>
      </w:r>
      <w:proofErr w:type="gramEnd"/>
    </w:p>
    <w:p w14:paraId="4540C217" w14:textId="77777777" w:rsidR="00957DA2" w:rsidRPr="00225067" w:rsidRDefault="00957DA2" w:rsidP="00D5113E">
      <w:pPr>
        <w:pStyle w:val="ListParagraph"/>
        <w:numPr>
          <w:ilvl w:val="0"/>
          <w:numId w:val="11"/>
        </w:numPr>
        <w:ind w:hanging="294"/>
      </w:pPr>
      <w:r w:rsidRPr="00225067">
        <w:t>directing abusive or offensive acts towards another employee; or</w:t>
      </w:r>
    </w:p>
    <w:p w14:paraId="6062CCDD" w14:textId="77777777" w:rsidR="00957DA2" w:rsidRDefault="00957DA2" w:rsidP="00D5113E">
      <w:pPr>
        <w:pStyle w:val="ListParagraph"/>
        <w:numPr>
          <w:ilvl w:val="0"/>
          <w:numId w:val="11"/>
        </w:numPr>
        <w:ind w:hanging="294"/>
      </w:pPr>
      <w:r w:rsidRPr="00225067">
        <w:t xml:space="preserve">acting in any other way that could reasonably be expected to cause physical or mental harm to another employee (including self-harm), or arouse fear of such </w:t>
      </w:r>
      <w:proofErr w:type="gramStart"/>
      <w:r w:rsidRPr="00225067">
        <w:t>harm;</w:t>
      </w:r>
      <w:proofErr w:type="gramEnd"/>
    </w:p>
    <w:p w14:paraId="1F7DE467" w14:textId="77777777" w:rsidR="00957DA2" w:rsidRDefault="00957DA2" w:rsidP="00077B23">
      <w:pPr>
        <w:suppressAutoHyphens w:val="0"/>
        <w:autoSpaceDE/>
        <w:autoSpaceDN/>
        <w:adjustRightInd/>
        <w:spacing w:after="0" w:line="240" w:lineRule="auto"/>
        <w:ind w:left="426"/>
        <w:textAlignment w:val="auto"/>
      </w:pPr>
      <w:r w:rsidRPr="00225067">
        <w:t xml:space="preserve">in circumstances where the employee knows or should know that such behaviour is likely to cause physical or mental harm (including self-harm) to the other </w:t>
      </w:r>
      <w:proofErr w:type="gramStart"/>
      <w:r w:rsidRPr="00225067">
        <w:t>employee, or</w:t>
      </w:r>
      <w:proofErr w:type="gramEnd"/>
      <w:r w:rsidRPr="00225067">
        <w:t xml:space="preserve"> arouse fear of such harm. Note that it is also possible to be criminally liable as an ‘accessory’ or ‘abettor’ to such bullying.</w:t>
      </w:r>
    </w:p>
    <w:p w14:paraId="3BB00CA0" w14:textId="77777777" w:rsidR="00957DA2" w:rsidRPr="00225067" w:rsidRDefault="00957DA2" w:rsidP="00957DA2">
      <w:pPr>
        <w:suppressAutoHyphens w:val="0"/>
        <w:autoSpaceDE/>
        <w:autoSpaceDN/>
        <w:adjustRightInd/>
        <w:spacing w:after="0" w:line="240" w:lineRule="auto"/>
        <w:ind w:left="360"/>
        <w:textAlignment w:val="auto"/>
      </w:pPr>
    </w:p>
    <w:p w14:paraId="6BE11B5B" w14:textId="77777777" w:rsidR="00957DA2" w:rsidRDefault="00957DA2" w:rsidP="00077B23">
      <w:pPr>
        <w:pStyle w:val="ListParagraph"/>
        <w:numPr>
          <w:ilvl w:val="0"/>
          <w:numId w:val="20"/>
        </w:numPr>
        <w:ind w:left="426" w:hanging="426"/>
      </w:pPr>
      <w:r w:rsidRPr="00225067">
        <w:t>The following behaviours, where repeated or occurring as part of a pattern of behaviour, are likely to be workplace bullying:</w:t>
      </w:r>
    </w:p>
    <w:p w14:paraId="4E69E329" w14:textId="77777777" w:rsidR="00077B23" w:rsidRDefault="00077B23" w:rsidP="00077B23">
      <w:pPr>
        <w:pStyle w:val="ListParagraph"/>
        <w:ind w:left="426"/>
      </w:pPr>
    </w:p>
    <w:p w14:paraId="70B1D0F3" w14:textId="77777777" w:rsidR="00957DA2" w:rsidRPr="00225067" w:rsidRDefault="00957DA2" w:rsidP="00077B23">
      <w:pPr>
        <w:pStyle w:val="ListParagraph"/>
        <w:numPr>
          <w:ilvl w:val="0"/>
          <w:numId w:val="11"/>
        </w:numPr>
        <w:ind w:hanging="294"/>
      </w:pPr>
      <w:r w:rsidRPr="00225067">
        <w:t xml:space="preserve">verbal </w:t>
      </w:r>
      <w:proofErr w:type="gramStart"/>
      <w:r w:rsidRPr="00225067">
        <w:t>abuse</w:t>
      </w:r>
      <w:r>
        <w:t>;</w:t>
      </w:r>
      <w:proofErr w:type="gramEnd"/>
    </w:p>
    <w:p w14:paraId="70A9DB88" w14:textId="77777777" w:rsidR="00957DA2" w:rsidRPr="00225067" w:rsidRDefault="00957DA2" w:rsidP="00077B23">
      <w:pPr>
        <w:pStyle w:val="ListParagraph"/>
        <w:numPr>
          <w:ilvl w:val="0"/>
          <w:numId w:val="11"/>
        </w:numPr>
        <w:ind w:hanging="294"/>
      </w:pPr>
      <w:r w:rsidRPr="00225067">
        <w:t xml:space="preserve">excluding or isolating </w:t>
      </w:r>
      <w:proofErr w:type="gramStart"/>
      <w:r w:rsidRPr="00225067">
        <w:t>someone</w:t>
      </w:r>
      <w:r>
        <w:t>;</w:t>
      </w:r>
      <w:proofErr w:type="gramEnd"/>
    </w:p>
    <w:p w14:paraId="3F57E7EB" w14:textId="77777777" w:rsidR="00957DA2" w:rsidRPr="00225067" w:rsidRDefault="00957DA2" w:rsidP="00077B23">
      <w:pPr>
        <w:pStyle w:val="ListParagraph"/>
        <w:numPr>
          <w:ilvl w:val="0"/>
          <w:numId w:val="11"/>
        </w:numPr>
        <w:ind w:hanging="294"/>
      </w:pPr>
      <w:proofErr w:type="gramStart"/>
      <w:r w:rsidRPr="00225067">
        <w:t>intimidation</w:t>
      </w:r>
      <w:r>
        <w:t>;</w:t>
      </w:r>
      <w:proofErr w:type="gramEnd"/>
    </w:p>
    <w:p w14:paraId="2A68F16C" w14:textId="77777777" w:rsidR="00957DA2" w:rsidRDefault="00957DA2" w:rsidP="00077B23">
      <w:pPr>
        <w:pStyle w:val="ListParagraph"/>
        <w:numPr>
          <w:ilvl w:val="0"/>
          <w:numId w:val="11"/>
        </w:numPr>
        <w:ind w:hanging="294"/>
      </w:pPr>
      <w:r w:rsidRPr="00225067">
        <w:t xml:space="preserve">assigning meaningless tasks unrelated to the </w:t>
      </w:r>
      <w:proofErr w:type="gramStart"/>
      <w:r w:rsidRPr="00225067">
        <w:t>job</w:t>
      </w:r>
      <w:r>
        <w:t>;</w:t>
      </w:r>
      <w:proofErr w:type="gramEnd"/>
    </w:p>
    <w:p w14:paraId="170287EA" w14:textId="77777777" w:rsidR="00957DA2" w:rsidRDefault="00957DA2" w:rsidP="00077B23">
      <w:pPr>
        <w:pStyle w:val="ListParagraph"/>
        <w:numPr>
          <w:ilvl w:val="0"/>
          <w:numId w:val="11"/>
        </w:numPr>
        <w:ind w:hanging="294"/>
      </w:pPr>
      <w:r>
        <w:t xml:space="preserve">making unreasonable demands – such as allocating impossible assignments and setting impossible </w:t>
      </w:r>
      <w:proofErr w:type="gramStart"/>
      <w:r>
        <w:t>deadlines;</w:t>
      </w:r>
      <w:proofErr w:type="gramEnd"/>
    </w:p>
    <w:p w14:paraId="5724E104" w14:textId="77777777" w:rsidR="00957DA2" w:rsidRDefault="00957DA2" w:rsidP="00077B23">
      <w:pPr>
        <w:pStyle w:val="ListParagraph"/>
        <w:numPr>
          <w:ilvl w:val="0"/>
          <w:numId w:val="11"/>
        </w:numPr>
        <w:ind w:hanging="294"/>
      </w:pPr>
      <w:r>
        <w:t xml:space="preserve">undermining an </w:t>
      </w:r>
      <w:proofErr w:type="gramStart"/>
      <w:r>
        <w:t>employee‘</w:t>
      </w:r>
      <w:proofErr w:type="gramEnd"/>
      <w:r>
        <w:t>s work performance or position – such as trying to harm another person’s reputation or their relationship with their manager;</w:t>
      </w:r>
    </w:p>
    <w:p w14:paraId="3CD93B75" w14:textId="77777777" w:rsidR="00957DA2" w:rsidRDefault="00957DA2" w:rsidP="00077B23">
      <w:pPr>
        <w:pStyle w:val="ListParagraph"/>
        <w:numPr>
          <w:ilvl w:val="0"/>
          <w:numId w:val="11"/>
        </w:numPr>
        <w:ind w:hanging="294"/>
      </w:pPr>
      <w:r>
        <w:t xml:space="preserve">unfair allocation of tasks and/or working </w:t>
      </w:r>
      <w:proofErr w:type="gramStart"/>
      <w:r>
        <w:t>hours;</w:t>
      </w:r>
      <w:proofErr w:type="gramEnd"/>
    </w:p>
    <w:p w14:paraId="74CACBA5" w14:textId="77777777" w:rsidR="00957DA2" w:rsidRPr="00225067" w:rsidRDefault="00957DA2" w:rsidP="00077B23">
      <w:pPr>
        <w:pStyle w:val="ListParagraph"/>
        <w:numPr>
          <w:ilvl w:val="0"/>
          <w:numId w:val="11"/>
        </w:numPr>
        <w:ind w:hanging="294"/>
      </w:pPr>
      <w:r w:rsidRPr="00225067">
        <w:t xml:space="preserve">changing work rosters to deliberately inconvenience </w:t>
      </w:r>
      <w:proofErr w:type="gramStart"/>
      <w:r w:rsidRPr="00225067">
        <w:t>particular employees</w:t>
      </w:r>
      <w:proofErr w:type="gramEnd"/>
      <w:r>
        <w:t>; and</w:t>
      </w:r>
    </w:p>
    <w:p w14:paraId="22F37879" w14:textId="77777777" w:rsidR="00957DA2" w:rsidRDefault="00957DA2" w:rsidP="00077B23">
      <w:pPr>
        <w:pStyle w:val="ListParagraph"/>
        <w:numPr>
          <w:ilvl w:val="0"/>
          <w:numId w:val="11"/>
        </w:numPr>
        <w:ind w:hanging="294"/>
      </w:pPr>
      <w:r w:rsidRPr="00225067">
        <w:t xml:space="preserve">deliberately withholding information </w:t>
      </w:r>
      <w:r>
        <w:t xml:space="preserve">or equipment </w:t>
      </w:r>
      <w:r w:rsidRPr="00225067">
        <w:t>that is vital for effective work performance.</w:t>
      </w:r>
    </w:p>
    <w:p w14:paraId="0D6C54F1" w14:textId="77777777" w:rsidR="00077B23" w:rsidRDefault="00077B23" w:rsidP="00077B23">
      <w:pPr>
        <w:pStyle w:val="ListParagraph"/>
      </w:pPr>
    </w:p>
    <w:p w14:paraId="429602A6" w14:textId="72446815" w:rsidR="00957DA2" w:rsidRDefault="00957DA2" w:rsidP="00077B23">
      <w:pPr>
        <w:pStyle w:val="ListParagraph"/>
        <w:numPr>
          <w:ilvl w:val="0"/>
          <w:numId w:val="20"/>
        </w:numPr>
        <w:ind w:left="426" w:hanging="426"/>
      </w:pPr>
      <w:r w:rsidRPr="00225067">
        <w:t>These behaviours can occur face-to-face or via email, SMS messages or social networking sites. </w:t>
      </w:r>
      <w:r>
        <w:t xml:space="preserve">They can happen in any workplace and can also happen outside of work hours and at work-related events. </w:t>
      </w:r>
      <w:r w:rsidRPr="00225067">
        <w:t>This list of behaviours is not exhaustive.</w:t>
      </w:r>
    </w:p>
    <w:p w14:paraId="43531AA8" w14:textId="77777777" w:rsidR="00077B23" w:rsidRDefault="00077B23" w:rsidP="00077B23">
      <w:pPr>
        <w:pStyle w:val="ListParagraph"/>
        <w:ind w:left="426"/>
      </w:pPr>
    </w:p>
    <w:p w14:paraId="0FF0836F" w14:textId="77777777" w:rsidR="00957DA2" w:rsidRDefault="00957DA2" w:rsidP="00077B23">
      <w:pPr>
        <w:pStyle w:val="ListParagraph"/>
        <w:numPr>
          <w:ilvl w:val="0"/>
          <w:numId w:val="20"/>
        </w:numPr>
        <w:ind w:left="426" w:hanging="426"/>
      </w:pPr>
      <w:r w:rsidRPr="00225067">
        <w:t xml:space="preserve">Bullying is also a </w:t>
      </w:r>
      <w:proofErr w:type="gramStart"/>
      <w:r w:rsidRPr="00225067">
        <w:t>crime</w:t>
      </w:r>
      <w:proofErr w:type="gramEnd"/>
      <w:r w:rsidRPr="00225067">
        <w:t xml:space="preserve"> and employees need to be aware of what constitutes criminal bullying, such as a physical attack or threat of physical attack, which may constitute occupational violence. Such behaviours are beyond the scope of this </w:t>
      </w:r>
      <w:r>
        <w:t>P</w:t>
      </w:r>
      <w:r w:rsidRPr="00225067">
        <w:t>olicy.</w:t>
      </w:r>
    </w:p>
    <w:p w14:paraId="581A32D9" w14:textId="77777777" w:rsidR="00077B23" w:rsidRDefault="00077B23" w:rsidP="00077B23">
      <w:pPr>
        <w:pStyle w:val="ListParagraph"/>
      </w:pPr>
    </w:p>
    <w:p w14:paraId="2016709F" w14:textId="77777777" w:rsidR="00957DA2" w:rsidRDefault="00957DA2" w:rsidP="00077B23">
      <w:pPr>
        <w:pStyle w:val="ListParagraph"/>
        <w:numPr>
          <w:ilvl w:val="0"/>
          <w:numId w:val="20"/>
        </w:numPr>
        <w:ind w:left="426" w:hanging="426"/>
      </w:pPr>
      <w:r w:rsidRPr="00225067">
        <w:t>Examples of behaviours that are not bullying include carrying out legitimate or reasonable management decisions or actions, undertaken in a reasonable way and with respect and courtesy, such as:</w:t>
      </w:r>
    </w:p>
    <w:p w14:paraId="25CC93F9" w14:textId="77777777" w:rsidR="00077B23" w:rsidRDefault="00077B23" w:rsidP="00077B23">
      <w:pPr>
        <w:pStyle w:val="ListParagraph"/>
        <w:ind w:left="426"/>
      </w:pPr>
    </w:p>
    <w:p w14:paraId="39A9A32E" w14:textId="77777777" w:rsidR="00957DA2" w:rsidRDefault="00957DA2" w:rsidP="00077B23">
      <w:pPr>
        <w:pStyle w:val="ListParagraph"/>
        <w:numPr>
          <w:ilvl w:val="0"/>
          <w:numId w:val="11"/>
        </w:numPr>
        <w:ind w:hanging="294"/>
      </w:pPr>
      <w:r w:rsidRPr="00225067">
        <w:t xml:space="preserve">raising concerns with an employee about inappropriate </w:t>
      </w:r>
      <w:proofErr w:type="gramStart"/>
      <w:r w:rsidRPr="00225067">
        <w:t>behaviour</w:t>
      </w:r>
      <w:r>
        <w:t>;</w:t>
      </w:r>
      <w:proofErr w:type="gramEnd"/>
    </w:p>
    <w:p w14:paraId="3BE5F82C" w14:textId="77777777" w:rsidR="00957DA2" w:rsidRDefault="00957DA2" w:rsidP="00077B23">
      <w:pPr>
        <w:pStyle w:val="ListParagraph"/>
        <w:numPr>
          <w:ilvl w:val="0"/>
          <w:numId w:val="11"/>
        </w:numPr>
        <w:ind w:hanging="294"/>
      </w:pPr>
      <w:r w:rsidRPr="00225067">
        <w:t>allocating work to an employee and setting reasonable goals, standards and deadlines</w:t>
      </w:r>
      <w:r>
        <w:t>; and</w:t>
      </w:r>
    </w:p>
    <w:p w14:paraId="006E8F5F" w14:textId="77777777" w:rsidR="00957DA2" w:rsidRPr="00225067" w:rsidRDefault="00957DA2" w:rsidP="00077B23">
      <w:pPr>
        <w:pStyle w:val="ListParagraph"/>
        <w:numPr>
          <w:ilvl w:val="0"/>
          <w:numId w:val="11"/>
        </w:numPr>
        <w:ind w:hanging="294"/>
      </w:pPr>
      <w:r w:rsidRPr="00225067">
        <w:t>offering constructive feedback (although providing it in a way that demeans or humiliates them, could involve bullying).</w:t>
      </w:r>
    </w:p>
    <w:p w14:paraId="2C7EEBC1" w14:textId="747B8AA9" w:rsidR="00957DA2" w:rsidRDefault="00957DA2" w:rsidP="00957DA2">
      <w:pPr>
        <w:pStyle w:val="Heading1"/>
      </w:pPr>
      <w:r>
        <w:t>What is harassment?</w:t>
      </w:r>
    </w:p>
    <w:p w14:paraId="1C272674" w14:textId="77777777" w:rsidR="00957DA2" w:rsidRDefault="00957DA2" w:rsidP="00077B23">
      <w:pPr>
        <w:pStyle w:val="ListParagraph"/>
        <w:numPr>
          <w:ilvl w:val="0"/>
          <w:numId w:val="20"/>
        </w:numPr>
        <w:ind w:left="426" w:hanging="426"/>
      </w:pPr>
      <w:r w:rsidRPr="009C50BD">
        <w:t xml:space="preserve">Harassment is a single or sequence of unwelcome offensive comment(s) or actions and can include behaviour such as telling insulting jokes about </w:t>
      </w:r>
      <w:proofErr w:type="gramStart"/>
      <w:r w:rsidRPr="009C50BD">
        <w:t>particular racial</w:t>
      </w:r>
      <w:proofErr w:type="gramEnd"/>
      <w:r w:rsidRPr="009C50BD">
        <w:t xml:space="preserve"> groups, displaying racially offensive or pornographic posters or screen savers, making derogatory comments about someone’s race or disability, or asking intrusive questions about someone’s personal life.</w:t>
      </w:r>
    </w:p>
    <w:p w14:paraId="6EB2718B" w14:textId="77777777" w:rsidR="00077B23" w:rsidRDefault="00077B23" w:rsidP="00077B23">
      <w:pPr>
        <w:pStyle w:val="ListParagraph"/>
        <w:ind w:left="426"/>
      </w:pPr>
    </w:p>
    <w:p w14:paraId="4C1E366A" w14:textId="77777777" w:rsidR="00957DA2" w:rsidRDefault="00957DA2" w:rsidP="00077B23">
      <w:pPr>
        <w:pStyle w:val="ListParagraph"/>
        <w:numPr>
          <w:ilvl w:val="0"/>
          <w:numId w:val="20"/>
        </w:numPr>
        <w:ind w:left="426" w:hanging="426"/>
      </w:pPr>
      <w:r w:rsidRPr="009C50BD">
        <w:t xml:space="preserve">Harassment can be against the law when it is discriminatory (discrimination), when it includes conduct of a sexual nature (sexual harassment) or when it causes a risk to someone’s health or safety (occupational health and safety). If the behaviour is not </w:t>
      </w:r>
      <w:proofErr w:type="gramStart"/>
      <w:r w:rsidRPr="009C50BD">
        <w:t>on the basis of</w:t>
      </w:r>
      <w:proofErr w:type="gramEnd"/>
      <w:r w:rsidRPr="009C50BD">
        <w:t xml:space="preserve"> a protected personal characteristic or attribute it may, instead, be workplace bullying.</w:t>
      </w:r>
    </w:p>
    <w:p w14:paraId="340F4E09" w14:textId="094E1BBE" w:rsidR="00957DA2" w:rsidRDefault="00957DA2" w:rsidP="00957DA2">
      <w:pPr>
        <w:pStyle w:val="Heading1"/>
      </w:pPr>
      <w:r>
        <w:t>What is discrimination?</w:t>
      </w:r>
    </w:p>
    <w:p w14:paraId="4A3181B1" w14:textId="77777777" w:rsidR="00957DA2" w:rsidRDefault="00957DA2" w:rsidP="00077B23">
      <w:pPr>
        <w:pStyle w:val="ListParagraph"/>
        <w:numPr>
          <w:ilvl w:val="0"/>
          <w:numId w:val="20"/>
        </w:numPr>
        <w:ind w:left="426" w:hanging="426"/>
      </w:pPr>
      <w:r>
        <w:t xml:space="preserve">Under the </w:t>
      </w:r>
      <w:r>
        <w:rPr>
          <w:i/>
          <w:iCs/>
        </w:rPr>
        <w:t>Equal Opportunity Act 2010</w:t>
      </w:r>
      <w:r>
        <w:t xml:space="preserve">, it is against the law to discriminate against a person </w:t>
      </w:r>
      <w:proofErr w:type="gramStart"/>
      <w:r>
        <w:t>on the basis of</w:t>
      </w:r>
      <w:proofErr w:type="gramEnd"/>
      <w:r>
        <w:t>:</w:t>
      </w:r>
    </w:p>
    <w:p w14:paraId="6C614955" w14:textId="77777777" w:rsidR="00077B23" w:rsidRDefault="00077B23" w:rsidP="00077B23">
      <w:pPr>
        <w:pStyle w:val="ListParagraph"/>
        <w:ind w:left="426"/>
      </w:pPr>
    </w:p>
    <w:p w14:paraId="5B9BECAE" w14:textId="77777777" w:rsidR="00957DA2" w:rsidRDefault="00957DA2" w:rsidP="00077B23">
      <w:pPr>
        <w:pStyle w:val="ListParagraph"/>
        <w:numPr>
          <w:ilvl w:val="0"/>
          <w:numId w:val="11"/>
        </w:numPr>
        <w:ind w:hanging="294"/>
      </w:pPr>
      <w:proofErr w:type="gramStart"/>
      <w:r>
        <w:t>age;</w:t>
      </w:r>
      <w:proofErr w:type="gramEnd"/>
    </w:p>
    <w:p w14:paraId="07D3C514" w14:textId="77777777" w:rsidR="00957DA2" w:rsidRDefault="00957DA2" w:rsidP="00077B23">
      <w:pPr>
        <w:pStyle w:val="ListParagraph"/>
        <w:numPr>
          <w:ilvl w:val="0"/>
          <w:numId w:val="11"/>
        </w:numPr>
        <w:ind w:hanging="294"/>
      </w:pPr>
      <w:proofErr w:type="gramStart"/>
      <w:r>
        <w:t>breastfeeding;</w:t>
      </w:r>
      <w:proofErr w:type="gramEnd"/>
    </w:p>
    <w:p w14:paraId="623C3906" w14:textId="77777777" w:rsidR="00957DA2" w:rsidRDefault="00957DA2" w:rsidP="00077B23">
      <w:pPr>
        <w:pStyle w:val="ListParagraph"/>
        <w:numPr>
          <w:ilvl w:val="0"/>
          <w:numId w:val="11"/>
        </w:numPr>
        <w:ind w:hanging="294"/>
      </w:pPr>
      <w:r w:rsidRPr="008C7B9C">
        <w:t xml:space="preserve">carer </w:t>
      </w:r>
      <w:proofErr w:type="gramStart"/>
      <w:r w:rsidRPr="008C7B9C">
        <w:t>status;</w:t>
      </w:r>
      <w:proofErr w:type="gramEnd"/>
      <w:r w:rsidRPr="008C7B9C">
        <w:t xml:space="preserve"> </w:t>
      </w:r>
    </w:p>
    <w:p w14:paraId="3B649431" w14:textId="77777777" w:rsidR="00957DA2" w:rsidRDefault="00957DA2" w:rsidP="00077B23">
      <w:pPr>
        <w:pStyle w:val="ListParagraph"/>
        <w:numPr>
          <w:ilvl w:val="0"/>
          <w:numId w:val="11"/>
        </w:numPr>
        <w:ind w:hanging="294"/>
      </w:pPr>
      <w:proofErr w:type="gramStart"/>
      <w:r w:rsidRPr="008C7B9C">
        <w:t>disability;</w:t>
      </w:r>
      <w:proofErr w:type="gramEnd"/>
      <w:r w:rsidRPr="008C7B9C">
        <w:t xml:space="preserve"> </w:t>
      </w:r>
    </w:p>
    <w:p w14:paraId="1C95DCB1" w14:textId="77777777" w:rsidR="00957DA2" w:rsidRDefault="00957DA2" w:rsidP="00077B23">
      <w:pPr>
        <w:pStyle w:val="ListParagraph"/>
        <w:numPr>
          <w:ilvl w:val="0"/>
          <w:numId w:val="11"/>
        </w:numPr>
        <w:ind w:hanging="294"/>
      </w:pPr>
      <w:r w:rsidRPr="008C7B9C">
        <w:t xml:space="preserve">employment </w:t>
      </w:r>
      <w:proofErr w:type="gramStart"/>
      <w:r w:rsidRPr="008C7B9C">
        <w:t>activity;</w:t>
      </w:r>
      <w:proofErr w:type="gramEnd"/>
      <w:r w:rsidRPr="008C7B9C">
        <w:t xml:space="preserve"> </w:t>
      </w:r>
    </w:p>
    <w:p w14:paraId="3C403151" w14:textId="77777777" w:rsidR="00957DA2" w:rsidRDefault="00957DA2" w:rsidP="00077B23">
      <w:pPr>
        <w:pStyle w:val="ListParagraph"/>
        <w:numPr>
          <w:ilvl w:val="0"/>
          <w:numId w:val="11"/>
        </w:numPr>
        <w:ind w:hanging="294"/>
      </w:pPr>
      <w:r w:rsidRPr="008C7B9C">
        <w:t xml:space="preserve">gender </w:t>
      </w:r>
      <w:proofErr w:type="gramStart"/>
      <w:r w:rsidRPr="008C7B9C">
        <w:t>identity;</w:t>
      </w:r>
      <w:proofErr w:type="gramEnd"/>
      <w:r w:rsidRPr="008C7B9C">
        <w:t xml:space="preserve"> </w:t>
      </w:r>
    </w:p>
    <w:p w14:paraId="05B0C10D" w14:textId="77777777" w:rsidR="00957DA2" w:rsidRDefault="00957DA2" w:rsidP="00077B23">
      <w:pPr>
        <w:pStyle w:val="ListParagraph"/>
        <w:numPr>
          <w:ilvl w:val="0"/>
          <w:numId w:val="11"/>
        </w:numPr>
        <w:ind w:hanging="294"/>
      </w:pPr>
      <w:r w:rsidRPr="008C7B9C">
        <w:t xml:space="preserve">industrial </w:t>
      </w:r>
      <w:proofErr w:type="gramStart"/>
      <w:r w:rsidRPr="008C7B9C">
        <w:t>activity;</w:t>
      </w:r>
      <w:proofErr w:type="gramEnd"/>
      <w:r w:rsidRPr="008C7B9C">
        <w:t xml:space="preserve"> </w:t>
      </w:r>
    </w:p>
    <w:p w14:paraId="68EAD448" w14:textId="77777777" w:rsidR="00957DA2" w:rsidRDefault="00957DA2" w:rsidP="00077B23">
      <w:pPr>
        <w:pStyle w:val="ListParagraph"/>
        <w:numPr>
          <w:ilvl w:val="0"/>
          <w:numId w:val="11"/>
        </w:numPr>
        <w:ind w:hanging="294"/>
      </w:pPr>
      <w:r w:rsidRPr="008C7B9C">
        <w:t xml:space="preserve">lawful sexual </w:t>
      </w:r>
      <w:proofErr w:type="gramStart"/>
      <w:r w:rsidRPr="008C7B9C">
        <w:t>activity;</w:t>
      </w:r>
      <w:proofErr w:type="gramEnd"/>
      <w:r w:rsidRPr="008C7B9C">
        <w:t xml:space="preserve"> </w:t>
      </w:r>
    </w:p>
    <w:p w14:paraId="13DEAFB7" w14:textId="77777777" w:rsidR="00957DA2" w:rsidRDefault="00957DA2" w:rsidP="00077B23">
      <w:pPr>
        <w:pStyle w:val="ListParagraph"/>
        <w:numPr>
          <w:ilvl w:val="0"/>
          <w:numId w:val="11"/>
        </w:numPr>
        <w:ind w:hanging="294"/>
      </w:pPr>
      <w:r w:rsidRPr="008C7B9C">
        <w:t xml:space="preserve">marital </w:t>
      </w:r>
      <w:proofErr w:type="gramStart"/>
      <w:r w:rsidRPr="008C7B9C">
        <w:t>status;</w:t>
      </w:r>
      <w:proofErr w:type="gramEnd"/>
      <w:r w:rsidRPr="008C7B9C">
        <w:t xml:space="preserve"> </w:t>
      </w:r>
    </w:p>
    <w:p w14:paraId="6107C5FC" w14:textId="77777777" w:rsidR="00957DA2" w:rsidRDefault="00957DA2" w:rsidP="00077B23">
      <w:pPr>
        <w:pStyle w:val="ListParagraph"/>
        <w:numPr>
          <w:ilvl w:val="0"/>
          <w:numId w:val="11"/>
        </w:numPr>
        <w:ind w:hanging="294"/>
      </w:pPr>
      <w:r w:rsidRPr="008C7B9C">
        <w:t xml:space="preserve">parental </w:t>
      </w:r>
      <w:proofErr w:type="gramStart"/>
      <w:r w:rsidRPr="008C7B9C">
        <w:t>status;</w:t>
      </w:r>
      <w:proofErr w:type="gramEnd"/>
      <w:r w:rsidRPr="008C7B9C">
        <w:t xml:space="preserve"> </w:t>
      </w:r>
    </w:p>
    <w:p w14:paraId="024351D5" w14:textId="77777777" w:rsidR="00957DA2" w:rsidRDefault="00957DA2" w:rsidP="00077B23">
      <w:pPr>
        <w:pStyle w:val="ListParagraph"/>
        <w:numPr>
          <w:ilvl w:val="0"/>
          <w:numId w:val="11"/>
        </w:numPr>
        <w:ind w:hanging="294"/>
      </w:pPr>
      <w:r w:rsidRPr="008C7B9C">
        <w:t xml:space="preserve">physical </w:t>
      </w:r>
      <w:proofErr w:type="gramStart"/>
      <w:r w:rsidRPr="008C7B9C">
        <w:t>features;</w:t>
      </w:r>
      <w:proofErr w:type="gramEnd"/>
      <w:r w:rsidRPr="008C7B9C">
        <w:t xml:space="preserve"> </w:t>
      </w:r>
    </w:p>
    <w:p w14:paraId="6BA70077" w14:textId="77777777" w:rsidR="00957DA2" w:rsidRDefault="00957DA2" w:rsidP="00077B23">
      <w:pPr>
        <w:pStyle w:val="ListParagraph"/>
        <w:numPr>
          <w:ilvl w:val="0"/>
          <w:numId w:val="11"/>
        </w:numPr>
        <w:ind w:hanging="294"/>
      </w:pPr>
      <w:r w:rsidRPr="008C7B9C">
        <w:t xml:space="preserve">political belief or </w:t>
      </w:r>
      <w:proofErr w:type="gramStart"/>
      <w:r w:rsidRPr="008C7B9C">
        <w:t>activity;</w:t>
      </w:r>
      <w:proofErr w:type="gramEnd"/>
      <w:r w:rsidRPr="008C7B9C">
        <w:t xml:space="preserve"> </w:t>
      </w:r>
    </w:p>
    <w:p w14:paraId="00C9B5E5" w14:textId="77777777" w:rsidR="00957DA2" w:rsidRDefault="00957DA2" w:rsidP="00077B23">
      <w:pPr>
        <w:pStyle w:val="ListParagraph"/>
        <w:numPr>
          <w:ilvl w:val="0"/>
          <w:numId w:val="11"/>
        </w:numPr>
        <w:ind w:hanging="294"/>
      </w:pPr>
      <w:r w:rsidRPr="008C7B9C">
        <w:t xml:space="preserve">pregnancy or potential </w:t>
      </w:r>
      <w:proofErr w:type="gramStart"/>
      <w:r w:rsidRPr="008C7B9C">
        <w:t>pregnancy;</w:t>
      </w:r>
      <w:proofErr w:type="gramEnd"/>
      <w:r w:rsidRPr="008C7B9C">
        <w:t xml:space="preserve"> </w:t>
      </w:r>
    </w:p>
    <w:p w14:paraId="5553C285" w14:textId="77777777" w:rsidR="00957DA2" w:rsidRDefault="00957DA2" w:rsidP="00077B23">
      <w:pPr>
        <w:pStyle w:val="ListParagraph"/>
        <w:numPr>
          <w:ilvl w:val="0"/>
          <w:numId w:val="11"/>
        </w:numPr>
        <w:ind w:hanging="294"/>
      </w:pPr>
      <w:proofErr w:type="gramStart"/>
      <w:r w:rsidRPr="008C7B9C">
        <w:t>race;</w:t>
      </w:r>
      <w:proofErr w:type="gramEnd"/>
      <w:r w:rsidRPr="008C7B9C">
        <w:t xml:space="preserve"> </w:t>
      </w:r>
    </w:p>
    <w:p w14:paraId="095A483B" w14:textId="77777777" w:rsidR="00957DA2" w:rsidRDefault="00957DA2" w:rsidP="00077B23">
      <w:pPr>
        <w:pStyle w:val="ListParagraph"/>
        <w:numPr>
          <w:ilvl w:val="0"/>
          <w:numId w:val="11"/>
        </w:numPr>
        <w:ind w:hanging="294"/>
      </w:pPr>
      <w:r w:rsidRPr="008C7B9C">
        <w:t xml:space="preserve">religious belief or </w:t>
      </w:r>
      <w:proofErr w:type="gramStart"/>
      <w:r w:rsidRPr="008C7B9C">
        <w:t>activity;</w:t>
      </w:r>
      <w:proofErr w:type="gramEnd"/>
      <w:r w:rsidRPr="008C7B9C">
        <w:t xml:space="preserve"> </w:t>
      </w:r>
    </w:p>
    <w:p w14:paraId="6791AB31" w14:textId="77777777" w:rsidR="00957DA2" w:rsidRDefault="00957DA2" w:rsidP="00077B23">
      <w:pPr>
        <w:pStyle w:val="ListParagraph"/>
        <w:numPr>
          <w:ilvl w:val="0"/>
          <w:numId w:val="11"/>
        </w:numPr>
        <w:ind w:hanging="294"/>
      </w:pPr>
      <w:proofErr w:type="gramStart"/>
      <w:r w:rsidRPr="008C7B9C">
        <w:t>sex;</w:t>
      </w:r>
      <w:proofErr w:type="gramEnd"/>
      <w:r w:rsidRPr="008C7B9C">
        <w:t xml:space="preserve"> </w:t>
      </w:r>
    </w:p>
    <w:p w14:paraId="5A6153A3" w14:textId="77777777" w:rsidR="00957DA2" w:rsidRDefault="00957DA2" w:rsidP="00077B23">
      <w:pPr>
        <w:pStyle w:val="ListParagraph"/>
        <w:numPr>
          <w:ilvl w:val="0"/>
          <w:numId w:val="11"/>
        </w:numPr>
        <w:ind w:hanging="294"/>
      </w:pPr>
      <w:r w:rsidRPr="008C7B9C">
        <w:t xml:space="preserve">sex </w:t>
      </w:r>
      <w:proofErr w:type="gramStart"/>
      <w:r w:rsidRPr="008C7B9C">
        <w:t>characteristics;</w:t>
      </w:r>
      <w:proofErr w:type="gramEnd"/>
      <w:r w:rsidRPr="008C7B9C">
        <w:t xml:space="preserve"> </w:t>
      </w:r>
    </w:p>
    <w:p w14:paraId="62D27013" w14:textId="77777777" w:rsidR="00957DA2" w:rsidRDefault="00957DA2" w:rsidP="00077B23">
      <w:pPr>
        <w:pStyle w:val="ListParagraph"/>
        <w:numPr>
          <w:ilvl w:val="0"/>
          <w:numId w:val="11"/>
        </w:numPr>
        <w:ind w:hanging="294"/>
      </w:pPr>
      <w:r w:rsidRPr="008C7B9C">
        <w:t xml:space="preserve">sexual </w:t>
      </w:r>
      <w:proofErr w:type="gramStart"/>
      <w:r w:rsidRPr="008C7B9C">
        <w:t>orientation;</w:t>
      </w:r>
      <w:proofErr w:type="gramEnd"/>
      <w:r w:rsidRPr="008C7B9C">
        <w:t xml:space="preserve"> </w:t>
      </w:r>
    </w:p>
    <w:p w14:paraId="2F50C1AC" w14:textId="77777777" w:rsidR="00077B23" w:rsidRDefault="00957DA2" w:rsidP="00077B23">
      <w:pPr>
        <w:pStyle w:val="ListParagraph"/>
        <w:numPr>
          <w:ilvl w:val="0"/>
          <w:numId w:val="11"/>
        </w:numPr>
        <w:ind w:hanging="294"/>
      </w:pPr>
      <w:r w:rsidRPr="008C7B9C">
        <w:t xml:space="preserve">spent conviction; and </w:t>
      </w:r>
    </w:p>
    <w:p w14:paraId="4C2C76EA" w14:textId="5F46845D" w:rsidR="00957DA2" w:rsidRDefault="00957DA2" w:rsidP="00077B23">
      <w:pPr>
        <w:pStyle w:val="ListParagraph"/>
        <w:numPr>
          <w:ilvl w:val="0"/>
          <w:numId w:val="11"/>
        </w:numPr>
        <w:ind w:hanging="294"/>
      </w:pPr>
      <w:r w:rsidRPr="008C7B9C">
        <w:t>personal association with someone who has, or is assumed to have, one of these attributes.</w:t>
      </w:r>
    </w:p>
    <w:p w14:paraId="6B2632A4" w14:textId="77777777" w:rsidR="00077B23" w:rsidRPr="008C7B9C" w:rsidRDefault="00077B23" w:rsidP="00077B23">
      <w:pPr>
        <w:pStyle w:val="ListParagraph"/>
      </w:pPr>
    </w:p>
    <w:p w14:paraId="441E8117" w14:textId="77777777" w:rsidR="00957DA2" w:rsidRDefault="00957DA2" w:rsidP="00077B23">
      <w:pPr>
        <w:pStyle w:val="ListParagraph"/>
        <w:numPr>
          <w:ilvl w:val="0"/>
          <w:numId w:val="20"/>
        </w:numPr>
        <w:ind w:left="426" w:hanging="426"/>
      </w:pPr>
      <w:r>
        <w:t xml:space="preserve">The </w:t>
      </w:r>
      <w:r>
        <w:rPr>
          <w:i/>
          <w:iCs/>
        </w:rPr>
        <w:t xml:space="preserve">Equal Opportunity Act 2010 </w:t>
      </w:r>
      <w:r>
        <w:t>covers discrimination in certain areas of public life. These public places include:</w:t>
      </w:r>
    </w:p>
    <w:p w14:paraId="0FF2D3AE" w14:textId="77777777" w:rsidR="00077B23" w:rsidRDefault="00077B23" w:rsidP="00077B23">
      <w:pPr>
        <w:pStyle w:val="ListParagraph"/>
        <w:ind w:left="426"/>
      </w:pPr>
    </w:p>
    <w:p w14:paraId="1C416BC9" w14:textId="77777777" w:rsidR="00957DA2" w:rsidRDefault="00957DA2" w:rsidP="00077B23">
      <w:pPr>
        <w:pStyle w:val="ListParagraph"/>
        <w:numPr>
          <w:ilvl w:val="0"/>
          <w:numId w:val="11"/>
        </w:numPr>
        <w:ind w:hanging="294"/>
      </w:pPr>
      <w:proofErr w:type="gramStart"/>
      <w:r>
        <w:t>employment;</w:t>
      </w:r>
      <w:proofErr w:type="gramEnd"/>
    </w:p>
    <w:p w14:paraId="14D0C37B" w14:textId="77777777" w:rsidR="00957DA2" w:rsidRDefault="00957DA2" w:rsidP="00077B23">
      <w:pPr>
        <w:pStyle w:val="ListParagraph"/>
        <w:numPr>
          <w:ilvl w:val="0"/>
          <w:numId w:val="11"/>
        </w:numPr>
        <w:ind w:hanging="294"/>
      </w:pPr>
      <w:proofErr w:type="gramStart"/>
      <w:r>
        <w:t>education;</w:t>
      </w:r>
      <w:proofErr w:type="gramEnd"/>
    </w:p>
    <w:p w14:paraId="27E807C6" w14:textId="77777777" w:rsidR="00957DA2" w:rsidRDefault="00957DA2" w:rsidP="00077B23">
      <w:pPr>
        <w:pStyle w:val="ListParagraph"/>
        <w:numPr>
          <w:ilvl w:val="0"/>
          <w:numId w:val="11"/>
        </w:numPr>
        <w:ind w:hanging="294"/>
      </w:pPr>
      <w:proofErr w:type="gramStart"/>
      <w:r>
        <w:t>accommodation;</w:t>
      </w:r>
      <w:proofErr w:type="gramEnd"/>
    </w:p>
    <w:p w14:paraId="0B7EF25A" w14:textId="77777777" w:rsidR="00957DA2" w:rsidRDefault="00957DA2" w:rsidP="00077B23">
      <w:pPr>
        <w:pStyle w:val="ListParagraph"/>
        <w:numPr>
          <w:ilvl w:val="0"/>
          <w:numId w:val="11"/>
        </w:numPr>
        <w:ind w:hanging="294"/>
      </w:pPr>
      <w:proofErr w:type="gramStart"/>
      <w:r>
        <w:t>clubs;</w:t>
      </w:r>
      <w:proofErr w:type="gramEnd"/>
    </w:p>
    <w:p w14:paraId="20241BBF" w14:textId="77777777" w:rsidR="00957DA2" w:rsidRDefault="00957DA2" w:rsidP="00077B23">
      <w:pPr>
        <w:pStyle w:val="ListParagraph"/>
        <w:numPr>
          <w:ilvl w:val="0"/>
          <w:numId w:val="11"/>
        </w:numPr>
        <w:ind w:hanging="294"/>
      </w:pPr>
      <w:proofErr w:type="gramStart"/>
      <w:r>
        <w:t>sports;</w:t>
      </w:r>
      <w:proofErr w:type="gramEnd"/>
    </w:p>
    <w:p w14:paraId="244938F1" w14:textId="77777777" w:rsidR="00957DA2" w:rsidRDefault="00957DA2" w:rsidP="00077B23">
      <w:pPr>
        <w:pStyle w:val="ListParagraph"/>
        <w:numPr>
          <w:ilvl w:val="0"/>
          <w:numId w:val="11"/>
        </w:numPr>
        <w:ind w:hanging="294"/>
      </w:pPr>
      <w:r>
        <w:t xml:space="preserve">local </w:t>
      </w:r>
      <w:proofErr w:type="gramStart"/>
      <w:r>
        <w:t>government;</w:t>
      </w:r>
      <w:proofErr w:type="gramEnd"/>
    </w:p>
    <w:p w14:paraId="281A4520" w14:textId="77777777" w:rsidR="00957DA2" w:rsidRDefault="00957DA2" w:rsidP="00077B23">
      <w:pPr>
        <w:pStyle w:val="ListParagraph"/>
        <w:numPr>
          <w:ilvl w:val="0"/>
          <w:numId w:val="11"/>
        </w:numPr>
        <w:ind w:hanging="294"/>
      </w:pPr>
      <w:r>
        <w:t xml:space="preserve">transport services; and </w:t>
      </w:r>
    </w:p>
    <w:p w14:paraId="12DAB2B8" w14:textId="77777777" w:rsidR="00957DA2" w:rsidRDefault="00957DA2" w:rsidP="00077B23">
      <w:pPr>
        <w:pStyle w:val="ListParagraph"/>
        <w:numPr>
          <w:ilvl w:val="0"/>
          <w:numId w:val="11"/>
        </w:numPr>
        <w:ind w:hanging="294"/>
      </w:pPr>
      <w:r>
        <w:t>shops, restaurants and nightclubs.</w:t>
      </w:r>
    </w:p>
    <w:p w14:paraId="7E59BAF8" w14:textId="77777777" w:rsidR="00077B23" w:rsidRDefault="00077B23" w:rsidP="00077B23">
      <w:pPr>
        <w:pStyle w:val="ListParagraph"/>
      </w:pPr>
    </w:p>
    <w:p w14:paraId="084BFCC7" w14:textId="77777777" w:rsidR="00957DA2" w:rsidRDefault="00957DA2" w:rsidP="00077B23">
      <w:pPr>
        <w:pStyle w:val="ListParagraph"/>
        <w:numPr>
          <w:ilvl w:val="0"/>
          <w:numId w:val="20"/>
        </w:numPr>
        <w:ind w:left="426" w:hanging="426"/>
      </w:pPr>
      <w:r>
        <w:t xml:space="preserve">People working in these areas of public life have a positive duty to make sure a person doesn’t face discrimination. The positive duty applies to employers of all sizes and covers all types of workers </w:t>
      </w:r>
      <w:proofErr w:type="spellStart"/>
      <w:r>
        <w:t>eg</w:t>
      </w:r>
      <w:proofErr w:type="spellEnd"/>
      <w:r>
        <w:t xml:space="preserve"> full-time, part-time and casual employees, and agents and contract workers.</w:t>
      </w:r>
    </w:p>
    <w:p w14:paraId="28AABCDB" w14:textId="77777777" w:rsidR="00077B23" w:rsidRDefault="00077B23" w:rsidP="00077B23">
      <w:pPr>
        <w:pStyle w:val="ListParagraph"/>
        <w:ind w:left="426"/>
      </w:pPr>
    </w:p>
    <w:p w14:paraId="6B45F645" w14:textId="77777777" w:rsidR="00957DA2" w:rsidRDefault="00957DA2" w:rsidP="00077B23">
      <w:pPr>
        <w:pStyle w:val="ListParagraph"/>
        <w:numPr>
          <w:ilvl w:val="0"/>
          <w:numId w:val="20"/>
        </w:numPr>
        <w:ind w:left="426" w:hanging="426"/>
      </w:pPr>
      <w:r w:rsidRPr="000F1900">
        <w:t xml:space="preserve">Discrimination can be direct or indirect </w:t>
      </w:r>
      <w:proofErr w:type="gramStart"/>
      <w:r w:rsidRPr="000F1900">
        <w:t>on the basis of</w:t>
      </w:r>
      <w:proofErr w:type="gramEnd"/>
      <w:r w:rsidRPr="000F1900">
        <w:t xml:space="preserve"> an attribute.</w:t>
      </w:r>
      <w:r>
        <w:t xml:space="preserve"> Both are against the law.</w:t>
      </w:r>
    </w:p>
    <w:p w14:paraId="2844B065" w14:textId="77777777" w:rsidR="00077B23" w:rsidRDefault="00077B23" w:rsidP="00077B23">
      <w:pPr>
        <w:pStyle w:val="ListParagraph"/>
      </w:pPr>
    </w:p>
    <w:p w14:paraId="5081526C" w14:textId="77777777" w:rsidR="00957DA2" w:rsidRDefault="00957DA2" w:rsidP="00077B23">
      <w:pPr>
        <w:pStyle w:val="ListParagraph"/>
        <w:numPr>
          <w:ilvl w:val="0"/>
          <w:numId w:val="20"/>
        </w:numPr>
        <w:ind w:left="426" w:hanging="426"/>
      </w:pPr>
      <w:r w:rsidRPr="000F1900">
        <w:t xml:space="preserve">Direct discrimination occurs if a person treats, or proposes to treat, someone </w:t>
      </w:r>
      <w:r>
        <w:t>with a protected attribute (</w:t>
      </w:r>
      <w:r w:rsidRPr="000F1900">
        <w:t>personal characteristic</w:t>
      </w:r>
      <w:r>
        <w:t>) unfavourably because of that attribute</w:t>
      </w:r>
      <w:r w:rsidRPr="000F1900">
        <w:t>.</w:t>
      </w:r>
    </w:p>
    <w:p w14:paraId="49DBBB16" w14:textId="77777777" w:rsidR="00077B23" w:rsidRDefault="00077B23" w:rsidP="00077B23">
      <w:pPr>
        <w:pStyle w:val="ListParagraph"/>
      </w:pPr>
    </w:p>
    <w:p w14:paraId="2075980B" w14:textId="77777777" w:rsidR="00957DA2" w:rsidRDefault="00957DA2" w:rsidP="00077B23">
      <w:pPr>
        <w:pStyle w:val="ListParagraph"/>
        <w:numPr>
          <w:ilvl w:val="0"/>
          <w:numId w:val="20"/>
        </w:numPr>
        <w:ind w:left="426" w:hanging="426"/>
      </w:pPr>
      <w:r w:rsidRPr="000F1900">
        <w:t>In relation to persons with a disability, direct discrimination also occurs if an employer does not make, or proposes not to make, reasonable adjustments for a person with a disability and a failure to make those reasonable adjustments has the effect of that person being treated unfavourably because of the disability.</w:t>
      </w:r>
    </w:p>
    <w:p w14:paraId="62CE0E4E" w14:textId="77777777" w:rsidR="00077B23" w:rsidRDefault="00077B23" w:rsidP="00077B23">
      <w:pPr>
        <w:pStyle w:val="ListParagraph"/>
      </w:pPr>
    </w:p>
    <w:p w14:paraId="482888D5" w14:textId="77777777" w:rsidR="00957DA2" w:rsidRDefault="00957DA2" w:rsidP="00077B23">
      <w:pPr>
        <w:pStyle w:val="ListParagraph"/>
        <w:numPr>
          <w:ilvl w:val="0"/>
          <w:numId w:val="20"/>
        </w:numPr>
        <w:ind w:left="426" w:hanging="426"/>
      </w:pPr>
      <w:r w:rsidRPr="000F1900">
        <w:t>Indirect discrimination occurs if a person imposes, or proposes to impose, a requirement, condition or practice that has, or is likely to have, the effect of disadvantaging a person with a protected attribute and where that requirement, condition or practice is not reasonable.</w:t>
      </w:r>
    </w:p>
    <w:p w14:paraId="561635C2" w14:textId="77777777" w:rsidR="00957DA2" w:rsidRPr="000F1900" w:rsidRDefault="00957DA2" w:rsidP="00957DA2">
      <w:pPr>
        <w:suppressAutoHyphens w:val="0"/>
        <w:autoSpaceDE/>
        <w:autoSpaceDN/>
        <w:adjustRightInd/>
        <w:spacing w:after="0" w:line="240" w:lineRule="auto"/>
        <w:textAlignment w:val="auto"/>
      </w:pPr>
    </w:p>
    <w:p w14:paraId="5EAD7F50" w14:textId="1AC181F4" w:rsidR="00957DA2" w:rsidRDefault="00957DA2" w:rsidP="00957DA2">
      <w:pPr>
        <w:pStyle w:val="Heading1"/>
      </w:pPr>
      <w:r>
        <w:t>Sexual harassment</w:t>
      </w:r>
    </w:p>
    <w:p w14:paraId="40FA13FA" w14:textId="77777777" w:rsidR="00957DA2" w:rsidRDefault="00957DA2" w:rsidP="00077B23">
      <w:pPr>
        <w:pStyle w:val="ListParagraph"/>
        <w:numPr>
          <w:ilvl w:val="0"/>
          <w:numId w:val="20"/>
        </w:numPr>
        <w:ind w:left="426" w:hanging="426"/>
      </w:pPr>
      <w:r>
        <w:t>Sexual harassment is a specific and serious form of harassment. It is unwelcome sexual behaviour, which could be expected to make a person feel offended, humiliated or intimidated. Sexual harassment can be physical, spoken or written. It can include:</w:t>
      </w:r>
    </w:p>
    <w:p w14:paraId="0436874A" w14:textId="77777777" w:rsidR="00077B23" w:rsidRDefault="00077B23" w:rsidP="00077B23">
      <w:pPr>
        <w:pStyle w:val="ListParagraph"/>
        <w:ind w:left="426"/>
      </w:pPr>
    </w:p>
    <w:p w14:paraId="45AA4032" w14:textId="77777777" w:rsidR="00957DA2" w:rsidRDefault="00957DA2" w:rsidP="00077B23">
      <w:pPr>
        <w:pStyle w:val="ListParagraph"/>
        <w:numPr>
          <w:ilvl w:val="0"/>
          <w:numId w:val="11"/>
        </w:numPr>
        <w:ind w:hanging="294"/>
      </w:pPr>
      <w:r>
        <w:t xml:space="preserve">comments about a person’s private life or the way they </w:t>
      </w:r>
      <w:proofErr w:type="gramStart"/>
      <w:r>
        <w:t>look;</w:t>
      </w:r>
      <w:proofErr w:type="gramEnd"/>
    </w:p>
    <w:p w14:paraId="2F6D9BAD" w14:textId="77777777" w:rsidR="00957DA2" w:rsidRDefault="00957DA2" w:rsidP="00077B23">
      <w:pPr>
        <w:pStyle w:val="ListParagraph"/>
        <w:numPr>
          <w:ilvl w:val="0"/>
          <w:numId w:val="11"/>
        </w:numPr>
        <w:ind w:hanging="294"/>
      </w:pPr>
      <w:r>
        <w:t xml:space="preserve">sexually suggestive behaviour, such as leering or </w:t>
      </w:r>
      <w:proofErr w:type="gramStart"/>
      <w:r>
        <w:t>staring;</w:t>
      </w:r>
      <w:proofErr w:type="gramEnd"/>
    </w:p>
    <w:p w14:paraId="1AFA09B3" w14:textId="77777777" w:rsidR="00957DA2" w:rsidRDefault="00957DA2" w:rsidP="00077B23">
      <w:pPr>
        <w:pStyle w:val="ListParagraph"/>
        <w:numPr>
          <w:ilvl w:val="0"/>
          <w:numId w:val="11"/>
        </w:numPr>
        <w:ind w:hanging="294"/>
      </w:pPr>
      <w:r>
        <w:t xml:space="preserve">brushing up against someone, touching, fondling or </w:t>
      </w:r>
      <w:proofErr w:type="gramStart"/>
      <w:r>
        <w:t>hugging;</w:t>
      </w:r>
      <w:proofErr w:type="gramEnd"/>
    </w:p>
    <w:p w14:paraId="0552E74E" w14:textId="77777777" w:rsidR="00957DA2" w:rsidRDefault="00957DA2" w:rsidP="00077B23">
      <w:pPr>
        <w:pStyle w:val="ListParagraph"/>
        <w:numPr>
          <w:ilvl w:val="0"/>
          <w:numId w:val="11"/>
        </w:numPr>
        <w:ind w:hanging="294"/>
      </w:pPr>
      <w:r>
        <w:t xml:space="preserve">sexually suggestive comments or </w:t>
      </w:r>
      <w:proofErr w:type="gramStart"/>
      <w:r>
        <w:t>jokes;</w:t>
      </w:r>
      <w:proofErr w:type="gramEnd"/>
    </w:p>
    <w:p w14:paraId="5880558E" w14:textId="77777777" w:rsidR="00957DA2" w:rsidRDefault="00957DA2" w:rsidP="00077B23">
      <w:pPr>
        <w:pStyle w:val="ListParagraph"/>
        <w:numPr>
          <w:ilvl w:val="0"/>
          <w:numId w:val="11"/>
        </w:numPr>
        <w:ind w:hanging="294"/>
      </w:pPr>
      <w:r>
        <w:t xml:space="preserve">displaying offensive screen savers, photos, calendars or </w:t>
      </w:r>
      <w:proofErr w:type="gramStart"/>
      <w:r>
        <w:t>objects;</w:t>
      </w:r>
      <w:proofErr w:type="gramEnd"/>
    </w:p>
    <w:p w14:paraId="4E5F0798" w14:textId="77777777" w:rsidR="00957DA2" w:rsidRDefault="00957DA2" w:rsidP="00077B23">
      <w:pPr>
        <w:pStyle w:val="ListParagraph"/>
        <w:numPr>
          <w:ilvl w:val="0"/>
          <w:numId w:val="11"/>
        </w:numPr>
        <w:ind w:hanging="294"/>
      </w:pPr>
      <w:r>
        <w:t xml:space="preserve">repeated unwanted requests to go </w:t>
      </w:r>
      <w:proofErr w:type="gramStart"/>
      <w:r>
        <w:t>out;</w:t>
      </w:r>
      <w:proofErr w:type="gramEnd"/>
    </w:p>
    <w:p w14:paraId="2EB33859" w14:textId="77777777" w:rsidR="00957DA2" w:rsidRDefault="00957DA2" w:rsidP="00077B23">
      <w:pPr>
        <w:pStyle w:val="ListParagraph"/>
        <w:numPr>
          <w:ilvl w:val="0"/>
          <w:numId w:val="11"/>
        </w:numPr>
        <w:ind w:hanging="294"/>
      </w:pPr>
      <w:r>
        <w:t xml:space="preserve">requests for </w:t>
      </w:r>
      <w:proofErr w:type="gramStart"/>
      <w:r>
        <w:t>sex;</w:t>
      </w:r>
      <w:proofErr w:type="gramEnd"/>
    </w:p>
    <w:p w14:paraId="2C8577EA" w14:textId="77777777" w:rsidR="00957DA2" w:rsidRDefault="00957DA2" w:rsidP="00077B23">
      <w:pPr>
        <w:pStyle w:val="ListParagraph"/>
        <w:numPr>
          <w:ilvl w:val="0"/>
          <w:numId w:val="11"/>
        </w:numPr>
        <w:ind w:hanging="294"/>
      </w:pPr>
      <w:r>
        <w:t xml:space="preserve">sexually explicit posts on social networking </w:t>
      </w:r>
      <w:proofErr w:type="gramStart"/>
      <w:r>
        <w:t>sites;</w:t>
      </w:r>
      <w:proofErr w:type="gramEnd"/>
    </w:p>
    <w:p w14:paraId="17560DB9" w14:textId="77777777" w:rsidR="00957DA2" w:rsidRPr="00FB4AFC" w:rsidRDefault="00957DA2" w:rsidP="00077B23">
      <w:pPr>
        <w:pStyle w:val="ListParagraph"/>
        <w:numPr>
          <w:ilvl w:val="0"/>
          <w:numId w:val="11"/>
        </w:numPr>
        <w:ind w:hanging="294"/>
      </w:pPr>
      <w:r w:rsidRPr="00FB4AFC">
        <w:t xml:space="preserve">insults or taunts of a sexual </w:t>
      </w:r>
      <w:proofErr w:type="gramStart"/>
      <w:r w:rsidRPr="00FB4AFC">
        <w:t>nature</w:t>
      </w:r>
      <w:r>
        <w:t>;</w:t>
      </w:r>
      <w:proofErr w:type="gramEnd"/>
    </w:p>
    <w:p w14:paraId="5B593125" w14:textId="77777777" w:rsidR="00957DA2" w:rsidRPr="00FB4AFC" w:rsidRDefault="00957DA2" w:rsidP="00077B23">
      <w:pPr>
        <w:pStyle w:val="ListParagraph"/>
        <w:numPr>
          <w:ilvl w:val="0"/>
          <w:numId w:val="11"/>
        </w:numPr>
        <w:ind w:hanging="294"/>
      </w:pPr>
      <w:r w:rsidRPr="00FB4AFC">
        <w:t xml:space="preserve">intrusive questions or statements about a person’s private </w:t>
      </w:r>
      <w:proofErr w:type="gramStart"/>
      <w:r w:rsidRPr="00FB4AFC">
        <w:t>life</w:t>
      </w:r>
      <w:r>
        <w:t>;</w:t>
      </w:r>
      <w:proofErr w:type="gramEnd"/>
    </w:p>
    <w:p w14:paraId="07BF4877" w14:textId="77777777" w:rsidR="00957DA2" w:rsidRPr="00FB4AFC" w:rsidRDefault="00957DA2" w:rsidP="00077B23">
      <w:pPr>
        <w:pStyle w:val="ListParagraph"/>
        <w:numPr>
          <w:ilvl w:val="0"/>
          <w:numId w:val="11"/>
        </w:numPr>
        <w:ind w:hanging="294"/>
      </w:pPr>
      <w:r w:rsidRPr="00FB4AFC">
        <w:t xml:space="preserve">sending sexually explicit emails or text </w:t>
      </w:r>
      <w:proofErr w:type="gramStart"/>
      <w:r w:rsidRPr="00FB4AFC">
        <w:t>messages</w:t>
      </w:r>
      <w:r>
        <w:t>;</w:t>
      </w:r>
      <w:proofErr w:type="gramEnd"/>
    </w:p>
    <w:p w14:paraId="504B9F8C" w14:textId="77777777" w:rsidR="00957DA2" w:rsidRPr="00FB4AFC" w:rsidRDefault="00957DA2" w:rsidP="00077B23">
      <w:pPr>
        <w:pStyle w:val="ListParagraph"/>
        <w:numPr>
          <w:ilvl w:val="0"/>
          <w:numId w:val="11"/>
        </w:numPr>
        <w:ind w:hanging="294"/>
      </w:pPr>
      <w:r w:rsidRPr="00FB4AFC">
        <w:t xml:space="preserve">inappropriate advances on social networking </w:t>
      </w:r>
      <w:proofErr w:type="gramStart"/>
      <w:r w:rsidRPr="00FB4AFC">
        <w:t>sites</w:t>
      </w:r>
      <w:r>
        <w:t>;</w:t>
      </w:r>
      <w:proofErr w:type="gramEnd"/>
    </w:p>
    <w:p w14:paraId="00349F0C" w14:textId="77777777" w:rsidR="00957DA2" w:rsidRPr="00FB4AFC" w:rsidRDefault="00957DA2" w:rsidP="00077B23">
      <w:pPr>
        <w:pStyle w:val="ListParagraph"/>
        <w:numPr>
          <w:ilvl w:val="0"/>
          <w:numId w:val="11"/>
        </w:numPr>
        <w:ind w:hanging="294"/>
      </w:pPr>
      <w:r w:rsidRPr="00FB4AFC">
        <w:t>accessing sexually explicit internet sites</w:t>
      </w:r>
      <w:r>
        <w:t>; and</w:t>
      </w:r>
    </w:p>
    <w:p w14:paraId="7DC63306" w14:textId="77777777" w:rsidR="00957DA2" w:rsidRDefault="00957DA2" w:rsidP="00077B23">
      <w:pPr>
        <w:pStyle w:val="ListParagraph"/>
        <w:numPr>
          <w:ilvl w:val="0"/>
          <w:numId w:val="11"/>
        </w:numPr>
        <w:ind w:hanging="294"/>
      </w:pPr>
      <w:r>
        <w:t>behaviour</w:t>
      </w:r>
      <w:r w:rsidRPr="00FB4AFC">
        <w:t xml:space="preserve"> that may also </w:t>
      </w:r>
      <w:proofErr w:type="gramStart"/>
      <w:r w:rsidRPr="00FB4AFC">
        <w:t>be considered to be</w:t>
      </w:r>
      <w:proofErr w:type="gramEnd"/>
      <w:r w:rsidRPr="00FB4AFC">
        <w:t xml:space="preserve"> an offence under criminal law, such as physical assault, indecent exposure, sexual assault, stalking or obscene communications.</w:t>
      </w:r>
    </w:p>
    <w:p w14:paraId="31272371" w14:textId="77777777" w:rsidR="00077B23" w:rsidRDefault="00077B23" w:rsidP="00077B23">
      <w:pPr>
        <w:pStyle w:val="ListParagraph"/>
      </w:pPr>
    </w:p>
    <w:p w14:paraId="1D77CC6E" w14:textId="77777777" w:rsidR="00957DA2" w:rsidRDefault="00957DA2" w:rsidP="00077B23">
      <w:pPr>
        <w:pStyle w:val="ListParagraph"/>
        <w:numPr>
          <w:ilvl w:val="0"/>
          <w:numId w:val="20"/>
        </w:numPr>
        <w:ind w:left="426" w:hanging="426"/>
      </w:pPr>
      <w:r>
        <w:t>Just because someone does not object to inappropriate behaviour in the workplace at the time, it does not mean that they are consenting to the behaviour.</w:t>
      </w:r>
    </w:p>
    <w:p w14:paraId="03F85E91" w14:textId="77777777" w:rsidR="00077B23" w:rsidRDefault="00077B23" w:rsidP="00077B23">
      <w:pPr>
        <w:pStyle w:val="ListParagraph"/>
        <w:ind w:left="426"/>
      </w:pPr>
    </w:p>
    <w:p w14:paraId="16594B74" w14:textId="77777777" w:rsidR="00957DA2" w:rsidRDefault="00957DA2" w:rsidP="00077B23">
      <w:pPr>
        <w:pStyle w:val="ListParagraph"/>
        <w:numPr>
          <w:ilvl w:val="0"/>
          <w:numId w:val="20"/>
        </w:numPr>
        <w:ind w:left="426" w:hanging="426"/>
      </w:pPr>
      <w:r>
        <w:t>Sometimes people accused of sexual harassment say they were only joking. However, jokes can still be insulting, threatening and unwelcome. It doesn’t matter what the intention is: sexual harassment is against the law.</w:t>
      </w:r>
    </w:p>
    <w:p w14:paraId="4ABE213A" w14:textId="77777777" w:rsidR="00077B23" w:rsidRDefault="00077B23" w:rsidP="00077B23">
      <w:pPr>
        <w:pStyle w:val="ListParagraph"/>
      </w:pPr>
    </w:p>
    <w:p w14:paraId="58D36CC5" w14:textId="77777777" w:rsidR="00957DA2" w:rsidRDefault="00957DA2" w:rsidP="00077B23">
      <w:pPr>
        <w:pStyle w:val="ListParagraph"/>
        <w:numPr>
          <w:ilvl w:val="0"/>
          <w:numId w:val="20"/>
        </w:numPr>
        <w:ind w:left="426" w:hanging="426"/>
      </w:pPr>
      <w:r>
        <w:t>Sexual harassment is covered in the workplace when it happens at work, at work-related events, between people sharing the same workplace, or between colleagues outside of work.</w:t>
      </w:r>
    </w:p>
    <w:p w14:paraId="6AA4CF38" w14:textId="77777777" w:rsidR="00077B23" w:rsidRDefault="00077B23" w:rsidP="00077B23">
      <w:pPr>
        <w:pStyle w:val="ListParagraph"/>
      </w:pPr>
    </w:p>
    <w:p w14:paraId="2C9BB35A" w14:textId="77777777" w:rsidR="00957DA2" w:rsidRDefault="00957DA2" w:rsidP="00077B23">
      <w:pPr>
        <w:pStyle w:val="ListParagraph"/>
        <w:numPr>
          <w:ilvl w:val="0"/>
          <w:numId w:val="20"/>
        </w:numPr>
        <w:ind w:left="426" w:hanging="426"/>
      </w:pPr>
      <w:r>
        <w:t>A single incident is enough to constitute sexual harassment – it doesn’t have to be repeated.</w:t>
      </w:r>
    </w:p>
    <w:p w14:paraId="75DEEDA1" w14:textId="77777777" w:rsidR="00077B23" w:rsidRDefault="00077B23" w:rsidP="00077B23">
      <w:pPr>
        <w:pStyle w:val="ListParagraph"/>
      </w:pPr>
    </w:p>
    <w:p w14:paraId="5F79097F" w14:textId="77777777" w:rsidR="00957DA2" w:rsidRDefault="00957DA2" w:rsidP="00077B23">
      <w:pPr>
        <w:pStyle w:val="ListParagraph"/>
        <w:numPr>
          <w:ilvl w:val="0"/>
          <w:numId w:val="20"/>
        </w:numPr>
        <w:ind w:left="426" w:hanging="426"/>
      </w:pPr>
      <w:r>
        <w:t>All incidents of sexual harassment – no matter how large or small or who is involved – require employers and managers to respond quickly and appropriately.</w:t>
      </w:r>
    </w:p>
    <w:p w14:paraId="74764878" w14:textId="77777777" w:rsidR="00077B23" w:rsidRDefault="00077B23" w:rsidP="00077B23">
      <w:pPr>
        <w:pStyle w:val="ListParagraph"/>
      </w:pPr>
    </w:p>
    <w:p w14:paraId="3C527A0A" w14:textId="77777777" w:rsidR="00957DA2" w:rsidRDefault="00957DA2" w:rsidP="00077B23">
      <w:pPr>
        <w:pStyle w:val="ListParagraph"/>
        <w:numPr>
          <w:ilvl w:val="0"/>
          <w:numId w:val="20"/>
        </w:numPr>
        <w:ind w:left="426" w:hanging="426"/>
      </w:pPr>
      <w:proofErr w:type="gramStart"/>
      <w:r>
        <w:t>The large majority of</w:t>
      </w:r>
      <w:proofErr w:type="gramEnd"/>
      <w:r>
        <w:t xml:space="preserve"> sexual harassment complaints made to the Victorian Equal Opportunity &amp; Human Rights Commission are work related. Women are more likely to experience sexual harassment than men.</w:t>
      </w:r>
    </w:p>
    <w:p w14:paraId="0A1F2153" w14:textId="42B53454" w:rsidR="00957DA2" w:rsidRDefault="00957DA2" w:rsidP="00957DA2">
      <w:pPr>
        <w:pStyle w:val="Heading1"/>
      </w:pPr>
      <w:r>
        <w:t>Victimisation</w:t>
      </w:r>
    </w:p>
    <w:p w14:paraId="674E1ADB" w14:textId="77777777" w:rsidR="00957DA2" w:rsidRDefault="00957DA2" w:rsidP="00077B23">
      <w:pPr>
        <w:pStyle w:val="ListParagraph"/>
        <w:numPr>
          <w:ilvl w:val="0"/>
          <w:numId w:val="20"/>
        </w:numPr>
        <w:ind w:left="426" w:hanging="426"/>
      </w:pPr>
      <w:r w:rsidRPr="00957DA2">
        <w:t xml:space="preserve">It is against the law to subject anyone to </w:t>
      </w:r>
      <w:proofErr w:type="spellStart"/>
      <w:r w:rsidRPr="00957DA2">
        <w:t>victimisation</w:t>
      </w:r>
      <w:proofErr w:type="spellEnd"/>
      <w:r w:rsidRPr="00957DA2">
        <w:t xml:space="preserve">. </w:t>
      </w:r>
      <w:proofErr w:type="spellStart"/>
      <w:r w:rsidRPr="00957DA2">
        <w:t>Victimisation</w:t>
      </w:r>
      <w:proofErr w:type="spellEnd"/>
      <w:r w:rsidRPr="00957DA2">
        <w:t xml:space="preserve"> is when a person is treated badly or unfairly because they have made a complaint about discrimination, sexual harassment or racial and religious vilification, it is believed they intend to make a complaint, or they have helped someone else to make a complaint.</w:t>
      </w:r>
    </w:p>
    <w:p w14:paraId="5EF07F31" w14:textId="77777777" w:rsidR="00077B23" w:rsidRDefault="00077B23" w:rsidP="00077B23">
      <w:pPr>
        <w:pStyle w:val="ListParagraph"/>
        <w:ind w:left="426"/>
      </w:pPr>
    </w:p>
    <w:p w14:paraId="72342EB3" w14:textId="77777777" w:rsidR="00957DA2" w:rsidRPr="00957DA2" w:rsidRDefault="00957DA2" w:rsidP="00957DA2">
      <w:pPr>
        <w:pStyle w:val="ListParagraph"/>
        <w:numPr>
          <w:ilvl w:val="0"/>
          <w:numId w:val="20"/>
        </w:numPr>
        <w:ind w:left="426" w:hanging="426"/>
      </w:pPr>
      <w:r w:rsidRPr="00957DA2">
        <w:t>In the workplace, this means there must be no ‘pay-backs’, reprisal actions, threats, defamatory comments, retribution or intimidation (</w:t>
      </w:r>
      <w:proofErr w:type="spellStart"/>
      <w:r w:rsidRPr="00957DA2">
        <w:t>eg</w:t>
      </w:r>
      <w:proofErr w:type="spellEnd"/>
      <w:r w:rsidRPr="00957DA2">
        <w:t xml:space="preserve"> as a way of stopping people from raising concerns) against, or directed towards, an employee who has made, or may make, a claim or complaint or any employee who is identified as a witness in a claim or complaint.</w:t>
      </w:r>
    </w:p>
    <w:p w14:paraId="56F08721" w14:textId="0D712B6B" w:rsidR="00957DA2" w:rsidRDefault="00957DA2" w:rsidP="00957DA2">
      <w:pPr>
        <w:pStyle w:val="Heading1"/>
      </w:pPr>
      <w:r>
        <w:t>Vilification</w:t>
      </w:r>
    </w:p>
    <w:p w14:paraId="647CF1CD" w14:textId="77777777" w:rsidR="00957DA2" w:rsidRDefault="00957DA2" w:rsidP="0042649C">
      <w:pPr>
        <w:pStyle w:val="ListParagraph"/>
        <w:numPr>
          <w:ilvl w:val="0"/>
          <w:numId w:val="20"/>
        </w:numPr>
        <w:ind w:left="426" w:hanging="426"/>
      </w:pPr>
      <w:r>
        <w:t xml:space="preserve">Under the </w:t>
      </w:r>
      <w:r>
        <w:rPr>
          <w:i/>
          <w:iCs/>
        </w:rPr>
        <w:t>Racial and Religious Tolerance Act 2001</w:t>
      </w:r>
      <w:r>
        <w:t xml:space="preserve">, vilification is unlawful. Vilification is behaviour that incites or encourages hatred, serious contempt, revulsion or severe ridicule against another person or group of people because of their race and/or religion. </w:t>
      </w:r>
    </w:p>
    <w:p w14:paraId="5832659C" w14:textId="77777777" w:rsidR="0042649C" w:rsidRDefault="0042649C" w:rsidP="0042649C">
      <w:pPr>
        <w:pStyle w:val="ListParagraph"/>
        <w:ind w:left="426"/>
      </w:pPr>
    </w:p>
    <w:p w14:paraId="28552622" w14:textId="77777777" w:rsidR="00957DA2" w:rsidRDefault="00957DA2" w:rsidP="00957DA2">
      <w:pPr>
        <w:pStyle w:val="ListParagraph"/>
        <w:numPr>
          <w:ilvl w:val="0"/>
          <w:numId w:val="20"/>
        </w:numPr>
        <w:ind w:left="426" w:hanging="426"/>
      </w:pPr>
      <w:r>
        <w:t xml:space="preserve">Unlike anti-discrimination laws, the </w:t>
      </w:r>
      <w:r w:rsidRPr="0042649C">
        <w:rPr>
          <w:i/>
          <w:iCs/>
        </w:rPr>
        <w:t xml:space="preserve">Racial and Religious Tolerance Act 2001 </w:t>
      </w:r>
      <w:r>
        <w:t xml:space="preserve">is not limited to conduct in specific areas of public life, such as employment or sports. Instead, it applies to any vilifying conduct that occurs in public. This means that vilifying conduct that occurs in the street, at a community event, in the media etc is covered by the </w:t>
      </w:r>
      <w:r w:rsidRPr="0042649C">
        <w:rPr>
          <w:i/>
          <w:iCs/>
        </w:rPr>
        <w:t>Racial and Religious Tolerance Act 2001</w:t>
      </w:r>
      <w:r>
        <w:t>.</w:t>
      </w:r>
    </w:p>
    <w:p w14:paraId="7FBE86CB" w14:textId="77777777" w:rsidR="0042649C" w:rsidRDefault="0042649C" w:rsidP="0042649C">
      <w:pPr>
        <w:pStyle w:val="ListParagraph"/>
      </w:pPr>
    </w:p>
    <w:p w14:paraId="65A4A5F7" w14:textId="77777777" w:rsidR="00957DA2" w:rsidRDefault="00957DA2" w:rsidP="00957DA2">
      <w:pPr>
        <w:pStyle w:val="ListParagraph"/>
        <w:numPr>
          <w:ilvl w:val="0"/>
          <w:numId w:val="20"/>
        </w:numPr>
        <w:ind w:left="426" w:hanging="426"/>
      </w:pPr>
      <w:r>
        <w:t>Examples of behaviour that could be vilifying are:</w:t>
      </w:r>
    </w:p>
    <w:p w14:paraId="40F8DFFE" w14:textId="77777777" w:rsidR="0042649C" w:rsidRDefault="0042649C" w:rsidP="0042649C">
      <w:pPr>
        <w:pStyle w:val="ListParagraph"/>
        <w:ind w:left="426"/>
      </w:pPr>
    </w:p>
    <w:p w14:paraId="787FD6BC" w14:textId="77777777" w:rsidR="00957DA2" w:rsidRDefault="00957DA2" w:rsidP="0042649C">
      <w:pPr>
        <w:pStyle w:val="ListParagraph"/>
        <w:numPr>
          <w:ilvl w:val="0"/>
          <w:numId w:val="11"/>
        </w:numPr>
        <w:ind w:hanging="294"/>
      </w:pPr>
      <w:r>
        <w:t xml:space="preserve">speaking about a person’s race or religion in a way that could make other people hate or ridicule </w:t>
      </w:r>
      <w:proofErr w:type="gramStart"/>
      <w:r>
        <w:t>them;</w:t>
      </w:r>
      <w:proofErr w:type="gramEnd"/>
    </w:p>
    <w:p w14:paraId="5B5DDA9D" w14:textId="77777777" w:rsidR="00957DA2" w:rsidRDefault="00957DA2" w:rsidP="0042649C">
      <w:pPr>
        <w:pStyle w:val="ListParagraph"/>
        <w:numPr>
          <w:ilvl w:val="0"/>
          <w:numId w:val="11"/>
        </w:numPr>
        <w:ind w:hanging="294"/>
      </w:pPr>
      <w:r>
        <w:t>repeated and serious spoken or physical abuse about the race or religion of another person; and</w:t>
      </w:r>
    </w:p>
    <w:p w14:paraId="3A989DAA" w14:textId="77777777" w:rsidR="00957DA2" w:rsidRPr="006F0EC8" w:rsidRDefault="00957DA2" w:rsidP="0042649C">
      <w:pPr>
        <w:pStyle w:val="ListParagraph"/>
        <w:numPr>
          <w:ilvl w:val="0"/>
          <w:numId w:val="11"/>
        </w:numPr>
        <w:ind w:hanging="294"/>
      </w:pPr>
      <w:r>
        <w:t>encouraging people to hate a racial or religious group using flyers, stickers, posters, a speech or publication, or websites, email or social media.</w:t>
      </w:r>
    </w:p>
    <w:p w14:paraId="77B9BAEA" w14:textId="15C5C827" w:rsidR="00957DA2" w:rsidRDefault="00957DA2" w:rsidP="00957DA2">
      <w:pPr>
        <w:pStyle w:val="Heading1"/>
      </w:pPr>
      <w:r>
        <w:t>Resolving issues</w:t>
      </w:r>
    </w:p>
    <w:p w14:paraId="2B449A72" w14:textId="77777777" w:rsidR="00957DA2" w:rsidRDefault="00957DA2" w:rsidP="00487735">
      <w:pPr>
        <w:pStyle w:val="ListParagraph"/>
        <w:numPr>
          <w:ilvl w:val="0"/>
          <w:numId w:val="20"/>
        </w:numPr>
        <w:ind w:left="426" w:hanging="426"/>
        <w:rPr>
          <w:lang w:val="en-US"/>
        </w:rPr>
      </w:pPr>
      <w:r w:rsidRPr="00957DA2">
        <w:rPr>
          <w:lang w:val="en-US"/>
        </w:rPr>
        <w:t xml:space="preserve">The Board strongly encourages any person who believes they have been bullied, harassed, discriminated against, sexually harassed, </w:t>
      </w:r>
      <w:proofErr w:type="spellStart"/>
      <w:r w:rsidRPr="00957DA2">
        <w:rPr>
          <w:lang w:val="en-US"/>
        </w:rPr>
        <w:t>victimised</w:t>
      </w:r>
      <w:proofErr w:type="spellEnd"/>
      <w:r w:rsidRPr="00957DA2">
        <w:rPr>
          <w:lang w:val="en-US"/>
        </w:rPr>
        <w:t xml:space="preserve"> or vilified to take appropriate action. This could be by:</w:t>
      </w:r>
    </w:p>
    <w:p w14:paraId="021E6D3F" w14:textId="77777777" w:rsidR="00487735" w:rsidRPr="00957DA2" w:rsidRDefault="00487735" w:rsidP="00487735">
      <w:pPr>
        <w:pStyle w:val="ListParagraph"/>
        <w:ind w:left="426"/>
        <w:rPr>
          <w:lang w:val="en-US"/>
        </w:rPr>
      </w:pPr>
    </w:p>
    <w:p w14:paraId="6858EACE" w14:textId="5B529B06" w:rsidR="00957DA2" w:rsidRPr="0042649C" w:rsidRDefault="00957DA2" w:rsidP="0042649C">
      <w:pPr>
        <w:pStyle w:val="ListParagraph"/>
        <w:numPr>
          <w:ilvl w:val="0"/>
          <w:numId w:val="11"/>
        </w:numPr>
        <w:ind w:hanging="294"/>
      </w:pPr>
      <w:r w:rsidRPr="0042649C">
        <w:t xml:space="preserve">making a report to the Board or the </w:t>
      </w:r>
      <w:proofErr w:type="gramStart"/>
      <w:r w:rsidRPr="0042649C">
        <w:t>CSU;</w:t>
      </w:r>
      <w:proofErr w:type="gramEnd"/>
    </w:p>
    <w:p w14:paraId="3634C7B7" w14:textId="77777777" w:rsidR="00957DA2" w:rsidRPr="0042649C" w:rsidRDefault="00957DA2" w:rsidP="0042649C">
      <w:pPr>
        <w:pStyle w:val="ListParagraph"/>
        <w:numPr>
          <w:ilvl w:val="0"/>
          <w:numId w:val="11"/>
        </w:numPr>
        <w:ind w:hanging="294"/>
      </w:pPr>
      <w:r w:rsidRPr="0042649C">
        <w:t>making a report to your employer and/or relevant association/</w:t>
      </w:r>
      <w:proofErr w:type="spellStart"/>
      <w:proofErr w:type="gramStart"/>
      <w:r w:rsidRPr="0042649C">
        <w:t>organisation</w:t>
      </w:r>
      <w:proofErr w:type="spellEnd"/>
      <w:r w:rsidRPr="0042649C">
        <w:t>;</w:t>
      </w:r>
      <w:proofErr w:type="gramEnd"/>
      <w:r w:rsidRPr="0042649C">
        <w:t xml:space="preserve"> </w:t>
      </w:r>
    </w:p>
    <w:p w14:paraId="21DE9106" w14:textId="25E07801" w:rsidR="00957DA2" w:rsidRPr="0042649C" w:rsidRDefault="00957DA2" w:rsidP="0042649C">
      <w:pPr>
        <w:pStyle w:val="ListParagraph"/>
        <w:numPr>
          <w:ilvl w:val="0"/>
          <w:numId w:val="11"/>
        </w:numPr>
        <w:ind w:hanging="294"/>
      </w:pPr>
      <w:r w:rsidRPr="0042649C">
        <w:t xml:space="preserve">making a complaint to the Victorian Equal Opportunity and Human Rights Commission about discrimination, sexual harassment, </w:t>
      </w:r>
      <w:proofErr w:type="spellStart"/>
      <w:r w:rsidRPr="0042649C">
        <w:t>victimisation</w:t>
      </w:r>
      <w:proofErr w:type="spellEnd"/>
      <w:r w:rsidRPr="0042649C">
        <w:t xml:space="preserve"> or vilification. Information on how to make a complaint can be found here: </w:t>
      </w:r>
      <w:r w:rsidR="00487735" w:rsidRPr="00487735">
        <w:fldChar w:fldCharType="begin"/>
      </w:r>
      <w:r w:rsidR="00487735" w:rsidRPr="00487735">
        <w:instrText>HYPERLINK "https://www.humanrights.vic.gov.au/complaints/make-a-complaint/"</w:instrText>
      </w:r>
      <w:r w:rsidR="00487735" w:rsidRPr="00487735">
        <w:fldChar w:fldCharType="separate"/>
      </w:r>
      <w:r w:rsidR="00487735" w:rsidRPr="00487735">
        <w:rPr>
          <w:rStyle w:val="Hyperlink"/>
        </w:rPr>
        <w:t>Make a complaint | Victorian Equal Opp</w:t>
      </w:r>
      <w:r w:rsidR="00487735" w:rsidRPr="00487735">
        <w:rPr>
          <w:rStyle w:val="Hyperlink"/>
        </w:rPr>
        <w:t>o</w:t>
      </w:r>
      <w:r w:rsidR="00487735" w:rsidRPr="00487735">
        <w:rPr>
          <w:rStyle w:val="Hyperlink"/>
        </w:rPr>
        <w:t>rtunity and Human Rights Commission</w:t>
      </w:r>
      <w:r w:rsidR="00487735" w:rsidRPr="00487735">
        <w:fldChar w:fldCharType="end"/>
      </w:r>
      <w:r w:rsidRPr="0042649C">
        <w:t>;</w:t>
      </w:r>
    </w:p>
    <w:p w14:paraId="0423F4DB" w14:textId="77777777" w:rsidR="00487735" w:rsidRDefault="00957DA2" w:rsidP="00487735">
      <w:pPr>
        <w:pStyle w:val="ListParagraph"/>
        <w:numPr>
          <w:ilvl w:val="0"/>
          <w:numId w:val="11"/>
        </w:numPr>
        <w:ind w:hanging="294"/>
      </w:pPr>
      <w:r w:rsidRPr="0042649C">
        <w:t xml:space="preserve">lodging a dispute about discrimination, sexual harassment, </w:t>
      </w:r>
      <w:proofErr w:type="spellStart"/>
      <w:r w:rsidRPr="0042649C">
        <w:t>victimisation</w:t>
      </w:r>
      <w:proofErr w:type="spellEnd"/>
      <w:r w:rsidRPr="0042649C">
        <w:t xml:space="preserve"> or vilification with the Victorian Civil and Administrative Tribunal (VCAT). Information on how to lodge a dispute can be found here: </w:t>
      </w:r>
    </w:p>
    <w:p w14:paraId="726E48FA" w14:textId="18FEDAFE" w:rsidR="00957DA2" w:rsidRPr="0042649C" w:rsidRDefault="00487735" w:rsidP="00487735">
      <w:pPr>
        <w:pStyle w:val="ListParagraph"/>
      </w:pPr>
      <w:hyperlink r:id="rId11" w:history="1">
        <w:r w:rsidRPr="00487735">
          <w:rPr>
            <w:rStyle w:val="Hyperlink"/>
          </w:rPr>
          <w:t>Unlawful discrimination, sexual harassment, victimisation or vilification | VCAT</w:t>
        </w:r>
      </w:hyperlink>
    </w:p>
    <w:p w14:paraId="1FCA0B4C" w14:textId="77777777" w:rsidR="00487735" w:rsidRDefault="00957DA2" w:rsidP="0042649C">
      <w:pPr>
        <w:pStyle w:val="ListParagraph"/>
        <w:numPr>
          <w:ilvl w:val="0"/>
          <w:numId w:val="11"/>
        </w:numPr>
        <w:ind w:hanging="294"/>
      </w:pPr>
      <w:r w:rsidRPr="0042649C">
        <w:t xml:space="preserve">seeking assistance about bullying, sexual harassment and discrimination from the Fair Work Commission. Information on how the Fair Work Commission may be able to help can be found here: </w:t>
      </w:r>
    </w:p>
    <w:p w14:paraId="0BF288B3" w14:textId="474016D0" w:rsidR="00957DA2" w:rsidRPr="0042649C" w:rsidRDefault="00487735" w:rsidP="00487735">
      <w:pPr>
        <w:pStyle w:val="ListParagraph"/>
      </w:pPr>
      <w:hyperlink r:id="rId12" w:history="1">
        <w:r w:rsidRPr="00487735">
          <w:rPr>
            <w:rStyle w:val="Hyperlink"/>
          </w:rPr>
          <w:t>Issues we help with | Fair Work Commission (fwc.gov.au)</w:t>
        </w:r>
      </w:hyperlink>
      <w:r>
        <w:t>;</w:t>
      </w:r>
    </w:p>
    <w:p w14:paraId="7272E176" w14:textId="77777777" w:rsidR="00957DA2" w:rsidRPr="0042649C" w:rsidRDefault="00957DA2" w:rsidP="0042649C">
      <w:pPr>
        <w:pStyle w:val="ListParagraph"/>
        <w:numPr>
          <w:ilvl w:val="0"/>
          <w:numId w:val="11"/>
        </w:numPr>
        <w:ind w:hanging="294"/>
      </w:pPr>
      <w:r w:rsidRPr="0042649C">
        <w:t xml:space="preserve">making a report to Victoria </w:t>
      </w:r>
      <w:proofErr w:type="gramStart"/>
      <w:r w:rsidRPr="0042649C">
        <w:t>Police;</w:t>
      </w:r>
      <w:proofErr w:type="gramEnd"/>
    </w:p>
    <w:p w14:paraId="3C40730A" w14:textId="77777777" w:rsidR="00957DA2" w:rsidRPr="0042649C" w:rsidRDefault="00957DA2" w:rsidP="0042649C">
      <w:pPr>
        <w:pStyle w:val="ListParagraph"/>
        <w:numPr>
          <w:ilvl w:val="0"/>
          <w:numId w:val="11"/>
        </w:numPr>
        <w:ind w:hanging="294"/>
      </w:pPr>
      <w:r w:rsidRPr="0042649C">
        <w:t xml:space="preserve">making a report to </w:t>
      </w:r>
      <w:proofErr w:type="gramStart"/>
      <w:r w:rsidRPr="0042649C">
        <w:t>WorkSafe;</w:t>
      </w:r>
      <w:proofErr w:type="gramEnd"/>
    </w:p>
    <w:p w14:paraId="0F8A1430" w14:textId="77777777" w:rsidR="00957DA2" w:rsidRPr="0042649C" w:rsidRDefault="00957DA2" w:rsidP="0042649C">
      <w:pPr>
        <w:pStyle w:val="ListParagraph"/>
        <w:numPr>
          <w:ilvl w:val="0"/>
          <w:numId w:val="11"/>
        </w:numPr>
        <w:ind w:hanging="294"/>
      </w:pPr>
      <w:r w:rsidRPr="0042649C">
        <w:t>if a union member, seeking support from your union; or</w:t>
      </w:r>
    </w:p>
    <w:p w14:paraId="3F3528D7" w14:textId="77777777" w:rsidR="00957DA2" w:rsidRDefault="00957DA2" w:rsidP="0042649C">
      <w:pPr>
        <w:pStyle w:val="ListParagraph"/>
        <w:numPr>
          <w:ilvl w:val="0"/>
          <w:numId w:val="11"/>
        </w:numPr>
        <w:ind w:hanging="294"/>
        <w:rPr>
          <w:lang w:val="en-US"/>
        </w:rPr>
      </w:pPr>
      <w:r w:rsidRPr="0042649C">
        <w:t>seeking support</w:t>
      </w:r>
      <w:r w:rsidRPr="00957DA2">
        <w:rPr>
          <w:lang w:val="en-US"/>
        </w:rPr>
        <w:t xml:space="preserve"> from counselling services and/or someone you trust </w:t>
      </w:r>
      <w:proofErr w:type="spellStart"/>
      <w:r w:rsidRPr="00957DA2">
        <w:rPr>
          <w:lang w:val="en-US"/>
        </w:rPr>
        <w:t>eg</w:t>
      </w:r>
      <w:proofErr w:type="spellEnd"/>
      <w:r w:rsidRPr="00957DA2">
        <w:rPr>
          <w:lang w:val="en-US"/>
        </w:rPr>
        <w:t xml:space="preserve"> a manager, GP, friend.</w:t>
      </w:r>
    </w:p>
    <w:p w14:paraId="65029F65" w14:textId="77777777" w:rsidR="00487735" w:rsidRPr="00957DA2" w:rsidRDefault="00487735" w:rsidP="00487735">
      <w:pPr>
        <w:pStyle w:val="ListParagraph"/>
        <w:rPr>
          <w:lang w:val="en-US"/>
        </w:rPr>
      </w:pPr>
    </w:p>
    <w:p w14:paraId="601604B5" w14:textId="77777777" w:rsidR="00957DA2" w:rsidRDefault="00957DA2" w:rsidP="00487735">
      <w:pPr>
        <w:pStyle w:val="ListParagraph"/>
        <w:numPr>
          <w:ilvl w:val="0"/>
          <w:numId w:val="20"/>
        </w:numPr>
        <w:ind w:left="426" w:hanging="426"/>
        <w:rPr>
          <w:lang w:val="en-US"/>
        </w:rPr>
      </w:pPr>
      <w:r w:rsidRPr="00957DA2">
        <w:rPr>
          <w:lang w:val="en-US"/>
        </w:rPr>
        <w:t xml:space="preserve">Where the Board becomes aware of a registered contestant or licensed official engaging in conduct that constitutes bullying, harassment, discrimination, </w:t>
      </w:r>
      <w:proofErr w:type="spellStart"/>
      <w:r w:rsidRPr="00957DA2">
        <w:rPr>
          <w:lang w:val="en-US"/>
        </w:rPr>
        <w:t>victimisation</w:t>
      </w:r>
      <w:proofErr w:type="spellEnd"/>
      <w:r w:rsidRPr="00957DA2">
        <w:rPr>
          <w:lang w:val="en-US"/>
        </w:rPr>
        <w:t xml:space="preserve"> or vilification, the Board will consider suspending or cancelling that person’s registration or </w:t>
      </w:r>
      <w:proofErr w:type="spellStart"/>
      <w:r w:rsidRPr="00957DA2">
        <w:rPr>
          <w:lang w:val="en-US"/>
        </w:rPr>
        <w:t>licence</w:t>
      </w:r>
      <w:proofErr w:type="spellEnd"/>
      <w:r w:rsidRPr="00957DA2">
        <w:rPr>
          <w:lang w:val="en-US"/>
        </w:rPr>
        <w:t>.</w:t>
      </w:r>
    </w:p>
    <w:p w14:paraId="47BF87F8" w14:textId="75D08759" w:rsidR="00957DA2" w:rsidRDefault="00957DA2" w:rsidP="00957DA2">
      <w:pPr>
        <w:pStyle w:val="Heading1"/>
      </w:pPr>
      <w:r>
        <w:t>Related policy, legislation and other documents</w:t>
      </w:r>
    </w:p>
    <w:p w14:paraId="19D0045F" w14:textId="77777777" w:rsidR="00957DA2" w:rsidRPr="005B1C46" w:rsidRDefault="00957DA2" w:rsidP="003C1455">
      <w:pPr>
        <w:pStyle w:val="ListParagraph"/>
        <w:numPr>
          <w:ilvl w:val="0"/>
          <w:numId w:val="19"/>
        </w:numPr>
        <w:ind w:hanging="294"/>
      </w:pPr>
      <w:r>
        <w:rPr>
          <w:i/>
          <w:iCs/>
        </w:rPr>
        <w:t xml:space="preserve">Code of Conduct for Directors of Victorian Public Entities </w:t>
      </w:r>
      <w:proofErr w:type="gramStart"/>
      <w:r>
        <w:rPr>
          <w:i/>
          <w:iCs/>
        </w:rPr>
        <w:t>2024;</w:t>
      </w:r>
      <w:proofErr w:type="gramEnd"/>
    </w:p>
    <w:p w14:paraId="5C446ABB" w14:textId="77777777" w:rsidR="00957DA2" w:rsidRPr="005B1C46" w:rsidRDefault="00957DA2" w:rsidP="003C1455">
      <w:pPr>
        <w:pStyle w:val="ListParagraph"/>
        <w:numPr>
          <w:ilvl w:val="0"/>
          <w:numId w:val="19"/>
        </w:numPr>
        <w:ind w:hanging="294"/>
      </w:pPr>
      <w:r>
        <w:rPr>
          <w:i/>
          <w:iCs/>
        </w:rPr>
        <w:t xml:space="preserve">Code of Conduct for Victorian Public Sector Employees </w:t>
      </w:r>
      <w:proofErr w:type="gramStart"/>
      <w:r>
        <w:rPr>
          <w:i/>
          <w:iCs/>
        </w:rPr>
        <w:t>2015;</w:t>
      </w:r>
      <w:proofErr w:type="gramEnd"/>
    </w:p>
    <w:p w14:paraId="47BF66F1" w14:textId="77777777" w:rsidR="00957DA2" w:rsidRPr="005B1C46" w:rsidRDefault="00957DA2" w:rsidP="003C1455">
      <w:pPr>
        <w:pStyle w:val="ListParagraph"/>
        <w:numPr>
          <w:ilvl w:val="0"/>
          <w:numId w:val="19"/>
        </w:numPr>
        <w:ind w:hanging="294"/>
      </w:pPr>
      <w:r>
        <w:rPr>
          <w:i/>
          <w:iCs/>
        </w:rPr>
        <w:t xml:space="preserve">Occupational Health and Safety Act </w:t>
      </w:r>
      <w:proofErr w:type="gramStart"/>
      <w:r>
        <w:rPr>
          <w:i/>
          <w:iCs/>
        </w:rPr>
        <w:t>2004;</w:t>
      </w:r>
      <w:proofErr w:type="gramEnd"/>
    </w:p>
    <w:p w14:paraId="14DD11AE" w14:textId="77777777" w:rsidR="00957DA2" w:rsidRPr="005B1C46" w:rsidRDefault="00957DA2" w:rsidP="003C1455">
      <w:pPr>
        <w:pStyle w:val="ListParagraph"/>
        <w:numPr>
          <w:ilvl w:val="0"/>
          <w:numId w:val="19"/>
        </w:numPr>
        <w:ind w:hanging="294"/>
      </w:pPr>
      <w:r>
        <w:rPr>
          <w:i/>
          <w:iCs/>
        </w:rPr>
        <w:t xml:space="preserve">Crimes Act </w:t>
      </w:r>
      <w:proofErr w:type="gramStart"/>
      <w:r>
        <w:rPr>
          <w:i/>
          <w:iCs/>
        </w:rPr>
        <w:t>1958;</w:t>
      </w:r>
      <w:proofErr w:type="gramEnd"/>
    </w:p>
    <w:p w14:paraId="7FFC09C9" w14:textId="77777777" w:rsidR="00957DA2" w:rsidRPr="00DF1BC8" w:rsidRDefault="00957DA2" w:rsidP="003C1455">
      <w:pPr>
        <w:pStyle w:val="ListParagraph"/>
        <w:numPr>
          <w:ilvl w:val="0"/>
          <w:numId w:val="19"/>
        </w:numPr>
        <w:ind w:hanging="294"/>
      </w:pPr>
      <w:r>
        <w:rPr>
          <w:i/>
          <w:iCs/>
        </w:rPr>
        <w:t xml:space="preserve">Equal Opportunity Act </w:t>
      </w:r>
      <w:proofErr w:type="gramStart"/>
      <w:r>
        <w:rPr>
          <w:i/>
          <w:iCs/>
        </w:rPr>
        <w:t>2010;</w:t>
      </w:r>
      <w:proofErr w:type="gramEnd"/>
    </w:p>
    <w:p w14:paraId="1C41F21F" w14:textId="77777777" w:rsidR="00487735" w:rsidRPr="00487735" w:rsidRDefault="00957DA2" w:rsidP="003C1455">
      <w:pPr>
        <w:pStyle w:val="ListParagraph"/>
        <w:numPr>
          <w:ilvl w:val="0"/>
          <w:numId w:val="19"/>
        </w:numPr>
        <w:ind w:hanging="294"/>
      </w:pPr>
      <w:r>
        <w:rPr>
          <w:i/>
          <w:iCs/>
        </w:rPr>
        <w:t xml:space="preserve">Equal Opportunity Act 2010: Quick Guide </w:t>
      </w:r>
    </w:p>
    <w:p w14:paraId="03107276" w14:textId="50750334" w:rsidR="00957DA2" w:rsidRDefault="00487735" w:rsidP="003C1455">
      <w:pPr>
        <w:pStyle w:val="ListParagraph"/>
      </w:pPr>
      <w:hyperlink r:id="rId13" w:history="1">
        <w:r w:rsidRPr="00487735">
          <w:rPr>
            <w:rStyle w:val="Hyperlink"/>
            <w:i/>
            <w:iCs/>
          </w:rPr>
          <w:t>Equal Opportunity Act: Quick guide (June 2022) (humanrights.vic.gov.au)</w:t>
        </w:r>
      </w:hyperlink>
      <w:r>
        <w:t xml:space="preserve"> </w:t>
      </w:r>
    </w:p>
    <w:p w14:paraId="2903D7E2" w14:textId="77777777" w:rsidR="00957DA2" w:rsidRPr="00DF1BC8" w:rsidRDefault="00957DA2" w:rsidP="003C1455">
      <w:pPr>
        <w:pStyle w:val="ListParagraph"/>
        <w:numPr>
          <w:ilvl w:val="0"/>
          <w:numId w:val="19"/>
        </w:numPr>
        <w:ind w:hanging="294"/>
      </w:pPr>
      <w:r>
        <w:rPr>
          <w:i/>
          <w:iCs/>
        </w:rPr>
        <w:t xml:space="preserve">Racial and Religious Tolerance Act </w:t>
      </w:r>
      <w:proofErr w:type="gramStart"/>
      <w:r>
        <w:rPr>
          <w:i/>
          <w:iCs/>
        </w:rPr>
        <w:t>2001;</w:t>
      </w:r>
      <w:proofErr w:type="gramEnd"/>
    </w:p>
    <w:p w14:paraId="345CBC48" w14:textId="77777777" w:rsidR="00487735" w:rsidRPr="00487735" w:rsidRDefault="00957DA2" w:rsidP="003C1455">
      <w:pPr>
        <w:pStyle w:val="ListParagraph"/>
        <w:numPr>
          <w:ilvl w:val="0"/>
          <w:numId w:val="19"/>
        </w:numPr>
        <w:ind w:hanging="294"/>
      </w:pPr>
      <w:r>
        <w:t xml:space="preserve">WorkSafe </w:t>
      </w:r>
      <w:proofErr w:type="spellStart"/>
      <w:r>
        <w:t>WorkWell</w:t>
      </w:r>
      <w:proofErr w:type="spellEnd"/>
      <w:r>
        <w:t xml:space="preserve"> Toolkit titled </w:t>
      </w:r>
      <w:r w:rsidRPr="00487735">
        <w:rPr>
          <w:i/>
          <w:iCs/>
        </w:rPr>
        <w:t xml:space="preserve">Prevent bullying in your business </w:t>
      </w:r>
    </w:p>
    <w:p w14:paraId="137DC9BB" w14:textId="4E0E4F4E" w:rsidR="00957DA2" w:rsidRDefault="003C1455" w:rsidP="003C1455">
      <w:pPr>
        <w:pStyle w:val="ListParagraph"/>
        <w:ind w:hanging="294"/>
      </w:pPr>
      <w:r>
        <w:tab/>
      </w:r>
      <w:hyperlink r:id="rId14" w:history="1">
        <w:proofErr w:type="spellStart"/>
        <w:r w:rsidR="00487735" w:rsidRPr="00487735">
          <w:rPr>
            <w:rStyle w:val="Hyperlink"/>
          </w:rPr>
          <w:t>WorkWell</w:t>
        </w:r>
        <w:proofErr w:type="spellEnd"/>
        <w:r w:rsidR="00487735" w:rsidRPr="00487735">
          <w:rPr>
            <w:rStyle w:val="Hyperlink"/>
          </w:rPr>
          <w:t xml:space="preserve"> Toolkit: Prevent bullying in your business | WorkSafe Victoria</w:t>
        </w:r>
      </w:hyperlink>
      <w:r w:rsidR="00957DA2">
        <w:t>.</w:t>
      </w:r>
    </w:p>
    <w:p w14:paraId="5BB0C022" w14:textId="58B45005" w:rsidR="00957DA2" w:rsidRDefault="00957DA2" w:rsidP="00957DA2">
      <w:pPr>
        <w:pStyle w:val="Heading1"/>
      </w:pPr>
      <w:r>
        <w:t>Review</w:t>
      </w:r>
    </w:p>
    <w:p w14:paraId="26C7B0D8" w14:textId="77777777" w:rsidR="00957DA2" w:rsidRPr="00D35DCC" w:rsidRDefault="00957DA2" w:rsidP="00957DA2">
      <w:r>
        <w:t>This Policy is subject to annual review.</w:t>
      </w:r>
    </w:p>
    <w:p w14:paraId="16964DC4" w14:textId="47B6E850" w:rsidR="00957DA2" w:rsidRDefault="00957DA2" w:rsidP="00957DA2">
      <w:pPr>
        <w:pStyle w:val="Heading1"/>
      </w:pPr>
      <w:r>
        <w:t>Version history</w:t>
      </w:r>
    </w:p>
    <w:tbl>
      <w:tblPr>
        <w:tblStyle w:val="PBCSBV"/>
        <w:tblW w:w="0" w:type="auto"/>
        <w:tblLayout w:type="fixed"/>
        <w:tblLook w:val="0620" w:firstRow="1" w:lastRow="0" w:firstColumn="0" w:lastColumn="0" w:noHBand="1" w:noVBand="1"/>
      </w:tblPr>
      <w:tblGrid>
        <w:gridCol w:w="1843"/>
        <w:gridCol w:w="1843"/>
        <w:gridCol w:w="1843"/>
        <w:gridCol w:w="3543"/>
      </w:tblGrid>
      <w:tr w:rsidR="00933C71" w:rsidRPr="00E12982" w14:paraId="2522FBA8" w14:textId="77777777" w:rsidTr="00933C71">
        <w:trPr>
          <w:cnfStyle w:val="100000000000" w:firstRow="1" w:lastRow="0" w:firstColumn="0" w:lastColumn="0" w:oddVBand="0" w:evenVBand="0" w:oddHBand="0" w:evenHBand="0" w:firstRowFirstColumn="0" w:firstRowLastColumn="0" w:lastRowFirstColumn="0" w:lastRowLastColumn="0"/>
          <w:trHeight w:hRule="exact" w:val="453"/>
        </w:trPr>
        <w:tc>
          <w:tcPr>
            <w:tcW w:w="1843" w:type="dxa"/>
          </w:tcPr>
          <w:p w14:paraId="1C1B7560" w14:textId="3F552D58" w:rsidR="00933C71" w:rsidRPr="00933C71" w:rsidRDefault="00933C71" w:rsidP="00933C71">
            <w:pPr>
              <w:pStyle w:val="Tabletext"/>
              <w:rPr>
                <w:b/>
                <w:bCs/>
                <w:lang w:val="en-AU"/>
              </w:rPr>
            </w:pPr>
            <w:r w:rsidRPr="00933C71">
              <w:rPr>
                <w:b/>
                <w:bCs/>
              </w:rPr>
              <w:t>Version</w:t>
            </w:r>
          </w:p>
        </w:tc>
        <w:tc>
          <w:tcPr>
            <w:tcW w:w="1843" w:type="dxa"/>
          </w:tcPr>
          <w:p w14:paraId="6472B71E" w14:textId="018BDFCE" w:rsidR="00933C71" w:rsidRPr="00933C71" w:rsidRDefault="00933C71" w:rsidP="00933C71">
            <w:pPr>
              <w:pStyle w:val="Tabletext"/>
              <w:rPr>
                <w:b/>
                <w:bCs/>
                <w:lang w:val="en-AU"/>
              </w:rPr>
            </w:pPr>
            <w:r w:rsidRPr="00933C71">
              <w:rPr>
                <w:b/>
                <w:bCs/>
              </w:rPr>
              <w:t>Date</w:t>
            </w:r>
          </w:p>
        </w:tc>
        <w:tc>
          <w:tcPr>
            <w:tcW w:w="1843" w:type="dxa"/>
          </w:tcPr>
          <w:p w14:paraId="1FE7F289" w14:textId="4BF43C69" w:rsidR="00933C71" w:rsidRPr="00933C71" w:rsidRDefault="00933C71" w:rsidP="00933C71">
            <w:pPr>
              <w:pStyle w:val="Tabletext"/>
              <w:rPr>
                <w:b/>
                <w:bCs/>
                <w:lang w:val="en-AU"/>
              </w:rPr>
            </w:pPr>
            <w:r w:rsidRPr="00933C71">
              <w:rPr>
                <w:b/>
                <w:bCs/>
              </w:rPr>
              <w:t>Author</w:t>
            </w:r>
          </w:p>
        </w:tc>
        <w:tc>
          <w:tcPr>
            <w:tcW w:w="3543" w:type="dxa"/>
          </w:tcPr>
          <w:p w14:paraId="2050362E" w14:textId="68B39E60" w:rsidR="00933C71" w:rsidRPr="00933C71" w:rsidRDefault="00933C71" w:rsidP="00933C71">
            <w:pPr>
              <w:pStyle w:val="Tabletext"/>
              <w:rPr>
                <w:b/>
                <w:bCs/>
                <w:lang w:val="en-AU"/>
              </w:rPr>
            </w:pPr>
            <w:r w:rsidRPr="00933C71">
              <w:rPr>
                <w:b/>
                <w:bCs/>
                <w:lang w:val="en-AU"/>
              </w:rPr>
              <w:t>Summary of change</w:t>
            </w:r>
          </w:p>
        </w:tc>
      </w:tr>
      <w:tr w:rsidR="00933C71" w:rsidRPr="00E12982" w14:paraId="7299F210" w14:textId="77777777" w:rsidTr="00933C71">
        <w:trPr>
          <w:trHeight w:hRule="exact" w:val="453"/>
        </w:trPr>
        <w:tc>
          <w:tcPr>
            <w:tcW w:w="1843" w:type="dxa"/>
          </w:tcPr>
          <w:p w14:paraId="4A1D3186" w14:textId="19132632" w:rsidR="00933C71" w:rsidRPr="00E12982" w:rsidRDefault="00933C71" w:rsidP="00933C71">
            <w:pPr>
              <w:pStyle w:val="Tabletext"/>
              <w:rPr>
                <w:lang w:val="en-AU"/>
              </w:rPr>
            </w:pPr>
            <w:r>
              <w:rPr>
                <w:lang w:val="en-AU"/>
              </w:rPr>
              <w:t>1</w:t>
            </w:r>
          </w:p>
        </w:tc>
        <w:tc>
          <w:tcPr>
            <w:tcW w:w="1843" w:type="dxa"/>
          </w:tcPr>
          <w:p w14:paraId="5D01C52F" w14:textId="1F1E01CB" w:rsidR="00933C71" w:rsidRPr="00E12982" w:rsidRDefault="00933C71" w:rsidP="00933C71">
            <w:pPr>
              <w:pStyle w:val="Tabletext"/>
              <w:rPr>
                <w:lang w:val="en-AU"/>
              </w:rPr>
            </w:pPr>
            <w:r>
              <w:rPr>
                <w:lang w:val="en-AU"/>
              </w:rPr>
              <w:t>May 2024</w:t>
            </w:r>
          </w:p>
        </w:tc>
        <w:tc>
          <w:tcPr>
            <w:tcW w:w="1843" w:type="dxa"/>
          </w:tcPr>
          <w:p w14:paraId="27F67E4F" w14:textId="2445DB68" w:rsidR="00933C71" w:rsidRPr="00E12982" w:rsidRDefault="00933C71" w:rsidP="00933C71">
            <w:pPr>
              <w:pStyle w:val="Tabletext"/>
              <w:rPr>
                <w:lang w:val="en-AU"/>
              </w:rPr>
            </w:pPr>
            <w:r>
              <w:rPr>
                <w:lang w:val="en-AU"/>
              </w:rPr>
              <w:t>B Trevean</w:t>
            </w:r>
          </w:p>
        </w:tc>
        <w:tc>
          <w:tcPr>
            <w:tcW w:w="3543" w:type="dxa"/>
          </w:tcPr>
          <w:p w14:paraId="36585532" w14:textId="47BB5430" w:rsidR="00933C71" w:rsidRPr="00E12982" w:rsidRDefault="00933C71" w:rsidP="00933C71">
            <w:pPr>
              <w:pStyle w:val="Tabletext"/>
              <w:rPr>
                <w:lang w:val="en-AU"/>
              </w:rPr>
            </w:pPr>
            <w:r>
              <w:rPr>
                <w:lang w:val="en-AU"/>
              </w:rPr>
              <w:t>Creation</w:t>
            </w:r>
          </w:p>
        </w:tc>
      </w:tr>
      <w:tr w:rsidR="00933C71" w:rsidRPr="00E12982" w14:paraId="02321F6A" w14:textId="77777777" w:rsidTr="00933C71">
        <w:trPr>
          <w:trHeight w:hRule="exact" w:val="453"/>
        </w:trPr>
        <w:tc>
          <w:tcPr>
            <w:tcW w:w="1843" w:type="dxa"/>
          </w:tcPr>
          <w:p w14:paraId="16E83C29" w14:textId="52E10A58" w:rsidR="00933C71" w:rsidRPr="00E12982" w:rsidRDefault="00933C71" w:rsidP="00933C71">
            <w:pPr>
              <w:pStyle w:val="Tabletext"/>
              <w:rPr>
                <w:lang w:val="en-AU"/>
              </w:rPr>
            </w:pPr>
          </w:p>
        </w:tc>
        <w:tc>
          <w:tcPr>
            <w:tcW w:w="1843" w:type="dxa"/>
          </w:tcPr>
          <w:p w14:paraId="6658BD8B" w14:textId="35ECA775" w:rsidR="00933C71" w:rsidRPr="00E12982" w:rsidRDefault="00933C71" w:rsidP="00933C71">
            <w:pPr>
              <w:pStyle w:val="Tabletext"/>
              <w:rPr>
                <w:lang w:val="en-AU"/>
              </w:rPr>
            </w:pPr>
          </w:p>
        </w:tc>
        <w:tc>
          <w:tcPr>
            <w:tcW w:w="1843" w:type="dxa"/>
          </w:tcPr>
          <w:p w14:paraId="756C76BA" w14:textId="58DD1E9F" w:rsidR="00933C71" w:rsidRPr="00E12982" w:rsidRDefault="00933C71" w:rsidP="00933C71">
            <w:pPr>
              <w:pStyle w:val="Tabletext"/>
              <w:rPr>
                <w:lang w:val="en-AU"/>
              </w:rPr>
            </w:pPr>
          </w:p>
        </w:tc>
        <w:tc>
          <w:tcPr>
            <w:tcW w:w="3543" w:type="dxa"/>
          </w:tcPr>
          <w:p w14:paraId="5D13B9BA" w14:textId="1EC0788B" w:rsidR="00933C71" w:rsidRPr="00E12982" w:rsidRDefault="00933C71" w:rsidP="00933C71">
            <w:pPr>
              <w:pStyle w:val="Tabletext"/>
              <w:rPr>
                <w:lang w:val="en-AU"/>
              </w:rPr>
            </w:pPr>
          </w:p>
        </w:tc>
      </w:tr>
      <w:tr w:rsidR="00933C71" w:rsidRPr="00E12982" w14:paraId="4BD9CBAE" w14:textId="77777777" w:rsidTr="00933C71">
        <w:trPr>
          <w:trHeight w:hRule="exact" w:val="453"/>
        </w:trPr>
        <w:tc>
          <w:tcPr>
            <w:tcW w:w="1843" w:type="dxa"/>
          </w:tcPr>
          <w:p w14:paraId="1F536CD1" w14:textId="77777777" w:rsidR="00933C71" w:rsidRPr="00E12982" w:rsidRDefault="00933C71" w:rsidP="00933C71">
            <w:pPr>
              <w:pStyle w:val="Tabletext"/>
              <w:rPr>
                <w:lang w:val="en-AU"/>
              </w:rPr>
            </w:pPr>
          </w:p>
        </w:tc>
        <w:tc>
          <w:tcPr>
            <w:tcW w:w="1843" w:type="dxa"/>
          </w:tcPr>
          <w:p w14:paraId="5E825388" w14:textId="77777777" w:rsidR="00933C71" w:rsidRPr="00E12982" w:rsidRDefault="00933C71" w:rsidP="00933C71">
            <w:pPr>
              <w:pStyle w:val="Tabletext"/>
              <w:rPr>
                <w:lang w:val="en-AU"/>
              </w:rPr>
            </w:pPr>
          </w:p>
        </w:tc>
        <w:tc>
          <w:tcPr>
            <w:tcW w:w="1843" w:type="dxa"/>
          </w:tcPr>
          <w:p w14:paraId="48CB7ECB" w14:textId="77777777" w:rsidR="00933C71" w:rsidRPr="00E12982" w:rsidRDefault="00933C71" w:rsidP="00933C71">
            <w:pPr>
              <w:pStyle w:val="Tabletext"/>
              <w:rPr>
                <w:lang w:val="en-AU"/>
              </w:rPr>
            </w:pPr>
          </w:p>
        </w:tc>
        <w:tc>
          <w:tcPr>
            <w:tcW w:w="3543" w:type="dxa"/>
          </w:tcPr>
          <w:p w14:paraId="41CC0B49" w14:textId="77777777" w:rsidR="00933C71" w:rsidRPr="00E12982" w:rsidRDefault="00933C71" w:rsidP="00933C71">
            <w:pPr>
              <w:pStyle w:val="Tabletext"/>
              <w:rPr>
                <w:lang w:val="en-AU"/>
              </w:rPr>
            </w:pPr>
          </w:p>
        </w:tc>
      </w:tr>
      <w:tr w:rsidR="00933C71" w:rsidRPr="00E12982" w14:paraId="1D74A0C8" w14:textId="77777777" w:rsidTr="00933C71">
        <w:trPr>
          <w:trHeight w:hRule="exact" w:val="453"/>
        </w:trPr>
        <w:tc>
          <w:tcPr>
            <w:tcW w:w="1843" w:type="dxa"/>
          </w:tcPr>
          <w:p w14:paraId="1E3CCFB3" w14:textId="77777777" w:rsidR="00933C71" w:rsidRPr="00E12982" w:rsidRDefault="00933C71" w:rsidP="00933C71">
            <w:pPr>
              <w:pStyle w:val="Tabletext"/>
              <w:rPr>
                <w:lang w:val="en-AU"/>
              </w:rPr>
            </w:pPr>
          </w:p>
        </w:tc>
        <w:tc>
          <w:tcPr>
            <w:tcW w:w="1843" w:type="dxa"/>
          </w:tcPr>
          <w:p w14:paraId="1DF8D634" w14:textId="77777777" w:rsidR="00933C71" w:rsidRPr="00E12982" w:rsidRDefault="00933C71" w:rsidP="00933C71">
            <w:pPr>
              <w:pStyle w:val="Tabletext"/>
              <w:rPr>
                <w:lang w:val="en-AU"/>
              </w:rPr>
            </w:pPr>
          </w:p>
        </w:tc>
        <w:tc>
          <w:tcPr>
            <w:tcW w:w="1843" w:type="dxa"/>
          </w:tcPr>
          <w:p w14:paraId="6E3E4A00" w14:textId="77777777" w:rsidR="00933C71" w:rsidRPr="00E12982" w:rsidRDefault="00933C71" w:rsidP="00933C71">
            <w:pPr>
              <w:pStyle w:val="Tabletext"/>
              <w:rPr>
                <w:lang w:val="en-AU"/>
              </w:rPr>
            </w:pPr>
          </w:p>
        </w:tc>
        <w:tc>
          <w:tcPr>
            <w:tcW w:w="3543" w:type="dxa"/>
          </w:tcPr>
          <w:p w14:paraId="66A9DC48" w14:textId="77777777" w:rsidR="00933C71" w:rsidRPr="00E12982" w:rsidRDefault="00933C71" w:rsidP="00933C71">
            <w:pPr>
              <w:pStyle w:val="Tabletext"/>
              <w:rPr>
                <w:lang w:val="en-AU"/>
              </w:rPr>
            </w:pPr>
          </w:p>
        </w:tc>
      </w:tr>
      <w:tr w:rsidR="00933C71" w:rsidRPr="00E12982" w14:paraId="26AA206C" w14:textId="77777777" w:rsidTr="00933C71">
        <w:trPr>
          <w:trHeight w:hRule="exact" w:val="453"/>
        </w:trPr>
        <w:tc>
          <w:tcPr>
            <w:tcW w:w="1843" w:type="dxa"/>
          </w:tcPr>
          <w:p w14:paraId="59F1A6C6" w14:textId="77777777" w:rsidR="00933C71" w:rsidRPr="00E12982" w:rsidRDefault="00933C71" w:rsidP="00933C71">
            <w:pPr>
              <w:pStyle w:val="Tabletext"/>
              <w:rPr>
                <w:lang w:val="en-AU"/>
              </w:rPr>
            </w:pPr>
          </w:p>
        </w:tc>
        <w:tc>
          <w:tcPr>
            <w:tcW w:w="1843" w:type="dxa"/>
          </w:tcPr>
          <w:p w14:paraId="2697E348" w14:textId="77777777" w:rsidR="00933C71" w:rsidRPr="00E12982" w:rsidRDefault="00933C71" w:rsidP="00933C71">
            <w:pPr>
              <w:pStyle w:val="Tabletext"/>
              <w:rPr>
                <w:lang w:val="en-AU"/>
              </w:rPr>
            </w:pPr>
          </w:p>
        </w:tc>
        <w:tc>
          <w:tcPr>
            <w:tcW w:w="1843" w:type="dxa"/>
          </w:tcPr>
          <w:p w14:paraId="2BF70378" w14:textId="77777777" w:rsidR="00933C71" w:rsidRPr="00E12982" w:rsidRDefault="00933C71" w:rsidP="00933C71">
            <w:pPr>
              <w:pStyle w:val="Tabletext"/>
              <w:rPr>
                <w:lang w:val="en-AU"/>
              </w:rPr>
            </w:pPr>
          </w:p>
        </w:tc>
        <w:tc>
          <w:tcPr>
            <w:tcW w:w="3543" w:type="dxa"/>
          </w:tcPr>
          <w:p w14:paraId="3E4CE2EB" w14:textId="77777777" w:rsidR="00933C71" w:rsidRPr="00E12982" w:rsidRDefault="00933C71" w:rsidP="00933C71">
            <w:pPr>
              <w:pStyle w:val="Tabletext"/>
              <w:rPr>
                <w:lang w:val="en-AU"/>
              </w:rPr>
            </w:pPr>
          </w:p>
        </w:tc>
      </w:tr>
      <w:bookmarkEnd w:id="0"/>
    </w:tbl>
    <w:p w14:paraId="02CF1990" w14:textId="77777777" w:rsidR="000F38D1" w:rsidRDefault="000F38D1" w:rsidP="00980956">
      <w:pPr>
        <w:suppressAutoHyphens w:val="0"/>
        <w:autoSpaceDE/>
        <w:autoSpaceDN/>
        <w:adjustRightInd/>
        <w:spacing w:after="0" w:line="240" w:lineRule="auto"/>
        <w:textAlignment w:val="auto"/>
      </w:pPr>
    </w:p>
    <w:sectPr w:rsidR="000F38D1" w:rsidSect="00092AC5">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794" w:right="1361" w:bottom="1701" w:left="1361" w:header="454"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B3CF3" w14:textId="77777777" w:rsidR="00957DA2" w:rsidRDefault="00957DA2" w:rsidP="00123BB4">
      <w:r>
        <w:separator/>
      </w:r>
    </w:p>
  </w:endnote>
  <w:endnote w:type="continuationSeparator" w:id="0">
    <w:p w14:paraId="0B4C5DBB" w14:textId="77777777" w:rsidR="00957DA2" w:rsidRDefault="00957DA2"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B1BA" w14:textId="77777777" w:rsidR="009F5143" w:rsidRDefault="0039708F">
    <w:pPr>
      <w:pStyle w:val="Footer"/>
    </w:pPr>
    <w:r>
      <w:rPr>
        <w:noProof/>
      </w:rPr>
      <mc:AlternateContent>
        <mc:Choice Requires="wps">
          <w:drawing>
            <wp:anchor distT="0" distB="0" distL="0" distR="0" simplePos="0" relativeHeight="251727872" behindDoc="0" locked="0" layoutInCell="1" allowOverlap="1" wp14:anchorId="05D80623" wp14:editId="4B702C07">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7E57B8"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D80623" id="_x0000_t202" coordsize="21600,21600" o:spt="202" path="m,l,21600r21600,l21600,xe">
              <v:stroke joinstyle="miter"/>
              <v:path gradientshapeok="t" o:connecttype="rect"/>
            </v:shapetype>
            <v:shape id="Text Box 24" o:spid="_x0000_s1027" type="#_x0000_t202" alt="OFFICIAL" style="position:absolute;left:0;text-align:left;margin-left:0;margin-top:0;width:54.05pt;height:28.8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287E57B8"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2BAC" w14:textId="77777777" w:rsidR="00556F3C" w:rsidRPr="0039708F" w:rsidRDefault="0039708F" w:rsidP="0039708F">
    <w:pPr>
      <w:pStyle w:val="Footer"/>
    </w:pPr>
    <w:r>
      <w:rPr>
        <w:noProof/>
      </w:rPr>
      <w:drawing>
        <wp:anchor distT="0" distB="0" distL="114300" distR="114300" simplePos="0" relativeHeight="251729920" behindDoc="0" locked="1" layoutInCell="1" allowOverlap="1" wp14:anchorId="2955F50A" wp14:editId="61A65B12">
          <wp:simplePos x="0" y="0"/>
          <wp:positionH relativeFrom="page">
            <wp:posOffset>0</wp:posOffset>
          </wp:positionH>
          <wp:positionV relativeFrom="page">
            <wp:posOffset>9620250</wp:posOffset>
          </wp:positionV>
          <wp:extent cx="7560000" cy="1069200"/>
          <wp:effectExtent l="0" t="0" r="0" b="0"/>
          <wp:wrapNone/>
          <wp:docPr id="2113494994"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4CD4" w14:textId="77777777" w:rsidR="00ED5AA6" w:rsidRPr="0039708F" w:rsidRDefault="00ED5AA6" w:rsidP="00ED5AA6">
    <w:pPr>
      <w:pStyle w:val="Footer"/>
    </w:pPr>
    <w:r>
      <w:rPr>
        <w:noProof/>
      </w:rPr>
      <w:drawing>
        <wp:anchor distT="0" distB="0" distL="114300" distR="114300" simplePos="0" relativeHeight="251740160" behindDoc="0" locked="1" layoutInCell="1" allowOverlap="1" wp14:anchorId="0D390997" wp14:editId="6031956F">
          <wp:simplePos x="0" y="0"/>
          <wp:positionH relativeFrom="page">
            <wp:posOffset>0</wp:posOffset>
          </wp:positionH>
          <wp:positionV relativeFrom="page">
            <wp:posOffset>9620250</wp:posOffset>
          </wp:positionV>
          <wp:extent cx="7560000" cy="1069200"/>
          <wp:effectExtent l="0" t="0" r="0" b="0"/>
          <wp:wrapNone/>
          <wp:docPr id="261881156"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5ED63F59"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00F08" w14:textId="77777777" w:rsidR="00957DA2" w:rsidRDefault="00957DA2" w:rsidP="00123BB4">
      <w:r>
        <w:separator/>
      </w:r>
    </w:p>
  </w:footnote>
  <w:footnote w:type="continuationSeparator" w:id="0">
    <w:p w14:paraId="77400D55" w14:textId="77777777" w:rsidR="00957DA2" w:rsidRDefault="00957DA2"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E0A6" w14:textId="77777777" w:rsidR="009F5143" w:rsidRDefault="0039708F">
    <w:pPr>
      <w:pStyle w:val="Header"/>
    </w:pPr>
    <w:r>
      <w:rPr>
        <w:noProof/>
      </w:rPr>
      <mc:AlternateContent>
        <mc:Choice Requires="wps">
          <w:drawing>
            <wp:anchor distT="0" distB="0" distL="0" distR="0" simplePos="0" relativeHeight="251721728" behindDoc="0" locked="0" layoutInCell="1" allowOverlap="1" wp14:anchorId="1ABB460C" wp14:editId="1D7AF2A2">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3EAA46"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BB460C" id="_x0000_t202" coordsize="21600,21600" o:spt="202" path="m,l,21600r21600,l21600,xe">
              <v:stroke joinstyle="miter"/>
              <v:path gradientshapeok="t" o:connecttype="rect"/>
            </v:shapetype>
            <v:shape id="Text Box 18" o:spid="_x0000_s1026" type="#_x0000_t202" alt="OFFICIAL" style="position:absolute;margin-left:0;margin-top:0;width:54.05pt;height:28.8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693EAA46"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2E99E2D" w14:textId="77777777" w:rsidTr="005225FF">
              <w:tc>
                <w:tcPr>
                  <w:tcW w:w="4738" w:type="pct"/>
                  <w:vAlign w:val="center"/>
                </w:tcPr>
                <w:p w14:paraId="05E4A8B9" w14:textId="6EAF3CEA" w:rsidR="006C2861" w:rsidRPr="00ED5AA6" w:rsidRDefault="006C2861" w:rsidP="006C2861">
                  <w:pPr>
                    <w:pStyle w:val="Footer"/>
                    <w:spacing w:after="0"/>
                    <w:jc w:val="left"/>
                    <w:rPr>
                      <w:rFonts w:ascii="Aptos" w:hAnsi="Aptos"/>
                      <w:color w:val="343641" w:themeColor="text2"/>
                    </w:rPr>
                  </w:pPr>
                  <w:r w:rsidRPr="00AB58E9">
                    <w:rPr>
                      <w:rStyle w:val="HeaderChar"/>
                    </w:rPr>
                    <w:fldChar w:fldCharType="begin"/>
                  </w:r>
                  <w:r w:rsidRPr="00AB58E9">
                    <w:rPr>
                      <w:rStyle w:val="HeaderChar"/>
                    </w:rPr>
                    <w:instrText xml:space="preserve"> STYLEREF  Title  \* MERGEFORMAT </w:instrText>
                  </w:r>
                  <w:r w:rsidRPr="00AB58E9">
                    <w:rPr>
                      <w:rStyle w:val="HeaderChar"/>
                    </w:rPr>
                    <w:fldChar w:fldCharType="separate"/>
                  </w:r>
                  <w:r w:rsidR="003C1455" w:rsidRPr="003C1455">
                    <w:rPr>
                      <w:rStyle w:val="HeaderChar"/>
                      <w:noProof/>
                      <w:lang w:val="en-GB"/>
                    </w:rPr>
                    <w:t>Professional</w:t>
                  </w:r>
                  <w:r w:rsidR="003C1455">
                    <w:rPr>
                      <w:rStyle w:val="HeaderChar"/>
                      <w:noProof/>
                    </w:rPr>
                    <w:t xml:space="preserve"> Boxing and Combat Sports Board</w:t>
                  </w:r>
                  <w:r w:rsidRPr="00AB58E9">
                    <w:rPr>
                      <w:rStyle w:val="HeaderChar"/>
                    </w:rPr>
                    <w:fldChar w:fldCharType="end"/>
                  </w:r>
                </w:p>
              </w:tc>
              <w:tc>
                <w:tcPr>
                  <w:tcW w:w="262" w:type="pct"/>
                  <w:vAlign w:val="center"/>
                </w:tcPr>
                <w:p w14:paraId="30297E93"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765F6D9" w14:textId="77777777" w:rsidR="00092AC5" w:rsidRPr="00092AC5" w:rsidRDefault="00092AC5" w:rsidP="006C2861">
    <w:pPr>
      <w:pStyle w:val="Header"/>
      <w:rPr>
        <w:color w:val="FFFFFF" w:themeColor="background1"/>
      </w:rPr>
    </w:pPr>
  </w:p>
  <w:p w14:paraId="3DBB95C9" w14:textId="77777777" w:rsidR="00092AC5" w:rsidRPr="00092AC5" w:rsidRDefault="00092AC5" w:rsidP="006C2861">
    <w:pPr>
      <w:pStyle w:val="Header"/>
      <w:rPr>
        <w:color w:val="FFFFFF" w:themeColor="background1"/>
      </w:rPr>
    </w:pPr>
  </w:p>
  <w:p w14:paraId="606E0746" w14:textId="77777777" w:rsidR="00216EF4" w:rsidRPr="006C2861" w:rsidRDefault="006C2861" w:rsidP="006C2861">
    <w:pPr>
      <w:pStyle w:val="Header"/>
    </w:pPr>
    <w:r>
      <w:rPr>
        <w:noProof/>
      </w:rPr>
      <w:drawing>
        <wp:anchor distT="0" distB="0" distL="114300" distR="114300" simplePos="0" relativeHeight="251743232" behindDoc="1" locked="1" layoutInCell="1" allowOverlap="1" wp14:anchorId="10BAF424" wp14:editId="6F34C0E6">
          <wp:simplePos x="0" y="0"/>
          <wp:positionH relativeFrom="page">
            <wp:posOffset>0</wp:posOffset>
          </wp:positionH>
          <wp:positionV relativeFrom="page">
            <wp:posOffset>0</wp:posOffset>
          </wp:positionV>
          <wp:extent cx="7560000" cy="1065600"/>
          <wp:effectExtent l="0" t="0" r="0" b="0"/>
          <wp:wrapNone/>
          <wp:docPr id="135715734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1" locked="1" layoutInCell="1" allowOverlap="1" wp14:anchorId="55D91DC2" wp14:editId="05576C07">
          <wp:simplePos x="0" y="0"/>
          <wp:positionH relativeFrom="page">
            <wp:posOffset>-7572375</wp:posOffset>
          </wp:positionH>
          <wp:positionV relativeFrom="page">
            <wp:posOffset>-355600</wp:posOffset>
          </wp:positionV>
          <wp:extent cx="7559675" cy="9876790"/>
          <wp:effectExtent l="0" t="0" r="0" b="3810"/>
          <wp:wrapNone/>
          <wp:docPr id="1713565473" name="Picture 1713565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78A1" w14:textId="77777777" w:rsidR="009F5143" w:rsidRPr="00B0146C" w:rsidRDefault="00092AC5" w:rsidP="00B0146C">
    <w:pPr>
      <w:pStyle w:val="Header"/>
    </w:pPr>
    <w:r>
      <w:rPr>
        <w:noProof/>
      </w:rPr>
      <w:drawing>
        <wp:anchor distT="0" distB="0" distL="114300" distR="114300" simplePos="0" relativeHeight="251744256" behindDoc="1" locked="0" layoutInCell="1" allowOverlap="1" wp14:anchorId="4600A498" wp14:editId="21B73A01">
          <wp:simplePos x="0" y="0"/>
          <wp:positionH relativeFrom="page">
            <wp:posOffset>1905</wp:posOffset>
          </wp:positionH>
          <wp:positionV relativeFrom="page">
            <wp:posOffset>0</wp:posOffset>
          </wp:positionV>
          <wp:extent cx="7560000" cy="2160000"/>
          <wp:effectExtent l="0" t="0" r="0" b="0"/>
          <wp:wrapNone/>
          <wp:docPr id="925823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70490" name="Picture 587070490"/>
                  <pic:cNvPicPr/>
                </pic:nvPicPr>
                <pic:blipFill>
                  <a:blip r:embed="rId1">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D0B"/>
    <w:multiLevelType w:val="multilevel"/>
    <w:tmpl w:val="589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3565D"/>
    <w:multiLevelType w:val="hybridMultilevel"/>
    <w:tmpl w:val="0522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464A2"/>
    <w:multiLevelType w:val="multilevel"/>
    <w:tmpl w:val="EBC4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396C7E"/>
    <w:multiLevelType w:val="multilevel"/>
    <w:tmpl w:val="F01C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F5DCE"/>
    <w:multiLevelType w:val="hybridMultilevel"/>
    <w:tmpl w:val="02503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871C26"/>
    <w:multiLevelType w:val="hybridMultilevel"/>
    <w:tmpl w:val="48FE8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52D0D"/>
    <w:multiLevelType w:val="hybridMultilevel"/>
    <w:tmpl w:val="1B1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BB0EC7"/>
    <w:multiLevelType w:val="hybridMultilevel"/>
    <w:tmpl w:val="11066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EC5673"/>
    <w:multiLevelType w:val="hybridMultilevel"/>
    <w:tmpl w:val="88269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6A65EB"/>
    <w:multiLevelType w:val="hybridMultilevel"/>
    <w:tmpl w:val="7430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0974158">
    <w:abstractNumId w:val="2"/>
  </w:num>
  <w:num w:numId="2" w16cid:durableId="1730151627">
    <w:abstractNumId w:val="11"/>
  </w:num>
  <w:num w:numId="3" w16cid:durableId="1469977648">
    <w:abstractNumId w:val="10"/>
  </w:num>
  <w:num w:numId="4" w16cid:durableId="333342480">
    <w:abstractNumId w:val="16"/>
  </w:num>
  <w:num w:numId="5" w16cid:durableId="1013268417">
    <w:abstractNumId w:val="6"/>
  </w:num>
  <w:num w:numId="6" w16cid:durableId="1195004484">
    <w:abstractNumId w:val="13"/>
  </w:num>
  <w:num w:numId="7" w16cid:durableId="1053961327">
    <w:abstractNumId w:val="4"/>
  </w:num>
  <w:num w:numId="8" w16cid:durableId="1944603745">
    <w:abstractNumId w:val="12"/>
  </w:num>
  <w:num w:numId="9" w16cid:durableId="82185324">
    <w:abstractNumId w:val="19"/>
  </w:num>
  <w:num w:numId="10" w16cid:durableId="1375693589">
    <w:abstractNumId w:val="14"/>
  </w:num>
  <w:num w:numId="11" w16cid:durableId="1549731157">
    <w:abstractNumId w:val="7"/>
  </w:num>
  <w:num w:numId="12" w16cid:durableId="1569611176">
    <w:abstractNumId w:val="8"/>
  </w:num>
  <w:num w:numId="13" w16cid:durableId="354427547">
    <w:abstractNumId w:val="0"/>
  </w:num>
  <w:num w:numId="14" w16cid:durableId="1148665158">
    <w:abstractNumId w:val="3"/>
  </w:num>
  <w:num w:numId="15" w16cid:durableId="1459377475">
    <w:abstractNumId w:val="5"/>
  </w:num>
  <w:num w:numId="16" w16cid:durableId="714626907">
    <w:abstractNumId w:val="18"/>
  </w:num>
  <w:num w:numId="17" w16cid:durableId="116796957">
    <w:abstractNumId w:val="15"/>
  </w:num>
  <w:num w:numId="18" w16cid:durableId="609359998">
    <w:abstractNumId w:val="9"/>
  </w:num>
  <w:num w:numId="19" w16cid:durableId="663363582">
    <w:abstractNumId w:val="1"/>
  </w:num>
  <w:num w:numId="20" w16cid:durableId="14763349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A2"/>
    <w:rsid w:val="0000440C"/>
    <w:rsid w:val="000458D8"/>
    <w:rsid w:val="000567AA"/>
    <w:rsid w:val="0006110E"/>
    <w:rsid w:val="00067E9F"/>
    <w:rsid w:val="00077B23"/>
    <w:rsid w:val="000865C3"/>
    <w:rsid w:val="00092AC5"/>
    <w:rsid w:val="000C04E8"/>
    <w:rsid w:val="000D2ECB"/>
    <w:rsid w:val="000E116A"/>
    <w:rsid w:val="000E39FB"/>
    <w:rsid w:val="000F38D1"/>
    <w:rsid w:val="00106515"/>
    <w:rsid w:val="001154DB"/>
    <w:rsid w:val="00123BB4"/>
    <w:rsid w:val="00147A6B"/>
    <w:rsid w:val="00156E83"/>
    <w:rsid w:val="001575B0"/>
    <w:rsid w:val="00187320"/>
    <w:rsid w:val="001C092F"/>
    <w:rsid w:val="001C7344"/>
    <w:rsid w:val="001D1FCE"/>
    <w:rsid w:val="001E3FA6"/>
    <w:rsid w:val="001F3DF2"/>
    <w:rsid w:val="00216EF4"/>
    <w:rsid w:val="00226BB2"/>
    <w:rsid w:val="00231524"/>
    <w:rsid w:val="00237320"/>
    <w:rsid w:val="00244FF5"/>
    <w:rsid w:val="002476EC"/>
    <w:rsid w:val="002829B6"/>
    <w:rsid w:val="0029317B"/>
    <w:rsid w:val="00296F24"/>
    <w:rsid w:val="002B0B71"/>
    <w:rsid w:val="002E5AB6"/>
    <w:rsid w:val="002F6398"/>
    <w:rsid w:val="00314982"/>
    <w:rsid w:val="00325807"/>
    <w:rsid w:val="00326A87"/>
    <w:rsid w:val="00341424"/>
    <w:rsid w:val="00350970"/>
    <w:rsid w:val="00373C03"/>
    <w:rsid w:val="00374152"/>
    <w:rsid w:val="00376434"/>
    <w:rsid w:val="003771B3"/>
    <w:rsid w:val="00386B72"/>
    <w:rsid w:val="00387A08"/>
    <w:rsid w:val="00393D53"/>
    <w:rsid w:val="0039460F"/>
    <w:rsid w:val="00395794"/>
    <w:rsid w:val="0039708F"/>
    <w:rsid w:val="003A0462"/>
    <w:rsid w:val="003B57CD"/>
    <w:rsid w:val="003B706F"/>
    <w:rsid w:val="003C1455"/>
    <w:rsid w:val="003C5E0B"/>
    <w:rsid w:val="003D6A27"/>
    <w:rsid w:val="003E4AB1"/>
    <w:rsid w:val="003F152E"/>
    <w:rsid w:val="003F221C"/>
    <w:rsid w:val="003F2750"/>
    <w:rsid w:val="004027D3"/>
    <w:rsid w:val="00411ED4"/>
    <w:rsid w:val="0042649C"/>
    <w:rsid w:val="0043293E"/>
    <w:rsid w:val="00437BF0"/>
    <w:rsid w:val="00442F54"/>
    <w:rsid w:val="00447B2A"/>
    <w:rsid w:val="00466FDD"/>
    <w:rsid w:val="0047378C"/>
    <w:rsid w:val="00480EB2"/>
    <w:rsid w:val="004824A7"/>
    <w:rsid w:val="00483D8F"/>
    <w:rsid w:val="00484ADA"/>
    <w:rsid w:val="00487735"/>
    <w:rsid w:val="004A05A1"/>
    <w:rsid w:val="004A7616"/>
    <w:rsid w:val="004B661B"/>
    <w:rsid w:val="004C32FC"/>
    <w:rsid w:val="004C40FE"/>
    <w:rsid w:val="004C6A4C"/>
    <w:rsid w:val="004D0D95"/>
    <w:rsid w:val="004E19DF"/>
    <w:rsid w:val="004E3885"/>
    <w:rsid w:val="00513813"/>
    <w:rsid w:val="005171E2"/>
    <w:rsid w:val="00524174"/>
    <w:rsid w:val="0053232B"/>
    <w:rsid w:val="005333B2"/>
    <w:rsid w:val="00552B84"/>
    <w:rsid w:val="00556F3C"/>
    <w:rsid w:val="00561F0C"/>
    <w:rsid w:val="005730CE"/>
    <w:rsid w:val="005736B7"/>
    <w:rsid w:val="00590459"/>
    <w:rsid w:val="00594D67"/>
    <w:rsid w:val="005952E0"/>
    <w:rsid w:val="00596E3D"/>
    <w:rsid w:val="005C2261"/>
    <w:rsid w:val="005E4D11"/>
    <w:rsid w:val="00671625"/>
    <w:rsid w:val="00684342"/>
    <w:rsid w:val="00694234"/>
    <w:rsid w:val="006976DF"/>
    <w:rsid w:val="006B1F1B"/>
    <w:rsid w:val="006B2932"/>
    <w:rsid w:val="006B3D6E"/>
    <w:rsid w:val="006C2861"/>
    <w:rsid w:val="006C61FF"/>
    <w:rsid w:val="006D1E9A"/>
    <w:rsid w:val="006D52D9"/>
    <w:rsid w:val="00732709"/>
    <w:rsid w:val="007642E9"/>
    <w:rsid w:val="007704EF"/>
    <w:rsid w:val="00781DA2"/>
    <w:rsid w:val="00783A1A"/>
    <w:rsid w:val="007A272A"/>
    <w:rsid w:val="007C1D67"/>
    <w:rsid w:val="007C38A1"/>
    <w:rsid w:val="007D260F"/>
    <w:rsid w:val="00800A8A"/>
    <w:rsid w:val="00810770"/>
    <w:rsid w:val="0081353B"/>
    <w:rsid w:val="008151DC"/>
    <w:rsid w:val="00822532"/>
    <w:rsid w:val="00826BAE"/>
    <w:rsid w:val="00845FAB"/>
    <w:rsid w:val="00847B0C"/>
    <w:rsid w:val="00851F82"/>
    <w:rsid w:val="00852640"/>
    <w:rsid w:val="00856D7A"/>
    <w:rsid w:val="00871718"/>
    <w:rsid w:val="008770F3"/>
    <w:rsid w:val="008818C5"/>
    <w:rsid w:val="00881AFB"/>
    <w:rsid w:val="00886C96"/>
    <w:rsid w:val="00897F02"/>
    <w:rsid w:val="008D3020"/>
    <w:rsid w:val="008E3142"/>
    <w:rsid w:val="008E3E6F"/>
    <w:rsid w:val="008E7193"/>
    <w:rsid w:val="008F2231"/>
    <w:rsid w:val="00906E0F"/>
    <w:rsid w:val="0090768D"/>
    <w:rsid w:val="00915FC7"/>
    <w:rsid w:val="00933C71"/>
    <w:rsid w:val="00937D60"/>
    <w:rsid w:val="009406AA"/>
    <w:rsid w:val="00944B80"/>
    <w:rsid w:val="0094555A"/>
    <w:rsid w:val="00956EA5"/>
    <w:rsid w:val="00957DA2"/>
    <w:rsid w:val="0096488D"/>
    <w:rsid w:val="00972D9C"/>
    <w:rsid w:val="00980956"/>
    <w:rsid w:val="0099252E"/>
    <w:rsid w:val="009A693D"/>
    <w:rsid w:val="009D7819"/>
    <w:rsid w:val="009F09B7"/>
    <w:rsid w:val="009F1203"/>
    <w:rsid w:val="009F5143"/>
    <w:rsid w:val="009F624B"/>
    <w:rsid w:val="00A27E6D"/>
    <w:rsid w:val="00A31A84"/>
    <w:rsid w:val="00A4038E"/>
    <w:rsid w:val="00A40ABE"/>
    <w:rsid w:val="00A51963"/>
    <w:rsid w:val="00A6306A"/>
    <w:rsid w:val="00A721E0"/>
    <w:rsid w:val="00A76BEB"/>
    <w:rsid w:val="00A976CE"/>
    <w:rsid w:val="00AB58E9"/>
    <w:rsid w:val="00B0146C"/>
    <w:rsid w:val="00B02A5B"/>
    <w:rsid w:val="00B16565"/>
    <w:rsid w:val="00B16C98"/>
    <w:rsid w:val="00B20D0D"/>
    <w:rsid w:val="00B33F3C"/>
    <w:rsid w:val="00B57C8B"/>
    <w:rsid w:val="00B604A2"/>
    <w:rsid w:val="00B60FED"/>
    <w:rsid w:val="00B75D74"/>
    <w:rsid w:val="00BA5862"/>
    <w:rsid w:val="00BC051D"/>
    <w:rsid w:val="00BC5903"/>
    <w:rsid w:val="00BD5A9B"/>
    <w:rsid w:val="00BE233D"/>
    <w:rsid w:val="00BF3966"/>
    <w:rsid w:val="00C31C8D"/>
    <w:rsid w:val="00C43EC1"/>
    <w:rsid w:val="00C523B7"/>
    <w:rsid w:val="00C568BF"/>
    <w:rsid w:val="00C6591E"/>
    <w:rsid w:val="00C73704"/>
    <w:rsid w:val="00C7528D"/>
    <w:rsid w:val="00C764A4"/>
    <w:rsid w:val="00C873E6"/>
    <w:rsid w:val="00C907FC"/>
    <w:rsid w:val="00CA5B20"/>
    <w:rsid w:val="00CA683D"/>
    <w:rsid w:val="00CB1960"/>
    <w:rsid w:val="00CB3327"/>
    <w:rsid w:val="00CD2FEB"/>
    <w:rsid w:val="00D0417E"/>
    <w:rsid w:val="00D145E4"/>
    <w:rsid w:val="00D44A4F"/>
    <w:rsid w:val="00D5113E"/>
    <w:rsid w:val="00D647AB"/>
    <w:rsid w:val="00DA23A2"/>
    <w:rsid w:val="00DB2321"/>
    <w:rsid w:val="00DB38FC"/>
    <w:rsid w:val="00DC45BB"/>
    <w:rsid w:val="00DD2AAC"/>
    <w:rsid w:val="00DF4C98"/>
    <w:rsid w:val="00E019ED"/>
    <w:rsid w:val="00E12982"/>
    <w:rsid w:val="00E46734"/>
    <w:rsid w:val="00E6749C"/>
    <w:rsid w:val="00EA7FD5"/>
    <w:rsid w:val="00EB0BA5"/>
    <w:rsid w:val="00EC482E"/>
    <w:rsid w:val="00ED5AA6"/>
    <w:rsid w:val="00EF55F8"/>
    <w:rsid w:val="00F06039"/>
    <w:rsid w:val="00F15000"/>
    <w:rsid w:val="00F16089"/>
    <w:rsid w:val="00F2506D"/>
    <w:rsid w:val="00F5616B"/>
    <w:rsid w:val="00F865F4"/>
    <w:rsid w:val="00FB68BD"/>
    <w:rsid w:val="00FD0B13"/>
    <w:rsid w:val="00FD7B1D"/>
    <w:rsid w:val="00FF6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DC74"/>
  <w15:chartTrackingRefBased/>
  <w15:docId w15:val="{44C18EBC-22DC-4263-AD51-63A23A63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A6"/>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AB58E9"/>
    <w:pPr>
      <w:spacing w:after="346" w:line="240" w:lineRule="auto"/>
      <w:ind w:right="2835"/>
    </w:pPr>
    <w:rPr>
      <w:rFonts w:ascii="Aptos" w:hAnsi="Aptos"/>
      <w:b/>
      <w:color w:val="FFFFFF" w:themeColor="background1"/>
      <w:spacing w:val="-5"/>
      <w:sz w:val="48"/>
    </w:rPr>
  </w:style>
  <w:style w:type="character" w:customStyle="1" w:styleId="TitleChar">
    <w:name w:val="Title Char"/>
    <w:basedOn w:val="DefaultParagraphFont"/>
    <w:link w:val="Title"/>
    <w:uiPriority w:val="10"/>
    <w:rsid w:val="00AB58E9"/>
    <w:rPr>
      <w:rFonts w:ascii="Aptos" w:hAnsi="Aptos" w:cs="Arial"/>
      <w:b/>
      <w:color w:val="FFFFFF" w:themeColor="background1"/>
      <w:spacing w:val="-5"/>
      <w:sz w:val="48"/>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styleId="NormalWeb">
    <w:name w:val="Normal (Web)"/>
    <w:basedOn w:val="Normal"/>
    <w:uiPriority w:val="99"/>
    <w:unhideWhenUsed/>
    <w:rsid w:val="00957DA2"/>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table" w:customStyle="1" w:styleId="DJSIR">
    <w:name w:val="DJSIR"/>
    <w:basedOn w:val="TableNormal"/>
    <w:uiPriority w:val="99"/>
    <w:rsid w:val="00957DA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55C09F" w:themeFill="accent1"/>
      </w:tcPr>
    </w:tblStylePr>
  </w:style>
  <w:style w:type="character" w:styleId="UnresolvedMention">
    <w:name w:val="Unresolved Mention"/>
    <w:basedOn w:val="DefaultParagraphFont"/>
    <w:uiPriority w:val="99"/>
    <w:semiHidden/>
    <w:unhideWhenUsed/>
    <w:rsid w:val="00487735"/>
    <w:rPr>
      <w:color w:val="605E5C"/>
      <w:shd w:val="clear" w:color="auto" w:fill="E1DFDD"/>
    </w:rPr>
  </w:style>
  <w:style w:type="character" w:styleId="FollowedHyperlink">
    <w:name w:val="FollowedHyperlink"/>
    <w:basedOn w:val="DefaultParagraphFont"/>
    <w:uiPriority w:val="99"/>
    <w:semiHidden/>
    <w:unhideWhenUsed/>
    <w:rsid w:val="00487735"/>
    <w:rPr>
      <w:color w:val="55C0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manrights.vic.gov.au/static/05d17cd2dab7e353b4d71d22a0aacc60/Resource-EOA_Quick_Guide-June_202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wc.gov.au/issues-we-hel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t.vic.gov.au/case-types/equal-opportunity/resolve-a-dispute-about-unlawful-discrimination-sexua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safe.vic.gov.au/workwell-toolkit-prevent-bullying-your-business"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G001802/Participation%20and%20Sector%20Development/Combat%20Sports/Board%20Letterheads%20and%20Combat%20Sports%20Unit%20letterheads%20and%20logos/14335%20Professional%20Boxing%20and%20Combat%20Sports%20Board-Factsheet%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6772469BA443A99E103E88CF1696FE"/>
        <w:category>
          <w:name w:val="General"/>
          <w:gallery w:val="placeholder"/>
        </w:category>
        <w:types>
          <w:type w:val="bbPlcHdr"/>
        </w:types>
        <w:behaviors>
          <w:behavior w:val="content"/>
        </w:behaviors>
        <w:guid w:val="{578468B8-F89A-440A-95A9-B2577EAE12D5}"/>
      </w:docPartPr>
      <w:docPartBody>
        <w:p w:rsidR="002C77E2" w:rsidRDefault="002C77E2">
          <w:pPr>
            <w:pStyle w:val="496772469BA443A99E103E88CF1696FE"/>
          </w:pPr>
          <w:r w:rsidRPr="00881AFB">
            <w:rPr>
              <w:rStyle w:val="PlaceholderText"/>
            </w:rPr>
            <w:t>Click or tap here to enter title text.</w:t>
          </w:r>
        </w:p>
      </w:docPartBody>
    </w:docPart>
    <w:docPart>
      <w:docPartPr>
        <w:name w:val="27E8728105114D2EB4190DC88572E6CF"/>
        <w:category>
          <w:name w:val="General"/>
          <w:gallery w:val="placeholder"/>
        </w:category>
        <w:types>
          <w:type w:val="bbPlcHdr"/>
        </w:types>
        <w:behaviors>
          <w:behavior w:val="content"/>
        </w:behaviors>
        <w:guid w:val="{57A0ECB8-EC3D-43A9-9B2D-3F5AFEF9D572}"/>
      </w:docPartPr>
      <w:docPartBody>
        <w:p w:rsidR="002C77E2" w:rsidRDefault="002C77E2">
          <w:pPr>
            <w:pStyle w:val="27E8728105114D2EB4190DC88572E6CF"/>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E2"/>
    <w:rsid w:val="002C77E2"/>
    <w:rsid w:val="003B7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6772469BA443A99E103E88CF1696FE">
    <w:name w:val="496772469BA443A99E103E88CF1696FE"/>
  </w:style>
  <w:style w:type="paragraph" w:customStyle="1" w:styleId="27E8728105114D2EB4190DC88572E6CF">
    <w:name w:val="27E8728105114D2EB4190DC88572E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B1F477C-1E02-41E9-9B29-FCB44B7AE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44839-9B37-4B6D-9569-4DEB0588C49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14335%20Professional%20Boxing%20and%20Combat%20Sports%20Board-Factsheet%</Template>
  <TotalTime>60</TotalTime>
  <Pages>6</Pages>
  <Words>2178</Words>
  <Characters>12415</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Summary</vt:lpstr>
      <vt:lpstr>Scope</vt:lpstr>
      <vt:lpstr>Guiding principles</vt:lpstr>
      <vt:lpstr>What is workplace bullying?</vt:lpstr>
      <vt:lpstr>What is harassment?</vt:lpstr>
      <vt:lpstr>What is discrimination?</vt:lpstr>
      <vt:lpstr>Sexual harassment</vt:lpstr>
      <vt:lpstr>Victimisation</vt:lpstr>
      <vt:lpstr>Vilification</vt:lpstr>
      <vt:lpstr>Resolving issues</vt:lpstr>
      <vt:lpstr>Related policy, legislation and other documents</vt:lpstr>
      <vt:lpstr>11. Review</vt:lpstr>
      <vt:lpstr>12. Version history</vt:lpstr>
    </vt:vector>
  </TitlesOfParts>
  <Manager/>
  <Company/>
  <LinksUpToDate>false</LinksUpToDate>
  <CharactersWithSpaces>14564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Trevean (DJSIR)</dc:creator>
  <cp:keywords/>
  <dc:description/>
  <cp:lastModifiedBy>Belinda A Trevean (DJSIR)</cp:lastModifiedBy>
  <cp:revision>4</cp:revision>
  <cp:lastPrinted>2024-01-30T06:05:00Z</cp:lastPrinted>
  <dcterms:created xsi:type="dcterms:W3CDTF">2024-11-21T22:51:00Z</dcterms:created>
  <dcterms:modified xsi:type="dcterms:W3CDTF">2024-11-22T00:05:00Z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