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36221" w14:textId="71A308F8" w:rsidR="00D21D3D" w:rsidRPr="00D21D3D" w:rsidRDefault="00D21D3D" w:rsidP="00664380">
      <w:pPr>
        <w:pStyle w:val="Reporttitle"/>
      </w:pPr>
      <w:r w:rsidRPr="00D21D3D">
        <w:t>Kangaroo Harvesting Program</w:t>
      </w:r>
      <w:r>
        <w:t xml:space="preserve"> (Accessible version)</w:t>
      </w:r>
    </w:p>
    <w:p w14:paraId="0CE8423D" w14:textId="2F487AA2" w:rsidR="00D21D3D" w:rsidRDefault="001D3258" w:rsidP="00664380">
      <w:pPr>
        <w:pStyle w:val="Reporttitle"/>
      </w:pPr>
      <w:r>
        <w:t xml:space="preserve">QUARTER </w:t>
      </w:r>
      <w:r w:rsidR="00A22390">
        <w:t>THREE</w:t>
      </w:r>
      <w:r>
        <w:t xml:space="preserve"> SUMMARY REPORT 2023</w:t>
      </w:r>
    </w:p>
    <w:p w14:paraId="2C3BDB28" w14:textId="1FE3A9D9" w:rsidR="00D21D3D" w:rsidRDefault="0020219E" w:rsidP="00664380">
      <w:r>
        <w:t>State Government of Victoria – Department of Jobs</w:t>
      </w:r>
      <w:r w:rsidR="00CA6297">
        <w:t xml:space="preserve">, Skills, Industry </w:t>
      </w:r>
      <w:r>
        <w:t>and Regions</w:t>
      </w:r>
    </w:p>
    <w:p w14:paraId="11EAF688" w14:textId="4D0070FA" w:rsidR="00870006" w:rsidRPr="00870006" w:rsidRDefault="004371F6" w:rsidP="00664380">
      <w:pPr>
        <w:pStyle w:val="TOCHeading"/>
      </w:pPr>
      <w:r w:rsidRPr="00D96C1E">
        <w:t>contents</w:t>
      </w:r>
    </w:p>
    <w:p w14:paraId="28C1AE8E" w14:textId="74B25793" w:rsidR="00C12C31" w:rsidRDefault="00A17119">
      <w:pPr>
        <w:pStyle w:val="TOC1"/>
        <w:rPr>
          <w:rFonts w:asciiTheme="minorHAnsi" w:eastAsiaTheme="minorEastAsia" w:hAnsiTheme="minorHAnsi" w:cstheme="minorBidi"/>
          <w:noProof/>
          <w:color w:val="auto"/>
          <w:kern w:val="2"/>
          <w:szCs w:val="22"/>
          <w:lang w:eastAsia="en-AU"/>
          <w14:ligatures w14:val="standardContextual"/>
        </w:rPr>
      </w:pPr>
      <w:r>
        <w:rPr>
          <w:noProof/>
          <w:color w:val="auto"/>
          <w:lang w:eastAsia="en-AU"/>
        </w:rPr>
        <w:fldChar w:fldCharType="begin"/>
      </w:r>
      <w:r>
        <w:rPr>
          <w:noProof/>
          <w:color w:val="auto"/>
          <w:lang w:eastAsia="en-AU"/>
        </w:rPr>
        <w:instrText xml:space="preserve"> TOC \o "1-3" \h \z \u </w:instrText>
      </w:r>
      <w:r>
        <w:rPr>
          <w:noProof/>
          <w:color w:val="auto"/>
          <w:lang w:eastAsia="en-AU"/>
        </w:rPr>
        <w:fldChar w:fldCharType="separate"/>
      </w:r>
      <w:hyperlink w:anchor="_Toc148971541" w:history="1">
        <w:r w:rsidR="00C12C31" w:rsidRPr="00D67B13">
          <w:rPr>
            <w:rStyle w:val="Hyperlink"/>
            <w:noProof/>
          </w:rPr>
          <w:t>1.</w:t>
        </w:r>
        <w:r w:rsidR="00C12C31">
          <w:rPr>
            <w:rFonts w:asciiTheme="minorHAnsi" w:eastAsiaTheme="minorEastAsia" w:hAnsiTheme="minorHAnsi" w:cstheme="minorBidi"/>
            <w:noProof/>
            <w:color w:val="auto"/>
            <w:kern w:val="2"/>
            <w:szCs w:val="22"/>
            <w:lang w:eastAsia="en-AU"/>
            <w14:ligatures w14:val="standardContextual"/>
          </w:rPr>
          <w:tab/>
        </w:r>
        <w:r w:rsidR="00C12C31" w:rsidRPr="00D67B13">
          <w:rPr>
            <w:rStyle w:val="Hyperlink"/>
            <w:noProof/>
          </w:rPr>
          <w:t>Annual Quota</w:t>
        </w:r>
        <w:r w:rsidR="00C12C31">
          <w:rPr>
            <w:noProof/>
            <w:webHidden/>
          </w:rPr>
          <w:tab/>
        </w:r>
        <w:r w:rsidR="00C12C31">
          <w:rPr>
            <w:noProof/>
            <w:webHidden/>
          </w:rPr>
          <w:fldChar w:fldCharType="begin"/>
        </w:r>
        <w:r w:rsidR="00C12C31">
          <w:rPr>
            <w:noProof/>
            <w:webHidden/>
          </w:rPr>
          <w:instrText xml:space="preserve"> PAGEREF _Toc148971541 \h </w:instrText>
        </w:r>
        <w:r w:rsidR="00C12C31">
          <w:rPr>
            <w:noProof/>
            <w:webHidden/>
          </w:rPr>
        </w:r>
        <w:r w:rsidR="00C12C31">
          <w:rPr>
            <w:noProof/>
            <w:webHidden/>
          </w:rPr>
          <w:fldChar w:fldCharType="separate"/>
        </w:r>
        <w:r w:rsidR="00C12C31">
          <w:rPr>
            <w:noProof/>
            <w:webHidden/>
          </w:rPr>
          <w:t>2</w:t>
        </w:r>
        <w:r w:rsidR="00C12C31">
          <w:rPr>
            <w:noProof/>
            <w:webHidden/>
          </w:rPr>
          <w:fldChar w:fldCharType="end"/>
        </w:r>
      </w:hyperlink>
    </w:p>
    <w:p w14:paraId="2952363C" w14:textId="778010DB" w:rsidR="00C12C31" w:rsidRDefault="00C12C31">
      <w:pPr>
        <w:pStyle w:val="TOC2"/>
        <w:rPr>
          <w:rFonts w:asciiTheme="minorHAnsi" w:eastAsiaTheme="minorEastAsia" w:hAnsiTheme="minorHAnsi" w:cstheme="minorBidi"/>
          <w:noProof/>
          <w:color w:val="auto"/>
          <w:kern w:val="2"/>
          <w:szCs w:val="22"/>
          <w:lang w:eastAsia="en-AU"/>
          <w14:ligatures w14:val="standardContextual"/>
        </w:rPr>
      </w:pPr>
      <w:hyperlink w:anchor="_Toc148971542" w:history="1">
        <w:r w:rsidRPr="00D67B13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color w:val="auto"/>
            <w:kern w:val="2"/>
            <w:szCs w:val="22"/>
            <w:lang w:eastAsia="en-AU"/>
            <w14:ligatures w14:val="standardContextual"/>
          </w:rPr>
          <w:tab/>
        </w:r>
        <w:r w:rsidRPr="00D67B13">
          <w:rPr>
            <w:rStyle w:val="Hyperlink"/>
            <w:noProof/>
          </w:rPr>
          <w:t>Overview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_Toc148971542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1F75B8F" w14:textId="4505977D" w:rsidR="00C12C31" w:rsidRDefault="00C12C31">
      <w:pPr>
        <w:pStyle w:val="TOC3"/>
        <w:rPr>
          <w:rFonts w:asciiTheme="minorHAnsi" w:eastAsiaTheme="minorEastAsia" w:hAnsiTheme="minorHAnsi" w:cstheme="minorBidi"/>
          <w:noProof/>
          <w:color w:val="auto"/>
          <w:kern w:val="2"/>
          <w:szCs w:val="22"/>
          <w:lang w:eastAsia="en-AU"/>
          <w14:ligatures w14:val="standardContextual"/>
        </w:rPr>
      </w:pPr>
      <w:hyperlink w:anchor="_Toc148971543" w:history="1">
        <w:r w:rsidRPr="00D67B13">
          <w:rPr>
            <w:rStyle w:val="Hyperlink"/>
            <w:rFonts w:eastAsiaTheme="majorEastAsia"/>
            <w:noProof/>
          </w:rPr>
          <w:t>1.1.1</w:t>
        </w:r>
        <w:r>
          <w:rPr>
            <w:rFonts w:asciiTheme="minorHAnsi" w:eastAsiaTheme="minorEastAsia" w:hAnsiTheme="minorHAnsi" w:cstheme="minorBidi"/>
            <w:noProof/>
            <w:color w:val="auto"/>
            <w:kern w:val="2"/>
            <w:szCs w:val="22"/>
            <w:lang w:eastAsia="en-AU"/>
            <w14:ligatures w14:val="standardContextual"/>
          </w:rPr>
          <w:tab/>
        </w:r>
        <w:r w:rsidRPr="00D67B13">
          <w:rPr>
            <w:rStyle w:val="Hyperlink"/>
            <w:rFonts w:eastAsiaTheme="majorEastAsia"/>
            <w:noProof/>
          </w:rPr>
          <w:t>2023 Annual quota figures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_Toc148971543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9806CE5" w14:textId="7CFBB9A5" w:rsidR="00C12C31" w:rsidRDefault="00C12C31">
      <w:pPr>
        <w:pStyle w:val="TOC1"/>
        <w:rPr>
          <w:rFonts w:asciiTheme="minorHAnsi" w:eastAsiaTheme="minorEastAsia" w:hAnsiTheme="minorHAnsi" w:cstheme="minorBidi"/>
          <w:noProof/>
          <w:color w:val="auto"/>
          <w:kern w:val="2"/>
          <w:szCs w:val="22"/>
          <w:lang w:eastAsia="en-AU"/>
          <w14:ligatures w14:val="standardContextual"/>
        </w:rPr>
      </w:pPr>
      <w:hyperlink w:anchor="_Toc148971544" w:history="1">
        <w:r w:rsidRPr="00D67B13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color w:val="auto"/>
            <w:kern w:val="2"/>
            <w:szCs w:val="22"/>
            <w:lang w:eastAsia="en-AU"/>
            <w14:ligatures w14:val="standardContextual"/>
          </w:rPr>
          <w:tab/>
        </w:r>
        <w:r w:rsidRPr="00D67B13">
          <w:rPr>
            <w:rStyle w:val="Hyperlink"/>
            <w:noProof/>
          </w:rPr>
          <w:t>Quota allocation – Quarter 3 release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_Toc148971544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EDE4EE7" w14:textId="1419E5D6" w:rsidR="00C12C31" w:rsidRDefault="00C12C31">
      <w:pPr>
        <w:pStyle w:val="TOC2"/>
        <w:rPr>
          <w:rFonts w:asciiTheme="minorHAnsi" w:eastAsiaTheme="minorEastAsia" w:hAnsiTheme="minorHAnsi" w:cstheme="minorBidi"/>
          <w:noProof/>
          <w:color w:val="auto"/>
          <w:kern w:val="2"/>
          <w:szCs w:val="22"/>
          <w:lang w:eastAsia="en-AU"/>
          <w14:ligatures w14:val="standardContextual"/>
        </w:rPr>
      </w:pPr>
      <w:hyperlink w:anchor="_Toc148971545" w:history="1">
        <w:r w:rsidRPr="00D67B13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color w:val="auto"/>
            <w:kern w:val="2"/>
            <w:szCs w:val="22"/>
            <w:lang w:eastAsia="en-AU"/>
            <w14:ligatures w14:val="standardContextual"/>
          </w:rPr>
          <w:tab/>
        </w:r>
        <w:r w:rsidRPr="00D67B13">
          <w:rPr>
            <w:rStyle w:val="Hyperlink"/>
            <w:noProof/>
          </w:rPr>
          <w:t>Overview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_Toc148971545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185D938" w14:textId="46FA85F8" w:rsidR="00C12C31" w:rsidRDefault="00C12C31">
      <w:pPr>
        <w:pStyle w:val="TOC3"/>
        <w:rPr>
          <w:rFonts w:asciiTheme="minorHAnsi" w:eastAsiaTheme="minorEastAsia" w:hAnsiTheme="minorHAnsi" w:cstheme="minorBidi"/>
          <w:noProof/>
          <w:color w:val="auto"/>
          <w:kern w:val="2"/>
          <w:szCs w:val="22"/>
          <w:lang w:eastAsia="en-AU"/>
          <w14:ligatures w14:val="standardContextual"/>
        </w:rPr>
      </w:pPr>
      <w:hyperlink w:anchor="_Toc148971546" w:history="1">
        <w:r w:rsidRPr="00D67B13">
          <w:rPr>
            <w:rStyle w:val="Hyperlink"/>
            <w:rFonts w:eastAsiaTheme="majorEastAsia"/>
            <w:noProof/>
          </w:rPr>
          <w:t>2.1.1</w:t>
        </w:r>
        <w:r>
          <w:rPr>
            <w:rFonts w:asciiTheme="minorHAnsi" w:eastAsiaTheme="minorEastAsia" w:hAnsiTheme="minorHAnsi" w:cstheme="minorBidi"/>
            <w:noProof/>
            <w:color w:val="auto"/>
            <w:kern w:val="2"/>
            <w:szCs w:val="22"/>
            <w:lang w:eastAsia="en-AU"/>
            <w14:ligatures w14:val="standardContextual"/>
          </w:rPr>
          <w:tab/>
        </w:r>
        <w:r w:rsidRPr="00D67B13">
          <w:rPr>
            <w:rStyle w:val="Hyperlink"/>
            <w:rFonts w:eastAsiaTheme="majorEastAsia"/>
            <w:noProof/>
          </w:rPr>
          <w:t>Allocation and consumption figures – Quarter 3 release (July to September 2023)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_Toc148971546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6EB295C" w14:textId="677D1E19" w:rsidR="00C12C31" w:rsidRDefault="00C12C31">
      <w:pPr>
        <w:pStyle w:val="TOC1"/>
        <w:rPr>
          <w:rFonts w:asciiTheme="minorHAnsi" w:eastAsiaTheme="minorEastAsia" w:hAnsiTheme="minorHAnsi" w:cstheme="minorBidi"/>
          <w:noProof/>
          <w:color w:val="auto"/>
          <w:kern w:val="2"/>
          <w:szCs w:val="22"/>
          <w:lang w:eastAsia="en-AU"/>
          <w14:ligatures w14:val="standardContextual"/>
        </w:rPr>
      </w:pPr>
      <w:hyperlink w:anchor="_Toc148971547" w:history="1">
        <w:r w:rsidRPr="00D67B13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color w:val="auto"/>
            <w:kern w:val="2"/>
            <w:szCs w:val="22"/>
            <w:lang w:eastAsia="en-AU"/>
            <w14:ligatures w14:val="standardContextual"/>
          </w:rPr>
          <w:tab/>
        </w:r>
        <w:r w:rsidRPr="00D67B13">
          <w:rPr>
            <w:rStyle w:val="Hyperlink"/>
            <w:noProof/>
          </w:rPr>
          <w:t>Harvest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_Toc148971547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69E9D77" w14:textId="2E960C07" w:rsidR="00C12C31" w:rsidRDefault="00C12C31">
      <w:pPr>
        <w:pStyle w:val="TOC2"/>
        <w:rPr>
          <w:rFonts w:asciiTheme="minorHAnsi" w:eastAsiaTheme="minorEastAsia" w:hAnsiTheme="minorHAnsi" w:cstheme="minorBidi"/>
          <w:noProof/>
          <w:color w:val="auto"/>
          <w:kern w:val="2"/>
          <w:szCs w:val="22"/>
          <w:lang w:eastAsia="en-AU"/>
          <w14:ligatures w14:val="standardContextual"/>
        </w:rPr>
      </w:pPr>
      <w:hyperlink w:anchor="_Toc148971548" w:history="1">
        <w:r w:rsidRPr="00D67B13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color w:val="auto"/>
            <w:kern w:val="2"/>
            <w:szCs w:val="22"/>
            <w:lang w:eastAsia="en-AU"/>
            <w14:ligatures w14:val="standardContextual"/>
          </w:rPr>
          <w:tab/>
        </w:r>
        <w:r w:rsidRPr="00D67B13">
          <w:rPr>
            <w:rStyle w:val="Hyperlink"/>
            <w:noProof/>
          </w:rPr>
          <w:t>Overview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_Toc148971548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E0BBF69" w14:textId="65BE05DF" w:rsidR="00C12C31" w:rsidRDefault="00C12C31">
      <w:pPr>
        <w:pStyle w:val="TOC3"/>
        <w:rPr>
          <w:rFonts w:asciiTheme="minorHAnsi" w:eastAsiaTheme="minorEastAsia" w:hAnsiTheme="minorHAnsi" w:cstheme="minorBidi"/>
          <w:noProof/>
          <w:color w:val="auto"/>
          <w:kern w:val="2"/>
          <w:szCs w:val="22"/>
          <w:lang w:eastAsia="en-AU"/>
          <w14:ligatures w14:val="standardContextual"/>
        </w:rPr>
      </w:pPr>
      <w:hyperlink w:anchor="_Toc148971549" w:history="1">
        <w:r w:rsidRPr="00D67B13">
          <w:rPr>
            <w:rStyle w:val="Hyperlink"/>
            <w:rFonts w:eastAsiaTheme="majorEastAsia"/>
            <w:noProof/>
          </w:rPr>
          <w:t>3.1.1</w:t>
        </w:r>
        <w:r>
          <w:rPr>
            <w:rFonts w:asciiTheme="minorHAnsi" w:eastAsiaTheme="minorEastAsia" w:hAnsiTheme="minorHAnsi" w:cstheme="minorBidi"/>
            <w:noProof/>
            <w:color w:val="auto"/>
            <w:kern w:val="2"/>
            <w:szCs w:val="22"/>
            <w:lang w:eastAsia="en-AU"/>
            <w14:ligatures w14:val="standardContextual"/>
          </w:rPr>
          <w:tab/>
        </w:r>
        <w:r w:rsidRPr="00D67B13">
          <w:rPr>
            <w:rStyle w:val="Hyperlink"/>
            <w:rFonts w:eastAsiaTheme="majorEastAsia"/>
            <w:noProof/>
          </w:rPr>
          <w:t>Harvest summary figures – Quarter 3 release (July to September 2023)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_Toc148971549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3BB0F89" w14:textId="118BE251" w:rsidR="00C12C31" w:rsidRDefault="00C12C31">
      <w:pPr>
        <w:pStyle w:val="TOC1"/>
        <w:rPr>
          <w:rFonts w:asciiTheme="minorHAnsi" w:eastAsiaTheme="minorEastAsia" w:hAnsiTheme="minorHAnsi" w:cstheme="minorBidi"/>
          <w:noProof/>
          <w:color w:val="auto"/>
          <w:kern w:val="2"/>
          <w:szCs w:val="22"/>
          <w:lang w:eastAsia="en-AU"/>
          <w14:ligatures w14:val="standardContextual"/>
        </w:rPr>
      </w:pPr>
      <w:hyperlink w:anchor="_Toc148971550" w:history="1">
        <w:r w:rsidRPr="00D67B13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color w:val="auto"/>
            <w:kern w:val="2"/>
            <w:szCs w:val="22"/>
            <w:lang w:eastAsia="en-AU"/>
            <w14:ligatures w14:val="standardContextual"/>
          </w:rPr>
          <w:tab/>
        </w:r>
        <w:r w:rsidRPr="00D67B13">
          <w:rPr>
            <w:rStyle w:val="Hyperlink"/>
            <w:noProof/>
          </w:rPr>
          <w:t>Compliance figures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_Toc148971550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A4FE64B" w14:textId="0CCBB88A" w:rsidR="00C12C31" w:rsidRDefault="00C12C31">
      <w:pPr>
        <w:pStyle w:val="TOC2"/>
        <w:rPr>
          <w:rFonts w:asciiTheme="minorHAnsi" w:eastAsiaTheme="minorEastAsia" w:hAnsiTheme="minorHAnsi" w:cstheme="minorBidi"/>
          <w:noProof/>
          <w:color w:val="auto"/>
          <w:kern w:val="2"/>
          <w:szCs w:val="22"/>
          <w:lang w:eastAsia="en-AU"/>
          <w14:ligatures w14:val="standardContextual"/>
        </w:rPr>
      </w:pPr>
      <w:hyperlink w:anchor="_Toc148971551" w:history="1">
        <w:r w:rsidRPr="00D67B13">
          <w:rPr>
            <w:rStyle w:val="Hyperlink"/>
            <w:noProof/>
          </w:rPr>
          <w:t>4.1</w:t>
        </w:r>
        <w:r>
          <w:rPr>
            <w:rFonts w:asciiTheme="minorHAnsi" w:eastAsiaTheme="minorEastAsia" w:hAnsiTheme="minorHAnsi" w:cstheme="minorBidi"/>
            <w:noProof/>
            <w:color w:val="auto"/>
            <w:kern w:val="2"/>
            <w:szCs w:val="22"/>
            <w:lang w:eastAsia="en-AU"/>
            <w14:ligatures w14:val="standardContextual"/>
          </w:rPr>
          <w:tab/>
        </w:r>
        <w:r w:rsidRPr="00D67B13">
          <w:rPr>
            <w:rStyle w:val="Hyperlink"/>
            <w:noProof/>
          </w:rPr>
          <w:t>Compliance summary figures – Quarter 3 (July – September 2023)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_Toc148971551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E85DB1D" w14:textId="764297D2" w:rsidR="00D96C1E" w:rsidRDefault="00A17119" w:rsidP="00664380">
      <w:pPr>
        <w:rPr>
          <w:noProof/>
        </w:rPr>
      </w:pPr>
      <w:r>
        <w:rPr>
          <w:noProof/>
          <w:lang w:eastAsia="en-AU"/>
        </w:rPr>
        <w:fldChar w:fldCharType="end"/>
      </w:r>
    </w:p>
    <w:p w14:paraId="18D8B052" w14:textId="77777777" w:rsidR="001D3258" w:rsidRDefault="001D3258" w:rsidP="00664380">
      <w:pPr>
        <w:rPr>
          <w:rFonts w:eastAsiaTheme="majorEastAsia"/>
        </w:rPr>
      </w:pPr>
    </w:p>
    <w:p w14:paraId="1A8AE274" w14:textId="77777777" w:rsidR="001D3258" w:rsidRDefault="001D3258" w:rsidP="00664380">
      <w:pPr>
        <w:pStyle w:val="Heading1"/>
        <w:numPr>
          <w:ilvl w:val="0"/>
          <w:numId w:val="46"/>
        </w:numPr>
      </w:pPr>
      <w:bookmarkStart w:id="0" w:name="_Toc148609401"/>
      <w:bookmarkStart w:id="1" w:name="_Toc148971541"/>
      <w:r>
        <w:lastRenderedPageBreak/>
        <w:t>Annual Quota</w:t>
      </w:r>
      <w:bookmarkEnd w:id="0"/>
      <w:bookmarkEnd w:id="1"/>
    </w:p>
    <w:p w14:paraId="5D1E35E9" w14:textId="77777777" w:rsidR="001D3258" w:rsidRDefault="001D3258" w:rsidP="00A22390">
      <w:pPr>
        <w:pStyle w:val="Heading2"/>
      </w:pPr>
      <w:bookmarkStart w:id="2" w:name="_Toc140584197"/>
      <w:bookmarkStart w:id="3" w:name="_Toc148609402"/>
      <w:bookmarkStart w:id="4" w:name="_Toc148971542"/>
      <w:r w:rsidRPr="00690A14">
        <w:t>Overview</w:t>
      </w:r>
      <w:bookmarkEnd w:id="2"/>
      <w:bookmarkEnd w:id="3"/>
      <w:bookmarkEnd w:id="4"/>
    </w:p>
    <w:p w14:paraId="25E7581B" w14:textId="77777777" w:rsidR="00A22390" w:rsidRDefault="00A22390" w:rsidP="00A22390">
      <w:pPr>
        <w:spacing w:after="0" w:line="360" w:lineRule="auto"/>
        <w:jc w:val="both"/>
        <w:rPr>
          <w:szCs w:val="22"/>
        </w:rPr>
      </w:pPr>
      <w:bookmarkStart w:id="5" w:name="_Toc140584198"/>
      <w:bookmarkStart w:id="6" w:name="_Toc148609403"/>
      <w:r w:rsidRPr="005C624E">
        <w:rPr>
          <w:szCs w:val="22"/>
        </w:rPr>
        <w:t xml:space="preserve">The commercial harvest of kangaroos is authorised by the Kangaroo Harvest Management Plan 2021-2023 under the </w:t>
      </w:r>
      <w:r w:rsidRPr="005C624E">
        <w:rPr>
          <w:i/>
          <w:iCs/>
          <w:szCs w:val="22"/>
        </w:rPr>
        <w:t>Wildlife Act 1975</w:t>
      </w:r>
      <w:r w:rsidRPr="005C624E">
        <w:rPr>
          <w:szCs w:val="22"/>
        </w:rPr>
        <w:t xml:space="preserve">. This plan requires the </w:t>
      </w:r>
      <w:r w:rsidRPr="00EE0DAC">
        <w:rPr>
          <w:szCs w:val="22"/>
        </w:rPr>
        <w:t>Secretary to the Department of Energy, Environment and Climate Change Action (DECCA) to set a yearly quota. The</w:t>
      </w:r>
      <w:r w:rsidRPr="005C624E">
        <w:rPr>
          <w:szCs w:val="22"/>
        </w:rPr>
        <w:t xml:space="preserve"> quota is the maximum number of kangaroos that can be</w:t>
      </w:r>
      <w:r>
        <w:rPr>
          <w:szCs w:val="22"/>
        </w:rPr>
        <w:t xml:space="preserve"> </w:t>
      </w:r>
      <w:r w:rsidRPr="005C624E">
        <w:rPr>
          <w:szCs w:val="22"/>
        </w:rPr>
        <w:t>harvested commercially</w:t>
      </w:r>
      <w:r>
        <w:rPr>
          <w:szCs w:val="22"/>
        </w:rPr>
        <w:t xml:space="preserve"> and under damage mitigation permits across Victoria. The commercial quota under the Kangaroo Harvest Program (KHP)</w:t>
      </w:r>
      <w:r w:rsidRPr="00592BDD">
        <w:rPr>
          <w:szCs w:val="22"/>
        </w:rPr>
        <w:t xml:space="preserve"> for 202</w:t>
      </w:r>
      <w:r>
        <w:rPr>
          <w:szCs w:val="22"/>
        </w:rPr>
        <w:t>3,</w:t>
      </w:r>
      <w:r w:rsidRPr="00592BDD">
        <w:rPr>
          <w:szCs w:val="22"/>
        </w:rPr>
        <w:t xml:space="preserve"> is </w:t>
      </w:r>
      <w:r>
        <w:rPr>
          <w:szCs w:val="22"/>
        </w:rPr>
        <w:t>166,750</w:t>
      </w:r>
      <w:r w:rsidRPr="00592BDD">
        <w:rPr>
          <w:szCs w:val="22"/>
        </w:rPr>
        <w:t>.</w:t>
      </w:r>
      <w:r>
        <w:rPr>
          <w:szCs w:val="22"/>
        </w:rPr>
        <w:t xml:space="preserve">  For 2023, there are four KHP quota </w:t>
      </w:r>
      <w:r w:rsidRPr="00992813">
        <w:rPr>
          <w:szCs w:val="22"/>
        </w:rPr>
        <w:t xml:space="preserve">release </w:t>
      </w:r>
      <w:r>
        <w:rPr>
          <w:szCs w:val="22"/>
        </w:rPr>
        <w:t>periods, the first release commenced in January, second release occurring in April 2023 and third release commencing July 2023.</w:t>
      </w:r>
      <w:r w:rsidRPr="00992813">
        <w:rPr>
          <w:szCs w:val="22"/>
        </w:rPr>
        <w:t xml:space="preserve"> </w:t>
      </w:r>
      <w:r>
        <w:rPr>
          <w:szCs w:val="22"/>
        </w:rPr>
        <w:t xml:space="preserve"> </w:t>
      </w:r>
    </w:p>
    <w:p w14:paraId="2FE1360B" w14:textId="167CACB9" w:rsidR="00A22390" w:rsidRPr="00A22390" w:rsidRDefault="00A22390" w:rsidP="00A22390">
      <w:pPr>
        <w:pStyle w:val="Heading3"/>
        <w:rPr>
          <w:rFonts w:eastAsiaTheme="majorEastAsia"/>
        </w:rPr>
      </w:pPr>
      <w:bookmarkStart w:id="7" w:name="_Toc148971543"/>
      <w:r w:rsidRPr="00664380">
        <w:rPr>
          <w:rStyle w:val="Heading4Char"/>
          <w:rFonts w:cs="Times New Roman"/>
          <w:b/>
          <w:bCs/>
          <w:iCs w:val="0"/>
          <w:color w:val="auto"/>
          <w:sz w:val="22"/>
        </w:rPr>
        <w:t>2023 Annual quota figures</w:t>
      </w:r>
      <w:bookmarkEnd w:id="7"/>
    </w:p>
    <w:p w14:paraId="3C28C8FA" w14:textId="77777777" w:rsidR="00A22390" w:rsidRDefault="00A22390" w:rsidP="00A22390">
      <w:pPr>
        <w:spacing w:after="0" w:line="360" w:lineRule="auto"/>
        <w:jc w:val="both"/>
        <w:rPr>
          <w:szCs w:val="22"/>
        </w:rPr>
      </w:pPr>
    </w:p>
    <w:bookmarkEnd w:id="5"/>
    <w:bookmarkEnd w:id="6"/>
    <w:p w14:paraId="2A69A854" w14:textId="77777777" w:rsidR="00A22390" w:rsidRDefault="00A22390" w:rsidP="00A22390">
      <w:pPr>
        <w:rPr>
          <w:rFonts w:eastAsiaTheme="majorEastAsia"/>
        </w:rPr>
      </w:pPr>
    </w:p>
    <w:tbl>
      <w:tblPr>
        <w:tblStyle w:val="DOT1"/>
        <w:tblpPr w:leftFromText="180" w:rightFromText="180" w:vertAnchor="page" w:horzAnchor="margin" w:tblpY="4981"/>
        <w:tblW w:w="5000" w:type="pct"/>
        <w:tblLook w:val="04A0" w:firstRow="1" w:lastRow="0" w:firstColumn="1" w:lastColumn="0" w:noHBand="0" w:noVBand="1"/>
      </w:tblPr>
      <w:tblGrid>
        <w:gridCol w:w="3871"/>
        <w:gridCol w:w="2231"/>
        <w:gridCol w:w="2103"/>
        <w:gridCol w:w="1908"/>
        <w:gridCol w:w="1905"/>
        <w:gridCol w:w="2546"/>
      </w:tblGrid>
      <w:tr w:rsidR="00A22390" w:rsidRPr="00EF3352" w14:paraId="73DB79CB" w14:textId="77777777" w:rsidTr="00A22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hideMark/>
          </w:tcPr>
          <w:p w14:paraId="4A035632" w14:textId="77777777" w:rsidR="00A22390" w:rsidRPr="00EF3352" w:rsidRDefault="00A22390" w:rsidP="00952D94">
            <w:pPr>
              <w:rPr>
                <w:b w:val="0"/>
                <w:bCs/>
                <w:color w:val="auto"/>
                <w:sz w:val="20"/>
                <w:lang w:eastAsia="en-AU"/>
              </w:rPr>
            </w:pPr>
            <w:bookmarkStart w:id="8" w:name="ColumnTitle_19"/>
            <w:r w:rsidRPr="00EF3352">
              <w:rPr>
                <w:bCs/>
                <w:color w:val="auto"/>
                <w:sz w:val="20"/>
                <w:lang w:eastAsia="en-AU"/>
              </w:rPr>
              <w:t>Zone</w:t>
            </w:r>
          </w:p>
        </w:tc>
        <w:tc>
          <w:tcPr>
            <w:tcW w:w="766" w:type="pct"/>
            <w:hideMark/>
          </w:tcPr>
          <w:p w14:paraId="7D0EA2BD" w14:textId="77777777" w:rsidR="00A22390" w:rsidRPr="00EF3352" w:rsidRDefault="00A22390" w:rsidP="00952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  <w:sz w:val="20"/>
                <w:lang w:eastAsia="en-AU"/>
              </w:rPr>
            </w:pPr>
            <w:r w:rsidRPr="00EF3352">
              <w:rPr>
                <w:bCs/>
                <w:color w:val="auto"/>
                <w:sz w:val="20"/>
                <w:lang w:eastAsia="en-AU"/>
              </w:rPr>
              <w:t xml:space="preserve">Quota  </w:t>
            </w:r>
          </w:p>
          <w:p w14:paraId="3586200D" w14:textId="77777777" w:rsidR="00A22390" w:rsidRPr="00EF3352" w:rsidRDefault="00A22390" w:rsidP="00952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  <w:sz w:val="20"/>
                <w:lang w:eastAsia="en-AU"/>
              </w:rPr>
            </w:pPr>
            <w:r w:rsidRPr="00EF3352">
              <w:rPr>
                <w:bCs/>
                <w:color w:val="auto"/>
                <w:sz w:val="20"/>
                <w:lang w:eastAsia="en-AU"/>
              </w:rPr>
              <w:t>Quarter 1</w:t>
            </w:r>
          </w:p>
        </w:tc>
        <w:tc>
          <w:tcPr>
            <w:tcW w:w="722" w:type="pct"/>
            <w:hideMark/>
          </w:tcPr>
          <w:p w14:paraId="75886212" w14:textId="77777777" w:rsidR="00A22390" w:rsidRPr="00EF3352" w:rsidRDefault="00A22390" w:rsidP="00952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  <w:sz w:val="20"/>
                <w:lang w:eastAsia="en-AU"/>
              </w:rPr>
            </w:pPr>
            <w:r w:rsidRPr="00EF3352">
              <w:rPr>
                <w:bCs/>
                <w:color w:val="auto"/>
                <w:sz w:val="20"/>
                <w:lang w:eastAsia="en-AU"/>
              </w:rPr>
              <w:t xml:space="preserve">Quota </w:t>
            </w:r>
          </w:p>
          <w:p w14:paraId="0C273418" w14:textId="77777777" w:rsidR="00A22390" w:rsidRPr="00EF3352" w:rsidRDefault="00A22390" w:rsidP="00952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  <w:sz w:val="20"/>
                <w:lang w:eastAsia="en-AU"/>
              </w:rPr>
            </w:pPr>
            <w:r w:rsidRPr="00EF3352">
              <w:rPr>
                <w:bCs/>
                <w:color w:val="auto"/>
                <w:sz w:val="20"/>
                <w:lang w:eastAsia="en-AU"/>
              </w:rPr>
              <w:t>Quarter 2</w:t>
            </w:r>
          </w:p>
        </w:tc>
        <w:tc>
          <w:tcPr>
            <w:tcW w:w="655" w:type="pct"/>
            <w:hideMark/>
          </w:tcPr>
          <w:p w14:paraId="57063164" w14:textId="77777777" w:rsidR="00A22390" w:rsidRPr="00EF3352" w:rsidRDefault="00A22390" w:rsidP="00952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  <w:sz w:val="20"/>
                <w:lang w:eastAsia="en-AU"/>
              </w:rPr>
            </w:pPr>
            <w:r w:rsidRPr="00EF3352">
              <w:rPr>
                <w:bCs/>
                <w:color w:val="auto"/>
                <w:sz w:val="20"/>
                <w:lang w:eastAsia="en-AU"/>
              </w:rPr>
              <w:t xml:space="preserve">Quota  </w:t>
            </w:r>
          </w:p>
          <w:p w14:paraId="23A1BDC5" w14:textId="77777777" w:rsidR="00A22390" w:rsidRPr="00EF3352" w:rsidRDefault="00A22390" w:rsidP="00952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  <w:sz w:val="20"/>
                <w:lang w:eastAsia="en-AU"/>
              </w:rPr>
            </w:pPr>
            <w:r w:rsidRPr="00EF3352">
              <w:rPr>
                <w:bCs/>
                <w:color w:val="auto"/>
                <w:sz w:val="20"/>
                <w:lang w:eastAsia="en-AU"/>
              </w:rPr>
              <w:t>Quarter 3</w:t>
            </w:r>
          </w:p>
        </w:tc>
        <w:tc>
          <w:tcPr>
            <w:tcW w:w="654" w:type="pct"/>
          </w:tcPr>
          <w:p w14:paraId="0EF9EC63" w14:textId="77777777" w:rsidR="00A22390" w:rsidRPr="00EF3352" w:rsidRDefault="00A22390" w:rsidP="00952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  <w:sz w:val="20"/>
                <w:lang w:eastAsia="en-AU"/>
              </w:rPr>
            </w:pPr>
            <w:r w:rsidRPr="00EF3352">
              <w:rPr>
                <w:bCs/>
                <w:color w:val="auto"/>
                <w:sz w:val="20"/>
                <w:lang w:eastAsia="en-AU"/>
              </w:rPr>
              <w:t xml:space="preserve">Quota  </w:t>
            </w:r>
          </w:p>
          <w:p w14:paraId="24EE3FD3" w14:textId="77777777" w:rsidR="00A22390" w:rsidRPr="00EF3352" w:rsidRDefault="00A22390" w:rsidP="00952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  <w:sz w:val="20"/>
                <w:lang w:eastAsia="en-AU"/>
              </w:rPr>
            </w:pPr>
            <w:r w:rsidRPr="00EF3352">
              <w:rPr>
                <w:bCs/>
                <w:color w:val="auto"/>
                <w:sz w:val="20"/>
                <w:lang w:eastAsia="en-AU"/>
              </w:rPr>
              <w:t>Quarter 4</w:t>
            </w:r>
          </w:p>
        </w:tc>
        <w:tc>
          <w:tcPr>
            <w:tcW w:w="874" w:type="pct"/>
            <w:hideMark/>
          </w:tcPr>
          <w:p w14:paraId="63133B6C" w14:textId="77777777" w:rsidR="00A22390" w:rsidRPr="00EF3352" w:rsidRDefault="00A22390" w:rsidP="00952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  <w:sz w:val="20"/>
                <w:lang w:eastAsia="en-AU"/>
              </w:rPr>
            </w:pPr>
            <w:r w:rsidRPr="00EF3352">
              <w:rPr>
                <w:bCs/>
                <w:color w:val="auto"/>
                <w:sz w:val="20"/>
                <w:lang w:eastAsia="en-AU"/>
              </w:rPr>
              <w:t>Total Allocation 2023</w:t>
            </w:r>
          </w:p>
        </w:tc>
      </w:tr>
      <w:bookmarkEnd w:id="8"/>
      <w:tr w:rsidR="00A22390" w:rsidRPr="00EF3352" w14:paraId="304DB01B" w14:textId="77777777" w:rsidTr="00A22390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hideMark/>
          </w:tcPr>
          <w:p w14:paraId="45DC5F9A" w14:textId="77777777" w:rsidR="00A22390" w:rsidRPr="00EF3352" w:rsidRDefault="00A22390" w:rsidP="00952D94">
            <w:pPr>
              <w:rPr>
                <w:b w:val="0"/>
                <w:bCs/>
                <w:color w:val="auto"/>
                <w:lang w:eastAsia="en-AU"/>
              </w:rPr>
            </w:pPr>
            <w:r w:rsidRPr="00EF3352">
              <w:rPr>
                <w:bCs/>
                <w:color w:val="auto"/>
                <w:lang w:eastAsia="en-AU"/>
              </w:rPr>
              <w:t>Central</w:t>
            </w:r>
          </w:p>
        </w:tc>
        <w:tc>
          <w:tcPr>
            <w:tcW w:w="766" w:type="pct"/>
            <w:hideMark/>
          </w:tcPr>
          <w:p w14:paraId="324C5E5A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16,300</w:t>
            </w:r>
          </w:p>
        </w:tc>
        <w:tc>
          <w:tcPr>
            <w:tcW w:w="722" w:type="pct"/>
            <w:hideMark/>
          </w:tcPr>
          <w:p w14:paraId="36CC8082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16,300</w:t>
            </w:r>
          </w:p>
        </w:tc>
        <w:tc>
          <w:tcPr>
            <w:tcW w:w="655" w:type="pct"/>
            <w:hideMark/>
          </w:tcPr>
          <w:p w14:paraId="5E6ABE96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16,300</w:t>
            </w:r>
          </w:p>
        </w:tc>
        <w:tc>
          <w:tcPr>
            <w:tcW w:w="654" w:type="pct"/>
          </w:tcPr>
          <w:p w14:paraId="401E65A5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16,200</w:t>
            </w:r>
          </w:p>
        </w:tc>
        <w:tc>
          <w:tcPr>
            <w:tcW w:w="874" w:type="pct"/>
            <w:hideMark/>
          </w:tcPr>
          <w:p w14:paraId="692E4D05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65,100</w:t>
            </w:r>
          </w:p>
        </w:tc>
      </w:tr>
      <w:tr w:rsidR="00A22390" w:rsidRPr="00EF3352" w14:paraId="379F83F8" w14:textId="77777777" w:rsidTr="00A22390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hideMark/>
          </w:tcPr>
          <w:p w14:paraId="2F69B5E1" w14:textId="77777777" w:rsidR="00A22390" w:rsidRPr="00EF3352" w:rsidRDefault="00A22390" w:rsidP="00952D94">
            <w:pPr>
              <w:rPr>
                <w:b w:val="0"/>
                <w:bCs/>
                <w:color w:val="auto"/>
                <w:lang w:eastAsia="en-AU"/>
              </w:rPr>
            </w:pPr>
            <w:r w:rsidRPr="00EF3352">
              <w:rPr>
                <w:bCs/>
                <w:color w:val="auto"/>
                <w:lang w:eastAsia="en-AU"/>
              </w:rPr>
              <w:t>Gippsland</w:t>
            </w:r>
          </w:p>
        </w:tc>
        <w:tc>
          <w:tcPr>
            <w:tcW w:w="766" w:type="pct"/>
            <w:hideMark/>
          </w:tcPr>
          <w:p w14:paraId="057349D1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3,400</w:t>
            </w:r>
          </w:p>
        </w:tc>
        <w:tc>
          <w:tcPr>
            <w:tcW w:w="722" w:type="pct"/>
            <w:hideMark/>
          </w:tcPr>
          <w:p w14:paraId="32E37892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3,400</w:t>
            </w:r>
          </w:p>
        </w:tc>
        <w:tc>
          <w:tcPr>
            <w:tcW w:w="655" w:type="pct"/>
            <w:hideMark/>
          </w:tcPr>
          <w:p w14:paraId="5B9541DE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3,400</w:t>
            </w:r>
          </w:p>
        </w:tc>
        <w:tc>
          <w:tcPr>
            <w:tcW w:w="654" w:type="pct"/>
          </w:tcPr>
          <w:p w14:paraId="080CD0C5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3,400</w:t>
            </w:r>
          </w:p>
        </w:tc>
        <w:tc>
          <w:tcPr>
            <w:tcW w:w="874" w:type="pct"/>
            <w:hideMark/>
          </w:tcPr>
          <w:p w14:paraId="6EB1D75A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13,600</w:t>
            </w:r>
          </w:p>
        </w:tc>
      </w:tr>
      <w:tr w:rsidR="00A22390" w:rsidRPr="00EF3352" w14:paraId="6FB2AFE2" w14:textId="77777777" w:rsidTr="00A22390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hideMark/>
          </w:tcPr>
          <w:p w14:paraId="7D9686B3" w14:textId="77777777" w:rsidR="00A22390" w:rsidRPr="00EF3352" w:rsidRDefault="00A22390" w:rsidP="00952D94">
            <w:pPr>
              <w:rPr>
                <w:b w:val="0"/>
                <w:bCs/>
                <w:color w:val="auto"/>
                <w:lang w:eastAsia="en-AU"/>
              </w:rPr>
            </w:pPr>
            <w:r w:rsidRPr="00EF3352">
              <w:rPr>
                <w:bCs/>
                <w:color w:val="auto"/>
                <w:lang w:eastAsia="en-AU"/>
              </w:rPr>
              <w:t>Lower Wimmera</w:t>
            </w:r>
          </w:p>
        </w:tc>
        <w:tc>
          <w:tcPr>
            <w:tcW w:w="766" w:type="pct"/>
            <w:hideMark/>
          </w:tcPr>
          <w:p w14:paraId="12BA776B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10,300</w:t>
            </w:r>
          </w:p>
        </w:tc>
        <w:tc>
          <w:tcPr>
            <w:tcW w:w="722" w:type="pct"/>
            <w:hideMark/>
          </w:tcPr>
          <w:p w14:paraId="1683F70D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10,300</w:t>
            </w:r>
          </w:p>
        </w:tc>
        <w:tc>
          <w:tcPr>
            <w:tcW w:w="655" w:type="pct"/>
            <w:hideMark/>
          </w:tcPr>
          <w:p w14:paraId="5FA96385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10,300</w:t>
            </w:r>
          </w:p>
        </w:tc>
        <w:tc>
          <w:tcPr>
            <w:tcW w:w="654" w:type="pct"/>
          </w:tcPr>
          <w:p w14:paraId="005BCF32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10,200</w:t>
            </w:r>
          </w:p>
        </w:tc>
        <w:tc>
          <w:tcPr>
            <w:tcW w:w="874" w:type="pct"/>
            <w:hideMark/>
          </w:tcPr>
          <w:p w14:paraId="5D285787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41,100</w:t>
            </w:r>
          </w:p>
        </w:tc>
      </w:tr>
      <w:tr w:rsidR="00A22390" w:rsidRPr="00EF3352" w14:paraId="2B3BFC7D" w14:textId="77777777" w:rsidTr="00A22390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hideMark/>
          </w:tcPr>
          <w:p w14:paraId="35125129" w14:textId="77777777" w:rsidR="00A22390" w:rsidRPr="00EF3352" w:rsidRDefault="00A22390" w:rsidP="00952D94">
            <w:pPr>
              <w:rPr>
                <w:b w:val="0"/>
                <w:bCs/>
                <w:color w:val="auto"/>
                <w:lang w:eastAsia="en-AU"/>
              </w:rPr>
            </w:pPr>
            <w:r w:rsidRPr="00EF3352">
              <w:rPr>
                <w:bCs/>
                <w:color w:val="auto"/>
                <w:lang w:eastAsia="en-AU"/>
              </w:rPr>
              <w:t>Mallee</w:t>
            </w:r>
          </w:p>
        </w:tc>
        <w:tc>
          <w:tcPr>
            <w:tcW w:w="766" w:type="pct"/>
            <w:hideMark/>
          </w:tcPr>
          <w:p w14:paraId="1AC066A4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550</w:t>
            </w:r>
          </w:p>
        </w:tc>
        <w:tc>
          <w:tcPr>
            <w:tcW w:w="722" w:type="pct"/>
            <w:hideMark/>
          </w:tcPr>
          <w:p w14:paraId="622E65C3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500</w:t>
            </w:r>
          </w:p>
        </w:tc>
        <w:tc>
          <w:tcPr>
            <w:tcW w:w="655" w:type="pct"/>
            <w:hideMark/>
          </w:tcPr>
          <w:p w14:paraId="2902CEEB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500</w:t>
            </w:r>
          </w:p>
        </w:tc>
        <w:tc>
          <w:tcPr>
            <w:tcW w:w="654" w:type="pct"/>
          </w:tcPr>
          <w:p w14:paraId="6BC8E87B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0</w:t>
            </w:r>
          </w:p>
        </w:tc>
        <w:tc>
          <w:tcPr>
            <w:tcW w:w="874" w:type="pct"/>
            <w:hideMark/>
          </w:tcPr>
          <w:p w14:paraId="158BB218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1,550</w:t>
            </w:r>
          </w:p>
        </w:tc>
      </w:tr>
      <w:tr w:rsidR="00A22390" w:rsidRPr="00EF3352" w14:paraId="22F98B0D" w14:textId="77777777" w:rsidTr="00A22390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hideMark/>
          </w:tcPr>
          <w:p w14:paraId="375222F9" w14:textId="77777777" w:rsidR="00A22390" w:rsidRPr="00EF3352" w:rsidRDefault="00A22390" w:rsidP="00952D94">
            <w:pPr>
              <w:rPr>
                <w:b w:val="0"/>
                <w:bCs/>
                <w:color w:val="auto"/>
                <w:lang w:eastAsia="en-AU"/>
              </w:rPr>
            </w:pPr>
            <w:proofErr w:type="gramStart"/>
            <w:r w:rsidRPr="00EF3352">
              <w:rPr>
                <w:bCs/>
                <w:color w:val="auto"/>
                <w:lang w:eastAsia="en-AU"/>
              </w:rPr>
              <w:t>North East</w:t>
            </w:r>
            <w:proofErr w:type="gramEnd"/>
          </w:p>
        </w:tc>
        <w:tc>
          <w:tcPr>
            <w:tcW w:w="766" w:type="pct"/>
            <w:hideMark/>
          </w:tcPr>
          <w:p w14:paraId="651482F2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2,800</w:t>
            </w:r>
          </w:p>
        </w:tc>
        <w:tc>
          <w:tcPr>
            <w:tcW w:w="722" w:type="pct"/>
            <w:hideMark/>
          </w:tcPr>
          <w:p w14:paraId="5EF06B9C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2,800</w:t>
            </w:r>
          </w:p>
        </w:tc>
        <w:tc>
          <w:tcPr>
            <w:tcW w:w="655" w:type="pct"/>
            <w:hideMark/>
          </w:tcPr>
          <w:p w14:paraId="485D1683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2,800</w:t>
            </w:r>
          </w:p>
        </w:tc>
        <w:tc>
          <w:tcPr>
            <w:tcW w:w="654" w:type="pct"/>
          </w:tcPr>
          <w:p w14:paraId="36358D70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2,650</w:t>
            </w:r>
          </w:p>
        </w:tc>
        <w:tc>
          <w:tcPr>
            <w:tcW w:w="874" w:type="pct"/>
            <w:hideMark/>
          </w:tcPr>
          <w:p w14:paraId="3F7FC01A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11,050</w:t>
            </w:r>
          </w:p>
        </w:tc>
      </w:tr>
      <w:tr w:rsidR="00A22390" w:rsidRPr="00EF3352" w14:paraId="14CC3279" w14:textId="77777777" w:rsidTr="00A22390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hideMark/>
          </w:tcPr>
          <w:p w14:paraId="5A5830E3" w14:textId="77777777" w:rsidR="00A22390" w:rsidRPr="00EF3352" w:rsidRDefault="00A22390" w:rsidP="00952D94">
            <w:pPr>
              <w:rPr>
                <w:b w:val="0"/>
                <w:bCs/>
                <w:color w:val="auto"/>
                <w:lang w:eastAsia="en-AU"/>
              </w:rPr>
            </w:pPr>
            <w:r w:rsidRPr="00EF3352">
              <w:rPr>
                <w:bCs/>
                <w:color w:val="auto"/>
                <w:lang w:eastAsia="en-AU"/>
              </w:rPr>
              <w:t>Otway</w:t>
            </w:r>
          </w:p>
        </w:tc>
        <w:tc>
          <w:tcPr>
            <w:tcW w:w="766" w:type="pct"/>
            <w:hideMark/>
          </w:tcPr>
          <w:p w14:paraId="04585307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4,000</w:t>
            </w:r>
          </w:p>
        </w:tc>
        <w:tc>
          <w:tcPr>
            <w:tcW w:w="722" w:type="pct"/>
            <w:hideMark/>
          </w:tcPr>
          <w:p w14:paraId="4B75EFDC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4,000</w:t>
            </w:r>
          </w:p>
        </w:tc>
        <w:tc>
          <w:tcPr>
            <w:tcW w:w="655" w:type="pct"/>
            <w:hideMark/>
          </w:tcPr>
          <w:p w14:paraId="067FAD3B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4,000</w:t>
            </w:r>
          </w:p>
        </w:tc>
        <w:tc>
          <w:tcPr>
            <w:tcW w:w="654" w:type="pct"/>
          </w:tcPr>
          <w:p w14:paraId="6B256FE5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3,500</w:t>
            </w:r>
          </w:p>
        </w:tc>
        <w:tc>
          <w:tcPr>
            <w:tcW w:w="874" w:type="pct"/>
            <w:hideMark/>
          </w:tcPr>
          <w:p w14:paraId="16429EA1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15,500</w:t>
            </w:r>
          </w:p>
        </w:tc>
      </w:tr>
      <w:tr w:rsidR="00A22390" w:rsidRPr="00EF3352" w14:paraId="56E1C2EE" w14:textId="77777777" w:rsidTr="00A22390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tcBorders>
              <w:bottom w:val="single" w:sz="4" w:space="0" w:color="auto"/>
            </w:tcBorders>
            <w:hideMark/>
          </w:tcPr>
          <w:p w14:paraId="78B91755" w14:textId="77777777" w:rsidR="00A22390" w:rsidRPr="00EF3352" w:rsidRDefault="00A22390" w:rsidP="00952D94">
            <w:pPr>
              <w:rPr>
                <w:b w:val="0"/>
                <w:bCs/>
                <w:color w:val="auto"/>
                <w:lang w:eastAsia="en-AU"/>
              </w:rPr>
            </w:pPr>
            <w:r w:rsidRPr="00EF3352">
              <w:rPr>
                <w:bCs/>
                <w:color w:val="auto"/>
                <w:lang w:eastAsia="en-AU"/>
              </w:rPr>
              <w:t>Upper Wimmera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hideMark/>
          </w:tcPr>
          <w:p w14:paraId="6FC10DBD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4,750</w:t>
            </w:r>
          </w:p>
        </w:tc>
        <w:tc>
          <w:tcPr>
            <w:tcW w:w="722" w:type="pct"/>
            <w:tcBorders>
              <w:bottom w:val="single" w:sz="4" w:space="0" w:color="auto"/>
            </w:tcBorders>
            <w:hideMark/>
          </w:tcPr>
          <w:p w14:paraId="5C390139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4,700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hideMark/>
          </w:tcPr>
          <w:p w14:paraId="11F0C166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4,700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14:paraId="5C3829CA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4,700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hideMark/>
          </w:tcPr>
          <w:p w14:paraId="71A80C03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18,850</w:t>
            </w:r>
          </w:p>
        </w:tc>
      </w:tr>
      <w:tr w:rsidR="00A22390" w:rsidRPr="00EF3352" w14:paraId="66FD5FB4" w14:textId="77777777" w:rsidTr="00A22390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single" w:sz="4" w:space="0" w:color="auto"/>
            </w:tcBorders>
            <w:hideMark/>
          </w:tcPr>
          <w:p w14:paraId="2DFFF768" w14:textId="77777777" w:rsidR="00A22390" w:rsidRPr="00EF3352" w:rsidRDefault="00A22390" w:rsidP="00952D94">
            <w:pPr>
              <w:rPr>
                <w:b w:val="0"/>
                <w:bCs/>
                <w:color w:val="auto"/>
                <w:lang w:eastAsia="en-AU"/>
              </w:rPr>
            </w:pPr>
            <w:r w:rsidRPr="00EF3352">
              <w:rPr>
                <w:bCs/>
                <w:color w:val="auto"/>
                <w:lang w:eastAsia="en-AU"/>
              </w:rPr>
              <w:t>Total</w:t>
            </w:r>
          </w:p>
        </w:tc>
        <w:tc>
          <w:tcPr>
            <w:tcW w:w="766" w:type="pct"/>
            <w:tcBorders>
              <w:top w:val="single" w:sz="4" w:space="0" w:color="auto"/>
            </w:tcBorders>
            <w:hideMark/>
          </w:tcPr>
          <w:p w14:paraId="4FC32D8B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eastAsia="en-AU"/>
              </w:rPr>
            </w:pPr>
            <w:r w:rsidRPr="00EF3352">
              <w:rPr>
                <w:b/>
                <w:bCs/>
                <w:color w:val="auto"/>
                <w:lang w:eastAsia="en-AU"/>
              </w:rPr>
              <w:t>42,100</w:t>
            </w:r>
          </w:p>
        </w:tc>
        <w:tc>
          <w:tcPr>
            <w:tcW w:w="722" w:type="pct"/>
            <w:tcBorders>
              <w:top w:val="single" w:sz="4" w:space="0" w:color="auto"/>
            </w:tcBorders>
            <w:hideMark/>
          </w:tcPr>
          <w:p w14:paraId="0DB70265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eastAsia="en-AU"/>
              </w:rPr>
            </w:pPr>
            <w:r w:rsidRPr="00EF3352">
              <w:rPr>
                <w:b/>
                <w:bCs/>
                <w:color w:val="auto"/>
                <w:lang w:eastAsia="en-AU"/>
              </w:rPr>
              <w:t>42,000</w:t>
            </w:r>
          </w:p>
        </w:tc>
        <w:tc>
          <w:tcPr>
            <w:tcW w:w="655" w:type="pct"/>
            <w:tcBorders>
              <w:top w:val="single" w:sz="4" w:space="0" w:color="auto"/>
            </w:tcBorders>
            <w:hideMark/>
          </w:tcPr>
          <w:p w14:paraId="40E38873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eastAsia="en-AU"/>
              </w:rPr>
            </w:pPr>
            <w:r w:rsidRPr="00EF3352">
              <w:rPr>
                <w:b/>
                <w:bCs/>
                <w:color w:val="auto"/>
                <w:lang w:eastAsia="en-AU"/>
              </w:rPr>
              <w:t>42,000</w:t>
            </w:r>
          </w:p>
        </w:tc>
        <w:tc>
          <w:tcPr>
            <w:tcW w:w="654" w:type="pct"/>
            <w:tcBorders>
              <w:top w:val="single" w:sz="4" w:space="0" w:color="auto"/>
            </w:tcBorders>
          </w:tcPr>
          <w:p w14:paraId="73F6809C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eastAsia="en-AU"/>
              </w:rPr>
            </w:pPr>
            <w:r w:rsidRPr="00EF3352">
              <w:rPr>
                <w:b/>
                <w:bCs/>
                <w:color w:val="auto"/>
                <w:lang w:eastAsia="en-AU"/>
              </w:rPr>
              <w:t>40,650</w:t>
            </w:r>
          </w:p>
        </w:tc>
        <w:tc>
          <w:tcPr>
            <w:tcW w:w="874" w:type="pct"/>
            <w:tcBorders>
              <w:top w:val="single" w:sz="4" w:space="0" w:color="auto"/>
            </w:tcBorders>
            <w:hideMark/>
          </w:tcPr>
          <w:p w14:paraId="52B0E2E5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eastAsia="en-AU"/>
              </w:rPr>
            </w:pPr>
            <w:r w:rsidRPr="00EF3352">
              <w:rPr>
                <w:b/>
                <w:bCs/>
                <w:color w:val="auto"/>
                <w:lang w:eastAsia="en-AU"/>
              </w:rPr>
              <w:t>166,750</w:t>
            </w:r>
          </w:p>
        </w:tc>
      </w:tr>
    </w:tbl>
    <w:p w14:paraId="5AF0268A" w14:textId="77777777" w:rsidR="00A22390" w:rsidRPr="00A22390" w:rsidRDefault="00A22390" w:rsidP="00A22390">
      <w:pPr>
        <w:rPr>
          <w:rFonts w:eastAsiaTheme="majorEastAsia"/>
        </w:rPr>
      </w:pPr>
    </w:p>
    <w:p w14:paraId="136BABE8" w14:textId="77777777" w:rsidR="00A22390" w:rsidRPr="007C7289" w:rsidRDefault="00A22390" w:rsidP="00A22390">
      <w:pPr>
        <w:pStyle w:val="Heading1"/>
        <w:numPr>
          <w:ilvl w:val="0"/>
          <w:numId w:val="46"/>
        </w:numPr>
      </w:pPr>
      <w:bookmarkStart w:id="9" w:name="_Toc147763182"/>
      <w:bookmarkStart w:id="10" w:name="_Toc148971544"/>
      <w:r w:rsidRPr="007C7289">
        <w:lastRenderedPageBreak/>
        <w:t xml:space="preserve">Quota allocation </w:t>
      </w:r>
      <w:r>
        <w:t>– Quarter 3 release</w:t>
      </w:r>
      <w:bookmarkEnd w:id="9"/>
      <w:bookmarkEnd w:id="10"/>
    </w:p>
    <w:p w14:paraId="210C1B3F" w14:textId="77777777" w:rsidR="00A22390" w:rsidRPr="00F9162F" w:rsidRDefault="00A22390" w:rsidP="00A22390">
      <w:pPr>
        <w:pStyle w:val="Heading2"/>
      </w:pPr>
      <w:bookmarkStart w:id="11" w:name="_Toc147763183"/>
      <w:bookmarkStart w:id="12" w:name="_Toc148971545"/>
      <w:r w:rsidRPr="00F9162F">
        <w:t>Overview</w:t>
      </w:r>
      <w:bookmarkEnd w:id="11"/>
      <w:bookmarkEnd w:id="12"/>
      <w:r w:rsidRPr="00F9162F">
        <w:t xml:space="preserve"> </w:t>
      </w:r>
    </w:p>
    <w:p w14:paraId="687DF336" w14:textId="77777777" w:rsidR="00A22390" w:rsidRDefault="00A22390" w:rsidP="00A22390">
      <w:pPr>
        <w:pStyle w:val="ListParagraph"/>
        <w:numPr>
          <w:ilvl w:val="0"/>
          <w:numId w:val="31"/>
        </w:numPr>
        <w:jc w:val="both"/>
        <w:rPr>
          <w:szCs w:val="22"/>
        </w:rPr>
      </w:pPr>
      <w:r>
        <w:rPr>
          <w:szCs w:val="22"/>
        </w:rPr>
        <w:t xml:space="preserve">There are currently 176 harvesters authorised under the Kangaroo Harvesting Program </w:t>
      </w:r>
    </w:p>
    <w:p w14:paraId="42E848B7" w14:textId="77777777" w:rsidR="00A22390" w:rsidRDefault="00A22390" w:rsidP="00A22390">
      <w:pPr>
        <w:pStyle w:val="ListParagraph"/>
        <w:numPr>
          <w:ilvl w:val="0"/>
          <w:numId w:val="31"/>
        </w:numPr>
        <w:jc w:val="both"/>
        <w:rPr>
          <w:szCs w:val="22"/>
        </w:rPr>
      </w:pPr>
      <w:r>
        <w:rPr>
          <w:szCs w:val="22"/>
        </w:rPr>
        <w:t>From July to September 2023, 20,257</w:t>
      </w:r>
      <w:r w:rsidRPr="00752665">
        <w:rPr>
          <w:szCs w:val="22"/>
        </w:rPr>
        <w:t xml:space="preserve"> tags were allocated across the state</w:t>
      </w:r>
      <w:r>
        <w:rPr>
          <w:szCs w:val="22"/>
        </w:rPr>
        <w:t xml:space="preserve"> which equates to 38.3</w:t>
      </w:r>
      <w:r w:rsidRPr="008B594B">
        <w:rPr>
          <w:szCs w:val="22"/>
        </w:rPr>
        <w:t xml:space="preserve">% of the </w:t>
      </w:r>
      <w:r>
        <w:rPr>
          <w:szCs w:val="22"/>
        </w:rPr>
        <w:t>52,907</w:t>
      </w:r>
      <w:r w:rsidRPr="008B594B">
        <w:rPr>
          <w:szCs w:val="22"/>
        </w:rPr>
        <w:t xml:space="preserve"> tags available for </w:t>
      </w:r>
      <w:r>
        <w:rPr>
          <w:szCs w:val="22"/>
        </w:rPr>
        <w:t>Quarter</w:t>
      </w:r>
      <w:r w:rsidRPr="008B594B">
        <w:rPr>
          <w:szCs w:val="22"/>
        </w:rPr>
        <w:t xml:space="preserve"> </w:t>
      </w:r>
      <w:r>
        <w:rPr>
          <w:szCs w:val="22"/>
        </w:rPr>
        <w:t>3, noting that the tags available for Quarter 3 included some carry-over from Quarter 2.</w:t>
      </w:r>
    </w:p>
    <w:p w14:paraId="643A761C" w14:textId="77777777" w:rsidR="00A22390" w:rsidRDefault="00A22390" w:rsidP="00A22390">
      <w:pPr>
        <w:pStyle w:val="ListParagraph"/>
        <w:numPr>
          <w:ilvl w:val="0"/>
          <w:numId w:val="31"/>
        </w:numPr>
        <w:rPr>
          <w:szCs w:val="22"/>
        </w:rPr>
      </w:pPr>
      <w:r>
        <w:rPr>
          <w:szCs w:val="22"/>
        </w:rPr>
        <w:t>Of the tags that have been allocated for Quarter 3, 16,082 tags</w:t>
      </w:r>
      <w:r w:rsidRPr="00D56C2C">
        <w:rPr>
          <w:szCs w:val="22"/>
        </w:rPr>
        <w:t xml:space="preserve"> </w:t>
      </w:r>
      <w:r>
        <w:rPr>
          <w:szCs w:val="22"/>
        </w:rPr>
        <w:t>have been</w:t>
      </w:r>
      <w:r w:rsidRPr="00D56C2C">
        <w:rPr>
          <w:szCs w:val="22"/>
        </w:rPr>
        <w:t xml:space="preserve"> </w:t>
      </w:r>
      <w:proofErr w:type="gramStart"/>
      <w:r w:rsidRPr="00D56C2C">
        <w:rPr>
          <w:szCs w:val="22"/>
        </w:rPr>
        <w:t>consumed</w:t>
      </w:r>
      <w:proofErr w:type="gramEnd"/>
    </w:p>
    <w:p w14:paraId="31D20403" w14:textId="77777777" w:rsidR="00A22390" w:rsidRDefault="00A22390" w:rsidP="00A22390">
      <w:pPr>
        <w:pStyle w:val="ListParagraph"/>
        <w:numPr>
          <w:ilvl w:val="0"/>
          <w:numId w:val="31"/>
        </w:numPr>
        <w:rPr>
          <w:szCs w:val="22"/>
        </w:rPr>
      </w:pPr>
      <w:r>
        <w:rPr>
          <w:szCs w:val="22"/>
        </w:rPr>
        <w:t>Total number of tags allocated from 1 Jan – 30 Sep 2023 = 93,450</w:t>
      </w:r>
    </w:p>
    <w:p w14:paraId="60F0B9E2" w14:textId="77777777" w:rsidR="00A22390" w:rsidRPr="00F9162F" w:rsidRDefault="00A22390" w:rsidP="00A22390">
      <w:pPr>
        <w:pStyle w:val="ListParagraph"/>
        <w:numPr>
          <w:ilvl w:val="0"/>
          <w:numId w:val="31"/>
        </w:numPr>
        <w:rPr>
          <w:szCs w:val="22"/>
        </w:rPr>
      </w:pPr>
      <w:r>
        <w:rPr>
          <w:szCs w:val="22"/>
        </w:rPr>
        <w:t>Total number of tags consumed from 1 Jan – 30 Sep 2023 = 61,111</w:t>
      </w:r>
    </w:p>
    <w:p w14:paraId="087F7B48" w14:textId="50B18DDF" w:rsidR="00A22390" w:rsidRPr="00A22390" w:rsidRDefault="00A22390" w:rsidP="00A22390">
      <w:pPr>
        <w:pStyle w:val="Heading3"/>
        <w:rPr>
          <w:rStyle w:val="Heading4Char"/>
          <w:rFonts w:cs="Times New Roman"/>
          <w:b/>
          <w:bCs/>
          <w:iCs w:val="0"/>
          <w:color w:val="auto"/>
          <w:sz w:val="22"/>
        </w:rPr>
      </w:pPr>
      <w:bookmarkStart w:id="13" w:name="_Toc147763184"/>
      <w:bookmarkStart w:id="14" w:name="_Toc148971546"/>
      <w:r w:rsidRPr="00A22390">
        <w:rPr>
          <w:rStyle w:val="Heading4Char"/>
          <w:rFonts w:cs="Times New Roman"/>
          <w:b/>
          <w:bCs/>
          <w:iCs w:val="0"/>
          <w:color w:val="auto"/>
          <w:sz w:val="22"/>
        </w:rPr>
        <w:t>Allocation and consumption figures – Quarter 3 release (July to September 2023)</w:t>
      </w:r>
      <w:bookmarkEnd w:id="13"/>
      <w:bookmarkEnd w:id="14"/>
    </w:p>
    <w:tbl>
      <w:tblPr>
        <w:tblStyle w:val="DOT1"/>
        <w:tblW w:w="4891" w:type="pct"/>
        <w:tblLook w:val="04A0" w:firstRow="1" w:lastRow="0" w:firstColumn="1" w:lastColumn="0" w:noHBand="0" w:noVBand="1"/>
      </w:tblPr>
      <w:tblGrid>
        <w:gridCol w:w="2327"/>
        <w:gridCol w:w="2311"/>
        <w:gridCol w:w="2317"/>
        <w:gridCol w:w="2328"/>
        <w:gridCol w:w="2331"/>
        <w:gridCol w:w="2633"/>
      </w:tblGrid>
      <w:tr w:rsidR="00A22390" w:rsidRPr="00EF3352" w14:paraId="50C58809" w14:textId="77777777" w:rsidTr="00A22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vMerge w:val="restart"/>
            <w:hideMark/>
          </w:tcPr>
          <w:p w14:paraId="1DA926CA" w14:textId="77777777" w:rsidR="00A22390" w:rsidRPr="00EF3352" w:rsidRDefault="00A22390" w:rsidP="00952D94">
            <w:pPr>
              <w:jc w:val="center"/>
              <w:rPr>
                <w:b w:val="0"/>
                <w:bCs/>
                <w:color w:val="auto"/>
                <w:sz w:val="20"/>
                <w:lang w:eastAsia="en-AU"/>
              </w:rPr>
            </w:pPr>
            <w:bookmarkStart w:id="15" w:name="Title_2" w:colFirst="0" w:colLast="0"/>
            <w:r w:rsidRPr="00EF3352">
              <w:rPr>
                <w:bCs/>
                <w:color w:val="auto"/>
                <w:sz w:val="20"/>
                <w:lang w:eastAsia="en-AU"/>
              </w:rPr>
              <w:t>Zone</w:t>
            </w:r>
          </w:p>
        </w:tc>
        <w:tc>
          <w:tcPr>
            <w:tcW w:w="811" w:type="pct"/>
            <w:vMerge w:val="restart"/>
            <w:hideMark/>
          </w:tcPr>
          <w:p w14:paraId="7D41DE9B" w14:textId="77777777" w:rsidR="00A22390" w:rsidRPr="00EF3352" w:rsidRDefault="00A22390" w:rsidP="00952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  <w:sz w:val="20"/>
                <w:lang w:eastAsia="en-AU"/>
              </w:rPr>
            </w:pPr>
            <w:r w:rsidRPr="00EF3352">
              <w:rPr>
                <w:bCs/>
                <w:color w:val="auto"/>
                <w:sz w:val="20"/>
                <w:lang w:eastAsia="en-AU"/>
              </w:rPr>
              <w:t>Quota Released</w:t>
            </w:r>
            <w:r>
              <w:rPr>
                <w:bCs/>
                <w:color w:val="auto"/>
                <w:sz w:val="20"/>
                <w:lang w:eastAsia="en-AU"/>
              </w:rPr>
              <w:t xml:space="preserve"> </w:t>
            </w:r>
            <w:r w:rsidRPr="00EF3352">
              <w:rPr>
                <w:bCs/>
                <w:color w:val="auto"/>
                <w:sz w:val="20"/>
                <w:lang w:eastAsia="en-AU"/>
              </w:rPr>
              <w:t>Quarter 3</w:t>
            </w:r>
            <w:r>
              <w:rPr>
                <w:bCs/>
                <w:color w:val="auto"/>
                <w:sz w:val="20"/>
                <w:lang w:eastAsia="en-AU"/>
              </w:rPr>
              <w:t xml:space="preserve"> </w:t>
            </w:r>
            <w:r w:rsidRPr="00EF3352">
              <w:rPr>
                <w:bCs/>
                <w:color w:val="auto"/>
                <w:sz w:val="20"/>
                <w:lang w:eastAsia="en-AU"/>
              </w:rPr>
              <w:t>(includes Q</w:t>
            </w:r>
            <w:r>
              <w:rPr>
                <w:bCs/>
                <w:color w:val="auto"/>
                <w:sz w:val="20"/>
                <w:lang w:eastAsia="en-AU"/>
              </w:rPr>
              <w:t xml:space="preserve">uarter </w:t>
            </w:r>
            <w:r w:rsidRPr="00EF3352">
              <w:rPr>
                <w:bCs/>
                <w:color w:val="auto"/>
                <w:sz w:val="20"/>
                <w:lang w:eastAsia="en-AU"/>
              </w:rPr>
              <w:t>2 carryover)</w:t>
            </w:r>
          </w:p>
        </w:tc>
        <w:tc>
          <w:tcPr>
            <w:tcW w:w="813" w:type="pct"/>
            <w:vMerge w:val="restart"/>
            <w:hideMark/>
          </w:tcPr>
          <w:p w14:paraId="6305EE98" w14:textId="77777777" w:rsidR="00A22390" w:rsidRPr="00EF3352" w:rsidRDefault="00A22390" w:rsidP="00952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  <w:sz w:val="20"/>
                <w:lang w:eastAsia="en-AU"/>
              </w:rPr>
            </w:pPr>
            <w:r w:rsidRPr="00EF3352">
              <w:rPr>
                <w:bCs/>
                <w:color w:val="auto"/>
                <w:sz w:val="20"/>
                <w:lang w:eastAsia="en-AU"/>
              </w:rPr>
              <w:t>Total allocated</w:t>
            </w:r>
            <w:r>
              <w:rPr>
                <w:bCs/>
                <w:color w:val="auto"/>
                <w:sz w:val="20"/>
                <w:lang w:eastAsia="en-AU"/>
              </w:rPr>
              <w:t xml:space="preserve"> </w:t>
            </w:r>
            <w:r w:rsidRPr="00EF3352">
              <w:rPr>
                <w:bCs/>
                <w:color w:val="auto"/>
                <w:sz w:val="20"/>
                <w:lang w:eastAsia="en-AU"/>
              </w:rPr>
              <w:t>Quarter 3</w:t>
            </w:r>
          </w:p>
        </w:tc>
        <w:tc>
          <w:tcPr>
            <w:tcW w:w="817" w:type="pct"/>
            <w:vMerge w:val="restart"/>
            <w:hideMark/>
          </w:tcPr>
          <w:p w14:paraId="759F3B05" w14:textId="77777777" w:rsidR="00A22390" w:rsidRPr="00EF3352" w:rsidRDefault="00A22390" w:rsidP="00952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  <w:sz w:val="20"/>
                <w:lang w:eastAsia="en-AU"/>
              </w:rPr>
            </w:pPr>
            <w:r w:rsidRPr="00EF3352">
              <w:rPr>
                <w:bCs/>
                <w:color w:val="auto"/>
                <w:sz w:val="20"/>
                <w:lang w:eastAsia="en-AU"/>
              </w:rPr>
              <w:t>Quota remaining Quarter 3</w:t>
            </w:r>
          </w:p>
        </w:tc>
        <w:tc>
          <w:tcPr>
            <w:tcW w:w="818" w:type="pct"/>
            <w:vMerge w:val="restart"/>
            <w:hideMark/>
          </w:tcPr>
          <w:p w14:paraId="78A82E0B" w14:textId="77777777" w:rsidR="00A22390" w:rsidRPr="00EF3352" w:rsidRDefault="00A22390" w:rsidP="00952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  <w:sz w:val="20"/>
                <w:lang w:eastAsia="en-AU"/>
              </w:rPr>
            </w:pPr>
            <w:r w:rsidRPr="00EF3352">
              <w:rPr>
                <w:bCs/>
                <w:color w:val="auto"/>
                <w:sz w:val="20"/>
                <w:lang w:eastAsia="en-AU"/>
              </w:rPr>
              <w:t>Quota consumed</w:t>
            </w:r>
            <w:r>
              <w:rPr>
                <w:bCs/>
                <w:color w:val="auto"/>
                <w:sz w:val="20"/>
                <w:lang w:eastAsia="en-AU"/>
              </w:rPr>
              <w:t xml:space="preserve"> </w:t>
            </w:r>
            <w:r w:rsidRPr="00EF3352">
              <w:rPr>
                <w:bCs/>
                <w:color w:val="auto"/>
                <w:sz w:val="20"/>
                <w:lang w:eastAsia="en-AU"/>
              </w:rPr>
              <w:t>Quarter 3</w:t>
            </w:r>
          </w:p>
        </w:tc>
        <w:tc>
          <w:tcPr>
            <w:tcW w:w="925" w:type="pct"/>
            <w:vMerge w:val="restart"/>
            <w:hideMark/>
          </w:tcPr>
          <w:p w14:paraId="66FB4651" w14:textId="77777777" w:rsidR="00A22390" w:rsidRPr="00EF3352" w:rsidRDefault="00A22390" w:rsidP="00952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  <w:sz w:val="20"/>
                <w:lang w:eastAsia="en-AU"/>
              </w:rPr>
            </w:pPr>
            <w:r w:rsidRPr="00EF3352">
              <w:rPr>
                <w:bCs/>
                <w:color w:val="auto"/>
                <w:sz w:val="20"/>
                <w:lang w:eastAsia="en-AU"/>
              </w:rPr>
              <w:t>Harvesters who received allocations</w:t>
            </w:r>
          </w:p>
        </w:tc>
      </w:tr>
      <w:bookmarkEnd w:id="15"/>
      <w:tr w:rsidR="00A22390" w:rsidRPr="00EF3352" w14:paraId="03BF5876" w14:textId="77777777" w:rsidTr="00A22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vMerge/>
            <w:hideMark/>
          </w:tcPr>
          <w:p w14:paraId="4500AFB7" w14:textId="77777777" w:rsidR="00A22390" w:rsidRPr="00EF3352" w:rsidRDefault="00A22390" w:rsidP="00952D94">
            <w:pPr>
              <w:rPr>
                <w:b w:val="0"/>
                <w:bCs/>
                <w:color w:val="auto"/>
                <w:sz w:val="20"/>
                <w:lang w:eastAsia="en-AU"/>
              </w:rPr>
            </w:pPr>
          </w:p>
        </w:tc>
        <w:tc>
          <w:tcPr>
            <w:tcW w:w="811" w:type="pct"/>
            <w:vMerge/>
            <w:hideMark/>
          </w:tcPr>
          <w:p w14:paraId="4661CF47" w14:textId="77777777" w:rsidR="00A22390" w:rsidRPr="00EF3352" w:rsidRDefault="00A22390" w:rsidP="00952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  <w:sz w:val="20"/>
                <w:lang w:eastAsia="en-AU"/>
              </w:rPr>
            </w:pPr>
          </w:p>
        </w:tc>
        <w:tc>
          <w:tcPr>
            <w:tcW w:w="813" w:type="pct"/>
            <w:vMerge/>
            <w:hideMark/>
          </w:tcPr>
          <w:p w14:paraId="3159C1CB" w14:textId="77777777" w:rsidR="00A22390" w:rsidRPr="00EF3352" w:rsidRDefault="00A22390" w:rsidP="00952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  <w:sz w:val="20"/>
                <w:lang w:eastAsia="en-AU"/>
              </w:rPr>
            </w:pPr>
          </w:p>
        </w:tc>
        <w:tc>
          <w:tcPr>
            <w:tcW w:w="817" w:type="pct"/>
            <w:vMerge/>
            <w:hideMark/>
          </w:tcPr>
          <w:p w14:paraId="5B6C4AE8" w14:textId="77777777" w:rsidR="00A22390" w:rsidRPr="00EF3352" w:rsidRDefault="00A22390" w:rsidP="00952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  <w:sz w:val="20"/>
                <w:lang w:eastAsia="en-AU"/>
              </w:rPr>
            </w:pPr>
          </w:p>
        </w:tc>
        <w:tc>
          <w:tcPr>
            <w:tcW w:w="818" w:type="pct"/>
            <w:vMerge/>
            <w:hideMark/>
          </w:tcPr>
          <w:p w14:paraId="64828F07" w14:textId="77777777" w:rsidR="00A22390" w:rsidRPr="00EF3352" w:rsidRDefault="00A22390" w:rsidP="00952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  <w:sz w:val="20"/>
                <w:lang w:eastAsia="en-AU"/>
              </w:rPr>
            </w:pPr>
          </w:p>
        </w:tc>
        <w:tc>
          <w:tcPr>
            <w:tcW w:w="925" w:type="pct"/>
            <w:vMerge/>
            <w:hideMark/>
          </w:tcPr>
          <w:p w14:paraId="7FB5FD32" w14:textId="77777777" w:rsidR="00A22390" w:rsidRPr="00EF3352" w:rsidRDefault="00A22390" w:rsidP="00952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  <w:sz w:val="20"/>
                <w:lang w:eastAsia="en-AU"/>
              </w:rPr>
            </w:pPr>
          </w:p>
        </w:tc>
      </w:tr>
      <w:tr w:rsidR="00A22390" w:rsidRPr="00EF3352" w14:paraId="1D5D1E4B" w14:textId="77777777" w:rsidTr="00A2239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hideMark/>
          </w:tcPr>
          <w:p w14:paraId="5EB14C8E" w14:textId="77777777" w:rsidR="00A22390" w:rsidRPr="00EF3352" w:rsidRDefault="00A22390" w:rsidP="00952D94">
            <w:pPr>
              <w:rPr>
                <w:b w:val="0"/>
                <w:bCs/>
                <w:color w:val="auto"/>
                <w:lang w:eastAsia="en-AU"/>
              </w:rPr>
            </w:pPr>
            <w:r w:rsidRPr="00EF3352">
              <w:rPr>
                <w:bCs/>
                <w:color w:val="auto"/>
                <w:lang w:eastAsia="en-AU"/>
              </w:rPr>
              <w:t>Central</w:t>
            </w:r>
          </w:p>
        </w:tc>
        <w:tc>
          <w:tcPr>
            <w:tcW w:w="811" w:type="pct"/>
            <w:hideMark/>
          </w:tcPr>
          <w:p w14:paraId="52D2CB70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24,150</w:t>
            </w:r>
          </w:p>
        </w:tc>
        <w:tc>
          <w:tcPr>
            <w:tcW w:w="813" w:type="pct"/>
            <w:hideMark/>
          </w:tcPr>
          <w:p w14:paraId="7BD35815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6,570</w:t>
            </w:r>
          </w:p>
        </w:tc>
        <w:tc>
          <w:tcPr>
            <w:tcW w:w="817" w:type="pct"/>
            <w:hideMark/>
          </w:tcPr>
          <w:p w14:paraId="75E71A02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17,580</w:t>
            </w:r>
          </w:p>
        </w:tc>
        <w:tc>
          <w:tcPr>
            <w:tcW w:w="818" w:type="pct"/>
            <w:hideMark/>
          </w:tcPr>
          <w:p w14:paraId="3DDDACA6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6,350</w:t>
            </w:r>
          </w:p>
        </w:tc>
        <w:tc>
          <w:tcPr>
            <w:tcW w:w="925" w:type="pct"/>
          </w:tcPr>
          <w:p w14:paraId="7C3521C3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19</w:t>
            </w:r>
          </w:p>
        </w:tc>
      </w:tr>
      <w:tr w:rsidR="00A22390" w:rsidRPr="00EF3352" w14:paraId="52836124" w14:textId="77777777" w:rsidTr="00A2239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hideMark/>
          </w:tcPr>
          <w:p w14:paraId="185FDED1" w14:textId="77777777" w:rsidR="00A22390" w:rsidRPr="00EF3352" w:rsidRDefault="00A22390" w:rsidP="00952D94">
            <w:pPr>
              <w:rPr>
                <w:b w:val="0"/>
                <w:bCs/>
                <w:color w:val="auto"/>
                <w:lang w:eastAsia="en-AU"/>
              </w:rPr>
            </w:pPr>
            <w:r w:rsidRPr="00EF3352">
              <w:rPr>
                <w:bCs/>
                <w:color w:val="auto"/>
                <w:lang w:eastAsia="en-AU"/>
              </w:rPr>
              <w:t>Gippsland</w:t>
            </w:r>
          </w:p>
        </w:tc>
        <w:tc>
          <w:tcPr>
            <w:tcW w:w="811" w:type="pct"/>
          </w:tcPr>
          <w:p w14:paraId="30F3BAEA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3,400</w:t>
            </w:r>
          </w:p>
        </w:tc>
        <w:tc>
          <w:tcPr>
            <w:tcW w:w="813" w:type="pct"/>
          </w:tcPr>
          <w:p w14:paraId="11566553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3,100</w:t>
            </w:r>
          </w:p>
        </w:tc>
        <w:tc>
          <w:tcPr>
            <w:tcW w:w="817" w:type="pct"/>
          </w:tcPr>
          <w:p w14:paraId="3A79CB1D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300</w:t>
            </w:r>
          </w:p>
        </w:tc>
        <w:tc>
          <w:tcPr>
            <w:tcW w:w="818" w:type="pct"/>
          </w:tcPr>
          <w:p w14:paraId="6D71E695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2,147</w:t>
            </w:r>
          </w:p>
        </w:tc>
        <w:tc>
          <w:tcPr>
            <w:tcW w:w="925" w:type="pct"/>
          </w:tcPr>
          <w:p w14:paraId="45A7D42B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8</w:t>
            </w:r>
          </w:p>
        </w:tc>
      </w:tr>
      <w:tr w:rsidR="00A22390" w:rsidRPr="00EF3352" w14:paraId="77AE85EF" w14:textId="77777777" w:rsidTr="00A2239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hideMark/>
          </w:tcPr>
          <w:p w14:paraId="15329505" w14:textId="77777777" w:rsidR="00A22390" w:rsidRPr="00EF3352" w:rsidRDefault="00A22390" w:rsidP="00952D94">
            <w:pPr>
              <w:rPr>
                <w:b w:val="0"/>
                <w:bCs/>
                <w:color w:val="auto"/>
                <w:lang w:eastAsia="en-AU"/>
              </w:rPr>
            </w:pPr>
            <w:r w:rsidRPr="00EF3352">
              <w:rPr>
                <w:bCs/>
                <w:color w:val="auto"/>
                <w:lang w:eastAsia="en-AU"/>
              </w:rPr>
              <w:t>Lower Wimmera</w:t>
            </w:r>
          </w:p>
        </w:tc>
        <w:tc>
          <w:tcPr>
            <w:tcW w:w="811" w:type="pct"/>
          </w:tcPr>
          <w:p w14:paraId="508BACB8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10,400</w:t>
            </w:r>
          </w:p>
        </w:tc>
        <w:tc>
          <w:tcPr>
            <w:tcW w:w="813" w:type="pct"/>
          </w:tcPr>
          <w:p w14:paraId="196DE8C3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3,800</w:t>
            </w:r>
          </w:p>
        </w:tc>
        <w:tc>
          <w:tcPr>
            <w:tcW w:w="817" w:type="pct"/>
          </w:tcPr>
          <w:p w14:paraId="2887331E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6,600</w:t>
            </w:r>
          </w:p>
        </w:tc>
        <w:tc>
          <w:tcPr>
            <w:tcW w:w="818" w:type="pct"/>
          </w:tcPr>
          <w:p w14:paraId="65C0DB2A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3,418</w:t>
            </w:r>
          </w:p>
        </w:tc>
        <w:tc>
          <w:tcPr>
            <w:tcW w:w="925" w:type="pct"/>
          </w:tcPr>
          <w:p w14:paraId="32A4CF39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11</w:t>
            </w:r>
          </w:p>
        </w:tc>
      </w:tr>
      <w:tr w:rsidR="00A22390" w:rsidRPr="00EF3352" w14:paraId="25AA2D3D" w14:textId="77777777" w:rsidTr="00A2239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hideMark/>
          </w:tcPr>
          <w:p w14:paraId="7D5525EB" w14:textId="77777777" w:rsidR="00A22390" w:rsidRPr="00EF3352" w:rsidRDefault="00A22390" w:rsidP="00952D94">
            <w:pPr>
              <w:rPr>
                <w:b w:val="0"/>
                <w:bCs/>
                <w:color w:val="auto"/>
                <w:lang w:eastAsia="en-AU"/>
              </w:rPr>
            </w:pPr>
            <w:r w:rsidRPr="00EF3352">
              <w:rPr>
                <w:bCs/>
                <w:color w:val="auto"/>
                <w:lang w:eastAsia="en-AU"/>
              </w:rPr>
              <w:t>Mallee</w:t>
            </w:r>
          </w:p>
        </w:tc>
        <w:tc>
          <w:tcPr>
            <w:tcW w:w="811" w:type="pct"/>
          </w:tcPr>
          <w:p w14:paraId="469CB191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1,050</w:t>
            </w:r>
          </w:p>
        </w:tc>
        <w:tc>
          <w:tcPr>
            <w:tcW w:w="813" w:type="pct"/>
          </w:tcPr>
          <w:p w14:paraId="0454D1A2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600</w:t>
            </w:r>
          </w:p>
        </w:tc>
        <w:tc>
          <w:tcPr>
            <w:tcW w:w="817" w:type="pct"/>
          </w:tcPr>
          <w:p w14:paraId="44FAF20B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450</w:t>
            </w:r>
          </w:p>
        </w:tc>
        <w:tc>
          <w:tcPr>
            <w:tcW w:w="818" w:type="pct"/>
          </w:tcPr>
          <w:p w14:paraId="6A2460B1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600</w:t>
            </w:r>
          </w:p>
        </w:tc>
        <w:tc>
          <w:tcPr>
            <w:tcW w:w="925" w:type="pct"/>
          </w:tcPr>
          <w:p w14:paraId="109E5832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1</w:t>
            </w:r>
          </w:p>
        </w:tc>
      </w:tr>
      <w:tr w:rsidR="00A22390" w:rsidRPr="00EF3352" w14:paraId="1CB55FE9" w14:textId="77777777" w:rsidTr="00A2239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hideMark/>
          </w:tcPr>
          <w:p w14:paraId="0C96440C" w14:textId="77777777" w:rsidR="00A22390" w:rsidRPr="00EF3352" w:rsidRDefault="00A22390" w:rsidP="00952D94">
            <w:pPr>
              <w:rPr>
                <w:b w:val="0"/>
                <w:bCs/>
                <w:color w:val="auto"/>
                <w:lang w:eastAsia="en-AU"/>
              </w:rPr>
            </w:pPr>
            <w:proofErr w:type="gramStart"/>
            <w:r w:rsidRPr="00EF3352">
              <w:rPr>
                <w:bCs/>
                <w:color w:val="auto"/>
                <w:lang w:eastAsia="en-AU"/>
              </w:rPr>
              <w:t>North East</w:t>
            </w:r>
            <w:proofErr w:type="gramEnd"/>
          </w:p>
        </w:tc>
        <w:tc>
          <w:tcPr>
            <w:tcW w:w="811" w:type="pct"/>
          </w:tcPr>
          <w:p w14:paraId="7BBD2D63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2,957</w:t>
            </w:r>
          </w:p>
        </w:tc>
        <w:tc>
          <w:tcPr>
            <w:tcW w:w="813" w:type="pct"/>
          </w:tcPr>
          <w:p w14:paraId="2383358A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2,957</w:t>
            </w:r>
          </w:p>
        </w:tc>
        <w:tc>
          <w:tcPr>
            <w:tcW w:w="817" w:type="pct"/>
          </w:tcPr>
          <w:p w14:paraId="7BA9AB4C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0</w:t>
            </w:r>
          </w:p>
        </w:tc>
        <w:tc>
          <w:tcPr>
            <w:tcW w:w="818" w:type="pct"/>
          </w:tcPr>
          <w:p w14:paraId="371D7D58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1,536</w:t>
            </w:r>
          </w:p>
        </w:tc>
        <w:tc>
          <w:tcPr>
            <w:tcW w:w="925" w:type="pct"/>
          </w:tcPr>
          <w:p w14:paraId="015E60D4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5</w:t>
            </w:r>
          </w:p>
        </w:tc>
      </w:tr>
      <w:tr w:rsidR="00A22390" w:rsidRPr="00EF3352" w14:paraId="0BD0BAF5" w14:textId="77777777" w:rsidTr="00A2239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hideMark/>
          </w:tcPr>
          <w:p w14:paraId="752D3EA4" w14:textId="77777777" w:rsidR="00A22390" w:rsidRPr="00EF3352" w:rsidRDefault="00A22390" w:rsidP="00952D94">
            <w:pPr>
              <w:rPr>
                <w:b w:val="0"/>
                <w:bCs/>
                <w:color w:val="auto"/>
                <w:lang w:eastAsia="en-AU"/>
              </w:rPr>
            </w:pPr>
            <w:r w:rsidRPr="00EF3352">
              <w:rPr>
                <w:bCs/>
                <w:color w:val="auto"/>
                <w:lang w:eastAsia="en-AU"/>
              </w:rPr>
              <w:t>Otway</w:t>
            </w:r>
          </w:p>
        </w:tc>
        <w:tc>
          <w:tcPr>
            <w:tcW w:w="811" w:type="pct"/>
          </w:tcPr>
          <w:p w14:paraId="63C90C7B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4,050</w:t>
            </w:r>
          </w:p>
        </w:tc>
        <w:tc>
          <w:tcPr>
            <w:tcW w:w="813" w:type="pct"/>
          </w:tcPr>
          <w:p w14:paraId="32F0A652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2,930</w:t>
            </w:r>
          </w:p>
        </w:tc>
        <w:tc>
          <w:tcPr>
            <w:tcW w:w="817" w:type="pct"/>
          </w:tcPr>
          <w:p w14:paraId="5529773F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1,120</w:t>
            </w:r>
          </w:p>
        </w:tc>
        <w:tc>
          <w:tcPr>
            <w:tcW w:w="818" w:type="pct"/>
          </w:tcPr>
          <w:p w14:paraId="32D09576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1,782</w:t>
            </w:r>
          </w:p>
        </w:tc>
        <w:tc>
          <w:tcPr>
            <w:tcW w:w="925" w:type="pct"/>
          </w:tcPr>
          <w:p w14:paraId="0702A716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10</w:t>
            </w:r>
          </w:p>
        </w:tc>
      </w:tr>
      <w:tr w:rsidR="00A22390" w:rsidRPr="00EF3352" w14:paraId="2C21CC55" w14:textId="77777777" w:rsidTr="00A2239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tcBorders>
              <w:bottom w:val="single" w:sz="4" w:space="0" w:color="auto"/>
            </w:tcBorders>
            <w:hideMark/>
          </w:tcPr>
          <w:p w14:paraId="61A0F2D0" w14:textId="77777777" w:rsidR="00A22390" w:rsidRPr="00EF3352" w:rsidRDefault="00A22390" w:rsidP="00952D94">
            <w:pPr>
              <w:rPr>
                <w:b w:val="0"/>
                <w:bCs/>
                <w:color w:val="auto"/>
                <w:lang w:eastAsia="en-AU"/>
              </w:rPr>
            </w:pPr>
            <w:r w:rsidRPr="00EF3352">
              <w:rPr>
                <w:bCs/>
                <w:color w:val="auto"/>
                <w:lang w:eastAsia="en-AU"/>
              </w:rPr>
              <w:t>Upper Wimmera</w:t>
            </w: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14:paraId="768FFD09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6,900</w:t>
            </w: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14:paraId="0CEB3C8E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300</w:t>
            </w:r>
          </w:p>
        </w:tc>
        <w:tc>
          <w:tcPr>
            <w:tcW w:w="817" w:type="pct"/>
            <w:tcBorders>
              <w:bottom w:val="single" w:sz="4" w:space="0" w:color="auto"/>
            </w:tcBorders>
          </w:tcPr>
          <w:p w14:paraId="377ED7D9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6,600</w:t>
            </w: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14:paraId="182B6585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249</w:t>
            </w:r>
          </w:p>
        </w:tc>
        <w:tc>
          <w:tcPr>
            <w:tcW w:w="925" w:type="pct"/>
            <w:tcBorders>
              <w:bottom w:val="single" w:sz="4" w:space="0" w:color="auto"/>
            </w:tcBorders>
          </w:tcPr>
          <w:p w14:paraId="53E24FF2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2</w:t>
            </w:r>
          </w:p>
        </w:tc>
      </w:tr>
      <w:tr w:rsidR="00A22390" w:rsidRPr="00EF3352" w14:paraId="650501C6" w14:textId="77777777" w:rsidTr="00A22390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pct"/>
            <w:tcBorders>
              <w:top w:val="single" w:sz="4" w:space="0" w:color="auto"/>
            </w:tcBorders>
            <w:hideMark/>
          </w:tcPr>
          <w:p w14:paraId="27A8B56B" w14:textId="77777777" w:rsidR="00A22390" w:rsidRPr="00EF3352" w:rsidRDefault="00A22390" w:rsidP="00952D94">
            <w:pPr>
              <w:rPr>
                <w:b w:val="0"/>
                <w:bCs/>
                <w:color w:val="auto"/>
                <w:lang w:eastAsia="en-AU"/>
              </w:rPr>
            </w:pPr>
            <w:r w:rsidRPr="00EF3352">
              <w:rPr>
                <w:bCs/>
                <w:color w:val="auto"/>
                <w:lang w:eastAsia="en-AU"/>
              </w:rPr>
              <w:t>Total</w:t>
            </w:r>
          </w:p>
        </w:tc>
        <w:tc>
          <w:tcPr>
            <w:tcW w:w="811" w:type="pct"/>
            <w:tcBorders>
              <w:top w:val="single" w:sz="4" w:space="0" w:color="auto"/>
            </w:tcBorders>
          </w:tcPr>
          <w:p w14:paraId="0E4489DD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eastAsia="en-AU"/>
              </w:rPr>
            </w:pPr>
            <w:r w:rsidRPr="00EF3352">
              <w:rPr>
                <w:b/>
                <w:bCs/>
                <w:color w:val="auto"/>
                <w:lang w:eastAsia="en-AU"/>
              </w:rPr>
              <w:t>52,907</w:t>
            </w:r>
          </w:p>
        </w:tc>
        <w:tc>
          <w:tcPr>
            <w:tcW w:w="813" w:type="pct"/>
            <w:tcBorders>
              <w:top w:val="single" w:sz="4" w:space="0" w:color="auto"/>
            </w:tcBorders>
          </w:tcPr>
          <w:p w14:paraId="76699B67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eastAsia="en-AU"/>
              </w:rPr>
            </w:pPr>
            <w:r w:rsidRPr="00EF3352">
              <w:rPr>
                <w:b/>
                <w:bCs/>
                <w:color w:val="auto"/>
                <w:lang w:eastAsia="en-AU"/>
              </w:rPr>
              <w:t>20,257</w:t>
            </w:r>
          </w:p>
        </w:tc>
        <w:tc>
          <w:tcPr>
            <w:tcW w:w="817" w:type="pct"/>
            <w:tcBorders>
              <w:top w:val="single" w:sz="4" w:space="0" w:color="auto"/>
            </w:tcBorders>
          </w:tcPr>
          <w:p w14:paraId="4C7BC07E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eastAsia="en-AU"/>
              </w:rPr>
            </w:pPr>
            <w:r w:rsidRPr="00EF3352">
              <w:rPr>
                <w:b/>
                <w:bCs/>
                <w:color w:val="auto"/>
                <w:lang w:eastAsia="en-AU"/>
              </w:rPr>
              <w:t>32,650</w:t>
            </w:r>
          </w:p>
        </w:tc>
        <w:tc>
          <w:tcPr>
            <w:tcW w:w="818" w:type="pct"/>
            <w:tcBorders>
              <w:top w:val="single" w:sz="4" w:space="0" w:color="auto"/>
            </w:tcBorders>
          </w:tcPr>
          <w:p w14:paraId="42948833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eastAsia="en-AU"/>
              </w:rPr>
            </w:pPr>
            <w:r w:rsidRPr="00EF3352">
              <w:rPr>
                <w:b/>
                <w:bCs/>
                <w:color w:val="auto"/>
                <w:lang w:eastAsia="en-AU"/>
              </w:rPr>
              <w:t>16,082</w:t>
            </w:r>
          </w:p>
        </w:tc>
        <w:tc>
          <w:tcPr>
            <w:tcW w:w="925" w:type="pct"/>
            <w:tcBorders>
              <w:top w:val="single" w:sz="4" w:space="0" w:color="auto"/>
            </w:tcBorders>
          </w:tcPr>
          <w:p w14:paraId="5739F1FB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56</w:t>
            </w:r>
            <w:r w:rsidRPr="00EF3352">
              <w:rPr>
                <w:b/>
                <w:bCs/>
                <w:color w:val="auto"/>
                <w:vertAlign w:val="superscript"/>
                <w:lang w:eastAsia="en-AU"/>
              </w:rPr>
              <w:t>1</w:t>
            </w:r>
          </w:p>
        </w:tc>
      </w:tr>
    </w:tbl>
    <w:p w14:paraId="0C21EFBC" w14:textId="77777777" w:rsidR="00A22390" w:rsidRPr="00197F18" w:rsidRDefault="00A22390" w:rsidP="00A22390">
      <w:pPr>
        <w:jc w:val="both"/>
      </w:pPr>
      <w:r w:rsidRPr="00197F18">
        <w:rPr>
          <w:vertAlign w:val="superscript"/>
        </w:rPr>
        <w:t>1</w:t>
      </w:r>
      <w:r w:rsidRPr="00197F18">
        <w:rPr>
          <w:i/>
          <w:iCs/>
        </w:rPr>
        <w:t xml:space="preserve">The number of harvesters with quota may be higher than the total number of authorised harvesters, as harvesters can operate across more than one zone. </w:t>
      </w:r>
    </w:p>
    <w:p w14:paraId="295F1CE0" w14:textId="77777777" w:rsidR="00A22390" w:rsidRPr="00A22390" w:rsidRDefault="00A22390" w:rsidP="00A22390">
      <w:pPr>
        <w:rPr>
          <w:rFonts w:eastAsiaTheme="majorEastAsia"/>
        </w:rPr>
      </w:pPr>
    </w:p>
    <w:p w14:paraId="712DC433" w14:textId="77777777" w:rsidR="00A22390" w:rsidRPr="00A22390" w:rsidRDefault="00A22390" w:rsidP="00A22390">
      <w:pPr>
        <w:rPr>
          <w:rFonts w:eastAsiaTheme="majorEastAsia"/>
        </w:rPr>
      </w:pPr>
    </w:p>
    <w:p w14:paraId="06A9D3D8" w14:textId="77777777" w:rsidR="00A22390" w:rsidRPr="00DB0DED" w:rsidRDefault="00A22390" w:rsidP="00A22390">
      <w:pPr>
        <w:pStyle w:val="Heading1"/>
        <w:numPr>
          <w:ilvl w:val="0"/>
          <w:numId w:val="46"/>
        </w:numPr>
      </w:pPr>
      <w:bookmarkStart w:id="16" w:name="_Toc77936070"/>
      <w:bookmarkStart w:id="17" w:name="_Toc140584202"/>
      <w:bookmarkStart w:id="18" w:name="_Toc147763185"/>
      <w:bookmarkStart w:id="19" w:name="_Toc148971547"/>
      <w:r>
        <w:lastRenderedPageBreak/>
        <w:t>Harvest Information</w:t>
      </w:r>
      <w:bookmarkEnd w:id="16"/>
      <w:bookmarkEnd w:id="17"/>
      <w:bookmarkEnd w:id="18"/>
      <w:bookmarkEnd w:id="19"/>
      <w:r>
        <w:t xml:space="preserve"> </w:t>
      </w:r>
    </w:p>
    <w:p w14:paraId="7610CF75" w14:textId="77777777" w:rsidR="00A22390" w:rsidRDefault="00A22390" w:rsidP="00A22390">
      <w:pPr>
        <w:pStyle w:val="Heading2"/>
      </w:pPr>
      <w:bookmarkStart w:id="20" w:name="_Toc77936071"/>
      <w:bookmarkStart w:id="21" w:name="_Toc147763186"/>
      <w:bookmarkStart w:id="22" w:name="_Toc148971548"/>
      <w:r w:rsidRPr="00F9162F">
        <w:t>Overview</w:t>
      </w:r>
      <w:bookmarkEnd w:id="20"/>
      <w:bookmarkEnd w:id="21"/>
      <w:bookmarkEnd w:id="22"/>
    </w:p>
    <w:p w14:paraId="7DF3A0A7" w14:textId="77777777" w:rsidR="00A22390" w:rsidRPr="00CA06D4" w:rsidRDefault="00A22390" w:rsidP="00A22390">
      <w:pPr>
        <w:pStyle w:val="ListParagraph"/>
        <w:numPr>
          <w:ilvl w:val="0"/>
          <w:numId w:val="50"/>
        </w:numPr>
        <w:spacing w:before="0" w:after="0" w:line="360" w:lineRule="auto"/>
        <w:rPr>
          <w:szCs w:val="22"/>
        </w:rPr>
      </w:pPr>
      <w:r w:rsidRPr="00CA06D4">
        <w:rPr>
          <w:szCs w:val="22"/>
        </w:rPr>
        <w:t xml:space="preserve">Harvesters enter harvest summaries via a mobile phone application hosted by the Department of Government Services at the completion of each harvest job. </w:t>
      </w:r>
    </w:p>
    <w:p w14:paraId="06672F44" w14:textId="77777777" w:rsidR="00A22390" w:rsidRPr="00CA06D4" w:rsidRDefault="00A22390" w:rsidP="00A22390">
      <w:pPr>
        <w:pStyle w:val="ListParagraph"/>
        <w:numPr>
          <w:ilvl w:val="0"/>
          <w:numId w:val="50"/>
        </w:numPr>
        <w:spacing w:before="0" w:after="0" w:line="360" w:lineRule="auto"/>
        <w:rPr>
          <w:szCs w:val="22"/>
        </w:rPr>
      </w:pPr>
      <w:r w:rsidRPr="00CA06D4">
        <w:rPr>
          <w:szCs w:val="22"/>
        </w:rPr>
        <w:t xml:space="preserve">As the harvest summary figures are self-reported, there </w:t>
      </w:r>
      <w:r>
        <w:rPr>
          <w:szCs w:val="22"/>
        </w:rPr>
        <w:t>may be discrepancies between</w:t>
      </w:r>
      <w:r w:rsidRPr="00CA06D4">
        <w:rPr>
          <w:szCs w:val="22"/>
        </w:rPr>
        <w:t xml:space="preserve"> </w:t>
      </w:r>
      <w:r>
        <w:rPr>
          <w:szCs w:val="22"/>
        </w:rPr>
        <w:t xml:space="preserve">the </w:t>
      </w:r>
      <w:r w:rsidRPr="00CA06D4">
        <w:rPr>
          <w:szCs w:val="22"/>
        </w:rPr>
        <w:t>reported figures and the actual figures</w:t>
      </w:r>
      <w:r>
        <w:rPr>
          <w:szCs w:val="22"/>
        </w:rPr>
        <w:t xml:space="preserve"> due to memory bias</w:t>
      </w:r>
      <w:r w:rsidRPr="00CA06D4">
        <w:rPr>
          <w:szCs w:val="22"/>
        </w:rPr>
        <w:t>.</w:t>
      </w:r>
    </w:p>
    <w:p w14:paraId="3F8CFC46" w14:textId="04483315" w:rsidR="00A22390" w:rsidRPr="00A22390" w:rsidRDefault="00A22390" w:rsidP="00A22390">
      <w:pPr>
        <w:pStyle w:val="Heading3"/>
        <w:rPr>
          <w:rStyle w:val="Heading4Char"/>
          <w:rFonts w:cs="Times New Roman"/>
          <w:b/>
          <w:bCs/>
          <w:iCs w:val="0"/>
          <w:color w:val="auto"/>
          <w:sz w:val="22"/>
        </w:rPr>
      </w:pPr>
      <w:bookmarkStart w:id="23" w:name="_Toc77936072"/>
      <w:bookmarkStart w:id="24" w:name="_Toc140584204"/>
      <w:bookmarkStart w:id="25" w:name="_Toc147763187"/>
      <w:bookmarkStart w:id="26" w:name="_Toc148971549"/>
      <w:r w:rsidRPr="00A22390">
        <w:rPr>
          <w:rStyle w:val="Heading4Char"/>
          <w:rFonts w:cs="Times New Roman"/>
          <w:b/>
          <w:bCs/>
          <w:iCs w:val="0"/>
          <w:color w:val="auto"/>
          <w:sz w:val="22"/>
        </w:rPr>
        <w:t>Harvest summary figures – Quarter 3 release (July to September 2023)</w:t>
      </w:r>
      <w:bookmarkEnd w:id="23"/>
      <w:bookmarkEnd w:id="24"/>
      <w:bookmarkEnd w:id="25"/>
      <w:bookmarkEnd w:id="26"/>
    </w:p>
    <w:tbl>
      <w:tblPr>
        <w:tblStyle w:val="DOT1"/>
        <w:tblW w:w="5000" w:type="pct"/>
        <w:tblLook w:val="04A0" w:firstRow="1" w:lastRow="0" w:firstColumn="1" w:lastColumn="0" w:noHBand="0" w:noVBand="1"/>
      </w:tblPr>
      <w:tblGrid>
        <w:gridCol w:w="2427"/>
        <w:gridCol w:w="2427"/>
        <w:gridCol w:w="2426"/>
        <w:gridCol w:w="2426"/>
        <w:gridCol w:w="2426"/>
        <w:gridCol w:w="2432"/>
      </w:tblGrid>
      <w:tr w:rsidR="00A22390" w:rsidRPr="00EF3352" w14:paraId="6437FED7" w14:textId="77777777" w:rsidTr="00A22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hideMark/>
          </w:tcPr>
          <w:p w14:paraId="1EB6E897" w14:textId="77777777" w:rsidR="00A22390" w:rsidRPr="00EF3352" w:rsidRDefault="00A22390" w:rsidP="00952D94">
            <w:pPr>
              <w:rPr>
                <w:b w:val="0"/>
                <w:bCs/>
                <w:color w:val="auto"/>
                <w:sz w:val="20"/>
                <w:lang w:eastAsia="en-AU"/>
              </w:rPr>
            </w:pPr>
            <w:bookmarkStart w:id="27" w:name="ColumnTitle_39"/>
          </w:p>
        </w:tc>
        <w:tc>
          <w:tcPr>
            <w:tcW w:w="833" w:type="pct"/>
            <w:hideMark/>
          </w:tcPr>
          <w:p w14:paraId="6A05B68E" w14:textId="77777777" w:rsidR="00A22390" w:rsidRPr="00EF3352" w:rsidRDefault="00A22390" w:rsidP="00952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  <w:sz w:val="20"/>
                <w:lang w:eastAsia="en-AU"/>
              </w:rPr>
            </w:pPr>
            <w:r w:rsidRPr="00EF3352">
              <w:rPr>
                <w:bCs/>
                <w:color w:val="auto"/>
                <w:sz w:val="20"/>
                <w:lang w:eastAsia="en-AU"/>
              </w:rPr>
              <w:t>Number of Western Grey Kangaroos</w:t>
            </w:r>
          </w:p>
        </w:tc>
        <w:tc>
          <w:tcPr>
            <w:tcW w:w="833" w:type="pct"/>
            <w:hideMark/>
          </w:tcPr>
          <w:p w14:paraId="78394D49" w14:textId="77777777" w:rsidR="00A22390" w:rsidRPr="00EF3352" w:rsidRDefault="00A22390" w:rsidP="00952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  <w:sz w:val="20"/>
                <w:lang w:eastAsia="en-AU"/>
              </w:rPr>
            </w:pPr>
            <w:r w:rsidRPr="00EF3352">
              <w:rPr>
                <w:bCs/>
                <w:color w:val="auto"/>
                <w:sz w:val="20"/>
                <w:lang w:eastAsia="en-AU"/>
              </w:rPr>
              <w:t>Number of Eastern Grey Kangaroos</w:t>
            </w:r>
          </w:p>
        </w:tc>
        <w:tc>
          <w:tcPr>
            <w:tcW w:w="833" w:type="pct"/>
            <w:hideMark/>
          </w:tcPr>
          <w:p w14:paraId="4956D258" w14:textId="77777777" w:rsidR="00A22390" w:rsidRPr="00EF3352" w:rsidRDefault="00A22390" w:rsidP="00952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  <w:sz w:val="20"/>
                <w:lang w:eastAsia="en-AU"/>
              </w:rPr>
            </w:pPr>
            <w:r w:rsidRPr="00EF3352">
              <w:rPr>
                <w:bCs/>
                <w:color w:val="auto"/>
                <w:sz w:val="20"/>
                <w:lang w:eastAsia="en-AU"/>
              </w:rPr>
              <w:t>Number of Females</w:t>
            </w:r>
          </w:p>
        </w:tc>
        <w:tc>
          <w:tcPr>
            <w:tcW w:w="833" w:type="pct"/>
            <w:hideMark/>
          </w:tcPr>
          <w:p w14:paraId="22D0584E" w14:textId="77777777" w:rsidR="00A22390" w:rsidRPr="00EF3352" w:rsidRDefault="00A22390" w:rsidP="00952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  <w:sz w:val="20"/>
                <w:lang w:eastAsia="en-AU"/>
              </w:rPr>
            </w:pPr>
            <w:r w:rsidRPr="00EF3352">
              <w:rPr>
                <w:bCs/>
                <w:color w:val="auto"/>
                <w:sz w:val="20"/>
                <w:lang w:eastAsia="en-AU"/>
              </w:rPr>
              <w:t>Tagged Carcasses</w:t>
            </w:r>
            <w:r w:rsidRPr="00EF3352">
              <w:rPr>
                <w:bCs/>
                <w:color w:val="auto"/>
                <w:sz w:val="20"/>
                <w:lang w:eastAsia="en-AU"/>
              </w:rPr>
              <w:br/>
              <w:t>Stored for Processor</w:t>
            </w:r>
            <w:r w:rsidRPr="00EF3352">
              <w:rPr>
                <w:bCs/>
                <w:color w:val="auto"/>
                <w:sz w:val="20"/>
                <w:vertAlign w:val="superscript"/>
                <w:lang w:eastAsia="en-AU"/>
              </w:rPr>
              <w:t>2</w:t>
            </w:r>
          </w:p>
        </w:tc>
        <w:tc>
          <w:tcPr>
            <w:tcW w:w="835" w:type="pct"/>
            <w:hideMark/>
          </w:tcPr>
          <w:p w14:paraId="2DD8761D" w14:textId="77777777" w:rsidR="00A22390" w:rsidRPr="00EF3352" w:rsidRDefault="00A22390" w:rsidP="00952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  <w:sz w:val="20"/>
                <w:lang w:eastAsia="en-AU"/>
              </w:rPr>
            </w:pPr>
            <w:r w:rsidRPr="00EF3352">
              <w:rPr>
                <w:bCs/>
                <w:color w:val="auto"/>
                <w:sz w:val="20"/>
                <w:lang w:eastAsia="en-AU"/>
              </w:rPr>
              <w:t>Tagged Carcasses Left on Property</w:t>
            </w:r>
          </w:p>
        </w:tc>
      </w:tr>
      <w:bookmarkEnd w:id="27"/>
      <w:tr w:rsidR="00A22390" w:rsidRPr="00EF3352" w14:paraId="4F94041B" w14:textId="77777777" w:rsidTr="00A22390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hideMark/>
          </w:tcPr>
          <w:p w14:paraId="533862CF" w14:textId="77777777" w:rsidR="00A22390" w:rsidRPr="00EF3352" w:rsidRDefault="00A22390" w:rsidP="00952D94">
            <w:pPr>
              <w:rPr>
                <w:b w:val="0"/>
                <w:bCs/>
                <w:color w:val="auto"/>
                <w:lang w:eastAsia="en-AU"/>
              </w:rPr>
            </w:pPr>
            <w:r w:rsidRPr="00EF3352">
              <w:rPr>
                <w:bCs/>
                <w:color w:val="auto"/>
                <w:lang w:eastAsia="en-AU"/>
              </w:rPr>
              <w:t>Total</w:t>
            </w:r>
          </w:p>
        </w:tc>
        <w:tc>
          <w:tcPr>
            <w:tcW w:w="833" w:type="pct"/>
            <w:hideMark/>
          </w:tcPr>
          <w:p w14:paraId="35337DD6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600</w:t>
            </w:r>
          </w:p>
        </w:tc>
        <w:tc>
          <w:tcPr>
            <w:tcW w:w="833" w:type="pct"/>
            <w:hideMark/>
          </w:tcPr>
          <w:p w14:paraId="136F3E08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15,482</w:t>
            </w:r>
          </w:p>
        </w:tc>
        <w:tc>
          <w:tcPr>
            <w:tcW w:w="833" w:type="pct"/>
            <w:hideMark/>
          </w:tcPr>
          <w:p w14:paraId="2DAB70BB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5,186</w:t>
            </w:r>
          </w:p>
        </w:tc>
        <w:tc>
          <w:tcPr>
            <w:tcW w:w="833" w:type="pct"/>
            <w:hideMark/>
          </w:tcPr>
          <w:p w14:paraId="251075C6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15,757</w:t>
            </w:r>
          </w:p>
        </w:tc>
        <w:tc>
          <w:tcPr>
            <w:tcW w:w="835" w:type="pct"/>
            <w:hideMark/>
          </w:tcPr>
          <w:p w14:paraId="0382FD7B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328</w:t>
            </w:r>
          </w:p>
          <w:p w14:paraId="53431546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</w:p>
        </w:tc>
      </w:tr>
    </w:tbl>
    <w:p w14:paraId="7C6E6C4D" w14:textId="77777777" w:rsidR="00A22390" w:rsidRDefault="00A22390" w:rsidP="00A22390">
      <w:pPr>
        <w:rPr>
          <w:i/>
          <w:iCs/>
        </w:rPr>
      </w:pPr>
      <w:r>
        <w:rPr>
          <w:i/>
          <w:iCs/>
          <w:vertAlign w:val="superscript"/>
        </w:rPr>
        <w:t>2</w:t>
      </w:r>
      <w:r w:rsidRPr="00A159BD">
        <w:rPr>
          <w:i/>
          <w:iCs/>
        </w:rPr>
        <w:t xml:space="preserve">Tagged carcasses for processing figures </w:t>
      </w:r>
      <w:r>
        <w:rPr>
          <w:i/>
          <w:iCs/>
        </w:rPr>
        <w:t xml:space="preserve">may be </w:t>
      </w:r>
      <w:r w:rsidRPr="00A159BD">
        <w:rPr>
          <w:i/>
          <w:iCs/>
        </w:rPr>
        <w:t>inconsistent with quota consumed figures. This is because harvesters manually enter the data separately from the</w:t>
      </w:r>
      <w:r>
        <w:rPr>
          <w:i/>
          <w:iCs/>
        </w:rPr>
        <w:t xml:space="preserve"> </w:t>
      </w:r>
      <w:r w:rsidRPr="00A159BD">
        <w:rPr>
          <w:i/>
          <w:iCs/>
        </w:rPr>
        <w:t xml:space="preserve">scanning of </w:t>
      </w:r>
      <w:proofErr w:type="gramStart"/>
      <w:r w:rsidRPr="00A159BD">
        <w:rPr>
          <w:i/>
          <w:iCs/>
        </w:rPr>
        <w:t>tag</w:t>
      </w:r>
      <w:r>
        <w:rPr>
          <w:i/>
          <w:iCs/>
        </w:rPr>
        <w:t>s</w:t>
      </w:r>
      <w:proofErr w:type="gramEnd"/>
    </w:p>
    <w:p w14:paraId="333DC6C7" w14:textId="77777777" w:rsidR="00A22390" w:rsidRDefault="00A22390" w:rsidP="00A22390">
      <w:pPr>
        <w:rPr>
          <w:i/>
          <w:iCs/>
        </w:rPr>
      </w:pPr>
    </w:p>
    <w:p w14:paraId="77BB098E" w14:textId="77777777" w:rsidR="00A22390" w:rsidRDefault="00A22390" w:rsidP="00A22390">
      <w:pPr>
        <w:rPr>
          <w:rFonts w:eastAsiaTheme="majorEastAsia"/>
        </w:rPr>
      </w:pPr>
    </w:p>
    <w:p w14:paraId="39069E38" w14:textId="77777777" w:rsidR="00A22390" w:rsidRDefault="00A22390" w:rsidP="00A22390">
      <w:pPr>
        <w:rPr>
          <w:rFonts w:eastAsiaTheme="majorEastAsia"/>
        </w:rPr>
      </w:pPr>
    </w:p>
    <w:p w14:paraId="21FA4637" w14:textId="77777777" w:rsidR="00A22390" w:rsidRDefault="00A22390" w:rsidP="00A22390">
      <w:pPr>
        <w:rPr>
          <w:rFonts w:eastAsiaTheme="majorEastAsia"/>
        </w:rPr>
      </w:pPr>
    </w:p>
    <w:p w14:paraId="3F6626DC" w14:textId="77777777" w:rsidR="00A22390" w:rsidRDefault="00A22390" w:rsidP="00A22390">
      <w:pPr>
        <w:rPr>
          <w:rFonts w:eastAsiaTheme="majorEastAsia"/>
        </w:rPr>
      </w:pPr>
    </w:p>
    <w:p w14:paraId="5259160C" w14:textId="77777777" w:rsidR="00A22390" w:rsidRDefault="00A22390" w:rsidP="00A22390">
      <w:pPr>
        <w:rPr>
          <w:rFonts w:eastAsiaTheme="majorEastAsia"/>
        </w:rPr>
      </w:pPr>
    </w:p>
    <w:p w14:paraId="73AE0506" w14:textId="77777777" w:rsidR="00A22390" w:rsidRDefault="00A22390" w:rsidP="00A22390">
      <w:pPr>
        <w:rPr>
          <w:rFonts w:eastAsiaTheme="majorEastAsia"/>
        </w:rPr>
      </w:pPr>
    </w:p>
    <w:p w14:paraId="05D8D0C9" w14:textId="77777777" w:rsidR="00A22390" w:rsidRDefault="00A22390" w:rsidP="00A22390">
      <w:pPr>
        <w:rPr>
          <w:rFonts w:eastAsiaTheme="majorEastAsia"/>
        </w:rPr>
      </w:pPr>
    </w:p>
    <w:p w14:paraId="4D7ED9A7" w14:textId="77777777" w:rsidR="00A22390" w:rsidRDefault="00A22390" w:rsidP="00A22390">
      <w:pPr>
        <w:pStyle w:val="Heading1"/>
        <w:numPr>
          <w:ilvl w:val="0"/>
          <w:numId w:val="46"/>
        </w:numPr>
      </w:pPr>
      <w:bookmarkStart w:id="28" w:name="_Toc147763188"/>
      <w:bookmarkStart w:id="29" w:name="_Toc148971550"/>
      <w:r w:rsidRPr="006858D1">
        <w:lastRenderedPageBreak/>
        <w:t>Compliance figures</w:t>
      </w:r>
      <w:bookmarkEnd w:id="28"/>
      <w:bookmarkEnd w:id="29"/>
      <w:r w:rsidRPr="006858D1">
        <w:t xml:space="preserve"> </w:t>
      </w:r>
    </w:p>
    <w:p w14:paraId="1670C458" w14:textId="77777777" w:rsidR="00A22390" w:rsidRPr="00F9162F" w:rsidRDefault="00A22390" w:rsidP="00A22390">
      <w:pPr>
        <w:pStyle w:val="Heading2"/>
      </w:pPr>
      <w:bookmarkStart w:id="30" w:name="_Toc147763189"/>
      <w:bookmarkStart w:id="31" w:name="_Toc148971551"/>
      <w:r>
        <w:t>Compliance summary figures – Quarter 3 (July – September 2023)</w:t>
      </w:r>
      <w:bookmarkEnd w:id="30"/>
      <w:bookmarkEnd w:id="31"/>
    </w:p>
    <w:tbl>
      <w:tblPr>
        <w:tblStyle w:val="DOT1"/>
        <w:tblpPr w:leftFromText="180" w:rightFromText="180" w:vertAnchor="text" w:horzAnchor="margin" w:tblpY="117"/>
        <w:tblW w:w="2870" w:type="pct"/>
        <w:tblLook w:val="04A0" w:firstRow="1" w:lastRow="0" w:firstColumn="1" w:lastColumn="0" w:noHBand="0" w:noVBand="1"/>
      </w:tblPr>
      <w:tblGrid>
        <w:gridCol w:w="5382"/>
        <w:gridCol w:w="2978"/>
      </w:tblGrid>
      <w:tr w:rsidR="00C12C31" w:rsidRPr="00EF3352" w14:paraId="135A5F5D" w14:textId="77777777" w:rsidTr="00C12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9" w:type="pct"/>
            <w:shd w:val="clear" w:color="auto" w:fill="D9D9D9" w:themeFill="background1" w:themeFillShade="D9"/>
            <w:hideMark/>
          </w:tcPr>
          <w:p w14:paraId="7F29344A" w14:textId="77777777" w:rsidR="00A22390" w:rsidRPr="00EF3352" w:rsidRDefault="00A22390" w:rsidP="00952D94">
            <w:pPr>
              <w:rPr>
                <w:b w:val="0"/>
                <w:bCs/>
                <w:color w:val="auto"/>
                <w:sz w:val="20"/>
                <w:lang w:eastAsia="en-AU"/>
              </w:rPr>
            </w:pPr>
            <w:bookmarkStart w:id="32" w:name="RowTitle_49" w:colFirst="0" w:colLast="0"/>
            <w:r w:rsidRPr="00EF3352">
              <w:rPr>
                <w:bCs/>
                <w:color w:val="auto"/>
                <w:sz w:val="20"/>
                <w:lang w:eastAsia="en-AU"/>
              </w:rPr>
              <w:t>Number of programmed inspections</w:t>
            </w:r>
          </w:p>
        </w:tc>
        <w:tc>
          <w:tcPr>
            <w:tcW w:w="1781" w:type="pct"/>
            <w:shd w:val="clear" w:color="auto" w:fill="auto"/>
            <w:hideMark/>
          </w:tcPr>
          <w:p w14:paraId="6AC7F04B" w14:textId="77777777" w:rsidR="00A22390" w:rsidRPr="00C12C31" w:rsidRDefault="00A22390" w:rsidP="00952D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auto"/>
                <w:sz w:val="20"/>
                <w:lang w:eastAsia="en-AU"/>
              </w:rPr>
            </w:pPr>
            <w:r w:rsidRPr="00C12C31">
              <w:rPr>
                <w:b w:val="0"/>
                <w:bCs/>
                <w:color w:val="auto"/>
                <w:sz w:val="20"/>
                <w:lang w:eastAsia="en-AU"/>
              </w:rPr>
              <w:t>14</w:t>
            </w:r>
          </w:p>
        </w:tc>
      </w:tr>
      <w:tr w:rsidR="00A22390" w:rsidRPr="00EF3352" w14:paraId="7877BA9D" w14:textId="77777777" w:rsidTr="00C12C31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9" w:type="pct"/>
            <w:shd w:val="clear" w:color="auto" w:fill="D9D9D9" w:themeFill="background1" w:themeFillShade="D9"/>
            <w:hideMark/>
          </w:tcPr>
          <w:p w14:paraId="0D093ED7" w14:textId="77777777" w:rsidR="00A22390" w:rsidRPr="00EF3352" w:rsidRDefault="00A22390" w:rsidP="00952D94">
            <w:pPr>
              <w:rPr>
                <w:b w:val="0"/>
                <w:bCs/>
                <w:color w:val="auto"/>
                <w:lang w:eastAsia="en-AU"/>
              </w:rPr>
            </w:pPr>
            <w:r w:rsidRPr="00EF3352">
              <w:rPr>
                <w:bCs/>
                <w:color w:val="auto"/>
                <w:lang w:eastAsia="en-AU"/>
              </w:rPr>
              <w:t>Number of offences detected/reported</w:t>
            </w:r>
          </w:p>
        </w:tc>
        <w:tc>
          <w:tcPr>
            <w:tcW w:w="1781" w:type="pct"/>
            <w:hideMark/>
          </w:tcPr>
          <w:p w14:paraId="36BC7F98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0</w:t>
            </w:r>
          </w:p>
        </w:tc>
      </w:tr>
      <w:tr w:rsidR="00A22390" w:rsidRPr="00EF3352" w14:paraId="6E7D4E58" w14:textId="77777777" w:rsidTr="00C12C31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9" w:type="pct"/>
            <w:shd w:val="clear" w:color="auto" w:fill="D9D9D9" w:themeFill="background1" w:themeFillShade="D9"/>
          </w:tcPr>
          <w:p w14:paraId="243F156B" w14:textId="77777777" w:rsidR="00A22390" w:rsidRPr="00EF3352" w:rsidRDefault="00A22390" w:rsidP="00952D94">
            <w:pPr>
              <w:rPr>
                <w:b w:val="0"/>
                <w:bCs/>
                <w:color w:val="auto"/>
                <w:lang w:eastAsia="en-AU"/>
              </w:rPr>
            </w:pPr>
            <w:r w:rsidRPr="00EF3352">
              <w:rPr>
                <w:bCs/>
                <w:color w:val="auto"/>
                <w:lang w:eastAsia="en-AU"/>
              </w:rPr>
              <w:t>Number of investigations</w:t>
            </w:r>
          </w:p>
        </w:tc>
        <w:tc>
          <w:tcPr>
            <w:tcW w:w="1781" w:type="pct"/>
          </w:tcPr>
          <w:p w14:paraId="2325716E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3</w:t>
            </w:r>
          </w:p>
        </w:tc>
      </w:tr>
      <w:tr w:rsidR="00A22390" w:rsidRPr="00EF3352" w14:paraId="7A68AA1E" w14:textId="77777777" w:rsidTr="00C12C31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9" w:type="pct"/>
            <w:shd w:val="clear" w:color="auto" w:fill="D9D9D9" w:themeFill="background1" w:themeFillShade="D9"/>
          </w:tcPr>
          <w:p w14:paraId="58336773" w14:textId="77777777" w:rsidR="00A22390" w:rsidRPr="00EF3352" w:rsidRDefault="00A22390" w:rsidP="00952D94">
            <w:pPr>
              <w:rPr>
                <w:b w:val="0"/>
                <w:bCs/>
                <w:color w:val="auto"/>
                <w:lang w:eastAsia="en-AU"/>
              </w:rPr>
            </w:pPr>
            <w:r w:rsidRPr="00EF3352">
              <w:rPr>
                <w:bCs/>
                <w:color w:val="auto"/>
                <w:lang w:eastAsia="en-AU"/>
              </w:rPr>
              <w:t xml:space="preserve">Number of Authorisations suspended or cancelled </w:t>
            </w:r>
          </w:p>
        </w:tc>
        <w:tc>
          <w:tcPr>
            <w:tcW w:w="1781" w:type="pct"/>
          </w:tcPr>
          <w:p w14:paraId="47148CC1" w14:textId="77777777" w:rsidR="00A22390" w:rsidRPr="00EF3352" w:rsidRDefault="00A22390" w:rsidP="00952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AU"/>
              </w:rPr>
            </w:pPr>
            <w:r w:rsidRPr="00EF3352">
              <w:rPr>
                <w:color w:val="auto"/>
                <w:lang w:eastAsia="en-AU"/>
              </w:rPr>
              <w:t>0</w:t>
            </w:r>
          </w:p>
        </w:tc>
      </w:tr>
      <w:bookmarkEnd w:id="32"/>
    </w:tbl>
    <w:p w14:paraId="50FBAAF4" w14:textId="77777777" w:rsidR="00A22390" w:rsidRPr="00A22390" w:rsidRDefault="00A22390" w:rsidP="00A22390">
      <w:pPr>
        <w:rPr>
          <w:rFonts w:eastAsiaTheme="majorEastAsia"/>
        </w:rPr>
      </w:pPr>
    </w:p>
    <w:p w14:paraId="5885F723" w14:textId="77777777" w:rsidR="00A22390" w:rsidRPr="00A22390" w:rsidRDefault="00A22390" w:rsidP="00A22390">
      <w:pPr>
        <w:rPr>
          <w:rFonts w:eastAsiaTheme="majorEastAsia"/>
        </w:rPr>
      </w:pPr>
    </w:p>
    <w:p w14:paraId="519262F9" w14:textId="77777777" w:rsidR="00A22390" w:rsidRPr="00A22390" w:rsidRDefault="00A22390" w:rsidP="00A22390">
      <w:pPr>
        <w:rPr>
          <w:rFonts w:eastAsiaTheme="majorEastAsia"/>
        </w:rPr>
      </w:pPr>
    </w:p>
    <w:p w14:paraId="2C3DB91E" w14:textId="77777777" w:rsidR="00A22390" w:rsidRPr="00A22390" w:rsidRDefault="00A22390" w:rsidP="00A22390">
      <w:pPr>
        <w:rPr>
          <w:rFonts w:eastAsiaTheme="majorEastAsia"/>
        </w:rPr>
      </w:pPr>
    </w:p>
    <w:p w14:paraId="560D7A4D" w14:textId="77777777" w:rsidR="00A22390" w:rsidRPr="00A22390" w:rsidRDefault="00A22390" w:rsidP="00A22390">
      <w:pPr>
        <w:rPr>
          <w:rFonts w:eastAsiaTheme="majorEastAsia"/>
        </w:rPr>
      </w:pPr>
    </w:p>
    <w:p w14:paraId="0E9AFBBB" w14:textId="0B151AB7" w:rsidR="004371F6" w:rsidRDefault="004371F6" w:rsidP="00664380"/>
    <w:sectPr w:rsidR="004371F6" w:rsidSect="00F224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6838" w:h="11906" w:orient="landscape" w:code="9"/>
      <w:pgMar w:top="568" w:right="1134" w:bottom="426" w:left="1134" w:header="709" w:footer="1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7A2BE" w14:textId="77777777" w:rsidR="004B7E07" w:rsidRDefault="004B7E07" w:rsidP="00664380">
      <w:r>
        <w:separator/>
      </w:r>
    </w:p>
    <w:p w14:paraId="5EFB1961" w14:textId="77777777" w:rsidR="004B7E07" w:rsidRDefault="004B7E07" w:rsidP="00664380"/>
  </w:endnote>
  <w:endnote w:type="continuationSeparator" w:id="0">
    <w:p w14:paraId="238963D3" w14:textId="77777777" w:rsidR="004B7E07" w:rsidRDefault="004B7E07" w:rsidP="00664380">
      <w:r>
        <w:continuationSeparator/>
      </w:r>
    </w:p>
    <w:p w14:paraId="68C74F32" w14:textId="77777777" w:rsidR="004B7E07" w:rsidRDefault="004B7E07" w:rsidP="00664380"/>
  </w:endnote>
  <w:endnote w:type="continuationNotice" w:id="1">
    <w:p w14:paraId="5430D5ED" w14:textId="77777777" w:rsidR="004B7E07" w:rsidRDefault="004B7E07" w:rsidP="006643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C32B" w14:textId="15F6E4E3" w:rsidR="00D21D3D" w:rsidRDefault="00D21D3D" w:rsidP="0066438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9507" behindDoc="0" locked="0" layoutInCell="1" allowOverlap="1" wp14:anchorId="3BB7A245" wp14:editId="5EE60EB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814581706" name="Text Box 1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8F9BBB" w14:textId="0056396B" w:rsidR="00D21D3D" w:rsidRPr="00D21D3D" w:rsidRDefault="00D21D3D" w:rsidP="00664380">
                          <w:pPr>
                            <w:rPr>
                              <w:rFonts w:eastAsia="Arial"/>
                              <w:noProof/>
                            </w:rPr>
                          </w:pPr>
                          <w:r w:rsidRPr="00D21D3D">
                            <w:rPr>
                              <w:rFonts w:eastAsia="Arial"/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B7A24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alt="OFFICIAL" style="position:absolute;margin-left:0;margin-top:0;width:34.95pt;height:34.95pt;z-index:25166950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08F9BBB" w14:textId="0056396B" w:rsidR="00D21D3D" w:rsidRPr="00D21D3D" w:rsidRDefault="00D21D3D" w:rsidP="00664380">
                    <w:pPr>
                      <w:rPr>
                        <w:rFonts w:eastAsia="Arial"/>
                        <w:noProof/>
                      </w:rPr>
                    </w:pPr>
                    <w:r w:rsidRPr="00D21D3D">
                      <w:rPr>
                        <w:rFonts w:eastAsia="Arial"/>
                        <w:noProof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FD1B" w14:textId="58EF8B9A" w:rsidR="00D21D3D" w:rsidRPr="00CA6297" w:rsidRDefault="00D21D3D" w:rsidP="00CA6297">
    <w:pPr>
      <w:pStyle w:val="Footer1"/>
    </w:pPr>
    <w:r w:rsidRPr="00CA6297">
      <mc:AlternateContent>
        <mc:Choice Requires="wps">
          <w:drawing>
            <wp:anchor distT="0" distB="0" distL="0" distR="0" simplePos="0" relativeHeight="251670531" behindDoc="0" locked="0" layoutInCell="1" allowOverlap="1" wp14:anchorId="307883EB" wp14:editId="5CB38BA8">
              <wp:simplePos x="720725" y="702119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907795480" name="Text Box 1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B363BB" w14:textId="7405E395" w:rsidR="00D21D3D" w:rsidRPr="00D21D3D" w:rsidRDefault="00D21D3D" w:rsidP="00664380">
                          <w:pPr>
                            <w:rPr>
                              <w:rFonts w:eastAsia="Arial"/>
                              <w:noProof/>
                            </w:rPr>
                          </w:pPr>
                          <w:r w:rsidRPr="00D21D3D">
                            <w:rPr>
                              <w:rFonts w:eastAsia="Arial"/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7883E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alt="OFFICIAL" style="position:absolute;left:0;text-align:left;margin-left:0;margin-top:0;width:34.95pt;height:34.95pt;z-index:25167053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63B363BB" w14:textId="7405E395" w:rsidR="00D21D3D" w:rsidRPr="00D21D3D" w:rsidRDefault="00D21D3D" w:rsidP="00664380">
                    <w:pPr>
                      <w:rPr>
                        <w:rFonts w:eastAsia="Arial"/>
                        <w:noProof/>
                      </w:rPr>
                    </w:pPr>
                    <w:r w:rsidRPr="00D21D3D">
                      <w:rPr>
                        <w:rFonts w:eastAsia="Arial"/>
                        <w:noProof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0219E" w:rsidRPr="00CA6297">
      <w:t xml:space="preserve">Kangaroo Harvesting Program </w:t>
    </w:r>
    <w:r w:rsidR="00757289" w:rsidRPr="00CA6297">
      <w:t>–</w:t>
    </w:r>
    <w:r w:rsidR="0020219E" w:rsidRPr="00CA6297">
      <w:t xml:space="preserve"> </w:t>
    </w:r>
    <w:r w:rsidR="00757289" w:rsidRPr="00CA6297">
      <w:t xml:space="preserve">Quarter </w:t>
    </w:r>
    <w:r w:rsidR="00A22390">
      <w:t>3</w:t>
    </w:r>
    <w:r w:rsidR="00757289" w:rsidRPr="00CA6297">
      <w:t xml:space="preserve"> Summary Report</w:t>
    </w:r>
    <w:r w:rsidR="0020219E" w:rsidRPr="00CA6297">
      <w:t xml:space="preserve"> 202</w:t>
    </w:r>
    <w:r w:rsidR="00757289" w:rsidRPr="00CA6297">
      <w:t>3</w:t>
    </w:r>
    <w:r w:rsidR="0020219E" w:rsidRPr="00CA6297">
      <w:t xml:space="preserve"> – Accessible version</w:t>
    </w:r>
  </w:p>
  <w:p w14:paraId="5671AFD3" w14:textId="193FDC72" w:rsidR="0020219E" w:rsidRPr="00CA6297" w:rsidRDefault="0020219E" w:rsidP="00CA6297">
    <w:pPr>
      <w:pStyle w:val="Footer1"/>
    </w:pPr>
    <w:r w:rsidRPr="00CA6297">
      <w:t>State Government of Victoria – Department of Jobs</w:t>
    </w:r>
    <w:r w:rsidR="00A22390">
      <w:t xml:space="preserve">, Skills, Industry </w:t>
    </w:r>
    <w:r w:rsidRPr="00CA6297">
      <w:t>and Regions</w:t>
    </w:r>
  </w:p>
  <w:p w14:paraId="7928DF89" w14:textId="73FF7E0C" w:rsidR="0020219E" w:rsidRPr="00CA6297" w:rsidRDefault="0020219E" w:rsidP="00CA6297">
    <w:pPr>
      <w:pStyle w:val="Footer1"/>
    </w:pPr>
    <w:r w:rsidRPr="00CA6297">
      <w:t xml:space="preserve">Page </w:t>
    </w:r>
    <w:r w:rsidRPr="00CA6297">
      <w:fldChar w:fldCharType="begin"/>
    </w:r>
    <w:r w:rsidRPr="00CA6297">
      <w:instrText xml:space="preserve"> PAGE   \* MERGEFORMAT </w:instrText>
    </w:r>
    <w:r w:rsidRPr="00CA6297">
      <w:fldChar w:fldCharType="separate"/>
    </w:r>
    <w:r w:rsidRPr="00CA6297">
      <w:t>1</w:t>
    </w:r>
    <w:r w:rsidRPr="00CA629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CBFF" w14:textId="5593D4DD" w:rsidR="00D21D3D" w:rsidRDefault="00D21D3D" w:rsidP="0066438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8483" behindDoc="0" locked="0" layoutInCell="1" allowOverlap="1" wp14:anchorId="235A0A36" wp14:editId="1DA53F17">
              <wp:simplePos x="723900" y="70199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846272401" name="Text Box 1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530E59" w14:textId="235A2E32" w:rsidR="00D21D3D" w:rsidRPr="00D21D3D" w:rsidRDefault="00D21D3D" w:rsidP="00664380">
                          <w:pPr>
                            <w:rPr>
                              <w:rFonts w:eastAsia="Arial"/>
                              <w:noProof/>
                            </w:rPr>
                          </w:pPr>
                          <w:r w:rsidRPr="00D21D3D">
                            <w:rPr>
                              <w:rFonts w:eastAsia="Arial"/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5A0A3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alt="OFFICIAL" style="position:absolute;margin-left:0;margin-top:0;width:34.95pt;height:34.95pt;z-index:25166848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E530E59" w14:textId="235A2E32" w:rsidR="00D21D3D" w:rsidRPr="00D21D3D" w:rsidRDefault="00D21D3D" w:rsidP="00664380">
                    <w:pPr>
                      <w:rPr>
                        <w:rFonts w:eastAsia="Arial"/>
                        <w:noProof/>
                      </w:rPr>
                    </w:pPr>
                    <w:r w:rsidRPr="00D21D3D">
                      <w:rPr>
                        <w:rFonts w:eastAsia="Arial"/>
                        <w:noProof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694B" w14:textId="77777777" w:rsidR="004B7E07" w:rsidRDefault="004B7E07" w:rsidP="00664380">
      <w:r>
        <w:separator/>
      </w:r>
    </w:p>
    <w:p w14:paraId="456C2335" w14:textId="77777777" w:rsidR="004B7E07" w:rsidRDefault="004B7E07" w:rsidP="00664380"/>
  </w:footnote>
  <w:footnote w:type="continuationSeparator" w:id="0">
    <w:p w14:paraId="7F44A472" w14:textId="77777777" w:rsidR="004B7E07" w:rsidRDefault="004B7E07" w:rsidP="00664380">
      <w:r>
        <w:continuationSeparator/>
      </w:r>
    </w:p>
    <w:p w14:paraId="076594B7" w14:textId="77777777" w:rsidR="004B7E07" w:rsidRDefault="004B7E07" w:rsidP="00664380"/>
  </w:footnote>
  <w:footnote w:type="continuationNotice" w:id="1">
    <w:p w14:paraId="2704F86F" w14:textId="77777777" w:rsidR="004B7E07" w:rsidRDefault="004B7E07" w:rsidP="006643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3DFC" w14:textId="2F2D3C70" w:rsidR="00D21D3D" w:rsidRDefault="00D21D3D" w:rsidP="0066438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3" behindDoc="0" locked="0" layoutInCell="1" allowOverlap="1" wp14:anchorId="75745067" wp14:editId="5272B16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422309074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3BEAB9" w14:textId="30A8A9BA" w:rsidR="00D21D3D" w:rsidRPr="00D21D3D" w:rsidRDefault="00D21D3D" w:rsidP="00664380">
                          <w:pPr>
                            <w:rPr>
                              <w:rFonts w:eastAsia="Arial"/>
                              <w:noProof/>
                            </w:rPr>
                          </w:pPr>
                          <w:r w:rsidRPr="00D21D3D">
                            <w:rPr>
                              <w:rFonts w:eastAsia="Arial"/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74506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" style="position:absolute;margin-left:0;margin-top:0;width:34.95pt;height:34.95pt;z-index:251663363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573BEAB9" w14:textId="30A8A9BA" w:rsidR="00D21D3D" w:rsidRPr="00D21D3D" w:rsidRDefault="00D21D3D" w:rsidP="00664380">
                    <w:pPr>
                      <w:rPr>
                        <w:rFonts w:eastAsia="Arial"/>
                        <w:noProof/>
                      </w:rPr>
                    </w:pPr>
                    <w:r w:rsidRPr="00D21D3D">
                      <w:rPr>
                        <w:rFonts w:eastAsia="Arial"/>
                        <w:noProof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8024" w14:textId="6AD91954" w:rsidR="00BC13FF" w:rsidRDefault="00D21D3D" w:rsidP="0066438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7" behindDoc="0" locked="0" layoutInCell="1" allowOverlap="1" wp14:anchorId="05E4EDCF" wp14:editId="7B51DD5E">
              <wp:simplePos x="720725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863310333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A8B5CE" w14:textId="695373FA" w:rsidR="00D21D3D" w:rsidRPr="00D21D3D" w:rsidRDefault="00D21D3D" w:rsidP="00664380">
                          <w:pPr>
                            <w:rPr>
                              <w:rFonts w:eastAsia="Arial"/>
                              <w:noProof/>
                            </w:rPr>
                          </w:pPr>
                          <w:r w:rsidRPr="00D21D3D">
                            <w:rPr>
                              <w:rFonts w:eastAsia="Arial"/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E4EDC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margin-left:0;margin-top:0;width:34.95pt;height:34.95pt;z-index:251664387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3EA8B5CE" w14:textId="695373FA" w:rsidR="00D21D3D" w:rsidRPr="00D21D3D" w:rsidRDefault="00D21D3D" w:rsidP="00664380">
                    <w:pPr>
                      <w:rPr>
                        <w:rFonts w:eastAsia="Arial"/>
                        <w:noProof/>
                      </w:rPr>
                    </w:pPr>
                    <w:r w:rsidRPr="00D21D3D">
                      <w:rPr>
                        <w:rFonts w:eastAsia="Arial"/>
                        <w:noProof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E483" w14:textId="589984D5" w:rsidR="00BC13FF" w:rsidRDefault="00D21D3D" w:rsidP="0066438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9" behindDoc="0" locked="0" layoutInCell="1" allowOverlap="1" wp14:anchorId="0536F4F4" wp14:editId="6FA3D8CD">
              <wp:simplePos x="7239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8415" b="15240"/>
              <wp:wrapNone/>
              <wp:docPr id="1137832779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AB5D8B" w14:textId="143081FA" w:rsidR="00D21D3D" w:rsidRPr="00D21D3D" w:rsidRDefault="00D21D3D" w:rsidP="00664380">
                          <w:pPr>
                            <w:rPr>
                              <w:rFonts w:eastAsia="Arial"/>
                              <w:noProof/>
                            </w:rPr>
                          </w:pPr>
                          <w:r w:rsidRPr="00D21D3D">
                            <w:rPr>
                              <w:rFonts w:eastAsia="Arial"/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36F4F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alt="OFFICIAL" style="position:absolute;margin-left:0;margin-top:0;width:34.95pt;height:34.95pt;z-index:251662339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47AB5D8B" w14:textId="143081FA" w:rsidR="00D21D3D" w:rsidRPr="00D21D3D" w:rsidRDefault="00D21D3D" w:rsidP="00664380">
                    <w:pPr>
                      <w:rPr>
                        <w:rFonts w:eastAsia="Arial"/>
                        <w:noProof/>
                      </w:rPr>
                    </w:pPr>
                    <w:r w:rsidRPr="00D21D3D">
                      <w:rPr>
                        <w:rFonts w:eastAsia="Arial"/>
                        <w:noProof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643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726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BE3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7A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30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49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96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B28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98D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9A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16F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D136D"/>
    <w:multiLevelType w:val="hybridMultilevel"/>
    <w:tmpl w:val="EEA49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1878E8"/>
    <w:multiLevelType w:val="multilevel"/>
    <w:tmpl w:val="1D20A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03A2E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B40253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63B65BB"/>
    <w:multiLevelType w:val="hybridMultilevel"/>
    <w:tmpl w:val="545A9BA2"/>
    <w:lvl w:ilvl="0" w:tplc="59ACA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54F27"/>
    <w:multiLevelType w:val="hybridMultilevel"/>
    <w:tmpl w:val="ADA29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B74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00123AA"/>
    <w:multiLevelType w:val="hybridMultilevel"/>
    <w:tmpl w:val="EBB054F6"/>
    <w:lvl w:ilvl="0" w:tplc="D6B0C102">
      <w:start w:val="1"/>
      <w:numFmt w:val="bullet"/>
      <w:pStyle w:val="ListBullet2"/>
      <w:lvlText w:val=""/>
      <w:lvlJc w:val="left"/>
      <w:pPr>
        <w:ind w:left="1145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41121AD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6B850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7A59D2"/>
    <w:multiLevelType w:val="hybridMultilevel"/>
    <w:tmpl w:val="13EA3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D0ADB"/>
    <w:multiLevelType w:val="hybridMultilevel"/>
    <w:tmpl w:val="2ED28FF4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826645"/>
    <w:multiLevelType w:val="hybridMultilevel"/>
    <w:tmpl w:val="66809DEA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4DA56622"/>
    <w:multiLevelType w:val="hybridMultilevel"/>
    <w:tmpl w:val="D5D4CCD0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997248"/>
    <w:multiLevelType w:val="hybridMultilevel"/>
    <w:tmpl w:val="2B6E5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542F2"/>
    <w:multiLevelType w:val="multilevel"/>
    <w:tmpl w:val="4D7043DA"/>
    <w:lvl w:ilvl="0">
      <w:start w:val="1"/>
      <w:numFmt w:val="decimal"/>
      <w:pStyle w:val="Heading1"/>
      <w:lvlText w:val="%1"/>
      <w:lvlJc w:val="left"/>
      <w:pPr>
        <w:ind w:left="1152" w:hanging="432"/>
      </w:pPr>
      <w:rPr>
        <w:sz w:val="36"/>
        <w:szCs w:val="36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pStyle w:val="Heading4"/>
      <w:lvlText w:val="%1.%2.%3.%4"/>
      <w:lvlJc w:val="left"/>
      <w:pPr>
        <w:ind w:left="1584" w:hanging="864"/>
      </w:pPr>
    </w:lvl>
    <w:lvl w:ilvl="4">
      <w:start w:val="1"/>
      <w:numFmt w:val="decimal"/>
      <w:pStyle w:val="Heading5"/>
      <w:lvlText w:val="%1.%2.%3.%4.%5"/>
      <w:lvlJc w:val="left"/>
      <w:pPr>
        <w:ind w:left="172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87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201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216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304" w:hanging="1584"/>
      </w:pPr>
    </w:lvl>
  </w:abstractNum>
  <w:abstractNum w:abstractNumId="29" w15:restartNumberingAfterBreak="0">
    <w:nsid w:val="6CFD0202"/>
    <w:multiLevelType w:val="hybridMultilevel"/>
    <w:tmpl w:val="76B21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F4741"/>
    <w:multiLevelType w:val="hybridMultilevel"/>
    <w:tmpl w:val="908E3106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3C130D"/>
    <w:multiLevelType w:val="hybridMultilevel"/>
    <w:tmpl w:val="127A4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2744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8231123">
    <w:abstractNumId w:val="26"/>
  </w:num>
  <w:num w:numId="2" w16cid:durableId="109277634">
    <w:abstractNumId w:val="26"/>
  </w:num>
  <w:num w:numId="3" w16cid:durableId="1071731898">
    <w:abstractNumId w:val="26"/>
  </w:num>
  <w:num w:numId="4" w16cid:durableId="1210073761">
    <w:abstractNumId w:val="26"/>
  </w:num>
  <w:num w:numId="5" w16cid:durableId="1014648846">
    <w:abstractNumId w:val="26"/>
  </w:num>
  <w:num w:numId="6" w16cid:durableId="591936064">
    <w:abstractNumId w:val="21"/>
  </w:num>
  <w:num w:numId="7" w16cid:durableId="872771027">
    <w:abstractNumId w:val="32"/>
  </w:num>
  <w:num w:numId="8" w16cid:durableId="1171022411">
    <w:abstractNumId w:val="28"/>
  </w:num>
  <w:num w:numId="9" w16cid:durableId="1651981397">
    <w:abstractNumId w:val="14"/>
  </w:num>
  <w:num w:numId="10" w16cid:durableId="2049915541">
    <w:abstractNumId w:val="11"/>
  </w:num>
  <w:num w:numId="11" w16cid:durableId="1401829100">
    <w:abstractNumId w:val="13"/>
  </w:num>
  <w:num w:numId="12" w16cid:durableId="1329941444">
    <w:abstractNumId w:val="20"/>
  </w:num>
  <w:num w:numId="13" w16cid:durableId="1693335168">
    <w:abstractNumId w:val="18"/>
  </w:num>
  <w:num w:numId="14" w16cid:durableId="1953589819">
    <w:abstractNumId w:val="19"/>
  </w:num>
  <w:num w:numId="15" w16cid:durableId="2435480">
    <w:abstractNumId w:val="0"/>
  </w:num>
  <w:num w:numId="16" w16cid:durableId="241987196">
    <w:abstractNumId w:val="1"/>
  </w:num>
  <w:num w:numId="17" w16cid:durableId="2052340971">
    <w:abstractNumId w:val="2"/>
  </w:num>
  <w:num w:numId="18" w16cid:durableId="1307004303">
    <w:abstractNumId w:val="3"/>
  </w:num>
  <w:num w:numId="19" w16cid:durableId="1485468962">
    <w:abstractNumId w:val="4"/>
  </w:num>
  <w:num w:numId="20" w16cid:durableId="945382642">
    <w:abstractNumId w:val="9"/>
  </w:num>
  <w:num w:numId="21" w16cid:durableId="426389146">
    <w:abstractNumId w:val="5"/>
  </w:num>
  <w:num w:numId="22" w16cid:durableId="2001694790">
    <w:abstractNumId w:val="6"/>
  </w:num>
  <w:num w:numId="23" w16cid:durableId="1152142788">
    <w:abstractNumId w:val="7"/>
  </w:num>
  <w:num w:numId="24" w16cid:durableId="80179502">
    <w:abstractNumId w:val="8"/>
  </w:num>
  <w:num w:numId="25" w16cid:durableId="364646699">
    <w:abstractNumId w:val="10"/>
  </w:num>
  <w:num w:numId="26" w16cid:durableId="1401101715">
    <w:abstractNumId w:val="15"/>
  </w:num>
  <w:num w:numId="27" w16cid:durableId="129792427">
    <w:abstractNumId w:val="17"/>
  </w:num>
  <w:num w:numId="28" w16cid:durableId="427579488">
    <w:abstractNumId w:val="23"/>
  </w:num>
  <w:num w:numId="29" w16cid:durableId="814564141">
    <w:abstractNumId w:val="30"/>
  </w:num>
  <w:num w:numId="30" w16cid:durableId="614756893">
    <w:abstractNumId w:val="25"/>
  </w:num>
  <w:num w:numId="31" w16cid:durableId="1406293475">
    <w:abstractNumId w:val="16"/>
  </w:num>
  <w:num w:numId="32" w16cid:durableId="938758015">
    <w:abstractNumId w:val="28"/>
  </w:num>
  <w:num w:numId="33" w16cid:durableId="328368057">
    <w:abstractNumId w:val="28"/>
  </w:num>
  <w:num w:numId="34" w16cid:durableId="654844018">
    <w:abstractNumId w:val="28"/>
  </w:num>
  <w:num w:numId="35" w16cid:durableId="1812016036">
    <w:abstractNumId w:val="28"/>
  </w:num>
  <w:num w:numId="36" w16cid:durableId="257063147">
    <w:abstractNumId w:val="28"/>
  </w:num>
  <w:num w:numId="37" w16cid:durableId="1567178229">
    <w:abstractNumId w:val="28"/>
  </w:num>
  <w:num w:numId="38" w16cid:durableId="329454718">
    <w:abstractNumId w:val="28"/>
  </w:num>
  <w:num w:numId="39" w16cid:durableId="1384989099">
    <w:abstractNumId w:val="28"/>
  </w:num>
  <w:num w:numId="40" w16cid:durableId="203294202">
    <w:abstractNumId w:val="28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41" w16cid:durableId="1182818530">
    <w:abstractNumId w:val="28"/>
  </w:num>
  <w:num w:numId="42" w16cid:durableId="1903170878">
    <w:abstractNumId w:val="28"/>
  </w:num>
  <w:num w:numId="43" w16cid:durableId="359204675">
    <w:abstractNumId w:val="28"/>
  </w:num>
  <w:num w:numId="44" w16cid:durableId="609511379">
    <w:abstractNumId w:val="28"/>
  </w:num>
  <w:num w:numId="45" w16cid:durableId="605312013">
    <w:abstractNumId w:val="24"/>
  </w:num>
  <w:num w:numId="46" w16cid:durableId="401759653">
    <w:abstractNumId w:val="12"/>
  </w:num>
  <w:num w:numId="47" w16cid:durableId="599531103">
    <w:abstractNumId w:val="27"/>
  </w:num>
  <w:num w:numId="48" w16cid:durableId="2118520195">
    <w:abstractNumId w:val="31"/>
  </w:num>
  <w:num w:numId="49" w16cid:durableId="1757088359">
    <w:abstractNumId w:val="22"/>
  </w:num>
  <w:num w:numId="50" w16cid:durableId="21143247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3MTcxMrKwMDYwMzRR0lEKTi0uzszPAykwNKsFABq3sl8tAAAA"/>
  </w:docVars>
  <w:rsids>
    <w:rsidRoot w:val="009B5082"/>
    <w:rsid w:val="0000114C"/>
    <w:rsid w:val="00002082"/>
    <w:rsid w:val="00003529"/>
    <w:rsid w:val="00007293"/>
    <w:rsid w:val="0000762E"/>
    <w:rsid w:val="000105A1"/>
    <w:rsid w:val="00012D03"/>
    <w:rsid w:val="00015046"/>
    <w:rsid w:val="00020C3B"/>
    <w:rsid w:val="000210C2"/>
    <w:rsid w:val="0002147B"/>
    <w:rsid w:val="00021B0F"/>
    <w:rsid w:val="000231A2"/>
    <w:rsid w:val="000332C9"/>
    <w:rsid w:val="00033C4C"/>
    <w:rsid w:val="00033E31"/>
    <w:rsid w:val="00034053"/>
    <w:rsid w:val="0004322F"/>
    <w:rsid w:val="00043BBD"/>
    <w:rsid w:val="00044DC5"/>
    <w:rsid w:val="0004674A"/>
    <w:rsid w:val="00052B82"/>
    <w:rsid w:val="000571A3"/>
    <w:rsid w:val="00060302"/>
    <w:rsid w:val="0006076E"/>
    <w:rsid w:val="000636CE"/>
    <w:rsid w:val="000645E1"/>
    <w:rsid w:val="000664EC"/>
    <w:rsid w:val="00070516"/>
    <w:rsid w:val="00072216"/>
    <w:rsid w:val="00077427"/>
    <w:rsid w:val="00077F71"/>
    <w:rsid w:val="000809CD"/>
    <w:rsid w:val="00081B99"/>
    <w:rsid w:val="00083F3A"/>
    <w:rsid w:val="00085027"/>
    <w:rsid w:val="00087E60"/>
    <w:rsid w:val="00090437"/>
    <w:rsid w:val="00092A62"/>
    <w:rsid w:val="00095305"/>
    <w:rsid w:val="00095691"/>
    <w:rsid w:val="000B0997"/>
    <w:rsid w:val="000B2BD7"/>
    <w:rsid w:val="000B5CE2"/>
    <w:rsid w:val="000B7105"/>
    <w:rsid w:val="000C1691"/>
    <w:rsid w:val="000C4A14"/>
    <w:rsid w:val="000D3198"/>
    <w:rsid w:val="000E0537"/>
    <w:rsid w:val="000E07AE"/>
    <w:rsid w:val="000E39A7"/>
    <w:rsid w:val="000E52C8"/>
    <w:rsid w:val="000E59A7"/>
    <w:rsid w:val="000F0296"/>
    <w:rsid w:val="000F0460"/>
    <w:rsid w:val="000F31B9"/>
    <w:rsid w:val="000F7643"/>
    <w:rsid w:val="0010493C"/>
    <w:rsid w:val="00104DC9"/>
    <w:rsid w:val="00106B24"/>
    <w:rsid w:val="00112B06"/>
    <w:rsid w:val="00113B2A"/>
    <w:rsid w:val="00113C6D"/>
    <w:rsid w:val="001220BA"/>
    <w:rsid w:val="001266CB"/>
    <w:rsid w:val="00130D25"/>
    <w:rsid w:val="001339CF"/>
    <w:rsid w:val="00133F06"/>
    <w:rsid w:val="00135B6F"/>
    <w:rsid w:val="0013696D"/>
    <w:rsid w:val="001410ED"/>
    <w:rsid w:val="001417FE"/>
    <w:rsid w:val="00142368"/>
    <w:rsid w:val="001441F4"/>
    <w:rsid w:val="001455F1"/>
    <w:rsid w:val="001457C0"/>
    <w:rsid w:val="00146512"/>
    <w:rsid w:val="00152666"/>
    <w:rsid w:val="00152EB9"/>
    <w:rsid w:val="001575E7"/>
    <w:rsid w:val="00160779"/>
    <w:rsid w:val="00162799"/>
    <w:rsid w:val="00162CEF"/>
    <w:rsid w:val="00162F14"/>
    <w:rsid w:val="00164024"/>
    <w:rsid w:val="00164461"/>
    <w:rsid w:val="00164987"/>
    <w:rsid w:val="00166869"/>
    <w:rsid w:val="00166A80"/>
    <w:rsid w:val="00166CEB"/>
    <w:rsid w:val="0016720E"/>
    <w:rsid w:val="00167CD4"/>
    <w:rsid w:val="0017048B"/>
    <w:rsid w:val="001774D2"/>
    <w:rsid w:val="001806A6"/>
    <w:rsid w:val="00181199"/>
    <w:rsid w:val="00182D6D"/>
    <w:rsid w:val="001858C2"/>
    <w:rsid w:val="00186B61"/>
    <w:rsid w:val="00187519"/>
    <w:rsid w:val="00187CBA"/>
    <w:rsid w:val="00190A16"/>
    <w:rsid w:val="001945E5"/>
    <w:rsid w:val="00195F54"/>
    <w:rsid w:val="001A653B"/>
    <w:rsid w:val="001A7697"/>
    <w:rsid w:val="001A7C9F"/>
    <w:rsid w:val="001B10FB"/>
    <w:rsid w:val="001B441A"/>
    <w:rsid w:val="001B7370"/>
    <w:rsid w:val="001C16C8"/>
    <w:rsid w:val="001C2809"/>
    <w:rsid w:val="001C330C"/>
    <w:rsid w:val="001C3BE4"/>
    <w:rsid w:val="001C5132"/>
    <w:rsid w:val="001C680A"/>
    <w:rsid w:val="001C6B87"/>
    <w:rsid w:val="001D3258"/>
    <w:rsid w:val="001E06F1"/>
    <w:rsid w:val="001E0842"/>
    <w:rsid w:val="001E230C"/>
    <w:rsid w:val="001E2724"/>
    <w:rsid w:val="001E3947"/>
    <w:rsid w:val="001E3C21"/>
    <w:rsid w:val="001E4C49"/>
    <w:rsid w:val="001E6F97"/>
    <w:rsid w:val="001F01E9"/>
    <w:rsid w:val="001F0A49"/>
    <w:rsid w:val="001F323D"/>
    <w:rsid w:val="001F3D55"/>
    <w:rsid w:val="001F44FC"/>
    <w:rsid w:val="001F5536"/>
    <w:rsid w:val="001F6F53"/>
    <w:rsid w:val="001F76F6"/>
    <w:rsid w:val="001F7FE5"/>
    <w:rsid w:val="00200669"/>
    <w:rsid w:val="00201D68"/>
    <w:rsid w:val="0020219E"/>
    <w:rsid w:val="002067A2"/>
    <w:rsid w:val="0021262D"/>
    <w:rsid w:val="00213169"/>
    <w:rsid w:val="00213285"/>
    <w:rsid w:val="00213AA6"/>
    <w:rsid w:val="00214165"/>
    <w:rsid w:val="0022061D"/>
    <w:rsid w:val="002230C4"/>
    <w:rsid w:val="00225816"/>
    <w:rsid w:val="002307AF"/>
    <w:rsid w:val="00231CC3"/>
    <w:rsid w:val="00232F72"/>
    <w:rsid w:val="00240644"/>
    <w:rsid w:val="00241F2F"/>
    <w:rsid w:val="00247333"/>
    <w:rsid w:val="00247B1D"/>
    <w:rsid w:val="002541E8"/>
    <w:rsid w:val="00263FA9"/>
    <w:rsid w:val="00270CB2"/>
    <w:rsid w:val="00275C41"/>
    <w:rsid w:val="00276A0E"/>
    <w:rsid w:val="00277947"/>
    <w:rsid w:val="00277A1E"/>
    <w:rsid w:val="002811E0"/>
    <w:rsid w:val="00282C5C"/>
    <w:rsid w:val="00284807"/>
    <w:rsid w:val="002848F0"/>
    <w:rsid w:val="0028744D"/>
    <w:rsid w:val="00292254"/>
    <w:rsid w:val="00293C57"/>
    <w:rsid w:val="00294079"/>
    <w:rsid w:val="00294DCD"/>
    <w:rsid w:val="00295EF3"/>
    <w:rsid w:val="002A0F48"/>
    <w:rsid w:val="002A56CF"/>
    <w:rsid w:val="002A6875"/>
    <w:rsid w:val="002A72B2"/>
    <w:rsid w:val="002B0A79"/>
    <w:rsid w:val="002B1A12"/>
    <w:rsid w:val="002B250A"/>
    <w:rsid w:val="002B274A"/>
    <w:rsid w:val="002B38ED"/>
    <w:rsid w:val="002B410F"/>
    <w:rsid w:val="002B5841"/>
    <w:rsid w:val="002C1C79"/>
    <w:rsid w:val="002C2764"/>
    <w:rsid w:val="002C2F1F"/>
    <w:rsid w:val="002C2FAF"/>
    <w:rsid w:val="002C3629"/>
    <w:rsid w:val="002C4458"/>
    <w:rsid w:val="002D1ED7"/>
    <w:rsid w:val="002D1F76"/>
    <w:rsid w:val="002D6F74"/>
    <w:rsid w:val="002E04F8"/>
    <w:rsid w:val="002E2D0F"/>
    <w:rsid w:val="002E3C2C"/>
    <w:rsid w:val="002F04A5"/>
    <w:rsid w:val="002F24A3"/>
    <w:rsid w:val="002F2CCF"/>
    <w:rsid w:val="00300D80"/>
    <w:rsid w:val="00301B5C"/>
    <w:rsid w:val="00303059"/>
    <w:rsid w:val="00310124"/>
    <w:rsid w:val="00311E13"/>
    <w:rsid w:val="003219ED"/>
    <w:rsid w:val="00322AE7"/>
    <w:rsid w:val="0032360E"/>
    <w:rsid w:val="00324583"/>
    <w:rsid w:val="00325910"/>
    <w:rsid w:val="0032674B"/>
    <w:rsid w:val="0032739B"/>
    <w:rsid w:val="00331C13"/>
    <w:rsid w:val="00334127"/>
    <w:rsid w:val="00334843"/>
    <w:rsid w:val="003355DD"/>
    <w:rsid w:val="003375E9"/>
    <w:rsid w:val="0034060F"/>
    <w:rsid w:val="00345E64"/>
    <w:rsid w:val="0034620F"/>
    <w:rsid w:val="003513EE"/>
    <w:rsid w:val="00353D57"/>
    <w:rsid w:val="00354C67"/>
    <w:rsid w:val="0035752C"/>
    <w:rsid w:val="003603BD"/>
    <w:rsid w:val="003628E3"/>
    <w:rsid w:val="00366A98"/>
    <w:rsid w:val="00367A43"/>
    <w:rsid w:val="003700FB"/>
    <w:rsid w:val="00371B68"/>
    <w:rsid w:val="00372295"/>
    <w:rsid w:val="0037399D"/>
    <w:rsid w:val="00374250"/>
    <w:rsid w:val="00375D46"/>
    <w:rsid w:val="00375F08"/>
    <w:rsid w:val="00376721"/>
    <w:rsid w:val="00376808"/>
    <w:rsid w:val="00376E89"/>
    <w:rsid w:val="00376F16"/>
    <w:rsid w:val="003772B1"/>
    <w:rsid w:val="003813E7"/>
    <w:rsid w:val="00382862"/>
    <w:rsid w:val="0038297E"/>
    <w:rsid w:val="00383744"/>
    <w:rsid w:val="00391A43"/>
    <w:rsid w:val="00393B41"/>
    <w:rsid w:val="00396AF6"/>
    <w:rsid w:val="00397600"/>
    <w:rsid w:val="003A53BE"/>
    <w:rsid w:val="003A740D"/>
    <w:rsid w:val="003B0708"/>
    <w:rsid w:val="003B093E"/>
    <w:rsid w:val="003B2545"/>
    <w:rsid w:val="003B25C6"/>
    <w:rsid w:val="003B31C0"/>
    <w:rsid w:val="003B37BD"/>
    <w:rsid w:val="003B4F2D"/>
    <w:rsid w:val="003B546E"/>
    <w:rsid w:val="003B6C95"/>
    <w:rsid w:val="003C2813"/>
    <w:rsid w:val="003C37C0"/>
    <w:rsid w:val="003C758A"/>
    <w:rsid w:val="003D44AD"/>
    <w:rsid w:val="003E253C"/>
    <w:rsid w:val="003E55B0"/>
    <w:rsid w:val="003E5705"/>
    <w:rsid w:val="003E690A"/>
    <w:rsid w:val="003E746F"/>
    <w:rsid w:val="003F293D"/>
    <w:rsid w:val="003F4E41"/>
    <w:rsid w:val="003F69F5"/>
    <w:rsid w:val="00403C51"/>
    <w:rsid w:val="00406DB7"/>
    <w:rsid w:val="004105AE"/>
    <w:rsid w:val="00410BED"/>
    <w:rsid w:val="00411E50"/>
    <w:rsid w:val="00412227"/>
    <w:rsid w:val="004154EC"/>
    <w:rsid w:val="004161DD"/>
    <w:rsid w:val="00421E8D"/>
    <w:rsid w:val="00422F1C"/>
    <w:rsid w:val="00424BD8"/>
    <w:rsid w:val="00424EC7"/>
    <w:rsid w:val="004258B2"/>
    <w:rsid w:val="00427066"/>
    <w:rsid w:val="00431CED"/>
    <w:rsid w:val="004345CF"/>
    <w:rsid w:val="00435FCF"/>
    <w:rsid w:val="004368D2"/>
    <w:rsid w:val="004371F6"/>
    <w:rsid w:val="00440DF0"/>
    <w:rsid w:val="00441E34"/>
    <w:rsid w:val="00442D80"/>
    <w:rsid w:val="00443804"/>
    <w:rsid w:val="004464C4"/>
    <w:rsid w:val="004477B6"/>
    <w:rsid w:val="00450189"/>
    <w:rsid w:val="004511C8"/>
    <w:rsid w:val="00451243"/>
    <w:rsid w:val="0045167B"/>
    <w:rsid w:val="004525CC"/>
    <w:rsid w:val="00453B0C"/>
    <w:rsid w:val="00456170"/>
    <w:rsid w:val="004602BE"/>
    <w:rsid w:val="004617B6"/>
    <w:rsid w:val="004621A0"/>
    <w:rsid w:val="00464C92"/>
    <w:rsid w:val="00465D19"/>
    <w:rsid w:val="0047003A"/>
    <w:rsid w:val="0047263A"/>
    <w:rsid w:val="00473532"/>
    <w:rsid w:val="00477142"/>
    <w:rsid w:val="00480353"/>
    <w:rsid w:val="004809AA"/>
    <w:rsid w:val="00480E57"/>
    <w:rsid w:val="0048110C"/>
    <w:rsid w:val="004822FF"/>
    <w:rsid w:val="0048368A"/>
    <w:rsid w:val="00486133"/>
    <w:rsid w:val="00491BCF"/>
    <w:rsid w:val="004A147F"/>
    <w:rsid w:val="004B2331"/>
    <w:rsid w:val="004B3A56"/>
    <w:rsid w:val="004B3C74"/>
    <w:rsid w:val="004B3FC2"/>
    <w:rsid w:val="004B4359"/>
    <w:rsid w:val="004B7D7A"/>
    <w:rsid w:val="004B7E07"/>
    <w:rsid w:val="004C1A13"/>
    <w:rsid w:val="004C246A"/>
    <w:rsid w:val="004C5942"/>
    <w:rsid w:val="004D280D"/>
    <w:rsid w:val="004D61A7"/>
    <w:rsid w:val="004D653B"/>
    <w:rsid w:val="004D7604"/>
    <w:rsid w:val="004E3961"/>
    <w:rsid w:val="004E4BD4"/>
    <w:rsid w:val="004E4C95"/>
    <w:rsid w:val="004F10C7"/>
    <w:rsid w:val="004F14B5"/>
    <w:rsid w:val="004F1E19"/>
    <w:rsid w:val="004F1E91"/>
    <w:rsid w:val="004F282F"/>
    <w:rsid w:val="004F5CA8"/>
    <w:rsid w:val="004F7D1B"/>
    <w:rsid w:val="005001F0"/>
    <w:rsid w:val="00501CF5"/>
    <w:rsid w:val="00501E7F"/>
    <w:rsid w:val="00502F0C"/>
    <w:rsid w:val="00503242"/>
    <w:rsid w:val="00504249"/>
    <w:rsid w:val="005047B0"/>
    <w:rsid w:val="00504FED"/>
    <w:rsid w:val="0050589B"/>
    <w:rsid w:val="00506A93"/>
    <w:rsid w:val="005104E6"/>
    <w:rsid w:val="005163FE"/>
    <w:rsid w:val="00516AAF"/>
    <w:rsid w:val="00521412"/>
    <w:rsid w:val="0052204D"/>
    <w:rsid w:val="0052410B"/>
    <w:rsid w:val="005257C6"/>
    <w:rsid w:val="00525A8B"/>
    <w:rsid w:val="00525C29"/>
    <w:rsid w:val="005276EB"/>
    <w:rsid w:val="00533B3D"/>
    <w:rsid w:val="00535D6A"/>
    <w:rsid w:val="00537F3D"/>
    <w:rsid w:val="00540793"/>
    <w:rsid w:val="00545D3B"/>
    <w:rsid w:val="00550151"/>
    <w:rsid w:val="00554348"/>
    <w:rsid w:val="00555FDB"/>
    <w:rsid w:val="00563560"/>
    <w:rsid w:val="005645F1"/>
    <w:rsid w:val="005656A1"/>
    <w:rsid w:val="005705E3"/>
    <w:rsid w:val="005723C8"/>
    <w:rsid w:val="0057296F"/>
    <w:rsid w:val="00575B8E"/>
    <w:rsid w:val="0058280D"/>
    <w:rsid w:val="00583C05"/>
    <w:rsid w:val="00585115"/>
    <w:rsid w:val="005859EC"/>
    <w:rsid w:val="00587D69"/>
    <w:rsid w:val="00591895"/>
    <w:rsid w:val="005A6D9F"/>
    <w:rsid w:val="005B0813"/>
    <w:rsid w:val="005B3E27"/>
    <w:rsid w:val="005B46FB"/>
    <w:rsid w:val="005B5248"/>
    <w:rsid w:val="005C785C"/>
    <w:rsid w:val="005D4B13"/>
    <w:rsid w:val="005D696F"/>
    <w:rsid w:val="005E2331"/>
    <w:rsid w:val="005E284D"/>
    <w:rsid w:val="005E454E"/>
    <w:rsid w:val="005E5499"/>
    <w:rsid w:val="005F0D36"/>
    <w:rsid w:val="005F2357"/>
    <w:rsid w:val="005F3277"/>
    <w:rsid w:val="005F4ED9"/>
    <w:rsid w:val="005F4F46"/>
    <w:rsid w:val="005F654C"/>
    <w:rsid w:val="005F655D"/>
    <w:rsid w:val="005F66C6"/>
    <w:rsid w:val="005F6CE7"/>
    <w:rsid w:val="00604D7C"/>
    <w:rsid w:val="0060555E"/>
    <w:rsid w:val="00605C5E"/>
    <w:rsid w:val="00606B6E"/>
    <w:rsid w:val="00607F8D"/>
    <w:rsid w:val="00611BB0"/>
    <w:rsid w:val="00611CD2"/>
    <w:rsid w:val="00611D01"/>
    <w:rsid w:val="0061289B"/>
    <w:rsid w:val="00613893"/>
    <w:rsid w:val="00614AD6"/>
    <w:rsid w:val="006159D9"/>
    <w:rsid w:val="006202B7"/>
    <w:rsid w:val="00621E58"/>
    <w:rsid w:val="00623771"/>
    <w:rsid w:val="00625114"/>
    <w:rsid w:val="006273F4"/>
    <w:rsid w:val="00632CEE"/>
    <w:rsid w:val="00633B26"/>
    <w:rsid w:val="00636BFC"/>
    <w:rsid w:val="00643D08"/>
    <w:rsid w:val="00644924"/>
    <w:rsid w:val="0064636E"/>
    <w:rsid w:val="00647617"/>
    <w:rsid w:val="00652476"/>
    <w:rsid w:val="00652939"/>
    <w:rsid w:val="00652DB7"/>
    <w:rsid w:val="00654AFB"/>
    <w:rsid w:val="006556BA"/>
    <w:rsid w:val="00660A9A"/>
    <w:rsid w:val="00664380"/>
    <w:rsid w:val="0066474D"/>
    <w:rsid w:val="006664B6"/>
    <w:rsid w:val="00667B85"/>
    <w:rsid w:val="0067077A"/>
    <w:rsid w:val="00672705"/>
    <w:rsid w:val="00675FED"/>
    <w:rsid w:val="006766F3"/>
    <w:rsid w:val="00677E57"/>
    <w:rsid w:val="00680187"/>
    <w:rsid w:val="006808CC"/>
    <w:rsid w:val="00681196"/>
    <w:rsid w:val="006823B9"/>
    <w:rsid w:val="006829C2"/>
    <w:rsid w:val="006863F3"/>
    <w:rsid w:val="00687027"/>
    <w:rsid w:val="00687148"/>
    <w:rsid w:val="00687E64"/>
    <w:rsid w:val="006905F9"/>
    <w:rsid w:val="00692160"/>
    <w:rsid w:val="00696044"/>
    <w:rsid w:val="00696640"/>
    <w:rsid w:val="00697215"/>
    <w:rsid w:val="006A0CE1"/>
    <w:rsid w:val="006A0E85"/>
    <w:rsid w:val="006A2FFA"/>
    <w:rsid w:val="006A4825"/>
    <w:rsid w:val="006A6111"/>
    <w:rsid w:val="006A6607"/>
    <w:rsid w:val="006B39D8"/>
    <w:rsid w:val="006B5F9A"/>
    <w:rsid w:val="006B68BB"/>
    <w:rsid w:val="006B70EC"/>
    <w:rsid w:val="006B778A"/>
    <w:rsid w:val="006C0517"/>
    <w:rsid w:val="006C0B08"/>
    <w:rsid w:val="006C0F74"/>
    <w:rsid w:val="006C7CF0"/>
    <w:rsid w:val="006C7DEC"/>
    <w:rsid w:val="006D1D27"/>
    <w:rsid w:val="006D286B"/>
    <w:rsid w:val="006D32C5"/>
    <w:rsid w:val="006D4DF9"/>
    <w:rsid w:val="006E0091"/>
    <w:rsid w:val="006E6885"/>
    <w:rsid w:val="006F01F2"/>
    <w:rsid w:val="006F0E7E"/>
    <w:rsid w:val="006F0ECE"/>
    <w:rsid w:val="006F1AA2"/>
    <w:rsid w:val="006F6135"/>
    <w:rsid w:val="006F6E52"/>
    <w:rsid w:val="00700B64"/>
    <w:rsid w:val="007039C1"/>
    <w:rsid w:val="00704AF9"/>
    <w:rsid w:val="00707F05"/>
    <w:rsid w:val="00710121"/>
    <w:rsid w:val="00710763"/>
    <w:rsid w:val="00714C28"/>
    <w:rsid w:val="00717479"/>
    <w:rsid w:val="00720471"/>
    <w:rsid w:val="00720991"/>
    <w:rsid w:val="0072425B"/>
    <w:rsid w:val="00724531"/>
    <w:rsid w:val="00730369"/>
    <w:rsid w:val="007334E8"/>
    <w:rsid w:val="00733FA2"/>
    <w:rsid w:val="00734911"/>
    <w:rsid w:val="007368BA"/>
    <w:rsid w:val="00740629"/>
    <w:rsid w:val="00742877"/>
    <w:rsid w:val="007431E7"/>
    <w:rsid w:val="007444DD"/>
    <w:rsid w:val="007461B0"/>
    <w:rsid w:val="00747C75"/>
    <w:rsid w:val="007502CE"/>
    <w:rsid w:val="007511CD"/>
    <w:rsid w:val="00751A85"/>
    <w:rsid w:val="00752A1C"/>
    <w:rsid w:val="0075540C"/>
    <w:rsid w:val="00757289"/>
    <w:rsid w:val="00761C26"/>
    <w:rsid w:val="00764527"/>
    <w:rsid w:val="007646AA"/>
    <w:rsid w:val="00767A98"/>
    <w:rsid w:val="0077031A"/>
    <w:rsid w:val="00770803"/>
    <w:rsid w:val="00771777"/>
    <w:rsid w:val="007755D4"/>
    <w:rsid w:val="00781C3B"/>
    <w:rsid w:val="00782C92"/>
    <w:rsid w:val="00791CF9"/>
    <w:rsid w:val="00793298"/>
    <w:rsid w:val="007936CF"/>
    <w:rsid w:val="00796CDC"/>
    <w:rsid w:val="00797297"/>
    <w:rsid w:val="007977CA"/>
    <w:rsid w:val="007A06C7"/>
    <w:rsid w:val="007B24AB"/>
    <w:rsid w:val="007B4719"/>
    <w:rsid w:val="007B4ECA"/>
    <w:rsid w:val="007B76D9"/>
    <w:rsid w:val="007C1287"/>
    <w:rsid w:val="007C288D"/>
    <w:rsid w:val="007C7476"/>
    <w:rsid w:val="007C7DC8"/>
    <w:rsid w:val="007D3D19"/>
    <w:rsid w:val="007D40B8"/>
    <w:rsid w:val="007E01B3"/>
    <w:rsid w:val="007E2122"/>
    <w:rsid w:val="007E71F0"/>
    <w:rsid w:val="007F420D"/>
    <w:rsid w:val="007F703F"/>
    <w:rsid w:val="0080161A"/>
    <w:rsid w:val="008027EC"/>
    <w:rsid w:val="00805E7C"/>
    <w:rsid w:val="00807383"/>
    <w:rsid w:val="0081052C"/>
    <w:rsid w:val="00814984"/>
    <w:rsid w:val="008151D9"/>
    <w:rsid w:val="00815DBB"/>
    <w:rsid w:val="00821D06"/>
    <w:rsid w:val="00824202"/>
    <w:rsid w:val="00824B14"/>
    <w:rsid w:val="00825653"/>
    <w:rsid w:val="008265E5"/>
    <w:rsid w:val="00826BDC"/>
    <w:rsid w:val="00830467"/>
    <w:rsid w:val="008306DE"/>
    <w:rsid w:val="0083222C"/>
    <w:rsid w:val="00836CC0"/>
    <w:rsid w:val="008456CB"/>
    <w:rsid w:val="0084591D"/>
    <w:rsid w:val="008508FC"/>
    <w:rsid w:val="008522C9"/>
    <w:rsid w:val="00854053"/>
    <w:rsid w:val="00855D60"/>
    <w:rsid w:val="008562AE"/>
    <w:rsid w:val="008571B4"/>
    <w:rsid w:val="008601EC"/>
    <w:rsid w:val="00864B2F"/>
    <w:rsid w:val="0086526A"/>
    <w:rsid w:val="00870006"/>
    <w:rsid w:val="0087121B"/>
    <w:rsid w:val="00872144"/>
    <w:rsid w:val="008730BD"/>
    <w:rsid w:val="008732DA"/>
    <w:rsid w:val="00876579"/>
    <w:rsid w:val="00881038"/>
    <w:rsid w:val="00885EB7"/>
    <w:rsid w:val="008868D2"/>
    <w:rsid w:val="00886D70"/>
    <w:rsid w:val="00887EFB"/>
    <w:rsid w:val="00887F48"/>
    <w:rsid w:val="00892EAF"/>
    <w:rsid w:val="00892F06"/>
    <w:rsid w:val="008956C6"/>
    <w:rsid w:val="008A3991"/>
    <w:rsid w:val="008A4FB0"/>
    <w:rsid w:val="008A5075"/>
    <w:rsid w:val="008A587F"/>
    <w:rsid w:val="008B6E7F"/>
    <w:rsid w:val="008C3E63"/>
    <w:rsid w:val="008D1CEA"/>
    <w:rsid w:val="008D6113"/>
    <w:rsid w:val="008D7231"/>
    <w:rsid w:val="008D72D6"/>
    <w:rsid w:val="008D7893"/>
    <w:rsid w:val="008E1FF9"/>
    <w:rsid w:val="008E34C0"/>
    <w:rsid w:val="008E38E7"/>
    <w:rsid w:val="008E45EE"/>
    <w:rsid w:val="008E4A82"/>
    <w:rsid w:val="008E78E7"/>
    <w:rsid w:val="008F6252"/>
    <w:rsid w:val="00904D16"/>
    <w:rsid w:val="00907B56"/>
    <w:rsid w:val="00907F21"/>
    <w:rsid w:val="00911DF6"/>
    <w:rsid w:val="00913117"/>
    <w:rsid w:val="00913CAF"/>
    <w:rsid w:val="00914E64"/>
    <w:rsid w:val="00915AF3"/>
    <w:rsid w:val="00917655"/>
    <w:rsid w:val="00917AD5"/>
    <w:rsid w:val="00917C9F"/>
    <w:rsid w:val="00921A00"/>
    <w:rsid w:val="00925FB8"/>
    <w:rsid w:val="0092703A"/>
    <w:rsid w:val="0093205D"/>
    <w:rsid w:val="00937377"/>
    <w:rsid w:val="009378E0"/>
    <w:rsid w:val="00942086"/>
    <w:rsid w:val="00951F77"/>
    <w:rsid w:val="00954377"/>
    <w:rsid w:val="00956A40"/>
    <w:rsid w:val="00961C45"/>
    <w:rsid w:val="00961E35"/>
    <w:rsid w:val="00962C42"/>
    <w:rsid w:val="00965933"/>
    <w:rsid w:val="00965A99"/>
    <w:rsid w:val="00965E6E"/>
    <w:rsid w:val="00967C7C"/>
    <w:rsid w:val="009711C5"/>
    <w:rsid w:val="00972D80"/>
    <w:rsid w:val="00974135"/>
    <w:rsid w:val="009749A5"/>
    <w:rsid w:val="00975F0E"/>
    <w:rsid w:val="0098183A"/>
    <w:rsid w:val="00981E76"/>
    <w:rsid w:val="00983FCB"/>
    <w:rsid w:val="009853F3"/>
    <w:rsid w:val="0098646E"/>
    <w:rsid w:val="00991936"/>
    <w:rsid w:val="009924CA"/>
    <w:rsid w:val="00992813"/>
    <w:rsid w:val="009960AA"/>
    <w:rsid w:val="0099667D"/>
    <w:rsid w:val="009A6022"/>
    <w:rsid w:val="009B079D"/>
    <w:rsid w:val="009B5082"/>
    <w:rsid w:val="009B6831"/>
    <w:rsid w:val="009C139E"/>
    <w:rsid w:val="009C2EAA"/>
    <w:rsid w:val="009C4240"/>
    <w:rsid w:val="009D44FC"/>
    <w:rsid w:val="009D5B18"/>
    <w:rsid w:val="009D62F5"/>
    <w:rsid w:val="009E0B3D"/>
    <w:rsid w:val="009E15AA"/>
    <w:rsid w:val="009E2D7A"/>
    <w:rsid w:val="009E52E6"/>
    <w:rsid w:val="009E55B4"/>
    <w:rsid w:val="009E692C"/>
    <w:rsid w:val="009F61AF"/>
    <w:rsid w:val="009F6C28"/>
    <w:rsid w:val="00A00018"/>
    <w:rsid w:val="00A013D3"/>
    <w:rsid w:val="00A018D8"/>
    <w:rsid w:val="00A0230D"/>
    <w:rsid w:val="00A050C9"/>
    <w:rsid w:val="00A0687D"/>
    <w:rsid w:val="00A11752"/>
    <w:rsid w:val="00A11FCE"/>
    <w:rsid w:val="00A1590C"/>
    <w:rsid w:val="00A17119"/>
    <w:rsid w:val="00A21BDC"/>
    <w:rsid w:val="00A22390"/>
    <w:rsid w:val="00A22F97"/>
    <w:rsid w:val="00A25DCB"/>
    <w:rsid w:val="00A32967"/>
    <w:rsid w:val="00A33470"/>
    <w:rsid w:val="00A34096"/>
    <w:rsid w:val="00A34D75"/>
    <w:rsid w:val="00A40738"/>
    <w:rsid w:val="00A41A0F"/>
    <w:rsid w:val="00A45360"/>
    <w:rsid w:val="00A465E3"/>
    <w:rsid w:val="00A52815"/>
    <w:rsid w:val="00A529EA"/>
    <w:rsid w:val="00A55DE5"/>
    <w:rsid w:val="00A574BB"/>
    <w:rsid w:val="00A577CA"/>
    <w:rsid w:val="00A618FD"/>
    <w:rsid w:val="00A6196F"/>
    <w:rsid w:val="00A655C3"/>
    <w:rsid w:val="00A7231F"/>
    <w:rsid w:val="00A734A2"/>
    <w:rsid w:val="00A749E4"/>
    <w:rsid w:val="00A84D8C"/>
    <w:rsid w:val="00A94CD5"/>
    <w:rsid w:val="00A94D55"/>
    <w:rsid w:val="00A95F00"/>
    <w:rsid w:val="00A9748A"/>
    <w:rsid w:val="00AA44D7"/>
    <w:rsid w:val="00AA4CEB"/>
    <w:rsid w:val="00AA6F9C"/>
    <w:rsid w:val="00AB11A6"/>
    <w:rsid w:val="00AB1A1A"/>
    <w:rsid w:val="00AB1D65"/>
    <w:rsid w:val="00AB2291"/>
    <w:rsid w:val="00AB2E25"/>
    <w:rsid w:val="00AB331B"/>
    <w:rsid w:val="00AB673C"/>
    <w:rsid w:val="00AB6DE9"/>
    <w:rsid w:val="00AC3F66"/>
    <w:rsid w:val="00AC6C26"/>
    <w:rsid w:val="00AC7ADF"/>
    <w:rsid w:val="00AD04F1"/>
    <w:rsid w:val="00AD211E"/>
    <w:rsid w:val="00AD7309"/>
    <w:rsid w:val="00AD7476"/>
    <w:rsid w:val="00AD7667"/>
    <w:rsid w:val="00AD7B92"/>
    <w:rsid w:val="00AD7C7D"/>
    <w:rsid w:val="00AE0232"/>
    <w:rsid w:val="00AE0A64"/>
    <w:rsid w:val="00AE546A"/>
    <w:rsid w:val="00AE6758"/>
    <w:rsid w:val="00AF152C"/>
    <w:rsid w:val="00AF534C"/>
    <w:rsid w:val="00B00008"/>
    <w:rsid w:val="00B102BE"/>
    <w:rsid w:val="00B10CE7"/>
    <w:rsid w:val="00B127B0"/>
    <w:rsid w:val="00B141F2"/>
    <w:rsid w:val="00B14DDB"/>
    <w:rsid w:val="00B17A4B"/>
    <w:rsid w:val="00B2053F"/>
    <w:rsid w:val="00B27962"/>
    <w:rsid w:val="00B3285A"/>
    <w:rsid w:val="00B33632"/>
    <w:rsid w:val="00B33D08"/>
    <w:rsid w:val="00B349EC"/>
    <w:rsid w:val="00B34DCC"/>
    <w:rsid w:val="00B36C22"/>
    <w:rsid w:val="00B3744F"/>
    <w:rsid w:val="00B41FEA"/>
    <w:rsid w:val="00B430E1"/>
    <w:rsid w:val="00B5046E"/>
    <w:rsid w:val="00B52F3C"/>
    <w:rsid w:val="00B57C60"/>
    <w:rsid w:val="00B62A2A"/>
    <w:rsid w:val="00B63B43"/>
    <w:rsid w:val="00B71016"/>
    <w:rsid w:val="00B830E3"/>
    <w:rsid w:val="00B83242"/>
    <w:rsid w:val="00B83FEC"/>
    <w:rsid w:val="00B863CD"/>
    <w:rsid w:val="00B9090D"/>
    <w:rsid w:val="00B91546"/>
    <w:rsid w:val="00B91763"/>
    <w:rsid w:val="00B938A7"/>
    <w:rsid w:val="00B93FD6"/>
    <w:rsid w:val="00B97001"/>
    <w:rsid w:val="00B973EE"/>
    <w:rsid w:val="00BA150A"/>
    <w:rsid w:val="00BA390F"/>
    <w:rsid w:val="00BA6331"/>
    <w:rsid w:val="00BA66F8"/>
    <w:rsid w:val="00BA70A6"/>
    <w:rsid w:val="00BA7B69"/>
    <w:rsid w:val="00BB065A"/>
    <w:rsid w:val="00BB118B"/>
    <w:rsid w:val="00BB47A1"/>
    <w:rsid w:val="00BC13FF"/>
    <w:rsid w:val="00BC16C1"/>
    <w:rsid w:val="00BC174E"/>
    <w:rsid w:val="00BC1C1D"/>
    <w:rsid w:val="00BC4ABE"/>
    <w:rsid w:val="00BC4B89"/>
    <w:rsid w:val="00BC5929"/>
    <w:rsid w:val="00BC7DE7"/>
    <w:rsid w:val="00BC7FCB"/>
    <w:rsid w:val="00BD1417"/>
    <w:rsid w:val="00BE131F"/>
    <w:rsid w:val="00BF0024"/>
    <w:rsid w:val="00BF22A1"/>
    <w:rsid w:val="00BF2BA6"/>
    <w:rsid w:val="00BF4E81"/>
    <w:rsid w:val="00BF533D"/>
    <w:rsid w:val="00BF6AA9"/>
    <w:rsid w:val="00C003C2"/>
    <w:rsid w:val="00C03F25"/>
    <w:rsid w:val="00C05F37"/>
    <w:rsid w:val="00C10569"/>
    <w:rsid w:val="00C122E4"/>
    <w:rsid w:val="00C12C31"/>
    <w:rsid w:val="00C17B65"/>
    <w:rsid w:val="00C233AE"/>
    <w:rsid w:val="00C23872"/>
    <w:rsid w:val="00C23B74"/>
    <w:rsid w:val="00C25550"/>
    <w:rsid w:val="00C25BCC"/>
    <w:rsid w:val="00C2695D"/>
    <w:rsid w:val="00C27CC1"/>
    <w:rsid w:val="00C31B66"/>
    <w:rsid w:val="00C31C6E"/>
    <w:rsid w:val="00C331D2"/>
    <w:rsid w:val="00C33B3E"/>
    <w:rsid w:val="00C40AAE"/>
    <w:rsid w:val="00C43C8D"/>
    <w:rsid w:val="00C45BAB"/>
    <w:rsid w:val="00C46B26"/>
    <w:rsid w:val="00C50204"/>
    <w:rsid w:val="00C50415"/>
    <w:rsid w:val="00C534A5"/>
    <w:rsid w:val="00C6029F"/>
    <w:rsid w:val="00C60556"/>
    <w:rsid w:val="00C6174F"/>
    <w:rsid w:val="00C61BE8"/>
    <w:rsid w:val="00C61F44"/>
    <w:rsid w:val="00C63BDC"/>
    <w:rsid w:val="00C65002"/>
    <w:rsid w:val="00C73282"/>
    <w:rsid w:val="00C80E10"/>
    <w:rsid w:val="00C829C6"/>
    <w:rsid w:val="00C83E32"/>
    <w:rsid w:val="00C83E7A"/>
    <w:rsid w:val="00C90B6A"/>
    <w:rsid w:val="00CA03DB"/>
    <w:rsid w:val="00CA4064"/>
    <w:rsid w:val="00CA59D5"/>
    <w:rsid w:val="00CA6297"/>
    <w:rsid w:val="00CB2B6E"/>
    <w:rsid w:val="00CB4A0F"/>
    <w:rsid w:val="00CB5181"/>
    <w:rsid w:val="00CB53E8"/>
    <w:rsid w:val="00CB5B0E"/>
    <w:rsid w:val="00CB6678"/>
    <w:rsid w:val="00CB73CA"/>
    <w:rsid w:val="00CC3D2B"/>
    <w:rsid w:val="00CC72D9"/>
    <w:rsid w:val="00CC7EF8"/>
    <w:rsid w:val="00CD26BB"/>
    <w:rsid w:val="00CD75CF"/>
    <w:rsid w:val="00CD7E6A"/>
    <w:rsid w:val="00CE520B"/>
    <w:rsid w:val="00CF3770"/>
    <w:rsid w:val="00CF5912"/>
    <w:rsid w:val="00CF6A39"/>
    <w:rsid w:val="00CF6EB4"/>
    <w:rsid w:val="00D0306A"/>
    <w:rsid w:val="00D043C9"/>
    <w:rsid w:val="00D05D69"/>
    <w:rsid w:val="00D120F8"/>
    <w:rsid w:val="00D12DA1"/>
    <w:rsid w:val="00D151AE"/>
    <w:rsid w:val="00D21D3D"/>
    <w:rsid w:val="00D2231C"/>
    <w:rsid w:val="00D23A8D"/>
    <w:rsid w:val="00D2405B"/>
    <w:rsid w:val="00D2470C"/>
    <w:rsid w:val="00D24F15"/>
    <w:rsid w:val="00D2537E"/>
    <w:rsid w:val="00D258CF"/>
    <w:rsid w:val="00D3085B"/>
    <w:rsid w:val="00D308D4"/>
    <w:rsid w:val="00D32E49"/>
    <w:rsid w:val="00D337B2"/>
    <w:rsid w:val="00D34928"/>
    <w:rsid w:val="00D34936"/>
    <w:rsid w:val="00D3797A"/>
    <w:rsid w:val="00D50207"/>
    <w:rsid w:val="00D55C02"/>
    <w:rsid w:val="00D57302"/>
    <w:rsid w:val="00D63FBE"/>
    <w:rsid w:val="00D64CBF"/>
    <w:rsid w:val="00D651F4"/>
    <w:rsid w:val="00D729FA"/>
    <w:rsid w:val="00D72FAD"/>
    <w:rsid w:val="00D73919"/>
    <w:rsid w:val="00D73F30"/>
    <w:rsid w:val="00D76844"/>
    <w:rsid w:val="00D77BDE"/>
    <w:rsid w:val="00D807FB"/>
    <w:rsid w:val="00D817B3"/>
    <w:rsid w:val="00D83A5B"/>
    <w:rsid w:val="00D8542D"/>
    <w:rsid w:val="00D85DE1"/>
    <w:rsid w:val="00D922DB"/>
    <w:rsid w:val="00D96968"/>
    <w:rsid w:val="00D96C1E"/>
    <w:rsid w:val="00D9715B"/>
    <w:rsid w:val="00D97507"/>
    <w:rsid w:val="00DA0941"/>
    <w:rsid w:val="00DA383F"/>
    <w:rsid w:val="00DA6EFC"/>
    <w:rsid w:val="00DA793C"/>
    <w:rsid w:val="00DB021D"/>
    <w:rsid w:val="00DB0DED"/>
    <w:rsid w:val="00DB1E27"/>
    <w:rsid w:val="00DB26D5"/>
    <w:rsid w:val="00DB350E"/>
    <w:rsid w:val="00DB56D2"/>
    <w:rsid w:val="00DC0529"/>
    <w:rsid w:val="00DC2644"/>
    <w:rsid w:val="00DC2F7D"/>
    <w:rsid w:val="00DC4912"/>
    <w:rsid w:val="00DC569C"/>
    <w:rsid w:val="00DC766F"/>
    <w:rsid w:val="00DD3F0B"/>
    <w:rsid w:val="00DD645A"/>
    <w:rsid w:val="00DD6894"/>
    <w:rsid w:val="00DE1D1E"/>
    <w:rsid w:val="00DE5D59"/>
    <w:rsid w:val="00DE623C"/>
    <w:rsid w:val="00DE6325"/>
    <w:rsid w:val="00DF142C"/>
    <w:rsid w:val="00DF2904"/>
    <w:rsid w:val="00DF396E"/>
    <w:rsid w:val="00DF6190"/>
    <w:rsid w:val="00DF6D83"/>
    <w:rsid w:val="00DF7534"/>
    <w:rsid w:val="00E01372"/>
    <w:rsid w:val="00E017A7"/>
    <w:rsid w:val="00E02831"/>
    <w:rsid w:val="00E06BFD"/>
    <w:rsid w:val="00E06D21"/>
    <w:rsid w:val="00E10C62"/>
    <w:rsid w:val="00E2142B"/>
    <w:rsid w:val="00E22A18"/>
    <w:rsid w:val="00E252DC"/>
    <w:rsid w:val="00E25444"/>
    <w:rsid w:val="00E31E09"/>
    <w:rsid w:val="00E3524E"/>
    <w:rsid w:val="00E354A3"/>
    <w:rsid w:val="00E35FDE"/>
    <w:rsid w:val="00E37AAC"/>
    <w:rsid w:val="00E41DD6"/>
    <w:rsid w:val="00E42772"/>
    <w:rsid w:val="00E452BC"/>
    <w:rsid w:val="00E45D83"/>
    <w:rsid w:val="00E47D2A"/>
    <w:rsid w:val="00E50FC1"/>
    <w:rsid w:val="00E517D1"/>
    <w:rsid w:val="00E5567F"/>
    <w:rsid w:val="00E57C8F"/>
    <w:rsid w:val="00E6008A"/>
    <w:rsid w:val="00E67E49"/>
    <w:rsid w:val="00E707E1"/>
    <w:rsid w:val="00E72A0D"/>
    <w:rsid w:val="00E75EA9"/>
    <w:rsid w:val="00E75EFB"/>
    <w:rsid w:val="00E762A7"/>
    <w:rsid w:val="00E774D8"/>
    <w:rsid w:val="00E806E9"/>
    <w:rsid w:val="00E80C85"/>
    <w:rsid w:val="00E80D6C"/>
    <w:rsid w:val="00E81137"/>
    <w:rsid w:val="00E82760"/>
    <w:rsid w:val="00E82961"/>
    <w:rsid w:val="00E85CDC"/>
    <w:rsid w:val="00E9581B"/>
    <w:rsid w:val="00E973BE"/>
    <w:rsid w:val="00EA3B48"/>
    <w:rsid w:val="00EB1F33"/>
    <w:rsid w:val="00EB2544"/>
    <w:rsid w:val="00EB3DDF"/>
    <w:rsid w:val="00EB5CE6"/>
    <w:rsid w:val="00ED3652"/>
    <w:rsid w:val="00ED5C66"/>
    <w:rsid w:val="00ED7CA1"/>
    <w:rsid w:val="00ED7FC5"/>
    <w:rsid w:val="00EE00A0"/>
    <w:rsid w:val="00EE1782"/>
    <w:rsid w:val="00EE1BC7"/>
    <w:rsid w:val="00EF01DC"/>
    <w:rsid w:val="00EF1FDE"/>
    <w:rsid w:val="00F056C8"/>
    <w:rsid w:val="00F06025"/>
    <w:rsid w:val="00F0669B"/>
    <w:rsid w:val="00F068A9"/>
    <w:rsid w:val="00F22484"/>
    <w:rsid w:val="00F24A20"/>
    <w:rsid w:val="00F255DF"/>
    <w:rsid w:val="00F26E63"/>
    <w:rsid w:val="00F30640"/>
    <w:rsid w:val="00F319FF"/>
    <w:rsid w:val="00F320AE"/>
    <w:rsid w:val="00F3361E"/>
    <w:rsid w:val="00F33763"/>
    <w:rsid w:val="00F34B35"/>
    <w:rsid w:val="00F4526C"/>
    <w:rsid w:val="00F45D9E"/>
    <w:rsid w:val="00F52234"/>
    <w:rsid w:val="00F5521D"/>
    <w:rsid w:val="00F6500E"/>
    <w:rsid w:val="00F67529"/>
    <w:rsid w:val="00F732CD"/>
    <w:rsid w:val="00F824C0"/>
    <w:rsid w:val="00F82CEB"/>
    <w:rsid w:val="00F837E4"/>
    <w:rsid w:val="00F85B2A"/>
    <w:rsid w:val="00F904BC"/>
    <w:rsid w:val="00F912C4"/>
    <w:rsid w:val="00F91E33"/>
    <w:rsid w:val="00F93A72"/>
    <w:rsid w:val="00F93C26"/>
    <w:rsid w:val="00F9423E"/>
    <w:rsid w:val="00F973F3"/>
    <w:rsid w:val="00FA048E"/>
    <w:rsid w:val="00FA2EDF"/>
    <w:rsid w:val="00FA4CC9"/>
    <w:rsid w:val="00FB0587"/>
    <w:rsid w:val="00FB0DEA"/>
    <w:rsid w:val="00FB11D1"/>
    <w:rsid w:val="00FB37C5"/>
    <w:rsid w:val="00FB5F7E"/>
    <w:rsid w:val="00FC0786"/>
    <w:rsid w:val="00FC4CE0"/>
    <w:rsid w:val="00FC67C6"/>
    <w:rsid w:val="00FC6CD4"/>
    <w:rsid w:val="00FC6D13"/>
    <w:rsid w:val="00FC7320"/>
    <w:rsid w:val="00FC7DC1"/>
    <w:rsid w:val="00FD17CF"/>
    <w:rsid w:val="00FD6ACB"/>
    <w:rsid w:val="00FE0570"/>
    <w:rsid w:val="00FE13BF"/>
    <w:rsid w:val="00FE19C3"/>
    <w:rsid w:val="00FE281B"/>
    <w:rsid w:val="00FE51D0"/>
    <w:rsid w:val="00FF03FE"/>
    <w:rsid w:val="00FF2D2B"/>
    <w:rsid w:val="00FF762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A8C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iPriority="0" w:unhideWhenUsed="1"/>
    <w:lsdException w:name="Strong" w:locked="0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64380"/>
    <w:pPr>
      <w:spacing w:before="120"/>
    </w:pPr>
    <w:rPr>
      <w:rFonts w:ascii="Arial" w:eastAsia="Times New Roman" w:hAnsi="Arial"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390"/>
    <w:pPr>
      <w:keepNext/>
      <w:keepLines/>
      <w:pageBreakBefore/>
      <w:numPr>
        <w:numId w:val="8"/>
      </w:numPr>
      <w:spacing w:before="520" w:after="400"/>
      <w:ind w:left="431" w:hanging="431"/>
      <w:outlineLvl w:val="0"/>
    </w:pPr>
    <w:rPr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2390"/>
    <w:pPr>
      <w:keepNext/>
      <w:keepLines/>
      <w:numPr>
        <w:ilvl w:val="1"/>
        <w:numId w:val="46"/>
      </w:numPr>
      <w:spacing w:before="400"/>
      <w:ind w:left="709" w:hanging="709"/>
      <w:outlineLvl w:val="1"/>
    </w:pPr>
    <w:rPr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2390"/>
    <w:pPr>
      <w:keepNext/>
      <w:keepLines/>
      <w:numPr>
        <w:ilvl w:val="2"/>
        <w:numId w:val="46"/>
      </w:numPr>
      <w:spacing w:before="320" w:after="160"/>
      <w:outlineLvl w:val="2"/>
    </w:pPr>
    <w:rPr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64024"/>
    <w:pPr>
      <w:keepNext/>
      <w:keepLines/>
      <w:numPr>
        <w:ilvl w:val="3"/>
        <w:numId w:val="8"/>
      </w:numPr>
      <w:spacing w:before="280" w:after="0"/>
      <w:ind w:left="862" w:hanging="862"/>
      <w:outlineLvl w:val="3"/>
    </w:pPr>
    <w:rPr>
      <w:rFonts w:eastAsiaTheme="majorEastAsia" w:cstheme="majorBidi"/>
      <w:b/>
      <w:bCs/>
      <w:iCs/>
      <w:color w:val="10024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892F06"/>
    <w:pPr>
      <w:keepNext/>
      <w:keepLines/>
      <w:numPr>
        <w:ilvl w:val="4"/>
        <w:numId w:val="8"/>
      </w:numPr>
      <w:spacing w:before="280" w:after="0"/>
      <w:ind w:left="1009" w:hanging="1009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B0D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0A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B0D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B0D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B0D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390"/>
    <w:rPr>
      <w:rFonts w:ascii="Arial" w:eastAsia="Times New Roman" w:hAnsi="Arial" w:cs="Times New Roman"/>
      <w:b/>
      <w:bC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2390"/>
    <w:rPr>
      <w:rFonts w:ascii="Arial" w:eastAsia="Times New Roman" w:hAnsi="Arial" w:cs="Times New Roman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2390"/>
    <w:rPr>
      <w:rFonts w:ascii="Arial" w:eastAsia="Times New Roman" w:hAnsi="Arial" w:cs="Times New Roman"/>
      <w:b/>
      <w:bCs/>
      <w:szCs w:val="20"/>
    </w:rPr>
  </w:style>
  <w:style w:type="character" w:styleId="FollowedHyperlink">
    <w:name w:val="FollowedHyperlink"/>
    <w:basedOn w:val="DefaultParagraphFont"/>
    <w:semiHidden/>
    <w:unhideWhenUsed/>
    <w:locked/>
    <w:rsid w:val="004F10C7"/>
    <w:rPr>
      <w:color w:val="78BE20"/>
      <w:u w:val="single"/>
    </w:rPr>
  </w:style>
  <w:style w:type="paragraph" w:styleId="Footer">
    <w:name w:val="footer"/>
    <w:basedOn w:val="Normal"/>
    <w:link w:val="FooterChar"/>
    <w:uiPriority w:val="99"/>
    <w:rsid w:val="00FB0DEA"/>
    <w:pPr>
      <w:tabs>
        <w:tab w:val="right" w:pos="14570"/>
      </w:tabs>
    </w:pPr>
    <w:rPr>
      <w:color w:val="201547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B0DEA"/>
    <w:rPr>
      <w:rFonts w:ascii="Arial" w:eastAsia="Times New Roman" w:hAnsi="Arial" w:cs="Times New Roman"/>
      <w:color w:val="201547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B6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5B6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024"/>
    <w:rPr>
      <w:color w:val="201547" w:themeColor="text2"/>
      <w:u w:val="single"/>
    </w:rPr>
  </w:style>
  <w:style w:type="character" w:styleId="PageNumber">
    <w:name w:val="page number"/>
    <w:uiPriority w:val="99"/>
    <w:unhideWhenUsed/>
    <w:locked/>
    <w:rsid w:val="00921A00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64024"/>
    <w:rPr>
      <w:rFonts w:ascii="Arial" w:eastAsiaTheme="majorEastAsia" w:hAnsi="Arial" w:cstheme="majorBidi"/>
      <w:b/>
      <w:bCs/>
      <w:iCs/>
      <w:color w:val="100249" w:themeColor="accent4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692C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2C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CA6297"/>
    <w:pPr>
      <w:spacing w:before="0" w:after="400"/>
    </w:pPr>
    <w:rPr>
      <w:b/>
      <w:caps/>
      <w:sz w:val="2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892F06"/>
    <w:rPr>
      <w:rFonts w:ascii="Arial" w:eastAsiaTheme="majorEastAsia" w:hAnsi="Arial" w:cstheme="majorBidi"/>
      <w:color w:val="000000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DED"/>
    <w:rPr>
      <w:rFonts w:asciiTheme="majorHAnsi" w:eastAsiaTheme="majorEastAsia" w:hAnsiTheme="majorHAnsi" w:cstheme="majorBidi"/>
      <w:i/>
      <w:iCs/>
      <w:color w:val="0F0A2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D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locked/>
    <w:rsid w:val="0080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T1">
    <w:name w:val="DOT 1"/>
    <w:basedOn w:val="TableNormal"/>
    <w:uiPriority w:val="99"/>
    <w:locked/>
    <w:rsid w:val="00D729FA"/>
    <w:pPr>
      <w:spacing w:after="0" w:line="240" w:lineRule="auto"/>
    </w:pPr>
    <w:rPr>
      <w:rFonts w:ascii="Arial" w:hAnsi="Arial"/>
      <w:sz w:val="20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 w:themeFill="background2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locked/>
    <w:rsid w:val="008027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34B35"/>
    <w:pPr>
      <w:tabs>
        <w:tab w:val="left" w:pos="600"/>
        <w:tab w:val="left" w:leader="dot" w:pos="1417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2772"/>
    <w:pPr>
      <w:tabs>
        <w:tab w:val="left" w:pos="567"/>
        <w:tab w:val="left" w:pos="1134"/>
        <w:tab w:val="left" w:leader="dot" w:pos="14175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E42772"/>
    <w:pPr>
      <w:tabs>
        <w:tab w:val="left" w:pos="1134"/>
        <w:tab w:val="left" w:pos="1701"/>
        <w:tab w:val="left" w:leader="dot" w:pos="14175"/>
      </w:tabs>
      <w:spacing w:after="100"/>
      <w:ind w:left="1134"/>
    </w:pPr>
  </w:style>
  <w:style w:type="paragraph" w:customStyle="1" w:styleId="introparagraph">
    <w:name w:val="# intro paragraph"/>
    <w:basedOn w:val="Normal"/>
    <w:qFormat/>
    <w:rsid w:val="00E42772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7E64"/>
    <w:pPr>
      <w:spacing w:before="0" w:line="420" w:lineRule="exact"/>
    </w:pPr>
    <w:rPr>
      <w:noProof/>
      <w:color w:val="FFFFFF"/>
      <w:sz w:val="44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687E64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styleId="Subtitle">
    <w:name w:val="Subtitle"/>
    <w:basedOn w:val="Normal"/>
    <w:link w:val="SubtitleChar"/>
    <w:uiPriority w:val="11"/>
    <w:qFormat/>
    <w:rsid w:val="003B093E"/>
    <w:pPr>
      <w:spacing w:before="180"/>
    </w:pPr>
    <w:rPr>
      <w:caps/>
      <w:color w:val="FFFFFF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B093E"/>
    <w:rPr>
      <w:rFonts w:ascii="Arial" w:eastAsia="Times New Roman" w:hAnsi="Arial" w:cs="Times New Roman"/>
      <w:caps/>
      <w:color w:val="FFFFFF"/>
      <w:sz w:val="32"/>
      <w:szCs w:val="20"/>
    </w:rPr>
  </w:style>
  <w:style w:type="paragraph" w:styleId="ListBullet">
    <w:name w:val="List Bullet"/>
    <w:basedOn w:val="Normal"/>
    <w:uiPriority w:val="99"/>
    <w:unhideWhenUsed/>
    <w:locked/>
    <w:rsid w:val="001575E7"/>
    <w:pPr>
      <w:numPr>
        <w:numId w:val="5"/>
      </w:numPr>
      <w:spacing w:before="0"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1575E7"/>
    <w:pPr>
      <w:numPr>
        <w:numId w:val="14"/>
      </w:numPr>
      <w:spacing w:before="0" w:after="120"/>
      <w:ind w:left="709" w:hanging="284"/>
    </w:pPr>
  </w:style>
  <w:style w:type="character" w:styleId="Strong">
    <w:name w:val="Strong"/>
    <w:basedOn w:val="DefaultParagraphFont"/>
    <w:uiPriority w:val="22"/>
    <w:qFormat/>
    <w:rsid w:val="00CA59D5"/>
    <w:rPr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1441F4"/>
    <w:rPr>
      <w:i/>
      <w:iCs/>
      <w:color w:val="78BF42"/>
    </w:r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440"/>
    </w:pPr>
  </w:style>
  <w:style w:type="paragraph" w:customStyle="1" w:styleId="iinstructions">
    <w:name w:val="# iinstructions"/>
    <w:basedOn w:val="Normal"/>
    <w:link w:val="iinstructionsChar"/>
    <w:qFormat/>
    <w:locked/>
    <w:rsid w:val="00854053"/>
    <w:pPr>
      <w:spacing w:before="60" w:after="120"/>
    </w:pPr>
    <w:rPr>
      <w:color w:val="auto"/>
    </w:rPr>
  </w:style>
  <w:style w:type="character" w:customStyle="1" w:styleId="iinstructionsChar">
    <w:name w:val="# iinstructions Char"/>
    <w:basedOn w:val="DefaultParagraphFont"/>
    <w:link w:val="iinstructions"/>
    <w:rsid w:val="00854053"/>
    <w:rPr>
      <w:rFonts w:ascii="Arial" w:eastAsia="Times New Roman" w:hAnsi="Arial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3B093E"/>
    <w:rPr>
      <w:color w:val="808080"/>
    </w:rPr>
  </w:style>
  <w:style w:type="paragraph" w:customStyle="1" w:styleId="Reporttitle">
    <w:name w:val="Report title"/>
    <w:basedOn w:val="Normal"/>
    <w:qFormat/>
    <w:rsid w:val="00D21D3D"/>
    <w:rPr>
      <w:bCs/>
      <w:sz w:val="44"/>
    </w:rPr>
  </w:style>
  <w:style w:type="paragraph" w:customStyle="1" w:styleId="Tabletitle">
    <w:name w:val="Table title"/>
    <w:basedOn w:val="Normal"/>
    <w:qFormat/>
    <w:rsid w:val="001575E7"/>
    <w:pPr>
      <w:spacing w:before="60" w:after="60"/>
    </w:pPr>
    <w:rPr>
      <w:color w:val="FFFFFF" w:themeColor="background1"/>
    </w:rPr>
  </w:style>
  <w:style w:type="paragraph" w:customStyle="1" w:styleId="Tabletext">
    <w:name w:val="Table text"/>
    <w:basedOn w:val="Normal"/>
    <w:qFormat/>
    <w:rsid w:val="001575E7"/>
    <w:pPr>
      <w:spacing w:before="60" w:after="60"/>
    </w:pPr>
  </w:style>
  <w:style w:type="paragraph" w:customStyle="1" w:styleId="ListBulletLast">
    <w:name w:val="List Bullet Last"/>
    <w:basedOn w:val="ListBullet"/>
    <w:qFormat/>
    <w:rsid w:val="001575E7"/>
    <w:pPr>
      <w:spacing w:after="200"/>
    </w:pPr>
  </w:style>
  <w:style w:type="paragraph" w:customStyle="1" w:styleId="ListBullet1">
    <w:name w:val="List Bullet 1"/>
    <w:basedOn w:val="ListBullet"/>
    <w:qFormat/>
    <w:rsid w:val="001575E7"/>
  </w:style>
  <w:style w:type="paragraph" w:styleId="ListParagraph">
    <w:name w:val="List Paragraph"/>
    <w:basedOn w:val="Normal"/>
    <w:uiPriority w:val="34"/>
    <w:qFormat/>
    <w:locked/>
    <w:rsid w:val="009B50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247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47B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B1D"/>
    <w:rPr>
      <w:rFonts w:ascii="Arial" w:eastAsia="Times New Roman" w:hAnsi="Arial" w:cs="Times New Roman"/>
      <w:color w:val="53565A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247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B1D"/>
    <w:rPr>
      <w:rFonts w:ascii="Arial" w:eastAsia="Times New Roman" w:hAnsi="Arial" w:cs="Times New Roman"/>
      <w:b/>
      <w:bCs/>
      <w:color w:val="53565A" w:themeColor="accent2"/>
      <w:sz w:val="20"/>
      <w:szCs w:val="20"/>
    </w:rPr>
  </w:style>
  <w:style w:type="table" w:styleId="TableGridLight">
    <w:name w:val="Grid Table Light"/>
    <w:basedOn w:val="TableNormal"/>
    <w:uiPriority w:val="40"/>
    <w:locked/>
    <w:rsid w:val="004C1A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ooter1">
    <w:name w:val="Footer1"/>
    <w:basedOn w:val="Footer"/>
    <w:link w:val="Footer1Char"/>
    <w:qFormat/>
    <w:rsid w:val="00CA6297"/>
    <w:pPr>
      <w:spacing w:before="0" w:after="0"/>
      <w:ind w:left="7200"/>
      <w:jc w:val="right"/>
    </w:pPr>
    <w:rPr>
      <w:noProof/>
      <w:color w:val="000000" w:themeColor="text1"/>
    </w:rPr>
  </w:style>
  <w:style w:type="character" w:customStyle="1" w:styleId="Footer1Char">
    <w:name w:val="Footer1 Char"/>
    <w:basedOn w:val="FooterChar"/>
    <w:link w:val="Footer1"/>
    <w:rsid w:val="00CA6297"/>
    <w:rPr>
      <w:rFonts w:ascii="Arial" w:eastAsia="Times New Roman" w:hAnsi="Arial" w:cs="Times New Roman"/>
      <w:noProof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zvkf\Downloads\Report-A4-Landscape%20(2).dotx" TargetMode="External"/></Relationships>
</file>

<file path=word/theme/theme1.xml><?xml version="1.0" encoding="utf-8"?>
<a:theme xmlns:a="http://schemas.openxmlformats.org/drawingml/2006/main" name="Office Theme">
  <a:themeElements>
    <a:clrScheme name="DJPR 1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201547"/>
      </a:accent1>
      <a:accent2>
        <a:srgbClr val="53565A"/>
      </a:accent2>
      <a:accent3>
        <a:srgbClr val="62BB46"/>
      </a:accent3>
      <a:accent4>
        <a:srgbClr val="100249"/>
      </a:accent4>
      <a:accent5>
        <a:srgbClr val="0090DA"/>
      </a:accent5>
      <a:accent6>
        <a:srgbClr val="E35205"/>
      </a:accent6>
      <a:hlink>
        <a:srgbClr val="0563C1"/>
      </a:hlink>
      <a:folHlink>
        <a:srgbClr val="954F72"/>
      </a:folHlink>
    </a:clrScheme>
    <a:fontScheme name="DJP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d17612-34fc-4701-a4cc-3d8de139471f" xsi:nil="true"/>
    <SharedWithUsers xmlns="62d17612-34fc-4701-a4cc-3d8de139471f">
      <UserInfo>
        <DisplayName>Grant Allan (GMA)</DisplayName>
        <AccountId>45</AccountId>
        <AccountType/>
      </UserInfo>
      <UserInfo>
        <DisplayName>Zachary Z Powell (GMA)</DisplayName>
        <AccountId>27</AccountId>
        <AccountType/>
      </UserInfo>
      <UserInfo>
        <DisplayName>Kelly Button (GMA)</DisplayName>
        <AccountId>37</AccountId>
        <AccountType/>
      </UserInfo>
    </SharedWithUsers>
    <lcf76f155ced4ddcb4097134ff3c332f xmlns="2b5b5c3c-8f0b-4e6c-aabb-73b9446010f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DEA7DB873BA4EB8155FB5ACB2568D" ma:contentTypeVersion="13" ma:contentTypeDescription="Create a new document." ma:contentTypeScope="" ma:versionID="bc7676ecefa6e2c02a9e5573cd56cb06">
  <xsd:schema xmlns:xsd="http://www.w3.org/2001/XMLSchema" xmlns:xs="http://www.w3.org/2001/XMLSchema" xmlns:p="http://schemas.microsoft.com/office/2006/metadata/properties" xmlns:ns2="62d17612-34fc-4701-a4cc-3d8de139471f" xmlns:ns3="2b5b5c3c-8f0b-4e6c-aabb-73b9446010f4" targetNamespace="http://schemas.microsoft.com/office/2006/metadata/properties" ma:root="true" ma:fieldsID="b0f165f676ff242435fe34b9afb98f14" ns2:_="" ns3:_="">
    <xsd:import namespace="62d17612-34fc-4701-a4cc-3d8de139471f"/>
    <xsd:import namespace="2b5b5c3c-8f0b-4e6c-aabb-73b9446010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17612-34fc-4701-a4cc-3d8de13947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6699d1d-b38f-43c6-aaad-7319b96fca59}" ma:internalName="TaxCatchAll" ma:showField="CatchAllData" ma:web="62d17612-34fc-4701-a4cc-3d8de13947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b5c3c-8f0b-4e6c-aabb-73b944601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7C097-6EC9-4DCE-ADFF-5B3A6FF62D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99735F-00F9-45BB-80A6-885D80DAA666}">
  <ds:schemaRefs>
    <ds:schemaRef ds:uri="http://schemas.microsoft.com/office/2006/metadata/properties"/>
    <ds:schemaRef ds:uri="http://schemas.microsoft.com/office/infopath/2007/PartnerControls"/>
    <ds:schemaRef ds:uri="62d17612-34fc-4701-a4cc-3d8de139471f"/>
    <ds:schemaRef ds:uri="2b5b5c3c-8f0b-4e6c-aabb-73b9446010f4"/>
  </ds:schemaRefs>
</ds:datastoreItem>
</file>

<file path=customXml/itemProps3.xml><?xml version="1.0" encoding="utf-8"?>
<ds:datastoreItem xmlns:ds="http://schemas.openxmlformats.org/officeDocument/2006/customXml" ds:itemID="{613A6778-2C7B-4710-BD42-679F330B0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17612-34fc-4701-a4cc-3d8de139471f"/>
    <ds:schemaRef ds:uri="2b5b5c3c-8f0b-4e6c-aabb-73b944601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20BE9F-2F62-498D-BC20-A77E9D68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Report-A4-Landscape (2).dotx</Template>
  <TotalTime>0</TotalTime>
  <Pages>5</Pages>
  <Words>749</Words>
  <Characters>4016</Characters>
  <Application>Microsoft Office Word</Application>
  <DocSecurity>0</DocSecurity>
  <Lines>267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Kangaroo Harvesting Program (Accessible version)_x000d_
QUARTER THREE SUMMARY REPORT 2023</dc:title>
  <dc:subject/>
  <dc:creator/>
  <cp:keywords/>
  <cp:lastModifiedBy/>
  <cp:revision>1</cp:revision>
  <dcterms:created xsi:type="dcterms:W3CDTF">2023-10-23T05:01:00Z</dcterms:created>
  <dcterms:modified xsi:type="dcterms:W3CDTF">2023-10-23T05:40:00Z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0x010100F7CDEA7DB873BA4EB8155FB5ACB2568D</vt:lpwstr>
  </property>
  <property fmtid="{D5CDD505-2E9C-101B-9397-08002B2CF9AE}" pid="3" name="DEDJTRDivision">
    <vt:lpwstr/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Group">
    <vt:lpwstr/>
  </property>
  <property fmtid="{D5CDD505-2E9C-101B-9397-08002B2CF9AE}" pid="7" name="DEDJTRSecurityClassification">
    <vt:lpwstr/>
  </property>
  <property fmtid="{D5CDD505-2E9C-101B-9397-08002B2CF9AE}" pid="8" name="MediaServiceImageTags">
    <vt:lpwstr/>
  </property>
  <property fmtid="{D5CDD505-2E9C-101B-9397-08002B2CF9AE}" pid="9" name="Order">
    <vt:r8>32968700</vt:r8>
  </property>
  <property fmtid="{D5CDD505-2E9C-101B-9397-08002B2CF9AE}" pid="10" name="_ExtendedDescription">
    <vt:lpwstr/>
  </property>
  <property fmtid="{D5CDD505-2E9C-101B-9397-08002B2CF9AE}" pid="11" name="GrammarlyDocumentId">
    <vt:lpwstr>ec86400e45d9b98b33a66d86918e616baa7ec3667e4f1940169a4e19fea6a589</vt:lpwstr>
  </property>
  <property fmtid="{D5CDD505-2E9C-101B-9397-08002B2CF9AE}" pid="12" name="ClassificationContentMarkingHeaderShapeIds">
    <vt:lpwstr>4d9631c7,1f744966,62d46bbe,43d1f34b,192becd2,337511fd</vt:lpwstr>
  </property>
  <property fmtid="{D5CDD505-2E9C-101B-9397-08002B2CF9AE}" pid="13" name="ClassificationContentMarkingHeaderFontProps">
    <vt:lpwstr>#000000,12,Arial</vt:lpwstr>
  </property>
  <property fmtid="{D5CDD505-2E9C-101B-9397-08002B2CF9AE}" pid="14" name="ClassificationContentMarkingHeaderText">
    <vt:lpwstr>OFFICIAL</vt:lpwstr>
  </property>
  <property fmtid="{D5CDD505-2E9C-101B-9397-08002B2CF9AE}" pid="15" name="ClassificationContentMarkingFooterShapeIds">
    <vt:lpwstr>141479cf,664aeecb,5484c7bf,32711791,6c2851ca,361bdc18</vt:lpwstr>
  </property>
  <property fmtid="{D5CDD505-2E9C-101B-9397-08002B2CF9AE}" pid="16" name="ClassificationContentMarkingFooterFontProps">
    <vt:lpwstr>#000000,12,Arial</vt:lpwstr>
  </property>
  <property fmtid="{D5CDD505-2E9C-101B-9397-08002B2CF9AE}" pid="17" name="ClassificationContentMarkingFooterText">
    <vt:lpwstr>OFFICIAL</vt:lpwstr>
  </property>
  <property fmtid="{D5CDD505-2E9C-101B-9397-08002B2CF9AE}" pid="18" name="MSIP_Label_d00a4df9-c942-4b09-b23a-6c1023f6de27_Enabled">
    <vt:lpwstr>true</vt:lpwstr>
  </property>
  <property fmtid="{D5CDD505-2E9C-101B-9397-08002B2CF9AE}" pid="19" name="MSIP_Label_d00a4df9-c942-4b09-b23a-6c1023f6de27_SetDate">
    <vt:lpwstr>2023-10-23T02:12:22Z</vt:lpwstr>
  </property>
  <property fmtid="{D5CDD505-2E9C-101B-9397-08002B2CF9AE}" pid="20" name="MSIP_Label_d00a4df9-c942-4b09-b23a-6c1023f6de27_Method">
    <vt:lpwstr>Privileged</vt:lpwstr>
  </property>
  <property fmtid="{D5CDD505-2E9C-101B-9397-08002B2CF9AE}" pid="21" name="MSIP_Label_d00a4df9-c942-4b09-b23a-6c1023f6de27_Name">
    <vt:lpwstr>Official (DJPR)</vt:lpwstr>
  </property>
  <property fmtid="{D5CDD505-2E9C-101B-9397-08002B2CF9AE}" pid="22" name="MSIP_Label_d00a4df9-c942-4b09-b23a-6c1023f6de27_SiteId">
    <vt:lpwstr>722ea0be-3e1c-4b11-ad6f-9401d6856e24</vt:lpwstr>
  </property>
  <property fmtid="{D5CDD505-2E9C-101B-9397-08002B2CF9AE}" pid="23" name="MSIP_Label_d00a4df9-c942-4b09-b23a-6c1023f6de27_ActionId">
    <vt:lpwstr>a2fa1f50-11ac-4be5-95c0-d7c8caa49cc7</vt:lpwstr>
  </property>
  <property fmtid="{D5CDD505-2E9C-101B-9397-08002B2CF9AE}" pid="24" name="MSIP_Label_d00a4df9-c942-4b09-b23a-6c1023f6de27_ContentBits">
    <vt:lpwstr>3</vt:lpwstr>
  </property>
</Properties>
</file>