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C1E0" w14:textId="065A732F" w:rsidR="003963C6" w:rsidRPr="003963C6" w:rsidRDefault="003963C6" w:rsidP="003963C6">
      <w:pPr>
        <w:pStyle w:val="Heading1"/>
        <w:rPr>
          <w:rFonts w:ascii="Calibri" w:hAnsi="Calibri" w:cs="Calibri"/>
          <w:sz w:val="30"/>
          <w:szCs w:val="30"/>
        </w:rPr>
      </w:pPr>
      <w:r w:rsidRPr="003963C6">
        <w:rPr>
          <w:rFonts w:ascii="Calibri" w:hAnsi="Calibri" w:cs="Calibri"/>
          <w:sz w:val="30"/>
          <w:szCs w:val="30"/>
        </w:rPr>
        <w:t xml:space="preserve">Victoria’s ICT/Digital Technology Sector Fact Sheet </w:t>
      </w:r>
      <w:r>
        <w:rPr>
          <w:rFonts w:ascii="Calibri" w:hAnsi="Calibri" w:cs="Calibri"/>
          <w:sz w:val="30"/>
          <w:szCs w:val="30"/>
        </w:rPr>
        <w:t xml:space="preserve">(August 2023) </w:t>
      </w:r>
    </w:p>
    <w:p w14:paraId="63C43531" w14:textId="1903BAF6" w:rsidR="003963C6" w:rsidRDefault="003963C6" w:rsidP="003963C6">
      <w:pPr>
        <w:rPr>
          <w:rFonts w:ascii="Calibri" w:hAnsi="Calibri" w:cs="Calibri"/>
        </w:rPr>
      </w:pPr>
      <w:r w:rsidRPr="003963C6">
        <w:rPr>
          <w:rFonts w:ascii="Calibri" w:hAnsi="Calibri" w:cs="Calibri"/>
        </w:rPr>
        <w:t>Victoria has one of Australia’s leading digital economies in terms of number of businesses, size of the technology</w:t>
      </w:r>
      <w:r>
        <w:rPr>
          <w:rFonts w:ascii="Calibri" w:hAnsi="Calibri" w:cs="Calibri"/>
        </w:rPr>
        <w:t xml:space="preserve"> </w:t>
      </w:r>
      <w:r w:rsidRPr="003963C6">
        <w:rPr>
          <w:rFonts w:ascii="Calibri" w:hAnsi="Calibri" w:cs="Calibri"/>
        </w:rPr>
        <w:t>workforce and adoption of digital technologies across the broader economy. The ICT and Digital Technology</w:t>
      </w:r>
      <w:r>
        <w:rPr>
          <w:rStyle w:val="FootnoteReference"/>
          <w:rFonts w:ascii="Calibri" w:hAnsi="Calibri" w:cs="Calibri"/>
        </w:rPr>
        <w:footnoteReference w:id="2"/>
      </w:r>
      <w:r>
        <w:rPr>
          <w:rFonts w:ascii="Calibri" w:hAnsi="Calibri" w:cs="Calibri"/>
        </w:rPr>
        <w:t xml:space="preserve"> </w:t>
      </w:r>
      <w:r w:rsidRPr="003963C6">
        <w:rPr>
          <w:rFonts w:ascii="Calibri" w:hAnsi="Calibri" w:cs="Calibri"/>
        </w:rPr>
        <w:t>sector is most important enabler of a thriving digital economy in Victoria and has been crucial in driving the state’s</w:t>
      </w:r>
      <w:r>
        <w:rPr>
          <w:rFonts w:ascii="Calibri" w:hAnsi="Calibri" w:cs="Calibri"/>
        </w:rPr>
        <w:t xml:space="preserve"> </w:t>
      </w:r>
      <w:r w:rsidRPr="003963C6">
        <w:rPr>
          <w:rFonts w:ascii="Calibri" w:hAnsi="Calibri" w:cs="Calibri"/>
        </w:rPr>
        <w:t>economic performance in recent years.</w:t>
      </w:r>
    </w:p>
    <w:p w14:paraId="68AE9ED0" w14:textId="111E5CED" w:rsidR="003963C6" w:rsidRPr="003963C6" w:rsidRDefault="003963C6" w:rsidP="003963C6">
      <w:pPr>
        <w:pStyle w:val="ListParagraph"/>
        <w:numPr>
          <w:ilvl w:val="0"/>
          <w:numId w:val="1"/>
        </w:numPr>
        <w:spacing w:after="0"/>
        <w:rPr>
          <w:rFonts w:ascii="Calibri" w:hAnsi="Calibri" w:cs="Calibri"/>
        </w:rPr>
      </w:pPr>
      <w:r w:rsidRPr="003963C6">
        <w:rPr>
          <w:rFonts w:ascii="Calibri" w:hAnsi="Calibri" w:cs="Calibri"/>
        </w:rPr>
        <w:t>23,000 businesses – Victorian headquartered ICT businesses (FY22)</w:t>
      </w:r>
      <w:r>
        <w:rPr>
          <w:rStyle w:val="FootnoteReference"/>
          <w:rFonts w:ascii="Calibri" w:hAnsi="Calibri" w:cs="Calibri"/>
        </w:rPr>
        <w:footnoteReference w:id="3"/>
      </w:r>
    </w:p>
    <w:p w14:paraId="18C64FBB" w14:textId="77777777" w:rsidR="003963C6" w:rsidRPr="003963C6" w:rsidRDefault="003963C6" w:rsidP="003963C6">
      <w:pPr>
        <w:pStyle w:val="ListParagraph"/>
        <w:numPr>
          <w:ilvl w:val="0"/>
          <w:numId w:val="1"/>
        </w:numPr>
        <w:spacing w:after="0"/>
        <w:rPr>
          <w:rFonts w:ascii="Calibri" w:hAnsi="Calibri" w:cs="Calibri"/>
        </w:rPr>
      </w:pPr>
      <w:r w:rsidRPr="003963C6">
        <w:rPr>
          <w:rFonts w:ascii="Calibri" w:hAnsi="Calibri" w:cs="Calibri"/>
        </w:rPr>
        <w:t>271,000 workers – Workers in the Victoria’s Tech workforce (2021)</w:t>
      </w:r>
      <w:r>
        <w:rPr>
          <w:rStyle w:val="FootnoteReference"/>
          <w:rFonts w:ascii="Calibri" w:hAnsi="Calibri" w:cs="Calibri"/>
        </w:rPr>
        <w:footnoteReference w:id="4"/>
      </w:r>
    </w:p>
    <w:p w14:paraId="4E3696F5" w14:textId="77777777" w:rsidR="003963C6" w:rsidRPr="003963C6" w:rsidRDefault="003963C6" w:rsidP="003963C6">
      <w:pPr>
        <w:pStyle w:val="ListParagraph"/>
        <w:numPr>
          <w:ilvl w:val="0"/>
          <w:numId w:val="1"/>
        </w:numPr>
        <w:spacing w:after="0"/>
        <w:rPr>
          <w:rFonts w:ascii="Calibri" w:hAnsi="Calibri" w:cs="Calibri"/>
        </w:rPr>
      </w:pPr>
      <w:r w:rsidRPr="003963C6">
        <w:rPr>
          <w:rFonts w:ascii="Calibri" w:hAnsi="Calibri" w:cs="Calibri"/>
        </w:rPr>
        <w:t xml:space="preserve">$116.7 billion – Revenue from Victorian headquartered ICT and Digital Technology businesses (FY22) </w:t>
      </w:r>
    </w:p>
    <w:p w14:paraId="4CD9C47F" w14:textId="77777777" w:rsidR="003963C6" w:rsidRPr="003963C6" w:rsidRDefault="003963C6" w:rsidP="003963C6">
      <w:pPr>
        <w:pStyle w:val="ListParagraph"/>
        <w:numPr>
          <w:ilvl w:val="0"/>
          <w:numId w:val="1"/>
        </w:numPr>
        <w:spacing w:after="0"/>
        <w:rPr>
          <w:rFonts w:ascii="Calibri" w:hAnsi="Calibri" w:cs="Calibri"/>
        </w:rPr>
      </w:pPr>
      <w:r w:rsidRPr="003963C6">
        <w:rPr>
          <w:rFonts w:ascii="Calibri" w:hAnsi="Calibri" w:cs="Calibri"/>
        </w:rPr>
        <w:t xml:space="preserve">$33.7 billion – Contribution of the ICT sector to Victoria's GSP (FY22) </w:t>
      </w:r>
    </w:p>
    <w:p w14:paraId="2236BA20" w14:textId="77777777" w:rsidR="003963C6" w:rsidRPr="003963C6" w:rsidRDefault="003963C6" w:rsidP="003963C6">
      <w:pPr>
        <w:pStyle w:val="ListParagraph"/>
        <w:numPr>
          <w:ilvl w:val="0"/>
          <w:numId w:val="1"/>
        </w:numPr>
        <w:spacing w:after="0"/>
        <w:rPr>
          <w:rFonts w:ascii="Calibri" w:hAnsi="Calibri" w:cs="Calibri"/>
        </w:rPr>
      </w:pPr>
      <w:r w:rsidRPr="003963C6">
        <w:rPr>
          <w:rFonts w:ascii="Calibri" w:hAnsi="Calibri" w:cs="Calibri"/>
        </w:rPr>
        <w:t xml:space="preserve">$40.2 billion to GSP 80,200 jobs Productivity uplift since 2000 from the increased use of digital technologies across the Victorian economy </w:t>
      </w:r>
    </w:p>
    <w:p w14:paraId="0570E03E" w14:textId="1F9E85D8" w:rsidR="003963C6" w:rsidRPr="003963C6" w:rsidRDefault="003963C6" w:rsidP="003963C6">
      <w:pPr>
        <w:pStyle w:val="ListParagraph"/>
        <w:numPr>
          <w:ilvl w:val="0"/>
          <w:numId w:val="1"/>
        </w:numPr>
        <w:spacing w:after="0"/>
        <w:rPr>
          <w:rFonts w:ascii="Calibri" w:hAnsi="Calibri" w:cs="Calibri"/>
        </w:rPr>
      </w:pPr>
      <w:r w:rsidRPr="003963C6">
        <w:rPr>
          <w:rFonts w:ascii="Calibri" w:hAnsi="Calibri" w:cs="Calibri"/>
        </w:rPr>
        <w:t>$749 million Invested into R&amp;D by Victorian ICT businesses (2020)</w:t>
      </w:r>
      <w:r>
        <w:rPr>
          <w:rStyle w:val="FootnoteReference"/>
          <w:rFonts w:ascii="Calibri" w:hAnsi="Calibri" w:cs="Calibri"/>
        </w:rPr>
        <w:footnoteReference w:id="5"/>
      </w:r>
    </w:p>
    <w:p w14:paraId="6162770F" w14:textId="77777777" w:rsidR="003963C6" w:rsidRDefault="003963C6" w:rsidP="003963C6">
      <w:pPr>
        <w:pStyle w:val="Heading2"/>
        <w:rPr>
          <w:rFonts w:ascii="Calibri" w:hAnsi="Calibri" w:cs="Calibri"/>
          <w:sz w:val="30"/>
          <w:szCs w:val="30"/>
        </w:rPr>
      </w:pPr>
      <w:r>
        <w:rPr>
          <w:rFonts w:ascii="Calibri" w:hAnsi="Calibri" w:cs="Calibri"/>
          <w:sz w:val="30"/>
          <w:szCs w:val="30"/>
        </w:rPr>
        <w:t xml:space="preserve">Key Facts </w:t>
      </w:r>
    </w:p>
    <w:p w14:paraId="3A832433" w14:textId="77777777" w:rsidR="003963C6" w:rsidRPr="003963C6" w:rsidRDefault="003963C6" w:rsidP="003963C6">
      <w:pPr>
        <w:pStyle w:val="ListParagraph"/>
        <w:numPr>
          <w:ilvl w:val="0"/>
          <w:numId w:val="2"/>
        </w:numPr>
        <w:rPr>
          <w:rFonts w:ascii="Calibri" w:hAnsi="Calibri" w:cs="Calibri"/>
        </w:rPr>
      </w:pPr>
      <w:r w:rsidRPr="003963C6">
        <w:rPr>
          <w:rFonts w:ascii="Calibri" w:hAnsi="Calibri" w:cs="Calibri"/>
        </w:rPr>
        <w:t xml:space="preserve">Victoria's ICT and Digital Technology sector has grown strongly. The Victorian Technology workforce is large and growing, with an additional 90,000 people joining the workforce in the past seven years. </w:t>
      </w:r>
    </w:p>
    <w:p w14:paraId="1A36788C" w14:textId="014EE6E6" w:rsidR="003963C6" w:rsidRPr="003963C6" w:rsidRDefault="003963C6" w:rsidP="003963C6">
      <w:pPr>
        <w:pStyle w:val="ListParagraph"/>
        <w:numPr>
          <w:ilvl w:val="0"/>
          <w:numId w:val="2"/>
        </w:numPr>
        <w:rPr>
          <w:rFonts w:ascii="Calibri" w:hAnsi="Calibri" w:cs="Calibri"/>
        </w:rPr>
      </w:pPr>
      <w:r w:rsidRPr="003963C6">
        <w:rPr>
          <w:rFonts w:ascii="Calibri" w:hAnsi="Calibri" w:cs="Calibri"/>
        </w:rPr>
        <w:t>Victoria is the national leader in creating IT talent. Victoria’s university sector is the most (IT) intensive in the country, with more than 10% of enrolments being in an IT-related field. Victoria also has the largest number of IT enrolments of any state, accounting for 40% of national IT enrolments.</w:t>
      </w:r>
      <w:r>
        <w:rPr>
          <w:rStyle w:val="FootnoteReference"/>
          <w:rFonts w:ascii="Calibri" w:hAnsi="Calibri" w:cs="Calibri"/>
        </w:rPr>
        <w:footnoteReference w:id="6"/>
      </w:r>
      <w:r w:rsidRPr="003963C6">
        <w:rPr>
          <w:rFonts w:ascii="Calibri" w:hAnsi="Calibri" w:cs="Calibri"/>
        </w:rPr>
        <w:t xml:space="preserve"> </w:t>
      </w:r>
    </w:p>
    <w:p w14:paraId="1DD5C259" w14:textId="77777777" w:rsidR="003963C6" w:rsidRPr="003963C6" w:rsidRDefault="003963C6" w:rsidP="003963C6">
      <w:pPr>
        <w:pStyle w:val="ListParagraph"/>
        <w:numPr>
          <w:ilvl w:val="0"/>
          <w:numId w:val="2"/>
        </w:numPr>
        <w:rPr>
          <w:rFonts w:ascii="Calibri" w:hAnsi="Calibri" w:cs="Calibri"/>
        </w:rPr>
      </w:pPr>
      <w:r w:rsidRPr="003963C6">
        <w:rPr>
          <w:rFonts w:ascii="Calibri" w:hAnsi="Calibri" w:cs="Calibri"/>
        </w:rPr>
        <w:t xml:space="preserve">The Victorian is a key source of innovation investment. Innovation is a key feature of the ICT and Digital Technology sector with almost three-quarters of surveyed businesses having introduced some form of innovative practice in the past year. </w:t>
      </w:r>
    </w:p>
    <w:p w14:paraId="4B5FB55F" w14:textId="77777777" w:rsidR="003963C6" w:rsidRPr="003963C6" w:rsidRDefault="003963C6" w:rsidP="003963C6">
      <w:pPr>
        <w:pStyle w:val="ListParagraph"/>
        <w:numPr>
          <w:ilvl w:val="0"/>
          <w:numId w:val="2"/>
        </w:numPr>
        <w:rPr>
          <w:rFonts w:ascii="Calibri" w:hAnsi="Calibri" w:cs="Calibri"/>
        </w:rPr>
      </w:pPr>
      <w:r w:rsidRPr="003963C6">
        <w:rPr>
          <w:rFonts w:ascii="Calibri" w:hAnsi="Calibri" w:cs="Calibri"/>
        </w:rPr>
        <w:t xml:space="preserve">The Victorian ICT and Digital Technology businesses are increasing their presence in the international market. Nearly one-third of surveyed ICT and Digital Technology businesses are engaged in exporting their products or services. The international market holds significant importance for these businesses, as their exports contribute to approximately one-third of their total revenue. </w:t>
      </w:r>
    </w:p>
    <w:p w14:paraId="49B9402B" w14:textId="2C8D7F77" w:rsidR="003963C6" w:rsidRPr="003963C6" w:rsidRDefault="003963C6" w:rsidP="003963C6">
      <w:pPr>
        <w:pStyle w:val="ListParagraph"/>
        <w:numPr>
          <w:ilvl w:val="0"/>
          <w:numId w:val="2"/>
        </w:numPr>
        <w:rPr>
          <w:rFonts w:ascii="Calibri" w:hAnsi="Calibri" w:cs="Calibri"/>
        </w:rPr>
      </w:pPr>
      <w:r w:rsidRPr="003963C6">
        <w:rPr>
          <w:rFonts w:ascii="Calibri" w:hAnsi="Calibri" w:cs="Calibri"/>
        </w:rPr>
        <w:t>ICT workers are highly educated and relatively well-paid. On average, 70% of employees of surveyed businesses held a degree or qualification in IT. The median income for technology workers in Victoria ($2,118/week) is more than double the median income for all employees in Victoria ($1,025/week).</w:t>
      </w:r>
    </w:p>
    <w:p w14:paraId="225CBF8D" w14:textId="4F35A12A" w:rsidR="003963C6" w:rsidRDefault="003963C6" w:rsidP="003963C6">
      <w:pPr>
        <w:pStyle w:val="Heading2"/>
        <w:rPr>
          <w:rFonts w:ascii="Calibri" w:hAnsi="Calibri" w:cs="Calibri"/>
          <w:sz w:val="30"/>
          <w:szCs w:val="30"/>
        </w:rPr>
      </w:pPr>
      <w:r>
        <w:rPr>
          <w:rFonts w:ascii="Calibri" w:hAnsi="Calibri" w:cs="Calibri"/>
          <w:sz w:val="30"/>
          <w:szCs w:val="30"/>
        </w:rPr>
        <w:t xml:space="preserve">Top export markets </w:t>
      </w:r>
    </w:p>
    <w:p w14:paraId="788A5EED" w14:textId="666FD853" w:rsidR="0058609C" w:rsidRPr="003963C6" w:rsidRDefault="003963C6" w:rsidP="003963C6">
      <w:pPr>
        <w:pStyle w:val="ListParagraph"/>
        <w:numPr>
          <w:ilvl w:val="0"/>
          <w:numId w:val="3"/>
        </w:numPr>
        <w:rPr>
          <w:rFonts w:ascii="Calibri" w:hAnsi="Calibri" w:cs="Calibri"/>
        </w:rPr>
      </w:pPr>
      <w:r w:rsidRPr="003963C6">
        <w:rPr>
          <w:rFonts w:ascii="Calibri" w:hAnsi="Calibri" w:cs="Calibri"/>
        </w:rPr>
        <w:t>United States of America</w:t>
      </w:r>
    </w:p>
    <w:p w14:paraId="62187E8A" w14:textId="3E1A3C90" w:rsidR="003963C6" w:rsidRPr="003963C6" w:rsidRDefault="003963C6" w:rsidP="003963C6">
      <w:pPr>
        <w:pStyle w:val="ListParagraph"/>
        <w:numPr>
          <w:ilvl w:val="0"/>
          <w:numId w:val="3"/>
        </w:numPr>
        <w:rPr>
          <w:rFonts w:ascii="Calibri" w:hAnsi="Calibri" w:cs="Calibri"/>
        </w:rPr>
      </w:pPr>
      <w:r w:rsidRPr="003963C6">
        <w:rPr>
          <w:rFonts w:ascii="Calibri" w:hAnsi="Calibri" w:cs="Calibri"/>
        </w:rPr>
        <w:t>New Zealand</w:t>
      </w:r>
    </w:p>
    <w:p w14:paraId="74EDDCF2" w14:textId="1B3DC796" w:rsidR="003963C6" w:rsidRDefault="003963C6" w:rsidP="003963C6">
      <w:pPr>
        <w:pStyle w:val="ListParagraph"/>
        <w:numPr>
          <w:ilvl w:val="0"/>
          <w:numId w:val="3"/>
        </w:numPr>
        <w:rPr>
          <w:rFonts w:ascii="Calibri" w:hAnsi="Calibri" w:cs="Calibri"/>
        </w:rPr>
      </w:pPr>
      <w:r w:rsidRPr="003963C6">
        <w:rPr>
          <w:rFonts w:ascii="Calibri" w:hAnsi="Calibri" w:cs="Calibri"/>
        </w:rPr>
        <w:lastRenderedPageBreak/>
        <w:t xml:space="preserve">United Kingdom </w:t>
      </w:r>
    </w:p>
    <w:p w14:paraId="6E9E78B7" w14:textId="0D77004B" w:rsidR="003963C6" w:rsidRDefault="003963C6" w:rsidP="003963C6">
      <w:pPr>
        <w:pStyle w:val="Heading2"/>
        <w:rPr>
          <w:rFonts w:ascii="Calibri" w:hAnsi="Calibri" w:cs="Calibri"/>
          <w:sz w:val="30"/>
          <w:szCs w:val="30"/>
        </w:rPr>
      </w:pPr>
      <w:r w:rsidRPr="003963C6">
        <w:rPr>
          <w:rFonts w:ascii="Calibri" w:hAnsi="Calibri" w:cs="Calibri"/>
          <w:sz w:val="30"/>
          <w:szCs w:val="30"/>
        </w:rPr>
        <w:t>Sector Outlook</w:t>
      </w:r>
    </w:p>
    <w:p w14:paraId="424CBA72" w14:textId="4A50DE52" w:rsidR="003963C6" w:rsidRPr="003963C6" w:rsidRDefault="003963C6" w:rsidP="003963C6">
      <w:pPr>
        <w:pStyle w:val="ListParagraph"/>
        <w:numPr>
          <w:ilvl w:val="0"/>
          <w:numId w:val="2"/>
        </w:numPr>
        <w:rPr>
          <w:rFonts w:ascii="Calibri" w:hAnsi="Calibri" w:cs="Calibri"/>
        </w:rPr>
      </w:pPr>
      <w:r w:rsidRPr="003963C6">
        <w:rPr>
          <w:rFonts w:ascii="Calibri" w:hAnsi="Calibri" w:cs="Calibri"/>
        </w:rPr>
        <w:t>The Victorian ICT and Digital Technology sector is resilient and grew strongly during the COVID-19 pandemic. Despite a challenging economic environment, Australian ICT and Digital Technology businesses are expecting growth in 2023.</w:t>
      </w:r>
    </w:p>
    <w:p w14:paraId="60FD60E7" w14:textId="15D4414F" w:rsidR="003963C6" w:rsidRPr="003963C6" w:rsidRDefault="003963C6" w:rsidP="003963C6">
      <w:pPr>
        <w:pStyle w:val="ListParagraph"/>
        <w:numPr>
          <w:ilvl w:val="0"/>
          <w:numId w:val="2"/>
        </w:numPr>
        <w:rPr>
          <w:rFonts w:ascii="Calibri" w:hAnsi="Calibri" w:cs="Calibri"/>
        </w:rPr>
      </w:pPr>
      <w:r w:rsidRPr="003963C6">
        <w:rPr>
          <w:rFonts w:ascii="Calibri" w:hAnsi="Calibri" w:cs="Calibri"/>
        </w:rPr>
        <w:t>Common drivers of growth within the sector included increasing demand for existing products (68%), new products and services (55%) and an increased market share for existing products (40%).</w:t>
      </w:r>
    </w:p>
    <w:p w14:paraId="60F61BB6" w14:textId="790FF636" w:rsidR="003963C6" w:rsidRPr="003963C6" w:rsidRDefault="003963C6" w:rsidP="003963C6">
      <w:pPr>
        <w:pStyle w:val="ListParagraph"/>
        <w:numPr>
          <w:ilvl w:val="0"/>
          <w:numId w:val="2"/>
        </w:numPr>
        <w:rPr>
          <w:rFonts w:ascii="Calibri" w:hAnsi="Calibri" w:cs="Calibri"/>
        </w:rPr>
      </w:pPr>
      <w:r w:rsidRPr="003963C6">
        <w:rPr>
          <w:rFonts w:ascii="Calibri" w:hAnsi="Calibri" w:cs="Calibri"/>
        </w:rPr>
        <w:t>Over half of the surveyed businesses identified consulting and professional services as key products that will drive future growth.</w:t>
      </w:r>
    </w:p>
    <w:p w14:paraId="68B959F2" w14:textId="7FF362E0" w:rsidR="003963C6" w:rsidRPr="003963C6" w:rsidRDefault="003963C6" w:rsidP="003963C6">
      <w:pPr>
        <w:pStyle w:val="ListParagraph"/>
        <w:numPr>
          <w:ilvl w:val="0"/>
          <w:numId w:val="2"/>
        </w:numPr>
        <w:rPr>
          <w:rFonts w:ascii="Calibri" w:hAnsi="Calibri" w:cs="Calibri"/>
        </w:rPr>
      </w:pPr>
      <w:r w:rsidRPr="003963C6">
        <w:rPr>
          <w:rFonts w:ascii="Calibri" w:hAnsi="Calibri" w:cs="Calibri"/>
        </w:rPr>
        <w:t>AI/ML is expected to be a growing market within the sector. Although only 13% of surveyed businesses currently use AI or ML, almost 30% of surveyed businesses plan to implement it in the future.</w:t>
      </w:r>
    </w:p>
    <w:p w14:paraId="696C1562" w14:textId="13BD1C50" w:rsidR="003963C6" w:rsidRDefault="003963C6" w:rsidP="003963C6">
      <w:pPr>
        <w:pStyle w:val="ListParagraph"/>
        <w:numPr>
          <w:ilvl w:val="0"/>
          <w:numId w:val="2"/>
        </w:numPr>
        <w:rPr>
          <w:rFonts w:ascii="Calibri" w:hAnsi="Calibri" w:cs="Calibri"/>
        </w:rPr>
      </w:pPr>
      <w:r w:rsidRPr="003963C6">
        <w:rPr>
          <w:rFonts w:ascii="Calibri" w:hAnsi="Calibri" w:cs="Calibri"/>
        </w:rPr>
        <w:t>Three-quarters of surveyed businesses identified skills and capability gaps in the workforce as an ongoing challenge that must be overcome to achieve sustained sector growth. Upskilling existing workers is the most common and successful method of addressing these skill and capability gaps used by surveyed businesses.</w:t>
      </w:r>
    </w:p>
    <w:p w14:paraId="38875C29" w14:textId="2643F6B0" w:rsidR="003963C6" w:rsidRDefault="003963C6" w:rsidP="003963C6">
      <w:pPr>
        <w:pStyle w:val="Heading2"/>
        <w:rPr>
          <w:rFonts w:ascii="Calibri" w:hAnsi="Calibri" w:cs="Calibri"/>
          <w:sz w:val="30"/>
          <w:szCs w:val="30"/>
        </w:rPr>
      </w:pPr>
      <w:r>
        <w:rPr>
          <w:rFonts w:ascii="Calibri" w:hAnsi="Calibri" w:cs="Calibri"/>
          <w:sz w:val="30"/>
          <w:szCs w:val="30"/>
        </w:rPr>
        <w:t xml:space="preserve">Top products and services </w:t>
      </w:r>
    </w:p>
    <w:p w14:paraId="31FCDC38" w14:textId="77777777" w:rsidR="00FA4A68" w:rsidRDefault="00FA4A68" w:rsidP="00FA4A68">
      <w:pPr>
        <w:spacing w:after="0"/>
        <w:rPr>
          <w:rFonts w:ascii="Calibri" w:hAnsi="Calibri" w:cs="Calibri"/>
        </w:rPr>
        <w:sectPr w:rsidR="00FA4A6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ED6BB93" w14:textId="77777777" w:rsidR="003963C6" w:rsidRPr="00FA4A68" w:rsidRDefault="003963C6" w:rsidP="00FA4A68">
      <w:pPr>
        <w:spacing w:after="0"/>
        <w:rPr>
          <w:rFonts w:ascii="Calibri" w:hAnsi="Calibri" w:cs="Calibri"/>
        </w:rPr>
      </w:pPr>
      <w:r w:rsidRPr="00FA4A68">
        <w:rPr>
          <w:rFonts w:ascii="Calibri" w:hAnsi="Calibri" w:cs="Calibri"/>
        </w:rPr>
        <w:t xml:space="preserve">1. Consulting and professional services (64%) </w:t>
      </w:r>
    </w:p>
    <w:p w14:paraId="016F9BB1" w14:textId="77777777" w:rsidR="003963C6" w:rsidRPr="00FA4A68" w:rsidRDefault="003963C6" w:rsidP="00FA4A68">
      <w:pPr>
        <w:spacing w:after="0"/>
        <w:rPr>
          <w:rFonts w:ascii="Calibri" w:hAnsi="Calibri" w:cs="Calibri"/>
        </w:rPr>
      </w:pPr>
      <w:r w:rsidRPr="00FA4A68">
        <w:rPr>
          <w:rFonts w:ascii="Calibri" w:hAnsi="Calibri" w:cs="Calibri"/>
        </w:rPr>
        <w:t xml:space="preserve">2. Computer software (51%) </w:t>
      </w:r>
    </w:p>
    <w:p w14:paraId="027BC327" w14:textId="77777777" w:rsidR="00FA4A68" w:rsidRPr="00FA4A68" w:rsidRDefault="00FA4A68" w:rsidP="00FA4A68">
      <w:pPr>
        <w:spacing w:after="0"/>
        <w:rPr>
          <w:rFonts w:ascii="Calibri" w:hAnsi="Calibri" w:cs="Calibri"/>
        </w:rPr>
      </w:pPr>
      <w:r w:rsidRPr="00FA4A68">
        <w:rPr>
          <w:rFonts w:ascii="Calibri" w:hAnsi="Calibri" w:cs="Calibri"/>
        </w:rPr>
        <w:t xml:space="preserve">3. Computer services (28%) </w:t>
      </w:r>
    </w:p>
    <w:p w14:paraId="00A165E1" w14:textId="77777777" w:rsidR="00FA4A68" w:rsidRPr="00FA4A68" w:rsidRDefault="00FA4A68" w:rsidP="00FA4A68">
      <w:pPr>
        <w:spacing w:after="0"/>
        <w:rPr>
          <w:rFonts w:ascii="Calibri" w:hAnsi="Calibri" w:cs="Calibri"/>
        </w:rPr>
      </w:pPr>
      <w:r w:rsidRPr="00FA4A68">
        <w:rPr>
          <w:rFonts w:ascii="Calibri" w:hAnsi="Calibri" w:cs="Calibri"/>
        </w:rPr>
        <w:t xml:space="preserve">4. Data analytics, AI/ML (27%) </w:t>
      </w:r>
    </w:p>
    <w:p w14:paraId="775B3E8E" w14:textId="115B413D" w:rsidR="00FA4A68" w:rsidRPr="00FA4A68" w:rsidRDefault="00FA4A68" w:rsidP="00FA4A68">
      <w:pPr>
        <w:spacing w:after="0"/>
        <w:rPr>
          <w:rFonts w:ascii="Calibri" w:hAnsi="Calibri" w:cs="Calibri"/>
        </w:rPr>
      </w:pPr>
      <w:r w:rsidRPr="00FA4A68">
        <w:rPr>
          <w:rFonts w:ascii="Calibri" w:hAnsi="Calibri" w:cs="Calibri"/>
        </w:rPr>
        <w:t xml:space="preserve">5. Hardware and software maintenance (25%) </w:t>
      </w:r>
    </w:p>
    <w:p w14:paraId="3F624C6D" w14:textId="5C2FE868" w:rsidR="00FA4A68" w:rsidRPr="00FA4A68" w:rsidRDefault="00FA4A68" w:rsidP="00FA4A68">
      <w:pPr>
        <w:spacing w:after="0"/>
        <w:rPr>
          <w:rFonts w:ascii="Calibri" w:hAnsi="Calibri" w:cs="Calibri"/>
        </w:rPr>
      </w:pPr>
      <w:r w:rsidRPr="00FA4A68">
        <w:rPr>
          <w:rFonts w:ascii="Calibri" w:hAnsi="Calibri" w:cs="Calibri"/>
        </w:rPr>
        <w:t xml:space="preserve">6. ICT security services, cyber security (23%) </w:t>
      </w:r>
    </w:p>
    <w:p w14:paraId="757FF102" w14:textId="77777777" w:rsidR="003963C6" w:rsidRPr="00FA4A68" w:rsidRDefault="003963C6" w:rsidP="00FA4A68">
      <w:pPr>
        <w:spacing w:after="0"/>
        <w:rPr>
          <w:rFonts w:ascii="Calibri" w:hAnsi="Calibri" w:cs="Calibri"/>
        </w:rPr>
      </w:pPr>
      <w:r w:rsidRPr="00FA4A68">
        <w:rPr>
          <w:rFonts w:ascii="Calibri" w:hAnsi="Calibri" w:cs="Calibri"/>
        </w:rPr>
        <w:t xml:space="preserve">7. Internet service, web search portals/design (23%) </w:t>
      </w:r>
    </w:p>
    <w:p w14:paraId="5E03D3F4" w14:textId="77777777" w:rsidR="003963C6" w:rsidRPr="00FA4A68" w:rsidRDefault="003963C6" w:rsidP="00FA4A68">
      <w:pPr>
        <w:spacing w:after="0"/>
        <w:rPr>
          <w:rFonts w:ascii="Calibri" w:hAnsi="Calibri" w:cs="Calibri"/>
        </w:rPr>
      </w:pPr>
      <w:r w:rsidRPr="00FA4A68">
        <w:rPr>
          <w:rFonts w:ascii="Calibri" w:hAnsi="Calibri" w:cs="Calibri"/>
        </w:rPr>
        <w:t xml:space="preserve">8. Computer hardware (17%) </w:t>
      </w:r>
    </w:p>
    <w:p w14:paraId="723CAF13" w14:textId="77777777" w:rsidR="00083206" w:rsidRDefault="003963C6" w:rsidP="00083206">
      <w:pPr>
        <w:spacing w:after="0"/>
        <w:rPr>
          <w:rFonts w:ascii="Calibri" w:hAnsi="Calibri" w:cs="Calibri"/>
        </w:rPr>
      </w:pPr>
      <w:r w:rsidRPr="00FA4A68">
        <w:rPr>
          <w:rFonts w:ascii="Calibri" w:hAnsi="Calibri" w:cs="Calibri"/>
        </w:rPr>
        <w:t xml:space="preserve">9. Other ICT and telecommunications equipment (16%) </w:t>
      </w:r>
    </w:p>
    <w:p w14:paraId="533B97DB" w14:textId="6B09D484" w:rsidR="00083206" w:rsidRPr="00083206" w:rsidRDefault="00083206" w:rsidP="00083206">
      <w:pPr>
        <w:spacing w:after="0"/>
        <w:rPr>
          <w:rFonts w:ascii="Calibri" w:hAnsi="Calibri" w:cs="Calibri"/>
        </w:rPr>
        <w:sectPr w:rsidR="00083206" w:rsidRPr="00083206" w:rsidSect="00FA4A68">
          <w:type w:val="continuous"/>
          <w:pgSz w:w="11906" w:h="16838"/>
          <w:pgMar w:top="1440" w:right="1440" w:bottom="1440" w:left="1440" w:header="708" w:footer="708" w:gutter="0"/>
          <w:cols w:space="708"/>
          <w:docGrid w:linePitch="360"/>
        </w:sectPr>
      </w:pPr>
      <w:r w:rsidRPr="00083206">
        <w:rPr>
          <w:rFonts w:ascii="Calibri" w:hAnsi="Calibri" w:cs="Calibri"/>
        </w:rPr>
        <w:t>10.</w:t>
      </w:r>
      <w:r>
        <w:rPr>
          <w:rFonts w:ascii="Calibri" w:hAnsi="Calibri" w:cs="Calibri"/>
        </w:rPr>
        <w:t xml:space="preserve"> </w:t>
      </w:r>
      <w:r w:rsidRPr="00083206">
        <w:rPr>
          <w:rFonts w:ascii="Calibri" w:hAnsi="Calibri" w:cs="Calibri"/>
        </w:rPr>
        <w:t xml:space="preserve">E-commerce (16%) </w:t>
      </w:r>
    </w:p>
    <w:p w14:paraId="594121B7" w14:textId="711A90D9" w:rsidR="00FA4A68" w:rsidRDefault="00FA4A68" w:rsidP="00FA4A68">
      <w:pPr>
        <w:pStyle w:val="Heading2"/>
        <w:rPr>
          <w:rFonts w:ascii="Calibri" w:hAnsi="Calibri" w:cs="Calibri"/>
          <w:sz w:val="30"/>
          <w:szCs w:val="30"/>
        </w:rPr>
      </w:pPr>
      <w:r>
        <w:rPr>
          <w:rFonts w:ascii="Calibri" w:hAnsi="Calibri" w:cs="Calibri"/>
          <w:sz w:val="30"/>
          <w:szCs w:val="30"/>
        </w:rPr>
        <w:t xml:space="preserve">Key Victorian Government </w:t>
      </w:r>
      <w:r w:rsidR="00D94A35">
        <w:rPr>
          <w:rFonts w:ascii="Calibri" w:hAnsi="Calibri" w:cs="Calibri"/>
          <w:sz w:val="30"/>
          <w:szCs w:val="30"/>
        </w:rPr>
        <w:t>Initiatives</w:t>
      </w:r>
      <w:r>
        <w:rPr>
          <w:rFonts w:ascii="Calibri" w:hAnsi="Calibri" w:cs="Calibri"/>
          <w:sz w:val="30"/>
          <w:szCs w:val="30"/>
        </w:rPr>
        <w:t xml:space="preserve"> </w:t>
      </w:r>
    </w:p>
    <w:p w14:paraId="7DA4A49E" w14:textId="239A99F5" w:rsidR="00FA4A68" w:rsidRPr="00FA4A68" w:rsidRDefault="00FA4A68" w:rsidP="00FA4A68">
      <w:pPr>
        <w:pStyle w:val="ListParagraph"/>
        <w:numPr>
          <w:ilvl w:val="0"/>
          <w:numId w:val="2"/>
        </w:numPr>
        <w:rPr>
          <w:rFonts w:ascii="Calibri" w:hAnsi="Calibri" w:cs="Calibri"/>
        </w:rPr>
      </w:pPr>
      <w:r w:rsidRPr="00FA4A68">
        <w:rPr>
          <w:rFonts w:ascii="Calibri" w:hAnsi="Calibri" w:cs="Calibri"/>
        </w:rPr>
        <w:t xml:space="preserve">Digital Jobs: $64 million program to re-train 5,000 mid-career workers with job-ready digital skills. </w:t>
      </w:r>
    </w:p>
    <w:p w14:paraId="767AF9C3" w14:textId="69B22337" w:rsidR="00FA4A68" w:rsidRPr="00FA4A68" w:rsidRDefault="00FA4A68" w:rsidP="00FA4A68">
      <w:pPr>
        <w:pStyle w:val="ListParagraph"/>
        <w:numPr>
          <w:ilvl w:val="0"/>
          <w:numId w:val="2"/>
        </w:numPr>
        <w:rPr>
          <w:rFonts w:ascii="Calibri" w:hAnsi="Calibri" w:cs="Calibri"/>
        </w:rPr>
      </w:pPr>
      <w:r w:rsidRPr="00FA4A68">
        <w:rPr>
          <w:rFonts w:ascii="Calibri" w:hAnsi="Calibri" w:cs="Calibri"/>
        </w:rPr>
        <w:t xml:space="preserve">Digital Jobs for Manufacturing: $4.5 million to assist Victorian manufacturing businesses uplift their employees' digital skills. </w:t>
      </w:r>
    </w:p>
    <w:p w14:paraId="567CBF76" w14:textId="223D97F7" w:rsidR="00FA4A68" w:rsidRPr="00FA4A68" w:rsidRDefault="00FA4A68" w:rsidP="00FA4A68">
      <w:pPr>
        <w:pStyle w:val="ListParagraph"/>
        <w:numPr>
          <w:ilvl w:val="0"/>
          <w:numId w:val="2"/>
        </w:numPr>
        <w:rPr>
          <w:rFonts w:ascii="Calibri" w:hAnsi="Calibri" w:cs="Calibri"/>
        </w:rPr>
      </w:pPr>
      <w:r w:rsidRPr="00FA4A68">
        <w:rPr>
          <w:rFonts w:ascii="Calibri" w:hAnsi="Calibri" w:cs="Calibri"/>
        </w:rPr>
        <w:t xml:space="preserve">SummerTech LIVE: $2.5 million which provides up to 400 digital tech tertiary students with job ready skills and provide digital capabilities to Victorian SMEs. </w:t>
      </w:r>
    </w:p>
    <w:p w14:paraId="01D9D41C" w14:textId="5808A4C4" w:rsidR="00FA4A68" w:rsidRPr="00FA4A68" w:rsidRDefault="00FA4A68" w:rsidP="00FA4A68">
      <w:pPr>
        <w:pStyle w:val="ListParagraph"/>
        <w:numPr>
          <w:ilvl w:val="0"/>
          <w:numId w:val="2"/>
        </w:numPr>
        <w:rPr>
          <w:rFonts w:ascii="Calibri" w:hAnsi="Calibri" w:cs="Calibri"/>
        </w:rPr>
      </w:pPr>
      <w:r w:rsidRPr="00FA4A68">
        <w:rPr>
          <w:rFonts w:ascii="Calibri" w:hAnsi="Calibri" w:cs="Calibri"/>
        </w:rPr>
        <w:t xml:space="preserve">Cremorne Digital Hub: $10 million investment by Government to drive the growth of Victoria’s tech sector and position the Cremorne precinct as a top global destination for innovation and technology. </w:t>
      </w:r>
    </w:p>
    <w:p w14:paraId="2591EBFA" w14:textId="6011BB50" w:rsidR="00FA4A68" w:rsidRPr="00083206" w:rsidRDefault="00FA4A68" w:rsidP="00FA4A68">
      <w:pPr>
        <w:pStyle w:val="ListParagraph"/>
        <w:numPr>
          <w:ilvl w:val="0"/>
          <w:numId w:val="2"/>
        </w:numPr>
        <w:rPr>
          <w:rFonts w:ascii="Calibri" w:hAnsi="Calibri" w:cs="Calibri"/>
        </w:rPr>
      </w:pPr>
      <w:r w:rsidRPr="00FA4A68">
        <w:rPr>
          <w:rFonts w:ascii="Calibri" w:hAnsi="Calibri" w:cs="Calibri"/>
        </w:rPr>
        <w:t>Free TAFE: Investment in increasing students with qualifications such as Certificate IV in Cybersecurity and Certificate III in Information Technology.</w:t>
      </w:r>
    </w:p>
    <w:p w14:paraId="788EB0E7" w14:textId="77777777" w:rsidR="00FA4A68" w:rsidRDefault="00FA4A68" w:rsidP="00FA4A68">
      <w:pPr>
        <w:rPr>
          <w:rFonts w:ascii="Calibri" w:hAnsi="Calibri" w:cs="Calibri"/>
        </w:rPr>
      </w:pPr>
      <w:r w:rsidRPr="00FA4A68">
        <w:rPr>
          <w:rFonts w:ascii="Calibri" w:hAnsi="Calibri" w:cs="Calibri"/>
        </w:rPr>
        <w:t xml:space="preserve">Authorised and published by the Department of Jobs, Skills, Industry and Regions, 121 Exhibition Street Melbourne Victoria 3000 Telephone (03) 9651 9999 </w:t>
      </w:r>
    </w:p>
    <w:p w14:paraId="58F5D92F" w14:textId="6EFB1725" w:rsidR="00DE45E7" w:rsidRDefault="00FA4A68" w:rsidP="00FA4A68">
      <w:pPr>
        <w:rPr>
          <w:rFonts w:ascii="Calibri" w:hAnsi="Calibri" w:cs="Calibri"/>
        </w:rPr>
      </w:pPr>
      <w:r w:rsidRPr="00FA4A68">
        <w:rPr>
          <w:rFonts w:ascii="Calibri" w:hAnsi="Calibri" w:cs="Calibri"/>
        </w:rPr>
        <w:t xml:space="preserve">© Copyright State of Victoria, Department of Jobs, Skills, Industry and Regions, August 2023 </w:t>
      </w:r>
      <w:r w:rsidR="00DE45E7">
        <w:rPr>
          <w:rFonts w:ascii="Calibri" w:hAnsi="Calibri" w:cs="Calibri"/>
        </w:rPr>
        <w:t xml:space="preserve"> </w:t>
      </w:r>
    </w:p>
    <w:p w14:paraId="1C160BD8" w14:textId="15257493" w:rsidR="00FA4A68" w:rsidRPr="00FA4A68" w:rsidRDefault="00FA4A68" w:rsidP="00FA4A68">
      <w:pPr>
        <w:rPr>
          <w:rFonts w:ascii="Calibri" w:hAnsi="Calibri" w:cs="Calibri"/>
        </w:rPr>
      </w:pPr>
      <w:r w:rsidRPr="00FA4A68">
        <w:rPr>
          <w:rFonts w:ascii="Calibri" w:hAnsi="Calibri" w:cs="Calibri"/>
        </w:rPr>
        <w:lastRenderedPageBreak/>
        <w:t>Except for any logos, emblems, trademarks, artwork and photography this document is made available under the terms of the Creative Commons Attribution 3.0 Australia license.</w:t>
      </w:r>
    </w:p>
    <w:sectPr w:rsidR="00FA4A68" w:rsidRPr="00FA4A68" w:rsidSect="00FA4A6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D79C" w14:textId="77777777" w:rsidR="003963C6" w:rsidRDefault="003963C6" w:rsidP="003963C6">
      <w:pPr>
        <w:spacing w:after="0" w:line="240" w:lineRule="auto"/>
      </w:pPr>
      <w:r>
        <w:separator/>
      </w:r>
    </w:p>
  </w:endnote>
  <w:endnote w:type="continuationSeparator" w:id="0">
    <w:p w14:paraId="25D868F5" w14:textId="77777777" w:rsidR="003963C6" w:rsidRDefault="003963C6" w:rsidP="003963C6">
      <w:pPr>
        <w:spacing w:after="0" w:line="240" w:lineRule="auto"/>
      </w:pPr>
      <w:r>
        <w:continuationSeparator/>
      </w:r>
    </w:p>
  </w:endnote>
  <w:endnote w:type="continuationNotice" w:id="1">
    <w:p w14:paraId="07C3FCC6" w14:textId="77777777" w:rsidR="00DE45E7" w:rsidRDefault="00DE4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C9DB" w14:textId="796F359A" w:rsidR="00FA4A68" w:rsidRDefault="00FA4A68">
    <w:pPr>
      <w:pStyle w:val="Footer"/>
    </w:pPr>
    <w:r>
      <w:rPr>
        <w:noProof/>
      </w:rPr>
      <mc:AlternateContent>
        <mc:Choice Requires="wps">
          <w:drawing>
            <wp:anchor distT="0" distB="0" distL="0" distR="0" simplePos="0" relativeHeight="251658244" behindDoc="0" locked="0" layoutInCell="1" allowOverlap="1" wp14:anchorId="3A685FF0" wp14:editId="438F26C8">
              <wp:simplePos x="635" y="635"/>
              <wp:positionH relativeFrom="page">
                <wp:align>center</wp:align>
              </wp:positionH>
              <wp:positionV relativeFrom="page">
                <wp:align>bottom</wp:align>
              </wp:positionV>
              <wp:extent cx="443865" cy="443865"/>
              <wp:effectExtent l="0" t="0" r="18415" b="0"/>
              <wp:wrapNone/>
              <wp:docPr id="15174804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21C6F" w14:textId="4F49920F" w:rsidR="00FA4A68" w:rsidRPr="00FA4A68" w:rsidRDefault="00FA4A68" w:rsidP="00FA4A68">
                          <w:pPr>
                            <w:spacing w:after="0"/>
                            <w:rPr>
                              <w:rFonts w:ascii="Arial" w:eastAsia="Arial" w:hAnsi="Arial" w:cs="Arial"/>
                              <w:noProof/>
                              <w:color w:val="000000"/>
                              <w:sz w:val="24"/>
                              <w:szCs w:val="24"/>
                            </w:rPr>
                          </w:pPr>
                          <w:r w:rsidRPr="00FA4A6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685FF0"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C421C6F" w14:textId="4F49920F" w:rsidR="00FA4A68" w:rsidRPr="00FA4A68" w:rsidRDefault="00FA4A68" w:rsidP="00FA4A68">
                    <w:pPr>
                      <w:spacing w:after="0"/>
                      <w:rPr>
                        <w:rFonts w:ascii="Arial" w:eastAsia="Arial" w:hAnsi="Arial" w:cs="Arial"/>
                        <w:noProof/>
                        <w:color w:val="000000"/>
                        <w:sz w:val="24"/>
                        <w:szCs w:val="24"/>
                      </w:rPr>
                    </w:pPr>
                    <w:r w:rsidRPr="00FA4A68">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E762" w14:textId="6ACE287A" w:rsidR="00FA4A68" w:rsidRDefault="00FA4A68">
    <w:pPr>
      <w:pStyle w:val="Footer"/>
    </w:pPr>
    <w:r>
      <w:rPr>
        <w:noProof/>
      </w:rPr>
      <mc:AlternateContent>
        <mc:Choice Requires="wps">
          <w:drawing>
            <wp:anchor distT="0" distB="0" distL="0" distR="0" simplePos="0" relativeHeight="251658245" behindDoc="0" locked="0" layoutInCell="1" allowOverlap="1" wp14:anchorId="01F3C0F1" wp14:editId="463A2B56">
              <wp:simplePos x="914400" y="10073489"/>
              <wp:positionH relativeFrom="page">
                <wp:align>center</wp:align>
              </wp:positionH>
              <wp:positionV relativeFrom="page">
                <wp:align>bottom</wp:align>
              </wp:positionV>
              <wp:extent cx="443865" cy="443865"/>
              <wp:effectExtent l="0" t="0" r="18415" b="0"/>
              <wp:wrapNone/>
              <wp:docPr id="4238748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905503" w14:textId="591A21CA" w:rsidR="00FA4A68" w:rsidRPr="00FA4A68" w:rsidRDefault="00FA4A68" w:rsidP="00FA4A68">
                          <w:pPr>
                            <w:spacing w:after="0"/>
                            <w:rPr>
                              <w:rFonts w:ascii="Arial" w:eastAsia="Arial" w:hAnsi="Arial" w:cs="Arial"/>
                              <w:noProof/>
                              <w:color w:val="000000"/>
                              <w:sz w:val="24"/>
                              <w:szCs w:val="24"/>
                            </w:rPr>
                          </w:pPr>
                          <w:r w:rsidRPr="00FA4A6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3C0F1"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1905503" w14:textId="591A21CA" w:rsidR="00FA4A68" w:rsidRPr="00FA4A68" w:rsidRDefault="00FA4A68" w:rsidP="00FA4A68">
                    <w:pPr>
                      <w:spacing w:after="0"/>
                      <w:rPr>
                        <w:rFonts w:ascii="Arial" w:eastAsia="Arial" w:hAnsi="Arial" w:cs="Arial"/>
                        <w:noProof/>
                        <w:color w:val="000000"/>
                        <w:sz w:val="24"/>
                        <w:szCs w:val="24"/>
                      </w:rPr>
                    </w:pPr>
                    <w:r w:rsidRPr="00FA4A68">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B39C" w14:textId="0CFB4E5E" w:rsidR="00FA4A68" w:rsidRDefault="00FA4A68">
    <w:pPr>
      <w:pStyle w:val="Footer"/>
    </w:pPr>
    <w:r>
      <w:rPr>
        <w:noProof/>
      </w:rPr>
      <mc:AlternateContent>
        <mc:Choice Requires="wps">
          <w:drawing>
            <wp:anchor distT="0" distB="0" distL="0" distR="0" simplePos="0" relativeHeight="251658243" behindDoc="0" locked="0" layoutInCell="1" allowOverlap="1" wp14:anchorId="1FFA35CE" wp14:editId="63EA5D7B">
              <wp:simplePos x="635" y="635"/>
              <wp:positionH relativeFrom="page">
                <wp:align>center</wp:align>
              </wp:positionH>
              <wp:positionV relativeFrom="page">
                <wp:align>bottom</wp:align>
              </wp:positionV>
              <wp:extent cx="443865" cy="443865"/>
              <wp:effectExtent l="0" t="0" r="18415" b="0"/>
              <wp:wrapNone/>
              <wp:docPr id="111807746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195BF" w14:textId="4C3A858C" w:rsidR="00FA4A68" w:rsidRPr="00FA4A68" w:rsidRDefault="00FA4A68" w:rsidP="00FA4A68">
                          <w:pPr>
                            <w:spacing w:after="0"/>
                            <w:rPr>
                              <w:rFonts w:ascii="Arial" w:eastAsia="Arial" w:hAnsi="Arial" w:cs="Arial"/>
                              <w:noProof/>
                              <w:color w:val="000000"/>
                              <w:sz w:val="24"/>
                              <w:szCs w:val="24"/>
                            </w:rPr>
                          </w:pPr>
                          <w:r w:rsidRPr="00FA4A6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FA35CE"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FE195BF" w14:textId="4C3A858C" w:rsidR="00FA4A68" w:rsidRPr="00FA4A68" w:rsidRDefault="00FA4A68" w:rsidP="00FA4A68">
                    <w:pPr>
                      <w:spacing w:after="0"/>
                      <w:rPr>
                        <w:rFonts w:ascii="Arial" w:eastAsia="Arial" w:hAnsi="Arial" w:cs="Arial"/>
                        <w:noProof/>
                        <w:color w:val="000000"/>
                        <w:sz w:val="24"/>
                        <w:szCs w:val="24"/>
                      </w:rPr>
                    </w:pPr>
                    <w:r w:rsidRPr="00FA4A68">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8F54" w14:textId="77777777" w:rsidR="003963C6" w:rsidRDefault="003963C6" w:rsidP="003963C6">
      <w:pPr>
        <w:spacing w:after="0" w:line="240" w:lineRule="auto"/>
      </w:pPr>
      <w:r>
        <w:separator/>
      </w:r>
    </w:p>
  </w:footnote>
  <w:footnote w:type="continuationSeparator" w:id="0">
    <w:p w14:paraId="66D0E715" w14:textId="77777777" w:rsidR="003963C6" w:rsidRDefault="003963C6" w:rsidP="003963C6">
      <w:pPr>
        <w:spacing w:after="0" w:line="240" w:lineRule="auto"/>
      </w:pPr>
      <w:r>
        <w:continuationSeparator/>
      </w:r>
    </w:p>
  </w:footnote>
  <w:footnote w:type="continuationNotice" w:id="1">
    <w:p w14:paraId="044E1438" w14:textId="77777777" w:rsidR="00DE45E7" w:rsidRDefault="00DE45E7">
      <w:pPr>
        <w:spacing w:after="0" w:line="240" w:lineRule="auto"/>
      </w:pPr>
    </w:p>
  </w:footnote>
  <w:footnote w:id="2">
    <w:p w14:paraId="35EC7F41" w14:textId="2D1E668E" w:rsidR="003963C6" w:rsidRPr="003963C6" w:rsidRDefault="003963C6">
      <w:pPr>
        <w:pStyle w:val="FootnoteText"/>
        <w:rPr>
          <w:rFonts w:ascii="Calibri" w:hAnsi="Calibri" w:cs="Calibri"/>
          <w:sz w:val="16"/>
          <w:szCs w:val="16"/>
        </w:rPr>
      </w:pPr>
      <w:r w:rsidRPr="003963C6">
        <w:rPr>
          <w:rStyle w:val="FootnoteReference"/>
          <w:rFonts w:ascii="Calibri" w:hAnsi="Calibri" w:cs="Calibri"/>
          <w:sz w:val="16"/>
          <w:szCs w:val="16"/>
        </w:rPr>
        <w:footnoteRef/>
      </w:r>
      <w:r w:rsidRPr="003963C6">
        <w:rPr>
          <w:rFonts w:ascii="Calibri" w:hAnsi="Calibri" w:cs="Calibri"/>
          <w:sz w:val="16"/>
          <w:szCs w:val="16"/>
        </w:rPr>
        <w:t xml:space="preserve"> Information and Communications Technology (ICT) refers to businesses that provide technologies and services that enable information to be accessed, stored, processed, transformed, or disseminated. The Digital Technology sector refers to businesses that critically rely on digital technology (such as the internet, mobile and sensor networks) as a platform for production and/or delivery of their products and services.</w:t>
      </w:r>
    </w:p>
  </w:footnote>
  <w:footnote w:id="3">
    <w:p w14:paraId="7621E58B" w14:textId="5B1310EE" w:rsidR="003963C6" w:rsidRPr="003963C6" w:rsidRDefault="003963C6">
      <w:pPr>
        <w:pStyle w:val="FootnoteText"/>
        <w:rPr>
          <w:rFonts w:ascii="Calibri" w:hAnsi="Calibri" w:cs="Calibri"/>
          <w:sz w:val="16"/>
          <w:szCs w:val="16"/>
        </w:rPr>
      </w:pPr>
      <w:r w:rsidRPr="003963C6">
        <w:rPr>
          <w:rStyle w:val="FootnoteReference"/>
          <w:rFonts w:ascii="Calibri" w:hAnsi="Calibri" w:cs="Calibri"/>
          <w:sz w:val="16"/>
          <w:szCs w:val="16"/>
        </w:rPr>
        <w:footnoteRef/>
      </w:r>
      <w:r w:rsidRPr="003963C6">
        <w:rPr>
          <w:rFonts w:ascii="Calibri" w:hAnsi="Calibri" w:cs="Calibri"/>
          <w:sz w:val="16"/>
          <w:szCs w:val="16"/>
        </w:rPr>
        <w:t xml:space="preserve"> ABS Business Count Data - 16 December 2022</w:t>
      </w:r>
    </w:p>
  </w:footnote>
  <w:footnote w:id="4">
    <w:p w14:paraId="4B1001A3" w14:textId="01859475" w:rsidR="003963C6" w:rsidRPr="003963C6" w:rsidRDefault="003963C6">
      <w:pPr>
        <w:pStyle w:val="FootnoteText"/>
        <w:rPr>
          <w:rFonts w:ascii="Calibri" w:hAnsi="Calibri" w:cs="Calibri"/>
          <w:sz w:val="16"/>
          <w:szCs w:val="16"/>
        </w:rPr>
      </w:pPr>
      <w:r w:rsidRPr="003963C6">
        <w:rPr>
          <w:rStyle w:val="FootnoteReference"/>
          <w:rFonts w:ascii="Calibri" w:hAnsi="Calibri" w:cs="Calibri"/>
          <w:sz w:val="16"/>
          <w:szCs w:val="16"/>
        </w:rPr>
        <w:footnoteRef/>
      </w:r>
      <w:r w:rsidRPr="003963C6">
        <w:rPr>
          <w:rFonts w:ascii="Calibri" w:hAnsi="Calibri" w:cs="Calibri"/>
          <w:sz w:val="16"/>
          <w:szCs w:val="16"/>
        </w:rPr>
        <w:t xml:space="preserve"> ACS Australia's Digital Pulse 2022</w:t>
      </w:r>
    </w:p>
  </w:footnote>
  <w:footnote w:id="5">
    <w:p w14:paraId="1F817707" w14:textId="31AD3B18" w:rsidR="003963C6" w:rsidRPr="003963C6" w:rsidRDefault="003963C6">
      <w:pPr>
        <w:pStyle w:val="FootnoteText"/>
        <w:rPr>
          <w:rFonts w:ascii="Calibri" w:hAnsi="Calibri" w:cs="Calibri"/>
          <w:sz w:val="16"/>
          <w:szCs w:val="16"/>
        </w:rPr>
      </w:pPr>
      <w:r w:rsidRPr="003963C6">
        <w:rPr>
          <w:rStyle w:val="FootnoteReference"/>
          <w:rFonts w:ascii="Calibri" w:hAnsi="Calibri" w:cs="Calibri"/>
          <w:sz w:val="16"/>
          <w:szCs w:val="16"/>
        </w:rPr>
        <w:footnoteRef/>
      </w:r>
      <w:r w:rsidRPr="003963C6">
        <w:rPr>
          <w:rFonts w:ascii="Calibri" w:hAnsi="Calibri" w:cs="Calibri"/>
          <w:sz w:val="16"/>
          <w:szCs w:val="16"/>
        </w:rPr>
        <w:t xml:space="preserve"> ABS Research and Experimental Development, Businesses, Australia - 3 September 2021</w:t>
      </w:r>
    </w:p>
  </w:footnote>
  <w:footnote w:id="6">
    <w:p w14:paraId="4AFCAB65" w14:textId="6D5CFF6C" w:rsidR="003963C6" w:rsidRDefault="003963C6">
      <w:pPr>
        <w:pStyle w:val="FootnoteText"/>
      </w:pPr>
      <w:r w:rsidRPr="003963C6">
        <w:rPr>
          <w:rStyle w:val="FootnoteReference"/>
          <w:rFonts w:ascii="Calibri" w:hAnsi="Calibri" w:cs="Calibri"/>
          <w:sz w:val="16"/>
          <w:szCs w:val="16"/>
        </w:rPr>
        <w:footnoteRef/>
      </w:r>
      <w:r w:rsidRPr="003963C6">
        <w:rPr>
          <w:rFonts w:ascii="Calibri" w:hAnsi="Calibri" w:cs="Calibri"/>
          <w:sz w:val="16"/>
          <w:szCs w:val="16"/>
        </w:rPr>
        <w:t xml:space="preserve"> 5 Department of Education Selected Higher Education Statistics – 2021 Student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DB59" w14:textId="25AE4C66" w:rsidR="00FA4A68" w:rsidRDefault="00FA4A68">
    <w:pPr>
      <w:pStyle w:val="Header"/>
    </w:pPr>
    <w:r>
      <w:rPr>
        <w:noProof/>
      </w:rPr>
      <mc:AlternateContent>
        <mc:Choice Requires="wps">
          <w:drawing>
            <wp:anchor distT="0" distB="0" distL="0" distR="0" simplePos="0" relativeHeight="251658241" behindDoc="0" locked="0" layoutInCell="1" allowOverlap="1" wp14:anchorId="2AB5B228" wp14:editId="44CDAE80">
              <wp:simplePos x="635" y="635"/>
              <wp:positionH relativeFrom="page">
                <wp:align>center</wp:align>
              </wp:positionH>
              <wp:positionV relativeFrom="page">
                <wp:align>top</wp:align>
              </wp:positionV>
              <wp:extent cx="443865" cy="443865"/>
              <wp:effectExtent l="0" t="0" r="18415" b="1270"/>
              <wp:wrapNone/>
              <wp:docPr id="20166588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EE9B9B" w14:textId="7ED445EC" w:rsidR="00FA4A68" w:rsidRPr="00FA4A68" w:rsidRDefault="00FA4A68" w:rsidP="00FA4A68">
                          <w:pPr>
                            <w:spacing w:after="0"/>
                            <w:rPr>
                              <w:rFonts w:ascii="Arial" w:eastAsia="Arial" w:hAnsi="Arial" w:cs="Arial"/>
                              <w:noProof/>
                              <w:color w:val="000000"/>
                              <w:sz w:val="24"/>
                              <w:szCs w:val="24"/>
                            </w:rPr>
                          </w:pPr>
                          <w:r w:rsidRPr="00FA4A6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B5B22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EE9B9B" w14:textId="7ED445EC" w:rsidR="00FA4A68" w:rsidRPr="00FA4A68" w:rsidRDefault="00FA4A68" w:rsidP="00FA4A68">
                    <w:pPr>
                      <w:spacing w:after="0"/>
                      <w:rPr>
                        <w:rFonts w:ascii="Arial" w:eastAsia="Arial" w:hAnsi="Arial" w:cs="Arial"/>
                        <w:noProof/>
                        <w:color w:val="000000"/>
                        <w:sz w:val="24"/>
                        <w:szCs w:val="24"/>
                      </w:rPr>
                    </w:pPr>
                    <w:r w:rsidRPr="00FA4A68">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705A" w14:textId="6739A8C7" w:rsidR="00FA4A68" w:rsidRDefault="00FA4A68">
    <w:pPr>
      <w:pStyle w:val="Header"/>
    </w:pPr>
    <w:r>
      <w:rPr>
        <w:noProof/>
      </w:rPr>
      <mc:AlternateContent>
        <mc:Choice Requires="wps">
          <w:drawing>
            <wp:anchor distT="0" distB="0" distL="0" distR="0" simplePos="0" relativeHeight="251658242" behindDoc="0" locked="0" layoutInCell="1" allowOverlap="1" wp14:anchorId="2A0CBC87" wp14:editId="137C639F">
              <wp:simplePos x="914400" y="449655"/>
              <wp:positionH relativeFrom="page">
                <wp:align>center</wp:align>
              </wp:positionH>
              <wp:positionV relativeFrom="page">
                <wp:align>top</wp:align>
              </wp:positionV>
              <wp:extent cx="443865" cy="443865"/>
              <wp:effectExtent l="0" t="0" r="18415" b="1270"/>
              <wp:wrapNone/>
              <wp:docPr id="47916878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066FA" w14:textId="3CCB45C9" w:rsidR="00FA4A68" w:rsidRPr="00FA4A68" w:rsidRDefault="00FA4A68" w:rsidP="00FA4A68">
                          <w:pPr>
                            <w:spacing w:after="0"/>
                            <w:rPr>
                              <w:rFonts w:ascii="Arial" w:eastAsia="Arial" w:hAnsi="Arial" w:cs="Arial"/>
                              <w:noProof/>
                              <w:color w:val="000000"/>
                              <w:sz w:val="24"/>
                              <w:szCs w:val="24"/>
                            </w:rPr>
                          </w:pPr>
                          <w:r w:rsidRPr="00FA4A6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0CBC8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69066FA" w14:textId="3CCB45C9" w:rsidR="00FA4A68" w:rsidRPr="00FA4A68" w:rsidRDefault="00FA4A68" w:rsidP="00FA4A68">
                    <w:pPr>
                      <w:spacing w:after="0"/>
                      <w:rPr>
                        <w:rFonts w:ascii="Arial" w:eastAsia="Arial" w:hAnsi="Arial" w:cs="Arial"/>
                        <w:noProof/>
                        <w:color w:val="000000"/>
                        <w:sz w:val="24"/>
                        <w:szCs w:val="24"/>
                      </w:rPr>
                    </w:pPr>
                    <w:r w:rsidRPr="00FA4A68">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38D8" w14:textId="514CE3C7" w:rsidR="00FA4A68" w:rsidRDefault="00FA4A68">
    <w:pPr>
      <w:pStyle w:val="Header"/>
    </w:pPr>
    <w:r>
      <w:rPr>
        <w:noProof/>
      </w:rPr>
      <mc:AlternateContent>
        <mc:Choice Requires="wps">
          <w:drawing>
            <wp:anchor distT="0" distB="0" distL="0" distR="0" simplePos="0" relativeHeight="251658240" behindDoc="0" locked="0" layoutInCell="1" allowOverlap="1" wp14:anchorId="0DCB1E91" wp14:editId="2A41C469">
              <wp:simplePos x="635" y="635"/>
              <wp:positionH relativeFrom="page">
                <wp:align>center</wp:align>
              </wp:positionH>
              <wp:positionV relativeFrom="page">
                <wp:align>top</wp:align>
              </wp:positionV>
              <wp:extent cx="443865" cy="443865"/>
              <wp:effectExtent l="0" t="0" r="18415" b="1270"/>
              <wp:wrapNone/>
              <wp:docPr id="9921785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E5EE6" w14:textId="2F3B59F3" w:rsidR="00FA4A68" w:rsidRPr="00FA4A68" w:rsidRDefault="00FA4A68" w:rsidP="00FA4A68">
                          <w:pPr>
                            <w:spacing w:after="0"/>
                            <w:rPr>
                              <w:rFonts w:ascii="Arial" w:eastAsia="Arial" w:hAnsi="Arial" w:cs="Arial"/>
                              <w:noProof/>
                              <w:color w:val="000000"/>
                              <w:sz w:val="24"/>
                              <w:szCs w:val="24"/>
                            </w:rPr>
                          </w:pPr>
                          <w:r w:rsidRPr="00FA4A6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CB1E91"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26E5EE6" w14:textId="2F3B59F3" w:rsidR="00FA4A68" w:rsidRPr="00FA4A68" w:rsidRDefault="00FA4A68" w:rsidP="00FA4A68">
                    <w:pPr>
                      <w:spacing w:after="0"/>
                      <w:rPr>
                        <w:rFonts w:ascii="Arial" w:eastAsia="Arial" w:hAnsi="Arial" w:cs="Arial"/>
                        <w:noProof/>
                        <w:color w:val="000000"/>
                        <w:sz w:val="24"/>
                        <w:szCs w:val="24"/>
                      </w:rPr>
                    </w:pPr>
                    <w:r w:rsidRPr="00FA4A68">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8E7"/>
    <w:multiLevelType w:val="hybridMultilevel"/>
    <w:tmpl w:val="B770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615C"/>
    <w:multiLevelType w:val="hybridMultilevel"/>
    <w:tmpl w:val="B3C06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5D4295"/>
    <w:multiLevelType w:val="hybridMultilevel"/>
    <w:tmpl w:val="B23AD46E"/>
    <w:lvl w:ilvl="0" w:tplc="0C09000F">
      <w:start w:val="1"/>
      <w:numFmt w:val="decimal"/>
      <w:lvlText w:val="%1."/>
      <w:lvlJc w:val="left"/>
      <w:pPr>
        <w:ind w:left="720" w:hanging="360"/>
      </w:pPr>
      <w:rPr>
        <w:rFonts w:hint="default"/>
      </w:rPr>
    </w:lvl>
    <w:lvl w:ilvl="1" w:tplc="04B60364">
      <w:numFmt w:val="bullet"/>
      <w:lvlText w:val="•"/>
      <w:lvlJc w:val="left"/>
      <w:pPr>
        <w:ind w:left="1440" w:hanging="360"/>
      </w:pPr>
      <w:rPr>
        <w:rFonts w:ascii="Aptos" w:eastAsiaTheme="minorHAnsi" w:hAnsi="Aptos"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103F65"/>
    <w:multiLevelType w:val="hybridMultilevel"/>
    <w:tmpl w:val="9B5C9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5C7BD5"/>
    <w:multiLevelType w:val="hybridMultilevel"/>
    <w:tmpl w:val="95042C6A"/>
    <w:lvl w:ilvl="0" w:tplc="0C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EA16D8"/>
    <w:multiLevelType w:val="hybridMultilevel"/>
    <w:tmpl w:val="0A8CE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B12D1E"/>
    <w:multiLevelType w:val="hybridMultilevel"/>
    <w:tmpl w:val="8C0E9590"/>
    <w:lvl w:ilvl="0" w:tplc="0C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1665429">
    <w:abstractNumId w:val="5"/>
  </w:num>
  <w:num w:numId="2" w16cid:durableId="647395934">
    <w:abstractNumId w:val="3"/>
  </w:num>
  <w:num w:numId="3" w16cid:durableId="180818640">
    <w:abstractNumId w:val="2"/>
  </w:num>
  <w:num w:numId="4" w16cid:durableId="1961373805">
    <w:abstractNumId w:val="0"/>
  </w:num>
  <w:num w:numId="5" w16cid:durableId="545989729">
    <w:abstractNumId w:val="6"/>
  </w:num>
  <w:num w:numId="6" w16cid:durableId="1322807246">
    <w:abstractNumId w:val="1"/>
  </w:num>
  <w:num w:numId="7" w16cid:durableId="14771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C6"/>
    <w:rsid w:val="00083206"/>
    <w:rsid w:val="003963C6"/>
    <w:rsid w:val="0058609C"/>
    <w:rsid w:val="00A44C6D"/>
    <w:rsid w:val="00A8009C"/>
    <w:rsid w:val="00D94A35"/>
    <w:rsid w:val="00DE45E7"/>
    <w:rsid w:val="00FA4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5B0E"/>
  <w15:chartTrackingRefBased/>
  <w15:docId w15:val="{58F616E0-3547-41DE-9618-2D2DE093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3C6"/>
    <w:rPr>
      <w:rFonts w:eastAsiaTheme="majorEastAsia" w:cstheme="majorBidi"/>
      <w:color w:val="272727" w:themeColor="text1" w:themeTint="D8"/>
    </w:rPr>
  </w:style>
  <w:style w:type="paragraph" w:styleId="Title">
    <w:name w:val="Title"/>
    <w:basedOn w:val="Normal"/>
    <w:next w:val="Normal"/>
    <w:link w:val="TitleChar"/>
    <w:uiPriority w:val="10"/>
    <w:qFormat/>
    <w:rsid w:val="00396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3C6"/>
    <w:pPr>
      <w:spacing w:before="160"/>
      <w:jc w:val="center"/>
    </w:pPr>
    <w:rPr>
      <w:i/>
      <w:iCs/>
      <w:color w:val="404040" w:themeColor="text1" w:themeTint="BF"/>
    </w:rPr>
  </w:style>
  <w:style w:type="character" w:customStyle="1" w:styleId="QuoteChar">
    <w:name w:val="Quote Char"/>
    <w:basedOn w:val="DefaultParagraphFont"/>
    <w:link w:val="Quote"/>
    <w:uiPriority w:val="29"/>
    <w:rsid w:val="003963C6"/>
    <w:rPr>
      <w:i/>
      <w:iCs/>
      <w:color w:val="404040" w:themeColor="text1" w:themeTint="BF"/>
    </w:rPr>
  </w:style>
  <w:style w:type="paragraph" w:styleId="ListParagraph">
    <w:name w:val="List Paragraph"/>
    <w:basedOn w:val="Normal"/>
    <w:uiPriority w:val="34"/>
    <w:qFormat/>
    <w:rsid w:val="003963C6"/>
    <w:pPr>
      <w:ind w:left="720"/>
      <w:contextualSpacing/>
    </w:pPr>
  </w:style>
  <w:style w:type="character" w:styleId="IntenseEmphasis">
    <w:name w:val="Intense Emphasis"/>
    <w:basedOn w:val="DefaultParagraphFont"/>
    <w:uiPriority w:val="21"/>
    <w:qFormat/>
    <w:rsid w:val="003963C6"/>
    <w:rPr>
      <w:i/>
      <w:iCs/>
      <w:color w:val="0F4761" w:themeColor="accent1" w:themeShade="BF"/>
    </w:rPr>
  </w:style>
  <w:style w:type="paragraph" w:styleId="IntenseQuote">
    <w:name w:val="Intense Quote"/>
    <w:basedOn w:val="Normal"/>
    <w:next w:val="Normal"/>
    <w:link w:val="IntenseQuoteChar"/>
    <w:uiPriority w:val="30"/>
    <w:qFormat/>
    <w:rsid w:val="00396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3C6"/>
    <w:rPr>
      <w:i/>
      <w:iCs/>
      <w:color w:val="0F4761" w:themeColor="accent1" w:themeShade="BF"/>
    </w:rPr>
  </w:style>
  <w:style w:type="character" w:styleId="IntenseReference">
    <w:name w:val="Intense Reference"/>
    <w:basedOn w:val="DefaultParagraphFont"/>
    <w:uiPriority w:val="32"/>
    <w:qFormat/>
    <w:rsid w:val="003963C6"/>
    <w:rPr>
      <w:b/>
      <w:bCs/>
      <w:smallCaps/>
      <w:color w:val="0F4761" w:themeColor="accent1" w:themeShade="BF"/>
      <w:spacing w:val="5"/>
    </w:rPr>
  </w:style>
  <w:style w:type="paragraph" w:styleId="FootnoteText">
    <w:name w:val="footnote text"/>
    <w:basedOn w:val="Normal"/>
    <w:link w:val="FootnoteTextChar"/>
    <w:uiPriority w:val="99"/>
    <w:semiHidden/>
    <w:unhideWhenUsed/>
    <w:rsid w:val="00396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3C6"/>
    <w:rPr>
      <w:sz w:val="20"/>
      <w:szCs w:val="20"/>
    </w:rPr>
  </w:style>
  <w:style w:type="character" w:styleId="FootnoteReference">
    <w:name w:val="footnote reference"/>
    <w:basedOn w:val="DefaultParagraphFont"/>
    <w:uiPriority w:val="99"/>
    <w:semiHidden/>
    <w:unhideWhenUsed/>
    <w:rsid w:val="003963C6"/>
    <w:rPr>
      <w:vertAlign w:val="superscript"/>
    </w:rPr>
  </w:style>
  <w:style w:type="paragraph" w:styleId="Header">
    <w:name w:val="header"/>
    <w:basedOn w:val="Normal"/>
    <w:link w:val="HeaderChar"/>
    <w:uiPriority w:val="99"/>
    <w:unhideWhenUsed/>
    <w:rsid w:val="00FA4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A68"/>
  </w:style>
  <w:style w:type="paragraph" w:styleId="Footer">
    <w:name w:val="footer"/>
    <w:basedOn w:val="Normal"/>
    <w:link w:val="FooterChar"/>
    <w:uiPriority w:val="99"/>
    <w:unhideWhenUsed/>
    <w:rsid w:val="00FA4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9c7729-190a-4402-9f89-661f73c0fc19">
      <Terms xmlns="http://schemas.microsoft.com/office/infopath/2007/PartnerControls"/>
    </lcf76f155ced4ddcb4097134ff3c332f>
    <_Flow_SignoffStatus xmlns="809c7729-190a-4402-9f89-661f73c0fc19" xsi:nil="true"/>
    <TaxCatchAll xmlns="1a132dbe-c4d7-4bfd-97a5-a113a1b8a6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1EBD683C3CA742AD95297558F8F319" ma:contentTypeVersion="19" ma:contentTypeDescription="Create a new document." ma:contentTypeScope="" ma:versionID="fb1612d4de64f6358a7a3a768a7a763c">
  <xsd:schema xmlns:xsd="http://www.w3.org/2001/XMLSchema" xmlns:xs="http://www.w3.org/2001/XMLSchema" xmlns:p="http://schemas.microsoft.com/office/2006/metadata/properties" xmlns:ns2="809c7729-190a-4402-9f89-661f73c0fc19" xmlns:ns3="1a132dbe-c4d7-4bfd-97a5-a113a1b8a699" targetNamespace="http://schemas.microsoft.com/office/2006/metadata/properties" ma:root="true" ma:fieldsID="0ae419c4b69936e74347b89ed1db5a71" ns2:_="" ns3:_="">
    <xsd:import namespace="809c7729-190a-4402-9f89-661f73c0fc19"/>
    <xsd:import namespace="1a132dbe-c4d7-4bfd-97a5-a113a1b8a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c7729-190a-4402-9f89-661f73c0f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132dbe-c4d7-4bfd-97a5-a113a1b8a6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aaca3b-4fea-4e66-bf5c-06cf42a2c542}" ma:internalName="TaxCatchAll" ma:showField="CatchAllData" ma:web="1a132dbe-c4d7-4bfd-97a5-a113a1b8a6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9AF4E-9313-4749-B491-1F8ABC7A0639}">
  <ds:schemaRefs>
    <ds:schemaRef ds:uri="http://schemas.openxmlformats.org/officeDocument/2006/bibliography"/>
  </ds:schemaRefs>
</ds:datastoreItem>
</file>

<file path=customXml/itemProps2.xml><?xml version="1.0" encoding="utf-8"?>
<ds:datastoreItem xmlns:ds="http://schemas.openxmlformats.org/officeDocument/2006/customXml" ds:itemID="{A0FE3059-6208-43C5-A060-BA8338E829BE}">
  <ds:schemaRefs>
    <ds:schemaRef ds:uri="http://schemas.microsoft.com/office/2006/metadata/properties"/>
    <ds:schemaRef ds:uri="http://schemas.microsoft.com/office/infopath/2007/PartnerControls"/>
    <ds:schemaRef ds:uri="809c7729-190a-4402-9f89-661f73c0fc19"/>
    <ds:schemaRef ds:uri="1a132dbe-c4d7-4bfd-97a5-a113a1b8a699"/>
  </ds:schemaRefs>
</ds:datastoreItem>
</file>

<file path=customXml/itemProps3.xml><?xml version="1.0" encoding="utf-8"?>
<ds:datastoreItem xmlns:ds="http://schemas.openxmlformats.org/officeDocument/2006/customXml" ds:itemID="{76AA7D6C-1407-4043-9D4F-A6E12A9E79E9}">
  <ds:schemaRefs>
    <ds:schemaRef ds:uri="http://schemas.microsoft.com/sharepoint/v3/contenttype/forms"/>
  </ds:schemaRefs>
</ds:datastoreItem>
</file>

<file path=customXml/itemProps4.xml><?xml version="1.0" encoding="utf-8"?>
<ds:datastoreItem xmlns:ds="http://schemas.openxmlformats.org/officeDocument/2006/customXml" ds:itemID="{BB4E22FD-6192-45D3-8A7B-37FF506AF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c7729-190a-4402-9f89-661f73c0fc19"/>
    <ds:schemaRef ds:uri="1a132dbe-c4d7-4bfd-97a5-a113a1b8a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G Giang (DJSIR)</dc:creator>
  <cp:keywords/>
  <dc:description/>
  <cp:lastModifiedBy>Jesse G Giang (DJSIR)</cp:lastModifiedBy>
  <cp:revision>4</cp:revision>
  <dcterms:created xsi:type="dcterms:W3CDTF">2024-06-05T01:33:00Z</dcterms:created>
  <dcterms:modified xsi:type="dcterms:W3CDTF">2024-06-05T01:51:00Z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3b237150,7833c585,1c8f8914</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42a48214,5a72ea2f,286c81c</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2024-06-05T01:47:11Z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10eab2d2-36ca-4067-aca5-043d8b01b92f</vt:lpwstr>
  </property>
  <property fmtid="{D5CDD505-2E9C-101B-9397-08002B2CF9AE}" pid="14" name="MSIP_Label_d00a4df9-c942-4b09-b23a-6c1023f6de27_ContentBits">
    <vt:lpwstr>3</vt:lpwstr>
  </property>
  <property fmtid="{D5CDD505-2E9C-101B-9397-08002B2CF9AE}" pid="15" name="ContentTypeId">
    <vt:lpwstr>0x010100A31EBD683C3CA742AD95297558F8F319</vt:lpwstr>
  </property>
  <property fmtid="{D5CDD505-2E9C-101B-9397-08002B2CF9AE}" pid="16" name="MediaServiceImageTags">
    <vt:lpwstr/>
  </property>
</Properties>
</file>